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00" w:rsidRDefault="008B3300" w:rsidP="008B330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517983829" r:id="rId9"/>
        </w:object>
      </w:r>
      <w:r>
        <w:t xml:space="preserve"> </w:t>
      </w:r>
      <w:r>
        <w:ptab w:relativeTo="margin" w:alignment="right" w:leader="none"/>
      </w:r>
    </w:p>
    <w:p w:rsidR="008B3300" w:rsidRDefault="008B3300" w:rsidP="008B3300">
      <w:pPr>
        <w:pStyle w:val="Header"/>
      </w:pPr>
    </w:p>
    <w:p w:rsidR="008B3300" w:rsidRPr="006B210C" w:rsidRDefault="008B3300" w:rsidP="008B3300">
      <w:pPr>
        <w:jc w:val="center"/>
        <w:rPr>
          <w:b/>
        </w:rPr>
      </w:pPr>
      <w:r w:rsidRPr="006B210C">
        <w:rPr>
          <w:b/>
        </w:rPr>
        <w:t>SUPREME COURT OF CANADA</w:t>
      </w:r>
    </w:p>
    <w:p w:rsidR="008B3300" w:rsidRDefault="008B3300" w:rsidP="008B330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8B3300" w:rsidRPr="006B210C" w:rsidTr="00F045EF">
        <w:trPr>
          <w:cantSplit/>
        </w:trPr>
        <w:tc>
          <w:tcPr>
            <w:tcW w:w="6768" w:type="dxa"/>
          </w:tcPr>
          <w:p w:rsidR="008B3300" w:rsidRPr="006B210C" w:rsidRDefault="008B3300" w:rsidP="00A74313">
            <w:r w:rsidRPr="006B210C">
              <w:rPr>
                <w:b/>
                <w:smallCaps/>
              </w:rPr>
              <w:t>Citation</w:t>
            </w:r>
            <w:r>
              <w:rPr>
                <w:b/>
                <w:smallCaps/>
              </w:rPr>
              <w:t>:</w:t>
            </w:r>
            <w:r w:rsidRPr="006B210C">
              <w:t xml:space="preserve"> </w:t>
            </w:r>
            <w:r w:rsidRPr="003534F9">
              <w:t xml:space="preserve">Alberta (Attorney General) </w:t>
            </w:r>
            <w:r w:rsidRPr="003534F9">
              <w:rPr>
                <w:i/>
              </w:rPr>
              <w:t>v.</w:t>
            </w:r>
            <w:r w:rsidRPr="003534F9">
              <w:t xml:space="preserve"> </w:t>
            </w:r>
            <w:proofErr w:type="spellStart"/>
            <w:r w:rsidRPr="003534F9">
              <w:t>Moloney</w:t>
            </w:r>
            <w:proofErr w:type="spellEnd"/>
            <w:r>
              <w:t>, 2015 SCC 51</w:t>
            </w:r>
            <w:r w:rsidR="00A74313">
              <w:t xml:space="preserve">, </w:t>
            </w:r>
            <w:bookmarkStart w:id="0" w:name="_GoBack"/>
            <w:bookmarkEnd w:id="0"/>
            <w:r w:rsidR="00A74313">
              <w:t>[2015] 3 S.C.R. 327</w:t>
            </w:r>
          </w:p>
        </w:tc>
        <w:tc>
          <w:tcPr>
            <w:tcW w:w="2808" w:type="dxa"/>
          </w:tcPr>
          <w:p w:rsidR="008B3300" w:rsidRPr="006B210C" w:rsidRDefault="008B3300" w:rsidP="00F045EF">
            <w:r w:rsidRPr="006B210C">
              <w:rPr>
                <w:b/>
                <w:smallCaps/>
              </w:rPr>
              <w:t>Date</w:t>
            </w:r>
            <w:r>
              <w:rPr>
                <w:b/>
                <w:smallCaps/>
              </w:rPr>
              <w:t>:</w:t>
            </w:r>
            <w:r w:rsidRPr="006B210C">
              <w:t xml:space="preserve"> </w:t>
            </w:r>
            <w:r>
              <w:t>20151113</w:t>
            </w:r>
          </w:p>
          <w:p w:rsidR="008B3300" w:rsidRPr="006B210C" w:rsidRDefault="008B3300" w:rsidP="00F045EF">
            <w:r w:rsidRPr="006B210C">
              <w:rPr>
                <w:b/>
                <w:smallCaps/>
              </w:rPr>
              <w:t>Docket</w:t>
            </w:r>
            <w:r>
              <w:rPr>
                <w:b/>
                <w:smallCaps/>
              </w:rPr>
              <w:t>:</w:t>
            </w:r>
            <w:r w:rsidRPr="006B210C">
              <w:t xml:space="preserve"> </w:t>
            </w:r>
            <w:r>
              <w:t>35820</w:t>
            </w:r>
          </w:p>
        </w:tc>
      </w:tr>
    </w:tbl>
    <w:p w:rsidR="008B3300" w:rsidRPr="006B210C" w:rsidRDefault="008B3300" w:rsidP="008B3300"/>
    <w:p w:rsidR="008B3300" w:rsidRDefault="008B3300" w:rsidP="008B3300">
      <w:pPr>
        <w:pStyle w:val="SCCLsocPrefix"/>
      </w:pPr>
      <w:r>
        <w:t>Between:</w:t>
      </w:r>
    </w:p>
    <w:p w:rsidR="008B3300" w:rsidRDefault="008B3300" w:rsidP="00A74313">
      <w:pPr>
        <w:pStyle w:val="SCCLsocParty"/>
        <w:jc w:val="center"/>
      </w:pPr>
      <w:r>
        <w:t>Attorney General of Alberta</w:t>
      </w:r>
    </w:p>
    <w:p w:rsidR="008B3300" w:rsidRDefault="008B3300" w:rsidP="00A74313">
      <w:pPr>
        <w:jc w:val="center"/>
      </w:pPr>
      <w:r>
        <w:t>Appellant</w:t>
      </w:r>
    </w:p>
    <w:p w:rsidR="008B3300" w:rsidRPr="00A74313" w:rsidRDefault="008B3300" w:rsidP="00A74313">
      <w:pPr>
        <w:pStyle w:val="SCCLsocVersus"/>
        <w:spacing w:after="0"/>
        <w:jc w:val="center"/>
        <w:rPr>
          <w:i w:val="0"/>
        </w:rPr>
      </w:pPr>
      <w:proofErr w:type="gramStart"/>
      <w:r w:rsidRPr="00A74313">
        <w:rPr>
          <w:i w:val="0"/>
        </w:rPr>
        <w:t>and</w:t>
      </w:r>
      <w:proofErr w:type="gramEnd"/>
    </w:p>
    <w:p w:rsidR="008B3300" w:rsidRDefault="008B3300" w:rsidP="00A74313">
      <w:pPr>
        <w:pStyle w:val="SCCLsocParty"/>
        <w:jc w:val="center"/>
      </w:pPr>
      <w:r>
        <w:t xml:space="preserve">Joseph William </w:t>
      </w:r>
      <w:proofErr w:type="spellStart"/>
      <w:r>
        <w:t>Moloney</w:t>
      </w:r>
      <w:proofErr w:type="spellEnd"/>
    </w:p>
    <w:p w:rsidR="008B3300" w:rsidRDefault="008B3300" w:rsidP="00A74313">
      <w:pPr>
        <w:jc w:val="center"/>
      </w:pPr>
      <w:r>
        <w:t>Respondent</w:t>
      </w:r>
    </w:p>
    <w:p w:rsidR="008B3300" w:rsidRDefault="008B3300" w:rsidP="00A74313">
      <w:pPr>
        <w:pStyle w:val="SCCLsocOtherPartySeparator"/>
        <w:spacing w:after="0"/>
        <w:jc w:val="center"/>
      </w:pPr>
      <w:r>
        <w:t xml:space="preserve">- </w:t>
      </w:r>
      <w:proofErr w:type="gramStart"/>
      <w:r>
        <w:t>and</w:t>
      </w:r>
      <w:proofErr w:type="gramEnd"/>
      <w:r>
        <w:t xml:space="preserve"> -</w:t>
      </w:r>
    </w:p>
    <w:p w:rsidR="008B3300" w:rsidRDefault="008B3300" w:rsidP="00A74313">
      <w:pPr>
        <w:pStyle w:val="SCCLsocParty"/>
        <w:jc w:val="center"/>
      </w:pPr>
      <w:r>
        <w:t>Attorney General of Ontario, Attorney General of Quebec,</w:t>
      </w:r>
    </w:p>
    <w:p w:rsidR="008B3300" w:rsidRDefault="008B3300" w:rsidP="00A74313">
      <w:pPr>
        <w:pStyle w:val="SCCLsocParty"/>
        <w:jc w:val="center"/>
      </w:pPr>
      <w:r>
        <w:t>Attorney General of British Columbia, Attorney General for</w:t>
      </w:r>
    </w:p>
    <w:p w:rsidR="008B3300" w:rsidRDefault="008B3300" w:rsidP="00A74313">
      <w:pPr>
        <w:pStyle w:val="SCCLsocParty"/>
        <w:jc w:val="center"/>
      </w:pPr>
      <w:r>
        <w:t>Saskatchewan and Superintendent of Bankruptcy</w:t>
      </w:r>
    </w:p>
    <w:p w:rsidR="008B3300" w:rsidRDefault="008B3300" w:rsidP="00A74313">
      <w:pPr>
        <w:jc w:val="center"/>
      </w:pPr>
      <w:r>
        <w:t>Interveners</w:t>
      </w:r>
    </w:p>
    <w:p w:rsidR="008B3300" w:rsidRDefault="008B3300" w:rsidP="008B3300"/>
    <w:p w:rsidR="008B3300" w:rsidRPr="006B210C" w:rsidRDefault="008B3300" w:rsidP="008B3300"/>
    <w:p w:rsidR="008B3300" w:rsidRPr="006B210C" w:rsidRDefault="008B3300" w:rsidP="008B3300">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w:t>
      </w:r>
      <w:r w:rsidRPr="008D1E33">
        <w:t xml:space="preserve">Rothstein, Cromwell, </w:t>
      </w:r>
      <w:proofErr w:type="spellStart"/>
      <w:r w:rsidRPr="008D1E33">
        <w:t>Moldaver</w:t>
      </w:r>
      <w:proofErr w:type="spellEnd"/>
      <w:r w:rsidRPr="008D1E33">
        <w:t xml:space="preserve">, </w:t>
      </w:r>
      <w:proofErr w:type="spellStart"/>
      <w:r w:rsidRPr="008D1E33">
        <w:t>Karakatsanis</w:t>
      </w:r>
      <w:proofErr w:type="spellEnd"/>
      <w:r w:rsidRPr="008D1E33">
        <w:t>, Wagner</w:t>
      </w:r>
      <w:r>
        <w:t xml:space="preserve">, </w:t>
      </w:r>
      <w:proofErr w:type="spellStart"/>
      <w:r>
        <w:t>Gascon</w:t>
      </w:r>
      <w:proofErr w:type="spellEnd"/>
      <w:r>
        <w:t xml:space="preserve"> and </w:t>
      </w:r>
      <w:proofErr w:type="spellStart"/>
      <w:r>
        <w:t>Côté</w:t>
      </w:r>
      <w:proofErr w:type="spellEnd"/>
      <w:r>
        <w:t> JJ.</w:t>
      </w:r>
    </w:p>
    <w:p w:rsidR="008B3300" w:rsidRPr="006B210C" w:rsidRDefault="008B3300" w:rsidP="008B33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B3300" w:rsidRPr="005D55C8" w:rsidTr="00F045EF">
        <w:trPr>
          <w:cantSplit/>
        </w:trPr>
        <w:tc>
          <w:tcPr>
            <w:tcW w:w="3618" w:type="dxa"/>
          </w:tcPr>
          <w:p w:rsidR="008B3300" w:rsidRDefault="008B3300" w:rsidP="00F045EF">
            <w:pPr>
              <w:rPr>
                <w:b/>
                <w:smallCaps/>
              </w:rPr>
            </w:pPr>
            <w:r w:rsidRPr="006B210C">
              <w:rPr>
                <w:b/>
                <w:smallCaps/>
              </w:rPr>
              <w:t>Reasons for Judgment</w:t>
            </w:r>
            <w:r>
              <w:rPr>
                <w:b/>
                <w:smallCaps/>
              </w:rPr>
              <w:t>:</w:t>
            </w:r>
          </w:p>
          <w:p w:rsidR="008B3300" w:rsidRDefault="008B3300" w:rsidP="00F045EF">
            <w:pPr>
              <w:rPr>
                <w:b/>
                <w:smallCaps/>
              </w:rPr>
            </w:pPr>
            <w:r>
              <w:t>(paras. 1 to 90)</w:t>
            </w:r>
          </w:p>
          <w:p w:rsidR="008B3300" w:rsidRDefault="008B3300" w:rsidP="00F045EF">
            <w:pPr>
              <w:rPr>
                <w:b/>
                <w:smallCaps/>
              </w:rPr>
            </w:pPr>
          </w:p>
          <w:p w:rsidR="008B3300" w:rsidRDefault="008B3300" w:rsidP="00F045EF">
            <w:pPr>
              <w:rPr>
                <w:b/>
                <w:smallCaps/>
              </w:rPr>
            </w:pPr>
            <w:r w:rsidRPr="008D1E33">
              <w:rPr>
                <w:b/>
                <w:smallCaps/>
              </w:rPr>
              <w:t>Reasons Concurring in the Result:</w:t>
            </w:r>
          </w:p>
          <w:p w:rsidR="008B3300" w:rsidRPr="006B210C" w:rsidRDefault="008B3300" w:rsidP="00F045EF">
            <w:r w:rsidRPr="003534F9">
              <w:t xml:space="preserve">(paras. </w:t>
            </w:r>
            <w:r>
              <w:t>91</w:t>
            </w:r>
            <w:r w:rsidRPr="003534F9">
              <w:t xml:space="preserve"> to </w:t>
            </w:r>
            <w:r>
              <w:t>133</w:t>
            </w:r>
            <w:r w:rsidRPr="003534F9">
              <w:t>)</w:t>
            </w:r>
          </w:p>
        </w:tc>
        <w:tc>
          <w:tcPr>
            <w:tcW w:w="5958" w:type="dxa"/>
          </w:tcPr>
          <w:p w:rsidR="008B3300" w:rsidRDefault="008B3300" w:rsidP="00F045EF">
            <w:proofErr w:type="spellStart"/>
            <w:r>
              <w:t>Gascon</w:t>
            </w:r>
            <w:proofErr w:type="spellEnd"/>
            <w:r>
              <w:t xml:space="preserve"> J.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 concurring)</w:t>
            </w:r>
          </w:p>
          <w:p w:rsidR="008B3300" w:rsidRDefault="008B3300" w:rsidP="00F045EF"/>
          <w:p w:rsidR="008B3300" w:rsidRPr="008D1E33" w:rsidRDefault="008B3300" w:rsidP="00F045EF">
            <w:pPr>
              <w:rPr>
                <w:lang w:val="fr-CA"/>
              </w:rPr>
            </w:pPr>
            <w:r w:rsidRPr="008D1E33">
              <w:rPr>
                <w:lang w:val="fr-CA"/>
              </w:rPr>
              <w:t>Côté J. (</w:t>
            </w:r>
            <w:proofErr w:type="spellStart"/>
            <w:r w:rsidRPr="008D1E33">
              <w:rPr>
                <w:lang w:val="fr-CA"/>
              </w:rPr>
              <w:t>McLachlin</w:t>
            </w:r>
            <w:proofErr w:type="spellEnd"/>
            <w:r w:rsidRPr="008D1E33">
              <w:rPr>
                <w:lang w:val="fr-CA"/>
              </w:rPr>
              <w:t xml:space="preserve"> C.J. </w:t>
            </w:r>
            <w:proofErr w:type="spellStart"/>
            <w:r w:rsidRPr="008D1E33">
              <w:rPr>
                <w:lang w:val="fr-CA"/>
              </w:rPr>
              <w:t>concurring</w:t>
            </w:r>
            <w:proofErr w:type="spellEnd"/>
            <w:r w:rsidRPr="008D1E33">
              <w:rPr>
                <w:lang w:val="fr-CA"/>
              </w:rPr>
              <w:t>)</w:t>
            </w:r>
          </w:p>
        </w:tc>
      </w:tr>
    </w:tbl>
    <w:p w:rsidR="008B3300" w:rsidRPr="008D1E33" w:rsidRDefault="008B3300" w:rsidP="008B3300">
      <w:pPr>
        <w:rPr>
          <w:lang w:val="fr-CA"/>
        </w:rPr>
      </w:pPr>
    </w:p>
    <w:p w:rsidR="008B3300" w:rsidRPr="006B210C" w:rsidRDefault="008B3300" w:rsidP="008B3300">
      <w:r>
        <w:rPr>
          <w:noProof/>
          <w:lang w:val="en-US"/>
        </w:rPr>
        <mc:AlternateContent>
          <mc:Choice Requires="wps">
            <w:drawing>
              <wp:anchor distT="0" distB="0" distL="114300" distR="114300" simplePos="0" relativeHeight="251659264" behindDoc="0" locked="0" layoutInCell="1" allowOverlap="1" wp14:anchorId="345B2F92" wp14:editId="293CB29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9BA2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B3300" w:rsidRDefault="008B3300" w:rsidP="001B50FA">
      <w:pPr>
        <w:widowControl w:val="0"/>
        <w:spacing w:after="720"/>
        <w:jc w:val="both"/>
        <w:rPr>
          <w:rStyle w:val="SCCAppellantForRunningHeadChar"/>
          <w:smallCaps w:val="0"/>
        </w:rPr>
      </w:pPr>
    </w:p>
    <w:p w:rsidR="00FD3770" w:rsidRPr="00F42F94" w:rsidRDefault="00F42F94" w:rsidP="001B50FA">
      <w:pPr>
        <w:widowControl w:val="0"/>
        <w:spacing w:after="720"/>
        <w:jc w:val="both"/>
        <w:rPr>
          <w:smallCaps/>
        </w:rPr>
      </w:pPr>
      <w:r>
        <w:rPr>
          <w:rStyle w:val="SCCAppellantForRunningHeadChar"/>
          <w:smallCaps w:val="0"/>
        </w:rPr>
        <w:t>Alberta (Attorney G</w:t>
      </w:r>
      <w:r w:rsidR="00FD3770" w:rsidRPr="00F42F94">
        <w:rPr>
          <w:rStyle w:val="SCCAppellantForRunningHeadChar"/>
          <w:smallCaps w:val="0"/>
        </w:rPr>
        <w:t>eneral)</w:t>
      </w:r>
      <w:r w:rsidR="00FD3770" w:rsidRPr="00F42F94">
        <w:rPr>
          <w:smallCaps/>
        </w:rPr>
        <w:t xml:space="preserve"> </w:t>
      </w:r>
      <w:r w:rsidR="00FD3770" w:rsidRPr="00F42F94">
        <w:rPr>
          <w:i/>
        </w:rPr>
        <w:t>v.</w:t>
      </w:r>
      <w:r w:rsidR="00FD3770" w:rsidRPr="00F42F94">
        <w:rPr>
          <w:smallCaps/>
        </w:rPr>
        <w:t xml:space="preserve"> </w:t>
      </w:r>
      <w:proofErr w:type="spellStart"/>
      <w:r>
        <w:rPr>
          <w:rStyle w:val="SCCRespondentForRunningHeadChar"/>
          <w:smallCaps w:val="0"/>
        </w:rPr>
        <w:t>M</w:t>
      </w:r>
      <w:r w:rsidR="00FD3770" w:rsidRPr="00F42F94">
        <w:rPr>
          <w:rStyle w:val="SCCRespondentForRunningHeadChar"/>
          <w:smallCaps w:val="0"/>
        </w:rPr>
        <w:t>oloney</w:t>
      </w:r>
      <w:proofErr w:type="spellEnd"/>
      <w:r>
        <w:rPr>
          <w:rStyle w:val="SCCRespondentForRunningHeadChar"/>
          <w:smallCaps w:val="0"/>
        </w:rPr>
        <w:t xml:space="preserve">, </w:t>
      </w:r>
      <w:r w:rsidRPr="003D1D39">
        <w:t>2015 SCC 51</w:t>
      </w:r>
      <w:r>
        <w:t>, [2015] 3 S.C.R. 327</w:t>
      </w:r>
    </w:p>
    <w:p w:rsidR="00FD3770" w:rsidRPr="003D1D39" w:rsidRDefault="00FD3770" w:rsidP="001B50FA">
      <w:pPr>
        <w:pStyle w:val="SCCLsocLastPartyInRole"/>
        <w:widowControl w:val="0"/>
      </w:pPr>
      <w:r w:rsidRPr="003D1D39">
        <w:t>Attorney General of Alberta</w:t>
      </w:r>
      <w:r w:rsidRPr="003D1D39">
        <w:rPr>
          <w:rStyle w:val="SCCLsocPartyRole"/>
        </w:rPr>
        <w:tab/>
        <w:t>Appellant</w:t>
      </w:r>
    </w:p>
    <w:p w:rsidR="00FD3770" w:rsidRPr="003D1D39" w:rsidRDefault="00FD3770" w:rsidP="001B50FA">
      <w:pPr>
        <w:pStyle w:val="SCCLsocVersus"/>
        <w:widowControl w:val="0"/>
      </w:pPr>
      <w:proofErr w:type="gramStart"/>
      <w:r w:rsidRPr="003D1D39">
        <w:lastRenderedPageBreak/>
        <w:t>v</w:t>
      </w:r>
      <w:proofErr w:type="gramEnd"/>
      <w:r w:rsidRPr="003D1D39">
        <w:t>.</w:t>
      </w:r>
    </w:p>
    <w:p w:rsidR="00FD3770" w:rsidRPr="003D1D39" w:rsidRDefault="00FD3770" w:rsidP="001B50FA">
      <w:pPr>
        <w:pStyle w:val="SCCLsocLastPartyInRole"/>
        <w:widowControl w:val="0"/>
      </w:pPr>
      <w:r w:rsidRPr="003D1D39">
        <w:t xml:space="preserve">Joseph William </w:t>
      </w:r>
      <w:proofErr w:type="spellStart"/>
      <w:r w:rsidRPr="003D1D39">
        <w:t>Moloney</w:t>
      </w:r>
      <w:proofErr w:type="spellEnd"/>
      <w:r w:rsidRPr="003D1D39">
        <w:rPr>
          <w:rStyle w:val="SCCLsocPartyRole"/>
        </w:rPr>
        <w:tab/>
        <w:t>Respondent</w:t>
      </w:r>
    </w:p>
    <w:p w:rsidR="00FD3770" w:rsidRPr="003D1D39" w:rsidRDefault="00FD3770" w:rsidP="001B50FA">
      <w:pPr>
        <w:pStyle w:val="SCCLsocOtherPartySeparator"/>
        <w:widowControl w:val="0"/>
      </w:pPr>
      <w:proofErr w:type="gramStart"/>
      <w:r w:rsidRPr="003D1D39">
        <w:t>and</w:t>
      </w:r>
      <w:proofErr w:type="gramEnd"/>
    </w:p>
    <w:p w:rsidR="00FD3770" w:rsidRPr="003D1D39" w:rsidRDefault="00FD3770" w:rsidP="001B50FA">
      <w:pPr>
        <w:pStyle w:val="SCCLsocParty"/>
        <w:widowControl w:val="0"/>
      </w:pPr>
      <w:r w:rsidRPr="003D1D39">
        <w:t>Attorney General of Ontario,</w:t>
      </w:r>
    </w:p>
    <w:p w:rsidR="00FD3770" w:rsidRPr="003D1D39" w:rsidRDefault="00FD3770" w:rsidP="001B50FA">
      <w:pPr>
        <w:pStyle w:val="SCCLsocParty"/>
        <w:widowControl w:val="0"/>
      </w:pPr>
      <w:r w:rsidRPr="003D1D39">
        <w:t>Attorney General of Quebec,</w:t>
      </w:r>
    </w:p>
    <w:p w:rsidR="00FD3770" w:rsidRPr="003D1D39" w:rsidRDefault="00FD3770" w:rsidP="001B50FA">
      <w:pPr>
        <w:pStyle w:val="SCCLsocParty"/>
        <w:widowControl w:val="0"/>
      </w:pPr>
      <w:r w:rsidRPr="003D1D39">
        <w:t>Attorney General of British Columbia,</w:t>
      </w:r>
    </w:p>
    <w:p w:rsidR="00FD3770" w:rsidRPr="003D1D39" w:rsidRDefault="00FD3770" w:rsidP="001B50FA">
      <w:pPr>
        <w:pStyle w:val="SCCLsocParty"/>
        <w:widowControl w:val="0"/>
      </w:pPr>
      <w:r w:rsidRPr="003D1D39">
        <w:t>Attorney General for Saskatchewan and</w:t>
      </w:r>
    </w:p>
    <w:p w:rsidR="00FD3770" w:rsidRPr="003D1D39" w:rsidRDefault="00FD3770" w:rsidP="001B50FA">
      <w:pPr>
        <w:pStyle w:val="SCCLsocLastPartyInRole"/>
        <w:widowControl w:val="0"/>
      </w:pPr>
      <w:r w:rsidRPr="003D1D39">
        <w:t>Superintendent of Bankruptcy</w:t>
      </w:r>
      <w:r w:rsidRPr="003D1D39">
        <w:rPr>
          <w:rStyle w:val="SCCLsocPartyRole"/>
        </w:rPr>
        <w:tab/>
        <w:t>Interveners</w:t>
      </w:r>
    </w:p>
    <w:p w:rsidR="00FD3770" w:rsidRPr="003D1D39" w:rsidRDefault="00FD3770" w:rsidP="001B50FA">
      <w:pPr>
        <w:widowControl w:val="0"/>
        <w:spacing w:after="720"/>
        <w:jc w:val="both"/>
        <w:rPr>
          <w:b/>
        </w:rPr>
      </w:pPr>
      <w:r w:rsidRPr="003D1D39">
        <w:rPr>
          <w:b/>
        </w:rPr>
        <w:t>Indexed as: Alberta (</w:t>
      </w:r>
      <w:r w:rsidRPr="003D1D39">
        <w:rPr>
          <w:rStyle w:val="SCCAppellantForIndexChar"/>
        </w:rPr>
        <w:t>Attorney General)</w:t>
      </w:r>
      <w:r w:rsidRPr="003D1D39">
        <w:rPr>
          <w:b/>
        </w:rPr>
        <w:t xml:space="preserve"> </w:t>
      </w:r>
      <w:r w:rsidRPr="003D1D39">
        <w:rPr>
          <w:b/>
          <w:i/>
        </w:rPr>
        <w:t>v.</w:t>
      </w:r>
      <w:r w:rsidRPr="003D1D39">
        <w:rPr>
          <w:b/>
        </w:rPr>
        <w:t xml:space="preserve"> </w:t>
      </w:r>
      <w:proofErr w:type="spellStart"/>
      <w:r w:rsidRPr="003D1D39">
        <w:rPr>
          <w:rStyle w:val="SCCRespondentForIndexChar"/>
        </w:rPr>
        <w:t>Moloney</w:t>
      </w:r>
      <w:proofErr w:type="spellEnd"/>
    </w:p>
    <w:p w:rsidR="00FD3770" w:rsidRPr="003D1D39" w:rsidRDefault="00FD3770" w:rsidP="001B50FA">
      <w:pPr>
        <w:pStyle w:val="SCCSystemYear"/>
        <w:widowControl w:val="0"/>
        <w:spacing w:after="720"/>
        <w:jc w:val="both"/>
      </w:pPr>
      <w:r w:rsidRPr="003D1D39">
        <w:t>2015 SCC 51</w:t>
      </w:r>
    </w:p>
    <w:p w:rsidR="00FD3770" w:rsidRPr="003D1D39" w:rsidRDefault="00FD3770" w:rsidP="001B50FA">
      <w:pPr>
        <w:widowControl w:val="0"/>
        <w:spacing w:after="720"/>
        <w:jc w:val="both"/>
      </w:pPr>
      <w:r w:rsidRPr="003D1D39">
        <w:t>File No.: 35820.</w:t>
      </w:r>
    </w:p>
    <w:p w:rsidR="00FD3770" w:rsidRPr="003D1D39" w:rsidRDefault="00FD3770" w:rsidP="001B50FA">
      <w:pPr>
        <w:widowControl w:val="0"/>
        <w:spacing w:after="720"/>
        <w:jc w:val="both"/>
      </w:pPr>
      <w:r w:rsidRPr="003D1D39">
        <w:t>2015: January 15; 2015: November 13.</w:t>
      </w:r>
    </w:p>
    <w:p w:rsidR="00FD3770" w:rsidRPr="003D1D39" w:rsidRDefault="00FD3770" w:rsidP="001B50FA">
      <w:pPr>
        <w:widowControl w:val="0"/>
        <w:spacing w:after="720"/>
        <w:jc w:val="both"/>
      </w:pPr>
      <w:r w:rsidRPr="003D1D39">
        <w:t xml:space="preserve">Present: McLachlin C.J. and </w:t>
      </w:r>
      <w:proofErr w:type="spellStart"/>
      <w:r w:rsidRPr="003D1D39">
        <w:t>Abella</w:t>
      </w:r>
      <w:proofErr w:type="spellEnd"/>
      <w:r w:rsidRPr="003D1D39">
        <w:t xml:space="preserve">, Rothstein, Cromwell, </w:t>
      </w:r>
      <w:proofErr w:type="spellStart"/>
      <w:r w:rsidRPr="003D1D39">
        <w:t>Moldaver</w:t>
      </w:r>
      <w:proofErr w:type="spellEnd"/>
      <w:r w:rsidRPr="003D1D39">
        <w:t xml:space="preserve">, </w:t>
      </w:r>
      <w:proofErr w:type="spellStart"/>
      <w:r w:rsidRPr="003D1D39">
        <w:t>Karakatsanis</w:t>
      </w:r>
      <w:proofErr w:type="spellEnd"/>
      <w:r w:rsidRPr="003D1D39">
        <w:t xml:space="preserve">, Wagner, </w:t>
      </w:r>
      <w:proofErr w:type="spellStart"/>
      <w:r w:rsidRPr="003D1D39">
        <w:t>Gascon</w:t>
      </w:r>
      <w:proofErr w:type="spellEnd"/>
      <w:r w:rsidRPr="003D1D39">
        <w:t xml:space="preserve"> and </w:t>
      </w:r>
      <w:proofErr w:type="spellStart"/>
      <w:r w:rsidRPr="003D1D39">
        <w:t>Côté</w:t>
      </w:r>
      <w:proofErr w:type="spellEnd"/>
      <w:r w:rsidRPr="003D1D39">
        <w:t> JJ.</w:t>
      </w:r>
    </w:p>
    <w:p w:rsidR="00FD3770" w:rsidRPr="003D1D39" w:rsidRDefault="00FD3770" w:rsidP="001B50FA">
      <w:pPr>
        <w:pStyle w:val="SCCLowerCourtNameLowercase"/>
        <w:widowControl w:val="0"/>
        <w:spacing w:after="720" w:line="240" w:lineRule="auto"/>
      </w:pPr>
      <w:r w:rsidRPr="003D1D39">
        <w:t xml:space="preserve">on appeal from the court of appeal for </w:t>
      </w:r>
      <w:proofErr w:type="spellStart"/>
      <w:r w:rsidRPr="003D1D39">
        <w:t>alberta</w:t>
      </w:r>
      <w:proofErr w:type="spellEnd"/>
    </w:p>
    <w:p w:rsidR="00FD3770" w:rsidRPr="003D1D39" w:rsidRDefault="00FD3770" w:rsidP="001B50FA">
      <w:pPr>
        <w:pStyle w:val="SCCNormalDoubleSpacing"/>
        <w:widowControl w:val="0"/>
        <w:spacing w:after="480"/>
        <w:rPr>
          <w:i/>
        </w:rPr>
      </w:pPr>
      <w:bookmarkStart w:id="1" w:name="_Toc412109569"/>
      <w:r w:rsidRPr="003D1D39">
        <w:rPr>
          <w:rFonts w:eastAsiaTheme="minorEastAsia"/>
          <w:szCs w:val="22"/>
        </w:rPr>
        <w:tab/>
      </w:r>
      <w:r w:rsidRPr="003D1D39">
        <w:rPr>
          <w:i/>
          <w:iCs/>
          <w:lang w:val="en"/>
        </w:rPr>
        <w:t xml:space="preserve">Constitutional law — Division of powers — Federal paramountcy — Bankruptcy and insolvency — Property and civil rights — Judgment debt owed to </w:t>
      </w:r>
      <w:r w:rsidRPr="003D1D39">
        <w:rPr>
          <w:i/>
          <w:iCs/>
          <w:lang w:val="en"/>
        </w:rPr>
        <w:lastRenderedPageBreak/>
        <w:t xml:space="preserve">province constituted claim provable in debtor’s bankruptcy — Debtor obtained absolute discharge in bankruptcy — Federal legislation governing bankruptcy providing for debtor’s release </w:t>
      </w:r>
      <w:r w:rsidRPr="003D1D39">
        <w:rPr>
          <w:i/>
        </w:rPr>
        <w:t xml:space="preserve">from all claims provable in bankruptcy </w:t>
      </w:r>
      <w:r w:rsidRPr="003D1D39">
        <w:rPr>
          <w:i/>
          <w:iCs/>
          <w:lang w:val="en"/>
        </w:rPr>
        <w:t>upon discharge — Whether provincial legislation providing for continuing suspension of debtor’s driver’s</w:t>
      </w:r>
      <w:r w:rsidRPr="003D1D39">
        <w:t xml:space="preserve"> </w:t>
      </w:r>
      <w:r w:rsidRPr="003D1D39">
        <w:rPr>
          <w:i/>
        </w:rPr>
        <w:t xml:space="preserve">licence and motor vehicle permits until payment of judgment debt </w:t>
      </w:r>
      <w:r w:rsidRPr="003D1D39">
        <w:rPr>
          <w:i/>
          <w:iCs/>
          <w:lang w:val="en"/>
        </w:rPr>
        <w:t xml:space="preserve">constitutionally inoperative by reason of doctrine of federal paramountcy — Test for determining whether </w:t>
      </w:r>
      <w:r w:rsidRPr="003D1D39">
        <w:rPr>
          <w:i/>
        </w:rPr>
        <w:t>operational conflict exists</w:t>
      </w:r>
      <w:r w:rsidRPr="003D1D39">
        <w:rPr>
          <w:i/>
          <w:iCs/>
          <w:lang w:val="en"/>
        </w:rPr>
        <w:t xml:space="preserve"> — Whether federal and provincial legislation can operate side by side without conflict — Whether operation of provincial law frustrates purpose of federal law — </w:t>
      </w:r>
      <w:r w:rsidRPr="003D1D39">
        <w:rPr>
          <w:i/>
        </w:rPr>
        <w:t>Bankruptcy and Insolvency Act</w:t>
      </w:r>
      <w:r w:rsidRPr="00F144B0">
        <w:rPr>
          <w:i/>
        </w:rPr>
        <w:t xml:space="preserve">, </w:t>
      </w:r>
      <w:r w:rsidRPr="003D1D39">
        <w:rPr>
          <w:i/>
        </w:rPr>
        <w:t>R.S.C. 1985, c. B</w:t>
      </w:r>
      <w:r w:rsidRPr="003D1D39">
        <w:rPr>
          <w:i/>
        </w:rPr>
        <w:noBreakHyphen/>
        <w:t>3, s. 178(2)</w:t>
      </w:r>
      <w:r w:rsidRPr="003D1D39">
        <w:t xml:space="preserve"> </w:t>
      </w:r>
      <w:r w:rsidRPr="003D1D39">
        <w:rPr>
          <w:i/>
          <w:iCs/>
          <w:lang w:val="en"/>
        </w:rPr>
        <w:t xml:space="preserve">— </w:t>
      </w:r>
      <w:r w:rsidRPr="003D1D39">
        <w:rPr>
          <w:i/>
        </w:rPr>
        <w:t>Traffic Safety Act, R.S.A. 2000, c. T</w:t>
      </w:r>
      <w:r w:rsidRPr="003D1D39">
        <w:rPr>
          <w:i/>
        </w:rPr>
        <w:noBreakHyphen/>
        <w:t>6, s. 102.</w:t>
      </w:r>
    </w:p>
    <w:p w:rsidR="00FD3770" w:rsidRPr="003D1D39" w:rsidRDefault="00FD3770" w:rsidP="001B50FA">
      <w:pPr>
        <w:pStyle w:val="SCCNormalDoubleSpacing"/>
        <w:widowControl w:val="0"/>
        <w:spacing w:after="480"/>
        <w:rPr>
          <w:i/>
        </w:rPr>
      </w:pPr>
      <w:r w:rsidRPr="003D1D39">
        <w:tab/>
        <w:t xml:space="preserve">M caused a car accident while he was uninsured. The province of Alberta compensated an individual injured in the accident and sought to recover the amount of the compensation from M. Section 102 of Alberta’s </w:t>
      </w:r>
      <w:r w:rsidRPr="003D1D39">
        <w:rPr>
          <w:i/>
        </w:rPr>
        <w:t>Traffic Safety Act</w:t>
      </w:r>
      <w:r w:rsidRPr="003D1D39">
        <w:t xml:space="preserve"> (“</w:t>
      </w:r>
      <w:r w:rsidRPr="003D1D39">
        <w:rPr>
          <w:i/>
        </w:rPr>
        <w:t>TSA</w:t>
      </w:r>
      <w:r w:rsidRPr="003D1D39">
        <w:t xml:space="preserve">”) allows the province to suspend M’s licence and permits until he pays the amount of the compensation. M made an assignment in bankruptcy and was eventually discharged. He listed the province’s claim in his Statement of Affairs. The debt was a claim provable in bankruptcy. Section 178(2) of the </w:t>
      </w:r>
      <w:r w:rsidRPr="003D1D39">
        <w:rPr>
          <w:i/>
        </w:rPr>
        <w:t>Bankruptcy and Insolvency Act</w:t>
      </w:r>
      <w:r w:rsidRPr="003D1D39">
        <w:t xml:space="preserve"> (“</w:t>
      </w:r>
      <w:r w:rsidRPr="003D1D39">
        <w:rPr>
          <w:i/>
        </w:rPr>
        <w:t>BIA</w:t>
      </w:r>
      <w:r w:rsidRPr="003D1D39">
        <w:t>”) provides that, upon discharge, M is released from all debts that are claims provable in bankruptcy. As a result of his bankruptcy and discharge, M did not pay the amount of the compensation in full; because of this failure to pay, Alberta suspended his vehicle permits and driver’s licence.</w:t>
      </w:r>
      <w:r>
        <w:t xml:space="preserve"> </w:t>
      </w:r>
      <w:r w:rsidRPr="003D1D39">
        <w:t xml:space="preserve">M contested this suspension. The Court of Queen’s Bench </w:t>
      </w:r>
      <w:r w:rsidRPr="003D1D39">
        <w:lastRenderedPageBreak/>
        <w:t xml:space="preserve">and the Court of Appeal found that there was a conflict between the federal and provincial laws. Relying on the doctrine of federal paramountcy, they declared s. 102 of the </w:t>
      </w:r>
      <w:r w:rsidRPr="003D1D39">
        <w:rPr>
          <w:i/>
        </w:rPr>
        <w:t>TSA</w:t>
      </w:r>
      <w:r w:rsidRPr="003D1D39">
        <w:t xml:space="preserve"> to be inoperative to the extent of the conflict.</w:t>
      </w:r>
    </w:p>
    <w:p w:rsidR="00FD3770" w:rsidRPr="003D1D39" w:rsidRDefault="00FD3770" w:rsidP="001B50FA">
      <w:pPr>
        <w:pStyle w:val="SCCNormalDoubleSpacing"/>
        <w:widowControl w:val="0"/>
        <w:spacing w:after="480"/>
      </w:pPr>
      <w:r w:rsidRPr="003D1D39">
        <w:tab/>
      </w:r>
      <w:r w:rsidRPr="003D1D39">
        <w:rPr>
          <w:i/>
        </w:rPr>
        <w:t>Held</w:t>
      </w:r>
      <w:r w:rsidRPr="003D1D39">
        <w:t xml:space="preserve">: The appeal should be dismissed. Section 102 of the </w:t>
      </w:r>
      <w:r w:rsidRPr="003D1D39">
        <w:rPr>
          <w:i/>
        </w:rPr>
        <w:t>TSA</w:t>
      </w:r>
      <w:r w:rsidRPr="003D1D39">
        <w:t xml:space="preserve"> is constitutionally inoperative to the extent that it is used to enforce a debt discharged in bankruptcy.</w:t>
      </w:r>
    </w:p>
    <w:p w:rsidR="00FD3770" w:rsidRPr="003D1D39" w:rsidRDefault="00FD3770" w:rsidP="001B50FA">
      <w:pPr>
        <w:pStyle w:val="SCCNormalDoubleSpacing"/>
        <w:widowControl w:val="0"/>
        <w:spacing w:after="480"/>
        <w:rPr>
          <w:szCs w:val="24"/>
        </w:rPr>
      </w:pPr>
      <w:r w:rsidRPr="003D1D39">
        <w:tab/>
      </w:r>
      <w:r w:rsidRPr="003D1D39">
        <w:rPr>
          <w:i/>
        </w:rPr>
        <w:t>Per</w:t>
      </w:r>
      <w:r w:rsidRPr="003D1D39">
        <w:t xml:space="preserve"> </w:t>
      </w:r>
      <w:proofErr w:type="spellStart"/>
      <w:r w:rsidRPr="003D1D39">
        <w:t>Abella</w:t>
      </w:r>
      <w:proofErr w:type="spellEnd"/>
      <w:r w:rsidRPr="003D1D39">
        <w:t xml:space="preserve">, Rothstein, Cromwell, </w:t>
      </w:r>
      <w:proofErr w:type="spellStart"/>
      <w:r w:rsidRPr="003D1D39">
        <w:t>Moldaver</w:t>
      </w:r>
      <w:proofErr w:type="spellEnd"/>
      <w:r w:rsidRPr="003D1D39">
        <w:t xml:space="preserve">, </w:t>
      </w:r>
      <w:proofErr w:type="spellStart"/>
      <w:r w:rsidRPr="003D1D39">
        <w:t>Karakatsanis</w:t>
      </w:r>
      <w:proofErr w:type="spellEnd"/>
      <w:r w:rsidRPr="003D1D39">
        <w:t xml:space="preserve">, Wagner and </w:t>
      </w:r>
      <w:proofErr w:type="spellStart"/>
      <w:r w:rsidRPr="00F144B0">
        <w:t>Gascon</w:t>
      </w:r>
      <w:proofErr w:type="spellEnd"/>
      <w:r w:rsidRPr="00F144B0">
        <w:t> </w:t>
      </w:r>
      <w:r w:rsidRPr="003D1D39">
        <w:t xml:space="preserve">JJ.: In Canada, the federal and provincial levels of government must enact laws within the limits of their respective spheres of jurisdiction. It is often impossible however for one level of government to legislate effectively within its jurisdiction without affecting matters that are within the other level’s jurisdiction. </w:t>
      </w:r>
      <w:r w:rsidRPr="003D1D39">
        <w:rPr>
          <w:szCs w:val="24"/>
        </w:rPr>
        <w:t>In certain circumstances, the powers of one level of government must be protected against intrusions by the other level. To protect against such intrusions, the Court has developed various constitutional doctrines, including the doctrine of federal paramountcy. Under this doctrine, the federal law prevails when there is a genuine inconsistency between federal and provincial legislation, that is, when the operational effects of provincial legislation are incompatible with federal legislation. To determine whether such a conflict exists, first and foremost, it is necessary to ensure that the overlapping laws are independently valid.</w:t>
      </w:r>
      <w:r>
        <w:rPr>
          <w:szCs w:val="24"/>
        </w:rPr>
        <w:t xml:space="preserve"> </w:t>
      </w:r>
      <w:r w:rsidRPr="003D1D39">
        <w:rPr>
          <w:szCs w:val="24"/>
        </w:rPr>
        <w:t xml:space="preserve">If so, then the court must determine whether their concurrent operation results in a conflict. In this case, the impugned provisions </w:t>
      </w:r>
      <w:r w:rsidRPr="003D1D39">
        <w:rPr>
          <w:szCs w:val="24"/>
        </w:rPr>
        <w:lastRenderedPageBreak/>
        <w:t xml:space="preserve">are independently valid. The only question is whether their concurrent operation results in a conflict. </w:t>
      </w:r>
    </w:p>
    <w:p w:rsidR="00FD3770" w:rsidRPr="003D1D39" w:rsidRDefault="00FD3770" w:rsidP="001B50FA">
      <w:pPr>
        <w:pStyle w:val="SCCNormalDoubleSpacing"/>
        <w:widowControl w:val="0"/>
        <w:spacing w:after="480"/>
        <w:rPr>
          <w:szCs w:val="24"/>
        </w:rPr>
      </w:pPr>
      <w:r w:rsidRPr="003D1D39">
        <w:rPr>
          <w:szCs w:val="24"/>
        </w:rPr>
        <w:tab/>
        <w:t>A conflict will arise in one of two situations, which form the two branches of the paramountcy test: (1) there is an operational conflict because it is impossible to comply with both laws, or (2) although it is possible to comply with both laws, the operation of the provincial law frustrates the purpose of the federal enactment.</w:t>
      </w:r>
      <w:r>
        <w:rPr>
          <w:szCs w:val="24"/>
        </w:rPr>
        <w:t xml:space="preserve"> </w:t>
      </w:r>
      <w:r w:rsidRPr="003D1D39">
        <w:rPr>
          <w:szCs w:val="24"/>
        </w:rPr>
        <w:t>The first branch of the test has been described in the jurisprudence as actual conflict in operation as where one enactment says “yes” and the other says “no”. The question is whether both laws can operate side by side without conflict or</w:t>
      </w:r>
      <w:r w:rsidRPr="003D1D39">
        <w:rPr>
          <w:i/>
          <w:szCs w:val="24"/>
        </w:rPr>
        <w:t xml:space="preserve"> </w:t>
      </w:r>
      <w:r w:rsidRPr="003D1D39">
        <w:rPr>
          <w:szCs w:val="24"/>
        </w:rPr>
        <w:t>both laws can apply concurrently, and citizens can comply with either of them without violating the other.</w:t>
      </w:r>
      <w:r>
        <w:rPr>
          <w:szCs w:val="24"/>
        </w:rPr>
        <w:t xml:space="preserve"> </w:t>
      </w:r>
      <w:r w:rsidRPr="003D1D39">
        <w:rPr>
          <w:szCs w:val="24"/>
        </w:rPr>
        <w:t>T</w:t>
      </w:r>
      <w:r w:rsidRPr="003D1D39">
        <w:t>he assessment under this branch is not limited to the actual words or to the literal meaning of the words of the provisions at issue. Rather, the provisions must be read properly based on the modern approach to statutory interpretation. If there is no conflict under the first branch of the test, one may still be found under the second branch. The question under the second branch is whether operation of the provincial Act is compatible with the federal legislative purpose. The effect of the provincial law may frustrate the purpose of the federal law, even though it does not entail a direct violation of the federal law’s provisions.</w:t>
      </w:r>
    </w:p>
    <w:p w:rsidR="00FD3770" w:rsidRPr="003D1D39" w:rsidRDefault="00FD3770" w:rsidP="001B50FA">
      <w:pPr>
        <w:pStyle w:val="SCCNormalDoubleSpacing"/>
        <w:widowControl w:val="0"/>
        <w:spacing w:after="480"/>
      </w:pPr>
      <w:r w:rsidRPr="003D1D39">
        <w:rPr>
          <w:szCs w:val="24"/>
        </w:rPr>
        <w:tab/>
      </w:r>
      <w:r w:rsidRPr="003D1D39">
        <w:t>Under the first or the second branch of the test, the burden of proof rests on the party alleging the conflict. In keeping with co</w:t>
      </w:r>
      <w:r w:rsidRPr="003D1D39">
        <w:noBreakHyphen/>
        <w:t xml:space="preserve">operative federalism, the </w:t>
      </w:r>
      <w:r w:rsidRPr="003D1D39">
        <w:rPr>
          <w:szCs w:val="24"/>
        </w:rPr>
        <w:t xml:space="preserve">doctrine </w:t>
      </w:r>
      <w:r w:rsidRPr="003D1D39">
        <w:rPr>
          <w:szCs w:val="24"/>
        </w:rPr>
        <w:lastRenderedPageBreak/>
        <w:t xml:space="preserve">of paramountcy is applied with restraint. Absent a genuine inconsistency, courts will favour an interpretation of the federal legislation that allows the concurrent operation of both laws. A provincial intention to interfere with the federal jurisdiction is neither necessary nor sufficient. The focus is instead on the effect of the provincial law. </w:t>
      </w:r>
      <w:r w:rsidRPr="003D1D39">
        <w:t>Assessing the effect of the provincial law requires looking at the substance of the law, rather than its form. The province cannot do indirectly what it is precluded from doing directly.</w:t>
      </w:r>
    </w:p>
    <w:p w:rsidR="00FD3770" w:rsidRPr="003D1D39" w:rsidRDefault="00FD3770" w:rsidP="001B50FA">
      <w:pPr>
        <w:pStyle w:val="SCCNormalDoubleSpacing"/>
        <w:widowControl w:val="0"/>
        <w:spacing w:after="480"/>
      </w:pPr>
      <w:r w:rsidRPr="003D1D39">
        <w:rPr>
          <w:szCs w:val="24"/>
        </w:rPr>
        <w:tab/>
        <w:t xml:space="preserve">Parliament enacted the </w:t>
      </w:r>
      <w:r w:rsidRPr="003D1D39">
        <w:rPr>
          <w:i/>
          <w:szCs w:val="24"/>
        </w:rPr>
        <w:t>BIA</w:t>
      </w:r>
      <w:r w:rsidRPr="003D1D39">
        <w:rPr>
          <w:szCs w:val="24"/>
        </w:rPr>
        <w:t xml:space="preserve"> pursuant to its jurisdiction over matters of bankruptcy and insolvency. The </w:t>
      </w:r>
      <w:r w:rsidRPr="003D1D39">
        <w:rPr>
          <w:i/>
          <w:szCs w:val="24"/>
        </w:rPr>
        <w:t>BIA</w:t>
      </w:r>
      <w:r w:rsidRPr="003D1D39">
        <w:rPr>
          <w:szCs w:val="24"/>
        </w:rPr>
        <w:t xml:space="preserve"> furthers two purposes: the equitable distribution of the bankrupt’s assets among his or her creditors and the bankrupt’s financial rehabilitation. Equitable distribution of assets is achieved by requiring creditors wishing to enforce a claim provable in bankruptcy participate in one collective proceeding. Financial rehabilitation is achieved through the discharge of the bankrupt from all claims provable in bankruptcy. </w:t>
      </w:r>
      <w:r w:rsidRPr="003D1D39">
        <w:t xml:space="preserve">From the perspective of the creditors, the discharge means they are unable to enforce their provable claims. </w:t>
      </w:r>
    </w:p>
    <w:p w:rsidR="00FD3770" w:rsidRPr="003D1D39" w:rsidRDefault="00FD3770" w:rsidP="001B50FA">
      <w:pPr>
        <w:pStyle w:val="SCCNormalDoubleSpacing"/>
        <w:widowControl w:val="0"/>
        <w:spacing w:after="480"/>
        <w:rPr>
          <w:szCs w:val="24"/>
        </w:rPr>
      </w:pPr>
      <w:r w:rsidRPr="003D1D39">
        <w:rPr>
          <w:szCs w:val="24"/>
        </w:rPr>
        <w:tab/>
        <w:t>Provincial legislatures have the power to legislate with regard to property and civil rights. T</w:t>
      </w:r>
      <w:r w:rsidRPr="003D1D39">
        <w:t>his power includes traffic regulation and the authority to set conditions for driver’s licences and vehicle permits</w:t>
      </w:r>
      <w:r w:rsidRPr="003D1D39">
        <w:rPr>
          <w:szCs w:val="24"/>
        </w:rPr>
        <w:t xml:space="preserve">. The </w:t>
      </w:r>
      <w:r w:rsidRPr="003D1D39">
        <w:rPr>
          <w:i/>
          <w:szCs w:val="24"/>
        </w:rPr>
        <w:t>TSA</w:t>
      </w:r>
      <w:r w:rsidRPr="003D1D39">
        <w:rPr>
          <w:szCs w:val="24"/>
        </w:rPr>
        <w:t xml:space="preserve"> is a comprehensive legislative scheme for traffic regulation. A victim injured in an accident may sue for damages. If successful but the uninsured driver does not pay, the victim may apply to </w:t>
      </w:r>
      <w:r w:rsidRPr="003D1D39">
        <w:rPr>
          <w:szCs w:val="24"/>
        </w:rPr>
        <w:lastRenderedPageBreak/>
        <w:t xml:space="preserve">the Administrator under the </w:t>
      </w:r>
      <w:r w:rsidRPr="003D1D39">
        <w:rPr>
          <w:i/>
          <w:szCs w:val="24"/>
        </w:rPr>
        <w:t>Motor Vehicle Accident Claims Act</w:t>
      </w:r>
      <w:r w:rsidRPr="003D1D39">
        <w:rPr>
          <w:szCs w:val="24"/>
        </w:rPr>
        <w:t xml:space="preserve"> (“</w:t>
      </w:r>
      <w:r w:rsidRPr="003D1D39">
        <w:rPr>
          <w:i/>
          <w:szCs w:val="24"/>
        </w:rPr>
        <w:t>MVACA</w:t>
      </w:r>
      <w:r w:rsidRPr="003D1D39">
        <w:rPr>
          <w:szCs w:val="24"/>
        </w:rPr>
        <w:t>”) for compensation in the amount of the unsatisfied judgment and the judgment is then assigned to the Administrator</w:t>
      </w:r>
      <w:r w:rsidRPr="003D1D39">
        <w:t>.</w:t>
      </w:r>
      <w:r w:rsidRPr="003D1D39">
        <w:rPr>
          <w:szCs w:val="24"/>
        </w:rPr>
        <w:t xml:space="preserve"> Section 102 of the </w:t>
      </w:r>
      <w:r w:rsidRPr="003D1D39">
        <w:rPr>
          <w:i/>
          <w:szCs w:val="24"/>
        </w:rPr>
        <w:t>TSA</w:t>
      </w:r>
      <w:r w:rsidRPr="003D1D39">
        <w:rPr>
          <w:szCs w:val="24"/>
        </w:rPr>
        <w:t xml:space="preserve">, which complements the </w:t>
      </w:r>
      <w:r w:rsidRPr="003D1D39">
        <w:rPr>
          <w:i/>
          <w:szCs w:val="24"/>
        </w:rPr>
        <w:t>MVACA</w:t>
      </w:r>
      <w:r w:rsidRPr="003D1D39">
        <w:rPr>
          <w:szCs w:val="24"/>
        </w:rPr>
        <w:t xml:space="preserve"> program, allows the Registrar </w:t>
      </w:r>
      <w:r w:rsidRPr="003D1D39">
        <w:t xml:space="preserve">of Motor Vehicle Services </w:t>
      </w:r>
      <w:r w:rsidRPr="003D1D39">
        <w:rPr>
          <w:szCs w:val="24"/>
        </w:rPr>
        <w:t xml:space="preserve">to suspend the debtor’s driver’s licence and vehicle permits until the judgment debt is paid or periodic payments in satisfaction of the judgment are being made. It is, in substance, a debt collection mechanism. Since the judgment debt in this case is a claim provable in bankruptcy, the purpose and effect of s. 102 are to suspend a debtor’s driving privileges until payment of a provable claim. </w:t>
      </w:r>
    </w:p>
    <w:p w:rsidR="00FD3770" w:rsidRPr="003D1D39" w:rsidRDefault="00FD3770" w:rsidP="001B50FA">
      <w:pPr>
        <w:pStyle w:val="SCCNormalDoubleSpacing"/>
        <w:widowControl w:val="0"/>
        <w:spacing w:after="480"/>
      </w:pPr>
      <w:r w:rsidRPr="003D1D39">
        <w:rPr>
          <w:szCs w:val="24"/>
        </w:rPr>
        <w:tab/>
      </w:r>
      <w:bookmarkEnd w:id="1"/>
      <w:r w:rsidRPr="003D1D39">
        <w:rPr>
          <w:szCs w:val="24"/>
        </w:rPr>
        <w:t>The laws at issue give inconsistent answers to the question whether there is an enforceable obligation. One law provides for the release of all claims provable in bankruptcy and prohibits creditors from enforcing them, while the other disregards this release and allows for the use of a debt enforcement mechanism on such a claim by precisely excluding a discharge in bankruptcy. This is a true incompatibility.</w:t>
      </w:r>
      <w:r>
        <w:rPr>
          <w:szCs w:val="24"/>
        </w:rPr>
        <w:t xml:space="preserve"> </w:t>
      </w:r>
      <w:r w:rsidRPr="003D1D39">
        <w:t xml:space="preserve">In a case like this one, the test for operational conflict cannot be limited to asking whether the </w:t>
      </w:r>
      <w:r>
        <w:t>debtor</w:t>
      </w:r>
      <w:r w:rsidRPr="003D1D39">
        <w:t xml:space="preserve"> can comply with both laws by renouncing the protection afforded under the federal law or the privilege he or she is otherwise entitled to under the provincial law. In that regard, the debtor’s response to the suspension of his or her driving privileges is not determinative. In analyzing the operational conflict at issue in this case, we cannot disregard the fact that whether the debtor pays or not, the province, as a creditor, is still compelling payment of a provable claim that has been released, which is in direct </w:t>
      </w:r>
      <w:r w:rsidRPr="003D1D39">
        <w:lastRenderedPageBreak/>
        <w:t xml:space="preserve">contradiction with s. 178(2) of the </w:t>
      </w:r>
      <w:r w:rsidRPr="003D1D39">
        <w:rPr>
          <w:i/>
        </w:rPr>
        <w:t>BIA</w:t>
      </w:r>
      <w:r w:rsidRPr="003D1D39">
        <w:t>.</w:t>
      </w:r>
      <w:r>
        <w:t xml:space="preserve"> </w:t>
      </w:r>
      <w:r w:rsidRPr="003D1D39">
        <w:t>Neither can the question under the operational conflict branch of the paramountcy test be</w:t>
      </w:r>
      <w:r w:rsidRPr="003D1D39">
        <w:rPr>
          <w:szCs w:val="24"/>
        </w:rPr>
        <w:t xml:space="preserve"> whether it is possible to refrain from applying the provincial law in order to avoid the alleged conflict with the federal law. Such an approach would render the first branch of the paramountcy test meaningless</w:t>
      </w:r>
      <w:r w:rsidRPr="003D1D39">
        <w:t>, since it is virtually always possible to avoid the application of a provincial law so as not to cause a conflict with a federal law</w:t>
      </w:r>
      <w:r w:rsidRPr="003D1D39">
        <w:rPr>
          <w:szCs w:val="24"/>
        </w:rPr>
        <w:t>. Furthermore, if it is possible to avoid operational conflict simply by declining to apply the provincial law, the same could be done to avoid any frustration of the federal purpose under the second branch of the paramountcy test.</w:t>
      </w:r>
      <w:r>
        <w:rPr>
          <w:szCs w:val="24"/>
        </w:rPr>
        <w:t xml:space="preserve"> </w:t>
      </w:r>
      <w:r w:rsidRPr="003D1D39">
        <w:rPr>
          <w:szCs w:val="24"/>
        </w:rPr>
        <w:t xml:space="preserve">In this case, it is impossible for the province to apply s. 102 without contravening s. 178(2). In effect, s. 102 creates a new class of exempt debts that is not listed in s. 178(1) of the </w:t>
      </w:r>
      <w:r w:rsidRPr="003D1D39">
        <w:rPr>
          <w:i/>
          <w:szCs w:val="24"/>
        </w:rPr>
        <w:t>BIA</w:t>
      </w:r>
      <w:r w:rsidRPr="003D1D39">
        <w:rPr>
          <w:szCs w:val="24"/>
        </w:rPr>
        <w:t xml:space="preserve">. Hence, the provincial law allows the very same thing that the federal law prohibits. The result is an operational conflict. </w:t>
      </w:r>
    </w:p>
    <w:p w:rsidR="00FD3770" w:rsidRPr="003D1D39" w:rsidRDefault="00FD3770" w:rsidP="001B50FA">
      <w:pPr>
        <w:pStyle w:val="SCCNormalDoubleSpacing"/>
        <w:widowControl w:val="0"/>
        <w:spacing w:after="480"/>
      </w:pPr>
      <w:r w:rsidRPr="003D1D39">
        <w:rPr>
          <w:szCs w:val="24"/>
        </w:rPr>
        <w:tab/>
        <w:t>Section 102 also frustrates the financial rehabilitation of the bankrupt.</w:t>
      </w:r>
      <w:r>
        <w:rPr>
          <w:szCs w:val="24"/>
        </w:rPr>
        <w:t xml:space="preserve"> </w:t>
      </w:r>
      <w:r w:rsidRPr="003D1D39">
        <w:rPr>
          <w:szCs w:val="24"/>
        </w:rPr>
        <w:t>The crushing burden of the province’s claim against M was the main reason for his bankruptcy.</w:t>
      </w:r>
      <w:r>
        <w:rPr>
          <w:szCs w:val="24"/>
        </w:rPr>
        <w:t xml:space="preserve"> </w:t>
      </w:r>
      <w:r w:rsidRPr="003D1D39">
        <w:rPr>
          <w:szCs w:val="24"/>
        </w:rPr>
        <w:t xml:space="preserve">If s. 102 is allowed to operate despite M’s discharge, he is not offered the opportunity to rehabilitate that Parliament intended to give him. Had Parliament intended judgment debts arising from motor vehicle accidents, or the resulting regulatory charges, to survive bankruptcy, it would have stated so expressly in s. 178(1) of the </w:t>
      </w:r>
      <w:r w:rsidRPr="003D1D39">
        <w:rPr>
          <w:i/>
          <w:szCs w:val="24"/>
        </w:rPr>
        <w:t>BIA</w:t>
      </w:r>
      <w:r w:rsidRPr="003D1D39">
        <w:rPr>
          <w:szCs w:val="24"/>
        </w:rPr>
        <w:t xml:space="preserve">. It did not. It is beyond the province’s constitutional authority to interfere with Parliament’s discretion in that regard. Nor can M’s driving privileges serve as fresh consideration for a new binding contract for the repayment of the discharged debt. </w:t>
      </w:r>
      <w:r w:rsidRPr="003D1D39">
        <w:rPr>
          <w:szCs w:val="24"/>
        </w:rPr>
        <w:lastRenderedPageBreak/>
        <w:t>M need not enter into such a contract in order to recover his driving privileges, because the province has no authority to withhold them.</w:t>
      </w:r>
      <w:r w:rsidRPr="003D1D39">
        <w:t xml:space="preserve"> </w:t>
      </w:r>
    </w:p>
    <w:p w:rsidR="00FD3770" w:rsidRPr="003D1D39" w:rsidRDefault="00FD3770" w:rsidP="001B50FA">
      <w:pPr>
        <w:pStyle w:val="SCCNormalDoubleSpacing"/>
        <w:widowControl w:val="0"/>
        <w:spacing w:after="480"/>
        <w:rPr>
          <w:b/>
        </w:rPr>
      </w:pPr>
      <w:r w:rsidRPr="003D1D39">
        <w:rPr>
          <w:szCs w:val="24"/>
        </w:rPr>
        <w:tab/>
        <w:t xml:space="preserve">The </w:t>
      </w:r>
      <w:r w:rsidRPr="003D1D39">
        <w:rPr>
          <w:i/>
          <w:szCs w:val="24"/>
        </w:rPr>
        <w:t>TSA</w:t>
      </w:r>
      <w:r w:rsidRPr="003D1D39">
        <w:rPr>
          <w:szCs w:val="24"/>
        </w:rPr>
        <w:t xml:space="preserve"> does not however disrupt the equitable distribution purpose of the </w:t>
      </w:r>
      <w:r w:rsidRPr="003D1D39">
        <w:rPr>
          <w:i/>
          <w:szCs w:val="24"/>
        </w:rPr>
        <w:t>BIA</w:t>
      </w:r>
      <w:r w:rsidRPr="003D1D39">
        <w:rPr>
          <w:szCs w:val="24"/>
        </w:rPr>
        <w:t>. This Court has repeatedly cautioned against giving too broad a scope to paramountcy on the basis of frustration of federal purpose. It is always essential to ascertain the exact purpose of the specific provision of the federal law that is at issue. Although it is clear that the purpose of s. 178(2) is to ensure the debtor’s financial rehabilitation and that s. 102 frustrates that purpose, it cannot be concluded that the operation of the provincial scheme in the context of this case interferes with the equitable distribution of assets.</w:t>
      </w:r>
      <w:r w:rsidRPr="003D1D39">
        <w:rPr>
          <w:b/>
        </w:rPr>
        <w:t xml:space="preserve"> </w:t>
      </w:r>
    </w:p>
    <w:p w:rsidR="00FD3770" w:rsidRPr="003D1D39" w:rsidRDefault="00FD3770" w:rsidP="001B50FA">
      <w:pPr>
        <w:pStyle w:val="SCCNormalDoubleSpacing"/>
        <w:widowControl w:val="0"/>
        <w:spacing w:after="480"/>
      </w:pPr>
      <w:r w:rsidRPr="003D1D39">
        <w:rPr>
          <w:i/>
        </w:rPr>
        <w:tab/>
        <w:t xml:space="preserve">Per </w:t>
      </w:r>
      <w:r w:rsidRPr="003D1D39">
        <w:t xml:space="preserve">McLachlin C.J. and </w:t>
      </w:r>
      <w:proofErr w:type="spellStart"/>
      <w:r w:rsidRPr="00F144B0">
        <w:rPr>
          <w:rStyle w:val="SCCCoramChar"/>
        </w:rPr>
        <w:t>Côté</w:t>
      </w:r>
      <w:proofErr w:type="spellEnd"/>
      <w:r w:rsidRPr="00F144B0">
        <w:rPr>
          <w:rStyle w:val="SCCCoramChar"/>
        </w:rPr>
        <w:t> </w:t>
      </w:r>
      <w:r w:rsidRPr="003D1D39">
        <w:rPr>
          <w:rStyle w:val="SCCCoramChar"/>
        </w:rPr>
        <w:t>J.:</w:t>
      </w:r>
      <w:r w:rsidRPr="003D1D39">
        <w:t xml:space="preserve"> Section 102 of the </w:t>
      </w:r>
      <w:r w:rsidRPr="003D1D39">
        <w:rPr>
          <w:i/>
        </w:rPr>
        <w:t xml:space="preserve">TSA </w:t>
      </w:r>
      <w:r w:rsidRPr="003D1D39">
        <w:t xml:space="preserve">frustrates the purpose of financial rehabilitation of the bankrupt that underlies s. 178(2) of the </w:t>
      </w:r>
      <w:r w:rsidRPr="003D1D39">
        <w:rPr>
          <w:i/>
        </w:rPr>
        <w:t>BIA</w:t>
      </w:r>
      <w:r w:rsidRPr="003D1D39">
        <w:t>. It is accordingly inoperative to the extent of the conflict by reason of the doctrine of federal paramountcy. As the frustration of one federal purpose is sufficient to trigger the application of the doctrine of federal paramountcy, it is not necessary to address the purpose of equitable distribution.</w:t>
      </w:r>
    </w:p>
    <w:p w:rsidR="00FD3770" w:rsidRPr="003D1D39" w:rsidRDefault="00FD3770" w:rsidP="001B50FA">
      <w:pPr>
        <w:pStyle w:val="SCCNormalDoubleSpacing"/>
        <w:widowControl w:val="0"/>
        <w:spacing w:after="480"/>
      </w:pPr>
      <w:r w:rsidRPr="003D1D39">
        <w:tab/>
        <w:t>There is no operational conflict to speak of in this case.</w:t>
      </w:r>
      <w:r>
        <w:t xml:space="preserve"> </w:t>
      </w:r>
      <w:r w:rsidRPr="003D1D39">
        <w:t xml:space="preserve">The majority’s analysis contrasts with the clear standard that has been adopted for the purpose of determining whether an operational conflict exists in the context of the federal paramountcy test: impossibility of dual compliance as a result of an express conflict. </w:t>
      </w:r>
      <w:r w:rsidRPr="003D1D39">
        <w:lastRenderedPageBreak/>
        <w:t>Impossibility of dual compliance is the undisputed standard for determining whether an operational conflict exists and it is one that very few cases will meet. In the jurisprudence, impossibility of dual compliance has become synonymous with operational conflict. The requirement of an express contradiction is inseparable from impossibility of dual compliance. For the two laws to conflict, each one has to say exactly the opposite of what the other says. A less direct conflict is not enough. In the absence of an express conflict, the two laws are deemed to be capable of operating side by side. In light of the modern jurisprudence, this restrained approach to operational conflict is inescapable. Such a high standard is consistent with co</w:t>
      </w:r>
      <w:r w:rsidRPr="003D1D39">
        <w:noBreakHyphen/>
        <w:t>operative federalism. If, in practice, the wording of the statutes makes it possible to comply with both of them, then co</w:t>
      </w:r>
      <w:r w:rsidRPr="003D1D39">
        <w:noBreakHyphen/>
        <w:t xml:space="preserve">operative federalism requires a court to find that the federal and provincial statutes are compatible, at least at the first stage of the analysis. </w:t>
      </w:r>
    </w:p>
    <w:p w:rsidR="00FD3770" w:rsidRPr="003D1D39" w:rsidRDefault="00FD3770" w:rsidP="001B50FA">
      <w:pPr>
        <w:pStyle w:val="SCCNormalDoubleSpacing"/>
        <w:widowControl w:val="0"/>
        <w:spacing w:after="480"/>
      </w:pPr>
      <w:r w:rsidRPr="003D1D39">
        <w:tab/>
        <w:t xml:space="preserve">The two branches of the modern federal paramountcy test relate to two different forms of conflict. A finding of an operational conflict in the first branch will not necessarily entail a finding of frustration of a federal purpose in the second branch. The first branch is concerned with an incompatibility that is evident on the face of the provisions themselves. Even a superficial possibility of dual compliance will suffice for a court to conclude that there is no operational conflict. If the federal law is prohibitive, as in the case at bar, the question becomes what exactly it prohibits. If the provincial law allows the very same thing the federal law prohibits, there is an operational conflict. In many cases, the two branches of the test have been confused. </w:t>
      </w:r>
      <w:r w:rsidRPr="003D1D39">
        <w:lastRenderedPageBreak/>
        <w:t xml:space="preserve">Although this Court’s past decisions are not always helpful when it comes to drawing a distinction between the two branches, they do support three propositions: (1) that the applicable standard for the first branch is impossibility of dual compliance caused by an express conflict, (2) that this is a high standard that should be applied with restraint, and only in very few cases, and (3) that the two branches are distinct and address different forms of conflict. </w:t>
      </w:r>
    </w:p>
    <w:p w:rsidR="00FD3770" w:rsidRPr="003D1D39" w:rsidRDefault="00FD3770" w:rsidP="001B50FA">
      <w:pPr>
        <w:pStyle w:val="SCCNormalDoubleSpacing"/>
        <w:widowControl w:val="0"/>
        <w:spacing w:after="480"/>
      </w:pPr>
      <w:r w:rsidRPr="003D1D39">
        <w:tab/>
        <w:t>Consequently, at the first stage, the determining question is whether the province’s legislation provides a path on which dual compliance is possible. A high standard at the first stage merely means that in most cases, the purpose and effects of the legislation at issue will need to be analyzed at the second stage. Requiring courts to deal with the issue in the second branch has many advantages. For the frustration of purpose analysis, the federal legislative intent must be established by the party relying on it. The court can proceed with a careful analysis of Parliament’s intent and, if possible, interpret the federal law so as not to interfere with the provincial law. The impossibility standard, if applied strictly, will not render the first branch of the federal paramountcy test meaningless. If the provincial law allows or requires</w:t>
      </w:r>
      <w:r w:rsidRPr="003D1D39">
        <w:rPr>
          <w:i/>
        </w:rPr>
        <w:t xml:space="preserve"> </w:t>
      </w:r>
      <w:r w:rsidRPr="003D1D39">
        <w:t>something that the federal law explicitly prohibits, or if the conflict is direct rather than indirect, there will be an operational conflict.</w:t>
      </w:r>
    </w:p>
    <w:p w:rsidR="00FD3770" w:rsidRPr="003D1D39" w:rsidRDefault="00FD3770" w:rsidP="001B50FA">
      <w:pPr>
        <w:pStyle w:val="SCCNormalDoubleSpacing"/>
        <w:widowControl w:val="0"/>
        <w:spacing w:after="480"/>
      </w:pPr>
      <w:r w:rsidRPr="003D1D39">
        <w:tab/>
        <w:t xml:space="preserve">In the case at bar, it is clear from the provisions themselves that dual compliance is not impossible. The provisions at issue do not expressly conflict; they </w:t>
      </w:r>
      <w:r w:rsidRPr="003D1D39">
        <w:lastRenderedPageBreak/>
        <w:t xml:space="preserve">are different in terms of their contents and of the remedies that they provide. One of them does not permit what the other specifically prohibits. Under s. 178 of the </w:t>
      </w:r>
      <w:r w:rsidRPr="003D1D39">
        <w:rPr>
          <w:i/>
        </w:rPr>
        <w:t>BIA</w:t>
      </w:r>
      <w:r w:rsidRPr="003D1D39">
        <w:t xml:space="preserve">, a bankrupt is discharged from claims provable in bankruptcy. That section says nothing more. Section 102 of the </w:t>
      </w:r>
      <w:r w:rsidRPr="003D1D39">
        <w:rPr>
          <w:i/>
        </w:rPr>
        <w:t xml:space="preserve">TSA </w:t>
      </w:r>
      <w:r w:rsidRPr="003D1D39">
        <w:t xml:space="preserve">does not revive an extinguished claim </w:t>
      </w:r>
      <w:r w:rsidRPr="003D1D39">
        <w:rPr>
          <w:i/>
        </w:rPr>
        <w:t>per se</w:t>
      </w:r>
      <w:r w:rsidRPr="003D1D39">
        <w:t>;</w:t>
      </w:r>
      <w:r w:rsidRPr="003D1D39">
        <w:rPr>
          <w:i/>
        </w:rPr>
        <w:t xml:space="preserve"> </w:t>
      </w:r>
      <w:r w:rsidRPr="003D1D39">
        <w:t>if</w:t>
      </w:r>
      <w:r w:rsidRPr="003D1D39">
        <w:rPr>
          <w:i/>
        </w:rPr>
        <w:t xml:space="preserve"> </w:t>
      </w:r>
      <w:r w:rsidRPr="003D1D39">
        <w:t xml:space="preserve">a debtor chooses not to drive, the province simply cannot enforce its claim. He can also opt to voluntarily pay the discharged debt. The bankrupt is still discharged in the literal sense of the words of s. 178(2) of the </w:t>
      </w:r>
      <w:r w:rsidRPr="003D1D39">
        <w:rPr>
          <w:i/>
        </w:rPr>
        <w:t>BIA</w:t>
      </w:r>
      <w:r w:rsidRPr="003D1D39">
        <w:t>. The two statutes answer different questions. In the end, the literal requirement of the federal statute is, strictly speaking, met. It therefore follows that the two acts can operate side by side without operational conflict, although there is a frustration of purpose.</w:t>
      </w:r>
    </w:p>
    <w:p w:rsidR="00FD3770" w:rsidRPr="003D1D39" w:rsidRDefault="00FD3770" w:rsidP="001B50FA">
      <w:pPr>
        <w:pStyle w:val="SCCNormalDoubleSpacing"/>
        <w:widowControl w:val="0"/>
        <w:spacing w:before="480" w:after="480"/>
        <w:rPr>
          <w:b/>
        </w:rPr>
      </w:pPr>
      <w:r w:rsidRPr="003D1D39">
        <w:rPr>
          <w:b/>
        </w:rPr>
        <w:t>Cases Cited</w:t>
      </w:r>
    </w:p>
    <w:p w:rsidR="00FD3770" w:rsidRPr="003D1D39" w:rsidRDefault="00FD3770" w:rsidP="001B50FA">
      <w:pPr>
        <w:pStyle w:val="SCCNormalDoubleSpacing"/>
        <w:widowControl w:val="0"/>
        <w:spacing w:after="720" w:line="240" w:lineRule="auto"/>
      </w:pPr>
      <w:r w:rsidRPr="003D1D39">
        <w:t xml:space="preserve">By </w:t>
      </w:r>
      <w:proofErr w:type="spellStart"/>
      <w:r w:rsidRPr="003D1D39">
        <w:t>Gascon</w:t>
      </w:r>
      <w:proofErr w:type="spellEnd"/>
      <w:r w:rsidRPr="003D1D39">
        <w:t> J.</w:t>
      </w:r>
    </w:p>
    <w:p w:rsidR="00FD3770" w:rsidRPr="003D1D39" w:rsidRDefault="00FD3770" w:rsidP="001B50FA">
      <w:pPr>
        <w:pStyle w:val="SCCNormalDoubleSpacing"/>
        <w:widowControl w:val="0"/>
        <w:spacing w:before="480" w:after="480"/>
      </w:pPr>
      <w:r w:rsidRPr="003D1D39">
        <w:tab/>
      </w:r>
      <w:r>
        <w:rPr>
          <w:b/>
        </w:rPr>
        <w:t>D</w:t>
      </w:r>
      <w:r w:rsidRPr="003D1D39">
        <w:rPr>
          <w:b/>
        </w:rPr>
        <w:t>istinguished:</w:t>
      </w:r>
      <w:r w:rsidRPr="003D1D39">
        <w:t xml:space="preserve"> </w:t>
      </w:r>
      <w:r w:rsidRPr="003D1D39">
        <w:rPr>
          <w:i/>
        </w:rPr>
        <w:t>Rothmans, Benson &amp; Hedges Inc. v. Saskatchewan</w:t>
      </w:r>
      <w:r w:rsidRPr="003D1D39">
        <w:t xml:space="preserve">, 2005 SCC 13, [2005] 1 S.C.R. 188; </w:t>
      </w:r>
      <w:r w:rsidRPr="003D1D39">
        <w:rPr>
          <w:i/>
        </w:rPr>
        <w:t>Quebec (Attorney General) v. Canadian Owners and Pilots Association</w:t>
      </w:r>
      <w:r w:rsidRPr="003D1D39">
        <w:t xml:space="preserve">, 2010 SCC 39, [2010] 2 S.C.R. 536; </w:t>
      </w:r>
      <w:r w:rsidRPr="00FE49EF">
        <w:rPr>
          <w:b/>
        </w:rPr>
        <w:t>discussed</w:t>
      </w:r>
      <w:r w:rsidRPr="003D1D39">
        <w:rPr>
          <w:b/>
        </w:rPr>
        <w:t>:</w:t>
      </w:r>
      <w:r w:rsidRPr="003D1D39">
        <w:t xml:space="preserve"> </w:t>
      </w:r>
      <w:r w:rsidRPr="003D1D39">
        <w:rPr>
          <w:i/>
        </w:rPr>
        <w:t>Canadian Western Bank v. Alberta</w:t>
      </w:r>
      <w:r w:rsidRPr="003D1D39">
        <w:t>, 2007 SCC 22, [2007] 2 S.C.R. 3;</w:t>
      </w:r>
      <w:r w:rsidRPr="003D1D39">
        <w:rPr>
          <w:i/>
        </w:rPr>
        <w:t xml:space="preserve"> Husky Oil Operations Ltd. v. Minister of National Revenue</w:t>
      </w:r>
      <w:r w:rsidRPr="003D1D39">
        <w:t>, [1995] 3 S.C.R. 453;</w:t>
      </w:r>
      <w:r w:rsidRPr="003D1D39">
        <w:rPr>
          <w:i/>
        </w:rPr>
        <w:t xml:space="preserve"> British Columbia (Attorney General) v. Lafarge Canada Inc.</w:t>
      </w:r>
      <w:r w:rsidRPr="003D1D39">
        <w:t xml:space="preserve">, 2007 SCC 23, [2007] 2 S.C.R. 86; </w:t>
      </w:r>
      <w:r w:rsidRPr="003D1D39">
        <w:rPr>
          <w:i/>
        </w:rPr>
        <w:t xml:space="preserve">114957 Canada </w:t>
      </w:r>
      <w:proofErr w:type="spellStart"/>
      <w:r w:rsidRPr="003D1D39">
        <w:rPr>
          <w:i/>
        </w:rPr>
        <w:t>Ltée</w:t>
      </w:r>
      <w:proofErr w:type="spellEnd"/>
      <w:r w:rsidRPr="003D1D39">
        <w:rPr>
          <w:i/>
        </w:rPr>
        <w:t xml:space="preserve"> (</w:t>
      </w:r>
      <w:proofErr w:type="spellStart"/>
      <w:r w:rsidRPr="003D1D39">
        <w:rPr>
          <w:i/>
        </w:rPr>
        <w:t>Spraytech</w:t>
      </w:r>
      <w:proofErr w:type="spellEnd"/>
      <w:r w:rsidRPr="003D1D39">
        <w:rPr>
          <w:i/>
        </w:rPr>
        <w:t xml:space="preserve">, </w:t>
      </w:r>
      <w:proofErr w:type="spellStart"/>
      <w:r w:rsidRPr="003D1D39">
        <w:rPr>
          <w:i/>
        </w:rPr>
        <w:t>Société</w:t>
      </w:r>
      <w:proofErr w:type="spellEnd"/>
      <w:r w:rsidRPr="003D1D39">
        <w:rPr>
          <w:i/>
        </w:rPr>
        <w:t xml:space="preserve"> </w:t>
      </w:r>
      <w:proofErr w:type="spellStart"/>
      <w:r w:rsidRPr="003D1D39">
        <w:rPr>
          <w:i/>
        </w:rPr>
        <w:t>d’arrosage</w:t>
      </w:r>
      <w:proofErr w:type="spellEnd"/>
      <w:r w:rsidRPr="003D1D39">
        <w:rPr>
          <w:i/>
        </w:rPr>
        <w:t>) v. Hudson (Town)</w:t>
      </w:r>
      <w:r w:rsidRPr="003D1D39">
        <w:t xml:space="preserve">, 2001 SCC 40, [2001] 2 S.C.R. 241; </w:t>
      </w:r>
      <w:r w:rsidRPr="003D1D39">
        <w:rPr>
          <w:i/>
        </w:rPr>
        <w:t>M &amp; D Farm Ltd. v. Manitoba Agricultural Credit Corp.</w:t>
      </w:r>
      <w:r w:rsidRPr="003D1D39">
        <w:t xml:space="preserve">, [1999] 2 S.C.R. 961; </w:t>
      </w:r>
      <w:r w:rsidRPr="003D1D39">
        <w:rPr>
          <w:b/>
        </w:rPr>
        <w:lastRenderedPageBreak/>
        <w:t>referred to:</w:t>
      </w:r>
      <w:r w:rsidRPr="003D1D39">
        <w:t xml:space="preserve"> </w:t>
      </w:r>
      <w:r w:rsidRPr="003D1D39">
        <w:rPr>
          <w:i/>
        </w:rPr>
        <w:t>Reference re Secession of Quebec</w:t>
      </w:r>
      <w:r w:rsidRPr="003D1D39">
        <w:t xml:space="preserve">, [1998] 2 S.C.R. 217; </w:t>
      </w:r>
      <w:r w:rsidRPr="003D1D39">
        <w:rPr>
          <w:i/>
        </w:rPr>
        <w:t>Re the Initiative and Referendum Act</w:t>
      </w:r>
      <w:r w:rsidRPr="003D1D39">
        <w:t xml:space="preserve">, [1919] A.C. 935; </w:t>
      </w:r>
      <w:r w:rsidRPr="003D1D39">
        <w:rPr>
          <w:i/>
        </w:rPr>
        <w:t>Multiple Access Ltd. v. McCutcheon</w:t>
      </w:r>
      <w:r w:rsidRPr="003D1D39">
        <w:t xml:space="preserve">, [1982] 2 S.C.R. 161; </w:t>
      </w:r>
      <w:r w:rsidRPr="003D1D39">
        <w:rPr>
          <w:i/>
        </w:rPr>
        <w:t>Reference re Securities Act</w:t>
      </w:r>
      <w:r w:rsidRPr="003D1D39">
        <w:t xml:space="preserve">, 2011 SCC 66, [2011] 3 S.C.R. 837; </w:t>
      </w:r>
      <w:r w:rsidRPr="003D1D39">
        <w:rPr>
          <w:i/>
        </w:rPr>
        <w:t>Canada (Attorney General) v. PHS Community Services Society</w:t>
      </w:r>
      <w:r w:rsidRPr="003D1D39">
        <w:t xml:space="preserve">, 2011 SCC 44, [2011] 3 S.C.R. 134; </w:t>
      </w:r>
      <w:r w:rsidRPr="003D1D39">
        <w:rPr>
          <w:i/>
        </w:rPr>
        <w:t>Marine Services International Ltd. v. Ryan Estate</w:t>
      </w:r>
      <w:r w:rsidRPr="003D1D39">
        <w:t xml:space="preserve">, 2013 SCC 44, [2013] 3 S.C.R. 53; </w:t>
      </w:r>
      <w:r w:rsidRPr="003D1D39">
        <w:rPr>
          <w:i/>
        </w:rPr>
        <w:t>Reference re Firearms Act (Can.)</w:t>
      </w:r>
      <w:r w:rsidRPr="003D1D39">
        <w:t xml:space="preserve">, 2000 SCC 31, [2000] 1 S.C.R. 783; </w:t>
      </w:r>
      <w:r w:rsidRPr="003D1D39">
        <w:rPr>
          <w:i/>
        </w:rPr>
        <w:t xml:space="preserve">Law Society of British Columbia v. </w:t>
      </w:r>
      <w:proofErr w:type="spellStart"/>
      <w:r w:rsidRPr="003D1D39">
        <w:rPr>
          <w:i/>
        </w:rPr>
        <w:t>Mangat</w:t>
      </w:r>
      <w:proofErr w:type="spellEnd"/>
      <w:r w:rsidRPr="003D1D39">
        <w:t xml:space="preserve">, 2001 SCC 67, [2001] 3 S.C.R. 113; </w:t>
      </w:r>
      <w:r w:rsidRPr="003D1D39">
        <w:rPr>
          <w:i/>
        </w:rPr>
        <w:t xml:space="preserve">Sun </w:t>
      </w:r>
      <w:proofErr w:type="spellStart"/>
      <w:r w:rsidRPr="003D1D39">
        <w:rPr>
          <w:i/>
        </w:rPr>
        <w:t>Indalex</w:t>
      </w:r>
      <w:proofErr w:type="spellEnd"/>
      <w:r w:rsidRPr="003D1D39">
        <w:rPr>
          <w:i/>
        </w:rPr>
        <w:t xml:space="preserve"> Finance, LLC v. United Steelworkers</w:t>
      </w:r>
      <w:r w:rsidRPr="003D1D39">
        <w:t xml:space="preserve">, 2013 SCC 6, [2013] 1 S.C.R. 271; </w:t>
      </w:r>
      <w:r w:rsidRPr="003D1D39">
        <w:rPr>
          <w:i/>
        </w:rPr>
        <w:t>Garland v. Consumers’ Gas Co.</w:t>
      </w:r>
      <w:r w:rsidRPr="003D1D39">
        <w:t xml:space="preserve">, 2004 SCC 25, [2004] 1 S.C.R. 629; </w:t>
      </w:r>
      <w:r w:rsidRPr="003D1D39">
        <w:rPr>
          <w:i/>
        </w:rPr>
        <w:t>Smith v. The Queen</w:t>
      </w:r>
      <w:r w:rsidRPr="003D1D39">
        <w:t xml:space="preserve">, [1960] S.C.R. 776; </w:t>
      </w:r>
      <w:r w:rsidRPr="003D1D39">
        <w:rPr>
          <w:i/>
        </w:rPr>
        <w:t xml:space="preserve">Saskatchewan (Attorney General) v. </w:t>
      </w:r>
      <w:proofErr w:type="spellStart"/>
      <w:r w:rsidRPr="003D1D39">
        <w:rPr>
          <w:i/>
        </w:rPr>
        <w:t>Lemare</w:t>
      </w:r>
      <w:proofErr w:type="spellEnd"/>
      <w:r w:rsidRPr="003D1D39">
        <w:rPr>
          <w:i/>
        </w:rPr>
        <w:t xml:space="preserve"> Lake Logging Ltd.</w:t>
      </w:r>
      <w:r w:rsidRPr="003D1D39">
        <w:t>, 2015 SCC 53</w:t>
      </w:r>
      <w:r w:rsidR="00F144B0">
        <w:t xml:space="preserve">, [2015] 3 S.C.R. </w:t>
      </w:r>
      <w:r w:rsidR="000C4869">
        <w:t>419</w:t>
      </w:r>
      <w:r w:rsidRPr="003D1D39">
        <w:t xml:space="preserve">; </w:t>
      </w:r>
      <w:r w:rsidRPr="003D1D39">
        <w:rPr>
          <w:i/>
        </w:rPr>
        <w:t>Bank of Montreal v. Hall</w:t>
      </w:r>
      <w:r w:rsidRPr="003D1D39">
        <w:t xml:space="preserve">, [1990] 1 S.C.R. 121; </w:t>
      </w:r>
      <w:r w:rsidRPr="003D1D39">
        <w:rPr>
          <w:i/>
        </w:rPr>
        <w:t xml:space="preserve">Bank of Montreal v. </w:t>
      </w:r>
      <w:proofErr w:type="spellStart"/>
      <w:r w:rsidRPr="003D1D39">
        <w:rPr>
          <w:i/>
        </w:rPr>
        <w:t>Marcotte</w:t>
      </w:r>
      <w:proofErr w:type="spellEnd"/>
      <w:r w:rsidRPr="003D1D39">
        <w:t xml:space="preserve">, 2014 SCC 55, [2014] 2 S.C.R. 725; </w:t>
      </w:r>
      <w:r w:rsidRPr="003D1D39">
        <w:rPr>
          <w:i/>
        </w:rPr>
        <w:t>Irwin Toy Ltd. v. Quebec (Attorney General)</w:t>
      </w:r>
      <w:r w:rsidRPr="003D1D39">
        <w:t xml:space="preserve">, [1989] 1 S.C.R. 927; </w:t>
      </w:r>
      <w:r w:rsidRPr="003D1D39">
        <w:rPr>
          <w:i/>
        </w:rPr>
        <w:t>Quebec (Attorney General) v. Canada (Human Resources and Social Development)</w:t>
      </w:r>
      <w:r w:rsidRPr="003D1D39">
        <w:t xml:space="preserve">, 2011 SCC 60, [2011] 3 S.C.R. 635; </w:t>
      </w:r>
      <w:r w:rsidRPr="003D1D39">
        <w:rPr>
          <w:i/>
        </w:rPr>
        <w:t>Clarke v. Clarke</w:t>
      </w:r>
      <w:r w:rsidRPr="003D1D39">
        <w:t xml:space="preserve">, [1990] 2 S.C.R. 795; </w:t>
      </w:r>
      <w:r w:rsidRPr="003D1D39">
        <w:rPr>
          <w:i/>
        </w:rPr>
        <w:t>Attorney General of Canada v. Law Society of British Columbia</w:t>
      </w:r>
      <w:r w:rsidRPr="003D1D39">
        <w:t xml:space="preserve">, [1982] 2 S.C.R. 307; </w:t>
      </w:r>
      <w:r w:rsidRPr="003D1D39">
        <w:rPr>
          <w:i/>
        </w:rPr>
        <w:t>O’Grady v. Sparling</w:t>
      </w:r>
      <w:r w:rsidRPr="003D1D39">
        <w:t xml:space="preserve">, [1960] S.C.R. 804; </w:t>
      </w:r>
      <w:r w:rsidRPr="003D1D39">
        <w:rPr>
          <w:i/>
        </w:rPr>
        <w:t>Deloitte Haskins and Sells Ltd. v. Workers’ Compensation Board</w:t>
      </w:r>
      <w:r w:rsidRPr="003D1D39">
        <w:t xml:space="preserve">, [1985] 1 S.C.R. 785; </w:t>
      </w:r>
      <w:r w:rsidRPr="003D1D39">
        <w:rPr>
          <w:i/>
        </w:rPr>
        <w:t>Century Services Inc. v. Canada (Attorney General)</w:t>
      </w:r>
      <w:r w:rsidRPr="003D1D39">
        <w:t xml:space="preserve">, 2010 SCC 60, [2010] 3 S.C.R. 379; </w:t>
      </w:r>
      <w:r w:rsidRPr="003D1D39">
        <w:rPr>
          <w:i/>
        </w:rPr>
        <w:t>R. v. Fitzgibbon</w:t>
      </w:r>
      <w:r w:rsidRPr="003D1D39">
        <w:t xml:space="preserve">, [1990] 1 S.C.R. 1005; </w:t>
      </w:r>
      <w:r w:rsidRPr="003D1D39">
        <w:rPr>
          <w:i/>
        </w:rPr>
        <w:t>Schreyer v. Schreyer</w:t>
      </w:r>
      <w:r w:rsidRPr="003D1D39">
        <w:t xml:space="preserve">, 2011 SCC 35, [2011] 2 S.C.R. 605; </w:t>
      </w:r>
      <w:r w:rsidRPr="003D1D39">
        <w:rPr>
          <w:i/>
        </w:rPr>
        <w:t>Industrial Acceptance Corp. v. Lalonde</w:t>
      </w:r>
      <w:r w:rsidRPr="003D1D39">
        <w:t xml:space="preserve">, [1952] 2 S.C.R. 109; </w:t>
      </w:r>
      <w:proofErr w:type="spellStart"/>
      <w:r w:rsidRPr="003D1D39">
        <w:rPr>
          <w:i/>
        </w:rPr>
        <w:t>Vachon</w:t>
      </w:r>
      <w:proofErr w:type="spellEnd"/>
      <w:r w:rsidRPr="003D1D39">
        <w:rPr>
          <w:i/>
        </w:rPr>
        <w:t xml:space="preserve"> v. Canada Employment and Immigration Commission</w:t>
      </w:r>
      <w:r w:rsidRPr="003D1D39">
        <w:t xml:space="preserve">, [1985] 2 S.C.R. 417; </w:t>
      </w:r>
      <w:r w:rsidRPr="003D1D39">
        <w:rPr>
          <w:i/>
        </w:rPr>
        <w:t>GMAC Commercial Credit Corp. — Canada v. T.C.T. Logistics Inc.</w:t>
      </w:r>
      <w:r w:rsidRPr="003D1D39">
        <w:t xml:space="preserve">, 2006 SCC 35, [2006] 2 </w:t>
      </w:r>
      <w:r w:rsidRPr="003D1D39">
        <w:lastRenderedPageBreak/>
        <w:t xml:space="preserve">S.C.R. 123; </w:t>
      </w:r>
      <w:r w:rsidRPr="003D1D39">
        <w:rPr>
          <w:i/>
        </w:rPr>
        <w:t>Ross v. Registrar of Motor Vehicles</w:t>
      </w:r>
      <w:r w:rsidRPr="003D1D39">
        <w:t xml:space="preserve">, [1975] 1 S.C.R. 5; </w:t>
      </w:r>
      <w:r w:rsidRPr="003D1D39">
        <w:rPr>
          <w:i/>
        </w:rPr>
        <w:t>Provincial Secretary of Prince Edward Island v. Egan</w:t>
      </w:r>
      <w:r w:rsidRPr="003D1D39">
        <w:t xml:space="preserve">, [1941] S.C.R. 396; </w:t>
      </w:r>
      <w:r w:rsidRPr="003D1D39">
        <w:rPr>
          <w:i/>
        </w:rPr>
        <w:t>Thomson v. Alberta (Transportation and Safety Board)</w:t>
      </w:r>
      <w:r w:rsidRPr="003D1D39">
        <w:t xml:space="preserve">, 2003 ABCA 256, 232 D.L.R. (4th) 237; </w:t>
      </w:r>
      <w:r w:rsidRPr="003D1D39">
        <w:rPr>
          <w:i/>
        </w:rPr>
        <w:t xml:space="preserve">Newfoundland and Labrador v. </w:t>
      </w:r>
      <w:proofErr w:type="spellStart"/>
      <w:r w:rsidRPr="003D1D39">
        <w:rPr>
          <w:i/>
        </w:rPr>
        <w:t>AbitibiBowater</w:t>
      </w:r>
      <w:proofErr w:type="spellEnd"/>
      <w:r w:rsidRPr="003D1D39">
        <w:rPr>
          <w:i/>
        </w:rPr>
        <w:t xml:space="preserve"> Inc.</w:t>
      </w:r>
      <w:r w:rsidRPr="003D1D39">
        <w:t xml:space="preserve">, 2012 SCC 67, [2012] 3 S.C.R. 443; </w:t>
      </w:r>
      <w:r w:rsidRPr="003D1D39">
        <w:rPr>
          <w:i/>
        </w:rPr>
        <w:t>Ontario (Minister of Finance) v. Clarke</w:t>
      </w:r>
      <w:r w:rsidRPr="003D1D39">
        <w:t xml:space="preserve">, 2013 ONSC 1920, 115 O.R. (3d) 33; </w:t>
      </w:r>
      <w:r w:rsidRPr="003D1D39">
        <w:rPr>
          <w:i/>
        </w:rPr>
        <w:t>R. v. White</w:t>
      </w:r>
      <w:r w:rsidRPr="003D1D39">
        <w:t xml:space="preserve">, [1999] 2 S.C.R. 417; </w:t>
      </w:r>
      <w:r w:rsidRPr="003D1D39">
        <w:rPr>
          <w:i/>
        </w:rPr>
        <w:t>407 ETR Concession Co. v. Canada (Superintendent of Bankruptcy)</w:t>
      </w:r>
      <w:r w:rsidRPr="003D1D39">
        <w:t>, 2015 SCC 52</w:t>
      </w:r>
      <w:r w:rsidR="00655842">
        <w:t xml:space="preserve">, [2015] 3 S.C.R. </w:t>
      </w:r>
      <w:r w:rsidR="000C4869">
        <w:t>397</w:t>
      </w:r>
      <w:r w:rsidRPr="003D1D39">
        <w:t xml:space="preserve">; </w:t>
      </w:r>
      <w:proofErr w:type="spellStart"/>
      <w:r w:rsidRPr="003D1D39">
        <w:rPr>
          <w:i/>
        </w:rPr>
        <w:t>Gorguis</w:t>
      </w:r>
      <w:proofErr w:type="spellEnd"/>
      <w:r w:rsidRPr="003D1D39">
        <w:rPr>
          <w:i/>
        </w:rPr>
        <w:t xml:space="preserve"> v. Saskatchewan Government Insurance</w:t>
      </w:r>
      <w:r w:rsidRPr="003D1D39">
        <w:t xml:space="preserve">, 2011 SKQB 132, 372 Sask. R. 152, </w:t>
      </w:r>
      <w:proofErr w:type="spellStart"/>
      <w:r w:rsidRPr="003D1D39">
        <w:t>rev’d</w:t>
      </w:r>
      <w:proofErr w:type="spellEnd"/>
      <w:r w:rsidRPr="003D1D39">
        <w:t xml:space="preserve"> 2013 SKCA 32, 414 Sask. R. 5; </w:t>
      </w:r>
      <w:r w:rsidRPr="003D1D39">
        <w:rPr>
          <w:i/>
        </w:rPr>
        <w:t xml:space="preserve">Buchanan v. </w:t>
      </w:r>
      <w:proofErr w:type="spellStart"/>
      <w:r w:rsidRPr="003D1D39">
        <w:rPr>
          <w:i/>
        </w:rPr>
        <w:t>Superline</w:t>
      </w:r>
      <w:proofErr w:type="spellEnd"/>
      <w:r w:rsidRPr="003D1D39">
        <w:rPr>
          <w:i/>
        </w:rPr>
        <w:t xml:space="preserve"> Fuels Inc.</w:t>
      </w:r>
      <w:r w:rsidRPr="003D1D39">
        <w:t xml:space="preserve">, 2007 NSCA 68, 255 N.S.R. (2d) 286; </w:t>
      </w:r>
      <w:r w:rsidRPr="003D1D39">
        <w:rPr>
          <w:i/>
        </w:rPr>
        <w:t>Miller, Re</w:t>
      </w:r>
      <w:r w:rsidRPr="003D1D39">
        <w:t xml:space="preserve"> (2001), 27 C.B.R. (4th) 107; </w:t>
      </w:r>
      <w:proofErr w:type="spellStart"/>
      <w:r w:rsidRPr="003D1D39">
        <w:rPr>
          <w:i/>
        </w:rPr>
        <w:t>Lucar</w:t>
      </w:r>
      <w:proofErr w:type="spellEnd"/>
      <w:r w:rsidRPr="003D1D39">
        <w:rPr>
          <w:i/>
        </w:rPr>
        <w:t>, Re</w:t>
      </w:r>
      <w:r w:rsidRPr="003D1D39">
        <w:t xml:space="preserve"> (2001), 32 C.B.R. (4th) 270; </w:t>
      </w:r>
      <w:proofErr w:type="spellStart"/>
      <w:r w:rsidRPr="003D1D39">
        <w:rPr>
          <w:i/>
        </w:rPr>
        <w:t>Roncarelli</w:t>
      </w:r>
      <w:proofErr w:type="spellEnd"/>
      <w:r w:rsidRPr="003D1D39">
        <w:rPr>
          <w:i/>
        </w:rPr>
        <w:t xml:space="preserve"> v. </w:t>
      </w:r>
      <w:proofErr w:type="spellStart"/>
      <w:r w:rsidRPr="003D1D39">
        <w:rPr>
          <w:i/>
        </w:rPr>
        <w:t>Duplessis</w:t>
      </w:r>
      <w:proofErr w:type="spellEnd"/>
      <w:r w:rsidRPr="003D1D39">
        <w:t xml:space="preserve">, [1959] S.C.R. 121; </w:t>
      </w:r>
      <w:r w:rsidRPr="003D1D39">
        <w:rPr>
          <w:i/>
        </w:rPr>
        <w:t>British Columbia v. Imperial Tobacco Canada Ltd.</w:t>
      </w:r>
      <w:r w:rsidRPr="003D1D39">
        <w:t xml:space="preserve">, 2005 SCC 49, [2005] 2 S.C.R. 473; </w:t>
      </w:r>
      <w:r w:rsidRPr="003D1D39">
        <w:rPr>
          <w:i/>
        </w:rPr>
        <w:t>Reference re Remuneration of Judges of the Provincial Court of Prince Edward Island</w:t>
      </w:r>
      <w:r w:rsidRPr="003D1D39">
        <w:t>, [1997] 3 S.C.R. 3.</w:t>
      </w:r>
    </w:p>
    <w:p w:rsidR="00FD3770" w:rsidRPr="003D1D39" w:rsidRDefault="00FD3770" w:rsidP="001B50FA">
      <w:pPr>
        <w:pStyle w:val="SCCNormalDoubleSpacing"/>
        <w:widowControl w:val="0"/>
        <w:spacing w:after="720" w:line="240" w:lineRule="auto"/>
      </w:pPr>
      <w:r w:rsidRPr="003D1D39">
        <w:t xml:space="preserve">By </w:t>
      </w:r>
      <w:proofErr w:type="spellStart"/>
      <w:r w:rsidRPr="003D1D39">
        <w:t>Côté</w:t>
      </w:r>
      <w:proofErr w:type="spellEnd"/>
      <w:r w:rsidRPr="003D1D39">
        <w:t> J.</w:t>
      </w:r>
    </w:p>
    <w:p w:rsidR="00FD3770" w:rsidRPr="003D1D39" w:rsidRDefault="00FD3770" w:rsidP="001B50FA">
      <w:pPr>
        <w:pStyle w:val="SCCNormalDoubleSpacing"/>
        <w:widowControl w:val="0"/>
        <w:spacing w:after="480"/>
      </w:pPr>
      <w:r w:rsidRPr="003D1D39">
        <w:tab/>
      </w:r>
      <w:r>
        <w:rPr>
          <w:b/>
        </w:rPr>
        <w:t>Discussed</w:t>
      </w:r>
      <w:r w:rsidRPr="002044A1">
        <w:rPr>
          <w:b/>
        </w:rPr>
        <w:t>:</w:t>
      </w:r>
      <w:r>
        <w:t xml:space="preserve"> </w:t>
      </w:r>
      <w:r w:rsidRPr="003D1D39">
        <w:rPr>
          <w:i/>
        </w:rPr>
        <w:t>M &amp; D Farm Ltd. v. Manitoba Agricultural Credit Corp.</w:t>
      </w:r>
      <w:r w:rsidRPr="003D1D39">
        <w:t xml:space="preserve">, [1999] 2 S.C.R. 961; </w:t>
      </w:r>
      <w:r w:rsidRPr="003D1D39">
        <w:rPr>
          <w:i/>
        </w:rPr>
        <w:t>British Columbia (Attorney General) v. Lafarge Canada Inc.</w:t>
      </w:r>
      <w:r w:rsidRPr="003D1D39">
        <w:t xml:space="preserve">, 2007 SCC 23, [2007] 2 S.C.R. 86; </w:t>
      </w:r>
      <w:r w:rsidRPr="003D1D39">
        <w:rPr>
          <w:i/>
        </w:rPr>
        <w:t>Canadian Western Bank v. Alberta</w:t>
      </w:r>
      <w:r w:rsidRPr="003D1D39">
        <w:t xml:space="preserve">, 2007 SCC 22, [2007] 2 S.C.R. 3; </w:t>
      </w:r>
      <w:r w:rsidRPr="003D1D39">
        <w:rPr>
          <w:i/>
        </w:rPr>
        <w:t xml:space="preserve">114957 Canada </w:t>
      </w:r>
      <w:proofErr w:type="spellStart"/>
      <w:r w:rsidRPr="003D1D39">
        <w:rPr>
          <w:i/>
        </w:rPr>
        <w:t>Ltée</w:t>
      </w:r>
      <w:proofErr w:type="spellEnd"/>
      <w:r w:rsidRPr="003D1D39">
        <w:rPr>
          <w:i/>
        </w:rPr>
        <w:t xml:space="preserve"> (</w:t>
      </w:r>
      <w:proofErr w:type="spellStart"/>
      <w:r w:rsidRPr="003D1D39">
        <w:rPr>
          <w:i/>
        </w:rPr>
        <w:t>Spraytech</w:t>
      </w:r>
      <w:proofErr w:type="spellEnd"/>
      <w:r w:rsidRPr="003D1D39">
        <w:rPr>
          <w:i/>
        </w:rPr>
        <w:t xml:space="preserve">, </w:t>
      </w:r>
      <w:proofErr w:type="spellStart"/>
      <w:r w:rsidRPr="003D1D39">
        <w:rPr>
          <w:i/>
        </w:rPr>
        <w:t>Société</w:t>
      </w:r>
      <w:proofErr w:type="spellEnd"/>
      <w:r w:rsidRPr="003D1D39">
        <w:rPr>
          <w:i/>
        </w:rPr>
        <w:t xml:space="preserve"> </w:t>
      </w:r>
      <w:proofErr w:type="spellStart"/>
      <w:r w:rsidRPr="003D1D39">
        <w:rPr>
          <w:i/>
        </w:rPr>
        <w:t>d’arrosage</w:t>
      </w:r>
      <w:proofErr w:type="spellEnd"/>
      <w:r w:rsidRPr="003D1D39">
        <w:rPr>
          <w:i/>
        </w:rPr>
        <w:t>) v. Hudson (Town)</w:t>
      </w:r>
      <w:r w:rsidRPr="003D1D39">
        <w:t xml:space="preserve">, 2001 SCC 40, [2001] 2 S.C.R. 241; </w:t>
      </w:r>
      <w:r w:rsidRPr="003D1D39">
        <w:rPr>
          <w:i/>
        </w:rPr>
        <w:t>Husky Oil Operations Ltd. v. Minister of National Revenue</w:t>
      </w:r>
      <w:r w:rsidRPr="003D1D39">
        <w:t xml:space="preserve">, [1995] 3 S.C.R. 453; </w:t>
      </w:r>
      <w:r>
        <w:rPr>
          <w:b/>
        </w:rPr>
        <w:t>r</w:t>
      </w:r>
      <w:r w:rsidRPr="003D1D39">
        <w:rPr>
          <w:b/>
        </w:rPr>
        <w:t>eferred to:</w:t>
      </w:r>
      <w:r w:rsidRPr="003D1D39">
        <w:t xml:space="preserve"> </w:t>
      </w:r>
      <w:r w:rsidRPr="003D1D39">
        <w:rPr>
          <w:i/>
        </w:rPr>
        <w:t xml:space="preserve">Multiple Access Ltd. v. </w:t>
      </w:r>
      <w:r w:rsidRPr="003D1D39">
        <w:rPr>
          <w:i/>
        </w:rPr>
        <w:lastRenderedPageBreak/>
        <w:t>McCutcheon</w:t>
      </w:r>
      <w:r w:rsidRPr="003D1D39">
        <w:t xml:space="preserve">, [1982] 2 S.C.R. 161; </w:t>
      </w:r>
      <w:r w:rsidRPr="003D1D39">
        <w:rPr>
          <w:i/>
        </w:rPr>
        <w:t>Rothmans, Benson &amp; Hedges Inc. v. Saskatchewan</w:t>
      </w:r>
      <w:r w:rsidRPr="003D1D39">
        <w:t xml:space="preserve">, 2005 SCC 13, [2005] 1 S.C.R. 188; </w:t>
      </w:r>
      <w:r w:rsidRPr="003D1D39">
        <w:rPr>
          <w:i/>
        </w:rPr>
        <w:t>Quebec (Attorney General) v. Canadian Owners and Pilots Association</w:t>
      </w:r>
      <w:r w:rsidRPr="003D1D39">
        <w:t xml:space="preserve">, 2010 SCC 39, [2010] 2 S.C.R. 536; </w:t>
      </w:r>
      <w:r w:rsidRPr="003D1D39">
        <w:rPr>
          <w:i/>
        </w:rPr>
        <w:t>Rio Hotel Ltd. v. New Brunswick (Liquor Licensing Board)</w:t>
      </w:r>
      <w:r w:rsidRPr="003D1D39">
        <w:t xml:space="preserve">, [1987] 2 S.C.R. 59; </w:t>
      </w:r>
      <w:r w:rsidRPr="003D1D39">
        <w:rPr>
          <w:i/>
        </w:rPr>
        <w:t>NIL/TU,O Child and Family Services Society v. B.C. Government and Service Employees’ Union</w:t>
      </w:r>
      <w:r w:rsidRPr="003D1D39">
        <w:t xml:space="preserve">, 2010 SCC 45, [2010] 2 S.C.R. 696; </w:t>
      </w:r>
      <w:r w:rsidRPr="003D1D39">
        <w:rPr>
          <w:i/>
        </w:rPr>
        <w:t>Marine Services International Ltd. v. Ryan Estate</w:t>
      </w:r>
      <w:r w:rsidRPr="003D1D39">
        <w:t xml:space="preserve">, 2013 SCC 44, [2013] 3 S.C.R. 53; </w:t>
      </w:r>
      <w:r w:rsidRPr="003D1D39">
        <w:rPr>
          <w:i/>
        </w:rPr>
        <w:t xml:space="preserve">Law Society of British Columbia v. </w:t>
      </w:r>
      <w:proofErr w:type="spellStart"/>
      <w:r w:rsidRPr="003D1D39">
        <w:rPr>
          <w:i/>
        </w:rPr>
        <w:t>Mangat</w:t>
      </w:r>
      <w:proofErr w:type="spellEnd"/>
      <w:r w:rsidRPr="003D1D39">
        <w:t xml:space="preserve">, 2001 SCC 67, [2001] 3 S.C.R. 113; </w:t>
      </w:r>
      <w:r w:rsidRPr="003D1D39">
        <w:rPr>
          <w:i/>
        </w:rPr>
        <w:t>Quebec (Attorney General) v. Canada (Human Resources and Social Development)</w:t>
      </w:r>
      <w:r w:rsidRPr="003D1D39">
        <w:t xml:space="preserve">, 2011 SCC 60, [2011] 3 S.C.R. 635; </w:t>
      </w:r>
      <w:r w:rsidRPr="003D1D39">
        <w:rPr>
          <w:i/>
        </w:rPr>
        <w:t>Bank of Montreal v. Hall</w:t>
      </w:r>
      <w:r w:rsidRPr="003D1D39">
        <w:t xml:space="preserve">, [1990] 1 S.C.R. 121; </w:t>
      </w:r>
      <w:r w:rsidRPr="003D1D39">
        <w:rPr>
          <w:i/>
        </w:rPr>
        <w:t>Canada (Superintendent of Bankruptcy) v. 407 ETR Concession Company Ltd.</w:t>
      </w:r>
      <w:r w:rsidRPr="003D1D39">
        <w:t xml:space="preserve">, 2013 ONCA 769, 118 O.R. (3d) 161; </w:t>
      </w:r>
      <w:r w:rsidRPr="003D1D39">
        <w:rPr>
          <w:i/>
        </w:rPr>
        <w:t xml:space="preserve">Sun </w:t>
      </w:r>
      <w:proofErr w:type="spellStart"/>
      <w:r w:rsidRPr="003D1D39">
        <w:rPr>
          <w:i/>
        </w:rPr>
        <w:t>Indalex</w:t>
      </w:r>
      <w:proofErr w:type="spellEnd"/>
      <w:r w:rsidRPr="003D1D39">
        <w:rPr>
          <w:i/>
        </w:rPr>
        <w:t xml:space="preserve"> Finance, LLC v. United Steelworkers</w:t>
      </w:r>
      <w:r w:rsidRPr="003D1D39">
        <w:t>, 2013 SCC 6, [2013] 1 S.C.R. 271.</w:t>
      </w:r>
    </w:p>
    <w:p w:rsidR="00FD3770" w:rsidRPr="003D1D39" w:rsidRDefault="00FD3770" w:rsidP="001B50FA">
      <w:pPr>
        <w:pStyle w:val="SCCNormalDoubleSpacing"/>
        <w:widowControl w:val="0"/>
        <w:spacing w:after="720" w:line="240" w:lineRule="auto"/>
      </w:pPr>
      <w:r w:rsidRPr="003D1D39">
        <w:rPr>
          <w:b/>
        </w:rPr>
        <w:t>Statutes and Regulations Cited</w:t>
      </w:r>
    </w:p>
    <w:p w:rsidR="00FD3770" w:rsidRPr="003D1D39" w:rsidRDefault="00FD3770" w:rsidP="001B50FA">
      <w:pPr>
        <w:pStyle w:val="SCCNormalDoubleSpacing"/>
        <w:widowControl w:val="0"/>
        <w:spacing w:before="240" w:after="240" w:line="240" w:lineRule="auto"/>
        <w:ind w:left="547" w:hanging="547"/>
      </w:pPr>
      <w:r w:rsidRPr="003D1D39">
        <w:rPr>
          <w:i/>
        </w:rPr>
        <w:t>Act respecting the preservation of agricultural land and agricultural activities</w:t>
      </w:r>
      <w:r w:rsidRPr="003D1D39">
        <w:t>, R.S.Q., c. P</w:t>
      </w:r>
      <w:r w:rsidRPr="003D1D39">
        <w:noBreakHyphen/>
        <w:t>41.1.</w:t>
      </w:r>
    </w:p>
    <w:p w:rsidR="00FD3770" w:rsidRPr="003D1D39" w:rsidRDefault="00FD3770" w:rsidP="001B50FA">
      <w:pPr>
        <w:pStyle w:val="SCCNormalDoubleSpacing"/>
        <w:widowControl w:val="0"/>
        <w:spacing w:before="240" w:after="240" w:line="240" w:lineRule="auto"/>
        <w:ind w:left="547" w:hanging="547"/>
      </w:pPr>
      <w:r w:rsidRPr="003D1D39">
        <w:rPr>
          <w:i/>
        </w:rPr>
        <w:t>Aeronautics Act</w:t>
      </w:r>
      <w:r w:rsidRPr="003D1D39">
        <w:t>, R.S.C. 1985, c. A</w:t>
      </w:r>
      <w:r w:rsidRPr="003D1D39">
        <w:noBreakHyphen/>
        <w:t>2.</w:t>
      </w:r>
    </w:p>
    <w:p w:rsidR="00FD3770" w:rsidRPr="003D1D39" w:rsidRDefault="00FD3770" w:rsidP="001B50FA">
      <w:pPr>
        <w:pStyle w:val="SCCNormalDoubleSpacing"/>
        <w:widowControl w:val="0"/>
        <w:spacing w:before="240" w:after="240" w:line="240" w:lineRule="auto"/>
        <w:ind w:left="547" w:hanging="547"/>
      </w:pPr>
      <w:r w:rsidRPr="003D1D39">
        <w:rPr>
          <w:i/>
        </w:rPr>
        <w:t>Bankruptcy and Insolvency Act</w:t>
      </w:r>
      <w:r w:rsidRPr="003D1D39">
        <w:t>, R.S.C. 1985, c. B</w:t>
      </w:r>
      <w:r w:rsidRPr="003D1D39">
        <w:noBreakHyphen/>
        <w:t>3, ss. 69.3, 69.4, 72(1), 121(1), 136, 137(1), 139, 140.1, 141, 172, 178.</w:t>
      </w:r>
    </w:p>
    <w:p w:rsidR="00FD3770" w:rsidRPr="003D1D39" w:rsidRDefault="00FD3770" w:rsidP="001B50FA">
      <w:pPr>
        <w:pStyle w:val="SCCNormalDoubleSpacing"/>
        <w:widowControl w:val="0"/>
        <w:spacing w:before="240" w:after="240" w:line="240" w:lineRule="auto"/>
        <w:ind w:left="547" w:hanging="547"/>
      </w:pPr>
      <w:r w:rsidRPr="003D1D39">
        <w:rPr>
          <w:i/>
        </w:rPr>
        <w:t>Companies’ Creditors Arrangement Ac</w:t>
      </w:r>
      <w:r w:rsidRPr="00A848B2">
        <w:rPr>
          <w:i/>
        </w:rPr>
        <w:t>t</w:t>
      </w:r>
      <w:r w:rsidRPr="003D1D39">
        <w:t>, R.S.C. 1985, c. C</w:t>
      </w:r>
      <w:r w:rsidRPr="003D1D39">
        <w:noBreakHyphen/>
        <w:t>36.</w:t>
      </w:r>
    </w:p>
    <w:p w:rsidR="00FD3770" w:rsidRPr="003D1D39" w:rsidRDefault="00FD3770" w:rsidP="001B50FA">
      <w:pPr>
        <w:pStyle w:val="SCCNormalDoubleSpacing"/>
        <w:widowControl w:val="0"/>
        <w:spacing w:before="240" w:after="240" w:line="240" w:lineRule="auto"/>
        <w:ind w:left="547" w:hanging="547"/>
      </w:pPr>
      <w:r w:rsidRPr="003D1D39">
        <w:rPr>
          <w:i/>
        </w:rPr>
        <w:t>Constitution Act, 1867</w:t>
      </w:r>
      <w:r w:rsidRPr="003D1D39">
        <w:t>, ss. 91, 92.</w:t>
      </w:r>
    </w:p>
    <w:p w:rsidR="00FD3770" w:rsidRPr="003D1D39" w:rsidRDefault="00FD3770" w:rsidP="001B50FA">
      <w:pPr>
        <w:pStyle w:val="SCCNormalDoubleSpacing"/>
        <w:widowControl w:val="0"/>
        <w:spacing w:before="240" w:after="240" w:line="240" w:lineRule="auto"/>
        <w:ind w:left="547" w:hanging="547"/>
      </w:pPr>
      <w:r w:rsidRPr="003D1D39">
        <w:rPr>
          <w:i/>
        </w:rPr>
        <w:t>Family Farm Protection Act</w:t>
      </w:r>
      <w:r w:rsidRPr="003D1D39">
        <w:t>, C.C.S.M., c. F15.</w:t>
      </w:r>
    </w:p>
    <w:p w:rsidR="00FD3770" w:rsidRPr="003D1D39" w:rsidRDefault="00FD3770" w:rsidP="001B50FA">
      <w:pPr>
        <w:pStyle w:val="SCCNormalDoubleSpacing"/>
        <w:widowControl w:val="0"/>
        <w:spacing w:before="240" w:after="240" w:line="240" w:lineRule="auto"/>
        <w:ind w:left="547" w:hanging="547"/>
      </w:pPr>
      <w:r w:rsidRPr="003D1D39">
        <w:rPr>
          <w:i/>
        </w:rPr>
        <w:t>Farm Debt Review Act</w:t>
      </w:r>
      <w:r w:rsidRPr="003D1D39">
        <w:t>, R.</w:t>
      </w:r>
      <w:r w:rsidR="000C4869" w:rsidRPr="003D1D39">
        <w:t>S.</w:t>
      </w:r>
      <w:r w:rsidRPr="003D1D39">
        <w:t>C. 1985, c. 25 (2nd Supp.).</w:t>
      </w:r>
    </w:p>
    <w:p w:rsidR="00FD3770" w:rsidRPr="003D1D39" w:rsidRDefault="00FD3770" w:rsidP="001B50FA">
      <w:pPr>
        <w:pStyle w:val="SCCNormalDoubleSpacing"/>
        <w:widowControl w:val="0"/>
        <w:spacing w:before="240" w:after="240" w:line="240" w:lineRule="auto"/>
        <w:ind w:left="547" w:hanging="547"/>
      </w:pPr>
      <w:r w:rsidRPr="003D1D39">
        <w:rPr>
          <w:i/>
        </w:rPr>
        <w:lastRenderedPageBreak/>
        <w:t>Immigration Act</w:t>
      </w:r>
      <w:r w:rsidRPr="003D1D39">
        <w:t>, R.S.C. 1985, c. I</w:t>
      </w:r>
      <w:r w:rsidRPr="003D1D39">
        <w:noBreakHyphen/>
        <w:t>2, ss. 30, 69(1).</w:t>
      </w:r>
    </w:p>
    <w:p w:rsidR="00FD3770" w:rsidRPr="003D1D39" w:rsidRDefault="00FD3770" w:rsidP="001B50FA">
      <w:pPr>
        <w:pStyle w:val="SCCNormalDoubleSpacing"/>
        <w:widowControl w:val="0"/>
        <w:spacing w:before="240" w:after="240" w:line="240" w:lineRule="auto"/>
        <w:ind w:left="547" w:hanging="547"/>
      </w:pPr>
      <w:r w:rsidRPr="003D1D39">
        <w:rPr>
          <w:i/>
        </w:rPr>
        <w:t>Legal Profession Act</w:t>
      </w:r>
      <w:r w:rsidRPr="003D1D39">
        <w:t>, S.B.C. 1987, c. 25, s. 1</w:t>
      </w:r>
      <w:r w:rsidR="00A848B2">
        <w:t xml:space="preserve"> “practice of law”</w:t>
      </w:r>
      <w:r w:rsidRPr="003D1D39">
        <w:t>.</w:t>
      </w:r>
    </w:p>
    <w:p w:rsidR="00FD3770" w:rsidRPr="003D1D39" w:rsidRDefault="00FD3770" w:rsidP="001B50FA">
      <w:pPr>
        <w:pStyle w:val="SCCNormalDoubleSpacing"/>
        <w:widowControl w:val="0"/>
        <w:spacing w:before="240" w:after="240" w:line="240" w:lineRule="auto"/>
        <w:ind w:left="547" w:hanging="547"/>
      </w:pPr>
      <w:r w:rsidRPr="003D1D39">
        <w:rPr>
          <w:i/>
        </w:rPr>
        <w:t>Marine Liability Act</w:t>
      </w:r>
      <w:r w:rsidRPr="003D1D39">
        <w:t>, S.C. 2001, c. 6.</w:t>
      </w:r>
    </w:p>
    <w:p w:rsidR="00FD3770" w:rsidRPr="003D1D39" w:rsidRDefault="00FD3770" w:rsidP="001B50FA">
      <w:pPr>
        <w:pStyle w:val="SCCNormalDoubleSpacing"/>
        <w:widowControl w:val="0"/>
        <w:spacing w:before="240" w:after="240" w:line="240" w:lineRule="auto"/>
        <w:ind w:left="547" w:hanging="547"/>
      </w:pPr>
      <w:r w:rsidRPr="003D1D39">
        <w:rPr>
          <w:i/>
        </w:rPr>
        <w:t>Motor Vehicle Accident Claims Act</w:t>
      </w:r>
      <w:r w:rsidRPr="003D1D39">
        <w:t>, R.S.A. 2000, c. M</w:t>
      </w:r>
      <w:r w:rsidRPr="003D1D39">
        <w:noBreakHyphen/>
        <w:t>22, s. 5(1), (2), (7).</w:t>
      </w:r>
    </w:p>
    <w:p w:rsidR="00FD3770" w:rsidRPr="003D1D39" w:rsidRDefault="00FD3770" w:rsidP="001B50FA">
      <w:pPr>
        <w:pStyle w:val="SCCNormalDoubleSpacing"/>
        <w:widowControl w:val="0"/>
        <w:spacing w:before="240" w:after="240" w:line="240" w:lineRule="auto"/>
        <w:ind w:left="547" w:hanging="547"/>
      </w:pPr>
      <w:r w:rsidRPr="003D1D39">
        <w:rPr>
          <w:i/>
        </w:rPr>
        <w:t>Personal Property Security Act</w:t>
      </w:r>
      <w:r w:rsidRPr="003D1D39">
        <w:t>, R.S.O. 1990, c. P.10.</w:t>
      </w:r>
    </w:p>
    <w:p w:rsidR="00FD3770" w:rsidRPr="003D1D39" w:rsidRDefault="00FD3770" w:rsidP="001B50FA">
      <w:pPr>
        <w:pStyle w:val="SCCNormalDoubleSpacing"/>
        <w:widowControl w:val="0"/>
        <w:spacing w:before="240" w:after="240" w:line="240" w:lineRule="auto"/>
        <w:ind w:left="547" w:hanging="547"/>
      </w:pPr>
      <w:r w:rsidRPr="003D1D39">
        <w:rPr>
          <w:i/>
        </w:rPr>
        <w:t>Tobacco Act</w:t>
      </w:r>
      <w:r w:rsidRPr="003D1D39">
        <w:t>, S.C. 1997, c. 13.</w:t>
      </w:r>
    </w:p>
    <w:p w:rsidR="00FD3770" w:rsidRPr="003D1D39" w:rsidRDefault="00FD3770" w:rsidP="001B50FA">
      <w:pPr>
        <w:pStyle w:val="SCCNormalDoubleSpacing"/>
        <w:widowControl w:val="0"/>
        <w:spacing w:before="240" w:after="240" w:line="240" w:lineRule="auto"/>
        <w:ind w:left="547" w:hanging="547"/>
      </w:pPr>
      <w:r w:rsidRPr="003D1D39">
        <w:rPr>
          <w:i/>
        </w:rPr>
        <w:t>Tobacco Control Act</w:t>
      </w:r>
      <w:r w:rsidRPr="003D1D39">
        <w:t>, S.S. 2001, c. T</w:t>
      </w:r>
      <w:r w:rsidRPr="003D1D39">
        <w:noBreakHyphen/>
        <w:t>14.1.</w:t>
      </w:r>
    </w:p>
    <w:p w:rsidR="00FD3770" w:rsidRPr="003D1D39" w:rsidRDefault="00FD3770" w:rsidP="001B50FA">
      <w:pPr>
        <w:pStyle w:val="SCCNormalDoubleSpacing"/>
        <w:widowControl w:val="0"/>
        <w:spacing w:after="720" w:line="240" w:lineRule="auto"/>
        <w:ind w:left="547" w:hanging="547"/>
      </w:pPr>
      <w:r w:rsidRPr="003D1D39">
        <w:rPr>
          <w:i/>
        </w:rPr>
        <w:t>Traffic Safety Act</w:t>
      </w:r>
      <w:r w:rsidRPr="003D1D39">
        <w:t>, R.S.A. 2000, c. T</w:t>
      </w:r>
      <w:r w:rsidRPr="003D1D39">
        <w:noBreakHyphen/>
        <w:t>6, ss. 54, 102, 103.</w:t>
      </w:r>
    </w:p>
    <w:p w:rsidR="00FD3770" w:rsidRPr="003D1D39" w:rsidRDefault="00FD3770" w:rsidP="001B50FA">
      <w:pPr>
        <w:pStyle w:val="SCCNormalDoubleSpacing"/>
        <w:widowControl w:val="0"/>
        <w:spacing w:after="720" w:line="240" w:lineRule="auto"/>
        <w:rPr>
          <w:b/>
        </w:rPr>
      </w:pPr>
      <w:r w:rsidRPr="003D1D39">
        <w:rPr>
          <w:b/>
        </w:rPr>
        <w:t>Authors Cited</w:t>
      </w:r>
    </w:p>
    <w:p w:rsidR="00FD3770" w:rsidRPr="003D1D39" w:rsidRDefault="00FD3770" w:rsidP="001B50FA">
      <w:pPr>
        <w:pStyle w:val="SCCNormalDoubleSpacing"/>
        <w:widowControl w:val="0"/>
        <w:spacing w:after="240" w:line="240" w:lineRule="auto"/>
        <w:ind w:left="547" w:hanging="547"/>
      </w:pPr>
      <w:r w:rsidRPr="003D1D39">
        <w:t xml:space="preserve">Alberta. Legislative Assembly. </w:t>
      </w:r>
      <w:r w:rsidRPr="003D1D39">
        <w:rPr>
          <w:i/>
        </w:rPr>
        <w:t>Alberta Hansard</w:t>
      </w:r>
      <w:r w:rsidRPr="003D1D39">
        <w:t>, 3rd Sess., 24th Leg., April 12, 1999, p. 927.</w:t>
      </w:r>
    </w:p>
    <w:p w:rsidR="00FD3770" w:rsidRPr="003D1D39" w:rsidRDefault="00FD3770" w:rsidP="001B50FA">
      <w:pPr>
        <w:pStyle w:val="SCCNormalDoubleSpacing"/>
        <w:widowControl w:val="0"/>
        <w:spacing w:after="240" w:line="240" w:lineRule="auto"/>
        <w:ind w:left="547" w:hanging="547"/>
        <w:rPr>
          <w:lang w:val="fr-CA"/>
        </w:rPr>
      </w:pPr>
      <w:r w:rsidRPr="003D1D39">
        <w:rPr>
          <w:i/>
        </w:rPr>
        <w:t>Black’s Law Dictionary</w:t>
      </w:r>
      <w:r w:rsidRPr="003D1D39">
        <w:t xml:space="preserve">, 10th ed. by Bryan A. Garner, ed. </w:t>
      </w:r>
      <w:r w:rsidRPr="003D1D39">
        <w:rPr>
          <w:lang w:val="fr-CA"/>
        </w:rPr>
        <w:t xml:space="preserve">St. Paul, </w:t>
      </w:r>
      <w:proofErr w:type="spellStart"/>
      <w:r w:rsidRPr="003D1D39">
        <w:rPr>
          <w:lang w:val="fr-CA"/>
        </w:rPr>
        <w:t>Minn</w:t>
      </w:r>
      <w:proofErr w:type="spellEnd"/>
      <w:r w:rsidRPr="003D1D39">
        <w:rPr>
          <w:lang w:val="fr-CA"/>
        </w:rPr>
        <w:t>.: Thomson Reuters, 2014, “</w:t>
      </w:r>
      <w:proofErr w:type="spellStart"/>
      <w:r w:rsidRPr="003D1D39">
        <w:rPr>
          <w:lang w:val="fr-CA"/>
        </w:rPr>
        <w:t>enforce</w:t>
      </w:r>
      <w:proofErr w:type="spellEnd"/>
      <w:r w:rsidRPr="003D1D39">
        <w:rPr>
          <w:lang w:val="fr-CA"/>
        </w:rPr>
        <w:t>”, “release”.</w:t>
      </w:r>
    </w:p>
    <w:p w:rsidR="00FD3770" w:rsidRPr="003D1D39" w:rsidRDefault="00FD3770" w:rsidP="001B50FA">
      <w:pPr>
        <w:pStyle w:val="SCCNormalDoubleSpacing"/>
        <w:widowControl w:val="0"/>
        <w:spacing w:after="240" w:line="240" w:lineRule="auto"/>
        <w:ind w:left="547" w:hanging="547"/>
        <w:rPr>
          <w:lang w:val="fr-CA"/>
        </w:rPr>
      </w:pPr>
      <w:r w:rsidRPr="003D1D39">
        <w:rPr>
          <w:lang w:val="fr-CA"/>
        </w:rPr>
        <w:t xml:space="preserve">Brun, Henri, Guy Tremblay et Eugénie Brouillet. </w:t>
      </w:r>
      <w:r w:rsidRPr="003D1D39">
        <w:rPr>
          <w:i/>
          <w:lang w:val="fr-CA"/>
        </w:rPr>
        <w:t>Droit constitutionnel</w:t>
      </w:r>
      <w:r w:rsidRPr="003D1D39">
        <w:rPr>
          <w:lang w:val="fr-CA"/>
        </w:rPr>
        <w:t>, 6</w:t>
      </w:r>
      <w:r w:rsidRPr="003D1D39">
        <w:rPr>
          <w:vertAlign w:val="superscript"/>
          <w:lang w:val="fr-CA"/>
        </w:rPr>
        <w:t>e</w:t>
      </w:r>
      <w:r w:rsidRPr="003D1D39">
        <w:rPr>
          <w:lang w:val="fr-CA"/>
        </w:rPr>
        <w:t xml:space="preserve"> éd. </w:t>
      </w:r>
      <w:proofErr w:type="spellStart"/>
      <w:r w:rsidRPr="003D1D39">
        <w:rPr>
          <w:lang w:val="fr-CA"/>
        </w:rPr>
        <w:t>Cowansville</w:t>
      </w:r>
      <w:proofErr w:type="spellEnd"/>
      <w:r w:rsidRPr="003D1D39">
        <w:rPr>
          <w:lang w:val="fr-CA"/>
        </w:rPr>
        <w:t>, Qu</w:t>
      </w:r>
      <w:r w:rsidR="000C4869">
        <w:rPr>
          <w:lang w:val="fr-CA"/>
        </w:rPr>
        <w:t>e</w:t>
      </w:r>
      <w:r w:rsidRPr="003D1D39">
        <w:rPr>
          <w:lang w:val="fr-CA"/>
        </w:rPr>
        <w:t>.: Yvon Blais, 2014.</w:t>
      </w:r>
    </w:p>
    <w:p w:rsidR="00FD3770" w:rsidRPr="003D1D39" w:rsidRDefault="00FD3770" w:rsidP="001B50FA">
      <w:pPr>
        <w:pStyle w:val="SCCNormalDoubleSpacing"/>
        <w:widowControl w:val="0"/>
        <w:spacing w:after="240" w:line="240" w:lineRule="auto"/>
        <w:ind w:left="547" w:hanging="547"/>
      </w:pPr>
      <w:r w:rsidRPr="003D1D39">
        <w:t xml:space="preserve">Canada. Study Committee on Bankruptcy and Insolvency Legislation. </w:t>
      </w:r>
      <w:r w:rsidRPr="003D1D39">
        <w:rPr>
          <w:i/>
        </w:rPr>
        <w:t>Bankruptcy and Insolvency: Report of the Study Committee on Bankruptcy and Insolvency Legislation</w:t>
      </w:r>
      <w:r w:rsidRPr="003D1D39">
        <w:t>. Ottawa: Information Canada, 1970.</w:t>
      </w:r>
    </w:p>
    <w:p w:rsidR="00FD3770" w:rsidRPr="003D1D39" w:rsidRDefault="00FD3770" w:rsidP="001B50FA">
      <w:pPr>
        <w:pStyle w:val="SCCNormalDoubleSpacing"/>
        <w:widowControl w:val="0"/>
        <w:spacing w:after="240" w:line="240" w:lineRule="auto"/>
        <w:ind w:left="547" w:hanging="547"/>
      </w:pPr>
      <w:r w:rsidRPr="003D1D39">
        <w:t xml:space="preserve">Colvin, Eric. “Constitutional Law — Paramountcy — Duplication and Express Contradiction — Multiple Access Ltd. v. McCutcheon” (1983), 17 </w:t>
      </w:r>
      <w:r w:rsidRPr="003D1D39">
        <w:rPr>
          <w:i/>
        </w:rPr>
        <w:t>U.B.C. L. Rev.</w:t>
      </w:r>
      <w:r w:rsidRPr="003D1D39">
        <w:t xml:space="preserve"> 347.</w:t>
      </w:r>
    </w:p>
    <w:p w:rsidR="00FD3770" w:rsidRPr="003D1D39" w:rsidRDefault="00FD3770" w:rsidP="001B50FA">
      <w:pPr>
        <w:pStyle w:val="SCCNormalDoubleSpacing"/>
        <w:widowControl w:val="0"/>
        <w:spacing w:after="240" w:line="240" w:lineRule="auto"/>
        <w:ind w:left="547" w:hanging="547"/>
      </w:pPr>
      <w:r w:rsidRPr="003D1D39">
        <w:t xml:space="preserve">Hogg, Peter W. </w:t>
      </w:r>
      <w:r w:rsidRPr="003D1D39">
        <w:rPr>
          <w:i/>
        </w:rPr>
        <w:t>Constitutional Law of Canada</w:t>
      </w:r>
      <w:r w:rsidR="000826F7">
        <w:t>, 5th ed. Supp</w:t>
      </w:r>
      <w:r w:rsidRPr="003D1D39">
        <w:t>. Toronto: Carswell, 2007 (updated 2014, release 1).</w:t>
      </w:r>
    </w:p>
    <w:p w:rsidR="00FD3770" w:rsidRPr="003D1D39" w:rsidRDefault="00FD3770" w:rsidP="001B50FA">
      <w:pPr>
        <w:pStyle w:val="SCCNormalDoubleSpacing"/>
        <w:widowControl w:val="0"/>
        <w:spacing w:after="240" w:line="240" w:lineRule="auto"/>
        <w:ind w:left="547" w:hanging="547"/>
      </w:pPr>
      <w:r w:rsidRPr="003D1D39">
        <w:t xml:space="preserve">Hogg, Peter W. “Paramountcy and Tobacco” (2006), 34 </w:t>
      </w:r>
      <w:r w:rsidRPr="003D1D39">
        <w:rPr>
          <w:i/>
        </w:rPr>
        <w:t>S.C.L.R.</w:t>
      </w:r>
      <w:r w:rsidRPr="003D1D39">
        <w:t xml:space="preserve"> (2d) 335.</w:t>
      </w:r>
    </w:p>
    <w:p w:rsidR="00FD3770" w:rsidRPr="003D1D39" w:rsidRDefault="00FD3770" w:rsidP="001B50FA">
      <w:pPr>
        <w:pStyle w:val="SCCNormalDoubleSpacing"/>
        <w:widowControl w:val="0"/>
        <w:spacing w:after="240" w:line="240" w:lineRule="auto"/>
        <w:ind w:left="547" w:hanging="547"/>
      </w:pPr>
      <w:proofErr w:type="spellStart"/>
      <w:r w:rsidRPr="003D1D39">
        <w:t>Houlden</w:t>
      </w:r>
      <w:proofErr w:type="spellEnd"/>
      <w:r w:rsidRPr="003D1D39">
        <w:t xml:space="preserve">, L. W., G. B. </w:t>
      </w:r>
      <w:proofErr w:type="spellStart"/>
      <w:r w:rsidRPr="003D1D39">
        <w:t>Morawetz</w:t>
      </w:r>
      <w:proofErr w:type="spellEnd"/>
      <w:r w:rsidRPr="003D1D39">
        <w:t xml:space="preserve"> and Janis </w:t>
      </w:r>
      <w:proofErr w:type="spellStart"/>
      <w:r w:rsidRPr="003D1D39">
        <w:t>Sarra</w:t>
      </w:r>
      <w:proofErr w:type="spellEnd"/>
      <w:r w:rsidRPr="003D1D39">
        <w:t xml:space="preserve">. </w:t>
      </w:r>
      <w:r w:rsidRPr="003D1D39">
        <w:rPr>
          <w:i/>
        </w:rPr>
        <w:t>Bankruptcy and Insolvency Law of Canada</w:t>
      </w:r>
      <w:r w:rsidRPr="003D1D39">
        <w:t>, 4th ed. (rev.). Toronto: Carswell, 2013 (updated 2015, release 6).</w:t>
      </w:r>
    </w:p>
    <w:p w:rsidR="00FD3770" w:rsidRPr="003D1D39" w:rsidRDefault="00FD3770" w:rsidP="001B50FA">
      <w:pPr>
        <w:pStyle w:val="SCCNormalDoubleSpacing"/>
        <w:widowControl w:val="0"/>
        <w:spacing w:after="720" w:line="240" w:lineRule="auto"/>
        <w:ind w:left="547" w:hanging="547"/>
      </w:pPr>
      <w:r w:rsidRPr="003D1D39">
        <w:lastRenderedPageBreak/>
        <w:t xml:space="preserve">Wood, Roderick J. </w:t>
      </w:r>
      <w:r w:rsidRPr="003D1D39">
        <w:rPr>
          <w:i/>
        </w:rPr>
        <w:t>Bankruptcy and Insolvency Law</w:t>
      </w:r>
      <w:r w:rsidRPr="003D1D39">
        <w:t>. Toronto: Irwin Law, 2009.</w:t>
      </w:r>
    </w:p>
    <w:p w:rsidR="00FD3770" w:rsidRPr="003D1D39" w:rsidRDefault="00FD3770" w:rsidP="001B50FA">
      <w:pPr>
        <w:pStyle w:val="SCCNormalDoubleSpacing"/>
        <w:widowControl w:val="0"/>
        <w:spacing w:before="480" w:after="480"/>
      </w:pPr>
      <w:r w:rsidRPr="003D1D39">
        <w:tab/>
        <w:t xml:space="preserve">APPEAL from a judgment of the Alberta Court of Appeal (Berger, Watson and </w:t>
      </w:r>
      <w:proofErr w:type="spellStart"/>
      <w:r w:rsidRPr="003D1D39">
        <w:t>Slatter</w:t>
      </w:r>
      <w:proofErr w:type="spellEnd"/>
      <w:r w:rsidRPr="003D1D39">
        <w:t xml:space="preserve"> JJ.A.), 2014 ABCA 68, 91 Alta. L.R. (5th) 221, 569 A.R. 177, 370 D.L.R. (4th) 267, 9 C.B.R. (6th) 278, 64 M.V.R. (6th) 82, [2014] 4 W.W.R. 272, [2014] A.J. No. 155 (QL), 2014 </w:t>
      </w:r>
      <w:proofErr w:type="spellStart"/>
      <w:r w:rsidRPr="003D1D39">
        <w:t>CarswellAlta</w:t>
      </w:r>
      <w:proofErr w:type="spellEnd"/>
      <w:r w:rsidRPr="003D1D39">
        <w:t xml:space="preserve"> 225 (WL Can.), affirming a decision of Moen J., 2012 ABQB 644, 73 Alta. L.R. (5th) 44, 550 A.R. 257, 39 M.V.R. (6th) 21, [2012] A.J. No. 1094 (QL), 2012 </w:t>
      </w:r>
      <w:proofErr w:type="spellStart"/>
      <w:r w:rsidRPr="003D1D39">
        <w:t>CarswellAlta</w:t>
      </w:r>
      <w:proofErr w:type="spellEnd"/>
      <w:r w:rsidRPr="003D1D39">
        <w:t xml:space="preserve"> 1757 (WL Can.). Appeal dismissed.</w:t>
      </w:r>
    </w:p>
    <w:p w:rsidR="00FD3770" w:rsidRPr="003D1D39" w:rsidRDefault="00FD3770" w:rsidP="001B50FA">
      <w:pPr>
        <w:pStyle w:val="SCCNormalDoubleSpacing"/>
        <w:widowControl w:val="0"/>
        <w:spacing w:before="480" w:after="480"/>
      </w:pPr>
      <w:r w:rsidRPr="003D1D39">
        <w:rPr>
          <w:rStyle w:val="SCCCounselNameChar"/>
        </w:rPr>
        <w:tab/>
        <w:t xml:space="preserve">Lillian </w:t>
      </w:r>
      <w:proofErr w:type="spellStart"/>
      <w:r w:rsidRPr="003D1D39">
        <w:rPr>
          <w:rStyle w:val="SCCCounselNameChar"/>
        </w:rPr>
        <w:t>Riczu</w:t>
      </w:r>
      <w:proofErr w:type="spellEnd"/>
      <w:r w:rsidRPr="003D1D39">
        <w:rPr>
          <w:rStyle w:val="SCCCounselPartyRoleChar"/>
        </w:rPr>
        <w:t>, for the appellant.</w:t>
      </w:r>
    </w:p>
    <w:p w:rsidR="00FD3770" w:rsidRPr="003D1D39" w:rsidRDefault="00FD3770" w:rsidP="001B50FA">
      <w:pPr>
        <w:pStyle w:val="SCCNormalDoubleSpacing"/>
        <w:widowControl w:val="0"/>
        <w:spacing w:before="480" w:after="480"/>
      </w:pPr>
      <w:r w:rsidRPr="003D1D39">
        <w:rPr>
          <w:rStyle w:val="SCCCounselNameChar"/>
        </w:rPr>
        <w:tab/>
        <w:t>R. Jeremy Newton</w:t>
      </w:r>
      <w:r w:rsidRPr="003D1D39">
        <w:rPr>
          <w:rStyle w:val="SCCCounselPartyRoleChar"/>
        </w:rPr>
        <w:t>, for the respondent.</w:t>
      </w:r>
    </w:p>
    <w:p w:rsidR="00FD3770" w:rsidRPr="003D1D39" w:rsidRDefault="00FD3770" w:rsidP="001B50FA">
      <w:pPr>
        <w:pStyle w:val="SCCNormalDoubleSpacing"/>
        <w:widowControl w:val="0"/>
        <w:spacing w:before="480" w:after="480"/>
      </w:pPr>
      <w:r w:rsidRPr="003D1D39">
        <w:rPr>
          <w:rStyle w:val="SCCCounselNameChar"/>
        </w:rPr>
        <w:tab/>
        <w:t>Josh Hunter</w:t>
      </w:r>
      <w:r w:rsidRPr="003D1D39">
        <w:rPr>
          <w:rStyle w:val="SCCCounselSeparatorChar"/>
        </w:rPr>
        <w:t xml:space="preserve"> and </w:t>
      </w:r>
      <w:r w:rsidRPr="003D1D39">
        <w:rPr>
          <w:rStyle w:val="SCCCounselNameChar"/>
        </w:rPr>
        <w:t xml:space="preserve">Daniel </w:t>
      </w:r>
      <w:proofErr w:type="spellStart"/>
      <w:r w:rsidRPr="003D1D39">
        <w:rPr>
          <w:rStyle w:val="SCCCounselNameChar"/>
        </w:rPr>
        <w:t>Huffaker</w:t>
      </w:r>
      <w:proofErr w:type="spellEnd"/>
      <w:r w:rsidRPr="003D1D39">
        <w:rPr>
          <w:rStyle w:val="SCCCounselPartyRoleChar"/>
        </w:rPr>
        <w:t>, for the intervener the Attorney General of Ontario.</w:t>
      </w:r>
    </w:p>
    <w:p w:rsidR="00FD3770" w:rsidRPr="003D1D39" w:rsidRDefault="00FD3770" w:rsidP="001B50FA">
      <w:pPr>
        <w:pStyle w:val="SCCNormalDoubleSpacing"/>
        <w:widowControl w:val="0"/>
        <w:spacing w:before="480" w:after="480"/>
      </w:pPr>
      <w:r w:rsidRPr="003D1D39">
        <w:rPr>
          <w:rStyle w:val="SCCCounselNameChar"/>
        </w:rPr>
        <w:tab/>
        <w:t xml:space="preserve">Alain </w:t>
      </w:r>
      <w:proofErr w:type="spellStart"/>
      <w:r w:rsidRPr="003D1D39">
        <w:rPr>
          <w:rStyle w:val="SCCCounselNameChar"/>
        </w:rPr>
        <w:t>Gingras</w:t>
      </w:r>
      <w:proofErr w:type="spellEnd"/>
      <w:r w:rsidRPr="003D1D39">
        <w:rPr>
          <w:rStyle w:val="SCCCounselPartyRoleChar"/>
        </w:rPr>
        <w:t>, for the intervener the Attorney General of Quebec.</w:t>
      </w:r>
    </w:p>
    <w:p w:rsidR="00FD3770" w:rsidRPr="003D1D39" w:rsidRDefault="00FD3770" w:rsidP="001B50FA">
      <w:pPr>
        <w:pStyle w:val="SCCNormalDoubleSpacing"/>
        <w:widowControl w:val="0"/>
        <w:spacing w:before="480" w:after="480"/>
      </w:pPr>
      <w:r w:rsidRPr="003D1D39">
        <w:rPr>
          <w:rStyle w:val="SCCCounselNameChar"/>
        </w:rPr>
        <w:tab/>
        <w:t>Richard M. Butler</w:t>
      </w:r>
      <w:r w:rsidRPr="003D1D39">
        <w:rPr>
          <w:rStyle w:val="SCCCounselPartyRoleChar"/>
        </w:rPr>
        <w:t>, for the intervener the Attorney General of British Columbia.</w:t>
      </w:r>
    </w:p>
    <w:p w:rsidR="00FD3770" w:rsidRPr="003D1D39" w:rsidRDefault="00FD3770" w:rsidP="001B50FA">
      <w:pPr>
        <w:pStyle w:val="SCCNormalDoubleSpacing"/>
        <w:widowControl w:val="0"/>
        <w:spacing w:before="480" w:after="480"/>
      </w:pPr>
      <w:r w:rsidRPr="003D1D39">
        <w:rPr>
          <w:rStyle w:val="SCCCounselNameChar"/>
        </w:rPr>
        <w:tab/>
        <w:t>Thomson Irvine</w:t>
      </w:r>
      <w:r w:rsidRPr="003D1D39">
        <w:rPr>
          <w:rStyle w:val="SCCCounselPartyRoleChar"/>
        </w:rPr>
        <w:t>, for the intervener the Attorney General for Saskatchewan.</w:t>
      </w:r>
    </w:p>
    <w:p w:rsidR="0041261D" w:rsidRDefault="00FD3770" w:rsidP="001B50FA">
      <w:pPr>
        <w:pStyle w:val="SCCNormalDoubleSpacing"/>
        <w:widowControl w:val="0"/>
        <w:spacing w:before="480" w:after="480"/>
        <w:rPr>
          <w:rStyle w:val="SCCCounselPartyRoleChar"/>
        </w:rPr>
      </w:pPr>
      <w:r w:rsidRPr="003D1D39">
        <w:rPr>
          <w:rStyle w:val="SCCCounselNameChar"/>
        </w:rPr>
        <w:lastRenderedPageBreak/>
        <w:tab/>
        <w:t>Peter Southey</w:t>
      </w:r>
      <w:r w:rsidRPr="003D1D39">
        <w:rPr>
          <w:rStyle w:val="SCCCounselSeparatorChar"/>
        </w:rPr>
        <w:t xml:space="preserve"> and </w:t>
      </w:r>
      <w:r w:rsidRPr="003D1D39">
        <w:rPr>
          <w:rStyle w:val="SCCCounselNameChar"/>
        </w:rPr>
        <w:t xml:space="preserve">Michael </w:t>
      </w:r>
      <w:proofErr w:type="spellStart"/>
      <w:r w:rsidRPr="003D1D39">
        <w:rPr>
          <w:rStyle w:val="SCCCounselNameChar"/>
        </w:rPr>
        <w:t>Lema</w:t>
      </w:r>
      <w:proofErr w:type="spellEnd"/>
      <w:r w:rsidRPr="003D1D39">
        <w:rPr>
          <w:rStyle w:val="SCCCounselPartyRoleChar"/>
        </w:rPr>
        <w:t>, for the intervener the Superintendent of Bankruptcy.</w:t>
      </w:r>
    </w:p>
    <w:p w:rsidR="0041261D" w:rsidRPr="003D1D39" w:rsidRDefault="0041261D" w:rsidP="001B50FA">
      <w:pPr>
        <w:pStyle w:val="SCCNormalDoubleSpacing"/>
        <w:widowControl w:val="0"/>
        <w:spacing w:before="480" w:after="480"/>
      </w:pPr>
      <w:r>
        <w:rPr>
          <w:rStyle w:val="SCCCounselPartyRoleChar"/>
        </w:rPr>
        <w:tab/>
        <w:t xml:space="preserve">The judgment of </w:t>
      </w:r>
      <w:proofErr w:type="spellStart"/>
      <w:r>
        <w:rPr>
          <w:rStyle w:val="SCCCounselPartyRoleChar"/>
        </w:rPr>
        <w:t>Abella</w:t>
      </w:r>
      <w:proofErr w:type="spellEnd"/>
      <w:r>
        <w:rPr>
          <w:rStyle w:val="SCCCounselPartyRoleChar"/>
        </w:rPr>
        <w:t xml:space="preserve">, Rothstein, Cromwell, </w:t>
      </w:r>
      <w:proofErr w:type="spellStart"/>
      <w:r>
        <w:rPr>
          <w:rStyle w:val="SCCCounselPartyRoleChar"/>
        </w:rPr>
        <w:t>Moldaver</w:t>
      </w:r>
      <w:proofErr w:type="spellEnd"/>
      <w:r>
        <w:rPr>
          <w:rStyle w:val="SCCCounselPartyRoleChar"/>
        </w:rPr>
        <w:t xml:space="preserve">, </w:t>
      </w:r>
      <w:proofErr w:type="spellStart"/>
      <w:r>
        <w:rPr>
          <w:rStyle w:val="SCCCounselPartyRoleChar"/>
        </w:rPr>
        <w:t>Karakatsanis</w:t>
      </w:r>
      <w:proofErr w:type="spellEnd"/>
      <w:r>
        <w:rPr>
          <w:rStyle w:val="SCCCounselPartyRoleChar"/>
        </w:rPr>
        <w:t xml:space="preserve">, Wagner and </w:t>
      </w:r>
      <w:proofErr w:type="spellStart"/>
      <w:r>
        <w:rPr>
          <w:rStyle w:val="SCCCounselPartyRoleChar"/>
        </w:rPr>
        <w:t>Gascon</w:t>
      </w:r>
      <w:proofErr w:type="spellEnd"/>
      <w:r>
        <w:rPr>
          <w:rStyle w:val="SCCCounselPartyRoleChar"/>
        </w:rPr>
        <w:t xml:space="preserve"> </w:t>
      </w:r>
      <w:r w:rsidR="000C4869">
        <w:rPr>
          <w:rStyle w:val="SCCCounselPartyRoleChar"/>
        </w:rPr>
        <w:t xml:space="preserve">JJ. </w:t>
      </w:r>
      <w:proofErr w:type="gramStart"/>
      <w:r>
        <w:rPr>
          <w:rStyle w:val="SCCCounselPartyRoleChar"/>
        </w:rPr>
        <w:t>was</w:t>
      </w:r>
      <w:proofErr w:type="gramEnd"/>
      <w:r>
        <w:rPr>
          <w:rStyle w:val="SCCCounselPartyRoleChar"/>
        </w:rPr>
        <w:t xml:space="preserve"> delivered by</w:t>
      </w:r>
    </w:p>
    <w:p w:rsidR="00696B09" w:rsidRPr="002A2F47" w:rsidRDefault="00696B09" w:rsidP="001B50FA">
      <w:pPr>
        <w:pStyle w:val="JudgeJuge"/>
        <w:widowControl w:val="0"/>
      </w:pPr>
      <w:r w:rsidRPr="002A2F47">
        <w:tab/>
      </w:r>
      <w:proofErr w:type="spellStart"/>
      <w:r w:rsidRPr="002A2F47">
        <w:t>Gascon</w:t>
      </w:r>
      <w:proofErr w:type="spellEnd"/>
      <w:r w:rsidRPr="002A2F47">
        <w:t xml:space="preserve"> J. </w:t>
      </w:r>
      <w:r w:rsidR="000C4869">
        <w:t>—</w:t>
      </w:r>
      <w:r w:rsidRPr="002A2F47">
        <w:t xml:space="preserve"> </w:t>
      </w:r>
    </w:p>
    <w:p w:rsidR="00696B09" w:rsidRPr="002A2F47" w:rsidRDefault="00696B09" w:rsidP="001B50FA">
      <w:pPr>
        <w:pStyle w:val="Title1LevelTitre1Niveau-AltL"/>
        <w:widowControl w:val="0"/>
        <w:numPr>
          <w:ilvl w:val="0"/>
          <w:numId w:val="8"/>
        </w:numPr>
        <w:spacing w:line="276" w:lineRule="auto"/>
        <w:rPr>
          <w:rFonts w:cs="Times New Roman"/>
        </w:rPr>
      </w:pPr>
      <w:r w:rsidRPr="002A2F47">
        <w:rPr>
          <w:rFonts w:cs="Times New Roman"/>
        </w:rPr>
        <w:t>Overview</w:t>
      </w:r>
    </w:p>
    <w:p w:rsidR="00696B09" w:rsidRPr="002A2F47" w:rsidRDefault="00696B09" w:rsidP="001B50FA">
      <w:pPr>
        <w:pStyle w:val="ParaNoNdepar-AltN"/>
        <w:widowControl w:val="0"/>
        <w:rPr>
          <w:rFonts w:cs="Times New Roman"/>
        </w:rPr>
      </w:pPr>
      <w:r w:rsidRPr="002A2F47">
        <w:rPr>
          <w:rFonts w:cs="Times New Roman"/>
        </w:rPr>
        <w:t xml:space="preserve">In Canada, the federal and provincial levels of government must enact laws within the limits of their respective spheres of jurisdiction.  The </w:t>
      </w:r>
      <w:r w:rsidRPr="002A2F47">
        <w:rPr>
          <w:rFonts w:cs="Times New Roman"/>
          <w:i/>
        </w:rPr>
        <w:t>Constitution Act, 1867</w:t>
      </w:r>
      <w:r w:rsidRPr="002A2F47">
        <w:rPr>
          <w:rFonts w:cs="Times New Roman"/>
        </w:rPr>
        <w:t xml:space="preserve"> defines which matters fall within the exclusive legislative authority of each level.  Still, even when acting within its own sphere, one level of government will sometimes affect matters within the other’s sphere of jurisdiction.  The resulting legislative overlap may, on occasion, lead to a conflict between otherwise valid federal and provincial laws.  In this appeal, the Court must decide whether such a conflict exists, and if so, resolve it.</w:t>
      </w:r>
    </w:p>
    <w:p w:rsidR="00696B09" w:rsidRPr="002A2F47" w:rsidRDefault="00696B09" w:rsidP="001B50FA">
      <w:pPr>
        <w:pStyle w:val="ParaNoNdepar-AltN"/>
        <w:widowControl w:val="0"/>
        <w:rPr>
          <w:rFonts w:cs="Times New Roman"/>
        </w:rPr>
      </w:pPr>
      <w:r w:rsidRPr="002A2F47">
        <w:rPr>
          <w:rFonts w:cs="Times New Roman"/>
        </w:rPr>
        <w:t xml:space="preserve">The alleged conflict in this case concerns, on the one hand, the federal </w:t>
      </w:r>
      <w:r w:rsidRPr="002A2F47">
        <w:rPr>
          <w:rFonts w:cs="Times New Roman"/>
          <w:i/>
        </w:rPr>
        <w:t>Bankruptcy and Insolvency Act</w:t>
      </w:r>
      <w:r w:rsidRPr="002A2F47">
        <w:rPr>
          <w:rFonts w:cs="Times New Roman"/>
        </w:rPr>
        <w:t>, R.S.C. 1985, c. B-3 (“</w:t>
      </w:r>
      <w:r w:rsidRPr="002A2F47">
        <w:rPr>
          <w:rFonts w:cs="Times New Roman"/>
          <w:i/>
        </w:rPr>
        <w:t>BIA</w:t>
      </w:r>
      <w:r w:rsidRPr="002A2F47">
        <w:rPr>
          <w:rFonts w:cs="Times New Roman"/>
        </w:rPr>
        <w:t xml:space="preserve">”), and on the other hand, Alberta’s </w:t>
      </w:r>
      <w:r w:rsidRPr="002A2F47">
        <w:rPr>
          <w:rFonts w:cs="Times New Roman"/>
          <w:i/>
        </w:rPr>
        <w:t>Traffic Safety Act</w:t>
      </w:r>
      <w:r w:rsidRPr="002A2F47">
        <w:rPr>
          <w:rFonts w:cs="Times New Roman"/>
        </w:rPr>
        <w:t>, R.S.A. 2000, c. T-6 (“</w:t>
      </w:r>
      <w:r w:rsidRPr="002A2F47">
        <w:rPr>
          <w:rFonts w:cs="Times New Roman"/>
          <w:i/>
        </w:rPr>
        <w:t>TSA</w:t>
      </w:r>
      <w:r w:rsidRPr="002A2F47">
        <w:rPr>
          <w:rFonts w:cs="Times New Roman"/>
        </w:rPr>
        <w:t xml:space="preserve">”).  It stems from a car accident caused by the respondent while he was uninsured, contrary to s. 54 of the </w:t>
      </w:r>
      <w:r w:rsidRPr="002A2F47">
        <w:rPr>
          <w:rFonts w:cs="Times New Roman"/>
          <w:i/>
        </w:rPr>
        <w:t>TSA</w:t>
      </w:r>
      <w:r w:rsidRPr="002A2F47">
        <w:rPr>
          <w:rFonts w:cs="Times New Roman"/>
        </w:rPr>
        <w:t xml:space="preserve">.  The province of Alberta compensated the individual injured in the accident and sought to </w:t>
      </w:r>
      <w:r w:rsidRPr="002A2F47">
        <w:rPr>
          <w:rFonts w:cs="Times New Roman"/>
        </w:rPr>
        <w:lastRenderedPageBreak/>
        <w:t xml:space="preserve">recover the amount of the compensation from the respondent.  The latter, however, made an assignment in bankruptcy and was eventually discharged.  The </w:t>
      </w:r>
      <w:r w:rsidRPr="002A2F47">
        <w:rPr>
          <w:rFonts w:cs="Times New Roman"/>
          <w:i/>
        </w:rPr>
        <w:t>BIA</w:t>
      </w:r>
      <w:r w:rsidRPr="002A2F47">
        <w:rPr>
          <w:rFonts w:cs="Times New Roman"/>
        </w:rPr>
        <w:t xml:space="preserve"> governs bankruptcy and provides that, upon discharge, the respondent is released from all debts that are claims provable in bankruptcy.  The </w:t>
      </w:r>
      <w:r w:rsidRPr="002A2F47">
        <w:rPr>
          <w:rFonts w:cs="Times New Roman"/>
          <w:i/>
        </w:rPr>
        <w:t>TSA</w:t>
      </w:r>
      <w:r w:rsidRPr="002A2F47">
        <w:rPr>
          <w:rFonts w:cs="Times New Roman"/>
        </w:rPr>
        <w:t xml:space="preserve"> governs the activity of driving, including vehicle permits and driver’s licences, and allows the province to suspend the respondent’s licence and permits until he pays the amount of the compensation. </w:t>
      </w:r>
    </w:p>
    <w:p w:rsidR="00696B09" w:rsidRPr="002A2F47" w:rsidRDefault="00696B09" w:rsidP="001B50FA">
      <w:pPr>
        <w:pStyle w:val="ParaNoNdepar-AltN"/>
        <w:widowControl w:val="0"/>
        <w:rPr>
          <w:rFonts w:cs="Times New Roman"/>
        </w:rPr>
      </w:pPr>
      <w:r w:rsidRPr="002A2F47">
        <w:rPr>
          <w:rFonts w:cs="Times New Roman"/>
        </w:rPr>
        <w:t xml:space="preserve">As a result of his bankruptcy and subsequent discharge, the respondent did not pay the amount of the compensation in full; because of this failure to pay, Alberta suspended his vehicle permits and driver’s licence.  The respondent contested this suspension, arguing that the </w:t>
      </w:r>
      <w:r w:rsidRPr="002A2F47">
        <w:rPr>
          <w:rFonts w:cs="Times New Roman"/>
          <w:i/>
        </w:rPr>
        <w:t>TSA</w:t>
      </w:r>
      <w:r w:rsidRPr="002A2F47">
        <w:rPr>
          <w:rFonts w:cs="Times New Roman"/>
        </w:rPr>
        <w:t xml:space="preserve"> conflicted with the </w:t>
      </w:r>
      <w:r w:rsidRPr="002A2F47">
        <w:rPr>
          <w:rFonts w:cs="Times New Roman"/>
          <w:i/>
        </w:rPr>
        <w:t>BIA</w:t>
      </w:r>
      <w:r w:rsidRPr="002A2F47">
        <w:rPr>
          <w:rFonts w:cs="Times New Roman"/>
        </w:rPr>
        <w:t xml:space="preserve">, in that it frustrated the purposes of bankruptcy.  The province replied that there was no conflict since the </w:t>
      </w:r>
      <w:r w:rsidRPr="002A2F47">
        <w:rPr>
          <w:rFonts w:cs="Times New Roman"/>
          <w:i/>
        </w:rPr>
        <w:t>TSA</w:t>
      </w:r>
      <w:r w:rsidRPr="002A2F47">
        <w:rPr>
          <w:rFonts w:cs="Times New Roman"/>
        </w:rPr>
        <w:t xml:space="preserve"> was regulatory in nature and did not purport to enforce a discharged debt.  The Court of Queen’s Bench and the Court of Appeal found that there was a conflict between the federal and provincial laws.  Relying on the doctrine of federal paramountcy, they declared the impugned provision of the </w:t>
      </w:r>
      <w:r w:rsidRPr="002A2F47">
        <w:rPr>
          <w:rFonts w:cs="Times New Roman"/>
          <w:i/>
        </w:rPr>
        <w:t>TSA</w:t>
      </w:r>
      <w:r w:rsidRPr="002A2F47">
        <w:rPr>
          <w:rFonts w:cs="Times New Roman"/>
        </w:rPr>
        <w:t xml:space="preserve"> to be inoperative to the extent of the conflict.  I agree with the outcome reached by the lower courts, and I would dismiss the appeal.</w:t>
      </w:r>
    </w:p>
    <w:p w:rsidR="00696B09" w:rsidRPr="002A2F47" w:rsidRDefault="00696B09" w:rsidP="001B50FA">
      <w:pPr>
        <w:pStyle w:val="Title1LevelTitre1Niveau-AltL"/>
        <w:widowControl w:val="0"/>
        <w:numPr>
          <w:ilvl w:val="0"/>
          <w:numId w:val="8"/>
        </w:numPr>
        <w:spacing w:line="276" w:lineRule="auto"/>
        <w:rPr>
          <w:rFonts w:cs="Times New Roman"/>
        </w:rPr>
      </w:pPr>
      <w:bookmarkStart w:id="2" w:name="_Toc412109557"/>
      <w:bookmarkStart w:id="3" w:name="_Toc421615783"/>
      <w:r w:rsidRPr="002A2F47">
        <w:rPr>
          <w:rFonts w:cs="Times New Roman"/>
        </w:rPr>
        <w:t>Facts</w:t>
      </w:r>
      <w:bookmarkEnd w:id="2"/>
      <w:bookmarkEnd w:id="3"/>
    </w:p>
    <w:p w:rsidR="00696B09" w:rsidRPr="002A2F47" w:rsidRDefault="00696B09" w:rsidP="001B50FA">
      <w:pPr>
        <w:pStyle w:val="ParaNoNdepar-AltN"/>
        <w:widowControl w:val="0"/>
        <w:rPr>
          <w:rFonts w:cs="Times New Roman"/>
        </w:rPr>
      </w:pPr>
      <w:r w:rsidRPr="002A2F47">
        <w:rPr>
          <w:rFonts w:cs="Times New Roman"/>
        </w:rPr>
        <w:t xml:space="preserve">The car accident caused by the respondent occurred in 1989.  In 1996, the individual injured in the accident obtained judgment against the respondent in the </w:t>
      </w:r>
      <w:r w:rsidRPr="002A2F47">
        <w:rPr>
          <w:rFonts w:cs="Times New Roman"/>
        </w:rPr>
        <w:lastRenderedPageBreak/>
        <w:t xml:space="preserve">amount of $194,875.  The Administrator appointed under the </w:t>
      </w:r>
      <w:r w:rsidRPr="002A2F47">
        <w:rPr>
          <w:rFonts w:cs="Times New Roman"/>
          <w:i/>
        </w:rPr>
        <w:t>Motor Vehicle Accident Claims Act</w:t>
      </w:r>
      <w:r w:rsidRPr="002A2F47">
        <w:rPr>
          <w:rFonts w:cs="Times New Roman"/>
        </w:rPr>
        <w:t>, R.S.A. 2000, c. M-22 (“</w:t>
      </w:r>
      <w:r w:rsidRPr="002A2F47">
        <w:rPr>
          <w:rFonts w:cs="Times New Roman"/>
          <w:i/>
        </w:rPr>
        <w:t>MVACA</w:t>
      </w:r>
      <w:r w:rsidRPr="002A2F47">
        <w:rPr>
          <w:rFonts w:cs="Times New Roman"/>
        </w:rPr>
        <w:t xml:space="preserve">”), indemnified the injured party for the amount of the judgment debt and was assigned the debt in accordance with the </w:t>
      </w:r>
      <w:r w:rsidRPr="002A2F47">
        <w:rPr>
          <w:rFonts w:cs="Times New Roman"/>
          <w:i/>
        </w:rPr>
        <w:t>MVACA</w:t>
      </w:r>
      <w:r w:rsidRPr="002A2F47">
        <w:rPr>
          <w:rFonts w:cs="Times New Roman"/>
        </w:rPr>
        <w:t>.  Initially, the respondent made arrangements with the Administrator to pay the debt in instalments.  Some years later, however, in January 2008, he made an assignment in bankruptcy.  He listed the Administrator’s claim in his Statement of Affairs.  It is not disputed that the judgment debt assigned to the Administrator was a claim provable in bankruptcy.  It was, by far, the respondent’s most substantial debt and, in fact, the reason for his financial difficulties.  At the time of the assignment, the outstanding amount due to the Administrator stood at $195,823.</w:t>
      </w:r>
    </w:p>
    <w:p w:rsidR="00696B09" w:rsidRPr="002A2F47" w:rsidRDefault="00696B09" w:rsidP="001B50FA">
      <w:pPr>
        <w:pStyle w:val="ParaNoNdepar-AltN"/>
        <w:widowControl w:val="0"/>
        <w:rPr>
          <w:rFonts w:cs="Times New Roman"/>
        </w:rPr>
      </w:pPr>
      <w:r w:rsidRPr="002A2F47">
        <w:rPr>
          <w:rFonts w:cs="Times New Roman"/>
        </w:rPr>
        <w:t xml:space="preserve">In June 2011, the respondent obtained an absolute discharge, which no one opposed.  In October of the same year, he received a letter from the Director, Driver Fitness and Monitoring, notifying him that, by application of s. 102(1) of the </w:t>
      </w:r>
      <w:r w:rsidRPr="002A2F47">
        <w:rPr>
          <w:rFonts w:cs="Times New Roman"/>
          <w:i/>
        </w:rPr>
        <w:t>TSA</w:t>
      </w:r>
      <w:r w:rsidRPr="002A2F47">
        <w:rPr>
          <w:rFonts w:cs="Times New Roman"/>
        </w:rPr>
        <w:t>, his operator’s licence and vehicle registration privileges would be suspended until payment of the outstanding amount of the judgment debt.  Later, in November, his lawyer received another letter, this time from Motor Vehicle Accident Recoveries, advising the respondent that he “remains indebted for the judgment debt obtained against him . . . ‘until the judgment is satisfied or discharged, otherwise than by a discharge in bankruptcy’” (A.R., at p. 49).  The letter proposed that new payment arrangements be made, failing which the suspension of his driving privileges would continue.</w:t>
      </w:r>
    </w:p>
    <w:p w:rsidR="00696B09" w:rsidRPr="002A2F47" w:rsidRDefault="00696B09" w:rsidP="001B50FA">
      <w:pPr>
        <w:pStyle w:val="ParaNoNdepar-AltN"/>
        <w:widowControl w:val="0"/>
        <w:rPr>
          <w:rFonts w:cs="Times New Roman"/>
        </w:rPr>
      </w:pPr>
      <w:r w:rsidRPr="002A2F47">
        <w:rPr>
          <w:rFonts w:cs="Times New Roman"/>
        </w:rPr>
        <w:lastRenderedPageBreak/>
        <w:t xml:space="preserve">Given this situation, in March 2012, the respondent sought an order from the Court of Queen’s Bench to stay the suspension of his driving privileges.  He claimed that he had been discharged in bankruptcy and that s. 178 of the </w:t>
      </w:r>
      <w:r w:rsidRPr="002A2F47">
        <w:rPr>
          <w:rFonts w:cs="Times New Roman"/>
          <w:i/>
        </w:rPr>
        <w:t>BIA</w:t>
      </w:r>
      <w:r w:rsidRPr="002A2F47">
        <w:rPr>
          <w:rFonts w:cs="Times New Roman"/>
        </w:rPr>
        <w:t xml:space="preserve"> precluded the Administrator from enforcing the judgment debt.</w:t>
      </w:r>
    </w:p>
    <w:p w:rsidR="00696B09" w:rsidRPr="002A2F47" w:rsidRDefault="00696B09" w:rsidP="001B50FA">
      <w:pPr>
        <w:pStyle w:val="Title1LevelTitre1Niveau-AltL"/>
        <w:widowControl w:val="0"/>
        <w:numPr>
          <w:ilvl w:val="0"/>
          <w:numId w:val="8"/>
        </w:numPr>
        <w:spacing w:line="276" w:lineRule="auto"/>
        <w:rPr>
          <w:rFonts w:cs="Times New Roman"/>
        </w:rPr>
      </w:pPr>
      <w:bookmarkStart w:id="4" w:name="_Toc412109558"/>
      <w:bookmarkStart w:id="5" w:name="_Toc421615784"/>
      <w:r w:rsidRPr="002A2F47">
        <w:rPr>
          <w:rFonts w:cs="Times New Roman"/>
        </w:rPr>
        <w:t>Judicial History</w:t>
      </w:r>
      <w:bookmarkEnd w:id="4"/>
      <w:bookmarkEnd w:id="5"/>
    </w:p>
    <w:p w:rsidR="00696B09" w:rsidRPr="002A2F47" w:rsidRDefault="00696B09" w:rsidP="001B50FA">
      <w:pPr>
        <w:pStyle w:val="Title2LevelTitre2Niveau"/>
        <w:widowControl w:val="0"/>
        <w:numPr>
          <w:ilvl w:val="1"/>
          <w:numId w:val="8"/>
        </w:numPr>
        <w:spacing w:line="276" w:lineRule="auto"/>
        <w:rPr>
          <w:rFonts w:cs="Times New Roman"/>
        </w:rPr>
      </w:pPr>
      <w:bookmarkStart w:id="6" w:name="_Toc412109559"/>
      <w:bookmarkStart w:id="7" w:name="_Toc421615785"/>
      <w:r w:rsidRPr="002A2F47">
        <w:rPr>
          <w:rFonts w:cs="Times New Roman"/>
        </w:rPr>
        <w:t>Alberta Court of Queen’s Bench, 2012 ABQB 644, 73 Alta. L.R. (5th)</w:t>
      </w:r>
      <w:bookmarkEnd w:id="6"/>
      <w:bookmarkEnd w:id="7"/>
      <w:r w:rsidRPr="002A2F47">
        <w:rPr>
          <w:rFonts w:cs="Times New Roman"/>
        </w:rPr>
        <w:t xml:space="preserve"> 44</w:t>
      </w:r>
    </w:p>
    <w:p w:rsidR="00696B09" w:rsidRPr="002A2F47" w:rsidRDefault="00696B09" w:rsidP="001B50FA">
      <w:pPr>
        <w:pStyle w:val="ParaNoNdepar-AltN"/>
        <w:widowControl w:val="0"/>
        <w:rPr>
          <w:rFonts w:cs="Times New Roman"/>
        </w:rPr>
      </w:pPr>
      <w:r w:rsidRPr="002A2F47">
        <w:rPr>
          <w:rFonts w:cs="Times New Roman"/>
        </w:rPr>
        <w:t xml:space="preserve">Moen J. first found that, as a result of the discharge, there was no longer a liability on the basis of which the judgment could be enforced (para. 21).  In her view, the question at issue was whether the discharge precluded the province from suspending the respondent’s driving privileges because of the unpaid judgment debt.  This entailed looking at the operation of the </w:t>
      </w:r>
      <w:r w:rsidRPr="002A2F47">
        <w:rPr>
          <w:rFonts w:cs="Times New Roman"/>
          <w:i/>
        </w:rPr>
        <w:t>TSA</w:t>
      </w:r>
      <w:r w:rsidRPr="002A2F47">
        <w:rPr>
          <w:rFonts w:cs="Times New Roman"/>
        </w:rPr>
        <w:t xml:space="preserve"> and the </w:t>
      </w:r>
      <w:r w:rsidRPr="002A2F47">
        <w:rPr>
          <w:rFonts w:cs="Times New Roman"/>
          <w:i/>
        </w:rPr>
        <w:t>BIA</w:t>
      </w:r>
      <w:r w:rsidRPr="002A2F47">
        <w:rPr>
          <w:rFonts w:cs="Times New Roman"/>
        </w:rPr>
        <w:t xml:space="preserve"> and determining whether the relevant provisions were in conflict, making the doctrine of paramountcy applicable.  According to Moen J., an “operational conflict” could arise in two situations, namely where (1) “compliance with both acts is rendered inconsistent or impossible by directly conflicting with an express provision of the </w:t>
      </w:r>
      <w:r w:rsidRPr="002A2F47">
        <w:rPr>
          <w:rFonts w:cs="Times New Roman"/>
          <w:i/>
        </w:rPr>
        <w:t>BIA</w:t>
      </w:r>
      <w:r w:rsidRPr="002A2F47">
        <w:rPr>
          <w:rFonts w:cs="Times New Roman"/>
        </w:rPr>
        <w:t xml:space="preserve">” or (2) “the </w:t>
      </w:r>
      <w:r w:rsidRPr="002A2F47">
        <w:rPr>
          <w:rFonts w:cs="Times New Roman"/>
          <w:i/>
        </w:rPr>
        <w:t>TSA</w:t>
      </w:r>
      <w:r w:rsidRPr="002A2F47">
        <w:rPr>
          <w:rFonts w:cs="Times New Roman"/>
        </w:rPr>
        <w:t xml:space="preserve"> has the intent and/or effect of interfering with the provisions of the </w:t>
      </w:r>
      <w:r w:rsidRPr="002A2F47">
        <w:rPr>
          <w:rFonts w:cs="Times New Roman"/>
          <w:i/>
        </w:rPr>
        <w:t>BIA</w:t>
      </w:r>
      <w:r w:rsidRPr="002A2F47">
        <w:rPr>
          <w:rFonts w:cs="Times New Roman"/>
        </w:rPr>
        <w:t xml:space="preserve"> or its fundamental objectives” (para. 30). </w:t>
      </w:r>
    </w:p>
    <w:p w:rsidR="00696B09" w:rsidRPr="002A2F47" w:rsidRDefault="00696B09" w:rsidP="001B50FA">
      <w:pPr>
        <w:pStyle w:val="ParaNoNdepar-AltN"/>
        <w:widowControl w:val="0"/>
        <w:rPr>
          <w:rFonts w:cs="Times New Roman"/>
        </w:rPr>
      </w:pPr>
      <w:r w:rsidRPr="002A2F47">
        <w:rPr>
          <w:rFonts w:cs="Times New Roman"/>
        </w:rPr>
        <w:t xml:space="preserve">Moen J. emphasized the rehabilitative purpose of the </w:t>
      </w:r>
      <w:r w:rsidRPr="002A2F47">
        <w:rPr>
          <w:rFonts w:cs="Times New Roman"/>
          <w:i/>
        </w:rPr>
        <w:t>BIA</w:t>
      </w:r>
      <w:r w:rsidRPr="002A2F47">
        <w:rPr>
          <w:rFonts w:cs="Times New Roman"/>
        </w:rPr>
        <w:t xml:space="preserve"> (para. 31).  She described the purpose of the </w:t>
      </w:r>
      <w:r w:rsidRPr="002A2F47">
        <w:rPr>
          <w:rFonts w:cs="Times New Roman"/>
          <w:i/>
        </w:rPr>
        <w:t>TSA</w:t>
      </w:r>
      <w:r w:rsidRPr="002A2F47">
        <w:rPr>
          <w:rFonts w:cs="Times New Roman"/>
        </w:rPr>
        <w:t xml:space="preserve"> as being the “protection of public safety via the </w:t>
      </w:r>
      <w:r w:rsidRPr="002A2F47">
        <w:rPr>
          <w:rFonts w:cs="Times New Roman"/>
        </w:rPr>
        <w:lastRenderedPageBreak/>
        <w:t xml:space="preserve">regulation of traffic and motor vehicles” (para. 33), and the purpose of s. 102 of the </w:t>
      </w:r>
      <w:r w:rsidRPr="002A2F47">
        <w:rPr>
          <w:rFonts w:cs="Times New Roman"/>
          <w:i/>
        </w:rPr>
        <w:t>TSA</w:t>
      </w:r>
      <w:r w:rsidRPr="002A2F47">
        <w:rPr>
          <w:rFonts w:cs="Times New Roman"/>
        </w:rPr>
        <w:t xml:space="preserve"> as “preventing ‘irresponsible drivers from having the continued privilege of driving . . . without being made to account for the normal consequences of their vast </w:t>
      </w:r>
      <w:proofErr w:type="spellStart"/>
      <w:r w:rsidRPr="002A2F47">
        <w:rPr>
          <w:rFonts w:cs="Times New Roman"/>
        </w:rPr>
        <w:t>irresponsibilities</w:t>
      </w:r>
      <w:proofErr w:type="spellEnd"/>
      <w:r w:rsidRPr="002A2F47">
        <w:rPr>
          <w:rFonts w:cs="Times New Roman"/>
        </w:rPr>
        <w:t xml:space="preserve">’” (para. 34).  She distinguished situations in which the purpose of licence suspension is the collection of a debt from those in which it is the regulation of conduct (paras. 37-42).  She concluded that the sole purpose of s. 102 is the collection of an unpaid judgment debt.  In her view, the provision had nothing to do with the regulation of the respondent’s misconduct (para. 43).  She thus held that the province’s actions were not disciplinary, but rather “a method of debt collection, and a colourable attempt to circumvent the provisions of the </w:t>
      </w:r>
      <w:r w:rsidRPr="002A2F47">
        <w:rPr>
          <w:rFonts w:cs="Times New Roman"/>
          <w:i/>
        </w:rPr>
        <w:t>BIA</w:t>
      </w:r>
      <w:r w:rsidRPr="002A2F47">
        <w:rPr>
          <w:rFonts w:cs="Times New Roman"/>
        </w:rPr>
        <w:t xml:space="preserve">” (para. 45).  This “improper purpose” of the </w:t>
      </w:r>
      <w:r w:rsidRPr="002A2F47">
        <w:rPr>
          <w:rFonts w:cs="Times New Roman"/>
          <w:i/>
        </w:rPr>
        <w:t>TSA</w:t>
      </w:r>
      <w:r w:rsidRPr="002A2F47">
        <w:rPr>
          <w:rFonts w:cs="Times New Roman"/>
        </w:rPr>
        <w:t xml:space="preserve"> created an “operational conflict” with the </w:t>
      </w:r>
      <w:r w:rsidRPr="002A2F47">
        <w:rPr>
          <w:rFonts w:cs="Times New Roman"/>
          <w:i/>
        </w:rPr>
        <w:t>BIA</w:t>
      </w:r>
      <w:r w:rsidRPr="002A2F47">
        <w:rPr>
          <w:rFonts w:cs="Times New Roman"/>
        </w:rPr>
        <w:t xml:space="preserve"> (para. 45). She therefore stayed both the enforcement of the judgment debt and the suspension of the respondent’s driving privileges (para. 49), and she declared the </w:t>
      </w:r>
      <w:r w:rsidRPr="002A2F47">
        <w:rPr>
          <w:rFonts w:cs="Times New Roman"/>
          <w:i/>
        </w:rPr>
        <w:t>TSA</w:t>
      </w:r>
      <w:r w:rsidRPr="002A2F47">
        <w:rPr>
          <w:rFonts w:cs="Times New Roman"/>
        </w:rPr>
        <w:t xml:space="preserve"> ineffective to the extent of the conflict with the </w:t>
      </w:r>
      <w:r w:rsidRPr="002A2F47">
        <w:rPr>
          <w:rFonts w:cs="Times New Roman"/>
          <w:i/>
        </w:rPr>
        <w:t>BIA</w:t>
      </w:r>
      <w:r w:rsidRPr="002A2F47">
        <w:rPr>
          <w:rFonts w:cs="Times New Roman"/>
        </w:rPr>
        <w:t xml:space="preserve"> (para. 48).</w:t>
      </w:r>
    </w:p>
    <w:p w:rsidR="00696B09" w:rsidRPr="002A2F47" w:rsidRDefault="00696B09" w:rsidP="001B50FA">
      <w:pPr>
        <w:pStyle w:val="Title2LevelTitre2Niveau"/>
        <w:widowControl w:val="0"/>
        <w:numPr>
          <w:ilvl w:val="1"/>
          <w:numId w:val="8"/>
        </w:numPr>
        <w:spacing w:line="276" w:lineRule="auto"/>
        <w:rPr>
          <w:rFonts w:cs="Times New Roman"/>
        </w:rPr>
      </w:pPr>
      <w:bookmarkStart w:id="8" w:name="_Toc412109560"/>
      <w:bookmarkStart w:id="9" w:name="_Toc421615786"/>
      <w:r w:rsidRPr="002A2F47">
        <w:rPr>
          <w:rFonts w:cs="Times New Roman"/>
        </w:rPr>
        <w:t>Alberta Court of Appeal, 2014 ABCA 68, 91 Alta. L.R. (5th) 221</w:t>
      </w:r>
      <w:bookmarkEnd w:id="8"/>
      <w:bookmarkEnd w:id="9"/>
    </w:p>
    <w:p w:rsidR="00696B09" w:rsidRPr="002A2F47" w:rsidRDefault="00696B09" w:rsidP="001B50FA">
      <w:pPr>
        <w:pStyle w:val="ParaNoNdepar-AltN"/>
        <w:widowControl w:val="0"/>
        <w:rPr>
          <w:rFonts w:cs="Times New Roman"/>
        </w:rPr>
      </w:pPr>
      <w:r w:rsidRPr="002A2F47">
        <w:rPr>
          <w:rFonts w:cs="Times New Roman"/>
        </w:rPr>
        <w:t xml:space="preserve">Writing for a unanimous court, </w:t>
      </w:r>
      <w:proofErr w:type="spellStart"/>
      <w:r w:rsidRPr="002A2F47">
        <w:rPr>
          <w:rFonts w:cs="Times New Roman"/>
        </w:rPr>
        <w:t>Slatter</w:t>
      </w:r>
      <w:proofErr w:type="spellEnd"/>
      <w:r w:rsidRPr="002A2F47">
        <w:rPr>
          <w:rFonts w:cs="Times New Roman"/>
        </w:rPr>
        <w:t xml:space="preserve"> J.A. described the two types of conflict that trigger the application of the doctrine of paramountcy as follows: (1) “it is impossible to comply with both the provincial and the federal legislation”, or (2) “even though it is technically possible to comply with both, the application of the provincial statute can fairly be said to frustrate Parliament’s legislative purpose” (para. 10).  He </w:t>
      </w:r>
      <w:r w:rsidRPr="002A2F47">
        <w:rPr>
          <w:rFonts w:cs="Times New Roman"/>
        </w:rPr>
        <w:lastRenderedPageBreak/>
        <w:t>concluded that because the respondent could comply with both laws by not driving, there was no conflict under the first branch of the test (para. 10).</w:t>
      </w:r>
    </w:p>
    <w:p w:rsidR="00696B09" w:rsidRPr="002A2F47" w:rsidRDefault="00696B09" w:rsidP="001B50FA">
      <w:pPr>
        <w:pStyle w:val="ParaNoNdepar-AltN"/>
        <w:widowControl w:val="0"/>
        <w:rPr>
          <w:rFonts w:cs="Times New Roman"/>
        </w:rPr>
      </w:pPr>
      <w:r w:rsidRPr="002A2F47">
        <w:rPr>
          <w:rFonts w:cs="Times New Roman"/>
        </w:rPr>
        <w:t xml:space="preserve">Turning to the second branch, </w:t>
      </w:r>
      <w:proofErr w:type="spellStart"/>
      <w:r w:rsidRPr="002A2F47">
        <w:rPr>
          <w:rFonts w:cs="Times New Roman"/>
        </w:rPr>
        <w:t>Slatter</w:t>
      </w:r>
      <w:proofErr w:type="spellEnd"/>
      <w:r w:rsidRPr="002A2F47">
        <w:rPr>
          <w:rFonts w:cs="Times New Roman"/>
        </w:rPr>
        <w:t xml:space="preserve"> J.A. described the two purposes of the </w:t>
      </w:r>
      <w:r w:rsidRPr="002A2F47">
        <w:rPr>
          <w:rFonts w:cs="Times New Roman"/>
          <w:i/>
        </w:rPr>
        <w:t>BIA</w:t>
      </w:r>
      <w:r w:rsidRPr="002A2F47">
        <w:rPr>
          <w:rFonts w:cs="Times New Roman"/>
        </w:rPr>
        <w:t xml:space="preserve"> as being, first, equal distribution, and second, rehabilitation.  He observed that s. 178 lists the debts that are not discharged by bankruptcy, none of which corresponds to judgment debts for damages resulting from motor vehicle accidents (paras. 13-15).  According to him, while discharge from bankruptcy does not extinguish debts, nonetheless, “[w]</w:t>
      </w:r>
      <w:proofErr w:type="spellStart"/>
      <w:r w:rsidRPr="002A2F47">
        <w:rPr>
          <w:rFonts w:cs="Times New Roman"/>
        </w:rPr>
        <w:t>hatever</w:t>
      </w:r>
      <w:proofErr w:type="spellEnd"/>
      <w:r w:rsidRPr="002A2F47">
        <w:rPr>
          <w:rFonts w:cs="Times New Roman"/>
        </w:rPr>
        <w:t xml:space="preserve"> conceptual distinction there may be, it is somewhat artificial in the present context”, as creditors cease to be able to enforce the discharged debts (para. 19).  </w:t>
      </w:r>
      <w:proofErr w:type="spellStart"/>
      <w:r w:rsidRPr="002A2F47">
        <w:rPr>
          <w:rFonts w:cs="Times New Roman"/>
        </w:rPr>
        <w:t>Slatter</w:t>
      </w:r>
      <w:proofErr w:type="spellEnd"/>
      <w:r w:rsidRPr="002A2F47">
        <w:rPr>
          <w:rFonts w:cs="Times New Roman"/>
        </w:rPr>
        <w:t xml:space="preserve"> J.A. rejected the province’s argument that driving privileges can be used as fresh consideration to revive a discharged debt; such consideration is not genuine and it is inconsistent with the policy of the </w:t>
      </w:r>
      <w:r w:rsidRPr="002A2F47">
        <w:rPr>
          <w:rFonts w:cs="Times New Roman"/>
          <w:i/>
        </w:rPr>
        <w:t>BIA</w:t>
      </w:r>
      <w:r w:rsidRPr="002A2F47">
        <w:rPr>
          <w:rFonts w:cs="Times New Roman"/>
        </w:rPr>
        <w:t xml:space="preserve"> (paras. 20-21).  Rejecting another of the province’s arguments, he held that it is irrelevant that driving privileges do not constitute property of the bankrupt.  The province cannot withhold privileges arbitrarily in a way that frustrates the purposes of the </w:t>
      </w:r>
      <w:r w:rsidRPr="002A2F47">
        <w:rPr>
          <w:rFonts w:cs="Times New Roman"/>
          <w:i/>
        </w:rPr>
        <w:t>BIA</w:t>
      </w:r>
      <w:r w:rsidRPr="002A2F47">
        <w:rPr>
          <w:rFonts w:cs="Times New Roman"/>
        </w:rPr>
        <w:t xml:space="preserve"> (paras. 23-24).</w:t>
      </w:r>
    </w:p>
    <w:p w:rsidR="00696B09" w:rsidRPr="002A2F47" w:rsidRDefault="00696B09" w:rsidP="001B50FA">
      <w:pPr>
        <w:pStyle w:val="ParaNoNdepar-AltN"/>
        <w:widowControl w:val="0"/>
        <w:rPr>
          <w:rFonts w:cs="Times New Roman"/>
        </w:rPr>
      </w:pPr>
      <w:proofErr w:type="spellStart"/>
      <w:r w:rsidRPr="002A2F47">
        <w:rPr>
          <w:rFonts w:cs="Times New Roman"/>
        </w:rPr>
        <w:t>Slatter</w:t>
      </w:r>
      <w:proofErr w:type="spellEnd"/>
      <w:r w:rsidRPr="002A2F47">
        <w:rPr>
          <w:rFonts w:cs="Times New Roman"/>
        </w:rPr>
        <w:t xml:space="preserve"> J.A. observed that s. 102 of the </w:t>
      </w:r>
      <w:r w:rsidRPr="002A2F47">
        <w:rPr>
          <w:rFonts w:cs="Times New Roman"/>
          <w:i/>
        </w:rPr>
        <w:t>TSA</w:t>
      </w:r>
      <w:r w:rsidRPr="002A2F47">
        <w:rPr>
          <w:rFonts w:cs="Times New Roman"/>
        </w:rPr>
        <w:t xml:space="preserve"> specifically provides that it operates notwithstanding a discharge in bankruptcy.  In his view, this is a “</w:t>
      </w:r>
      <w:r w:rsidRPr="002A2F47">
        <w:rPr>
          <w:rFonts w:cs="Times New Roman"/>
          <w:i/>
        </w:rPr>
        <w:t>prima</w:t>
      </w:r>
      <w:r w:rsidRPr="002A2F47">
        <w:rPr>
          <w:rFonts w:cs="Times New Roman"/>
        </w:rPr>
        <w:t xml:space="preserve"> </w:t>
      </w:r>
      <w:r w:rsidRPr="002A2F47">
        <w:rPr>
          <w:rFonts w:cs="Times New Roman"/>
          <w:i/>
        </w:rPr>
        <w:t>facie</w:t>
      </w:r>
      <w:r w:rsidRPr="002A2F47">
        <w:rPr>
          <w:rFonts w:cs="Times New Roman"/>
        </w:rPr>
        <w:t xml:space="preserve"> signal of a potential operational conflict” (para. 39).  Although s. 102 is not coercive and the respondent could choose not to drive, </w:t>
      </w:r>
      <w:proofErr w:type="spellStart"/>
      <w:r w:rsidRPr="002A2F47">
        <w:rPr>
          <w:rFonts w:cs="Times New Roman"/>
        </w:rPr>
        <w:t>Slatter</w:t>
      </w:r>
      <w:proofErr w:type="spellEnd"/>
      <w:r w:rsidRPr="002A2F47">
        <w:rPr>
          <w:rFonts w:cs="Times New Roman"/>
        </w:rPr>
        <w:t xml:space="preserve"> J.A. concluded that it nonetheless frustrates the purposes of the </w:t>
      </w:r>
      <w:r w:rsidRPr="002A2F47">
        <w:rPr>
          <w:rFonts w:cs="Times New Roman"/>
          <w:i/>
        </w:rPr>
        <w:t>BIA</w:t>
      </w:r>
      <w:r w:rsidRPr="002A2F47">
        <w:rPr>
          <w:rFonts w:cs="Times New Roman"/>
        </w:rPr>
        <w:t xml:space="preserve">.  One of these purposes is that the discharged </w:t>
      </w:r>
      <w:r w:rsidRPr="002A2F47">
        <w:rPr>
          <w:rFonts w:cs="Times New Roman"/>
        </w:rPr>
        <w:lastRenderedPageBreak/>
        <w:t xml:space="preserve">bankrupt “will not have to make any such ‘choices’” and will be “free to make independent and unencumbered personal and economic decisions going forward” (para. 43).  Because s. 102 is focused on debt collection and is not connected to traffic safety considerations (paras. 40 and 45-47), it interferes with a driver’s ability to make a fresh start (paras. 48-49).  </w:t>
      </w:r>
      <w:proofErr w:type="spellStart"/>
      <w:r w:rsidRPr="002A2F47">
        <w:rPr>
          <w:rFonts w:cs="Times New Roman"/>
        </w:rPr>
        <w:t>Slatter</w:t>
      </w:r>
      <w:proofErr w:type="spellEnd"/>
      <w:r w:rsidRPr="002A2F47">
        <w:rPr>
          <w:rFonts w:cs="Times New Roman"/>
        </w:rPr>
        <w:t xml:space="preserve"> J.A. also concluded that s. 102 disrupts fair and equal distribution to creditors because it permits the province to collect amounts in addition to the dividend ordinarily distributed to creditors (para. 50).  He held that s. 102 frustrates both purposes of the </w:t>
      </w:r>
      <w:r w:rsidRPr="002A2F47">
        <w:rPr>
          <w:rFonts w:cs="Times New Roman"/>
          <w:i/>
        </w:rPr>
        <w:t>BIA</w:t>
      </w:r>
      <w:r w:rsidRPr="002A2F47">
        <w:rPr>
          <w:rFonts w:cs="Times New Roman"/>
        </w:rPr>
        <w:t xml:space="preserve"> and that the words “otherwise than by a discharge in bankruptcy” are in “operational conflict” with the </w:t>
      </w:r>
      <w:r w:rsidRPr="002A2F47">
        <w:rPr>
          <w:rFonts w:cs="Times New Roman"/>
          <w:i/>
        </w:rPr>
        <w:t>BIA</w:t>
      </w:r>
      <w:r w:rsidRPr="002A2F47">
        <w:rPr>
          <w:rFonts w:cs="Times New Roman"/>
        </w:rPr>
        <w:t xml:space="preserve"> (para. 54).</w:t>
      </w:r>
    </w:p>
    <w:p w:rsidR="00696B09" w:rsidRPr="002A2F47" w:rsidRDefault="00696B09" w:rsidP="001B50FA">
      <w:pPr>
        <w:pStyle w:val="Title1LevelTitre1Niveau-AltL"/>
        <w:widowControl w:val="0"/>
        <w:numPr>
          <w:ilvl w:val="0"/>
          <w:numId w:val="8"/>
        </w:numPr>
        <w:spacing w:line="276" w:lineRule="auto"/>
        <w:rPr>
          <w:rFonts w:cs="Times New Roman"/>
        </w:rPr>
      </w:pPr>
      <w:bookmarkStart w:id="10" w:name="_Toc412109561"/>
      <w:bookmarkStart w:id="11" w:name="_Toc421615787"/>
      <w:r w:rsidRPr="002A2F47">
        <w:rPr>
          <w:rFonts w:cs="Times New Roman"/>
        </w:rPr>
        <w:t>Issue</w:t>
      </w:r>
      <w:bookmarkEnd w:id="10"/>
      <w:bookmarkEnd w:id="11"/>
    </w:p>
    <w:p w:rsidR="00696B09" w:rsidRPr="002A2F47" w:rsidRDefault="00696B09" w:rsidP="001B50FA">
      <w:pPr>
        <w:pStyle w:val="ParaNoNdepar-AltN"/>
        <w:widowControl w:val="0"/>
        <w:rPr>
          <w:rFonts w:cs="Times New Roman"/>
        </w:rPr>
      </w:pPr>
      <w:r w:rsidRPr="002A2F47">
        <w:rPr>
          <w:rFonts w:cs="Times New Roman"/>
        </w:rPr>
        <w:t>The Chief Justice formulated the following constitutional question:</w:t>
      </w:r>
    </w:p>
    <w:p w:rsidR="00696B09" w:rsidRPr="002A2F47" w:rsidRDefault="00696B09" w:rsidP="001B50FA">
      <w:pPr>
        <w:pStyle w:val="Citation-AltC"/>
        <w:widowControl w:val="0"/>
      </w:pPr>
      <w:r w:rsidRPr="002A2F47">
        <w:t xml:space="preserve">Is s. 102(2) of </w:t>
      </w:r>
      <w:r w:rsidR="003E194B">
        <w:t xml:space="preserve">the </w:t>
      </w:r>
      <w:r w:rsidRPr="002A2F47">
        <w:t>Alberta</w:t>
      </w:r>
      <w:r w:rsidRPr="002A2F47">
        <w:rPr>
          <w:i/>
        </w:rPr>
        <w:t xml:space="preserve"> Traffic Safety Act</w:t>
      </w:r>
      <w:r w:rsidRPr="002A2F47">
        <w:t>, R.S.A. 2000, c. T-6, constitutionally inoperative by reason of the doctrine of federal paramountcy?</w:t>
      </w:r>
    </w:p>
    <w:p w:rsidR="00696B09" w:rsidRPr="002A2F47" w:rsidRDefault="00696B09" w:rsidP="001B50FA">
      <w:pPr>
        <w:pStyle w:val="ContinueParaSuitedupar-AltP"/>
        <w:widowControl w:val="0"/>
        <w:rPr>
          <w:rFonts w:cs="Times New Roman"/>
        </w:rPr>
      </w:pPr>
      <w:r w:rsidRPr="002A2F47">
        <w:rPr>
          <w:rFonts w:cs="Times New Roman"/>
        </w:rPr>
        <w:t>Although the constitutional question, as formulated, refers only to s. 102(2), the proceedings below and the parties’ submissions concern the section in its entirety.  Accordingly, I will examine all of the relevant aspects of s. 102.</w:t>
      </w:r>
    </w:p>
    <w:p w:rsidR="00696B09" w:rsidRPr="002A2F47" w:rsidRDefault="00696B09" w:rsidP="001B50FA">
      <w:pPr>
        <w:pStyle w:val="Title1LevelTitre1Niveau-AltL"/>
        <w:widowControl w:val="0"/>
        <w:numPr>
          <w:ilvl w:val="0"/>
          <w:numId w:val="8"/>
        </w:numPr>
        <w:spacing w:line="276" w:lineRule="auto"/>
        <w:rPr>
          <w:rFonts w:cs="Times New Roman"/>
        </w:rPr>
      </w:pPr>
      <w:bookmarkStart w:id="12" w:name="_Toc412109562"/>
      <w:bookmarkStart w:id="13" w:name="_Toc421615788"/>
      <w:r w:rsidRPr="002A2F47">
        <w:rPr>
          <w:rFonts w:cs="Times New Roman"/>
        </w:rPr>
        <w:t>Analysis</w:t>
      </w:r>
      <w:bookmarkEnd w:id="12"/>
      <w:bookmarkEnd w:id="13"/>
    </w:p>
    <w:p w:rsidR="00696B09" w:rsidRPr="002A2F47" w:rsidRDefault="00696B09" w:rsidP="001B50FA">
      <w:pPr>
        <w:pStyle w:val="ParaNoNdepar-AltN"/>
        <w:widowControl w:val="0"/>
        <w:rPr>
          <w:rFonts w:cs="Times New Roman"/>
        </w:rPr>
      </w:pPr>
      <w:r w:rsidRPr="002A2F47">
        <w:rPr>
          <w:rFonts w:cs="Times New Roman"/>
        </w:rPr>
        <w:lastRenderedPageBreak/>
        <w:t>Various government actors have been involved in this dispute.  Unless otherwise specified, I will refer to the province of Alberta as encompassing these different actors.  I will first review the principles applicable to the doctrine of federal paramountcy and then apply them to the facts of this appeal.</w:t>
      </w:r>
    </w:p>
    <w:p w:rsidR="00696B09" w:rsidRPr="002A2F47" w:rsidRDefault="00696B09" w:rsidP="001B50FA">
      <w:pPr>
        <w:pStyle w:val="Title2LevelTitre2Niveau"/>
        <w:widowControl w:val="0"/>
        <w:numPr>
          <w:ilvl w:val="1"/>
          <w:numId w:val="8"/>
        </w:numPr>
        <w:spacing w:line="276" w:lineRule="auto"/>
        <w:rPr>
          <w:rFonts w:cs="Times New Roman"/>
        </w:rPr>
      </w:pPr>
      <w:bookmarkStart w:id="14" w:name="_Toc412109563"/>
      <w:bookmarkStart w:id="15" w:name="_Toc421615789"/>
      <w:r w:rsidRPr="002A2F47">
        <w:rPr>
          <w:rFonts w:cs="Times New Roman"/>
        </w:rPr>
        <w:t>The Doctrine of Federal Paramountcy</w:t>
      </w:r>
      <w:bookmarkEnd w:id="14"/>
      <w:bookmarkEnd w:id="15"/>
    </w:p>
    <w:p w:rsidR="00696B09" w:rsidRPr="002A2F47" w:rsidRDefault="00696B09" w:rsidP="001B50FA">
      <w:pPr>
        <w:pStyle w:val="ParaNoNdepar-AltN"/>
        <w:widowControl w:val="0"/>
        <w:rPr>
          <w:rFonts w:cs="Times New Roman"/>
        </w:rPr>
      </w:pPr>
      <w:r w:rsidRPr="002A2F47">
        <w:rPr>
          <w:rFonts w:cs="Times New Roman"/>
        </w:rPr>
        <w:t xml:space="preserve">Each level of government — Parliament, on the one hand, and the provincial legislatures, on the other — has exclusive authority to enact legislation with respect to certain subject matters.  Sections 91 and 92 of the </w:t>
      </w:r>
      <w:r w:rsidRPr="002A2F47">
        <w:rPr>
          <w:rFonts w:cs="Times New Roman"/>
          <w:i/>
        </w:rPr>
        <w:t>Constitution Act,</w:t>
      </w:r>
      <w:r w:rsidRPr="002A2F47">
        <w:rPr>
          <w:rFonts w:cs="Times New Roman"/>
        </w:rPr>
        <w:t xml:space="preserve"> </w:t>
      </w:r>
      <w:r w:rsidRPr="002A2F47">
        <w:rPr>
          <w:rFonts w:cs="Times New Roman"/>
          <w:i/>
        </w:rPr>
        <w:t>1867</w:t>
      </w:r>
      <w:r w:rsidRPr="002A2F47">
        <w:rPr>
          <w:rFonts w:cs="Times New Roman"/>
        </w:rPr>
        <w:t xml:space="preserve"> assign each power to the level of government best suited to exercise it: </w:t>
      </w:r>
      <w:r w:rsidRPr="002A2F47">
        <w:rPr>
          <w:rFonts w:cs="Times New Roman"/>
          <w:i/>
        </w:rPr>
        <w:t>Reference re Secession of Quebec</w:t>
      </w:r>
      <w:r w:rsidRPr="002A2F47">
        <w:rPr>
          <w:rFonts w:cs="Times New Roman"/>
        </w:rPr>
        <w:t>, [1998] 2 S.C.R. 217 (“</w:t>
      </w:r>
      <w:r w:rsidRPr="002A2F47">
        <w:rPr>
          <w:rFonts w:cs="Times New Roman"/>
          <w:i/>
        </w:rPr>
        <w:t>Secession Reference</w:t>
      </w:r>
      <w:r w:rsidRPr="002A2F47">
        <w:rPr>
          <w:rFonts w:cs="Times New Roman"/>
        </w:rPr>
        <w:t xml:space="preserve">”), at para. 58.  Broad powers were given to the provincial legislatures with respect to local matters, in recognition of regional diversity, while powers relating to matters of national importance were given to Parliament, to ensure unity: </w:t>
      </w:r>
      <w:r w:rsidRPr="002A2F47">
        <w:rPr>
          <w:rFonts w:cs="Times New Roman"/>
          <w:i/>
        </w:rPr>
        <w:t>Canadian Western Bank v. Alberta</w:t>
      </w:r>
      <w:r w:rsidRPr="002A2F47">
        <w:rPr>
          <w:rFonts w:cs="Times New Roman"/>
        </w:rPr>
        <w:t xml:space="preserve">, 2007 SCC 22, [2007] 2 S.C.R. 3, at para. 22. </w:t>
      </w:r>
    </w:p>
    <w:p w:rsidR="00696B09" w:rsidRPr="002A2F47" w:rsidRDefault="00696B09" w:rsidP="001B50FA">
      <w:pPr>
        <w:pStyle w:val="ParaNoNdepar-AltN"/>
        <w:widowControl w:val="0"/>
        <w:rPr>
          <w:rFonts w:cs="Times New Roman"/>
        </w:rPr>
      </w:pPr>
      <w:r w:rsidRPr="002A2F47">
        <w:rPr>
          <w:rFonts w:cs="Times New Roman"/>
        </w:rPr>
        <w:t xml:space="preserve">Legislative powers are exclusive, and one government is not subordinate to the other: </w:t>
      </w:r>
      <w:r w:rsidRPr="002A2F47">
        <w:rPr>
          <w:rFonts w:cs="Times New Roman"/>
          <w:i/>
        </w:rPr>
        <w:t>Secession</w:t>
      </w:r>
      <w:r w:rsidRPr="002A2F47">
        <w:rPr>
          <w:rFonts w:cs="Times New Roman"/>
        </w:rPr>
        <w:t xml:space="preserve"> </w:t>
      </w:r>
      <w:r w:rsidRPr="002A2F47">
        <w:rPr>
          <w:rFonts w:cs="Times New Roman"/>
          <w:i/>
        </w:rPr>
        <w:t>Reference</w:t>
      </w:r>
      <w:r w:rsidRPr="002A2F47">
        <w:rPr>
          <w:rFonts w:cs="Times New Roman"/>
        </w:rPr>
        <w:t>, at para. 58,</w:t>
      </w:r>
      <w:r w:rsidRPr="002A2F47">
        <w:rPr>
          <w:rFonts w:cs="Times New Roman"/>
          <w:i/>
        </w:rPr>
        <w:t xml:space="preserve"> </w:t>
      </w:r>
      <w:r w:rsidRPr="002A2F47">
        <w:rPr>
          <w:rFonts w:cs="Times New Roman"/>
        </w:rPr>
        <w:t xml:space="preserve">citing </w:t>
      </w:r>
      <w:r w:rsidRPr="002A2F47">
        <w:rPr>
          <w:rFonts w:cs="Times New Roman"/>
          <w:i/>
        </w:rPr>
        <w:t>Re the Initiative and Referendum Act</w:t>
      </w:r>
      <w:r w:rsidRPr="002A2F47">
        <w:rPr>
          <w:rFonts w:cs="Times New Roman"/>
        </w:rPr>
        <w:t xml:space="preserve">, [1919] A.C. 935 (P.C.), at p. 942.  However, the legislative matrix is not as clearly defined as ss. 91 and 92 might suggest.  It is often impossible for one level of government to legislate effectively within its jurisdiction without affecting matters that are within the other level’s jurisdiction:  </w:t>
      </w:r>
      <w:r w:rsidRPr="002A2F47">
        <w:rPr>
          <w:rFonts w:cs="Times New Roman"/>
          <w:i/>
        </w:rPr>
        <w:t>Western Bank</w:t>
      </w:r>
      <w:r w:rsidRPr="002A2F47">
        <w:rPr>
          <w:rFonts w:cs="Times New Roman"/>
        </w:rPr>
        <w:t xml:space="preserve">, at para. 29; H. </w:t>
      </w:r>
      <w:proofErr w:type="spellStart"/>
      <w:r w:rsidRPr="002A2F47">
        <w:rPr>
          <w:rFonts w:cs="Times New Roman"/>
        </w:rPr>
        <w:t>Brun</w:t>
      </w:r>
      <w:proofErr w:type="spellEnd"/>
      <w:r w:rsidRPr="002A2F47">
        <w:rPr>
          <w:rFonts w:cs="Times New Roman"/>
        </w:rPr>
        <w:t xml:space="preserve">, G. </w:t>
      </w:r>
      <w:r w:rsidRPr="002A2F47">
        <w:rPr>
          <w:rFonts w:cs="Times New Roman"/>
        </w:rPr>
        <w:lastRenderedPageBreak/>
        <w:t xml:space="preserve">Tremblay and E. </w:t>
      </w:r>
      <w:proofErr w:type="spellStart"/>
      <w:r w:rsidRPr="002A2F47">
        <w:rPr>
          <w:rFonts w:cs="Times New Roman"/>
        </w:rPr>
        <w:t>Brouillet</w:t>
      </w:r>
      <w:proofErr w:type="spellEnd"/>
      <w:r w:rsidRPr="002A2F47">
        <w:rPr>
          <w:rFonts w:cs="Times New Roman"/>
        </w:rPr>
        <w:t xml:space="preserve">, </w:t>
      </w:r>
      <w:r w:rsidRPr="002A2F47">
        <w:rPr>
          <w:rFonts w:cs="Times New Roman"/>
          <w:i/>
        </w:rPr>
        <w:t xml:space="preserve">Droit </w:t>
      </w:r>
      <w:proofErr w:type="spellStart"/>
      <w:r w:rsidRPr="002A2F47">
        <w:rPr>
          <w:rFonts w:cs="Times New Roman"/>
          <w:i/>
        </w:rPr>
        <w:t>constitutionnel</w:t>
      </w:r>
      <w:proofErr w:type="spellEnd"/>
      <w:r w:rsidRPr="002A2F47">
        <w:rPr>
          <w:rFonts w:cs="Times New Roman"/>
        </w:rPr>
        <w:t xml:space="preserve"> (6th ed. 2014), at p. 465.  Furthermore, it is often impossible to make a statute fall squarely within a single head of power: </w:t>
      </w:r>
      <w:r w:rsidRPr="002A2F47">
        <w:rPr>
          <w:rFonts w:cs="Times New Roman"/>
          <w:i/>
        </w:rPr>
        <w:t>Multiple Access Ltd. v. McCutcheon</w:t>
      </w:r>
      <w:r w:rsidRPr="002A2F47">
        <w:rPr>
          <w:rFonts w:cs="Times New Roman"/>
        </w:rPr>
        <w:t xml:space="preserve">, [1982] 2 S.C.R. 161, at pp. 180-81.  This leads to overlap in the exercise of provincial and federal powers.  The tendency has been to allow these overlaps to occur as long as each level of government properly pursues objectives that fall within its jurisdiction: </w:t>
      </w:r>
      <w:r w:rsidRPr="002A2F47">
        <w:rPr>
          <w:rFonts w:cs="Times New Roman"/>
          <w:i/>
        </w:rPr>
        <w:t>Reference re Securities Act</w:t>
      </w:r>
      <w:r w:rsidRPr="002A2F47">
        <w:rPr>
          <w:rFonts w:cs="Times New Roman"/>
        </w:rPr>
        <w:t xml:space="preserve">, 2011 SCC 66, [2011] 3 S.C.R. 837, at para. 57; </w:t>
      </w:r>
      <w:r w:rsidRPr="002A2F47">
        <w:rPr>
          <w:rFonts w:cs="Times New Roman"/>
          <w:i/>
        </w:rPr>
        <w:t>Canada (Attorney General) v. PHS Community Services Society</w:t>
      </w:r>
      <w:r w:rsidRPr="002A2F47">
        <w:rPr>
          <w:rFonts w:cs="Times New Roman"/>
        </w:rPr>
        <w:t xml:space="preserve">, 2011 SCC 44, [2011] 3 S.C.R. 134, at para. 62; </w:t>
      </w:r>
      <w:r w:rsidRPr="002A2F47">
        <w:rPr>
          <w:rFonts w:cs="Times New Roman"/>
          <w:i/>
        </w:rPr>
        <w:t>Western Bank</w:t>
      </w:r>
      <w:r w:rsidRPr="002A2F47">
        <w:rPr>
          <w:rFonts w:cs="Times New Roman"/>
        </w:rPr>
        <w:t xml:space="preserve">, at paras. 37 and 42. This tendency reflects the theory of co-operative federalism: </w:t>
      </w:r>
      <w:r w:rsidRPr="002A2F47">
        <w:rPr>
          <w:rFonts w:cs="Times New Roman"/>
          <w:i/>
        </w:rPr>
        <w:t>Western Bank</w:t>
      </w:r>
      <w:r w:rsidRPr="002A2F47">
        <w:rPr>
          <w:rFonts w:cs="Times New Roman"/>
        </w:rPr>
        <w:t xml:space="preserve">, at para. 24; </w:t>
      </w:r>
      <w:r w:rsidRPr="002A2F47">
        <w:rPr>
          <w:rFonts w:cs="Times New Roman"/>
          <w:i/>
        </w:rPr>
        <w:t>Husky Oil Operations Ltd. v. Minister of National Revenue</w:t>
      </w:r>
      <w:r w:rsidRPr="002A2F47">
        <w:rPr>
          <w:rFonts w:cs="Times New Roman"/>
        </w:rPr>
        <w:t xml:space="preserve">, [1995] 3 S.C.R. 453, at para. 162.  </w:t>
      </w:r>
    </w:p>
    <w:p w:rsidR="00696B09" w:rsidRPr="002A2F47" w:rsidRDefault="00696B09" w:rsidP="001B50FA">
      <w:pPr>
        <w:pStyle w:val="ParaNoNdepar-AltN"/>
        <w:widowControl w:val="0"/>
        <w:rPr>
          <w:rFonts w:cs="Times New Roman"/>
        </w:rPr>
      </w:pPr>
      <w:r w:rsidRPr="002A2F47">
        <w:rPr>
          <w:rFonts w:cs="Times New Roman"/>
        </w:rPr>
        <w:t xml:space="preserve">That said, there comes a point where legislative overlap jeopardizes the balance between unity and diversity.  In certain circumstances, the powers of one level of government must be protected against intrusions, even incidental ones, by the other level: </w:t>
      </w:r>
      <w:r w:rsidRPr="002A2F47">
        <w:rPr>
          <w:rFonts w:cs="Times New Roman"/>
          <w:i/>
        </w:rPr>
        <w:t>Western Bank</w:t>
      </w:r>
      <w:r w:rsidRPr="002A2F47">
        <w:rPr>
          <w:rFonts w:cs="Times New Roman"/>
        </w:rPr>
        <w:t xml:space="preserve">, at para. 32.  To protect against such intrusions, the Court has developed various constitutional doctrines.  For the purposes of this appeal, I need only refer to one: the doctrine of federal paramountcy.  This doctrine “recognizes that where laws of the federal and provincial levels come into conflict, there must be a rule to resolve the impasse”: </w:t>
      </w:r>
      <w:r w:rsidRPr="002A2F47">
        <w:rPr>
          <w:rFonts w:cs="Times New Roman"/>
          <w:i/>
        </w:rPr>
        <w:t>Western Bank</w:t>
      </w:r>
      <w:r w:rsidRPr="002A2F47">
        <w:rPr>
          <w:rFonts w:cs="Times New Roman"/>
        </w:rPr>
        <w:t xml:space="preserve">, at para. 32.  When there is a genuine “inconsistency” between federal and provincial legislation, that is, when “the operational effects of provincial legislation are incompatible with federal legislation”, </w:t>
      </w:r>
      <w:r w:rsidRPr="002A2F47">
        <w:rPr>
          <w:rFonts w:cs="Times New Roman"/>
        </w:rPr>
        <w:lastRenderedPageBreak/>
        <w:t xml:space="preserve">the federal law prevails: </w:t>
      </w:r>
      <w:r w:rsidRPr="002A2F47">
        <w:rPr>
          <w:rFonts w:cs="Times New Roman"/>
          <w:i/>
        </w:rPr>
        <w:t>Marine Services International Ltd. v. Ryan Estate</w:t>
      </w:r>
      <w:r w:rsidRPr="002A2F47">
        <w:rPr>
          <w:rFonts w:cs="Times New Roman"/>
        </w:rPr>
        <w:t xml:space="preserve">, 2013 SCC 44, [2013] 3 S.C.R. 53, at para. 65, quoting </w:t>
      </w:r>
      <w:r w:rsidRPr="002A2F47">
        <w:rPr>
          <w:rFonts w:cs="Times New Roman"/>
          <w:i/>
        </w:rPr>
        <w:t>Western Bank</w:t>
      </w:r>
      <w:r w:rsidRPr="002A2F47">
        <w:rPr>
          <w:rFonts w:cs="Times New Roman"/>
        </w:rPr>
        <w:t xml:space="preserve">, at para. 69; see also </w:t>
      </w:r>
      <w:r w:rsidRPr="002A2F47">
        <w:rPr>
          <w:rFonts w:cs="Times New Roman"/>
          <w:i/>
        </w:rPr>
        <w:t>Marine Services</w:t>
      </w:r>
      <w:r w:rsidRPr="002A2F47">
        <w:rPr>
          <w:rFonts w:cs="Times New Roman"/>
        </w:rPr>
        <w:t xml:space="preserve">, at paras. 66-68; </w:t>
      </w:r>
      <w:r w:rsidRPr="002A2F47">
        <w:rPr>
          <w:rFonts w:cs="Times New Roman"/>
          <w:i/>
        </w:rPr>
        <w:t>Multiple Access</w:t>
      </w:r>
      <w:r w:rsidRPr="002A2F47">
        <w:rPr>
          <w:rFonts w:cs="Times New Roman"/>
        </w:rPr>
        <w:t>, at p. 168.  The question thus becomes how to determine whether such a conflict exists.</w:t>
      </w:r>
    </w:p>
    <w:p w:rsidR="00696B09" w:rsidRPr="002A2F47" w:rsidRDefault="00696B09" w:rsidP="001B50FA">
      <w:pPr>
        <w:pStyle w:val="ParaNoNdepar-AltN"/>
        <w:widowControl w:val="0"/>
        <w:rPr>
          <w:rFonts w:cs="Times New Roman"/>
        </w:rPr>
      </w:pPr>
      <w:r w:rsidRPr="002A2F47">
        <w:rPr>
          <w:rFonts w:cs="Times New Roman"/>
        </w:rPr>
        <w:t xml:space="preserve">First and foremost, it is necessary to ensure that the overlapping federal and provincial laws are independently valid: </w:t>
      </w:r>
      <w:r w:rsidRPr="002A2F47">
        <w:rPr>
          <w:rFonts w:cs="Times New Roman"/>
          <w:i/>
        </w:rPr>
        <w:t>Western Bank</w:t>
      </w:r>
      <w:r w:rsidRPr="002A2F47">
        <w:rPr>
          <w:rFonts w:cs="Times New Roman"/>
        </w:rPr>
        <w:t xml:space="preserve">, at para. 76; </w:t>
      </w:r>
      <w:r w:rsidRPr="002A2F47">
        <w:rPr>
          <w:rFonts w:cs="Times New Roman"/>
          <w:i/>
        </w:rPr>
        <w:t>Husky Oil</w:t>
      </w:r>
      <w:r w:rsidRPr="002A2F47">
        <w:rPr>
          <w:rFonts w:cs="Times New Roman"/>
        </w:rPr>
        <w:t xml:space="preserve">, at para. 87.  This means determining the pith and substance of the impugned provisions by looking at their purpose and effect: </w:t>
      </w:r>
      <w:r w:rsidRPr="002A2F47">
        <w:rPr>
          <w:rFonts w:cs="Times New Roman"/>
          <w:i/>
        </w:rPr>
        <w:t>Western Bank</w:t>
      </w:r>
      <w:r w:rsidRPr="002A2F47">
        <w:rPr>
          <w:rFonts w:cs="Times New Roman"/>
        </w:rPr>
        <w:t xml:space="preserve">, at para. 27; </w:t>
      </w:r>
      <w:r w:rsidRPr="002A2F47">
        <w:rPr>
          <w:rFonts w:cs="Times New Roman"/>
          <w:i/>
        </w:rPr>
        <w:t>Reference re Firearms Act (Can.)</w:t>
      </w:r>
      <w:r w:rsidRPr="002A2F47">
        <w:rPr>
          <w:rFonts w:cs="Times New Roman"/>
        </w:rPr>
        <w:t xml:space="preserve">, 2000 SCC 31, [2000] 1 S.C.R. 783, at para. 16.  Once a provision’s true purpose is identified, its validity will depend on whether it falls within the powers of the enacting government: </w:t>
      </w:r>
      <w:r w:rsidRPr="002A2F47">
        <w:rPr>
          <w:rFonts w:cs="Times New Roman"/>
          <w:i/>
        </w:rPr>
        <w:t xml:space="preserve">Law Society of British Columbia v. </w:t>
      </w:r>
      <w:proofErr w:type="spellStart"/>
      <w:r w:rsidRPr="002A2F47">
        <w:rPr>
          <w:rFonts w:cs="Times New Roman"/>
          <w:i/>
        </w:rPr>
        <w:t>Mangat</w:t>
      </w:r>
      <w:proofErr w:type="spellEnd"/>
      <w:r w:rsidRPr="002A2F47">
        <w:rPr>
          <w:rFonts w:cs="Times New Roman"/>
        </w:rPr>
        <w:t>, 2001 SCC 67, [2001] 3 S.C.R. 113, at para. 24.  If the legislation of one level of government is invalid, no conflict can ever arise, which puts an end to the inquiry.  If both laws are independently valid, however, the court must determine whether their concurrent operation results in a conflict.</w:t>
      </w:r>
    </w:p>
    <w:p w:rsidR="00696B09" w:rsidRPr="002A2F47" w:rsidRDefault="00696B09" w:rsidP="001B50FA">
      <w:pPr>
        <w:pStyle w:val="ParaNoNdepar-AltN"/>
        <w:widowControl w:val="0"/>
        <w:rPr>
          <w:rFonts w:cs="Times New Roman"/>
        </w:rPr>
      </w:pPr>
      <w:r w:rsidRPr="002A2F47">
        <w:rPr>
          <w:rFonts w:cs="Times New Roman"/>
        </w:rPr>
        <w:t>A conflict is said to arise in one of two situations, which form the two branches of the paramountcy test: (1) there is an operational conflict because it is impossible to comply with both laws, or (2) although it is possible to comply with both laws, the operation of the provincial law frustrates the purpose of the federal enactment.</w:t>
      </w:r>
    </w:p>
    <w:p w:rsidR="00696B09" w:rsidRPr="002A2F47" w:rsidRDefault="00696B09" w:rsidP="001B50FA">
      <w:pPr>
        <w:pStyle w:val="ParaNoNdepar-AltN"/>
        <w:widowControl w:val="0"/>
        <w:rPr>
          <w:rFonts w:cs="Times New Roman"/>
        </w:rPr>
      </w:pPr>
      <w:r w:rsidRPr="002A2F47">
        <w:rPr>
          <w:rFonts w:cs="Times New Roman"/>
        </w:rPr>
        <w:t xml:space="preserve">What is considered to be the first branch of the test was described as </w:t>
      </w:r>
      <w:r w:rsidRPr="002A2F47">
        <w:rPr>
          <w:rFonts w:cs="Times New Roman"/>
        </w:rPr>
        <w:lastRenderedPageBreak/>
        <w:t xml:space="preserve">follows in </w:t>
      </w:r>
      <w:r w:rsidRPr="002A2F47">
        <w:rPr>
          <w:rFonts w:cs="Times New Roman"/>
          <w:i/>
        </w:rPr>
        <w:t>Multiple Access</w:t>
      </w:r>
      <w:r w:rsidRPr="002A2F47">
        <w:rPr>
          <w:rFonts w:cs="Times New Roman"/>
        </w:rPr>
        <w:t>, the seminal decision of the Court on this issue:</w:t>
      </w:r>
    </w:p>
    <w:p w:rsidR="00696B09" w:rsidRPr="002A2F47" w:rsidRDefault="00696B09" w:rsidP="001B50FA">
      <w:pPr>
        <w:pStyle w:val="Citation-AltC"/>
        <w:widowControl w:val="0"/>
      </w:pPr>
      <w:r w:rsidRPr="002A2F47">
        <w:t xml:space="preserve">In principle, there would seem to be no good reasons to speak of paramountcy and preclusion except where there is </w:t>
      </w:r>
      <w:r w:rsidRPr="002A2F47">
        <w:rPr>
          <w:u w:val="single"/>
        </w:rPr>
        <w:t>actual conflict in operation</w:t>
      </w:r>
      <w:r w:rsidRPr="002A2F47">
        <w:t xml:space="preserve"> as where one enactment says “yes” and the other says “no”; “the same citizens are being told to do inconsistent things”; compliance with one is defiance of the other. [Emphasis added; p. 191.]</w:t>
      </w:r>
    </w:p>
    <w:p w:rsidR="00696B09" w:rsidRPr="002A2F47" w:rsidRDefault="00696B09" w:rsidP="001B50FA">
      <w:pPr>
        <w:pStyle w:val="ContinueParaSuitedupar-AltP"/>
        <w:widowControl w:val="0"/>
        <w:rPr>
          <w:rFonts w:cs="Times New Roman"/>
        </w:rPr>
      </w:pPr>
      <w:r w:rsidRPr="002A2F47">
        <w:rPr>
          <w:rFonts w:cs="Times New Roman"/>
        </w:rPr>
        <w:t xml:space="preserve">In </w:t>
      </w:r>
      <w:r w:rsidRPr="002A2F47">
        <w:rPr>
          <w:rFonts w:cs="Times New Roman"/>
          <w:i/>
        </w:rPr>
        <w:t>Western Bank</w:t>
      </w:r>
      <w:r w:rsidRPr="002A2F47">
        <w:rPr>
          <w:rFonts w:cs="Times New Roman"/>
        </w:rPr>
        <w:t xml:space="preserve">, Binnie and </w:t>
      </w:r>
      <w:proofErr w:type="spellStart"/>
      <w:r w:rsidRPr="002A2F47">
        <w:rPr>
          <w:rFonts w:cs="Times New Roman"/>
        </w:rPr>
        <w:t>LeBel</w:t>
      </w:r>
      <w:proofErr w:type="spellEnd"/>
      <w:r w:rsidRPr="002A2F47">
        <w:rPr>
          <w:rFonts w:cs="Times New Roman"/>
        </w:rPr>
        <w:t xml:space="preserve"> JJ. </w:t>
      </w:r>
      <w:proofErr w:type="gramStart"/>
      <w:r w:rsidRPr="002A2F47">
        <w:rPr>
          <w:rFonts w:cs="Times New Roman"/>
        </w:rPr>
        <w:t>referred</w:t>
      </w:r>
      <w:proofErr w:type="gramEnd"/>
      <w:r w:rsidRPr="002A2F47">
        <w:rPr>
          <w:rFonts w:cs="Times New Roman"/>
        </w:rPr>
        <w:t xml:space="preserve"> to this passage as “the fundamental test for determining whether there is sufficient incompatibility to trigger the application of the doctrine of federal paramountcy” (para. 71). Under that test, the question is whether there is an actual conflict in operation, that is, whether both laws “can operate side by side without conflict” (</w:t>
      </w:r>
      <w:r w:rsidRPr="002A2F47">
        <w:rPr>
          <w:rFonts w:cs="Times New Roman"/>
          <w:i/>
        </w:rPr>
        <w:t>Marine Services</w:t>
      </w:r>
      <w:r w:rsidRPr="002A2F47">
        <w:rPr>
          <w:rFonts w:cs="Times New Roman"/>
        </w:rPr>
        <w:t>, at para. 76) or</w:t>
      </w:r>
      <w:r w:rsidRPr="002A2F47">
        <w:rPr>
          <w:rFonts w:cs="Times New Roman"/>
          <w:i/>
        </w:rPr>
        <w:t xml:space="preserve"> </w:t>
      </w:r>
      <w:r w:rsidRPr="002A2F47">
        <w:rPr>
          <w:rFonts w:cs="Times New Roman"/>
        </w:rPr>
        <w:t xml:space="preserve">whether both “laws can apply concurrently, and citizens can comply with either of them without violating the other”: </w:t>
      </w:r>
      <w:r w:rsidRPr="002A2F47">
        <w:rPr>
          <w:rFonts w:cs="Times New Roman"/>
          <w:i/>
        </w:rPr>
        <w:t>Western Bank</w:t>
      </w:r>
      <w:r w:rsidRPr="002A2F47">
        <w:rPr>
          <w:rFonts w:cs="Times New Roman"/>
        </w:rPr>
        <w:t xml:space="preserve">, at para. 72; see also </w:t>
      </w:r>
      <w:r w:rsidRPr="002A2F47">
        <w:rPr>
          <w:rFonts w:cs="Times New Roman"/>
          <w:i/>
        </w:rPr>
        <w:t xml:space="preserve">Sun </w:t>
      </w:r>
      <w:proofErr w:type="spellStart"/>
      <w:r w:rsidRPr="002A2F47">
        <w:rPr>
          <w:rFonts w:cs="Times New Roman"/>
          <w:i/>
        </w:rPr>
        <w:t>Indalex</w:t>
      </w:r>
      <w:proofErr w:type="spellEnd"/>
      <w:r w:rsidRPr="002A2F47">
        <w:rPr>
          <w:rFonts w:cs="Times New Roman"/>
          <w:i/>
        </w:rPr>
        <w:t xml:space="preserve"> Finance, LLC v. United Steelworkers</w:t>
      </w:r>
      <w:r w:rsidRPr="002A2F47">
        <w:rPr>
          <w:rFonts w:cs="Times New Roman"/>
        </w:rPr>
        <w:t xml:space="preserve">, 2013 SCC 6, [2013] 1 S.C.R. 271, at para. 60; </w:t>
      </w:r>
      <w:r w:rsidRPr="002A2F47">
        <w:rPr>
          <w:rFonts w:cs="Times New Roman"/>
          <w:i/>
        </w:rPr>
        <w:t>Marine Services</w:t>
      </w:r>
      <w:r w:rsidRPr="002A2F47">
        <w:rPr>
          <w:rFonts w:cs="Times New Roman"/>
        </w:rPr>
        <w:t xml:space="preserve">, at para. 68; </w:t>
      </w:r>
      <w:r w:rsidRPr="002A2F47">
        <w:rPr>
          <w:rFonts w:cs="Times New Roman"/>
          <w:i/>
        </w:rPr>
        <w:t>British Columbia (Attorney General) v. Lafarge Canada Inc.</w:t>
      </w:r>
      <w:r w:rsidRPr="002A2F47">
        <w:rPr>
          <w:rFonts w:cs="Times New Roman"/>
        </w:rPr>
        <w:t xml:space="preserve">, 2007 SCC 23, [2007] 2 S.C.R. 86, at paras. 77 and 81-82; </w:t>
      </w:r>
      <w:r w:rsidRPr="002A2F47">
        <w:rPr>
          <w:rFonts w:cs="Times New Roman"/>
          <w:i/>
        </w:rPr>
        <w:t>Garland v. Consumers’ Gas Co.</w:t>
      </w:r>
      <w:r w:rsidRPr="002A2F47">
        <w:rPr>
          <w:rFonts w:cs="Times New Roman"/>
        </w:rPr>
        <w:t xml:space="preserve">, 2004 SCC 25, [2004] 1 S.C.R. 629, at para. 53; </w:t>
      </w:r>
      <w:r w:rsidRPr="002A2F47">
        <w:rPr>
          <w:rFonts w:cs="Times New Roman"/>
          <w:i/>
        </w:rPr>
        <w:t>Smith v. The Queen</w:t>
      </w:r>
      <w:r w:rsidRPr="002A2F47">
        <w:rPr>
          <w:rFonts w:cs="Times New Roman"/>
        </w:rPr>
        <w:t xml:space="preserve">, [1960] S.C.R. 776, at p. 800, per </w:t>
      </w:r>
      <w:proofErr w:type="spellStart"/>
      <w:r w:rsidRPr="002A2F47">
        <w:rPr>
          <w:rFonts w:cs="Times New Roman"/>
        </w:rPr>
        <w:t>Martland</w:t>
      </w:r>
      <w:proofErr w:type="spellEnd"/>
      <w:r w:rsidRPr="002A2F47">
        <w:rPr>
          <w:rFonts w:cs="Times New Roman"/>
        </w:rPr>
        <w:t xml:space="preserve"> J.  </w:t>
      </w:r>
    </w:p>
    <w:p w:rsidR="00696B09" w:rsidRPr="002A2F47" w:rsidRDefault="00696B09" w:rsidP="001B50FA">
      <w:pPr>
        <w:pStyle w:val="ParaNoNdepar-AltN"/>
        <w:widowControl w:val="0"/>
        <w:rPr>
          <w:rFonts w:cs="Times New Roman"/>
        </w:rPr>
      </w:pPr>
      <w:r w:rsidRPr="002A2F47">
        <w:rPr>
          <w:rFonts w:cs="Times New Roman"/>
        </w:rPr>
        <w:t xml:space="preserve">In her concurring reasons, my colleague </w:t>
      </w:r>
      <w:proofErr w:type="spellStart"/>
      <w:r w:rsidRPr="002A2F47">
        <w:rPr>
          <w:rFonts w:cs="Times New Roman"/>
        </w:rPr>
        <w:t>Côté</w:t>
      </w:r>
      <w:proofErr w:type="spellEnd"/>
      <w:r w:rsidRPr="002A2F47">
        <w:rPr>
          <w:rFonts w:cs="Times New Roman"/>
        </w:rPr>
        <w:t xml:space="preserve"> J. formulates this first branch of the test as impossibility of dual compliance as a result of or caused by “an express conflict” (paras. 93 and 122). She cites in support (paras. 102-3) this Court’s use of the terms “express contradiction” in </w:t>
      </w:r>
      <w:r w:rsidRPr="002A2F47">
        <w:rPr>
          <w:rFonts w:cs="Times New Roman"/>
          <w:i/>
        </w:rPr>
        <w:t xml:space="preserve">114957 Canada </w:t>
      </w:r>
      <w:proofErr w:type="spellStart"/>
      <w:r w:rsidRPr="002A2F47">
        <w:rPr>
          <w:rFonts w:cs="Times New Roman"/>
          <w:i/>
        </w:rPr>
        <w:t>Ltée</w:t>
      </w:r>
      <w:proofErr w:type="spellEnd"/>
      <w:r w:rsidRPr="002A2F47">
        <w:rPr>
          <w:rFonts w:cs="Times New Roman"/>
          <w:i/>
        </w:rPr>
        <w:t xml:space="preserve"> (</w:t>
      </w:r>
      <w:proofErr w:type="spellStart"/>
      <w:r w:rsidRPr="002A2F47">
        <w:rPr>
          <w:rFonts w:cs="Times New Roman"/>
          <w:i/>
        </w:rPr>
        <w:t>Spraytech</w:t>
      </w:r>
      <w:proofErr w:type="spellEnd"/>
      <w:r w:rsidRPr="002A2F47">
        <w:rPr>
          <w:rFonts w:cs="Times New Roman"/>
          <w:i/>
        </w:rPr>
        <w:t xml:space="preserve">, </w:t>
      </w:r>
      <w:proofErr w:type="spellStart"/>
      <w:r w:rsidRPr="002A2F47">
        <w:rPr>
          <w:rFonts w:cs="Times New Roman"/>
          <w:i/>
        </w:rPr>
        <w:t>Société</w:t>
      </w:r>
      <w:proofErr w:type="spellEnd"/>
      <w:r w:rsidRPr="002A2F47">
        <w:rPr>
          <w:rFonts w:cs="Times New Roman"/>
          <w:i/>
        </w:rPr>
        <w:t xml:space="preserve"> </w:t>
      </w:r>
      <w:proofErr w:type="spellStart"/>
      <w:r w:rsidRPr="002A2F47">
        <w:rPr>
          <w:rFonts w:cs="Times New Roman"/>
          <w:i/>
        </w:rPr>
        <w:t>d’arrosage</w:t>
      </w:r>
      <w:proofErr w:type="spellEnd"/>
      <w:r w:rsidRPr="002A2F47">
        <w:rPr>
          <w:rFonts w:cs="Times New Roman"/>
          <w:i/>
        </w:rPr>
        <w:t xml:space="preserve">) </w:t>
      </w:r>
      <w:r w:rsidRPr="002A2F47">
        <w:rPr>
          <w:rFonts w:cs="Times New Roman"/>
          <w:i/>
        </w:rPr>
        <w:lastRenderedPageBreak/>
        <w:t>v. Hudson (Town)</w:t>
      </w:r>
      <w:r w:rsidRPr="002A2F47">
        <w:rPr>
          <w:rFonts w:cs="Times New Roman"/>
        </w:rPr>
        <w:t>,</w:t>
      </w:r>
      <w:r w:rsidRPr="002A2F47">
        <w:rPr>
          <w:rFonts w:cs="Times New Roman"/>
          <w:i/>
        </w:rPr>
        <w:t xml:space="preserve"> </w:t>
      </w:r>
      <w:r w:rsidRPr="002A2F47">
        <w:rPr>
          <w:rFonts w:cs="Times New Roman"/>
        </w:rPr>
        <w:t xml:space="preserve">2001 SCC 40, [2001] 2 S.C.R. 241, at para. 34, and </w:t>
      </w:r>
      <w:r w:rsidRPr="002A2F47">
        <w:rPr>
          <w:rFonts w:cs="Times New Roman"/>
          <w:i/>
        </w:rPr>
        <w:t>M &amp; D Farm Ltd. v. Manitoba Agricultural Credit Corp.</w:t>
      </w:r>
      <w:r w:rsidRPr="002A2F47">
        <w:rPr>
          <w:rFonts w:cs="Times New Roman"/>
        </w:rPr>
        <w:t xml:space="preserve">, [1999] 2 S.C.R. 961, at para. 17, as well as the use by </w:t>
      </w:r>
      <w:proofErr w:type="spellStart"/>
      <w:r w:rsidRPr="002A2F47">
        <w:rPr>
          <w:rFonts w:cs="Times New Roman"/>
        </w:rPr>
        <w:t>Bastarache</w:t>
      </w:r>
      <w:proofErr w:type="spellEnd"/>
      <w:r w:rsidRPr="002A2F47">
        <w:rPr>
          <w:rFonts w:cs="Times New Roman"/>
        </w:rPr>
        <w:t xml:space="preserve"> J. of the terms “express or ‘operational conflict’” in </w:t>
      </w:r>
      <w:r w:rsidRPr="002A2F47">
        <w:rPr>
          <w:rFonts w:cs="Times New Roman"/>
          <w:i/>
        </w:rPr>
        <w:t xml:space="preserve">Western Bank </w:t>
      </w:r>
      <w:r w:rsidRPr="002A2F47">
        <w:rPr>
          <w:rFonts w:cs="Times New Roman"/>
        </w:rPr>
        <w:t xml:space="preserve">(para. 126) and </w:t>
      </w:r>
      <w:r w:rsidRPr="002A2F47">
        <w:rPr>
          <w:rFonts w:cs="Times New Roman"/>
          <w:i/>
        </w:rPr>
        <w:t xml:space="preserve">Lafarge </w:t>
      </w:r>
      <w:r w:rsidRPr="002A2F47">
        <w:rPr>
          <w:rFonts w:cs="Times New Roman"/>
        </w:rPr>
        <w:t>(para. 113).</w:t>
      </w:r>
      <w:r w:rsidRPr="002A2F47">
        <w:rPr>
          <w:rFonts w:cs="Times New Roman"/>
          <w:i/>
        </w:rPr>
        <w:t xml:space="preserve"> </w:t>
      </w:r>
      <w:r w:rsidRPr="002A2F47">
        <w:rPr>
          <w:rFonts w:cs="Times New Roman"/>
        </w:rPr>
        <w:t xml:space="preserve"> She insists that under this first branch, the express conflict or express contradiction must be found merely on the basis of the “actual words” of the provisions at issue (paras. 105 and 108) and their “literal” sense or requirement (para. 97).  She considers that prior cases in which this Court found that an operational conflict existed either mischaract</w:t>
      </w:r>
      <w:r w:rsidR="003E194B">
        <w:rPr>
          <w:rFonts w:cs="Times New Roman"/>
        </w:rPr>
        <w:t xml:space="preserve">erized the test (at paras. 116-17, </w:t>
      </w:r>
      <w:r w:rsidRPr="002A2F47">
        <w:rPr>
          <w:rFonts w:cs="Times New Roman"/>
        </w:rPr>
        <w:t xml:space="preserve">she cites </w:t>
      </w:r>
      <w:r w:rsidRPr="002A2F47">
        <w:rPr>
          <w:rFonts w:cs="Times New Roman"/>
          <w:i/>
        </w:rPr>
        <w:t>Lafarge</w:t>
      </w:r>
      <w:r w:rsidRPr="002A2F47">
        <w:rPr>
          <w:rFonts w:cs="Times New Roman"/>
        </w:rPr>
        <w:t>) or conflated it with the second branch pertaining to frustration of purpose (at paras. 115 and 118</w:t>
      </w:r>
      <w:r w:rsidR="003E194B">
        <w:rPr>
          <w:rFonts w:cs="Times New Roman"/>
        </w:rPr>
        <w:t>,</w:t>
      </w:r>
      <w:r w:rsidRPr="002A2F47">
        <w:rPr>
          <w:rFonts w:cs="Times New Roman"/>
        </w:rPr>
        <w:t xml:space="preserve"> she cites </w:t>
      </w:r>
      <w:r w:rsidRPr="002A2F47">
        <w:rPr>
          <w:rFonts w:cs="Times New Roman"/>
          <w:i/>
        </w:rPr>
        <w:t>Husky Oil</w:t>
      </w:r>
      <w:r w:rsidRPr="002A2F47">
        <w:rPr>
          <w:rFonts w:cs="Times New Roman"/>
        </w:rPr>
        <w:t xml:space="preserve"> and </w:t>
      </w:r>
      <w:r w:rsidRPr="002A2F47">
        <w:rPr>
          <w:rFonts w:cs="Times New Roman"/>
          <w:i/>
        </w:rPr>
        <w:t>M &amp; D Farm</w:t>
      </w:r>
      <w:r w:rsidRPr="002A2F47">
        <w:rPr>
          <w:rFonts w:cs="Times New Roman"/>
        </w:rPr>
        <w:t>).</w:t>
      </w:r>
    </w:p>
    <w:p w:rsidR="00696B09" w:rsidRPr="002A2F47" w:rsidRDefault="00696B09" w:rsidP="001B50FA">
      <w:pPr>
        <w:pStyle w:val="ParaNoNdepar-AltN"/>
        <w:widowControl w:val="0"/>
        <w:rPr>
          <w:rFonts w:cs="Times New Roman"/>
        </w:rPr>
      </w:pPr>
      <w:r w:rsidRPr="002A2F47">
        <w:rPr>
          <w:rFonts w:cs="Times New Roman"/>
        </w:rPr>
        <w:t xml:space="preserve">I respectfully disagree with these propositions and with my colleague’s assessment of this Court’s past cases on the first branch of the paramountcy test. I would not characterize these as being “not helpful authority” (para. 118) and as having “confused” the two branches (para. 114). Rather, in my view, this Court’s decisions on operational conflict have been coherent and consistent since </w:t>
      </w:r>
      <w:r w:rsidRPr="002A2F47">
        <w:rPr>
          <w:rFonts w:cs="Times New Roman"/>
          <w:i/>
        </w:rPr>
        <w:t>Multiple Access</w:t>
      </w:r>
      <w:r w:rsidRPr="002A2F47">
        <w:rPr>
          <w:rFonts w:cs="Times New Roman"/>
        </w:rPr>
        <w:t>.</w:t>
      </w:r>
    </w:p>
    <w:p w:rsidR="00696B09" w:rsidRPr="002A2F47" w:rsidRDefault="00696B09" w:rsidP="001B50FA">
      <w:pPr>
        <w:pStyle w:val="ParaNoNdepar-AltN"/>
        <w:widowControl w:val="0"/>
        <w:rPr>
          <w:rFonts w:cs="Times New Roman"/>
        </w:rPr>
      </w:pPr>
      <w:r w:rsidRPr="002A2F47">
        <w:rPr>
          <w:rFonts w:cs="Times New Roman"/>
        </w:rPr>
        <w:t xml:space="preserve">First, the expression “express contradiction” used in those cases originated in </w:t>
      </w:r>
      <w:r w:rsidRPr="002A2F47">
        <w:rPr>
          <w:rFonts w:cs="Times New Roman"/>
          <w:i/>
        </w:rPr>
        <w:t>Multiple Access</w:t>
      </w:r>
      <w:r w:rsidRPr="002A2F47">
        <w:rPr>
          <w:rFonts w:cs="Times New Roman"/>
        </w:rPr>
        <w:t xml:space="preserve">. Dickson J. initially used it — at p. 187, in discussing prior decisions of the Court — to describe the test that he ultimately formulated, in the above-quoted passage, as that of “actual conflict in operation” or operational conflict (p. 191). An express contradiction is nothing more than a clear, direct or definite conflict in </w:t>
      </w:r>
      <w:r w:rsidRPr="002A2F47">
        <w:rPr>
          <w:rFonts w:cs="Times New Roman"/>
        </w:rPr>
        <w:lastRenderedPageBreak/>
        <w:t>operation, as opposed to an indirect or imprecise one. It is not an additional condition for a finding of actual conflict in operation.</w:t>
      </w:r>
    </w:p>
    <w:p w:rsidR="00696B09" w:rsidRPr="002A2F47" w:rsidRDefault="00696B09" w:rsidP="001B50FA">
      <w:pPr>
        <w:pStyle w:val="ParaNoNdepar-AltN"/>
        <w:widowControl w:val="0"/>
        <w:rPr>
          <w:rFonts w:cs="Times New Roman"/>
        </w:rPr>
      </w:pPr>
      <w:r w:rsidRPr="002A2F47">
        <w:rPr>
          <w:rFonts w:cs="Times New Roman"/>
        </w:rPr>
        <w:t xml:space="preserve">Second, I find no indication in the Court’s decisions pertaining to this first branch that the assessment of an actual conflict in operation is limited to the actual words or to the literal meaning of the words of the provisions at issue; quite the contrary. In its recent decision in </w:t>
      </w:r>
      <w:r w:rsidRPr="002A2F47">
        <w:rPr>
          <w:rFonts w:cs="Times New Roman"/>
          <w:i/>
        </w:rPr>
        <w:t>Marine Services</w:t>
      </w:r>
      <w:r w:rsidRPr="002A2F47">
        <w:rPr>
          <w:rFonts w:cs="Times New Roman"/>
        </w:rPr>
        <w:t xml:space="preserve"> for instance, in assessing whether there was an actual conflict in operation under the first branch (paras. 71-83), the Court did not limit itself to a mere literal reading of the provisions at issue.  Rather, it found that a proper reading of the provisions based on the modern approach to statutory interpretation (paras. 77-79) led to the conclusion that the provincial and federal laws could operate side by side without conflict (para. 76). With respect, my colleague misreads my remarks when she states that I support in this regard a broad interpretation of ambiguous federal statutes under</w:t>
      </w:r>
      <w:r w:rsidR="003237E0">
        <w:rPr>
          <w:rFonts w:cs="Times New Roman"/>
        </w:rPr>
        <w:t xml:space="preserve"> this first branch (paras. 111-</w:t>
      </w:r>
      <w:r w:rsidRPr="002A2F47">
        <w:rPr>
          <w:rFonts w:cs="Times New Roman"/>
        </w:rPr>
        <w:t xml:space="preserve">13).  This is not so.  </w:t>
      </w:r>
      <w:r w:rsidRPr="002A2F47">
        <w:rPr>
          <w:rFonts w:cs="Times New Roman"/>
          <w:i/>
        </w:rPr>
        <w:t>Marine Services</w:t>
      </w:r>
      <w:r w:rsidRPr="002A2F47">
        <w:rPr>
          <w:rFonts w:cs="Times New Roman"/>
        </w:rPr>
        <w:t xml:space="preserve"> emphasizes that it is the proper meaning of the provision that remains central to the analysis, not merely its literal sense. As I explain below, the provisions at issue in this case are not ambiguous, and I do not give them a broad interpretation to find their ordinary and undisputed meaning.  The harmonious interpretation referred to by my colleague is a rule of constitutional interpretation that applies to both branches of the paramountcy test, not merely the first one: </w:t>
      </w:r>
      <w:r w:rsidRPr="002A2F47">
        <w:rPr>
          <w:rFonts w:cs="Times New Roman"/>
          <w:i/>
        </w:rPr>
        <w:t xml:space="preserve">Saskatchewan (Attorney General) v. </w:t>
      </w:r>
      <w:proofErr w:type="spellStart"/>
      <w:r w:rsidRPr="002A2F47">
        <w:rPr>
          <w:rFonts w:cs="Times New Roman"/>
          <w:i/>
        </w:rPr>
        <w:t>Lemare</w:t>
      </w:r>
      <w:proofErr w:type="spellEnd"/>
      <w:r w:rsidRPr="002A2F47">
        <w:rPr>
          <w:rFonts w:cs="Times New Roman"/>
          <w:i/>
        </w:rPr>
        <w:t xml:space="preserve"> Lake Logging Ltd.</w:t>
      </w:r>
      <w:r w:rsidRPr="002A2F47">
        <w:rPr>
          <w:rFonts w:cs="Times New Roman"/>
        </w:rPr>
        <w:t xml:space="preserve">, 2015 SCC </w:t>
      </w:r>
      <w:r>
        <w:rPr>
          <w:rFonts w:cs="Times New Roman"/>
        </w:rPr>
        <w:t>53</w:t>
      </w:r>
      <w:r w:rsidRPr="002A2F47">
        <w:rPr>
          <w:rFonts w:cs="Times New Roman"/>
        </w:rPr>
        <w:t xml:space="preserve">, </w:t>
      </w:r>
      <w:r w:rsidR="003E194B">
        <w:rPr>
          <w:rFonts w:cs="Times New Roman"/>
        </w:rPr>
        <w:t xml:space="preserve">[2015] 3 S.C.R. </w:t>
      </w:r>
      <w:r w:rsidR="000C4869">
        <w:rPr>
          <w:rFonts w:cs="Times New Roman"/>
        </w:rPr>
        <w:t>419</w:t>
      </w:r>
      <w:r w:rsidR="003E194B">
        <w:rPr>
          <w:rFonts w:cs="Times New Roman"/>
        </w:rPr>
        <w:t xml:space="preserve">, </w:t>
      </w:r>
      <w:r w:rsidRPr="002A2F47">
        <w:rPr>
          <w:rFonts w:cs="Times New Roman"/>
        </w:rPr>
        <w:t xml:space="preserve">at para. 68. It has, however, no bearing on the actual conflict in operation that is, in my view, established </w:t>
      </w:r>
      <w:r w:rsidRPr="002A2F47">
        <w:rPr>
          <w:rFonts w:cs="Times New Roman"/>
        </w:rPr>
        <w:lastRenderedPageBreak/>
        <w:t>here when both laws operate.</w:t>
      </w:r>
    </w:p>
    <w:p w:rsidR="00696B09" w:rsidRPr="002A2F47" w:rsidRDefault="00696B09" w:rsidP="001B50FA">
      <w:pPr>
        <w:pStyle w:val="ParaNoNdepar-AltN"/>
        <w:widowControl w:val="0"/>
        <w:rPr>
          <w:rFonts w:cs="Times New Roman"/>
        </w:rPr>
      </w:pPr>
      <w:r w:rsidRPr="002A2F47">
        <w:rPr>
          <w:rFonts w:cs="Times New Roman"/>
        </w:rPr>
        <w:t xml:space="preserve">Finally, I consider that in </w:t>
      </w:r>
      <w:r w:rsidRPr="002A2F47">
        <w:rPr>
          <w:rFonts w:cs="Times New Roman"/>
          <w:i/>
        </w:rPr>
        <w:t>Husky Oil</w:t>
      </w:r>
      <w:r w:rsidRPr="002A2F47">
        <w:rPr>
          <w:rFonts w:cs="Times New Roman"/>
        </w:rPr>
        <w:t xml:space="preserve"> (para. 87) and </w:t>
      </w:r>
      <w:r w:rsidRPr="002A2F47">
        <w:rPr>
          <w:rFonts w:cs="Times New Roman"/>
          <w:i/>
        </w:rPr>
        <w:t xml:space="preserve">M &amp; D Farm </w:t>
      </w:r>
      <w:r w:rsidRPr="002A2F47">
        <w:rPr>
          <w:rFonts w:cs="Times New Roman"/>
        </w:rPr>
        <w:t xml:space="preserve">(para. 40), </w:t>
      </w:r>
      <w:proofErr w:type="spellStart"/>
      <w:r w:rsidRPr="002A2F47">
        <w:rPr>
          <w:rFonts w:cs="Times New Roman"/>
        </w:rPr>
        <w:t>Gonthier</w:t>
      </w:r>
      <w:proofErr w:type="spellEnd"/>
      <w:r w:rsidRPr="002A2F47">
        <w:rPr>
          <w:rFonts w:cs="Times New Roman"/>
        </w:rPr>
        <w:t xml:space="preserve"> J. and Binnie J. respectively referred to the “actual conflict in operation” concept drawn from </w:t>
      </w:r>
      <w:r w:rsidRPr="002A2F47">
        <w:rPr>
          <w:rFonts w:cs="Times New Roman"/>
          <w:i/>
        </w:rPr>
        <w:t>Multiple Access</w:t>
      </w:r>
      <w:r w:rsidRPr="002A2F47">
        <w:rPr>
          <w:rFonts w:cs="Times New Roman"/>
        </w:rPr>
        <w:t xml:space="preserve"> without confusing the two branches of the paramountcy test</w:t>
      </w:r>
      <w:r w:rsidRPr="002A2F47">
        <w:rPr>
          <w:rFonts w:cs="Times New Roman"/>
          <w:i/>
        </w:rPr>
        <w:t>.</w:t>
      </w:r>
      <w:r w:rsidRPr="002A2F47">
        <w:rPr>
          <w:rFonts w:cs="Times New Roman"/>
        </w:rPr>
        <w:t xml:space="preserve">  As for the reasons of Binnie and </w:t>
      </w:r>
      <w:proofErr w:type="spellStart"/>
      <w:r w:rsidRPr="002A2F47">
        <w:rPr>
          <w:rFonts w:cs="Times New Roman"/>
        </w:rPr>
        <w:t>LeBel</w:t>
      </w:r>
      <w:proofErr w:type="spellEnd"/>
      <w:r w:rsidRPr="002A2F47">
        <w:rPr>
          <w:rFonts w:cs="Times New Roman"/>
        </w:rPr>
        <w:t xml:space="preserve"> JJ. in </w:t>
      </w:r>
      <w:r w:rsidRPr="002A2F47">
        <w:rPr>
          <w:rFonts w:cs="Times New Roman"/>
          <w:i/>
        </w:rPr>
        <w:t>Lafarge</w:t>
      </w:r>
      <w:r w:rsidRPr="002A2F47">
        <w:rPr>
          <w:rFonts w:cs="Times New Roman"/>
        </w:rPr>
        <w:t xml:space="preserve">, issued on the same day as </w:t>
      </w:r>
      <w:r w:rsidRPr="002A2F47">
        <w:rPr>
          <w:rFonts w:cs="Times New Roman"/>
          <w:i/>
        </w:rPr>
        <w:t>Western Bank</w:t>
      </w:r>
      <w:r w:rsidRPr="002A2F47">
        <w:rPr>
          <w:rFonts w:cs="Times New Roman"/>
        </w:rPr>
        <w:t xml:space="preserve"> (in which they also penned the majority reasons), I find it hard to suggest that they misstated the test or conflated its two branches, which they in fact analyzed separately (the first at paras. 81-82 and the second at paras. 83-85). On operational conflict, their reference to an “impossibility of . . . simultaneous application” (</w:t>
      </w:r>
      <w:r w:rsidRPr="002A2F47">
        <w:rPr>
          <w:rFonts w:cs="Times New Roman"/>
          <w:i/>
        </w:rPr>
        <w:t>Lafarge</w:t>
      </w:r>
      <w:r w:rsidRPr="002A2F47">
        <w:rPr>
          <w:rFonts w:cs="Times New Roman"/>
        </w:rPr>
        <w:t>,</w:t>
      </w:r>
      <w:r w:rsidRPr="002A2F47">
        <w:rPr>
          <w:rFonts w:cs="Times New Roman"/>
          <w:i/>
        </w:rPr>
        <w:t xml:space="preserve"> </w:t>
      </w:r>
      <w:r w:rsidRPr="002A2F47">
        <w:rPr>
          <w:rFonts w:cs="Times New Roman"/>
        </w:rPr>
        <w:t xml:space="preserve">at para. 77) echoed the similar comments made in </w:t>
      </w:r>
      <w:r w:rsidRPr="002A2F47">
        <w:rPr>
          <w:rFonts w:cs="Times New Roman"/>
          <w:i/>
        </w:rPr>
        <w:t>Western Bank</w:t>
      </w:r>
      <w:r w:rsidRPr="002A2F47">
        <w:rPr>
          <w:rFonts w:cs="Times New Roman"/>
        </w:rPr>
        <w:t xml:space="preserve"> to the effect that the test amounts to assessing whether “the [two] laws can apply concurrently” (</w:t>
      </w:r>
      <w:r w:rsidRPr="002A2F47">
        <w:rPr>
          <w:rFonts w:cs="Times New Roman"/>
          <w:i/>
        </w:rPr>
        <w:t>Western Bank</w:t>
      </w:r>
      <w:r w:rsidRPr="002A2F47">
        <w:rPr>
          <w:rFonts w:cs="Times New Roman"/>
        </w:rPr>
        <w:t xml:space="preserve">, at para. 72): see also, on the concept of possible concurrent “application” of both laws, </w:t>
      </w:r>
      <w:r w:rsidRPr="002A2F47">
        <w:rPr>
          <w:rFonts w:cs="Times New Roman"/>
          <w:i/>
        </w:rPr>
        <w:t xml:space="preserve">Rothmans, Benson &amp; Hedges Inc. </w:t>
      </w:r>
      <w:r w:rsidRPr="002A2F47">
        <w:rPr>
          <w:rFonts w:cs="Times New Roman"/>
          <w:i/>
          <w:iCs/>
        </w:rPr>
        <w:t>v.</w:t>
      </w:r>
      <w:r w:rsidRPr="002A2F47">
        <w:rPr>
          <w:rFonts w:cs="Times New Roman"/>
          <w:i/>
        </w:rPr>
        <w:t xml:space="preserve"> Saskatchewan</w:t>
      </w:r>
      <w:r w:rsidRPr="002A2F47">
        <w:rPr>
          <w:rFonts w:cs="Times New Roman"/>
        </w:rPr>
        <w:t xml:space="preserve">, 2005 SCC 13, [2005] 1 S.C.R. 188, at para. 23. </w:t>
      </w:r>
    </w:p>
    <w:p w:rsidR="00696B09" w:rsidRPr="002A2F47" w:rsidRDefault="00696B09" w:rsidP="001B50FA">
      <w:pPr>
        <w:pStyle w:val="ParaNoNdepar-AltN"/>
        <w:widowControl w:val="0"/>
        <w:rPr>
          <w:rFonts w:cs="Times New Roman"/>
        </w:rPr>
      </w:pPr>
      <w:r w:rsidRPr="002A2F47">
        <w:rPr>
          <w:rFonts w:cs="Times New Roman"/>
        </w:rPr>
        <w:t xml:space="preserve">If there is no conflict under the first branch of the test, one may still be found under the second branch. In </w:t>
      </w:r>
      <w:r w:rsidRPr="002A2F47">
        <w:rPr>
          <w:rFonts w:cs="Times New Roman"/>
          <w:i/>
        </w:rPr>
        <w:t>Bank of Montreal v. Hall</w:t>
      </w:r>
      <w:r w:rsidRPr="002A2F47">
        <w:rPr>
          <w:rFonts w:cs="Times New Roman"/>
        </w:rPr>
        <w:t xml:space="preserve">, [1990] 1 S.C.R. 121, the Court formulated what is now considered to be the second branch of the test.  It framed the question as being “whether operation of the provincial Act is compatible with the federal legislative purpose” (p. 155).  In other words, the effect of the provincial law may frustrate the purpose of the federal law, even though it does “not entail a direct </w:t>
      </w:r>
      <w:r w:rsidRPr="002A2F47">
        <w:rPr>
          <w:rFonts w:cs="Times New Roman"/>
        </w:rPr>
        <w:lastRenderedPageBreak/>
        <w:t xml:space="preserve">violation of the federal law’s provisions”: </w:t>
      </w:r>
      <w:r w:rsidRPr="002A2F47">
        <w:rPr>
          <w:rFonts w:cs="Times New Roman"/>
          <w:i/>
        </w:rPr>
        <w:t>Western Bank</w:t>
      </w:r>
      <w:r w:rsidRPr="002A2F47">
        <w:rPr>
          <w:rFonts w:cs="Times New Roman"/>
        </w:rPr>
        <w:t>, at para. 73.</w:t>
      </w:r>
    </w:p>
    <w:p w:rsidR="00696B09" w:rsidRPr="002A2F47" w:rsidRDefault="00696B09" w:rsidP="001B50FA">
      <w:pPr>
        <w:pStyle w:val="ParaNoNdepar-AltN"/>
        <w:widowControl w:val="0"/>
        <w:rPr>
          <w:rFonts w:cs="Times New Roman"/>
        </w:rPr>
      </w:pPr>
      <w:r w:rsidRPr="002A2F47">
        <w:rPr>
          <w:rFonts w:cs="Times New Roman"/>
        </w:rPr>
        <w:t xml:space="preserve">That said, the case law assists in identifying typical situations where overlapping legislation will not lead to a conflict.  For instance, duplicative federal and provincial provisions will generally not conflict: </w:t>
      </w:r>
      <w:r w:rsidRPr="002A2F47">
        <w:rPr>
          <w:rFonts w:cs="Times New Roman"/>
          <w:i/>
        </w:rPr>
        <w:t xml:space="preserve">Bank of Montreal v. </w:t>
      </w:r>
      <w:proofErr w:type="spellStart"/>
      <w:r w:rsidRPr="002A2F47">
        <w:rPr>
          <w:rFonts w:cs="Times New Roman"/>
          <w:i/>
        </w:rPr>
        <w:t>Marcotte</w:t>
      </w:r>
      <w:proofErr w:type="spellEnd"/>
      <w:r w:rsidRPr="002A2F47">
        <w:rPr>
          <w:rFonts w:cs="Times New Roman"/>
        </w:rPr>
        <w:t xml:space="preserve">, 2014 SCC 55, [2014] 2 S.C.R. 725, at para. 80; </w:t>
      </w:r>
      <w:r w:rsidRPr="002A2F47">
        <w:rPr>
          <w:rFonts w:cs="Times New Roman"/>
          <w:i/>
        </w:rPr>
        <w:t>Western Bank</w:t>
      </w:r>
      <w:r w:rsidRPr="002A2F47">
        <w:rPr>
          <w:rFonts w:cs="Times New Roman"/>
        </w:rPr>
        <w:t xml:space="preserve">, at para. 72; </w:t>
      </w:r>
      <w:r w:rsidRPr="002A2F47">
        <w:rPr>
          <w:rFonts w:cs="Times New Roman"/>
          <w:i/>
        </w:rPr>
        <w:t>Multiple Access</w:t>
      </w:r>
      <w:r w:rsidRPr="002A2F47">
        <w:rPr>
          <w:rFonts w:cs="Times New Roman"/>
        </w:rPr>
        <w:t xml:space="preserve">, at p. 190; </w:t>
      </w:r>
      <w:r w:rsidRPr="002A2F47">
        <w:rPr>
          <w:rFonts w:cs="Times New Roman"/>
          <w:i/>
        </w:rPr>
        <w:t>Hall</w:t>
      </w:r>
      <w:r w:rsidRPr="002A2F47">
        <w:rPr>
          <w:rFonts w:cs="Times New Roman"/>
        </w:rPr>
        <w:t xml:space="preserve">, at p. 151. Nor will a conflict arise where a provincial law is more restrictive than a federal law:  </w:t>
      </w:r>
      <w:proofErr w:type="spellStart"/>
      <w:r w:rsidRPr="002A2F47">
        <w:rPr>
          <w:rFonts w:cs="Times New Roman"/>
          <w:i/>
        </w:rPr>
        <w:t>Lemare</w:t>
      </w:r>
      <w:proofErr w:type="spellEnd"/>
      <w:r w:rsidRPr="002A2F47">
        <w:rPr>
          <w:rFonts w:cs="Times New Roman"/>
          <w:i/>
        </w:rPr>
        <w:t xml:space="preserve"> Lake</w:t>
      </w:r>
      <w:r w:rsidRPr="002A2F47">
        <w:rPr>
          <w:rFonts w:cs="Times New Roman"/>
        </w:rPr>
        <w:t xml:space="preserve">, at para. 25; </w:t>
      </w:r>
      <w:r w:rsidRPr="002A2F47">
        <w:rPr>
          <w:rFonts w:cs="Times New Roman"/>
          <w:i/>
        </w:rPr>
        <w:t>Marine Services</w:t>
      </w:r>
      <w:r w:rsidRPr="002A2F47">
        <w:rPr>
          <w:rFonts w:cs="Times New Roman"/>
        </w:rPr>
        <w:t xml:space="preserve">, at paras. 76 and 84; </w:t>
      </w:r>
      <w:r w:rsidRPr="002A2F47">
        <w:rPr>
          <w:rFonts w:cs="Times New Roman"/>
          <w:i/>
        </w:rPr>
        <w:t>Quebec (Attorney General) v. Canadian Owners and Pilots Association</w:t>
      </w:r>
      <w:r w:rsidRPr="002A2F47">
        <w:rPr>
          <w:rFonts w:cs="Times New Roman"/>
        </w:rPr>
        <w:t>, 2010 SCC 39, [2010] 2 S.C.R. 536 (“</w:t>
      </w:r>
      <w:r w:rsidRPr="002A2F47">
        <w:rPr>
          <w:rFonts w:cs="Times New Roman"/>
          <w:i/>
        </w:rPr>
        <w:t>COPA</w:t>
      </w:r>
      <w:r w:rsidRPr="002A2F47">
        <w:rPr>
          <w:rFonts w:cs="Times New Roman"/>
        </w:rPr>
        <w:t>”), at paras. 67 and 74;</w:t>
      </w:r>
      <w:r w:rsidRPr="002A2F47">
        <w:rPr>
          <w:rFonts w:cs="Times New Roman"/>
          <w:i/>
        </w:rPr>
        <w:t xml:space="preserve"> Western Bank</w:t>
      </w:r>
      <w:r w:rsidRPr="002A2F47">
        <w:rPr>
          <w:rFonts w:cs="Times New Roman"/>
        </w:rPr>
        <w:t xml:space="preserve">, at para. 103; </w:t>
      </w:r>
      <w:r w:rsidRPr="002A2F47">
        <w:rPr>
          <w:rFonts w:cs="Times New Roman"/>
          <w:i/>
        </w:rPr>
        <w:t>Rothmans</w:t>
      </w:r>
      <w:r w:rsidRPr="006C1428">
        <w:rPr>
          <w:rFonts w:cs="Times New Roman"/>
        </w:rPr>
        <w:t xml:space="preserve">, </w:t>
      </w:r>
      <w:r w:rsidRPr="002A2F47">
        <w:rPr>
          <w:rFonts w:cs="Times New Roman"/>
        </w:rPr>
        <w:t>at paras. 18 ff.;</w:t>
      </w:r>
      <w:r w:rsidRPr="002A2F47">
        <w:rPr>
          <w:rFonts w:cs="Times New Roman"/>
          <w:i/>
        </w:rPr>
        <w:t xml:space="preserve"> </w:t>
      </w:r>
      <w:proofErr w:type="spellStart"/>
      <w:r w:rsidRPr="002A2F47">
        <w:rPr>
          <w:rFonts w:cs="Times New Roman"/>
          <w:i/>
        </w:rPr>
        <w:t>Spraytech</w:t>
      </w:r>
      <w:proofErr w:type="spellEnd"/>
      <w:r w:rsidRPr="002A2F47">
        <w:rPr>
          <w:rFonts w:cs="Times New Roman"/>
        </w:rPr>
        <w:t>, at para. 35;</w:t>
      </w:r>
      <w:r w:rsidRPr="002A2F47">
        <w:rPr>
          <w:rFonts w:cs="Times New Roman"/>
          <w:i/>
        </w:rPr>
        <w:t xml:space="preserve"> Irwin Toy Ltd. v. Quebec (Attorney General)</w:t>
      </w:r>
      <w:r w:rsidRPr="002A2F47">
        <w:rPr>
          <w:rFonts w:cs="Times New Roman"/>
        </w:rPr>
        <w:t xml:space="preserve">, [1989] 1 S.C.R. 927, at p. 964.  The application of a more restrictive provincial law may, however, frustrate the federal purpose if the federal law, instead of being merely permissive, provides for a positive entitlement: </w:t>
      </w:r>
      <w:r w:rsidRPr="002A2F47">
        <w:rPr>
          <w:rFonts w:cs="Times New Roman"/>
          <w:i/>
        </w:rPr>
        <w:t>Quebec (Attorney General) v. Canada (Human Resources and Social Development)</w:t>
      </w:r>
      <w:r w:rsidRPr="002A2F47">
        <w:rPr>
          <w:rFonts w:cs="Times New Roman"/>
        </w:rPr>
        <w:t xml:space="preserve">, 2011 SCC 60, [2011] 3 S.C.R. 635, at paras. 32-33 and 36; </w:t>
      </w:r>
      <w:r w:rsidRPr="002A2F47">
        <w:rPr>
          <w:rFonts w:cs="Times New Roman"/>
          <w:i/>
        </w:rPr>
        <w:t>Lafarge</w:t>
      </w:r>
      <w:r w:rsidRPr="002A2F47">
        <w:rPr>
          <w:rFonts w:cs="Times New Roman"/>
        </w:rPr>
        <w:t xml:space="preserve">, at paras. 84-85; </w:t>
      </w:r>
      <w:proofErr w:type="spellStart"/>
      <w:r w:rsidRPr="002A2F47">
        <w:rPr>
          <w:rFonts w:cs="Times New Roman"/>
          <w:i/>
        </w:rPr>
        <w:t>Mangat</w:t>
      </w:r>
      <w:proofErr w:type="spellEnd"/>
      <w:r w:rsidRPr="002A2F47">
        <w:rPr>
          <w:rFonts w:cs="Times New Roman"/>
        </w:rPr>
        <w:t xml:space="preserve">, at para. 72; </w:t>
      </w:r>
      <w:r w:rsidRPr="002A2F47">
        <w:rPr>
          <w:rFonts w:cs="Times New Roman"/>
          <w:i/>
        </w:rPr>
        <w:t>Hall</w:t>
      </w:r>
      <w:r w:rsidRPr="002A2F47">
        <w:rPr>
          <w:rFonts w:cs="Times New Roman"/>
        </w:rPr>
        <w:t xml:space="preserve">, at p. 153.  As will become evident from the discussion below, this appeal involves two laws that directly contradict each other, rather than a provincial law which does not fully contradict the federal one, but is only more restrictive than it: see </w:t>
      </w:r>
      <w:r w:rsidRPr="002A2F47">
        <w:rPr>
          <w:rFonts w:cs="Times New Roman"/>
          <w:i/>
        </w:rPr>
        <w:t>M &amp; D Farm</w:t>
      </w:r>
      <w:r w:rsidRPr="002A2F47">
        <w:rPr>
          <w:rFonts w:cs="Times New Roman"/>
        </w:rPr>
        <w:t xml:space="preserve">; </w:t>
      </w:r>
      <w:r w:rsidRPr="002A2F47">
        <w:rPr>
          <w:rFonts w:cs="Times New Roman"/>
          <w:i/>
        </w:rPr>
        <w:t>Clarke v. Clarke</w:t>
      </w:r>
      <w:r w:rsidRPr="002A2F47">
        <w:rPr>
          <w:rFonts w:cs="Times New Roman"/>
        </w:rPr>
        <w:t xml:space="preserve">, [1990] 2 S.C.R. 795. </w:t>
      </w:r>
    </w:p>
    <w:p w:rsidR="00696B09" w:rsidRPr="002A2F47" w:rsidRDefault="00696B09" w:rsidP="001B50FA">
      <w:pPr>
        <w:pStyle w:val="ParaNoNdepar-AltN"/>
        <w:widowControl w:val="0"/>
        <w:rPr>
          <w:rFonts w:cs="Times New Roman"/>
        </w:rPr>
      </w:pPr>
      <w:r w:rsidRPr="002A2F47">
        <w:rPr>
          <w:rFonts w:cs="Times New Roman"/>
        </w:rPr>
        <w:t xml:space="preserve">Be it under the first or the second branch, the burden of proof rests on the </w:t>
      </w:r>
      <w:r w:rsidRPr="002A2F47">
        <w:rPr>
          <w:rFonts w:cs="Times New Roman"/>
        </w:rPr>
        <w:lastRenderedPageBreak/>
        <w:t xml:space="preserve">party alleging the conflict.  Discharging that burden is not an easy task, and the standard is always high.  In keeping with co-operative federalism, the doctrine of paramountcy is applied with restraint.  It is presumed that Parliament intends its laws to co-exist with provincial laws.  Absent a genuine inconsistency, courts will favour an interpretation of the federal legislation that allows the concurrent operation of both laws: </w:t>
      </w:r>
      <w:r w:rsidRPr="002A2F47">
        <w:rPr>
          <w:rFonts w:cs="Times New Roman"/>
          <w:i/>
        </w:rPr>
        <w:t>Western Bank</w:t>
      </w:r>
      <w:r w:rsidRPr="002A2F47">
        <w:rPr>
          <w:rFonts w:cs="Times New Roman"/>
        </w:rPr>
        <w:t xml:space="preserve">, at paras. 74-75, citing </w:t>
      </w:r>
      <w:r w:rsidRPr="002A2F47">
        <w:rPr>
          <w:rFonts w:cs="Times New Roman"/>
          <w:i/>
        </w:rPr>
        <w:t>Attorney General of Canada v. Law Society of British Columbia</w:t>
      </w:r>
      <w:r w:rsidRPr="002A2F47">
        <w:rPr>
          <w:rFonts w:cs="Times New Roman"/>
        </w:rPr>
        <w:t>, [1982] 2 S.C.R. 307 (“</w:t>
      </w:r>
      <w:r w:rsidRPr="002A2F47">
        <w:rPr>
          <w:rFonts w:cs="Times New Roman"/>
          <w:i/>
        </w:rPr>
        <w:t>Law Society of B.C.</w:t>
      </w:r>
      <w:r w:rsidRPr="002A2F47">
        <w:rPr>
          <w:rFonts w:cs="Times New Roman"/>
        </w:rPr>
        <w:t xml:space="preserve">”), at p. 356; see also </w:t>
      </w:r>
      <w:r w:rsidRPr="002A2F47">
        <w:rPr>
          <w:rFonts w:cs="Times New Roman"/>
          <w:i/>
        </w:rPr>
        <w:t>Rothmans</w:t>
      </w:r>
      <w:r w:rsidRPr="002A2F47">
        <w:rPr>
          <w:rFonts w:cs="Times New Roman"/>
        </w:rPr>
        <w:t xml:space="preserve">, at para. 21; </w:t>
      </w:r>
      <w:r w:rsidRPr="002A2F47">
        <w:rPr>
          <w:rFonts w:cs="Times New Roman"/>
          <w:i/>
        </w:rPr>
        <w:t>O’Grady v. Sparling</w:t>
      </w:r>
      <w:r w:rsidRPr="002A2F47">
        <w:rPr>
          <w:rFonts w:cs="Times New Roman"/>
        </w:rPr>
        <w:t xml:space="preserve">, [1960] S.C.R. 804, at pp. 811 and 820.  Conflict must be defined narrowly, so that each level of government may act as freely as possible within its respective sphere of authority: </w:t>
      </w:r>
      <w:r w:rsidRPr="002A2F47">
        <w:rPr>
          <w:rFonts w:cs="Times New Roman"/>
          <w:i/>
        </w:rPr>
        <w:t>Husky Oil</w:t>
      </w:r>
      <w:r w:rsidRPr="002A2F47">
        <w:rPr>
          <w:rFonts w:cs="Times New Roman"/>
        </w:rPr>
        <w:t xml:space="preserve">, at para. 162, per </w:t>
      </w:r>
      <w:proofErr w:type="spellStart"/>
      <w:r w:rsidRPr="002A2F47">
        <w:rPr>
          <w:rFonts w:cs="Times New Roman"/>
        </w:rPr>
        <w:t>Iacobucci</w:t>
      </w:r>
      <w:proofErr w:type="spellEnd"/>
      <w:r w:rsidRPr="002A2F47">
        <w:rPr>
          <w:rFonts w:cs="Times New Roman"/>
        </w:rPr>
        <w:t xml:space="preserve"> J. (dissenting, but not on this particular point), referring to </w:t>
      </w:r>
      <w:r w:rsidRPr="002A2F47">
        <w:rPr>
          <w:rFonts w:cs="Times New Roman"/>
          <w:i/>
        </w:rPr>
        <w:t>Deloitte Haskins and Sells Ltd. v. Workers’ Compensation Board</w:t>
      </w:r>
      <w:r w:rsidRPr="002A2F47">
        <w:rPr>
          <w:rFonts w:cs="Times New Roman"/>
        </w:rPr>
        <w:t xml:space="preserve">, [1985] 1 S.C.R. 785, at pp. 807-8, per Wilson J. </w:t>
      </w:r>
    </w:p>
    <w:p w:rsidR="00696B09" w:rsidRPr="002A2F47" w:rsidRDefault="00696B09" w:rsidP="001B50FA">
      <w:pPr>
        <w:pStyle w:val="ParaNoNdepar-AltN"/>
        <w:widowControl w:val="0"/>
        <w:rPr>
          <w:rFonts w:cs="Times New Roman"/>
        </w:rPr>
      </w:pPr>
      <w:r w:rsidRPr="002A2F47">
        <w:rPr>
          <w:rFonts w:cs="Times New Roman"/>
        </w:rPr>
        <w:t xml:space="preserve">This is not to say, however, that courts must refrain from applying the doctrine where the two laws are genuinely inconsistent.  In the assessment of such inconsistency for the purposes of paramountcy, a provincial intention to interfere with the federal jurisdiction is neither necessary nor sufficient.  In fact, an intention to intrude may call into question the independent validity of the provincial law: </w:t>
      </w:r>
      <w:r w:rsidRPr="002A2F47">
        <w:rPr>
          <w:rFonts w:cs="Times New Roman"/>
          <w:i/>
        </w:rPr>
        <w:t>Husky Oil</w:t>
      </w:r>
      <w:r w:rsidRPr="002A2F47">
        <w:rPr>
          <w:rFonts w:cs="Times New Roman"/>
        </w:rPr>
        <w:t>, at paras. 44-45.  The focus of the paramountcy analysis is instead on the effect of the provincial law, rather than its purpose:</w:t>
      </w:r>
    </w:p>
    <w:p w:rsidR="00696B09" w:rsidRPr="002A2F47" w:rsidRDefault="00696B09" w:rsidP="001B50FA">
      <w:pPr>
        <w:pStyle w:val="Citation-AltC"/>
        <w:widowControl w:val="0"/>
      </w:pPr>
      <w:r w:rsidRPr="002A2F47">
        <w:t xml:space="preserve">. . . </w:t>
      </w:r>
      <w:proofErr w:type="gramStart"/>
      <w:r w:rsidRPr="002A2F47">
        <w:t>there</w:t>
      </w:r>
      <w:proofErr w:type="gramEnd"/>
      <w:r w:rsidRPr="002A2F47">
        <w:t xml:space="preserve"> </w:t>
      </w:r>
      <w:r w:rsidRPr="002A2F47">
        <w:rPr>
          <w:u w:val="single"/>
        </w:rPr>
        <w:t>need not be any provincial intention to intrude</w:t>
      </w:r>
      <w:r w:rsidRPr="002A2F47">
        <w:t xml:space="preserve"> into the exclusive federal sphere of bankruptcy . . . in order to render the provincial law </w:t>
      </w:r>
      <w:r w:rsidRPr="002A2F47">
        <w:lastRenderedPageBreak/>
        <w:t xml:space="preserve">inapplicable. It is </w:t>
      </w:r>
      <w:r w:rsidRPr="002A2F47">
        <w:rPr>
          <w:u w:val="single"/>
        </w:rPr>
        <w:t>sufficient that the effect of provincial legislation is to do so</w:t>
      </w:r>
      <w:r w:rsidRPr="002A2F47">
        <w:t>.  [Emphasis added.]</w:t>
      </w:r>
    </w:p>
    <w:p w:rsidR="00696B09" w:rsidRPr="002A2F47" w:rsidRDefault="00696B09" w:rsidP="001B50FA">
      <w:pPr>
        <w:pStyle w:val="Citation-AltC"/>
        <w:widowControl w:val="0"/>
      </w:pPr>
    </w:p>
    <w:p w:rsidR="00696B09" w:rsidRPr="002A2F47" w:rsidRDefault="00696B09" w:rsidP="001B50FA">
      <w:pPr>
        <w:pStyle w:val="Citation-AltC"/>
        <w:widowControl w:val="0"/>
        <w:ind w:left="0"/>
      </w:pPr>
      <w:r w:rsidRPr="002A2F47">
        <w:t>(</w:t>
      </w:r>
      <w:r w:rsidRPr="002A2F47">
        <w:rPr>
          <w:i/>
        </w:rPr>
        <w:t>Husky Oil</w:t>
      </w:r>
      <w:r w:rsidRPr="002A2F47">
        <w:t xml:space="preserve">, at para. 39) </w:t>
      </w:r>
    </w:p>
    <w:p w:rsidR="00696B09" w:rsidRPr="002A2F47" w:rsidRDefault="00696B09" w:rsidP="001B50FA">
      <w:pPr>
        <w:pStyle w:val="ParaNoNdepar-AltN"/>
        <w:widowControl w:val="0"/>
        <w:numPr>
          <w:ilvl w:val="0"/>
          <w:numId w:val="0"/>
        </w:numPr>
        <w:rPr>
          <w:rFonts w:cs="Times New Roman"/>
        </w:rPr>
      </w:pPr>
      <w:r w:rsidRPr="002A2F47">
        <w:rPr>
          <w:rFonts w:cs="Times New Roman"/>
        </w:rPr>
        <w:t xml:space="preserve"> Assessing the effect of the provincial law requires looking at the substance of the law, rather than its form. The province cannot do indirectly what it is precluded from doing directly: </w:t>
      </w:r>
      <w:r w:rsidRPr="002A2F47">
        <w:rPr>
          <w:rFonts w:cs="Times New Roman"/>
          <w:i/>
        </w:rPr>
        <w:t>Husky Oil</w:t>
      </w:r>
      <w:r w:rsidRPr="002A2F47">
        <w:rPr>
          <w:rFonts w:cs="Times New Roman"/>
        </w:rPr>
        <w:t>, at para. 39.</w:t>
      </w:r>
    </w:p>
    <w:p w:rsidR="00696B09" w:rsidRPr="002A2F47" w:rsidRDefault="00696B09" w:rsidP="001B50FA">
      <w:pPr>
        <w:pStyle w:val="ParaNoNdepar-AltN"/>
        <w:widowControl w:val="0"/>
        <w:numPr>
          <w:ilvl w:val="0"/>
          <w:numId w:val="0"/>
        </w:numPr>
        <w:rPr>
          <w:rFonts w:cs="Times New Roman"/>
        </w:rPr>
      </w:pPr>
      <w:r w:rsidRPr="002A2F47">
        <w:rPr>
          <w:rFonts w:cs="Times New Roman"/>
        </w:rPr>
        <w:t xml:space="preserve">  </w:t>
      </w:r>
    </w:p>
    <w:p w:rsidR="00696B09" w:rsidRPr="002A2F47" w:rsidRDefault="00696B09" w:rsidP="001B50FA">
      <w:pPr>
        <w:pStyle w:val="ParaNoNdepar-AltN"/>
        <w:widowControl w:val="0"/>
        <w:rPr>
          <w:rFonts w:cs="Times New Roman"/>
        </w:rPr>
      </w:pPr>
      <w:r w:rsidRPr="002A2F47">
        <w:rPr>
          <w:rFonts w:cs="Times New Roman"/>
        </w:rPr>
        <w:t xml:space="preserve">In sum, if the operation of the provincial law has the effect of making it impossible to comply with the federal law, or if it is technically possible to comply with both laws, but the operation of the provincial law still has the effect of frustrating Parliament’s purpose, there is a conflict.  Such a conflict results in the provincial law being inoperative, but only to the extent of the conflict with the federal law: </w:t>
      </w:r>
      <w:r w:rsidRPr="002A2F47">
        <w:rPr>
          <w:rFonts w:cs="Times New Roman"/>
          <w:i/>
        </w:rPr>
        <w:t>Western Bank</w:t>
      </w:r>
      <w:r w:rsidRPr="002A2F47">
        <w:rPr>
          <w:rFonts w:cs="Times New Roman"/>
        </w:rPr>
        <w:t xml:space="preserve">, at para. 69; </w:t>
      </w:r>
      <w:r w:rsidRPr="002A2F47">
        <w:rPr>
          <w:rFonts w:cs="Times New Roman"/>
          <w:i/>
        </w:rPr>
        <w:t>Rothmans</w:t>
      </w:r>
      <w:r w:rsidRPr="002A2F47">
        <w:rPr>
          <w:rFonts w:cs="Times New Roman"/>
        </w:rPr>
        <w:t xml:space="preserve">, at para. 11; </w:t>
      </w:r>
      <w:proofErr w:type="spellStart"/>
      <w:r w:rsidRPr="002A2F47">
        <w:rPr>
          <w:rFonts w:cs="Times New Roman"/>
          <w:i/>
        </w:rPr>
        <w:t>Mangat</w:t>
      </w:r>
      <w:proofErr w:type="spellEnd"/>
      <w:r w:rsidRPr="002A2F47">
        <w:rPr>
          <w:rFonts w:cs="Times New Roman"/>
        </w:rPr>
        <w:t xml:space="preserve">, at para. 74.  In practice, this means that the provincial law remains valid, but will be read down so as to not conflict with the federal law, though only for as long as the conflict exists: </w:t>
      </w:r>
      <w:r w:rsidRPr="002A2F47">
        <w:rPr>
          <w:rFonts w:cs="Times New Roman"/>
          <w:i/>
        </w:rPr>
        <w:t>Husky Oil</w:t>
      </w:r>
      <w:r w:rsidRPr="002A2F47">
        <w:rPr>
          <w:rFonts w:cs="Times New Roman"/>
        </w:rPr>
        <w:t xml:space="preserve">, at para. 81; E. Colvin, “Constitutional Law — Paramountcy — Duplication and Express Contradiction — Multiple Access Ltd. v. McCutcheon” (1983), 17 </w:t>
      </w:r>
      <w:r w:rsidRPr="002A2F47">
        <w:rPr>
          <w:rFonts w:cs="Times New Roman"/>
          <w:i/>
        </w:rPr>
        <w:t>U.B.C.</w:t>
      </w:r>
      <w:r w:rsidR="006C1428">
        <w:rPr>
          <w:rFonts w:cs="Times New Roman"/>
          <w:i/>
        </w:rPr>
        <w:t xml:space="preserve"> </w:t>
      </w:r>
      <w:r w:rsidRPr="002A2F47">
        <w:rPr>
          <w:rFonts w:cs="Times New Roman"/>
          <w:i/>
        </w:rPr>
        <w:t>L.</w:t>
      </w:r>
      <w:r w:rsidRPr="002A2F47">
        <w:rPr>
          <w:rFonts w:cs="Times New Roman"/>
        </w:rPr>
        <w:t xml:space="preserve"> </w:t>
      </w:r>
      <w:r w:rsidRPr="002A2F47">
        <w:rPr>
          <w:rFonts w:cs="Times New Roman"/>
          <w:i/>
        </w:rPr>
        <w:t>Rev.</w:t>
      </w:r>
      <w:r w:rsidRPr="002A2F47">
        <w:rPr>
          <w:rFonts w:cs="Times New Roman"/>
        </w:rPr>
        <w:t xml:space="preserve"> 347, at p. 348.</w:t>
      </w:r>
    </w:p>
    <w:p w:rsidR="00696B09" w:rsidRPr="002A2F47" w:rsidRDefault="00696B09" w:rsidP="001B50FA">
      <w:pPr>
        <w:pStyle w:val="ParaNoNdepar-AltN"/>
        <w:widowControl w:val="0"/>
        <w:rPr>
          <w:rFonts w:cs="Times New Roman"/>
        </w:rPr>
      </w:pPr>
      <w:r w:rsidRPr="002A2F47">
        <w:rPr>
          <w:rFonts w:cs="Times New Roman"/>
        </w:rPr>
        <w:t>I now turn to the application of the doctrine to the facts of this appeal.</w:t>
      </w:r>
    </w:p>
    <w:p w:rsidR="00696B09" w:rsidRPr="002A2F47" w:rsidRDefault="00696B09" w:rsidP="001B50FA">
      <w:pPr>
        <w:pStyle w:val="Title2LevelTitre2Niveau"/>
        <w:widowControl w:val="0"/>
        <w:numPr>
          <w:ilvl w:val="1"/>
          <w:numId w:val="8"/>
        </w:numPr>
        <w:spacing w:line="276" w:lineRule="auto"/>
        <w:rPr>
          <w:rFonts w:cs="Times New Roman"/>
        </w:rPr>
      </w:pPr>
      <w:bookmarkStart w:id="16" w:name="_Toc412109564"/>
      <w:bookmarkStart w:id="17" w:name="_Toc421615790"/>
      <w:r w:rsidRPr="002A2F47">
        <w:rPr>
          <w:rFonts w:cs="Times New Roman"/>
        </w:rPr>
        <w:lastRenderedPageBreak/>
        <w:t>Application</w:t>
      </w:r>
      <w:bookmarkEnd w:id="16"/>
      <w:bookmarkEnd w:id="17"/>
    </w:p>
    <w:p w:rsidR="00696B09" w:rsidRPr="002A2F47" w:rsidRDefault="00696B09" w:rsidP="001B50FA">
      <w:pPr>
        <w:pStyle w:val="Title3LevelTitre3Niveau"/>
        <w:widowControl w:val="0"/>
        <w:numPr>
          <w:ilvl w:val="2"/>
          <w:numId w:val="8"/>
        </w:numPr>
        <w:spacing w:line="276" w:lineRule="auto"/>
        <w:rPr>
          <w:rFonts w:cs="Times New Roman"/>
        </w:rPr>
      </w:pPr>
      <w:r w:rsidRPr="002A2F47">
        <w:rPr>
          <w:rFonts w:cs="Times New Roman"/>
        </w:rPr>
        <w:t>The Legislative Schemes at Issue</w:t>
      </w:r>
    </w:p>
    <w:p w:rsidR="00696B09" w:rsidRPr="002A2F47" w:rsidRDefault="00696B09" w:rsidP="001B50FA">
      <w:pPr>
        <w:pStyle w:val="ParaNoNdepar-AltN"/>
        <w:widowControl w:val="0"/>
        <w:rPr>
          <w:rFonts w:cs="Times New Roman"/>
        </w:rPr>
      </w:pPr>
      <w:r w:rsidRPr="002A2F47">
        <w:rPr>
          <w:rFonts w:cs="Times New Roman"/>
        </w:rPr>
        <w:t xml:space="preserve">The first step of the analysis is to ensure that the impugned federal and provincial provisions are independently valid.  Early in the proceedings, the parties recognized the validity of the relevant provisions of the </w:t>
      </w:r>
      <w:r w:rsidRPr="002A2F47">
        <w:rPr>
          <w:rFonts w:cs="Times New Roman"/>
          <w:i/>
        </w:rPr>
        <w:t>BIA</w:t>
      </w:r>
      <w:r w:rsidRPr="002A2F47">
        <w:rPr>
          <w:rFonts w:cs="Times New Roman"/>
        </w:rPr>
        <w:t xml:space="preserve"> and the </w:t>
      </w:r>
      <w:r w:rsidRPr="002A2F47">
        <w:rPr>
          <w:rFonts w:cs="Times New Roman"/>
          <w:i/>
        </w:rPr>
        <w:t>TSA</w:t>
      </w:r>
      <w:r w:rsidRPr="002A2F47">
        <w:rPr>
          <w:rFonts w:cs="Times New Roman"/>
        </w:rPr>
        <w:t xml:space="preserve">.  Before this Court, they again conceded the validity of both laws.  The only question is whether their concurrent operation results in a conflict.  This requires analyzing the legislative schemes at issue at the outset so as to reach a proper understanding of the provisions that are allegedly in conflict. </w:t>
      </w:r>
    </w:p>
    <w:p w:rsidR="00696B09" w:rsidRPr="002A2F47" w:rsidRDefault="00696B09" w:rsidP="001B50FA">
      <w:pPr>
        <w:pStyle w:val="Title4LevelTitre4Niveau"/>
        <w:widowControl w:val="0"/>
        <w:numPr>
          <w:ilvl w:val="3"/>
          <w:numId w:val="8"/>
        </w:numPr>
        <w:rPr>
          <w:rFonts w:cs="Times New Roman"/>
        </w:rPr>
      </w:pPr>
      <w:bookmarkStart w:id="18" w:name="_Toc412109566"/>
      <w:bookmarkStart w:id="19" w:name="_Toc421615792"/>
      <w:r w:rsidRPr="002A2F47">
        <w:rPr>
          <w:rFonts w:cs="Times New Roman"/>
        </w:rPr>
        <w:t>The Bankruptcy and Insolvency Act</w:t>
      </w:r>
      <w:bookmarkEnd w:id="18"/>
      <w:bookmarkEnd w:id="19"/>
    </w:p>
    <w:p w:rsidR="00696B09" w:rsidRPr="002A2F47" w:rsidRDefault="00696B09" w:rsidP="001B50FA">
      <w:pPr>
        <w:pStyle w:val="ParaNoNdepar-AltN"/>
        <w:widowControl w:val="0"/>
        <w:rPr>
          <w:rFonts w:cs="Times New Roman"/>
        </w:rPr>
      </w:pPr>
      <w:r w:rsidRPr="002A2F47">
        <w:rPr>
          <w:rFonts w:cs="Times New Roman"/>
        </w:rPr>
        <w:t xml:space="preserve">Parliament enacted the </w:t>
      </w:r>
      <w:r w:rsidRPr="002A2F47">
        <w:rPr>
          <w:rFonts w:cs="Times New Roman"/>
          <w:i/>
        </w:rPr>
        <w:t>BIA</w:t>
      </w:r>
      <w:r w:rsidRPr="002A2F47">
        <w:rPr>
          <w:rFonts w:cs="Times New Roman"/>
        </w:rPr>
        <w:t xml:space="preserve"> pursuant to its jurisdiction over matters of bankruptcy and insolvency under s. 91(21) of the </w:t>
      </w:r>
      <w:r w:rsidRPr="002A2F47">
        <w:rPr>
          <w:rFonts w:cs="Times New Roman"/>
          <w:i/>
        </w:rPr>
        <w:t>Constitution Act, 1867</w:t>
      </w:r>
      <w:r w:rsidRPr="002A2F47">
        <w:rPr>
          <w:rFonts w:cs="Times New Roman"/>
        </w:rPr>
        <w:t xml:space="preserve">.  The </w:t>
      </w:r>
      <w:r w:rsidRPr="002A2F47">
        <w:rPr>
          <w:rFonts w:cs="Times New Roman"/>
          <w:i/>
        </w:rPr>
        <w:t>BIA</w:t>
      </w:r>
      <w:r w:rsidRPr="002A2F47">
        <w:rPr>
          <w:rFonts w:cs="Times New Roman"/>
        </w:rPr>
        <w:t>, notably through the specific provisions discussed below, furthers two purposes: the equitable distribution of the bankrupt’s assets among his or her creditors and the bankrupt’s financial rehabilitation (</w:t>
      </w:r>
      <w:r w:rsidRPr="002A2F47">
        <w:rPr>
          <w:rFonts w:cs="Times New Roman"/>
          <w:i/>
        </w:rPr>
        <w:t>Husky Oil</w:t>
      </w:r>
      <w:r w:rsidRPr="002A2F47">
        <w:rPr>
          <w:rFonts w:cs="Times New Roman"/>
        </w:rPr>
        <w:t>, at para. 7).</w:t>
      </w:r>
    </w:p>
    <w:p w:rsidR="00696B09" w:rsidRPr="002A2F47" w:rsidRDefault="00696B09" w:rsidP="001B50FA">
      <w:pPr>
        <w:pStyle w:val="ParaNoNdepar-AltN"/>
        <w:widowControl w:val="0"/>
        <w:rPr>
          <w:rFonts w:cs="Times New Roman"/>
        </w:rPr>
      </w:pPr>
      <w:r w:rsidRPr="002A2F47">
        <w:rPr>
          <w:rFonts w:cs="Times New Roman"/>
        </w:rPr>
        <w:t xml:space="preserve">The first purpose of bankruptcy, the equitable distribution of assets, is achieved through a single proceeding model.  Under this model, creditors of the bankrupt wishing to enforce a claim provable in bankruptcy must participate in one </w:t>
      </w:r>
      <w:r w:rsidRPr="002A2F47">
        <w:rPr>
          <w:rFonts w:cs="Times New Roman"/>
        </w:rPr>
        <w:lastRenderedPageBreak/>
        <w:t xml:space="preserve">collective proceeding.  This ensures that the assets of the bankrupt are distributed fairly amongst the creditors.  As a general rule, all creditors rank equally and share rateably in the bankrupt’s assets: s. 141 of the </w:t>
      </w:r>
      <w:r w:rsidRPr="002A2F47">
        <w:rPr>
          <w:rFonts w:cs="Times New Roman"/>
          <w:i/>
        </w:rPr>
        <w:t>BIA</w:t>
      </w:r>
      <w:r w:rsidRPr="002A2F47">
        <w:rPr>
          <w:rFonts w:cs="Times New Roman"/>
        </w:rPr>
        <w:t xml:space="preserve">; </w:t>
      </w:r>
      <w:r w:rsidRPr="002A2F47">
        <w:rPr>
          <w:rFonts w:cs="Times New Roman"/>
          <w:i/>
        </w:rPr>
        <w:t>Husky Oil</w:t>
      </w:r>
      <w:r w:rsidRPr="002A2F47">
        <w:rPr>
          <w:rFonts w:cs="Times New Roman"/>
        </w:rPr>
        <w:t xml:space="preserve">, at para. 9.  In </w:t>
      </w:r>
      <w:r w:rsidRPr="002A2F47">
        <w:rPr>
          <w:rFonts w:cs="Times New Roman"/>
          <w:i/>
        </w:rPr>
        <w:t>Century</w:t>
      </w:r>
      <w:r w:rsidRPr="002A2F47">
        <w:rPr>
          <w:rFonts w:cs="Times New Roman"/>
        </w:rPr>
        <w:t xml:space="preserve"> </w:t>
      </w:r>
      <w:r w:rsidRPr="002A2F47">
        <w:rPr>
          <w:rFonts w:cs="Times New Roman"/>
          <w:i/>
        </w:rPr>
        <w:t>Services Inc. v. Canada (Attorney General)</w:t>
      </w:r>
      <w:r w:rsidRPr="002A2F47">
        <w:rPr>
          <w:rFonts w:cs="Times New Roman"/>
        </w:rPr>
        <w:t xml:space="preserve">, 2010 SCC 60, [2010] 3 S.C.R. 379, at para. 22, the majority of the Court, per </w:t>
      </w:r>
      <w:proofErr w:type="spellStart"/>
      <w:r w:rsidRPr="002A2F47">
        <w:rPr>
          <w:rFonts w:cs="Times New Roman"/>
        </w:rPr>
        <w:t>Deschamps</w:t>
      </w:r>
      <w:proofErr w:type="spellEnd"/>
      <w:r w:rsidRPr="002A2F47">
        <w:rPr>
          <w:rFonts w:cs="Times New Roman"/>
        </w:rPr>
        <w:t xml:space="preserve"> J., explained the underlying rationale for this model:</w:t>
      </w:r>
    </w:p>
    <w:p w:rsidR="00696B09" w:rsidRPr="002A2F47" w:rsidRDefault="00696B09" w:rsidP="001B50FA">
      <w:pPr>
        <w:pStyle w:val="Citation-AltC"/>
        <w:widowControl w:val="0"/>
      </w:pPr>
      <w:r w:rsidRPr="002A2F47">
        <w:t>The single proceeding model avoids the inefficiency and chaos that would attend insolvency if each creditor initiated proceedings to recover its debt.  Grouping all possible actions against the debtor into a single proceeding controlled in a single forum facilitates negotiation with creditors because it places them all on an equal footing, rather than exposing them to the risk that a more aggressive creditor will realize its claims against the debtor’s limited assets while the other creditors attempt a compromise.</w:t>
      </w:r>
    </w:p>
    <w:p w:rsidR="00696B09" w:rsidRPr="002A2F47" w:rsidRDefault="00696B09" w:rsidP="001B50FA">
      <w:pPr>
        <w:pStyle w:val="ContinueParaSuitedupar-AltP"/>
        <w:widowControl w:val="0"/>
        <w:rPr>
          <w:rFonts w:cs="Times New Roman"/>
        </w:rPr>
      </w:pPr>
      <w:r w:rsidRPr="002A2F47">
        <w:rPr>
          <w:rFonts w:cs="Times New Roman"/>
        </w:rPr>
        <w:t xml:space="preserve">Avoiding inefficiencies and chaos, and favouring an orderly collective process, maximizes global recovery for all creditors: </w:t>
      </w:r>
      <w:r w:rsidRPr="002A2F47">
        <w:rPr>
          <w:rFonts w:cs="Times New Roman"/>
          <w:i/>
        </w:rPr>
        <w:t>Husky Oil</w:t>
      </w:r>
      <w:r w:rsidRPr="002A2F47">
        <w:rPr>
          <w:rFonts w:cs="Times New Roman"/>
        </w:rPr>
        <w:t xml:space="preserve">, at para. 7; R. J. Wood, </w:t>
      </w:r>
      <w:r w:rsidRPr="002A2F47">
        <w:rPr>
          <w:rFonts w:cs="Times New Roman"/>
          <w:i/>
        </w:rPr>
        <w:t>Bankruptcy and Insolvency Law</w:t>
      </w:r>
      <w:r w:rsidRPr="002A2F47">
        <w:rPr>
          <w:rFonts w:cs="Times New Roman"/>
        </w:rPr>
        <w:t xml:space="preserve"> (2009), at p. 3.</w:t>
      </w:r>
    </w:p>
    <w:p w:rsidR="00696B09" w:rsidRPr="002A2F47" w:rsidRDefault="00696B09" w:rsidP="001B50FA">
      <w:pPr>
        <w:pStyle w:val="ParaNoNdepar-AltN"/>
        <w:widowControl w:val="0"/>
        <w:rPr>
          <w:rFonts w:cs="Times New Roman"/>
        </w:rPr>
      </w:pPr>
      <w:r w:rsidRPr="002A2F47">
        <w:rPr>
          <w:rFonts w:cs="Times New Roman"/>
        </w:rPr>
        <w:t xml:space="preserve">For this model to be viable, creditors must not be allowed to enforce their provable claims individually, that is, outside the collective proceeding.  Section 69.3 of the </w:t>
      </w:r>
      <w:r w:rsidRPr="002A2F47">
        <w:rPr>
          <w:rFonts w:cs="Times New Roman"/>
          <w:i/>
        </w:rPr>
        <w:t>BIA</w:t>
      </w:r>
      <w:r w:rsidRPr="002A2F47">
        <w:rPr>
          <w:rFonts w:cs="Times New Roman"/>
        </w:rPr>
        <w:t xml:space="preserve"> thus provides for an automatic stay of proceedings, which is effective as of the first day of bankruptcy:</w:t>
      </w:r>
    </w:p>
    <w:p w:rsidR="00696B09" w:rsidRPr="002A2F47" w:rsidRDefault="00696B09" w:rsidP="001B50FA">
      <w:pPr>
        <w:pStyle w:val="Citation-AltC"/>
        <w:widowControl w:val="0"/>
        <w:spacing w:after="0"/>
        <w:ind w:firstLine="274"/>
      </w:pPr>
      <w:r w:rsidRPr="002A2F47">
        <w:rPr>
          <w:b/>
        </w:rPr>
        <w:t>69.3</w:t>
      </w:r>
      <w:r w:rsidRPr="002A2F47">
        <w:t xml:space="preserve"> (1) Subject to subsections (1.1) and (2) and sections 69.4 and 69.5, on the bankruptcy of any debtor, no creditor has any remedy against the debtor or the debtor’s property, or shall commence or continue any action, </w:t>
      </w:r>
      <w:r w:rsidRPr="002A2F47">
        <w:lastRenderedPageBreak/>
        <w:t>execution or other proceedings, for the recovery of a claim provable in bankruptcy.</w:t>
      </w:r>
    </w:p>
    <w:p w:rsidR="00696B09" w:rsidRPr="002A2F47" w:rsidRDefault="00696B09" w:rsidP="001B50FA">
      <w:pPr>
        <w:pStyle w:val="ContinueParaSuitedupar-AltP"/>
        <w:widowControl w:val="0"/>
        <w:rPr>
          <w:rFonts w:cs="Times New Roman"/>
        </w:rPr>
      </w:pPr>
      <w:r w:rsidRPr="002A2F47">
        <w:rPr>
          <w:rFonts w:cs="Times New Roman"/>
        </w:rPr>
        <w:t xml:space="preserve">(See </w:t>
      </w:r>
      <w:r w:rsidRPr="002A2F47">
        <w:rPr>
          <w:rFonts w:cs="Times New Roman"/>
          <w:i/>
        </w:rPr>
        <w:t>R. v. Fitzgibbon</w:t>
      </w:r>
      <w:r w:rsidRPr="002A2F47">
        <w:rPr>
          <w:rFonts w:cs="Times New Roman"/>
        </w:rPr>
        <w:t>, [1990] 1 S.C.R. 1005, at pp. 1015-16.)</w:t>
      </w:r>
    </w:p>
    <w:p w:rsidR="00696B09" w:rsidRPr="002A2F47" w:rsidRDefault="00696B09" w:rsidP="001B50FA">
      <w:pPr>
        <w:pStyle w:val="ParaNoNdepar-AltN"/>
        <w:widowControl w:val="0"/>
        <w:rPr>
          <w:rFonts w:cs="Times New Roman"/>
        </w:rPr>
      </w:pPr>
      <w:r w:rsidRPr="002A2F47">
        <w:rPr>
          <w:rFonts w:cs="Times New Roman"/>
        </w:rPr>
        <w:t xml:space="preserve">Yet there are exceptions to the principle of equitable distribution.  Section 136 of the </w:t>
      </w:r>
      <w:r w:rsidRPr="002A2F47">
        <w:rPr>
          <w:rFonts w:cs="Times New Roman"/>
          <w:i/>
        </w:rPr>
        <w:t>BIA</w:t>
      </w:r>
      <w:r w:rsidRPr="002A2F47">
        <w:rPr>
          <w:rFonts w:cs="Times New Roman"/>
        </w:rPr>
        <w:t xml:space="preserve"> provides that some creditors will be paid in priority.  These creditors are referred to as “preferred creditors”. There are also creditors that are paid only after all ordinary creditors have been satisfied: ss. 137(1), 139 and 140.1 of the </w:t>
      </w:r>
      <w:r w:rsidRPr="002A2F47">
        <w:rPr>
          <w:rFonts w:cs="Times New Roman"/>
          <w:i/>
        </w:rPr>
        <w:t>BIA</w:t>
      </w:r>
      <w:r w:rsidRPr="002A2F47">
        <w:rPr>
          <w:rFonts w:cs="Times New Roman"/>
        </w:rPr>
        <w:t xml:space="preserve">.  Furthermore, the automatic stay of proceedings does not prevent secured creditors from realizing their security interest: s. 69.3(2) of the </w:t>
      </w:r>
      <w:r w:rsidRPr="002A2F47">
        <w:rPr>
          <w:rFonts w:cs="Times New Roman"/>
          <w:i/>
        </w:rPr>
        <w:t>BIA</w:t>
      </w:r>
      <w:r w:rsidRPr="002A2F47">
        <w:rPr>
          <w:rFonts w:cs="Times New Roman"/>
        </w:rPr>
        <w:t>;</w:t>
      </w:r>
      <w:r w:rsidRPr="002A2F47">
        <w:rPr>
          <w:rFonts w:cs="Times New Roman"/>
          <w:i/>
        </w:rPr>
        <w:t xml:space="preserve"> Husky Oil</w:t>
      </w:r>
      <w:r w:rsidRPr="002A2F47">
        <w:rPr>
          <w:rFonts w:cs="Times New Roman"/>
        </w:rPr>
        <w:t xml:space="preserve">, at para. 9.  A court may also grant leave permitting a creditor to begin separate proceedings and enforce a claim: s. 69.4 of the </w:t>
      </w:r>
      <w:r w:rsidRPr="002A2F47">
        <w:rPr>
          <w:rFonts w:cs="Times New Roman"/>
          <w:i/>
        </w:rPr>
        <w:t>BIA</w:t>
      </w:r>
      <w:r w:rsidRPr="002A2F47">
        <w:rPr>
          <w:rFonts w:cs="Times New Roman"/>
        </w:rPr>
        <w:t>. These exceptions reflect the policy choices made by Parliament in furthering this purpose of bankruptcy.</w:t>
      </w:r>
    </w:p>
    <w:p w:rsidR="00696B09" w:rsidRPr="002A2F47" w:rsidRDefault="00696B09" w:rsidP="001B50FA">
      <w:pPr>
        <w:pStyle w:val="ParaNoNdepar-AltN"/>
        <w:widowControl w:val="0"/>
        <w:rPr>
          <w:rFonts w:cs="Times New Roman"/>
        </w:rPr>
      </w:pPr>
      <w:r w:rsidRPr="002A2F47">
        <w:rPr>
          <w:rFonts w:cs="Times New Roman"/>
        </w:rPr>
        <w:t xml:space="preserve">The second purpose of the </w:t>
      </w:r>
      <w:r w:rsidRPr="002A2F47">
        <w:rPr>
          <w:rFonts w:cs="Times New Roman"/>
          <w:i/>
        </w:rPr>
        <w:t>BIA</w:t>
      </w:r>
      <w:r w:rsidRPr="002A2F47">
        <w:rPr>
          <w:rFonts w:cs="Times New Roman"/>
        </w:rPr>
        <w:t xml:space="preserve">, the financial rehabilitation of the debtor, is achieved through the discharge of the debtor’s outstanding debts at the end of the bankruptcy: </w:t>
      </w:r>
      <w:r w:rsidRPr="002A2F47">
        <w:rPr>
          <w:rFonts w:cs="Times New Roman"/>
          <w:i/>
        </w:rPr>
        <w:t>Husky Oil</w:t>
      </w:r>
      <w:r w:rsidRPr="002A2F47">
        <w:rPr>
          <w:rFonts w:cs="Times New Roman"/>
        </w:rPr>
        <w:t xml:space="preserve">, at para. 7.  Section 178(2) of the </w:t>
      </w:r>
      <w:r w:rsidRPr="002A2F47">
        <w:rPr>
          <w:rFonts w:cs="Times New Roman"/>
          <w:i/>
        </w:rPr>
        <w:t>BIA</w:t>
      </w:r>
      <w:r w:rsidRPr="002A2F47">
        <w:rPr>
          <w:rFonts w:cs="Times New Roman"/>
        </w:rPr>
        <w:t xml:space="preserve"> provides:</w:t>
      </w:r>
    </w:p>
    <w:p w:rsidR="00696B09" w:rsidRPr="002A2F47" w:rsidRDefault="00696B09" w:rsidP="001B50FA">
      <w:pPr>
        <w:pStyle w:val="Citation-AltC"/>
        <w:widowControl w:val="0"/>
        <w:ind w:firstLine="274"/>
      </w:pPr>
      <w:r w:rsidRPr="002A2F47">
        <w:t>(2) Subject to subsection (1), an order of discharge releases the bankrupt from all claims provable in bankruptcy.</w:t>
      </w:r>
    </w:p>
    <w:p w:rsidR="00696B09" w:rsidRPr="002A2F47" w:rsidRDefault="00696B09" w:rsidP="001B50FA">
      <w:pPr>
        <w:pStyle w:val="ContinueParaSuitedupar-AltP"/>
        <w:widowControl w:val="0"/>
        <w:rPr>
          <w:rFonts w:cs="Times New Roman"/>
        </w:rPr>
      </w:pPr>
      <w:r w:rsidRPr="002A2F47">
        <w:rPr>
          <w:rFonts w:cs="Times New Roman"/>
        </w:rPr>
        <w:t xml:space="preserve">From the perspective of the creditors, the discharge means they are unable to enforce their provable claims: </w:t>
      </w:r>
      <w:r w:rsidRPr="002A2F47">
        <w:rPr>
          <w:rFonts w:cs="Times New Roman"/>
          <w:i/>
        </w:rPr>
        <w:t>Schreyer v. Schreyer</w:t>
      </w:r>
      <w:r w:rsidRPr="002A2F47">
        <w:rPr>
          <w:rFonts w:cs="Times New Roman"/>
        </w:rPr>
        <w:t xml:space="preserve">, 2011 SCC 35, [2011] 2 S.C.R. 605, at para. </w:t>
      </w:r>
      <w:r w:rsidRPr="002A2F47">
        <w:rPr>
          <w:rFonts w:cs="Times New Roman"/>
        </w:rPr>
        <w:lastRenderedPageBreak/>
        <w:t xml:space="preserve">21.  This, in effect, gives the insolvent person a “fresh start”, in that he or she is “freed from the burdens of pre-existing indebtedness”: Wood, at p. 273; see also </w:t>
      </w:r>
      <w:r w:rsidRPr="002A2F47">
        <w:rPr>
          <w:rFonts w:cs="Times New Roman"/>
          <w:i/>
        </w:rPr>
        <w:t>Industrial Acceptance Corp. v. Lalonde</w:t>
      </w:r>
      <w:r w:rsidRPr="002A2F47">
        <w:rPr>
          <w:rFonts w:cs="Times New Roman"/>
        </w:rPr>
        <w:t xml:space="preserve">, [1952] 2 S.C.R. 109, at p. 120.  This fresh start is not only designed for the well-being of the bankrupt debtor and his or her family; rehabilitation helps the discharged bankrupt to reintegrate into economic life so he or she can become a productive member of society: Wood, at pp. 274-75; L. W. </w:t>
      </w:r>
      <w:proofErr w:type="spellStart"/>
      <w:r w:rsidRPr="002A2F47">
        <w:rPr>
          <w:rFonts w:cs="Times New Roman"/>
        </w:rPr>
        <w:t>Houlden</w:t>
      </w:r>
      <w:proofErr w:type="spellEnd"/>
      <w:r w:rsidRPr="002A2F47">
        <w:rPr>
          <w:rFonts w:cs="Times New Roman"/>
        </w:rPr>
        <w:t xml:space="preserve">, G. B. </w:t>
      </w:r>
      <w:proofErr w:type="spellStart"/>
      <w:r w:rsidRPr="002A2F47">
        <w:rPr>
          <w:rFonts w:cs="Times New Roman"/>
        </w:rPr>
        <w:t>Morawetz</w:t>
      </w:r>
      <w:proofErr w:type="spellEnd"/>
      <w:r w:rsidRPr="002A2F47">
        <w:rPr>
          <w:rFonts w:cs="Times New Roman"/>
        </w:rPr>
        <w:t xml:space="preserve"> and J. </w:t>
      </w:r>
      <w:proofErr w:type="spellStart"/>
      <w:r w:rsidRPr="002A2F47">
        <w:rPr>
          <w:rFonts w:cs="Times New Roman"/>
        </w:rPr>
        <w:t>Sarra</w:t>
      </w:r>
      <w:proofErr w:type="spellEnd"/>
      <w:r w:rsidRPr="002A2F47">
        <w:rPr>
          <w:rFonts w:cs="Times New Roman"/>
        </w:rPr>
        <w:t xml:space="preserve">, </w:t>
      </w:r>
      <w:r w:rsidRPr="002A2F47">
        <w:rPr>
          <w:rFonts w:cs="Times New Roman"/>
          <w:i/>
        </w:rPr>
        <w:t>Bankruptcy and Insolvency Law of Canada</w:t>
      </w:r>
      <w:r w:rsidRPr="002A2F47">
        <w:rPr>
          <w:rFonts w:cs="Times New Roman"/>
        </w:rPr>
        <w:t xml:space="preserve"> (4th ed. </w:t>
      </w:r>
      <w:r w:rsidR="00DA7199">
        <w:rPr>
          <w:rFonts w:cs="Times New Roman"/>
        </w:rPr>
        <w:t xml:space="preserve">rev. </w:t>
      </w:r>
      <w:r w:rsidRPr="002A2F47">
        <w:rPr>
          <w:rFonts w:cs="Times New Roman"/>
        </w:rPr>
        <w:t>(loose-leaf)</w:t>
      </w:r>
      <w:r w:rsidR="00DA7199">
        <w:rPr>
          <w:rFonts w:cs="Times New Roman"/>
        </w:rPr>
        <w:t>)</w:t>
      </w:r>
      <w:r w:rsidRPr="002A2F47">
        <w:rPr>
          <w:rFonts w:cs="Times New Roman"/>
        </w:rPr>
        <w:t>, at p. 6-283.  In many cases of consumer bankruptcy, the debtor has very few or no assets to distribute to his or her creditors.  In those cases, rehabilitation becomes the primary objective of bankruptcy: Wood, at p. 37.</w:t>
      </w:r>
    </w:p>
    <w:p w:rsidR="00696B09" w:rsidRPr="002A2F47" w:rsidRDefault="00696B09" w:rsidP="001B50FA">
      <w:pPr>
        <w:pStyle w:val="ParaNoNdepar-AltN"/>
        <w:widowControl w:val="0"/>
        <w:rPr>
          <w:rFonts w:cs="Times New Roman"/>
        </w:rPr>
      </w:pPr>
      <w:r w:rsidRPr="002A2F47">
        <w:rPr>
          <w:rFonts w:cs="Times New Roman"/>
        </w:rPr>
        <w:t xml:space="preserve">Although it is an important purpose of the </w:t>
      </w:r>
      <w:r w:rsidRPr="002A2F47">
        <w:rPr>
          <w:rFonts w:cs="Times New Roman"/>
          <w:i/>
        </w:rPr>
        <w:t>BIA</w:t>
      </w:r>
      <w:r w:rsidRPr="002A2F47">
        <w:rPr>
          <w:rFonts w:cs="Times New Roman"/>
        </w:rPr>
        <w:t xml:space="preserve">, financial rehabilitation also has its limits.  Section 178(1) of the </w:t>
      </w:r>
      <w:r w:rsidRPr="002A2F47">
        <w:rPr>
          <w:rFonts w:cs="Times New Roman"/>
          <w:i/>
        </w:rPr>
        <w:t>BIA</w:t>
      </w:r>
      <w:r w:rsidRPr="002A2F47">
        <w:rPr>
          <w:rFonts w:cs="Times New Roman"/>
        </w:rPr>
        <w:t xml:space="preserve"> lists debts that are not released by discharge and that survive bankruptcy.  Furthermore, s. 172 provides that an order of discharge may be denied, suspended, or granted subject to conditions.  These provisions demonstrate Parliament’s attempt to balance financial rehabilitation with other policy objectives, such as confidence in the credit system, that require certain debts to survive bankruptcy: Wood, at pp. 273 and 289.  </w:t>
      </w:r>
    </w:p>
    <w:p w:rsidR="00696B09" w:rsidRPr="002A2F47" w:rsidRDefault="00696B09" w:rsidP="001B50FA">
      <w:pPr>
        <w:pStyle w:val="ParaNoNdepar-AltN"/>
        <w:widowControl w:val="0"/>
        <w:rPr>
          <w:rFonts w:cs="Times New Roman"/>
        </w:rPr>
      </w:pPr>
      <w:r w:rsidRPr="002A2F47">
        <w:rPr>
          <w:rFonts w:cs="Times New Roman"/>
        </w:rPr>
        <w:t xml:space="preserve">Discharge is the main rehabilitative tool contained in the </w:t>
      </w:r>
      <w:r w:rsidRPr="002A2F47">
        <w:rPr>
          <w:rFonts w:cs="Times New Roman"/>
          <w:i/>
        </w:rPr>
        <w:t>BIA</w:t>
      </w:r>
      <w:r w:rsidRPr="002A2F47">
        <w:rPr>
          <w:rFonts w:cs="Times New Roman"/>
        </w:rPr>
        <w:t>, but it is not the only one.  As Professor Wood, at p. 273, observes:</w:t>
      </w:r>
    </w:p>
    <w:p w:rsidR="00696B09" w:rsidRPr="002A2F47" w:rsidRDefault="00696B09" w:rsidP="001B50FA">
      <w:pPr>
        <w:pStyle w:val="Citation-AltC"/>
        <w:widowControl w:val="0"/>
      </w:pPr>
      <w:r w:rsidRPr="002A2F47">
        <w:t xml:space="preserve">The bankruptcy discharge is one of the primary mechanisms through which </w:t>
      </w:r>
      <w:r w:rsidRPr="002A2F47">
        <w:lastRenderedPageBreak/>
        <w:t>bankruptcy law attempts to provide for the economic rehabilitation of the debtor. However, it is not the only means by which bankruptcy law seeks to meet this objective. The exclusion of exempt property from distribution to creditors, the surplus income provisions, and mandatory credit counselling also are directed towards this goal.</w:t>
      </w:r>
    </w:p>
    <w:p w:rsidR="00696B09" w:rsidRPr="002A2F47" w:rsidRDefault="00696B09" w:rsidP="001B50FA">
      <w:pPr>
        <w:pStyle w:val="ParaNoNdepar-AltN"/>
        <w:widowControl w:val="0"/>
        <w:rPr>
          <w:rFonts w:cs="Times New Roman"/>
        </w:rPr>
      </w:pPr>
      <w:r w:rsidRPr="002A2F47">
        <w:rPr>
          <w:rFonts w:cs="Times New Roman"/>
        </w:rPr>
        <w:t xml:space="preserve">Another means of rehabilitation is the automatic stay of proceedings contained in s. 69.3 of the </w:t>
      </w:r>
      <w:r w:rsidRPr="002A2F47">
        <w:rPr>
          <w:rFonts w:cs="Times New Roman"/>
          <w:i/>
        </w:rPr>
        <w:t>BIA</w:t>
      </w:r>
      <w:r w:rsidRPr="002A2F47">
        <w:rPr>
          <w:rFonts w:cs="Times New Roman"/>
        </w:rPr>
        <w:t xml:space="preserve">.  The stay not only ensures that creditors are redirected into the collective proceeding described above, it also ensures that creditors are precluded from seizing property that is exempt from distribution to creditors.  This is an important part of the bankrupt’s financial rehabilitation: </w:t>
      </w:r>
    </w:p>
    <w:p w:rsidR="00696B09" w:rsidRPr="002A2F47" w:rsidRDefault="00696B09" w:rsidP="001B50FA">
      <w:pPr>
        <w:pStyle w:val="Citation-AltC"/>
        <w:widowControl w:val="0"/>
        <w:ind w:firstLine="274"/>
      </w:pPr>
      <w:r w:rsidRPr="002A2F47">
        <w:t>The rehabilitation of the bankrupt is not the result only of his discharge. It begins when he is put into bankruptcy with measures designed to give him the minimum needed for subsistence.</w:t>
      </w:r>
    </w:p>
    <w:p w:rsidR="00696B09" w:rsidRPr="002A2F47" w:rsidRDefault="00696B09" w:rsidP="001B50FA">
      <w:pPr>
        <w:pStyle w:val="Citation-AltC"/>
        <w:widowControl w:val="0"/>
      </w:pPr>
    </w:p>
    <w:p w:rsidR="00696B09" w:rsidRPr="002A2F47" w:rsidRDefault="00696B09" w:rsidP="001B50FA">
      <w:pPr>
        <w:pStyle w:val="Citation-AltC"/>
        <w:widowControl w:val="0"/>
        <w:spacing w:after="0" w:line="480" w:lineRule="auto"/>
        <w:ind w:left="0"/>
      </w:pPr>
      <w:r w:rsidRPr="002A2F47">
        <w:t>(</w:t>
      </w:r>
      <w:proofErr w:type="spellStart"/>
      <w:r w:rsidRPr="002A2F47">
        <w:rPr>
          <w:i/>
        </w:rPr>
        <w:t>Vachon</w:t>
      </w:r>
      <w:proofErr w:type="spellEnd"/>
      <w:r w:rsidRPr="002A2F47">
        <w:rPr>
          <w:i/>
        </w:rPr>
        <w:t xml:space="preserve"> v. Canada Employment and Immigration Commission</w:t>
      </w:r>
      <w:r w:rsidRPr="002A2F47">
        <w:t>, [1985] 2 S.C.R. 417, at p. 4</w:t>
      </w:r>
      <w:r w:rsidR="00D75FD9">
        <w:t>30)</w:t>
      </w:r>
    </w:p>
    <w:p w:rsidR="00696B09" w:rsidRPr="002A2F47" w:rsidRDefault="00696B09" w:rsidP="001B50FA">
      <w:pPr>
        <w:pStyle w:val="ParaNoNdepar-AltN"/>
        <w:widowControl w:val="0"/>
        <w:rPr>
          <w:rFonts w:cs="Times New Roman"/>
        </w:rPr>
      </w:pPr>
      <w:r w:rsidRPr="002A2F47">
        <w:rPr>
          <w:rFonts w:cs="Times New Roman"/>
        </w:rPr>
        <w:t xml:space="preserve">In many aspects, the </w:t>
      </w:r>
      <w:r w:rsidRPr="002A2F47">
        <w:rPr>
          <w:rFonts w:cs="Times New Roman"/>
          <w:i/>
        </w:rPr>
        <w:t>BIA</w:t>
      </w:r>
      <w:r w:rsidRPr="002A2F47">
        <w:rPr>
          <w:rFonts w:cs="Times New Roman"/>
        </w:rPr>
        <w:t xml:space="preserve"> is a complete code governing bankruptcy.  It sets out which claims are treated as provable claims and which assets are distributed to creditors, and how.  It then sets out which claims are released on discharge and which claims survive bankruptcy.  That said, the fact remains that the operation of the </w:t>
      </w:r>
      <w:r w:rsidRPr="002A2F47">
        <w:rPr>
          <w:rFonts w:cs="Times New Roman"/>
          <w:i/>
        </w:rPr>
        <w:t>BIA</w:t>
      </w:r>
      <w:r w:rsidRPr="002A2F47">
        <w:rPr>
          <w:rFonts w:cs="Times New Roman"/>
        </w:rPr>
        <w:t xml:space="preserve"> depends upon the survival of various provincial rights: </w:t>
      </w:r>
      <w:r w:rsidRPr="002A2F47">
        <w:rPr>
          <w:rFonts w:cs="Times New Roman"/>
          <w:i/>
        </w:rPr>
        <w:t>Husky Oil</w:t>
      </w:r>
      <w:r w:rsidRPr="002A2F47">
        <w:rPr>
          <w:rFonts w:cs="Times New Roman"/>
        </w:rPr>
        <w:t xml:space="preserve">, at para. 85; </w:t>
      </w:r>
      <w:r w:rsidRPr="002A2F47">
        <w:rPr>
          <w:rFonts w:cs="Times New Roman"/>
          <w:i/>
        </w:rPr>
        <w:t>Hall</w:t>
      </w:r>
      <w:r w:rsidRPr="002A2F47">
        <w:rPr>
          <w:rFonts w:cs="Times New Roman"/>
        </w:rPr>
        <w:t xml:space="preserve">, at p. 155. In this regard, s. 72(1) of the </w:t>
      </w:r>
      <w:r w:rsidRPr="002A2F47">
        <w:rPr>
          <w:rFonts w:cs="Times New Roman"/>
          <w:i/>
        </w:rPr>
        <w:t>BIA</w:t>
      </w:r>
      <w:r w:rsidRPr="002A2F47">
        <w:rPr>
          <w:rFonts w:cs="Times New Roman"/>
        </w:rPr>
        <w:t xml:space="preserve"> provides:</w:t>
      </w:r>
    </w:p>
    <w:p w:rsidR="00696B09" w:rsidRPr="002A2F47" w:rsidRDefault="00696B09" w:rsidP="001B50FA">
      <w:pPr>
        <w:pStyle w:val="Citation-AltC"/>
        <w:widowControl w:val="0"/>
        <w:ind w:firstLine="274"/>
      </w:pPr>
      <w:r w:rsidRPr="002A2F47">
        <w:rPr>
          <w:b/>
        </w:rPr>
        <w:t>72.</w:t>
      </w:r>
      <w:r w:rsidRPr="002A2F47">
        <w:t xml:space="preserve"> (1) The provisions of this Act shall </w:t>
      </w:r>
      <w:r w:rsidRPr="002A2F47">
        <w:rPr>
          <w:u w:val="single"/>
        </w:rPr>
        <w:t xml:space="preserve">not be deemed to abrogate or </w:t>
      </w:r>
      <w:r w:rsidRPr="002A2F47">
        <w:rPr>
          <w:u w:val="single"/>
        </w:rPr>
        <w:lastRenderedPageBreak/>
        <w:t>supersede the substantive provisions of any other law or statute relating to property and civil rights that are not in conflict with this Act</w:t>
      </w:r>
      <w:r w:rsidRPr="002A2F47">
        <w:t>, and the trustee is entitled to avail himself of all rights and remedies provided by that law or statute as supplementary to and in addition to the rights and remedies provided by this Act.</w:t>
      </w:r>
    </w:p>
    <w:p w:rsidR="00696B09" w:rsidRPr="002A2F47" w:rsidRDefault="00696B09" w:rsidP="001B50FA">
      <w:pPr>
        <w:pStyle w:val="ContinueParaSuitedupar-AltP"/>
        <w:widowControl w:val="0"/>
        <w:rPr>
          <w:rFonts w:cs="Times New Roman"/>
        </w:rPr>
      </w:pPr>
      <w:r w:rsidRPr="002A2F47">
        <w:rPr>
          <w:rFonts w:cs="Times New Roman"/>
        </w:rPr>
        <w:t xml:space="preserve">On the one hand, given the procedural nature of the </w:t>
      </w:r>
      <w:r w:rsidRPr="002A2F47">
        <w:rPr>
          <w:rFonts w:cs="Times New Roman"/>
          <w:i/>
        </w:rPr>
        <w:t>BIA</w:t>
      </w:r>
      <w:r w:rsidRPr="002A2F47">
        <w:rPr>
          <w:rFonts w:cs="Times New Roman"/>
        </w:rPr>
        <w:t xml:space="preserve">, the bankruptcy regime relies heavily on the continued existence of provincial substantive rights, and thus the continued operation of provincial laws: Wood, at pp. 7-8; </w:t>
      </w:r>
      <w:r w:rsidRPr="002A2F47">
        <w:rPr>
          <w:rFonts w:cs="Times New Roman"/>
          <w:i/>
        </w:rPr>
        <w:t>Husky Oil</w:t>
      </w:r>
      <w:r w:rsidRPr="002A2F47">
        <w:rPr>
          <w:rFonts w:cs="Times New Roman"/>
        </w:rPr>
        <w:t xml:space="preserve">, at para. 30.  The ownership of certain assets and the existence of particular liabilities depend upon provincial law: P. W. Hogg, </w:t>
      </w:r>
      <w:r w:rsidRPr="002A2F47">
        <w:rPr>
          <w:rFonts w:cs="Times New Roman"/>
          <w:i/>
        </w:rPr>
        <w:t>Constitutional Law of Canada</w:t>
      </w:r>
      <w:r w:rsidRPr="002A2F47">
        <w:rPr>
          <w:rFonts w:cs="Times New Roman"/>
        </w:rPr>
        <w:t xml:space="preserve"> (5th ed. Supp.), at p. 25-8.  On the other hand, the </w:t>
      </w:r>
      <w:r w:rsidRPr="002A2F47">
        <w:rPr>
          <w:rFonts w:cs="Times New Roman"/>
          <w:i/>
        </w:rPr>
        <w:t>BIA</w:t>
      </w:r>
      <w:r w:rsidRPr="002A2F47">
        <w:rPr>
          <w:rFonts w:cs="Times New Roman"/>
        </w:rPr>
        <w:t xml:space="preserve"> cannot operate without affecting property and civil rights.  Section 72(1) confirms this by stating that, where there is a genuine inconsistency between provincial laws regarding property and civil rights and federal bankruptcy legislation, the </w:t>
      </w:r>
      <w:r w:rsidRPr="002A2F47">
        <w:rPr>
          <w:rFonts w:cs="Times New Roman"/>
          <w:i/>
        </w:rPr>
        <w:t>BIA</w:t>
      </w:r>
      <w:r w:rsidRPr="002A2F47">
        <w:rPr>
          <w:rFonts w:cs="Times New Roman"/>
        </w:rPr>
        <w:t xml:space="preserve"> prevails: see </w:t>
      </w:r>
      <w:r w:rsidRPr="002A2F47">
        <w:rPr>
          <w:rFonts w:cs="Times New Roman"/>
          <w:i/>
        </w:rPr>
        <w:t xml:space="preserve">GMAC Commercial Credit Corp. </w:t>
      </w:r>
      <w:r w:rsidRPr="002A2F47">
        <w:rPr>
          <w:rFonts w:cs="Times New Roman"/>
        </w:rPr>
        <w:t xml:space="preserve">— </w:t>
      </w:r>
      <w:r w:rsidRPr="002A2F47">
        <w:rPr>
          <w:rFonts w:cs="Times New Roman"/>
          <w:i/>
        </w:rPr>
        <w:t>Canada v. T.C.T. Logistics Inc.</w:t>
      </w:r>
      <w:r w:rsidRPr="002A2F47">
        <w:rPr>
          <w:rFonts w:cs="Times New Roman"/>
        </w:rPr>
        <w:t>, 2006 SCC 35, [2006] 2 S.C.R. 123, at para. 47.</w:t>
      </w:r>
    </w:p>
    <w:p w:rsidR="00696B09" w:rsidRPr="002A2F47" w:rsidRDefault="00696B09" w:rsidP="001B50FA">
      <w:pPr>
        <w:pStyle w:val="ParaNoNdepar-AltN"/>
        <w:widowControl w:val="0"/>
        <w:rPr>
          <w:rFonts w:cs="Times New Roman"/>
        </w:rPr>
      </w:pPr>
      <w:r w:rsidRPr="002A2F47">
        <w:rPr>
          <w:rFonts w:cs="Times New Roman"/>
        </w:rPr>
        <w:t xml:space="preserve">In the context of this appeal, we are specifically concerned with an alleged conflict between, on the one hand, one provision of the </w:t>
      </w:r>
      <w:r w:rsidRPr="002A2F47">
        <w:rPr>
          <w:rFonts w:cs="Times New Roman"/>
          <w:i/>
        </w:rPr>
        <w:t>BIA</w:t>
      </w:r>
      <w:r w:rsidRPr="002A2F47">
        <w:rPr>
          <w:rFonts w:cs="Times New Roman"/>
        </w:rPr>
        <w:t>, namely s. 178, the purpose of which is to ensure the financial rehabilitation of the debtor, and, on the other hand, one provision (s. 102) of the provincial scheme, to which I will now turn.</w:t>
      </w:r>
    </w:p>
    <w:p w:rsidR="00696B09" w:rsidRPr="002A2F47" w:rsidRDefault="00696B09" w:rsidP="001B50FA">
      <w:pPr>
        <w:pStyle w:val="Title4LevelTitre4Niveau"/>
        <w:widowControl w:val="0"/>
        <w:numPr>
          <w:ilvl w:val="3"/>
          <w:numId w:val="8"/>
        </w:numPr>
        <w:rPr>
          <w:rFonts w:cs="Times New Roman"/>
        </w:rPr>
      </w:pPr>
      <w:bookmarkStart w:id="20" w:name="_Toc412109567"/>
      <w:bookmarkStart w:id="21" w:name="_Toc421615793"/>
      <w:r w:rsidRPr="002A2F47">
        <w:rPr>
          <w:rFonts w:cs="Times New Roman"/>
        </w:rPr>
        <w:t>The Alberta Traffic Safety Act</w:t>
      </w:r>
      <w:bookmarkEnd w:id="20"/>
      <w:bookmarkEnd w:id="21"/>
    </w:p>
    <w:p w:rsidR="00696B09" w:rsidRPr="002A2F47" w:rsidRDefault="00696B09" w:rsidP="001B50FA">
      <w:pPr>
        <w:pStyle w:val="ParaNoNdepar-AltN"/>
        <w:widowControl w:val="0"/>
        <w:rPr>
          <w:rFonts w:cs="Times New Roman"/>
        </w:rPr>
      </w:pPr>
      <w:r w:rsidRPr="002A2F47">
        <w:rPr>
          <w:rFonts w:cs="Times New Roman"/>
        </w:rPr>
        <w:t xml:space="preserve">The </w:t>
      </w:r>
      <w:r w:rsidRPr="002A2F47">
        <w:rPr>
          <w:rFonts w:cs="Times New Roman"/>
          <w:i/>
        </w:rPr>
        <w:t>TSA</w:t>
      </w:r>
      <w:r w:rsidRPr="002A2F47">
        <w:rPr>
          <w:rFonts w:cs="Times New Roman"/>
        </w:rPr>
        <w:t xml:space="preserve"> is the provincial scheme with which the </w:t>
      </w:r>
      <w:r w:rsidRPr="002A2F47">
        <w:rPr>
          <w:rFonts w:cs="Times New Roman"/>
          <w:i/>
        </w:rPr>
        <w:t>BIA</w:t>
      </w:r>
      <w:r w:rsidRPr="002A2F47">
        <w:rPr>
          <w:rFonts w:cs="Times New Roman"/>
        </w:rPr>
        <w:t xml:space="preserve"> is alleged to conflict.  </w:t>
      </w:r>
      <w:r w:rsidRPr="002A2F47">
        <w:rPr>
          <w:rFonts w:cs="Times New Roman"/>
        </w:rPr>
        <w:lastRenderedPageBreak/>
        <w:t xml:space="preserve">Pursuant to s. 92(13) of the </w:t>
      </w:r>
      <w:r w:rsidRPr="002A2F47">
        <w:rPr>
          <w:rFonts w:cs="Times New Roman"/>
          <w:i/>
        </w:rPr>
        <w:t>Constitution Act, 1867</w:t>
      </w:r>
      <w:r w:rsidRPr="002A2F47">
        <w:rPr>
          <w:rFonts w:cs="Times New Roman"/>
        </w:rPr>
        <w:t xml:space="preserve">, provincial legislatures have the power to legislate with regard to property and civil rights.  The Court has long recognized that this power includes traffic regulation and the authority to set conditions for driver’s licences and vehicle permits: </w:t>
      </w:r>
      <w:r w:rsidRPr="002A2F47">
        <w:rPr>
          <w:rFonts w:cs="Times New Roman"/>
          <w:i/>
        </w:rPr>
        <w:t>Ross v. Registrar of Motor Vehicles</w:t>
      </w:r>
      <w:r w:rsidRPr="002A2F47">
        <w:rPr>
          <w:rFonts w:cs="Times New Roman"/>
        </w:rPr>
        <w:t xml:space="preserve">, [1975] 1 S.C.R. 5, at pp. 13-14; </w:t>
      </w:r>
      <w:r w:rsidRPr="002A2F47">
        <w:rPr>
          <w:rFonts w:cs="Times New Roman"/>
          <w:i/>
        </w:rPr>
        <w:t>O’Grady</w:t>
      </w:r>
      <w:r w:rsidRPr="002A2F47">
        <w:rPr>
          <w:rFonts w:cs="Times New Roman"/>
        </w:rPr>
        <w:t xml:space="preserve">, at p. 810; </w:t>
      </w:r>
      <w:r w:rsidRPr="002A2F47">
        <w:rPr>
          <w:rFonts w:cs="Times New Roman"/>
          <w:i/>
        </w:rPr>
        <w:t>Provincial Secretary of Prince Edward Island v. Egan</w:t>
      </w:r>
      <w:r w:rsidRPr="002A2F47">
        <w:rPr>
          <w:rFonts w:cs="Times New Roman"/>
        </w:rPr>
        <w:t xml:space="preserve">, [1941] S.C.R. 396, at pp. 402 and 415; see also </w:t>
      </w:r>
      <w:r w:rsidRPr="002A2F47">
        <w:rPr>
          <w:rFonts w:cs="Times New Roman"/>
          <w:i/>
        </w:rPr>
        <w:t>Thomson v. Alberta (Transportation and Safety Board)</w:t>
      </w:r>
      <w:r w:rsidRPr="002A2F47">
        <w:rPr>
          <w:rFonts w:cs="Times New Roman"/>
        </w:rPr>
        <w:t xml:space="preserve">, 2003 ABCA 256, 232 D.L.R. (4th) 237, at para. 25.  The </w:t>
      </w:r>
      <w:r w:rsidRPr="002A2F47">
        <w:rPr>
          <w:rFonts w:cs="Times New Roman"/>
          <w:i/>
        </w:rPr>
        <w:t>TSA</w:t>
      </w:r>
      <w:r w:rsidRPr="002A2F47">
        <w:rPr>
          <w:rFonts w:cs="Times New Roman"/>
        </w:rPr>
        <w:t xml:space="preserve"> is a comprehensive legislative scheme for traffic regulation, “covering virtually all aspects of the regulation of highways and motor vehicles in Alberta”, with the aim of ensuring road safety: </w:t>
      </w:r>
      <w:r w:rsidRPr="002A2F47">
        <w:rPr>
          <w:rFonts w:cs="Times New Roman"/>
          <w:i/>
        </w:rPr>
        <w:t>Thomson</w:t>
      </w:r>
      <w:r w:rsidRPr="002A2F47">
        <w:rPr>
          <w:rFonts w:cs="Times New Roman"/>
        </w:rPr>
        <w:t>, at para. 5</w:t>
      </w:r>
      <w:r w:rsidR="00F303B8">
        <w:rPr>
          <w:rFonts w:cs="Times New Roman"/>
        </w:rPr>
        <w:t>; Alberta</w:t>
      </w:r>
      <w:r w:rsidRPr="002A2F47">
        <w:rPr>
          <w:rFonts w:cs="Times New Roman"/>
        </w:rPr>
        <w:t xml:space="preserve"> Legislative Assembly, </w:t>
      </w:r>
      <w:r w:rsidRPr="002A2F47">
        <w:rPr>
          <w:rFonts w:cs="Times New Roman"/>
          <w:i/>
        </w:rPr>
        <w:t>Alberta Hansard</w:t>
      </w:r>
      <w:r w:rsidRPr="002A2F47">
        <w:rPr>
          <w:rFonts w:cs="Times New Roman"/>
        </w:rPr>
        <w:t xml:space="preserve">, 3rd Sess., 24th Leg., April 12, 1999, at p. 927. </w:t>
      </w:r>
    </w:p>
    <w:p w:rsidR="00696B09" w:rsidRPr="002A2F47" w:rsidRDefault="00696B09" w:rsidP="001B50FA">
      <w:pPr>
        <w:pStyle w:val="ParaNoNdepar-AltN"/>
        <w:widowControl w:val="0"/>
        <w:rPr>
          <w:rFonts w:cs="Times New Roman"/>
        </w:rPr>
      </w:pPr>
      <w:r w:rsidRPr="002A2F47">
        <w:rPr>
          <w:rFonts w:cs="Times New Roman"/>
        </w:rPr>
        <w:t xml:space="preserve">Under s. 54(1) of the </w:t>
      </w:r>
      <w:r w:rsidRPr="002A2F47">
        <w:rPr>
          <w:rFonts w:cs="Times New Roman"/>
          <w:i/>
        </w:rPr>
        <w:t>TSA</w:t>
      </w:r>
      <w:r w:rsidRPr="002A2F47">
        <w:rPr>
          <w:rFonts w:cs="Times New Roman"/>
        </w:rPr>
        <w:t>, no one is allowed to drive or have a motor vehicle on a public road unless the vehicle is insured.  Under s. 54(4), a person who contravenes s. 54(1) is liable to a fine or imprisonment.  The Registrar of Motor Vehicle Services may also disqualify a person from driving and cancel his or her vehicle registration until that person shows proof of insurance: s. 54(5) and (7).</w:t>
      </w:r>
    </w:p>
    <w:p w:rsidR="00696B09" w:rsidRPr="002A2F47" w:rsidRDefault="00696B09" w:rsidP="001B50FA">
      <w:pPr>
        <w:pStyle w:val="ParaNoNdepar-AltN"/>
        <w:widowControl w:val="0"/>
        <w:rPr>
          <w:rFonts w:cs="Times New Roman"/>
        </w:rPr>
      </w:pPr>
      <w:r w:rsidRPr="002A2F47">
        <w:rPr>
          <w:rFonts w:cs="Times New Roman"/>
        </w:rPr>
        <w:t xml:space="preserve">In the event that an uninsured driver causes an accident, Alberta has implemented a compensation program governed by the </w:t>
      </w:r>
      <w:r w:rsidRPr="002A2F47">
        <w:rPr>
          <w:rFonts w:cs="Times New Roman"/>
          <w:i/>
        </w:rPr>
        <w:t>MVACA</w:t>
      </w:r>
      <w:r w:rsidRPr="002A2F47">
        <w:rPr>
          <w:rFonts w:cs="Times New Roman"/>
        </w:rPr>
        <w:t xml:space="preserve">.  A victim injured in the accident may sue the uninsured driver for damages.  If the victim is successful but the uninsured driver does not pay, the victim may then apply to the Administrator under </w:t>
      </w:r>
      <w:r w:rsidRPr="002A2F47">
        <w:rPr>
          <w:rFonts w:cs="Times New Roman"/>
        </w:rPr>
        <w:lastRenderedPageBreak/>
        <w:t xml:space="preserve">the </w:t>
      </w:r>
      <w:r w:rsidRPr="002A2F47">
        <w:rPr>
          <w:rFonts w:cs="Times New Roman"/>
          <w:i/>
        </w:rPr>
        <w:t>MVACA</w:t>
      </w:r>
      <w:r w:rsidRPr="002A2F47">
        <w:rPr>
          <w:rFonts w:cs="Times New Roman"/>
        </w:rPr>
        <w:t xml:space="preserve"> for compensation in the amount of the unsatisfied judgment: s. 5(1).  If authorized, the payment is drawn from the General Revenue Fund of the province: s. 5(2).  The judgment is then assigned to the Administrator, who can take steps to enforce it against the judgment debtor.  The Administrator is thus deemed to be the judgment creditor: s. 5(7).</w:t>
      </w:r>
    </w:p>
    <w:p w:rsidR="00696B09" w:rsidRPr="002A2F47" w:rsidRDefault="00696B09" w:rsidP="001B50FA">
      <w:pPr>
        <w:pStyle w:val="ParaNoNdepar-AltN"/>
        <w:widowControl w:val="0"/>
        <w:rPr>
          <w:rFonts w:cs="Times New Roman"/>
        </w:rPr>
      </w:pPr>
      <w:r w:rsidRPr="002A2F47">
        <w:rPr>
          <w:rFonts w:cs="Times New Roman"/>
        </w:rPr>
        <w:t xml:space="preserve">Section 102 of the </w:t>
      </w:r>
      <w:r w:rsidRPr="002A2F47">
        <w:rPr>
          <w:rFonts w:cs="Times New Roman"/>
          <w:i/>
        </w:rPr>
        <w:t>TSA</w:t>
      </w:r>
      <w:r w:rsidRPr="002A2F47">
        <w:rPr>
          <w:rFonts w:cs="Times New Roman"/>
        </w:rPr>
        <w:t xml:space="preserve">, the provision at issue in this appeal, complements the </w:t>
      </w:r>
      <w:r w:rsidRPr="002A2F47">
        <w:rPr>
          <w:rFonts w:cs="Times New Roman"/>
          <w:i/>
        </w:rPr>
        <w:t>MVACA</w:t>
      </w:r>
      <w:r w:rsidRPr="002A2F47">
        <w:rPr>
          <w:rFonts w:cs="Times New Roman"/>
        </w:rPr>
        <w:t xml:space="preserve"> program.  It allows the Registrar to suspend the debtor’s driver’s licence and vehicle permits until the judgment debt is paid, up to a maximum amount of $200,000:</w:t>
      </w:r>
    </w:p>
    <w:p w:rsidR="00696B09" w:rsidRPr="002A2F47" w:rsidRDefault="00696B09" w:rsidP="001B50FA">
      <w:pPr>
        <w:pStyle w:val="Citation-AltC"/>
        <w:widowControl w:val="0"/>
      </w:pPr>
      <w:r w:rsidRPr="002A2F47">
        <w:rPr>
          <w:b/>
        </w:rPr>
        <w:t>102(1</w:t>
      </w:r>
      <w:proofErr w:type="gramStart"/>
      <w:r w:rsidRPr="002A2F47">
        <w:rPr>
          <w:b/>
        </w:rPr>
        <w:t>)</w:t>
      </w:r>
      <w:r w:rsidRPr="002A2F47">
        <w:t xml:space="preserve">  If</w:t>
      </w:r>
      <w:proofErr w:type="gramEnd"/>
    </w:p>
    <w:p w:rsidR="00696B09" w:rsidRPr="002A2F47" w:rsidRDefault="00696B09" w:rsidP="001B50FA">
      <w:pPr>
        <w:pStyle w:val="Citation-AltC"/>
        <w:widowControl w:val="0"/>
      </w:pPr>
    </w:p>
    <w:p w:rsidR="00696B09" w:rsidRPr="002A2F47" w:rsidRDefault="00696B09" w:rsidP="001B50FA">
      <w:pPr>
        <w:pStyle w:val="Citation-AltC"/>
        <w:widowControl w:val="0"/>
        <w:ind w:left="1980" w:hanging="360"/>
      </w:pPr>
      <w:r w:rsidRPr="002A2F47">
        <w:t>(a)</w:t>
      </w:r>
      <w:r w:rsidRPr="002A2F47">
        <w:tab/>
        <w:t xml:space="preserve">a </w:t>
      </w:r>
      <w:r w:rsidRPr="002A2F47">
        <w:rPr>
          <w:u w:val="single"/>
        </w:rPr>
        <w:t>judgment for damages arising out of a motor vehicle accident</w:t>
      </w:r>
      <w:r w:rsidRPr="002A2F47">
        <w:t xml:space="preserve"> is rendered against a person by a court in Alberta or in any other province or territory in Canada, and</w:t>
      </w:r>
    </w:p>
    <w:p w:rsidR="00696B09" w:rsidRPr="002A2F47" w:rsidRDefault="00696B09" w:rsidP="001B50FA">
      <w:pPr>
        <w:pStyle w:val="Citation-AltC"/>
        <w:widowControl w:val="0"/>
        <w:ind w:left="1800"/>
      </w:pPr>
    </w:p>
    <w:p w:rsidR="00696B09" w:rsidRPr="002A2F47" w:rsidRDefault="00696B09" w:rsidP="001B50FA">
      <w:pPr>
        <w:pStyle w:val="Citation-AltC"/>
        <w:widowControl w:val="0"/>
        <w:ind w:left="1980" w:hanging="360"/>
      </w:pPr>
      <w:r w:rsidRPr="002A2F47">
        <w:t>(b)</w:t>
      </w:r>
      <w:r w:rsidRPr="002A2F47">
        <w:tab/>
      </w:r>
      <w:proofErr w:type="gramStart"/>
      <w:r w:rsidRPr="002A2F47">
        <w:t>that</w:t>
      </w:r>
      <w:proofErr w:type="gramEnd"/>
      <w:r w:rsidRPr="002A2F47">
        <w:t xml:space="preserve"> </w:t>
      </w:r>
      <w:r w:rsidRPr="002A2F47">
        <w:rPr>
          <w:u w:val="single"/>
        </w:rPr>
        <w:t>person fails</w:t>
      </w:r>
      <w:r w:rsidRPr="002A2F47">
        <w:t xml:space="preserve">, within 15 days from the day on which the judgment becomes final, to </w:t>
      </w:r>
      <w:r w:rsidRPr="002A2F47">
        <w:rPr>
          <w:u w:val="single"/>
        </w:rPr>
        <w:t>satisfy the judgment</w:t>
      </w:r>
      <w:r w:rsidRPr="002A2F47">
        <w:t>,</w:t>
      </w:r>
    </w:p>
    <w:p w:rsidR="00696B09" w:rsidRPr="002A2F47" w:rsidRDefault="00696B09" w:rsidP="001B50FA">
      <w:pPr>
        <w:pStyle w:val="Citation-AltC"/>
        <w:widowControl w:val="0"/>
        <w:ind w:left="1800"/>
      </w:pPr>
    </w:p>
    <w:p w:rsidR="00696B09" w:rsidRPr="002A2F47" w:rsidRDefault="00696B09" w:rsidP="001B50FA">
      <w:pPr>
        <w:pStyle w:val="Citation-AltC"/>
        <w:widowControl w:val="0"/>
        <w:ind w:left="1170"/>
      </w:pPr>
      <w:proofErr w:type="gramStart"/>
      <w:r w:rsidRPr="002A2F47">
        <w:t>the</w:t>
      </w:r>
      <w:proofErr w:type="gramEnd"/>
      <w:r w:rsidRPr="002A2F47">
        <w:t xml:space="preserve"> Registrar, subject to sections 103 and 104 and the regulations, may do one or both of the following:</w:t>
      </w:r>
    </w:p>
    <w:p w:rsidR="00696B09" w:rsidRPr="002A2F47" w:rsidRDefault="00696B09" w:rsidP="001B50FA">
      <w:pPr>
        <w:pStyle w:val="Citation-AltC"/>
        <w:widowControl w:val="0"/>
        <w:ind w:left="1800"/>
      </w:pPr>
    </w:p>
    <w:p w:rsidR="00696B09" w:rsidRPr="002A2F47" w:rsidRDefault="00696B09" w:rsidP="001B50FA">
      <w:pPr>
        <w:pStyle w:val="Citation-AltC"/>
        <w:widowControl w:val="0"/>
        <w:ind w:left="1980" w:hanging="360"/>
      </w:pPr>
      <w:r w:rsidRPr="002A2F47">
        <w:t>(c)</w:t>
      </w:r>
      <w:r w:rsidRPr="002A2F47">
        <w:tab/>
      </w:r>
      <w:proofErr w:type="gramStart"/>
      <w:r w:rsidRPr="002A2F47">
        <w:t>disqualify</w:t>
      </w:r>
      <w:proofErr w:type="gramEnd"/>
      <w:r w:rsidRPr="002A2F47">
        <w:t xml:space="preserve"> the person from driving a motor vehicle in Alberta;</w:t>
      </w:r>
    </w:p>
    <w:p w:rsidR="00696B09" w:rsidRPr="002A2F47" w:rsidRDefault="00696B09" w:rsidP="001B50FA">
      <w:pPr>
        <w:pStyle w:val="Citation-AltC"/>
        <w:widowControl w:val="0"/>
        <w:ind w:left="1800"/>
      </w:pPr>
    </w:p>
    <w:p w:rsidR="00696B09" w:rsidRPr="002A2F47" w:rsidRDefault="00696B09" w:rsidP="001B50FA">
      <w:pPr>
        <w:pStyle w:val="Citation-AltC"/>
        <w:widowControl w:val="0"/>
        <w:ind w:left="1980" w:hanging="360"/>
      </w:pPr>
      <w:r w:rsidRPr="002A2F47">
        <w:t>(d)</w:t>
      </w:r>
      <w:r w:rsidRPr="002A2F47">
        <w:tab/>
      </w:r>
      <w:proofErr w:type="gramStart"/>
      <w:r w:rsidRPr="002A2F47">
        <w:t>suspend</w:t>
      </w:r>
      <w:proofErr w:type="gramEnd"/>
      <w:r w:rsidRPr="002A2F47">
        <w:t xml:space="preserve"> the registration of any motor vehicle registered in that person’s name.</w:t>
      </w:r>
    </w:p>
    <w:p w:rsidR="00696B09" w:rsidRPr="002A2F47" w:rsidRDefault="00696B09" w:rsidP="001B50FA">
      <w:pPr>
        <w:pStyle w:val="Citation-AltC"/>
        <w:widowControl w:val="0"/>
      </w:pPr>
    </w:p>
    <w:p w:rsidR="00696B09" w:rsidRPr="002A2F47" w:rsidRDefault="00696B09" w:rsidP="001B50FA">
      <w:pPr>
        <w:pStyle w:val="Citation-AltC"/>
        <w:widowControl w:val="0"/>
      </w:pPr>
      <w:r w:rsidRPr="002A2F47">
        <w:rPr>
          <w:b/>
        </w:rPr>
        <w:t>(2)</w:t>
      </w:r>
      <w:r w:rsidRPr="002A2F47">
        <w:t xml:space="preserve">  When, under subsection (1), a </w:t>
      </w:r>
      <w:r w:rsidRPr="002A2F47">
        <w:rPr>
          <w:u w:val="single"/>
        </w:rPr>
        <w:t>person is disqualified</w:t>
      </w:r>
      <w:r w:rsidRPr="002A2F47">
        <w:t xml:space="preserve"> from driving a motor vehicle in Alberta or the certificate of </w:t>
      </w:r>
      <w:r w:rsidRPr="002A2F47">
        <w:rPr>
          <w:u w:val="single"/>
        </w:rPr>
        <w:t>registration</w:t>
      </w:r>
      <w:r w:rsidRPr="002A2F47">
        <w:t xml:space="preserve"> of that person’s motor vehicle </w:t>
      </w:r>
      <w:r w:rsidRPr="002A2F47">
        <w:rPr>
          <w:u w:val="single"/>
        </w:rPr>
        <w:t>is suspended</w:t>
      </w:r>
      <w:r w:rsidRPr="002A2F47">
        <w:t>,</w:t>
      </w:r>
    </w:p>
    <w:p w:rsidR="00696B09" w:rsidRPr="002A2F47" w:rsidRDefault="00696B09" w:rsidP="001B50FA">
      <w:pPr>
        <w:pStyle w:val="Citation-AltC"/>
        <w:widowControl w:val="0"/>
      </w:pPr>
    </w:p>
    <w:p w:rsidR="00696B09" w:rsidRPr="002A2F47" w:rsidRDefault="00696B09" w:rsidP="001B50FA">
      <w:pPr>
        <w:pStyle w:val="Citation-AltC"/>
        <w:widowControl w:val="0"/>
        <w:ind w:left="1980" w:hanging="360"/>
      </w:pPr>
      <w:r w:rsidRPr="002A2F47">
        <w:t>(a)</w:t>
      </w:r>
      <w:r w:rsidRPr="002A2F47">
        <w:tab/>
        <w:t xml:space="preserve">the disqualification or the suspension, as the case may be, remains </w:t>
      </w:r>
      <w:r w:rsidRPr="002A2F47">
        <w:lastRenderedPageBreak/>
        <w:t>in effect and shall not be removed, and</w:t>
      </w:r>
    </w:p>
    <w:p w:rsidR="00696B09" w:rsidRPr="002A2F47" w:rsidRDefault="00696B09" w:rsidP="001B50FA">
      <w:pPr>
        <w:pStyle w:val="Citation-AltC"/>
        <w:widowControl w:val="0"/>
        <w:ind w:left="1800"/>
      </w:pPr>
    </w:p>
    <w:p w:rsidR="00696B09" w:rsidRPr="002A2F47" w:rsidRDefault="00696B09" w:rsidP="001B50FA">
      <w:pPr>
        <w:pStyle w:val="Citation-AltC"/>
        <w:widowControl w:val="0"/>
        <w:ind w:left="1980" w:hanging="360"/>
      </w:pPr>
      <w:r w:rsidRPr="002A2F47">
        <w:t>(b)</w:t>
      </w:r>
      <w:r w:rsidRPr="002A2F47">
        <w:tab/>
      </w:r>
      <w:proofErr w:type="gramStart"/>
      <w:r w:rsidRPr="002A2F47">
        <w:t>no</w:t>
      </w:r>
      <w:proofErr w:type="gramEnd"/>
      <w:r w:rsidRPr="002A2F47">
        <w:t xml:space="preserve"> motor vehicle shall be registered in that person’s name,</w:t>
      </w:r>
    </w:p>
    <w:p w:rsidR="00696B09" w:rsidRPr="002A2F47" w:rsidRDefault="00696B09" w:rsidP="001B50FA">
      <w:pPr>
        <w:pStyle w:val="Citation-AltC"/>
        <w:widowControl w:val="0"/>
        <w:ind w:left="1800"/>
      </w:pPr>
    </w:p>
    <w:p w:rsidR="00696B09" w:rsidRPr="002A2F47" w:rsidRDefault="00696B09" w:rsidP="001B50FA">
      <w:pPr>
        <w:pStyle w:val="Citation-AltC"/>
        <w:widowControl w:val="0"/>
        <w:ind w:left="1260"/>
      </w:pPr>
      <w:proofErr w:type="gramStart"/>
      <w:r w:rsidRPr="002A2F47">
        <w:rPr>
          <w:u w:val="single"/>
        </w:rPr>
        <w:t>until</w:t>
      </w:r>
      <w:proofErr w:type="gramEnd"/>
      <w:r w:rsidRPr="002A2F47">
        <w:rPr>
          <w:u w:val="single"/>
        </w:rPr>
        <w:t xml:space="preserve"> the judgment is satisfied or discharged, otherwise than by a discharge in bankruptcy</w:t>
      </w:r>
      <w:r w:rsidRPr="002A2F47">
        <w:t>, to the extent of</w:t>
      </w:r>
    </w:p>
    <w:p w:rsidR="00696B09" w:rsidRPr="002A2F47" w:rsidRDefault="00696B09" w:rsidP="001B50FA">
      <w:pPr>
        <w:pStyle w:val="Citation-AltC"/>
        <w:widowControl w:val="0"/>
        <w:ind w:left="1800"/>
      </w:pPr>
    </w:p>
    <w:p w:rsidR="00696B09" w:rsidRPr="002A2F47" w:rsidRDefault="00696B09" w:rsidP="001B50FA">
      <w:pPr>
        <w:pStyle w:val="Citation-AltC"/>
        <w:widowControl w:val="0"/>
        <w:ind w:left="1800"/>
        <w:jc w:val="center"/>
        <w:rPr>
          <w:lang w:val="en-US"/>
        </w:rPr>
      </w:pPr>
      <w:r w:rsidRPr="002A2F47">
        <w:rPr>
          <w:lang w:val="en-US"/>
        </w:rPr>
        <w:t>. . .</w:t>
      </w:r>
    </w:p>
    <w:p w:rsidR="00696B09" w:rsidRPr="002A2F47" w:rsidRDefault="00696B09" w:rsidP="001B50FA">
      <w:pPr>
        <w:pStyle w:val="Citation-AltC"/>
        <w:widowControl w:val="0"/>
        <w:ind w:left="1800"/>
        <w:rPr>
          <w:lang w:val="en-US"/>
        </w:rPr>
      </w:pPr>
    </w:p>
    <w:p w:rsidR="00696B09" w:rsidRPr="002A2F47" w:rsidRDefault="00696B09" w:rsidP="001B50FA">
      <w:pPr>
        <w:pStyle w:val="Citation-AltC"/>
        <w:widowControl w:val="0"/>
        <w:ind w:left="1980" w:hanging="360"/>
      </w:pPr>
      <w:r w:rsidRPr="002A2F47">
        <w:t xml:space="preserve">(f) </w:t>
      </w:r>
      <w:r w:rsidRPr="002A2F47">
        <w:tab/>
      </w:r>
      <w:proofErr w:type="gramStart"/>
      <w:r w:rsidRPr="002A2F47">
        <w:t>at</w:t>
      </w:r>
      <w:proofErr w:type="gramEnd"/>
      <w:r w:rsidRPr="002A2F47">
        <w:t xml:space="preserve"> least $200 000, exclusive of interest and costs, if the judgment arises out of a motor vehicle accident occurring on or after January 1, 1986.</w:t>
      </w:r>
    </w:p>
    <w:p w:rsidR="00696B09" w:rsidRPr="002A2F47" w:rsidRDefault="00696B09" w:rsidP="001B50FA">
      <w:pPr>
        <w:pStyle w:val="ParaNoNdepar-AltN"/>
        <w:widowControl w:val="0"/>
        <w:rPr>
          <w:rFonts w:cs="Times New Roman"/>
        </w:rPr>
      </w:pPr>
      <w:r w:rsidRPr="002A2F47">
        <w:rPr>
          <w:rFonts w:cs="Times New Roman"/>
        </w:rPr>
        <w:t>Section 103 is also a relevant part of this scheme.  It allows the judgment debtor to apply for the “privilege” of paying the outstanding judgment debt in instalments.  The debtor may recover his or her driving privileges as long as the payments are being made:</w:t>
      </w:r>
    </w:p>
    <w:p w:rsidR="00696B09" w:rsidRPr="002A2F47" w:rsidRDefault="00696B09" w:rsidP="001B50FA">
      <w:pPr>
        <w:pStyle w:val="Citation-AltC"/>
        <w:widowControl w:val="0"/>
      </w:pPr>
      <w:r w:rsidRPr="002A2F47">
        <w:rPr>
          <w:b/>
        </w:rPr>
        <w:t>103(1)</w:t>
      </w:r>
      <w:r w:rsidRPr="002A2F47">
        <w:t xml:space="preserve"> </w:t>
      </w:r>
      <w:proofErr w:type="gramStart"/>
      <w:r w:rsidRPr="002A2F47">
        <w:t>A</w:t>
      </w:r>
      <w:proofErr w:type="gramEnd"/>
      <w:r w:rsidRPr="002A2F47">
        <w:t xml:space="preserve"> judgment debtor to whom this Part applies may on notice to the judgment creditor apply to the court in which the trial judgment was obtained </w:t>
      </w:r>
      <w:r w:rsidRPr="002A2F47">
        <w:rPr>
          <w:u w:val="single"/>
        </w:rPr>
        <w:t>for the privilege of paying the judgment in instalments</w:t>
      </w:r>
      <w:r w:rsidRPr="002A2F47">
        <w:t>, and the court may, in its discretion, so order, fixing the amounts and times of payment of the instalments.</w:t>
      </w:r>
    </w:p>
    <w:p w:rsidR="00696B09" w:rsidRPr="002A2F47" w:rsidRDefault="00696B09" w:rsidP="001B50FA">
      <w:pPr>
        <w:pStyle w:val="Citation-AltC"/>
        <w:widowControl w:val="0"/>
      </w:pPr>
    </w:p>
    <w:p w:rsidR="00696B09" w:rsidRPr="002A2F47" w:rsidRDefault="00696B09" w:rsidP="001B50FA">
      <w:pPr>
        <w:pStyle w:val="Citation-AltC"/>
        <w:widowControl w:val="0"/>
      </w:pPr>
      <w:r w:rsidRPr="002A2F47">
        <w:rPr>
          <w:b/>
        </w:rPr>
        <w:t>(2)</w:t>
      </w:r>
      <w:r w:rsidRPr="002A2F47">
        <w:t xml:space="preserve">  If the Minister responsible for the administration of the </w:t>
      </w:r>
      <w:r w:rsidRPr="002A2F47">
        <w:rPr>
          <w:i/>
        </w:rPr>
        <w:t>Motor Vehicle Accident Claims Act</w:t>
      </w:r>
      <w:r w:rsidRPr="002A2F47">
        <w:t xml:space="preserve"> has made a payment with respect to a judgment pursuant to the </w:t>
      </w:r>
      <w:r w:rsidRPr="002A2F47">
        <w:rPr>
          <w:i/>
        </w:rPr>
        <w:t>Motor Vehicle Accident Claims Act</w:t>
      </w:r>
      <w:r w:rsidRPr="002A2F47">
        <w:t>, the judgment debtor</w:t>
      </w:r>
    </w:p>
    <w:p w:rsidR="00696B09" w:rsidRPr="002A2F47" w:rsidRDefault="00696B09" w:rsidP="001B50FA">
      <w:pPr>
        <w:pStyle w:val="Citation-AltC"/>
        <w:widowControl w:val="0"/>
      </w:pPr>
    </w:p>
    <w:p w:rsidR="00696B09" w:rsidRPr="002A2F47" w:rsidRDefault="00696B09" w:rsidP="001B50FA">
      <w:pPr>
        <w:pStyle w:val="Citation-AltC"/>
        <w:widowControl w:val="0"/>
        <w:ind w:left="1980" w:hanging="450"/>
      </w:pPr>
      <w:r w:rsidRPr="002A2F47">
        <w:t>(a)</w:t>
      </w:r>
      <w:r w:rsidRPr="002A2F47">
        <w:tab/>
        <w:t xml:space="preserve">may apply to the Minister responsible for the administration of the </w:t>
      </w:r>
      <w:r w:rsidRPr="002A2F47">
        <w:rPr>
          <w:i/>
        </w:rPr>
        <w:t>Motor Vehicle Accident Claims Act</w:t>
      </w:r>
      <w:r w:rsidRPr="002A2F47">
        <w:t xml:space="preserve"> </w:t>
      </w:r>
      <w:r w:rsidRPr="002A2F47">
        <w:rPr>
          <w:u w:val="single"/>
        </w:rPr>
        <w:t>for the privilege of</w:t>
      </w:r>
      <w:r w:rsidRPr="003F5663">
        <w:rPr>
          <w:u w:val="single"/>
        </w:rPr>
        <w:t xml:space="preserve"> </w:t>
      </w:r>
      <w:r w:rsidRPr="002A2F47">
        <w:rPr>
          <w:u w:val="single"/>
        </w:rPr>
        <w:t>paying the judgment in instalments</w:t>
      </w:r>
      <w:r w:rsidRPr="002A2F47">
        <w:t>, in which case that Minister may cause an agreement to be entered into with the debtor for payment by instalments, or</w:t>
      </w:r>
    </w:p>
    <w:p w:rsidR="00696B09" w:rsidRPr="002A2F47" w:rsidRDefault="00696B09" w:rsidP="001B50FA">
      <w:pPr>
        <w:pStyle w:val="Citation-AltC"/>
        <w:widowControl w:val="0"/>
        <w:ind w:left="1800"/>
      </w:pPr>
    </w:p>
    <w:p w:rsidR="00696B09" w:rsidRPr="002A2F47" w:rsidRDefault="00696B09" w:rsidP="001B50FA">
      <w:pPr>
        <w:pStyle w:val="Citation-AltC"/>
        <w:widowControl w:val="0"/>
        <w:ind w:left="1980" w:hanging="450"/>
      </w:pPr>
      <w:r w:rsidRPr="002A2F47">
        <w:t>(b)</w:t>
      </w:r>
      <w:r w:rsidRPr="002A2F47">
        <w:tab/>
        <w:t xml:space="preserve">may apply to the court pursuant to subsection (1) </w:t>
      </w:r>
      <w:r w:rsidRPr="002A2F47">
        <w:rPr>
          <w:u w:val="single"/>
        </w:rPr>
        <w:t>for the</w:t>
      </w:r>
      <w:r w:rsidRPr="003F5663">
        <w:rPr>
          <w:u w:val="single"/>
        </w:rPr>
        <w:t xml:space="preserve"> </w:t>
      </w:r>
      <w:r w:rsidRPr="002A2F47">
        <w:rPr>
          <w:u w:val="single"/>
        </w:rPr>
        <w:t xml:space="preserve">privilege of paying the judgment to the Minister responsible for the administration of the </w:t>
      </w:r>
      <w:r w:rsidRPr="002A2F47">
        <w:rPr>
          <w:i/>
          <w:u w:val="single"/>
        </w:rPr>
        <w:t>Motor Vehicle Accident Claims Act</w:t>
      </w:r>
      <w:r w:rsidRPr="002A2F47">
        <w:rPr>
          <w:u w:val="single"/>
        </w:rPr>
        <w:t xml:space="preserve"> in </w:t>
      </w:r>
      <w:r w:rsidRPr="002A2F47">
        <w:rPr>
          <w:u w:val="single"/>
        </w:rPr>
        <w:lastRenderedPageBreak/>
        <w:t>instalments</w:t>
      </w:r>
      <w:r w:rsidRPr="002A2F47">
        <w:t xml:space="preserve">, in which case the debtor must give notice of the application to the Administrator of the </w:t>
      </w:r>
      <w:r w:rsidRPr="002A2F47">
        <w:rPr>
          <w:i/>
        </w:rPr>
        <w:t>Motor Vehicle Accident Claims Act</w:t>
      </w:r>
      <w:r w:rsidRPr="002A2F47">
        <w:t>, who may appear personally or by counsel and be heard on the application.</w:t>
      </w:r>
    </w:p>
    <w:p w:rsidR="00696B09" w:rsidRPr="002A2F47" w:rsidRDefault="00696B09" w:rsidP="001B50FA">
      <w:pPr>
        <w:pStyle w:val="Citation-AltC"/>
        <w:widowControl w:val="0"/>
      </w:pPr>
    </w:p>
    <w:p w:rsidR="00696B09" w:rsidRPr="002A2F47" w:rsidRDefault="00696B09" w:rsidP="001B50FA">
      <w:pPr>
        <w:pStyle w:val="Citation-AltC"/>
        <w:widowControl w:val="0"/>
      </w:pPr>
      <w:r w:rsidRPr="002A2F47">
        <w:rPr>
          <w:b/>
        </w:rPr>
        <w:t>(3)</w:t>
      </w:r>
      <w:r w:rsidRPr="002A2F47">
        <w:t xml:space="preserve">  Except in a case to which subsection (2) applies, a judgment debtor and the judgment creditor may enter into an agreement for the payment of the judgment in instalments.</w:t>
      </w:r>
    </w:p>
    <w:p w:rsidR="00696B09" w:rsidRPr="002A2F47" w:rsidRDefault="00696B09" w:rsidP="001B50FA">
      <w:pPr>
        <w:pStyle w:val="Citation-AltC"/>
        <w:widowControl w:val="0"/>
      </w:pPr>
    </w:p>
    <w:p w:rsidR="00696B09" w:rsidRPr="002A2F47" w:rsidRDefault="00696B09" w:rsidP="001B50FA">
      <w:pPr>
        <w:pStyle w:val="Citation-AltC"/>
        <w:widowControl w:val="0"/>
      </w:pPr>
      <w:r w:rsidRPr="002A2F47">
        <w:rPr>
          <w:b/>
        </w:rPr>
        <w:t>(4)</w:t>
      </w:r>
      <w:r w:rsidRPr="002A2F47">
        <w:t xml:space="preserve">  </w:t>
      </w:r>
      <w:r w:rsidRPr="002A2F47">
        <w:rPr>
          <w:u w:val="single"/>
        </w:rPr>
        <w:t>While the judgment debtor is not in default in payment of the instalments, the judgment debtor is deemed not to be in default for the purposes of this Part in payment of the judgment</w:t>
      </w:r>
      <w:r w:rsidRPr="002A2F47">
        <w:t>, and the Minister in the Minister’s absolute discretion may restore the operator’s licence and the certificate of registration of the judgment debtor.</w:t>
      </w:r>
    </w:p>
    <w:p w:rsidR="00696B09" w:rsidRPr="002A2F47" w:rsidRDefault="00696B09" w:rsidP="001B50FA">
      <w:pPr>
        <w:pStyle w:val="Citation-AltC"/>
        <w:widowControl w:val="0"/>
      </w:pPr>
    </w:p>
    <w:p w:rsidR="00696B09" w:rsidRPr="002A2F47" w:rsidRDefault="00696B09" w:rsidP="001B50FA">
      <w:pPr>
        <w:pStyle w:val="Citation-AltC"/>
        <w:widowControl w:val="0"/>
      </w:pPr>
      <w:r w:rsidRPr="002A2F47">
        <w:rPr>
          <w:b/>
        </w:rPr>
        <w:t>(5)</w:t>
      </w:r>
      <w:r w:rsidRPr="002A2F47">
        <w:t xml:space="preserve">  Notwithstanding subsection (4), if the Minister is satisfied that the judgment debtor has defaulted with respect to complying with the terms of the court order or of the agreement, the judgment debtor’s operator’s licence and registration shall again be suspended and remain suspended as provided in section 102.</w:t>
      </w:r>
    </w:p>
    <w:p w:rsidR="00696B09" w:rsidRPr="002A2F47" w:rsidRDefault="00696B09" w:rsidP="001B50FA">
      <w:pPr>
        <w:pStyle w:val="Citation-AltC"/>
        <w:widowControl w:val="0"/>
      </w:pPr>
    </w:p>
    <w:p w:rsidR="00696B09" w:rsidRPr="002A2F47" w:rsidRDefault="00696B09" w:rsidP="001B50FA">
      <w:pPr>
        <w:pStyle w:val="ContinueParaSuitedupar-AltP"/>
        <w:widowControl w:val="0"/>
        <w:rPr>
          <w:rFonts w:cs="Times New Roman"/>
        </w:rPr>
      </w:pPr>
      <w:r w:rsidRPr="002A2F47">
        <w:rPr>
          <w:rFonts w:cs="Times New Roman"/>
        </w:rPr>
        <w:t xml:space="preserve">It is worth mentioning that, in theory, ss. 102 and 103 of the </w:t>
      </w:r>
      <w:r w:rsidRPr="002A2F47">
        <w:rPr>
          <w:rFonts w:cs="Times New Roman"/>
          <w:i/>
        </w:rPr>
        <w:t>TSA</w:t>
      </w:r>
      <w:r w:rsidRPr="002A2F47">
        <w:rPr>
          <w:rFonts w:cs="Times New Roman"/>
        </w:rPr>
        <w:t xml:space="preserve"> do not operate solely in favour of the province.  They could also operate in favour of a third party.  For instance, the Registrar could suspend the driver’s privileges solely for the benefit of a victim of an accident who holds an unsatisfied judgment.</w:t>
      </w:r>
    </w:p>
    <w:p w:rsidR="00696B09" w:rsidRPr="002A2F47" w:rsidRDefault="00696B09" w:rsidP="001B50FA">
      <w:pPr>
        <w:pStyle w:val="ParaNoNdepar-AltN"/>
        <w:widowControl w:val="0"/>
        <w:rPr>
          <w:rFonts w:cs="Times New Roman"/>
        </w:rPr>
      </w:pPr>
      <w:r w:rsidRPr="002A2F47">
        <w:rPr>
          <w:rFonts w:cs="Times New Roman"/>
        </w:rPr>
        <w:t xml:space="preserve">The purpose and effect of s. 102 are obvious when it is read in its context: it is meant to deprive the judgment debtor of driving privileges until the judgment arising from a motor vehicle accident is paid in full, or periodic payments in satisfaction of the judgment are being made under s. 103.  It is, in substance, a debt collection mechanism.  Since the parties conceded that the judgment debt in this appeal is a claim </w:t>
      </w:r>
      <w:r w:rsidRPr="002A2F47">
        <w:rPr>
          <w:rFonts w:cs="Times New Roman"/>
        </w:rPr>
        <w:lastRenderedPageBreak/>
        <w:t>provable in bankruptcy, I would add that the purpose and effect of s. 102, in the context of this appeal, are to suspend a debtor’s driving privileges until payment of a provable claim.</w:t>
      </w:r>
    </w:p>
    <w:p w:rsidR="00696B09" w:rsidRPr="002A2F47" w:rsidRDefault="00696B09" w:rsidP="001B50FA">
      <w:pPr>
        <w:pStyle w:val="ParaNoNdepar-AltN"/>
        <w:widowControl w:val="0"/>
        <w:rPr>
          <w:rFonts w:cs="Times New Roman"/>
        </w:rPr>
      </w:pPr>
      <w:r w:rsidRPr="002A2F47">
        <w:rPr>
          <w:rFonts w:cs="Times New Roman"/>
        </w:rPr>
        <w:t xml:space="preserve">Alberta disputes this.  It submits that s. 102 is not, in substance, a debt enforcement scheme.  It contends that the provision merely imposes an additional monetary condition to obtain the privilege of driving.  In the appellant’s view, this condition mirrors the amount of the judgment debt because it reflects the actual regulatory cost of the driver’s failure to comply with the insurance requirement.  Alberta maintains that the “payment obligation is inherently regulatory in nature” and that repayment of the judgment debt “is merely incidental to the satisfaction of the regulatory requirement” (A.F., at para. 31).  It insists that the purpose of the provision is to discourage people from driving without insurance.  </w:t>
      </w:r>
    </w:p>
    <w:p w:rsidR="00696B09" w:rsidRPr="002A2F47" w:rsidRDefault="00696B09" w:rsidP="001B50FA">
      <w:pPr>
        <w:pStyle w:val="ParaNoNdepar-AltN"/>
        <w:widowControl w:val="0"/>
        <w:rPr>
          <w:rFonts w:cs="Times New Roman"/>
        </w:rPr>
      </w:pPr>
      <w:r w:rsidRPr="002A2F47">
        <w:rPr>
          <w:rFonts w:cs="Times New Roman"/>
        </w:rPr>
        <w:t xml:space="preserve">I disagree.  While it is plausible that s. 102 might discourage drivers from driving uninsured, this is neither its main purpose nor its main effect.  For one, the deterrent effect of s. 102, if any, is not tied to the failure to maintain proper insurance.  The deterrent effect materializes only if the uninsured driver causes an accident.  The accident must also cause injury to a third party.  In addition, the victim must seek damages and obtain a judgment.  Yet this is still not sufficient.  The uninsured driver must also be incapable of satisfying the judgment in question or refuse to do so.  Clearly, it is the failure to pay the judgment debt that triggers s. 102, not the failure to </w:t>
      </w:r>
      <w:r w:rsidRPr="002A2F47">
        <w:rPr>
          <w:rFonts w:cs="Times New Roman"/>
        </w:rPr>
        <w:lastRenderedPageBreak/>
        <w:t xml:space="preserve">be insured.  Furthermore, failure to comply with the insurance requirement is already subject to a penalty under s. 54 of the </w:t>
      </w:r>
      <w:r w:rsidRPr="002A2F47">
        <w:rPr>
          <w:rFonts w:cs="Times New Roman"/>
          <w:i/>
        </w:rPr>
        <w:t>TSA</w:t>
      </w:r>
      <w:r w:rsidRPr="002A2F47">
        <w:rPr>
          <w:rFonts w:cs="Times New Roman"/>
        </w:rPr>
        <w:t xml:space="preserve">.  In sharp contrast to s. 102, s. 54 imposes a monetary penalty (and, in case of default, imprisonment) for the mere failure to comply with the insurance requirement, without more. </w:t>
      </w:r>
    </w:p>
    <w:p w:rsidR="00696B09" w:rsidRPr="002A2F47" w:rsidRDefault="00696B09" w:rsidP="001B50FA">
      <w:pPr>
        <w:pStyle w:val="ParaNoNdepar-AltN"/>
        <w:widowControl w:val="0"/>
        <w:rPr>
          <w:rFonts w:cs="Times New Roman"/>
        </w:rPr>
      </w:pPr>
      <w:r w:rsidRPr="002A2F47">
        <w:rPr>
          <w:rFonts w:cs="Times New Roman"/>
        </w:rPr>
        <w:t xml:space="preserve">The distinction Alberta attempts to make between a judgment debt and a regulatory charge is also irrelevant for two reasons. First, s. 102 is clearly aimed at the repayment of a judgment debt. Second, even if it were aimed at recovering the resulting regulatory charge, such a charge would nonetheless be a claim provable in bankruptcy, and as such, it would remain a debt subject to the bankruptcy process. </w:t>
      </w:r>
    </w:p>
    <w:p w:rsidR="00696B09" w:rsidRPr="002A2F47" w:rsidRDefault="00696B09" w:rsidP="001B50FA">
      <w:pPr>
        <w:pStyle w:val="ParaNoNdepar-AltN"/>
        <w:widowControl w:val="0"/>
        <w:rPr>
          <w:rFonts w:cs="Times New Roman"/>
        </w:rPr>
      </w:pPr>
      <w:r w:rsidRPr="002A2F47">
        <w:rPr>
          <w:rFonts w:cs="Times New Roman"/>
        </w:rPr>
        <w:t>On the first point, the language of the provision is clear: its objective is the satisfaction of the judgment debt.  Section 102 is triggered when the judgment debtor “</w:t>
      </w:r>
      <w:r w:rsidRPr="002A2F47">
        <w:rPr>
          <w:rFonts w:cs="Times New Roman"/>
          <w:u w:val="single"/>
        </w:rPr>
        <w:t>fails</w:t>
      </w:r>
      <w:r w:rsidRPr="002A2F47">
        <w:rPr>
          <w:rFonts w:cs="Times New Roman"/>
        </w:rPr>
        <w:t xml:space="preserve"> . . . </w:t>
      </w:r>
      <w:r w:rsidRPr="003F5663">
        <w:rPr>
          <w:rFonts w:cs="Times New Roman"/>
          <w:u w:val="single"/>
        </w:rPr>
        <w:t xml:space="preserve">to </w:t>
      </w:r>
      <w:r w:rsidRPr="002A2F47">
        <w:rPr>
          <w:rFonts w:cs="Times New Roman"/>
          <w:u w:val="single"/>
        </w:rPr>
        <w:t>satisfy the judgment</w:t>
      </w:r>
      <w:r w:rsidRPr="002A2F47">
        <w:rPr>
          <w:rFonts w:cs="Times New Roman"/>
        </w:rPr>
        <w:t>”: s. 102(1).  It provides that driving privileges will be suspended “</w:t>
      </w:r>
      <w:r w:rsidRPr="002A2F47">
        <w:rPr>
          <w:rFonts w:cs="Times New Roman"/>
          <w:u w:val="single"/>
        </w:rPr>
        <w:t>until the judgment is satisfied or discharged</w:t>
      </w:r>
      <w:r w:rsidRPr="002A2F47">
        <w:rPr>
          <w:rFonts w:cs="Times New Roman"/>
        </w:rPr>
        <w:t xml:space="preserve">”: s. 102(2).  Section 103 is also informative; the suspension of driving privileges stops as soon as payments are being made.  The suspension resumes, however, when the debtor defaults.  </w:t>
      </w:r>
    </w:p>
    <w:p w:rsidR="00696B09" w:rsidRPr="002A2F47" w:rsidRDefault="00696B09" w:rsidP="001B50FA">
      <w:pPr>
        <w:pStyle w:val="ParaNoNdepar-AltN"/>
        <w:widowControl w:val="0"/>
        <w:rPr>
          <w:rFonts w:cs="Times New Roman"/>
        </w:rPr>
      </w:pPr>
      <w:r w:rsidRPr="002A2F47">
        <w:rPr>
          <w:rFonts w:cs="Times New Roman"/>
        </w:rPr>
        <w:t>The letters received by the respondent are telling in this regard. On October 27, 2011, the Director, Driver Fitness and Monitoring, wrote this:</w:t>
      </w:r>
    </w:p>
    <w:p w:rsidR="00696B09" w:rsidRPr="002A2F47" w:rsidRDefault="00696B09" w:rsidP="001B50FA">
      <w:pPr>
        <w:pStyle w:val="Citation-AltC"/>
        <w:widowControl w:val="0"/>
        <w:ind w:firstLine="274"/>
      </w:pPr>
      <w:r w:rsidRPr="002A2F47">
        <w:t xml:space="preserve">This letter will serve as notification that </w:t>
      </w:r>
      <w:r w:rsidRPr="002A2F47">
        <w:rPr>
          <w:u w:val="single"/>
        </w:rPr>
        <w:t>due to your unsatisfied motor vehicle accident claim</w:t>
      </w:r>
      <w:r w:rsidRPr="002A2F47">
        <w:t xml:space="preserve">, your operator’s licence and vehicle registration privileges will be suspended indefinitely . . . . </w:t>
      </w:r>
    </w:p>
    <w:p w:rsidR="00696B09" w:rsidRPr="002A2F47" w:rsidRDefault="00696B09" w:rsidP="001B50FA">
      <w:pPr>
        <w:pStyle w:val="Citation-AltC"/>
        <w:widowControl w:val="0"/>
        <w:ind w:firstLine="274"/>
      </w:pPr>
    </w:p>
    <w:p w:rsidR="00696B09" w:rsidRPr="002A2F47" w:rsidRDefault="00696B09" w:rsidP="001B50FA">
      <w:pPr>
        <w:pStyle w:val="Citation-AltC"/>
        <w:widowControl w:val="0"/>
        <w:ind w:firstLine="274"/>
      </w:pPr>
      <w:r w:rsidRPr="002A2F47">
        <w:t xml:space="preserve">. . . </w:t>
      </w:r>
      <w:proofErr w:type="gramStart"/>
      <w:r w:rsidRPr="002A2F47">
        <w:t>the</w:t>
      </w:r>
      <w:proofErr w:type="gramEnd"/>
      <w:r w:rsidRPr="002A2F47">
        <w:t xml:space="preserve"> suspension will </w:t>
      </w:r>
      <w:r w:rsidRPr="002A2F47">
        <w:rPr>
          <w:u w:val="single"/>
        </w:rPr>
        <w:t>remain in effect until</w:t>
      </w:r>
      <w:r w:rsidRPr="002A2F47">
        <w:t xml:space="preserve"> the following condition(s) are met:</w:t>
      </w:r>
    </w:p>
    <w:p w:rsidR="00696B09" w:rsidRPr="002A2F47" w:rsidRDefault="00696B09" w:rsidP="001B50FA">
      <w:pPr>
        <w:pStyle w:val="Citation-AltC"/>
        <w:widowControl w:val="0"/>
        <w:ind w:firstLine="274"/>
      </w:pPr>
    </w:p>
    <w:p w:rsidR="00696B09" w:rsidRPr="002A2F47" w:rsidRDefault="00696B09" w:rsidP="001B50FA">
      <w:pPr>
        <w:pStyle w:val="Citation-AltC"/>
        <w:widowControl w:val="0"/>
        <w:ind w:left="1710" w:hanging="270"/>
      </w:pPr>
      <w:r w:rsidRPr="002A2F47">
        <w:t xml:space="preserve">- </w:t>
      </w:r>
      <w:r w:rsidR="00A40C3D">
        <w:tab/>
      </w:r>
      <w:r w:rsidRPr="002A2F47">
        <w:rPr>
          <w:u w:val="single"/>
        </w:rPr>
        <w:t>satisfy any outstanding</w:t>
      </w:r>
      <w:r w:rsidRPr="002A2F47">
        <w:t xml:space="preserve"> Motor Vehicle Accident Claims Fund </w:t>
      </w:r>
      <w:r w:rsidRPr="002A2F47">
        <w:rPr>
          <w:u w:val="single"/>
        </w:rPr>
        <w:t>claim</w:t>
      </w:r>
      <w:r w:rsidRPr="002A2F47">
        <w:t xml:space="preserve">. </w:t>
      </w:r>
      <w:r w:rsidR="00A40C3D">
        <w:t xml:space="preserve">[Emphasis added; A.R., </w:t>
      </w:r>
      <w:r w:rsidRPr="002A2F47">
        <w:t>at p. 48.]</w:t>
      </w:r>
    </w:p>
    <w:p w:rsidR="00696B09" w:rsidRPr="002A2F47" w:rsidRDefault="00696B09" w:rsidP="001B50FA">
      <w:pPr>
        <w:pStyle w:val="ContinueParaSuitedupar-AltP"/>
        <w:widowControl w:val="0"/>
        <w:rPr>
          <w:rFonts w:cs="Times New Roman"/>
        </w:rPr>
      </w:pPr>
      <w:r w:rsidRPr="002A2F47">
        <w:rPr>
          <w:rFonts w:cs="Times New Roman"/>
        </w:rPr>
        <w:t>On November 15, 2011, Motor Vehicle Accident Recoveries added this:</w:t>
      </w:r>
    </w:p>
    <w:p w:rsidR="00696B09" w:rsidRPr="002A2F47" w:rsidRDefault="00696B09" w:rsidP="001B50FA">
      <w:pPr>
        <w:pStyle w:val="Citation-AltC"/>
        <w:widowControl w:val="0"/>
      </w:pPr>
      <w:r w:rsidRPr="002A2F47">
        <w:t xml:space="preserve">. . . I advise that your client, Joseph William </w:t>
      </w:r>
      <w:proofErr w:type="spellStart"/>
      <w:r w:rsidRPr="002A2F47">
        <w:t>Moloney</w:t>
      </w:r>
      <w:proofErr w:type="spellEnd"/>
      <w:r w:rsidRPr="002A2F47">
        <w:t xml:space="preserve">, </w:t>
      </w:r>
      <w:r w:rsidRPr="002A2F47">
        <w:rPr>
          <w:u w:val="single"/>
        </w:rPr>
        <w:t>remains indebted for the judgment debt obtained against him</w:t>
      </w:r>
      <w:r w:rsidRPr="002A2F47">
        <w:t xml:space="preserve">. Section 102(2) of the Traffic Safety Act (copy attached) states that </w:t>
      </w:r>
      <w:r w:rsidRPr="002A2F47">
        <w:rPr>
          <w:u w:val="single"/>
        </w:rPr>
        <w:t>he remains indebted “until the judgment is satisfied or discharged, otherwise than by a discharge in bankruptcy</w:t>
      </w:r>
      <w:r w:rsidRPr="002A2F47">
        <w:t>”.</w:t>
      </w:r>
    </w:p>
    <w:p w:rsidR="00696B09" w:rsidRPr="002A2F47" w:rsidRDefault="00696B09" w:rsidP="001B50FA">
      <w:pPr>
        <w:pStyle w:val="Citation-AltC"/>
        <w:widowControl w:val="0"/>
      </w:pPr>
    </w:p>
    <w:p w:rsidR="00696B09" w:rsidRPr="002A2F47" w:rsidRDefault="00696B09" w:rsidP="001B50FA">
      <w:pPr>
        <w:pStyle w:val="Citation-AltC"/>
        <w:widowControl w:val="0"/>
      </w:pPr>
      <w:r w:rsidRPr="002A2F47">
        <w:t xml:space="preserve">Accordingly, we would request that your client contact our office to </w:t>
      </w:r>
      <w:r w:rsidRPr="002A2F47">
        <w:rPr>
          <w:u w:val="single"/>
        </w:rPr>
        <w:t>make payment arrangements</w:t>
      </w:r>
      <w:r w:rsidRPr="002A2F47">
        <w:t xml:space="preserve"> suitable to his circumstances. </w:t>
      </w:r>
      <w:r w:rsidRPr="002A2F47">
        <w:rPr>
          <w:u w:val="single"/>
        </w:rPr>
        <w:t>Failure to do so will result in the continued suspension of his driving privileges</w:t>
      </w:r>
      <w:r w:rsidRPr="00A40C3D">
        <w:rPr>
          <w:u w:val="single"/>
        </w:rPr>
        <w:t>.</w:t>
      </w:r>
      <w:r w:rsidRPr="002A2F47">
        <w:t xml:space="preserve"> [Emphasis added; A.R., at p. 49.]</w:t>
      </w:r>
    </w:p>
    <w:p w:rsidR="00696B09" w:rsidRPr="002A2F47" w:rsidRDefault="00696B09" w:rsidP="001B50FA">
      <w:pPr>
        <w:pStyle w:val="ContinueParaSuitedupar-AltP"/>
        <w:widowControl w:val="0"/>
        <w:rPr>
          <w:rFonts w:cs="Times New Roman"/>
        </w:rPr>
      </w:pPr>
      <w:r w:rsidRPr="002A2F47">
        <w:rPr>
          <w:rFonts w:cs="Times New Roman"/>
        </w:rPr>
        <w:t>These letters make no mention of the respondent’s failure to comply with the insurance requirement, or of the accident for which he is responsible.</w:t>
      </w:r>
    </w:p>
    <w:p w:rsidR="00696B09" w:rsidRPr="002A2F47" w:rsidRDefault="00696B09" w:rsidP="001B50FA">
      <w:pPr>
        <w:pStyle w:val="ParaNoNdepar-AltN"/>
        <w:widowControl w:val="0"/>
        <w:rPr>
          <w:rFonts w:cs="Times New Roman"/>
        </w:rPr>
      </w:pPr>
      <w:r w:rsidRPr="002A2F47">
        <w:rPr>
          <w:rFonts w:cs="Times New Roman"/>
        </w:rPr>
        <w:t xml:space="preserve">In addition, as I mentioned, s. 102 could be used in favour of a third party victim who obtains a judgment but chooses not to seek compensation from the Administrator under the </w:t>
      </w:r>
      <w:r w:rsidRPr="002A2F47">
        <w:rPr>
          <w:rFonts w:cs="Times New Roman"/>
          <w:i/>
        </w:rPr>
        <w:t>MVACA</w:t>
      </w:r>
      <w:r w:rsidRPr="002A2F47">
        <w:rPr>
          <w:rFonts w:cs="Times New Roman"/>
        </w:rPr>
        <w:t>.  In such a case, there is no “regulatory cost”, since no public funds are being spent.  The only effect of s. 102 is to deprive the debtor of driving privileges until he or she pays the judgment creditor.</w:t>
      </w:r>
    </w:p>
    <w:p w:rsidR="00696B09" w:rsidRPr="002A2F47" w:rsidRDefault="00696B09" w:rsidP="001B50FA">
      <w:pPr>
        <w:pStyle w:val="ParaNoNdepar-AltN"/>
        <w:widowControl w:val="0"/>
        <w:rPr>
          <w:rFonts w:cs="Times New Roman"/>
        </w:rPr>
      </w:pPr>
      <w:r w:rsidRPr="002A2F47">
        <w:rPr>
          <w:rFonts w:cs="Times New Roman"/>
        </w:rPr>
        <w:t xml:space="preserve">With respect to the second point, even if we were to accept the distinction </w:t>
      </w:r>
      <w:r w:rsidRPr="002A2F47">
        <w:rPr>
          <w:rFonts w:cs="Times New Roman"/>
        </w:rPr>
        <w:lastRenderedPageBreak/>
        <w:t>advocated by Alberta between the judgment debt and the resulting regulatory charge, it has no practical implication.  A regulatory charge remains a debt owed to the province, which s. 102 is meant to collect.  Not only is it a debt, but it is, like the underlying judgment debt, a provable claim.</w:t>
      </w:r>
    </w:p>
    <w:p w:rsidR="00696B09" w:rsidRPr="002A2F47" w:rsidRDefault="00696B09" w:rsidP="001B50FA">
      <w:pPr>
        <w:pStyle w:val="ParaNoNdepar-AltN"/>
        <w:widowControl w:val="0"/>
        <w:rPr>
          <w:rFonts w:cs="Times New Roman"/>
        </w:rPr>
      </w:pPr>
      <w:r w:rsidRPr="002A2F47">
        <w:rPr>
          <w:rFonts w:cs="Times New Roman"/>
        </w:rPr>
        <w:t xml:space="preserve">According to s. 121(1) of the </w:t>
      </w:r>
      <w:r w:rsidRPr="002A2F47">
        <w:rPr>
          <w:rFonts w:cs="Times New Roman"/>
          <w:i/>
        </w:rPr>
        <w:t>BIA</w:t>
      </w:r>
      <w:r w:rsidRPr="002A2F47">
        <w:rPr>
          <w:rFonts w:cs="Times New Roman"/>
        </w:rPr>
        <w:t>, a provable claim must meet three criteria: (1) there must be a debt, liability or obligation owed to a creditor, (2) which was incurred before the debtor became bankrupt, and (3) it must be possible to attach a monetary value to the debt, liability or obligation (</w:t>
      </w:r>
      <w:r w:rsidRPr="002A2F47">
        <w:rPr>
          <w:rFonts w:cs="Times New Roman"/>
          <w:i/>
        </w:rPr>
        <w:t xml:space="preserve">Newfoundland and Labrador v. </w:t>
      </w:r>
      <w:proofErr w:type="spellStart"/>
      <w:r w:rsidRPr="002A2F47">
        <w:rPr>
          <w:rFonts w:cs="Times New Roman"/>
          <w:i/>
        </w:rPr>
        <w:t>AbitibiBowater</w:t>
      </w:r>
      <w:proofErr w:type="spellEnd"/>
      <w:r w:rsidRPr="002A2F47">
        <w:rPr>
          <w:rFonts w:cs="Times New Roman"/>
          <w:i/>
        </w:rPr>
        <w:t xml:space="preserve"> Inc.</w:t>
      </w:r>
      <w:r w:rsidRPr="002A2F47">
        <w:rPr>
          <w:rFonts w:cs="Times New Roman"/>
        </w:rPr>
        <w:t xml:space="preserve">, 2012 SCC 67, [2012] 3 S.C.R. 443, at para. 26).  Even if the judgment debt were characterized as a regulatory charge, it would meet these criteria.  The regulatory charge would arise from a payment made to the victim of an accident caused by the respondent.  The respondent’s liability to the province arose prior to his assignment in bankruptcy, and it is clearly monetary in nature.  As a result, the province’s claim for the regulatory charge would be provable in bankruptcy and must be treated as part of the bankruptcy process: </w:t>
      </w:r>
      <w:proofErr w:type="spellStart"/>
      <w:r w:rsidRPr="002A2F47">
        <w:rPr>
          <w:rFonts w:cs="Times New Roman"/>
          <w:i/>
        </w:rPr>
        <w:t>AbitibiBowater</w:t>
      </w:r>
      <w:proofErr w:type="spellEnd"/>
      <w:r w:rsidRPr="002A2F47">
        <w:rPr>
          <w:rFonts w:cs="Times New Roman"/>
        </w:rPr>
        <w:t xml:space="preserve">, at para. 40; </w:t>
      </w:r>
      <w:proofErr w:type="spellStart"/>
      <w:r w:rsidRPr="002A2F47">
        <w:rPr>
          <w:rFonts w:cs="Times New Roman"/>
          <w:i/>
        </w:rPr>
        <w:t>Vachon</w:t>
      </w:r>
      <w:proofErr w:type="spellEnd"/>
      <w:r w:rsidRPr="002A2F47">
        <w:rPr>
          <w:rFonts w:cs="Times New Roman"/>
        </w:rPr>
        <w:t xml:space="preserve">, at p. 426; </w:t>
      </w:r>
      <w:r w:rsidRPr="002A2F47">
        <w:rPr>
          <w:rFonts w:cs="Times New Roman"/>
          <w:i/>
        </w:rPr>
        <w:t>Ontario (Minister of Finance) v. Clarke</w:t>
      </w:r>
      <w:r w:rsidRPr="002A2F47">
        <w:rPr>
          <w:rFonts w:cs="Times New Roman"/>
        </w:rPr>
        <w:t>, 2013 ONSC 1920, 115 O.R. (3d) 33, at para. 52.</w:t>
      </w:r>
    </w:p>
    <w:p w:rsidR="00696B09" w:rsidRPr="002A2F47" w:rsidRDefault="00696B09" w:rsidP="001B50FA">
      <w:pPr>
        <w:pStyle w:val="ParaNoNdepar-AltN"/>
        <w:widowControl w:val="0"/>
        <w:rPr>
          <w:rFonts w:cs="Times New Roman"/>
        </w:rPr>
      </w:pPr>
      <w:r w:rsidRPr="002A2F47">
        <w:rPr>
          <w:rFonts w:cs="Times New Roman"/>
        </w:rPr>
        <w:t xml:space="preserve">Therefore, whether one considers the province’s claim as a judgment debt or as the resulting regulatory charge, it is still provable in bankruptcy.  It follows that the effect of s. 102 is to allow a judgment creditor to deprive the debtor of his or her </w:t>
      </w:r>
      <w:r w:rsidRPr="002A2F47">
        <w:rPr>
          <w:rFonts w:cs="Times New Roman"/>
        </w:rPr>
        <w:lastRenderedPageBreak/>
        <w:t xml:space="preserve">driving privileges until the debt is paid.  In the end, the provision thus compels the payment of a provable claim.  Driving is unlike other activities.  For many, it is necessary to function meaningfully in society.  As such, driving often cannot be seen as a genuine “choice”: </w:t>
      </w:r>
      <w:r w:rsidRPr="002A2F47">
        <w:rPr>
          <w:rFonts w:cs="Times New Roman"/>
          <w:i/>
        </w:rPr>
        <w:t>R. v. White</w:t>
      </w:r>
      <w:r w:rsidRPr="002A2F47">
        <w:rPr>
          <w:rFonts w:cs="Times New Roman"/>
        </w:rPr>
        <w:t>, [1999] 2 S.C.R. 417, at para. 55.  The effect of the provincial scheme undoubtedly amounts to coercion in that regard.</w:t>
      </w:r>
    </w:p>
    <w:p w:rsidR="00696B09" w:rsidRPr="002A2F47" w:rsidRDefault="00696B09" w:rsidP="001B50FA">
      <w:pPr>
        <w:pStyle w:val="ParaNoNdepar-AltN"/>
        <w:widowControl w:val="0"/>
        <w:rPr>
          <w:rFonts w:cs="Times New Roman"/>
        </w:rPr>
      </w:pPr>
      <w:r w:rsidRPr="002A2F47">
        <w:rPr>
          <w:rFonts w:cs="Times New Roman"/>
        </w:rPr>
        <w:t xml:space="preserve">Before leaving this provincial scheme to consider whether the enforcement mechanism conflicts with the </w:t>
      </w:r>
      <w:r w:rsidRPr="002A2F47">
        <w:rPr>
          <w:rFonts w:cs="Times New Roman"/>
          <w:i/>
        </w:rPr>
        <w:t>BIA</w:t>
      </w:r>
      <w:r w:rsidRPr="002A2F47">
        <w:rPr>
          <w:rFonts w:cs="Times New Roman"/>
        </w:rPr>
        <w:t xml:space="preserve">, I briefly discuss an argument raised solely by the intervener Superintendent of Bankruptcy on the validity of one component of s. 102(2) of the </w:t>
      </w:r>
      <w:r w:rsidRPr="002A2F47">
        <w:rPr>
          <w:rFonts w:cs="Times New Roman"/>
          <w:i/>
        </w:rPr>
        <w:t>TSA</w:t>
      </w:r>
      <w:r w:rsidRPr="002A2F47">
        <w:rPr>
          <w:rFonts w:cs="Times New Roman"/>
        </w:rPr>
        <w:t xml:space="preserve">.  The impugned provision states that the suspension of driving privileges continues “until the judgment is satisfied or discharged, </w:t>
      </w:r>
      <w:r w:rsidRPr="002A2F47">
        <w:rPr>
          <w:rFonts w:cs="Times New Roman"/>
          <w:u w:val="single"/>
        </w:rPr>
        <w:t>otherwise than by a discharge in bankruptcy</w:t>
      </w:r>
      <w:r w:rsidRPr="002A2F47">
        <w:rPr>
          <w:rFonts w:cs="Times New Roman"/>
        </w:rPr>
        <w:t xml:space="preserve">”. While the parties have conceded the validity of the provision, the Superintendent of Bankruptcy, who is also the appellant in the companion appeal, </w:t>
      </w:r>
      <w:r w:rsidRPr="002A2F47">
        <w:rPr>
          <w:rFonts w:cs="Times New Roman"/>
          <w:i/>
        </w:rPr>
        <w:t>407 ETR Concession Co. v. Canada (Superintendent of Bankruptcy)</w:t>
      </w:r>
      <w:r w:rsidRPr="002A2F47">
        <w:rPr>
          <w:rFonts w:cs="Times New Roman"/>
        </w:rPr>
        <w:t>,</w:t>
      </w:r>
      <w:r w:rsidRPr="002A2F47">
        <w:rPr>
          <w:rFonts w:cs="Times New Roman"/>
          <w:i/>
        </w:rPr>
        <w:t xml:space="preserve"> </w:t>
      </w:r>
      <w:r w:rsidRPr="002A2F47">
        <w:rPr>
          <w:rFonts w:cs="Times New Roman"/>
        </w:rPr>
        <w:t xml:space="preserve">2015 SCC </w:t>
      </w:r>
      <w:r>
        <w:rPr>
          <w:rFonts w:cs="Times New Roman"/>
        </w:rPr>
        <w:t>52</w:t>
      </w:r>
      <w:r w:rsidRPr="00A40C3D">
        <w:rPr>
          <w:rFonts w:cs="Times New Roman"/>
        </w:rPr>
        <w:t xml:space="preserve">, </w:t>
      </w:r>
      <w:r w:rsidR="00A40C3D" w:rsidRPr="00A40C3D">
        <w:rPr>
          <w:rFonts w:cs="Times New Roman"/>
        </w:rPr>
        <w:t xml:space="preserve">[2015] 3 S.C.R. </w:t>
      </w:r>
      <w:r w:rsidR="003F5663">
        <w:rPr>
          <w:rFonts w:cs="Times New Roman"/>
        </w:rPr>
        <w:t>397</w:t>
      </w:r>
      <w:r w:rsidR="00A40C3D" w:rsidRPr="00A40C3D">
        <w:rPr>
          <w:rFonts w:cs="Times New Roman"/>
        </w:rPr>
        <w:t xml:space="preserve">, </w:t>
      </w:r>
      <w:r w:rsidRPr="002A2F47">
        <w:rPr>
          <w:rFonts w:cs="Times New Roman"/>
        </w:rPr>
        <w:t xml:space="preserve">argued before us that the words “otherwise than by a discharge in bankruptcy” are </w:t>
      </w:r>
      <w:r w:rsidRPr="002A2F47">
        <w:rPr>
          <w:rFonts w:cs="Times New Roman"/>
          <w:i/>
        </w:rPr>
        <w:t xml:space="preserve">ultra vires </w:t>
      </w:r>
      <w:r w:rsidRPr="002A2F47">
        <w:rPr>
          <w:rFonts w:cs="Times New Roman"/>
        </w:rPr>
        <w:t xml:space="preserve">the province and, as a result, severable.  In his view, this “phrase is invalid since the Province attempts to explicitly render a discharge in bankruptcy ineffective as against a provincial debt that Parliament has not exempted from the effects of bankruptcy” (factum, at para. 11). </w:t>
      </w:r>
    </w:p>
    <w:p w:rsidR="00696B09" w:rsidRPr="002A2F47" w:rsidRDefault="00696B09" w:rsidP="001B50FA">
      <w:pPr>
        <w:pStyle w:val="ParaNoNdepar-AltN"/>
        <w:widowControl w:val="0"/>
        <w:rPr>
          <w:rFonts w:cs="Times New Roman"/>
        </w:rPr>
      </w:pPr>
      <w:r w:rsidRPr="002A2F47">
        <w:rPr>
          <w:rFonts w:cs="Times New Roman"/>
        </w:rPr>
        <w:t xml:space="preserve">As stated previously, neither the parties nor the courts below disputed that s. 102, as a whole, is </w:t>
      </w:r>
      <w:r w:rsidRPr="002A2F47">
        <w:rPr>
          <w:rFonts w:cs="Times New Roman"/>
          <w:i/>
        </w:rPr>
        <w:t xml:space="preserve">intra vires </w:t>
      </w:r>
      <w:r w:rsidRPr="002A2F47">
        <w:rPr>
          <w:rFonts w:cs="Times New Roman"/>
        </w:rPr>
        <w:t xml:space="preserve">the province.  The dominant purpose and effect of s. </w:t>
      </w:r>
      <w:r w:rsidRPr="002A2F47">
        <w:rPr>
          <w:rFonts w:cs="Times New Roman"/>
        </w:rPr>
        <w:lastRenderedPageBreak/>
        <w:t xml:space="preserve">102 are to suspend driving privileges until payment of a judgment debt.  This enforcement scheme is part of the provincial regulation of driving privileges in Alberta.  There is no doubt that assuring the financial responsibility of drivers and regulating driving privileges fall within the province’s jurisdiction regarding property and civil rights under s. 92(13) of the </w:t>
      </w:r>
      <w:r w:rsidRPr="002A2F47">
        <w:rPr>
          <w:rFonts w:cs="Times New Roman"/>
          <w:i/>
        </w:rPr>
        <w:t>Constitution Act, 1867</w:t>
      </w:r>
      <w:r w:rsidRPr="002A2F47">
        <w:rPr>
          <w:rFonts w:cs="Times New Roman"/>
        </w:rPr>
        <w:t xml:space="preserve">.  Given this and the way the case has been argued and decided, </w:t>
      </w:r>
      <w:r w:rsidRPr="002A2F47">
        <w:rPr>
          <w:rFonts w:cs="Times New Roman"/>
          <w:lang w:bidi="en-US"/>
        </w:rPr>
        <w:t xml:space="preserve">this appeal is, in my view, properly disposed of by applying the doctrine of paramountcy and ascertaining whether a conflict exists between the </w:t>
      </w:r>
      <w:r w:rsidRPr="002A2F47">
        <w:rPr>
          <w:rFonts w:cs="Times New Roman"/>
          <w:i/>
          <w:lang w:bidi="en-US"/>
        </w:rPr>
        <w:t>BIA</w:t>
      </w:r>
      <w:r w:rsidRPr="002A2F47">
        <w:rPr>
          <w:rFonts w:cs="Times New Roman"/>
          <w:lang w:bidi="en-US"/>
        </w:rPr>
        <w:t xml:space="preserve"> and the </w:t>
      </w:r>
      <w:r w:rsidRPr="002A2F47">
        <w:rPr>
          <w:rFonts w:cs="Times New Roman"/>
          <w:i/>
          <w:lang w:bidi="en-US"/>
        </w:rPr>
        <w:t>TSA</w:t>
      </w:r>
      <w:r w:rsidRPr="002A2F47">
        <w:rPr>
          <w:rFonts w:cs="Times New Roman"/>
          <w:lang w:bidi="en-US"/>
        </w:rPr>
        <w:t xml:space="preserve">. </w:t>
      </w:r>
    </w:p>
    <w:p w:rsidR="00696B09" w:rsidRPr="002A2F47" w:rsidRDefault="00696B09" w:rsidP="001B50FA">
      <w:pPr>
        <w:pStyle w:val="ParaNoNdepar-AltN"/>
        <w:widowControl w:val="0"/>
        <w:rPr>
          <w:rFonts w:cs="Times New Roman"/>
        </w:rPr>
      </w:pPr>
      <w:r w:rsidRPr="002A2F47">
        <w:rPr>
          <w:rFonts w:cs="Times New Roman"/>
        </w:rPr>
        <w:t xml:space="preserve">Whether the provincial scheme has the effect of rendering a discharge in bankruptcy “ineffective as against a provincial debt” or negating the operability of a federal law as the Superintendent of Bankruptcy argues (factum, at paras. 11-12) is better resolved as a question of paramountcy.  </w:t>
      </w:r>
      <w:r w:rsidRPr="002A2F47">
        <w:rPr>
          <w:rFonts w:cs="Times New Roman"/>
          <w:lang w:bidi="en-US"/>
        </w:rPr>
        <w:t>I would add that the words “otherwise than by a discharge in bankruptcy” are necessary only because the province lists the discharge in general, in addition to the satisfaction of the debt, as an event ending the suspension of the privilege.  Had the legislation defined the satisfaction of the debt as the sole event capable of ending the suspension, the dominant feature of the provision would remain the same, although the issue of conflict with a discharge in bankruptcy would still arise.</w:t>
      </w:r>
      <w:r w:rsidRPr="002A2F47">
        <w:rPr>
          <w:rFonts w:cs="Times New Roman"/>
        </w:rPr>
        <w:t xml:space="preserve"> </w:t>
      </w:r>
    </w:p>
    <w:p w:rsidR="00696B09" w:rsidRPr="002A2F47" w:rsidRDefault="00696B09" w:rsidP="001B50FA">
      <w:pPr>
        <w:pStyle w:val="Title3LevelTitre3Niveau"/>
        <w:widowControl w:val="0"/>
        <w:numPr>
          <w:ilvl w:val="2"/>
          <w:numId w:val="8"/>
        </w:numPr>
        <w:spacing w:line="276" w:lineRule="auto"/>
        <w:rPr>
          <w:rFonts w:cs="Times New Roman"/>
        </w:rPr>
      </w:pPr>
      <w:bookmarkStart w:id="22" w:name="_Toc412109568"/>
      <w:bookmarkStart w:id="23" w:name="_Toc421615794"/>
      <w:r w:rsidRPr="002A2F47">
        <w:rPr>
          <w:rFonts w:cs="Times New Roman"/>
        </w:rPr>
        <w:t xml:space="preserve">The Conflict Between the </w:t>
      </w:r>
      <w:r w:rsidRPr="002A2F47">
        <w:rPr>
          <w:rFonts w:cs="Times New Roman"/>
          <w:i/>
        </w:rPr>
        <w:t>BIA</w:t>
      </w:r>
      <w:r w:rsidRPr="002A2F47">
        <w:rPr>
          <w:rFonts w:cs="Times New Roman"/>
        </w:rPr>
        <w:t xml:space="preserve"> and the </w:t>
      </w:r>
      <w:r w:rsidRPr="002A2F47">
        <w:rPr>
          <w:rFonts w:cs="Times New Roman"/>
          <w:i/>
        </w:rPr>
        <w:t>TSA</w:t>
      </w:r>
      <w:bookmarkEnd w:id="22"/>
      <w:bookmarkEnd w:id="23"/>
    </w:p>
    <w:p w:rsidR="00696B09" w:rsidRPr="002A2F47" w:rsidRDefault="00696B09" w:rsidP="001B50FA">
      <w:pPr>
        <w:pStyle w:val="Title4LevelTitre4Niveau"/>
        <w:widowControl w:val="0"/>
        <w:numPr>
          <w:ilvl w:val="3"/>
          <w:numId w:val="8"/>
        </w:numPr>
        <w:spacing w:line="276" w:lineRule="auto"/>
        <w:rPr>
          <w:rFonts w:cs="Times New Roman"/>
        </w:rPr>
      </w:pPr>
      <w:bookmarkStart w:id="24" w:name="_Toc421615795"/>
      <w:r w:rsidRPr="002A2F47">
        <w:rPr>
          <w:rFonts w:cs="Times New Roman"/>
        </w:rPr>
        <w:t>Operational Conflict</w:t>
      </w:r>
      <w:bookmarkEnd w:id="24"/>
    </w:p>
    <w:p w:rsidR="00696B09" w:rsidRPr="002A2F47" w:rsidRDefault="00696B09" w:rsidP="001B50FA">
      <w:pPr>
        <w:pStyle w:val="ParaNoNdepar-AltN"/>
        <w:widowControl w:val="0"/>
        <w:tabs>
          <w:tab w:val="clear" w:pos="1152"/>
          <w:tab w:val="left" w:pos="1166"/>
          <w:tab w:val="num" w:pos="1332"/>
        </w:tabs>
        <w:ind w:left="180"/>
        <w:rPr>
          <w:rFonts w:cs="Times New Roman"/>
        </w:rPr>
      </w:pPr>
      <w:r w:rsidRPr="002A2F47">
        <w:rPr>
          <w:rFonts w:cs="Times New Roman"/>
        </w:rPr>
        <w:lastRenderedPageBreak/>
        <w:t xml:space="preserve">The Court of Appeal concluded that there was no operational conflict, although it used that term throughout its judgment in reference to conflict generally.  It explained that the respondent could resist the payment by foregoing his driving privileges and choosing not to drive (para. 10).  The reasons of the Court of Appeal, as well as the submissions of the parties, save for those of the Superintendent of Bankruptcy, relate almost exclusively to the second branch of the applicable test.  I believe the Court of Appeal and the parties are mistaken on this point. I therefore respectfully disagree with my colleague </w:t>
      </w:r>
      <w:proofErr w:type="spellStart"/>
      <w:r w:rsidRPr="002A2F47">
        <w:rPr>
          <w:rFonts w:cs="Times New Roman"/>
        </w:rPr>
        <w:t>Côté</w:t>
      </w:r>
      <w:proofErr w:type="spellEnd"/>
      <w:r w:rsidRPr="002A2F47">
        <w:rPr>
          <w:rFonts w:cs="Times New Roman"/>
        </w:rPr>
        <w:t xml:space="preserve"> J., who holds in her concurring reasons that there is no operational conflict, since a bankrupt “can either opt not to drive or voluntarily pay the discharged debt” (para. 123). In a case like this one, the test for operational conflict cannot be limited to asking whether the respondent can comply with both laws by renouncing the protection afforded to him or her under the federal law or the privilege he or she is otherwise entitled to under the provincial law. In that regard, the debtor’s response to the suspension of his or her driving privileges is not determinative.  In analyzing the operational conflict at issue in this case, we cannot disregard the fact that whether the debtor pays or not, the province, as a creditor, is still compelling payment of a provable claim that has been released, which is in direct contradiction with s. 178(2) of the </w:t>
      </w:r>
      <w:r w:rsidRPr="002A2F47">
        <w:rPr>
          <w:rFonts w:cs="Times New Roman"/>
          <w:i/>
        </w:rPr>
        <w:t>BIA</w:t>
      </w:r>
      <w:r w:rsidRPr="002A2F47">
        <w:rPr>
          <w:rFonts w:cs="Times New Roman"/>
        </w:rPr>
        <w:t>:</w:t>
      </w:r>
    </w:p>
    <w:p w:rsidR="00696B09" w:rsidRPr="002A2F47" w:rsidRDefault="00696B09" w:rsidP="001B50FA">
      <w:pPr>
        <w:pStyle w:val="Citation-AltC"/>
        <w:widowControl w:val="0"/>
      </w:pPr>
      <w:r w:rsidRPr="002A2F47">
        <w:t xml:space="preserve">If [the respondent] pays the debt, then the provincial law will have required him to pay a debt that has been released by the federal law. If [he] does not pay the debt, then the provincial law will have punished him — by withholding his driver’s licence — for failing to pay a debt that has been released by the federal law. </w:t>
      </w:r>
    </w:p>
    <w:p w:rsidR="00696B09" w:rsidRPr="002A2F47" w:rsidRDefault="00696B09" w:rsidP="001B50FA">
      <w:pPr>
        <w:pStyle w:val="Citation-AltC"/>
        <w:widowControl w:val="0"/>
      </w:pPr>
    </w:p>
    <w:p w:rsidR="00696B09" w:rsidRPr="002A2F47" w:rsidRDefault="00696B09" w:rsidP="001B50FA">
      <w:pPr>
        <w:pStyle w:val="Citation-AltC"/>
        <w:widowControl w:val="0"/>
        <w:spacing w:line="480" w:lineRule="auto"/>
        <w:ind w:left="0"/>
      </w:pPr>
      <w:r w:rsidRPr="002A2F47">
        <w:lastRenderedPageBreak/>
        <w:t>(</w:t>
      </w:r>
      <w:proofErr w:type="spellStart"/>
      <w:r w:rsidRPr="002A2F47">
        <w:rPr>
          <w:i/>
        </w:rPr>
        <w:t>Gorguis</w:t>
      </w:r>
      <w:proofErr w:type="spellEnd"/>
      <w:r w:rsidRPr="002A2F47">
        <w:rPr>
          <w:i/>
        </w:rPr>
        <w:t xml:space="preserve"> v. Saskatchewan Government Insurance</w:t>
      </w:r>
      <w:r w:rsidRPr="002A2F47">
        <w:t>, 2011 SKQB 132, 372 Sask. R. 152, at para. 25; sent back for rehearing by the Saskatchewan Court of Appeal, which did not address the court’s comments on this point (2013 SKCA 32, 414 Sask. R. 5).)</w:t>
      </w:r>
    </w:p>
    <w:p w:rsidR="00696B09" w:rsidRPr="002A2F47" w:rsidRDefault="00696B09" w:rsidP="001B50FA">
      <w:pPr>
        <w:pStyle w:val="ContinueParaSuitedupar-AltP"/>
        <w:widowControl w:val="0"/>
        <w:rPr>
          <w:rFonts w:cs="Times New Roman"/>
        </w:rPr>
      </w:pPr>
      <w:r w:rsidRPr="002A2F47">
        <w:rPr>
          <w:rFonts w:cs="Times New Roman"/>
        </w:rPr>
        <w:t>Thus, the laws at issue give inconsistent answers to the question whether there is an enforceable obligation: one law says yes and the other says no.</w:t>
      </w:r>
    </w:p>
    <w:p w:rsidR="00696B09" w:rsidRPr="002A2F47" w:rsidRDefault="00696B09" w:rsidP="001B50FA">
      <w:pPr>
        <w:pStyle w:val="ParaNoNdepar-AltN"/>
        <w:widowControl w:val="0"/>
        <w:tabs>
          <w:tab w:val="clear" w:pos="1152"/>
          <w:tab w:val="left" w:pos="1166"/>
        </w:tabs>
        <w:rPr>
          <w:rFonts w:cs="Times New Roman"/>
        </w:rPr>
      </w:pPr>
      <w:r w:rsidRPr="002A2F47">
        <w:rPr>
          <w:rFonts w:cs="Times New Roman"/>
        </w:rPr>
        <w:t xml:space="preserve"> On the one hand, s. 178(2) of the </w:t>
      </w:r>
      <w:r w:rsidRPr="002A2F47">
        <w:rPr>
          <w:rFonts w:cs="Times New Roman"/>
          <w:i/>
        </w:rPr>
        <w:t>BIA</w:t>
      </w:r>
      <w:r w:rsidRPr="002A2F47">
        <w:rPr>
          <w:rFonts w:cs="Times New Roman"/>
        </w:rPr>
        <w:t xml:space="preserve"> provides that “an order of discharge releases the bankrupt from all claims provable in bankruptcy”.  In my view, it is undisputed that a discharge under s. 178 of the </w:t>
      </w:r>
      <w:r w:rsidRPr="002A2F47">
        <w:rPr>
          <w:rFonts w:cs="Times New Roman"/>
          <w:i/>
        </w:rPr>
        <w:t>BIA</w:t>
      </w:r>
      <w:r w:rsidRPr="002A2F47">
        <w:rPr>
          <w:rFonts w:cs="Times New Roman"/>
        </w:rPr>
        <w:t xml:space="preserve"> releases a debtor, thus preventing creditors from enforcing claims that are provable in bankruptcy. My colleague appears to suggest (at para. 96) that, since the actual words of the section say “nothing more” than that the bankrupt is discharged, or since the discharge merely releases provable claims, an interpretation to the effect that the release of such claims means that they cannot be enforced would “add words to the provision”. With respect, this amounts to depriving the words of s. 178(2) of their obvious and ordinary meaning.  In</w:t>
      </w:r>
      <w:r w:rsidRPr="002A2F47">
        <w:rPr>
          <w:rFonts w:cs="Times New Roman"/>
          <w:i/>
        </w:rPr>
        <w:t xml:space="preserve"> Schreyer</w:t>
      </w:r>
      <w:r w:rsidRPr="002A2F47">
        <w:rPr>
          <w:rFonts w:cs="Times New Roman"/>
        </w:rPr>
        <w:t xml:space="preserve">, </w:t>
      </w:r>
      <w:proofErr w:type="spellStart"/>
      <w:r w:rsidRPr="002A2F47">
        <w:rPr>
          <w:rFonts w:cs="Times New Roman"/>
        </w:rPr>
        <w:t>LeBel</w:t>
      </w:r>
      <w:proofErr w:type="spellEnd"/>
      <w:r w:rsidRPr="002A2F47">
        <w:rPr>
          <w:rFonts w:cs="Times New Roman"/>
        </w:rPr>
        <w:t xml:space="preserve"> J. wrote that, “</w:t>
      </w:r>
      <w:r w:rsidRPr="002A2F47">
        <w:rPr>
          <w:rFonts w:cs="Times New Roman"/>
          <w:lang w:val="en-US"/>
        </w:rPr>
        <w:t>[</w:t>
      </w:r>
      <w:r w:rsidRPr="002A2F47">
        <w:rPr>
          <w:rFonts w:cs="Times New Roman"/>
        </w:rPr>
        <w:t xml:space="preserve">a]s is clear from the words of s. 178(2) </w:t>
      </w:r>
      <w:r w:rsidRPr="002A2F47">
        <w:rPr>
          <w:rFonts w:cs="Times New Roman"/>
          <w:i/>
        </w:rPr>
        <w:t>BIA</w:t>
      </w:r>
      <w:r w:rsidRPr="002A2F47">
        <w:rPr>
          <w:rFonts w:cs="Times New Roman"/>
        </w:rPr>
        <w:t>, the discharge operates to release the bankrupt from all claims provable in bankruptcy”. He added that, “[f]or creditors,</w:t>
      </w:r>
      <w:r w:rsidR="00FB23F8">
        <w:rPr>
          <w:rFonts w:cs="Times New Roman"/>
        </w:rPr>
        <w:t xml:space="preserve"> the discharge means that they ‘</w:t>
      </w:r>
      <w:r w:rsidRPr="002A2F47">
        <w:rPr>
          <w:rFonts w:cs="Times New Roman"/>
        </w:rPr>
        <w:t>cease to be able to enforce claims against the bankrupt that are provable in bankruptcy</w:t>
      </w:r>
      <w:r w:rsidR="00FB23F8">
        <w:rPr>
          <w:rFonts w:cs="Times New Roman"/>
        </w:rPr>
        <w:t>’</w:t>
      </w:r>
      <w:r w:rsidRPr="002A2F47">
        <w:rPr>
          <w:rFonts w:cs="Times New Roman"/>
        </w:rPr>
        <w:t xml:space="preserve">” (para. 21). I know of no authority that suggests that the words “order of discharge” or “releases” in that context mean anything other than that the provable claim is unenforceable. To give the words used </w:t>
      </w:r>
      <w:r w:rsidRPr="002A2F47">
        <w:rPr>
          <w:rFonts w:cs="Times New Roman"/>
        </w:rPr>
        <w:lastRenderedPageBreak/>
        <w:t>in s. 178(2) their proper meaning is not to interpret the provision broadly.</w:t>
      </w:r>
    </w:p>
    <w:p w:rsidR="00696B09" w:rsidRPr="002A2F47" w:rsidRDefault="00696B09" w:rsidP="001B50FA">
      <w:pPr>
        <w:pStyle w:val="ParaNoNdepar-AltN"/>
        <w:widowControl w:val="0"/>
        <w:tabs>
          <w:tab w:val="clear" w:pos="1152"/>
          <w:tab w:val="left" w:pos="1166"/>
        </w:tabs>
        <w:rPr>
          <w:rFonts w:cs="Times New Roman"/>
        </w:rPr>
      </w:pPr>
      <w:r w:rsidRPr="002A2F47">
        <w:rPr>
          <w:rFonts w:cs="Times New Roman"/>
        </w:rPr>
        <w:t xml:space="preserve">On the other hand, s. 102(2) of the </w:t>
      </w:r>
      <w:r w:rsidRPr="002A2F47">
        <w:rPr>
          <w:rFonts w:cs="Times New Roman"/>
          <w:i/>
        </w:rPr>
        <w:t>TSA</w:t>
      </w:r>
      <w:r w:rsidRPr="002A2F47">
        <w:rPr>
          <w:rFonts w:cs="Times New Roman"/>
        </w:rPr>
        <w:t xml:space="preserve"> empowers the province to continue to pressure a debtor by withholding his or her driving privileges “until the judgment is satisfied or discharged, otherwise than by a discharge in bankruptcy”. As I mentioned above in my analysis of the legislative schemes, the language of this provision is clear: it provides for the satisfaction of the judgment debt by excluding the impact of a discharge in bankruptcy.  </w:t>
      </w:r>
    </w:p>
    <w:p w:rsidR="00696B09" w:rsidRPr="002A2F47" w:rsidRDefault="00696B09" w:rsidP="001B50FA">
      <w:pPr>
        <w:pStyle w:val="ParaNoNdepar-AltN"/>
        <w:widowControl w:val="0"/>
        <w:tabs>
          <w:tab w:val="clear" w:pos="1152"/>
          <w:tab w:val="left" w:pos="1166"/>
        </w:tabs>
        <w:rPr>
          <w:rFonts w:cs="Times New Roman"/>
        </w:rPr>
      </w:pPr>
      <w:r w:rsidRPr="002A2F47">
        <w:rPr>
          <w:rFonts w:cs="Times New Roman"/>
        </w:rPr>
        <w:t>One law consequently provides for the release of all claims provable in bankruptcy and prohibits creditors from enforcing them, while the other disregards this release and allows for the use of a debt enforcement mechanism on such a claim by precisely excluding a discharge in bankruptcy.  This is a true incompatibility.  Both laws cannot operate concurrently</w:t>
      </w:r>
      <w:r w:rsidRPr="002A2F47">
        <w:rPr>
          <w:rFonts w:cs="Times New Roman"/>
          <w:i/>
        </w:rPr>
        <w:t xml:space="preserve"> </w:t>
      </w:r>
      <w:r w:rsidRPr="002A2F47">
        <w:rPr>
          <w:rFonts w:cs="Times New Roman"/>
        </w:rPr>
        <w:t>(</w:t>
      </w:r>
      <w:r w:rsidRPr="002A2F47">
        <w:rPr>
          <w:rFonts w:cs="Times New Roman"/>
          <w:i/>
        </w:rPr>
        <w:t xml:space="preserve">Sun </w:t>
      </w:r>
      <w:proofErr w:type="spellStart"/>
      <w:r w:rsidRPr="002A2F47">
        <w:rPr>
          <w:rFonts w:cs="Times New Roman"/>
          <w:i/>
        </w:rPr>
        <w:t>Indalex</w:t>
      </w:r>
      <w:proofErr w:type="spellEnd"/>
      <w:r w:rsidRPr="002A2F47">
        <w:rPr>
          <w:rFonts w:cs="Times New Roman"/>
        </w:rPr>
        <w:t xml:space="preserve">, at para. 60; </w:t>
      </w:r>
      <w:r w:rsidRPr="002A2F47">
        <w:rPr>
          <w:rFonts w:cs="Times New Roman"/>
          <w:i/>
        </w:rPr>
        <w:t>Lafarge</w:t>
      </w:r>
      <w:r w:rsidRPr="002A2F47">
        <w:rPr>
          <w:rFonts w:cs="Times New Roman"/>
        </w:rPr>
        <w:t xml:space="preserve">, at para. 82; </w:t>
      </w:r>
      <w:r w:rsidRPr="002A2F47">
        <w:rPr>
          <w:rFonts w:cs="Times New Roman"/>
          <w:i/>
        </w:rPr>
        <w:t>M &amp; D Farm</w:t>
      </w:r>
      <w:r w:rsidRPr="002A2F47">
        <w:rPr>
          <w:rFonts w:cs="Times New Roman"/>
        </w:rPr>
        <w:t xml:space="preserve">, at para. 41; </w:t>
      </w:r>
      <w:r w:rsidRPr="002A2F47">
        <w:rPr>
          <w:rFonts w:cs="Times New Roman"/>
          <w:i/>
        </w:rPr>
        <w:t>Multiple Access</w:t>
      </w:r>
      <w:r w:rsidRPr="002A2F47">
        <w:rPr>
          <w:rFonts w:cs="Times New Roman"/>
        </w:rPr>
        <w:t>, at p. 191), “apply concurrently” (</w:t>
      </w:r>
      <w:r w:rsidRPr="002A2F47">
        <w:rPr>
          <w:rFonts w:cs="Times New Roman"/>
          <w:i/>
        </w:rPr>
        <w:t>Western Bank</w:t>
      </w:r>
      <w:r w:rsidRPr="002A2F47">
        <w:rPr>
          <w:rFonts w:cs="Times New Roman"/>
        </w:rPr>
        <w:t>, at para. 72) or “operate side by side without conflict” (</w:t>
      </w:r>
      <w:r w:rsidRPr="002A2F47">
        <w:rPr>
          <w:rFonts w:cs="Times New Roman"/>
          <w:i/>
        </w:rPr>
        <w:t>Marine Services</w:t>
      </w:r>
      <w:r w:rsidRPr="002A2F47">
        <w:rPr>
          <w:rFonts w:cs="Times New Roman"/>
        </w:rPr>
        <w:t xml:space="preserve">, at para. 76). The facts of this appeal indeed show an actual conflict in operation of the two provisions. This is a case where the provincial law says “yes” (“Alberta can enforce this provable claim”), while the federal law says “no” (“Alberta cannot enforce this provable claim”).  The provincial law gives the province a right that the federal law denies, and maintains a liability from which the debtor has been released under the federal law.  This conflict can hardly be characterized as “indirect” as my colleague </w:t>
      </w:r>
      <w:r w:rsidRPr="002A2F47">
        <w:rPr>
          <w:rFonts w:cs="Times New Roman"/>
        </w:rPr>
        <w:lastRenderedPageBreak/>
        <w:t>suggests (paras. 92 and 128).  Nor can I characterize as merely “implicit” the clear prohibition in s. 178(2) against enforcing provable claims that have been discharged.  It is not in dispute that s. 178(2) is a prohibitive provision; considering the meaning of the words “order of discharge” and “releases”, what the provision “exactly” prohibits is the enforcement of discharged provable claims. There is no other “possible ramification” in terms of what this section prohibits.</w:t>
      </w:r>
    </w:p>
    <w:p w:rsidR="00696B09" w:rsidRPr="002A2F47" w:rsidRDefault="00696B09" w:rsidP="001B50FA">
      <w:pPr>
        <w:pStyle w:val="ParaNoNdepar-AltN"/>
        <w:widowControl w:val="0"/>
        <w:rPr>
          <w:rFonts w:cs="Times New Roman"/>
        </w:rPr>
      </w:pPr>
      <w:r w:rsidRPr="002A2F47">
        <w:rPr>
          <w:rFonts w:cs="Times New Roman"/>
        </w:rPr>
        <w:t xml:space="preserve">There was indeed much discussion about the effect of a discharge in the parties’ submissions.  To avoid a finding of conflict, Alberta submitted that in bankruptcy, the debt is not extinguished but merely “released”.  It asserted that the </w:t>
      </w:r>
      <w:r w:rsidRPr="002A2F47">
        <w:rPr>
          <w:rFonts w:cs="Times New Roman"/>
          <w:i/>
        </w:rPr>
        <w:t>BIA</w:t>
      </w:r>
      <w:r w:rsidRPr="002A2F47">
        <w:rPr>
          <w:rFonts w:cs="Times New Roman"/>
        </w:rPr>
        <w:t xml:space="preserve"> precludes only the “civil enforcement” of the debt through “civil process”; it does not affect the province’s ability to insist on licensing requirements.</w:t>
      </w:r>
    </w:p>
    <w:p w:rsidR="00696B09" w:rsidRPr="002A2F47" w:rsidRDefault="00696B09" w:rsidP="001B50FA">
      <w:pPr>
        <w:pStyle w:val="ParaNoNdepar-AltN"/>
        <w:widowControl w:val="0"/>
        <w:rPr>
          <w:rFonts w:cs="Times New Roman"/>
        </w:rPr>
      </w:pPr>
      <w:r w:rsidRPr="002A2F47">
        <w:rPr>
          <w:rFonts w:cs="Times New Roman"/>
        </w:rPr>
        <w:t xml:space="preserve">In </w:t>
      </w:r>
      <w:r w:rsidRPr="002A2F47">
        <w:rPr>
          <w:rFonts w:cs="Times New Roman"/>
          <w:i/>
        </w:rPr>
        <w:t>Schreyer</w:t>
      </w:r>
      <w:r w:rsidRPr="002A2F47">
        <w:rPr>
          <w:rFonts w:cs="Times New Roman"/>
        </w:rPr>
        <w:t xml:space="preserve">, </w:t>
      </w:r>
      <w:proofErr w:type="spellStart"/>
      <w:r w:rsidRPr="002A2F47">
        <w:rPr>
          <w:rFonts w:cs="Times New Roman"/>
        </w:rPr>
        <w:t>LeBel</w:t>
      </w:r>
      <w:proofErr w:type="spellEnd"/>
      <w:r w:rsidRPr="002A2F47">
        <w:rPr>
          <w:rFonts w:cs="Times New Roman"/>
        </w:rPr>
        <w:t xml:space="preserve"> J. described the effect of discharge.  While recognizing that the debt is not extinguished, he explained that a discharge prevents creditors from enforcing those claims that are provable in bankruptcy:</w:t>
      </w:r>
    </w:p>
    <w:p w:rsidR="00696B09" w:rsidRPr="002A2F47" w:rsidRDefault="00696B09" w:rsidP="001B50FA">
      <w:pPr>
        <w:pStyle w:val="Citation-AltC"/>
        <w:widowControl w:val="0"/>
        <w:ind w:firstLine="274"/>
      </w:pPr>
      <w:r w:rsidRPr="002A2F47">
        <w:t xml:space="preserve">. . . </w:t>
      </w:r>
      <w:proofErr w:type="gramStart"/>
      <w:r w:rsidRPr="002A2F47">
        <w:t>every</w:t>
      </w:r>
      <w:proofErr w:type="gramEnd"/>
      <w:r w:rsidRPr="002A2F47">
        <w:t xml:space="preserve"> claim is swept into the bankruptcy and . . . the bankrupt is released from all of them upon being discharged unless the law sets out a clear exclusion or exemption. . . .</w:t>
      </w:r>
    </w:p>
    <w:p w:rsidR="00696B09" w:rsidRPr="002A2F47" w:rsidRDefault="00696B09" w:rsidP="001B50FA">
      <w:pPr>
        <w:pStyle w:val="Citation-AltC"/>
        <w:widowControl w:val="0"/>
      </w:pPr>
    </w:p>
    <w:p w:rsidR="00696B09" w:rsidRPr="002A2F47" w:rsidRDefault="00696B09" w:rsidP="001B50FA">
      <w:pPr>
        <w:pStyle w:val="Citation-AltC"/>
        <w:widowControl w:val="0"/>
        <w:ind w:firstLine="274"/>
      </w:pPr>
      <w:r w:rsidRPr="002A2F47">
        <w:t xml:space="preserve">The only reservation I have with the decision of the Court of Appeal in the case at bar relates to its numerous statements that the operation of s. 178(2) </w:t>
      </w:r>
      <w:r w:rsidRPr="002A2F47">
        <w:rPr>
          <w:i/>
        </w:rPr>
        <w:t>BIA</w:t>
      </w:r>
      <w:r w:rsidRPr="002A2F47">
        <w:t xml:space="preserve"> has the effect of “extinguishing” the equalization claim. With respect, this provision does not purport to extinguish claims that are provable in bankruptcy pursuant to s. 121 </w:t>
      </w:r>
      <w:r w:rsidRPr="002A2F47">
        <w:rPr>
          <w:i/>
        </w:rPr>
        <w:t>BIA</w:t>
      </w:r>
      <w:r w:rsidRPr="002A2F47">
        <w:t xml:space="preserve">, but “releases” the debtor from such claims: see, on this point, </w:t>
      </w:r>
      <w:r w:rsidRPr="002A2F47">
        <w:rPr>
          <w:i/>
        </w:rPr>
        <w:t xml:space="preserve">Re </w:t>
      </w:r>
      <w:proofErr w:type="spellStart"/>
      <w:r w:rsidRPr="002A2F47">
        <w:rPr>
          <w:i/>
        </w:rPr>
        <w:t>Kryspin</w:t>
      </w:r>
      <w:proofErr w:type="spellEnd"/>
      <w:r w:rsidRPr="002A2F47">
        <w:t xml:space="preserve"> (1983), 40 O.R. (2d) 424 (H.C.J.), at pp. 438-39; and </w:t>
      </w:r>
      <w:r w:rsidRPr="002A2F47">
        <w:rPr>
          <w:i/>
        </w:rPr>
        <w:t>Ross, Re</w:t>
      </w:r>
      <w:r w:rsidRPr="002A2F47">
        <w:t xml:space="preserve"> (2003), 50 C.B.R. (4th) 274 (Ont. </w:t>
      </w:r>
      <w:r w:rsidRPr="002A2F47">
        <w:lastRenderedPageBreak/>
        <w:t xml:space="preserve">S.C.J.), at para. 15. As is clear from the words of s. 178(2) </w:t>
      </w:r>
      <w:r w:rsidRPr="002A2F47">
        <w:rPr>
          <w:i/>
        </w:rPr>
        <w:t>BIA</w:t>
      </w:r>
      <w:r w:rsidRPr="002A2F47">
        <w:t xml:space="preserve">, the discharge operates to release the bankrupt from all claims provable in bankruptcy. For </w:t>
      </w:r>
      <w:r w:rsidRPr="002A2F47">
        <w:rPr>
          <w:u w:val="single"/>
        </w:rPr>
        <w:t>creditors, the discharge means that they “cease to be able to enforce claims against the bankrupt that are provable in bankruptcy</w:t>
      </w:r>
      <w:r w:rsidRPr="009275F0">
        <w:rPr>
          <w:u w:val="single"/>
        </w:rPr>
        <w:t>”</w:t>
      </w:r>
      <w:r w:rsidRPr="002A2F47">
        <w:t>. [Emphasis added; paras 20-21.]</w:t>
      </w:r>
    </w:p>
    <w:p w:rsidR="00696B09" w:rsidRPr="002A2F47" w:rsidRDefault="00696B09" w:rsidP="001B50FA">
      <w:pPr>
        <w:pStyle w:val="Citation-AltC"/>
        <w:widowControl w:val="0"/>
        <w:ind w:firstLine="4"/>
      </w:pPr>
    </w:p>
    <w:p w:rsidR="00696B09" w:rsidRPr="002A2F47" w:rsidRDefault="00696B09" w:rsidP="001B50FA">
      <w:pPr>
        <w:pStyle w:val="Citation-AltC"/>
        <w:widowControl w:val="0"/>
        <w:ind w:left="0" w:firstLine="4"/>
      </w:pPr>
      <w:r w:rsidRPr="002A2F47">
        <w:t xml:space="preserve">(Citing </w:t>
      </w:r>
      <w:proofErr w:type="spellStart"/>
      <w:r w:rsidRPr="002A2F47">
        <w:t>Houlden</w:t>
      </w:r>
      <w:proofErr w:type="spellEnd"/>
      <w:r w:rsidRPr="002A2F47">
        <w:t xml:space="preserve">, </w:t>
      </w:r>
      <w:proofErr w:type="spellStart"/>
      <w:r w:rsidRPr="002A2F47">
        <w:t>Morawetz</w:t>
      </w:r>
      <w:proofErr w:type="spellEnd"/>
      <w:r w:rsidRPr="002A2F47">
        <w:t xml:space="preserve"> and </w:t>
      </w:r>
      <w:proofErr w:type="spellStart"/>
      <w:r w:rsidRPr="002A2F47">
        <w:t>Sarra</w:t>
      </w:r>
      <w:proofErr w:type="spellEnd"/>
      <w:r w:rsidRPr="002A2F47">
        <w:t>, at p. 6-283.)</w:t>
      </w:r>
    </w:p>
    <w:p w:rsidR="00696B09" w:rsidRPr="002A2F47" w:rsidRDefault="00696B09" w:rsidP="001B50FA">
      <w:pPr>
        <w:pStyle w:val="ParaNoNdepar-AltN"/>
        <w:widowControl w:val="0"/>
        <w:rPr>
          <w:rFonts w:cs="Times New Roman"/>
        </w:rPr>
      </w:pPr>
      <w:r w:rsidRPr="002A2F47">
        <w:rPr>
          <w:rFonts w:cs="Times New Roman"/>
        </w:rPr>
        <w:t>This description is consistent with the term “releases” found in s. 178(2), which means “[l]</w:t>
      </w:r>
      <w:proofErr w:type="spellStart"/>
      <w:r w:rsidRPr="002A2F47">
        <w:rPr>
          <w:rFonts w:cs="Times New Roman"/>
        </w:rPr>
        <w:t>iberation</w:t>
      </w:r>
      <w:proofErr w:type="spellEnd"/>
      <w:r w:rsidRPr="002A2F47">
        <w:rPr>
          <w:rFonts w:cs="Times New Roman"/>
        </w:rPr>
        <w:t xml:space="preserve"> from an obligation, duty, or demand; the act of giving up a right or claim to the person against whom it could have been enforced”: </w:t>
      </w:r>
      <w:r w:rsidRPr="002A2F47">
        <w:rPr>
          <w:rFonts w:cs="Times New Roman"/>
          <w:i/>
        </w:rPr>
        <w:t>Black’s Law Dictionary</w:t>
      </w:r>
      <w:r w:rsidRPr="002A2F47">
        <w:rPr>
          <w:rFonts w:cs="Times New Roman"/>
        </w:rPr>
        <w:t xml:space="preserve"> (10th ed. 2014), at p. 1480.  As a result of s. 178(2), creditors are deemed to give up their right to enforce their provable claims.  The verb “enforce”, as used by </w:t>
      </w:r>
      <w:proofErr w:type="spellStart"/>
      <w:r w:rsidRPr="002A2F47">
        <w:rPr>
          <w:rFonts w:cs="Times New Roman"/>
        </w:rPr>
        <w:t>LeBel</w:t>
      </w:r>
      <w:proofErr w:type="spellEnd"/>
      <w:r w:rsidRPr="002A2F47">
        <w:rPr>
          <w:rFonts w:cs="Times New Roman"/>
        </w:rPr>
        <w:t xml:space="preserve"> J. and </w:t>
      </w:r>
      <w:proofErr w:type="spellStart"/>
      <w:r w:rsidRPr="002A2F47">
        <w:rPr>
          <w:rFonts w:cs="Times New Roman"/>
        </w:rPr>
        <w:t>Houlden</w:t>
      </w:r>
      <w:proofErr w:type="spellEnd"/>
      <w:r w:rsidRPr="002A2F47">
        <w:rPr>
          <w:rFonts w:cs="Times New Roman"/>
        </w:rPr>
        <w:t xml:space="preserve">, </w:t>
      </w:r>
      <w:proofErr w:type="spellStart"/>
      <w:r w:rsidRPr="002A2F47">
        <w:rPr>
          <w:rFonts w:cs="Times New Roman"/>
        </w:rPr>
        <w:t>Morawetz</w:t>
      </w:r>
      <w:proofErr w:type="spellEnd"/>
      <w:r w:rsidRPr="002A2F47">
        <w:rPr>
          <w:rFonts w:cs="Times New Roman"/>
        </w:rPr>
        <w:t xml:space="preserve"> and </w:t>
      </w:r>
      <w:proofErr w:type="spellStart"/>
      <w:r w:rsidRPr="002A2F47">
        <w:rPr>
          <w:rFonts w:cs="Times New Roman"/>
        </w:rPr>
        <w:t>Sarra</w:t>
      </w:r>
      <w:proofErr w:type="spellEnd"/>
      <w:r w:rsidRPr="002A2F47">
        <w:rPr>
          <w:rFonts w:cs="Times New Roman"/>
        </w:rPr>
        <w:t xml:space="preserve">, means “to compel obedience”: </w:t>
      </w:r>
      <w:r w:rsidRPr="002A2F47">
        <w:rPr>
          <w:rFonts w:cs="Times New Roman"/>
          <w:i/>
        </w:rPr>
        <w:t>Black’s Law Dictionary</w:t>
      </w:r>
      <w:r w:rsidRPr="002A2F47">
        <w:rPr>
          <w:rFonts w:cs="Times New Roman"/>
        </w:rPr>
        <w:t xml:space="preserve">, at p. 645.  The non-extinguishment of the debt may be relevant in some cases, such as those involving the liability of a third party (see </w:t>
      </w:r>
      <w:r w:rsidRPr="002A2F47">
        <w:rPr>
          <w:rFonts w:cs="Times New Roman"/>
          <w:i/>
        </w:rPr>
        <w:t xml:space="preserve">Buchanan v. </w:t>
      </w:r>
      <w:proofErr w:type="spellStart"/>
      <w:r w:rsidRPr="002A2F47">
        <w:rPr>
          <w:rFonts w:cs="Times New Roman"/>
          <w:i/>
        </w:rPr>
        <w:t>Superline</w:t>
      </w:r>
      <w:proofErr w:type="spellEnd"/>
      <w:r w:rsidRPr="002A2F47">
        <w:rPr>
          <w:rFonts w:cs="Times New Roman"/>
          <w:i/>
        </w:rPr>
        <w:t xml:space="preserve"> Fuels Inc.</w:t>
      </w:r>
      <w:r w:rsidRPr="002A2F47">
        <w:rPr>
          <w:rFonts w:cs="Times New Roman"/>
        </w:rPr>
        <w:t xml:space="preserve">, 2007 NSCA 68, 255 N.S.R. (2d) 286; </w:t>
      </w:r>
      <w:r w:rsidRPr="002A2F47">
        <w:rPr>
          <w:rFonts w:cs="Times New Roman"/>
          <w:i/>
        </w:rPr>
        <w:t>Miller, Re</w:t>
      </w:r>
      <w:r w:rsidRPr="002A2F47">
        <w:rPr>
          <w:rFonts w:cs="Times New Roman"/>
        </w:rPr>
        <w:t xml:space="preserve"> (2001), 27 C.B.R. (4th) 107 (Ont. S.C.J.)).  This is, however, of no practical relevance to this appeal.  Section 178(2) is clear: a creditor cannot compel the debtor to pay a debt that was released on discharge.</w:t>
      </w:r>
    </w:p>
    <w:p w:rsidR="00696B09" w:rsidRPr="002A2F47" w:rsidRDefault="00696B09" w:rsidP="001B50FA">
      <w:pPr>
        <w:pStyle w:val="ParaNoNdepar-AltN"/>
        <w:widowControl w:val="0"/>
        <w:rPr>
          <w:rFonts w:cs="Times New Roman"/>
        </w:rPr>
      </w:pPr>
      <w:r w:rsidRPr="002A2F47">
        <w:rPr>
          <w:rFonts w:cs="Times New Roman"/>
        </w:rPr>
        <w:t xml:space="preserve">In this appeal, the payment which the province seeks to recover is a provable claim.  In substance, the purpose and effect of s. 102 are to compel payment of that provable claim.  That claim was properly released, since neither the province’s judgment debt, nor the resulting regulatory charge, is exempt from discharge under s. </w:t>
      </w:r>
      <w:r w:rsidRPr="002A2F47">
        <w:rPr>
          <w:rFonts w:cs="Times New Roman"/>
        </w:rPr>
        <w:lastRenderedPageBreak/>
        <w:t>178(1).  As a provable claim is subject to s. 178(2), the province is precluded from compelling payment of the judgment debt.</w:t>
      </w:r>
    </w:p>
    <w:p w:rsidR="00696B09" w:rsidRPr="002A2F47" w:rsidRDefault="00696B09" w:rsidP="001B50FA">
      <w:pPr>
        <w:pStyle w:val="ParaNoNdepar-AltN"/>
        <w:widowControl w:val="0"/>
        <w:rPr>
          <w:rFonts w:cs="Times New Roman"/>
        </w:rPr>
      </w:pPr>
      <w:r w:rsidRPr="002A2F47">
        <w:rPr>
          <w:rFonts w:cs="Times New Roman"/>
        </w:rPr>
        <w:t xml:space="preserve">Contrary to the appellant’s contention, nothing suggests that s. 178(2) merely precludes civil enforcement of provable claims.  Accepting the appellant’s argument would amount to adding words to the provision that do not exist, and that the legislator did not include. While being expressly precluded from compelling payment of a discharged provable claim, the province could create an administrative scheme that had the effect of coercing a discharged debtor to pay a debt that has been released.  The appellant’s argument must be rejected.  Pursuant to s. 178(2) of the </w:t>
      </w:r>
      <w:r w:rsidRPr="002A2F47">
        <w:rPr>
          <w:rFonts w:cs="Times New Roman"/>
          <w:i/>
        </w:rPr>
        <w:t>BIA</w:t>
      </w:r>
      <w:r w:rsidRPr="002A2F47">
        <w:rPr>
          <w:rFonts w:cs="Times New Roman"/>
        </w:rPr>
        <w:t>, creditors are precluded from compelling payment of a claim provable in bankruptcy, through either civil or administrative processes.</w:t>
      </w:r>
    </w:p>
    <w:p w:rsidR="00696B09" w:rsidRPr="002A2F47" w:rsidRDefault="00696B09" w:rsidP="001B50FA">
      <w:pPr>
        <w:pStyle w:val="ParaNoNdepar-AltN"/>
        <w:widowControl w:val="0"/>
        <w:tabs>
          <w:tab w:val="clear" w:pos="1152"/>
          <w:tab w:val="left" w:pos="1166"/>
          <w:tab w:val="num" w:pos="1332"/>
        </w:tabs>
        <w:rPr>
          <w:rFonts w:cs="Times New Roman"/>
        </w:rPr>
      </w:pPr>
      <w:r w:rsidRPr="002A2F47">
        <w:rPr>
          <w:rFonts w:cs="Times New Roman"/>
        </w:rPr>
        <w:t xml:space="preserve">Neither can the question under the operational conflict branch of the paramountcy test be whether it is possible to refrain from applying the provincial law in order to avoid the alleged conflict with the federal law.  To argue that the province is not required to use s. 102 in the context of bankruptcy, or that it can choose not to withhold the respondent’s driving privileges, leads to a superficial application of the operational conflict test.  To suggest that a conflict can be avoided by complying with the federal law to the exclusion of the provincial law cannot be a valid answer to the question whether there is “actual conflict in operation”, as the majority of the Court put it in </w:t>
      </w:r>
      <w:r w:rsidRPr="002A2F47">
        <w:rPr>
          <w:rFonts w:cs="Times New Roman"/>
          <w:i/>
        </w:rPr>
        <w:t>Multiple Access</w:t>
      </w:r>
      <w:r w:rsidRPr="002A2F47">
        <w:rPr>
          <w:rFonts w:cs="Times New Roman"/>
        </w:rPr>
        <w:t xml:space="preserve">: see also </w:t>
      </w:r>
      <w:r w:rsidRPr="002A2F47">
        <w:rPr>
          <w:rFonts w:cs="Times New Roman"/>
          <w:i/>
        </w:rPr>
        <w:t>COPA</w:t>
      </w:r>
      <w:r w:rsidRPr="002A2F47">
        <w:rPr>
          <w:rFonts w:cs="Times New Roman"/>
        </w:rPr>
        <w:t xml:space="preserve">, at para. 64.  To so conclude would render the </w:t>
      </w:r>
      <w:r w:rsidRPr="002A2F47">
        <w:rPr>
          <w:rFonts w:cs="Times New Roman"/>
        </w:rPr>
        <w:lastRenderedPageBreak/>
        <w:t xml:space="preserve">first branch of the paramountcy test meaningless, since it is virtually always possible to avoid the application of a provincial law so as not to cause a conflict with a federal law.  Furthermore, any provincial law that could survive the first branch under the latter argument would necessarily also survive the second branch.  If it is possible to avoid operational conflict simply by declining to apply the provincial law, the same could be done to avoid any frustration of the federal purpose under the second branch. </w:t>
      </w:r>
    </w:p>
    <w:p w:rsidR="00696B09" w:rsidRPr="002A2F47" w:rsidRDefault="00696B09" w:rsidP="001B50FA">
      <w:pPr>
        <w:pStyle w:val="ParaNoNdepar-AltN"/>
        <w:widowControl w:val="0"/>
        <w:tabs>
          <w:tab w:val="clear" w:pos="1152"/>
          <w:tab w:val="left" w:pos="1166"/>
          <w:tab w:val="num" w:pos="1332"/>
        </w:tabs>
        <w:rPr>
          <w:rFonts w:cs="Times New Roman"/>
        </w:rPr>
      </w:pPr>
      <w:r w:rsidRPr="002A2F47">
        <w:rPr>
          <w:rFonts w:cs="Times New Roman"/>
        </w:rPr>
        <w:t xml:space="preserve">In fact, this would be tantamount to rendering the provincial law inoperative to the extent of the conflict even before a conflict is found.  Under the doctrine of paramountcy, this is precisely the remedy that courts grant once a conflict is found; it is not a tool courts can use to avoid finding a conflict.  The remedy of not applying the provincial law cannot be determinative of whether a conflict exists in the first place.  In this case, whether or not the province has discretion not to apply s. 102 is irrelevant: see </w:t>
      </w:r>
      <w:r w:rsidRPr="002A2F47">
        <w:rPr>
          <w:rFonts w:cs="Times New Roman"/>
          <w:i/>
        </w:rPr>
        <w:t>Lafarge</w:t>
      </w:r>
      <w:r w:rsidRPr="002A2F47">
        <w:rPr>
          <w:rFonts w:cs="Times New Roman"/>
        </w:rPr>
        <w:t xml:space="preserve">, at para. 75.  The province chose to take advantage of the scheme.  The question is whether it can do so while also complying with the </w:t>
      </w:r>
      <w:r w:rsidRPr="002A2F47">
        <w:rPr>
          <w:rFonts w:cs="Times New Roman"/>
          <w:i/>
        </w:rPr>
        <w:t>BIA</w:t>
      </w:r>
      <w:r w:rsidRPr="002A2F47">
        <w:rPr>
          <w:rFonts w:cs="Times New Roman"/>
        </w:rPr>
        <w:t>.</w:t>
      </w:r>
    </w:p>
    <w:p w:rsidR="00696B09" w:rsidRPr="002A2F47" w:rsidRDefault="00696B09" w:rsidP="001B50FA">
      <w:pPr>
        <w:pStyle w:val="ParaNoNdepar-AltN"/>
        <w:widowControl w:val="0"/>
        <w:tabs>
          <w:tab w:val="clear" w:pos="1152"/>
          <w:tab w:val="left" w:pos="1166"/>
          <w:tab w:val="num" w:pos="1332"/>
        </w:tabs>
        <w:rPr>
          <w:rFonts w:cs="Times New Roman"/>
        </w:rPr>
      </w:pPr>
      <w:r w:rsidRPr="002A2F47">
        <w:rPr>
          <w:rFonts w:cs="Times New Roman"/>
        </w:rPr>
        <w:t xml:space="preserve">This view, with which my colleague disagrees, appears to me to be consistent with this Court’s jurisprudence on operational conflict. For instance, in </w:t>
      </w:r>
      <w:r w:rsidRPr="002A2F47">
        <w:rPr>
          <w:rFonts w:cs="Times New Roman"/>
          <w:i/>
        </w:rPr>
        <w:t>M &amp; D Farm</w:t>
      </w:r>
      <w:r w:rsidRPr="002A2F47">
        <w:rPr>
          <w:rFonts w:cs="Times New Roman"/>
        </w:rPr>
        <w:t xml:space="preserve">, the creditor held a mortgage on the debtors’ family farm. After defaulting on the mortgage, the debtors obtained a stay of proceedings under the federal </w:t>
      </w:r>
      <w:r w:rsidRPr="002A2F47">
        <w:rPr>
          <w:rFonts w:cs="Times New Roman"/>
          <w:i/>
        </w:rPr>
        <w:t>Farm Debt Review Act</w:t>
      </w:r>
      <w:r w:rsidRPr="002A2F47">
        <w:rPr>
          <w:rFonts w:cs="Times New Roman"/>
        </w:rPr>
        <w:t>, R.</w:t>
      </w:r>
      <w:r w:rsidR="008F63F0" w:rsidRPr="002A2F47">
        <w:rPr>
          <w:rFonts w:cs="Times New Roman"/>
        </w:rPr>
        <w:t>S.</w:t>
      </w:r>
      <w:r w:rsidRPr="002A2F47">
        <w:rPr>
          <w:rFonts w:cs="Times New Roman"/>
        </w:rPr>
        <w:t xml:space="preserve">C. 1985, </w:t>
      </w:r>
      <w:proofErr w:type="gramStart"/>
      <w:r w:rsidRPr="002A2F47">
        <w:rPr>
          <w:rFonts w:cs="Times New Roman"/>
        </w:rPr>
        <w:t>c</w:t>
      </w:r>
      <w:proofErr w:type="gramEnd"/>
      <w:r w:rsidRPr="002A2F47">
        <w:rPr>
          <w:rFonts w:cs="Times New Roman"/>
        </w:rPr>
        <w:t xml:space="preserve">. 25 (2nd Supp.). While the stay was still in effect, the creditor sought, and was granted, leave under the provincial </w:t>
      </w:r>
      <w:r w:rsidRPr="002A2F47">
        <w:rPr>
          <w:rFonts w:cs="Times New Roman"/>
          <w:i/>
        </w:rPr>
        <w:t xml:space="preserve">Family Farm Protection </w:t>
      </w:r>
      <w:r w:rsidRPr="002A2F47">
        <w:rPr>
          <w:rFonts w:cs="Times New Roman"/>
          <w:i/>
        </w:rPr>
        <w:lastRenderedPageBreak/>
        <w:t>Act</w:t>
      </w:r>
      <w:r w:rsidRPr="002A2F47">
        <w:rPr>
          <w:rFonts w:cs="Times New Roman"/>
        </w:rPr>
        <w:t xml:space="preserve">, C.C.S.M., c. F15, which authorized the immediate commencement of foreclosure proceedings. The question arose as to whether there was a conflict between the federal stay and the provincial leave. The Court concluded that there was an operational conflict (pp. 982-85), and this conclusion was later reaffirmed in </w:t>
      </w:r>
      <w:r w:rsidRPr="002A2F47">
        <w:rPr>
          <w:rFonts w:cs="Times New Roman"/>
          <w:i/>
        </w:rPr>
        <w:t>Lafarge</w:t>
      </w:r>
      <w:r w:rsidRPr="002A2F47">
        <w:rPr>
          <w:rFonts w:cs="Times New Roman"/>
        </w:rPr>
        <w:t xml:space="preserve">, at para. 82, and again in </w:t>
      </w:r>
      <w:proofErr w:type="spellStart"/>
      <w:r w:rsidRPr="002A2F47">
        <w:rPr>
          <w:rFonts w:cs="Times New Roman"/>
          <w:i/>
        </w:rPr>
        <w:t>Lemare</w:t>
      </w:r>
      <w:proofErr w:type="spellEnd"/>
      <w:r w:rsidRPr="002A2F47">
        <w:rPr>
          <w:rFonts w:cs="Times New Roman"/>
          <w:i/>
        </w:rPr>
        <w:t xml:space="preserve"> Lake</w:t>
      </w:r>
      <w:r w:rsidRPr="00F0623D">
        <w:rPr>
          <w:rFonts w:cs="Times New Roman"/>
        </w:rPr>
        <w:t xml:space="preserve">, </w:t>
      </w:r>
      <w:r w:rsidRPr="002A2F47">
        <w:rPr>
          <w:rFonts w:cs="Times New Roman"/>
        </w:rPr>
        <w:t xml:space="preserve">at para. 18.  As I read </w:t>
      </w:r>
      <w:r w:rsidRPr="002A2F47">
        <w:rPr>
          <w:rFonts w:cs="Times New Roman"/>
          <w:i/>
        </w:rPr>
        <w:t>M &amp; D Farm</w:t>
      </w:r>
      <w:r w:rsidRPr="002A2F47">
        <w:rPr>
          <w:rFonts w:cs="Times New Roman"/>
        </w:rPr>
        <w:t>, the fact that the debtors could choose to voluntarily pay the mortgage debt, as my colleague suggests, did not mean that there was no operational conflict. Nor was conflict avoided because the creditor could have chosen not to seek leave to commence foreclosure proceedings. There was an operational conflict because the provincial law expressly authorized the very proceedings that the federal stay precluded.</w:t>
      </w:r>
    </w:p>
    <w:p w:rsidR="00696B09" w:rsidRPr="002A2F47" w:rsidRDefault="00696B09" w:rsidP="001B50FA">
      <w:pPr>
        <w:pStyle w:val="ParaNoNdepar-AltN"/>
        <w:widowControl w:val="0"/>
        <w:rPr>
          <w:rFonts w:cs="Times New Roman"/>
        </w:rPr>
      </w:pPr>
      <w:r w:rsidRPr="002A2F47">
        <w:rPr>
          <w:rFonts w:cs="Times New Roman"/>
        </w:rPr>
        <w:t xml:space="preserve">More recently, in </w:t>
      </w:r>
      <w:r w:rsidRPr="002A2F47">
        <w:rPr>
          <w:rFonts w:cs="Times New Roman"/>
          <w:i/>
        </w:rPr>
        <w:t xml:space="preserve">Sun </w:t>
      </w:r>
      <w:proofErr w:type="spellStart"/>
      <w:r w:rsidRPr="002A2F47">
        <w:rPr>
          <w:rFonts w:cs="Times New Roman"/>
          <w:i/>
        </w:rPr>
        <w:t>Indalex</w:t>
      </w:r>
      <w:proofErr w:type="spellEnd"/>
      <w:r w:rsidRPr="002A2F47">
        <w:rPr>
          <w:rFonts w:cs="Times New Roman"/>
        </w:rPr>
        <w:t xml:space="preserve">, </w:t>
      </w:r>
      <w:proofErr w:type="spellStart"/>
      <w:r w:rsidRPr="002A2F47">
        <w:rPr>
          <w:rFonts w:cs="Times New Roman"/>
        </w:rPr>
        <w:t>Deschamps</w:t>
      </w:r>
      <w:proofErr w:type="spellEnd"/>
      <w:r w:rsidRPr="002A2F47">
        <w:rPr>
          <w:rFonts w:cs="Times New Roman"/>
        </w:rPr>
        <w:t xml:space="preserve"> J., with </w:t>
      </w:r>
      <w:proofErr w:type="spellStart"/>
      <w:r w:rsidRPr="002A2F47">
        <w:rPr>
          <w:rFonts w:cs="Times New Roman"/>
        </w:rPr>
        <w:t>Moldaver</w:t>
      </w:r>
      <w:proofErr w:type="spellEnd"/>
      <w:r w:rsidRPr="002A2F47">
        <w:rPr>
          <w:rFonts w:cs="Times New Roman"/>
        </w:rPr>
        <w:t xml:space="preserve"> J. concurring, found that there was an operational conflict (the Court was unanimous on this point). On the one hand, there was an order made under the federal </w:t>
      </w:r>
      <w:r w:rsidRPr="002A2F47">
        <w:rPr>
          <w:rFonts w:cs="Times New Roman"/>
          <w:i/>
        </w:rPr>
        <w:t>Companies’ Creditors Arrangement Act</w:t>
      </w:r>
      <w:r w:rsidRPr="002A2F47">
        <w:rPr>
          <w:rFonts w:cs="Times New Roman"/>
        </w:rPr>
        <w:t xml:space="preserve">, R.S.C. 1985, c. C-36, which authorized an insolvent company to obtain debtor-in-possession (“DIP”) financing and granted priority to the DIP lender. On the other hand, the provincial </w:t>
      </w:r>
      <w:r w:rsidRPr="002A2F47">
        <w:rPr>
          <w:rFonts w:cs="Times New Roman"/>
          <w:i/>
        </w:rPr>
        <w:t>Personal Property Security Act</w:t>
      </w:r>
      <w:r w:rsidRPr="002A2F47">
        <w:rPr>
          <w:rFonts w:cs="Times New Roman"/>
        </w:rPr>
        <w:t xml:space="preserve">, R.S.O. 1990, c. P.10, gave priority to the administrator of the company’s employee pension plans: para. 60. </w:t>
      </w:r>
      <w:proofErr w:type="spellStart"/>
      <w:r w:rsidRPr="002A2F47">
        <w:rPr>
          <w:rFonts w:cs="Times New Roman"/>
        </w:rPr>
        <w:t>Deschamps</w:t>
      </w:r>
      <w:proofErr w:type="spellEnd"/>
      <w:r w:rsidRPr="002A2F47">
        <w:rPr>
          <w:rFonts w:cs="Times New Roman"/>
        </w:rPr>
        <w:t xml:space="preserve"> J. did not avoid the operational conflict by concluding, for instance, that the debtor could have chosen not to seek DIP financing in the first place.</w:t>
      </w:r>
    </w:p>
    <w:p w:rsidR="00696B09" w:rsidRPr="002A2F47" w:rsidRDefault="00696B09" w:rsidP="001B50FA">
      <w:pPr>
        <w:pStyle w:val="ParaNoNdepar-AltN"/>
        <w:widowControl w:val="0"/>
        <w:rPr>
          <w:rFonts w:cs="Times New Roman"/>
        </w:rPr>
      </w:pPr>
      <w:r w:rsidRPr="002A2F47">
        <w:rPr>
          <w:rFonts w:cs="Times New Roman"/>
        </w:rPr>
        <w:t>My analysis does not “</w:t>
      </w:r>
      <w:proofErr w:type="spellStart"/>
      <w:r w:rsidRPr="002A2F47">
        <w:rPr>
          <w:rFonts w:cs="Times New Roman"/>
        </w:rPr>
        <w:t>expan</w:t>
      </w:r>
      <w:proofErr w:type="spellEnd"/>
      <w:r w:rsidRPr="002A2F47">
        <w:rPr>
          <w:rFonts w:cs="Times New Roman"/>
        </w:rPr>
        <w:t xml:space="preserve">[d] the definition of conflict in the first </w:t>
      </w:r>
      <w:r w:rsidRPr="002A2F47">
        <w:rPr>
          <w:rFonts w:cs="Times New Roman"/>
        </w:rPr>
        <w:lastRenderedPageBreak/>
        <w:t>branch” of the paramountcy test, nor does it “</w:t>
      </w:r>
      <w:proofErr w:type="spellStart"/>
      <w:r w:rsidRPr="002A2F47">
        <w:rPr>
          <w:rFonts w:cs="Times New Roman"/>
        </w:rPr>
        <w:t>conflat</w:t>
      </w:r>
      <w:proofErr w:type="spellEnd"/>
      <w:r w:rsidR="00F0623D">
        <w:rPr>
          <w:rFonts w:cs="Times New Roman"/>
        </w:rPr>
        <w:t>[</w:t>
      </w:r>
      <w:r w:rsidRPr="002A2F47">
        <w:rPr>
          <w:rFonts w:cs="Times New Roman"/>
        </w:rPr>
        <w:t>e</w:t>
      </w:r>
      <w:r w:rsidR="00F0623D">
        <w:rPr>
          <w:rFonts w:cs="Times New Roman"/>
        </w:rPr>
        <w:t>]</w:t>
      </w:r>
      <w:r w:rsidRPr="002A2F47">
        <w:rPr>
          <w:rFonts w:cs="Times New Roman"/>
        </w:rPr>
        <w:t xml:space="preserve">” its two branches, contrary to what my colleague indicates (paras. 93 and 106). In my view, this analysis instead applies the principles developed by this Court on federal paramountcy to the operational conflict situation at issue here, where the federal law includes a prohibition that the provincial law effectively disregards.  I discuss the two legislative schemes separately from the application of the two branches of the paramountcy test. My analysis of the operational conflict focuses on the existence of an actual and direct conflict between the provisions at issue. The two branches are not “conflated” simply because, in a situation like the current one, the wording of s. 178(2) and the clear prohibition it contains happen to exemplify the goal behind the provision and one of the key objectives of the </w:t>
      </w:r>
      <w:r w:rsidRPr="002A2F47">
        <w:rPr>
          <w:rFonts w:cs="Times New Roman"/>
          <w:i/>
        </w:rPr>
        <w:t>BIA</w:t>
      </w:r>
      <w:r w:rsidRPr="002A2F47">
        <w:rPr>
          <w:rFonts w:cs="Times New Roman"/>
        </w:rPr>
        <w:t xml:space="preserve">, that is, the financial rehabilitation of the debtor. I consider that my colleague’s remarks to the effect that impossibility of dual compliance is a “secondary consideration” in my discussion of operational conflict (para. 99) are misplaced as well. The classic statement of the test for operational conflict in </w:t>
      </w:r>
      <w:r w:rsidRPr="002A2F47">
        <w:rPr>
          <w:rFonts w:cs="Times New Roman"/>
          <w:i/>
        </w:rPr>
        <w:t>Multiple Access</w:t>
      </w:r>
      <w:r w:rsidRPr="002A2F47">
        <w:rPr>
          <w:rFonts w:cs="Times New Roman"/>
        </w:rPr>
        <w:t xml:space="preserve"> that she cites with approval (para. 100) is precisely the one I am relying upon here. It is in light of that statement that I find there is no real possibility of dual compliance as understood by this Court.  Indeed, the opposite conclusion would depend on a creditor refusing to apply (or a debtor refusing to comply with) the provincial law, or, alternatively, on a debtor renouncing (or a creditor refusing to comply with) the protection afforded by the federal law. To find a possibility of dual compliance with the conflicting laws at issue — on the basis of hypotheticals that call for “single” compliance, by any one of the actors involved, with one law but not with the other — </w:t>
      </w:r>
      <w:r w:rsidRPr="002A2F47">
        <w:rPr>
          <w:rFonts w:cs="Times New Roman"/>
        </w:rPr>
        <w:lastRenderedPageBreak/>
        <w:t xml:space="preserve">would be inconsistent with this Court’s precedents on federal paramountcy. </w:t>
      </w:r>
    </w:p>
    <w:p w:rsidR="00696B09" w:rsidRPr="002A2F47" w:rsidRDefault="00696B09" w:rsidP="001B50FA">
      <w:pPr>
        <w:pStyle w:val="ParaNoNdepar-AltN"/>
        <w:widowControl w:val="0"/>
        <w:rPr>
          <w:rFonts w:cs="Times New Roman"/>
        </w:rPr>
      </w:pPr>
      <w:r w:rsidRPr="002A2F47">
        <w:rPr>
          <w:rFonts w:cs="Times New Roman"/>
        </w:rPr>
        <w:t xml:space="preserve">In this regard, this case is distinguishable from precedents like </w:t>
      </w:r>
      <w:r w:rsidRPr="002A2F47">
        <w:rPr>
          <w:rFonts w:cs="Times New Roman"/>
          <w:i/>
        </w:rPr>
        <w:t xml:space="preserve">Rothmans </w:t>
      </w:r>
      <w:r w:rsidRPr="002A2F47">
        <w:rPr>
          <w:rFonts w:cs="Times New Roman"/>
        </w:rPr>
        <w:t xml:space="preserve">and </w:t>
      </w:r>
      <w:r w:rsidRPr="002A2F47">
        <w:rPr>
          <w:rFonts w:cs="Times New Roman"/>
          <w:i/>
        </w:rPr>
        <w:t>COPA</w:t>
      </w:r>
      <w:r w:rsidRPr="002A2F47">
        <w:rPr>
          <w:rFonts w:cs="Times New Roman"/>
        </w:rPr>
        <w:t xml:space="preserve">, on which my colleague relies. Those cases both dealt with provincial laws that took a more restrictive approach to matters covered by permissive federal laws. In each of them, the relevant statutes were held not to create an operational conflict. In </w:t>
      </w:r>
      <w:r w:rsidRPr="002A2F47">
        <w:rPr>
          <w:rFonts w:cs="Times New Roman"/>
          <w:i/>
        </w:rPr>
        <w:t>COPA</w:t>
      </w:r>
      <w:r w:rsidRPr="002A2F47">
        <w:rPr>
          <w:rFonts w:cs="Times New Roman"/>
        </w:rPr>
        <w:t xml:space="preserve">, the federal </w:t>
      </w:r>
      <w:r w:rsidRPr="002A2F47">
        <w:rPr>
          <w:rFonts w:cs="Times New Roman"/>
          <w:i/>
        </w:rPr>
        <w:t>Aeronautics Act</w:t>
      </w:r>
      <w:r w:rsidRPr="002A2F47">
        <w:rPr>
          <w:rFonts w:cs="Times New Roman"/>
        </w:rPr>
        <w:t xml:space="preserve">, R.S.C. 1985, c. A-2, allowed private citizens to build airports, while the provincial </w:t>
      </w:r>
      <w:r w:rsidRPr="002A2F47">
        <w:rPr>
          <w:rFonts w:cs="Times New Roman"/>
          <w:i/>
          <w:iCs/>
        </w:rPr>
        <w:t>Act respecting the preservation of agricultural land and agricultural activities</w:t>
      </w:r>
      <w:r w:rsidRPr="002A2F47">
        <w:rPr>
          <w:rFonts w:cs="Times New Roman"/>
        </w:rPr>
        <w:t>, R.S.Q., c. P</w:t>
      </w:r>
      <w:r w:rsidRPr="002A2F47">
        <w:rPr>
          <w:rFonts w:cs="Times New Roman"/>
        </w:rPr>
        <w:noBreakHyphen/>
        <w:t xml:space="preserve">41.1, prohibited such activities on agricultural land absent an administrative authorization: para. 8. In </w:t>
      </w:r>
      <w:r w:rsidRPr="002A2F47">
        <w:rPr>
          <w:rFonts w:cs="Times New Roman"/>
          <w:i/>
        </w:rPr>
        <w:t>Rothmans</w:t>
      </w:r>
      <w:r w:rsidRPr="002A2F47">
        <w:rPr>
          <w:rFonts w:cs="Times New Roman"/>
        </w:rPr>
        <w:t xml:space="preserve">, s. 30 of the federal </w:t>
      </w:r>
      <w:r w:rsidRPr="002A2F47">
        <w:rPr>
          <w:rFonts w:cs="Times New Roman"/>
          <w:i/>
          <w:iCs/>
        </w:rPr>
        <w:t>Tobacco Act</w:t>
      </w:r>
      <w:r w:rsidRPr="002A2F47">
        <w:rPr>
          <w:rFonts w:cs="Times New Roman"/>
        </w:rPr>
        <w:t xml:space="preserve">, S.C. 1997, c. 13, permitted the display of tobacco products at retail, while the provincial </w:t>
      </w:r>
      <w:r w:rsidRPr="002A2F47">
        <w:rPr>
          <w:rFonts w:cs="Times New Roman"/>
          <w:i/>
          <w:iCs/>
        </w:rPr>
        <w:t>Tobacco Control Act</w:t>
      </w:r>
      <w:r w:rsidRPr="002A2F47">
        <w:rPr>
          <w:rFonts w:cs="Times New Roman"/>
        </w:rPr>
        <w:t>, S.S. 2001, c. T</w:t>
      </w:r>
      <w:r w:rsidRPr="002A2F47">
        <w:rPr>
          <w:rFonts w:cs="Times New Roman"/>
        </w:rPr>
        <w:noBreakHyphen/>
        <w:t xml:space="preserve">14.1, banned the advertising, display and promotion of tobacco products in places where persons under 18 years of age were allowed. </w:t>
      </w:r>
      <w:r w:rsidRPr="002A2F47">
        <w:rPr>
          <w:rFonts w:cs="Times New Roman"/>
          <w:i/>
          <w:lang w:bidi="en-US"/>
        </w:rPr>
        <w:t xml:space="preserve">Rothmans </w:t>
      </w:r>
      <w:r w:rsidRPr="002A2F47">
        <w:rPr>
          <w:rFonts w:cs="Times New Roman"/>
          <w:lang w:bidi="en-US"/>
        </w:rPr>
        <w:t xml:space="preserve">and </w:t>
      </w:r>
      <w:r w:rsidRPr="002A2F47">
        <w:rPr>
          <w:rFonts w:cs="Times New Roman"/>
          <w:i/>
          <w:lang w:bidi="en-US"/>
        </w:rPr>
        <w:t>COPA</w:t>
      </w:r>
      <w:r w:rsidRPr="002A2F47">
        <w:rPr>
          <w:rFonts w:cs="Times New Roman"/>
          <w:lang w:bidi="en-US"/>
        </w:rPr>
        <w:t xml:space="preserve"> </w:t>
      </w:r>
      <w:r w:rsidRPr="002A2F47">
        <w:rPr>
          <w:rFonts w:cs="Times New Roman"/>
        </w:rPr>
        <w:t>did not involve a direct contradiction between the two applicable laws as does the instant case. They merely involved one law that imposed stricter conditions in allowing activities that were also permitted by the government at the other level. In the case at bar, the question with respect to operational conflict is whether debts incurred while driving uninsured can be enforced even though the debtor has been discharged from bankruptcy. On this question, the two laws directly contradict each other.</w:t>
      </w:r>
    </w:p>
    <w:p w:rsidR="00696B09" w:rsidRPr="002A2F47" w:rsidRDefault="00696B09" w:rsidP="001B50FA">
      <w:pPr>
        <w:pStyle w:val="ParaNoNdepar-AltN"/>
        <w:widowControl w:val="0"/>
        <w:rPr>
          <w:rFonts w:cs="Times New Roman"/>
        </w:rPr>
      </w:pPr>
      <w:r w:rsidRPr="002A2F47">
        <w:rPr>
          <w:rFonts w:cs="Times New Roman"/>
        </w:rPr>
        <w:t xml:space="preserve">I therefore conclude that s. 102 of the </w:t>
      </w:r>
      <w:r w:rsidRPr="002A2F47">
        <w:rPr>
          <w:rFonts w:cs="Times New Roman"/>
          <w:i/>
        </w:rPr>
        <w:t>TSA</w:t>
      </w:r>
      <w:r w:rsidRPr="002A2F47">
        <w:rPr>
          <w:rFonts w:cs="Times New Roman"/>
        </w:rPr>
        <w:t xml:space="preserve"> allows the province, or a third </w:t>
      </w:r>
      <w:r w:rsidRPr="002A2F47">
        <w:rPr>
          <w:rFonts w:cs="Times New Roman"/>
        </w:rPr>
        <w:lastRenderedPageBreak/>
        <w:t xml:space="preserve">party creditor, to enforce a provable claim that has been released.  To that extent, it conflicts with s. 178(2) of the </w:t>
      </w:r>
      <w:r w:rsidRPr="002A2F47">
        <w:rPr>
          <w:rFonts w:cs="Times New Roman"/>
          <w:i/>
        </w:rPr>
        <w:t>BIA</w:t>
      </w:r>
      <w:r w:rsidRPr="002A2F47">
        <w:rPr>
          <w:rFonts w:cs="Times New Roman"/>
        </w:rPr>
        <w:t xml:space="preserve">.  It is impossible for the province to apply s. 102 without contravening s. 178(2) and, as a result, for the respondent to simultaneously be liable to pay the judgment debt under the provincial scheme and be released from that same claim pursuant to s. 178(2): </w:t>
      </w:r>
      <w:r w:rsidRPr="002A2F47">
        <w:rPr>
          <w:rFonts w:cs="Times New Roman"/>
          <w:i/>
        </w:rPr>
        <w:t>Lafarge</w:t>
      </w:r>
      <w:r w:rsidRPr="002A2F47">
        <w:rPr>
          <w:rFonts w:cs="Times New Roman"/>
        </w:rPr>
        <w:t xml:space="preserve">, at para. 82; </w:t>
      </w:r>
      <w:r w:rsidRPr="002A2F47">
        <w:rPr>
          <w:rFonts w:cs="Times New Roman"/>
          <w:i/>
        </w:rPr>
        <w:t>M &amp; D Farm</w:t>
      </w:r>
      <w:r w:rsidRPr="002A2F47">
        <w:rPr>
          <w:rFonts w:cs="Times New Roman"/>
        </w:rPr>
        <w:t xml:space="preserve">, at para. 41. Section 178 is a complete code in that it sets out which debts are released on discharge and which debts survive bankruptcy. In effect, s. 102 creates a new class of exempt debts that is not listed in s. 178(1). Hence, in the words used by my colleague in her reasons (paras. 95, 110 and 128), “the provincial law allows the very same thing” — the enforcement of a debt released under s. 178(2) of the </w:t>
      </w:r>
      <w:r w:rsidRPr="002A2F47">
        <w:rPr>
          <w:rFonts w:cs="Times New Roman"/>
          <w:i/>
        </w:rPr>
        <w:t xml:space="preserve">BIA </w:t>
      </w:r>
      <w:r w:rsidRPr="002A2F47">
        <w:rPr>
          <w:rFonts w:cs="Times New Roman"/>
        </w:rPr>
        <w:t xml:space="preserve">— that “the federal law prohibits”. The result is an operational conflict between the provincial and federal provisions. </w:t>
      </w:r>
    </w:p>
    <w:p w:rsidR="00696B09" w:rsidRPr="002A2F47" w:rsidRDefault="00696B09" w:rsidP="001B50FA">
      <w:pPr>
        <w:pStyle w:val="ParaNoNdepar-AltN"/>
        <w:widowControl w:val="0"/>
        <w:rPr>
          <w:rFonts w:cs="Times New Roman"/>
        </w:rPr>
      </w:pPr>
      <w:r w:rsidRPr="002A2F47">
        <w:rPr>
          <w:rFonts w:cs="Times New Roman"/>
        </w:rPr>
        <w:t>Although this conclusion makes it unnecessary to discuss the second branch of the test, I will nonetheless address it in order to respond to the province’s arguments.</w:t>
      </w:r>
    </w:p>
    <w:p w:rsidR="00696B09" w:rsidRPr="002A2F47" w:rsidRDefault="00696B09" w:rsidP="001B50FA">
      <w:pPr>
        <w:pStyle w:val="Title4LevelTitre4Niveau"/>
        <w:widowControl w:val="0"/>
        <w:numPr>
          <w:ilvl w:val="3"/>
          <w:numId w:val="8"/>
        </w:numPr>
        <w:spacing w:line="276" w:lineRule="auto"/>
        <w:rPr>
          <w:rFonts w:cs="Times New Roman"/>
        </w:rPr>
      </w:pPr>
      <w:bookmarkStart w:id="25" w:name="_Toc412109570"/>
      <w:bookmarkStart w:id="26" w:name="_Toc421615796"/>
      <w:r w:rsidRPr="002A2F47">
        <w:rPr>
          <w:rFonts w:cs="Times New Roman"/>
        </w:rPr>
        <w:t>Frustration of Federal Purpose</w:t>
      </w:r>
      <w:bookmarkEnd w:id="25"/>
      <w:bookmarkEnd w:id="26"/>
    </w:p>
    <w:p w:rsidR="00696B09" w:rsidRPr="002A2F47" w:rsidRDefault="00696B09" w:rsidP="001B50FA">
      <w:pPr>
        <w:pStyle w:val="Title5LevelTitre5Niveau"/>
        <w:widowControl w:val="0"/>
        <w:numPr>
          <w:ilvl w:val="4"/>
          <w:numId w:val="8"/>
        </w:numPr>
        <w:tabs>
          <w:tab w:val="clear" w:pos="1728"/>
        </w:tabs>
        <w:ind w:left="1170" w:hanging="540"/>
        <w:rPr>
          <w:rFonts w:cs="Times New Roman"/>
        </w:rPr>
      </w:pPr>
      <w:bookmarkStart w:id="27" w:name="_Toc412109572"/>
      <w:bookmarkStart w:id="28" w:name="_Toc421615798"/>
      <w:r w:rsidRPr="002A2F47">
        <w:rPr>
          <w:rFonts w:cs="Times New Roman"/>
        </w:rPr>
        <w:t>Financial Rehabilitation</w:t>
      </w:r>
      <w:bookmarkEnd w:id="27"/>
      <w:bookmarkEnd w:id="28"/>
    </w:p>
    <w:p w:rsidR="00696B09" w:rsidRPr="002A2F47" w:rsidRDefault="00696B09" w:rsidP="001B50FA">
      <w:pPr>
        <w:pStyle w:val="ParaNoNdepar-AltN"/>
        <w:widowControl w:val="0"/>
        <w:rPr>
          <w:rFonts w:cs="Times New Roman"/>
        </w:rPr>
      </w:pPr>
      <w:r w:rsidRPr="002A2F47">
        <w:rPr>
          <w:rFonts w:cs="Times New Roman"/>
        </w:rPr>
        <w:t xml:space="preserve">Like the lower courts, I find that the province’s use of its administrative powers relating to driving privileges to burden the respondent until he repays a </w:t>
      </w:r>
      <w:r w:rsidRPr="002A2F47">
        <w:rPr>
          <w:rFonts w:cs="Times New Roman"/>
        </w:rPr>
        <w:lastRenderedPageBreak/>
        <w:t xml:space="preserve">discharged debt frustrates the financial rehabilitation of the bankrupt.  The effect of s. 102 directly contradicts and defeats the purpose of the discharge provided for in s. 178(2): </w:t>
      </w:r>
    </w:p>
    <w:p w:rsidR="00696B09" w:rsidRPr="002A2F47" w:rsidRDefault="00696B09" w:rsidP="001B50FA">
      <w:pPr>
        <w:pStyle w:val="Citation-AltC"/>
        <w:widowControl w:val="0"/>
        <w:ind w:firstLine="274"/>
      </w:pPr>
      <w:r w:rsidRPr="002A2F47">
        <w:t xml:space="preserve">The </w:t>
      </w:r>
      <w:r w:rsidRPr="002A2F47">
        <w:rPr>
          <w:i/>
        </w:rPr>
        <w:t>BIA</w:t>
      </w:r>
      <w:r w:rsidRPr="002A2F47">
        <w:t xml:space="preserve"> permits an honest but unfortunate debtor to obtain a discharge from debts subject to reasonable conditions. The </w:t>
      </w:r>
      <w:r w:rsidRPr="002A2F47">
        <w:rPr>
          <w:i/>
        </w:rPr>
        <w:t>Act</w:t>
      </w:r>
      <w:r w:rsidRPr="002A2F47">
        <w:t xml:space="preserve"> is designed to permit a bankrupt to receive, after a specified period a complete discharge of all his or her debts in order that he or she may be able to </w:t>
      </w:r>
      <w:r w:rsidRPr="002A2F47">
        <w:rPr>
          <w:u w:val="single"/>
        </w:rPr>
        <w:t>integrate into the business life of the country as a useful citizen free from the crushing burden of debts</w:t>
      </w:r>
      <w:r w:rsidRPr="002A2F47">
        <w:t xml:space="preserve"> . . . . [Emphasis added.]</w:t>
      </w:r>
    </w:p>
    <w:p w:rsidR="00696B09" w:rsidRPr="002A2F47" w:rsidRDefault="00696B09" w:rsidP="001B50FA">
      <w:pPr>
        <w:pStyle w:val="Citation-AltC"/>
        <w:widowControl w:val="0"/>
        <w:ind w:firstLine="274"/>
      </w:pPr>
    </w:p>
    <w:p w:rsidR="00696B09" w:rsidRPr="002A2F47" w:rsidRDefault="00696B09" w:rsidP="001B50FA">
      <w:pPr>
        <w:pStyle w:val="Citation-AltC"/>
        <w:widowControl w:val="0"/>
        <w:ind w:left="0"/>
      </w:pPr>
      <w:r w:rsidRPr="002A2F47">
        <w:t>(</w:t>
      </w:r>
      <w:proofErr w:type="spellStart"/>
      <w:r w:rsidRPr="002A2F47">
        <w:t>Houlden</w:t>
      </w:r>
      <w:proofErr w:type="spellEnd"/>
      <w:r w:rsidRPr="002A2F47">
        <w:t xml:space="preserve">, </w:t>
      </w:r>
      <w:proofErr w:type="spellStart"/>
      <w:r w:rsidRPr="002A2F47">
        <w:t>Morawetz</w:t>
      </w:r>
      <w:proofErr w:type="spellEnd"/>
      <w:r w:rsidRPr="002A2F47">
        <w:t xml:space="preserve"> and </w:t>
      </w:r>
      <w:proofErr w:type="spellStart"/>
      <w:r w:rsidRPr="002A2F47">
        <w:t>Sarra</w:t>
      </w:r>
      <w:proofErr w:type="spellEnd"/>
      <w:r w:rsidRPr="002A2F47">
        <w:t>, at p. 1-2.1)</w:t>
      </w:r>
    </w:p>
    <w:p w:rsidR="00696B09" w:rsidRPr="002A2F47" w:rsidRDefault="00696B09" w:rsidP="001B50FA">
      <w:pPr>
        <w:pStyle w:val="ContinueParaSuitedupar-AltP"/>
        <w:widowControl w:val="0"/>
        <w:rPr>
          <w:rFonts w:cs="Times New Roman"/>
        </w:rPr>
      </w:pPr>
      <w:r w:rsidRPr="002A2F47">
        <w:rPr>
          <w:rFonts w:cs="Times New Roman"/>
        </w:rPr>
        <w:t xml:space="preserve">As explained already, the language of s. 178(2) makes it clear that the purpose of this provision is to give effect to one of the goals underlying the </w:t>
      </w:r>
      <w:r w:rsidRPr="002A2F47">
        <w:rPr>
          <w:rFonts w:cs="Times New Roman"/>
          <w:i/>
          <w:iCs/>
        </w:rPr>
        <w:t xml:space="preserve">BIA </w:t>
      </w:r>
      <w:r w:rsidRPr="002A2F47">
        <w:rPr>
          <w:rFonts w:cs="Times New Roman"/>
        </w:rPr>
        <w:t xml:space="preserve">regime — the financial rehabilitation of the debtor — by releasing “the bankrupt from all claims provable in bankruptcy”.  In other words, s. 178(2) is aimed precisely at providing the bankrupt with a fresh start. The facts of this case establish that the province’s use of s. 102 despite the respondent’s discharge undermines this purpose. </w:t>
      </w:r>
    </w:p>
    <w:p w:rsidR="00696B09" w:rsidRPr="002A2F47" w:rsidRDefault="00696B09" w:rsidP="001B50FA">
      <w:pPr>
        <w:pStyle w:val="ParaNoNdepar-AltN"/>
        <w:widowControl w:val="0"/>
        <w:rPr>
          <w:rFonts w:cs="Times New Roman"/>
        </w:rPr>
      </w:pPr>
      <w:r w:rsidRPr="002A2F47">
        <w:rPr>
          <w:rFonts w:cs="Times New Roman"/>
        </w:rPr>
        <w:t xml:space="preserve">The respondent was a truck driver.  In 1996, after the accident, the province was assigned the judgment rendered against him in the amount of $194,875.  In 2008, after attempting to pay the debt in instalments for about 12 years, he made an assignment in bankruptcy. At that time, the outstanding amount of the debt had increased to $195,823; it was, by far, the largest of the respondent’s financial liabilities.  In 12 years, the respondent had not been able to keep up with his interest payments.  </w:t>
      </w:r>
      <w:r w:rsidRPr="002A2F47">
        <w:rPr>
          <w:rFonts w:cs="Times New Roman"/>
        </w:rPr>
        <w:lastRenderedPageBreak/>
        <w:t xml:space="preserve">The crushing burden of the province’s claim against him was the main reason for his bankruptcy.  In 2012, at the time his application for discharge was heard, the respondent had only managed to pay the judgment debt down to $192,103.79.  By the effect of s. 102, he was exiting bankruptcy while carrying the same financial burden that had caused his bankruptcy four years earlier. If s. 102 is allowed to operate despite the respondent’s discharge, the respondent is not offered the opportunity to rehabilitate that Parliament intended to give him.  This is particularly compelling in the respondent’s case.  As a truck driver, his ability to gain a livelihood is tied to his ability to drive.  But more generally, inability to drive can constitute a significant impediment to any person’s capacity to earn income: see </w:t>
      </w:r>
      <w:proofErr w:type="spellStart"/>
      <w:r w:rsidRPr="002A2F47">
        <w:rPr>
          <w:rFonts w:cs="Times New Roman"/>
          <w:i/>
        </w:rPr>
        <w:t>Lucar</w:t>
      </w:r>
      <w:proofErr w:type="spellEnd"/>
      <w:r w:rsidRPr="002A2F47">
        <w:rPr>
          <w:rFonts w:cs="Times New Roman"/>
          <w:i/>
        </w:rPr>
        <w:t>, Re</w:t>
      </w:r>
      <w:r w:rsidRPr="002A2F47">
        <w:rPr>
          <w:rFonts w:cs="Times New Roman"/>
        </w:rPr>
        <w:t xml:space="preserve"> (2001), 32 C.B.R. (4th) 270 (Ont. S.C.J.), at paras. 22-23.</w:t>
      </w:r>
    </w:p>
    <w:p w:rsidR="00696B09" w:rsidRPr="002A2F47" w:rsidRDefault="00696B09" w:rsidP="001B50FA">
      <w:pPr>
        <w:pStyle w:val="ParaNoNdepar-AltN"/>
        <w:widowControl w:val="0"/>
        <w:rPr>
          <w:rFonts w:cs="Times New Roman"/>
        </w:rPr>
      </w:pPr>
      <w:r w:rsidRPr="002A2F47">
        <w:rPr>
          <w:rFonts w:cs="Times New Roman"/>
        </w:rPr>
        <w:t xml:space="preserve">In furthering financial rehabilitation, Parliament expressly selected which debts survive bankruptcy and which are discharged: s. 178(1) and (2).  It did so having regard to competing policy objectives.  This is a delicate exercise, because the more claims that survive bankruptcy, the more difficult it becomes for a debtor to rehabilitate: </w:t>
      </w:r>
      <w:proofErr w:type="spellStart"/>
      <w:r w:rsidRPr="002A2F47">
        <w:rPr>
          <w:rFonts w:cs="Times New Roman"/>
          <w:i/>
        </w:rPr>
        <w:t>AbitibiBowater</w:t>
      </w:r>
      <w:proofErr w:type="spellEnd"/>
      <w:r w:rsidRPr="002A2F47">
        <w:rPr>
          <w:rFonts w:cs="Times New Roman"/>
        </w:rPr>
        <w:t xml:space="preserve">, at para. 35; </w:t>
      </w:r>
      <w:r w:rsidRPr="002A2F47">
        <w:rPr>
          <w:rFonts w:cs="Times New Roman"/>
          <w:i/>
        </w:rPr>
        <w:t>Schreyer</w:t>
      </w:r>
      <w:r w:rsidRPr="002A2F47">
        <w:rPr>
          <w:rFonts w:cs="Times New Roman"/>
        </w:rPr>
        <w:t>, at para. 19.  In 1970, the Study Committee on Bankruptcy and Insolvency Legislation emphasized this concern:</w:t>
      </w:r>
    </w:p>
    <w:p w:rsidR="00696B09" w:rsidRPr="002A2F47" w:rsidRDefault="00696B09" w:rsidP="001B50FA">
      <w:pPr>
        <w:pStyle w:val="Citation-AltC"/>
        <w:widowControl w:val="0"/>
        <w:ind w:firstLine="274"/>
      </w:pPr>
      <w:r w:rsidRPr="002A2F47">
        <w:t xml:space="preserve">. . . </w:t>
      </w:r>
      <w:proofErr w:type="gramStart"/>
      <w:r w:rsidRPr="002A2F47">
        <w:t>much</w:t>
      </w:r>
      <w:proofErr w:type="gramEnd"/>
      <w:r w:rsidRPr="002A2F47">
        <w:t xml:space="preserve"> of the rehabilitative effect of his discharge and release from debts is lost, when a bankrupt is left with substantial debts after his discharge. Indeed, in some cases, it may almost be regarded as a mockery of the bankruptcy system to take all of the sizable property of a debtor, distribute it among the creditors and then leave the debtor to cope with some of his largest creditors from whose debts he has not been released.</w:t>
      </w:r>
    </w:p>
    <w:p w:rsidR="00696B09" w:rsidRPr="002A2F47" w:rsidRDefault="00696B09" w:rsidP="001B50FA">
      <w:pPr>
        <w:pStyle w:val="Citation-AltC"/>
        <w:widowControl w:val="0"/>
      </w:pPr>
    </w:p>
    <w:p w:rsidR="00696B09" w:rsidRPr="002A2F47" w:rsidRDefault="00696B09" w:rsidP="001B50FA">
      <w:pPr>
        <w:pStyle w:val="Citation-AltC"/>
        <w:widowControl w:val="0"/>
        <w:spacing w:after="0" w:line="480" w:lineRule="auto"/>
        <w:ind w:left="0"/>
      </w:pPr>
      <w:r w:rsidRPr="002A2F47">
        <w:t>(</w:t>
      </w:r>
      <w:r w:rsidRPr="002A2F47">
        <w:rPr>
          <w:i/>
        </w:rPr>
        <w:t>Bankruptcy and Insolvency: Report of the Study Committee on Bankruptcy and Insolvency Legislation</w:t>
      </w:r>
      <w:r w:rsidRPr="002A2F47">
        <w:t xml:space="preserve"> (1970),</w:t>
      </w:r>
      <w:r w:rsidRPr="002A2F47">
        <w:rPr>
          <w:i/>
        </w:rPr>
        <w:t xml:space="preserve"> </w:t>
      </w:r>
      <w:r w:rsidRPr="002A2F47">
        <w:t>at para. 3.2.085)</w:t>
      </w:r>
    </w:p>
    <w:p w:rsidR="00696B09" w:rsidRPr="002A2F47" w:rsidRDefault="00696B09" w:rsidP="001B50FA">
      <w:pPr>
        <w:pStyle w:val="ContinueParaSuitedupar-AltP"/>
        <w:widowControl w:val="0"/>
        <w:rPr>
          <w:rFonts w:cs="Times New Roman"/>
        </w:rPr>
      </w:pPr>
      <w:r w:rsidRPr="002A2F47">
        <w:rPr>
          <w:rFonts w:cs="Times New Roman"/>
        </w:rPr>
        <w:t xml:space="preserve">When operating in the context of bankruptcy, s. 102 undermines this balancing exercise and imperils the bankrupt’s ability to rehabilitate.  In effect, s. 102 creates a new class of debts that survive bankruptcy.  As such, it leaves the debtor with a substantial financial liability that was not contemplated by Parliament.  Had Parliament intended judgment debts arising from motor vehicle accidents, or the resulting regulatory charges, to survive bankruptcy, it would have stated so expressly in s. 178(1) of the </w:t>
      </w:r>
      <w:r w:rsidRPr="002A2F47">
        <w:rPr>
          <w:rFonts w:cs="Times New Roman"/>
          <w:i/>
        </w:rPr>
        <w:t>BIA</w:t>
      </w:r>
      <w:r w:rsidRPr="002A2F47">
        <w:rPr>
          <w:rFonts w:cs="Times New Roman"/>
        </w:rPr>
        <w:t>.  It did not.  Together, s. 178(1) and (2) are comprehensive.  It is beyond the province’s constitutional authority to interfere with Parliament’s discretion in that regard.</w:t>
      </w:r>
    </w:p>
    <w:p w:rsidR="00696B09" w:rsidRPr="002A2F47" w:rsidRDefault="00696B09" w:rsidP="001B50FA">
      <w:pPr>
        <w:pStyle w:val="ParaNoNdepar-AltN"/>
        <w:widowControl w:val="0"/>
        <w:rPr>
          <w:rFonts w:cs="Times New Roman"/>
        </w:rPr>
      </w:pPr>
      <w:r w:rsidRPr="002A2F47">
        <w:rPr>
          <w:rFonts w:cs="Times New Roman"/>
        </w:rPr>
        <w:t>Notwithstanding this, Alberta asserts that, like any creditor, the province is allowed to form a new binding contract with the discharged bankrupt for the repayment of the debt.  In its view, the respondent’s driving privileges can serve as fresh consideration for such a contract.  I disagree.  Like the Court of Appeal, I conclude that this alleged fresh consideration is neither genuine nor consistent with the purpose of s. 178(2).</w:t>
      </w:r>
    </w:p>
    <w:p w:rsidR="00696B09" w:rsidRPr="002A2F47" w:rsidRDefault="00696B09" w:rsidP="001B50FA">
      <w:pPr>
        <w:pStyle w:val="ParaNoNdepar-AltN"/>
        <w:widowControl w:val="0"/>
        <w:rPr>
          <w:rFonts w:cs="Times New Roman"/>
        </w:rPr>
      </w:pPr>
      <w:r w:rsidRPr="002A2F47">
        <w:rPr>
          <w:rFonts w:cs="Times New Roman"/>
        </w:rPr>
        <w:t xml:space="preserve">As a general rule, a creditor cannot cause a debtor to revive an obligation from which the debtor was released, unless the creditor offers fresh consideration: </w:t>
      </w:r>
      <w:r w:rsidRPr="002A2F47">
        <w:rPr>
          <w:rFonts w:cs="Times New Roman"/>
        </w:rPr>
        <w:lastRenderedPageBreak/>
        <w:t xml:space="preserve">Wood, at p. 301.  Between private parties, it is arguable that a debtor may freely agree to revive a discharged debt in exchange for the creditor’s provision of goods or services. The province, however, is unlike any private creditor. While a private creditor is under no obligation to provide goods or services, the province cannot withhold the respondent’s driving privileges arbitrarily.  Suspension of privileges by administrative bodies must be based on a legal rule: see </w:t>
      </w:r>
      <w:proofErr w:type="spellStart"/>
      <w:r w:rsidRPr="002A2F47">
        <w:rPr>
          <w:rFonts w:cs="Times New Roman"/>
          <w:i/>
        </w:rPr>
        <w:t>Roncarelli</w:t>
      </w:r>
      <w:proofErr w:type="spellEnd"/>
      <w:r w:rsidRPr="002A2F47">
        <w:rPr>
          <w:rFonts w:cs="Times New Roman"/>
          <w:i/>
        </w:rPr>
        <w:t xml:space="preserve"> v. </w:t>
      </w:r>
      <w:proofErr w:type="spellStart"/>
      <w:r w:rsidRPr="002A2F47">
        <w:rPr>
          <w:rFonts w:cs="Times New Roman"/>
          <w:i/>
        </w:rPr>
        <w:t>Duplessis</w:t>
      </w:r>
      <w:proofErr w:type="spellEnd"/>
      <w:r w:rsidRPr="002A2F47">
        <w:rPr>
          <w:rFonts w:cs="Times New Roman"/>
        </w:rPr>
        <w:t xml:space="preserve">, [1959] S.C.R. 121, at pp. 141-42; </w:t>
      </w:r>
      <w:r w:rsidRPr="002A2F47">
        <w:rPr>
          <w:rFonts w:cs="Times New Roman"/>
          <w:i/>
        </w:rPr>
        <w:t>British Columbia v. Imperial Tobacco Canada Ltd.</w:t>
      </w:r>
      <w:r w:rsidRPr="002A2F47">
        <w:rPr>
          <w:rFonts w:cs="Times New Roman"/>
        </w:rPr>
        <w:t xml:space="preserve">, 2005 SCC 49, [2005] 2 S.C.R. 473, at para. 59; </w:t>
      </w:r>
      <w:r w:rsidRPr="002A2F47">
        <w:rPr>
          <w:rFonts w:cs="Times New Roman"/>
          <w:i/>
        </w:rPr>
        <w:t>Secession Reference</w:t>
      </w:r>
      <w:r w:rsidRPr="002A2F47">
        <w:rPr>
          <w:rFonts w:cs="Times New Roman"/>
        </w:rPr>
        <w:t xml:space="preserve">, at para. 71; </w:t>
      </w:r>
      <w:r w:rsidRPr="002A2F47">
        <w:rPr>
          <w:rFonts w:cs="Times New Roman"/>
          <w:i/>
        </w:rPr>
        <w:t>Reference re Remuneration of Judges of the Provincial Court of Prince Edward Island</w:t>
      </w:r>
      <w:r w:rsidRPr="002A2F47">
        <w:rPr>
          <w:rFonts w:cs="Times New Roman"/>
        </w:rPr>
        <w:t>, [1997] 3 S.C.R. 3, at para. 10.  In the case at bar, the effect and purpose of s. 102 are to compel payment of a discharged debt, which conflicts with s. 178(2).  As a result, s. 102 is, to that extent, inoperative and cannot ground the province’s authority to withhold the respondent’s privileges.  If those privileges are being suspended on the sole basis that the respondent refuses to satisfy a judgment debt that was released in bankruptcy, the province is acting without authority.  The province’s promise to refrain from doing what it has no authority to do cannot constitute fresh consideration capable of supporting any contract.  This includes a contract for the repayment of a discharged debt.  More importantly, the respondent need not enter into such a contract in order to recover his driving privileges, because the province has no authority to withhold them.</w:t>
      </w:r>
    </w:p>
    <w:p w:rsidR="00696B09" w:rsidRPr="002A2F47" w:rsidRDefault="00696B09" w:rsidP="001B50FA">
      <w:pPr>
        <w:pStyle w:val="ParaNoNdepar-AltN"/>
        <w:widowControl w:val="0"/>
        <w:rPr>
          <w:rFonts w:cs="Times New Roman"/>
        </w:rPr>
      </w:pPr>
      <w:r w:rsidRPr="002A2F47">
        <w:rPr>
          <w:rFonts w:cs="Times New Roman"/>
        </w:rPr>
        <w:t xml:space="preserve">Finally, Alberta’s other assertion, to the effect that Parliament’s power over bankruptcy and insolvency matters does not extend to the regulation of driving </w:t>
      </w:r>
      <w:r w:rsidRPr="002A2F47">
        <w:rPr>
          <w:rFonts w:cs="Times New Roman"/>
        </w:rPr>
        <w:lastRenderedPageBreak/>
        <w:t xml:space="preserve">privileges, does not entail that the province can withhold those privileges on the basis of an unpaid released debt.  In my view, the province is conflating the scope of Parliament’s authority and the consequences of the conflict between the </w:t>
      </w:r>
      <w:r w:rsidRPr="002A2F47">
        <w:rPr>
          <w:rFonts w:cs="Times New Roman"/>
          <w:i/>
        </w:rPr>
        <w:t>BIA</w:t>
      </w:r>
      <w:r w:rsidRPr="002A2F47">
        <w:rPr>
          <w:rFonts w:cs="Times New Roman"/>
        </w:rPr>
        <w:t xml:space="preserve"> and the </w:t>
      </w:r>
      <w:r w:rsidRPr="002A2F47">
        <w:rPr>
          <w:rFonts w:cs="Times New Roman"/>
          <w:i/>
        </w:rPr>
        <w:t>TSA</w:t>
      </w:r>
      <w:r w:rsidRPr="002A2F47">
        <w:rPr>
          <w:rFonts w:cs="Times New Roman"/>
        </w:rPr>
        <w:t xml:space="preserve">.  The financial responsibility of drivers is a valid matter of provincial concern and jurisdiction, and the province can set the conditions for driving privileges with this consideration in mind.  Nonetheless, when the province denies a person’s driving privileges on the sole basis that he or she refuses to pay a debt that was discharged in bankruptcy, the province’s condition conflicts with s. 178(2) of the </w:t>
      </w:r>
      <w:r w:rsidRPr="002A2F47">
        <w:rPr>
          <w:rFonts w:cs="Times New Roman"/>
          <w:i/>
        </w:rPr>
        <w:t>BIA</w:t>
      </w:r>
      <w:r w:rsidRPr="002A2F47">
        <w:rPr>
          <w:rFonts w:cs="Times New Roman"/>
        </w:rPr>
        <w:t xml:space="preserve"> and is, to that extent, inoperative.  To so conclude does not transfer the power to regulate driving privileges to Parliament. The obligation to grant those privileges flows from the provisions of the provincial law that remain operative.</w:t>
      </w:r>
    </w:p>
    <w:p w:rsidR="00696B09" w:rsidRPr="002A2F47" w:rsidRDefault="00696B09" w:rsidP="001B50FA">
      <w:pPr>
        <w:pStyle w:val="ParaNoNdepar-AltN"/>
        <w:widowControl w:val="0"/>
        <w:rPr>
          <w:rFonts w:cs="Times New Roman"/>
        </w:rPr>
      </w:pPr>
      <w:r w:rsidRPr="002A2F47">
        <w:rPr>
          <w:rFonts w:cs="Times New Roman"/>
        </w:rPr>
        <w:t xml:space="preserve">The rehabilitative purpose of s. 178(2) is not meant to give debtors a fresh start in all aspects of their lives.  Bankruptcy does not purport to erase all the consequences of a bankrupt’s past conduct.  However, by ensuring that all provable claims are treated as part of the bankruptcy regime, the </w:t>
      </w:r>
      <w:r w:rsidRPr="002A2F47">
        <w:rPr>
          <w:rFonts w:cs="Times New Roman"/>
          <w:i/>
        </w:rPr>
        <w:t>BIA</w:t>
      </w:r>
      <w:r w:rsidRPr="002A2F47">
        <w:rPr>
          <w:rFonts w:cs="Times New Roman"/>
        </w:rPr>
        <w:t xml:space="preserve"> gives debtors an opportunity to rehabilitate themselves financially.  While this does not amount to erasing all regulatory consequences of their past conduct, it is certainly meant to free them from the financial burden of past indebtedness. </w:t>
      </w:r>
    </w:p>
    <w:p w:rsidR="00696B09" w:rsidRPr="002A2F47" w:rsidRDefault="00696B09" w:rsidP="001B50FA">
      <w:pPr>
        <w:pStyle w:val="Title5LevelTitre5Niveau"/>
        <w:widowControl w:val="0"/>
        <w:numPr>
          <w:ilvl w:val="4"/>
          <w:numId w:val="8"/>
        </w:numPr>
        <w:tabs>
          <w:tab w:val="clear" w:pos="1728"/>
        </w:tabs>
        <w:ind w:left="1170" w:hanging="540"/>
        <w:rPr>
          <w:rFonts w:cs="Times New Roman"/>
        </w:rPr>
      </w:pPr>
      <w:r w:rsidRPr="002A2F47">
        <w:rPr>
          <w:rFonts w:cs="Times New Roman"/>
        </w:rPr>
        <w:t>Equitable Distribution</w:t>
      </w:r>
    </w:p>
    <w:p w:rsidR="00696B09" w:rsidRPr="002A2F47" w:rsidRDefault="00696B09" w:rsidP="001B50FA">
      <w:pPr>
        <w:pStyle w:val="ParaNoNdepar-AltN"/>
        <w:widowControl w:val="0"/>
        <w:rPr>
          <w:rFonts w:cs="Times New Roman"/>
        </w:rPr>
      </w:pPr>
      <w:r w:rsidRPr="002A2F47">
        <w:rPr>
          <w:rFonts w:cs="Times New Roman"/>
        </w:rPr>
        <w:t xml:space="preserve">The Court of Appeal concluded that the </w:t>
      </w:r>
      <w:r w:rsidRPr="002A2F47">
        <w:rPr>
          <w:rFonts w:cs="Times New Roman"/>
          <w:i/>
        </w:rPr>
        <w:t>TSA</w:t>
      </w:r>
      <w:r w:rsidRPr="002A2F47">
        <w:rPr>
          <w:rFonts w:cs="Times New Roman"/>
        </w:rPr>
        <w:t xml:space="preserve"> also disrupts the equitable </w:t>
      </w:r>
      <w:r w:rsidRPr="002A2F47">
        <w:rPr>
          <w:rFonts w:cs="Times New Roman"/>
        </w:rPr>
        <w:lastRenderedPageBreak/>
        <w:t xml:space="preserve">distribution purpose of the </w:t>
      </w:r>
      <w:r w:rsidRPr="002A2F47">
        <w:rPr>
          <w:rFonts w:cs="Times New Roman"/>
          <w:i/>
        </w:rPr>
        <w:t>BIA</w:t>
      </w:r>
      <w:r w:rsidRPr="002A2F47">
        <w:rPr>
          <w:rFonts w:cs="Times New Roman"/>
        </w:rPr>
        <w:t xml:space="preserve">.  In that court’s view, the province’s legislative scheme allows it to obtain more than the ordinary dividend paid under the bankruptcy regime, which is contrary to the objective of the </w:t>
      </w:r>
      <w:r w:rsidRPr="002A2F47">
        <w:rPr>
          <w:rFonts w:cs="Times New Roman"/>
          <w:i/>
        </w:rPr>
        <w:t>BIA</w:t>
      </w:r>
      <w:r w:rsidRPr="002A2F47">
        <w:rPr>
          <w:rFonts w:cs="Times New Roman"/>
        </w:rPr>
        <w:t xml:space="preserve"> to “treat all creditors of the same class equally” (para. 50).  For its part, the province asserts that s. 102 does not alter the priorities set out in the </w:t>
      </w:r>
      <w:r w:rsidRPr="002A2F47">
        <w:rPr>
          <w:rFonts w:cs="Times New Roman"/>
          <w:i/>
        </w:rPr>
        <w:t>BIA</w:t>
      </w:r>
      <w:r w:rsidRPr="002A2F47">
        <w:rPr>
          <w:rFonts w:cs="Times New Roman"/>
        </w:rPr>
        <w:t>, since payment for the privilege of driving does not draw on the estate of the bankrupt that is available to other creditors.</w:t>
      </w:r>
    </w:p>
    <w:p w:rsidR="00696B09" w:rsidRPr="002A2F47" w:rsidRDefault="00696B09" w:rsidP="001B50FA">
      <w:pPr>
        <w:pStyle w:val="ParaNoNdepar-AltN"/>
        <w:widowControl w:val="0"/>
        <w:rPr>
          <w:rFonts w:cs="Times New Roman"/>
        </w:rPr>
      </w:pPr>
      <w:r w:rsidRPr="002A2F47">
        <w:rPr>
          <w:rFonts w:cs="Times New Roman"/>
        </w:rPr>
        <w:t xml:space="preserve">I disagree with this conclusion of the Court of Appeal. The purpose of s.  178, the only provision of the </w:t>
      </w:r>
      <w:r w:rsidRPr="002A2F47">
        <w:rPr>
          <w:rFonts w:cs="Times New Roman"/>
          <w:i/>
        </w:rPr>
        <w:t>BIA</w:t>
      </w:r>
      <w:r w:rsidRPr="002A2F47">
        <w:rPr>
          <w:rFonts w:cs="Times New Roman"/>
        </w:rPr>
        <w:t xml:space="preserve"> that is at issue in this appeal, is to give the discharged bankrupt a fresh start.  The section sets out the limits of this fresh start by excluding specific debts from being released by the order of discharge (s. 178(1)), and it provides for the consequences of that order by releasing the bankrupt from all other provable claims (s. 178(2)). Section 178 does not further the purpose of equitable distribution of assets.  What the Court of Appeal points to </w:t>
      </w:r>
      <w:proofErr w:type="gramStart"/>
      <w:r w:rsidRPr="002A2F47">
        <w:rPr>
          <w:rFonts w:cs="Times New Roman"/>
        </w:rPr>
        <w:t>are</w:t>
      </w:r>
      <w:proofErr w:type="gramEnd"/>
      <w:r w:rsidRPr="002A2F47">
        <w:rPr>
          <w:rFonts w:cs="Times New Roman"/>
        </w:rPr>
        <w:t xml:space="preserve"> the consequences of survival of the judgment debt as a result of s. 102 of the </w:t>
      </w:r>
      <w:r w:rsidRPr="002A2F47">
        <w:rPr>
          <w:rFonts w:cs="Times New Roman"/>
          <w:i/>
        </w:rPr>
        <w:t>TSA</w:t>
      </w:r>
      <w:r w:rsidRPr="002A2F47">
        <w:rPr>
          <w:rFonts w:cs="Times New Roman"/>
        </w:rPr>
        <w:t xml:space="preserve">, despite the discharge contemplated in s. 178. This concerns the financial rehabilitation purpose of the </w:t>
      </w:r>
      <w:r w:rsidRPr="002A2F47">
        <w:rPr>
          <w:rFonts w:cs="Times New Roman"/>
          <w:i/>
        </w:rPr>
        <w:t>BIA</w:t>
      </w:r>
      <w:r w:rsidRPr="002A2F47">
        <w:rPr>
          <w:rFonts w:cs="Times New Roman"/>
        </w:rPr>
        <w:t xml:space="preserve"> and nothing more. </w:t>
      </w:r>
    </w:p>
    <w:p w:rsidR="00696B09" w:rsidRPr="002A2F47" w:rsidRDefault="00696B09" w:rsidP="001B50FA">
      <w:pPr>
        <w:pStyle w:val="ParaNoNdepar-AltN"/>
        <w:widowControl w:val="0"/>
        <w:rPr>
          <w:rFonts w:cs="Times New Roman"/>
        </w:rPr>
      </w:pPr>
      <w:r w:rsidRPr="002A2F47">
        <w:rPr>
          <w:rFonts w:cs="Times New Roman"/>
        </w:rPr>
        <w:t xml:space="preserve">This Court has repeatedly cautioned against giving “too broad a scope to paramountcy on the basis of frustration of federal purpose”: </w:t>
      </w:r>
      <w:proofErr w:type="spellStart"/>
      <w:r w:rsidRPr="002A2F47">
        <w:rPr>
          <w:rFonts w:cs="Times New Roman"/>
          <w:i/>
        </w:rPr>
        <w:t>Lemare</w:t>
      </w:r>
      <w:proofErr w:type="spellEnd"/>
      <w:r w:rsidRPr="002A2F47">
        <w:rPr>
          <w:rFonts w:cs="Times New Roman"/>
          <w:i/>
        </w:rPr>
        <w:t xml:space="preserve"> Lake</w:t>
      </w:r>
      <w:r w:rsidRPr="002A2F47">
        <w:rPr>
          <w:rFonts w:cs="Times New Roman"/>
        </w:rPr>
        <w:t xml:space="preserve">, at para. 23, quoting </w:t>
      </w:r>
      <w:proofErr w:type="spellStart"/>
      <w:r w:rsidRPr="002A2F47">
        <w:rPr>
          <w:rFonts w:cs="Times New Roman"/>
          <w:i/>
        </w:rPr>
        <w:t>Marcotte</w:t>
      </w:r>
      <w:proofErr w:type="spellEnd"/>
      <w:r w:rsidRPr="002A2F47">
        <w:rPr>
          <w:rFonts w:cs="Times New Roman"/>
        </w:rPr>
        <w:t xml:space="preserve">, at para. 72; </w:t>
      </w:r>
      <w:r w:rsidRPr="002A2F47">
        <w:rPr>
          <w:rFonts w:cs="Times New Roman"/>
          <w:i/>
        </w:rPr>
        <w:t>Marine Services</w:t>
      </w:r>
      <w:r w:rsidRPr="002A2F47">
        <w:rPr>
          <w:rFonts w:cs="Times New Roman"/>
        </w:rPr>
        <w:t>, at para. 69;</w:t>
      </w:r>
      <w:r w:rsidRPr="002A2F47">
        <w:rPr>
          <w:rFonts w:cs="Times New Roman"/>
          <w:i/>
        </w:rPr>
        <w:t xml:space="preserve"> Western Bank</w:t>
      </w:r>
      <w:r w:rsidRPr="002A2F47">
        <w:rPr>
          <w:rFonts w:cs="Times New Roman"/>
        </w:rPr>
        <w:t xml:space="preserve">, at para. 74. In the federal paramountcy analysis, it is therefore always essential to ascertain the </w:t>
      </w:r>
      <w:r w:rsidRPr="002A2F47">
        <w:rPr>
          <w:rFonts w:cs="Times New Roman"/>
        </w:rPr>
        <w:lastRenderedPageBreak/>
        <w:t xml:space="preserve">exact purpose of the specific provision of the federal law that is at issue.  The Court of Appeal does not cite any authority supporting the assertion that s. 178 has purposes other than the debtor’s financial rehabilitation. Although other provisions of the </w:t>
      </w:r>
      <w:r w:rsidRPr="002A2F47">
        <w:rPr>
          <w:rFonts w:cs="Times New Roman"/>
          <w:i/>
        </w:rPr>
        <w:t>BIA</w:t>
      </w:r>
      <w:r w:rsidRPr="002A2F47">
        <w:rPr>
          <w:rFonts w:cs="Times New Roman"/>
        </w:rPr>
        <w:t xml:space="preserve">, discussed earlier in these reasons and dealing mostly with the property of the bankrupt and the administration of the bankrupt’s estate, are meant to ensure this equitable distribution purpose, those provisions are not at issue in the case at bar. At best, the assertion made by the Court of Appeal unduly broadens the </w:t>
      </w:r>
      <w:r w:rsidRPr="002A2F47">
        <w:rPr>
          <w:rFonts w:cs="Times New Roman"/>
          <w:i/>
        </w:rPr>
        <w:t>BIA</w:t>
      </w:r>
      <w:r w:rsidRPr="002A2F47">
        <w:rPr>
          <w:rFonts w:cs="Times New Roman"/>
        </w:rPr>
        <w:t xml:space="preserve">’s equitable distribution purpose and the related single proceeding model. This is contrary to the </w:t>
      </w:r>
      <w:r w:rsidRPr="002A2F47">
        <w:rPr>
          <w:rFonts w:cs="Times New Roman"/>
          <w:lang w:bidi="en-US"/>
        </w:rPr>
        <w:t xml:space="preserve">presumption of constitutionality according to which, “[w]hen a federal statute can be properly interpreted so as not to interfere with a provincial statute, such an interpretation is to be applied in preference to another applicable construction which would bring about a conflict between the two statutes”: </w:t>
      </w:r>
      <w:r w:rsidRPr="002A2F47">
        <w:rPr>
          <w:rFonts w:cs="Times New Roman"/>
          <w:i/>
          <w:lang w:bidi="en-US"/>
        </w:rPr>
        <w:t>Western Bank</w:t>
      </w:r>
      <w:r w:rsidRPr="002A2F47">
        <w:rPr>
          <w:rFonts w:cs="Times New Roman"/>
          <w:lang w:bidi="en-US"/>
        </w:rPr>
        <w:t>,</w:t>
      </w:r>
      <w:r w:rsidRPr="002A2F47">
        <w:rPr>
          <w:rFonts w:cs="Times New Roman"/>
          <w:i/>
          <w:lang w:bidi="en-US"/>
        </w:rPr>
        <w:t xml:space="preserve"> </w:t>
      </w:r>
      <w:r w:rsidRPr="002A2F47">
        <w:rPr>
          <w:rFonts w:cs="Times New Roman"/>
          <w:lang w:bidi="en-US"/>
        </w:rPr>
        <w:t xml:space="preserve">at para. 75, quoting </w:t>
      </w:r>
      <w:r w:rsidRPr="002A2F47">
        <w:rPr>
          <w:rFonts w:cs="Times New Roman"/>
          <w:i/>
          <w:iCs/>
          <w:lang w:bidi="en-US"/>
        </w:rPr>
        <w:t>Law Society of B.C.</w:t>
      </w:r>
      <w:r w:rsidRPr="002A2F47">
        <w:rPr>
          <w:rFonts w:cs="Times New Roman"/>
          <w:lang w:bidi="en-US"/>
        </w:rPr>
        <w:t>, at p. 356; </w:t>
      </w:r>
      <w:r w:rsidRPr="002A2F47">
        <w:rPr>
          <w:rFonts w:cs="Times New Roman"/>
          <w:i/>
          <w:lang w:bidi="en-US"/>
        </w:rPr>
        <w:t>Marine Services</w:t>
      </w:r>
      <w:r w:rsidRPr="002A2F47">
        <w:rPr>
          <w:rFonts w:cs="Times New Roman"/>
          <w:lang w:bidi="en-US"/>
        </w:rPr>
        <w:t>, at para. 69.</w:t>
      </w:r>
    </w:p>
    <w:p w:rsidR="00696B09" w:rsidRPr="002A2F47" w:rsidRDefault="00696B09" w:rsidP="001B50FA">
      <w:pPr>
        <w:pStyle w:val="ParaNoNdepar-AltN"/>
        <w:widowControl w:val="0"/>
        <w:rPr>
          <w:rFonts w:cs="Times New Roman"/>
        </w:rPr>
      </w:pPr>
      <w:r w:rsidRPr="002A2F47">
        <w:rPr>
          <w:rFonts w:cs="Times New Roman"/>
        </w:rPr>
        <w:t>Professor Wood, at p. 3, explains as follows the rationale behind the collective proceeding through which equitable distribution is achieved:</w:t>
      </w:r>
    </w:p>
    <w:p w:rsidR="00696B09" w:rsidRPr="002A2F47" w:rsidRDefault="00696B09" w:rsidP="001B50FA">
      <w:pPr>
        <w:pStyle w:val="Citation-AltC"/>
        <w:widowControl w:val="0"/>
        <w:ind w:firstLine="274"/>
      </w:pPr>
      <w:r w:rsidRPr="002A2F47">
        <w:t xml:space="preserve">The race to grab assets in the absence of a collective insolvency regime does not provide an environment within which an efficient and orderly liquidation can occur. The process is inefficient because each creditor must separately attempt to enforce their claims against the debtor’s assets, and this produces duplication in enforcement costs. The piecemeal selling off of assets also results in a much smaller recovery than if a single person were in control of the liquidation. Similarly, the race to seize assets does not produce an environment within which negotiations with creditors can easily occur. A reasonable creditor who is inclined to negotiate with the debtor will be unlikely to do so if other creditors are actively taking steps </w:t>
      </w:r>
      <w:r w:rsidRPr="002A2F47">
        <w:lastRenderedPageBreak/>
        <w:t>to make away with the debtor’s realizable assets; instead, the creditor will feel compelled to join the wild dash to seize assets. Although some of the creditors (those who are able to strike first) are better off in such a scenario, the creditors as a group receive less than if a more orderly liquidation or negotiated arrangement had taken place.</w:t>
      </w:r>
    </w:p>
    <w:p w:rsidR="00696B09" w:rsidRPr="002A2F47" w:rsidRDefault="00696B09" w:rsidP="001B50FA">
      <w:pPr>
        <w:pStyle w:val="Citation-AltC"/>
        <w:widowControl w:val="0"/>
      </w:pPr>
    </w:p>
    <w:p w:rsidR="00696B09" w:rsidRPr="002A2F47" w:rsidRDefault="00696B09" w:rsidP="001B50FA">
      <w:pPr>
        <w:pStyle w:val="Citation-AltC"/>
        <w:widowControl w:val="0"/>
        <w:ind w:left="0"/>
      </w:pPr>
      <w:r w:rsidRPr="002A2F47">
        <w:t xml:space="preserve">(See also </w:t>
      </w:r>
      <w:r w:rsidRPr="002A2F47">
        <w:rPr>
          <w:i/>
        </w:rPr>
        <w:t>Husky Oil</w:t>
      </w:r>
      <w:r w:rsidRPr="002A2F47">
        <w:t>, at para. 7.)</w:t>
      </w:r>
    </w:p>
    <w:p w:rsidR="00696B09" w:rsidRPr="002A2F47" w:rsidRDefault="00696B09" w:rsidP="001B50FA">
      <w:pPr>
        <w:pStyle w:val="ParaNoNdepar-AltN"/>
        <w:widowControl w:val="0"/>
        <w:rPr>
          <w:rFonts w:cs="Times New Roman"/>
        </w:rPr>
      </w:pPr>
      <w:r w:rsidRPr="002A2F47">
        <w:rPr>
          <w:rFonts w:cs="Times New Roman"/>
        </w:rPr>
        <w:t>The single proceeding model is focused on ensuring the orderly distribution of assets and reducing inefficiencies, and ultimately on maximizing global recovery for creditors.  If, after</w:t>
      </w:r>
      <w:r w:rsidRPr="002A2F47">
        <w:rPr>
          <w:rFonts w:cs="Times New Roman"/>
          <w:i/>
        </w:rPr>
        <w:t xml:space="preserve"> </w:t>
      </w:r>
      <w:r w:rsidRPr="002A2F47">
        <w:rPr>
          <w:rFonts w:cs="Times New Roman"/>
        </w:rPr>
        <w:t>the bankrupt’s</w:t>
      </w:r>
      <w:r w:rsidRPr="002A2F47">
        <w:rPr>
          <w:rFonts w:cs="Times New Roman"/>
          <w:i/>
        </w:rPr>
        <w:t xml:space="preserve"> </w:t>
      </w:r>
      <w:r w:rsidRPr="002A2F47">
        <w:rPr>
          <w:rFonts w:cs="Times New Roman"/>
        </w:rPr>
        <w:t xml:space="preserve">discharge, that is, after the administration of the estate and the orderly distribution contemplated by the </w:t>
      </w:r>
      <w:r w:rsidRPr="002A2F47">
        <w:rPr>
          <w:rFonts w:cs="Times New Roman"/>
          <w:i/>
        </w:rPr>
        <w:t>BIA</w:t>
      </w:r>
      <w:r w:rsidRPr="002A2F47">
        <w:rPr>
          <w:rFonts w:cs="Times New Roman"/>
        </w:rPr>
        <w:t xml:space="preserve">, the province is allowed to compel a bankrupt to make payments outside the collective proceeding and to obtain property that would not, in any event, be distributed to the creditors as part of the bankruptcy process, I fail to see how the single proceeding model is disrupted.  The assets to be distributed to creditors remain the same, and they are still allocated according to the bankruptcy scheme and any priorities it dictates.  Whether or not s. 102 of the </w:t>
      </w:r>
      <w:r w:rsidRPr="002A2F47">
        <w:rPr>
          <w:rFonts w:cs="Times New Roman"/>
          <w:i/>
        </w:rPr>
        <w:t>TSA</w:t>
      </w:r>
      <w:r w:rsidRPr="002A2F47">
        <w:rPr>
          <w:rFonts w:cs="Times New Roman"/>
        </w:rPr>
        <w:t xml:space="preserve"> operates after the discharge does not impact the orderly distribution to creditors, nor does it affect the pool of assets to be distributed to them.  In this regard, the judgment debt is not “preferred” or given any kind of priority under the </w:t>
      </w:r>
      <w:r w:rsidRPr="002A2F47">
        <w:rPr>
          <w:rFonts w:cs="Times New Roman"/>
          <w:i/>
        </w:rPr>
        <w:t>BIA</w:t>
      </w:r>
      <w:r w:rsidRPr="002A2F47">
        <w:rPr>
          <w:rFonts w:cs="Times New Roman"/>
        </w:rPr>
        <w:t xml:space="preserve"> scheme; it is quite simply unaffected by the bankruptcy process as a result of the provincial scheme in the same way as the other debts listed in s. 178(1) that are not released by the order of discharge. The operation of s. 102 does not cause any chaos or inefficiencies in the bankruptcy process.  If anything, allowing s. 102 to operate increases global recovery for the other creditors while leaving the single proceeding </w:t>
      </w:r>
      <w:r w:rsidRPr="002A2F47">
        <w:rPr>
          <w:rFonts w:cs="Times New Roman"/>
        </w:rPr>
        <w:lastRenderedPageBreak/>
        <w:t xml:space="preserve">intact. </w:t>
      </w:r>
    </w:p>
    <w:p w:rsidR="00696B09" w:rsidRPr="002A2F47" w:rsidRDefault="00696B09" w:rsidP="001B50FA">
      <w:pPr>
        <w:pStyle w:val="ParaNoNdepar-AltN"/>
        <w:widowControl w:val="0"/>
        <w:rPr>
          <w:rFonts w:cs="Times New Roman"/>
        </w:rPr>
      </w:pPr>
      <w:r w:rsidRPr="002A2F47">
        <w:rPr>
          <w:rFonts w:cs="Times New Roman"/>
        </w:rPr>
        <w:t xml:space="preserve">Thus, although it is clear that the purpose of s. 178(2) is to ensure the debtor’s financial rehabilitation and that s. 102 frustrates that purpose, I am not convinced that the operation of the provincial scheme in the context of this appeal interferes with the equitable distribution of assets, a purpose that is undoubtedly served by other provisions of the </w:t>
      </w:r>
      <w:r w:rsidRPr="002A2F47">
        <w:rPr>
          <w:rFonts w:cs="Times New Roman"/>
          <w:i/>
        </w:rPr>
        <w:t>BIA</w:t>
      </w:r>
      <w:r w:rsidRPr="002A2F47">
        <w:rPr>
          <w:rFonts w:cs="Times New Roman"/>
        </w:rPr>
        <w:t xml:space="preserve">, but not by s. 178. </w:t>
      </w:r>
    </w:p>
    <w:p w:rsidR="00696B09" w:rsidRPr="002A2F47" w:rsidRDefault="00696B09" w:rsidP="001B50FA">
      <w:pPr>
        <w:pStyle w:val="Title1LevelTitre1Niveau-AltL"/>
        <w:widowControl w:val="0"/>
        <w:numPr>
          <w:ilvl w:val="0"/>
          <w:numId w:val="8"/>
        </w:numPr>
        <w:rPr>
          <w:rFonts w:cs="Times New Roman"/>
        </w:rPr>
      </w:pPr>
      <w:bookmarkStart w:id="29" w:name="_Toc412109574"/>
      <w:bookmarkStart w:id="30" w:name="_Toc421615799"/>
      <w:r w:rsidRPr="002A2F47">
        <w:rPr>
          <w:rFonts w:cs="Times New Roman"/>
        </w:rPr>
        <w:t>Disposition</w:t>
      </w:r>
      <w:bookmarkEnd w:id="29"/>
      <w:bookmarkEnd w:id="30"/>
    </w:p>
    <w:p w:rsidR="00696B09" w:rsidRPr="002A2F47" w:rsidRDefault="00696B09" w:rsidP="001B50FA">
      <w:pPr>
        <w:pStyle w:val="ParaNoNdepar-AltN"/>
        <w:widowControl w:val="0"/>
        <w:rPr>
          <w:rFonts w:cs="Times New Roman"/>
        </w:rPr>
      </w:pPr>
      <w:r w:rsidRPr="002A2F47">
        <w:rPr>
          <w:rFonts w:cs="Times New Roman"/>
        </w:rPr>
        <w:t xml:space="preserve">In my view, the doctrine of paramountcy dictates that s. 102 of the </w:t>
      </w:r>
      <w:r w:rsidRPr="002A2F47">
        <w:rPr>
          <w:rFonts w:cs="Times New Roman"/>
          <w:i/>
        </w:rPr>
        <w:t>TSA</w:t>
      </w:r>
      <w:r w:rsidRPr="002A2F47">
        <w:rPr>
          <w:rFonts w:cs="Times New Roman"/>
        </w:rPr>
        <w:t xml:space="preserve"> is inoperative to the extent that it conflicts with the </w:t>
      </w:r>
      <w:r w:rsidRPr="002A2F47">
        <w:rPr>
          <w:rFonts w:cs="Times New Roman"/>
          <w:i/>
        </w:rPr>
        <w:t>BIA</w:t>
      </w:r>
      <w:r w:rsidRPr="002A2F47">
        <w:rPr>
          <w:rFonts w:cs="Times New Roman"/>
        </w:rPr>
        <w:t>, and in particular s. 178(2).  Therefore, the province cannot withhold the respondent’s driving privileges on the basis of an unsatisfied but discharged judgment debt.  I would dismiss the appeal with costs and answer the constitutional question as follows:</w:t>
      </w:r>
    </w:p>
    <w:p w:rsidR="00696B09" w:rsidRPr="002A2F47" w:rsidRDefault="00696B09" w:rsidP="001B50FA">
      <w:pPr>
        <w:pStyle w:val="Citation-AltC"/>
        <w:widowControl w:val="0"/>
        <w:spacing w:after="480"/>
        <w:contextualSpacing w:val="0"/>
      </w:pPr>
      <w:r w:rsidRPr="002A2F47">
        <w:t xml:space="preserve">Is s. 102(2) of </w:t>
      </w:r>
      <w:r w:rsidR="00D452B2">
        <w:t xml:space="preserve">the </w:t>
      </w:r>
      <w:r w:rsidRPr="002A2F47">
        <w:t>Alberta</w:t>
      </w:r>
      <w:r w:rsidRPr="002A2F47">
        <w:rPr>
          <w:i/>
        </w:rPr>
        <w:t xml:space="preserve"> Traffic Safety Act</w:t>
      </w:r>
      <w:r w:rsidR="00D452B2">
        <w:t>, R.S.A. 2000, c. T-</w:t>
      </w:r>
      <w:r w:rsidRPr="002A2F47">
        <w:t>6, constitutionally inoperative by reason of the doctrine of federal paramountcy?</w:t>
      </w:r>
    </w:p>
    <w:p w:rsidR="00696B09" w:rsidRDefault="00696B09" w:rsidP="001B50FA">
      <w:pPr>
        <w:pStyle w:val="Citation-AltC"/>
        <w:widowControl w:val="0"/>
        <w:spacing w:line="480" w:lineRule="auto"/>
        <w:ind w:left="0"/>
      </w:pPr>
      <w:r w:rsidRPr="002A2F47">
        <w:t>Answer: Yes, s. 102 of the Alberta</w:t>
      </w:r>
      <w:r w:rsidRPr="002A2F47">
        <w:rPr>
          <w:i/>
        </w:rPr>
        <w:t xml:space="preserve"> Traffic Safety Act </w:t>
      </w:r>
      <w:r w:rsidRPr="002A2F47">
        <w:t>is inoperative to the extent that it is used to enforce a debt discharged in bankruptcy.</w:t>
      </w:r>
    </w:p>
    <w:p w:rsidR="00696B09" w:rsidRPr="000C2272" w:rsidRDefault="00696B09" w:rsidP="001B50FA">
      <w:pPr>
        <w:pStyle w:val="JudgeJuge"/>
        <w:widowControl w:val="0"/>
        <w:tabs>
          <w:tab w:val="clear" w:pos="1260"/>
          <w:tab w:val="left" w:pos="1170"/>
        </w:tabs>
        <w:rPr>
          <w:smallCaps w:val="0"/>
          <w:lang w:val="en-US"/>
        </w:rPr>
      </w:pPr>
      <w:r w:rsidRPr="009E640D">
        <w:tab/>
      </w:r>
      <w:r w:rsidR="000C2272" w:rsidRPr="000C2272">
        <w:rPr>
          <w:smallCaps w:val="0"/>
        </w:rPr>
        <w:t>T</w:t>
      </w:r>
      <w:r w:rsidR="000C2272">
        <w:rPr>
          <w:smallCaps w:val="0"/>
        </w:rPr>
        <w:t xml:space="preserve">he reasons of McLachlin C.J. and </w:t>
      </w:r>
      <w:proofErr w:type="spellStart"/>
      <w:r w:rsidR="000C2272">
        <w:rPr>
          <w:smallCaps w:val="0"/>
        </w:rPr>
        <w:t>Côté</w:t>
      </w:r>
      <w:proofErr w:type="spellEnd"/>
      <w:r w:rsidR="000C2272">
        <w:rPr>
          <w:smallCaps w:val="0"/>
        </w:rPr>
        <w:t xml:space="preserve"> J. were delivered by</w:t>
      </w:r>
    </w:p>
    <w:p w:rsidR="00696B09" w:rsidRPr="009E640D" w:rsidRDefault="00D452B2" w:rsidP="001B50FA">
      <w:pPr>
        <w:pStyle w:val="ParaNoNdepar-AltN"/>
        <w:widowControl w:val="0"/>
        <w:tabs>
          <w:tab w:val="clear" w:pos="1152"/>
          <w:tab w:val="left" w:pos="1166"/>
        </w:tabs>
        <w:ind w:left="90"/>
        <w:rPr>
          <w:rFonts w:cs="Times New Roman"/>
        </w:rPr>
      </w:pPr>
      <w:proofErr w:type="spellStart"/>
      <w:r w:rsidRPr="00D452B2">
        <w:rPr>
          <w:smallCaps/>
        </w:rPr>
        <w:lastRenderedPageBreak/>
        <w:t>Côté</w:t>
      </w:r>
      <w:proofErr w:type="spellEnd"/>
      <w:r w:rsidRPr="00D452B2">
        <w:rPr>
          <w:smallCaps/>
        </w:rPr>
        <w:t xml:space="preserve"> J.</w:t>
      </w:r>
      <w:r w:rsidRPr="009E640D">
        <w:t xml:space="preserve"> — </w:t>
      </w:r>
      <w:r w:rsidR="00696B09" w:rsidRPr="009E640D">
        <w:rPr>
          <w:rFonts w:cs="Times New Roman"/>
        </w:rPr>
        <w:t xml:space="preserve">I agree that what is at the core of this appeal is the frustration of a federal purpose. Therefore, I concur with </w:t>
      </w:r>
      <w:proofErr w:type="spellStart"/>
      <w:r w:rsidR="00696B09" w:rsidRPr="009E640D">
        <w:rPr>
          <w:rFonts w:cs="Times New Roman"/>
        </w:rPr>
        <w:t>Gascon</w:t>
      </w:r>
      <w:proofErr w:type="spellEnd"/>
      <w:r w:rsidR="00696B09" w:rsidRPr="009E640D">
        <w:rPr>
          <w:rFonts w:cs="Times New Roman"/>
        </w:rPr>
        <w:t xml:space="preserve"> J. insofar as he finds that s. 102 of the Alberta </w:t>
      </w:r>
      <w:r w:rsidR="00696B09" w:rsidRPr="009E640D">
        <w:rPr>
          <w:rFonts w:cs="Times New Roman"/>
          <w:i/>
        </w:rPr>
        <w:t>Traffic Safety Act</w:t>
      </w:r>
      <w:r w:rsidR="00696B09" w:rsidRPr="009E640D">
        <w:rPr>
          <w:rFonts w:cs="Times New Roman"/>
        </w:rPr>
        <w:t>, R.S.A. 2000, c. T-6 (“</w:t>
      </w:r>
      <w:r w:rsidR="00696B09" w:rsidRPr="009E640D">
        <w:rPr>
          <w:rFonts w:cs="Times New Roman"/>
          <w:i/>
        </w:rPr>
        <w:t>TSA</w:t>
      </w:r>
      <w:r w:rsidR="00696B09" w:rsidRPr="009E640D">
        <w:rPr>
          <w:rFonts w:cs="Times New Roman"/>
        </w:rPr>
        <w:t xml:space="preserve">”), frustrates the purpose of financial rehabilitation that underlies s. 178(2) of the federal </w:t>
      </w:r>
      <w:r w:rsidR="00696B09" w:rsidRPr="009E640D">
        <w:rPr>
          <w:rFonts w:cs="Times New Roman"/>
          <w:i/>
        </w:rPr>
        <w:t>Bankruptcy and Insolvency Act</w:t>
      </w:r>
      <w:r w:rsidR="00696B09" w:rsidRPr="009E640D">
        <w:rPr>
          <w:rFonts w:cs="Times New Roman"/>
        </w:rPr>
        <w:t>, R.S.C. 1985, c. B-3 (“</w:t>
      </w:r>
      <w:r w:rsidR="00696B09" w:rsidRPr="009E640D">
        <w:rPr>
          <w:rFonts w:cs="Times New Roman"/>
          <w:i/>
        </w:rPr>
        <w:t>BIA</w:t>
      </w:r>
      <w:r w:rsidR="00696B09" w:rsidRPr="009E640D">
        <w:rPr>
          <w:rFonts w:cs="Times New Roman"/>
        </w:rPr>
        <w:t>”), and that s. 102 is accordingly inoperative to the extent of the conflict by reason of the doctrine of federal paramountcy. However, I do not believe that there is an operational conflict to speak of in this appeal.</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There is no doubt in my mind that s. 102 of the </w:t>
      </w:r>
      <w:r w:rsidRPr="009E640D">
        <w:rPr>
          <w:rFonts w:cs="Times New Roman"/>
          <w:i/>
        </w:rPr>
        <w:t>TSA</w:t>
      </w:r>
      <w:r w:rsidRPr="009E640D">
        <w:rPr>
          <w:rFonts w:cs="Times New Roman"/>
        </w:rPr>
        <w:t xml:space="preserve"> allows Alberta to do indirectly what it is implicitly prohibited from doing under s. 178(2) of the </w:t>
      </w:r>
      <w:r w:rsidRPr="009E640D">
        <w:rPr>
          <w:rFonts w:cs="Times New Roman"/>
          <w:i/>
        </w:rPr>
        <w:t>BIA</w:t>
      </w:r>
      <w:r w:rsidRPr="009E640D">
        <w:rPr>
          <w:rFonts w:cs="Times New Roman"/>
        </w:rPr>
        <w:t xml:space="preserve">, but in light of the indirect nature of the conflict, this issue is properly dealt with on the basis of the second branch of the federal paramountcy test, not the first.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In my respectful view, </w:t>
      </w:r>
      <w:proofErr w:type="spellStart"/>
      <w:r w:rsidRPr="009E640D">
        <w:rPr>
          <w:rFonts w:cs="Times New Roman"/>
        </w:rPr>
        <w:t>Gascon</w:t>
      </w:r>
      <w:proofErr w:type="spellEnd"/>
      <w:r w:rsidRPr="009E640D">
        <w:rPr>
          <w:rFonts w:cs="Times New Roman"/>
        </w:rPr>
        <w:t xml:space="preserve"> J.’s analysis contrasts with the clear standard that has been adopted for the purpose of determining whether an operational conflict exists in the context of the federal paramountcy test: impossibility of dual compliance as a result of an express conflict. My colleague’s approach conflates the two branches of the federal paramountcy test, or at a minimum blurs the difference between them and returns the jurisprudence to the state it was at before the second branch was recognized as a separate branch. And it has an additional serious adverse effect: by expanding the definition of conflict in the first branch, it increases the number of situations in which a federal law might be found to pre-empt a provincial law without </w:t>
      </w:r>
      <w:r w:rsidRPr="009E640D">
        <w:rPr>
          <w:rFonts w:cs="Times New Roman"/>
        </w:rPr>
        <w:lastRenderedPageBreak/>
        <w:t>an in-depth analysis of Parliament’s intent.</w:t>
      </w:r>
    </w:p>
    <w:p w:rsidR="00696B09" w:rsidRPr="009E640D" w:rsidRDefault="00696B09" w:rsidP="001B50FA">
      <w:pPr>
        <w:pStyle w:val="ParaNoNdepar-AltN"/>
        <w:widowControl w:val="0"/>
        <w:tabs>
          <w:tab w:val="num" w:pos="1242"/>
        </w:tabs>
        <w:rPr>
          <w:rFonts w:cs="Times New Roman"/>
        </w:rPr>
      </w:pPr>
      <w:r w:rsidRPr="009E640D">
        <w:rPr>
          <w:rFonts w:cs="Times New Roman"/>
        </w:rPr>
        <w:t xml:space="preserve">To support his approach, my colleague relies on cases that were decided before “frustration of purpose” was recognized as a separate branch of the test. He also relies on subsequent decisions in which the two branches were confused. In my view, </w:t>
      </w:r>
      <w:r w:rsidRPr="009E640D">
        <w:rPr>
          <w:rFonts w:cs="Times New Roman"/>
          <w:i/>
        </w:rPr>
        <w:t>M &amp; D Farm Ltd. v. Manitoba Agricultural Credit Corp.</w:t>
      </w:r>
      <w:r w:rsidRPr="009E640D">
        <w:rPr>
          <w:rFonts w:cs="Times New Roman"/>
        </w:rPr>
        <w:t>, [1999] 2 S.C.R. 961 (“</w:t>
      </w:r>
      <w:r w:rsidRPr="009E640D">
        <w:rPr>
          <w:rFonts w:cs="Times New Roman"/>
          <w:i/>
        </w:rPr>
        <w:t>M &amp; D Farm</w:t>
      </w:r>
      <w:r w:rsidRPr="009E640D">
        <w:rPr>
          <w:rFonts w:cs="Times New Roman"/>
        </w:rPr>
        <w:t xml:space="preserve">”), and </w:t>
      </w:r>
      <w:r w:rsidRPr="009E640D">
        <w:rPr>
          <w:rFonts w:cs="Times New Roman"/>
          <w:i/>
        </w:rPr>
        <w:t>British Columbia (Attorney General) v. Lafarge Canada Inc.</w:t>
      </w:r>
      <w:r w:rsidRPr="009E640D">
        <w:rPr>
          <w:rFonts w:cs="Times New Roman"/>
        </w:rPr>
        <w:t>, 2007 SCC 23, [2007] 2 S.C.R. 86 (“</w:t>
      </w:r>
      <w:r w:rsidRPr="009E640D">
        <w:rPr>
          <w:rFonts w:cs="Times New Roman"/>
          <w:i/>
        </w:rPr>
        <w:t>Lafarge</w:t>
      </w:r>
      <w:r w:rsidRPr="009E640D">
        <w:rPr>
          <w:rFonts w:cs="Times New Roman"/>
        </w:rPr>
        <w:t xml:space="preserve">”), cannot be found to represent a consistent and coherent approach to the interplay between the two branches.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In the case at bar, it is clear from the provisions themselves that as a result of how the two legislatures decided to exercise their respective powers, dual compliance is not impossible.  The provincial and federal provisions at issue do not expressly conflict; they are different in terms of their contents and of the remedies that they provide. One of them does not permit what the other specifically prohibits.</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Under s. 178 of the </w:t>
      </w:r>
      <w:r w:rsidRPr="009E640D">
        <w:rPr>
          <w:rFonts w:cs="Times New Roman"/>
          <w:i/>
        </w:rPr>
        <w:t>BIA</w:t>
      </w:r>
      <w:r w:rsidRPr="009E640D">
        <w:rPr>
          <w:rFonts w:cs="Times New Roman"/>
        </w:rPr>
        <w:t>, a bankrupt is discharged from all claims provable in bankruptcy. That section says nothing more. One must be careful, in light of the federal purpose of financial rehabilitation, not to add words to the provision.</w:t>
      </w:r>
    </w:p>
    <w:p w:rsidR="00696B09" w:rsidRPr="009E640D" w:rsidRDefault="00696B09" w:rsidP="001B50FA">
      <w:pPr>
        <w:pStyle w:val="ParaNoNdepar-AltN"/>
        <w:widowControl w:val="0"/>
        <w:tabs>
          <w:tab w:val="clear" w:pos="1152"/>
          <w:tab w:val="left" w:pos="180"/>
          <w:tab w:val="left" w:pos="1166"/>
          <w:tab w:val="num" w:pos="1242"/>
        </w:tabs>
        <w:rPr>
          <w:rFonts w:cs="Times New Roman"/>
        </w:rPr>
      </w:pPr>
      <w:r w:rsidRPr="009E640D">
        <w:rPr>
          <w:rFonts w:cs="Times New Roman"/>
        </w:rPr>
        <w:t xml:space="preserve">Thus, s. 102 of the </w:t>
      </w:r>
      <w:r w:rsidRPr="009E640D">
        <w:rPr>
          <w:rFonts w:cs="Times New Roman"/>
          <w:i/>
        </w:rPr>
        <w:t xml:space="preserve">TSA </w:t>
      </w:r>
      <w:r w:rsidRPr="009E640D">
        <w:rPr>
          <w:rFonts w:cs="Times New Roman"/>
        </w:rPr>
        <w:t xml:space="preserve">does not revive an extinguished claim </w:t>
      </w:r>
      <w:r w:rsidRPr="009E640D">
        <w:rPr>
          <w:rFonts w:cs="Times New Roman"/>
          <w:i/>
        </w:rPr>
        <w:t>per se</w:t>
      </w:r>
      <w:r w:rsidRPr="009E640D">
        <w:rPr>
          <w:rFonts w:cs="Times New Roman"/>
        </w:rPr>
        <w:t>;</w:t>
      </w:r>
      <w:r w:rsidRPr="009E640D">
        <w:rPr>
          <w:rFonts w:cs="Times New Roman"/>
          <w:i/>
        </w:rPr>
        <w:t xml:space="preserve"> </w:t>
      </w:r>
      <w:r w:rsidRPr="009E640D">
        <w:rPr>
          <w:rFonts w:cs="Times New Roman"/>
        </w:rPr>
        <w:t>if</w:t>
      </w:r>
      <w:r w:rsidRPr="009E640D">
        <w:rPr>
          <w:rFonts w:cs="Times New Roman"/>
          <w:i/>
        </w:rPr>
        <w:t xml:space="preserve"> </w:t>
      </w:r>
      <w:r w:rsidRPr="009E640D">
        <w:rPr>
          <w:rFonts w:cs="Times New Roman"/>
        </w:rPr>
        <w:t xml:space="preserve">a debtor chooses not to drive, the province simply cannot enforce its claim. Rather, s. 102 allows the province to suspend a driver’s licence, which gives it some leverage to </w:t>
      </w:r>
      <w:r w:rsidRPr="009E640D">
        <w:rPr>
          <w:rFonts w:cs="Times New Roman"/>
        </w:rPr>
        <w:lastRenderedPageBreak/>
        <w:t xml:space="preserve">compel payment of the debt </w:t>
      </w:r>
      <w:r w:rsidRPr="009E640D">
        <w:rPr>
          <w:rFonts w:cs="Times New Roman"/>
          <w:i/>
        </w:rPr>
        <w:t>if the driver decides to drive</w:t>
      </w:r>
      <w:r w:rsidRPr="009E640D">
        <w:rPr>
          <w:rFonts w:cs="Times New Roman"/>
        </w:rPr>
        <w:t xml:space="preserve">. The bankrupt is still discharged in the literal sense of the words of s. 178(2) of the </w:t>
      </w:r>
      <w:r w:rsidRPr="009E640D">
        <w:rPr>
          <w:rFonts w:cs="Times New Roman"/>
          <w:i/>
        </w:rPr>
        <w:t>BIA</w:t>
      </w:r>
      <w:r w:rsidRPr="009E640D">
        <w:rPr>
          <w:rFonts w:cs="Times New Roman"/>
        </w:rPr>
        <w:t>. This is not a situation of express conflict in which one law says “yes” while the other says “no”. The two statutes answer different questions. In the end, the literal requirement of the federal statute is, strictly speaking, met. It therefore follows that the two acts can operate side by side without conflict. To conclude otherwise would be to disregard the distinct contents of the two provisions and the remedies that they provide.</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This is why I am of the view that this appeal must be decided on the basis of the frustration of a federal purpose, an issue in respect of which the applicable standard is higher, and that requires an in-depth analysis of Parliament’s intent. </w:t>
      </w:r>
    </w:p>
    <w:p w:rsidR="00696B09" w:rsidRPr="009E640D" w:rsidRDefault="00696B09" w:rsidP="001B50FA">
      <w:pPr>
        <w:pStyle w:val="Title1LevelTitre1Niveau-AltL"/>
        <w:widowControl w:val="0"/>
        <w:jc w:val="both"/>
        <w:rPr>
          <w:rFonts w:cs="Times New Roman"/>
        </w:rPr>
      </w:pPr>
      <w:r w:rsidRPr="009E640D">
        <w:rPr>
          <w:rFonts w:cs="Times New Roman"/>
        </w:rPr>
        <w:t>Impossibility of Dual Compliance</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In my colleague’s discussion of operational conflict, </w:t>
      </w:r>
      <w:r w:rsidRPr="009E640D">
        <w:rPr>
          <w:rFonts w:cs="Times New Roman"/>
          <w:i/>
        </w:rPr>
        <w:t xml:space="preserve">impossibility </w:t>
      </w:r>
      <w:r w:rsidRPr="009E640D">
        <w:rPr>
          <w:rFonts w:cs="Times New Roman"/>
        </w:rPr>
        <w:t xml:space="preserve">of dual compliance, instead of being at the forefront of the analysis, seems to be a secondary consideration. Yet it is the undisputed standard for determining whether an operational conflict exists, and one that very few cases will meet.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In the jurisprudence, impossibility of dual compliance has become synonymous with operational conflict: see e.g. P. W. Hogg, </w:t>
      </w:r>
      <w:r w:rsidRPr="009E640D">
        <w:rPr>
          <w:rFonts w:cs="Times New Roman"/>
          <w:i/>
        </w:rPr>
        <w:t>Constitutional Law of Canada</w:t>
      </w:r>
      <w:r w:rsidRPr="009E640D">
        <w:rPr>
          <w:rFonts w:cs="Times New Roman"/>
        </w:rPr>
        <w:t xml:space="preserve"> (5th ed. Supp.), at p. 16-4 (“Impossibility of dual compliance”). This may largely be due to this Court’s repeated emphasis on the definition of operational conflict </w:t>
      </w:r>
      <w:r w:rsidRPr="009E640D">
        <w:rPr>
          <w:rFonts w:cs="Times New Roman"/>
        </w:rPr>
        <w:lastRenderedPageBreak/>
        <w:t xml:space="preserve">articulated by Dickson J. (as he then was) in </w:t>
      </w:r>
      <w:r w:rsidRPr="009E640D">
        <w:rPr>
          <w:rFonts w:cs="Times New Roman"/>
          <w:i/>
        </w:rPr>
        <w:t>Multiple Access Ltd. v. McCutcheon</w:t>
      </w:r>
      <w:r w:rsidRPr="009E640D">
        <w:rPr>
          <w:rFonts w:cs="Times New Roman"/>
        </w:rPr>
        <w:t>, [1982] 2 S.C.R. 161 (“</w:t>
      </w:r>
      <w:r w:rsidRPr="009E640D">
        <w:rPr>
          <w:rFonts w:cs="Times New Roman"/>
          <w:i/>
        </w:rPr>
        <w:t>Multiple Access</w:t>
      </w:r>
      <w:r w:rsidRPr="009E640D">
        <w:rPr>
          <w:rFonts w:cs="Times New Roman"/>
        </w:rPr>
        <w:t xml:space="preserve">”): “. . . there is actual conflict in operation  . . . where </w:t>
      </w:r>
      <w:r w:rsidRPr="009E640D">
        <w:rPr>
          <w:rFonts w:cs="Times New Roman"/>
          <w:u w:val="single"/>
        </w:rPr>
        <w:t>one enactment says ‘yes’ and the other says ‘no’</w:t>
      </w:r>
      <w:r w:rsidRPr="009E640D">
        <w:rPr>
          <w:rFonts w:cs="Times New Roman"/>
        </w:rPr>
        <w:t xml:space="preserve">; ‘the same citizens are being told to do inconsistent things’; </w:t>
      </w:r>
      <w:r w:rsidRPr="009E640D">
        <w:rPr>
          <w:rFonts w:cs="Times New Roman"/>
          <w:u w:val="single"/>
        </w:rPr>
        <w:t>compliance with one is defiance of the other</w:t>
      </w:r>
      <w:r w:rsidRPr="009E640D">
        <w:rPr>
          <w:rFonts w:cs="Times New Roman"/>
        </w:rPr>
        <w:t xml:space="preserve">” (p. 191 (emphasis added)).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In </w:t>
      </w:r>
      <w:r w:rsidRPr="009E640D">
        <w:rPr>
          <w:rFonts w:cs="Times New Roman"/>
          <w:i/>
        </w:rPr>
        <w:t>Rothmans, Benson &amp; Hedges Inc. v. Saskatchewan</w:t>
      </w:r>
      <w:r w:rsidRPr="009E640D">
        <w:rPr>
          <w:rFonts w:cs="Times New Roman"/>
        </w:rPr>
        <w:t>, 2005 SCC 13, [2005] 1 S.C.R. 188 (“</w:t>
      </w:r>
      <w:r w:rsidRPr="009E640D">
        <w:rPr>
          <w:rFonts w:cs="Times New Roman"/>
          <w:i/>
        </w:rPr>
        <w:t>Rothmans</w:t>
      </w:r>
      <w:r w:rsidRPr="009E640D">
        <w:rPr>
          <w:rFonts w:cs="Times New Roman"/>
        </w:rPr>
        <w:t xml:space="preserve">”), Major J. stressed that </w:t>
      </w:r>
      <w:r w:rsidRPr="009E640D">
        <w:rPr>
          <w:rFonts w:cs="Times New Roman"/>
          <w:i/>
        </w:rPr>
        <w:t xml:space="preserve">Multiple Access </w:t>
      </w:r>
      <w:r w:rsidRPr="009E640D">
        <w:rPr>
          <w:rFonts w:cs="Times New Roman"/>
        </w:rPr>
        <w:t>is “often cited for the proposition that there is an inconsistency for the purposes of the doctrine if it is impossible to comply simultaneously with both provincial and federal enactments” (para. 11). Major J. also described an operational conflict as a situation in which the provincial law “</w:t>
      </w:r>
      <w:proofErr w:type="spellStart"/>
      <w:proofErr w:type="gramStart"/>
      <w:r w:rsidRPr="009E640D">
        <w:rPr>
          <w:rFonts w:cs="Times New Roman"/>
        </w:rPr>
        <w:t>mak</w:t>
      </w:r>
      <w:proofErr w:type="spellEnd"/>
      <w:r w:rsidRPr="009E640D">
        <w:rPr>
          <w:rFonts w:cs="Times New Roman"/>
        </w:rPr>
        <w:t>[</w:t>
      </w:r>
      <w:proofErr w:type="spellStart"/>
      <w:proofErr w:type="gramEnd"/>
      <w:r w:rsidRPr="009E640D">
        <w:rPr>
          <w:rFonts w:cs="Times New Roman"/>
        </w:rPr>
        <w:t>es</w:t>
      </w:r>
      <w:proofErr w:type="spellEnd"/>
      <w:r w:rsidRPr="009E640D">
        <w:rPr>
          <w:rFonts w:cs="Times New Roman"/>
        </w:rPr>
        <w:t xml:space="preserve">] it impossible to comply” with the federal law (para. 14). Binnie and </w:t>
      </w:r>
      <w:proofErr w:type="spellStart"/>
      <w:r w:rsidRPr="009E640D">
        <w:rPr>
          <w:rFonts w:cs="Times New Roman"/>
        </w:rPr>
        <w:t>LeBel</w:t>
      </w:r>
      <w:proofErr w:type="spellEnd"/>
      <w:r w:rsidRPr="009E640D">
        <w:rPr>
          <w:rFonts w:cs="Times New Roman"/>
        </w:rPr>
        <w:t xml:space="preserve"> JJ. </w:t>
      </w:r>
      <w:proofErr w:type="gramStart"/>
      <w:r w:rsidRPr="009E640D">
        <w:rPr>
          <w:rFonts w:cs="Times New Roman"/>
        </w:rPr>
        <w:t>would</w:t>
      </w:r>
      <w:proofErr w:type="gramEnd"/>
      <w:r w:rsidRPr="009E640D">
        <w:rPr>
          <w:rFonts w:cs="Times New Roman"/>
        </w:rPr>
        <w:t xml:space="preserve"> subsequently state in </w:t>
      </w:r>
      <w:r w:rsidRPr="009E640D">
        <w:rPr>
          <w:rFonts w:cs="Times New Roman"/>
          <w:i/>
        </w:rPr>
        <w:t>Canadian Western Bank v. Alberta</w:t>
      </w:r>
      <w:r w:rsidRPr="009E640D">
        <w:rPr>
          <w:rFonts w:cs="Times New Roman"/>
        </w:rPr>
        <w:t xml:space="preserve">, 2007 SCC 22, [2007] 2 S.C.R. 3, that provincial and federal laws are incompatible where “it is impossible to comply with both laws” (para. 75). Impossibility of dual compliance continues to be the standard for conceptualizing operational conflict and determining whether one exists: see e.g. </w:t>
      </w:r>
      <w:r w:rsidRPr="009E640D">
        <w:rPr>
          <w:rFonts w:cs="Times New Roman"/>
          <w:i/>
        </w:rPr>
        <w:t>Quebec (Attorney General) v. Canadian Owners and Pilots Association</w:t>
      </w:r>
      <w:r w:rsidRPr="009E640D">
        <w:rPr>
          <w:rFonts w:cs="Times New Roman"/>
        </w:rPr>
        <w:t>, 2010 SCC 39, [2010] 2 S.C.R. 536 (“</w:t>
      </w:r>
      <w:r w:rsidRPr="009E640D">
        <w:rPr>
          <w:rFonts w:cs="Times New Roman"/>
          <w:i/>
        </w:rPr>
        <w:t>COPA</w:t>
      </w:r>
      <w:r w:rsidRPr="009E640D">
        <w:rPr>
          <w:rFonts w:cs="Times New Roman"/>
        </w:rPr>
        <w:t xml:space="preserve">”), at para. 64.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The requirement of an “express contradiction”, discussed in </w:t>
      </w:r>
      <w:r w:rsidRPr="009E640D">
        <w:rPr>
          <w:rFonts w:cs="Times New Roman"/>
          <w:i/>
        </w:rPr>
        <w:t xml:space="preserve">114957 Canada </w:t>
      </w:r>
      <w:proofErr w:type="spellStart"/>
      <w:r w:rsidRPr="009E640D">
        <w:rPr>
          <w:rFonts w:cs="Times New Roman"/>
          <w:i/>
        </w:rPr>
        <w:t>Ltée</w:t>
      </w:r>
      <w:proofErr w:type="spellEnd"/>
      <w:r w:rsidRPr="009E640D">
        <w:rPr>
          <w:rFonts w:cs="Times New Roman"/>
          <w:i/>
        </w:rPr>
        <w:t xml:space="preserve"> (</w:t>
      </w:r>
      <w:proofErr w:type="spellStart"/>
      <w:r w:rsidRPr="009E640D">
        <w:rPr>
          <w:rFonts w:cs="Times New Roman"/>
          <w:i/>
        </w:rPr>
        <w:t>Spraytech</w:t>
      </w:r>
      <w:proofErr w:type="spellEnd"/>
      <w:r w:rsidRPr="009E640D">
        <w:rPr>
          <w:rFonts w:cs="Times New Roman"/>
          <w:i/>
        </w:rPr>
        <w:t xml:space="preserve">, </w:t>
      </w:r>
      <w:proofErr w:type="spellStart"/>
      <w:r w:rsidRPr="009E640D">
        <w:rPr>
          <w:rFonts w:cs="Times New Roman"/>
          <w:i/>
        </w:rPr>
        <w:t>Société</w:t>
      </w:r>
      <w:proofErr w:type="spellEnd"/>
      <w:r w:rsidRPr="009E640D">
        <w:rPr>
          <w:rFonts w:cs="Times New Roman"/>
          <w:i/>
        </w:rPr>
        <w:t xml:space="preserve"> </w:t>
      </w:r>
      <w:proofErr w:type="spellStart"/>
      <w:r w:rsidRPr="009E640D">
        <w:rPr>
          <w:rFonts w:cs="Times New Roman"/>
          <w:i/>
        </w:rPr>
        <w:t>d’arrosage</w:t>
      </w:r>
      <w:proofErr w:type="spellEnd"/>
      <w:r w:rsidRPr="009E640D">
        <w:rPr>
          <w:rFonts w:cs="Times New Roman"/>
          <w:i/>
        </w:rPr>
        <w:t>) v. Hudson (Town)</w:t>
      </w:r>
      <w:r w:rsidRPr="009E640D">
        <w:rPr>
          <w:rFonts w:cs="Times New Roman"/>
        </w:rPr>
        <w:t xml:space="preserve">, 2001 SCC 40, [2001] </w:t>
      </w:r>
      <w:r w:rsidRPr="009E640D">
        <w:rPr>
          <w:rFonts w:cs="Times New Roman"/>
        </w:rPr>
        <w:lastRenderedPageBreak/>
        <w:t>2 S.C.R. 241 (“</w:t>
      </w:r>
      <w:proofErr w:type="spellStart"/>
      <w:r w:rsidRPr="009E640D">
        <w:rPr>
          <w:rFonts w:cs="Times New Roman"/>
          <w:i/>
        </w:rPr>
        <w:t>Spraytech</w:t>
      </w:r>
      <w:proofErr w:type="spellEnd"/>
      <w:r w:rsidRPr="009E640D">
        <w:rPr>
          <w:rFonts w:cs="Times New Roman"/>
        </w:rPr>
        <w:t xml:space="preserve">”), at para. 34, is inseparable from impossibility of dual compliance as a clear expression of the prudent measure of restraint displayed in the line of cases in which the first branch of the federal paramountcy test was developed. It echoes the proposition that for the two laws to conflict, each one has to say exactly the opposite of what the other says (one law says “yes” and the other says “no”). A less direct conflict is simply not enough.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In </w:t>
      </w:r>
      <w:r w:rsidRPr="009E640D">
        <w:rPr>
          <w:rFonts w:cs="Times New Roman"/>
          <w:i/>
        </w:rPr>
        <w:t>Canadian Western Bank</w:t>
      </w:r>
      <w:r w:rsidRPr="009E640D">
        <w:rPr>
          <w:rFonts w:cs="Times New Roman"/>
        </w:rPr>
        <w:t xml:space="preserve">, </w:t>
      </w:r>
      <w:proofErr w:type="spellStart"/>
      <w:r w:rsidRPr="009E640D">
        <w:rPr>
          <w:rFonts w:cs="Times New Roman"/>
        </w:rPr>
        <w:t>Bastarache</w:t>
      </w:r>
      <w:proofErr w:type="spellEnd"/>
      <w:r w:rsidRPr="009E640D">
        <w:rPr>
          <w:rFonts w:cs="Times New Roman"/>
        </w:rPr>
        <w:t xml:space="preserve"> J. indicated that the only type of conflict capable of triggering the first branch is one that is “express” (para. 126). See also </w:t>
      </w:r>
      <w:r w:rsidRPr="009E640D">
        <w:rPr>
          <w:rFonts w:cs="Times New Roman"/>
          <w:i/>
        </w:rPr>
        <w:t>Lafarge</w:t>
      </w:r>
      <w:r w:rsidRPr="009E640D">
        <w:rPr>
          <w:rFonts w:cs="Times New Roman"/>
        </w:rPr>
        <w:t xml:space="preserve">, at para. 113. In </w:t>
      </w:r>
      <w:r w:rsidRPr="009E640D">
        <w:rPr>
          <w:rFonts w:cs="Times New Roman"/>
          <w:i/>
        </w:rPr>
        <w:t>M &amp; D Farm</w:t>
      </w:r>
      <w:r w:rsidRPr="009E640D">
        <w:rPr>
          <w:rFonts w:cs="Times New Roman"/>
        </w:rPr>
        <w:t xml:space="preserve">, on which my colleague relies extensively, Binnie J., writing for the Court, acknowledged that the federal enactment will prevail only in the event of “an express contradiction” (para. 17). The Court had also previously used the expression “direct conflict” to characterize this requirement: </w:t>
      </w:r>
      <w:r w:rsidRPr="009E640D">
        <w:rPr>
          <w:rFonts w:cs="Times New Roman"/>
          <w:i/>
        </w:rPr>
        <w:t>Rio Hotel Ltd. v. New Brunswick (Liquor Licensing Board)</w:t>
      </w:r>
      <w:r w:rsidRPr="009E640D">
        <w:rPr>
          <w:rFonts w:cs="Times New Roman"/>
        </w:rPr>
        <w:t xml:space="preserve">, [1987] 2 S.C.R. 59, at pp. 64-65. Peter W. Hogg states that the requirement is “a very tight restriction on the paramountcy doctrine, since cases where the provincial law </w:t>
      </w:r>
      <w:r w:rsidRPr="009E640D">
        <w:rPr>
          <w:rFonts w:cs="Times New Roman"/>
          <w:u w:val="single"/>
        </w:rPr>
        <w:t>expressly</w:t>
      </w:r>
      <w:r w:rsidRPr="009E640D">
        <w:rPr>
          <w:rFonts w:cs="Times New Roman"/>
        </w:rPr>
        <w:t xml:space="preserve"> contradicts the federal law are few and far between”: “Paramountcy and Tobacco” (2006), 34 </w:t>
      </w:r>
      <w:r w:rsidRPr="009E640D">
        <w:rPr>
          <w:rFonts w:cs="Times New Roman"/>
          <w:i/>
        </w:rPr>
        <w:t>S.C.L.R.</w:t>
      </w:r>
      <w:r w:rsidRPr="009E640D">
        <w:rPr>
          <w:rFonts w:cs="Times New Roman"/>
        </w:rPr>
        <w:t xml:space="preserve"> (2d) 335, at p. 338 (emphasis added). In the absence of an express conflict, the two provisions are deemed to be capable of operating side by side. This idea also underlies the reasons of the majority in </w:t>
      </w:r>
      <w:r w:rsidRPr="009E640D">
        <w:rPr>
          <w:rFonts w:cs="Times New Roman"/>
          <w:i/>
        </w:rPr>
        <w:t>COPA</w:t>
      </w:r>
      <w:r w:rsidRPr="009E640D">
        <w:rPr>
          <w:rFonts w:cs="Times New Roman"/>
        </w:rPr>
        <w:t>, who found that there was no operational conflict, because the federal statute did not require the construction of an aerodrome, whereas the provincial law prohibited it</w:t>
      </w:r>
      <w:r w:rsidRPr="009E640D">
        <w:rPr>
          <w:rFonts w:cs="Times New Roman"/>
          <w:i/>
        </w:rPr>
        <w:t xml:space="preserve"> </w:t>
      </w:r>
      <w:r w:rsidRPr="009E640D">
        <w:rPr>
          <w:rFonts w:cs="Times New Roman"/>
        </w:rPr>
        <w:t>(para. 65).</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lastRenderedPageBreak/>
        <w:t xml:space="preserve">In light of the modern jurisprudence, this restrained approach to operational conflict is therefore inescapable. There are good reasons for maintaining such a strict standard for operational conflict. </w:t>
      </w:r>
      <w:proofErr w:type="spellStart"/>
      <w:r w:rsidRPr="009E640D">
        <w:rPr>
          <w:rFonts w:cs="Times New Roman"/>
        </w:rPr>
        <w:t>Iacobucci</w:t>
      </w:r>
      <w:proofErr w:type="spellEnd"/>
      <w:r w:rsidRPr="009E640D">
        <w:rPr>
          <w:rFonts w:cs="Times New Roman"/>
        </w:rPr>
        <w:t xml:space="preserve"> J. (dissenting, but not on this point) explained the rationale behind it in </w:t>
      </w:r>
      <w:r w:rsidRPr="009E640D">
        <w:rPr>
          <w:rFonts w:cs="Times New Roman"/>
          <w:i/>
        </w:rPr>
        <w:t>Husky Oil Operations Ltd. v. Minister of National Revenue</w:t>
      </w:r>
      <w:r w:rsidRPr="009E640D">
        <w:rPr>
          <w:rFonts w:cs="Times New Roman"/>
        </w:rPr>
        <w:t>, [1995] 3 S.C.R. 453:</w:t>
      </w:r>
    </w:p>
    <w:p w:rsidR="00696B09" w:rsidRPr="009E640D" w:rsidRDefault="00696B09" w:rsidP="001B50FA">
      <w:pPr>
        <w:pStyle w:val="Citation-AltC"/>
        <w:widowControl w:val="0"/>
        <w:ind w:firstLine="274"/>
      </w:pPr>
      <w:bookmarkStart w:id="31" w:name="par.162"/>
      <w:r w:rsidRPr="009E640D">
        <w:rPr>
          <w:u w:val="single"/>
        </w:rPr>
        <w:t xml:space="preserve">In closing, although I find there to be no conflict between s. 133(1) and the </w:t>
      </w:r>
      <w:r w:rsidRPr="009E640D">
        <w:rPr>
          <w:i/>
          <w:iCs/>
          <w:u w:val="single"/>
        </w:rPr>
        <w:t>Bankruptcy Act</w:t>
      </w:r>
      <w:r w:rsidRPr="009E640D">
        <w:rPr>
          <w:u w:val="single"/>
        </w:rPr>
        <w:t xml:space="preserve">, I posit that, even if there were to be some element of conflict, this must be evaluated in light of the fact that the provincial legislation is </w:t>
      </w:r>
      <w:r w:rsidRPr="009E640D">
        <w:rPr>
          <w:i/>
          <w:iCs/>
          <w:u w:val="single"/>
        </w:rPr>
        <w:t>intra vires</w:t>
      </w:r>
      <w:r w:rsidRPr="009E640D">
        <w:rPr>
          <w:u w:val="single"/>
        </w:rPr>
        <w:t>.</w:t>
      </w:r>
      <w:r w:rsidRPr="009E640D">
        <w:t xml:space="preserve"> Legislation that is </w:t>
      </w:r>
      <w:r w:rsidRPr="009E640D">
        <w:rPr>
          <w:i/>
          <w:iCs/>
        </w:rPr>
        <w:t>intra vires</w:t>
      </w:r>
      <w:r w:rsidRPr="009E640D">
        <w:t xml:space="preserve"> is permitted to have an incidental and ancillary effect on a federal sphere. </w:t>
      </w:r>
      <w:r w:rsidRPr="009E640D">
        <w:rPr>
          <w:u w:val="single"/>
        </w:rPr>
        <w:t>I would emphasize again that this Court has traditionally declined to invoke the paramountcy doctrine in the absence of actual operational conflict.</w:t>
      </w:r>
      <w:r w:rsidRPr="009E640D">
        <w:t xml:space="preserve"> I am uncomfortable with the “water-tight” approach to federal bankruptcy legislation propounded by the respondents. </w:t>
      </w:r>
      <w:r w:rsidRPr="009E640D">
        <w:rPr>
          <w:u w:val="single"/>
        </w:rPr>
        <w:t>To interpret the quartet as requiring the invalidation of provincial laws which have any effect on the bankruptcy process is to undermine the theory of co-operative federalism upon which (particularly post-war) Canada has been built.</w:t>
      </w:r>
      <w:r w:rsidRPr="009E640D">
        <w:t xml:space="preserve"> In </w:t>
      </w:r>
      <w:r w:rsidRPr="009E640D">
        <w:rPr>
          <w:i/>
          <w:iCs/>
        </w:rPr>
        <w:t>Deloitte Haskins</w:t>
      </w:r>
      <w:r w:rsidRPr="00467467">
        <w:rPr>
          <w:iCs/>
        </w:rPr>
        <w:t xml:space="preserve"> [</w:t>
      </w:r>
      <w:r w:rsidRPr="009E640D">
        <w:rPr>
          <w:i/>
          <w:iCs/>
        </w:rPr>
        <w:t>and Sells Ltd. v. Workers’ Compensation Board</w:t>
      </w:r>
      <w:r w:rsidRPr="009E640D">
        <w:rPr>
          <w:iCs/>
        </w:rPr>
        <w:t>, [1985] 1 S.C.R. 785]</w:t>
      </w:r>
      <w:r w:rsidRPr="009E640D">
        <w:t xml:space="preserve">, at pp. 807-8, Wilson J. recognized it to be appropriate to adopt as narrow a definition of operational conflict as possible in order to allow each level of government as much area of activity as possible within its respective sphere of authority. </w:t>
      </w:r>
      <w:bookmarkEnd w:id="31"/>
      <w:r w:rsidRPr="009E640D">
        <w:t xml:space="preserve">[Emphasis added; para. 162.] </w:t>
      </w:r>
    </w:p>
    <w:p w:rsidR="00696B09" w:rsidRPr="009E640D" w:rsidRDefault="00696B09" w:rsidP="001B50FA">
      <w:pPr>
        <w:pStyle w:val="ContinueParaSuitedupar-AltP"/>
        <w:widowControl w:val="0"/>
        <w:rPr>
          <w:rFonts w:cs="Times New Roman"/>
        </w:rPr>
      </w:pPr>
      <w:r w:rsidRPr="009E640D">
        <w:rPr>
          <w:rFonts w:cs="Times New Roman"/>
        </w:rPr>
        <w:t xml:space="preserve">Such a high standard is consistent with co-operative federalism and with the idea, as eloquently expressed by my colleague </w:t>
      </w:r>
      <w:proofErr w:type="spellStart"/>
      <w:r w:rsidRPr="009E640D">
        <w:rPr>
          <w:rFonts w:cs="Times New Roman"/>
        </w:rPr>
        <w:t>Abella</w:t>
      </w:r>
      <w:proofErr w:type="spellEnd"/>
      <w:r w:rsidRPr="009E640D">
        <w:rPr>
          <w:rFonts w:cs="Times New Roman"/>
        </w:rPr>
        <w:t xml:space="preserve"> J. for the majority in </w:t>
      </w:r>
      <w:r w:rsidRPr="009E640D">
        <w:rPr>
          <w:rFonts w:cs="Times New Roman"/>
          <w:i/>
        </w:rPr>
        <w:t>NIL/TU,O Child and Family Services</w:t>
      </w:r>
      <w:r w:rsidR="003F5663">
        <w:rPr>
          <w:rFonts w:cs="Times New Roman"/>
          <w:i/>
        </w:rPr>
        <w:t xml:space="preserve"> Society</w:t>
      </w:r>
      <w:r w:rsidRPr="009E640D">
        <w:rPr>
          <w:rFonts w:cs="Times New Roman"/>
          <w:i/>
        </w:rPr>
        <w:t xml:space="preserve"> v. B.C. Government and Service Employees’ Union</w:t>
      </w:r>
      <w:r w:rsidRPr="009E640D">
        <w:rPr>
          <w:rFonts w:cs="Times New Roman"/>
        </w:rPr>
        <w:t>, 2010 SCC 45, [2010] 2 S.C.R. 696, that “[t]</w:t>
      </w:r>
      <w:proofErr w:type="spellStart"/>
      <w:r w:rsidRPr="009E640D">
        <w:rPr>
          <w:rFonts w:cs="Times New Roman"/>
        </w:rPr>
        <w:t>oday’s</w:t>
      </w:r>
      <w:proofErr w:type="spellEnd"/>
      <w:r w:rsidRPr="009E640D">
        <w:rPr>
          <w:rFonts w:cs="Times New Roman"/>
        </w:rPr>
        <w:t xml:space="preserve"> constitutional landscape is painted with the brush of co-operative federalism”, which requires that courts accept an overlap “between the exercise of federal and provincial competencies” as inevitable (para. 42). </w:t>
      </w:r>
      <w:r w:rsidRPr="009E640D">
        <w:rPr>
          <w:rFonts w:cs="Times New Roman"/>
        </w:rPr>
        <w:lastRenderedPageBreak/>
        <w:t>If, in practice, the wording of the statutes makes it possible to comply with both of them, then co-operative federalism requires this Court to find that the federal and provincial statutes are compatible, at least at the first stage of the analysis. If there is a doubt in this regard, the issue should be addressed at the second stage, since an interpretation of the federal and provincial legislation that results in a finding of compatibility should be favoured at the first stage.</w:t>
      </w:r>
    </w:p>
    <w:p w:rsidR="00696B09" w:rsidRPr="009E640D" w:rsidRDefault="00696B09" w:rsidP="001B50FA">
      <w:pPr>
        <w:pStyle w:val="ParaNoNdepar-AltN"/>
        <w:widowControl w:val="0"/>
        <w:rPr>
          <w:rFonts w:cs="Times New Roman"/>
        </w:rPr>
      </w:pPr>
      <w:r w:rsidRPr="009E640D">
        <w:rPr>
          <w:rFonts w:cs="Times New Roman"/>
        </w:rPr>
        <w:t xml:space="preserve">This is where I cannot agree with my colleague. Rather than assessing the possibility of dual compliance and the existence or absence of an express operational conflict, </w:t>
      </w:r>
      <w:proofErr w:type="spellStart"/>
      <w:r w:rsidRPr="009E640D">
        <w:rPr>
          <w:rFonts w:cs="Times New Roman"/>
        </w:rPr>
        <w:t>Gascon</w:t>
      </w:r>
      <w:proofErr w:type="spellEnd"/>
      <w:r w:rsidRPr="009E640D">
        <w:rPr>
          <w:rFonts w:cs="Times New Roman"/>
        </w:rPr>
        <w:t xml:space="preserve"> J. begins by characterizing the effect of s. 102 of the </w:t>
      </w:r>
      <w:r w:rsidRPr="009E640D">
        <w:rPr>
          <w:rFonts w:cs="Times New Roman"/>
          <w:i/>
        </w:rPr>
        <w:t>TSA</w:t>
      </w:r>
      <w:r w:rsidRPr="009E640D">
        <w:rPr>
          <w:rFonts w:cs="Times New Roman"/>
        </w:rPr>
        <w:t>.</w:t>
      </w:r>
      <w:r w:rsidRPr="009E640D">
        <w:rPr>
          <w:rFonts w:cs="Times New Roman"/>
          <w:i/>
        </w:rPr>
        <w:t xml:space="preserve"> </w:t>
      </w:r>
      <w:r w:rsidRPr="009E640D">
        <w:rPr>
          <w:rFonts w:cs="Times New Roman"/>
        </w:rPr>
        <w:t xml:space="preserve">In his view, that effect is to permit the enforcement of a discharged debt. He then finds that compelling the payment of such a debt is prohibited by s. 178(2) of the </w:t>
      </w:r>
      <w:r w:rsidRPr="009E640D">
        <w:rPr>
          <w:rFonts w:cs="Times New Roman"/>
          <w:i/>
        </w:rPr>
        <w:t>BIA</w:t>
      </w:r>
      <w:r w:rsidRPr="009E640D">
        <w:rPr>
          <w:rFonts w:cs="Times New Roman"/>
        </w:rPr>
        <w:t>,</w:t>
      </w:r>
      <w:r w:rsidRPr="009E640D">
        <w:rPr>
          <w:rFonts w:cs="Times New Roman"/>
          <w:i/>
        </w:rPr>
        <w:t xml:space="preserve"> </w:t>
      </w:r>
      <w:r w:rsidRPr="009E640D">
        <w:rPr>
          <w:rFonts w:cs="Times New Roman"/>
        </w:rPr>
        <w:t xml:space="preserve">as its purpose is to give the bankrupt a fresh start. My colleague interprets s. 178(2) of the </w:t>
      </w:r>
      <w:r w:rsidRPr="009E640D">
        <w:rPr>
          <w:rFonts w:cs="Times New Roman"/>
          <w:i/>
        </w:rPr>
        <w:t xml:space="preserve">BIA </w:t>
      </w:r>
      <w:r w:rsidRPr="009E640D">
        <w:rPr>
          <w:rFonts w:cs="Times New Roman"/>
        </w:rPr>
        <w:t>broadly on the basis of Parliament’s intent to foster the financial rehabilitation of the bankrupt, and this results in a conflict</w:t>
      </w:r>
      <w:r w:rsidRPr="009E640D">
        <w:rPr>
          <w:rFonts w:cs="Times New Roman"/>
          <w:i/>
        </w:rPr>
        <w:t>.</w:t>
      </w:r>
      <w:r w:rsidRPr="009E640D">
        <w:rPr>
          <w:rFonts w:cs="Times New Roman"/>
        </w:rPr>
        <w:t xml:space="preserve"> In other words, rather than considering whether to comply with one statute is to defy the other, he considers whether the effects of the provincial statute seem to be incompatible with the federal prohibition. Instead of considering only the actual words of both provisions, he takes into account their purposes and their effects.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As I mentioned above, his analysis thus conflates the two branches of the federal paramountcy test, or at a minimum blurs the difference between them and </w:t>
      </w:r>
      <w:r w:rsidRPr="009E640D">
        <w:rPr>
          <w:rFonts w:cs="Times New Roman"/>
        </w:rPr>
        <w:lastRenderedPageBreak/>
        <w:t>returns the jurisprudence to the state it was at before the second branch was recognized as a separate branch.</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With all due respect, as the Chief Justice stated in </w:t>
      </w:r>
      <w:r w:rsidRPr="009E640D">
        <w:rPr>
          <w:rFonts w:cs="Times New Roman"/>
          <w:i/>
        </w:rPr>
        <w:t>COPA</w:t>
      </w:r>
      <w:r w:rsidRPr="009E640D">
        <w:rPr>
          <w:rFonts w:cs="Times New Roman"/>
        </w:rPr>
        <w:t xml:space="preserve">, the two branches of the modern federal paramountcy test relate to “two different forms of conflict” (para. 64). See also </w:t>
      </w:r>
      <w:r w:rsidRPr="009E640D">
        <w:rPr>
          <w:rFonts w:cs="Times New Roman"/>
          <w:i/>
        </w:rPr>
        <w:t>Marine Services International Ltd. v. Ryan Estate</w:t>
      </w:r>
      <w:r w:rsidRPr="009E640D">
        <w:rPr>
          <w:rFonts w:cs="Times New Roman"/>
        </w:rPr>
        <w:t>, 2013 SCC 44, [2013] 3 S.C.R. 53 (“</w:t>
      </w:r>
      <w:r w:rsidRPr="009E640D">
        <w:rPr>
          <w:rFonts w:cs="Times New Roman"/>
          <w:i/>
        </w:rPr>
        <w:t>Marine Services</w:t>
      </w:r>
      <w:r w:rsidRPr="009E640D">
        <w:rPr>
          <w:rFonts w:cs="Times New Roman"/>
        </w:rPr>
        <w:t xml:space="preserve">”), at para. 68. While it is true that they overlap, it is not true that a finding of an operational conflict in the first branch will necessarily entail a finding of frustration of a federal purpose in the second branch. An overlap between the two forms of conflict does not mean the branches are necessarily redundant. The party that invokes the frustration of a federal purpose bears the burden of proof, and the standard of proof is high: </w:t>
      </w:r>
      <w:r w:rsidRPr="009E640D">
        <w:rPr>
          <w:rFonts w:cs="Times New Roman"/>
          <w:i/>
        </w:rPr>
        <w:t>COPA</w:t>
      </w:r>
      <w:r w:rsidRPr="009E640D">
        <w:rPr>
          <w:rFonts w:cs="Times New Roman"/>
        </w:rPr>
        <w:t xml:space="preserve">, at para. 66. The federal scheme may be drafted in a manner that does not match the record of Parliament’s intent, but that results in an express conflict with a provincial law. If the frustration of a federal purpose can be used to find that an operational conflict exists, there is really no point in having two branches of the test. If the Court wishes to merge the two branches, it cannot do so without overruling </w:t>
      </w:r>
      <w:r w:rsidRPr="009E640D">
        <w:rPr>
          <w:rFonts w:cs="Times New Roman"/>
          <w:i/>
        </w:rPr>
        <w:t>Rothmans</w:t>
      </w:r>
      <w:r w:rsidRPr="009E640D">
        <w:rPr>
          <w:rFonts w:cs="Times New Roman"/>
        </w:rPr>
        <w:t>,</w:t>
      </w:r>
      <w:r w:rsidRPr="009E640D">
        <w:rPr>
          <w:rFonts w:cs="Times New Roman"/>
          <w:i/>
        </w:rPr>
        <w:t xml:space="preserve"> COPA </w:t>
      </w:r>
      <w:r w:rsidRPr="009E640D">
        <w:rPr>
          <w:rFonts w:cs="Times New Roman"/>
        </w:rPr>
        <w:t xml:space="preserve">and </w:t>
      </w:r>
      <w:r w:rsidRPr="009E640D">
        <w:rPr>
          <w:rFonts w:cs="Times New Roman"/>
          <w:i/>
        </w:rPr>
        <w:t xml:space="preserve">Marine Services </w:t>
      </w:r>
      <w:r w:rsidRPr="009E640D">
        <w:rPr>
          <w:rFonts w:cs="Times New Roman"/>
        </w:rPr>
        <w:t>on this point.</w:t>
      </w:r>
    </w:p>
    <w:p w:rsidR="00696B09" w:rsidRPr="009E640D" w:rsidRDefault="00696B09" w:rsidP="001B50FA">
      <w:pPr>
        <w:pStyle w:val="ParaNoNdepar-AltN"/>
        <w:widowControl w:val="0"/>
        <w:rPr>
          <w:rFonts w:cs="Times New Roman"/>
        </w:rPr>
      </w:pPr>
      <w:r w:rsidRPr="009E640D">
        <w:rPr>
          <w:rFonts w:cs="Times New Roman"/>
        </w:rPr>
        <w:t xml:space="preserve">The first branch of the federal paramountcy test is concerned with incompatibility </w:t>
      </w:r>
      <w:r w:rsidRPr="009E640D">
        <w:rPr>
          <w:rFonts w:cs="Times New Roman"/>
          <w:i/>
        </w:rPr>
        <w:t>of the provisions</w:t>
      </w:r>
      <w:r w:rsidRPr="009E640D">
        <w:rPr>
          <w:rFonts w:cs="Times New Roman"/>
        </w:rPr>
        <w:t xml:space="preserve">, that is, an incompatibility that is evident on the face of the provisions themselves. An analysis in this regard takes the federal statute as a starting point and focusses on its actual wording. This analysis requires an inquiry, </w:t>
      </w:r>
      <w:r w:rsidRPr="009E640D">
        <w:rPr>
          <w:rFonts w:cs="Times New Roman"/>
        </w:rPr>
        <w:lastRenderedPageBreak/>
        <w:t xml:space="preserve">based on the wording of the federal statute, into whether there is room for the provincial law to operate.  In this context, the content of each of the laws and the remedies that they provide are of considerable importance. </w:t>
      </w:r>
    </w:p>
    <w:p w:rsidR="00696B09" w:rsidRPr="009E640D" w:rsidRDefault="00696B09" w:rsidP="001B50FA">
      <w:pPr>
        <w:pStyle w:val="ParaNoNdepar-AltN"/>
        <w:widowControl w:val="0"/>
        <w:rPr>
          <w:rFonts w:cs="Times New Roman"/>
        </w:rPr>
      </w:pPr>
      <w:r w:rsidRPr="009E640D">
        <w:rPr>
          <w:rFonts w:cs="Times New Roman"/>
        </w:rPr>
        <w:t xml:space="preserve">For all these reasons, even a superficial possibility of dual compliance will suffice for a court to conclude that there is no operational conflict: </w:t>
      </w:r>
      <w:r w:rsidRPr="009E640D">
        <w:rPr>
          <w:rFonts w:cs="Times New Roman"/>
          <w:i/>
        </w:rPr>
        <w:t xml:space="preserve">Law Society of British Columbia v. </w:t>
      </w:r>
      <w:proofErr w:type="spellStart"/>
      <w:r w:rsidRPr="009E640D">
        <w:rPr>
          <w:rFonts w:cs="Times New Roman"/>
          <w:i/>
        </w:rPr>
        <w:t>Mangat</w:t>
      </w:r>
      <w:proofErr w:type="spellEnd"/>
      <w:r w:rsidRPr="009E640D">
        <w:rPr>
          <w:rFonts w:cs="Times New Roman"/>
        </w:rPr>
        <w:t>, 2001 SCC 67, [2001] 3 S.C.R. 113 (“</w:t>
      </w:r>
      <w:proofErr w:type="spellStart"/>
      <w:r w:rsidRPr="009E640D">
        <w:rPr>
          <w:rFonts w:cs="Times New Roman"/>
          <w:i/>
        </w:rPr>
        <w:t>Mangat</w:t>
      </w:r>
      <w:proofErr w:type="spellEnd"/>
      <w:r w:rsidRPr="009E640D">
        <w:rPr>
          <w:rFonts w:cs="Times New Roman"/>
        </w:rPr>
        <w:t xml:space="preserve">”), at para. 72. By the same logic, a duplication of federal and provincial legislation will not on its own amount to operational conflict: </w:t>
      </w:r>
      <w:r w:rsidRPr="009E640D">
        <w:rPr>
          <w:rFonts w:cs="Times New Roman"/>
          <w:i/>
        </w:rPr>
        <w:t>Multiple Access</w:t>
      </w:r>
      <w:r w:rsidRPr="009E640D">
        <w:rPr>
          <w:rFonts w:cs="Times New Roman"/>
        </w:rPr>
        <w:t xml:space="preserve">, at p. 190, per Dickson J. for the majority. In addition, where federal legislation is broad and permissive, a restrictive provincial scheme will usually be deemed not to conflict with it, because it will be possible to comply with both of them by conforming to the more restrictive provincial law: </w:t>
      </w:r>
      <w:r w:rsidRPr="009E640D">
        <w:rPr>
          <w:rFonts w:cs="Times New Roman"/>
          <w:i/>
        </w:rPr>
        <w:t>Quebec (Attorney General) v. Canada (Human Resources and Social Development)</w:t>
      </w:r>
      <w:r w:rsidRPr="009E640D">
        <w:rPr>
          <w:rFonts w:cs="Times New Roman"/>
        </w:rPr>
        <w:t xml:space="preserve">, 2011 SCC 60, [2011] 3 S.C.R. 635, at para. 20. Such was the case in </w:t>
      </w:r>
      <w:r w:rsidRPr="009E640D">
        <w:rPr>
          <w:rFonts w:cs="Times New Roman"/>
          <w:i/>
        </w:rPr>
        <w:t>Bank of Montreal v.</w:t>
      </w:r>
      <w:r w:rsidRPr="009E640D">
        <w:rPr>
          <w:rFonts w:cs="Times New Roman"/>
        </w:rPr>
        <w:t xml:space="preserve"> </w:t>
      </w:r>
      <w:r w:rsidRPr="009E640D">
        <w:rPr>
          <w:rFonts w:cs="Times New Roman"/>
          <w:i/>
        </w:rPr>
        <w:t>Hall</w:t>
      </w:r>
      <w:r w:rsidRPr="009E640D">
        <w:rPr>
          <w:rFonts w:cs="Times New Roman"/>
        </w:rPr>
        <w:t>,</w:t>
      </w:r>
      <w:r w:rsidRPr="009E640D">
        <w:rPr>
          <w:rFonts w:cs="Times New Roman"/>
          <w:i/>
        </w:rPr>
        <w:t xml:space="preserve"> </w:t>
      </w:r>
      <w:r w:rsidRPr="009E640D">
        <w:rPr>
          <w:rFonts w:cs="Times New Roman"/>
        </w:rPr>
        <w:t>[1990] 1 S.C.R. 121 (“</w:t>
      </w:r>
      <w:r w:rsidRPr="009E640D">
        <w:rPr>
          <w:rFonts w:cs="Times New Roman"/>
          <w:i/>
        </w:rPr>
        <w:t>Bank of Montreal</w:t>
      </w:r>
      <w:r w:rsidRPr="009E640D">
        <w:rPr>
          <w:rFonts w:cs="Times New Roman"/>
        </w:rPr>
        <w:t xml:space="preserve">”), </w:t>
      </w:r>
      <w:proofErr w:type="spellStart"/>
      <w:r w:rsidRPr="009E640D">
        <w:rPr>
          <w:rFonts w:cs="Times New Roman"/>
          <w:i/>
        </w:rPr>
        <w:t>Spraytech</w:t>
      </w:r>
      <w:proofErr w:type="spellEnd"/>
      <w:r w:rsidRPr="009E640D">
        <w:rPr>
          <w:rFonts w:cs="Times New Roman"/>
        </w:rPr>
        <w:t>,</w:t>
      </w:r>
      <w:r w:rsidRPr="009E640D">
        <w:rPr>
          <w:rFonts w:cs="Times New Roman"/>
          <w:i/>
        </w:rPr>
        <w:t xml:space="preserve"> Rothmans </w:t>
      </w:r>
      <w:r w:rsidRPr="009E640D">
        <w:rPr>
          <w:rFonts w:cs="Times New Roman"/>
        </w:rPr>
        <w:t xml:space="preserve">and </w:t>
      </w:r>
      <w:r w:rsidRPr="009E640D">
        <w:rPr>
          <w:rFonts w:cs="Times New Roman"/>
          <w:i/>
        </w:rPr>
        <w:t>COPA</w:t>
      </w:r>
      <w:r w:rsidRPr="009E640D">
        <w:rPr>
          <w:rFonts w:cs="Times New Roman"/>
        </w:rPr>
        <w:t xml:space="preserve">. </w:t>
      </w:r>
    </w:p>
    <w:p w:rsidR="00696B09" w:rsidRPr="009E640D" w:rsidRDefault="00696B09" w:rsidP="001B50FA">
      <w:pPr>
        <w:pStyle w:val="ParaNoNdepar-AltN"/>
        <w:widowControl w:val="0"/>
        <w:rPr>
          <w:rFonts w:cs="Times New Roman"/>
        </w:rPr>
      </w:pPr>
      <w:r w:rsidRPr="009E640D">
        <w:rPr>
          <w:rFonts w:cs="Times New Roman"/>
        </w:rPr>
        <w:t xml:space="preserve">If the federal law is prohibitive, as in the case at bar, the question becomes what </w:t>
      </w:r>
      <w:r w:rsidRPr="009E640D">
        <w:rPr>
          <w:rFonts w:cs="Times New Roman"/>
          <w:i/>
        </w:rPr>
        <w:t>exactly</w:t>
      </w:r>
      <w:r w:rsidRPr="009E640D">
        <w:rPr>
          <w:rFonts w:cs="Times New Roman"/>
        </w:rPr>
        <w:t xml:space="preserve"> it prohibits. If the provincial law allows the very same thing the federal law prohibits, there is an operational conflict. If it does not do so, the analysis shifts to the second branch.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My colleague contends, relying on </w:t>
      </w:r>
      <w:r w:rsidRPr="009E640D">
        <w:rPr>
          <w:rFonts w:cs="Times New Roman"/>
          <w:i/>
          <w:iCs/>
        </w:rPr>
        <w:t xml:space="preserve">Marine </w:t>
      </w:r>
      <w:proofErr w:type="gramStart"/>
      <w:r w:rsidRPr="009E640D">
        <w:rPr>
          <w:rFonts w:cs="Times New Roman"/>
          <w:i/>
          <w:iCs/>
        </w:rPr>
        <w:t>Services</w:t>
      </w:r>
      <w:r w:rsidRPr="009E640D">
        <w:rPr>
          <w:rFonts w:cs="Times New Roman"/>
          <w:iCs/>
        </w:rPr>
        <w:t>,</w:t>
      </w:r>
      <w:r w:rsidRPr="009E640D">
        <w:rPr>
          <w:rFonts w:cs="Times New Roman"/>
        </w:rPr>
        <w:t xml:space="preserve"> that</w:t>
      </w:r>
      <w:proofErr w:type="gramEnd"/>
      <w:r w:rsidRPr="009E640D">
        <w:rPr>
          <w:rFonts w:cs="Times New Roman"/>
        </w:rPr>
        <w:t xml:space="preserve"> the modern </w:t>
      </w:r>
      <w:r w:rsidRPr="009E640D">
        <w:rPr>
          <w:rFonts w:cs="Times New Roman"/>
        </w:rPr>
        <w:lastRenderedPageBreak/>
        <w:t>approach to statutory interpretation applies to ambiguous federal statutes. According to him, the analysis regarding an express conflict cannot be limited to a literal reading of the statute. Parliament’s intent can thus be used to find that an operational conflict exists where there would otherwise be none.</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With all due respect, </w:t>
      </w:r>
      <w:r w:rsidRPr="009E640D">
        <w:rPr>
          <w:rFonts w:cs="Times New Roman"/>
          <w:i/>
          <w:iCs/>
        </w:rPr>
        <w:t>Marine Services </w:t>
      </w:r>
      <w:r w:rsidRPr="009E640D">
        <w:rPr>
          <w:rFonts w:cs="Times New Roman"/>
        </w:rPr>
        <w:t xml:space="preserve">does not stand for that proposition; rather, it reaffirms the idea that co-operative federalism supports an interpretation of the federal and provincial legislation that results in a finding of compatibility at the first stage of the test. In </w:t>
      </w:r>
      <w:r w:rsidRPr="009E640D">
        <w:rPr>
          <w:rFonts w:cs="Times New Roman"/>
          <w:i/>
        </w:rPr>
        <w:t>Marine Services</w:t>
      </w:r>
      <w:r w:rsidRPr="009E640D">
        <w:rPr>
          <w:rFonts w:cs="Times New Roman"/>
        </w:rPr>
        <w:t xml:space="preserve">, this Court resolved the ambiguity in the </w:t>
      </w:r>
      <w:r w:rsidRPr="009E640D">
        <w:rPr>
          <w:rFonts w:cs="Times New Roman"/>
          <w:i/>
        </w:rPr>
        <w:t>Marine Liability Act</w:t>
      </w:r>
      <w:r w:rsidRPr="009E640D">
        <w:rPr>
          <w:rFonts w:cs="Times New Roman"/>
        </w:rPr>
        <w:t xml:space="preserve">, S.C. 2001, c. 6, by finding that “[a]n interpretation recognizing the absence of conflict between the statutes is borne out by the broader context, the scheme and object of the </w:t>
      </w:r>
      <w:r w:rsidRPr="009E640D">
        <w:rPr>
          <w:rFonts w:cs="Times New Roman"/>
          <w:i/>
          <w:iCs/>
        </w:rPr>
        <w:t>MLA</w:t>
      </w:r>
      <w:r w:rsidRPr="009E640D">
        <w:rPr>
          <w:rFonts w:cs="Times New Roman"/>
        </w:rPr>
        <w:t xml:space="preserve"> and Parliament’s intent” (para. 79). Yet </w:t>
      </w:r>
      <w:proofErr w:type="spellStart"/>
      <w:r w:rsidRPr="009E640D">
        <w:rPr>
          <w:rFonts w:cs="Times New Roman"/>
        </w:rPr>
        <w:t>Gascon</w:t>
      </w:r>
      <w:proofErr w:type="spellEnd"/>
      <w:r w:rsidRPr="009E640D">
        <w:rPr>
          <w:rFonts w:cs="Times New Roman"/>
        </w:rPr>
        <w:t xml:space="preserve"> J. is doing the </w:t>
      </w:r>
      <w:proofErr w:type="gramStart"/>
      <w:r w:rsidRPr="009E640D">
        <w:rPr>
          <w:rFonts w:cs="Times New Roman"/>
        </w:rPr>
        <w:t>opposite, that</w:t>
      </w:r>
      <w:proofErr w:type="gramEnd"/>
      <w:r w:rsidRPr="009E640D">
        <w:rPr>
          <w:rFonts w:cs="Times New Roman"/>
        </w:rPr>
        <w:t xml:space="preserve"> is, concluding that an operational conflict exists even though there is an interpretation of the two laws that results in a finding of compatibility.</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If permissive federal legislation is to be interpreted restrictively in order to avoid an operational conflict, I see no reason to generally treat ambiguous provisions differently. Following my colleague’s approach, the frustration of federal purpose analysis can result in findings of two different forms of conflict. That is clearly not the conclusion this Court reached in </w:t>
      </w:r>
      <w:r w:rsidRPr="009E640D">
        <w:rPr>
          <w:rFonts w:cs="Times New Roman"/>
          <w:i/>
          <w:iCs/>
        </w:rPr>
        <w:t>Bank of Montreal</w:t>
      </w:r>
      <w:r w:rsidRPr="009E640D">
        <w:rPr>
          <w:rFonts w:cs="Times New Roman"/>
          <w:iCs/>
        </w:rPr>
        <w:t>.</w:t>
      </w:r>
      <w:r w:rsidRPr="009E640D">
        <w:rPr>
          <w:rFonts w:cs="Times New Roman"/>
          <w:i/>
          <w:iCs/>
        </w:rPr>
        <w:t> </w:t>
      </w:r>
      <w:r w:rsidRPr="009E640D">
        <w:rPr>
          <w:rFonts w:cs="Times New Roman"/>
        </w:rPr>
        <w:t xml:space="preserve">It should be noted that the federal provision at issue in that case could easily have been characterized as being ambiguous. Thus, a broader interpretation could have been adopted to the effect that Parliament’s </w:t>
      </w:r>
      <w:r w:rsidRPr="009E640D">
        <w:rPr>
          <w:rFonts w:cs="Times New Roman"/>
        </w:rPr>
        <w:lastRenderedPageBreak/>
        <w:t>intent resulted in an operational conflict; instead, the Court considered it necessary to extend the federal paramountcy test by creating the frustration of purpose branch. Whereas Parliament’s intent had originally been irrelevant to the federal paramountcy test, it would now be the touchstone of this new branch.</w:t>
      </w:r>
    </w:p>
    <w:p w:rsidR="00696B09" w:rsidRPr="009E640D" w:rsidRDefault="00696B09" w:rsidP="001B50FA">
      <w:pPr>
        <w:pStyle w:val="ParaNoNdepar-AltN"/>
        <w:widowControl w:val="0"/>
        <w:rPr>
          <w:rFonts w:cs="Times New Roman"/>
        </w:rPr>
      </w:pPr>
      <w:r w:rsidRPr="009E640D">
        <w:rPr>
          <w:rFonts w:cs="Times New Roman"/>
        </w:rPr>
        <w:t xml:space="preserve">The Court has never really addressed the interrelation between the two branches. In many cases from both before and after </w:t>
      </w:r>
      <w:r w:rsidRPr="009E640D">
        <w:rPr>
          <w:rFonts w:cs="Times New Roman"/>
          <w:i/>
        </w:rPr>
        <w:t>Rothmans</w:t>
      </w:r>
      <w:r w:rsidRPr="009E640D">
        <w:rPr>
          <w:rFonts w:cs="Times New Roman"/>
        </w:rPr>
        <w:t xml:space="preserve">, </w:t>
      </w:r>
      <w:r w:rsidRPr="009E640D">
        <w:rPr>
          <w:rFonts w:cs="Times New Roman"/>
          <w:i/>
        </w:rPr>
        <w:t xml:space="preserve">Canadian Western Bank </w:t>
      </w:r>
      <w:r w:rsidRPr="009E640D">
        <w:rPr>
          <w:rFonts w:cs="Times New Roman"/>
        </w:rPr>
        <w:t xml:space="preserve">and </w:t>
      </w:r>
      <w:r w:rsidRPr="009E640D">
        <w:rPr>
          <w:rFonts w:cs="Times New Roman"/>
          <w:i/>
        </w:rPr>
        <w:t>COPA</w:t>
      </w:r>
      <w:r w:rsidRPr="009E640D">
        <w:rPr>
          <w:rFonts w:cs="Times New Roman"/>
        </w:rPr>
        <w:t xml:space="preserve">, it seems to me that the two branches have been confused, as the Court has concluded that there was an operational conflict in the context of the first branch while referring to the federal purpose. </w:t>
      </w:r>
    </w:p>
    <w:p w:rsidR="00696B09" w:rsidRPr="009E640D" w:rsidRDefault="00696B09" w:rsidP="001B50FA">
      <w:pPr>
        <w:pStyle w:val="ParaNoNdepar-AltN"/>
        <w:widowControl w:val="0"/>
        <w:rPr>
          <w:rFonts w:cs="Times New Roman"/>
        </w:rPr>
      </w:pPr>
      <w:r w:rsidRPr="009E640D">
        <w:rPr>
          <w:rFonts w:cs="Times New Roman"/>
        </w:rPr>
        <w:t xml:space="preserve">For instance, </w:t>
      </w:r>
      <w:proofErr w:type="spellStart"/>
      <w:r w:rsidRPr="009E640D">
        <w:rPr>
          <w:rFonts w:cs="Times New Roman"/>
        </w:rPr>
        <w:t>Gonthier</w:t>
      </w:r>
      <w:proofErr w:type="spellEnd"/>
      <w:r w:rsidRPr="009E640D">
        <w:rPr>
          <w:rFonts w:cs="Times New Roman"/>
        </w:rPr>
        <w:t xml:space="preserve"> J., writing for the majority in </w:t>
      </w:r>
      <w:r w:rsidRPr="009E640D">
        <w:rPr>
          <w:rFonts w:cs="Times New Roman"/>
          <w:i/>
        </w:rPr>
        <w:t>Husky Oil</w:t>
      </w:r>
      <w:r w:rsidRPr="009E640D">
        <w:rPr>
          <w:rFonts w:cs="Times New Roman"/>
        </w:rPr>
        <w:t xml:space="preserve">, found that there was a “clear operational conflict in that ss. 133(1) and (3) in their operation together entail a reordering or subverting of the federal order of priorities under the </w:t>
      </w:r>
      <w:r w:rsidRPr="009E640D">
        <w:rPr>
          <w:rFonts w:cs="Times New Roman"/>
          <w:i/>
        </w:rPr>
        <w:t>Bankruptcy Act</w:t>
      </w:r>
      <w:r w:rsidRPr="009E640D">
        <w:rPr>
          <w:rFonts w:cs="Times New Roman"/>
        </w:rPr>
        <w:t xml:space="preserve">” (para. 87). As the Ontario Court of Appeal noted in its reasons in the companion case, </w:t>
      </w:r>
      <w:r w:rsidRPr="009E640D">
        <w:rPr>
          <w:rFonts w:cs="Times New Roman"/>
          <w:i/>
        </w:rPr>
        <w:t>Canada (Superintendent of Bankruptcy) v. 407 ETR Concession Company Ltd.</w:t>
      </w:r>
      <w:r w:rsidRPr="009E640D">
        <w:rPr>
          <w:rFonts w:cs="Times New Roman"/>
        </w:rPr>
        <w:t xml:space="preserve">, 2013 ONCA 769, 118 O.R. (3d) 161, the decision of the majority in </w:t>
      </w:r>
      <w:r w:rsidRPr="009E640D">
        <w:rPr>
          <w:rFonts w:cs="Times New Roman"/>
          <w:i/>
        </w:rPr>
        <w:t xml:space="preserve">Husky Oil </w:t>
      </w:r>
      <w:r w:rsidRPr="009E640D">
        <w:rPr>
          <w:rFonts w:cs="Times New Roman"/>
        </w:rPr>
        <w:t>is best understood as one involving frustration of federal purpose rather than operational conflict:</w:t>
      </w:r>
    </w:p>
    <w:p w:rsidR="00696B09" w:rsidRPr="009E640D" w:rsidRDefault="00696B09" w:rsidP="001B50FA">
      <w:pPr>
        <w:pStyle w:val="ParaNoNdepar-AltN"/>
        <w:widowControl w:val="0"/>
        <w:numPr>
          <w:ilvl w:val="0"/>
          <w:numId w:val="0"/>
        </w:numPr>
        <w:spacing w:after="720" w:line="240" w:lineRule="auto"/>
        <w:ind w:left="1166"/>
        <w:rPr>
          <w:rFonts w:cs="Times New Roman"/>
        </w:rPr>
      </w:pPr>
      <w:r w:rsidRPr="009E640D">
        <w:rPr>
          <w:rFonts w:cs="Times New Roman"/>
        </w:rPr>
        <w:tab/>
        <w:t xml:space="preserve">Although not so described in the case, in my view, the majority in </w:t>
      </w:r>
      <w:r w:rsidRPr="009E640D">
        <w:rPr>
          <w:rFonts w:cs="Times New Roman"/>
          <w:i/>
          <w:iCs/>
        </w:rPr>
        <w:t>Husky Oil</w:t>
      </w:r>
      <w:r w:rsidRPr="009E640D">
        <w:rPr>
          <w:rFonts w:cs="Times New Roman"/>
        </w:rPr>
        <w:t xml:space="preserve"> is best understood as a decision involving frustration of a federal purpose rather than an operational conflict. Firstly, the majority did not rely on </w:t>
      </w:r>
      <w:r w:rsidRPr="009E640D">
        <w:rPr>
          <w:rFonts w:cs="Times New Roman"/>
          <w:i/>
          <w:iCs/>
        </w:rPr>
        <w:t>Multiple Access</w:t>
      </w:r>
      <w:r w:rsidRPr="009E640D">
        <w:rPr>
          <w:rFonts w:cs="Times New Roman"/>
        </w:rPr>
        <w:t xml:space="preserve"> but on </w:t>
      </w:r>
      <w:r w:rsidRPr="009E640D">
        <w:rPr>
          <w:rFonts w:cs="Times New Roman"/>
          <w:i/>
          <w:iCs/>
        </w:rPr>
        <w:t>Hall</w:t>
      </w:r>
      <w:r w:rsidRPr="009E640D">
        <w:rPr>
          <w:rFonts w:cs="Times New Roman"/>
        </w:rPr>
        <w:t xml:space="preserve">, a case which is now viewed as a frustration of purpose decision.  Secondly, the majority relied on the effect </w:t>
      </w:r>
      <w:r w:rsidRPr="009E640D">
        <w:rPr>
          <w:rFonts w:cs="Times New Roman"/>
        </w:rPr>
        <w:lastRenderedPageBreak/>
        <w:t xml:space="preserve">of the provincial legislation and indirect conflict to ground its paramountcy analysis and not the strict operational conflict test found in </w:t>
      </w:r>
      <w:r w:rsidRPr="009E640D">
        <w:rPr>
          <w:rFonts w:cs="Times New Roman"/>
          <w:i/>
          <w:iCs/>
        </w:rPr>
        <w:t>Multiple Access</w:t>
      </w:r>
      <w:r w:rsidRPr="009E640D">
        <w:rPr>
          <w:rFonts w:cs="Times New Roman"/>
          <w:iCs/>
        </w:rPr>
        <w:t>.</w:t>
      </w:r>
      <w:r w:rsidRPr="009E640D">
        <w:rPr>
          <w:rFonts w:cs="Times New Roman"/>
          <w:i/>
          <w:iCs/>
        </w:rPr>
        <w:t xml:space="preserve"> </w:t>
      </w:r>
      <w:r w:rsidRPr="009E640D">
        <w:rPr>
          <w:rFonts w:cs="Times New Roman"/>
          <w:iCs/>
        </w:rPr>
        <w:t>[para. 75]</w:t>
      </w:r>
      <w:r w:rsidRPr="009E640D">
        <w:rPr>
          <w:rFonts w:cs="Times New Roman"/>
        </w:rPr>
        <w:t xml:space="preserve">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In </w:t>
      </w:r>
      <w:r w:rsidRPr="009E640D">
        <w:rPr>
          <w:rFonts w:cs="Times New Roman"/>
          <w:i/>
        </w:rPr>
        <w:t>Lafarge</w:t>
      </w:r>
      <w:r w:rsidRPr="009E640D">
        <w:rPr>
          <w:rFonts w:cs="Times New Roman"/>
        </w:rPr>
        <w:t xml:space="preserve">, the majority did recognize the two branches of the federal paramountcy test, but stated the test incorrectly: </w:t>
      </w:r>
    </w:p>
    <w:p w:rsidR="00696B09" w:rsidRPr="009E640D" w:rsidRDefault="00696B09" w:rsidP="001B50FA">
      <w:pPr>
        <w:pStyle w:val="ParaNoNdepar-AltN"/>
        <w:widowControl w:val="0"/>
        <w:numPr>
          <w:ilvl w:val="0"/>
          <w:numId w:val="0"/>
        </w:numPr>
        <w:spacing w:after="720" w:line="240" w:lineRule="auto"/>
        <w:ind w:left="1166"/>
        <w:rPr>
          <w:rFonts w:cs="Times New Roman"/>
        </w:rPr>
      </w:pPr>
      <w:r w:rsidRPr="009E640D">
        <w:rPr>
          <w:rFonts w:cs="Times New Roman"/>
        </w:rPr>
        <w:tab/>
        <w:t xml:space="preserve">We restated the requirements for federal paramountcy in our reasons in </w:t>
      </w:r>
      <w:r w:rsidRPr="009E640D">
        <w:rPr>
          <w:rFonts w:cs="Times New Roman"/>
          <w:i/>
          <w:iCs/>
        </w:rPr>
        <w:t>Canadian</w:t>
      </w:r>
      <w:r w:rsidRPr="009E640D">
        <w:rPr>
          <w:rFonts w:cs="Times New Roman"/>
        </w:rPr>
        <w:t xml:space="preserve"> </w:t>
      </w:r>
      <w:r w:rsidRPr="009E640D">
        <w:rPr>
          <w:rFonts w:cs="Times New Roman"/>
          <w:i/>
          <w:iCs/>
        </w:rPr>
        <w:t>Western Bank</w:t>
      </w:r>
      <w:r w:rsidRPr="009E640D">
        <w:rPr>
          <w:rFonts w:cs="Times New Roman"/>
          <w:iCs/>
        </w:rPr>
        <w:t>.</w:t>
      </w:r>
      <w:r w:rsidRPr="009E640D">
        <w:rPr>
          <w:rFonts w:cs="Times New Roman"/>
          <w:i/>
          <w:iCs/>
        </w:rPr>
        <w:t xml:space="preserve">  </w:t>
      </w:r>
      <w:r w:rsidRPr="009E640D">
        <w:rPr>
          <w:rFonts w:cs="Times New Roman"/>
        </w:rPr>
        <w:t xml:space="preserve">The party raising the issue must establish the existence of valid federal and provincial laws and the impossibility of their simultaneous application by reason of an operational conflict or because such application would frustrate the purpose of the enactment, as explained by our Court in </w:t>
      </w:r>
      <w:r w:rsidRPr="009E640D">
        <w:rPr>
          <w:rFonts w:cs="Times New Roman"/>
          <w:i/>
          <w:iCs/>
        </w:rPr>
        <w:t>Rothmans, Benson &amp; Hedges Inc. v. Saskatchewan</w:t>
      </w:r>
      <w:r w:rsidRPr="009E640D">
        <w:rPr>
          <w:rFonts w:cs="Times New Roman"/>
        </w:rPr>
        <w:t xml:space="preserve">, [2005] 1 S.C.R. 188, 2005 SCC 13, at paras. 11-14. (See also </w:t>
      </w:r>
      <w:r w:rsidRPr="009E640D">
        <w:rPr>
          <w:rFonts w:cs="Times New Roman"/>
          <w:i/>
          <w:iCs/>
        </w:rPr>
        <w:t xml:space="preserve">Law Society of British Columbia v. </w:t>
      </w:r>
      <w:proofErr w:type="spellStart"/>
      <w:r w:rsidRPr="009E640D">
        <w:rPr>
          <w:rFonts w:cs="Times New Roman"/>
          <w:i/>
          <w:iCs/>
        </w:rPr>
        <w:t>Mangat</w:t>
      </w:r>
      <w:proofErr w:type="spellEnd"/>
      <w:r w:rsidRPr="009E640D">
        <w:rPr>
          <w:rFonts w:cs="Times New Roman"/>
        </w:rPr>
        <w:t>, [2001] 3 S.C.R. 113, 2001 SCC 67, at paras. 68</w:t>
      </w:r>
      <w:r w:rsidRPr="009E640D">
        <w:rPr>
          <w:rFonts w:cs="Times New Roman"/>
        </w:rPr>
        <w:noBreakHyphen/>
        <w:t xml:space="preserve">71; </w:t>
      </w:r>
      <w:r w:rsidRPr="009E640D">
        <w:rPr>
          <w:rFonts w:cs="Times New Roman"/>
          <w:i/>
          <w:iCs/>
        </w:rPr>
        <w:t>Bank of Montreal v. Hall</w:t>
      </w:r>
      <w:r w:rsidRPr="009E640D">
        <w:rPr>
          <w:rFonts w:cs="Times New Roman"/>
        </w:rPr>
        <w:t>, [1990] 1 S.C.R. 121.) [para. 77]</w:t>
      </w:r>
    </w:p>
    <w:p w:rsidR="00696B09" w:rsidRPr="009E640D" w:rsidRDefault="00696B09" w:rsidP="001B50FA">
      <w:pPr>
        <w:pStyle w:val="ParaNoNdepar-AltN"/>
        <w:widowControl w:val="0"/>
        <w:rPr>
          <w:rFonts w:cs="Times New Roman"/>
        </w:rPr>
      </w:pPr>
      <w:r w:rsidRPr="009E640D">
        <w:rPr>
          <w:rFonts w:cs="Times New Roman"/>
        </w:rPr>
        <w:t xml:space="preserve">The conflation of frustration of a purpose with impossibility of dual compliance is even more apparent at para. 75 of that case, where the majority stated that the two statutes “would create an operational conflict that would flout the federal purpose”. Interestingly, the majority did not refer to an operational conflict in terms of impossibility of dual compliance or a situation in which one enactment says “yes” and the other says “no”. They merely applied </w:t>
      </w:r>
      <w:r w:rsidRPr="009E640D">
        <w:rPr>
          <w:rFonts w:cs="Times New Roman"/>
          <w:i/>
        </w:rPr>
        <w:t xml:space="preserve">M &amp; D Farm </w:t>
      </w:r>
      <w:r w:rsidRPr="009E640D">
        <w:rPr>
          <w:rFonts w:cs="Times New Roman"/>
        </w:rPr>
        <w:t xml:space="preserve">and found that there was an operational conflict, just as my colleague proposes to do in the case at bar. In my opinion, </w:t>
      </w:r>
      <w:r w:rsidRPr="009E640D">
        <w:rPr>
          <w:rFonts w:cs="Times New Roman"/>
          <w:i/>
        </w:rPr>
        <w:t xml:space="preserve">Lafarge </w:t>
      </w:r>
      <w:r w:rsidRPr="009E640D">
        <w:rPr>
          <w:rFonts w:cs="Times New Roman"/>
        </w:rPr>
        <w:t>should also be understood as a decision involving the frustration of a federal purpose rather than an operational conflict.</w:t>
      </w:r>
    </w:p>
    <w:p w:rsidR="00696B09" w:rsidRPr="009E640D" w:rsidRDefault="00696B09" w:rsidP="001B50FA">
      <w:pPr>
        <w:pStyle w:val="ParaNoNdepar-AltN"/>
        <w:widowControl w:val="0"/>
        <w:rPr>
          <w:rFonts w:cs="Times New Roman"/>
        </w:rPr>
      </w:pPr>
      <w:r w:rsidRPr="009E640D">
        <w:rPr>
          <w:rFonts w:cs="Times New Roman"/>
        </w:rPr>
        <w:t xml:space="preserve">Although </w:t>
      </w:r>
      <w:r w:rsidRPr="009E640D">
        <w:rPr>
          <w:rFonts w:cs="Times New Roman"/>
          <w:i/>
        </w:rPr>
        <w:t>M &amp; D Farm</w:t>
      </w:r>
      <w:r w:rsidRPr="009E640D">
        <w:rPr>
          <w:rFonts w:cs="Times New Roman"/>
        </w:rPr>
        <w:t xml:space="preserve"> was decided on the basis of an operational conflict, </w:t>
      </w:r>
      <w:r w:rsidRPr="009E640D">
        <w:rPr>
          <w:rFonts w:cs="Times New Roman"/>
        </w:rPr>
        <w:lastRenderedPageBreak/>
        <w:t xml:space="preserve">it is not helpful authority on the modern doctrine of federal paramountcy either, as Binnie J. made no distinction between the first and second branches of the federal paramountcy test. At the time that case was decided, the concept of frustration of purpose had been referred to in </w:t>
      </w:r>
      <w:r w:rsidRPr="009E640D">
        <w:rPr>
          <w:rFonts w:cs="Times New Roman"/>
          <w:i/>
        </w:rPr>
        <w:t>Bank of Montreal</w:t>
      </w:r>
      <w:r w:rsidRPr="009E640D">
        <w:rPr>
          <w:rFonts w:cs="Times New Roman"/>
        </w:rPr>
        <w:t xml:space="preserve">, but this Court had not yet explicitly recognized the two branches of the federal paramountcy test.  Although the Court found in </w:t>
      </w:r>
      <w:r w:rsidRPr="009E640D">
        <w:rPr>
          <w:rFonts w:cs="Times New Roman"/>
          <w:i/>
        </w:rPr>
        <w:t xml:space="preserve">M &amp; D Farm </w:t>
      </w:r>
      <w:r w:rsidRPr="009E640D">
        <w:rPr>
          <w:rFonts w:cs="Times New Roman"/>
        </w:rPr>
        <w:t xml:space="preserve">that there was an operational conflict, in doing so it relied on passages from </w:t>
      </w:r>
      <w:r w:rsidRPr="009E640D">
        <w:rPr>
          <w:rFonts w:cs="Times New Roman"/>
          <w:i/>
        </w:rPr>
        <w:t>Bank of Montreal</w:t>
      </w:r>
      <w:r w:rsidRPr="009E640D">
        <w:rPr>
          <w:rFonts w:cs="Times New Roman"/>
        </w:rPr>
        <w:t xml:space="preserve"> in which La Forest J. had inquired into whether “</w:t>
      </w:r>
      <w:proofErr w:type="spellStart"/>
      <w:r w:rsidRPr="009E640D">
        <w:rPr>
          <w:rFonts w:cs="Times New Roman"/>
        </w:rPr>
        <w:t>requir</w:t>
      </w:r>
      <w:proofErr w:type="spellEnd"/>
      <w:r w:rsidRPr="009E640D">
        <w:rPr>
          <w:rFonts w:cs="Times New Roman"/>
        </w:rPr>
        <w:t>[</w:t>
      </w:r>
      <w:proofErr w:type="spellStart"/>
      <w:r w:rsidRPr="009E640D">
        <w:rPr>
          <w:rFonts w:cs="Times New Roman"/>
        </w:rPr>
        <w:t>ing</w:t>
      </w:r>
      <w:proofErr w:type="spellEnd"/>
      <w:r w:rsidRPr="009E640D">
        <w:rPr>
          <w:rFonts w:cs="Times New Roman"/>
        </w:rPr>
        <w:t>] the bank to defer to the provincial legislation is to displace the legislative intent of Parliament” (</w:t>
      </w:r>
      <w:r w:rsidRPr="009E640D">
        <w:rPr>
          <w:rFonts w:cs="Times New Roman"/>
          <w:i/>
        </w:rPr>
        <w:t>Bank of Montreal</w:t>
      </w:r>
      <w:r w:rsidRPr="009E640D">
        <w:rPr>
          <w:rFonts w:cs="Times New Roman"/>
        </w:rPr>
        <w:t xml:space="preserve">, at p. 153; see </w:t>
      </w:r>
      <w:r w:rsidRPr="009E640D">
        <w:rPr>
          <w:rFonts w:cs="Times New Roman"/>
          <w:i/>
        </w:rPr>
        <w:t>M &amp; D Farm</w:t>
      </w:r>
      <w:r w:rsidRPr="009E640D">
        <w:rPr>
          <w:rFonts w:cs="Times New Roman"/>
        </w:rPr>
        <w:t xml:space="preserve">, at para. 41). I agree that there was in fact an operational conflict in </w:t>
      </w:r>
      <w:r w:rsidRPr="009E640D">
        <w:rPr>
          <w:rFonts w:cs="Times New Roman"/>
          <w:i/>
        </w:rPr>
        <w:t>M &amp; D Farm</w:t>
      </w:r>
      <w:r w:rsidRPr="009E640D">
        <w:rPr>
          <w:rFonts w:cs="Times New Roman"/>
        </w:rPr>
        <w:t>, but for different reasons, as I will explain below.</w:t>
      </w:r>
    </w:p>
    <w:p w:rsidR="00696B09" w:rsidRPr="009E640D" w:rsidRDefault="00696B09" w:rsidP="001B50FA">
      <w:pPr>
        <w:pStyle w:val="ParaNoNdepar-AltN"/>
        <w:widowControl w:val="0"/>
        <w:tabs>
          <w:tab w:val="clear" w:pos="1152"/>
          <w:tab w:val="left" w:pos="1166"/>
          <w:tab w:val="num" w:pos="1242"/>
        </w:tabs>
        <w:rPr>
          <w:rFonts w:eastAsia="Calibri" w:cs="Times New Roman"/>
          <w:lang w:val="en-US"/>
        </w:rPr>
      </w:pPr>
      <w:r w:rsidRPr="009E640D">
        <w:rPr>
          <w:rFonts w:eastAsia="Calibri" w:cs="Times New Roman"/>
          <w:lang w:val="en-US"/>
        </w:rPr>
        <w:t xml:space="preserve">Finally, in </w:t>
      </w:r>
      <w:proofErr w:type="spellStart"/>
      <w:r w:rsidRPr="009E640D">
        <w:rPr>
          <w:rFonts w:eastAsia="Calibri" w:cs="Times New Roman"/>
          <w:i/>
          <w:lang w:val="en-US"/>
        </w:rPr>
        <w:t>Mangat</w:t>
      </w:r>
      <w:proofErr w:type="spellEnd"/>
      <w:r w:rsidRPr="009E640D">
        <w:rPr>
          <w:rFonts w:eastAsia="Calibri" w:cs="Times New Roman"/>
          <w:lang w:val="en-US"/>
        </w:rPr>
        <w:t>, the federal legislation (</w:t>
      </w:r>
      <w:r w:rsidRPr="009E640D">
        <w:rPr>
          <w:rFonts w:eastAsia="Calibri" w:cs="Times New Roman"/>
          <w:i/>
          <w:lang w:val="en-US"/>
        </w:rPr>
        <w:t>Immigration Act</w:t>
      </w:r>
      <w:r w:rsidRPr="009E640D">
        <w:rPr>
          <w:rFonts w:eastAsia="Calibri" w:cs="Times New Roman"/>
          <w:lang w:val="en-US"/>
        </w:rPr>
        <w:t>, R.S.C. 1985, c. I-2) permitted non-lawyers to appear on behalf of clients before the Immigration and Refugee Board (ss. 30 and 69(1)). The provincial legislation (</w:t>
      </w:r>
      <w:r w:rsidRPr="009E640D">
        <w:rPr>
          <w:rFonts w:eastAsia="Calibri" w:cs="Times New Roman"/>
          <w:i/>
          <w:lang w:val="en-US"/>
        </w:rPr>
        <w:t>Legal Profession Act</w:t>
      </w:r>
      <w:r w:rsidRPr="009E640D">
        <w:rPr>
          <w:rFonts w:eastAsia="Calibri" w:cs="Times New Roman"/>
          <w:lang w:val="en-US"/>
        </w:rPr>
        <w:t>,</w:t>
      </w:r>
      <w:r w:rsidRPr="009E640D">
        <w:rPr>
          <w:rFonts w:eastAsia="Calibri" w:cs="Times New Roman"/>
          <w:i/>
          <w:lang w:val="en-US"/>
        </w:rPr>
        <w:t xml:space="preserve"> </w:t>
      </w:r>
      <w:r w:rsidRPr="009E640D">
        <w:rPr>
          <w:rFonts w:eastAsia="Calibri" w:cs="Times New Roman"/>
          <w:lang w:val="en-US"/>
        </w:rPr>
        <w:t>S.B.C. 19</w:t>
      </w:r>
      <w:r w:rsidR="00467467">
        <w:rPr>
          <w:rFonts w:eastAsia="Calibri" w:cs="Times New Roman"/>
          <w:lang w:val="en-US"/>
        </w:rPr>
        <w:t>87</w:t>
      </w:r>
      <w:r w:rsidRPr="009E640D">
        <w:rPr>
          <w:rFonts w:eastAsia="Calibri" w:cs="Times New Roman"/>
          <w:lang w:val="en-US"/>
        </w:rPr>
        <w:t>, c. 25)</w:t>
      </w:r>
      <w:r w:rsidRPr="009E640D">
        <w:rPr>
          <w:rFonts w:eastAsia="Calibri" w:cs="Times New Roman"/>
          <w:i/>
          <w:lang w:val="en-US"/>
        </w:rPr>
        <w:t xml:space="preserve"> </w:t>
      </w:r>
      <w:r w:rsidRPr="009E640D">
        <w:rPr>
          <w:rFonts w:eastAsia="Calibri" w:cs="Times New Roman"/>
          <w:lang w:val="en-US"/>
        </w:rPr>
        <w:t xml:space="preserve">prohibited non-lawyers from </w:t>
      </w:r>
      <w:proofErr w:type="spellStart"/>
      <w:r w:rsidRPr="009E640D">
        <w:rPr>
          <w:rFonts w:eastAsia="Calibri" w:cs="Times New Roman"/>
          <w:lang w:val="en-US"/>
        </w:rPr>
        <w:t>practising</w:t>
      </w:r>
      <w:proofErr w:type="spellEnd"/>
      <w:r w:rsidRPr="009E640D">
        <w:rPr>
          <w:rFonts w:eastAsia="Calibri" w:cs="Times New Roman"/>
          <w:lang w:val="en-US"/>
        </w:rPr>
        <w:t xml:space="preserve"> law. As defined in s. 1 of the </w:t>
      </w:r>
      <w:r w:rsidRPr="009E640D">
        <w:rPr>
          <w:rFonts w:eastAsia="Calibri" w:cs="Times New Roman"/>
          <w:i/>
          <w:lang w:val="en-US"/>
        </w:rPr>
        <w:t>Legal Profession Act</w:t>
      </w:r>
      <w:r w:rsidRPr="009E640D">
        <w:rPr>
          <w:rFonts w:eastAsia="Calibri" w:cs="Times New Roman"/>
          <w:lang w:val="en-US"/>
        </w:rPr>
        <w:t xml:space="preserve">, the expression “practice of law” included “appearing as counsel or advocate” in the expectation of a fee. Mr. </w:t>
      </w:r>
      <w:proofErr w:type="spellStart"/>
      <w:r w:rsidRPr="009E640D">
        <w:rPr>
          <w:rFonts w:eastAsia="Calibri" w:cs="Times New Roman"/>
          <w:lang w:val="en-US"/>
        </w:rPr>
        <w:t>Mangat</w:t>
      </w:r>
      <w:proofErr w:type="spellEnd"/>
      <w:r w:rsidRPr="009E640D">
        <w:rPr>
          <w:rFonts w:eastAsia="Calibri" w:cs="Times New Roman"/>
          <w:lang w:val="en-US"/>
        </w:rPr>
        <w:t xml:space="preserve"> was an immigration consultant. The Law Society of British Columbia applied for a permanent injunction to prevent him from </w:t>
      </w:r>
      <w:proofErr w:type="spellStart"/>
      <w:r w:rsidRPr="009E640D">
        <w:rPr>
          <w:rFonts w:eastAsia="Calibri" w:cs="Times New Roman"/>
          <w:lang w:val="en-US"/>
        </w:rPr>
        <w:t>practising</w:t>
      </w:r>
      <w:proofErr w:type="spellEnd"/>
      <w:r w:rsidRPr="009E640D">
        <w:rPr>
          <w:rFonts w:eastAsia="Calibri" w:cs="Times New Roman"/>
          <w:lang w:val="en-US"/>
        </w:rPr>
        <w:t xml:space="preserve"> law. The Court found the law to be inoperative, but used the term “operational conflict” in respect of both branches of the paramountcy test: </w:t>
      </w:r>
    </w:p>
    <w:p w:rsidR="00696B09" w:rsidRPr="009E640D" w:rsidRDefault="00696B09" w:rsidP="001B50FA">
      <w:pPr>
        <w:pStyle w:val="ParaNoNdepar-AltN"/>
        <w:widowControl w:val="0"/>
        <w:numPr>
          <w:ilvl w:val="0"/>
          <w:numId w:val="0"/>
        </w:numPr>
        <w:spacing w:after="720" w:line="240" w:lineRule="auto"/>
        <w:ind w:left="1166"/>
        <w:rPr>
          <w:rFonts w:eastAsia="Calibri" w:cs="Times New Roman"/>
          <w:lang w:val="en-US"/>
        </w:rPr>
      </w:pPr>
      <w:r w:rsidRPr="009E640D">
        <w:rPr>
          <w:rFonts w:eastAsia="Calibri" w:cs="Times New Roman"/>
          <w:lang w:val="en-US"/>
        </w:rPr>
        <w:lastRenderedPageBreak/>
        <w:tab/>
        <w:t xml:space="preserve">In this case, there is an operational conflict as the provincial legislation prohibits non-lawyers to appear for a fee before a tribunal but the federal legislation authorizes non-lawyers to appear as counsel for a fee.  </w:t>
      </w:r>
      <w:r w:rsidRPr="009E640D">
        <w:rPr>
          <w:rFonts w:eastAsia="Calibri" w:cs="Times New Roman"/>
          <w:u w:val="single"/>
          <w:lang w:val="en-US"/>
        </w:rPr>
        <w:t xml:space="preserve">At a superficial level, a person who seeks to comply with both enactments can succeed either by becoming a member in good standing of the Law Society of British Columbia or by not charging a fee.   Complying with the stricter statute necessarily involves complying with the other statute.  However, following the expanded interpretation given in cases like </w:t>
      </w:r>
      <w:r w:rsidRPr="009E640D">
        <w:rPr>
          <w:rFonts w:eastAsia="Calibri" w:cs="Times New Roman"/>
          <w:i/>
          <w:iCs/>
          <w:u w:val="single"/>
          <w:lang w:val="en-US"/>
        </w:rPr>
        <w:t>M &amp; D Farm</w:t>
      </w:r>
      <w:r w:rsidRPr="009E640D">
        <w:rPr>
          <w:rFonts w:eastAsia="Calibri" w:cs="Times New Roman"/>
          <w:u w:val="single"/>
          <w:lang w:val="en-US"/>
        </w:rPr>
        <w:t xml:space="preserve"> and </w:t>
      </w:r>
      <w:r w:rsidRPr="009E640D">
        <w:rPr>
          <w:rFonts w:eastAsia="Calibri" w:cs="Times New Roman"/>
          <w:i/>
          <w:iCs/>
          <w:u w:val="single"/>
          <w:lang w:val="en-US"/>
        </w:rPr>
        <w:t>Bank of Montreal</w:t>
      </w:r>
      <w:r w:rsidRPr="009E640D">
        <w:rPr>
          <w:rFonts w:eastAsia="Calibri" w:cs="Times New Roman"/>
          <w:u w:val="single"/>
          <w:lang w:val="en-US"/>
        </w:rPr>
        <w:t xml:space="preserve">, </w:t>
      </w:r>
      <w:r w:rsidRPr="009E640D">
        <w:rPr>
          <w:rFonts w:eastAsia="Calibri" w:cs="Times New Roman"/>
          <w:i/>
          <w:iCs/>
          <w:u w:val="single"/>
          <w:lang w:val="en-US"/>
        </w:rPr>
        <w:t>supra</w:t>
      </w:r>
      <w:r w:rsidRPr="009E640D">
        <w:rPr>
          <w:rFonts w:eastAsia="Calibri" w:cs="Times New Roman"/>
          <w:u w:val="single"/>
          <w:lang w:val="en-US"/>
        </w:rPr>
        <w:t>, dual compliance is impossible</w:t>
      </w:r>
      <w:r w:rsidRPr="009275F0">
        <w:rPr>
          <w:rFonts w:eastAsia="Calibri" w:cs="Times New Roman"/>
          <w:u w:val="single"/>
          <w:lang w:val="en-US"/>
        </w:rPr>
        <w:t>.</w:t>
      </w:r>
      <w:bookmarkStart w:id="32" w:name="par73"/>
      <w:r w:rsidRPr="009E640D">
        <w:rPr>
          <w:rFonts w:eastAsia="Calibri" w:cs="Times New Roman"/>
          <w:lang w:val="en-US"/>
        </w:rPr>
        <w:t> . . .</w:t>
      </w:r>
    </w:p>
    <w:bookmarkEnd w:id="32"/>
    <w:p w:rsidR="00696B09" w:rsidRPr="009E640D" w:rsidRDefault="00696B09" w:rsidP="001B50FA">
      <w:pPr>
        <w:pStyle w:val="ParaNoNdepar-AltN"/>
        <w:widowControl w:val="0"/>
        <w:numPr>
          <w:ilvl w:val="0"/>
          <w:numId w:val="0"/>
        </w:numPr>
        <w:spacing w:after="720" w:line="240" w:lineRule="auto"/>
        <w:ind w:left="1166"/>
        <w:rPr>
          <w:rFonts w:eastAsia="Calibri" w:cs="Times New Roman"/>
          <w:lang w:val="en-US"/>
        </w:rPr>
      </w:pPr>
      <w:r w:rsidRPr="009E640D">
        <w:rPr>
          <w:rFonts w:eastAsia="Calibri" w:cs="Times New Roman"/>
          <w:lang w:val="en-US"/>
        </w:rPr>
        <w:tab/>
      </w:r>
      <w:r w:rsidRPr="009E640D">
        <w:rPr>
          <w:rFonts w:eastAsia="Calibri" w:cs="Times New Roman"/>
          <w:u w:val="single"/>
          <w:lang w:val="en-US"/>
        </w:rPr>
        <w:t xml:space="preserve">This case should be distinguished from </w:t>
      </w:r>
      <w:r w:rsidRPr="009E640D">
        <w:rPr>
          <w:rFonts w:eastAsia="Calibri" w:cs="Times New Roman"/>
          <w:i/>
          <w:iCs/>
          <w:u w:val="single"/>
          <w:lang w:val="en-US"/>
        </w:rPr>
        <w:t xml:space="preserve">114957 Canada </w:t>
      </w:r>
      <w:proofErr w:type="spellStart"/>
      <w:r w:rsidRPr="009E640D">
        <w:rPr>
          <w:rFonts w:eastAsia="Calibri" w:cs="Times New Roman"/>
          <w:i/>
          <w:iCs/>
          <w:u w:val="single"/>
          <w:lang w:val="en-US"/>
        </w:rPr>
        <w:t>Ltée</w:t>
      </w:r>
      <w:proofErr w:type="spellEnd"/>
      <w:r w:rsidRPr="009E640D">
        <w:rPr>
          <w:rFonts w:eastAsia="Calibri" w:cs="Times New Roman"/>
          <w:i/>
          <w:iCs/>
          <w:u w:val="single"/>
          <w:lang w:val="en-US"/>
        </w:rPr>
        <w:t xml:space="preserve"> (</w:t>
      </w:r>
      <w:proofErr w:type="spellStart"/>
      <w:r w:rsidRPr="009E640D">
        <w:rPr>
          <w:rFonts w:eastAsia="Calibri" w:cs="Times New Roman"/>
          <w:i/>
          <w:iCs/>
          <w:u w:val="single"/>
          <w:lang w:val="en-US"/>
        </w:rPr>
        <w:t>Spraytech</w:t>
      </w:r>
      <w:proofErr w:type="spellEnd"/>
      <w:r w:rsidRPr="009E640D">
        <w:rPr>
          <w:rFonts w:eastAsia="Calibri" w:cs="Times New Roman"/>
          <w:i/>
          <w:iCs/>
          <w:u w:val="single"/>
          <w:lang w:val="en-US"/>
        </w:rPr>
        <w:t xml:space="preserve">, </w:t>
      </w:r>
      <w:proofErr w:type="spellStart"/>
      <w:r w:rsidRPr="009E640D">
        <w:rPr>
          <w:rFonts w:eastAsia="Calibri" w:cs="Times New Roman"/>
          <w:i/>
          <w:iCs/>
          <w:u w:val="single"/>
          <w:lang w:val="en-US"/>
        </w:rPr>
        <w:t>Société</w:t>
      </w:r>
      <w:proofErr w:type="spellEnd"/>
      <w:r w:rsidRPr="009E640D">
        <w:rPr>
          <w:rFonts w:eastAsia="Calibri" w:cs="Times New Roman"/>
          <w:i/>
          <w:iCs/>
          <w:u w:val="single"/>
          <w:lang w:val="en-US"/>
        </w:rPr>
        <w:t xml:space="preserve"> </w:t>
      </w:r>
      <w:proofErr w:type="spellStart"/>
      <w:r w:rsidRPr="009E640D">
        <w:rPr>
          <w:rFonts w:eastAsia="Calibri" w:cs="Times New Roman"/>
          <w:i/>
          <w:iCs/>
          <w:u w:val="single"/>
          <w:lang w:val="en-US"/>
        </w:rPr>
        <w:t>d’arrosage</w:t>
      </w:r>
      <w:proofErr w:type="spellEnd"/>
      <w:r w:rsidRPr="009E640D">
        <w:rPr>
          <w:rFonts w:eastAsia="Calibri" w:cs="Times New Roman"/>
          <w:i/>
          <w:iCs/>
          <w:u w:val="single"/>
          <w:lang w:val="en-US"/>
        </w:rPr>
        <w:t>) v. Hudson (Town)</w:t>
      </w:r>
      <w:r w:rsidRPr="009E640D">
        <w:rPr>
          <w:rFonts w:eastAsia="Calibri" w:cs="Times New Roman"/>
          <w:u w:val="single"/>
          <w:lang w:val="en-US"/>
        </w:rPr>
        <w:t>, [2001] 2 S.C.R. 241, 2001 SCC 40.  In that case, it was possible to comply with the federal, provincial, and municipal statutes or regulations without defeating Parliament’s purpose.</w:t>
      </w:r>
      <w:r w:rsidRPr="009E640D">
        <w:rPr>
          <w:rFonts w:eastAsia="Calibri" w:cs="Times New Roman"/>
          <w:lang w:val="en-US"/>
        </w:rPr>
        <w:t>  As previously shown, in this case, it is impossible to comply with the provincial statute without frustrating Parliament’s purpose. [Emphasis added; paras. 72-73.]</w:t>
      </w:r>
    </w:p>
    <w:p w:rsidR="00696B09" w:rsidRPr="009E640D" w:rsidRDefault="00696B09" w:rsidP="001B50FA">
      <w:pPr>
        <w:pStyle w:val="ParaNoNdepar-AltN"/>
        <w:widowControl w:val="0"/>
        <w:tabs>
          <w:tab w:val="clear" w:pos="1152"/>
          <w:tab w:val="left" w:pos="1166"/>
          <w:tab w:val="num" w:pos="1242"/>
        </w:tabs>
        <w:rPr>
          <w:rFonts w:eastAsia="Calibri" w:cs="Times New Roman"/>
          <w:lang w:val="en-US"/>
        </w:rPr>
      </w:pPr>
      <w:r w:rsidRPr="009E640D">
        <w:rPr>
          <w:rFonts w:eastAsia="Calibri" w:cs="Times New Roman"/>
          <w:lang w:val="en-US"/>
        </w:rPr>
        <w:t xml:space="preserve">In my view, the Court actually found in that case that there was no operational conflict (as that concept is understood today), as it noted in the above passage that the statutes at issue allowed dual compliance at a “superficial level”; the words “superficial level” corresponded to the operational conflict branch. And it then found that dual compliance was not possible on the basis of an “expanded interpretation”, citing </w:t>
      </w:r>
      <w:r w:rsidRPr="009E640D">
        <w:rPr>
          <w:rFonts w:eastAsia="Calibri" w:cs="Times New Roman"/>
          <w:i/>
          <w:lang w:val="en-US"/>
        </w:rPr>
        <w:t>M &amp; D Farm</w:t>
      </w:r>
      <w:r w:rsidRPr="009E640D">
        <w:rPr>
          <w:rFonts w:eastAsia="Calibri" w:cs="Times New Roman"/>
          <w:lang w:val="en-US"/>
        </w:rPr>
        <w:t xml:space="preserve"> and </w:t>
      </w:r>
      <w:r w:rsidRPr="009E640D">
        <w:rPr>
          <w:rFonts w:eastAsia="Calibri" w:cs="Times New Roman"/>
          <w:i/>
          <w:lang w:val="en-US"/>
        </w:rPr>
        <w:t>Bank of Montreal</w:t>
      </w:r>
      <w:r w:rsidRPr="009E640D">
        <w:rPr>
          <w:rFonts w:eastAsia="Calibri" w:cs="Times New Roman"/>
          <w:lang w:val="en-US"/>
        </w:rPr>
        <w:t>; the words “expanded interpretation” referred to the frustration of purpose</w:t>
      </w:r>
      <w:bookmarkStart w:id="33" w:name="par72"/>
      <w:r w:rsidRPr="009E640D">
        <w:rPr>
          <w:rFonts w:eastAsia="Calibri" w:cs="Times New Roman"/>
          <w:lang w:val="en-US"/>
        </w:rPr>
        <w:t xml:space="preserve"> branch. </w:t>
      </w:r>
      <w:bookmarkEnd w:id="33"/>
    </w:p>
    <w:p w:rsidR="00696B09" w:rsidRPr="009E640D" w:rsidRDefault="00696B09" w:rsidP="001B50FA">
      <w:pPr>
        <w:pStyle w:val="ParaNoNdepar-AltN"/>
        <w:widowControl w:val="0"/>
        <w:tabs>
          <w:tab w:val="clear" w:pos="1152"/>
          <w:tab w:val="left" w:pos="1166"/>
          <w:tab w:val="num" w:pos="1242"/>
        </w:tabs>
        <w:rPr>
          <w:rFonts w:eastAsia="Calibri" w:cs="Times New Roman"/>
          <w:lang w:val="en-US"/>
        </w:rPr>
      </w:pPr>
      <w:r w:rsidRPr="009E640D">
        <w:rPr>
          <w:rFonts w:eastAsia="Calibri" w:cs="Times New Roman"/>
          <w:lang w:val="en-US"/>
        </w:rPr>
        <w:t xml:space="preserve">In light of the above cases, I find it difficult to conclude, as my colleague urges me to do, that the approach taken by this Court on this issue has been entirely consistent. </w:t>
      </w:r>
    </w:p>
    <w:p w:rsidR="00696B09" w:rsidRPr="009E640D" w:rsidRDefault="00696B09" w:rsidP="001B50FA">
      <w:pPr>
        <w:pStyle w:val="ParaNoNdepar-AltN"/>
        <w:widowControl w:val="0"/>
        <w:rPr>
          <w:rFonts w:cs="Times New Roman"/>
        </w:rPr>
      </w:pPr>
      <w:r w:rsidRPr="009E640D">
        <w:rPr>
          <w:rFonts w:cs="Times New Roman"/>
        </w:rPr>
        <w:lastRenderedPageBreak/>
        <w:t xml:space="preserve">Although this Court’s past decisions are not always helpful when it comes to drawing a distinction between the two branches, they do support three propositions: (1) that the applicable standard for the first branch is </w:t>
      </w:r>
      <w:r w:rsidRPr="009E640D">
        <w:rPr>
          <w:rFonts w:cs="Times New Roman"/>
          <w:i/>
        </w:rPr>
        <w:t>impossibility</w:t>
      </w:r>
      <w:r w:rsidRPr="009E640D">
        <w:rPr>
          <w:rFonts w:cs="Times New Roman"/>
        </w:rPr>
        <w:t xml:space="preserve"> of dual compliance caused by an express conflict, (2) that this is a high standard that should be applied with restraint, and only in very few cases, and (3) that the two branches are distinct and address different forms of conflict.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Consequently, I find that the analysis at the first stage should really be as simple as the </w:t>
      </w:r>
      <w:r w:rsidR="007D71B9">
        <w:rPr>
          <w:rFonts w:cs="Times New Roman"/>
        </w:rPr>
        <w:t>Alberta</w:t>
      </w:r>
      <w:r w:rsidRPr="009E640D">
        <w:rPr>
          <w:rFonts w:cs="Times New Roman"/>
        </w:rPr>
        <w:t xml:space="preserve"> Court of Appeal put it, and it is no surprise to me that both parties made next to no submissions on the point. The determining question is whether the province’s legislation provides a path on which dual compliance is possible. Because such a path exists in this case as a result of the wording of the two provisions, dual compliance cannot be found to be impossible. </w:t>
      </w:r>
      <w:r w:rsidRPr="009E640D">
        <w:rPr>
          <w:rFonts w:eastAsia="Calibri" w:cs="Times New Roman"/>
          <w:lang w:val="en-US"/>
        </w:rPr>
        <w:t xml:space="preserve">Unlike in </w:t>
      </w:r>
      <w:r w:rsidRPr="009E640D">
        <w:rPr>
          <w:rFonts w:eastAsia="Calibri" w:cs="Times New Roman"/>
          <w:i/>
          <w:lang w:val="en-US"/>
        </w:rPr>
        <w:t>M &amp; D Farm</w:t>
      </w:r>
      <w:r w:rsidRPr="009E640D">
        <w:rPr>
          <w:rFonts w:eastAsia="Calibri" w:cs="Times New Roman"/>
          <w:lang w:val="en-US"/>
        </w:rPr>
        <w:t>, the two statutes in the instant case have different contents and provide for different remedies.</w:t>
      </w:r>
      <w:r w:rsidRPr="009E640D">
        <w:rPr>
          <w:rFonts w:cs="Times New Roman"/>
        </w:rPr>
        <w:t xml:space="preserve"> Since the bankrupt is under no compulsion in this regard, he or she can either opt not to drive or voluntarily pay the discharged debt, in which case there will be no operational conflict between the provincial and federal laws. The only thing Alberta can do is suspend a bankrupt’s driver’s licen</w:t>
      </w:r>
      <w:r w:rsidR="003F5663">
        <w:rPr>
          <w:rFonts w:cs="Times New Roman"/>
        </w:rPr>
        <w:t>c</w:t>
      </w:r>
      <w:r w:rsidRPr="009E640D">
        <w:rPr>
          <w:rFonts w:cs="Times New Roman"/>
        </w:rPr>
        <w:t>e.</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It is important to note that although operational conflict and frustration of purpose are described as two “branches” of a single test, either one is sufficient to trigger the application of the doctrine of federal paramountcy. Where enactments are </w:t>
      </w:r>
      <w:r w:rsidRPr="009E640D">
        <w:rPr>
          <w:rFonts w:cs="Times New Roman"/>
        </w:rPr>
        <w:lastRenderedPageBreak/>
        <w:t>found to be in operational conflict, the inquiry can end there without further investigation into the purposes of the enactments. A high standard at the first stage merely means that in most cases, the purpose and effects of the legislation at issue will need to be analyzed at the second stage.</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Requiring courts to deal with the issue in the second branch has many advantages. For the frustration of purpose analysis, the federal legislative intent with which the provincial law is alleged to be incompatible must be established by the party relying on it. Clear proof of intent is required. The party must first establish the purpose of the relevant federal statute and then prove that the provincial law is incompatible with or frustrates this purpose: </w:t>
      </w:r>
      <w:r w:rsidRPr="009E640D">
        <w:rPr>
          <w:rFonts w:cs="Times New Roman"/>
          <w:i/>
        </w:rPr>
        <w:t>COPA</w:t>
      </w:r>
      <w:r w:rsidRPr="009E640D">
        <w:rPr>
          <w:rFonts w:cs="Times New Roman"/>
        </w:rPr>
        <w:t>, at para. 66.</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In the second branch, the court can proceed with a careful analysis of Parliament’s intent and, if possible, interpret the federal law so as not to interfere with the provincial law:  </w:t>
      </w:r>
      <w:r w:rsidRPr="009E640D">
        <w:rPr>
          <w:rFonts w:cs="Times New Roman"/>
          <w:i/>
        </w:rPr>
        <w:t>Canadian Western Bank</w:t>
      </w:r>
      <w:r w:rsidRPr="009E640D">
        <w:rPr>
          <w:rFonts w:cs="Times New Roman"/>
        </w:rPr>
        <w:t xml:space="preserve">, at para. 75. Before concluding that the provincial law is inoperative, the court can also consider whether the federal government supports the operation of that law. In </w:t>
      </w:r>
      <w:r w:rsidRPr="009E640D">
        <w:rPr>
          <w:rFonts w:cs="Times New Roman"/>
          <w:i/>
        </w:rPr>
        <w:t>Rothmans</w:t>
      </w:r>
      <w:r w:rsidRPr="009E640D">
        <w:rPr>
          <w:rFonts w:cs="Times New Roman"/>
        </w:rPr>
        <w:t>, this Court emphasized that in resolving federalism issues, a court must bear in mind the position of the government at the other level (para. 26). In that case, the federal government intervened in favour of the provincial law, arguing that it had been enacted for the same health-related purpose as the federal law. The Court found that there was no frustration of purpose.</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lastRenderedPageBreak/>
        <w:t xml:space="preserve">Considering that the doctrine of federal paramountcy operates at the expense of provincial jurisdiction and reduces legislative overlap, these principles encourage governments at both levels to take the lead in defining the scope of their legislative powers.  They facilitate intergovernmental dialogue and serve as safeguards of provincial autonomy. In my view, the approach I suggest is more consistent with the principle of co-operative federalism as applied in </w:t>
      </w:r>
      <w:r w:rsidRPr="009E640D">
        <w:rPr>
          <w:rFonts w:cs="Times New Roman"/>
          <w:i/>
        </w:rPr>
        <w:t>Canadian Western Bank</w:t>
      </w:r>
      <w:r w:rsidRPr="009E640D">
        <w:rPr>
          <w:rFonts w:cs="Times New Roman"/>
        </w:rPr>
        <w:t xml:space="preserve">. It also sets a clear precedent by reaffirming that a provincial law will rarely be found to be inoperative in the first branch of the analysis.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My colleague concludes that this approach would render the first branch of the federal paramountcy test meaningless; in his opinion, it is virtually always possible to avoid the application of a provincial law so as not to cause a conflict with a federal law. I disagree that the “impossibility” standard, if applied strictly, would render the first branch of the federal paramountcy test meaningless. If the provincial law </w:t>
      </w:r>
      <w:r w:rsidRPr="009E640D">
        <w:rPr>
          <w:rFonts w:cs="Times New Roman"/>
          <w:i/>
        </w:rPr>
        <w:t xml:space="preserve">allows or requires </w:t>
      </w:r>
      <w:r w:rsidRPr="009E640D">
        <w:rPr>
          <w:rFonts w:cs="Times New Roman"/>
        </w:rPr>
        <w:t xml:space="preserve">something that the federal law explicitly </w:t>
      </w:r>
      <w:r w:rsidRPr="009E640D">
        <w:rPr>
          <w:rFonts w:cs="Times New Roman"/>
          <w:i/>
        </w:rPr>
        <w:t>prohibits</w:t>
      </w:r>
      <w:r w:rsidRPr="009E640D">
        <w:rPr>
          <w:rFonts w:cs="Times New Roman"/>
        </w:rPr>
        <w:t xml:space="preserve">, or if the conflict is direct rather than indirect, there will be an operational conflict. But that is just not the case here. In fact, the effect of my colleague’s approach is to render the </w:t>
      </w:r>
      <w:r w:rsidRPr="009E640D">
        <w:rPr>
          <w:rFonts w:cs="Times New Roman"/>
          <w:i/>
        </w:rPr>
        <w:t>second</w:t>
      </w:r>
      <w:r w:rsidRPr="009E640D">
        <w:rPr>
          <w:rFonts w:cs="Times New Roman"/>
        </w:rPr>
        <w:t xml:space="preserve"> branch meaningless, since a frustration of federal purpose analysis can now be used to interpret federal statutes broadly in order to find that an operational conflict exists where there would otherwise be none.</w:t>
      </w:r>
    </w:p>
    <w:p w:rsidR="00696B09" w:rsidRPr="009E640D" w:rsidRDefault="00696B09" w:rsidP="001B50FA">
      <w:pPr>
        <w:pStyle w:val="ParaNoNdepar-AltN"/>
        <w:widowControl w:val="0"/>
        <w:tabs>
          <w:tab w:val="clear" w:pos="1152"/>
          <w:tab w:val="left" w:pos="1166"/>
          <w:tab w:val="num" w:pos="1242"/>
        </w:tabs>
        <w:rPr>
          <w:rFonts w:eastAsia="Calibri" w:cs="Times New Roman"/>
          <w:lang w:val="en-US"/>
        </w:rPr>
      </w:pPr>
      <w:r w:rsidRPr="009E640D">
        <w:rPr>
          <w:rFonts w:cs="Times New Roman"/>
        </w:rPr>
        <w:t xml:space="preserve">Following my approach, one would still find that there was an operational </w:t>
      </w:r>
      <w:r w:rsidRPr="009E640D">
        <w:rPr>
          <w:rFonts w:cs="Times New Roman"/>
        </w:rPr>
        <w:lastRenderedPageBreak/>
        <w:t xml:space="preserve">conflict in </w:t>
      </w:r>
      <w:r w:rsidRPr="009E640D">
        <w:rPr>
          <w:rFonts w:cs="Times New Roman"/>
          <w:i/>
        </w:rPr>
        <w:t>M &amp; D Farm</w:t>
      </w:r>
      <w:r w:rsidRPr="009E640D">
        <w:rPr>
          <w:rFonts w:cs="Times New Roman"/>
        </w:rPr>
        <w:t xml:space="preserve">, in which the federal law imposed an absolute stay of proceedings on the very procedures the provincial statute allowed to commence or to continue. In that case, the express requirement of the federal statute was in direct conflict with the provincial law. On the one hand, the federal </w:t>
      </w:r>
      <w:r w:rsidRPr="009E640D">
        <w:rPr>
          <w:rFonts w:cs="Times New Roman"/>
          <w:i/>
        </w:rPr>
        <w:t>Farm Debt Review Act</w:t>
      </w:r>
      <w:r w:rsidRPr="009E640D">
        <w:rPr>
          <w:rFonts w:cs="Times New Roman"/>
        </w:rPr>
        <w:t xml:space="preserve">, R.S.C. 1985, c. 25 (2nd Supp.), permitted a farmer to obtain a stay of a creditor’s proceedings and required the creditor, before demanding payment, to give notice that it intended to commence foreclosure proceedings. On the other hand, under the provincial statute, the creditor could obtain an order authorizing the immediate commencement of such proceedings. </w:t>
      </w:r>
      <w:r w:rsidRPr="009E640D">
        <w:rPr>
          <w:rFonts w:eastAsia="Calibri" w:cs="Times New Roman"/>
          <w:lang w:val="en-US"/>
        </w:rPr>
        <w:t>Unlike in the case at bar, the two statutes had similar contents and provided for similar remedies: both dealt specifically with the process for realizing on farmers’ debts, and both established procedures for commencing or continuing proceedings against farmers.</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The approach I suggest would also result in a finding that there was an operational conflict in </w:t>
      </w:r>
      <w:r w:rsidRPr="009E640D">
        <w:rPr>
          <w:rFonts w:cs="Times New Roman"/>
          <w:i/>
        </w:rPr>
        <w:t xml:space="preserve">Sun </w:t>
      </w:r>
      <w:proofErr w:type="spellStart"/>
      <w:r w:rsidRPr="009E640D">
        <w:rPr>
          <w:rFonts w:cs="Times New Roman"/>
          <w:i/>
        </w:rPr>
        <w:t>Indalex</w:t>
      </w:r>
      <w:proofErr w:type="spellEnd"/>
      <w:r w:rsidRPr="009E640D">
        <w:rPr>
          <w:rFonts w:cs="Times New Roman"/>
          <w:i/>
        </w:rPr>
        <w:t xml:space="preserve"> Finance, LLC v. United Steelworkers</w:t>
      </w:r>
      <w:r w:rsidRPr="009E640D">
        <w:rPr>
          <w:rFonts w:cs="Times New Roman"/>
        </w:rPr>
        <w:t xml:space="preserve">, 2013 SCC 6, [2013] 1 S.C.R. 271, in which the federal statute, the </w:t>
      </w:r>
      <w:r w:rsidRPr="009E640D">
        <w:rPr>
          <w:rFonts w:cs="Times New Roman"/>
          <w:i/>
        </w:rPr>
        <w:t>Companies’ Creditors Arrangement Act</w:t>
      </w:r>
      <w:r w:rsidRPr="009E640D">
        <w:rPr>
          <w:rFonts w:cs="Times New Roman"/>
        </w:rPr>
        <w:t xml:space="preserve">, R.S.C. 1985, c. C-36, gave a court the power to order that a security or charge rank in priority </w:t>
      </w:r>
      <w:r w:rsidRPr="009E640D">
        <w:rPr>
          <w:rFonts w:cs="Times New Roman"/>
          <w:i/>
        </w:rPr>
        <w:t>over the claim of any secured creditor of the company</w:t>
      </w:r>
      <w:r w:rsidRPr="009E640D">
        <w:rPr>
          <w:rFonts w:cs="Times New Roman"/>
        </w:rPr>
        <w:t xml:space="preserve">, whereas the provincial statute created a priority in favour of the administrator of the company’s employee pension plan. The federal legislation was not only permissive, but granted the court a very specific power; the provincial legislature was left little leeway to interfere with this power. Because the provincial statute provided, on a </w:t>
      </w:r>
      <w:r w:rsidRPr="009E640D">
        <w:rPr>
          <w:rFonts w:cs="Times New Roman"/>
        </w:rPr>
        <w:lastRenderedPageBreak/>
        <w:t xml:space="preserve">mandatory basis, for a different order of priority, it was impossible to comply with both laws without rendering the court’s power under the federal statute meaningless.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I would add that what is “virtually always possible”, as my colleague puts it, at para. </w:t>
      </w:r>
      <w:r>
        <w:rPr>
          <w:rFonts w:cs="Times New Roman"/>
        </w:rPr>
        <w:t>69</w:t>
      </w:r>
      <w:r w:rsidRPr="009E640D">
        <w:rPr>
          <w:rFonts w:cs="Times New Roman"/>
        </w:rPr>
        <w:t xml:space="preserve">, is to find </w:t>
      </w:r>
      <w:r w:rsidRPr="009E640D">
        <w:rPr>
          <w:rFonts w:cs="Times New Roman"/>
          <w:i/>
        </w:rPr>
        <w:t>some</w:t>
      </w:r>
      <w:r w:rsidRPr="009E640D">
        <w:rPr>
          <w:rFonts w:cs="Times New Roman"/>
        </w:rPr>
        <w:t xml:space="preserve"> conflict in the application of two laws. This is why the case law requires something more, namely impossibility of dual compliance and an express conflict. It is also why the focus is on the wording of the federal statute and not on its every possible ramification. </w:t>
      </w:r>
    </w:p>
    <w:p w:rsidR="00696B09" w:rsidRPr="009E640D" w:rsidRDefault="00696B09" w:rsidP="001B50FA">
      <w:pPr>
        <w:pStyle w:val="ParaNoNdepar-AltN"/>
        <w:widowControl w:val="0"/>
        <w:tabs>
          <w:tab w:val="clear" w:pos="1152"/>
          <w:tab w:val="left" w:pos="1166"/>
          <w:tab w:val="num" w:pos="1242"/>
        </w:tabs>
        <w:rPr>
          <w:rFonts w:cs="Times New Roman"/>
        </w:rPr>
      </w:pPr>
      <w:r w:rsidRPr="009E640D">
        <w:rPr>
          <w:rFonts w:cs="Times New Roman"/>
        </w:rPr>
        <w:t xml:space="preserve">In the end, the issue in this case is whether the </w:t>
      </w:r>
      <w:r w:rsidRPr="009E640D">
        <w:rPr>
          <w:rFonts w:cs="Times New Roman"/>
          <w:i/>
        </w:rPr>
        <w:t>effect</w:t>
      </w:r>
      <w:r w:rsidRPr="009E640D">
        <w:rPr>
          <w:rFonts w:cs="Times New Roman"/>
        </w:rPr>
        <w:t xml:space="preserve"> of the province withholding driving privileges in this manner produces a conflict with the purposes of the </w:t>
      </w:r>
      <w:r w:rsidRPr="009E640D">
        <w:rPr>
          <w:rFonts w:cs="Times New Roman"/>
          <w:i/>
        </w:rPr>
        <w:t>BIA</w:t>
      </w:r>
      <w:r w:rsidRPr="009E640D">
        <w:rPr>
          <w:rFonts w:cs="Times New Roman"/>
        </w:rPr>
        <w:t xml:space="preserve">, thereby accomplishing indirectly what the province cannot do directly. Thus, it is on the basis of the second branch of the federal paramountcy test, not the first, that this appeal must be decided.  </w:t>
      </w:r>
    </w:p>
    <w:p w:rsidR="00696B09" w:rsidRPr="009E640D" w:rsidRDefault="00696B09" w:rsidP="001B50FA">
      <w:pPr>
        <w:pStyle w:val="ParaNoNdepar-AltN"/>
        <w:widowControl w:val="0"/>
        <w:tabs>
          <w:tab w:val="clear" w:pos="1152"/>
          <w:tab w:val="left" w:pos="1166"/>
          <w:tab w:val="num" w:pos="1242"/>
        </w:tabs>
        <w:rPr>
          <w:rFonts w:cs="Times New Roman"/>
          <w:strike/>
        </w:rPr>
      </w:pPr>
      <w:r w:rsidRPr="009E640D">
        <w:rPr>
          <w:rFonts w:cs="Times New Roman"/>
        </w:rPr>
        <w:t>I adopt my colleague’s analysis and conclusion on this point. As the frustration of one federal purpose is sufficient to trigger the application of the doctrine of federal paramountcy, I need not address the second proposed ground for frustration of purpose, that of equitable distribution.</w:t>
      </w:r>
    </w:p>
    <w:p w:rsidR="00FD3770" w:rsidRPr="003D1D39" w:rsidRDefault="00FD3770" w:rsidP="001B50FA">
      <w:pPr>
        <w:pStyle w:val="SCCNormalDoubleSpacing"/>
        <w:widowControl w:val="0"/>
        <w:spacing w:before="480" w:after="480"/>
      </w:pPr>
      <w:r w:rsidRPr="003D1D39">
        <w:tab/>
      </w:r>
      <w:r w:rsidRPr="003D1D39">
        <w:rPr>
          <w:i/>
        </w:rPr>
        <w:t>Appeal dismissed with costs.</w:t>
      </w:r>
    </w:p>
    <w:p w:rsidR="00FD3770" w:rsidRPr="003D1D39" w:rsidRDefault="00FD3770" w:rsidP="001B50FA">
      <w:pPr>
        <w:pStyle w:val="SCCLawFirm"/>
        <w:widowControl w:val="0"/>
        <w:spacing w:before="480" w:after="480"/>
      </w:pPr>
      <w:r w:rsidRPr="003D1D39">
        <w:tab/>
        <w:t>Solicitor for the appellant: Attorney General of Alberta, Edmonton.</w:t>
      </w:r>
    </w:p>
    <w:p w:rsidR="00FD3770" w:rsidRPr="003D1D39" w:rsidRDefault="00FD3770" w:rsidP="001B50FA">
      <w:pPr>
        <w:pStyle w:val="SCCLawFirm"/>
        <w:widowControl w:val="0"/>
        <w:spacing w:before="480" w:after="480"/>
      </w:pPr>
      <w:r w:rsidRPr="003D1D39">
        <w:lastRenderedPageBreak/>
        <w:tab/>
        <w:t>Solicitors for the respondent: Bow Valley Counsel, Canmore, Alberta.</w:t>
      </w:r>
    </w:p>
    <w:p w:rsidR="00FD3770" w:rsidRPr="003D1D39" w:rsidRDefault="00FD3770" w:rsidP="001B50FA">
      <w:pPr>
        <w:pStyle w:val="SCCLawFirm"/>
        <w:widowControl w:val="0"/>
        <w:spacing w:before="480" w:after="480"/>
      </w:pPr>
      <w:r w:rsidRPr="003D1D39">
        <w:tab/>
        <w:t>Solicitor for the intervener the Attorney General of Ontario: Attorney General of Ontario, Toronto.</w:t>
      </w:r>
    </w:p>
    <w:p w:rsidR="00FD3770" w:rsidRPr="003D1D39" w:rsidRDefault="00FD3770" w:rsidP="001B50FA">
      <w:pPr>
        <w:pStyle w:val="SCCLawFirm"/>
        <w:widowControl w:val="0"/>
        <w:spacing w:before="480" w:after="480"/>
      </w:pPr>
      <w:r w:rsidRPr="003D1D39">
        <w:tab/>
        <w:t>Solicitor for the intervener the Attorney General of Quebec: Attorney General of Quebec, Sainte</w:t>
      </w:r>
      <w:r w:rsidRPr="003D1D39">
        <w:noBreakHyphen/>
        <w:t>Foy.</w:t>
      </w:r>
    </w:p>
    <w:p w:rsidR="00FD3770" w:rsidRPr="003D1D39" w:rsidRDefault="00FD3770" w:rsidP="001B50FA">
      <w:pPr>
        <w:pStyle w:val="SCCLawFirm"/>
        <w:widowControl w:val="0"/>
        <w:spacing w:before="480" w:after="480"/>
      </w:pPr>
      <w:r w:rsidRPr="003D1D39">
        <w:tab/>
        <w:t>Solicitor for the intervener the Attorney General of British Columbia: Attorney General of British Columbia, Victoria.</w:t>
      </w:r>
    </w:p>
    <w:p w:rsidR="00FD3770" w:rsidRPr="003D1D39" w:rsidRDefault="00FD3770" w:rsidP="001B50FA">
      <w:pPr>
        <w:pStyle w:val="SCCLawFirm"/>
        <w:widowControl w:val="0"/>
        <w:spacing w:before="480" w:after="480"/>
      </w:pPr>
      <w:r w:rsidRPr="003D1D39">
        <w:tab/>
        <w:t>Solicitor for the intervener the Attorney General for Saskatchewan: Attorney General for Saskatchewan, Regina.</w:t>
      </w:r>
    </w:p>
    <w:p w:rsidR="00FD3770" w:rsidRPr="003D1D39" w:rsidRDefault="00FD3770" w:rsidP="001B50FA">
      <w:pPr>
        <w:pStyle w:val="SCCLawFirm"/>
        <w:widowControl w:val="0"/>
      </w:pPr>
      <w:r w:rsidRPr="003D1D39">
        <w:tab/>
        <w:t>Solicitor for the intervener the Superintendent of Bankruptcy: Attorney General of Canada, Toronto.</w:t>
      </w:r>
    </w:p>
    <w:sectPr w:rsidR="00FD3770" w:rsidRPr="003D1D3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AA" w:rsidRDefault="00494BF9">
      <w:r>
        <w:separator/>
      </w:r>
    </w:p>
  </w:endnote>
  <w:endnote w:type="continuationSeparator" w:id="0">
    <w:p w:rsidR="001F2EAA" w:rsidRDefault="004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030"/>
      <w:gridCol w:w="3330"/>
    </w:tblGrid>
    <w:tr w:rsidR="00696B09">
      <w:trPr>
        <w:cantSplit/>
      </w:trPr>
      <w:tc>
        <w:tcPr>
          <w:tcW w:w="6030" w:type="dxa"/>
          <w:tcBorders>
            <w:top w:val="nil"/>
            <w:left w:val="nil"/>
            <w:bottom w:val="nil"/>
            <w:right w:val="nil"/>
          </w:tcBorders>
          <w:tcMar>
            <w:top w:w="120" w:type="dxa"/>
            <w:left w:w="120" w:type="dxa"/>
            <w:bottom w:w="58" w:type="dxa"/>
            <w:right w:w="120" w:type="dxa"/>
          </w:tcMar>
        </w:tcPr>
        <w:p w:rsidR="00696B09" w:rsidRPr="00F45AB8" w:rsidRDefault="00696B09">
          <w:pPr>
            <w:tabs>
              <w:tab w:val="left" w:pos="-1440"/>
              <w:tab w:val="left" w:pos="-720"/>
              <w:tab w:val="left" w:pos="0"/>
              <w:tab w:val="left" w:pos="1152"/>
              <w:tab w:val="left" w:pos="1570"/>
              <w:tab w:val="left" w:pos="1843"/>
              <w:tab w:val="left" w:pos="2261"/>
              <w:tab w:val="left" w:pos="6480"/>
            </w:tabs>
            <w:jc w:val="both"/>
            <w:rPr>
              <w:lang w:val="en-US"/>
            </w:rPr>
          </w:pPr>
          <w:r>
            <w:fldChar w:fldCharType="begin"/>
          </w:r>
          <w:r w:rsidRPr="00B6074C">
            <w:instrText xml:space="preserve"> FILENAME \p \* MERGEFORMAT </w:instrText>
          </w:r>
          <w:r>
            <w:fldChar w:fldCharType="separate"/>
          </w:r>
          <w:r>
            <w:rPr>
              <w:noProof/>
            </w:rPr>
            <w:t>S:\Judgments - Jugements\Judgment - Jugement\Original\Moloney-cto.docx</w:t>
          </w:r>
          <w:r>
            <w:rPr>
              <w:noProof/>
            </w:rPr>
            <w:fldChar w:fldCharType="end"/>
          </w:r>
        </w:p>
      </w:tc>
      <w:tc>
        <w:tcPr>
          <w:tcW w:w="3330" w:type="dxa"/>
          <w:tcBorders>
            <w:top w:val="nil"/>
            <w:left w:val="nil"/>
            <w:bottom w:val="nil"/>
            <w:right w:val="nil"/>
          </w:tcBorders>
          <w:tcMar>
            <w:top w:w="120" w:type="dxa"/>
            <w:left w:w="120" w:type="dxa"/>
            <w:bottom w:w="58" w:type="dxa"/>
            <w:right w:w="120" w:type="dxa"/>
          </w:tcMar>
        </w:tcPr>
        <w:p w:rsidR="00696B09" w:rsidRDefault="00696B09">
          <w:pPr>
            <w:tabs>
              <w:tab w:val="left" w:pos="-1440"/>
              <w:tab w:val="left" w:pos="-720"/>
              <w:tab w:val="left" w:pos="0"/>
              <w:tab w:val="left" w:pos="1152"/>
              <w:tab w:val="left" w:pos="1570"/>
              <w:tab w:val="left" w:pos="1843"/>
              <w:tab w:val="left" w:pos="2261"/>
              <w:tab w:val="left" w:pos="6480"/>
            </w:tabs>
            <w:jc w:val="right"/>
          </w:pPr>
          <w:r w:rsidRPr="00F45AB8">
            <w:rPr>
              <w:lang w:val="en-US"/>
            </w:rPr>
            <w:t xml:space="preserve"> </w:t>
          </w:r>
          <w:r>
            <w:t>()</w:t>
          </w:r>
        </w:p>
      </w:tc>
    </w:tr>
  </w:tbl>
  <w:p w:rsidR="00696B09" w:rsidRDefault="00696B09">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09" w:rsidRDefault="00696B09"/>
  <w:tbl>
    <w:tblPr>
      <w:tblW w:w="936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030"/>
      <w:gridCol w:w="3330"/>
    </w:tblGrid>
    <w:tr w:rsidR="00696B09" w:rsidTr="00584AE5">
      <w:trPr>
        <w:cantSplit/>
      </w:trPr>
      <w:tc>
        <w:tcPr>
          <w:tcW w:w="6030" w:type="dxa"/>
          <w:tcBorders>
            <w:top w:val="nil"/>
            <w:left w:val="nil"/>
            <w:bottom w:val="nil"/>
            <w:right w:val="nil"/>
          </w:tcBorders>
        </w:tcPr>
        <w:p w:rsidR="00696B09" w:rsidRDefault="00696B09" w:rsidP="00BD6EC3">
          <w:pPr>
            <w:tabs>
              <w:tab w:val="left" w:pos="-1440"/>
              <w:tab w:val="left" w:pos="-720"/>
              <w:tab w:val="left" w:pos="0"/>
            </w:tabs>
          </w:pPr>
        </w:p>
      </w:tc>
      <w:tc>
        <w:tcPr>
          <w:tcW w:w="3330" w:type="dxa"/>
          <w:tcBorders>
            <w:top w:val="nil"/>
            <w:left w:val="nil"/>
            <w:bottom w:val="nil"/>
            <w:right w:val="nil"/>
          </w:tcBorders>
        </w:tcPr>
        <w:p w:rsidR="00696B09" w:rsidRDefault="00696B09" w:rsidP="00445990">
          <w:pPr>
            <w:tabs>
              <w:tab w:val="left" w:pos="-1440"/>
              <w:tab w:val="left" w:pos="-720"/>
              <w:tab w:val="left" w:pos="0"/>
              <w:tab w:val="left" w:pos="1152"/>
              <w:tab w:val="left" w:pos="1570"/>
              <w:tab w:val="left" w:pos="1843"/>
              <w:tab w:val="left" w:pos="2261"/>
              <w:tab w:val="left" w:pos="6480"/>
            </w:tabs>
            <w:jc w:val="right"/>
          </w:pPr>
        </w:p>
      </w:tc>
    </w:tr>
  </w:tbl>
  <w:p w:rsidR="00696B09" w:rsidRDefault="00696B09">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09" w:rsidRDefault="00696B09"/>
  <w:tbl>
    <w:tblPr>
      <w:tblW w:w="936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030"/>
      <w:gridCol w:w="3330"/>
    </w:tblGrid>
    <w:tr w:rsidR="00696B09" w:rsidTr="00584AE5">
      <w:trPr>
        <w:cantSplit/>
      </w:trPr>
      <w:tc>
        <w:tcPr>
          <w:tcW w:w="6030" w:type="dxa"/>
          <w:tcBorders>
            <w:top w:val="nil"/>
            <w:left w:val="nil"/>
            <w:bottom w:val="nil"/>
            <w:right w:val="nil"/>
          </w:tcBorders>
          <w:tcMar>
            <w:top w:w="120" w:type="dxa"/>
            <w:left w:w="120" w:type="dxa"/>
            <w:bottom w:w="58" w:type="dxa"/>
            <w:right w:w="120" w:type="dxa"/>
          </w:tcMar>
        </w:tcPr>
        <w:p w:rsidR="00696B09" w:rsidRDefault="00696B09" w:rsidP="0022010A">
          <w:pPr>
            <w:tabs>
              <w:tab w:val="left" w:pos="-1440"/>
              <w:tab w:val="left" w:pos="-720"/>
              <w:tab w:val="left" w:pos="0"/>
            </w:tabs>
          </w:pPr>
          <w:r>
            <w:t>[Path Name and File Name] Brenda</w:t>
          </w:r>
        </w:p>
      </w:tc>
      <w:tc>
        <w:tcPr>
          <w:tcW w:w="3330" w:type="dxa"/>
          <w:tcBorders>
            <w:top w:val="nil"/>
            <w:left w:val="nil"/>
            <w:bottom w:val="nil"/>
            <w:right w:val="nil"/>
          </w:tcBorders>
        </w:tcPr>
        <w:p w:rsidR="00696B09" w:rsidRDefault="00696B09" w:rsidP="00184397">
          <w:pPr>
            <w:tabs>
              <w:tab w:val="left" w:pos="-1440"/>
              <w:tab w:val="left" w:pos="-720"/>
              <w:tab w:val="left" w:pos="0"/>
              <w:tab w:val="left" w:pos="1152"/>
              <w:tab w:val="left" w:pos="1570"/>
              <w:tab w:val="left" w:pos="1843"/>
              <w:tab w:val="left" w:pos="2261"/>
              <w:tab w:val="left" w:pos="6480"/>
            </w:tabs>
            <w:jc w:val="right"/>
          </w:pPr>
          <w:r>
            <w:t>July 17, 2015 (11:38:15)</w:t>
          </w:r>
        </w:p>
      </w:tc>
    </w:tr>
  </w:tbl>
  <w:p w:rsidR="00696B09" w:rsidRDefault="00696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AA" w:rsidRDefault="00494BF9">
      <w:r>
        <w:separator/>
      </w:r>
    </w:p>
  </w:footnote>
  <w:footnote w:type="continuationSeparator" w:id="0">
    <w:p w:rsidR="001F2EAA" w:rsidRDefault="0049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09" w:rsidRDefault="00696B09">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09" w:rsidRDefault="00696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09" w:rsidRDefault="00696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64734"/>
    <w:multiLevelType w:val="hybridMultilevel"/>
    <w:tmpl w:val="B9DA631C"/>
    <w:lvl w:ilvl="0" w:tplc="341A4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F22C3B"/>
    <w:multiLevelType w:val="hybridMultilevel"/>
    <w:tmpl w:val="4928DC4C"/>
    <w:lvl w:ilvl="0" w:tplc="449C761A">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58000B"/>
    <w:multiLevelType w:val="hybridMultilevel"/>
    <w:tmpl w:val="A422277A"/>
    <w:lvl w:ilvl="0" w:tplc="1512A954">
      <w:start w:val="2"/>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880EF578"/>
    <w:lvl w:ilvl="0">
      <w:start w:val="1"/>
      <w:numFmt w:val="decimal"/>
      <w:pStyle w:val="ParaNoNdepar-AltN"/>
      <w:lvlText w:val="[%1]"/>
      <w:lvlJc w:val="left"/>
      <w:pPr>
        <w:tabs>
          <w:tab w:val="num" w:pos="1332"/>
        </w:tabs>
        <w:ind w:left="18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A76B8"/>
    <w:multiLevelType w:val="hybridMultilevel"/>
    <w:tmpl w:val="B9DA631C"/>
    <w:lvl w:ilvl="0" w:tplc="341A4F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2"/>
  </w:num>
  <w:num w:numId="3">
    <w:abstractNumId w:val="11"/>
  </w:num>
  <w:num w:numId="4">
    <w:abstractNumId w:val="17"/>
  </w:num>
  <w:num w:numId="5">
    <w:abstractNumId w:val="19"/>
  </w:num>
  <w:num w:numId="6">
    <w:abstractNumId w:val="20"/>
  </w:num>
  <w:num w:numId="7">
    <w:abstractNumId w:val="15"/>
  </w:num>
  <w:num w:numId="8">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3"/>
  </w:num>
  <w:num w:numId="22">
    <w:abstractNumId w:val="10"/>
  </w:num>
  <w:num w:numId="23">
    <w:abstractNumId w:val="21"/>
  </w:num>
  <w:num w:numId="24">
    <w:abstractNumId w:val="20"/>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70"/>
    <w:rsid w:val="00002440"/>
    <w:rsid w:val="00004E38"/>
    <w:rsid w:val="00007471"/>
    <w:rsid w:val="00007E35"/>
    <w:rsid w:val="0001036F"/>
    <w:rsid w:val="00014871"/>
    <w:rsid w:val="000201FE"/>
    <w:rsid w:val="00023B94"/>
    <w:rsid w:val="000258CB"/>
    <w:rsid w:val="0002649D"/>
    <w:rsid w:val="0002785E"/>
    <w:rsid w:val="000279AD"/>
    <w:rsid w:val="00030E0E"/>
    <w:rsid w:val="00033B00"/>
    <w:rsid w:val="000353E6"/>
    <w:rsid w:val="00036E84"/>
    <w:rsid w:val="000372F2"/>
    <w:rsid w:val="00037A79"/>
    <w:rsid w:val="000454E1"/>
    <w:rsid w:val="00052BEC"/>
    <w:rsid w:val="00054EBD"/>
    <w:rsid w:val="00055196"/>
    <w:rsid w:val="00055BD8"/>
    <w:rsid w:val="00056079"/>
    <w:rsid w:val="00056436"/>
    <w:rsid w:val="00057F33"/>
    <w:rsid w:val="000652C5"/>
    <w:rsid w:val="0007440B"/>
    <w:rsid w:val="0007620E"/>
    <w:rsid w:val="000767AA"/>
    <w:rsid w:val="0007701E"/>
    <w:rsid w:val="000826F7"/>
    <w:rsid w:val="00082AC7"/>
    <w:rsid w:val="00083524"/>
    <w:rsid w:val="00085400"/>
    <w:rsid w:val="0008649A"/>
    <w:rsid w:val="00087E1B"/>
    <w:rsid w:val="00093BAD"/>
    <w:rsid w:val="00093D6D"/>
    <w:rsid w:val="000968E3"/>
    <w:rsid w:val="00097D3C"/>
    <w:rsid w:val="000A19B7"/>
    <w:rsid w:val="000A56A6"/>
    <w:rsid w:val="000A5794"/>
    <w:rsid w:val="000B3027"/>
    <w:rsid w:val="000B6CFC"/>
    <w:rsid w:val="000C03C0"/>
    <w:rsid w:val="000C2272"/>
    <w:rsid w:val="000C2412"/>
    <w:rsid w:val="000C3C63"/>
    <w:rsid w:val="000C4869"/>
    <w:rsid w:val="000D7242"/>
    <w:rsid w:val="000E3971"/>
    <w:rsid w:val="000E4C6A"/>
    <w:rsid w:val="000E5C6B"/>
    <w:rsid w:val="000E79DC"/>
    <w:rsid w:val="000F25E2"/>
    <w:rsid w:val="000F3E85"/>
    <w:rsid w:val="00105031"/>
    <w:rsid w:val="001114B6"/>
    <w:rsid w:val="00111C49"/>
    <w:rsid w:val="00113E45"/>
    <w:rsid w:val="00114EDD"/>
    <w:rsid w:val="0011623B"/>
    <w:rsid w:val="00117559"/>
    <w:rsid w:val="0012062C"/>
    <w:rsid w:val="00120705"/>
    <w:rsid w:val="00121A12"/>
    <w:rsid w:val="001221BA"/>
    <w:rsid w:val="0012734D"/>
    <w:rsid w:val="001420F8"/>
    <w:rsid w:val="0014415A"/>
    <w:rsid w:val="001462DD"/>
    <w:rsid w:val="001463FB"/>
    <w:rsid w:val="001472BB"/>
    <w:rsid w:val="00147D6E"/>
    <w:rsid w:val="0015135C"/>
    <w:rsid w:val="00161724"/>
    <w:rsid w:val="00162C56"/>
    <w:rsid w:val="00167F3E"/>
    <w:rsid w:val="00173846"/>
    <w:rsid w:val="00177268"/>
    <w:rsid w:val="001816F8"/>
    <w:rsid w:val="00182065"/>
    <w:rsid w:val="0018220C"/>
    <w:rsid w:val="00184D5A"/>
    <w:rsid w:val="001851D1"/>
    <w:rsid w:val="00185998"/>
    <w:rsid w:val="00190E78"/>
    <w:rsid w:val="00192D11"/>
    <w:rsid w:val="00193AFF"/>
    <w:rsid w:val="00194E0E"/>
    <w:rsid w:val="001971E2"/>
    <w:rsid w:val="001A1A01"/>
    <w:rsid w:val="001A1AE2"/>
    <w:rsid w:val="001A38A7"/>
    <w:rsid w:val="001A6A3B"/>
    <w:rsid w:val="001A7AF6"/>
    <w:rsid w:val="001B50FA"/>
    <w:rsid w:val="001B6C01"/>
    <w:rsid w:val="001B7F27"/>
    <w:rsid w:val="001C08FA"/>
    <w:rsid w:val="001C5CFC"/>
    <w:rsid w:val="001C718D"/>
    <w:rsid w:val="001D62E8"/>
    <w:rsid w:val="001D6865"/>
    <w:rsid w:val="001D6EC9"/>
    <w:rsid w:val="001E11FC"/>
    <w:rsid w:val="001E7BC3"/>
    <w:rsid w:val="001F0056"/>
    <w:rsid w:val="001F2D95"/>
    <w:rsid w:val="001F2EAA"/>
    <w:rsid w:val="001F380C"/>
    <w:rsid w:val="001F3A5B"/>
    <w:rsid w:val="00202096"/>
    <w:rsid w:val="00202B52"/>
    <w:rsid w:val="002044E5"/>
    <w:rsid w:val="002066D7"/>
    <w:rsid w:val="002143E6"/>
    <w:rsid w:val="00234B6A"/>
    <w:rsid w:val="00234CF4"/>
    <w:rsid w:val="00237B2D"/>
    <w:rsid w:val="00237C20"/>
    <w:rsid w:val="00240E34"/>
    <w:rsid w:val="00246238"/>
    <w:rsid w:val="002478E3"/>
    <w:rsid w:val="002552D5"/>
    <w:rsid w:val="00260D0E"/>
    <w:rsid w:val="002669CF"/>
    <w:rsid w:val="00273002"/>
    <w:rsid w:val="00273361"/>
    <w:rsid w:val="002761AE"/>
    <w:rsid w:val="002776AB"/>
    <w:rsid w:val="0028197C"/>
    <w:rsid w:val="0028584F"/>
    <w:rsid w:val="00286579"/>
    <w:rsid w:val="002866CC"/>
    <w:rsid w:val="00290756"/>
    <w:rsid w:val="002918F3"/>
    <w:rsid w:val="00294C23"/>
    <w:rsid w:val="0029627F"/>
    <w:rsid w:val="002971E9"/>
    <w:rsid w:val="002A00F0"/>
    <w:rsid w:val="002A1B5C"/>
    <w:rsid w:val="002B11E4"/>
    <w:rsid w:val="002B1334"/>
    <w:rsid w:val="002B5085"/>
    <w:rsid w:val="002B7236"/>
    <w:rsid w:val="002C5B04"/>
    <w:rsid w:val="002D000F"/>
    <w:rsid w:val="002D2060"/>
    <w:rsid w:val="002D2139"/>
    <w:rsid w:val="002E2265"/>
    <w:rsid w:val="002E2E13"/>
    <w:rsid w:val="002E5732"/>
    <w:rsid w:val="002F054A"/>
    <w:rsid w:val="002F2A1B"/>
    <w:rsid w:val="002F3C48"/>
    <w:rsid w:val="002F4BA0"/>
    <w:rsid w:val="00304AB0"/>
    <w:rsid w:val="003050E8"/>
    <w:rsid w:val="00305F85"/>
    <w:rsid w:val="00306FB1"/>
    <w:rsid w:val="00314536"/>
    <w:rsid w:val="00316363"/>
    <w:rsid w:val="00316B32"/>
    <w:rsid w:val="00322858"/>
    <w:rsid w:val="00322BC0"/>
    <w:rsid w:val="003237E0"/>
    <w:rsid w:val="00324B41"/>
    <w:rsid w:val="00324C31"/>
    <w:rsid w:val="00326375"/>
    <w:rsid w:val="00327141"/>
    <w:rsid w:val="0033102D"/>
    <w:rsid w:val="00334730"/>
    <w:rsid w:val="0033740D"/>
    <w:rsid w:val="00341DA0"/>
    <w:rsid w:val="00354CF4"/>
    <w:rsid w:val="00360800"/>
    <w:rsid w:val="00363062"/>
    <w:rsid w:val="003646ED"/>
    <w:rsid w:val="003732F0"/>
    <w:rsid w:val="00376E3B"/>
    <w:rsid w:val="00381B20"/>
    <w:rsid w:val="00382622"/>
    <w:rsid w:val="00382868"/>
    <w:rsid w:val="003908C6"/>
    <w:rsid w:val="00396F4D"/>
    <w:rsid w:val="00397951"/>
    <w:rsid w:val="003A0254"/>
    <w:rsid w:val="003A0CB3"/>
    <w:rsid w:val="003A196D"/>
    <w:rsid w:val="003A1E2E"/>
    <w:rsid w:val="003A2CC9"/>
    <w:rsid w:val="003B0266"/>
    <w:rsid w:val="003B08BB"/>
    <w:rsid w:val="003B282F"/>
    <w:rsid w:val="003B37EA"/>
    <w:rsid w:val="003B72D2"/>
    <w:rsid w:val="003C131C"/>
    <w:rsid w:val="003C2F35"/>
    <w:rsid w:val="003D0CA7"/>
    <w:rsid w:val="003D1F3D"/>
    <w:rsid w:val="003D42FE"/>
    <w:rsid w:val="003D643E"/>
    <w:rsid w:val="003D73AC"/>
    <w:rsid w:val="003E194B"/>
    <w:rsid w:val="003E3E9C"/>
    <w:rsid w:val="003E7700"/>
    <w:rsid w:val="003F5663"/>
    <w:rsid w:val="003F6C50"/>
    <w:rsid w:val="00400572"/>
    <w:rsid w:val="0040096F"/>
    <w:rsid w:val="004024C0"/>
    <w:rsid w:val="00402AE5"/>
    <w:rsid w:val="00406E0A"/>
    <w:rsid w:val="00407F74"/>
    <w:rsid w:val="0041261D"/>
    <w:rsid w:val="00412C03"/>
    <w:rsid w:val="004231EF"/>
    <w:rsid w:val="00423CD3"/>
    <w:rsid w:val="004256B8"/>
    <w:rsid w:val="00430A78"/>
    <w:rsid w:val="00431595"/>
    <w:rsid w:val="00441FD5"/>
    <w:rsid w:val="004447E6"/>
    <w:rsid w:val="00446968"/>
    <w:rsid w:val="004469B7"/>
    <w:rsid w:val="00447432"/>
    <w:rsid w:val="00452276"/>
    <w:rsid w:val="00452C15"/>
    <w:rsid w:val="00452CF3"/>
    <w:rsid w:val="0045449A"/>
    <w:rsid w:val="00460488"/>
    <w:rsid w:val="00461880"/>
    <w:rsid w:val="004639C0"/>
    <w:rsid w:val="00466D9A"/>
    <w:rsid w:val="00467467"/>
    <w:rsid w:val="00474AFE"/>
    <w:rsid w:val="00480EC9"/>
    <w:rsid w:val="004922EE"/>
    <w:rsid w:val="00493B77"/>
    <w:rsid w:val="00494BF9"/>
    <w:rsid w:val="004B0CFC"/>
    <w:rsid w:val="004C13DC"/>
    <w:rsid w:val="004C2A0C"/>
    <w:rsid w:val="004C3F5D"/>
    <w:rsid w:val="004C438C"/>
    <w:rsid w:val="004C61C8"/>
    <w:rsid w:val="004E01BD"/>
    <w:rsid w:val="004E3ABD"/>
    <w:rsid w:val="004E7190"/>
    <w:rsid w:val="004F0A4A"/>
    <w:rsid w:val="004F70E7"/>
    <w:rsid w:val="00505390"/>
    <w:rsid w:val="00527D79"/>
    <w:rsid w:val="00531426"/>
    <w:rsid w:val="0053611F"/>
    <w:rsid w:val="00544D8D"/>
    <w:rsid w:val="00545A2F"/>
    <w:rsid w:val="00546580"/>
    <w:rsid w:val="00552679"/>
    <w:rsid w:val="005575A4"/>
    <w:rsid w:val="00557FAC"/>
    <w:rsid w:val="00560594"/>
    <w:rsid w:val="00572F19"/>
    <w:rsid w:val="005760EC"/>
    <w:rsid w:val="005776E9"/>
    <w:rsid w:val="00580EA6"/>
    <w:rsid w:val="00581364"/>
    <w:rsid w:val="005813EE"/>
    <w:rsid w:val="00585545"/>
    <w:rsid w:val="00586A68"/>
    <w:rsid w:val="0059094C"/>
    <w:rsid w:val="00592758"/>
    <w:rsid w:val="00593AC4"/>
    <w:rsid w:val="00594004"/>
    <w:rsid w:val="00595C12"/>
    <w:rsid w:val="00597161"/>
    <w:rsid w:val="005A1EEF"/>
    <w:rsid w:val="005A48EF"/>
    <w:rsid w:val="005A6045"/>
    <w:rsid w:val="005B1A9A"/>
    <w:rsid w:val="005B4DCE"/>
    <w:rsid w:val="005B6505"/>
    <w:rsid w:val="005B678A"/>
    <w:rsid w:val="005C6B01"/>
    <w:rsid w:val="005D147E"/>
    <w:rsid w:val="005D37A6"/>
    <w:rsid w:val="005D59EA"/>
    <w:rsid w:val="005E19EA"/>
    <w:rsid w:val="005E5969"/>
    <w:rsid w:val="005F0E68"/>
    <w:rsid w:val="005F31A0"/>
    <w:rsid w:val="005F39A9"/>
    <w:rsid w:val="005F721C"/>
    <w:rsid w:val="005F7415"/>
    <w:rsid w:val="006005C2"/>
    <w:rsid w:val="0061039D"/>
    <w:rsid w:val="006144A2"/>
    <w:rsid w:val="00623BB1"/>
    <w:rsid w:val="006302B5"/>
    <w:rsid w:val="00633127"/>
    <w:rsid w:val="006349C8"/>
    <w:rsid w:val="00634D14"/>
    <w:rsid w:val="006350CA"/>
    <w:rsid w:val="0063762C"/>
    <w:rsid w:val="006414D4"/>
    <w:rsid w:val="00641D05"/>
    <w:rsid w:val="00642551"/>
    <w:rsid w:val="0064272F"/>
    <w:rsid w:val="00650AA0"/>
    <w:rsid w:val="00650F54"/>
    <w:rsid w:val="00654740"/>
    <w:rsid w:val="00655842"/>
    <w:rsid w:val="00663F44"/>
    <w:rsid w:val="00664F83"/>
    <w:rsid w:val="0066700F"/>
    <w:rsid w:val="006678ED"/>
    <w:rsid w:val="00667E99"/>
    <w:rsid w:val="0067569C"/>
    <w:rsid w:val="00677DFD"/>
    <w:rsid w:val="006815EA"/>
    <w:rsid w:val="00686903"/>
    <w:rsid w:val="006902D6"/>
    <w:rsid w:val="00691AEB"/>
    <w:rsid w:val="00692E4D"/>
    <w:rsid w:val="00696186"/>
    <w:rsid w:val="00696B09"/>
    <w:rsid w:val="006A096B"/>
    <w:rsid w:val="006A177D"/>
    <w:rsid w:val="006A2F69"/>
    <w:rsid w:val="006A3EB0"/>
    <w:rsid w:val="006A6EDF"/>
    <w:rsid w:val="006B053A"/>
    <w:rsid w:val="006B74D0"/>
    <w:rsid w:val="006B7942"/>
    <w:rsid w:val="006C1428"/>
    <w:rsid w:val="006C3295"/>
    <w:rsid w:val="006C4AE8"/>
    <w:rsid w:val="006C5E80"/>
    <w:rsid w:val="006D25AE"/>
    <w:rsid w:val="006D606B"/>
    <w:rsid w:val="006E0696"/>
    <w:rsid w:val="006F0989"/>
    <w:rsid w:val="006F0FCE"/>
    <w:rsid w:val="006F1D71"/>
    <w:rsid w:val="006F72D0"/>
    <w:rsid w:val="00700423"/>
    <w:rsid w:val="007045E6"/>
    <w:rsid w:val="00713944"/>
    <w:rsid w:val="00714BEA"/>
    <w:rsid w:val="00715FFB"/>
    <w:rsid w:val="0071672C"/>
    <w:rsid w:val="00716D1E"/>
    <w:rsid w:val="00721AA7"/>
    <w:rsid w:val="007244CF"/>
    <w:rsid w:val="007279B0"/>
    <w:rsid w:val="00732040"/>
    <w:rsid w:val="00735714"/>
    <w:rsid w:val="00735919"/>
    <w:rsid w:val="007441A6"/>
    <w:rsid w:val="0074448F"/>
    <w:rsid w:val="0074561C"/>
    <w:rsid w:val="00751B14"/>
    <w:rsid w:val="00753176"/>
    <w:rsid w:val="0075475D"/>
    <w:rsid w:val="00755CB2"/>
    <w:rsid w:val="00772085"/>
    <w:rsid w:val="00780066"/>
    <w:rsid w:val="00780702"/>
    <w:rsid w:val="00781391"/>
    <w:rsid w:val="00787A0C"/>
    <w:rsid w:val="00791E0C"/>
    <w:rsid w:val="0079540D"/>
    <w:rsid w:val="00795BAC"/>
    <w:rsid w:val="007B246B"/>
    <w:rsid w:val="007B404B"/>
    <w:rsid w:val="007C3983"/>
    <w:rsid w:val="007C72EE"/>
    <w:rsid w:val="007C78A7"/>
    <w:rsid w:val="007D24C7"/>
    <w:rsid w:val="007D3B2C"/>
    <w:rsid w:val="007D5F32"/>
    <w:rsid w:val="007D71B9"/>
    <w:rsid w:val="007E3125"/>
    <w:rsid w:val="007F3C15"/>
    <w:rsid w:val="007F529D"/>
    <w:rsid w:val="007F6011"/>
    <w:rsid w:val="008016CB"/>
    <w:rsid w:val="00805D77"/>
    <w:rsid w:val="00806043"/>
    <w:rsid w:val="008100B6"/>
    <w:rsid w:val="008115F2"/>
    <w:rsid w:val="0081433B"/>
    <w:rsid w:val="00817092"/>
    <w:rsid w:val="00820578"/>
    <w:rsid w:val="00820FEF"/>
    <w:rsid w:val="0082107B"/>
    <w:rsid w:val="0082499B"/>
    <w:rsid w:val="00827B58"/>
    <w:rsid w:val="008301D4"/>
    <w:rsid w:val="00831D37"/>
    <w:rsid w:val="0083241B"/>
    <w:rsid w:val="00840CE0"/>
    <w:rsid w:val="008437B1"/>
    <w:rsid w:val="00847574"/>
    <w:rsid w:val="00850E87"/>
    <w:rsid w:val="00852920"/>
    <w:rsid w:val="00855C2F"/>
    <w:rsid w:val="008626F0"/>
    <w:rsid w:val="008637B8"/>
    <w:rsid w:val="00867402"/>
    <w:rsid w:val="0087049B"/>
    <w:rsid w:val="00870BBF"/>
    <w:rsid w:val="00872918"/>
    <w:rsid w:val="00881AAC"/>
    <w:rsid w:val="00887A71"/>
    <w:rsid w:val="00890B41"/>
    <w:rsid w:val="0089670C"/>
    <w:rsid w:val="008A3125"/>
    <w:rsid w:val="008A42C6"/>
    <w:rsid w:val="008A45E6"/>
    <w:rsid w:val="008B0320"/>
    <w:rsid w:val="008B241A"/>
    <w:rsid w:val="008B3300"/>
    <w:rsid w:val="008C1DCB"/>
    <w:rsid w:val="008C70D3"/>
    <w:rsid w:val="008D1065"/>
    <w:rsid w:val="008D1098"/>
    <w:rsid w:val="008D1622"/>
    <w:rsid w:val="008D240F"/>
    <w:rsid w:val="008D2E68"/>
    <w:rsid w:val="008E321E"/>
    <w:rsid w:val="008E3358"/>
    <w:rsid w:val="008E519B"/>
    <w:rsid w:val="008E569E"/>
    <w:rsid w:val="008E7594"/>
    <w:rsid w:val="008F5BA9"/>
    <w:rsid w:val="008F5FF7"/>
    <w:rsid w:val="008F63F0"/>
    <w:rsid w:val="009113AF"/>
    <w:rsid w:val="00922433"/>
    <w:rsid w:val="009275F0"/>
    <w:rsid w:val="00932148"/>
    <w:rsid w:val="00932528"/>
    <w:rsid w:val="009326BD"/>
    <w:rsid w:val="00933450"/>
    <w:rsid w:val="00934B1D"/>
    <w:rsid w:val="00935752"/>
    <w:rsid w:val="00943A9A"/>
    <w:rsid w:val="009451C3"/>
    <w:rsid w:val="00947E60"/>
    <w:rsid w:val="00954BC5"/>
    <w:rsid w:val="009561A3"/>
    <w:rsid w:val="00961322"/>
    <w:rsid w:val="00965B78"/>
    <w:rsid w:val="0096734F"/>
    <w:rsid w:val="009711CA"/>
    <w:rsid w:val="00974062"/>
    <w:rsid w:val="0097652F"/>
    <w:rsid w:val="00985AB5"/>
    <w:rsid w:val="009902E4"/>
    <w:rsid w:val="00992654"/>
    <w:rsid w:val="00997683"/>
    <w:rsid w:val="00997D63"/>
    <w:rsid w:val="009A622D"/>
    <w:rsid w:val="009A7382"/>
    <w:rsid w:val="009B0A08"/>
    <w:rsid w:val="009B2ACB"/>
    <w:rsid w:val="009B39AD"/>
    <w:rsid w:val="009B6697"/>
    <w:rsid w:val="009C3D9E"/>
    <w:rsid w:val="009E249A"/>
    <w:rsid w:val="009E34F2"/>
    <w:rsid w:val="009E5D38"/>
    <w:rsid w:val="009E620B"/>
    <w:rsid w:val="009E65F2"/>
    <w:rsid w:val="009E662A"/>
    <w:rsid w:val="009F38D8"/>
    <w:rsid w:val="00A00CE8"/>
    <w:rsid w:val="00A02B19"/>
    <w:rsid w:val="00A06384"/>
    <w:rsid w:val="00A079C4"/>
    <w:rsid w:val="00A104E1"/>
    <w:rsid w:val="00A1458D"/>
    <w:rsid w:val="00A17A17"/>
    <w:rsid w:val="00A17F21"/>
    <w:rsid w:val="00A23C27"/>
    <w:rsid w:val="00A26A8D"/>
    <w:rsid w:val="00A30D95"/>
    <w:rsid w:val="00A3107F"/>
    <w:rsid w:val="00A33001"/>
    <w:rsid w:val="00A40C3D"/>
    <w:rsid w:val="00A43490"/>
    <w:rsid w:val="00A43F86"/>
    <w:rsid w:val="00A456D8"/>
    <w:rsid w:val="00A5485B"/>
    <w:rsid w:val="00A6282B"/>
    <w:rsid w:val="00A63EF2"/>
    <w:rsid w:val="00A71A4E"/>
    <w:rsid w:val="00A74313"/>
    <w:rsid w:val="00A806A0"/>
    <w:rsid w:val="00A83A97"/>
    <w:rsid w:val="00A848B2"/>
    <w:rsid w:val="00A85DA5"/>
    <w:rsid w:val="00A86C8C"/>
    <w:rsid w:val="00A90047"/>
    <w:rsid w:val="00AB3DF5"/>
    <w:rsid w:val="00AB6108"/>
    <w:rsid w:val="00AC285B"/>
    <w:rsid w:val="00AC2864"/>
    <w:rsid w:val="00AC2F52"/>
    <w:rsid w:val="00AC586C"/>
    <w:rsid w:val="00AD556F"/>
    <w:rsid w:val="00AD6084"/>
    <w:rsid w:val="00AE042B"/>
    <w:rsid w:val="00AF2E55"/>
    <w:rsid w:val="00AF4FB6"/>
    <w:rsid w:val="00AF7687"/>
    <w:rsid w:val="00B15181"/>
    <w:rsid w:val="00B15E24"/>
    <w:rsid w:val="00B15E9B"/>
    <w:rsid w:val="00B16B69"/>
    <w:rsid w:val="00B23990"/>
    <w:rsid w:val="00B26F58"/>
    <w:rsid w:val="00B276D2"/>
    <w:rsid w:val="00B30E61"/>
    <w:rsid w:val="00B31AF0"/>
    <w:rsid w:val="00B3391C"/>
    <w:rsid w:val="00B343B0"/>
    <w:rsid w:val="00B374DD"/>
    <w:rsid w:val="00B422C7"/>
    <w:rsid w:val="00B448E6"/>
    <w:rsid w:val="00B448F5"/>
    <w:rsid w:val="00B46C0D"/>
    <w:rsid w:val="00B50A5A"/>
    <w:rsid w:val="00B5198A"/>
    <w:rsid w:val="00B527E4"/>
    <w:rsid w:val="00B5397D"/>
    <w:rsid w:val="00B541C6"/>
    <w:rsid w:val="00B55B9B"/>
    <w:rsid w:val="00B55EC3"/>
    <w:rsid w:val="00B66CDF"/>
    <w:rsid w:val="00B8015B"/>
    <w:rsid w:val="00B93213"/>
    <w:rsid w:val="00B94462"/>
    <w:rsid w:val="00B952A2"/>
    <w:rsid w:val="00B9594B"/>
    <w:rsid w:val="00B96185"/>
    <w:rsid w:val="00BB1C1B"/>
    <w:rsid w:val="00BB3217"/>
    <w:rsid w:val="00BB3909"/>
    <w:rsid w:val="00BC211F"/>
    <w:rsid w:val="00BC4192"/>
    <w:rsid w:val="00BD2E2A"/>
    <w:rsid w:val="00BD39FA"/>
    <w:rsid w:val="00BD4E77"/>
    <w:rsid w:val="00BD71AC"/>
    <w:rsid w:val="00BE0116"/>
    <w:rsid w:val="00BE36D9"/>
    <w:rsid w:val="00BE4986"/>
    <w:rsid w:val="00BE7102"/>
    <w:rsid w:val="00C0207C"/>
    <w:rsid w:val="00C0210B"/>
    <w:rsid w:val="00C0512E"/>
    <w:rsid w:val="00C063B5"/>
    <w:rsid w:val="00C075BA"/>
    <w:rsid w:val="00C13854"/>
    <w:rsid w:val="00C1527E"/>
    <w:rsid w:val="00C23DA8"/>
    <w:rsid w:val="00C3013A"/>
    <w:rsid w:val="00C303A8"/>
    <w:rsid w:val="00C31E32"/>
    <w:rsid w:val="00C40E04"/>
    <w:rsid w:val="00C415DB"/>
    <w:rsid w:val="00C41F83"/>
    <w:rsid w:val="00C42E20"/>
    <w:rsid w:val="00C4605C"/>
    <w:rsid w:val="00C466E2"/>
    <w:rsid w:val="00C53331"/>
    <w:rsid w:val="00C5442B"/>
    <w:rsid w:val="00C63E1C"/>
    <w:rsid w:val="00C67341"/>
    <w:rsid w:val="00C7091D"/>
    <w:rsid w:val="00C7319A"/>
    <w:rsid w:val="00C75A9E"/>
    <w:rsid w:val="00C8384C"/>
    <w:rsid w:val="00C94539"/>
    <w:rsid w:val="00C97365"/>
    <w:rsid w:val="00C97C85"/>
    <w:rsid w:val="00CA6280"/>
    <w:rsid w:val="00CB04D1"/>
    <w:rsid w:val="00CB4966"/>
    <w:rsid w:val="00CB6A63"/>
    <w:rsid w:val="00CB75CB"/>
    <w:rsid w:val="00CC1A7F"/>
    <w:rsid w:val="00CC3942"/>
    <w:rsid w:val="00CC5353"/>
    <w:rsid w:val="00CD0366"/>
    <w:rsid w:val="00CD5A65"/>
    <w:rsid w:val="00CD6302"/>
    <w:rsid w:val="00CE1496"/>
    <w:rsid w:val="00CE3E1F"/>
    <w:rsid w:val="00CE5E99"/>
    <w:rsid w:val="00CF49C8"/>
    <w:rsid w:val="00CF4AB7"/>
    <w:rsid w:val="00D00A36"/>
    <w:rsid w:val="00D0342C"/>
    <w:rsid w:val="00D034B5"/>
    <w:rsid w:val="00D054C1"/>
    <w:rsid w:val="00D07D1C"/>
    <w:rsid w:val="00D117B1"/>
    <w:rsid w:val="00D14345"/>
    <w:rsid w:val="00D1499A"/>
    <w:rsid w:val="00D16252"/>
    <w:rsid w:val="00D26EA3"/>
    <w:rsid w:val="00D27740"/>
    <w:rsid w:val="00D32A8C"/>
    <w:rsid w:val="00D32F4B"/>
    <w:rsid w:val="00D34208"/>
    <w:rsid w:val="00D43575"/>
    <w:rsid w:val="00D452B2"/>
    <w:rsid w:val="00D45562"/>
    <w:rsid w:val="00D46852"/>
    <w:rsid w:val="00D50013"/>
    <w:rsid w:val="00D5161C"/>
    <w:rsid w:val="00D51F15"/>
    <w:rsid w:val="00D52940"/>
    <w:rsid w:val="00D5770A"/>
    <w:rsid w:val="00D57C17"/>
    <w:rsid w:val="00D60DFD"/>
    <w:rsid w:val="00D72689"/>
    <w:rsid w:val="00D753FD"/>
    <w:rsid w:val="00D75FD9"/>
    <w:rsid w:val="00D815FD"/>
    <w:rsid w:val="00D82799"/>
    <w:rsid w:val="00D9039D"/>
    <w:rsid w:val="00D92D23"/>
    <w:rsid w:val="00D95189"/>
    <w:rsid w:val="00DA0E89"/>
    <w:rsid w:val="00DA1516"/>
    <w:rsid w:val="00DA1AC4"/>
    <w:rsid w:val="00DA7199"/>
    <w:rsid w:val="00DB179D"/>
    <w:rsid w:val="00DB6180"/>
    <w:rsid w:val="00DB6D69"/>
    <w:rsid w:val="00DC2B1D"/>
    <w:rsid w:val="00DE3349"/>
    <w:rsid w:val="00DF2964"/>
    <w:rsid w:val="00E01C73"/>
    <w:rsid w:val="00E01D59"/>
    <w:rsid w:val="00E03C24"/>
    <w:rsid w:val="00E06B33"/>
    <w:rsid w:val="00E070DB"/>
    <w:rsid w:val="00E10DC7"/>
    <w:rsid w:val="00E13C3D"/>
    <w:rsid w:val="00E13EC2"/>
    <w:rsid w:val="00E14CD8"/>
    <w:rsid w:val="00E1754E"/>
    <w:rsid w:val="00E2088D"/>
    <w:rsid w:val="00E277F7"/>
    <w:rsid w:val="00E3070A"/>
    <w:rsid w:val="00E318DF"/>
    <w:rsid w:val="00E35700"/>
    <w:rsid w:val="00E37BC3"/>
    <w:rsid w:val="00E37D58"/>
    <w:rsid w:val="00E41C0D"/>
    <w:rsid w:val="00E43F98"/>
    <w:rsid w:val="00E450AB"/>
    <w:rsid w:val="00E45C03"/>
    <w:rsid w:val="00E4687A"/>
    <w:rsid w:val="00E505E7"/>
    <w:rsid w:val="00E53A94"/>
    <w:rsid w:val="00E54299"/>
    <w:rsid w:val="00E565C3"/>
    <w:rsid w:val="00E57E66"/>
    <w:rsid w:val="00E61C85"/>
    <w:rsid w:val="00E666FC"/>
    <w:rsid w:val="00E70540"/>
    <w:rsid w:val="00E71E29"/>
    <w:rsid w:val="00E7415D"/>
    <w:rsid w:val="00E74781"/>
    <w:rsid w:val="00E8361D"/>
    <w:rsid w:val="00E84783"/>
    <w:rsid w:val="00E85C72"/>
    <w:rsid w:val="00E8668D"/>
    <w:rsid w:val="00E86C26"/>
    <w:rsid w:val="00E86EE7"/>
    <w:rsid w:val="00E92CE0"/>
    <w:rsid w:val="00E953B7"/>
    <w:rsid w:val="00E968A9"/>
    <w:rsid w:val="00EA37AB"/>
    <w:rsid w:val="00EA3DEC"/>
    <w:rsid w:val="00EA775F"/>
    <w:rsid w:val="00EB1143"/>
    <w:rsid w:val="00EB1E2E"/>
    <w:rsid w:val="00EB2C8D"/>
    <w:rsid w:val="00EC1D2D"/>
    <w:rsid w:val="00EC1DF3"/>
    <w:rsid w:val="00EC2FF1"/>
    <w:rsid w:val="00EC5205"/>
    <w:rsid w:val="00EC5A0B"/>
    <w:rsid w:val="00ED06FC"/>
    <w:rsid w:val="00ED5CF2"/>
    <w:rsid w:val="00ED7C56"/>
    <w:rsid w:val="00EE3032"/>
    <w:rsid w:val="00EE5A04"/>
    <w:rsid w:val="00EE69CB"/>
    <w:rsid w:val="00EE6DB7"/>
    <w:rsid w:val="00EE7169"/>
    <w:rsid w:val="00EF53E3"/>
    <w:rsid w:val="00EF63D1"/>
    <w:rsid w:val="00EF7C8C"/>
    <w:rsid w:val="00F03095"/>
    <w:rsid w:val="00F0623D"/>
    <w:rsid w:val="00F07307"/>
    <w:rsid w:val="00F07A0D"/>
    <w:rsid w:val="00F07B9A"/>
    <w:rsid w:val="00F1096D"/>
    <w:rsid w:val="00F144B0"/>
    <w:rsid w:val="00F2465B"/>
    <w:rsid w:val="00F303B8"/>
    <w:rsid w:val="00F33618"/>
    <w:rsid w:val="00F34960"/>
    <w:rsid w:val="00F363E7"/>
    <w:rsid w:val="00F41FF2"/>
    <w:rsid w:val="00F42F94"/>
    <w:rsid w:val="00F4393D"/>
    <w:rsid w:val="00F52F08"/>
    <w:rsid w:val="00F545DB"/>
    <w:rsid w:val="00F71D33"/>
    <w:rsid w:val="00F72183"/>
    <w:rsid w:val="00F73628"/>
    <w:rsid w:val="00F822ED"/>
    <w:rsid w:val="00F823D0"/>
    <w:rsid w:val="00F83795"/>
    <w:rsid w:val="00F85311"/>
    <w:rsid w:val="00F86B61"/>
    <w:rsid w:val="00F918D9"/>
    <w:rsid w:val="00F91CD4"/>
    <w:rsid w:val="00FA0E89"/>
    <w:rsid w:val="00FA4DCE"/>
    <w:rsid w:val="00FA6359"/>
    <w:rsid w:val="00FB23F8"/>
    <w:rsid w:val="00FB4BDB"/>
    <w:rsid w:val="00FC502D"/>
    <w:rsid w:val="00FC7CE7"/>
    <w:rsid w:val="00FD0319"/>
    <w:rsid w:val="00FD3770"/>
    <w:rsid w:val="00FD51DD"/>
    <w:rsid w:val="00FD7C57"/>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AD19A-58D5-4228-BD12-C100252D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770"/>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696B09"/>
    <w:pPr>
      <w:keepNext/>
      <w:keepLines/>
      <w:spacing w:before="480"/>
      <w:outlineLvl w:val="0"/>
    </w:pPr>
    <w:rPr>
      <w:rFonts w:asciiTheme="majorHAnsi" w:eastAsiaTheme="majorEastAsia" w:hAnsiTheme="majorHAnsi" w:cstheme="majorBidi"/>
      <w:b/>
      <w:bCs/>
      <w:color w:val="2E74B5"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696B09"/>
    <w:pPr>
      <w:keepNext/>
      <w:keepLines/>
      <w:spacing w:before="200"/>
      <w:outlineLvl w:val="1"/>
    </w:pPr>
    <w:rPr>
      <w:rFonts w:asciiTheme="majorHAnsi" w:eastAsiaTheme="majorEastAsia" w:hAnsiTheme="majorHAnsi" w:cstheme="majorBidi"/>
      <w:b/>
      <w:bCs/>
      <w:color w:val="5B9BD5"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696B09"/>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696B09"/>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696B09"/>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696B09"/>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96B0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96B09"/>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696B0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FD377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FD3770"/>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FD3770"/>
    <w:rPr>
      <w:i/>
      <w:iCs/>
      <w:color w:val="000000" w:themeColor="text1"/>
    </w:rPr>
  </w:style>
  <w:style w:type="character" w:customStyle="1" w:styleId="QuoteChar">
    <w:name w:val="Quote Char"/>
    <w:basedOn w:val="DefaultParagraphFont"/>
    <w:link w:val="Quote"/>
    <w:uiPriority w:val="29"/>
    <w:rsid w:val="00FD3770"/>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FD3770"/>
    <w:pPr>
      <w:tabs>
        <w:tab w:val="center" w:pos="4680"/>
        <w:tab w:val="right" w:pos="9360"/>
      </w:tabs>
    </w:pPr>
  </w:style>
  <w:style w:type="character" w:customStyle="1" w:styleId="HeaderChar">
    <w:name w:val="Header Char"/>
    <w:basedOn w:val="DefaultParagraphFont"/>
    <w:link w:val="Header"/>
    <w:uiPriority w:val="99"/>
    <w:rsid w:val="00FD3770"/>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FD3770"/>
    <w:pPr>
      <w:tabs>
        <w:tab w:val="right" w:pos="8222"/>
      </w:tabs>
      <w:jc w:val="both"/>
    </w:pPr>
    <w:rPr>
      <w:b/>
    </w:rPr>
  </w:style>
  <w:style w:type="character" w:customStyle="1" w:styleId="SCCLsocPartyChar">
    <w:name w:val="SCC.Lsoc.Party Char"/>
    <w:basedOn w:val="DefaultParagraphFont"/>
    <w:link w:val="SCCLsocParty"/>
    <w:rsid w:val="00FD3770"/>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FD3770"/>
    <w:pPr>
      <w:spacing w:after="720"/>
    </w:pPr>
    <w:rPr>
      <w:i/>
    </w:rPr>
  </w:style>
  <w:style w:type="character" w:customStyle="1" w:styleId="SCCLsocVersusChar">
    <w:name w:val="SCC.Lsoc.Versus Char"/>
    <w:basedOn w:val="DefaultParagraphFont"/>
    <w:link w:val="SCCLsocVersus"/>
    <w:rsid w:val="00FD3770"/>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FD3770"/>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FD3770"/>
    <w:pPr>
      <w:spacing w:after="720"/>
    </w:pPr>
  </w:style>
  <w:style w:type="character" w:customStyle="1" w:styleId="SCCLsocOtherPartySeparatorChar">
    <w:name w:val="SCC.Lsoc.OtherPartySeparator Char"/>
    <w:basedOn w:val="DefaultParagraphFont"/>
    <w:link w:val="SCCLsocOtherPartySeparator"/>
    <w:rsid w:val="00FD3770"/>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FD3770"/>
    <w:rPr>
      <w:smallCaps/>
    </w:rPr>
  </w:style>
  <w:style w:type="character" w:customStyle="1" w:styleId="SCCAppellantForRunningHeadChar">
    <w:name w:val="SCC.AppellantForRunningHead Char"/>
    <w:basedOn w:val="DefaultParagraphFont"/>
    <w:link w:val="SCCAppellantForRunningHead"/>
    <w:rsid w:val="00FD3770"/>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FD3770"/>
    <w:rPr>
      <w:smallCaps/>
    </w:rPr>
  </w:style>
  <w:style w:type="character" w:customStyle="1" w:styleId="SCCRespondentForRunningHeadChar">
    <w:name w:val="SCC.RespondentForRunningHead Char"/>
    <w:basedOn w:val="DefaultParagraphFont"/>
    <w:link w:val="SCCRespondentForRunningHead"/>
    <w:rsid w:val="00FD3770"/>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FD3770"/>
    <w:rPr>
      <w:b/>
    </w:rPr>
  </w:style>
  <w:style w:type="character" w:customStyle="1" w:styleId="SCCAppellantForIndexChar">
    <w:name w:val="SCC.AppellantForIndex Char"/>
    <w:basedOn w:val="DefaultParagraphFont"/>
    <w:link w:val="SCCAppellantForIndex"/>
    <w:rsid w:val="00FD3770"/>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FD3770"/>
    <w:rPr>
      <w:b/>
    </w:rPr>
  </w:style>
  <w:style w:type="character" w:customStyle="1" w:styleId="SCCRespondentForIndexChar">
    <w:name w:val="SCC.RespondentForIndex Char"/>
    <w:basedOn w:val="DefaultParagraphFont"/>
    <w:link w:val="SCCRespondentForIndex"/>
    <w:rsid w:val="00FD3770"/>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FD3770"/>
    <w:rPr>
      <w:b/>
    </w:rPr>
  </w:style>
  <w:style w:type="character" w:customStyle="1" w:styleId="SCCSystemYearChar">
    <w:name w:val="SCC.SystemYear Char"/>
    <w:basedOn w:val="DefaultParagraphFont"/>
    <w:link w:val="SCCSystemYear"/>
    <w:rsid w:val="00FD3770"/>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FD3770"/>
    <w:rPr>
      <w:smallCaps/>
    </w:rPr>
  </w:style>
  <w:style w:type="paragraph" w:customStyle="1" w:styleId="SCCCounselName">
    <w:name w:val="SCC.CounselName"/>
    <w:basedOn w:val="SCCNormalDoubleSpacing"/>
    <w:next w:val="SCCNormalDoubleSpacing"/>
    <w:link w:val="SCCCounselNameChar"/>
    <w:rsid w:val="00FD3770"/>
    <w:rPr>
      <w:i/>
    </w:rPr>
  </w:style>
  <w:style w:type="character" w:customStyle="1" w:styleId="SCCCounselNameChar">
    <w:name w:val="SCC.CounselName Char"/>
    <w:basedOn w:val="SCCNormalDoubleSpacingChar"/>
    <w:link w:val="SCCCounselName"/>
    <w:rsid w:val="00FD3770"/>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FD3770"/>
  </w:style>
  <w:style w:type="character" w:customStyle="1" w:styleId="SCCCounselSeparatorChar">
    <w:name w:val="SCC.CounselSeparator Char"/>
    <w:basedOn w:val="SCCNormalDoubleSpacingChar"/>
    <w:link w:val="SCCCounselSeparator"/>
    <w:rsid w:val="00FD3770"/>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FD3770"/>
    <w:rPr>
      <w:i/>
    </w:rPr>
  </w:style>
  <w:style w:type="character" w:customStyle="1" w:styleId="SCCLawFirmChar">
    <w:name w:val="SCC.LawFirm Char"/>
    <w:basedOn w:val="SCCNormalDoubleSpacingChar"/>
    <w:link w:val="SCCLawFirm"/>
    <w:rsid w:val="00FD3770"/>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FD3770"/>
  </w:style>
  <w:style w:type="character" w:customStyle="1" w:styleId="SCCCounselPartyRoleChar">
    <w:name w:val="SCC.CounselPartyRole Char"/>
    <w:basedOn w:val="SCCNormalDoubleSpacingChar"/>
    <w:link w:val="SCCCounselPartyRole"/>
    <w:rsid w:val="00FD3770"/>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FD3770"/>
    <w:pPr>
      <w:tabs>
        <w:tab w:val="right" w:pos="8222"/>
      </w:tabs>
      <w:spacing w:after="720"/>
    </w:pPr>
    <w:rPr>
      <w:b/>
    </w:rPr>
  </w:style>
  <w:style w:type="character" w:customStyle="1" w:styleId="SCCLsocLastPartyInRoleChar">
    <w:name w:val="SCC.Lsoc.LastPartyInRole Char"/>
    <w:basedOn w:val="SCCLsocPartyChar"/>
    <w:link w:val="SCCLsocLastPartyInRole"/>
    <w:rsid w:val="00FD3770"/>
    <w:rPr>
      <w:rFonts w:ascii="Times New Roman" w:eastAsia="Times New Roman" w:hAnsi="Times New Roman" w:cs="Times New Roman"/>
      <w:b/>
      <w:sz w:val="24"/>
      <w:szCs w:val="20"/>
      <w:lang w:val="en-CA" w:eastAsia="en-CA"/>
    </w:rPr>
  </w:style>
  <w:style w:type="paragraph" w:customStyle="1" w:styleId="SCCCoram">
    <w:name w:val="SCC.Coram"/>
    <w:basedOn w:val="Normal"/>
    <w:next w:val="Normal"/>
    <w:link w:val="SCCCoramChar"/>
    <w:rsid w:val="00FD377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D3770"/>
    <w:rPr>
      <w:rFonts w:ascii="Times New Roman" w:hAnsi="Times New Roman"/>
      <w:sz w:val="24"/>
      <w:lang w:val="en-CA"/>
    </w:rPr>
  </w:style>
  <w:style w:type="character" w:customStyle="1" w:styleId="Heading1Char">
    <w:name w:val="Heading 1 Char"/>
    <w:basedOn w:val="DefaultParagraphFont"/>
    <w:link w:val="Heading1"/>
    <w:uiPriority w:val="9"/>
    <w:rsid w:val="00696B09"/>
    <w:rPr>
      <w:rFonts w:asciiTheme="majorHAnsi" w:eastAsiaTheme="majorEastAsia" w:hAnsiTheme="majorHAnsi" w:cstheme="majorBidi"/>
      <w:b/>
      <w:bCs/>
      <w:color w:val="2E74B5" w:themeColor="accent1" w:themeShade="BF"/>
      <w:sz w:val="28"/>
      <w:szCs w:val="28"/>
      <w:lang w:bidi="en-US"/>
    </w:rPr>
  </w:style>
  <w:style w:type="character" w:customStyle="1" w:styleId="Heading2Char">
    <w:name w:val="Heading 2 Char"/>
    <w:basedOn w:val="DefaultParagraphFont"/>
    <w:link w:val="Heading2"/>
    <w:uiPriority w:val="9"/>
    <w:semiHidden/>
    <w:rsid w:val="00696B09"/>
    <w:rPr>
      <w:rFonts w:asciiTheme="majorHAnsi" w:eastAsiaTheme="majorEastAsia" w:hAnsiTheme="majorHAnsi" w:cstheme="majorBidi"/>
      <w:b/>
      <w:bCs/>
      <w:color w:val="5B9BD5" w:themeColor="accent1"/>
      <w:sz w:val="26"/>
      <w:szCs w:val="26"/>
      <w:lang w:bidi="en-US"/>
    </w:rPr>
  </w:style>
  <w:style w:type="character" w:customStyle="1" w:styleId="Heading3Char">
    <w:name w:val="Heading 3 Char"/>
    <w:basedOn w:val="DefaultParagraphFont"/>
    <w:link w:val="Heading3"/>
    <w:uiPriority w:val="9"/>
    <w:semiHidden/>
    <w:rsid w:val="00696B09"/>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semiHidden/>
    <w:rsid w:val="00696B09"/>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696B09"/>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696B09"/>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696B09"/>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696B09"/>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696B09"/>
    <w:rPr>
      <w:rFonts w:asciiTheme="majorHAnsi" w:eastAsiaTheme="majorEastAsia" w:hAnsiTheme="majorHAnsi" w:cstheme="majorBidi"/>
      <w:i/>
      <w:iCs/>
      <w:color w:val="404040" w:themeColor="text1" w:themeTint="BF"/>
      <w:sz w:val="20"/>
      <w:szCs w:val="20"/>
      <w:lang w:bidi="en-US"/>
    </w:rPr>
  </w:style>
  <w:style w:type="paragraph" w:styleId="Footer">
    <w:name w:val="footer"/>
    <w:basedOn w:val="Normal"/>
    <w:link w:val="FooterChar"/>
    <w:uiPriority w:val="99"/>
    <w:semiHidden/>
    <w:unhideWhenUsed/>
    <w:rsid w:val="00696B09"/>
    <w:pPr>
      <w:tabs>
        <w:tab w:val="center" w:pos="4680"/>
        <w:tab w:val="right" w:pos="9360"/>
      </w:tabs>
    </w:pPr>
    <w:rPr>
      <w:rFonts w:eastAsiaTheme="minorHAnsi" w:cstheme="minorBidi"/>
      <w:szCs w:val="22"/>
      <w:lang w:val="en-US" w:eastAsia="en-US" w:bidi="en-US"/>
    </w:rPr>
  </w:style>
  <w:style w:type="character" w:customStyle="1" w:styleId="FooterChar">
    <w:name w:val="Footer Char"/>
    <w:basedOn w:val="DefaultParagraphFont"/>
    <w:link w:val="Footer"/>
    <w:uiPriority w:val="99"/>
    <w:semiHidden/>
    <w:rsid w:val="00696B09"/>
    <w:rPr>
      <w:rFonts w:ascii="Times New Roman" w:hAnsi="Times New Roman"/>
      <w:sz w:val="24"/>
      <w:lang w:bidi="en-US"/>
    </w:rPr>
  </w:style>
  <w:style w:type="paragraph" w:customStyle="1" w:styleId="SCCLsocOtherPartyRoleSeparator">
    <w:name w:val="SCC.Lsoc.OtherPartyRoleSeparator"/>
    <w:basedOn w:val="Normal"/>
    <w:next w:val="Normal"/>
    <w:link w:val="SCCLsocOtherPartyRoleSeparatorChar"/>
    <w:rsid w:val="00696B09"/>
    <w:pPr>
      <w:spacing w:after="480"/>
    </w:pPr>
    <w:rPr>
      <w:rFonts w:eastAsiaTheme="minorHAnsi" w:cstheme="minorBidi"/>
      <w:szCs w:val="22"/>
      <w:lang w:val="en-US" w:eastAsia="en-US" w:bidi="en-US"/>
    </w:rPr>
  </w:style>
  <w:style w:type="paragraph" w:customStyle="1" w:styleId="SCCLsocSubfileSeparator">
    <w:name w:val="SCC.Lsoc.SubfileSeparator"/>
    <w:basedOn w:val="Normal"/>
    <w:next w:val="Normal"/>
    <w:link w:val="SCCLsocSubfileSeparatorChar"/>
    <w:rsid w:val="00696B09"/>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696B09"/>
    <w:rPr>
      <w:rFonts w:ascii="Times New Roman" w:hAnsi="Times New Roman"/>
      <w:sz w:val="24"/>
      <w:lang w:bidi="en-US"/>
    </w:rPr>
  </w:style>
  <w:style w:type="character" w:customStyle="1" w:styleId="SCCLsocSubfileSeparatorChar">
    <w:name w:val="SCC.Lsoc.SubfileSeparator Char"/>
    <w:basedOn w:val="DefaultParagraphFont"/>
    <w:link w:val="SCCLsocSubfileSeparator"/>
    <w:rsid w:val="00696B09"/>
    <w:rPr>
      <w:rFonts w:ascii="Times New Roman" w:hAnsi="Times New Roman"/>
      <w:sz w:val="24"/>
      <w:lang w:bidi="en-US"/>
    </w:rPr>
  </w:style>
  <w:style w:type="paragraph" w:customStyle="1" w:styleId="SCCBanSummary">
    <w:name w:val="SCC.BanSummary"/>
    <w:basedOn w:val="Normal"/>
    <w:next w:val="Normal"/>
    <w:link w:val="SCCBanSummaryChar"/>
    <w:rsid w:val="00696B09"/>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696B09"/>
    <w:rPr>
      <w:rFonts w:ascii="Times New Roman" w:eastAsiaTheme="minorEastAsia" w:hAnsi="Times New Roman"/>
      <w:b/>
      <w:sz w:val="24"/>
      <w:szCs w:val="24"/>
      <w:lang w:bidi="en-US"/>
    </w:rPr>
  </w:style>
  <w:style w:type="character" w:styleId="PlaceholderText">
    <w:name w:val="Placeholder Text"/>
    <w:basedOn w:val="DefaultParagraphFont"/>
    <w:uiPriority w:val="99"/>
    <w:semiHidden/>
    <w:rsid w:val="00696B09"/>
    <w:rPr>
      <w:color w:val="808080"/>
    </w:rPr>
  </w:style>
  <w:style w:type="paragraph" w:styleId="BalloonText">
    <w:name w:val="Balloon Text"/>
    <w:basedOn w:val="Normal"/>
    <w:link w:val="BalloonTextChar"/>
    <w:uiPriority w:val="99"/>
    <w:semiHidden/>
    <w:unhideWhenUsed/>
    <w:rsid w:val="00696B09"/>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696B09"/>
    <w:rPr>
      <w:rFonts w:ascii="Times New Roman" w:hAnsi="Times New Roman" w:cs="Tahoma"/>
      <w:sz w:val="28"/>
      <w:szCs w:val="16"/>
      <w:lang w:bidi="en-US"/>
    </w:rPr>
  </w:style>
  <w:style w:type="table" w:styleId="TableGrid">
    <w:name w:val="Table Grid"/>
    <w:basedOn w:val="TableNormal"/>
    <w:uiPriority w:val="59"/>
    <w:rsid w:val="00696B09"/>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96B09"/>
    <w:pPr>
      <w:spacing w:after="720" w:line="240" w:lineRule="auto"/>
      <w:ind w:left="1166"/>
      <w:contextualSpacing/>
      <w:jc w:val="both"/>
    </w:pPr>
    <w:rPr>
      <w:rFonts w:ascii="Times New Roman" w:eastAsia="Times New Roman" w:hAnsi="Times New Roman" w:cs="Times New Roman"/>
      <w:sz w:val="24"/>
      <w:szCs w:val="20"/>
      <w:lang w:val="en-CA" w:eastAsia="en-CA"/>
    </w:rPr>
  </w:style>
  <w:style w:type="paragraph" w:customStyle="1" w:styleId="ContinueParaSuitedupar-AltP">
    <w:name w:val="Continue Para. / Suite du par. - Alt P"/>
    <w:next w:val="ParaNoNdepar-AltN"/>
    <w:uiPriority w:val="1"/>
    <w:qFormat/>
    <w:rsid w:val="00696B09"/>
    <w:pPr>
      <w:spacing w:before="480" w:after="480" w:line="480" w:lineRule="auto"/>
      <w:jc w:val="both"/>
    </w:pPr>
    <w:rPr>
      <w:rFonts w:ascii="Times New Roman" w:hAnsi="Times New Roman"/>
      <w:sz w:val="24"/>
      <w:lang w:val="en-CA"/>
    </w:rPr>
  </w:style>
  <w:style w:type="paragraph" w:customStyle="1" w:styleId="JudgeJuge">
    <w:name w:val="Judge / Juge"/>
    <w:link w:val="JudgeJugeChar"/>
    <w:uiPriority w:val="3"/>
    <w:rsid w:val="00696B09"/>
    <w:pPr>
      <w:tabs>
        <w:tab w:val="left" w:pos="1260"/>
      </w:tabs>
      <w:spacing w:after="480" w:line="480" w:lineRule="auto"/>
    </w:pPr>
    <w:rPr>
      <w:rFonts w:ascii="Times New Roman" w:eastAsia="Times New Roman" w:hAnsi="Times New Roman" w:cs="Times New Roman"/>
      <w:smallCaps/>
      <w:sz w:val="24"/>
      <w:szCs w:val="20"/>
      <w:lang w:val="en-CA" w:eastAsia="en-CA"/>
    </w:rPr>
  </w:style>
  <w:style w:type="paragraph" w:customStyle="1" w:styleId="ParaNoNdepar-AltN">
    <w:name w:val="Para. No. / Nº de par. - Alt N"/>
    <w:qFormat/>
    <w:rsid w:val="00696B09"/>
    <w:pPr>
      <w:numPr>
        <w:numId w:val="6"/>
      </w:numPr>
      <w:tabs>
        <w:tab w:val="clear" w:pos="1332"/>
        <w:tab w:val="num" w:pos="1152"/>
      </w:tabs>
      <w:spacing w:before="480" w:after="480" w:line="480" w:lineRule="auto"/>
      <w:ind w:left="0"/>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696B09"/>
    <w:pPr>
      <w:numPr>
        <w:numId w:val="7"/>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696B0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696B09"/>
    <w:pPr>
      <w:numPr>
        <w:ilvl w:val="2"/>
      </w:numPr>
    </w:pPr>
  </w:style>
  <w:style w:type="paragraph" w:customStyle="1" w:styleId="Title4LevelTitre4Niveau">
    <w:name w:val="Title 4 Level / Titre 4 Niveau"/>
    <w:basedOn w:val="Title3LevelTitre3Niveau"/>
    <w:next w:val="ParaNoNdepar-AltN"/>
    <w:uiPriority w:val="4"/>
    <w:qFormat/>
    <w:rsid w:val="00696B09"/>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696B09"/>
    <w:pPr>
      <w:numPr>
        <w:ilvl w:val="4"/>
      </w:numPr>
    </w:pPr>
  </w:style>
  <w:style w:type="paragraph" w:styleId="TOC1">
    <w:name w:val="toc 1"/>
    <w:basedOn w:val="Normal"/>
    <w:next w:val="Normal"/>
    <w:autoRedefine/>
    <w:uiPriority w:val="39"/>
    <w:unhideWhenUsed/>
    <w:rsid w:val="00696B09"/>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696B09"/>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696B09"/>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696B09"/>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696B09"/>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696B09"/>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696B09"/>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96B09"/>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696B09"/>
    <w:pPr>
      <w:numPr>
        <w:ilvl w:val="5"/>
      </w:numPr>
    </w:pPr>
    <w:rPr>
      <w:i/>
      <w:u w:val="none"/>
    </w:rPr>
  </w:style>
  <w:style w:type="character" w:styleId="CommentReference">
    <w:name w:val="annotation reference"/>
    <w:basedOn w:val="DefaultParagraphFont"/>
    <w:uiPriority w:val="99"/>
    <w:semiHidden/>
    <w:unhideWhenUsed/>
    <w:rsid w:val="00696B09"/>
    <w:rPr>
      <w:sz w:val="16"/>
      <w:szCs w:val="16"/>
    </w:rPr>
  </w:style>
  <w:style w:type="paragraph" w:styleId="CommentText">
    <w:name w:val="annotation text"/>
    <w:basedOn w:val="Normal"/>
    <w:link w:val="CommentTextChar"/>
    <w:uiPriority w:val="99"/>
    <w:semiHidden/>
    <w:unhideWhenUsed/>
    <w:rsid w:val="00696B09"/>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696B09"/>
    <w:rPr>
      <w:rFonts w:ascii="Times New Roman" w:hAnsi="Times New Roman"/>
      <w:sz w:val="20"/>
      <w:lang w:bidi="en-US"/>
    </w:rPr>
  </w:style>
  <w:style w:type="paragraph" w:styleId="CommentSubject">
    <w:name w:val="annotation subject"/>
    <w:basedOn w:val="CommentText"/>
    <w:next w:val="CommentText"/>
    <w:link w:val="CommentSubjectChar"/>
    <w:uiPriority w:val="99"/>
    <w:semiHidden/>
    <w:unhideWhenUsed/>
    <w:rsid w:val="00696B09"/>
    <w:rPr>
      <w:b/>
      <w:bCs/>
    </w:rPr>
  </w:style>
  <w:style w:type="character" w:customStyle="1" w:styleId="CommentSubjectChar">
    <w:name w:val="Comment Subject Char"/>
    <w:basedOn w:val="CommentTextChar"/>
    <w:link w:val="CommentSubject"/>
    <w:uiPriority w:val="99"/>
    <w:semiHidden/>
    <w:rsid w:val="00696B09"/>
    <w:rPr>
      <w:rFonts w:ascii="Times New Roman" w:hAnsi="Times New Roman"/>
      <w:b/>
      <w:bCs/>
      <w:sz w:val="20"/>
      <w:lang w:bidi="en-US"/>
    </w:rPr>
  </w:style>
  <w:style w:type="character" w:customStyle="1" w:styleId="JudgeJugeChar">
    <w:name w:val="Judge / Juge Char"/>
    <w:basedOn w:val="DefaultParagraphFont"/>
    <w:link w:val="JudgeJuge"/>
    <w:uiPriority w:val="3"/>
    <w:rsid w:val="00696B09"/>
    <w:rPr>
      <w:rFonts w:ascii="Times New Roman" w:eastAsia="Times New Roman" w:hAnsi="Times New Roman" w:cs="Times New Roman"/>
      <w:smallCaps/>
      <w:sz w:val="24"/>
      <w:szCs w:val="20"/>
      <w:lang w:val="en-CA" w:eastAsia="en-CA"/>
    </w:rPr>
  </w:style>
  <w:style w:type="paragraph" w:styleId="NoSpacing">
    <w:name w:val="No Spacing"/>
    <w:uiPriority w:val="1"/>
    <w:rsid w:val="00696B09"/>
    <w:pPr>
      <w:spacing w:after="0" w:line="240" w:lineRule="auto"/>
    </w:pPr>
    <w:rPr>
      <w:rFonts w:ascii="Times New Roman" w:hAnsi="Times New Roman"/>
      <w:sz w:val="24"/>
      <w:lang w:bidi="en-US"/>
    </w:rPr>
  </w:style>
  <w:style w:type="paragraph" w:styleId="TOCHeading">
    <w:name w:val="TOC Heading"/>
    <w:basedOn w:val="Heading1"/>
    <w:next w:val="Normal"/>
    <w:uiPriority w:val="39"/>
    <w:semiHidden/>
    <w:unhideWhenUsed/>
    <w:qFormat/>
    <w:rsid w:val="00696B09"/>
    <w:pPr>
      <w:outlineLvl w:val="9"/>
    </w:pPr>
  </w:style>
  <w:style w:type="paragraph" w:styleId="Caption">
    <w:name w:val="caption"/>
    <w:basedOn w:val="Normal"/>
    <w:next w:val="Normal"/>
    <w:uiPriority w:val="35"/>
    <w:semiHidden/>
    <w:unhideWhenUsed/>
    <w:qFormat/>
    <w:rsid w:val="00696B09"/>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696B0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96B09"/>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696B09"/>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696B09"/>
    <w:rPr>
      <w:rFonts w:asciiTheme="majorHAnsi" w:eastAsiaTheme="majorEastAsia" w:hAnsiTheme="majorHAnsi" w:cstheme="majorBidi"/>
      <w:i/>
      <w:iCs/>
      <w:color w:val="5B9BD5" w:themeColor="accent1"/>
      <w:spacing w:val="15"/>
      <w:sz w:val="24"/>
      <w:szCs w:val="24"/>
      <w:lang w:bidi="en-US"/>
    </w:rPr>
  </w:style>
  <w:style w:type="character" w:styleId="Strong">
    <w:name w:val="Strong"/>
    <w:basedOn w:val="DefaultParagraphFont"/>
    <w:uiPriority w:val="22"/>
    <w:rsid w:val="00696B09"/>
    <w:rPr>
      <w:b/>
      <w:bCs/>
    </w:rPr>
  </w:style>
  <w:style w:type="character" w:styleId="Emphasis">
    <w:name w:val="Emphasis"/>
    <w:basedOn w:val="DefaultParagraphFont"/>
    <w:uiPriority w:val="20"/>
    <w:rsid w:val="00696B09"/>
    <w:rPr>
      <w:i/>
      <w:iCs/>
    </w:rPr>
  </w:style>
  <w:style w:type="paragraph" w:styleId="ListParagraph">
    <w:name w:val="List Paragraph"/>
    <w:basedOn w:val="Normal"/>
    <w:uiPriority w:val="34"/>
    <w:rsid w:val="00696B09"/>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696B09"/>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696B09"/>
    <w:rPr>
      <w:rFonts w:ascii="Times New Roman" w:hAnsi="Times New Roman"/>
      <w:b/>
      <w:bCs/>
      <w:i/>
      <w:iCs/>
      <w:color w:val="5B9BD5" w:themeColor="accent1"/>
      <w:sz w:val="24"/>
      <w:lang w:bidi="en-US"/>
    </w:rPr>
  </w:style>
  <w:style w:type="character" w:styleId="SubtleEmphasis">
    <w:name w:val="Subtle Emphasis"/>
    <w:basedOn w:val="DefaultParagraphFont"/>
    <w:uiPriority w:val="19"/>
    <w:rsid w:val="00696B09"/>
    <w:rPr>
      <w:i/>
      <w:iCs/>
      <w:color w:val="808080" w:themeColor="text1" w:themeTint="7F"/>
    </w:rPr>
  </w:style>
  <w:style w:type="character" w:styleId="IntenseEmphasis">
    <w:name w:val="Intense Emphasis"/>
    <w:basedOn w:val="DefaultParagraphFont"/>
    <w:uiPriority w:val="21"/>
    <w:rsid w:val="00696B09"/>
    <w:rPr>
      <w:b/>
      <w:bCs/>
      <w:i/>
      <w:iCs/>
      <w:color w:val="5B9BD5" w:themeColor="accent1"/>
    </w:rPr>
  </w:style>
  <w:style w:type="character" w:styleId="SubtleReference">
    <w:name w:val="Subtle Reference"/>
    <w:basedOn w:val="DefaultParagraphFont"/>
    <w:uiPriority w:val="31"/>
    <w:rsid w:val="00696B09"/>
    <w:rPr>
      <w:smallCaps/>
      <w:color w:val="ED7D31" w:themeColor="accent2"/>
      <w:u w:val="single"/>
    </w:rPr>
  </w:style>
  <w:style w:type="character" w:styleId="IntenseReference">
    <w:name w:val="Intense Reference"/>
    <w:basedOn w:val="DefaultParagraphFont"/>
    <w:uiPriority w:val="32"/>
    <w:rsid w:val="00696B09"/>
    <w:rPr>
      <w:b/>
      <w:bCs/>
      <w:smallCaps/>
      <w:color w:val="ED7D31" w:themeColor="accent2"/>
      <w:spacing w:val="5"/>
      <w:u w:val="single"/>
    </w:rPr>
  </w:style>
  <w:style w:type="character" w:styleId="BookTitle">
    <w:name w:val="Book Title"/>
    <w:basedOn w:val="DefaultParagraphFont"/>
    <w:uiPriority w:val="33"/>
    <w:rsid w:val="00696B09"/>
    <w:rPr>
      <w:b/>
      <w:bCs/>
      <w:smallCaps/>
      <w:spacing w:val="5"/>
    </w:rPr>
  </w:style>
  <w:style w:type="paragraph" w:styleId="Revision">
    <w:name w:val="Revision"/>
    <w:hidden/>
    <w:uiPriority w:val="99"/>
    <w:semiHidden/>
    <w:rsid w:val="00696B09"/>
    <w:pPr>
      <w:spacing w:after="0" w:line="240" w:lineRule="auto"/>
    </w:pPr>
    <w:rPr>
      <w:rFonts w:ascii="Times New Roman" w:hAnsi="Times New Roman"/>
      <w:sz w:val="24"/>
      <w:lang w:bidi="en-US"/>
    </w:rPr>
  </w:style>
  <w:style w:type="character" w:styleId="Hyperlink">
    <w:name w:val="Hyperlink"/>
    <w:basedOn w:val="DefaultParagraphFont"/>
    <w:uiPriority w:val="99"/>
    <w:unhideWhenUsed/>
    <w:rsid w:val="00696B09"/>
    <w:rPr>
      <w:color w:val="0563C1" w:themeColor="hyperlink"/>
      <w:u w:val="single"/>
    </w:rPr>
  </w:style>
  <w:style w:type="character" w:customStyle="1" w:styleId="decisia-reflex2-icon">
    <w:name w:val="decisia-reflex2-icon"/>
    <w:basedOn w:val="DefaultParagraphFont"/>
    <w:rsid w:val="00696B09"/>
    <w:rPr>
      <w:strike w:val="0"/>
      <w:dstrike w:val="0"/>
      <w:sz w:val="19"/>
      <w:szCs w:val="19"/>
      <w:u w:val="none"/>
      <w:effect w:val="none"/>
    </w:rPr>
  </w:style>
  <w:style w:type="character" w:customStyle="1" w:styleId="SCCLsocPartyRoleChar">
    <w:name w:val="SCC.Lsoc.PartyRole Char"/>
    <w:basedOn w:val="DefaultParagraphFont"/>
    <w:rsid w:val="008B3300"/>
    <w:rPr>
      <w:lang w:val="en-CA"/>
    </w:rPr>
  </w:style>
  <w:style w:type="paragraph" w:customStyle="1" w:styleId="SCCLsocPrefix">
    <w:name w:val="SCC.Lsoc.Prefix"/>
    <w:basedOn w:val="Normal"/>
    <w:next w:val="Normal"/>
    <w:link w:val="SCCLsocPrefixChar"/>
    <w:rsid w:val="008B3300"/>
    <w:rPr>
      <w:rFonts w:eastAsiaTheme="minorHAnsi" w:cstheme="minorBidi"/>
      <w:b/>
      <w:smallCaps/>
      <w:szCs w:val="24"/>
      <w:lang w:eastAsia="en-US"/>
    </w:rPr>
  </w:style>
  <w:style w:type="character" w:customStyle="1" w:styleId="SCCLsocPrefixChar">
    <w:name w:val="SCC.Lsoc.Prefix Char"/>
    <w:basedOn w:val="DefaultParagraphFont"/>
    <w:link w:val="SCCLsocPrefix"/>
    <w:rsid w:val="008B3300"/>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9F92-35FB-4970-9285-FCEC8811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90</Pages>
  <Words>21097</Words>
  <Characters>120255</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141070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32</cp:revision>
  <dcterms:created xsi:type="dcterms:W3CDTF">2015-11-13T13:36:00Z</dcterms:created>
  <dcterms:modified xsi:type="dcterms:W3CDTF">2016-02-26T14:23:00Z</dcterms:modified>
</cp:coreProperties>
</file>