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012" w:rsidRDefault="00A51012" w:rsidP="00A5101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48756727" r:id="rId8"/>
        </w:object>
      </w:r>
      <w:r>
        <w:t xml:space="preserve"> </w:t>
      </w:r>
      <w:r>
        <w:ptab w:relativeTo="margin" w:alignment="right" w:leader="none"/>
      </w:r>
    </w:p>
    <w:p w:rsidR="00A51012" w:rsidRDefault="00A51012" w:rsidP="00A51012">
      <w:pPr>
        <w:pStyle w:val="Header"/>
      </w:pPr>
    </w:p>
    <w:p w:rsidR="00A51012" w:rsidRPr="006B210C" w:rsidRDefault="00A51012" w:rsidP="00A51012">
      <w:pPr>
        <w:jc w:val="center"/>
        <w:rPr>
          <w:b/>
        </w:rPr>
      </w:pPr>
      <w:r w:rsidRPr="006B210C">
        <w:rPr>
          <w:b/>
        </w:rPr>
        <w:t>SUPREME COURT OF CANADA</w:t>
      </w:r>
    </w:p>
    <w:p w:rsidR="00A51012" w:rsidRDefault="00A51012" w:rsidP="00A5101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A51012" w:rsidRPr="006B210C" w:rsidTr="00E5429C">
        <w:trPr>
          <w:cantSplit/>
        </w:trPr>
        <w:tc>
          <w:tcPr>
            <w:tcW w:w="5130" w:type="dxa"/>
          </w:tcPr>
          <w:p w:rsidR="00A51012" w:rsidRPr="00A51012" w:rsidRDefault="00A51012" w:rsidP="00E5429C">
            <w:pPr>
              <w:rPr>
                <w:lang w:val="fr-CA"/>
              </w:rPr>
            </w:pPr>
            <w:r w:rsidRPr="00DE6112">
              <w:rPr>
                <w:b/>
                <w:smallCaps/>
                <w:lang w:val="fr-CA"/>
              </w:rPr>
              <w:t>Citation:</w:t>
            </w:r>
            <w:r w:rsidRPr="00DE6112">
              <w:rPr>
                <w:lang w:val="fr-CA"/>
              </w:rPr>
              <w:t xml:space="preserve"> R. </w:t>
            </w:r>
            <w:r w:rsidRPr="00DE6112">
              <w:rPr>
                <w:i/>
                <w:lang w:val="fr-CA"/>
              </w:rPr>
              <w:t>v.</w:t>
            </w:r>
            <w:r w:rsidRPr="00DE6112">
              <w:rPr>
                <w:lang w:val="fr-CA"/>
              </w:rPr>
              <w:t xml:space="preserve"> </w:t>
            </w:r>
            <w:proofErr w:type="spellStart"/>
            <w:r w:rsidRPr="00DE6112">
              <w:rPr>
                <w:lang w:val="fr-CA"/>
              </w:rPr>
              <w:t>Villaroman</w:t>
            </w:r>
            <w:proofErr w:type="spellEnd"/>
            <w:r w:rsidRPr="00DE6112">
              <w:rPr>
                <w:lang w:val="fr-CA"/>
              </w:rPr>
              <w:t>, 2016 SCC 33</w:t>
            </w:r>
            <w:r>
              <w:rPr>
                <w:lang w:val="fr-CA"/>
              </w:rPr>
              <w:t xml:space="preserve">, </w:t>
            </w:r>
            <w:r w:rsidRPr="00A51012">
              <w:rPr>
                <w:lang w:val="fr-CA"/>
              </w:rPr>
              <w:t>[2016] 1 S.C.R. 1000</w:t>
            </w:r>
            <w:bookmarkStart w:id="0" w:name="_GoBack"/>
            <w:bookmarkEnd w:id="0"/>
          </w:p>
        </w:tc>
        <w:tc>
          <w:tcPr>
            <w:tcW w:w="4446" w:type="dxa"/>
          </w:tcPr>
          <w:p w:rsidR="00A51012" w:rsidRPr="006B210C" w:rsidRDefault="00A51012" w:rsidP="00E5429C">
            <w:r>
              <w:rPr>
                <w:b/>
                <w:smallCaps/>
              </w:rPr>
              <w:t>Appeal heard:</w:t>
            </w:r>
            <w:r w:rsidRPr="006B210C">
              <w:t xml:space="preserve"> </w:t>
            </w:r>
            <w:r>
              <w:t>March 21, 2016</w:t>
            </w:r>
          </w:p>
          <w:p w:rsidR="00A51012" w:rsidRDefault="00A51012" w:rsidP="00E5429C">
            <w:r>
              <w:rPr>
                <w:b/>
                <w:smallCaps/>
              </w:rPr>
              <w:t>Judgment rendered</w:t>
            </w:r>
            <w:r w:rsidRPr="00BB22F6">
              <w:rPr>
                <w:b/>
                <w:smallCaps/>
              </w:rPr>
              <w:t>:</w:t>
            </w:r>
            <w:r w:rsidRPr="00BB22F6">
              <w:t xml:space="preserve"> </w:t>
            </w:r>
            <w:r w:rsidRPr="002A0DD0">
              <w:t>July 29, 2016</w:t>
            </w:r>
          </w:p>
          <w:p w:rsidR="00A51012" w:rsidRPr="006B210C" w:rsidRDefault="00A51012" w:rsidP="00E5429C">
            <w:r w:rsidRPr="006B210C">
              <w:rPr>
                <w:b/>
                <w:smallCaps/>
              </w:rPr>
              <w:t>Docket</w:t>
            </w:r>
            <w:r>
              <w:rPr>
                <w:b/>
                <w:smallCaps/>
              </w:rPr>
              <w:t>:</w:t>
            </w:r>
            <w:r w:rsidRPr="006B210C">
              <w:t xml:space="preserve"> </w:t>
            </w:r>
            <w:r>
              <w:t>36435</w:t>
            </w:r>
          </w:p>
        </w:tc>
      </w:tr>
    </w:tbl>
    <w:p w:rsidR="00A51012" w:rsidRPr="006B210C" w:rsidRDefault="00A51012" w:rsidP="00A51012"/>
    <w:p w:rsidR="00A51012" w:rsidRDefault="00A51012" w:rsidP="00A51012">
      <w:pPr>
        <w:pStyle w:val="SCCLsocPrefix"/>
      </w:pPr>
      <w:r>
        <w:t>Between:</w:t>
      </w:r>
    </w:p>
    <w:p w:rsidR="00A51012" w:rsidRDefault="00A51012" w:rsidP="00A51012">
      <w:pPr>
        <w:pStyle w:val="SCCLsocParty"/>
        <w:jc w:val="center"/>
      </w:pPr>
      <w:r>
        <w:t xml:space="preserve">Her Majesty </w:t>
      </w:r>
      <w:proofErr w:type="gramStart"/>
      <w:r>
        <w:t>The</w:t>
      </w:r>
      <w:proofErr w:type="gramEnd"/>
      <w:r>
        <w:t xml:space="preserve"> Queen</w:t>
      </w:r>
    </w:p>
    <w:p w:rsidR="00A51012" w:rsidRDefault="00A51012" w:rsidP="00A51012">
      <w:pPr>
        <w:jc w:val="center"/>
      </w:pPr>
      <w:r>
        <w:t>Appellant</w:t>
      </w:r>
    </w:p>
    <w:p w:rsidR="00A51012" w:rsidRPr="00727055" w:rsidRDefault="00A51012" w:rsidP="00A51012">
      <w:pPr>
        <w:jc w:val="center"/>
      </w:pPr>
    </w:p>
    <w:p w:rsidR="00A51012" w:rsidRPr="00A51012" w:rsidRDefault="00A51012" w:rsidP="00A51012">
      <w:pPr>
        <w:pStyle w:val="SCCLsocVersus"/>
        <w:spacing w:after="0"/>
        <w:jc w:val="center"/>
        <w:rPr>
          <w:i w:val="0"/>
        </w:rPr>
      </w:pPr>
      <w:proofErr w:type="gramStart"/>
      <w:r w:rsidRPr="00A51012">
        <w:rPr>
          <w:i w:val="0"/>
        </w:rPr>
        <w:t>and</w:t>
      </w:r>
      <w:proofErr w:type="gramEnd"/>
    </w:p>
    <w:p w:rsidR="00A51012" w:rsidRPr="00727055" w:rsidRDefault="00A51012" w:rsidP="00A51012">
      <w:pPr>
        <w:jc w:val="center"/>
      </w:pPr>
    </w:p>
    <w:p w:rsidR="00A51012" w:rsidRDefault="00A51012" w:rsidP="00A51012">
      <w:pPr>
        <w:pStyle w:val="SCCLsocParty"/>
        <w:jc w:val="center"/>
      </w:pPr>
      <w:r>
        <w:t xml:space="preserve">Oswald Oliver </w:t>
      </w:r>
      <w:proofErr w:type="spellStart"/>
      <w:r>
        <w:t>Villaroman</w:t>
      </w:r>
      <w:proofErr w:type="spellEnd"/>
    </w:p>
    <w:p w:rsidR="00A51012" w:rsidRDefault="00A51012" w:rsidP="00A51012">
      <w:pPr>
        <w:jc w:val="center"/>
      </w:pPr>
      <w:r>
        <w:t>Respondent</w:t>
      </w:r>
    </w:p>
    <w:p w:rsidR="00A51012" w:rsidRPr="00727055" w:rsidRDefault="00A51012" w:rsidP="00A51012">
      <w:pPr>
        <w:jc w:val="center"/>
      </w:pPr>
    </w:p>
    <w:p w:rsidR="00A51012" w:rsidRDefault="00A51012" w:rsidP="00A51012">
      <w:pPr>
        <w:pStyle w:val="SCCLsocOtherPartySeparator"/>
        <w:spacing w:after="0"/>
        <w:jc w:val="center"/>
      </w:pPr>
      <w:r>
        <w:t xml:space="preserve">- </w:t>
      </w:r>
      <w:proofErr w:type="gramStart"/>
      <w:r>
        <w:t>and</w:t>
      </w:r>
      <w:proofErr w:type="gramEnd"/>
      <w:r>
        <w:t xml:space="preserve"> -</w:t>
      </w:r>
    </w:p>
    <w:p w:rsidR="00A51012" w:rsidRPr="00727055" w:rsidRDefault="00A51012" w:rsidP="00A51012">
      <w:pPr>
        <w:jc w:val="center"/>
      </w:pPr>
    </w:p>
    <w:p w:rsidR="00A51012" w:rsidRDefault="00A51012" w:rsidP="00A51012">
      <w:pPr>
        <w:pStyle w:val="SCCLsocParty"/>
        <w:jc w:val="center"/>
      </w:pPr>
      <w:r>
        <w:t>Attorney General of Ontario,</w:t>
      </w:r>
    </w:p>
    <w:p w:rsidR="00A51012" w:rsidRDefault="00A51012" w:rsidP="00A51012">
      <w:pPr>
        <w:pStyle w:val="SCCLsocParty"/>
        <w:jc w:val="center"/>
      </w:pPr>
      <w:r>
        <w:t>Attorney General of British Columbia and</w:t>
      </w:r>
    </w:p>
    <w:p w:rsidR="00A51012" w:rsidRDefault="00A51012" w:rsidP="00A51012">
      <w:pPr>
        <w:pStyle w:val="SCCLsocParty"/>
        <w:jc w:val="center"/>
      </w:pPr>
      <w:r>
        <w:t>Criminal Lawyers’ Association (Ontario)</w:t>
      </w:r>
    </w:p>
    <w:p w:rsidR="00A51012" w:rsidRDefault="00A51012" w:rsidP="00A51012">
      <w:pPr>
        <w:jc w:val="center"/>
      </w:pPr>
      <w:r>
        <w:t>Interveners</w:t>
      </w:r>
    </w:p>
    <w:p w:rsidR="00A51012" w:rsidRDefault="00A51012" w:rsidP="00A51012"/>
    <w:p w:rsidR="00A51012" w:rsidRPr="006B210C" w:rsidRDefault="00A51012" w:rsidP="00A51012"/>
    <w:p w:rsidR="00A51012" w:rsidRPr="006B210C" w:rsidRDefault="00A51012" w:rsidP="00A51012">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A51012" w:rsidRPr="006B210C" w:rsidRDefault="00A51012" w:rsidP="00A510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A51012" w:rsidRPr="006B210C" w:rsidTr="00E5429C">
        <w:trPr>
          <w:cantSplit/>
        </w:trPr>
        <w:tc>
          <w:tcPr>
            <w:tcW w:w="3618" w:type="dxa"/>
          </w:tcPr>
          <w:p w:rsidR="00A51012" w:rsidRDefault="00A51012" w:rsidP="00E5429C">
            <w:pPr>
              <w:ind w:left="-58"/>
              <w:rPr>
                <w:b/>
                <w:smallCaps/>
              </w:rPr>
            </w:pPr>
            <w:r w:rsidRPr="006B210C">
              <w:rPr>
                <w:b/>
                <w:smallCaps/>
              </w:rPr>
              <w:t>Reasons for Judgment</w:t>
            </w:r>
            <w:r>
              <w:rPr>
                <w:b/>
                <w:smallCaps/>
              </w:rPr>
              <w:t>:</w:t>
            </w:r>
          </w:p>
          <w:p w:rsidR="00A51012" w:rsidRPr="006B210C" w:rsidRDefault="00A51012" w:rsidP="00E5429C">
            <w:pPr>
              <w:ind w:left="-58"/>
            </w:pPr>
            <w:r>
              <w:t xml:space="preserve">(paras. </w:t>
            </w:r>
            <w:r w:rsidRPr="001E26D1">
              <w:t>1 to 73)</w:t>
            </w:r>
          </w:p>
        </w:tc>
        <w:tc>
          <w:tcPr>
            <w:tcW w:w="5958" w:type="dxa"/>
          </w:tcPr>
          <w:p w:rsidR="00A51012" w:rsidRPr="006B210C" w:rsidRDefault="00A51012" w:rsidP="00E5429C">
            <w:r>
              <w:t>Cromwell J. (</w:t>
            </w:r>
            <w:proofErr w:type="spellStart"/>
            <w:r>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 concurring)</w:t>
            </w:r>
          </w:p>
        </w:tc>
      </w:tr>
    </w:tbl>
    <w:p w:rsidR="00A51012" w:rsidRDefault="00A51012" w:rsidP="00A51012"/>
    <w:p w:rsidR="00A51012" w:rsidRPr="006B210C" w:rsidRDefault="00A51012" w:rsidP="00A51012">
      <w:r>
        <w:rPr>
          <w:noProof/>
          <w:lang w:val="en-US"/>
        </w:rPr>
        <mc:AlternateContent>
          <mc:Choice Requires="wps">
            <w:drawing>
              <wp:anchor distT="0" distB="0" distL="114300" distR="114300" simplePos="0" relativeHeight="251659264" behindDoc="0" locked="0" layoutInCell="1" allowOverlap="1" wp14:anchorId="2EBC6177" wp14:editId="0BF3EEB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FBB73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A51012" w:rsidRDefault="00A51012" w:rsidP="009E04B1">
      <w:pPr>
        <w:widowControl w:val="0"/>
        <w:spacing w:after="720" w:line="480" w:lineRule="auto"/>
        <w:jc w:val="both"/>
      </w:pPr>
    </w:p>
    <w:p w:rsidR="00324334" w:rsidRPr="00506FDA" w:rsidRDefault="00506FDA" w:rsidP="009E04B1">
      <w:pPr>
        <w:widowControl w:val="0"/>
        <w:spacing w:after="720" w:line="480" w:lineRule="auto"/>
        <w:jc w:val="both"/>
      </w:pPr>
      <w:r>
        <w:t>R</w:t>
      </w:r>
      <w:r w:rsidR="00324334" w:rsidRPr="00506FDA">
        <w:t xml:space="preserve">. </w:t>
      </w:r>
      <w:r w:rsidR="00324334" w:rsidRPr="00506FDA">
        <w:rPr>
          <w:i/>
        </w:rPr>
        <w:t>v.</w:t>
      </w:r>
      <w:r w:rsidR="00324334" w:rsidRPr="00506FDA">
        <w:t xml:space="preserve"> </w:t>
      </w:r>
      <w:proofErr w:type="spellStart"/>
      <w:r>
        <w:t>V</w:t>
      </w:r>
      <w:r w:rsidR="00324334" w:rsidRPr="00506FDA">
        <w:t>illaroman</w:t>
      </w:r>
      <w:proofErr w:type="spellEnd"/>
      <w:r>
        <w:t xml:space="preserve">, </w:t>
      </w:r>
      <w:r w:rsidRPr="005A0A9D">
        <w:t>2016 SCC 33</w:t>
      </w:r>
      <w:r>
        <w:t>, [2016] 1 S.C.R. 1000</w:t>
      </w:r>
    </w:p>
    <w:p w:rsidR="00324334" w:rsidRPr="005A0A9D" w:rsidRDefault="00324334" w:rsidP="009E04B1">
      <w:pPr>
        <w:pStyle w:val="SCCLsocLastPartyInRole"/>
        <w:widowControl w:val="0"/>
      </w:pPr>
      <w:r w:rsidRPr="005A0A9D">
        <w:lastRenderedPageBreak/>
        <w:t xml:space="preserve">Her Majesty </w:t>
      </w:r>
      <w:proofErr w:type="gramStart"/>
      <w:r w:rsidRPr="005A0A9D">
        <w:t>The</w:t>
      </w:r>
      <w:proofErr w:type="gramEnd"/>
      <w:r w:rsidRPr="005A0A9D">
        <w:t xml:space="preserve"> Queen</w:t>
      </w:r>
      <w:r w:rsidRPr="005A0A9D">
        <w:rPr>
          <w:rStyle w:val="SCCLsocPartyRole"/>
        </w:rPr>
        <w:tab/>
        <w:t>Appellant</w:t>
      </w:r>
    </w:p>
    <w:p w:rsidR="00324334" w:rsidRPr="005A0A9D" w:rsidRDefault="00324334" w:rsidP="009E04B1">
      <w:pPr>
        <w:pStyle w:val="SCCLsocVersus"/>
        <w:widowControl w:val="0"/>
      </w:pPr>
      <w:proofErr w:type="gramStart"/>
      <w:r w:rsidRPr="005A0A9D">
        <w:t>v</w:t>
      </w:r>
      <w:proofErr w:type="gramEnd"/>
      <w:r w:rsidRPr="005A0A9D">
        <w:t>.</w:t>
      </w:r>
    </w:p>
    <w:p w:rsidR="00324334" w:rsidRPr="005A0A9D" w:rsidRDefault="00324334" w:rsidP="009E04B1">
      <w:pPr>
        <w:pStyle w:val="SCCLsocLastPartyInRole"/>
        <w:widowControl w:val="0"/>
      </w:pPr>
      <w:r w:rsidRPr="005A0A9D">
        <w:t xml:space="preserve">Oswald Oliver </w:t>
      </w:r>
      <w:proofErr w:type="spellStart"/>
      <w:r w:rsidRPr="005A0A9D">
        <w:t>Villaroman</w:t>
      </w:r>
      <w:proofErr w:type="spellEnd"/>
      <w:r w:rsidRPr="005A0A9D">
        <w:rPr>
          <w:rStyle w:val="SCCLsocPartyRole"/>
        </w:rPr>
        <w:tab/>
        <w:t>Respondent</w:t>
      </w:r>
    </w:p>
    <w:p w:rsidR="00324334" w:rsidRPr="005A0A9D" w:rsidRDefault="00324334" w:rsidP="009E04B1">
      <w:pPr>
        <w:pStyle w:val="SCCLsocOtherPartySeparator"/>
        <w:widowControl w:val="0"/>
      </w:pPr>
      <w:proofErr w:type="gramStart"/>
      <w:r w:rsidRPr="005A0A9D">
        <w:t>and</w:t>
      </w:r>
      <w:proofErr w:type="gramEnd"/>
    </w:p>
    <w:p w:rsidR="00324334" w:rsidRPr="005A0A9D" w:rsidRDefault="00324334" w:rsidP="009E04B1">
      <w:pPr>
        <w:pStyle w:val="SCCLsocParty"/>
        <w:widowControl w:val="0"/>
      </w:pPr>
      <w:r w:rsidRPr="005A0A9D">
        <w:t>Attorney General of Ontario,</w:t>
      </w:r>
    </w:p>
    <w:p w:rsidR="00324334" w:rsidRPr="005A0A9D" w:rsidRDefault="00324334" w:rsidP="009E04B1">
      <w:pPr>
        <w:pStyle w:val="SCCLsocParty"/>
        <w:widowControl w:val="0"/>
      </w:pPr>
      <w:r w:rsidRPr="005A0A9D">
        <w:t>Attorney General of British Columbia and</w:t>
      </w:r>
    </w:p>
    <w:p w:rsidR="00324334" w:rsidRPr="005A0A9D" w:rsidRDefault="00324334" w:rsidP="009E04B1">
      <w:pPr>
        <w:pStyle w:val="SCCLsocLastPartyInRole"/>
        <w:widowControl w:val="0"/>
      </w:pPr>
      <w:r w:rsidRPr="005A0A9D">
        <w:t>Criminal Lawyers’ Association (Ontario)</w:t>
      </w:r>
      <w:r w:rsidRPr="005A0A9D">
        <w:rPr>
          <w:rStyle w:val="SCCLsocPartyRole"/>
        </w:rPr>
        <w:tab/>
        <w:t>Interveners</w:t>
      </w:r>
    </w:p>
    <w:p w:rsidR="00324334" w:rsidRPr="005A0A9D" w:rsidRDefault="00324334" w:rsidP="009E04B1">
      <w:pPr>
        <w:widowControl w:val="0"/>
        <w:spacing w:after="720"/>
        <w:jc w:val="both"/>
        <w:rPr>
          <w:b/>
        </w:rPr>
      </w:pPr>
      <w:r w:rsidRPr="005A0A9D">
        <w:rPr>
          <w:b/>
        </w:rPr>
        <w:t xml:space="preserve">Indexed as: R. </w:t>
      </w:r>
      <w:r w:rsidRPr="005A0A9D">
        <w:rPr>
          <w:b/>
          <w:i/>
        </w:rPr>
        <w:t>v.</w:t>
      </w:r>
      <w:r w:rsidRPr="005A0A9D">
        <w:rPr>
          <w:b/>
        </w:rPr>
        <w:t xml:space="preserve"> </w:t>
      </w:r>
      <w:proofErr w:type="spellStart"/>
      <w:r w:rsidRPr="005A0A9D">
        <w:rPr>
          <w:b/>
        </w:rPr>
        <w:t>Villaroman</w:t>
      </w:r>
      <w:proofErr w:type="spellEnd"/>
    </w:p>
    <w:p w:rsidR="00324334" w:rsidRPr="005A0A9D" w:rsidRDefault="00324334" w:rsidP="009E04B1">
      <w:pPr>
        <w:pStyle w:val="SCCSystemYear"/>
        <w:widowControl w:val="0"/>
        <w:spacing w:after="720"/>
        <w:jc w:val="both"/>
      </w:pPr>
      <w:r w:rsidRPr="005A0A9D">
        <w:t>2016 SCC 33</w:t>
      </w:r>
    </w:p>
    <w:p w:rsidR="00324334" w:rsidRPr="005A0A9D" w:rsidRDefault="00324334" w:rsidP="009E04B1">
      <w:pPr>
        <w:widowControl w:val="0"/>
        <w:spacing w:after="720"/>
        <w:jc w:val="both"/>
      </w:pPr>
      <w:r w:rsidRPr="005A0A9D">
        <w:t>File No.: 36435.</w:t>
      </w:r>
    </w:p>
    <w:p w:rsidR="00324334" w:rsidRPr="005A0A9D" w:rsidRDefault="00324334" w:rsidP="009E04B1">
      <w:pPr>
        <w:widowControl w:val="0"/>
        <w:spacing w:after="720"/>
        <w:jc w:val="both"/>
      </w:pPr>
      <w:r w:rsidRPr="005A0A9D">
        <w:t>2016: March 21; 2016: July 29.</w:t>
      </w:r>
    </w:p>
    <w:p w:rsidR="00324334" w:rsidRPr="005A0A9D" w:rsidRDefault="00324334" w:rsidP="009E04B1">
      <w:pPr>
        <w:widowControl w:val="0"/>
        <w:spacing w:after="720"/>
        <w:jc w:val="both"/>
      </w:pPr>
      <w:r w:rsidRPr="005A0A9D">
        <w:t xml:space="preserve">Present: McLachlin C.J. and </w:t>
      </w:r>
      <w:proofErr w:type="spellStart"/>
      <w:r w:rsidRPr="005A0A9D">
        <w:t>Abella</w:t>
      </w:r>
      <w:proofErr w:type="spellEnd"/>
      <w:r w:rsidRPr="005A0A9D">
        <w:t xml:space="preserve">, Cromwell, </w:t>
      </w:r>
      <w:proofErr w:type="spellStart"/>
      <w:r w:rsidRPr="005A0A9D">
        <w:t>Moldaver</w:t>
      </w:r>
      <w:proofErr w:type="spellEnd"/>
      <w:r w:rsidRPr="005A0A9D">
        <w:t xml:space="preserve">, </w:t>
      </w:r>
      <w:proofErr w:type="spellStart"/>
      <w:r w:rsidRPr="005A0A9D">
        <w:t>Karakatsanis</w:t>
      </w:r>
      <w:proofErr w:type="spellEnd"/>
      <w:r w:rsidRPr="005A0A9D">
        <w:t xml:space="preserve">, Wagner, </w:t>
      </w:r>
      <w:proofErr w:type="spellStart"/>
      <w:r w:rsidRPr="005A0A9D">
        <w:t>Gascon</w:t>
      </w:r>
      <w:proofErr w:type="spellEnd"/>
      <w:r w:rsidRPr="005A0A9D">
        <w:t xml:space="preserve">, </w:t>
      </w:r>
      <w:proofErr w:type="spellStart"/>
      <w:r w:rsidRPr="005A0A9D">
        <w:t>Côté</w:t>
      </w:r>
      <w:proofErr w:type="spellEnd"/>
      <w:r w:rsidRPr="005A0A9D">
        <w:t xml:space="preserve"> and Brown JJ.</w:t>
      </w:r>
    </w:p>
    <w:p w:rsidR="00324334" w:rsidRPr="005A0A9D" w:rsidRDefault="00324334" w:rsidP="009E04B1">
      <w:pPr>
        <w:pStyle w:val="SCCLowerCourtNameLowercase"/>
        <w:widowControl w:val="0"/>
        <w:spacing w:after="720"/>
      </w:pPr>
      <w:r w:rsidRPr="005A0A9D">
        <w:t xml:space="preserve">on appeal from the court of appeal for </w:t>
      </w:r>
      <w:proofErr w:type="spellStart"/>
      <w:r w:rsidRPr="005A0A9D">
        <w:t>alberta</w:t>
      </w:r>
      <w:proofErr w:type="spellEnd"/>
    </w:p>
    <w:p w:rsidR="00324334" w:rsidRPr="005A0A9D" w:rsidRDefault="00324334" w:rsidP="009E04B1">
      <w:pPr>
        <w:pStyle w:val="SCCNormalDoubleSpacing"/>
        <w:widowControl w:val="0"/>
        <w:rPr>
          <w:i/>
          <w:iCs/>
        </w:rPr>
      </w:pPr>
      <w:r w:rsidRPr="005A0A9D">
        <w:tab/>
      </w:r>
      <w:r w:rsidRPr="005A0A9D">
        <w:rPr>
          <w:i/>
        </w:rPr>
        <w:t xml:space="preserve">Criminal law </w:t>
      </w:r>
      <w:r w:rsidRPr="005A0A9D">
        <w:rPr>
          <w:i/>
          <w:iCs/>
        </w:rPr>
        <w:t xml:space="preserve">— Evidence — Circumstantial evidence — Inferences — Reasonable verdict — Accused found guilty </w:t>
      </w:r>
      <w:r w:rsidRPr="005A0A9D">
        <w:rPr>
          <w:i/>
        </w:rPr>
        <w:t xml:space="preserve">on charge of possession of child </w:t>
      </w:r>
      <w:r w:rsidRPr="005A0A9D">
        <w:rPr>
          <w:i/>
        </w:rPr>
        <w:lastRenderedPageBreak/>
        <w:t>pornography</w:t>
      </w:r>
      <w:r w:rsidRPr="005A0A9D">
        <w:t xml:space="preserve"> </w:t>
      </w:r>
      <w:r w:rsidRPr="005A0A9D">
        <w:rPr>
          <w:i/>
          <w:iCs/>
        </w:rPr>
        <w:t xml:space="preserve">— Whether trial judge erred in his analysis of circumstantial evidence by requiring </w:t>
      </w:r>
      <w:r w:rsidRPr="005A0A9D">
        <w:rPr>
          <w:i/>
        </w:rPr>
        <w:t>that inference supporting conclusion other than guilt be based on evidence rather than upon lack of evidence</w:t>
      </w:r>
      <w:r w:rsidRPr="005A0A9D">
        <w:rPr>
          <w:i/>
          <w:iCs/>
        </w:rPr>
        <w:t xml:space="preserve"> — Whether guilty verdict was unreasonable. </w:t>
      </w:r>
    </w:p>
    <w:p w:rsidR="00324334" w:rsidRPr="005A0A9D" w:rsidRDefault="00324334" w:rsidP="009E04B1">
      <w:pPr>
        <w:pStyle w:val="SCCNormalDoubleSpacing"/>
        <w:widowControl w:val="0"/>
        <w:spacing w:before="480" w:after="480"/>
      </w:pPr>
      <w:r w:rsidRPr="005A0A9D">
        <w:tab/>
        <w:t xml:space="preserve">V was having problems with his laptop computer, so he left it with a repair shop. The repair technician found child pornography on the laptop. He called the police, whose search of the laptop confirmed the presence of child pornography. V was charged with a number of pornography related offences, including possession of child pornography. The trial judge found that the mainly circumstantial evidence against V proved </w:t>
      </w:r>
      <w:proofErr w:type="spellStart"/>
      <w:r w:rsidRPr="005A0A9D">
        <w:t>guilt</w:t>
      </w:r>
      <w:proofErr w:type="spellEnd"/>
      <w:r w:rsidRPr="005A0A9D">
        <w:t xml:space="preserve"> on the charge of possession of child pornography beyond a reasonable doubt. The trial judge also disagreed with V that the police search of the laptop violated s. 8 of the </w:t>
      </w:r>
      <w:r w:rsidRPr="005A0A9D">
        <w:rPr>
          <w:i/>
        </w:rPr>
        <w:t>Canadian Charter of Rights and Freedoms</w:t>
      </w:r>
      <w:r w:rsidRPr="005A0A9D">
        <w:t xml:space="preserve">. The Court of Appeal concluded that the judge had misstated the current law respecting circumstantial evidence and that the verdict of guilt based on that evidence was unreasonable. The Court of Appeal therefore set aside the conviction and entered an acquittal. The Court of Appeal declined to consider the </w:t>
      </w:r>
      <w:r w:rsidRPr="005A0A9D">
        <w:rPr>
          <w:i/>
        </w:rPr>
        <w:t>Charter</w:t>
      </w:r>
      <w:r w:rsidRPr="005A0A9D">
        <w:t xml:space="preserve"> issues because its acquittal of V made those issues academic.</w:t>
      </w:r>
    </w:p>
    <w:p w:rsidR="00324334" w:rsidRPr="005A0A9D" w:rsidRDefault="00324334" w:rsidP="009E04B1">
      <w:pPr>
        <w:pStyle w:val="SCCNormalDoubleSpacing"/>
        <w:widowControl w:val="0"/>
        <w:spacing w:before="480" w:after="480"/>
      </w:pPr>
      <w:r w:rsidRPr="005A0A9D">
        <w:rPr>
          <w:i/>
        </w:rPr>
        <w:tab/>
        <w:t>Held</w:t>
      </w:r>
      <w:r w:rsidRPr="00C21C9E">
        <w:t xml:space="preserve">: </w:t>
      </w:r>
      <w:r w:rsidRPr="005A0A9D">
        <w:t>The appeal should be allowed, the acquittal set aside and the case remanded to the Court of Appeal for hearing and disposition of</w:t>
      </w:r>
      <w:r w:rsidRPr="005A0A9D">
        <w:rPr>
          <w:rFonts w:eastAsia="PMingLiU"/>
        </w:rPr>
        <w:t xml:space="preserve"> </w:t>
      </w:r>
      <w:r w:rsidRPr="005A0A9D">
        <w:t xml:space="preserve">the </w:t>
      </w:r>
      <w:r w:rsidRPr="005A0A9D">
        <w:rPr>
          <w:i/>
        </w:rPr>
        <w:t xml:space="preserve">Charter </w:t>
      </w:r>
      <w:r w:rsidRPr="005A0A9D">
        <w:t xml:space="preserve">ss. 8 and 24(2) issues.  </w:t>
      </w:r>
    </w:p>
    <w:p w:rsidR="00324334" w:rsidRPr="005A0A9D" w:rsidRDefault="00324334" w:rsidP="009E04B1">
      <w:pPr>
        <w:pStyle w:val="SCCNormalDoubleSpacing"/>
        <w:widowControl w:val="0"/>
        <w:spacing w:before="480" w:after="480"/>
      </w:pPr>
      <w:r w:rsidRPr="005A0A9D">
        <w:tab/>
        <w:t xml:space="preserve">No particular form of instruction to the jury is required where the evidence on one or more elements of the offence is entirely or primarily circumstantial. However, </w:t>
      </w:r>
      <w:r w:rsidRPr="005A0A9D">
        <w:lastRenderedPageBreak/>
        <w:t xml:space="preserve">where proof of one or more elements of the offence depends solely or largely on circumstantial evidence, it may be helpful for the jury to receive instructions that will assist them to understand the nature of circumstantial evidence and the relationship between proof by circumstantial evidence and the requirement of proof beyond reasonable doubt. </w:t>
      </w:r>
    </w:p>
    <w:p w:rsidR="00324334" w:rsidRPr="005A0A9D" w:rsidRDefault="00324334" w:rsidP="009E04B1">
      <w:pPr>
        <w:pStyle w:val="SCCNormalDoubleSpacing"/>
        <w:widowControl w:val="0"/>
        <w:spacing w:before="480" w:after="480"/>
      </w:pPr>
      <w:r w:rsidRPr="005A0A9D">
        <w:tab/>
        <w:t xml:space="preserve">An explanation of the difference between direct and circumstantial evidence is included in most criminal jury charges and rarely causes difficulty. An instruction concerning the use of circumstantial evidence and the reasonable doubt instruction have different, although related, purposes. The reasonable doubt instruction describes a state of mind </w:t>
      </w:r>
      <w:r w:rsidRPr="005A0A9D">
        <w:rPr>
          <w:i/>
          <w:iCs/>
        </w:rPr>
        <w:t xml:space="preserve">— </w:t>
      </w:r>
      <w:r w:rsidRPr="005A0A9D">
        <w:t xml:space="preserve">the degree of persuasion that entitles and requires a juror to find an accused guilty. An instruction about circumstantial evidence, in contrast, alerts the jury to the dangers of the path of reasoning involved in drawing inferences from circumstantial evidence. Telling the jury that an inference of guilt drawn from circumstantial evidence should be the only reasonable inference that such evidence permits will often be a succinct and accurate way of helping the jury to guard against the risk of “filling in the blanks” by too quickly overlooking reasonable alternative inferences. While this Court has used the words “rational” and “reasonable” interchangeably to describe the potential inferences, there is an advantage of using the word “reasonable” to avoid the risk of confusion between the reasonable doubt standard and inferences that may arise from circumstantial evidence. However, using the traditional term “rational” is not an error as the necessary message may be imparted in different ways. </w:t>
      </w:r>
    </w:p>
    <w:p w:rsidR="00324334" w:rsidRPr="005A0A9D" w:rsidRDefault="00324334" w:rsidP="009E04B1">
      <w:pPr>
        <w:pStyle w:val="SCCNormalDoubleSpacing"/>
        <w:widowControl w:val="0"/>
        <w:spacing w:before="480" w:after="480"/>
      </w:pPr>
      <w:r w:rsidRPr="005A0A9D">
        <w:lastRenderedPageBreak/>
        <w:tab/>
        <w:t xml:space="preserve">A view that inferences of innocence must be based on proven facts is no longer accepted. In assessing circumstantial evidence, inferences consistent with innocence do not have to arise from proven facts. The issue with respect to circumstantial evidence is the range of reasonable inferences that can be drawn from it. If there are reasonable inferences other than guilt, the Crown’s evidence does not meet the proof beyond the reasonable doubt standard. A certain gap in the evidence may result in inferences other than guilt. But those inferences must be reasonable given the evidence and the absence of evidence, assessed logically, and in light of human experience and common sense. When assessing circumstantial evidence, the trier of fact should consider other plausible theories and other reasonable possibilities which are inconsistent with guilt. The Crown thus may need to negative these reasonable possibilities, but certainly does not need to disprove every possible conjecture which might be consistent with innocence. </w:t>
      </w:r>
      <w:r>
        <w:t>Other p</w:t>
      </w:r>
      <w:r w:rsidRPr="005A0A9D">
        <w:t xml:space="preserve">lausible theories or other reasonable possibilities must be based on logic and experience applied to the evidence or the absence of evidence, not on speculation. </w:t>
      </w:r>
    </w:p>
    <w:p w:rsidR="00324334" w:rsidRPr="005A0A9D" w:rsidRDefault="00324334" w:rsidP="009E04B1">
      <w:pPr>
        <w:pStyle w:val="SCCNormalDoubleSpacing"/>
        <w:widowControl w:val="0"/>
        <w:spacing w:before="480" w:after="480"/>
      </w:pPr>
      <w:r w:rsidRPr="005A0A9D">
        <w:tab/>
        <w:t xml:space="preserve">The Court of Appeal found that the trial judge erred because he failed to consider reasonable inferences inconsistent with guilt that could have arisen from a lack of evidence. While there are certainly some problematic statements in the trial judge’s reasons, when the reasons are read as a whole and these passages are read in their proper context, he made no reversible error. The judge correctly stated the law in relation to circumstantial evidence. Contrary to V, the judge did not lose sight of proper process of inference-drawing, the overall burden of proof, or the difference between the standard applied to a committal for trial and the reasonable doubt standard applied </w:t>
      </w:r>
      <w:r w:rsidRPr="005A0A9D">
        <w:lastRenderedPageBreak/>
        <w:t>to a finding of guilt.</w:t>
      </w:r>
    </w:p>
    <w:p w:rsidR="00324334" w:rsidRPr="005A0A9D" w:rsidRDefault="00324334" w:rsidP="009E04B1">
      <w:pPr>
        <w:pStyle w:val="SCCNormalDoubleSpacing"/>
        <w:widowControl w:val="0"/>
        <w:spacing w:before="480" w:after="480"/>
        <w:rPr>
          <w:rFonts w:eastAsia="PMingLiU"/>
        </w:rPr>
      </w:pPr>
      <w:r w:rsidRPr="005A0A9D">
        <w:rPr>
          <w:rFonts w:eastAsia="PMingLiU"/>
        </w:rPr>
        <w:tab/>
        <w:t xml:space="preserve">The judge’s conclusions that a user of V’s computer knowingly downloaded pornography and that V </w:t>
      </w:r>
      <w:r w:rsidRPr="005A0A9D">
        <w:t xml:space="preserve">was knowingly in possession of the child pornography that had been saved on his computer were reasonable. </w:t>
      </w:r>
      <w:r w:rsidRPr="005A0A9D">
        <w:rPr>
          <w:rFonts w:eastAsia="PMingLiU"/>
        </w:rPr>
        <w:t xml:space="preserve">While there were gaps in the Crown evidence about V’s possession and control of the computer, the Court of Appeal’s analysis of these gaps in effect retried the case. It was for the trial judge to decide whether the evidence of V’s possession and control, when considered in light of human experience and the evidence as a whole and the absence of evidence, excluded all reasonable inferences other than guilt. While not every trier of fact would inevitably have reached the same conclusion as did the trial judge, that conclusion was a reasonable one. </w:t>
      </w:r>
    </w:p>
    <w:p w:rsidR="00324334" w:rsidRPr="005A0A9D" w:rsidRDefault="00324334" w:rsidP="009E04B1">
      <w:pPr>
        <w:pStyle w:val="SCCNormalDoubleSpacing"/>
        <w:widowControl w:val="0"/>
        <w:spacing w:before="480" w:after="480"/>
      </w:pPr>
      <w:r w:rsidRPr="005A0A9D">
        <w:rPr>
          <w:b/>
        </w:rPr>
        <w:t>Cases Cited</w:t>
      </w:r>
    </w:p>
    <w:p w:rsidR="00324334" w:rsidRPr="005A0A9D" w:rsidRDefault="00324334" w:rsidP="009E04B1">
      <w:pPr>
        <w:pStyle w:val="SCCNormalDoubleSpacing"/>
        <w:widowControl w:val="0"/>
        <w:spacing w:before="480" w:after="480"/>
      </w:pPr>
      <w:r w:rsidRPr="005A0A9D">
        <w:tab/>
      </w:r>
      <w:r w:rsidRPr="005A0A9D">
        <w:rPr>
          <w:b/>
        </w:rPr>
        <w:t>Considered:</w:t>
      </w:r>
      <w:r w:rsidRPr="005A0A9D">
        <w:t xml:space="preserve"> </w:t>
      </w:r>
      <w:r w:rsidRPr="005A0A9D">
        <w:rPr>
          <w:i/>
        </w:rPr>
        <w:t>Hodge’s Case</w:t>
      </w:r>
      <w:r w:rsidRPr="005A0A9D">
        <w:t xml:space="preserve"> (1838), 2 Lewin 227, 168 E.R. 1136; </w:t>
      </w:r>
      <w:r w:rsidRPr="005A0A9D">
        <w:rPr>
          <w:b/>
        </w:rPr>
        <w:t>approved:</w:t>
      </w:r>
      <w:r w:rsidRPr="005A0A9D">
        <w:t xml:space="preserve"> </w:t>
      </w:r>
      <w:r w:rsidRPr="005A0A9D">
        <w:rPr>
          <w:i/>
        </w:rPr>
        <w:t xml:space="preserve">R. v. </w:t>
      </w:r>
      <w:proofErr w:type="spellStart"/>
      <w:r w:rsidRPr="005A0A9D">
        <w:rPr>
          <w:i/>
        </w:rPr>
        <w:t>Dipnarine</w:t>
      </w:r>
      <w:proofErr w:type="spellEnd"/>
      <w:r w:rsidRPr="005A0A9D">
        <w:t xml:space="preserve">, 2014 ABCA 328, 584 A.R. 138; </w:t>
      </w:r>
      <w:r w:rsidRPr="005A0A9D">
        <w:rPr>
          <w:b/>
        </w:rPr>
        <w:t>referred to:</w:t>
      </w:r>
      <w:r w:rsidRPr="005A0A9D">
        <w:t xml:space="preserve"> </w:t>
      </w:r>
      <w:r w:rsidRPr="005A0A9D">
        <w:rPr>
          <w:i/>
        </w:rPr>
        <w:t>R. v. Daniels</w:t>
      </w:r>
      <w:r w:rsidRPr="005A0A9D">
        <w:t xml:space="preserve">, 2004 NLCA 73, 242 Nfld. &amp; P.E.I.R. 290; </w:t>
      </w:r>
      <w:r w:rsidRPr="005A0A9D">
        <w:rPr>
          <w:i/>
        </w:rPr>
        <w:t xml:space="preserve">R. v. </w:t>
      </w:r>
      <w:proofErr w:type="spellStart"/>
      <w:r w:rsidRPr="005A0A9D">
        <w:rPr>
          <w:i/>
        </w:rPr>
        <w:t>Lifchus</w:t>
      </w:r>
      <w:proofErr w:type="spellEnd"/>
      <w:r w:rsidRPr="005A0A9D">
        <w:t xml:space="preserve">, [1997] 3 S.C.R. 320; </w:t>
      </w:r>
      <w:r w:rsidRPr="005A0A9D">
        <w:rPr>
          <w:i/>
        </w:rPr>
        <w:t>R. v. Morrissey</w:t>
      </w:r>
      <w:r w:rsidRPr="005A0A9D">
        <w:t xml:space="preserve"> (1995), 22 O.R. (3d) 514; </w:t>
      </w:r>
      <w:r w:rsidRPr="005A0A9D">
        <w:rPr>
          <w:i/>
        </w:rPr>
        <w:t xml:space="preserve">R. v. </w:t>
      </w:r>
      <w:proofErr w:type="spellStart"/>
      <w:r w:rsidRPr="005A0A9D">
        <w:rPr>
          <w:i/>
        </w:rPr>
        <w:t>Laboucan</w:t>
      </w:r>
      <w:proofErr w:type="spellEnd"/>
      <w:r w:rsidRPr="005A0A9D">
        <w:t xml:space="preserve">, 2010 SCC 12, [2010] 1 S.C.R. 397; </w:t>
      </w:r>
      <w:r w:rsidRPr="005A0A9D">
        <w:rPr>
          <w:i/>
        </w:rPr>
        <w:t>R. v. R.E.M.</w:t>
      </w:r>
      <w:r w:rsidRPr="005A0A9D">
        <w:t xml:space="preserve">, 2008 SCC 51, [2008] 3 S.C.R. 3; </w:t>
      </w:r>
      <w:r w:rsidRPr="005A0A9D">
        <w:rPr>
          <w:i/>
        </w:rPr>
        <w:t>R. v. C.L.Y.</w:t>
      </w:r>
      <w:r w:rsidRPr="005A0A9D">
        <w:t xml:space="preserve">, 2008 SCC 2, [2008] 1 S.C.R. 5; </w:t>
      </w:r>
      <w:r w:rsidRPr="005A0A9D">
        <w:rPr>
          <w:i/>
        </w:rPr>
        <w:t>McLean v. The King</w:t>
      </w:r>
      <w:r w:rsidRPr="005A0A9D">
        <w:t xml:space="preserve">, [1933] S.C.R. 688; </w:t>
      </w:r>
      <w:r w:rsidRPr="005A0A9D">
        <w:rPr>
          <w:i/>
        </w:rPr>
        <w:t>R. v. Mitchell</w:t>
      </w:r>
      <w:r w:rsidRPr="005A0A9D">
        <w:t xml:space="preserve">, [1964] S.C.R. 471; </w:t>
      </w:r>
      <w:r w:rsidRPr="005A0A9D">
        <w:rPr>
          <w:i/>
        </w:rPr>
        <w:t>R. v. Cooper</w:t>
      </w:r>
      <w:r w:rsidRPr="005A0A9D">
        <w:t xml:space="preserve">, [1978] 1 S.C.R. 860; </w:t>
      </w:r>
      <w:r w:rsidRPr="005A0A9D">
        <w:rPr>
          <w:i/>
        </w:rPr>
        <w:t>R. v. Griffin</w:t>
      </w:r>
      <w:r w:rsidRPr="005A0A9D">
        <w:t xml:space="preserve">, 2009 SCC 28, [2009] 2 S.C.R. 42; </w:t>
      </w:r>
      <w:r w:rsidRPr="005A0A9D">
        <w:rPr>
          <w:i/>
        </w:rPr>
        <w:t xml:space="preserve">R. v. </w:t>
      </w:r>
      <w:proofErr w:type="spellStart"/>
      <w:r w:rsidRPr="005A0A9D">
        <w:rPr>
          <w:i/>
        </w:rPr>
        <w:t>Mayuran</w:t>
      </w:r>
      <w:proofErr w:type="spellEnd"/>
      <w:r w:rsidRPr="005A0A9D">
        <w:t xml:space="preserve">, 2012 SCC 31, [2012] 2 S.C.R. 162; </w:t>
      </w:r>
      <w:r w:rsidRPr="005A0A9D">
        <w:rPr>
          <w:i/>
        </w:rPr>
        <w:t>R. v. Fleet</w:t>
      </w:r>
      <w:r w:rsidRPr="005A0A9D">
        <w:t xml:space="preserve"> (1997), 120 C.C.C. (3d) 457; </w:t>
      </w:r>
      <w:r w:rsidRPr="005A0A9D">
        <w:rPr>
          <w:i/>
        </w:rPr>
        <w:t xml:space="preserve">R. v. </w:t>
      </w:r>
      <w:proofErr w:type="spellStart"/>
      <w:r w:rsidRPr="005A0A9D">
        <w:rPr>
          <w:i/>
        </w:rPr>
        <w:t>Tombran</w:t>
      </w:r>
      <w:proofErr w:type="spellEnd"/>
      <w:r w:rsidRPr="005A0A9D">
        <w:t xml:space="preserve"> (2000), 142 C.C.C. (3d) 380; </w:t>
      </w:r>
      <w:r w:rsidRPr="005A0A9D">
        <w:rPr>
          <w:i/>
        </w:rPr>
        <w:t>John v. The Queen</w:t>
      </w:r>
      <w:r w:rsidRPr="005A0A9D">
        <w:t xml:space="preserve">, </w:t>
      </w:r>
      <w:r w:rsidRPr="005A0A9D">
        <w:lastRenderedPageBreak/>
        <w:t xml:space="preserve">[1971] S.C.R. 781; </w:t>
      </w:r>
      <w:r w:rsidRPr="005A0A9D">
        <w:rPr>
          <w:i/>
        </w:rPr>
        <w:t>Mezzo v. The Queen</w:t>
      </w:r>
      <w:r w:rsidRPr="005A0A9D">
        <w:t xml:space="preserve">, [1986] 1 S.C.R. 802; </w:t>
      </w:r>
      <w:proofErr w:type="spellStart"/>
      <w:r w:rsidRPr="005A0A9D">
        <w:rPr>
          <w:i/>
        </w:rPr>
        <w:t>Schuldt</w:t>
      </w:r>
      <w:proofErr w:type="spellEnd"/>
      <w:r w:rsidRPr="005A0A9D">
        <w:rPr>
          <w:i/>
        </w:rPr>
        <w:t xml:space="preserve"> v. The Queen</w:t>
      </w:r>
      <w:r w:rsidRPr="005A0A9D">
        <w:t xml:space="preserve">, [1985] 2 S.C.R. 592; </w:t>
      </w:r>
      <w:r w:rsidRPr="005A0A9D">
        <w:rPr>
          <w:i/>
        </w:rPr>
        <w:t>Boucher v. The Queen</w:t>
      </w:r>
      <w:r w:rsidRPr="005A0A9D">
        <w:t xml:space="preserve">, [1955] S.C.R. 16; </w:t>
      </w:r>
      <w:r w:rsidRPr="005A0A9D">
        <w:rPr>
          <w:i/>
        </w:rPr>
        <w:t>Fraser v. The King</w:t>
      </w:r>
      <w:r w:rsidRPr="005A0A9D">
        <w:t xml:space="preserve">, [1936] S.C.R. 1; </w:t>
      </w:r>
      <w:proofErr w:type="spellStart"/>
      <w:r w:rsidRPr="005A0A9D">
        <w:rPr>
          <w:i/>
        </w:rPr>
        <w:t>Lizotte</w:t>
      </w:r>
      <w:proofErr w:type="spellEnd"/>
      <w:r w:rsidRPr="005A0A9D">
        <w:rPr>
          <w:i/>
        </w:rPr>
        <w:t xml:space="preserve"> v. The King</w:t>
      </w:r>
      <w:r w:rsidRPr="005A0A9D">
        <w:t xml:space="preserve">, [1951] S.C.R. 115; </w:t>
      </w:r>
      <w:r w:rsidRPr="005A0A9D">
        <w:rPr>
          <w:i/>
        </w:rPr>
        <w:t>R. v. McIver</w:t>
      </w:r>
      <w:r w:rsidRPr="005A0A9D">
        <w:t>, [1965] 2 O.R. 475, aff’d [1966] S.C.R. 254;</w:t>
      </w:r>
      <w:r>
        <w:t xml:space="preserve"> </w:t>
      </w:r>
      <w:r w:rsidRPr="005A0A9D">
        <w:rPr>
          <w:i/>
        </w:rPr>
        <w:t xml:space="preserve">R. v. </w:t>
      </w:r>
      <w:proofErr w:type="spellStart"/>
      <w:r w:rsidRPr="005A0A9D">
        <w:rPr>
          <w:i/>
        </w:rPr>
        <w:t>Khela</w:t>
      </w:r>
      <w:proofErr w:type="spellEnd"/>
      <w:r w:rsidRPr="005A0A9D">
        <w:t xml:space="preserve">, 2009 SCC 4, [2009] 1 S.C.R. 104; </w:t>
      </w:r>
      <w:r w:rsidRPr="005A0A9D">
        <w:rPr>
          <w:i/>
        </w:rPr>
        <w:t xml:space="preserve">R. v. </w:t>
      </w:r>
      <w:proofErr w:type="spellStart"/>
      <w:r w:rsidRPr="005A0A9D">
        <w:rPr>
          <w:i/>
        </w:rPr>
        <w:t>Defaveri</w:t>
      </w:r>
      <w:proofErr w:type="spellEnd"/>
      <w:r w:rsidRPr="005A0A9D">
        <w:t xml:space="preserve">, 2014 BCCA 370, 361 B.C.A.C. 301; </w:t>
      </w:r>
      <w:r w:rsidRPr="005A0A9D">
        <w:rPr>
          <w:i/>
        </w:rPr>
        <w:t>R. v. Bui</w:t>
      </w:r>
      <w:r w:rsidRPr="005A0A9D">
        <w:t xml:space="preserve">, 2014 ONCA 614, 14 C.R. (7th) 149; </w:t>
      </w:r>
      <w:r w:rsidRPr="005A0A9D">
        <w:rPr>
          <w:i/>
        </w:rPr>
        <w:t xml:space="preserve">R. v. </w:t>
      </w:r>
      <w:proofErr w:type="spellStart"/>
      <w:r w:rsidRPr="005A0A9D">
        <w:rPr>
          <w:i/>
        </w:rPr>
        <w:t>Comba</w:t>
      </w:r>
      <w:proofErr w:type="spellEnd"/>
      <w:r w:rsidRPr="005A0A9D">
        <w:t xml:space="preserve">, [1938] O.R. 200, aff’d [1938] S.C.R. 396; </w:t>
      </w:r>
      <w:r w:rsidRPr="005A0A9D">
        <w:rPr>
          <w:i/>
        </w:rPr>
        <w:t xml:space="preserve">R. v. </w:t>
      </w:r>
      <w:proofErr w:type="spellStart"/>
      <w:r w:rsidRPr="005A0A9D">
        <w:rPr>
          <w:i/>
        </w:rPr>
        <w:t>Baigent</w:t>
      </w:r>
      <w:proofErr w:type="spellEnd"/>
      <w:r w:rsidRPr="005A0A9D">
        <w:t xml:space="preserve">, 2013 BCCA 28, 335 B.C.A.C. 11; </w:t>
      </w:r>
      <w:r w:rsidRPr="005A0A9D">
        <w:rPr>
          <w:i/>
        </w:rPr>
        <w:t>R. v. Mitchell</w:t>
      </w:r>
      <w:r w:rsidRPr="005A0A9D">
        <w:t xml:space="preserve">, [2008] QCA 394; </w:t>
      </w:r>
      <w:r w:rsidRPr="005A0A9D">
        <w:rPr>
          <w:i/>
        </w:rPr>
        <w:t xml:space="preserve">R. v. </w:t>
      </w:r>
      <w:proofErr w:type="spellStart"/>
      <w:r w:rsidRPr="005A0A9D">
        <w:rPr>
          <w:i/>
        </w:rPr>
        <w:t>Bagshaw</w:t>
      </w:r>
      <w:proofErr w:type="spellEnd"/>
      <w:r w:rsidRPr="005A0A9D">
        <w:t xml:space="preserve">, [1972] S.C.R. 2; </w:t>
      </w:r>
      <w:r w:rsidRPr="005A0A9D">
        <w:rPr>
          <w:i/>
        </w:rPr>
        <w:t>Martin v. Osborne</w:t>
      </w:r>
      <w:r w:rsidRPr="005A0A9D">
        <w:t xml:space="preserve"> (1936), 55 C.L.R. 367; </w:t>
      </w:r>
      <w:r w:rsidRPr="005A0A9D">
        <w:rPr>
          <w:i/>
        </w:rPr>
        <w:t>R. v. Paul</w:t>
      </w:r>
      <w:r w:rsidRPr="005A0A9D">
        <w:t xml:space="preserve">, [1977] 1 S.C.R. 181; </w:t>
      </w:r>
      <w:r w:rsidRPr="005A0A9D">
        <w:rPr>
          <w:i/>
        </w:rPr>
        <w:t xml:space="preserve">R. v. </w:t>
      </w:r>
      <w:proofErr w:type="spellStart"/>
      <w:r w:rsidRPr="005A0A9D">
        <w:rPr>
          <w:i/>
        </w:rPr>
        <w:t>Biniaris</w:t>
      </w:r>
      <w:proofErr w:type="spellEnd"/>
      <w:r w:rsidRPr="005A0A9D">
        <w:t xml:space="preserve">, 2000  SCC 15, [2000] 1 S.C.R. 381; </w:t>
      </w:r>
      <w:r w:rsidRPr="005A0A9D">
        <w:rPr>
          <w:i/>
        </w:rPr>
        <w:t xml:space="preserve">R. v. </w:t>
      </w:r>
      <w:proofErr w:type="spellStart"/>
      <w:r w:rsidRPr="005A0A9D">
        <w:rPr>
          <w:i/>
        </w:rPr>
        <w:t>Yebes</w:t>
      </w:r>
      <w:proofErr w:type="spellEnd"/>
      <w:r w:rsidRPr="005A0A9D">
        <w:t xml:space="preserve">, [1987] 2 S.C.R. 168; </w:t>
      </w:r>
      <w:r w:rsidRPr="005A0A9D">
        <w:rPr>
          <w:i/>
        </w:rPr>
        <w:t>R. v. Mars</w:t>
      </w:r>
      <w:r w:rsidRPr="005A0A9D">
        <w:t xml:space="preserve"> (2006), 205 C.C.C. (3d) 376; </w:t>
      </w:r>
      <w:r w:rsidRPr="005A0A9D">
        <w:rPr>
          <w:i/>
        </w:rPr>
        <w:t>R. v. Liu</w:t>
      </w:r>
      <w:r w:rsidRPr="005A0A9D">
        <w:t xml:space="preserve"> (1989), 95 A.R. 201; </w:t>
      </w:r>
      <w:r w:rsidRPr="005A0A9D">
        <w:rPr>
          <w:i/>
        </w:rPr>
        <w:t>R. v. S.L.R.</w:t>
      </w:r>
      <w:r w:rsidRPr="005A0A9D">
        <w:t xml:space="preserve">, 2003 ABCA 148; </w:t>
      </w:r>
      <w:r w:rsidRPr="005A0A9D">
        <w:rPr>
          <w:i/>
        </w:rPr>
        <w:t>R. v. Cardinal</w:t>
      </w:r>
      <w:r w:rsidRPr="005A0A9D">
        <w:t xml:space="preserve"> (1990), 106 A.R. 91; </w:t>
      </w:r>
      <w:r w:rsidRPr="005A0A9D">
        <w:rPr>
          <w:i/>
        </w:rPr>
        <w:t xml:space="preserve">R. v. </w:t>
      </w:r>
      <w:proofErr w:type="spellStart"/>
      <w:r w:rsidRPr="005A0A9D">
        <w:rPr>
          <w:i/>
        </w:rPr>
        <w:t>Kaysaywaysemat</w:t>
      </w:r>
      <w:proofErr w:type="spellEnd"/>
      <w:r w:rsidRPr="005A0A9D">
        <w:t xml:space="preserve"> (1992), 97 Sask. R. 66; </w:t>
      </w:r>
      <w:r w:rsidRPr="005A0A9D">
        <w:rPr>
          <w:i/>
        </w:rPr>
        <w:t>R. v. Morelli</w:t>
      </w:r>
      <w:r w:rsidRPr="005A0A9D">
        <w:t>, 2010 SCC 8, [2010] 1 S.C.R. 253.</w:t>
      </w:r>
    </w:p>
    <w:p w:rsidR="00324334" w:rsidRPr="005A0A9D" w:rsidRDefault="00324334" w:rsidP="009E04B1">
      <w:pPr>
        <w:pStyle w:val="SCCNormalDoubleSpacing"/>
        <w:widowControl w:val="0"/>
        <w:spacing w:after="720" w:line="240" w:lineRule="auto"/>
      </w:pPr>
      <w:r w:rsidRPr="005A0A9D">
        <w:rPr>
          <w:b/>
        </w:rPr>
        <w:t>Statutes and Regulations Cited</w:t>
      </w:r>
    </w:p>
    <w:p w:rsidR="00324334" w:rsidRPr="005A0A9D" w:rsidRDefault="00324334" w:rsidP="009E04B1">
      <w:pPr>
        <w:pStyle w:val="SCCNormalDoubleSpacing"/>
        <w:widowControl w:val="0"/>
        <w:spacing w:before="240" w:after="240" w:line="240" w:lineRule="auto"/>
        <w:ind w:left="540" w:hanging="540"/>
      </w:pPr>
      <w:r w:rsidRPr="005A0A9D">
        <w:rPr>
          <w:i/>
        </w:rPr>
        <w:t>Canadian Charter of Rights and Freedoms</w:t>
      </w:r>
      <w:r w:rsidRPr="005A0A9D">
        <w:t>, ss. 8, 24(2).</w:t>
      </w:r>
    </w:p>
    <w:p w:rsidR="00324334" w:rsidRPr="005A0A9D" w:rsidRDefault="00324334" w:rsidP="009E04B1">
      <w:pPr>
        <w:pStyle w:val="SCCNormalDoubleSpacing"/>
        <w:widowControl w:val="0"/>
        <w:spacing w:after="720" w:line="240" w:lineRule="auto"/>
        <w:ind w:left="547" w:hanging="547"/>
        <w:rPr>
          <w:lang w:val="fr-CA"/>
        </w:rPr>
      </w:pPr>
      <w:proofErr w:type="spellStart"/>
      <w:r w:rsidRPr="005A0A9D">
        <w:rPr>
          <w:i/>
          <w:lang w:val="fr-CA"/>
        </w:rPr>
        <w:t>Criminal</w:t>
      </w:r>
      <w:proofErr w:type="spellEnd"/>
      <w:r w:rsidRPr="005A0A9D">
        <w:rPr>
          <w:i/>
          <w:lang w:val="fr-CA"/>
        </w:rPr>
        <w:t xml:space="preserve"> Code</w:t>
      </w:r>
      <w:r w:rsidRPr="005A0A9D">
        <w:rPr>
          <w:lang w:val="fr-CA"/>
        </w:rPr>
        <w:t>, R.S.C. 1985, c. C</w:t>
      </w:r>
      <w:r w:rsidRPr="005A0A9D">
        <w:rPr>
          <w:lang w:val="fr-CA"/>
        </w:rPr>
        <w:noBreakHyphen/>
        <w:t>46, s. 163.1(4). </w:t>
      </w:r>
    </w:p>
    <w:p w:rsidR="00324334" w:rsidRPr="005A0A9D" w:rsidRDefault="00324334" w:rsidP="009E04B1">
      <w:pPr>
        <w:pStyle w:val="SCCNormalDoubleSpacing"/>
        <w:widowControl w:val="0"/>
        <w:spacing w:after="720" w:line="240" w:lineRule="auto"/>
        <w:rPr>
          <w:b/>
        </w:rPr>
      </w:pPr>
      <w:r w:rsidRPr="005A0A9D">
        <w:rPr>
          <w:b/>
        </w:rPr>
        <w:t>Authors Cited</w:t>
      </w:r>
    </w:p>
    <w:p w:rsidR="00324334" w:rsidRPr="005A0A9D" w:rsidRDefault="00324334" w:rsidP="009E04B1">
      <w:pPr>
        <w:pStyle w:val="SCCNormalDoubleSpacing"/>
        <w:widowControl w:val="0"/>
        <w:spacing w:before="240" w:after="240" w:line="240" w:lineRule="auto"/>
        <w:ind w:left="540" w:hanging="540"/>
      </w:pPr>
      <w:r w:rsidRPr="005A0A9D">
        <w:t xml:space="preserve">Berger, Benjamin L. “The Rule in Hodge’s Case: Rumours of its Death are Greatly Exaggerated” (2005), 84 </w:t>
      </w:r>
      <w:r w:rsidRPr="005A0A9D">
        <w:rPr>
          <w:i/>
        </w:rPr>
        <w:t>Can. Bar Rev.</w:t>
      </w:r>
      <w:r w:rsidRPr="005A0A9D">
        <w:t xml:space="preserve"> 47.</w:t>
      </w:r>
    </w:p>
    <w:p w:rsidR="00324334" w:rsidRPr="005A0A9D" w:rsidRDefault="00324334" w:rsidP="009E04B1">
      <w:pPr>
        <w:pStyle w:val="SCCNormalDoubleSpacing"/>
        <w:widowControl w:val="0"/>
        <w:spacing w:before="240" w:after="240" w:line="240" w:lineRule="auto"/>
        <w:ind w:left="540" w:hanging="540"/>
      </w:pPr>
      <w:r w:rsidRPr="005A0A9D">
        <w:rPr>
          <w:lang w:val="en-US"/>
        </w:rPr>
        <w:t>C</w:t>
      </w:r>
      <w:proofErr w:type="spellStart"/>
      <w:r w:rsidRPr="005A0A9D">
        <w:t>anadian</w:t>
      </w:r>
      <w:proofErr w:type="spellEnd"/>
      <w:r w:rsidRPr="005A0A9D">
        <w:t xml:space="preserve"> Judicial Council. </w:t>
      </w:r>
      <w:r w:rsidRPr="005A0A9D">
        <w:rPr>
          <w:i/>
        </w:rPr>
        <w:t>Model Jury Instructions</w:t>
      </w:r>
      <w:r w:rsidRPr="005A0A9D">
        <w:t>, 10.2 Direct and Circumstantial Evidence (online: https://www.nji-inm.ca/index.cfm/publications/model-jury-instructions/, last updated June 2012).</w:t>
      </w:r>
    </w:p>
    <w:p w:rsidR="00324334" w:rsidRPr="005A0A9D" w:rsidRDefault="00324334" w:rsidP="009E04B1">
      <w:pPr>
        <w:pStyle w:val="SCCNormalDoubleSpacing"/>
        <w:widowControl w:val="0"/>
        <w:spacing w:before="240" w:after="240" w:line="240" w:lineRule="auto"/>
        <w:ind w:left="547" w:hanging="547"/>
      </w:pPr>
      <w:r w:rsidRPr="005A0A9D">
        <w:rPr>
          <w:i/>
        </w:rPr>
        <w:t>Canadian Oxford Dictionary</w:t>
      </w:r>
      <w:r w:rsidRPr="005A0A9D">
        <w:t>, 2nd ed., by Katherine Barber, ed. Don Mills, Ont.: Oxford University Press, 2004, “rational”, “reasonable”.</w:t>
      </w:r>
    </w:p>
    <w:p w:rsidR="00324334" w:rsidRPr="005A0A9D" w:rsidRDefault="00324334" w:rsidP="009E04B1">
      <w:pPr>
        <w:pStyle w:val="SCCNormalDoubleSpacing"/>
        <w:widowControl w:val="0"/>
        <w:spacing w:before="240" w:after="240" w:line="240" w:lineRule="auto"/>
        <w:ind w:left="547" w:hanging="547"/>
      </w:pPr>
      <w:proofErr w:type="spellStart"/>
      <w:r w:rsidRPr="005A0A9D">
        <w:lastRenderedPageBreak/>
        <w:t>Dufraimont</w:t>
      </w:r>
      <w:proofErr w:type="spellEnd"/>
      <w:r w:rsidRPr="005A0A9D">
        <w:t>, Lisa. “</w:t>
      </w:r>
      <w:r w:rsidRPr="005A0A9D">
        <w:rPr>
          <w:i/>
        </w:rPr>
        <w:t>R. v. Griffin</w:t>
      </w:r>
      <w:r w:rsidRPr="005A0A9D">
        <w:t xml:space="preserve"> and the Legacy of </w:t>
      </w:r>
      <w:r w:rsidRPr="005A0A9D">
        <w:rPr>
          <w:i/>
        </w:rPr>
        <w:t>Hodge’s Case</w:t>
      </w:r>
      <w:r w:rsidRPr="005A0A9D">
        <w:t>” (2009), 67 C.R. (6th) 74.</w:t>
      </w:r>
    </w:p>
    <w:p w:rsidR="00324334" w:rsidRPr="005A0A9D" w:rsidRDefault="00324334" w:rsidP="009E04B1">
      <w:pPr>
        <w:pStyle w:val="SCCNormalDoubleSpacing"/>
        <w:widowControl w:val="0"/>
        <w:spacing w:before="240" w:after="240" w:line="240" w:lineRule="auto"/>
        <w:ind w:left="547" w:hanging="547"/>
      </w:pPr>
      <w:proofErr w:type="spellStart"/>
      <w:r w:rsidRPr="005A0A9D">
        <w:t>Gans</w:t>
      </w:r>
      <w:proofErr w:type="spellEnd"/>
      <w:r w:rsidRPr="005A0A9D">
        <w:t xml:space="preserve">, Arthur M. “Hodge’s Case Revisited” (1972-73), 15 </w:t>
      </w:r>
      <w:r w:rsidRPr="005A0A9D">
        <w:rPr>
          <w:i/>
        </w:rPr>
        <w:t>C.L.Q.</w:t>
      </w:r>
      <w:r w:rsidRPr="005A0A9D">
        <w:t xml:space="preserve"> 127.</w:t>
      </w:r>
    </w:p>
    <w:p w:rsidR="00324334" w:rsidRPr="005A0A9D" w:rsidRDefault="00324334" w:rsidP="009E04B1">
      <w:pPr>
        <w:pStyle w:val="SCCNormalDoubleSpacing"/>
        <w:widowControl w:val="0"/>
        <w:spacing w:before="240" w:after="240" w:line="240" w:lineRule="auto"/>
        <w:ind w:left="547" w:hanging="547"/>
      </w:pPr>
      <w:r w:rsidRPr="005A0A9D">
        <w:t xml:space="preserve">Scott, Eric. “Hodge’s Case: A Reconsideration” (1965-66), 8 </w:t>
      </w:r>
      <w:r w:rsidRPr="005A0A9D">
        <w:rPr>
          <w:i/>
        </w:rPr>
        <w:t>C.L.Q.</w:t>
      </w:r>
      <w:r w:rsidRPr="005A0A9D">
        <w:t xml:space="preserve"> 17.</w:t>
      </w:r>
    </w:p>
    <w:p w:rsidR="00324334" w:rsidRPr="005A0A9D" w:rsidRDefault="00324334" w:rsidP="009E04B1">
      <w:pPr>
        <w:pStyle w:val="SCCNormalDoubleSpacing"/>
        <w:widowControl w:val="0"/>
        <w:spacing w:after="720" w:line="240" w:lineRule="auto"/>
        <w:ind w:left="547" w:hanging="547"/>
      </w:pPr>
      <w:r w:rsidRPr="005A0A9D">
        <w:t xml:space="preserve">Wills, William. </w:t>
      </w:r>
      <w:r w:rsidRPr="005A0A9D">
        <w:rPr>
          <w:i/>
        </w:rPr>
        <w:t>Wills’ Principles of Circumstantial Evidence</w:t>
      </w:r>
      <w:r w:rsidRPr="005A0A9D">
        <w:t>, 7th ed. London: Butterworth &amp; Co., 1937.</w:t>
      </w:r>
    </w:p>
    <w:p w:rsidR="00324334" w:rsidRPr="005A0A9D" w:rsidRDefault="00324334" w:rsidP="009E04B1">
      <w:pPr>
        <w:pStyle w:val="SCCNormalDoubleSpacing"/>
        <w:widowControl w:val="0"/>
        <w:spacing w:before="480" w:after="480"/>
      </w:pPr>
      <w:r w:rsidRPr="005A0A9D">
        <w:tab/>
        <w:t>APPEAL from a judgment of the Alberta Court of Appeal (</w:t>
      </w:r>
      <w:proofErr w:type="spellStart"/>
      <w:r w:rsidRPr="005A0A9D">
        <w:t>Côté</w:t>
      </w:r>
      <w:proofErr w:type="spellEnd"/>
      <w:r w:rsidRPr="005A0A9D">
        <w:t xml:space="preserve"> and </w:t>
      </w:r>
      <w:proofErr w:type="spellStart"/>
      <w:r w:rsidRPr="005A0A9D">
        <w:t>O’Ferrall</w:t>
      </w:r>
      <w:proofErr w:type="spellEnd"/>
      <w:r w:rsidRPr="005A0A9D">
        <w:t> JJ.A. and Macleod J. (</w:t>
      </w:r>
      <w:r w:rsidRPr="005A0A9D">
        <w:rPr>
          <w:i/>
        </w:rPr>
        <w:t>ad hoc</w:t>
      </w:r>
      <w:r w:rsidRPr="005A0A9D">
        <w:t xml:space="preserve">)), 2015 ABCA 104, 599 A.R. 294, 13 Alta. L.R. (6th) 369, 320 C.C.C. (3d) 50, 643 W.A.C. 294, [2015] A.J. No. 293 (QL), 2015 </w:t>
      </w:r>
      <w:proofErr w:type="spellStart"/>
      <w:r w:rsidRPr="005A0A9D">
        <w:t>CarswellAlta</w:t>
      </w:r>
      <w:proofErr w:type="spellEnd"/>
      <w:r w:rsidRPr="005A0A9D">
        <w:t xml:space="preserve"> 436 (WL Can.), setting aside the conviction for possession of child pornography entered by Yamauchi J.,</w:t>
      </w:r>
      <w:r w:rsidRPr="005A0A9D">
        <w:rPr>
          <w:lang w:val="en-US"/>
        </w:rPr>
        <w:t xml:space="preserve"> 2013 ABQB 279, 562 A.R. 105, 83 Alta. L.R. (5th) 297, [2013] A.J. No. 538 (QL), 2013 </w:t>
      </w:r>
      <w:proofErr w:type="spellStart"/>
      <w:r w:rsidRPr="005A0A9D">
        <w:rPr>
          <w:lang w:val="en-US"/>
        </w:rPr>
        <w:t>CarswellAlta</w:t>
      </w:r>
      <w:proofErr w:type="spellEnd"/>
      <w:r w:rsidRPr="005A0A9D">
        <w:rPr>
          <w:lang w:val="en-US"/>
        </w:rPr>
        <w:t xml:space="preserve"> 857 (WL Can.), and entering an acquittal</w:t>
      </w:r>
      <w:r w:rsidRPr="005A0A9D">
        <w:t>. Appeal allowed.</w:t>
      </w:r>
    </w:p>
    <w:p w:rsidR="00324334" w:rsidRPr="005A0A9D" w:rsidRDefault="00324334" w:rsidP="009E04B1">
      <w:pPr>
        <w:pStyle w:val="SCCNormalDoubleSpacing"/>
        <w:widowControl w:val="0"/>
        <w:spacing w:before="480" w:after="480"/>
      </w:pPr>
      <w:r w:rsidRPr="005A0A9D">
        <w:rPr>
          <w:i/>
        </w:rPr>
        <w:tab/>
        <w:t>Jolaine Antonio</w:t>
      </w:r>
      <w:r w:rsidRPr="005A0A9D">
        <w:t xml:space="preserve"> and </w:t>
      </w:r>
      <w:r w:rsidRPr="005A0A9D">
        <w:rPr>
          <w:i/>
        </w:rPr>
        <w:t xml:space="preserve">Jason </w:t>
      </w:r>
      <w:proofErr w:type="spellStart"/>
      <w:r w:rsidRPr="005A0A9D">
        <w:rPr>
          <w:i/>
        </w:rPr>
        <w:t>Wuttunee</w:t>
      </w:r>
      <w:proofErr w:type="spellEnd"/>
      <w:r w:rsidRPr="005A0A9D">
        <w:t>, for the appellant.</w:t>
      </w:r>
    </w:p>
    <w:p w:rsidR="00324334" w:rsidRPr="005A0A9D" w:rsidRDefault="00324334" w:rsidP="009E04B1">
      <w:pPr>
        <w:pStyle w:val="SCCNormalDoubleSpacing"/>
        <w:widowControl w:val="0"/>
        <w:spacing w:before="480" w:after="480"/>
      </w:pPr>
      <w:r w:rsidRPr="005A0A9D">
        <w:rPr>
          <w:i/>
        </w:rPr>
        <w:tab/>
        <w:t>Ian D. McKay</w:t>
      </w:r>
      <w:r w:rsidRPr="005A0A9D">
        <w:t xml:space="preserve"> and </w:t>
      </w:r>
      <w:r w:rsidRPr="005A0A9D">
        <w:rPr>
          <w:i/>
        </w:rPr>
        <w:t xml:space="preserve">Heather </w:t>
      </w:r>
      <w:proofErr w:type="spellStart"/>
      <w:r w:rsidRPr="005A0A9D">
        <w:rPr>
          <w:i/>
        </w:rPr>
        <w:t>Ferg</w:t>
      </w:r>
      <w:proofErr w:type="spellEnd"/>
      <w:r w:rsidRPr="005A0A9D">
        <w:t>, for the respondent.</w:t>
      </w:r>
    </w:p>
    <w:p w:rsidR="00324334" w:rsidRPr="005A0A9D" w:rsidRDefault="00324334" w:rsidP="009E04B1">
      <w:pPr>
        <w:pStyle w:val="SCCNormalDoubleSpacing"/>
        <w:widowControl w:val="0"/>
        <w:spacing w:before="480" w:after="480"/>
      </w:pPr>
      <w:r w:rsidRPr="005A0A9D">
        <w:rPr>
          <w:i/>
        </w:rPr>
        <w:tab/>
        <w:t xml:space="preserve">Matthew </w:t>
      </w:r>
      <w:proofErr w:type="spellStart"/>
      <w:r w:rsidRPr="005A0A9D">
        <w:rPr>
          <w:i/>
        </w:rPr>
        <w:t>Asma</w:t>
      </w:r>
      <w:proofErr w:type="spellEnd"/>
      <w:r w:rsidRPr="005A0A9D">
        <w:t>, for the intervener the Attorney General of Ontario.</w:t>
      </w:r>
    </w:p>
    <w:p w:rsidR="00324334" w:rsidRPr="005A0A9D" w:rsidRDefault="00324334" w:rsidP="009E04B1">
      <w:pPr>
        <w:pStyle w:val="SCCNormalDoubleSpacing"/>
        <w:widowControl w:val="0"/>
        <w:spacing w:before="480" w:after="480"/>
      </w:pPr>
      <w:r w:rsidRPr="005A0A9D">
        <w:rPr>
          <w:i/>
        </w:rPr>
        <w:tab/>
      </w:r>
      <w:r w:rsidRPr="00C65B25">
        <w:t>Written submissions only by</w:t>
      </w:r>
      <w:r w:rsidRPr="005A0A9D">
        <w:rPr>
          <w:i/>
        </w:rPr>
        <w:t xml:space="preserve"> Daniel M. </w:t>
      </w:r>
      <w:proofErr w:type="spellStart"/>
      <w:r w:rsidRPr="005A0A9D">
        <w:rPr>
          <w:i/>
        </w:rPr>
        <w:t>Scanlan</w:t>
      </w:r>
      <w:proofErr w:type="spellEnd"/>
      <w:r w:rsidRPr="005A0A9D">
        <w:t>, for the intervener the Attorney General of British Columbia.</w:t>
      </w:r>
    </w:p>
    <w:p w:rsidR="00324334" w:rsidRDefault="00324334" w:rsidP="009E04B1">
      <w:pPr>
        <w:pStyle w:val="SCCNormalDoubleSpacing"/>
        <w:widowControl w:val="0"/>
        <w:spacing w:before="480" w:after="480"/>
      </w:pPr>
      <w:r w:rsidRPr="005A0A9D">
        <w:rPr>
          <w:i/>
        </w:rPr>
        <w:tab/>
        <w:t xml:space="preserve">Sharon E. </w:t>
      </w:r>
      <w:proofErr w:type="spellStart"/>
      <w:r w:rsidRPr="005A0A9D">
        <w:rPr>
          <w:i/>
        </w:rPr>
        <w:t>Lavine</w:t>
      </w:r>
      <w:proofErr w:type="spellEnd"/>
      <w:r w:rsidRPr="005A0A9D">
        <w:t xml:space="preserve"> and </w:t>
      </w:r>
      <w:r w:rsidRPr="005A0A9D">
        <w:rPr>
          <w:i/>
        </w:rPr>
        <w:t>Naomi M. Lutes</w:t>
      </w:r>
      <w:r w:rsidRPr="005A0A9D">
        <w:t>, for the intervener the Criminal Lawyers’ Association (Ontario).</w:t>
      </w:r>
    </w:p>
    <w:p w:rsidR="00C21C9E" w:rsidRPr="005A0A9D" w:rsidRDefault="00C21C9E" w:rsidP="009E04B1">
      <w:pPr>
        <w:pStyle w:val="SCCNormalDoubleSpacing"/>
        <w:widowControl w:val="0"/>
        <w:spacing w:before="480" w:after="480"/>
      </w:pPr>
      <w:r>
        <w:lastRenderedPageBreak/>
        <w:tab/>
        <w:t>The judgment of the Court was delivered by</w:t>
      </w:r>
    </w:p>
    <w:p w:rsidR="008F2100" w:rsidRPr="00F2013C" w:rsidRDefault="008F2100" w:rsidP="009E04B1">
      <w:pPr>
        <w:pStyle w:val="JudgeJuge"/>
        <w:widowControl w:val="0"/>
      </w:pPr>
      <w:r w:rsidRPr="00F2013C">
        <w:tab/>
        <w:t xml:space="preserve">Cromwell J. — </w:t>
      </w:r>
    </w:p>
    <w:p w:rsidR="008F2100" w:rsidRPr="00F2013C" w:rsidRDefault="00B74B2A" w:rsidP="009E04B1">
      <w:pPr>
        <w:pStyle w:val="Title1LevelTitre1Niveau-AltL"/>
        <w:widowControl w:val="0"/>
        <w:rPr>
          <w:rFonts w:cs="Times New Roman"/>
        </w:rPr>
      </w:pPr>
      <w:r>
        <w:rPr>
          <w:rFonts w:cs="Times New Roman"/>
        </w:rPr>
        <w:t>Introduction</w:t>
      </w:r>
    </w:p>
    <w:p w:rsidR="008F2100" w:rsidRPr="00F2013C" w:rsidRDefault="008F2100" w:rsidP="009E04B1">
      <w:pPr>
        <w:pStyle w:val="ParaNoNdepar-AltN"/>
        <w:widowControl w:val="0"/>
        <w:rPr>
          <w:rFonts w:cs="Times New Roman"/>
        </w:rPr>
      </w:pPr>
      <w:r w:rsidRPr="00F2013C">
        <w:rPr>
          <w:rFonts w:cs="Times New Roman"/>
        </w:rPr>
        <w:t xml:space="preserve">The respondent, Mr. Oswald </w:t>
      </w:r>
      <w:proofErr w:type="spellStart"/>
      <w:r w:rsidRPr="00F2013C">
        <w:rPr>
          <w:rFonts w:cs="Times New Roman"/>
        </w:rPr>
        <w:t>Villaroman</w:t>
      </w:r>
      <w:proofErr w:type="spellEnd"/>
      <w:r w:rsidRPr="00F2013C">
        <w:rPr>
          <w:rFonts w:cs="Times New Roman"/>
        </w:rPr>
        <w:t xml:space="preserve">, was having problems with his laptop computer, so he left it with a repair shop. The repair technician found child pornography on the laptop. He called the police, whose search of the laptop confirmed the presence of child pornography. Mr. </w:t>
      </w:r>
      <w:proofErr w:type="spellStart"/>
      <w:r w:rsidRPr="00F2013C">
        <w:rPr>
          <w:rFonts w:cs="Times New Roman"/>
        </w:rPr>
        <w:t>Villaroman</w:t>
      </w:r>
      <w:proofErr w:type="spellEnd"/>
      <w:r w:rsidRPr="00F2013C">
        <w:rPr>
          <w:rFonts w:cs="Times New Roman"/>
        </w:rPr>
        <w:t xml:space="preserve"> was charged with a number of pornography</w:t>
      </w:r>
      <w:r>
        <w:rPr>
          <w:rFonts w:cs="Times New Roman"/>
        </w:rPr>
        <w:t>-</w:t>
      </w:r>
      <w:r w:rsidRPr="00F2013C">
        <w:rPr>
          <w:rFonts w:cs="Times New Roman"/>
        </w:rPr>
        <w:t>related offences, including possession of child pornography</w:t>
      </w:r>
      <w:r>
        <w:rPr>
          <w:rFonts w:cs="Times New Roman"/>
        </w:rPr>
        <w:t xml:space="preserve"> contrary to s. 163.1(4) of the </w:t>
      </w:r>
      <w:r>
        <w:rPr>
          <w:rFonts w:cs="Times New Roman"/>
          <w:i/>
        </w:rPr>
        <w:t>Criminal Code</w:t>
      </w:r>
      <w:r w:rsidRPr="00F2013C">
        <w:rPr>
          <w:rFonts w:cs="Times New Roman"/>
        </w:rPr>
        <w:t xml:space="preserve">, </w:t>
      </w:r>
      <w:r>
        <w:rPr>
          <w:rFonts w:cs="Times New Roman"/>
        </w:rPr>
        <w:t xml:space="preserve">R.S.C. 1985, </w:t>
      </w:r>
      <w:proofErr w:type="gramStart"/>
      <w:r>
        <w:rPr>
          <w:rFonts w:cs="Times New Roman"/>
        </w:rPr>
        <w:t>c</w:t>
      </w:r>
      <w:proofErr w:type="gramEnd"/>
      <w:r>
        <w:rPr>
          <w:rFonts w:cs="Times New Roman"/>
        </w:rPr>
        <w:t xml:space="preserve">. C-46, </w:t>
      </w:r>
      <w:r w:rsidRPr="00F2013C">
        <w:rPr>
          <w:rFonts w:cs="Times New Roman"/>
        </w:rPr>
        <w:t>the only charge relevant to this appeal.</w:t>
      </w:r>
    </w:p>
    <w:p w:rsidR="008F2100" w:rsidRPr="00F2013C" w:rsidRDefault="008F2100" w:rsidP="009E04B1">
      <w:pPr>
        <w:pStyle w:val="ParaNoNdepar-AltN"/>
        <w:widowControl w:val="0"/>
        <w:rPr>
          <w:rFonts w:cs="Times New Roman"/>
        </w:rPr>
      </w:pPr>
      <w:r w:rsidRPr="00F2013C">
        <w:rPr>
          <w:rFonts w:cs="Times New Roman"/>
        </w:rPr>
        <w:t xml:space="preserve">At trial, Yamauchi J. found that the mainly circumstantial evidence against the accused proved </w:t>
      </w:r>
      <w:proofErr w:type="spellStart"/>
      <w:r w:rsidRPr="00F2013C">
        <w:rPr>
          <w:rFonts w:cs="Times New Roman"/>
        </w:rPr>
        <w:t>guilt</w:t>
      </w:r>
      <w:proofErr w:type="spellEnd"/>
      <w:r w:rsidRPr="00F2013C">
        <w:rPr>
          <w:rFonts w:cs="Times New Roman"/>
        </w:rPr>
        <w:t xml:space="preserve"> on the charge of possession of child pornography beyond a reasonable doubt: 2013 ABQB 279</w:t>
      </w:r>
      <w:r>
        <w:rPr>
          <w:rFonts w:cs="Times New Roman"/>
        </w:rPr>
        <w:t>, 562 A.R. 105</w:t>
      </w:r>
      <w:r w:rsidRPr="00F2013C">
        <w:rPr>
          <w:rFonts w:cs="Times New Roman"/>
        </w:rPr>
        <w:t>. The Court of Appeal, however, concluded that the judge had misstated the current law respecting circumstantial evidence and that the verdict of guilt based on that evidence was unreasonable: 2015 ABCA 104</w:t>
      </w:r>
      <w:r>
        <w:rPr>
          <w:rFonts w:cs="Times New Roman"/>
        </w:rPr>
        <w:t>, 599 A.R. 294,</w:t>
      </w:r>
      <w:r w:rsidRPr="00F2013C">
        <w:rPr>
          <w:rFonts w:cs="Times New Roman"/>
        </w:rPr>
        <w:t xml:space="preserve"> at paras. 20 and 38. The Court of Appeal therefore set aside the conviction and entered an acquittal. The Crown appeals, submitting that the Court of Appeal erred by requiring the Crown in effect to disprove all innocent possibilities and, more specifically, by requiring the Crown to prove either that the accused had downloaded the pornography or that he had exclusive access to the computer where it </w:t>
      </w:r>
      <w:r w:rsidRPr="00F2013C">
        <w:rPr>
          <w:rFonts w:cs="Times New Roman"/>
        </w:rPr>
        <w:lastRenderedPageBreak/>
        <w:t>was stored. The Crown maintains that the judge did not make any legal error in his treatment of the circumstantial evidence and that the verdict of guilt was reasonable. The respondent supports the decision and reasoning of the Court of Appeal and points to a number of what he says are clear legal errors in the trial judge’s analysis.</w:t>
      </w:r>
    </w:p>
    <w:p w:rsidR="008F2100" w:rsidRPr="00F2013C" w:rsidRDefault="008F2100" w:rsidP="009E04B1">
      <w:pPr>
        <w:pStyle w:val="ParaNoNdepar-AltN"/>
        <w:widowControl w:val="0"/>
        <w:rPr>
          <w:rFonts w:cs="Times New Roman"/>
        </w:rPr>
      </w:pPr>
      <w:r w:rsidRPr="00F2013C">
        <w:rPr>
          <w:rFonts w:cs="Times New Roman"/>
        </w:rPr>
        <w:t>I would allow the appeal. As I see it, the trial judge’s reasons, read as a whole, do not contain any legal errors and his finding of guilt was reasonable.</w:t>
      </w:r>
    </w:p>
    <w:p w:rsidR="008F2100" w:rsidRPr="00F2013C" w:rsidRDefault="008F2100" w:rsidP="009E04B1">
      <w:pPr>
        <w:pStyle w:val="Title1LevelTitre1Niveau-AltL"/>
        <w:widowControl w:val="0"/>
        <w:rPr>
          <w:rFonts w:cs="Times New Roman"/>
        </w:rPr>
      </w:pPr>
      <w:r w:rsidRPr="00F2013C">
        <w:rPr>
          <w:rFonts w:cs="Times New Roman"/>
        </w:rPr>
        <w:t>Issues</w:t>
      </w:r>
    </w:p>
    <w:p w:rsidR="008F2100" w:rsidRPr="00F2013C" w:rsidRDefault="008F2100" w:rsidP="009E04B1">
      <w:pPr>
        <w:pStyle w:val="ParaNoNdepar-AltN"/>
        <w:widowControl w:val="0"/>
        <w:rPr>
          <w:rFonts w:cs="Times New Roman"/>
        </w:rPr>
      </w:pPr>
      <w:r w:rsidRPr="00F2013C">
        <w:rPr>
          <w:rFonts w:cs="Times New Roman"/>
        </w:rPr>
        <w:t>The Court of Appeal found that the case law in relation to circumstantial evidence “may not be readily consistent” and “seems to have changed in very recent years”: paras.</w:t>
      </w:r>
      <w:r>
        <w:rPr>
          <w:rFonts w:cs="Times New Roman"/>
        </w:rPr>
        <w:t xml:space="preserve"> 8 and </w:t>
      </w:r>
      <w:r w:rsidRPr="00F2013C">
        <w:rPr>
          <w:rFonts w:cs="Times New Roman"/>
        </w:rPr>
        <w:t xml:space="preserve">20. This appeal </w:t>
      </w:r>
      <w:r>
        <w:rPr>
          <w:rFonts w:cs="Times New Roman"/>
        </w:rPr>
        <w:t xml:space="preserve">is </w:t>
      </w:r>
      <w:r w:rsidRPr="00F2013C">
        <w:rPr>
          <w:rFonts w:cs="Times New Roman"/>
        </w:rPr>
        <w:t>an opportunity to provide any needed clarification. For the purposes of my analysis, I have found it helpful to approach the case by answering two questions:</w:t>
      </w:r>
    </w:p>
    <w:p w:rsidR="008F2100" w:rsidRPr="00F2013C" w:rsidRDefault="008F2100" w:rsidP="009E04B1">
      <w:pPr>
        <w:pStyle w:val="ParaNoNdepar-AltN"/>
        <w:widowControl w:val="0"/>
        <w:numPr>
          <w:ilvl w:val="6"/>
          <w:numId w:val="6"/>
        </w:numPr>
        <w:ind w:left="630" w:hanging="630"/>
        <w:rPr>
          <w:rFonts w:cs="Times New Roman"/>
        </w:rPr>
      </w:pPr>
      <w:r>
        <w:rPr>
          <w:rFonts w:cs="Times New Roman"/>
        </w:rPr>
        <w:t xml:space="preserve">Did the Court of Appeal err in </w:t>
      </w:r>
      <w:r w:rsidRPr="00F2013C">
        <w:rPr>
          <w:rFonts w:cs="Times New Roman"/>
        </w:rPr>
        <w:t xml:space="preserve">finding </w:t>
      </w:r>
      <w:r>
        <w:rPr>
          <w:rFonts w:cs="Times New Roman"/>
        </w:rPr>
        <w:t xml:space="preserve">a </w:t>
      </w:r>
      <w:r w:rsidRPr="00F2013C">
        <w:rPr>
          <w:rFonts w:cs="Times New Roman"/>
        </w:rPr>
        <w:t>legal error in the trial judge’s analysis in relation to the circumstantial evidence?</w:t>
      </w:r>
    </w:p>
    <w:p w:rsidR="008F2100" w:rsidRPr="00F2013C" w:rsidRDefault="008F2100" w:rsidP="009E04B1">
      <w:pPr>
        <w:pStyle w:val="ContinueParaSuitedupar-AltP"/>
        <w:widowControl w:val="0"/>
        <w:numPr>
          <w:ilvl w:val="6"/>
          <w:numId w:val="6"/>
        </w:numPr>
        <w:ind w:left="630" w:hanging="630"/>
        <w:rPr>
          <w:rFonts w:cs="Times New Roman"/>
        </w:rPr>
      </w:pPr>
      <w:r w:rsidRPr="00F2013C">
        <w:rPr>
          <w:rFonts w:cs="Times New Roman"/>
        </w:rPr>
        <w:t>Was the guilty verdict unreasonable?</w:t>
      </w:r>
    </w:p>
    <w:p w:rsidR="008F2100" w:rsidRPr="00F2013C" w:rsidRDefault="008F2100" w:rsidP="009E04B1">
      <w:pPr>
        <w:pStyle w:val="ParaNoNdepar-AltN"/>
        <w:widowControl w:val="0"/>
        <w:rPr>
          <w:rFonts w:cs="Times New Roman"/>
        </w:rPr>
      </w:pPr>
      <w:r w:rsidRPr="00F2013C">
        <w:rPr>
          <w:rFonts w:cs="Times New Roman"/>
        </w:rPr>
        <w:t xml:space="preserve">Some issues related to whether the police search of the laptop violated s. 8 of the </w:t>
      </w:r>
      <w:r>
        <w:rPr>
          <w:rFonts w:cs="Times New Roman"/>
          <w:i/>
        </w:rPr>
        <w:t xml:space="preserve">Canadian </w:t>
      </w:r>
      <w:r w:rsidRPr="00F2013C">
        <w:rPr>
          <w:rFonts w:cs="Times New Roman"/>
          <w:i/>
        </w:rPr>
        <w:t>Charter</w:t>
      </w:r>
      <w:r>
        <w:rPr>
          <w:rFonts w:cs="Times New Roman"/>
          <w:i/>
        </w:rPr>
        <w:t xml:space="preserve"> of Rights and Freedoms</w:t>
      </w:r>
      <w:r w:rsidRPr="00F2013C">
        <w:rPr>
          <w:rFonts w:cs="Times New Roman"/>
          <w:i/>
        </w:rPr>
        <w:t xml:space="preserve"> </w:t>
      </w:r>
      <w:r w:rsidRPr="00F2013C">
        <w:rPr>
          <w:rFonts w:cs="Times New Roman"/>
        </w:rPr>
        <w:t>were argued at trial and before the Court of Appeal</w:t>
      </w:r>
      <w:r w:rsidRPr="00F2013C">
        <w:rPr>
          <w:rFonts w:cs="Times New Roman"/>
          <w:i/>
        </w:rPr>
        <w:t xml:space="preserve">. </w:t>
      </w:r>
      <w:r w:rsidRPr="00F2013C">
        <w:rPr>
          <w:rFonts w:cs="Times New Roman"/>
        </w:rPr>
        <w:t xml:space="preserve"> The trial judge found that the police search was lawful (</w:t>
      </w:r>
      <w:r>
        <w:rPr>
          <w:rFonts w:cs="Times New Roman"/>
        </w:rPr>
        <w:t xml:space="preserve">2012 </w:t>
      </w:r>
      <w:r w:rsidRPr="00F2013C">
        <w:rPr>
          <w:rFonts w:cs="Times New Roman"/>
        </w:rPr>
        <w:t xml:space="preserve">ABQB </w:t>
      </w:r>
      <w:r>
        <w:rPr>
          <w:rFonts w:cs="Times New Roman"/>
        </w:rPr>
        <w:lastRenderedPageBreak/>
        <w:t>63</w:t>
      </w:r>
      <w:r w:rsidRPr="00F2013C">
        <w:rPr>
          <w:rFonts w:cs="Times New Roman"/>
        </w:rPr>
        <w:t>0</w:t>
      </w:r>
      <w:r>
        <w:rPr>
          <w:rFonts w:cs="Times New Roman"/>
        </w:rPr>
        <w:t>, 557 A.R. 1</w:t>
      </w:r>
      <w:r w:rsidRPr="00F2013C">
        <w:rPr>
          <w:rFonts w:cs="Times New Roman"/>
        </w:rPr>
        <w:t xml:space="preserve">), while the Court of Appeal declined to consider the search issues because its acquittal of Mr. </w:t>
      </w:r>
      <w:proofErr w:type="spellStart"/>
      <w:r w:rsidRPr="00F2013C">
        <w:rPr>
          <w:rFonts w:cs="Times New Roman"/>
        </w:rPr>
        <w:t>Villaroman</w:t>
      </w:r>
      <w:proofErr w:type="spellEnd"/>
      <w:r w:rsidRPr="00F2013C">
        <w:rPr>
          <w:rFonts w:cs="Times New Roman"/>
        </w:rPr>
        <w:t xml:space="preserve"> made those issues academic: paras.</w:t>
      </w:r>
      <w:r>
        <w:rPr>
          <w:rFonts w:cs="Times New Roman"/>
        </w:rPr>
        <w:t xml:space="preserve"> 38-39</w:t>
      </w:r>
      <w:r w:rsidRPr="00F2013C">
        <w:rPr>
          <w:rFonts w:cs="Times New Roman"/>
        </w:rPr>
        <w:t xml:space="preserve">. </w:t>
      </w:r>
      <w:proofErr w:type="gramStart"/>
      <w:r w:rsidRPr="00F2013C">
        <w:rPr>
          <w:rFonts w:cs="Times New Roman"/>
        </w:rPr>
        <w:t>On</w:t>
      </w:r>
      <w:proofErr w:type="gramEnd"/>
      <w:r w:rsidRPr="00F2013C">
        <w:rPr>
          <w:rFonts w:cs="Times New Roman"/>
        </w:rPr>
        <w:t xml:space="preserve"> appeal before this Court, the parties agreed that if we accept the Crown’s position with respect to the circumstantial evidence</w:t>
      </w:r>
      <w:r>
        <w:rPr>
          <w:rFonts w:cs="Times New Roman"/>
        </w:rPr>
        <w:t>,</w:t>
      </w:r>
      <w:r w:rsidRPr="00F2013C">
        <w:rPr>
          <w:rFonts w:cs="Times New Roman"/>
        </w:rPr>
        <w:t xml:space="preserve"> the case should be remanded to the Court of Appeal to deal with those issues.   I accept the parties’ position and would remand these issues back to the Court of Appeal.</w:t>
      </w:r>
    </w:p>
    <w:p w:rsidR="008F2100" w:rsidRPr="00F2013C" w:rsidRDefault="008F2100" w:rsidP="009E04B1">
      <w:pPr>
        <w:pStyle w:val="Title1LevelTitre1Niveau-AltL"/>
        <w:widowControl w:val="0"/>
        <w:rPr>
          <w:rFonts w:cs="Times New Roman"/>
        </w:rPr>
      </w:pPr>
      <w:r>
        <w:rPr>
          <w:rFonts w:cs="Times New Roman"/>
        </w:rPr>
        <w:t>Overview of the Facts and D</w:t>
      </w:r>
      <w:r w:rsidRPr="00F2013C">
        <w:rPr>
          <w:rFonts w:cs="Times New Roman"/>
        </w:rPr>
        <w:t>ecisions</w:t>
      </w:r>
    </w:p>
    <w:p w:rsidR="008F2100" w:rsidRPr="00F2013C" w:rsidRDefault="008F2100" w:rsidP="009E04B1">
      <w:pPr>
        <w:pStyle w:val="Title2LevelTitre2Niveau"/>
        <w:widowControl w:val="0"/>
        <w:rPr>
          <w:rFonts w:cs="Times New Roman"/>
        </w:rPr>
      </w:pPr>
      <w:r w:rsidRPr="00F2013C">
        <w:rPr>
          <w:rFonts w:cs="Times New Roman"/>
        </w:rPr>
        <w:t>Background</w:t>
      </w:r>
    </w:p>
    <w:p w:rsidR="008F2100" w:rsidRPr="00F2013C" w:rsidRDefault="008F2100" w:rsidP="009E04B1">
      <w:pPr>
        <w:pStyle w:val="ParaNoNdepar-AltN"/>
        <w:widowControl w:val="0"/>
        <w:shd w:val="clear" w:color="auto" w:fill="FFFFFF"/>
        <w:autoSpaceDE w:val="0"/>
        <w:autoSpaceDN w:val="0"/>
        <w:rPr>
          <w:rFonts w:eastAsia="PMingLiU" w:cs="Times New Roman"/>
          <w:szCs w:val="24"/>
        </w:rPr>
      </w:pPr>
      <w:r w:rsidRPr="00F2013C">
        <w:rPr>
          <w:rFonts w:cs="Times New Roman"/>
        </w:rPr>
        <w:t xml:space="preserve">Mr. </w:t>
      </w:r>
      <w:proofErr w:type="spellStart"/>
      <w:r w:rsidRPr="00F2013C">
        <w:rPr>
          <w:rFonts w:cs="Times New Roman"/>
        </w:rPr>
        <w:t>Villaroman</w:t>
      </w:r>
      <w:proofErr w:type="spellEnd"/>
      <w:r w:rsidRPr="00F2013C">
        <w:rPr>
          <w:rFonts w:cs="Times New Roman"/>
        </w:rPr>
        <w:t xml:space="preserve"> took his laptop computer to a </w:t>
      </w:r>
      <w:proofErr w:type="spellStart"/>
      <w:r w:rsidRPr="00F2013C">
        <w:rPr>
          <w:rFonts w:cs="Times New Roman"/>
        </w:rPr>
        <w:t>MyMacDealer</w:t>
      </w:r>
      <w:proofErr w:type="spellEnd"/>
      <w:r w:rsidRPr="00F2013C">
        <w:rPr>
          <w:rFonts w:cs="Times New Roman"/>
        </w:rPr>
        <w:t xml:space="preserve"> shop for repairs to the power button and battery. (While it was not conceded at trial that Mr</w:t>
      </w:r>
      <w:r>
        <w:rPr>
          <w:rFonts w:cs="Times New Roman"/>
        </w:rPr>
        <w:t>.</w:t>
      </w:r>
      <w:r w:rsidRPr="00F2013C">
        <w:rPr>
          <w:rFonts w:cs="Times New Roman"/>
        </w:rPr>
        <w:t xml:space="preserve"> </w:t>
      </w:r>
      <w:proofErr w:type="spellStart"/>
      <w:r w:rsidRPr="00F2013C">
        <w:rPr>
          <w:rFonts w:cs="Times New Roman"/>
        </w:rPr>
        <w:t>Villaroman</w:t>
      </w:r>
      <w:proofErr w:type="spellEnd"/>
      <w:r w:rsidRPr="00F2013C">
        <w:rPr>
          <w:rFonts w:cs="Times New Roman"/>
        </w:rPr>
        <w:t xml:space="preserve"> was the person who delivered the computer, it is </w:t>
      </w:r>
      <w:r>
        <w:rPr>
          <w:rFonts w:cs="Times New Roman"/>
        </w:rPr>
        <w:t>for the purposes of this appeal</w:t>
      </w:r>
      <w:r w:rsidRPr="00F2013C">
        <w:rPr>
          <w:rFonts w:cs="Times New Roman"/>
        </w:rPr>
        <w:t xml:space="preserve">.) He provided his name, address, and telephone number to the repair shop. The technician, Alan </w:t>
      </w:r>
      <w:proofErr w:type="spellStart"/>
      <w:r w:rsidRPr="00F2013C">
        <w:rPr>
          <w:rFonts w:cs="Times New Roman"/>
        </w:rPr>
        <w:t>Sopczak</w:t>
      </w:r>
      <w:proofErr w:type="spellEnd"/>
      <w:r w:rsidRPr="00F2013C">
        <w:rPr>
          <w:rFonts w:cs="Times New Roman"/>
        </w:rPr>
        <w:t>, examined the c</w:t>
      </w:r>
      <w:r>
        <w:rPr>
          <w:rFonts w:cs="Times New Roman"/>
        </w:rPr>
        <w:t>omputer, which was not password-</w:t>
      </w:r>
      <w:r w:rsidRPr="00F2013C">
        <w:rPr>
          <w:rFonts w:cs="Times New Roman"/>
        </w:rPr>
        <w:t xml:space="preserve">protected, and identified the necessary repairs.  He then telephoned Mr. </w:t>
      </w:r>
      <w:proofErr w:type="spellStart"/>
      <w:r w:rsidRPr="00F2013C">
        <w:rPr>
          <w:rFonts w:cs="Times New Roman"/>
        </w:rPr>
        <w:t>Villaroman</w:t>
      </w:r>
      <w:proofErr w:type="spellEnd"/>
      <w:r w:rsidRPr="00F2013C">
        <w:rPr>
          <w:rFonts w:cs="Times New Roman"/>
        </w:rPr>
        <w:t xml:space="preserve">, who authorized the work. </w:t>
      </w:r>
    </w:p>
    <w:p w:rsidR="008F2100" w:rsidRPr="00F2013C" w:rsidRDefault="008F2100" w:rsidP="009E04B1">
      <w:pPr>
        <w:pStyle w:val="ParaNoNdepar-AltN"/>
        <w:widowControl w:val="0"/>
        <w:shd w:val="clear" w:color="auto" w:fill="FFFFFF"/>
        <w:autoSpaceDE w:val="0"/>
        <w:autoSpaceDN w:val="0"/>
        <w:rPr>
          <w:rFonts w:eastAsia="PMingLiU" w:cs="Times New Roman"/>
          <w:szCs w:val="24"/>
        </w:rPr>
      </w:pPr>
      <w:r w:rsidRPr="00F2013C">
        <w:rPr>
          <w:rFonts w:cs="Times New Roman"/>
        </w:rPr>
        <w:t xml:space="preserve">After completing some repairs, Mr. </w:t>
      </w:r>
      <w:proofErr w:type="spellStart"/>
      <w:r w:rsidRPr="00F2013C">
        <w:rPr>
          <w:rFonts w:cs="Times New Roman"/>
        </w:rPr>
        <w:t>Sopczak</w:t>
      </w:r>
      <w:proofErr w:type="spellEnd"/>
      <w:r w:rsidRPr="00F2013C">
        <w:rPr>
          <w:rFonts w:cs="Times New Roman"/>
        </w:rPr>
        <w:t xml:space="preserve"> checked some files randomly to test whether the computer’s </w:t>
      </w:r>
      <w:r>
        <w:rPr>
          <w:rFonts w:cs="Times New Roman"/>
        </w:rPr>
        <w:t>software was</w:t>
      </w:r>
      <w:r w:rsidRPr="00F2013C">
        <w:rPr>
          <w:rFonts w:cs="Times New Roman"/>
        </w:rPr>
        <w:t xml:space="preserve"> operating properly. While checking the music files, he discovered child po</w:t>
      </w:r>
      <w:r>
        <w:rPr>
          <w:rFonts w:cs="Times New Roman"/>
        </w:rPr>
        <w:t xml:space="preserve">rnography files in the music </w:t>
      </w:r>
      <w:r w:rsidRPr="00F2013C">
        <w:rPr>
          <w:rFonts w:cs="Times New Roman"/>
        </w:rPr>
        <w:t xml:space="preserve">folder of the iTunes </w:t>
      </w:r>
      <w:r>
        <w:rPr>
          <w:rFonts w:cs="Times New Roman"/>
        </w:rPr>
        <w:t>library folder</w:t>
      </w:r>
      <w:r w:rsidRPr="00F2013C">
        <w:rPr>
          <w:rFonts w:cs="Times New Roman"/>
        </w:rPr>
        <w:t xml:space="preserve">. He thought the number of files ruled out a random occurrence and called the police, who seized the computer. Days later, when Mr. </w:t>
      </w:r>
      <w:proofErr w:type="spellStart"/>
      <w:r w:rsidRPr="00F2013C">
        <w:rPr>
          <w:rFonts w:cs="Times New Roman"/>
        </w:rPr>
        <w:t>Villaroman</w:t>
      </w:r>
      <w:proofErr w:type="spellEnd"/>
      <w:r w:rsidRPr="00F2013C">
        <w:rPr>
          <w:rFonts w:cs="Times New Roman"/>
        </w:rPr>
        <w:t xml:space="preserve"> came to the shop </w:t>
      </w:r>
      <w:r w:rsidRPr="00F2013C">
        <w:rPr>
          <w:rFonts w:cs="Times New Roman"/>
        </w:rPr>
        <w:lastRenderedPageBreak/>
        <w:t xml:space="preserve">to get the laptop, Mr. </w:t>
      </w:r>
      <w:proofErr w:type="spellStart"/>
      <w:r w:rsidRPr="00F2013C">
        <w:rPr>
          <w:rFonts w:cs="Times New Roman"/>
        </w:rPr>
        <w:t>Sopczak</w:t>
      </w:r>
      <w:proofErr w:type="spellEnd"/>
      <w:r w:rsidRPr="00F2013C">
        <w:rPr>
          <w:rFonts w:cs="Times New Roman"/>
        </w:rPr>
        <w:t xml:space="preserve"> informed him that the police had seized it. </w:t>
      </w:r>
    </w:p>
    <w:p w:rsidR="008F2100" w:rsidRPr="00F2013C" w:rsidRDefault="008F2100" w:rsidP="009E04B1">
      <w:pPr>
        <w:pStyle w:val="ParaNoNdepar-AltN"/>
        <w:widowControl w:val="0"/>
        <w:shd w:val="clear" w:color="auto" w:fill="FFFFFF"/>
        <w:autoSpaceDE w:val="0"/>
        <w:autoSpaceDN w:val="0"/>
        <w:rPr>
          <w:rFonts w:eastAsia="PMingLiU" w:cs="Times New Roman"/>
          <w:szCs w:val="24"/>
        </w:rPr>
      </w:pPr>
      <w:r>
        <w:rPr>
          <w:rFonts w:cs="Times New Roman"/>
        </w:rPr>
        <w:t xml:space="preserve">Mr. </w:t>
      </w:r>
      <w:proofErr w:type="spellStart"/>
      <w:r>
        <w:rPr>
          <w:rFonts w:cs="Times New Roman"/>
        </w:rPr>
        <w:t>LaF</w:t>
      </w:r>
      <w:r w:rsidRPr="00F2013C">
        <w:rPr>
          <w:rFonts w:cs="Times New Roman"/>
        </w:rPr>
        <w:t>ontaine</w:t>
      </w:r>
      <w:proofErr w:type="spellEnd"/>
      <w:r w:rsidRPr="00F2013C">
        <w:rPr>
          <w:rFonts w:cs="Times New Roman"/>
        </w:rPr>
        <w:t>, a forensic analyst, testified that there was only one user account associated with the computer, named “</w:t>
      </w:r>
      <w:proofErr w:type="spellStart"/>
      <w:r w:rsidRPr="00F2013C">
        <w:rPr>
          <w:rFonts w:cs="Times New Roman"/>
        </w:rPr>
        <w:t>oswaldvillaroman</w:t>
      </w:r>
      <w:proofErr w:type="spellEnd"/>
      <w:r w:rsidRPr="00F2013C">
        <w:rPr>
          <w:rFonts w:cs="Times New Roman"/>
        </w:rPr>
        <w:t xml:space="preserve">”. The user account was set up on the computer on July 1, 2007 and there had been almost daily activity on it from that date until November 29, 2009, a couple of days before the computer was brought to the shop. </w:t>
      </w:r>
    </w:p>
    <w:p w:rsidR="008F2100" w:rsidRPr="00F2013C" w:rsidRDefault="008F2100" w:rsidP="009E04B1">
      <w:pPr>
        <w:pStyle w:val="ParaNoNdepar-AltN"/>
        <w:widowControl w:val="0"/>
        <w:shd w:val="clear" w:color="auto" w:fill="FFFFFF"/>
        <w:autoSpaceDE w:val="0"/>
        <w:autoSpaceDN w:val="0"/>
        <w:rPr>
          <w:rFonts w:eastAsia="PMingLiU" w:cs="Times New Roman"/>
          <w:szCs w:val="24"/>
        </w:rPr>
      </w:pPr>
      <w:r>
        <w:rPr>
          <w:rFonts w:cs="Times New Roman"/>
        </w:rPr>
        <w:t xml:space="preserve">Mr. </w:t>
      </w:r>
      <w:proofErr w:type="spellStart"/>
      <w:r>
        <w:rPr>
          <w:rFonts w:cs="Times New Roman"/>
        </w:rPr>
        <w:t>LaF</w:t>
      </w:r>
      <w:r w:rsidRPr="00F2013C">
        <w:rPr>
          <w:rFonts w:cs="Times New Roman"/>
        </w:rPr>
        <w:t>ontaine’s</w:t>
      </w:r>
      <w:proofErr w:type="spellEnd"/>
      <w:r w:rsidRPr="00F2013C">
        <w:rPr>
          <w:rFonts w:cs="Times New Roman"/>
        </w:rPr>
        <w:t xml:space="preserve"> evidence was that the computer’s hard drive contained 36 child pornography files: one picture and 35 videos. Two of the file names appeared to be in an Asian language, but all of the rest suggested or expressly described underage pornographic content.  The files were downloaded using a peer-to-peer downloading software called “</w:t>
      </w:r>
      <w:proofErr w:type="spellStart"/>
      <w:r w:rsidRPr="00F2013C">
        <w:rPr>
          <w:rFonts w:cs="Times New Roman"/>
        </w:rPr>
        <w:t>Limewire</w:t>
      </w:r>
      <w:proofErr w:type="spellEnd"/>
      <w:r w:rsidRPr="00F2013C">
        <w:rPr>
          <w:rFonts w:cs="Times New Roman"/>
        </w:rPr>
        <w:t xml:space="preserve">”. Eighteen of the videos were partial or incomplete downloads located in the </w:t>
      </w:r>
      <w:proofErr w:type="spellStart"/>
      <w:r w:rsidRPr="00F2013C">
        <w:rPr>
          <w:rFonts w:cs="Times New Roman"/>
        </w:rPr>
        <w:t>Limewire</w:t>
      </w:r>
      <w:proofErr w:type="spellEnd"/>
      <w:r w:rsidRPr="00F2013C">
        <w:rPr>
          <w:rFonts w:cs="Times New Roman"/>
        </w:rPr>
        <w:t xml:space="preserve"> “incomplete” folder. Seventeen were complete downloads that were found, along with the one picture, in the computer’s music folder. The user had viewed some videos from each folder using two different media-playing programs. </w:t>
      </w:r>
    </w:p>
    <w:p w:rsidR="008F2100" w:rsidRPr="00F2013C" w:rsidRDefault="008F2100" w:rsidP="009E04B1">
      <w:pPr>
        <w:pStyle w:val="ParaNoNdepar-AltN"/>
        <w:widowControl w:val="0"/>
        <w:shd w:val="clear" w:color="auto" w:fill="FFFFFF"/>
        <w:autoSpaceDE w:val="0"/>
        <w:autoSpaceDN w:val="0"/>
        <w:rPr>
          <w:rFonts w:eastAsia="PMingLiU" w:cs="Times New Roman"/>
          <w:szCs w:val="24"/>
        </w:rPr>
      </w:pPr>
      <w:r w:rsidRPr="00F2013C">
        <w:rPr>
          <w:rFonts w:cs="Times New Roman"/>
        </w:rPr>
        <w:t xml:space="preserve">Mr. </w:t>
      </w:r>
      <w:proofErr w:type="spellStart"/>
      <w:r w:rsidRPr="00F2013C">
        <w:rPr>
          <w:rFonts w:cs="Times New Roman"/>
        </w:rPr>
        <w:t>Villaroman</w:t>
      </w:r>
      <w:proofErr w:type="spellEnd"/>
      <w:r w:rsidRPr="00F2013C">
        <w:rPr>
          <w:rFonts w:cs="Times New Roman"/>
        </w:rPr>
        <w:t xml:space="preserve"> admitted that the computer was his and that the 36 files found on it constituted child pornography as defined in the </w:t>
      </w:r>
      <w:r w:rsidRPr="00F2013C">
        <w:rPr>
          <w:rFonts w:cs="Times New Roman"/>
          <w:i/>
        </w:rPr>
        <w:t>Criminal Code</w:t>
      </w:r>
      <w:r w:rsidRPr="00F2013C">
        <w:rPr>
          <w:rFonts w:cs="Times New Roman"/>
        </w:rPr>
        <w:t xml:space="preserve">. The main factual issue at trial in relation to the possession of child pornography charge was whether the evidence established that Mr. </w:t>
      </w:r>
      <w:proofErr w:type="spellStart"/>
      <w:r w:rsidRPr="00F2013C">
        <w:rPr>
          <w:rFonts w:cs="Times New Roman"/>
        </w:rPr>
        <w:t>Villaroman</w:t>
      </w:r>
      <w:proofErr w:type="spellEnd"/>
      <w:r w:rsidRPr="00F2013C">
        <w:rPr>
          <w:rFonts w:cs="Times New Roman"/>
        </w:rPr>
        <w:t xml:space="preserve"> had been in possession of the child pornography. As the trial judge noted, this required the Crown to prove that he knew the nature of the material, had the intention to possess it, and had the necessary </w:t>
      </w:r>
      <w:r w:rsidRPr="00F2013C">
        <w:rPr>
          <w:rFonts w:cs="Times New Roman"/>
        </w:rPr>
        <w:lastRenderedPageBreak/>
        <w:t xml:space="preserve">control over it: para. 26, citing </w:t>
      </w:r>
      <w:r w:rsidRPr="00F2013C">
        <w:rPr>
          <w:rFonts w:cs="Times New Roman"/>
          <w:bCs/>
          <w:i/>
          <w:iCs/>
        </w:rPr>
        <w:t>R. v.  Daniels</w:t>
      </w:r>
      <w:r w:rsidRPr="00F2013C">
        <w:rPr>
          <w:rFonts w:cs="Times New Roman"/>
        </w:rPr>
        <w:t>, 2004</w:t>
      </w:r>
      <w:r>
        <w:rPr>
          <w:rFonts w:cs="Times New Roman"/>
        </w:rPr>
        <w:t xml:space="preserve"> NCLA 73,</w:t>
      </w:r>
      <w:r w:rsidRPr="00F2013C">
        <w:rPr>
          <w:rFonts w:cs="Times New Roman"/>
        </w:rPr>
        <w:t xml:space="preserve"> </w:t>
      </w:r>
      <w:r w:rsidRPr="00F2013C">
        <w:rPr>
          <w:rStyle w:val="reflex3-alt"/>
          <w:rFonts w:cs="Times New Roman"/>
          <w:szCs w:val="24"/>
        </w:rPr>
        <w:t>242 Nfld</w:t>
      </w:r>
      <w:r>
        <w:rPr>
          <w:rStyle w:val="reflex3-alt"/>
          <w:rFonts w:cs="Times New Roman"/>
          <w:szCs w:val="24"/>
        </w:rPr>
        <w:t>.</w:t>
      </w:r>
      <w:r w:rsidRPr="00F2013C">
        <w:rPr>
          <w:rStyle w:val="reflex3-alt"/>
          <w:rFonts w:cs="Times New Roman"/>
          <w:szCs w:val="24"/>
        </w:rPr>
        <w:t xml:space="preserve"> &amp; P</w:t>
      </w:r>
      <w:r>
        <w:rPr>
          <w:rStyle w:val="reflex3-alt"/>
          <w:rFonts w:cs="Times New Roman"/>
          <w:szCs w:val="24"/>
        </w:rPr>
        <w:t>.</w:t>
      </w:r>
      <w:r w:rsidRPr="00F2013C">
        <w:rPr>
          <w:rStyle w:val="reflex3-alt"/>
          <w:rFonts w:cs="Times New Roman"/>
          <w:szCs w:val="24"/>
        </w:rPr>
        <w:t>E</w:t>
      </w:r>
      <w:r>
        <w:rPr>
          <w:rStyle w:val="reflex3-alt"/>
          <w:rFonts w:cs="Times New Roman"/>
          <w:szCs w:val="24"/>
        </w:rPr>
        <w:t>.</w:t>
      </w:r>
      <w:r w:rsidRPr="00F2013C">
        <w:rPr>
          <w:rStyle w:val="reflex3-alt"/>
          <w:rFonts w:cs="Times New Roman"/>
          <w:szCs w:val="24"/>
        </w:rPr>
        <w:t>I</w:t>
      </w:r>
      <w:r>
        <w:rPr>
          <w:rStyle w:val="reflex3-alt"/>
          <w:rFonts w:cs="Times New Roman"/>
          <w:szCs w:val="24"/>
        </w:rPr>
        <w:t>.</w:t>
      </w:r>
      <w:r w:rsidRPr="00F2013C">
        <w:rPr>
          <w:rStyle w:val="reflex3-alt"/>
          <w:rFonts w:cs="Times New Roman"/>
          <w:szCs w:val="24"/>
        </w:rPr>
        <w:t>R</w:t>
      </w:r>
      <w:r>
        <w:rPr>
          <w:rStyle w:val="reflex3-alt"/>
          <w:rFonts w:cs="Times New Roman"/>
          <w:szCs w:val="24"/>
        </w:rPr>
        <w:t>.</w:t>
      </w:r>
      <w:r w:rsidRPr="00F2013C">
        <w:rPr>
          <w:rStyle w:val="reflex3-alt"/>
          <w:rFonts w:cs="Times New Roman"/>
          <w:szCs w:val="24"/>
        </w:rPr>
        <w:t xml:space="preserve"> 290</w:t>
      </w:r>
      <w:r w:rsidRPr="00F2013C">
        <w:rPr>
          <w:rFonts w:cs="Times New Roman"/>
        </w:rPr>
        <w:t xml:space="preserve">. </w:t>
      </w:r>
    </w:p>
    <w:p w:rsidR="008F2100" w:rsidRPr="00F2013C" w:rsidRDefault="008F2100" w:rsidP="009E04B1">
      <w:pPr>
        <w:pStyle w:val="Title2LevelTitre2Niveau"/>
        <w:widowControl w:val="0"/>
        <w:rPr>
          <w:rFonts w:cs="Times New Roman"/>
        </w:rPr>
      </w:pPr>
      <w:r>
        <w:rPr>
          <w:rFonts w:cs="Times New Roman"/>
        </w:rPr>
        <w:t>Trial Findings</w:t>
      </w:r>
    </w:p>
    <w:p w:rsidR="008F2100" w:rsidRPr="00F2013C" w:rsidRDefault="008F2100" w:rsidP="009E04B1">
      <w:pPr>
        <w:pStyle w:val="ParaNoNdepar-AltN"/>
        <w:widowControl w:val="0"/>
        <w:rPr>
          <w:rFonts w:eastAsia="PMingLiU" w:cs="Times New Roman"/>
        </w:rPr>
      </w:pPr>
      <w:r w:rsidRPr="00F2013C">
        <w:rPr>
          <w:rFonts w:eastAsia="PMingLiU" w:cs="Times New Roman"/>
        </w:rPr>
        <w:t xml:space="preserve">The trial judge noted that the Crown’s case depended on the circumstantial evidence provided by the technician, Mr. </w:t>
      </w:r>
      <w:proofErr w:type="spellStart"/>
      <w:r w:rsidRPr="00F2013C">
        <w:rPr>
          <w:rFonts w:eastAsia="PMingLiU" w:cs="Times New Roman"/>
        </w:rPr>
        <w:t>Sopczak</w:t>
      </w:r>
      <w:proofErr w:type="spellEnd"/>
      <w:r w:rsidRPr="00F2013C">
        <w:rPr>
          <w:rFonts w:eastAsia="PMingLiU" w:cs="Times New Roman"/>
        </w:rPr>
        <w:t xml:space="preserve">, and the forensic analyst, Mr. </w:t>
      </w:r>
      <w:proofErr w:type="spellStart"/>
      <w:r w:rsidRPr="00F2013C">
        <w:rPr>
          <w:rFonts w:eastAsia="PMingLiU" w:cs="Times New Roman"/>
        </w:rPr>
        <w:t>LaFontaine</w:t>
      </w:r>
      <w:proofErr w:type="spellEnd"/>
      <w:r w:rsidRPr="00F2013C">
        <w:rPr>
          <w:rFonts w:eastAsia="PMingLiU" w:cs="Times New Roman"/>
        </w:rPr>
        <w:t xml:space="preserve">. Asking himself whether the inferences drawn from the evidence satisfied him beyond a reasonable doubt that Mr. </w:t>
      </w:r>
      <w:proofErr w:type="spellStart"/>
      <w:r w:rsidRPr="00F2013C">
        <w:rPr>
          <w:rFonts w:eastAsia="PMingLiU" w:cs="Times New Roman"/>
        </w:rPr>
        <w:t>Villaroman</w:t>
      </w:r>
      <w:proofErr w:type="spellEnd"/>
      <w:r w:rsidRPr="00F2013C">
        <w:rPr>
          <w:rFonts w:eastAsia="PMingLiU" w:cs="Times New Roman"/>
        </w:rPr>
        <w:t xml:space="preserve"> had committed the offence</w:t>
      </w:r>
      <w:r>
        <w:rPr>
          <w:rFonts w:eastAsia="PMingLiU" w:cs="Times New Roman"/>
        </w:rPr>
        <w:t xml:space="preserve">: </w:t>
      </w:r>
      <w:r w:rsidRPr="00F2013C">
        <w:rPr>
          <w:rFonts w:eastAsia="PMingLiU" w:cs="Times New Roman"/>
        </w:rPr>
        <w:t xml:space="preserve">para. 43, citing </w:t>
      </w:r>
      <w:r w:rsidRPr="00F2013C">
        <w:rPr>
          <w:rFonts w:eastAsia="PMingLiU" w:cs="Times New Roman"/>
          <w:bCs/>
          <w:i/>
          <w:iCs/>
          <w:szCs w:val="24"/>
        </w:rPr>
        <w:t xml:space="preserve">R. v. </w:t>
      </w:r>
      <w:proofErr w:type="spellStart"/>
      <w:r w:rsidRPr="00F2013C">
        <w:rPr>
          <w:rFonts w:eastAsia="PMingLiU" w:cs="Times New Roman"/>
          <w:bCs/>
          <w:i/>
          <w:iCs/>
          <w:szCs w:val="24"/>
        </w:rPr>
        <w:t>Lifchus</w:t>
      </w:r>
      <w:proofErr w:type="spellEnd"/>
      <w:r w:rsidRPr="00F2013C">
        <w:rPr>
          <w:rFonts w:eastAsia="PMingLiU" w:cs="Times New Roman"/>
          <w:szCs w:val="24"/>
        </w:rPr>
        <w:t>, [1997] 3 S.C.R. 320</w:t>
      </w:r>
      <w:r w:rsidRPr="00F2013C">
        <w:rPr>
          <w:rFonts w:eastAsia="PMingLiU" w:cs="Times New Roman"/>
        </w:rPr>
        <w:t>, the trial</w:t>
      </w:r>
      <w:r>
        <w:rPr>
          <w:rFonts w:eastAsia="PMingLiU" w:cs="Times New Roman"/>
        </w:rPr>
        <w:t xml:space="preserve"> judge concluded that they did. </w:t>
      </w:r>
      <w:r w:rsidRPr="00F2013C">
        <w:rPr>
          <w:rFonts w:eastAsia="PMingLiU" w:cs="Times New Roman"/>
        </w:rPr>
        <w:t xml:space="preserve">He found that Mr. </w:t>
      </w:r>
      <w:proofErr w:type="spellStart"/>
      <w:r w:rsidRPr="00F2013C">
        <w:rPr>
          <w:rFonts w:eastAsia="PMingLiU" w:cs="Times New Roman"/>
        </w:rPr>
        <w:t>Villaroman</w:t>
      </w:r>
      <w:proofErr w:type="spellEnd"/>
      <w:r w:rsidRPr="00F2013C">
        <w:rPr>
          <w:rFonts w:eastAsia="PMingLiU" w:cs="Times New Roman"/>
        </w:rPr>
        <w:t xml:space="preserve"> “knew the nature of the material, had the intention to possess it, and had the necessary control over it”: para. 68. </w:t>
      </w:r>
    </w:p>
    <w:p w:rsidR="008F2100" w:rsidRPr="00F2013C" w:rsidRDefault="008F2100" w:rsidP="009E04B1">
      <w:pPr>
        <w:pStyle w:val="Title2LevelTitre2Niveau"/>
        <w:widowControl w:val="0"/>
        <w:rPr>
          <w:rFonts w:cs="Times New Roman"/>
        </w:rPr>
      </w:pPr>
      <w:r w:rsidRPr="00F2013C">
        <w:rPr>
          <w:rFonts w:cs="Times New Roman"/>
        </w:rPr>
        <w:t xml:space="preserve">Court of Appeal </w:t>
      </w:r>
      <w:r>
        <w:rPr>
          <w:rFonts w:cs="Times New Roman"/>
        </w:rPr>
        <w:t>Decision</w:t>
      </w:r>
    </w:p>
    <w:p w:rsidR="008F2100" w:rsidRPr="00F2013C" w:rsidRDefault="008F2100" w:rsidP="009E04B1">
      <w:pPr>
        <w:pStyle w:val="ParaNoNdepar-AltN"/>
        <w:widowControl w:val="0"/>
        <w:rPr>
          <w:rFonts w:cs="Times New Roman"/>
        </w:rPr>
      </w:pPr>
      <w:r w:rsidRPr="00F2013C">
        <w:rPr>
          <w:rFonts w:cs="Times New Roman"/>
        </w:rPr>
        <w:t>The Court of Appeal found that the trial judge had “misstated the current law” on weighing circumstantial evidence and that the verdict was unreasonable</w:t>
      </w:r>
      <w:r>
        <w:rPr>
          <w:rFonts w:cs="Times New Roman"/>
        </w:rPr>
        <w:t>: para. 20</w:t>
      </w:r>
      <w:r w:rsidRPr="00F2013C">
        <w:rPr>
          <w:rFonts w:cs="Times New Roman"/>
        </w:rPr>
        <w:t xml:space="preserve">. In the Court of Appeal’s opinion, there was not sufficient evidence to raise a case for the defence to answer: para. 38.  The conviction was set aside and an acquittal entered. </w:t>
      </w:r>
    </w:p>
    <w:p w:rsidR="008F2100" w:rsidRPr="00F2013C" w:rsidRDefault="008F2100" w:rsidP="009E04B1">
      <w:pPr>
        <w:pStyle w:val="Title1LevelTitre1Niveau-AltL"/>
        <w:widowControl w:val="0"/>
        <w:rPr>
          <w:rFonts w:cs="Times New Roman"/>
        </w:rPr>
      </w:pPr>
      <w:r w:rsidRPr="00F2013C">
        <w:rPr>
          <w:rFonts w:cs="Times New Roman"/>
        </w:rPr>
        <w:t>Analysis</w:t>
      </w:r>
    </w:p>
    <w:p w:rsidR="008F2100" w:rsidRPr="00F2013C" w:rsidRDefault="008F2100" w:rsidP="009E04B1">
      <w:pPr>
        <w:pStyle w:val="Title2LevelTitre2Niveau"/>
        <w:widowControl w:val="0"/>
        <w:rPr>
          <w:rFonts w:cs="Times New Roman"/>
        </w:rPr>
      </w:pPr>
      <w:r w:rsidRPr="00F2013C">
        <w:rPr>
          <w:rFonts w:cs="Times New Roman"/>
        </w:rPr>
        <w:t>First Questi</w:t>
      </w:r>
      <w:r>
        <w:rPr>
          <w:rFonts w:cs="Times New Roman"/>
        </w:rPr>
        <w:t>on: Did the Court of Appeal Err in Finding a Legal Error in the T</w:t>
      </w:r>
      <w:r w:rsidRPr="00F2013C">
        <w:rPr>
          <w:rFonts w:cs="Times New Roman"/>
        </w:rPr>
        <w:t xml:space="preserve">rial </w:t>
      </w:r>
      <w:r>
        <w:rPr>
          <w:rFonts w:cs="Times New Roman"/>
        </w:rPr>
        <w:t>Judge’s Analysis in Relation to the Circumstantial E</w:t>
      </w:r>
      <w:r w:rsidRPr="00F2013C">
        <w:rPr>
          <w:rFonts w:cs="Times New Roman"/>
        </w:rPr>
        <w:t>vidence?</w:t>
      </w:r>
    </w:p>
    <w:p w:rsidR="008F2100" w:rsidRPr="00F2013C" w:rsidRDefault="008F2100" w:rsidP="009E04B1">
      <w:pPr>
        <w:pStyle w:val="Title3LevelTitre3Niveau"/>
        <w:widowControl w:val="0"/>
        <w:rPr>
          <w:rFonts w:cs="Times New Roman"/>
        </w:rPr>
      </w:pPr>
      <w:r>
        <w:rPr>
          <w:rFonts w:cs="Times New Roman"/>
        </w:rPr>
        <w:lastRenderedPageBreak/>
        <w:t>The Alleged E</w:t>
      </w:r>
      <w:r w:rsidRPr="00F2013C">
        <w:rPr>
          <w:rFonts w:cs="Times New Roman"/>
        </w:rPr>
        <w:t>rrors</w:t>
      </w:r>
    </w:p>
    <w:p w:rsidR="008F2100" w:rsidRPr="00F2013C" w:rsidRDefault="008F2100" w:rsidP="009E04B1">
      <w:pPr>
        <w:pStyle w:val="ParaNoNdepar-AltN"/>
        <w:widowControl w:val="0"/>
        <w:rPr>
          <w:rFonts w:cs="Times New Roman"/>
        </w:rPr>
      </w:pPr>
      <w:r w:rsidRPr="00F2013C">
        <w:rPr>
          <w:rFonts w:cs="Times New Roman"/>
        </w:rPr>
        <w:t xml:space="preserve">At the core of the errors identified by the Court of Appeal, and elaborated upon by the respondent, is that the trial judge erred in his treatment of circumstantial evidence, a subject that dates back at least to </w:t>
      </w:r>
      <w:r w:rsidRPr="00F2013C">
        <w:rPr>
          <w:rFonts w:cs="Times New Roman"/>
          <w:i/>
        </w:rPr>
        <w:t>Hodge’s Case</w:t>
      </w:r>
      <w:r w:rsidRPr="00F2013C">
        <w:rPr>
          <w:rFonts w:cs="Times New Roman"/>
        </w:rPr>
        <w:t xml:space="preserve"> (1838)</w:t>
      </w:r>
      <w:r>
        <w:rPr>
          <w:rFonts w:cs="Times New Roman"/>
        </w:rPr>
        <w:t>, 2 Lewin 227,</w:t>
      </w:r>
      <w:r w:rsidRPr="00F2013C">
        <w:rPr>
          <w:rFonts w:cs="Times New Roman"/>
        </w:rPr>
        <w:t xml:space="preserve"> 168 E.R. 1136.  That case contains a jury instruction about how the jury should assess circumstantial evidence of identity. The jury was told that in order to convict, they must be satisfied not only that the circumstantial evidence was consistent with guilt but rationally inconsistent with any other conclusion than guilt. The nub of the issue in this case is whether the trial judge erred by requiring that </w:t>
      </w:r>
      <w:r>
        <w:rPr>
          <w:rFonts w:cs="Times New Roman"/>
        </w:rPr>
        <w:t>“</w:t>
      </w:r>
      <w:r w:rsidRPr="00F2013C">
        <w:rPr>
          <w:rFonts w:cs="Times New Roman"/>
        </w:rPr>
        <w:t>any other conclusion than guilt</w:t>
      </w:r>
      <w:r>
        <w:rPr>
          <w:rFonts w:cs="Times New Roman"/>
        </w:rPr>
        <w:t>”</w:t>
      </w:r>
      <w:r w:rsidRPr="00F2013C">
        <w:rPr>
          <w:rFonts w:cs="Times New Roman"/>
        </w:rPr>
        <w:t xml:space="preserve"> be based on the evidence. </w:t>
      </w:r>
    </w:p>
    <w:p w:rsidR="008F2100" w:rsidRPr="00F2013C" w:rsidRDefault="008F2100" w:rsidP="009E04B1">
      <w:pPr>
        <w:pStyle w:val="ParaNoNdepar-AltN"/>
        <w:widowControl w:val="0"/>
        <w:rPr>
          <w:rFonts w:cs="Times New Roman"/>
        </w:rPr>
      </w:pPr>
      <w:r w:rsidRPr="00F2013C">
        <w:rPr>
          <w:rFonts w:cs="Times New Roman"/>
        </w:rPr>
        <w:t xml:space="preserve">The Court of Appeal, as I read its reasons, found that the trial judge erred by requiring that an inference or hypothesis supporting a conclusion other than guilt be based on evidence rather than upon a lack of evidence: para. 10.  The respondent (as he is entitled to do in seeking to uphold the Court of Appeal’s order), relies on what he claims are additional errors made at trial: that the trial judge relied on inapplicable sources; erroneously analyzed the requirement of proof beyond reasonable doubt; and wrongly reversed the burden of proof. But at the core of all of these alleged errors is the point taken by the Court of Appeal: that the trial judge was wrong to exclude from consideration innocent explanations which had no foundation in the evidence. </w:t>
      </w:r>
    </w:p>
    <w:p w:rsidR="008F2100" w:rsidRPr="00F2013C" w:rsidRDefault="008F2100" w:rsidP="009E04B1">
      <w:pPr>
        <w:pStyle w:val="ParaNoNdepar-AltN"/>
        <w:widowControl w:val="0"/>
        <w:rPr>
          <w:rFonts w:cs="Times New Roman"/>
        </w:rPr>
      </w:pPr>
      <w:r w:rsidRPr="00F2013C">
        <w:rPr>
          <w:rFonts w:cs="Times New Roman"/>
        </w:rPr>
        <w:t xml:space="preserve">Before turning to a more detailed analysis, it is important to remember that a trial judge’s reasons for judgment should not be “read or analyzed as if they were an </w:t>
      </w:r>
      <w:r w:rsidRPr="00F2013C">
        <w:rPr>
          <w:rFonts w:cs="Times New Roman"/>
        </w:rPr>
        <w:lastRenderedPageBreak/>
        <w:t xml:space="preserve">instruction to a jury”: </w:t>
      </w:r>
      <w:r w:rsidRPr="00F2013C">
        <w:rPr>
          <w:rFonts w:cs="Times New Roman"/>
          <w:i/>
        </w:rPr>
        <w:t>R. v. Morrissey</w:t>
      </w:r>
      <w:r w:rsidRPr="00F2013C">
        <w:rPr>
          <w:rFonts w:cs="Times New Roman"/>
        </w:rPr>
        <w:t xml:space="preserve"> (1995),</w:t>
      </w:r>
      <w:r>
        <w:rPr>
          <w:rFonts w:cs="Times New Roman"/>
        </w:rPr>
        <w:t xml:space="preserve"> 22 O.R. (3d) 514</w:t>
      </w:r>
      <w:r w:rsidR="00C65B25">
        <w:rPr>
          <w:rFonts w:cs="Times New Roman"/>
        </w:rPr>
        <w:t xml:space="preserve"> (C.A.)</w:t>
      </w:r>
      <w:r>
        <w:rPr>
          <w:rFonts w:cs="Times New Roman"/>
        </w:rPr>
        <w:t>, at p. 525</w:t>
      </w:r>
      <w:r w:rsidRPr="00F2013C">
        <w:rPr>
          <w:rFonts w:cs="Times New Roman"/>
        </w:rPr>
        <w:t>. Rather, the reasons must be “read as a whole, in the context of the evidence, the issues and the arg</w:t>
      </w:r>
      <w:r>
        <w:rPr>
          <w:rFonts w:cs="Times New Roman"/>
        </w:rPr>
        <w:t>uments at trial, together with ‘</w:t>
      </w:r>
      <w:r w:rsidRPr="00F2013C">
        <w:rPr>
          <w:rFonts w:cs="Times New Roman"/>
        </w:rPr>
        <w:t>an appreciation of the purpose</w:t>
      </w:r>
      <w:r>
        <w:rPr>
          <w:rFonts w:cs="Times New Roman"/>
        </w:rPr>
        <w:t>s or</w:t>
      </w:r>
      <w:r w:rsidRPr="00F2013C">
        <w:rPr>
          <w:rFonts w:cs="Times New Roman"/>
        </w:rPr>
        <w:t xml:space="preserve"> functions for which they are delivered</w:t>
      </w:r>
      <w:r>
        <w:rPr>
          <w:rFonts w:cs="Times New Roman"/>
        </w:rPr>
        <w:t>’</w:t>
      </w:r>
      <w:r w:rsidRPr="00F2013C">
        <w:rPr>
          <w:rFonts w:cs="Times New Roman"/>
        </w:rPr>
        <w:t xml:space="preserve">”: </w:t>
      </w:r>
      <w:r w:rsidRPr="00F2013C">
        <w:rPr>
          <w:rFonts w:cs="Times New Roman"/>
          <w:i/>
        </w:rPr>
        <w:t>R</w:t>
      </w:r>
      <w:r>
        <w:rPr>
          <w:rFonts w:cs="Times New Roman"/>
          <w:i/>
        </w:rPr>
        <w:t>.</w:t>
      </w:r>
      <w:r w:rsidRPr="00F2013C">
        <w:rPr>
          <w:rFonts w:cs="Times New Roman"/>
          <w:i/>
        </w:rPr>
        <w:t xml:space="preserve"> v. </w:t>
      </w:r>
      <w:proofErr w:type="spellStart"/>
      <w:r w:rsidRPr="00F2013C">
        <w:rPr>
          <w:rFonts w:cs="Times New Roman"/>
          <w:i/>
        </w:rPr>
        <w:t>Laboucan</w:t>
      </w:r>
      <w:proofErr w:type="spellEnd"/>
      <w:r w:rsidRPr="00F2013C">
        <w:rPr>
          <w:rFonts w:cs="Times New Roman"/>
        </w:rPr>
        <w:t xml:space="preserve">, </w:t>
      </w:r>
      <w:r>
        <w:rPr>
          <w:rFonts w:cs="Times New Roman"/>
        </w:rPr>
        <w:t xml:space="preserve">2010 SCC 12, </w:t>
      </w:r>
      <w:r w:rsidRPr="00F2013C">
        <w:rPr>
          <w:rFonts w:cs="Times New Roman"/>
        </w:rPr>
        <w:t>[2010] 1 S.C.R. 397</w:t>
      </w:r>
      <w:r>
        <w:rPr>
          <w:rFonts w:cs="Times New Roman"/>
        </w:rPr>
        <w:t>,</w:t>
      </w:r>
      <w:r w:rsidRPr="00F2013C">
        <w:rPr>
          <w:rFonts w:cs="Times New Roman"/>
        </w:rPr>
        <w:t xml:space="preserve"> at para. 16, citing </w:t>
      </w:r>
      <w:r w:rsidRPr="00F2013C">
        <w:rPr>
          <w:rFonts w:cs="Times New Roman"/>
          <w:i/>
        </w:rPr>
        <w:t>R</w:t>
      </w:r>
      <w:r>
        <w:rPr>
          <w:rFonts w:cs="Times New Roman"/>
          <w:i/>
        </w:rPr>
        <w:t>.</w:t>
      </w:r>
      <w:r w:rsidRPr="00F2013C">
        <w:rPr>
          <w:rFonts w:cs="Times New Roman"/>
          <w:i/>
        </w:rPr>
        <w:t xml:space="preserve"> v. R.E.M</w:t>
      </w:r>
      <w:r>
        <w:rPr>
          <w:rFonts w:cs="Times New Roman"/>
          <w:i/>
        </w:rPr>
        <w:t>.</w:t>
      </w:r>
      <w:r w:rsidR="00986C90">
        <w:rPr>
          <w:rFonts w:cs="Times New Roman"/>
        </w:rPr>
        <w:t>,</w:t>
      </w:r>
      <w:r w:rsidRPr="004D1FCA">
        <w:rPr>
          <w:rFonts w:cs="Times New Roman"/>
        </w:rPr>
        <w:t xml:space="preserve"> </w:t>
      </w:r>
      <w:r w:rsidRPr="00F2013C">
        <w:rPr>
          <w:rFonts w:cs="Times New Roman"/>
        </w:rPr>
        <w:t>2008 SCC 51, [2008] 3 S.C.R. 3</w:t>
      </w:r>
      <w:r>
        <w:rPr>
          <w:rFonts w:cs="Times New Roman"/>
        </w:rPr>
        <w:t>,</w:t>
      </w:r>
      <w:r w:rsidRPr="00F2013C">
        <w:rPr>
          <w:rFonts w:cs="Times New Roman"/>
        </w:rPr>
        <w:t xml:space="preserve"> at para. 16; see also </w:t>
      </w:r>
      <w:r w:rsidRPr="00F2013C">
        <w:rPr>
          <w:rFonts w:cs="Times New Roman"/>
          <w:i/>
        </w:rPr>
        <w:t>R</w:t>
      </w:r>
      <w:r>
        <w:rPr>
          <w:rFonts w:cs="Times New Roman"/>
          <w:i/>
        </w:rPr>
        <w:t>.</w:t>
      </w:r>
      <w:r w:rsidRPr="00F2013C">
        <w:rPr>
          <w:rFonts w:cs="Times New Roman"/>
          <w:i/>
        </w:rPr>
        <w:t xml:space="preserve"> v. C.L.Y.</w:t>
      </w:r>
      <w:r w:rsidRPr="00986C90">
        <w:rPr>
          <w:rFonts w:cs="Times New Roman"/>
        </w:rPr>
        <w:t>,</w:t>
      </w:r>
      <w:r w:rsidRPr="00F2013C">
        <w:rPr>
          <w:rFonts w:cs="Times New Roman"/>
        </w:rPr>
        <w:t xml:space="preserve"> 2008 SCC 2, [2008] 1 S.C.R. 5</w:t>
      </w:r>
      <w:r>
        <w:rPr>
          <w:rFonts w:cs="Times New Roman"/>
        </w:rPr>
        <w:t>,</w:t>
      </w:r>
      <w:r w:rsidRPr="00F2013C">
        <w:rPr>
          <w:rFonts w:cs="Times New Roman"/>
        </w:rPr>
        <w:t xml:space="preserve"> at para. 11.</w:t>
      </w:r>
    </w:p>
    <w:p w:rsidR="008F2100" w:rsidRPr="00F2013C" w:rsidRDefault="008F2100" w:rsidP="009E04B1">
      <w:pPr>
        <w:pStyle w:val="Title3LevelTitre3Niveau"/>
        <w:widowControl w:val="0"/>
        <w:rPr>
          <w:rFonts w:cs="Times New Roman"/>
          <w:u w:val="none"/>
        </w:rPr>
      </w:pPr>
      <w:r>
        <w:rPr>
          <w:rFonts w:cs="Times New Roman"/>
        </w:rPr>
        <w:t>Did the Trial Judge E</w:t>
      </w:r>
      <w:r w:rsidRPr="00F2013C">
        <w:rPr>
          <w:rFonts w:cs="Times New Roman"/>
        </w:rPr>
        <w:t xml:space="preserve">rr </w:t>
      </w:r>
      <w:r>
        <w:rPr>
          <w:rFonts w:cs="Times New Roman"/>
        </w:rPr>
        <w:t xml:space="preserve">by Requiring Innocent Explanations to be </w:t>
      </w:r>
      <w:proofErr w:type="gramStart"/>
      <w:r>
        <w:rPr>
          <w:rFonts w:cs="Times New Roman"/>
        </w:rPr>
        <w:t>Based</w:t>
      </w:r>
      <w:proofErr w:type="gramEnd"/>
      <w:r>
        <w:rPr>
          <w:rFonts w:cs="Times New Roman"/>
        </w:rPr>
        <w:t xml:space="preserve"> on the E</w:t>
      </w:r>
      <w:r w:rsidRPr="00F2013C">
        <w:rPr>
          <w:rFonts w:cs="Times New Roman"/>
        </w:rPr>
        <w:t>vidence</w:t>
      </w:r>
      <w:r w:rsidRPr="00A61602">
        <w:rPr>
          <w:rFonts w:cs="Times New Roman"/>
        </w:rPr>
        <w:t>?</w:t>
      </w:r>
    </w:p>
    <w:p w:rsidR="008F2100" w:rsidRPr="00F2013C" w:rsidRDefault="008F2100" w:rsidP="009E04B1">
      <w:pPr>
        <w:pStyle w:val="ParaNoNdepar-AltN"/>
        <w:widowControl w:val="0"/>
        <w:rPr>
          <w:rFonts w:cs="Times New Roman"/>
        </w:rPr>
      </w:pPr>
      <w:r w:rsidRPr="00F2013C">
        <w:rPr>
          <w:rFonts w:cs="Times New Roman"/>
        </w:rPr>
        <w:t xml:space="preserve">The Court of Appeal’s concern with the trial judgment arises from some ongoing difficulties caused by the old rule in </w:t>
      </w:r>
      <w:r w:rsidRPr="00F2013C">
        <w:rPr>
          <w:rFonts w:cs="Times New Roman"/>
          <w:i/>
        </w:rPr>
        <w:t>Hodge’s Case</w:t>
      </w:r>
      <w:r w:rsidRPr="00F2013C">
        <w:rPr>
          <w:rFonts w:cs="Times New Roman"/>
        </w:rPr>
        <w:t xml:space="preserve">. While that case was not mentioned by name, the principle that it enunciated cast a long shadow over the judgments at trial and on appeal. I will turn first to some of the troublesome aspects of the jurisprudence flowing from </w:t>
      </w:r>
      <w:r w:rsidRPr="00F2013C">
        <w:rPr>
          <w:rFonts w:cs="Times New Roman"/>
          <w:i/>
        </w:rPr>
        <w:t>Hodge’s Case</w:t>
      </w:r>
      <w:r w:rsidRPr="00F2013C">
        <w:rPr>
          <w:rFonts w:cs="Times New Roman"/>
        </w:rPr>
        <w:t xml:space="preserve"> and then return to the errors of law the trial judge is alleged to have committed.</w:t>
      </w:r>
    </w:p>
    <w:p w:rsidR="008F2100" w:rsidRPr="00F2013C" w:rsidRDefault="008F2100" w:rsidP="009E04B1">
      <w:pPr>
        <w:pStyle w:val="Title4LevelTitre4Niveau"/>
        <w:widowControl w:val="0"/>
        <w:rPr>
          <w:rFonts w:cs="Times New Roman"/>
        </w:rPr>
      </w:pPr>
      <w:r>
        <w:rPr>
          <w:rFonts w:cs="Times New Roman"/>
        </w:rPr>
        <w:t>The Current Status of the “Rule” in Hodge’s C</w:t>
      </w:r>
      <w:r w:rsidRPr="00F2013C">
        <w:rPr>
          <w:rFonts w:cs="Times New Roman"/>
        </w:rPr>
        <w:t>ase</w:t>
      </w:r>
    </w:p>
    <w:p w:rsidR="008F2100" w:rsidRPr="00F2013C" w:rsidRDefault="008F2100" w:rsidP="009E04B1">
      <w:pPr>
        <w:pStyle w:val="ParaNoNdepar-AltN"/>
        <w:widowControl w:val="0"/>
        <w:rPr>
          <w:rFonts w:cs="Times New Roman"/>
        </w:rPr>
      </w:pPr>
      <w:r w:rsidRPr="00F2013C">
        <w:rPr>
          <w:rFonts w:cs="Times New Roman"/>
        </w:rPr>
        <w:t xml:space="preserve">In </w:t>
      </w:r>
      <w:r w:rsidRPr="00F2013C">
        <w:rPr>
          <w:rFonts w:cs="Times New Roman"/>
          <w:i/>
        </w:rPr>
        <w:t>Hodge’s Case</w:t>
      </w:r>
      <w:r w:rsidRPr="00A61602">
        <w:rPr>
          <w:rFonts w:cs="Times New Roman"/>
        </w:rPr>
        <w:t>,</w:t>
      </w:r>
      <w:r w:rsidRPr="00F2013C">
        <w:rPr>
          <w:rFonts w:cs="Times New Roman"/>
          <w:i/>
        </w:rPr>
        <w:t xml:space="preserve"> </w:t>
      </w:r>
      <w:r w:rsidRPr="00F2013C">
        <w:rPr>
          <w:rFonts w:cs="Times New Roman"/>
        </w:rPr>
        <w:t>the evidence of identification was made up entirely of circumstantial evidence: p</w:t>
      </w:r>
      <w:r>
        <w:rPr>
          <w:rFonts w:cs="Times New Roman"/>
        </w:rPr>
        <w:t>.</w:t>
      </w:r>
      <w:r w:rsidRPr="00F2013C">
        <w:rPr>
          <w:rFonts w:cs="Times New Roman"/>
        </w:rPr>
        <w:t xml:space="preserve"> 1137.  Baron Alderson, the trial judge, instructed the jury that in order to convict, they must be satisfied “not only that those circumstances were consistent with [the accused] having committed the act, but they must also be satisfied that the facts were such as to be inconsistent with </w:t>
      </w:r>
      <w:r>
        <w:rPr>
          <w:rFonts w:cs="Times New Roman"/>
        </w:rPr>
        <w:t>any other rational conclusion than</w:t>
      </w:r>
      <w:r w:rsidRPr="00F2013C">
        <w:rPr>
          <w:rFonts w:cs="Times New Roman"/>
        </w:rPr>
        <w:t xml:space="preserve"> that the </w:t>
      </w:r>
      <w:r>
        <w:rPr>
          <w:rFonts w:cs="Times New Roman"/>
        </w:rPr>
        <w:t xml:space="preserve">[accused] </w:t>
      </w:r>
      <w:r w:rsidRPr="00F2013C">
        <w:rPr>
          <w:rFonts w:cs="Times New Roman"/>
        </w:rPr>
        <w:t>was the guilty person”: p</w:t>
      </w:r>
      <w:r>
        <w:rPr>
          <w:rFonts w:cs="Times New Roman"/>
        </w:rPr>
        <w:t>.</w:t>
      </w:r>
      <w:r w:rsidRPr="00F2013C">
        <w:rPr>
          <w:rFonts w:cs="Times New Roman"/>
        </w:rPr>
        <w:t xml:space="preserve"> 1137.  This sort of jury instruction came </w:t>
      </w:r>
      <w:r w:rsidRPr="00F2013C">
        <w:rPr>
          <w:rFonts w:cs="Times New Roman"/>
        </w:rPr>
        <w:lastRenderedPageBreak/>
        <w:t xml:space="preserve">to be required in circumstantial cases: see, </w:t>
      </w:r>
      <w:r>
        <w:rPr>
          <w:rFonts w:cs="Times New Roman"/>
        </w:rPr>
        <w:t>e.g.,</w:t>
      </w:r>
      <w:r w:rsidRPr="00F2013C">
        <w:rPr>
          <w:rFonts w:cs="Times New Roman"/>
        </w:rPr>
        <w:t xml:space="preserve"> </w:t>
      </w:r>
      <w:r w:rsidRPr="00F2013C">
        <w:rPr>
          <w:rFonts w:cs="Times New Roman"/>
          <w:i/>
        </w:rPr>
        <w:t>McLean v</w:t>
      </w:r>
      <w:r>
        <w:rPr>
          <w:rFonts w:cs="Times New Roman"/>
          <w:i/>
        </w:rPr>
        <w:t>.</w:t>
      </w:r>
      <w:r w:rsidRPr="00F2013C">
        <w:rPr>
          <w:rFonts w:cs="Times New Roman"/>
          <w:i/>
        </w:rPr>
        <w:t xml:space="preserve"> The King</w:t>
      </w:r>
      <w:r w:rsidRPr="00A61602">
        <w:rPr>
          <w:rFonts w:cs="Times New Roman"/>
        </w:rPr>
        <w:t>,</w:t>
      </w:r>
      <w:r w:rsidRPr="00F2013C">
        <w:rPr>
          <w:rFonts w:cs="Times New Roman"/>
          <w:i/>
        </w:rPr>
        <w:t xml:space="preserve"> </w:t>
      </w:r>
      <w:r w:rsidRPr="00F2013C">
        <w:rPr>
          <w:rFonts w:cs="Times New Roman"/>
        </w:rPr>
        <w:t>[1933] S</w:t>
      </w:r>
      <w:r>
        <w:rPr>
          <w:rFonts w:cs="Times New Roman"/>
        </w:rPr>
        <w:t>.</w:t>
      </w:r>
      <w:r w:rsidRPr="00F2013C">
        <w:rPr>
          <w:rFonts w:cs="Times New Roman"/>
        </w:rPr>
        <w:t>C</w:t>
      </w:r>
      <w:r>
        <w:rPr>
          <w:rFonts w:cs="Times New Roman"/>
        </w:rPr>
        <w:t>.</w:t>
      </w:r>
      <w:r w:rsidRPr="00F2013C">
        <w:rPr>
          <w:rFonts w:cs="Times New Roman"/>
        </w:rPr>
        <w:t>R</w:t>
      </w:r>
      <w:r>
        <w:rPr>
          <w:rFonts w:cs="Times New Roman"/>
        </w:rPr>
        <w:t>.</w:t>
      </w:r>
      <w:r w:rsidRPr="00F2013C">
        <w:rPr>
          <w:rFonts w:cs="Times New Roman"/>
        </w:rPr>
        <w:t xml:space="preserve"> 688.</w:t>
      </w:r>
    </w:p>
    <w:p w:rsidR="008F2100" w:rsidRPr="00F2013C" w:rsidRDefault="008F2100" w:rsidP="009E04B1">
      <w:pPr>
        <w:pStyle w:val="ParaNoNdepar-AltN"/>
        <w:widowControl w:val="0"/>
        <w:rPr>
          <w:rFonts w:cs="Times New Roman"/>
        </w:rPr>
      </w:pPr>
      <w:r w:rsidRPr="00F2013C">
        <w:rPr>
          <w:rFonts w:cs="Times New Roman"/>
        </w:rPr>
        <w:t>Over time, this requirement was relaxed: see</w:t>
      </w:r>
      <w:r>
        <w:rPr>
          <w:rFonts w:cs="Times New Roman"/>
        </w:rPr>
        <w:t>,</w:t>
      </w:r>
      <w:r w:rsidRPr="00F2013C">
        <w:rPr>
          <w:rFonts w:cs="Times New Roman"/>
        </w:rPr>
        <w:t xml:space="preserve"> e.g.</w:t>
      </w:r>
      <w:r>
        <w:rPr>
          <w:rFonts w:cs="Times New Roman"/>
        </w:rPr>
        <w:t>,</w:t>
      </w:r>
      <w:r w:rsidRPr="00F2013C">
        <w:rPr>
          <w:rFonts w:cs="Times New Roman"/>
        </w:rPr>
        <w:t xml:space="preserve"> </w:t>
      </w:r>
      <w:r w:rsidRPr="00F2013C">
        <w:rPr>
          <w:rFonts w:cs="Times New Roman"/>
          <w:i/>
        </w:rPr>
        <w:t>R. v. Mitchell</w:t>
      </w:r>
      <w:r w:rsidRPr="00F2013C">
        <w:rPr>
          <w:rFonts w:cs="Times New Roman"/>
        </w:rPr>
        <w:t>, [1964] S</w:t>
      </w:r>
      <w:r>
        <w:rPr>
          <w:rFonts w:cs="Times New Roman"/>
        </w:rPr>
        <w:t>.</w:t>
      </w:r>
      <w:r w:rsidRPr="00F2013C">
        <w:rPr>
          <w:rFonts w:cs="Times New Roman"/>
        </w:rPr>
        <w:t>C</w:t>
      </w:r>
      <w:r>
        <w:rPr>
          <w:rFonts w:cs="Times New Roman"/>
        </w:rPr>
        <w:t>.</w:t>
      </w:r>
      <w:r w:rsidRPr="00F2013C">
        <w:rPr>
          <w:rFonts w:cs="Times New Roman"/>
        </w:rPr>
        <w:t>R</w:t>
      </w:r>
      <w:r>
        <w:rPr>
          <w:rFonts w:cs="Times New Roman"/>
        </w:rPr>
        <w:t>.</w:t>
      </w:r>
      <w:r w:rsidRPr="00F2013C">
        <w:rPr>
          <w:rFonts w:cs="Times New Roman"/>
        </w:rPr>
        <w:t xml:space="preserve"> 471; </w:t>
      </w:r>
      <w:r w:rsidRPr="00F2013C">
        <w:rPr>
          <w:rFonts w:cs="Times New Roman"/>
          <w:i/>
        </w:rPr>
        <w:t>R. v. Cooper</w:t>
      </w:r>
      <w:r w:rsidRPr="00F2013C">
        <w:rPr>
          <w:rFonts w:cs="Times New Roman"/>
        </w:rPr>
        <w:t xml:space="preserve">, [1978] 1 S.C.R. 860.  It is now settled that no particular form of instruction to the jury is required where the evidence on one or more elements of the offence is entirely or primarily circumstantial.  As Charron J. writing for a majority of the Court put it in </w:t>
      </w:r>
      <w:r w:rsidRPr="00F2013C">
        <w:rPr>
          <w:rStyle w:val="italic1"/>
        </w:rPr>
        <w:t>R. v. Griffin</w:t>
      </w:r>
      <w:r w:rsidRPr="00F2013C">
        <w:rPr>
          <w:rFonts w:cs="Times New Roman"/>
        </w:rPr>
        <w:t>,</w:t>
      </w:r>
      <w:r>
        <w:rPr>
          <w:rFonts w:cs="Times New Roman"/>
        </w:rPr>
        <w:t xml:space="preserve"> 2009 SCC 28,</w:t>
      </w:r>
      <w:r w:rsidRPr="00F2013C">
        <w:rPr>
          <w:rFonts w:cs="Times New Roman"/>
        </w:rPr>
        <w:t xml:space="preserve"> [2009] 2 S.C.R. 42</w:t>
      </w:r>
      <w:r>
        <w:rPr>
          <w:rFonts w:cs="Times New Roman"/>
        </w:rPr>
        <w:t>,</w:t>
      </w:r>
      <w:r w:rsidRPr="00F2013C">
        <w:rPr>
          <w:rFonts w:cs="Times New Roman"/>
        </w:rPr>
        <w:t xml:space="preserve"> at para. 33:</w:t>
      </w:r>
    </w:p>
    <w:p w:rsidR="008F2100" w:rsidRPr="00F2013C" w:rsidRDefault="008F2100" w:rsidP="009E04B1">
      <w:pPr>
        <w:pStyle w:val="Citation-AltC"/>
        <w:widowControl w:val="0"/>
        <w:ind w:firstLine="274"/>
      </w:pPr>
      <w:r w:rsidRPr="00F2013C">
        <w:rPr>
          <w:u w:val="single"/>
        </w:rPr>
        <w:t>We have long departed from any legal requirement for a “special instruction” on circumstan</w:t>
      </w:r>
      <w:r>
        <w:rPr>
          <w:u w:val="single"/>
        </w:rPr>
        <w:t>tial evidence, even where the issue</w:t>
      </w:r>
      <w:r w:rsidRPr="00F2013C">
        <w:rPr>
          <w:u w:val="single"/>
        </w:rPr>
        <w:t xml:space="preserve"> is one of identification</w:t>
      </w:r>
      <w:r w:rsidRPr="00F2013C">
        <w:t xml:space="preserve">: </w:t>
      </w:r>
      <w:r w:rsidRPr="00F2013C">
        <w:rPr>
          <w:i/>
        </w:rPr>
        <w:t>R. v. Cooper</w:t>
      </w:r>
      <w:r w:rsidRPr="00F2013C">
        <w:t xml:space="preserve">, [1978] 1 S.C.R. 860. </w:t>
      </w:r>
      <w:r w:rsidRPr="00F2013C">
        <w:rPr>
          <w:u w:val="single"/>
        </w:rPr>
        <w:t>The essential component of an instruction on circumstantial evidence is to instill in the jury that in order to convict, they must be satisfied beyond a reasonable doubt that the only rational inference</w:t>
      </w:r>
      <w:r>
        <w:rPr>
          <w:u w:val="single"/>
        </w:rPr>
        <w:t xml:space="preserve"> that can be drawn from the circumstantial evidence</w:t>
      </w:r>
      <w:r w:rsidRPr="00F2013C">
        <w:rPr>
          <w:u w:val="single"/>
        </w:rPr>
        <w:t xml:space="preserve"> is that the accused is guilty.</w:t>
      </w:r>
      <w:r w:rsidRPr="00F2013C">
        <w:t xml:space="preserve"> Imparting the necessary message to the jury may be achieved in different ways: </w:t>
      </w:r>
      <w:r w:rsidRPr="00F2013C">
        <w:rPr>
          <w:rStyle w:val="italic1"/>
        </w:rPr>
        <w:t>R. v. Fleet</w:t>
      </w:r>
      <w:r w:rsidRPr="00F2013C">
        <w:t xml:space="preserve"> (1997), 120 C.C.C. (3d) 457 (Ont. C.A.), at para. 20. See also </w:t>
      </w:r>
      <w:r w:rsidRPr="00F2013C">
        <w:rPr>
          <w:rStyle w:val="italic1"/>
        </w:rPr>
        <w:t xml:space="preserve">R. v. </w:t>
      </w:r>
      <w:proofErr w:type="spellStart"/>
      <w:r w:rsidRPr="00F2013C">
        <w:rPr>
          <w:rStyle w:val="italic1"/>
        </w:rPr>
        <w:t>Guiboche</w:t>
      </w:r>
      <w:proofErr w:type="spellEnd"/>
      <w:r w:rsidRPr="00F2013C">
        <w:t xml:space="preserve">, 2004 MBCA 16, 183 C.C.C. (3d) 361, at paras. </w:t>
      </w:r>
      <w:r w:rsidRPr="00F2013C">
        <w:rPr>
          <w:lang w:val="fr-CA"/>
        </w:rPr>
        <w:t xml:space="preserve">108-10; </w:t>
      </w:r>
      <w:r w:rsidRPr="00F2013C">
        <w:rPr>
          <w:rStyle w:val="italic1"/>
          <w:lang w:val="fr-CA"/>
        </w:rPr>
        <w:t xml:space="preserve">R. v. </w:t>
      </w:r>
      <w:proofErr w:type="spellStart"/>
      <w:r w:rsidRPr="00F2013C">
        <w:rPr>
          <w:rStyle w:val="italic1"/>
          <w:lang w:val="fr-CA"/>
        </w:rPr>
        <w:t>Tombran</w:t>
      </w:r>
      <w:proofErr w:type="spellEnd"/>
      <w:r w:rsidRPr="00F2013C">
        <w:rPr>
          <w:lang w:val="fr-CA"/>
        </w:rPr>
        <w:t xml:space="preserve"> (2000), 142 C.C.C. (3d) 380 (Ont. C.A.), at para. </w:t>
      </w:r>
      <w:r w:rsidRPr="00F2013C">
        <w:t>29. [Emphasis added</w:t>
      </w:r>
      <w:r>
        <w:t>.</w:t>
      </w:r>
      <w:r w:rsidRPr="00F2013C">
        <w:t>]</w:t>
      </w:r>
    </w:p>
    <w:p w:rsidR="008F2100" w:rsidRPr="00F2013C" w:rsidRDefault="008F2100" w:rsidP="009E04B1">
      <w:pPr>
        <w:pStyle w:val="Citation-AltC"/>
        <w:widowControl w:val="0"/>
      </w:pPr>
    </w:p>
    <w:p w:rsidR="008F2100" w:rsidRPr="00F2013C" w:rsidRDefault="008F2100" w:rsidP="009E04B1">
      <w:pPr>
        <w:pStyle w:val="ParaNoNdepar-AltN"/>
        <w:widowControl w:val="0"/>
        <w:rPr>
          <w:rFonts w:cs="Times New Roman"/>
        </w:rPr>
      </w:pPr>
      <w:r w:rsidRPr="00F2013C">
        <w:rPr>
          <w:rFonts w:cs="Times New Roman"/>
        </w:rPr>
        <w:t xml:space="preserve">There may be some tension between the first and the second sentence of this passage from </w:t>
      </w:r>
      <w:r w:rsidRPr="00F2013C">
        <w:rPr>
          <w:rFonts w:cs="Times New Roman"/>
          <w:i/>
        </w:rPr>
        <w:t>Griffin</w:t>
      </w:r>
      <w:r>
        <w:rPr>
          <w:rFonts w:cs="Times New Roman"/>
        </w:rPr>
        <w:t>: see, e.g., L.</w:t>
      </w:r>
      <w:r w:rsidRPr="00F2013C">
        <w:rPr>
          <w:rFonts w:cs="Times New Roman"/>
        </w:rPr>
        <w:t xml:space="preserve"> </w:t>
      </w:r>
      <w:proofErr w:type="spellStart"/>
      <w:r w:rsidRPr="00F2013C">
        <w:rPr>
          <w:rFonts w:cs="Times New Roman"/>
        </w:rPr>
        <w:t>Dufraimont</w:t>
      </w:r>
      <w:proofErr w:type="spellEnd"/>
      <w:r w:rsidRPr="00F2013C">
        <w:rPr>
          <w:rFonts w:cs="Times New Roman"/>
        </w:rPr>
        <w:t>, “</w:t>
      </w:r>
      <w:r w:rsidRPr="00F2013C">
        <w:rPr>
          <w:rFonts w:cs="Times New Roman"/>
          <w:i/>
        </w:rPr>
        <w:t>R. v. Griffin</w:t>
      </w:r>
      <w:r w:rsidRPr="00F2013C">
        <w:rPr>
          <w:rFonts w:cs="Times New Roman"/>
        </w:rPr>
        <w:t xml:space="preserve"> and the Legacy of </w:t>
      </w:r>
      <w:r w:rsidRPr="00F2013C">
        <w:rPr>
          <w:rFonts w:cs="Times New Roman"/>
          <w:i/>
        </w:rPr>
        <w:t>Hodge’s Case</w:t>
      </w:r>
      <w:r>
        <w:rPr>
          <w:rFonts w:cs="Times New Roman"/>
        </w:rPr>
        <w:t>” (2009), 67 C.R. (6th</w:t>
      </w:r>
      <w:r w:rsidRPr="00F2013C">
        <w:rPr>
          <w:rFonts w:cs="Times New Roman"/>
        </w:rPr>
        <w:t xml:space="preserve">) 74. While the first sentence states that there is no required special instruction, the second sentence makes it an “essential component” of a jury instruction to ensure that the jury understands that they must be persuaded beyond reasonable doubt that the only rational inference is guilt. However, the cases cited with approval by Charron J. in this passage and our subsequent decision in </w:t>
      </w:r>
      <w:r w:rsidRPr="00F2013C">
        <w:rPr>
          <w:rFonts w:cs="Times New Roman"/>
          <w:i/>
        </w:rPr>
        <w:t xml:space="preserve">R. v. </w:t>
      </w:r>
      <w:proofErr w:type="spellStart"/>
      <w:r w:rsidRPr="00F2013C">
        <w:rPr>
          <w:rFonts w:cs="Times New Roman"/>
          <w:i/>
        </w:rPr>
        <w:t>Mayuran</w:t>
      </w:r>
      <w:proofErr w:type="spellEnd"/>
      <w:r w:rsidRPr="00F2013C">
        <w:rPr>
          <w:rFonts w:cs="Times New Roman"/>
        </w:rPr>
        <w:t xml:space="preserve">, </w:t>
      </w:r>
      <w:r>
        <w:rPr>
          <w:rFonts w:cs="Times New Roman"/>
        </w:rPr>
        <w:t xml:space="preserve">2012 SCC 31, </w:t>
      </w:r>
      <w:r w:rsidRPr="00F2013C">
        <w:rPr>
          <w:rFonts w:cs="Times New Roman"/>
        </w:rPr>
        <w:t>[2012] 2 S.C.R.</w:t>
      </w:r>
      <w:r>
        <w:rPr>
          <w:rFonts w:cs="Times New Roman"/>
        </w:rPr>
        <w:t xml:space="preserve"> </w:t>
      </w:r>
      <w:r w:rsidRPr="00F2013C">
        <w:rPr>
          <w:rFonts w:cs="Times New Roman"/>
        </w:rPr>
        <w:t>162</w:t>
      </w:r>
      <w:r>
        <w:rPr>
          <w:rFonts w:cs="Times New Roman"/>
        </w:rPr>
        <w:t>,</w:t>
      </w:r>
      <w:r w:rsidRPr="00F2013C">
        <w:rPr>
          <w:rFonts w:cs="Times New Roman"/>
        </w:rPr>
        <w:t xml:space="preserve"> at para. 38</w:t>
      </w:r>
      <w:r>
        <w:rPr>
          <w:rFonts w:cs="Times New Roman"/>
        </w:rPr>
        <w:t>,</w:t>
      </w:r>
      <w:r w:rsidRPr="00F2013C">
        <w:rPr>
          <w:rFonts w:cs="Times New Roman"/>
        </w:rPr>
        <w:t xml:space="preserve"> clear up any doubt about </w:t>
      </w:r>
      <w:r w:rsidRPr="00F2013C">
        <w:rPr>
          <w:rFonts w:cs="Times New Roman"/>
        </w:rPr>
        <w:lastRenderedPageBreak/>
        <w:t>what was intended.</w:t>
      </w:r>
    </w:p>
    <w:p w:rsidR="008F2100" w:rsidRPr="00F2013C" w:rsidRDefault="008F2100" w:rsidP="009E04B1">
      <w:pPr>
        <w:pStyle w:val="ParaNoNdepar-AltN"/>
        <w:widowControl w:val="0"/>
        <w:rPr>
          <w:rFonts w:cs="Times New Roman"/>
        </w:rPr>
      </w:pPr>
      <w:r w:rsidRPr="00F2013C">
        <w:rPr>
          <w:rFonts w:cs="Times New Roman"/>
        </w:rPr>
        <w:t xml:space="preserve">In the above passage, Charron J. cited with approval </w:t>
      </w:r>
      <w:r w:rsidRPr="00F2013C">
        <w:rPr>
          <w:rFonts w:cs="Times New Roman"/>
          <w:i/>
        </w:rPr>
        <w:t>R. v. Fleet</w:t>
      </w:r>
      <w:r w:rsidRPr="00F2013C">
        <w:rPr>
          <w:rFonts w:cs="Times New Roman"/>
        </w:rPr>
        <w:t xml:space="preserve"> (1997), 120 C.C.C. (3d) 457 (Ont. C.A.)</w:t>
      </w:r>
      <w:r>
        <w:rPr>
          <w:rFonts w:cs="Times New Roman"/>
        </w:rPr>
        <w:t>,</w:t>
      </w:r>
      <w:r w:rsidRPr="00F2013C">
        <w:rPr>
          <w:rFonts w:cs="Times New Roman"/>
        </w:rPr>
        <w:t xml:space="preserve"> at para. 20. It is worth quoting that paragraph at length as in my view it makes Charron J.’s meaning clear:</w:t>
      </w:r>
    </w:p>
    <w:p w:rsidR="008F2100" w:rsidRPr="00F2013C" w:rsidRDefault="008F2100" w:rsidP="009E04B1">
      <w:pPr>
        <w:pStyle w:val="Citation-AltC"/>
        <w:widowControl w:val="0"/>
      </w:pPr>
      <w:r w:rsidRPr="00F2013C">
        <w:t xml:space="preserve">It will be recalled that, in </w:t>
      </w:r>
      <w:r w:rsidRPr="00F2013C">
        <w:rPr>
          <w:i/>
        </w:rPr>
        <w:t>Cooper</w:t>
      </w:r>
      <w:r w:rsidRPr="00A61602">
        <w:t>,</w:t>
      </w:r>
      <w:r w:rsidRPr="00F2013C">
        <w:t xml:space="preserve"> Ritchie J. specifically rejected the necessity for any formula of words to be used in a case of circumstantial evidence of identity. In our view, he can hardly have intended to reject the mandatory recitation of one formula only to substitute another in its place. We read the object of both judgments in</w:t>
      </w:r>
      <w:r w:rsidRPr="00F2013C">
        <w:rPr>
          <w:i/>
        </w:rPr>
        <w:t xml:space="preserve"> Cooper</w:t>
      </w:r>
      <w:r w:rsidRPr="00F2013C">
        <w:t xml:space="preserve"> to be the eradication of any formulaic approach to such cases so long as the jury is clearly made aware of the necessity to find the guilt of the accused to be established beyond a reasonable doubt. This object may be achieved in more ways than one. Thus, the trial judge, reviewing the evidence and setting out the position of the defence and relating the substantial parts of the evidence to that position, may frame the requisite instruction in the manner he or she considers most appropriate in the circumstances, for example, by:</w:t>
      </w:r>
    </w:p>
    <w:p w:rsidR="008F2100" w:rsidRPr="00F2013C" w:rsidRDefault="008F2100" w:rsidP="009E04B1">
      <w:pPr>
        <w:pStyle w:val="Citation-AltC"/>
        <w:widowControl w:val="0"/>
      </w:pPr>
    </w:p>
    <w:p w:rsidR="008F2100" w:rsidRDefault="008F2100" w:rsidP="009E04B1">
      <w:pPr>
        <w:pStyle w:val="Citation-AltC"/>
        <w:widowControl w:val="0"/>
        <w:numPr>
          <w:ilvl w:val="4"/>
          <w:numId w:val="6"/>
        </w:numPr>
      </w:pPr>
      <w:r w:rsidRPr="00F2013C">
        <w:t>charging the jury in accordance with the traditional language of proof beyond a reasonable doubt (</w:t>
      </w:r>
      <w:r w:rsidRPr="00A61602">
        <w:rPr>
          <w:i/>
        </w:rPr>
        <w:t>per</w:t>
      </w:r>
      <w:r w:rsidRPr="00F2013C">
        <w:t xml:space="preserve"> </w:t>
      </w:r>
      <w:proofErr w:type="spellStart"/>
      <w:r w:rsidRPr="00F2013C">
        <w:t>Laskin</w:t>
      </w:r>
      <w:proofErr w:type="spellEnd"/>
      <w:r w:rsidRPr="00F2013C">
        <w:t xml:space="preserve"> C.J.C. in </w:t>
      </w:r>
      <w:r w:rsidRPr="00F2013C">
        <w:rPr>
          <w:i/>
        </w:rPr>
        <w:t>Cooper</w:t>
      </w:r>
      <w:r w:rsidRPr="00F2013C">
        <w:t>);</w:t>
      </w:r>
    </w:p>
    <w:p w:rsidR="008F2100" w:rsidRPr="00F2013C" w:rsidRDefault="008F2100" w:rsidP="009E04B1">
      <w:pPr>
        <w:pStyle w:val="Citation-AltC"/>
        <w:widowControl w:val="0"/>
        <w:ind w:left="1800"/>
      </w:pPr>
    </w:p>
    <w:p w:rsidR="008F2100" w:rsidRDefault="008F2100" w:rsidP="009E04B1">
      <w:pPr>
        <w:pStyle w:val="Citation-AltC"/>
        <w:widowControl w:val="0"/>
        <w:numPr>
          <w:ilvl w:val="4"/>
          <w:numId w:val="6"/>
        </w:numPr>
      </w:pPr>
      <w:r w:rsidRPr="00F2013C">
        <w:t xml:space="preserve">charging the jury in accordance with that language and pointing out to the jury the other inferences that the defence says should be drawn from the evidence and the necessity to acquit the accused if any of those inferences raises a reasonable doubt (as the trial judge did in </w:t>
      </w:r>
      <w:r w:rsidRPr="00A61602">
        <w:rPr>
          <w:i/>
        </w:rPr>
        <w:t>Cooper</w:t>
      </w:r>
      <w:r w:rsidRPr="00F2013C">
        <w:t xml:space="preserve"> in the final portion of his recharge); or</w:t>
      </w:r>
    </w:p>
    <w:p w:rsidR="008F2100" w:rsidRPr="00F2013C" w:rsidRDefault="008F2100" w:rsidP="009E04B1">
      <w:pPr>
        <w:pStyle w:val="Citation-AltC"/>
        <w:widowControl w:val="0"/>
        <w:ind w:left="1800"/>
      </w:pPr>
    </w:p>
    <w:p w:rsidR="008F2100" w:rsidRPr="00F2013C" w:rsidRDefault="008F2100" w:rsidP="009E04B1">
      <w:pPr>
        <w:pStyle w:val="Citation-AltC"/>
        <w:widowControl w:val="0"/>
        <w:numPr>
          <w:ilvl w:val="4"/>
          <w:numId w:val="6"/>
        </w:numPr>
      </w:pPr>
      <w:proofErr w:type="gramStart"/>
      <w:r w:rsidRPr="00F2013C">
        <w:t>charging</w:t>
      </w:r>
      <w:proofErr w:type="gramEnd"/>
      <w:r w:rsidRPr="00F2013C">
        <w:t xml:space="preserve"> the jury that it must be satisfied beyond a reasonable doubt that the guilt of the accused is the only reasonable inference to be drawn from the proven facts (</w:t>
      </w:r>
      <w:r w:rsidRPr="00A61602">
        <w:rPr>
          <w:i/>
        </w:rPr>
        <w:t>per</w:t>
      </w:r>
      <w:r w:rsidRPr="00F2013C">
        <w:t xml:space="preserve"> Ritchie J. in </w:t>
      </w:r>
      <w:r w:rsidRPr="00F2013C">
        <w:rPr>
          <w:i/>
        </w:rPr>
        <w:t>Cooper</w:t>
      </w:r>
      <w:r w:rsidRPr="00F2013C">
        <w:t xml:space="preserve"> and </w:t>
      </w:r>
      <w:proofErr w:type="spellStart"/>
      <w:r w:rsidRPr="00F2013C">
        <w:t>Dubin</w:t>
      </w:r>
      <w:proofErr w:type="spellEnd"/>
      <w:r w:rsidRPr="00F2013C">
        <w:t xml:space="preserve"> J.A. in </w:t>
      </w:r>
      <w:proofErr w:type="spellStart"/>
      <w:r w:rsidRPr="00F2013C">
        <w:rPr>
          <w:i/>
        </w:rPr>
        <w:t>Elmosri</w:t>
      </w:r>
      <w:proofErr w:type="spellEnd"/>
      <w:r w:rsidRPr="00F2013C">
        <w:t>).</w:t>
      </w:r>
    </w:p>
    <w:p w:rsidR="008F2100" w:rsidRPr="00F2013C" w:rsidRDefault="008F2100" w:rsidP="009E04B1">
      <w:pPr>
        <w:pStyle w:val="ParaNoNdepar-AltN"/>
        <w:widowControl w:val="0"/>
        <w:rPr>
          <w:rFonts w:cs="Times New Roman"/>
        </w:rPr>
      </w:pPr>
      <w:r w:rsidRPr="00F2013C">
        <w:rPr>
          <w:rFonts w:cs="Times New Roman"/>
        </w:rPr>
        <w:t xml:space="preserve">Charron J. also cited with approval </w:t>
      </w:r>
      <w:r w:rsidRPr="00F2013C">
        <w:rPr>
          <w:rFonts w:cs="Times New Roman"/>
          <w:i/>
        </w:rPr>
        <w:t xml:space="preserve">R. v. </w:t>
      </w:r>
      <w:proofErr w:type="spellStart"/>
      <w:r w:rsidRPr="00F2013C">
        <w:rPr>
          <w:rFonts w:cs="Times New Roman"/>
          <w:i/>
        </w:rPr>
        <w:t>Tombran</w:t>
      </w:r>
      <w:proofErr w:type="spellEnd"/>
      <w:r>
        <w:rPr>
          <w:rFonts w:cs="Times New Roman"/>
        </w:rPr>
        <w:t xml:space="preserve"> (2000</w:t>
      </w:r>
      <w:r w:rsidRPr="00F2013C">
        <w:rPr>
          <w:rFonts w:cs="Times New Roman"/>
        </w:rPr>
        <w:t>), 142 C.C.C. (3d) 380 (O</w:t>
      </w:r>
      <w:r>
        <w:rPr>
          <w:rFonts w:cs="Times New Roman"/>
        </w:rPr>
        <w:t>nt. C.A.</w:t>
      </w:r>
      <w:r w:rsidRPr="00F2013C">
        <w:rPr>
          <w:rFonts w:cs="Times New Roman"/>
        </w:rPr>
        <w:t>), (a decision in which she participated as a member of the Ontario Court of Appeal)</w:t>
      </w:r>
      <w:r>
        <w:rPr>
          <w:rFonts w:cs="Times New Roman"/>
        </w:rPr>
        <w:t>,</w:t>
      </w:r>
      <w:r w:rsidRPr="00F2013C">
        <w:rPr>
          <w:rFonts w:cs="Times New Roman"/>
        </w:rPr>
        <w:t xml:space="preserve"> at para. 29. Once again, it is worth quoting that paragraph:</w:t>
      </w:r>
    </w:p>
    <w:p w:rsidR="008F2100" w:rsidRPr="00F2013C" w:rsidRDefault="008F2100" w:rsidP="009E04B1">
      <w:pPr>
        <w:pStyle w:val="Citation-AltC"/>
        <w:widowControl w:val="0"/>
      </w:pPr>
      <w:r w:rsidRPr="00F2013C">
        <w:lastRenderedPageBreak/>
        <w:t xml:space="preserve">The modern approach to the problem of circumstantial evidence, enunciated clearly in </w:t>
      </w:r>
      <w:r w:rsidRPr="00F2013C">
        <w:rPr>
          <w:i/>
        </w:rPr>
        <w:t>Cooper</w:t>
      </w:r>
      <w:r w:rsidRPr="00A61602">
        <w:t xml:space="preserve">, </w:t>
      </w:r>
      <w:r w:rsidRPr="00F2013C">
        <w:rPr>
          <w:i/>
        </w:rPr>
        <w:t>supra</w:t>
      </w:r>
      <w:r w:rsidRPr="00A61602">
        <w:t xml:space="preserve">, </w:t>
      </w:r>
      <w:r w:rsidRPr="00F2013C">
        <w:t xml:space="preserve">and reiterated and reinforced by </w:t>
      </w:r>
      <w:r w:rsidRPr="00F2013C">
        <w:rPr>
          <w:i/>
        </w:rPr>
        <w:t>Fleet</w:t>
      </w:r>
      <w:r w:rsidRPr="00A61602">
        <w:t xml:space="preserve">, </w:t>
      </w:r>
      <w:r w:rsidRPr="00A61602">
        <w:rPr>
          <w:i/>
        </w:rPr>
        <w:t>supra</w:t>
      </w:r>
      <w:r w:rsidRPr="00F2013C">
        <w:t>, is to reject a formulaic approach and to deal with all the evidence in terms of the general principles of reasonable doubt. Trial judges are given a degree of latitude to formulate the appropriate instruction as befits the circumstances of the case. Trial judges are not required to adopt any specific language or wording, provided the charge conveys to the jury in a clear fashion the central point, namely, the necessity to find the guilt of the accused beyond a reasonable doubt. In particular, trial judges are not required to deliver to the jury a general, abstract lecture on the nature of circumstantial evidence or on the steps of logic to be followed in assessing circumstantial as distinct from direct evidence. An academic exercise along those lines may well confuse rather than assist the jury. Trial judges are entitled to conclude that the essential message of the need to establish guilt beyond a reasonable doubt can be better conveyed in other ways.</w:t>
      </w:r>
    </w:p>
    <w:p w:rsidR="008F2100" w:rsidRPr="00F2013C" w:rsidRDefault="008F2100" w:rsidP="009E04B1">
      <w:pPr>
        <w:pStyle w:val="ParaNoNdepar-AltN"/>
        <w:widowControl w:val="0"/>
        <w:rPr>
          <w:rFonts w:cs="Times New Roman"/>
        </w:rPr>
      </w:pPr>
      <w:r w:rsidRPr="00F2013C">
        <w:rPr>
          <w:rFonts w:cs="Times New Roman"/>
        </w:rPr>
        <w:t xml:space="preserve">These paragraphs, quoted with approval in </w:t>
      </w:r>
      <w:r w:rsidRPr="00F2013C">
        <w:rPr>
          <w:rFonts w:cs="Times New Roman"/>
          <w:i/>
        </w:rPr>
        <w:t>Griffin</w:t>
      </w:r>
      <w:r w:rsidRPr="00F2013C">
        <w:rPr>
          <w:rFonts w:cs="Times New Roman"/>
        </w:rPr>
        <w:t xml:space="preserve">, are consistent with what Charron J. conveyed in her reasons. This reading of the judgment is confirmed by our subsequent decision in </w:t>
      </w:r>
      <w:proofErr w:type="spellStart"/>
      <w:r w:rsidRPr="00F2013C">
        <w:rPr>
          <w:rFonts w:cs="Times New Roman"/>
          <w:i/>
        </w:rPr>
        <w:t>Mayuran</w:t>
      </w:r>
      <w:proofErr w:type="spellEnd"/>
      <w:r>
        <w:rPr>
          <w:rFonts w:cs="Times New Roman"/>
        </w:rPr>
        <w:t xml:space="preserve"> </w:t>
      </w:r>
      <w:r w:rsidRPr="00F2013C">
        <w:rPr>
          <w:rFonts w:cs="Times New Roman"/>
        </w:rPr>
        <w:t xml:space="preserve">in which the Court reiterated the statement from </w:t>
      </w:r>
      <w:r w:rsidRPr="00F2013C">
        <w:rPr>
          <w:rFonts w:cs="Times New Roman"/>
          <w:i/>
        </w:rPr>
        <w:t>Griffin</w:t>
      </w:r>
      <w:r w:rsidRPr="00F2013C">
        <w:rPr>
          <w:rFonts w:cs="Times New Roman"/>
        </w:rPr>
        <w:t xml:space="preserve"> that “</w:t>
      </w:r>
      <w:r>
        <w:rPr>
          <w:rFonts w:cs="Times New Roman"/>
        </w:rPr>
        <w:t>[</w:t>
      </w:r>
      <w:r w:rsidRPr="00F2013C">
        <w:rPr>
          <w:rFonts w:cs="Times New Roman"/>
        </w:rPr>
        <w:t>w</w:t>
      </w:r>
      <w:r>
        <w:rPr>
          <w:rFonts w:cs="Times New Roman"/>
        </w:rPr>
        <w:t>]</w:t>
      </w:r>
      <w:r w:rsidRPr="00F2013C">
        <w:rPr>
          <w:rFonts w:cs="Times New Roman"/>
        </w:rPr>
        <w:t>e have long departed from any legal requirement for a ‘special instruction’ on circumstantial evidence”: per Abella J., writing for a unanimous Court</w:t>
      </w:r>
      <w:r>
        <w:rPr>
          <w:rFonts w:cs="Times New Roman"/>
        </w:rPr>
        <w:t>, at para. 38</w:t>
      </w:r>
      <w:r w:rsidRPr="00F2013C">
        <w:rPr>
          <w:rFonts w:cs="Times New Roman"/>
        </w:rPr>
        <w:t>. There is therefore no particular form of mandatory instruction. However, where proof of one or more elements of the offence depends solely or largely on circumstantial evidence, it may be helpful for the jury to receive instructions that will assist them to understand the nature of circumstantial evidence and the relationship between proof by circumstantial evidence and the requirement of proof beyond reasonable doubt. I will touch briefly on both of these aspects.</w:t>
      </w:r>
    </w:p>
    <w:p w:rsidR="008F2100" w:rsidRPr="00F2013C" w:rsidRDefault="008F2100" w:rsidP="009E04B1">
      <w:pPr>
        <w:pStyle w:val="Title5LevelTitre5Niveau"/>
        <w:widowControl w:val="0"/>
        <w:tabs>
          <w:tab w:val="clear" w:pos="1728"/>
          <w:tab w:val="num" w:pos="1170"/>
        </w:tabs>
        <w:ind w:left="1170" w:hanging="720"/>
        <w:rPr>
          <w:rFonts w:cs="Times New Roman"/>
        </w:rPr>
      </w:pPr>
      <w:r>
        <w:rPr>
          <w:rFonts w:cs="Times New Roman"/>
        </w:rPr>
        <w:t>An E</w:t>
      </w:r>
      <w:r w:rsidRPr="00F2013C">
        <w:rPr>
          <w:rFonts w:cs="Times New Roman"/>
        </w:rPr>
        <w:t xml:space="preserve">xplanation of the </w:t>
      </w:r>
      <w:r>
        <w:rPr>
          <w:rFonts w:cs="Times New Roman"/>
        </w:rPr>
        <w:t>Difference Between Direct and Circumstantial E</w:t>
      </w:r>
      <w:r w:rsidRPr="00F2013C">
        <w:rPr>
          <w:rFonts w:cs="Times New Roman"/>
        </w:rPr>
        <w:t>vidence</w:t>
      </w:r>
    </w:p>
    <w:p w:rsidR="008F2100" w:rsidRPr="00F2013C" w:rsidRDefault="008F2100" w:rsidP="009E04B1">
      <w:pPr>
        <w:pStyle w:val="ParaNoNdepar-AltN"/>
        <w:widowControl w:val="0"/>
        <w:rPr>
          <w:rFonts w:cs="Times New Roman"/>
        </w:rPr>
      </w:pPr>
      <w:r w:rsidRPr="00F2013C">
        <w:rPr>
          <w:rFonts w:cs="Times New Roman"/>
        </w:rPr>
        <w:t xml:space="preserve">An explanation of the difference between direct and circumstantial </w:t>
      </w:r>
      <w:r w:rsidRPr="00F2013C">
        <w:rPr>
          <w:rFonts w:cs="Times New Roman"/>
        </w:rPr>
        <w:lastRenderedPageBreak/>
        <w:t xml:space="preserve">evidence is included in most criminal jury charges and rarely causes difficulty.  One example of how this distinction may be conveyed to a jury is found in s. 10.2 of the </w:t>
      </w:r>
      <w:r w:rsidRPr="00F33821">
        <w:rPr>
          <w:rFonts w:cs="Times New Roman"/>
          <w:i/>
        </w:rPr>
        <w:t>Model Jury Instructions</w:t>
      </w:r>
      <w:r w:rsidRPr="00F2013C">
        <w:rPr>
          <w:rFonts w:cs="Times New Roman"/>
        </w:rPr>
        <w:t xml:space="preserve"> </w:t>
      </w:r>
      <w:r w:rsidR="00C65B25">
        <w:rPr>
          <w:rFonts w:cs="Times New Roman"/>
        </w:rPr>
        <w:t xml:space="preserve">(online) </w:t>
      </w:r>
      <w:r w:rsidRPr="00F2013C">
        <w:rPr>
          <w:rFonts w:cs="Times New Roman"/>
        </w:rPr>
        <w:t>prepared by the National Committee on Jury Instructions of the Canadian Judicial Council:</w:t>
      </w:r>
    </w:p>
    <w:p w:rsidR="008F2100" w:rsidRPr="00F2013C" w:rsidRDefault="008F2100" w:rsidP="009E04B1">
      <w:pPr>
        <w:widowControl w:val="0"/>
        <w:spacing w:before="240" w:after="240" w:line="280" w:lineRule="exact"/>
        <w:ind w:left="1170" w:hanging="348"/>
        <w:jc w:val="both"/>
        <w:outlineLvl w:val="3"/>
        <w:rPr>
          <w:rFonts w:eastAsia="Calibri"/>
          <w:lang w:val="en-GB" w:eastAsia="en-US"/>
        </w:rPr>
      </w:pPr>
      <w:bookmarkStart w:id="1" w:name="_Toc393575725"/>
      <w:r w:rsidRPr="00F2013C">
        <w:rPr>
          <w:rFonts w:eastAsia="Calibri"/>
          <w:lang w:val="en-GB" w:eastAsia="en-US"/>
        </w:rPr>
        <w:t xml:space="preserve">[1] </w:t>
      </w:r>
      <w:r w:rsidRPr="00F2013C">
        <w:t>As I explained at the beginning of the trial, you may rely on direct evidence and on circumstantial evidence in reaching your verdict. Let me remind you what these terms mean.</w:t>
      </w:r>
    </w:p>
    <w:p w:rsidR="008F2100" w:rsidRPr="00F2013C" w:rsidRDefault="008F2100" w:rsidP="009E04B1">
      <w:pPr>
        <w:widowControl w:val="0"/>
        <w:spacing w:before="240" w:after="240" w:line="280" w:lineRule="exact"/>
        <w:ind w:left="1170" w:hanging="348"/>
        <w:jc w:val="both"/>
        <w:outlineLvl w:val="3"/>
        <w:rPr>
          <w:rFonts w:eastAsia="Calibri"/>
          <w:lang w:val="en-GB" w:eastAsia="en-US"/>
        </w:rPr>
      </w:pPr>
      <w:r w:rsidRPr="00F2013C">
        <w:rPr>
          <w:rFonts w:eastAsia="Calibri"/>
          <w:lang w:val="en-GB" w:eastAsia="en-US"/>
        </w:rPr>
        <w:t>[2] Usually, witnesses tell us what they personally saw or heard. For example, a witness might say that he or she saw it raining outside. That is called direct evidence</w:t>
      </w:r>
      <w:r w:rsidRPr="00F2013C">
        <w:rPr>
          <w:rFonts w:eastAsia="Calibri"/>
          <w:i/>
          <w:iCs/>
          <w:lang w:val="en-GB" w:eastAsia="en-US"/>
        </w:rPr>
        <w:t>.</w:t>
      </w:r>
    </w:p>
    <w:p w:rsidR="008F2100" w:rsidRPr="00F2013C" w:rsidRDefault="008F2100" w:rsidP="009E04B1">
      <w:pPr>
        <w:widowControl w:val="0"/>
        <w:spacing w:before="240" w:after="240" w:line="280" w:lineRule="exact"/>
        <w:ind w:left="1170" w:hanging="348"/>
        <w:jc w:val="both"/>
        <w:outlineLvl w:val="3"/>
        <w:rPr>
          <w:rFonts w:eastAsia="Calibri"/>
          <w:lang w:val="en-GB" w:eastAsia="en-US"/>
        </w:rPr>
      </w:pPr>
      <w:r w:rsidRPr="00F2013C">
        <w:rPr>
          <w:rFonts w:eastAsia="Calibri"/>
          <w:lang w:val="en-GB" w:eastAsia="en-US"/>
        </w:rPr>
        <w:t>[3] Sometimes, however, witnesses say things from which you are asked to draw certain inferences. For example, a witness might say that he or she had seen someone enter the courthouse lobby wearing a raincoat and carrying an umbrella, both dripping wet. If you believed that witness, you might infer that it was raining outside, even though the evidence was indirect. Indirect evidence is sometimes called circumstantial evidence.</w:t>
      </w:r>
      <w:bookmarkEnd w:id="1"/>
    </w:p>
    <w:p w:rsidR="008F2100" w:rsidRPr="00F2013C" w:rsidRDefault="008F2100" w:rsidP="009E04B1">
      <w:pPr>
        <w:pStyle w:val="ParaNoNdepar-AltN"/>
        <w:widowControl w:val="0"/>
        <w:rPr>
          <w:rFonts w:cs="Times New Roman"/>
        </w:rPr>
      </w:pPr>
      <w:r w:rsidRPr="00F2013C">
        <w:rPr>
          <w:rFonts w:cs="Times New Roman"/>
          <w:lang w:val="en-GB"/>
        </w:rPr>
        <w:t>While there is no particular required form of explanation, something along these lines will usually be helpful when one or more elements of the Crown’s case depends solely or mainly on circumstantial evidence.</w:t>
      </w:r>
    </w:p>
    <w:p w:rsidR="008F2100" w:rsidRPr="00F2013C" w:rsidRDefault="008F2100" w:rsidP="009E04B1">
      <w:pPr>
        <w:pStyle w:val="Title5LevelTitre5Niveau"/>
        <w:widowControl w:val="0"/>
        <w:tabs>
          <w:tab w:val="clear" w:pos="1728"/>
          <w:tab w:val="num" w:pos="1170"/>
        </w:tabs>
        <w:ind w:left="1170" w:hanging="630"/>
        <w:rPr>
          <w:rFonts w:cs="Times New Roman"/>
        </w:rPr>
      </w:pPr>
      <w:r w:rsidRPr="00F2013C">
        <w:rPr>
          <w:rFonts w:cs="Times New Roman"/>
        </w:rPr>
        <w:t xml:space="preserve">The </w:t>
      </w:r>
      <w:r>
        <w:rPr>
          <w:rFonts w:cs="Times New Roman"/>
        </w:rPr>
        <w:t>Relationship Between Circumstantial Evidence and Proof Beyond Reasonable D</w:t>
      </w:r>
      <w:r w:rsidRPr="00F2013C">
        <w:rPr>
          <w:rFonts w:cs="Times New Roman"/>
        </w:rPr>
        <w:t>oubt</w:t>
      </w:r>
    </w:p>
    <w:p w:rsidR="008F2100" w:rsidRPr="00F2013C" w:rsidRDefault="008F2100" w:rsidP="009E04B1">
      <w:pPr>
        <w:pStyle w:val="ParaNoNdepar-AltN"/>
        <w:widowControl w:val="0"/>
        <w:rPr>
          <w:rFonts w:cs="Times New Roman"/>
        </w:rPr>
      </w:pPr>
      <w:r w:rsidRPr="00F2013C">
        <w:rPr>
          <w:rFonts w:cs="Times New Roman"/>
        </w:rPr>
        <w:t xml:space="preserve">The Court has generally described the rule in </w:t>
      </w:r>
      <w:r w:rsidRPr="00F2013C">
        <w:rPr>
          <w:rFonts w:cs="Times New Roman"/>
          <w:i/>
        </w:rPr>
        <w:t xml:space="preserve">Hodge’s Case </w:t>
      </w:r>
      <w:r w:rsidRPr="00F2013C">
        <w:rPr>
          <w:rFonts w:cs="Times New Roman"/>
        </w:rPr>
        <w:t xml:space="preserve">as an elaboration of the reasonable doubt standard: </w:t>
      </w:r>
      <w:r w:rsidRPr="00F2013C">
        <w:rPr>
          <w:rFonts w:cs="Times New Roman"/>
          <w:i/>
        </w:rPr>
        <w:t>Mitchell</w:t>
      </w:r>
      <w:r w:rsidRPr="00F2013C">
        <w:rPr>
          <w:rFonts w:cs="Times New Roman"/>
        </w:rPr>
        <w:t>;</w:t>
      </w:r>
      <w:r w:rsidRPr="00F2013C">
        <w:rPr>
          <w:rFonts w:cs="Times New Roman"/>
          <w:i/>
        </w:rPr>
        <w:t xml:space="preserve"> John v. The Queen</w:t>
      </w:r>
      <w:r w:rsidRPr="00F2013C">
        <w:rPr>
          <w:rFonts w:cs="Times New Roman"/>
        </w:rPr>
        <w:t>, [1971] S.C.R. 781</w:t>
      </w:r>
      <w:r>
        <w:rPr>
          <w:rFonts w:cs="Times New Roman"/>
        </w:rPr>
        <w:t>,</w:t>
      </w:r>
      <w:r w:rsidRPr="00F2013C">
        <w:rPr>
          <w:rFonts w:cs="Times New Roman"/>
        </w:rPr>
        <w:t xml:space="preserve"> per Ritchie J</w:t>
      </w:r>
      <w:r>
        <w:rPr>
          <w:rFonts w:cs="Times New Roman"/>
        </w:rPr>
        <w:t>.,</w:t>
      </w:r>
      <w:r w:rsidRPr="00F2013C">
        <w:rPr>
          <w:rFonts w:cs="Times New Roman"/>
        </w:rPr>
        <w:t xml:space="preserve"> at</w:t>
      </w:r>
      <w:r>
        <w:rPr>
          <w:rFonts w:cs="Times New Roman"/>
        </w:rPr>
        <w:t xml:space="preserve"> pp. 791-92</w:t>
      </w:r>
      <w:r w:rsidRPr="00F2013C">
        <w:rPr>
          <w:rFonts w:cs="Times New Roman"/>
        </w:rPr>
        <w:t xml:space="preserve">; </w:t>
      </w:r>
      <w:r w:rsidRPr="00F2013C">
        <w:rPr>
          <w:rFonts w:cs="Times New Roman"/>
          <w:i/>
        </w:rPr>
        <w:t>Cooper</w:t>
      </w:r>
      <w:r w:rsidRPr="00F2013C">
        <w:rPr>
          <w:rFonts w:cs="Times New Roman"/>
        </w:rPr>
        <w:t xml:space="preserve">; </w:t>
      </w:r>
      <w:r w:rsidRPr="00F2013C">
        <w:rPr>
          <w:rFonts w:cs="Times New Roman"/>
          <w:i/>
        </w:rPr>
        <w:t>Mezzo v. The Queen</w:t>
      </w:r>
      <w:r w:rsidRPr="00F2013C">
        <w:rPr>
          <w:rFonts w:cs="Times New Roman"/>
        </w:rPr>
        <w:t>, [1986] 1 S.C.R. 802</w:t>
      </w:r>
      <w:r>
        <w:rPr>
          <w:rFonts w:cs="Times New Roman"/>
        </w:rPr>
        <w:t>,</w:t>
      </w:r>
      <w:r w:rsidRPr="00F2013C">
        <w:rPr>
          <w:rFonts w:cs="Times New Roman"/>
        </w:rPr>
        <w:t xml:space="preserve"> at</w:t>
      </w:r>
      <w:r>
        <w:rPr>
          <w:rFonts w:cs="Times New Roman"/>
        </w:rPr>
        <w:t xml:space="preserve"> p.</w:t>
      </w:r>
      <w:r w:rsidRPr="00F2013C">
        <w:rPr>
          <w:rFonts w:cs="Times New Roman"/>
        </w:rPr>
        <w:t xml:space="preserve"> 843. If that is all that </w:t>
      </w:r>
      <w:r w:rsidRPr="00F2013C">
        <w:rPr>
          <w:rFonts w:cs="Times New Roman"/>
          <w:i/>
        </w:rPr>
        <w:t>Hodge’s Case</w:t>
      </w:r>
      <w:r w:rsidRPr="00F2013C">
        <w:rPr>
          <w:rFonts w:cs="Times New Roman"/>
        </w:rPr>
        <w:t xml:space="preserve"> was concerned with, then any special instruction relating to circumstantial evidence could be seen as an unnecessary and </w:t>
      </w:r>
      <w:r w:rsidRPr="00F2013C">
        <w:rPr>
          <w:rFonts w:cs="Times New Roman"/>
        </w:rPr>
        <w:lastRenderedPageBreak/>
        <w:t>potentially confusing addition to the reasonable doubt instruction.</w:t>
      </w:r>
    </w:p>
    <w:p w:rsidR="008F2100" w:rsidRPr="00F2013C" w:rsidRDefault="008F2100" w:rsidP="009E04B1">
      <w:pPr>
        <w:pStyle w:val="ParaNoNdepar-AltN"/>
        <w:widowControl w:val="0"/>
        <w:rPr>
          <w:rFonts w:cs="Times New Roman"/>
        </w:rPr>
      </w:pPr>
      <w:r w:rsidRPr="00F2013C">
        <w:rPr>
          <w:rFonts w:cs="Times New Roman"/>
        </w:rPr>
        <w:t xml:space="preserve">However, that is not all that </w:t>
      </w:r>
      <w:r w:rsidRPr="00F2013C">
        <w:rPr>
          <w:rFonts w:cs="Times New Roman"/>
          <w:i/>
        </w:rPr>
        <w:t>Hodge’s Case</w:t>
      </w:r>
      <w:r w:rsidRPr="00F2013C">
        <w:rPr>
          <w:rFonts w:cs="Times New Roman"/>
        </w:rPr>
        <w:t xml:space="preserve"> was concerned with. There is a special concern inherent in the inferential reasoning from circumstantial evidence. The concern is that the jury may unconsciously “fill in the blanks” or bridge gaps in the evidence to support the inference that the Crown invites it to draw. Baron Alderson referred to this risk in </w:t>
      </w:r>
      <w:r w:rsidRPr="00F2013C">
        <w:rPr>
          <w:rFonts w:cs="Times New Roman"/>
          <w:i/>
        </w:rPr>
        <w:t>Hodge’s Case</w:t>
      </w:r>
      <w:r w:rsidRPr="00F2013C">
        <w:rPr>
          <w:rFonts w:cs="Times New Roman"/>
        </w:rPr>
        <w:t>. He noted</w:t>
      </w:r>
      <w:r>
        <w:rPr>
          <w:rFonts w:cs="Times New Roman"/>
        </w:rPr>
        <w:t xml:space="preserve"> the jury may “look for —</w:t>
      </w:r>
      <w:r w:rsidRPr="00F2013C">
        <w:rPr>
          <w:rFonts w:cs="Times New Roman"/>
        </w:rPr>
        <w:t xml:space="preserve"> and often slightly</w:t>
      </w:r>
      <w:r>
        <w:rPr>
          <w:rFonts w:cs="Times New Roman"/>
        </w:rPr>
        <w:t xml:space="preserve"> . . .</w:t>
      </w:r>
      <w:r w:rsidRPr="00F2013C">
        <w:rPr>
          <w:rFonts w:cs="Times New Roman"/>
        </w:rPr>
        <w:t xml:space="preserve"> distort the facts” to make them fit the inference that they are invited to draw</w:t>
      </w:r>
      <w:r>
        <w:rPr>
          <w:rFonts w:cs="Times New Roman"/>
        </w:rPr>
        <w:t>: p. 1137</w:t>
      </w:r>
      <w:r w:rsidRPr="00F2013C">
        <w:rPr>
          <w:rFonts w:cs="Times New Roman"/>
        </w:rPr>
        <w:t xml:space="preserve">. Or, as his remarks are recorded in another report, the danger is that the mind may “take </w:t>
      </w:r>
      <w:r>
        <w:rPr>
          <w:rFonts w:cs="Times New Roman"/>
        </w:rPr>
        <w:t xml:space="preserve">a </w:t>
      </w:r>
      <w:r w:rsidRPr="00F2013C">
        <w:rPr>
          <w:rFonts w:cs="Times New Roman"/>
        </w:rPr>
        <w:t>pleasure in adapting circumst</w:t>
      </w:r>
      <w:r>
        <w:rPr>
          <w:rFonts w:cs="Times New Roman"/>
        </w:rPr>
        <w:t xml:space="preserve">ances to one another, and even </w:t>
      </w:r>
      <w:r w:rsidRPr="00F2013C">
        <w:rPr>
          <w:rFonts w:cs="Times New Roman"/>
        </w:rPr>
        <w:t>straining them a little, if need be, to force them to form parts of one connected whole”:</w:t>
      </w:r>
      <w:r>
        <w:rPr>
          <w:rFonts w:cs="Times New Roman"/>
        </w:rPr>
        <w:t xml:space="preserve"> </w:t>
      </w:r>
      <w:r w:rsidRPr="00F2013C">
        <w:rPr>
          <w:rFonts w:cs="Times New Roman"/>
        </w:rPr>
        <w:t xml:space="preserve">W. Wills, </w:t>
      </w:r>
      <w:r>
        <w:rPr>
          <w:rFonts w:cs="Times New Roman"/>
          <w:i/>
        </w:rPr>
        <w:t xml:space="preserve">Wills’ Principles of Circumstantial Evidence </w:t>
      </w:r>
      <w:r>
        <w:rPr>
          <w:rFonts w:cs="Times New Roman"/>
        </w:rPr>
        <w:t xml:space="preserve">(7th ed. 1937), at p. 45; cited by </w:t>
      </w:r>
      <w:proofErr w:type="spellStart"/>
      <w:r>
        <w:rPr>
          <w:rFonts w:cs="Times New Roman"/>
        </w:rPr>
        <w:t>Laskin</w:t>
      </w:r>
      <w:proofErr w:type="spellEnd"/>
      <w:r>
        <w:rPr>
          <w:rFonts w:cs="Times New Roman"/>
        </w:rPr>
        <w:t xml:space="preserve"> J. in </w:t>
      </w:r>
      <w:r>
        <w:rPr>
          <w:rFonts w:cs="Times New Roman"/>
          <w:i/>
        </w:rPr>
        <w:t>John</w:t>
      </w:r>
      <w:r>
        <w:rPr>
          <w:rFonts w:cs="Times New Roman"/>
        </w:rPr>
        <w:t>, dissenting but not on this point, at p. 813</w:t>
      </w:r>
      <w:r w:rsidRPr="00F2013C">
        <w:rPr>
          <w:rFonts w:cs="Times New Roman"/>
        </w:rPr>
        <w:t>.</w:t>
      </w:r>
    </w:p>
    <w:p w:rsidR="008F2100" w:rsidRPr="00F2013C" w:rsidRDefault="008F2100" w:rsidP="009E04B1">
      <w:pPr>
        <w:pStyle w:val="ParaNoNdepar-AltN"/>
        <w:widowControl w:val="0"/>
        <w:rPr>
          <w:rFonts w:cs="Times New Roman"/>
        </w:rPr>
      </w:pPr>
      <w:r w:rsidRPr="00F2013C">
        <w:rPr>
          <w:rFonts w:cs="Times New Roman"/>
        </w:rPr>
        <w:t>W</w:t>
      </w:r>
      <w:r>
        <w:rPr>
          <w:rFonts w:cs="Times New Roman"/>
        </w:rPr>
        <w:t>hile this 19</w:t>
      </w:r>
      <w:r w:rsidRPr="00F2013C">
        <w:rPr>
          <w:rFonts w:cs="Times New Roman"/>
        </w:rPr>
        <w:t xml:space="preserve">th century language is not suitable for a contemporary jury instruction, the basic concern that Baron Alderson described </w:t>
      </w:r>
      <w:r>
        <w:rPr>
          <w:rFonts w:cs="Times New Roman"/>
        </w:rPr>
        <w:t>—</w:t>
      </w:r>
      <w:r w:rsidRPr="00F2013C">
        <w:rPr>
          <w:rFonts w:cs="Times New Roman"/>
        </w:rPr>
        <w:t xml:space="preserve"> the danger of jumping to unwarranted concl</w:t>
      </w:r>
      <w:r>
        <w:rPr>
          <w:rFonts w:cs="Times New Roman"/>
        </w:rPr>
        <w:t>usions in circumstantial cases —</w:t>
      </w:r>
      <w:r w:rsidRPr="00F2013C">
        <w:rPr>
          <w:rFonts w:cs="Times New Roman"/>
        </w:rPr>
        <w:t xml:space="preserve"> remains real. When the concern about circumstantial evidence is understood in this way, an instruction conce</w:t>
      </w:r>
      <w:r>
        <w:rPr>
          <w:rFonts w:cs="Times New Roman"/>
        </w:rPr>
        <w:t>rning the use of circumstantial evidence and the reasonable doubt instruction have different, although related, purposes</w:t>
      </w:r>
      <w:r w:rsidRPr="00F2013C">
        <w:rPr>
          <w:rFonts w:cs="Times New Roman"/>
        </w:rPr>
        <w:t>: see B</w:t>
      </w:r>
      <w:r>
        <w:rPr>
          <w:rFonts w:cs="Times New Roman"/>
        </w:rPr>
        <w:t>.</w:t>
      </w:r>
      <w:r w:rsidRPr="00F2013C">
        <w:rPr>
          <w:rFonts w:cs="Times New Roman"/>
        </w:rPr>
        <w:t xml:space="preserve"> L. Berger, “The Rule in </w:t>
      </w:r>
      <w:r w:rsidRPr="00F33821">
        <w:rPr>
          <w:rFonts w:cs="Times New Roman"/>
        </w:rPr>
        <w:t>Hodge’s Case</w:t>
      </w:r>
      <w:r w:rsidRPr="00F2013C">
        <w:rPr>
          <w:rFonts w:cs="Times New Roman"/>
        </w:rPr>
        <w:t xml:space="preserve">: Rumours of its Death are Greatly Exaggerated” (2005), 84 </w:t>
      </w:r>
      <w:r w:rsidRPr="00F33821">
        <w:rPr>
          <w:rFonts w:cs="Times New Roman"/>
          <w:i/>
        </w:rPr>
        <w:t>Can. Bar Rev.</w:t>
      </w:r>
      <w:r>
        <w:rPr>
          <w:rFonts w:cs="Times New Roman"/>
        </w:rPr>
        <w:t xml:space="preserve"> 47, at p</w:t>
      </w:r>
      <w:r w:rsidR="005F7198">
        <w:rPr>
          <w:rFonts w:cs="Times New Roman"/>
        </w:rPr>
        <w:t>p</w:t>
      </w:r>
      <w:r>
        <w:rPr>
          <w:rFonts w:cs="Times New Roman"/>
        </w:rPr>
        <w:t>. 60-</w:t>
      </w:r>
      <w:r w:rsidRPr="00F2013C">
        <w:rPr>
          <w:rFonts w:cs="Times New Roman"/>
        </w:rPr>
        <w:t xml:space="preserve">61.  </w:t>
      </w:r>
    </w:p>
    <w:p w:rsidR="008F2100" w:rsidRPr="00F2013C" w:rsidRDefault="008F2100" w:rsidP="009E04B1">
      <w:pPr>
        <w:pStyle w:val="ParaNoNdepar-AltN"/>
        <w:widowControl w:val="0"/>
        <w:rPr>
          <w:rFonts w:cs="Times New Roman"/>
        </w:rPr>
      </w:pPr>
      <w:r w:rsidRPr="00F2013C">
        <w:rPr>
          <w:rFonts w:cs="Times New Roman"/>
        </w:rPr>
        <w:t>The reasonable doubt instruc</w:t>
      </w:r>
      <w:r>
        <w:rPr>
          <w:rFonts w:cs="Times New Roman"/>
        </w:rPr>
        <w:t>tion describes a state of mind —</w:t>
      </w:r>
      <w:r w:rsidRPr="00F2013C">
        <w:rPr>
          <w:rFonts w:cs="Times New Roman"/>
        </w:rPr>
        <w:t xml:space="preserve"> the degree of persuasion that entitles and requires a juror to find an accused guilty: Berger</w:t>
      </w:r>
      <w:r>
        <w:rPr>
          <w:rFonts w:cs="Times New Roman"/>
        </w:rPr>
        <w:t>,</w:t>
      </w:r>
      <w:r w:rsidRPr="00F2013C">
        <w:rPr>
          <w:rFonts w:cs="Times New Roman"/>
        </w:rPr>
        <w:t xml:space="preserve"> at p. 60. </w:t>
      </w:r>
      <w:r w:rsidRPr="00F2013C">
        <w:rPr>
          <w:rFonts w:cs="Times New Roman"/>
        </w:rPr>
        <w:lastRenderedPageBreak/>
        <w:t xml:space="preserve">Reasonable doubt is not an inference or a finding of fact that needs support in the evidence presented at trial: see, e.g. </w:t>
      </w:r>
      <w:proofErr w:type="spellStart"/>
      <w:r w:rsidRPr="00F2013C">
        <w:rPr>
          <w:rFonts w:cs="Times New Roman"/>
          <w:i/>
        </w:rPr>
        <w:t>Schuldt</w:t>
      </w:r>
      <w:proofErr w:type="spellEnd"/>
      <w:r w:rsidRPr="00F2013C">
        <w:rPr>
          <w:rFonts w:cs="Times New Roman"/>
          <w:i/>
        </w:rPr>
        <w:t xml:space="preserve"> v. The Queen</w:t>
      </w:r>
      <w:r w:rsidRPr="00F2013C">
        <w:rPr>
          <w:rFonts w:cs="Times New Roman"/>
        </w:rPr>
        <w:t>, [1985] 2 S.C.R. 592</w:t>
      </w:r>
      <w:r>
        <w:rPr>
          <w:rFonts w:cs="Times New Roman"/>
        </w:rPr>
        <w:t>,</w:t>
      </w:r>
      <w:r w:rsidRPr="00F2013C">
        <w:rPr>
          <w:rFonts w:cs="Times New Roman"/>
        </w:rPr>
        <w:t xml:space="preserve"> at</w:t>
      </w:r>
      <w:r>
        <w:rPr>
          <w:rFonts w:cs="Times New Roman"/>
        </w:rPr>
        <w:t xml:space="preserve"> pp.</w:t>
      </w:r>
      <w:r w:rsidRPr="00F2013C">
        <w:rPr>
          <w:rFonts w:cs="Times New Roman"/>
        </w:rPr>
        <w:t xml:space="preserve"> 600</w:t>
      </w:r>
      <w:r>
        <w:rPr>
          <w:rFonts w:cs="Times New Roman"/>
        </w:rPr>
        <w:t>-</w:t>
      </w:r>
      <w:r w:rsidRPr="00F2013C">
        <w:rPr>
          <w:rFonts w:cs="Times New Roman"/>
        </w:rPr>
        <w:t xml:space="preserve">610. A reasonable doubt is a doubt based on “reason and common sense”; it is not “imaginary or frivolous”; it “does not involve proof to an absolute certainty”; and </w:t>
      </w:r>
      <w:r>
        <w:rPr>
          <w:rFonts w:cs="Times New Roman"/>
        </w:rPr>
        <w:t xml:space="preserve">it </w:t>
      </w:r>
      <w:r w:rsidRPr="00F2013C">
        <w:rPr>
          <w:rFonts w:cs="Times New Roman"/>
        </w:rPr>
        <w:t xml:space="preserve">is “logically connected to the evidence or absence of evidence”: </w:t>
      </w:r>
      <w:proofErr w:type="spellStart"/>
      <w:r w:rsidRPr="00F2013C">
        <w:rPr>
          <w:rFonts w:cs="Times New Roman"/>
          <w:i/>
        </w:rPr>
        <w:t>Lifchus</w:t>
      </w:r>
      <w:proofErr w:type="spellEnd"/>
      <w:r w:rsidRPr="00F2013C">
        <w:rPr>
          <w:rFonts w:cs="Times New Roman"/>
        </w:rPr>
        <w:t>, at para. 36. The reasonable doubt instructions are all directed to describing for the jurors how sure they must be of guilt in order to convict.</w:t>
      </w:r>
    </w:p>
    <w:p w:rsidR="008F2100" w:rsidRPr="00F2013C" w:rsidRDefault="008F2100" w:rsidP="009E04B1">
      <w:pPr>
        <w:pStyle w:val="ParaNoNdepar-AltN"/>
        <w:widowControl w:val="0"/>
        <w:rPr>
          <w:rFonts w:cs="Times New Roman"/>
        </w:rPr>
      </w:pPr>
      <w:r w:rsidRPr="00F2013C">
        <w:rPr>
          <w:rFonts w:cs="Times New Roman"/>
        </w:rPr>
        <w:t>An instruction about circumstantial evidence, in contrast, alerts the jury to the dangers of the path of reasoning involved in drawing inferences from circumstantial evidence: Berger</w:t>
      </w:r>
      <w:r>
        <w:rPr>
          <w:rFonts w:cs="Times New Roman"/>
        </w:rPr>
        <w:t>,</w:t>
      </w:r>
      <w:r w:rsidRPr="00F2013C">
        <w:rPr>
          <w:rFonts w:cs="Times New Roman"/>
        </w:rPr>
        <w:t xml:space="preserve"> at p. 60.  This is the danger to which Baron Alderson directed his comments. And the danger he identified so long ago </w:t>
      </w:r>
      <w:r>
        <w:rPr>
          <w:rFonts w:cs="Times New Roman"/>
        </w:rPr>
        <w:t>—</w:t>
      </w:r>
      <w:r w:rsidRPr="00F2013C">
        <w:rPr>
          <w:rFonts w:cs="Times New Roman"/>
        </w:rPr>
        <w:t xml:space="preserve"> the risk that the jury will “fill in the blanks” or “jump to conclusions” </w:t>
      </w:r>
      <w:r>
        <w:rPr>
          <w:rFonts w:cs="Times New Roman"/>
        </w:rPr>
        <w:t>—</w:t>
      </w:r>
      <w:r w:rsidRPr="00F2013C">
        <w:rPr>
          <w:rFonts w:cs="Times New Roman"/>
        </w:rPr>
        <w:t xml:space="preserve"> has more recently been confirmed by social science research: </w:t>
      </w:r>
      <w:r>
        <w:rPr>
          <w:rFonts w:cs="Times New Roman"/>
        </w:rPr>
        <w:t xml:space="preserve">see </w:t>
      </w:r>
      <w:r w:rsidRPr="00F2013C">
        <w:rPr>
          <w:rFonts w:cs="Times New Roman"/>
        </w:rPr>
        <w:t>Berger</w:t>
      </w:r>
      <w:r>
        <w:rPr>
          <w:rFonts w:cs="Times New Roman"/>
        </w:rPr>
        <w:t>,</w:t>
      </w:r>
      <w:r w:rsidRPr="00F2013C">
        <w:rPr>
          <w:rFonts w:cs="Times New Roman"/>
        </w:rPr>
        <w:t xml:space="preserve"> at p</w:t>
      </w:r>
      <w:r>
        <w:rPr>
          <w:rFonts w:cs="Times New Roman"/>
        </w:rPr>
        <w:t>p</w:t>
      </w:r>
      <w:r w:rsidRPr="00F2013C">
        <w:rPr>
          <w:rFonts w:cs="Times New Roman"/>
        </w:rPr>
        <w:t>. 52</w:t>
      </w:r>
      <w:r>
        <w:rPr>
          <w:rFonts w:cs="Times New Roman"/>
        </w:rPr>
        <w:t>-</w:t>
      </w:r>
      <w:r w:rsidRPr="00F2013C">
        <w:rPr>
          <w:rFonts w:cs="Times New Roman"/>
        </w:rPr>
        <w:t>53.  This Court on occasion has noted this cautionary purpose of a circumstantial evidence instruction: see</w:t>
      </w:r>
      <w:r>
        <w:rPr>
          <w:rFonts w:cs="Times New Roman"/>
        </w:rPr>
        <w:t>,</w:t>
      </w:r>
      <w:r w:rsidRPr="00F2013C">
        <w:rPr>
          <w:rFonts w:cs="Times New Roman"/>
        </w:rPr>
        <w:t xml:space="preserve"> e.g.</w:t>
      </w:r>
      <w:r>
        <w:rPr>
          <w:rFonts w:cs="Times New Roman"/>
        </w:rPr>
        <w:t>,</w:t>
      </w:r>
      <w:r w:rsidRPr="00F2013C">
        <w:rPr>
          <w:rFonts w:cs="Times New Roman"/>
        </w:rPr>
        <w:t xml:space="preserve"> </w:t>
      </w:r>
      <w:r w:rsidRPr="00F2013C">
        <w:rPr>
          <w:rFonts w:cs="Times New Roman"/>
          <w:i/>
        </w:rPr>
        <w:t>Boucher v. The Queen</w:t>
      </w:r>
      <w:r w:rsidRPr="00F2013C">
        <w:rPr>
          <w:rFonts w:cs="Times New Roman"/>
        </w:rPr>
        <w:t>, [1955] S.C.R. 16</w:t>
      </w:r>
      <w:r w:rsidR="00EA3E7B">
        <w:rPr>
          <w:rFonts w:cs="Times New Roman"/>
        </w:rPr>
        <w:t>,</w:t>
      </w:r>
      <w:r w:rsidRPr="00F2013C">
        <w:rPr>
          <w:rFonts w:cs="Times New Roman"/>
        </w:rPr>
        <w:t xml:space="preserve"> </w:t>
      </w:r>
      <w:r w:rsidRPr="00F33821">
        <w:rPr>
          <w:rFonts w:cs="Times New Roman"/>
        </w:rPr>
        <w:t>per</w:t>
      </w:r>
      <w:r w:rsidRPr="00F2013C">
        <w:rPr>
          <w:rFonts w:cs="Times New Roman"/>
        </w:rPr>
        <w:t xml:space="preserve"> Rand J.</w:t>
      </w:r>
      <w:r>
        <w:rPr>
          <w:rFonts w:cs="Times New Roman"/>
        </w:rPr>
        <w:t>,</w:t>
      </w:r>
      <w:r w:rsidRPr="00F2013C">
        <w:rPr>
          <w:rFonts w:cs="Times New Roman"/>
        </w:rPr>
        <w:t xml:space="preserve"> at</w:t>
      </w:r>
      <w:r>
        <w:rPr>
          <w:rFonts w:cs="Times New Roman"/>
        </w:rPr>
        <w:t xml:space="preserve"> p.</w:t>
      </w:r>
      <w:r w:rsidRPr="00F2013C">
        <w:rPr>
          <w:rFonts w:cs="Times New Roman"/>
        </w:rPr>
        <w:t xml:space="preserve"> 22; </w:t>
      </w:r>
      <w:r w:rsidRPr="00F2013C">
        <w:rPr>
          <w:rFonts w:cs="Times New Roman"/>
          <w:i/>
        </w:rPr>
        <w:t>John</w:t>
      </w:r>
      <w:r>
        <w:rPr>
          <w:rFonts w:cs="Times New Roman"/>
        </w:rPr>
        <w:t>,</w:t>
      </w:r>
      <w:r w:rsidRPr="00F2013C">
        <w:rPr>
          <w:rFonts w:cs="Times New Roman"/>
          <w:i/>
        </w:rPr>
        <w:t xml:space="preserve"> </w:t>
      </w:r>
      <w:r w:rsidRPr="00F2013C">
        <w:rPr>
          <w:rFonts w:cs="Times New Roman"/>
        </w:rPr>
        <w:t xml:space="preserve">per </w:t>
      </w:r>
      <w:proofErr w:type="spellStart"/>
      <w:r w:rsidRPr="00F2013C">
        <w:rPr>
          <w:rFonts w:cs="Times New Roman"/>
        </w:rPr>
        <w:t>Laskin</w:t>
      </w:r>
      <w:proofErr w:type="spellEnd"/>
      <w:r w:rsidRPr="00F2013C">
        <w:rPr>
          <w:rFonts w:cs="Times New Roman"/>
        </w:rPr>
        <w:t xml:space="preserve"> J.</w:t>
      </w:r>
      <w:r>
        <w:rPr>
          <w:rFonts w:cs="Times New Roman"/>
        </w:rPr>
        <w:t>,</w:t>
      </w:r>
      <w:r w:rsidRPr="00F2013C">
        <w:rPr>
          <w:rFonts w:cs="Times New Roman"/>
        </w:rPr>
        <w:t xml:space="preserve"> dissenting</w:t>
      </w:r>
      <w:r>
        <w:rPr>
          <w:rFonts w:cs="Times New Roman"/>
        </w:rPr>
        <w:t xml:space="preserve"> but not on this point,</w:t>
      </w:r>
      <w:r w:rsidRPr="00F2013C">
        <w:rPr>
          <w:rFonts w:cs="Times New Roman"/>
        </w:rPr>
        <w:t xml:space="preserve"> at p. 813. </w:t>
      </w:r>
    </w:p>
    <w:p w:rsidR="008F2100" w:rsidRDefault="008F2100" w:rsidP="009E04B1">
      <w:pPr>
        <w:pStyle w:val="ParaNoNdepar-AltN"/>
        <w:widowControl w:val="0"/>
      </w:pPr>
      <w:r w:rsidRPr="00F2013C">
        <w:t xml:space="preserve">It follows that in a case in which proof of one or more elements of the offence depends exclusively or largely on circumstantial evidence, it will generally be helpful to the jury to be cautioned about too readily drawing inferences of guilt.  No particular language is required. Telling the jury that an inference of guilt drawn from circumstantial evidence should be the only reasonable inference </w:t>
      </w:r>
      <w:r>
        <w:t>that such evidence</w:t>
      </w:r>
      <w:r w:rsidRPr="00F2013C">
        <w:t xml:space="preserve"> permits will often be a succinct and accurate way of helping the jury to guard against </w:t>
      </w:r>
      <w:r w:rsidRPr="00F2013C">
        <w:lastRenderedPageBreak/>
        <w:t>the risk of “filling in the blanks” by too quickly overlooking reasonable alternative inferences. It may be helpful to illustrate the concern about jumping to conclusions with an example. If we look out the window and see that the road is wet, we may jump to the conclusion that it has been raining. But we may then notice that the sidewalks are dry or that there is a loud noise coming from the distance that could be street-cleaning equipment, and re-evaluate our premature conclusion. The observation that the road is wet, on its own, does not exclude other reasonable explanations than that it has been raining. The inferences that may be drawn from this observation must be considered in light of all of the evidence and the absence of evidence, assessed logically, and in light of human experience and common sense.</w:t>
      </w:r>
    </w:p>
    <w:p w:rsidR="008F2100" w:rsidRDefault="008F2100" w:rsidP="009E04B1">
      <w:pPr>
        <w:pStyle w:val="ParaNoNdepar-AltN"/>
        <w:widowControl w:val="0"/>
      </w:pPr>
      <w:r w:rsidRPr="00F2013C">
        <w:t>I emphasize, however, that assistance to the jury about the risk of jumping to conclusions may be given</w:t>
      </w:r>
      <w:r>
        <w:t xml:space="preserve"> in</w:t>
      </w:r>
      <w:r w:rsidRPr="00F2013C">
        <w:t xml:space="preserve"> different ways and, as noted in </w:t>
      </w:r>
      <w:r w:rsidRPr="00F2013C">
        <w:rPr>
          <w:i/>
        </w:rPr>
        <w:t>Fleet</w:t>
      </w:r>
      <w:r w:rsidRPr="00F2013C">
        <w:t xml:space="preserve">, trial judges will provide this assistance in the manner they consider most appropriate in the circumstances: </w:t>
      </w:r>
      <w:r>
        <w:t>p</w:t>
      </w:r>
      <w:r w:rsidRPr="00F2013C">
        <w:t>.</w:t>
      </w:r>
      <w:r>
        <w:t xml:space="preserve"> 549.</w:t>
      </w:r>
    </w:p>
    <w:p w:rsidR="008F2100" w:rsidRPr="00F2013C" w:rsidRDefault="008F2100" w:rsidP="009E04B1">
      <w:pPr>
        <w:pStyle w:val="Title5LevelTitre5Niveau"/>
        <w:widowControl w:val="0"/>
        <w:tabs>
          <w:tab w:val="clear" w:pos="1728"/>
          <w:tab w:val="num" w:pos="1170"/>
        </w:tabs>
        <w:ind w:hanging="1368"/>
      </w:pPr>
      <w:r w:rsidRPr="00F2013C">
        <w:t>“Rational” v. “Reasonable” Inferences</w:t>
      </w:r>
    </w:p>
    <w:p w:rsidR="008F2100" w:rsidRPr="00F2013C" w:rsidRDefault="008F2100" w:rsidP="009E04B1">
      <w:pPr>
        <w:pStyle w:val="ParaNoNdepar-AltN"/>
        <w:widowControl w:val="0"/>
      </w:pPr>
      <w:r w:rsidRPr="00F2013C">
        <w:t xml:space="preserve">I have suggested the use of the word “reasonable” to describe the potential inferences rather than the word “rational” used by Baron Alderson in </w:t>
      </w:r>
      <w:r w:rsidRPr="00F2013C">
        <w:rPr>
          <w:i/>
        </w:rPr>
        <w:t>Hodge’s Case</w:t>
      </w:r>
      <w:r w:rsidRPr="00F2013C">
        <w:t xml:space="preserve"> and in many other cases including </w:t>
      </w:r>
      <w:r w:rsidRPr="00F2013C">
        <w:rPr>
          <w:i/>
        </w:rPr>
        <w:t>Griffin</w:t>
      </w:r>
      <w:r w:rsidRPr="00F2013C">
        <w:t xml:space="preserve">.  Which of these words should be used was one of the issues touched on by the Court of Appeal (at para. 9) and I should explain why I think that the word “reasonable” is preferable. </w:t>
      </w:r>
      <w:r w:rsidRPr="00E77768">
        <w:rPr>
          <w:rFonts w:cs="Times New Roman"/>
        </w:rPr>
        <w:t>The following comments also apply to the adjective “</w:t>
      </w:r>
      <w:proofErr w:type="spellStart"/>
      <w:r w:rsidRPr="009B1D99">
        <w:rPr>
          <w:rFonts w:cs="Times New Roman"/>
          <w:i/>
        </w:rPr>
        <w:t>logique</w:t>
      </w:r>
      <w:proofErr w:type="spellEnd"/>
      <w:r w:rsidRPr="00E77768">
        <w:rPr>
          <w:rFonts w:cs="Times New Roman"/>
        </w:rPr>
        <w:t xml:space="preserve">”, which has been frequently used in the French version </w:t>
      </w:r>
      <w:r w:rsidRPr="00E77768">
        <w:rPr>
          <w:rFonts w:cs="Times New Roman"/>
        </w:rPr>
        <w:lastRenderedPageBreak/>
        <w:t>of this Court’s jurisprudence on this issue.</w:t>
      </w:r>
    </w:p>
    <w:p w:rsidR="008F2100" w:rsidRPr="00F2013C" w:rsidRDefault="008F2100" w:rsidP="009E04B1">
      <w:pPr>
        <w:pStyle w:val="ParaNoNdepar-AltN"/>
        <w:widowControl w:val="0"/>
        <w:rPr>
          <w:rFonts w:cs="Times New Roman"/>
        </w:rPr>
      </w:pPr>
      <w:r w:rsidRPr="00F2013C">
        <w:rPr>
          <w:rFonts w:cs="Times New Roman"/>
        </w:rPr>
        <w:t xml:space="preserve">The words “rational” and “reasonable” are virtually synonyms: “rational” means “of or based on reasoning or reason”; “reasonable” means “in accordance with reason”: </w:t>
      </w:r>
      <w:r w:rsidRPr="00F2013C">
        <w:rPr>
          <w:rFonts w:cs="Times New Roman"/>
          <w:i/>
        </w:rPr>
        <w:t>Canadian Oxford Dictionary</w:t>
      </w:r>
      <w:r w:rsidRPr="00F2013C">
        <w:rPr>
          <w:rFonts w:cs="Times New Roman"/>
        </w:rPr>
        <w:t xml:space="preserve"> </w:t>
      </w:r>
      <w:r>
        <w:rPr>
          <w:rFonts w:cs="Times New Roman"/>
        </w:rPr>
        <w:t>(2nd ed. 2004)</w:t>
      </w:r>
      <w:r w:rsidRPr="00F2013C">
        <w:rPr>
          <w:rFonts w:cs="Times New Roman"/>
        </w:rPr>
        <w:t>. While some have argued that there is a significant difference, I do not find that position convincing: see</w:t>
      </w:r>
      <w:r>
        <w:rPr>
          <w:rFonts w:cs="Times New Roman"/>
        </w:rPr>
        <w:t>,</w:t>
      </w:r>
      <w:r w:rsidRPr="00F2013C">
        <w:rPr>
          <w:rFonts w:cs="Times New Roman"/>
        </w:rPr>
        <w:t xml:space="preserve"> e.g.</w:t>
      </w:r>
      <w:r>
        <w:rPr>
          <w:rFonts w:cs="Times New Roman"/>
        </w:rPr>
        <w:t>,</w:t>
      </w:r>
      <w:r w:rsidRPr="00F2013C">
        <w:rPr>
          <w:rFonts w:cs="Times New Roman"/>
        </w:rPr>
        <w:t xml:space="preserve"> E. Scott, “Hodge’s </w:t>
      </w:r>
      <w:r>
        <w:rPr>
          <w:rFonts w:cs="Times New Roman"/>
        </w:rPr>
        <w:t>Case: A Reconsideration” (1965-</w:t>
      </w:r>
      <w:r w:rsidRPr="00F2013C">
        <w:rPr>
          <w:rFonts w:cs="Times New Roman"/>
        </w:rPr>
        <w:t xml:space="preserve">66), 8 </w:t>
      </w:r>
      <w:r w:rsidRPr="0058577A">
        <w:rPr>
          <w:rFonts w:cs="Times New Roman"/>
          <w:i/>
        </w:rPr>
        <w:t>C.L.Q.</w:t>
      </w:r>
      <w:r w:rsidRPr="00F2013C">
        <w:rPr>
          <w:rFonts w:cs="Times New Roman"/>
        </w:rPr>
        <w:t xml:space="preserve"> 17</w:t>
      </w:r>
      <w:r>
        <w:rPr>
          <w:rFonts w:cs="Times New Roman"/>
        </w:rPr>
        <w:t>,</w:t>
      </w:r>
      <w:r w:rsidRPr="00F2013C">
        <w:rPr>
          <w:rFonts w:cs="Times New Roman"/>
        </w:rPr>
        <w:t xml:space="preserve"> at </w:t>
      </w:r>
      <w:r>
        <w:rPr>
          <w:rFonts w:cs="Times New Roman"/>
        </w:rPr>
        <w:t xml:space="preserve">p. </w:t>
      </w:r>
      <w:r w:rsidRPr="00F2013C">
        <w:rPr>
          <w:rFonts w:cs="Times New Roman"/>
        </w:rPr>
        <w:t xml:space="preserve">25; A. M. </w:t>
      </w:r>
      <w:proofErr w:type="spellStart"/>
      <w:r w:rsidRPr="00F2013C">
        <w:rPr>
          <w:rFonts w:cs="Times New Roman"/>
        </w:rPr>
        <w:t>Gans</w:t>
      </w:r>
      <w:proofErr w:type="spellEnd"/>
      <w:r w:rsidRPr="00F2013C">
        <w:rPr>
          <w:rFonts w:cs="Times New Roman"/>
        </w:rPr>
        <w:t>, “Hodge’s Case Revisited” (1972-73)</w:t>
      </w:r>
      <w:r>
        <w:rPr>
          <w:rFonts w:cs="Times New Roman"/>
        </w:rPr>
        <w:t>,</w:t>
      </w:r>
      <w:r w:rsidRPr="00F2013C">
        <w:rPr>
          <w:rFonts w:cs="Times New Roman"/>
        </w:rPr>
        <w:t xml:space="preserve"> 15 </w:t>
      </w:r>
      <w:r w:rsidRPr="0058577A">
        <w:rPr>
          <w:rFonts w:cs="Times New Roman"/>
          <w:i/>
        </w:rPr>
        <w:t>C</w:t>
      </w:r>
      <w:r>
        <w:rPr>
          <w:rFonts w:cs="Times New Roman"/>
          <w:i/>
        </w:rPr>
        <w:t>.</w:t>
      </w:r>
      <w:r w:rsidRPr="0058577A">
        <w:rPr>
          <w:rFonts w:cs="Times New Roman"/>
          <w:i/>
        </w:rPr>
        <w:t>L</w:t>
      </w:r>
      <w:r>
        <w:rPr>
          <w:rFonts w:cs="Times New Roman"/>
          <w:i/>
        </w:rPr>
        <w:t>.</w:t>
      </w:r>
      <w:r w:rsidRPr="0058577A">
        <w:rPr>
          <w:rFonts w:cs="Times New Roman"/>
          <w:i/>
        </w:rPr>
        <w:t>Q</w:t>
      </w:r>
      <w:r>
        <w:rPr>
          <w:rFonts w:cs="Times New Roman"/>
          <w:i/>
        </w:rPr>
        <w:t>.</w:t>
      </w:r>
      <w:r w:rsidRPr="00F2013C">
        <w:rPr>
          <w:rFonts w:cs="Times New Roman"/>
        </w:rPr>
        <w:t xml:space="preserve"> 127</w:t>
      </w:r>
      <w:r>
        <w:rPr>
          <w:rFonts w:cs="Times New Roman"/>
        </w:rPr>
        <w:t>,</w:t>
      </w:r>
      <w:r w:rsidRPr="00F2013C">
        <w:rPr>
          <w:rFonts w:cs="Times New Roman"/>
        </w:rPr>
        <w:t xml:space="preserve"> at p</w:t>
      </w:r>
      <w:r>
        <w:rPr>
          <w:rFonts w:cs="Times New Roman"/>
        </w:rPr>
        <w:t>.</w:t>
      </w:r>
      <w:r w:rsidRPr="00F2013C">
        <w:rPr>
          <w:rFonts w:cs="Times New Roman"/>
        </w:rPr>
        <w:t xml:space="preserve"> 132. It seems that our jurisprudence has used the words “rational” and “reasonable” interchangeably</w:t>
      </w:r>
      <w:r>
        <w:rPr>
          <w:rFonts w:cs="Times New Roman"/>
        </w:rPr>
        <w:t xml:space="preserve"> with respect to inferences</w:t>
      </w:r>
      <w:r w:rsidRPr="00F2013C">
        <w:rPr>
          <w:rFonts w:cs="Times New Roman"/>
        </w:rPr>
        <w:t xml:space="preserve">: see </w:t>
      </w:r>
      <w:r w:rsidRPr="00F2013C">
        <w:rPr>
          <w:rFonts w:cs="Times New Roman"/>
          <w:i/>
        </w:rPr>
        <w:t>McLean</w:t>
      </w:r>
      <w:r w:rsidRPr="0042755C">
        <w:rPr>
          <w:rFonts w:cs="Times New Roman"/>
        </w:rPr>
        <w:t xml:space="preserve">; </w:t>
      </w:r>
      <w:r w:rsidRPr="00F2013C">
        <w:rPr>
          <w:rFonts w:cs="Times New Roman"/>
          <w:i/>
        </w:rPr>
        <w:t>Fraser v</w:t>
      </w:r>
      <w:r>
        <w:rPr>
          <w:rFonts w:cs="Times New Roman"/>
        </w:rPr>
        <w:t>.</w:t>
      </w:r>
      <w:r w:rsidRPr="00F2013C">
        <w:rPr>
          <w:rFonts w:cs="Times New Roman"/>
          <w:i/>
        </w:rPr>
        <w:t xml:space="preserve"> The King</w:t>
      </w:r>
      <w:r w:rsidRPr="00F2013C">
        <w:rPr>
          <w:rFonts w:cs="Times New Roman"/>
        </w:rPr>
        <w:t>, [1936] S.C.R. 1</w:t>
      </w:r>
      <w:r>
        <w:rPr>
          <w:rFonts w:cs="Times New Roman"/>
        </w:rPr>
        <w:t>,</w:t>
      </w:r>
      <w:r w:rsidRPr="00F2013C">
        <w:rPr>
          <w:rFonts w:cs="Times New Roman"/>
        </w:rPr>
        <w:t xml:space="preserve"> at </w:t>
      </w:r>
      <w:r>
        <w:rPr>
          <w:rFonts w:cs="Times New Roman"/>
        </w:rPr>
        <w:t xml:space="preserve">p. </w:t>
      </w:r>
      <w:r w:rsidRPr="00F2013C">
        <w:rPr>
          <w:rFonts w:cs="Times New Roman"/>
        </w:rPr>
        <w:t xml:space="preserve">2;  </w:t>
      </w:r>
      <w:r w:rsidRPr="00F2013C">
        <w:rPr>
          <w:rFonts w:cs="Times New Roman"/>
          <w:i/>
        </w:rPr>
        <w:t>Boucher</w:t>
      </w:r>
      <w:r w:rsidRPr="00F2013C">
        <w:rPr>
          <w:rFonts w:cs="Times New Roman"/>
        </w:rPr>
        <w:t>, at pp</w:t>
      </w:r>
      <w:r>
        <w:rPr>
          <w:rFonts w:cs="Times New Roman"/>
        </w:rPr>
        <w:t>. 18, 22 and</w:t>
      </w:r>
      <w:r w:rsidRPr="00F2013C">
        <w:rPr>
          <w:rFonts w:cs="Times New Roman"/>
        </w:rPr>
        <w:t xml:space="preserve"> 29; </w:t>
      </w:r>
      <w:r w:rsidRPr="00F2013C">
        <w:rPr>
          <w:rFonts w:cs="Times New Roman"/>
          <w:i/>
        </w:rPr>
        <w:t>John</w:t>
      </w:r>
      <w:r>
        <w:rPr>
          <w:rFonts w:cs="Times New Roman"/>
        </w:rPr>
        <w:t>,</w:t>
      </w:r>
      <w:r w:rsidRPr="00F2013C">
        <w:rPr>
          <w:rFonts w:cs="Times New Roman"/>
          <w:i/>
        </w:rPr>
        <w:t xml:space="preserve"> </w:t>
      </w:r>
      <w:r w:rsidRPr="00F2013C">
        <w:rPr>
          <w:rFonts w:cs="Times New Roman"/>
        </w:rPr>
        <w:t xml:space="preserve">at </w:t>
      </w:r>
      <w:r>
        <w:rPr>
          <w:rFonts w:cs="Times New Roman"/>
        </w:rPr>
        <w:t xml:space="preserve">p. </w:t>
      </w:r>
      <w:r w:rsidRPr="00F2013C">
        <w:rPr>
          <w:rFonts w:cs="Times New Roman"/>
        </w:rPr>
        <w:t>792</w:t>
      </w:r>
      <w:r w:rsidRPr="0042755C">
        <w:rPr>
          <w:rFonts w:cs="Times New Roman"/>
        </w:rPr>
        <w:t xml:space="preserve">; </w:t>
      </w:r>
      <w:r w:rsidRPr="00F2013C">
        <w:rPr>
          <w:rFonts w:cs="Times New Roman"/>
          <w:i/>
        </w:rPr>
        <w:t>Cooper</w:t>
      </w:r>
      <w:r w:rsidRPr="00F2013C">
        <w:rPr>
          <w:rFonts w:cs="Times New Roman"/>
        </w:rPr>
        <w:t xml:space="preserve">, at </w:t>
      </w:r>
      <w:r>
        <w:rPr>
          <w:rFonts w:cs="Times New Roman"/>
        </w:rPr>
        <w:t xml:space="preserve">p. </w:t>
      </w:r>
      <w:r w:rsidRPr="00F2013C">
        <w:rPr>
          <w:rFonts w:cs="Times New Roman"/>
        </w:rPr>
        <w:t xml:space="preserve">881; </w:t>
      </w:r>
      <w:proofErr w:type="spellStart"/>
      <w:r w:rsidRPr="00F2013C">
        <w:rPr>
          <w:rFonts w:cs="Times New Roman"/>
          <w:i/>
        </w:rPr>
        <w:t>Lizotte</w:t>
      </w:r>
      <w:proofErr w:type="spellEnd"/>
      <w:r>
        <w:rPr>
          <w:rFonts w:cs="Times New Roman"/>
          <w:i/>
        </w:rPr>
        <w:t xml:space="preserve"> v. The King</w:t>
      </w:r>
      <w:r w:rsidRPr="00F2013C">
        <w:rPr>
          <w:rFonts w:cs="Times New Roman"/>
        </w:rPr>
        <w:t>, [1951] S.C.R. 115</w:t>
      </w:r>
      <w:r>
        <w:rPr>
          <w:rFonts w:cs="Times New Roman"/>
        </w:rPr>
        <w:t>,</w:t>
      </w:r>
      <w:r w:rsidRPr="00F2013C">
        <w:rPr>
          <w:rFonts w:cs="Times New Roman"/>
        </w:rPr>
        <w:t xml:space="preserve"> at </w:t>
      </w:r>
      <w:r>
        <w:rPr>
          <w:rFonts w:cs="Times New Roman"/>
        </w:rPr>
        <w:t xml:space="preserve">p. </w:t>
      </w:r>
      <w:r w:rsidRPr="00F2013C">
        <w:rPr>
          <w:rFonts w:cs="Times New Roman"/>
        </w:rPr>
        <w:t xml:space="preserve">132; </w:t>
      </w:r>
      <w:r w:rsidRPr="00F2013C">
        <w:rPr>
          <w:rFonts w:cs="Times New Roman"/>
          <w:i/>
        </w:rPr>
        <w:t>Mitchell</w:t>
      </w:r>
      <w:r w:rsidRPr="00F2013C">
        <w:rPr>
          <w:rFonts w:cs="Times New Roman"/>
        </w:rPr>
        <w:t xml:space="preserve">, at </w:t>
      </w:r>
      <w:r>
        <w:rPr>
          <w:rFonts w:cs="Times New Roman"/>
        </w:rPr>
        <w:t xml:space="preserve">p. </w:t>
      </w:r>
      <w:r w:rsidRPr="00F2013C">
        <w:rPr>
          <w:rFonts w:cs="Times New Roman"/>
        </w:rPr>
        <w:t xml:space="preserve">478; </w:t>
      </w:r>
      <w:r w:rsidRPr="00F2013C">
        <w:rPr>
          <w:rFonts w:cs="Times New Roman"/>
          <w:i/>
        </w:rPr>
        <w:t>Griffin</w:t>
      </w:r>
      <w:r>
        <w:rPr>
          <w:rFonts w:cs="Times New Roman"/>
        </w:rPr>
        <w:t>,</w:t>
      </w:r>
      <w:r w:rsidRPr="00F2013C">
        <w:rPr>
          <w:rFonts w:cs="Times New Roman"/>
        </w:rPr>
        <w:t xml:space="preserve"> at para. 33.  This, in addition to the dictionary definitions, suggests that there is no difference in substance between them. </w:t>
      </w:r>
    </w:p>
    <w:p w:rsidR="008F2100" w:rsidRPr="00F2013C" w:rsidRDefault="008F2100" w:rsidP="009E04B1">
      <w:pPr>
        <w:pStyle w:val="ParaNoNdepar-AltN"/>
        <w:widowControl w:val="0"/>
        <w:rPr>
          <w:rFonts w:cs="Times New Roman"/>
        </w:rPr>
      </w:pPr>
      <w:r w:rsidRPr="00F2013C">
        <w:rPr>
          <w:rFonts w:cs="Times New Roman"/>
        </w:rPr>
        <w:t>There is an advantage of using the word “reasonable”</w:t>
      </w:r>
      <w:r>
        <w:rPr>
          <w:rFonts w:cs="Times New Roman"/>
        </w:rPr>
        <w:t>.</w:t>
      </w:r>
      <w:r w:rsidRPr="00F2013C">
        <w:rPr>
          <w:rFonts w:cs="Times New Roman"/>
        </w:rPr>
        <w:t xml:space="preserve"> It avoids the risk of confusion that might arise from using the word “reasonable” in relation to “reasonable doubt” but referring to “rational” inferences or explanations when speaking about circumstantial evidence: see </w:t>
      </w:r>
      <w:r w:rsidRPr="00F2013C">
        <w:rPr>
          <w:rFonts w:cs="Times New Roman"/>
          <w:i/>
        </w:rPr>
        <w:t>John</w:t>
      </w:r>
      <w:r w:rsidRPr="00F2013C">
        <w:rPr>
          <w:rFonts w:cs="Times New Roman"/>
        </w:rPr>
        <w:t xml:space="preserve">, per </w:t>
      </w:r>
      <w:proofErr w:type="spellStart"/>
      <w:r w:rsidRPr="00F2013C">
        <w:rPr>
          <w:rFonts w:cs="Times New Roman"/>
        </w:rPr>
        <w:t>Laskin</w:t>
      </w:r>
      <w:proofErr w:type="spellEnd"/>
      <w:r w:rsidRPr="00F2013C">
        <w:rPr>
          <w:rFonts w:cs="Times New Roman"/>
        </w:rPr>
        <w:t xml:space="preserve"> J.</w:t>
      </w:r>
      <w:r>
        <w:rPr>
          <w:rFonts w:cs="Times New Roman"/>
        </w:rPr>
        <w:t>,</w:t>
      </w:r>
      <w:r w:rsidRPr="00F2013C">
        <w:rPr>
          <w:rFonts w:cs="Times New Roman"/>
        </w:rPr>
        <w:t xml:space="preserve"> dissenting but not on this point</w:t>
      </w:r>
      <w:r>
        <w:rPr>
          <w:rFonts w:cs="Times New Roman"/>
        </w:rPr>
        <w:t>,</w:t>
      </w:r>
      <w:r w:rsidRPr="00F2013C">
        <w:rPr>
          <w:rFonts w:cs="Times New Roman"/>
        </w:rPr>
        <w:t xml:space="preserve"> at p. 815.  In saying this, I do not suggest that using the traditional term “rational” is an error: the Court has said repeatedly and recently that the necessary message may be imparted in different ways: see, e.g., </w:t>
      </w:r>
      <w:r w:rsidRPr="00F2013C">
        <w:rPr>
          <w:rFonts w:cs="Times New Roman"/>
          <w:i/>
        </w:rPr>
        <w:t>Griffin</w:t>
      </w:r>
      <w:r>
        <w:rPr>
          <w:rFonts w:cs="Times New Roman"/>
        </w:rPr>
        <w:t xml:space="preserve">, </w:t>
      </w:r>
      <w:r w:rsidRPr="00F2013C">
        <w:rPr>
          <w:rFonts w:cs="Times New Roman"/>
        </w:rPr>
        <w:t>at para. 33.</w:t>
      </w:r>
    </w:p>
    <w:p w:rsidR="008F2100" w:rsidRPr="00F2013C" w:rsidRDefault="008F2100" w:rsidP="009E04B1">
      <w:pPr>
        <w:pStyle w:val="Title5LevelTitre5Niveau"/>
        <w:widowControl w:val="0"/>
        <w:tabs>
          <w:tab w:val="clear" w:pos="1728"/>
          <w:tab w:val="num" w:pos="1170"/>
        </w:tabs>
        <w:ind w:left="1170" w:hanging="630"/>
        <w:rPr>
          <w:rFonts w:cs="Times New Roman"/>
        </w:rPr>
      </w:pPr>
      <w:r>
        <w:rPr>
          <w:rFonts w:cs="Times New Roman"/>
        </w:rPr>
        <w:t>Whether the Inference Must B</w:t>
      </w:r>
      <w:r w:rsidRPr="00F2013C">
        <w:rPr>
          <w:rFonts w:cs="Times New Roman"/>
        </w:rPr>
        <w:t>e Based on “Proven Facts”</w:t>
      </w:r>
    </w:p>
    <w:p w:rsidR="008F2100" w:rsidRPr="00F2013C" w:rsidRDefault="008F2100" w:rsidP="009E04B1">
      <w:pPr>
        <w:pStyle w:val="ParaNoNdepar-AltN"/>
        <w:widowControl w:val="0"/>
        <w:rPr>
          <w:rFonts w:cs="Times New Roman"/>
        </w:rPr>
      </w:pPr>
      <w:r w:rsidRPr="00F2013C">
        <w:rPr>
          <w:rFonts w:cs="Times New Roman"/>
        </w:rPr>
        <w:lastRenderedPageBreak/>
        <w:t>At one time, it was said that in circumstantial cases, “conclusions alternative to the guilt of the accused must be rational conclusions based on inferences drawn from proven facts”</w:t>
      </w:r>
      <w:r w:rsidR="00EA3E7B">
        <w:rPr>
          <w:rFonts w:cs="Times New Roman"/>
        </w:rPr>
        <w:t>:</w:t>
      </w:r>
      <w:r w:rsidRPr="00F2013C">
        <w:rPr>
          <w:rFonts w:cs="Times New Roman"/>
        </w:rPr>
        <w:t xml:space="preserve"> see </w:t>
      </w:r>
      <w:r w:rsidRPr="00F2013C">
        <w:rPr>
          <w:rFonts w:cs="Times New Roman"/>
          <w:i/>
        </w:rPr>
        <w:t>R. v. McIver</w:t>
      </w:r>
      <w:r w:rsidRPr="00F2013C">
        <w:rPr>
          <w:rFonts w:cs="Times New Roman"/>
        </w:rPr>
        <w:t xml:space="preserve">, [1965] </w:t>
      </w:r>
      <w:r>
        <w:rPr>
          <w:rFonts w:cs="Times New Roman"/>
        </w:rPr>
        <w:t>2 O.R. 475</w:t>
      </w:r>
      <w:r w:rsidR="00C65B25">
        <w:rPr>
          <w:rFonts w:cs="Times New Roman"/>
        </w:rPr>
        <w:t xml:space="preserve"> (</w:t>
      </w:r>
      <w:r w:rsidR="00C65B25" w:rsidRPr="00F2013C">
        <w:rPr>
          <w:rFonts w:cs="Times New Roman"/>
        </w:rPr>
        <w:t>C</w:t>
      </w:r>
      <w:r w:rsidR="00C65B25">
        <w:rPr>
          <w:rFonts w:cs="Times New Roman"/>
        </w:rPr>
        <w:t>.</w:t>
      </w:r>
      <w:r w:rsidR="00C65B25" w:rsidRPr="00F2013C">
        <w:rPr>
          <w:rFonts w:cs="Times New Roman"/>
        </w:rPr>
        <w:t>A</w:t>
      </w:r>
      <w:r w:rsidR="00C65B25">
        <w:rPr>
          <w:rFonts w:cs="Times New Roman"/>
        </w:rPr>
        <w:t>.</w:t>
      </w:r>
      <w:r w:rsidR="00C65B25" w:rsidRPr="00F2013C">
        <w:rPr>
          <w:rFonts w:cs="Times New Roman"/>
        </w:rPr>
        <w:t>)</w:t>
      </w:r>
      <w:r>
        <w:rPr>
          <w:rFonts w:cs="Times New Roman"/>
        </w:rPr>
        <w:t xml:space="preserve">, </w:t>
      </w:r>
      <w:r w:rsidRPr="00F2013C">
        <w:rPr>
          <w:rFonts w:cs="Times New Roman"/>
        </w:rPr>
        <w:t>at p</w:t>
      </w:r>
      <w:r>
        <w:rPr>
          <w:rFonts w:cs="Times New Roman"/>
        </w:rPr>
        <w:t>. 479,</w:t>
      </w:r>
      <w:r w:rsidRPr="00F2013C">
        <w:rPr>
          <w:rFonts w:cs="Times New Roman"/>
        </w:rPr>
        <w:t xml:space="preserve"> aff’d without d</w:t>
      </w:r>
      <w:r>
        <w:rPr>
          <w:rFonts w:cs="Times New Roman"/>
        </w:rPr>
        <w:t xml:space="preserve">iscussion of this point [1966] </w:t>
      </w:r>
      <w:r w:rsidRPr="00F2013C">
        <w:rPr>
          <w:rFonts w:cs="Times New Roman"/>
        </w:rPr>
        <w:t xml:space="preserve">S.C.R. 254. However, that view is no longer accepted. In assessing circumstantial evidence, inferences consistent with innocence do not have to arise from proven facts: </w:t>
      </w:r>
      <w:r w:rsidRPr="00F2013C">
        <w:rPr>
          <w:rFonts w:cs="Times New Roman"/>
          <w:i/>
        </w:rPr>
        <w:t xml:space="preserve">R. v. </w:t>
      </w:r>
      <w:proofErr w:type="spellStart"/>
      <w:r w:rsidRPr="00F2013C">
        <w:rPr>
          <w:rFonts w:cs="Times New Roman"/>
          <w:i/>
        </w:rPr>
        <w:t>Khela</w:t>
      </w:r>
      <w:proofErr w:type="spellEnd"/>
      <w:r w:rsidRPr="00F2013C">
        <w:rPr>
          <w:rFonts w:cs="Times New Roman"/>
        </w:rPr>
        <w:t xml:space="preserve">, </w:t>
      </w:r>
      <w:r>
        <w:rPr>
          <w:rFonts w:cs="Times New Roman"/>
        </w:rPr>
        <w:t xml:space="preserve">2009 SCC 4, </w:t>
      </w:r>
      <w:r w:rsidRPr="00F2013C">
        <w:rPr>
          <w:rFonts w:cs="Times New Roman"/>
        </w:rPr>
        <w:t>[2009] 1 S.C.R. 104</w:t>
      </w:r>
      <w:r>
        <w:rPr>
          <w:rFonts w:cs="Times New Roman"/>
        </w:rPr>
        <w:t>,</w:t>
      </w:r>
      <w:r w:rsidRPr="00F2013C">
        <w:rPr>
          <w:rFonts w:cs="Times New Roman"/>
        </w:rPr>
        <w:t xml:space="preserve"> at para. 58; see also </w:t>
      </w:r>
      <w:r w:rsidRPr="00F2013C">
        <w:rPr>
          <w:rFonts w:cs="Times New Roman"/>
          <w:i/>
        </w:rPr>
        <w:t xml:space="preserve">R. v. </w:t>
      </w:r>
      <w:proofErr w:type="spellStart"/>
      <w:r>
        <w:rPr>
          <w:rFonts w:cs="Times New Roman"/>
          <w:i/>
        </w:rPr>
        <w:t>Defaveri</w:t>
      </w:r>
      <w:proofErr w:type="spellEnd"/>
      <w:r>
        <w:rPr>
          <w:rFonts w:cs="Times New Roman"/>
        </w:rPr>
        <w:t xml:space="preserve">, </w:t>
      </w:r>
      <w:r w:rsidRPr="00F2013C">
        <w:rPr>
          <w:rFonts w:cs="Times New Roman"/>
        </w:rPr>
        <w:t>2014 BCCA 370</w:t>
      </w:r>
      <w:r>
        <w:rPr>
          <w:rFonts w:cs="Times New Roman"/>
        </w:rPr>
        <w:t>, 361 B.C.A.C. 301,</w:t>
      </w:r>
      <w:r w:rsidRPr="00F2013C">
        <w:rPr>
          <w:rFonts w:cs="Times New Roman"/>
        </w:rPr>
        <w:t xml:space="preserve"> at para. 10; </w:t>
      </w:r>
      <w:r w:rsidRPr="00F2013C">
        <w:rPr>
          <w:rFonts w:cs="Times New Roman"/>
          <w:i/>
        </w:rPr>
        <w:t>R. v. Bui</w:t>
      </w:r>
      <w:r>
        <w:rPr>
          <w:rFonts w:cs="Times New Roman"/>
        </w:rPr>
        <w:t>,</w:t>
      </w:r>
      <w:r w:rsidRPr="00F2013C">
        <w:rPr>
          <w:rFonts w:cs="Times New Roman"/>
        </w:rPr>
        <w:t xml:space="preserve"> 2014 ONCA 614</w:t>
      </w:r>
      <w:r>
        <w:rPr>
          <w:rFonts w:cs="Times New Roman"/>
        </w:rPr>
        <w:t>, 14 C.R. (7th) 149,</w:t>
      </w:r>
      <w:r w:rsidRPr="00F2013C">
        <w:rPr>
          <w:rFonts w:cs="Times New Roman"/>
        </w:rPr>
        <w:t xml:space="preserve"> at para. 28.  Requiring proven facts to support explanations other than guilt wrongly puts an obligation on an accused to prove facts and is contrary to the rule that whether there is a reasonable doubt is assessed by considering all of the evidence. The issue with respect to circumstantial evidence is the range of reasonable inferences that can be drawn from it. If there are reasonable inferences other than guilt, the Crown’s evidence does not meet the </w:t>
      </w:r>
      <w:r>
        <w:rPr>
          <w:rFonts w:cs="Times New Roman"/>
        </w:rPr>
        <w:t>standard of proof beyond a reasonable doubt</w:t>
      </w:r>
      <w:r w:rsidRPr="00F2013C">
        <w:rPr>
          <w:rFonts w:cs="Times New Roman"/>
        </w:rPr>
        <w:t>.</w:t>
      </w:r>
    </w:p>
    <w:p w:rsidR="008F2100" w:rsidRPr="00F2013C" w:rsidRDefault="008F2100" w:rsidP="009E04B1">
      <w:pPr>
        <w:pStyle w:val="ParaNoNdepar-AltN"/>
        <w:widowControl w:val="0"/>
        <w:rPr>
          <w:rFonts w:cs="Times New Roman"/>
        </w:rPr>
      </w:pPr>
      <w:r w:rsidRPr="00F2013C">
        <w:rPr>
          <w:rFonts w:cs="Times New Roman"/>
        </w:rPr>
        <w:t>I agree with the respondent’s position that a reasonable doubt, or theory alterna</w:t>
      </w:r>
      <w:r>
        <w:rPr>
          <w:rFonts w:cs="Times New Roman"/>
        </w:rPr>
        <w:t>tive to guilt, is not rendered “</w:t>
      </w:r>
      <w:r w:rsidRPr="00F2013C">
        <w:rPr>
          <w:rFonts w:cs="Times New Roman"/>
        </w:rPr>
        <w:t>speculative</w:t>
      </w:r>
      <w:r>
        <w:rPr>
          <w:rFonts w:cs="Times New Roman"/>
        </w:rPr>
        <w:t>”</w:t>
      </w:r>
      <w:r w:rsidRPr="00F2013C">
        <w:rPr>
          <w:rFonts w:cs="Times New Roman"/>
        </w:rPr>
        <w:t xml:space="preserve"> by the mere fact that it arises from a lack of evidence.  As stated by this Court in </w:t>
      </w:r>
      <w:proofErr w:type="spellStart"/>
      <w:r w:rsidRPr="00F2013C">
        <w:rPr>
          <w:rFonts w:cs="Times New Roman"/>
          <w:i/>
        </w:rPr>
        <w:t>Lifchus</w:t>
      </w:r>
      <w:proofErr w:type="spellEnd"/>
      <w:r w:rsidRPr="00031A55">
        <w:rPr>
          <w:rFonts w:cs="Times New Roman"/>
        </w:rPr>
        <w:t>,</w:t>
      </w:r>
      <w:r w:rsidRPr="00F2013C">
        <w:rPr>
          <w:rFonts w:cs="Times New Roman"/>
          <w:i/>
        </w:rPr>
        <w:t xml:space="preserve"> </w:t>
      </w:r>
      <w:r w:rsidRPr="00F2013C">
        <w:rPr>
          <w:rFonts w:cs="Times New Roman"/>
        </w:rPr>
        <w:t xml:space="preserve">a reasonable doubt “is a doubt based on reason and common sense which must be logically based </w:t>
      </w:r>
      <w:r>
        <w:rPr>
          <w:rFonts w:cs="Times New Roman"/>
        </w:rPr>
        <w:t>up</w:t>
      </w:r>
      <w:r w:rsidRPr="00F2013C">
        <w:rPr>
          <w:rFonts w:cs="Times New Roman"/>
        </w:rPr>
        <w:t xml:space="preserve">on the evidence </w:t>
      </w:r>
      <w:r w:rsidRPr="00F2013C">
        <w:rPr>
          <w:rFonts w:cs="Times New Roman"/>
          <w:u w:val="single"/>
        </w:rPr>
        <w:t>or lack of evidence</w:t>
      </w:r>
      <w:r w:rsidRPr="00F2013C">
        <w:rPr>
          <w:rFonts w:cs="Times New Roman"/>
        </w:rPr>
        <w:t>”: para. 30</w:t>
      </w:r>
      <w:r>
        <w:rPr>
          <w:rFonts w:cs="Times New Roman"/>
        </w:rPr>
        <w:t xml:space="preserve"> (emphasis added)</w:t>
      </w:r>
      <w:r w:rsidRPr="00F2013C">
        <w:rPr>
          <w:rFonts w:cs="Times New Roman"/>
        </w:rPr>
        <w:t>.  A certain gap in the evidence may result in inferences other than guilt. But those inferences must be reasonable given the evidence and the absence of evidence, assessed logically, and in light of human experience and common sense.</w:t>
      </w:r>
    </w:p>
    <w:p w:rsidR="008F2100" w:rsidRPr="00F2013C" w:rsidRDefault="008F2100" w:rsidP="009E04B1">
      <w:pPr>
        <w:pStyle w:val="ParaNoNdepar-AltN"/>
        <w:widowControl w:val="0"/>
        <w:rPr>
          <w:rFonts w:cs="Times New Roman"/>
        </w:rPr>
      </w:pPr>
      <w:r w:rsidRPr="00F2013C">
        <w:rPr>
          <w:rFonts w:cs="Times New Roman"/>
        </w:rPr>
        <w:lastRenderedPageBreak/>
        <w:t xml:space="preserve">When assessing circumstantial evidence, the trier of fact should consider “other plausible </w:t>
      </w:r>
      <w:proofErr w:type="spellStart"/>
      <w:r w:rsidRPr="00F2013C">
        <w:rPr>
          <w:rFonts w:cs="Times New Roman"/>
        </w:rPr>
        <w:t>theor</w:t>
      </w:r>
      <w:proofErr w:type="spellEnd"/>
      <w:r>
        <w:rPr>
          <w:rFonts w:cs="Times New Roman"/>
        </w:rPr>
        <w:t>[</w:t>
      </w:r>
      <w:proofErr w:type="spellStart"/>
      <w:r w:rsidRPr="00F2013C">
        <w:rPr>
          <w:rFonts w:cs="Times New Roman"/>
        </w:rPr>
        <w:t>ies</w:t>
      </w:r>
      <w:proofErr w:type="spellEnd"/>
      <w:r>
        <w:rPr>
          <w:rFonts w:cs="Times New Roman"/>
        </w:rPr>
        <w:t>]</w:t>
      </w:r>
      <w:r w:rsidRPr="00F2013C">
        <w:rPr>
          <w:rFonts w:cs="Times New Roman"/>
        </w:rPr>
        <w:t xml:space="preserve">” and “other reasonable possibilities” which are inconsistent with guilt:  </w:t>
      </w:r>
      <w:r w:rsidRPr="00F2013C">
        <w:rPr>
          <w:rFonts w:cs="Times New Roman"/>
          <w:i/>
        </w:rPr>
        <w:t xml:space="preserve">R. v. </w:t>
      </w:r>
      <w:proofErr w:type="spellStart"/>
      <w:r w:rsidRPr="00F2013C">
        <w:rPr>
          <w:rFonts w:cs="Times New Roman"/>
          <w:i/>
        </w:rPr>
        <w:t>Comba</w:t>
      </w:r>
      <w:proofErr w:type="spellEnd"/>
      <w:r w:rsidRPr="00F2013C">
        <w:rPr>
          <w:rFonts w:cs="Times New Roman"/>
        </w:rPr>
        <w:t>, [1938] O.R. 200 (C.A.)</w:t>
      </w:r>
      <w:r>
        <w:rPr>
          <w:rFonts w:cs="Times New Roman"/>
        </w:rPr>
        <w:t>,</w:t>
      </w:r>
      <w:r w:rsidRPr="00F2013C">
        <w:rPr>
          <w:rFonts w:cs="Times New Roman"/>
        </w:rPr>
        <w:t xml:space="preserve"> at p</w:t>
      </w:r>
      <w:r>
        <w:rPr>
          <w:rFonts w:cs="Times New Roman"/>
        </w:rPr>
        <w:t>p.</w:t>
      </w:r>
      <w:r w:rsidRPr="00F2013C">
        <w:rPr>
          <w:rFonts w:cs="Times New Roman"/>
        </w:rPr>
        <w:t xml:space="preserve"> 205</w:t>
      </w:r>
      <w:r>
        <w:rPr>
          <w:rFonts w:cs="Times New Roman"/>
        </w:rPr>
        <w:t xml:space="preserve"> and 211</w:t>
      </w:r>
      <w:r w:rsidRPr="00F2013C">
        <w:rPr>
          <w:rFonts w:cs="Times New Roman"/>
        </w:rPr>
        <w:t xml:space="preserve">, per Middleton J.A., aff’d [1938] S.C.R. 396; </w:t>
      </w:r>
      <w:r w:rsidRPr="00F2013C">
        <w:rPr>
          <w:rFonts w:cs="Times New Roman"/>
          <w:i/>
        </w:rPr>
        <w:t xml:space="preserve">R. v. </w:t>
      </w:r>
      <w:proofErr w:type="spellStart"/>
      <w:r w:rsidRPr="00F2013C">
        <w:rPr>
          <w:rFonts w:cs="Times New Roman"/>
          <w:i/>
        </w:rPr>
        <w:t>Baigent</w:t>
      </w:r>
      <w:proofErr w:type="spellEnd"/>
      <w:r w:rsidRPr="00031A55">
        <w:rPr>
          <w:rFonts w:cs="Times New Roman"/>
        </w:rPr>
        <w:t>,</w:t>
      </w:r>
      <w:r w:rsidRPr="00F2013C">
        <w:rPr>
          <w:rFonts w:cs="Times New Roman"/>
        </w:rPr>
        <w:t xml:space="preserve"> 2013 BCCA 28</w:t>
      </w:r>
      <w:r>
        <w:rPr>
          <w:rFonts w:cs="Times New Roman"/>
        </w:rPr>
        <w:t>, 335 B.C.A.C. 11,</w:t>
      </w:r>
      <w:r w:rsidRPr="00F2013C">
        <w:rPr>
          <w:rFonts w:cs="Times New Roman"/>
        </w:rPr>
        <w:t xml:space="preserve"> at para. 20; </w:t>
      </w:r>
      <w:r w:rsidRPr="00F2013C">
        <w:rPr>
          <w:rFonts w:cs="Times New Roman"/>
          <w:i/>
        </w:rPr>
        <w:t>R. v. Mitchell</w:t>
      </w:r>
      <w:r w:rsidRPr="00F2013C">
        <w:rPr>
          <w:rFonts w:cs="Times New Roman"/>
        </w:rPr>
        <w:t xml:space="preserve">, [2008] QCA 394 </w:t>
      </w:r>
      <w:r>
        <w:rPr>
          <w:rFonts w:cs="Times New Roman"/>
        </w:rPr>
        <w:t>(</w:t>
      </w:r>
      <w:proofErr w:type="spellStart"/>
      <w:r>
        <w:rPr>
          <w:rFonts w:cs="Times New Roman"/>
        </w:rPr>
        <w:t>AustLII</w:t>
      </w:r>
      <w:proofErr w:type="spellEnd"/>
      <w:r w:rsidRPr="00F2013C">
        <w:rPr>
          <w:rFonts w:cs="Times New Roman"/>
        </w:rPr>
        <w:t>)</w:t>
      </w:r>
      <w:r>
        <w:rPr>
          <w:rFonts w:cs="Times New Roman"/>
        </w:rPr>
        <w:t>,</w:t>
      </w:r>
      <w:r w:rsidRPr="00F2013C">
        <w:rPr>
          <w:rFonts w:cs="Times New Roman"/>
        </w:rPr>
        <w:t xml:space="preserve"> at para. 35. I agree with the appellant that the Crown thus may need to negative these </w:t>
      </w:r>
      <w:r w:rsidRPr="00031A55">
        <w:rPr>
          <w:rFonts w:cs="Times New Roman"/>
          <w:i/>
        </w:rPr>
        <w:t>reasonable</w:t>
      </w:r>
      <w:r w:rsidRPr="00F2013C">
        <w:rPr>
          <w:rFonts w:cs="Times New Roman"/>
        </w:rPr>
        <w:t xml:space="preserve"> possibilities, but certainly does not need to “negative every possible conjecture, no matter how irrational or fanciful, which might be consistent with the innocence of the accused”: </w:t>
      </w:r>
      <w:r w:rsidRPr="00F2013C">
        <w:rPr>
          <w:rFonts w:cs="Times New Roman"/>
          <w:i/>
        </w:rPr>
        <w:t xml:space="preserve">R. v. </w:t>
      </w:r>
      <w:proofErr w:type="spellStart"/>
      <w:r w:rsidRPr="00F2013C">
        <w:rPr>
          <w:rFonts w:cs="Times New Roman"/>
          <w:i/>
        </w:rPr>
        <w:t>Bagshaw</w:t>
      </w:r>
      <w:proofErr w:type="spellEnd"/>
      <w:r w:rsidRPr="00F2013C">
        <w:rPr>
          <w:rFonts w:cs="Times New Roman"/>
        </w:rPr>
        <w:t>, [1972] S.C.R. 2</w:t>
      </w:r>
      <w:r>
        <w:rPr>
          <w:rFonts w:cs="Times New Roman"/>
        </w:rPr>
        <w:t>,</w:t>
      </w:r>
      <w:r w:rsidRPr="00F2013C">
        <w:rPr>
          <w:rFonts w:cs="Times New Roman"/>
        </w:rPr>
        <w:t xml:space="preserve"> </w:t>
      </w:r>
      <w:r>
        <w:rPr>
          <w:rFonts w:cs="Times New Roman"/>
        </w:rPr>
        <w:t>at p. 8</w:t>
      </w:r>
      <w:r w:rsidRPr="00F2013C">
        <w:rPr>
          <w:rFonts w:cs="Times New Roman"/>
        </w:rPr>
        <w:t>. “</w:t>
      </w:r>
      <w:r>
        <w:rPr>
          <w:rFonts w:cs="Times New Roman"/>
        </w:rPr>
        <w:t>Other p</w:t>
      </w:r>
      <w:r w:rsidRPr="00F2013C">
        <w:rPr>
          <w:rFonts w:cs="Times New Roman"/>
        </w:rPr>
        <w:t xml:space="preserve">lausible theories” or “other reasonable possibilities” must be based on logic and experience applied to the evidence or the absence of evidence, not on speculation.  </w:t>
      </w:r>
    </w:p>
    <w:p w:rsidR="008F2100" w:rsidRPr="00F2013C" w:rsidRDefault="008F2100" w:rsidP="009E04B1">
      <w:pPr>
        <w:pStyle w:val="ParaNoNdepar-AltN"/>
        <w:widowControl w:val="0"/>
        <w:rPr>
          <w:rFonts w:cs="Times New Roman"/>
        </w:rPr>
      </w:pPr>
      <w:r w:rsidRPr="00F2013C">
        <w:rPr>
          <w:rFonts w:cs="Times New Roman"/>
        </w:rPr>
        <w:t xml:space="preserve">Of course, the line between a “plausible theory” and “speculation” is not always easy to draw. But the basic question is whether the circumstantial evidence, viewed logically and in light of human experience, is reasonably capable of supporting an inference other than that the accused is guilty. </w:t>
      </w:r>
    </w:p>
    <w:p w:rsidR="008F2100" w:rsidRPr="00F2013C" w:rsidRDefault="008F2100" w:rsidP="009E04B1">
      <w:pPr>
        <w:pStyle w:val="ParaNoNdepar-AltN"/>
        <w:widowControl w:val="0"/>
        <w:rPr>
          <w:rFonts w:cs="Times New Roman"/>
        </w:rPr>
      </w:pPr>
      <w:r w:rsidRPr="00F2013C">
        <w:rPr>
          <w:rFonts w:cs="Times New Roman"/>
        </w:rPr>
        <w:t xml:space="preserve">I have found two particularly useful statements of this principle. </w:t>
      </w:r>
    </w:p>
    <w:p w:rsidR="008F2100" w:rsidRPr="00F2013C" w:rsidRDefault="008F2100" w:rsidP="009E04B1">
      <w:pPr>
        <w:pStyle w:val="ParaNoNdepar-AltN"/>
        <w:widowControl w:val="0"/>
        <w:rPr>
          <w:rFonts w:cs="Times New Roman"/>
        </w:rPr>
      </w:pPr>
      <w:r w:rsidRPr="00F2013C">
        <w:rPr>
          <w:rFonts w:cs="Times New Roman"/>
        </w:rPr>
        <w:t xml:space="preserve">The first is from an old Australian case, </w:t>
      </w:r>
      <w:r w:rsidRPr="00F2013C">
        <w:rPr>
          <w:rFonts w:cs="Times New Roman"/>
          <w:i/>
        </w:rPr>
        <w:t>Martin v. Osborne</w:t>
      </w:r>
      <w:r w:rsidR="004142DF">
        <w:rPr>
          <w:rFonts w:cs="Times New Roman"/>
        </w:rPr>
        <w:t xml:space="preserve"> (1936)</w:t>
      </w:r>
      <w:r w:rsidRPr="00F2013C">
        <w:rPr>
          <w:rFonts w:cs="Times New Roman"/>
        </w:rPr>
        <w:t>, 55 C.L.R. 367</w:t>
      </w:r>
      <w:r w:rsidR="00DA571E">
        <w:rPr>
          <w:rFonts w:cs="Times New Roman"/>
        </w:rPr>
        <w:t xml:space="preserve"> (H.C</w:t>
      </w:r>
      <w:r w:rsidR="00C65B25">
        <w:rPr>
          <w:rFonts w:cs="Times New Roman"/>
        </w:rPr>
        <w:t>.)</w:t>
      </w:r>
      <w:r>
        <w:rPr>
          <w:rFonts w:cs="Times New Roman"/>
        </w:rPr>
        <w:t>, at p. 375</w:t>
      </w:r>
      <w:r w:rsidRPr="00F2013C">
        <w:rPr>
          <w:rFonts w:cs="Times New Roman"/>
        </w:rPr>
        <w:t>:</w:t>
      </w:r>
    </w:p>
    <w:p w:rsidR="008F2100" w:rsidRPr="00F2013C" w:rsidRDefault="008F2100" w:rsidP="009E04B1">
      <w:pPr>
        <w:pStyle w:val="Citation-AltC"/>
        <w:widowControl w:val="0"/>
      </w:pPr>
      <w:r w:rsidRPr="00F2013C">
        <w:t xml:space="preserve">In the inculpation of an accused person the evidentiary circumstances must bear no other </w:t>
      </w:r>
      <w:r w:rsidRPr="00F2013C">
        <w:rPr>
          <w:u w:val="single"/>
        </w:rPr>
        <w:t>reasonable</w:t>
      </w:r>
      <w:r w:rsidRPr="00F2013C">
        <w:t xml:space="preserve"> explanation. This means that, </w:t>
      </w:r>
      <w:r w:rsidRPr="00F2013C">
        <w:rPr>
          <w:u w:val="single"/>
        </w:rPr>
        <w:t>according to the common course of human affairs</w:t>
      </w:r>
      <w:r w:rsidRPr="00031A55">
        <w:rPr>
          <w:u w:val="single"/>
        </w:rPr>
        <w:t xml:space="preserve">, </w:t>
      </w:r>
      <w:r w:rsidRPr="00F2013C">
        <w:rPr>
          <w:u w:val="single"/>
        </w:rPr>
        <w:t xml:space="preserve">the degree of probability that the occurrence of the facts proved would be accompanied by the occurrence of </w:t>
      </w:r>
      <w:r w:rsidRPr="00F2013C">
        <w:rPr>
          <w:u w:val="single"/>
        </w:rPr>
        <w:lastRenderedPageBreak/>
        <w:t>the fact to be proved is so high that the contrary cannot reasonably be supposed</w:t>
      </w:r>
      <w:r w:rsidRPr="00F2013C">
        <w:t>. [</w:t>
      </w:r>
      <w:r>
        <w:t>E</w:t>
      </w:r>
      <w:r w:rsidRPr="00F2013C">
        <w:t>mphasis added</w:t>
      </w:r>
      <w:r>
        <w:t>.</w:t>
      </w:r>
      <w:r w:rsidRPr="00F2013C">
        <w:t>]</w:t>
      </w:r>
    </w:p>
    <w:p w:rsidR="008F2100" w:rsidRPr="00F2013C" w:rsidRDefault="008F2100" w:rsidP="009E04B1">
      <w:pPr>
        <w:pStyle w:val="ParaNoNdepar-AltN"/>
        <w:widowControl w:val="0"/>
        <w:rPr>
          <w:rFonts w:cs="Times New Roman"/>
        </w:rPr>
      </w:pPr>
      <w:r w:rsidRPr="00F2013C">
        <w:rPr>
          <w:rFonts w:cs="Times New Roman"/>
        </w:rPr>
        <w:t xml:space="preserve">While this language is not appropriate for a jury instruction, I find the </w:t>
      </w:r>
      <w:r>
        <w:rPr>
          <w:rFonts w:cs="Times New Roman"/>
        </w:rPr>
        <w:t>idea expressed in this passage —</w:t>
      </w:r>
      <w:r w:rsidRPr="00F2013C">
        <w:rPr>
          <w:rFonts w:cs="Times New Roman"/>
        </w:rPr>
        <w:t xml:space="preserve"> that to justify a conviction, the circumstantial evidence, assessed in light of human experience, should be such that it excludes an</w:t>
      </w:r>
      <w:r>
        <w:rPr>
          <w:rFonts w:cs="Times New Roman"/>
        </w:rPr>
        <w:t>y other reasonable alternative —</w:t>
      </w:r>
      <w:r w:rsidRPr="00F2013C">
        <w:rPr>
          <w:rFonts w:cs="Times New Roman"/>
        </w:rPr>
        <w:t xml:space="preserve"> a helpful way of describing the line between plausible theories and speculation.</w:t>
      </w:r>
    </w:p>
    <w:p w:rsidR="008F2100" w:rsidRPr="00F2013C" w:rsidRDefault="008F2100" w:rsidP="009E04B1">
      <w:pPr>
        <w:pStyle w:val="ParaNoNdepar-AltN"/>
        <w:widowControl w:val="0"/>
        <w:rPr>
          <w:rFonts w:cs="Times New Roman"/>
        </w:rPr>
      </w:pPr>
      <w:r w:rsidRPr="00F2013C">
        <w:rPr>
          <w:rFonts w:cs="Times New Roman"/>
        </w:rPr>
        <w:t xml:space="preserve">The second is from </w:t>
      </w:r>
      <w:r w:rsidRPr="00F2013C">
        <w:rPr>
          <w:rFonts w:cs="Times New Roman"/>
          <w:i/>
        </w:rPr>
        <w:t xml:space="preserve">R. v. </w:t>
      </w:r>
      <w:proofErr w:type="spellStart"/>
      <w:r w:rsidRPr="00F2013C">
        <w:rPr>
          <w:rFonts w:cs="Times New Roman"/>
          <w:i/>
        </w:rPr>
        <w:t>Dipnarine</w:t>
      </w:r>
      <w:proofErr w:type="spellEnd"/>
      <w:r>
        <w:rPr>
          <w:rFonts w:cs="Times New Roman"/>
        </w:rPr>
        <w:t xml:space="preserve">, 2014 ABCA 328, 584 A.R. 138, </w:t>
      </w:r>
      <w:r w:rsidRPr="00F2013C">
        <w:rPr>
          <w:rFonts w:cs="Times New Roman"/>
        </w:rPr>
        <w:t>at paras. 22</w:t>
      </w:r>
      <w:r>
        <w:rPr>
          <w:rFonts w:cs="Times New Roman"/>
        </w:rPr>
        <w:t xml:space="preserve"> and</w:t>
      </w:r>
      <w:r w:rsidRPr="00F2013C">
        <w:rPr>
          <w:rFonts w:cs="Times New Roman"/>
        </w:rPr>
        <w:t xml:space="preserve"> 24-</w:t>
      </w:r>
      <w:r>
        <w:rPr>
          <w:rFonts w:cs="Times New Roman"/>
        </w:rPr>
        <w:t>2</w:t>
      </w:r>
      <w:r w:rsidRPr="00F2013C">
        <w:rPr>
          <w:rFonts w:cs="Times New Roman"/>
        </w:rPr>
        <w:t xml:space="preserve">5. The </w:t>
      </w:r>
      <w:r>
        <w:rPr>
          <w:rFonts w:cs="Times New Roman"/>
        </w:rPr>
        <w:t>c</w:t>
      </w:r>
      <w:r w:rsidRPr="00F2013C">
        <w:rPr>
          <w:rFonts w:cs="Times New Roman"/>
        </w:rPr>
        <w:t>ourt stated that “</w:t>
      </w:r>
      <w:r>
        <w:rPr>
          <w:rFonts w:cs="Times New Roman"/>
        </w:rPr>
        <w:t>[</w:t>
      </w:r>
      <w:r w:rsidRPr="00F2013C">
        <w:rPr>
          <w:rFonts w:cs="Times New Roman"/>
        </w:rPr>
        <w:t>c</w:t>
      </w:r>
      <w:r>
        <w:rPr>
          <w:rFonts w:cs="Times New Roman"/>
        </w:rPr>
        <w:t>]</w:t>
      </w:r>
      <w:proofErr w:type="spellStart"/>
      <w:r w:rsidRPr="00F2013C">
        <w:rPr>
          <w:rFonts w:cs="Times New Roman"/>
        </w:rPr>
        <w:t>ircumstantial</w:t>
      </w:r>
      <w:proofErr w:type="spellEnd"/>
      <w:r w:rsidRPr="00F2013C">
        <w:rPr>
          <w:rFonts w:cs="Times New Roman"/>
        </w:rPr>
        <w:t xml:space="preserve"> evidence does not have to totally exclu</w:t>
      </w:r>
      <w:r w:rsidR="004142DF">
        <w:rPr>
          <w:rFonts w:cs="Times New Roman"/>
        </w:rPr>
        <w:t>de other conceivable inferences</w:t>
      </w:r>
      <w:r w:rsidRPr="00F2013C">
        <w:rPr>
          <w:rFonts w:cs="Times New Roman"/>
        </w:rPr>
        <w:t>”</w:t>
      </w:r>
      <w:r w:rsidR="004142DF">
        <w:rPr>
          <w:rFonts w:cs="Times New Roman"/>
        </w:rPr>
        <w:t>;</w:t>
      </w:r>
      <w:r w:rsidRPr="00F2013C">
        <w:rPr>
          <w:rFonts w:cs="Times New Roman"/>
        </w:rPr>
        <w:t xml:space="preserve"> that the trier of fact should not act on alternative interpretations of the circumstances that it considers to be unreasonable; and that alternative inferences must be reasonable, not just possible.  </w:t>
      </w:r>
    </w:p>
    <w:p w:rsidR="008F2100" w:rsidRPr="00F2013C" w:rsidRDefault="008F2100" w:rsidP="009E04B1">
      <w:pPr>
        <w:pStyle w:val="ParaNoNdepar-AltN"/>
        <w:widowControl w:val="0"/>
        <w:rPr>
          <w:rFonts w:cs="Times New Roman"/>
        </w:rPr>
      </w:pPr>
      <w:r w:rsidRPr="00F2013C">
        <w:rPr>
          <w:rFonts w:cs="Times New Roman"/>
        </w:rPr>
        <w:t>Where the line is to be drawn between speculation and reasonable inferences in a particular case cannot be described with greater clarity than it is in these passages.</w:t>
      </w:r>
    </w:p>
    <w:p w:rsidR="008F2100" w:rsidRPr="00F2013C" w:rsidRDefault="008F2100" w:rsidP="009E04B1">
      <w:pPr>
        <w:pStyle w:val="Title4LevelTitre4Niveau"/>
        <w:widowControl w:val="0"/>
        <w:rPr>
          <w:rFonts w:cs="Times New Roman"/>
        </w:rPr>
      </w:pPr>
      <w:r w:rsidRPr="00F2013C">
        <w:rPr>
          <w:rFonts w:cs="Times New Roman"/>
        </w:rPr>
        <w:t>Did the</w:t>
      </w:r>
      <w:r>
        <w:rPr>
          <w:rFonts w:cs="Times New Roman"/>
        </w:rPr>
        <w:t xml:space="preserve"> T</w:t>
      </w:r>
      <w:r w:rsidRPr="00F2013C">
        <w:rPr>
          <w:rFonts w:cs="Times New Roman"/>
        </w:rPr>
        <w:t xml:space="preserve">rial </w:t>
      </w:r>
      <w:r>
        <w:rPr>
          <w:rFonts w:cs="Times New Roman"/>
        </w:rPr>
        <w:t>J</w:t>
      </w:r>
      <w:r w:rsidRPr="00F2013C">
        <w:rPr>
          <w:rFonts w:cs="Times New Roman"/>
        </w:rPr>
        <w:t xml:space="preserve">udge </w:t>
      </w:r>
      <w:r>
        <w:rPr>
          <w:rFonts w:cs="Times New Roman"/>
        </w:rPr>
        <w:t>E</w:t>
      </w:r>
      <w:r w:rsidRPr="00F2013C">
        <w:rPr>
          <w:rFonts w:cs="Times New Roman"/>
        </w:rPr>
        <w:t>rr?</w:t>
      </w:r>
    </w:p>
    <w:p w:rsidR="008F2100" w:rsidRPr="00F2013C" w:rsidRDefault="008F2100" w:rsidP="009E04B1">
      <w:pPr>
        <w:pStyle w:val="ParaNoNdepar-AltN"/>
        <w:widowControl w:val="0"/>
        <w:rPr>
          <w:rFonts w:cs="Times New Roman"/>
        </w:rPr>
      </w:pPr>
      <w:r w:rsidRPr="00F2013C">
        <w:rPr>
          <w:rFonts w:cs="Times New Roman"/>
        </w:rPr>
        <w:t>I return to the question of whether the Court of Appeal was wrong to find a legal error in relation to circumstantial evidence in the trial judge’s reasons.</w:t>
      </w:r>
    </w:p>
    <w:p w:rsidR="008F2100" w:rsidRPr="00F2013C" w:rsidRDefault="008F2100" w:rsidP="009E04B1">
      <w:pPr>
        <w:pStyle w:val="ParaNoNdepar-AltN"/>
        <w:widowControl w:val="0"/>
        <w:rPr>
          <w:rFonts w:cs="Times New Roman"/>
        </w:rPr>
      </w:pPr>
      <w:r w:rsidRPr="00F2013C">
        <w:rPr>
          <w:rFonts w:cs="Times New Roman"/>
        </w:rPr>
        <w:t xml:space="preserve">The Court of Appeal found that the trial judge erred because he failed to </w:t>
      </w:r>
      <w:r w:rsidRPr="00F2013C">
        <w:rPr>
          <w:rFonts w:cs="Times New Roman"/>
        </w:rPr>
        <w:lastRenderedPageBreak/>
        <w:t>consider reasonable inferences inconsistent with guilt that could have arisen from</w:t>
      </w:r>
      <w:r w:rsidRPr="00882E4D">
        <w:rPr>
          <w:rFonts w:cs="Times New Roman"/>
          <w:i/>
        </w:rPr>
        <w:t xml:space="preserve"> a lack of evidence</w:t>
      </w:r>
      <w:r w:rsidRPr="00882E4D">
        <w:rPr>
          <w:rFonts w:cs="Times New Roman"/>
        </w:rPr>
        <w:t>.</w:t>
      </w:r>
      <w:r>
        <w:rPr>
          <w:rFonts w:cs="Times New Roman"/>
        </w:rPr>
        <w:t xml:space="preserve">  The c</w:t>
      </w:r>
      <w:r w:rsidRPr="00F2013C">
        <w:rPr>
          <w:rFonts w:cs="Times New Roman"/>
        </w:rPr>
        <w:t>ourt found that, by failing to give the accused the benefit of “gaps” in the evidence, the trial judge had, in effect, put a burden on the accused to prove something: paras.</w:t>
      </w:r>
      <w:r>
        <w:rPr>
          <w:rFonts w:cs="Times New Roman"/>
        </w:rPr>
        <w:t xml:space="preserve"> 19-</w:t>
      </w:r>
      <w:r w:rsidRPr="00F2013C">
        <w:rPr>
          <w:rFonts w:cs="Times New Roman"/>
        </w:rPr>
        <w:t xml:space="preserve">20. </w:t>
      </w:r>
      <w:proofErr w:type="gramStart"/>
      <w:r w:rsidRPr="00F2013C">
        <w:rPr>
          <w:rFonts w:cs="Times New Roman"/>
        </w:rPr>
        <w:t>The</w:t>
      </w:r>
      <w:proofErr w:type="gramEnd"/>
      <w:r w:rsidRPr="00F2013C">
        <w:rPr>
          <w:rFonts w:cs="Times New Roman"/>
        </w:rPr>
        <w:t xml:space="preserve"> respondent supports that conclusion and makes two additional points. He submits that the trial judge erred in relying on </w:t>
      </w:r>
      <w:r w:rsidRPr="00F2013C">
        <w:rPr>
          <w:rFonts w:cs="Times New Roman"/>
          <w:i/>
        </w:rPr>
        <w:t xml:space="preserve">McIver </w:t>
      </w:r>
      <w:r w:rsidRPr="00F2013C">
        <w:rPr>
          <w:rFonts w:cs="Times New Roman"/>
        </w:rPr>
        <w:t>which wrongly required inferences alternative to guilt to be supported by the evidence and that the trial judge relied on inapplicable sources</w:t>
      </w:r>
      <w:r>
        <w:rPr>
          <w:rFonts w:cs="Times New Roman"/>
        </w:rPr>
        <w:t xml:space="preserve"> </w:t>
      </w:r>
      <w:r w:rsidRPr="00F2013C">
        <w:rPr>
          <w:rFonts w:cs="Times New Roman"/>
        </w:rPr>
        <w:t>—</w:t>
      </w:r>
      <w:r>
        <w:rPr>
          <w:rFonts w:cs="Times New Roman"/>
        </w:rPr>
        <w:t xml:space="preserve"> </w:t>
      </w:r>
      <w:r w:rsidRPr="00F2013C">
        <w:rPr>
          <w:rFonts w:cs="Times New Roman"/>
          <w:i/>
        </w:rPr>
        <w:t xml:space="preserve">certiorari </w:t>
      </w:r>
      <w:r w:rsidRPr="00F2013C">
        <w:rPr>
          <w:rFonts w:cs="Times New Roman"/>
        </w:rPr>
        <w:t xml:space="preserve">applications to quash committals to stand trial, where the beyond a reasonable doubt standard does not apply.  In doing so, it is submitted, the judge failed to appreciate the burden of proof on the Crown and the difference between </w:t>
      </w:r>
      <w:r>
        <w:rPr>
          <w:rFonts w:cs="Times New Roman"/>
        </w:rPr>
        <w:t>the standard</w:t>
      </w:r>
      <w:r w:rsidRPr="00F2013C">
        <w:rPr>
          <w:rFonts w:cs="Times New Roman"/>
        </w:rPr>
        <w:t xml:space="preserve"> applied when deciding to commit someone to stand trial at a preliminary inquiry and the reasonable doubt standard applied at trial.  </w:t>
      </w:r>
    </w:p>
    <w:p w:rsidR="008F2100" w:rsidRPr="00F2013C" w:rsidRDefault="008F2100" w:rsidP="009E04B1">
      <w:pPr>
        <w:pStyle w:val="ParaNoNdepar-AltN"/>
        <w:widowControl w:val="0"/>
        <w:rPr>
          <w:rFonts w:cs="Times New Roman"/>
        </w:rPr>
      </w:pPr>
      <w:r w:rsidRPr="00F2013C">
        <w:rPr>
          <w:rFonts w:cs="Times New Roman"/>
        </w:rPr>
        <w:t>I respectfully disagree with the Court of Appeal’s conclusion and I cannot accept the respondent’s submissions.</w:t>
      </w:r>
    </w:p>
    <w:p w:rsidR="008F2100" w:rsidRPr="00F2013C" w:rsidRDefault="008F2100" w:rsidP="009E04B1">
      <w:pPr>
        <w:pStyle w:val="ParaNoNdepar-AltN"/>
        <w:widowControl w:val="0"/>
        <w:rPr>
          <w:rFonts w:cs="Times New Roman"/>
        </w:rPr>
      </w:pPr>
      <w:r w:rsidRPr="00F2013C">
        <w:rPr>
          <w:rFonts w:cs="Times New Roman"/>
        </w:rPr>
        <w:t>There are certainly at first glance some problematic statements in the trial judge’s reasons.  He mentions that “inferences are drawn from the eviden</w:t>
      </w:r>
      <w:r>
        <w:rPr>
          <w:rFonts w:cs="Times New Roman"/>
        </w:rPr>
        <w:t>ce that the Crown presents to [the court]</w:t>
      </w:r>
      <w:r w:rsidRPr="00F2013C">
        <w:rPr>
          <w:rFonts w:cs="Times New Roman"/>
        </w:rPr>
        <w:t xml:space="preserve">”: para. 45; that speculation is “forming a theory or conjecture </w:t>
      </w:r>
      <w:r w:rsidRPr="00F2013C">
        <w:rPr>
          <w:rFonts w:cs="Times New Roman"/>
          <w:u w:val="single"/>
        </w:rPr>
        <w:t>without factual basis</w:t>
      </w:r>
      <w:r w:rsidRPr="00F2013C">
        <w:rPr>
          <w:rFonts w:cs="Times New Roman"/>
        </w:rPr>
        <w:t>”: para. 46</w:t>
      </w:r>
      <w:r>
        <w:rPr>
          <w:rFonts w:cs="Times New Roman"/>
        </w:rPr>
        <w:t xml:space="preserve">; </w:t>
      </w:r>
      <w:r w:rsidRPr="00F2013C">
        <w:rPr>
          <w:rFonts w:cs="Times New Roman"/>
        </w:rPr>
        <w:t xml:space="preserve">and that “it is </w:t>
      </w:r>
      <w:r w:rsidRPr="00F2013C">
        <w:rPr>
          <w:rFonts w:cs="Times New Roman"/>
          <w:u w:val="single"/>
        </w:rPr>
        <w:t>evidence</w:t>
      </w:r>
      <w:r w:rsidRPr="00F2013C">
        <w:rPr>
          <w:rFonts w:cs="Times New Roman"/>
        </w:rPr>
        <w:t xml:space="preserve"> that ‘bridges’ the inferential gap”: para. 49.   He cites a number of cases which state that inferences must be drawn from facts or evidence: paras. 45-49. He cites </w:t>
      </w:r>
      <w:r w:rsidRPr="00F2013C">
        <w:rPr>
          <w:rFonts w:cs="Times New Roman"/>
          <w:i/>
        </w:rPr>
        <w:t>McIver</w:t>
      </w:r>
      <w:r w:rsidRPr="00882E4D">
        <w:rPr>
          <w:rFonts w:cs="Times New Roman"/>
        </w:rPr>
        <w:t xml:space="preserve">, </w:t>
      </w:r>
      <w:r w:rsidRPr="00F2013C">
        <w:rPr>
          <w:rFonts w:cs="Times New Roman"/>
        </w:rPr>
        <w:t>which states that conclusions alternative to guilt must be founded on proven facts</w:t>
      </w:r>
      <w:r>
        <w:rPr>
          <w:rFonts w:cs="Times New Roman"/>
        </w:rPr>
        <w:t>: para. 49</w:t>
      </w:r>
      <w:r w:rsidRPr="00F2013C">
        <w:rPr>
          <w:rFonts w:cs="Times New Roman"/>
        </w:rPr>
        <w:t xml:space="preserve">. And he wrote that the “Court has </w:t>
      </w:r>
      <w:r w:rsidRPr="00F2013C">
        <w:rPr>
          <w:rFonts w:cs="Times New Roman"/>
          <w:u w:val="single"/>
        </w:rPr>
        <w:t>no evidence</w:t>
      </w:r>
      <w:r w:rsidRPr="00F2013C">
        <w:rPr>
          <w:rFonts w:cs="Times New Roman"/>
        </w:rPr>
        <w:t xml:space="preserve"> before it that would support these hypothetical </w:t>
      </w:r>
      <w:r w:rsidRPr="00F2013C">
        <w:rPr>
          <w:rFonts w:cs="Times New Roman"/>
        </w:rPr>
        <w:lastRenderedPageBreak/>
        <w:t>scenarios [of innocence]”: para. 81</w:t>
      </w:r>
      <w:r>
        <w:rPr>
          <w:rFonts w:cs="Times New Roman"/>
        </w:rPr>
        <w:t xml:space="preserve"> (emphases added)</w:t>
      </w:r>
      <w:r w:rsidRPr="00F2013C">
        <w:rPr>
          <w:rFonts w:cs="Times New Roman"/>
        </w:rPr>
        <w:t xml:space="preserve">.  </w:t>
      </w:r>
    </w:p>
    <w:p w:rsidR="008F2100" w:rsidRPr="00F2013C" w:rsidRDefault="008F2100" w:rsidP="009E04B1">
      <w:pPr>
        <w:pStyle w:val="ParaNoNdepar-AltN"/>
        <w:widowControl w:val="0"/>
        <w:rPr>
          <w:rFonts w:cs="Times New Roman"/>
        </w:rPr>
      </w:pPr>
      <w:r w:rsidRPr="00F2013C">
        <w:rPr>
          <w:rFonts w:cs="Times New Roman"/>
        </w:rPr>
        <w:t xml:space="preserve">However, when the trial judge’s reasons are read as a whole and these passages are read in their proper context, I am not persuaded that he made any reversible error.  </w:t>
      </w:r>
    </w:p>
    <w:p w:rsidR="008F2100" w:rsidRPr="00F2013C" w:rsidRDefault="008F2100" w:rsidP="009E04B1">
      <w:pPr>
        <w:pStyle w:val="ParaNoNdepar-AltN"/>
        <w:widowControl w:val="0"/>
        <w:rPr>
          <w:rFonts w:cs="Times New Roman"/>
        </w:rPr>
      </w:pPr>
      <w:r w:rsidRPr="00F2013C">
        <w:rPr>
          <w:rFonts w:cs="Times New Roman"/>
        </w:rPr>
        <w:t xml:space="preserve">For example, most of the references to the effect that inferences must arise from evidence concern the </w:t>
      </w:r>
      <w:r w:rsidRPr="00882E4D">
        <w:rPr>
          <w:rFonts w:cs="Times New Roman"/>
          <w:i/>
        </w:rPr>
        <w:t>Crown’s</w:t>
      </w:r>
      <w:r w:rsidRPr="00882E4D">
        <w:rPr>
          <w:rFonts w:cs="Times New Roman"/>
        </w:rPr>
        <w:t xml:space="preserve"> </w:t>
      </w:r>
      <w:r w:rsidRPr="00F2013C">
        <w:rPr>
          <w:rFonts w:cs="Times New Roman"/>
        </w:rPr>
        <w:t xml:space="preserve">burden to prove guilt beyond a reasonable doubt.  Of course, there is no error in this regard as the Crown cannot rely on a gap in the evidence to prove an element of the offence. </w:t>
      </w:r>
    </w:p>
    <w:p w:rsidR="008F2100" w:rsidRPr="00F2013C" w:rsidRDefault="008F2100" w:rsidP="009E04B1">
      <w:pPr>
        <w:pStyle w:val="ParaNoNdepar-AltN"/>
        <w:widowControl w:val="0"/>
        <w:rPr>
          <w:rFonts w:cs="Times New Roman"/>
        </w:rPr>
      </w:pPr>
      <w:r w:rsidRPr="00F2013C">
        <w:rPr>
          <w:rFonts w:cs="Times New Roman"/>
        </w:rPr>
        <w:t xml:space="preserve">When dealing with the defence position, the judge correctly stated the law, in my opinion.  The judge properly noted that “the accused cannot ask this Court to rely on supposition or </w:t>
      </w:r>
      <w:proofErr w:type="gramStart"/>
      <w:r w:rsidRPr="00F2013C">
        <w:rPr>
          <w:rFonts w:cs="Times New Roman"/>
        </w:rPr>
        <w:t>conjecture</w:t>
      </w:r>
      <w:r>
        <w:rPr>
          <w:rFonts w:cs="Times New Roman"/>
        </w:rPr>
        <w:t>,</w:t>
      </w:r>
      <w:r w:rsidRPr="00F2013C">
        <w:rPr>
          <w:rFonts w:cs="Times New Roman"/>
        </w:rPr>
        <w:t xml:space="preserve"> that</w:t>
      </w:r>
      <w:proofErr w:type="gramEnd"/>
      <w:r w:rsidRPr="00F2013C">
        <w:rPr>
          <w:rFonts w:cs="Times New Roman"/>
        </w:rPr>
        <w:t xml:space="preserve"> flows from a purely hypothetical narrative to conclude that the Crown has not proven he is guilty of the offences with which the Crown has charged him”: para. 47.  The judge’s citation of </w:t>
      </w:r>
      <w:r w:rsidRPr="00F2013C">
        <w:rPr>
          <w:rFonts w:cs="Times New Roman"/>
          <w:i/>
        </w:rPr>
        <w:t xml:space="preserve">McIver </w:t>
      </w:r>
      <w:r w:rsidRPr="00F2013C">
        <w:rPr>
          <w:rFonts w:cs="Times New Roman"/>
        </w:rPr>
        <w:t xml:space="preserve">was intended to make the same point, i.e. that a reasonable doubt cannot arise from speculation or conjecture. This is perfectly correct. As the Court said in </w:t>
      </w:r>
      <w:proofErr w:type="spellStart"/>
      <w:r w:rsidRPr="00F2013C">
        <w:rPr>
          <w:rFonts w:cs="Times New Roman"/>
          <w:i/>
        </w:rPr>
        <w:t>Lifchus</w:t>
      </w:r>
      <w:proofErr w:type="spellEnd"/>
      <w:r w:rsidRPr="00F2013C">
        <w:rPr>
          <w:rFonts w:cs="Times New Roman"/>
        </w:rPr>
        <w:t>, “a reasonable doubt must not be imaginary or frivolous”; need not be proof to an absolute certainty; and must be based on “reason and common sense”: paras. 31 and 36. The burden on the Crown does not extend to “</w:t>
      </w:r>
      <w:proofErr w:type="spellStart"/>
      <w:r w:rsidRPr="00F2013C">
        <w:rPr>
          <w:rFonts w:cs="Times New Roman"/>
        </w:rPr>
        <w:t>negativing</w:t>
      </w:r>
      <w:proofErr w:type="spellEnd"/>
      <w:r w:rsidRPr="00F2013C">
        <w:rPr>
          <w:rFonts w:cs="Times New Roman"/>
        </w:rPr>
        <w:t xml:space="preserve"> every conjecture”:  </w:t>
      </w:r>
      <w:r w:rsidRPr="00F2013C">
        <w:rPr>
          <w:rFonts w:cs="Times New Roman"/>
          <w:i/>
        </w:rPr>
        <w:t>R. v. Paul</w:t>
      </w:r>
      <w:r w:rsidRPr="00F2013C">
        <w:rPr>
          <w:rFonts w:cs="Times New Roman"/>
        </w:rPr>
        <w:t>, [1977] 1 S.C.R. 181</w:t>
      </w:r>
      <w:r>
        <w:rPr>
          <w:rFonts w:cs="Times New Roman"/>
        </w:rPr>
        <w:t>,</w:t>
      </w:r>
      <w:r w:rsidRPr="00F2013C">
        <w:rPr>
          <w:rFonts w:cs="Times New Roman"/>
        </w:rPr>
        <w:t xml:space="preserve"> at p. 191. </w:t>
      </w:r>
    </w:p>
    <w:p w:rsidR="008F2100" w:rsidRPr="00F2013C" w:rsidRDefault="008F2100" w:rsidP="009E04B1">
      <w:pPr>
        <w:pStyle w:val="ParaNoNdepar-AltN"/>
        <w:widowControl w:val="0"/>
        <w:rPr>
          <w:rFonts w:cs="Times New Roman"/>
        </w:rPr>
      </w:pPr>
      <w:r w:rsidRPr="00F2013C">
        <w:rPr>
          <w:rFonts w:cs="Times New Roman"/>
        </w:rPr>
        <w:t xml:space="preserve">The respondent submits that the judge erred by relying on a number of </w:t>
      </w:r>
      <w:r w:rsidRPr="00F2013C">
        <w:rPr>
          <w:rFonts w:cs="Times New Roman"/>
        </w:rPr>
        <w:lastRenderedPageBreak/>
        <w:t>cases dealing with committals for trial at a preliminary inquiry, a context in which the reasonable doubt standard does not apply. However, the judge referred to these authorities in relation to his assessment of the range of available and reasonable inferences. He did not, as the respondent claims, fail to recognize and apply the beyond reasonable doubt standard of proof. The trial judge stated the proper standard in his reasons, and there is nothing in his reasons to show that he departed from this standard:</w:t>
      </w:r>
    </w:p>
    <w:p w:rsidR="008F2100" w:rsidRPr="00F2013C" w:rsidRDefault="008F2100" w:rsidP="009E04B1">
      <w:pPr>
        <w:pStyle w:val="Citation-AltC"/>
        <w:widowControl w:val="0"/>
        <w:ind w:firstLine="274"/>
      </w:pPr>
      <w:r w:rsidRPr="00F2013C">
        <w:t xml:space="preserve">The Crown’s counsel and the accused spent a great deal of time arguing about the inferences that this Court may or may not draw from the evidence that Mr. </w:t>
      </w:r>
      <w:proofErr w:type="spellStart"/>
      <w:r w:rsidRPr="00F2013C">
        <w:t>Sopczak</w:t>
      </w:r>
      <w:proofErr w:type="spellEnd"/>
      <w:r w:rsidRPr="00F2013C">
        <w:t xml:space="preserve"> and Mr. </w:t>
      </w:r>
      <w:proofErr w:type="spellStart"/>
      <w:r w:rsidRPr="00F2013C">
        <w:t>LaFontaine</w:t>
      </w:r>
      <w:proofErr w:type="spellEnd"/>
      <w:r w:rsidRPr="00F2013C">
        <w:t xml:space="preserve"> provided. Essentially, the arguments may be boiled down to the simple question of whether the totality of the evidence that the Crown has presented to this Court supports an inference that the accused committed the offences with which the Crown has charged him.  </w:t>
      </w:r>
      <w:r w:rsidRPr="00F2013C">
        <w:rPr>
          <w:u w:val="single"/>
        </w:rPr>
        <w:t>Of course, the inferences that this Court draws from the evidence must satisfy it beyond a reasonable doubt that the accused committed the offences with which the Crown has charged him</w:t>
      </w:r>
      <w:r>
        <w:t xml:space="preserve"> . . . .</w:t>
      </w:r>
      <w:r w:rsidRPr="00F2013C">
        <w:t xml:space="preserve"> [Emphasis added</w:t>
      </w:r>
      <w:r>
        <w:t>; para. 43.</w:t>
      </w:r>
      <w:r w:rsidRPr="00F2013C">
        <w:t>]</w:t>
      </w:r>
    </w:p>
    <w:p w:rsidR="008F2100" w:rsidRPr="00F2013C" w:rsidRDefault="008F2100" w:rsidP="009E04B1">
      <w:pPr>
        <w:pStyle w:val="Citation-AltC"/>
        <w:widowControl w:val="0"/>
      </w:pPr>
    </w:p>
    <w:p w:rsidR="008F2100" w:rsidRPr="00F2013C" w:rsidRDefault="008F2100" w:rsidP="009E04B1">
      <w:pPr>
        <w:pStyle w:val="ParaNoNdepar-AltN"/>
        <w:widowControl w:val="0"/>
        <w:rPr>
          <w:rFonts w:cs="Times New Roman"/>
        </w:rPr>
      </w:pPr>
      <w:r w:rsidRPr="00F2013C">
        <w:rPr>
          <w:rFonts w:cs="Times New Roman"/>
        </w:rPr>
        <w:t>Finally, the respondent submits that, by misapprehending the law in relation to innocent inferences and in applying the law relating to committals to trials, the trial judge improperly reversed the burden of proof and applied the wrong standard of proof.  For the reasons I have just given, the trial judge did not apply the wrong law in these areas, and properly put the burden of proof beyond a reasonable doubt solely on the Crown.</w:t>
      </w:r>
    </w:p>
    <w:p w:rsidR="008F2100" w:rsidRPr="00F2013C" w:rsidRDefault="008F2100" w:rsidP="009E04B1">
      <w:pPr>
        <w:pStyle w:val="ParaNoNdepar-AltN"/>
        <w:widowControl w:val="0"/>
        <w:rPr>
          <w:rFonts w:cs="Times New Roman"/>
        </w:rPr>
      </w:pPr>
      <w:r w:rsidRPr="00F2013C">
        <w:rPr>
          <w:rFonts w:cs="Times New Roman"/>
        </w:rPr>
        <w:t>A fair reading of the judge’s reasons as a whole does not support the respondent’s position that the judge somehow lost sight of proper process of inference-drawing, the overall burden of proof, or the difference between a committal f</w:t>
      </w:r>
      <w:r>
        <w:rPr>
          <w:rFonts w:cs="Times New Roman"/>
        </w:rPr>
        <w:t xml:space="preserve">or trial </w:t>
      </w:r>
      <w:r>
        <w:rPr>
          <w:rFonts w:cs="Times New Roman"/>
        </w:rPr>
        <w:lastRenderedPageBreak/>
        <w:t>and a finding of guilt</w:t>
      </w:r>
      <w:r w:rsidRPr="00F2013C">
        <w:rPr>
          <w:rFonts w:cs="Times New Roman"/>
        </w:rPr>
        <w:t>. The judge did not err in this regard.</w:t>
      </w:r>
    </w:p>
    <w:p w:rsidR="008F2100" w:rsidRPr="00F2013C" w:rsidRDefault="008F2100" w:rsidP="009E04B1">
      <w:pPr>
        <w:pStyle w:val="ParaNoNdepar-AltN"/>
        <w:widowControl w:val="0"/>
        <w:rPr>
          <w:rFonts w:cs="Times New Roman"/>
        </w:rPr>
      </w:pPr>
      <w:r w:rsidRPr="00F2013C">
        <w:rPr>
          <w:rFonts w:cs="Times New Roman"/>
        </w:rPr>
        <w:t>I conclude that the judge did not make any legal error in relation to his assessment of the circumstantial evidence.</w:t>
      </w:r>
    </w:p>
    <w:p w:rsidR="008F2100" w:rsidRPr="00F2013C" w:rsidRDefault="008F2100" w:rsidP="009E04B1">
      <w:pPr>
        <w:pStyle w:val="Title2LevelTitre2Niveau"/>
        <w:widowControl w:val="0"/>
        <w:numPr>
          <w:ilvl w:val="1"/>
          <w:numId w:val="8"/>
        </w:numPr>
        <w:rPr>
          <w:rFonts w:cs="Times New Roman"/>
        </w:rPr>
      </w:pPr>
      <w:r>
        <w:rPr>
          <w:rFonts w:cs="Times New Roman"/>
        </w:rPr>
        <w:t>Second Question: Was the Verdict of Guilt R</w:t>
      </w:r>
      <w:r w:rsidRPr="00F2013C">
        <w:rPr>
          <w:rFonts w:cs="Times New Roman"/>
        </w:rPr>
        <w:t>easonable?</w:t>
      </w:r>
    </w:p>
    <w:p w:rsidR="008F2100" w:rsidRPr="00F2013C" w:rsidRDefault="008F2100" w:rsidP="009E04B1">
      <w:pPr>
        <w:pStyle w:val="Title3LevelTitre3Niveau"/>
        <w:widowControl w:val="0"/>
        <w:numPr>
          <w:ilvl w:val="2"/>
          <w:numId w:val="8"/>
        </w:numPr>
        <w:rPr>
          <w:rFonts w:cs="Times New Roman"/>
        </w:rPr>
      </w:pPr>
      <w:r>
        <w:rPr>
          <w:rFonts w:cs="Times New Roman"/>
        </w:rPr>
        <w:t>Legal P</w:t>
      </w:r>
      <w:r w:rsidRPr="00F2013C">
        <w:rPr>
          <w:rFonts w:cs="Times New Roman"/>
        </w:rPr>
        <w:t>rinciples</w:t>
      </w:r>
    </w:p>
    <w:p w:rsidR="008F2100" w:rsidRPr="00F2013C" w:rsidRDefault="008F2100" w:rsidP="009E04B1">
      <w:pPr>
        <w:pStyle w:val="ParaNoNdepar-AltN"/>
        <w:widowControl w:val="0"/>
        <w:rPr>
          <w:rFonts w:cs="Times New Roman"/>
        </w:rPr>
      </w:pPr>
      <w:r w:rsidRPr="00F2013C">
        <w:rPr>
          <w:rFonts w:cs="Times New Roman"/>
        </w:rPr>
        <w:t xml:space="preserve">A verdict is reasonable if it is one that a properly instructed jury acting judicially could reasonably have rendered: </w:t>
      </w:r>
      <w:r w:rsidRPr="00F2013C">
        <w:rPr>
          <w:rFonts w:cs="Times New Roman"/>
          <w:i/>
        </w:rPr>
        <w:t>R</w:t>
      </w:r>
      <w:r>
        <w:rPr>
          <w:rFonts w:cs="Times New Roman"/>
          <w:i/>
        </w:rPr>
        <w:t>.</w:t>
      </w:r>
      <w:r w:rsidRPr="00F2013C">
        <w:rPr>
          <w:rFonts w:cs="Times New Roman"/>
          <w:i/>
        </w:rPr>
        <w:t xml:space="preserve"> v. </w:t>
      </w:r>
      <w:proofErr w:type="spellStart"/>
      <w:r w:rsidRPr="00F2013C">
        <w:rPr>
          <w:rFonts w:cs="Times New Roman"/>
          <w:i/>
        </w:rPr>
        <w:t>Biniaris</w:t>
      </w:r>
      <w:proofErr w:type="spellEnd"/>
      <w:r w:rsidRPr="00F2013C">
        <w:rPr>
          <w:rFonts w:cs="Times New Roman"/>
        </w:rPr>
        <w:t xml:space="preserve">, </w:t>
      </w:r>
      <w:r>
        <w:rPr>
          <w:rFonts w:cs="Times New Roman"/>
        </w:rPr>
        <w:t xml:space="preserve">2000 SCC 15, </w:t>
      </w:r>
      <w:r w:rsidRPr="00F2013C">
        <w:rPr>
          <w:rFonts w:cs="Times New Roman"/>
        </w:rPr>
        <w:t xml:space="preserve">[2000] 1 S.C.R. 381. Applying this standard requires the appellate court to re-examine and to some extent reweigh and consider the effect of the evidence: </w:t>
      </w:r>
      <w:r w:rsidRPr="00F2013C">
        <w:rPr>
          <w:rFonts w:cs="Times New Roman"/>
          <w:i/>
        </w:rPr>
        <w:t xml:space="preserve">R. v. </w:t>
      </w:r>
      <w:proofErr w:type="spellStart"/>
      <w:r w:rsidRPr="00F2013C">
        <w:rPr>
          <w:rFonts w:cs="Times New Roman"/>
          <w:i/>
        </w:rPr>
        <w:t>Yebes</w:t>
      </w:r>
      <w:proofErr w:type="spellEnd"/>
      <w:r w:rsidRPr="00F2013C">
        <w:rPr>
          <w:rFonts w:cs="Times New Roman"/>
        </w:rPr>
        <w:t>, [1987] 2 S.C.R. 168</w:t>
      </w:r>
      <w:r>
        <w:rPr>
          <w:rFonts w:cs="Times New Roman"/>
        </w:rPr>
        <w:t>,</w:t>
      </w:r>
      <w:r w:rsidRPr="00F2013C">
        <w:rPr>
          <w:rFonts w:cs="Times New Roman"/>
        </w:rPr>
        <w:t xml:space="preserve"> at</w:t>
      </w:r>
      <w:r>
        <w:rPr>
          <w:rFonts w:cs="Times New Roman"/>
        </w:rPr>
        <w:t xml:space="preserve"> p.</w:t>
      </w:r>
      <w:r w:rsidRPr="00F2013C">
        <w:rPr>
          <w:rFonts w:cs="Times New Roman"/>
        </w:rPr>
        <w:t xml:space="preserve"> 186. This limited weighing of the evidence on appeal mus</w:t>
      </w:r>
      <w:r>
        <w:rPr>
          <w:rFonts w:cs="Times New Roman"/>
        </w:rPr>
        <w:t>t be done in light of the standard</w:t>
      </w:r>
      <w:r w:rsidRPr="00F2013C">
        <w:rPr>
          <w:rFonts w:cs="Times New Roman"/>
        </w:rPr>
        <w:t xml:space="preserve"> of proof in a criminal case. Where the Crown’s case depends on circumstantial evidence, the question becomes whether the trier of fact, acting judicially, could reasonably be satisfied that the accused’s guilt was the only reasonable conclusion available on the totality of the evidence:  </w:t>
      </w:r>
      <w:proofErr w:type="spellStart"/>
      <w:r w:rsidRPr="00F2013C">
        <w:rPr>
          <w:rFonts w:cs="Times New Roman"/>
          <w:i/>
        </w:rPr>
        <w:t>Yebes</w:t>
      </w:r>
      <w:proofErr w:type="spellEnd"/>
      <w:r>
        <w:rPr>
          <w:rFonts w:cs="Times New Roman"/>
        </w:rPr>
        <w:t>,</w:t>
      </w:r>
      <w:r w:rsidRPr="00F2013C">
        <w:rPr>
          <w:rFonts w:cs="Times New Roman"/>
        </w:rPr>
        <w:t xml:space="preserve"> at </w:t>
      </w:r>
      <w:r>
        <w:rPr>
          <w:rFonts w:cs="Times New Roman"/>
        </w:rPr>
        <w:t xml:space="preserve">p. </w:t>
      </w:r>
      <w:r w:rsidRPr="00F2013C">
        <w:rPr>
          <w:rFonts w:cs="Times New Roman"/>
        </w:rPr>
        <w:t xml:space="preserve">186; </w:t>
      </w:r>
      <w:r w:rsidRPr="00F2013C">
        <w:rPr>
          <w:rFonts w:cs="Times New Roman"/>
          <w:i/>
        </w:rPr>
        <w:t>R. v. Mars</w:t>
      </w:r>
      <w:r>
        <w:rPr>
          <w:rFonts w:cs="Times New Roman"/>
        </w:rPr>
        <w:t xml:space="preserve"> (2006), 205 C.C.C. (3d) 376 (Ont. </w:t>
      </w:r>
      <w:r w:rsidRPr="00F2013C">
        <w:rPr>
          <w:rFonts w:cs="Times New Roman"/>
        </w:rPr>
        <w:t>C</w:t>
      </w:r>
      <w:r>
        <w:rPr>
          <w:rFonts w:cs="Times New Roman"/>
        </w:rPr>
        <w:t>.</w:t>
      </w:r>
      <w:r w:rsidRPr="00F2013C">
        <w:rPr>
          <w:rFonts w:cs="Times New Roman"/>
        </w:rPr>
        <w:t>A</w:t>
      </w:r>
      <w:r>
        <w:rPr>
          <w:rFonts w:cs="Times New Roman"/>
        </w:rPr>
        <w:t>.</w:t>
      </w:r>
      <w:r w:rsidRPr="00F2013C">
        <w:rPr>
          <w:rFonts w:cs="Times New Roman"/>
        </w:rPr>
        <w:t>)</w:t>
      </w:r>
      <w:r>
        <w:rPr>
          <w:rFonts w:cs="Times New Roman"/>
        </w:rPr>
        <w:t>,</w:t>
      </w:r>
      <w:r w:rsidRPr="00F2013C">
        <w:rPr>
          <w:rFonts w:cs="Times New Roman"/>
        </w:rPr>
        <w:t xml:space="preserve"> at para. 4; </w:t>
      </w:r>
      <w:r w:rsidRPr="00F2013C">
        <w:rPr>
          <w:rFonts w:cs="Times New Roman"/>
          <w:i/>
        </w:rPr>
        <w:t>R. v. Liu</w:t>
      </w:r>
      <w:r>
        <w:rPr>
          <w:rFonts w:cs="Times New Roman"/>
          <w:i/>
        </w:rPr>
        <w:t xml:space="preserve"> </w:t>
      </w:r>
      <w:r w:rsidRPr="00125C96">
        <w:rPr>
          <w:rFonts w:cs="Times New Roman"/>
        </w:rPr>
        <w:t>(1989)</w:t>
      </w:r>
      <w:r w:rsidR="003663E4">
        <w:rPr>
          <w:rFonts w:cs="Times New Roman"/>
        </w:rPr>
        <w:t>,</w:t>
      </w:r>
      <w:r>
        <w:rPr>
          <w:rFonts w:cs="Times New Roman"/>
        </w:rPr>
        <w:t xml:space="preserve"> 95 A.R. 201</w:t>
      </w:r>
      <w:r w:rsidRPr="00F2013C">
        <w:rPr>
          <w:rFonts w:cs="Times New Roman"/>
        </w:rPr>
        <w:t xml:space="preserve"> (C.A.)</w:t>
      </w:r>
      <w:r>
        <w:rPr>
          <w:rFonts w:cs="Times New Roman"/>
        </w:rPr>
        <w:t>,</w:t>
      </w:r>
      <w:r w:rsidRPr="00F2013C">
        <w:rPr>
          <w:rFonts w:cs="Times New Roman"/>
        </w:rPr>
        <w:t xml:space="preserve"> at </w:t>
      </w:r>
      <w:r>
        <w:rPr>
          <w:rFonts w:cs="Times New Roman"/>
        </w:rPr>
        <w:t>para. 13</w:t>
      </w:r>
      <w:r w:rsidRPr="00F2013C">
        <w:rPr>
          <w:rFonts w:cs="Times New Roman"/>
        </w:rPr>
        <w:t xml:space="preserve">; </w:t>
      </w:r>
      <w:r w:rsidRPr="00F2013C">
        <w:rPr>
          <w:rFonts w:cs="Times New Roman"/>
          <w:i/>
        </w:rPr>
        <w:t>R. v. S.L.R.</w:t>
      </w:r>
      <w:r w:rsidRPr="00F2013C">
        <w:rPr>
          <w:rFonts w:cs="Times New Roman"/>
        </w:rPr>
        <w:t>, 2003 ABCA 148</w:t>
      </w:r>
      <w:r>
        <w:rPr>
          <w:rFonts w:cs="Times New Roman"/>
        </w:rPr>
        <w:t xml:space="preserve"> (</w:t>
      </w:r>
      <w:proofErr w:type="spellStart"/>
      <w:r>
        <w:rPr>
          <w:rFonts w:cs="Times New Roman"/>
        </w:rPr>
        <w:t>CanLII</w:t>
      </w:r>
      <w:proofErr w:type="spellEnd"/>
      <w:r>
        <w:rPr>
          <w:rFonts w:cs="Times New Roman"/>
        </w:rPr>
        <w:t>)</w:t>
      </w:r>
      <w:r w:rsidRPr="00F2013C">
        <w:rPr>
          <w:rFonts w:cs="Times New Roman"/>
        </w:rPr>
        <w:t xml:space="preserve">; </w:t>
      </w:r>
      <w:r w:rsidRPr="00F2013C">
        <w:rPr>
          <w:rFonts w:cs="Times New Roman"/>
          <w:i/>
        </w:rPr>
        <w:t>R</w:t>
      </w:r>
      <w:r>
        <w:rPr>
          <w:rFonts w:cs="Times New Roman"/>
          <w:i/>
        </w:rPr>
        <w:t>.</w:t>
      </w:r>
      <w:r w:rsidRPr="00F2013C">
        <w:rPr>
          <w:rFonts w:cs="Times New Roman"/>
          <w:i/>
        </w:rPr>
        <w:t xml:space="preserve"> v. Cardinal</w:t>
      </w:r>
      <w:r w:rsidRPr="00F2013C">
        <w:rPr>
          <w:rFonts w:cs="Times New Roman"/>
        </w:rPr>
        <w:t xml:space="preserve"> (1990), 106 A.R. 91 (C.A.); </w:t>
      </w:r>
      <w:r>
        <w:rPr>
          <w:rFonts w:cs="Times New Roman"/>
          <w:i/>
        </w:rPr>
        <w:t xml:space="preserve">R. v. </w:t>
      </w:r>
      <w:proofErr w:type="spellStart"/>
      <w:r>
        <w:rPr>
          <w:rFonts w:cs="Times New Roman"/>
          <w:i/>
        </w:rPr>
        <w:t>Ka</w:t>
      </w:r>
      <w:r w:rsidRPr="00F2013C">
        <w:rPr>
          <w:rFonts w:cs="Times New Roman"/>
          <w:i/>
        </w:rPr>
        <w:t>ysaywaysemat</w:t>
      </w:r>
      <w:proofErr w:type="spellEnd"/>
      <w:r w:rsidRPr="00F2013C">
        <w:rPr>
          <w:rFonts w:cs="Times New Roman"/>
        </w:rPr>
        <w:t xml:space="preserve"> (1992)</w:t>
      </w:r>
      <w:r>
        <w:rPr>
          <w:rFonts w:cs="Times New Roman"/>
        </w:rPr>
        <w:t>,</w:t>
      </w:r>
      <w:r w:rsidRPr="00F2013C">
        <w:rPr>
          <w:rFonts w:cs="Times New Roman"/>
        </w:rPr>
        <w:t xml:space="preserve"> 97 Sask. R. 66 (C.A.)</w:t>
      </w:r>
      <w:r>
        <w:rPr>
          <w:rFonts w:cs="Times New Roman"/>
        </w:rPr>
        <w:t>,</w:t>
      </w:r>
      <w:r w:rsidRPr="00F2013C">
        <w:rPr>
          <w:rFonts w:cs="Times New Roman"/>
        </w:rPr>
        <w:t xml:space="preserve"> at </w:t>
      </w:r>
      <w:r>
        <w:rPr>
          <w:rFonts w:cs="Times New Roman"/>
        </w:rPr>
        <w:t>paras. 28 and 31</w:t>
      </w:r>
      <w:r w:rsidRPr="00F2013C">
        <w:rPr>
          <w:rFonts w:cs="Times New Roman"/>
        </w:rPr>
        <w:t xml:space="preserve">. </w:t>
      </w:r>
    </w:p>
    <w:p w:rsidR="008F2100" w:rsidRPr="00F2013C" w:rsidRDefault="008F2100" w:rsidP="009E04B1">
      <w:pPr>
        <w:pStyle w:val="ParaNoNdepar-AltN"/>
        <w:widowControl w:val="0"/>
        <w:rPr>
          <w:rFonts w:eastAsia="PMingLiU" w:cs="Times New Roman"/>
        </w:rPr>
      </w:pPr>
      <w:r w:rsidRPr="00F2013C">
        <w:rPr>
          <w:rFonts w:cs="Times New Roman"/>
        </w:rPr>
        <w:t xml:space="preserve">The governing principle was nicely summarized by the Alberta Court of Appeal in </w:t>
      </w:r>
      <w:proofErr w:type="spellStart"/>
      <w:r w:rsidRPr="00F2013C">
        <w:rPr>
          <w:rFonts w:cs="Times New Roman"/>
          <w:i/>
        </w:rPr>
        <w:t>Dipnarine</w:t>
      </w:r>
      <w:proofErr w:type="spellEnd"/>
      <w:r>
        <w:rPr>
          <w:rFonts w:cs="Times New Roman"/>
        </w:rPr>
        <w:t>,</w:t>
      </w:r>
      <w:r w:rsidRPr="00F2013C">
        <w:rPr>
          <w:rFonts w:cs="Times New Roman"/>
          <w:i/>
        </w:rPr>
        <w:t xml:space="preserve"> </w:t>
      </w:r>
      <w:r w:rsidRPr="00F2013C">
        <w:rPr>
          <w:rFonts w:cs="Times New Roman"/>
        </w:rPr>
        <w:t>at para. 22.</w:t>
      </w:r>
      <w:r w:rsidRPr="00F2013C">
        <w:rPr>
          <w:rFonts w:cs="Times New Roman"/>
          <w:i/>
        </w:rPr>
        <w:t xml:space="preserve"> </w:t>
      </w:r>
      <w:r w:rsidRPr="00F2013C">
        <w:rPr>
          <w:rFonts w:cs="Times New Roman"/>
        </w:rPr>
        <w:t xml:space="preserve">The </w:t>
      </w:r>
      <w:r>
        <w:rPr>
          <w:rFonts w:cs="Times New Roman"/>
        </w:rPr>
        <w:t>c</w:t>
      </w:r>
      <w:r w:rsidRPr="00F2013C">
        <w:rPr>
          <w:rFonts w:cs="Times New Roman"/>
        </w:rPr>
        <w:t>ourt noted that “</w:t>
      </w:r>
      <w:r>
        <w:rPr>
          <w:rFonts w:cs="Times New Roman"/>
        </w:rPr>
        <w:t>[</w:t>
      </w:r>
      <w:r w:rsidRPr="00F2013C">
        <w:rPr>
          <w:rFonts w:cs="Times New Roman"/>
        </w:rPr>
        <w:t>c</w:t>
      </w:r>
      <w:r>
        <w:rPr>
          <w:rFonts w:cs="Times New Roman"/>
        </w:rPr>
        <w:t>]</w:t>
      </w:r>
      <w:proofErr w:type="spellStart"/>
      <w:r w:rsidRPr="00F2013C">
        <w:rPr>
          <w:rFonts w:cs="Times New Roman"/>
        </w:rPr>
        <w:t>ircumstantial</w:t>
      </w:r>
      <w:proofErr w:type="spellEnd"/>
      <w:r w:rsidRPr="00F2013C">
        <w:rPr>
          <w:rFonts w:cs="Times New Roman"/>
        </w:rPr>
        <w:t xml:space="preserve"> evidence does </w:t>
      </w:r>
      <w:r w:rsidRPr="00F2013C">
        <w:rPr>
          <w:rFonts w:cs="Times New Roman"/>
        </w:rPr>
        <w:lastRenderedPageBreak/>
        <w:t>not have to totally exclude other conceivable inferences” and that a verdict is not unreasonable simply because “the alternatives do not raise a doubt” in the ju</w:t>
      </w:r>
      <w:r>
        <w:rPr>
          <w:rFonts w:cs="Times New Roman"/>
        </w:rPr>
        <w:t>ry’s mind.  Most importantly, “[</w:t>
      </w:r>
      <w:proofErr w:type="spellStart"/>
      <w:r>
        <w:rPr>
          <w:rFonts w:cs="Times New Roman"/>
        </w:rPr>
        <w:t>i</w:t>
      </w:r>
      <w:proofErr w:type="spellEnd"/>
      <w:r>
        <w:rPr>
          <w:rFonts w:cs="Times New Roman"/>
        </w:rPr>
        <w:t>]</w:t>
      </w:r>
      <w:r w:rsidRPr="00F2013C">
        <w:rPr>
          <w:rFonts w:cs="Times New Roman"/>
        </w:rPr>
        <w:t xml:space="preserve">t is still fundamentally for the trier </w:t>
      </w:r>
      <w:r w:rsidR="003663E4">
        <w:rPr>
          <w:rFonts w:cs="Times New Roman"/>
        </w:rPr>
        <w:t>[</w:t>
      </w:r>
      <w:r w:rsidRPr="00F2013C">
        <w:rPr>
          <w:rFonts w:cs="Times New Roman"/>
        </w:rPr>
        <w:t>of</w:t>
      </w:r>
      <w:r w:rsidR="003663E4">
        <w:rPr>
          <w:rFonts w:cs="Times New Roman"/>
        </w:rPr>
        <w:t>]</w:t>
      </w:r>
      <w:r w:rsidRPr="00F2013C">
        <w:rPr>
          <w:rFonts w:cs="Times New Roman"/>
        </w:rPr>
        <w:t xml:space="preserve"> fact to decide if any proposed alternative way of looking at the case is reasonable enough to raise a doubt.”  </w:t>
      </w:r>
    </w:p>
    <w:p w:rsidR="008F2100" w:rsidRPr="00F2013C" w:rsidRDefault="008F2100" w:rsidP="009E04B1">
      <w:pPr>
        <w:pStyle w:val="Title3LevelTitre3Niveau"/>
        <w:widowControl w:val="0"/>
        <w:numPr>
          <w:ilvl w:val="2"/>
          <w:numId w:val="8"/>
        </w:numPr>
        <w:rPr>
          <w:rFonts w:cs="Times New Roman"/>
        </w:rPr>
      </w:pPr>
      <w:r w:rsidRPr="00F2013C">
        <w:rPr>
          <w:rFonts w:cs="Times New Roman"/>
        </w:rPr>
        <w:t>Analysis</w:t>
      </w:r>
    </w:p>
    <w:p w:rsidR="008F2100" w:rsidRPr="00F2013C" w:rsidRDefault="008F2100" w:rsidP="009E04B1">
      <w:pPr>
        <w:pStyle w:val="ParaNoNdepar-AltN"/>
        <w:widowControl w:val="0"/>
        <w:rPr>
          <w:rFonts w:cs="Times New Roman"/>
        </w:rPr>
      </w:pPr>
      <w:r w:rsidRPr="00F2013C">
        <w:rPr>
          <w:rFonts w:eastAsia="PMingLiU" w:cs="Times New Roman"/>
        </w:rPr>
        <w:t>In order to establish possession of child pornography, the Crown had to prove beyond reasonable doubt that the respondent was aware that he had physical custody of the pornography and that he was aware of what it was: see</w:t>
      </w:r>
      <w:r>
        <w:rPr>
          <w:rFonts w:eastAsia="PMingLiU" w:cs="Times New Roman"/>
        </w:rPr>
        <w:t>,</w:t>
      </w:r>
      <w:r w:rsidRPr="00F2013C">
        <w:rPr>
          <w:rFonts w:eastAsia="PMingLiU" w:cs="Times New Roman"/>
        </w:rPr>
        <w:t xml:space="preserve"> e.g.</w:t>
      </w:r>
      <w:r>
        <w:rPr>
          <w:rFonts w:eastAsia="PMingLiU" w:cs="Times New Roman"/>
        </w:rPr>
        <w:t>,</w:t>
      </w:r>
      <w:r w:rsidRPr="00F2013C">
        <w:rPr>
          <w:rFonts w:eastAsia="PMingLiU" w:cs="Times New Roman"/>
        </w:rPr>
        <w:t xml:space="preserve"> </w:t>
      </w:r>
      <w:r w:rsidRPr="00F2013C">
        <w:rPr>
          <w:rFonts w:eastAsia="PMingLiU" w:cs="Times New Roman"/>
          <w:i/>
        </w:rPr>
        <w:t>R. v. Morelli</w:t>
      </w:r>
      <w:r w:rsidRPr="00F2013C">
        <w:rPr>
          <w:rFonts w:eastAsia="PMingLiU" w:cs="Times New Roman"/>
        </w:rPr>
        <w:t xml:space="preserve">, </w:t>
      </w:r>
      <w:r>
        <w:rPr>
          <w:rFonts w:eastAsia="PMingLiU" w:cs="Times New Roman"/>
        </w:rPr>
        <w:t>2010 SCC 8, [</w:t>
      </w:r>
      <w:r w:rsidRPr="00F2013C">
        <w:rPr>
          <w:rFonts w:eastAsia="PMingLiU" w:cs="Times New Roman"/>
        </w:rPr>
        <w:t>2010</w:t>
      </w:r>
      <w:r>
        <w:rPr>
          <w:rFonts w:eastAsia="PMingLiU" w:cs="Times New Roman"/>
        </w:rPr>
        <w:t>]</w:t>
      </w:r>
      <w:r w:rsidRPr="00F2013C">
        <w:rPr>
          <w:rFonts w:eastAsia="PMingLiU" w:cs="Times New Roman"/>
        </w:rPr>
        <w:t xml:space="preserve"> 1 S.C.R. 253</w:t>
      </w:r>
      <w:r>
        <w:rPr>
          <w:rFonts w:eastAsia="PMingLiU" w:cs="Times New Roman"/>
        </w:rPr>
        <w:t>,</w:t>
      </w:r>
      <w:r w:rsidRPr="00F2013C">
        <w:rPr>
          <w:rFonts w:eastAsia="PMingLiU" w:cs="Times New Roman"/>
        </w:rPr>
        <w:t xml:space="preserve"> at para</w:t>
      </w:r>
      <w:r>
        <w:rPr>
          <w:rFonts w:eastAsia="PMingLiU" w:cs="Times New Roman"/>
        </w:rPr>
        <w:t>s</w:t>
      </w:r>
      <w:r w:rsidRPr="00F2013C">
        <w:rPr>
          <w:rFonts w:eastAsia="PMingLiU" w:cs="Times New Roman"/>
        </w:rPr>
        <w:t>.</w:t>
      </w:r>
      <w:r>
        <w:rPr>
          <w:rFonts w:eastAsia="PMingLiU" w:cs="Times New Roman"/>
        </w:rPr>
        <w:t xml:space="preserve"> 16 and</w:t>
      </w:r>
      <w:r w:rsidRPr="00F2013C">
        <w:rPr>
          <w:rFonts w:eastAsia="PMingLiU" w:cs="Times New Roman"/>
        </w:rPr>
        <w:t xml:space="preserve"> 136. There can be no serious question about the fact that the respondent had physical possession of the material in the sense discussed by the majority of the Court in </w:t>
      </w:r>
      <w:r w:rsidRPr="00F2013C">
        <w:rPr>
          <w:rFonts w:eastAsia="PMingLiU" w:cs="Times New Roman"/>
          <w:i/>
        </w:rPr>
        <w:t>Morelli</w:t>
      </w:r>
      <w:r w:rsidRPr="00F2013C">
        <w:rPr>
          <w:rFonts w:eastAsia="PMingLiU" w:cs="Times New Roman"/>
        </w:rPr>
        <w:t>: it had been downloaded on to his computer and he had physical possession of the computer. The real question is whether it was reasonable for the judge to find that the respondent knew that he had physical possession of the pornography that was in fact in his computer’s memory.</w:t>
      </w:r>
    </w:p>
    <w:p w:rsidR="008F2100" w:rsidRPr="00F2013C" w:rsidRDefault="008F2100" w:rsidP="009E04B1">
      <w:pPr>
        <w:pStyle w:val="ParaNoNdepar-AltN"/>
        <w:widowControl w:val="0"/>
        <w:rPr>
          <w:rFonts w:eastAsia="PMingLiU" w:cs="Times New Roman"/>
        </w:rPr>
      </w:pPr>
      <w:r w:rsidRPr="00F2013C">
        <w:rPr>
          <w:rFonts w:eastAsia="PMingLiU" w:cs="Times New Roman"/>
        </w:rPr>
        <w:t>I have found it helpful to consider this issue in two steps. At the first, the question is whether a user of the respondent’s computer knowingly downloaded pornography. The judge found that a user of this computer had done so and, in my view, that conclusion was reasonable: para. 67.</w:t>
      </w:r>
    </w:p>
    <w:p w:rsidR="008F2100" w:rsidRPr="00F2013C" w:rsidRDefault="008F2100" w:rsidP="009E04B1">
      <w:pPr>
        <w:pStyle w:val="ParaNoNdepar-AltN"/>
        <w:widowControl w:val="0"/>
        <w:rPr>
          <w:rFonts w:eastAsia="PMingLiU" w:cs="Times New Roman"/>
        </w:rPr>
      </w:pPr>
      <w:r w:rsidRPr="00F2013C">
        <w:rPr>
          <w:rFonts w:eastAsia="PMingLiU" w:cs="Times New Roman"/>
        </w:rPr>
        <w:t>The evi</w:t>
      </w:r>
      <w:r>
        <w:rPr>
          <w:rFonts w:eastAsia="PMingLiU" w:cs="Times New Roman"/>
        </w:rPr>
        <w:t xml:space="preserve">dence was that </w:t>
      </w:r>
      <w:proofErr w:type="spellStart"/>
      <w:r>
        <w:rPr>
          <w:rFonts w:eastAsia="PMingLiU" w:cs="Times New Roman"/>
        </w:rPr>
        <w:t>Limewire</w:t>
      </w:r>
      <w:proofErr w:type="spellEnd"/>
      <w:r>
        <w:rPr>
          <w:rFonts w:eastAsia="PMingLiU" w:cs="Times New Roman"/>
        </w:rPr>
        <w:t>, a file-</w:t>
      </w:r>
      <w:r w:rsidRPr="00F2013C">
        <w:rPr>
          <w:rFonts w:eastAsia="PMingLiU" w:cs="Times New Roman"/>
        </w:rPr>
        <w:t>sharing software, was installed on the computer on the same day that the only user account (named “</w:t>
      </w:r>
      <w:proofErr w:type="spellStart"/>
      <w:r w:rsidRPr="00F2013C">
        <w:rPr>
          <w:rFonts w:eastAsia="PMingLiU" w:cs="Times New Roman"/>
        </w:rPr>
        <w:t>oswaldvillaroman</w:t>
      </w:r>
      <w:proofErr w:type="spellEnd"/>
      <w:r w:rsidRPr="00F2013C">
        <w:rPr>
          <w:rFonts w:eastAsia="PMingLiU" w:cs="Times New Roman"/>
        </w:rPr>
        <w:t xml:space="preserve">”) </w:t>
      </w:r>
      <w:r w:rsidRPr="00F2013C">
        <w:rPr>
          <w:rFonts w:eastAsia="PMingLiU" w:cs="Times New Roman"/>
        </w:rPr>
        <w:lastRenderedPageBreak/>
        <w:t xml:space="preserve">was created. </w:t>
      </w:r>
      <w:proofErr w:type="spellStart"/>
      <w:r w:rsidRPr="00F2013C">
        <w:rPr>
          <w:rFonts w:eastAsia="PMingLiU" w:cs="Times New Roman"/>
        </w:rPr>
        <w:t>Limewire</w:t>
      </w:r>
      <w:proofErr w:type="spellEnd"/>
      <w:r w:rsidRPr="00F2013C">
        <w:rPr>
          <w:rFonts w:eastAsia="PMingLiU" w:cs="Times New Roman"/>
        </w:rPr>
        <w:t xml:space="preserve">, the evidence disclosed, does not download files or other material without the user taking some action to download the file or material. The user must enter keywords and double click on the desired search result.  The evidence further showed that a user of this computer had changed the default saved folder so that completed files would be </w:t>
      </w:r>
      <w:r>
        <w:rPr>
          <w:rFonts w:eastAsia="PMingLiU" w:cs="Times New Roman"/>
        </w:rPr>
        <w:t>saved in the computer’s iTunes m</w:t>
      </w:r>
      <w:r w:rsidRPr="00F2013C">
        <w:rPr>
          <w:rFonts w:eastAsia="PMingLiU" w:cs="Times New Roman"/>
        </w:rPr>
        <w:t xml:space="preserve">usic folder.  A user of the computer had viewed some of the videos from both the </w:t>
      </w:r>
      <w:proofErr w:type="spellStart"/>
      <w:r w:rsidRPr="00F2013C">
        <w:rPr>
          <w:rFonts w:eastAsia="PMingLiU" w:cs="Times New Roman"/>
        </w:rPr>
        <w:t>Limewire</w:t>
      </w:r>
      <w:proofErr w:type="spellEnd"/>
      <w:r w:rsidRPr="00F2013C">
        <w:rPr>
          <w:rFonts w:eastAsia="PMingLiU" w:cs="Times New Roman"/>
        </w:rPr>
        <w:t xml:space="preserve"> “incomplete” folder and iTunes music folder through two different media-playing programs. These viewed files were not automatically opened by either of these media-playing programs. The evidence was also to the effect that the titles of downloaded </w:t>
      </w:r>
      <w:r>
        <w:rPr>
          <w:rFonts w:eastAsia="PMingLiU" w:cs="Times New Roman"/>
        </w:rPr>
        <w:t xml:space="preserve">files </w:t>
      </w:r>
      <w:r w:rsidRPr="00F2013C">
        <w:rPr>
          <w:rFonts w:eastAsia="PMingLiU" w:cs="Times New Roman"/>
        </w:rPr>
        <w:t>were “explicit, disturbing</w:t>
      </w:r>
      <w:r>
        <w:rPr>
          <w:rFonts w:eastAsia="PMingLiU" w:cs="Times New Roman"/>
        </w:rPr>
        <w:t>,</w:t>
      </w:r>
      <w:r w:rsidRPr="00F2013C">
        <w:rPr>
          <w:rFonts w:eastAsia="PMingLiU" w:cs="Times New Roman"/>
        </w:rPr>
        <w:t xml:space="preserve"> and would logically indicate that the associated files are child pornography</w:t>
      </w:r>
      <w:r w:rsidR="007875F2" w:rsidRPr="00F2013C">
        <w:rPr>
          <w:rFonts w:eastAsia="PMingLiU" w:cs="Times New Roman"/>
        </w:rPr>
        <w:t>”</w:t>
      </w:r>
      <w:r>
        <w:rPr>
          <w:rFonts w:eastAsia="PMingLiU" w:cs="Times New Roman"/>
        </w:rPr>
        <w:t>: para. 62</w:t>
      </w:r>
      <w:r w:rsidRPr="00F2013C">
        <w:rPr>
          <w:rFonts w:eastAsia="PMingLiU" w:cs="Times New Roman"/>
        </w:rPr>
        <w:t xml:space="preserve">. All of this evidence tended to show that the offending material would not be downloaded and viewed without the user’s consent or knowledge, and that the nature of the material would be obvious to the user.  </w:t>
      </w:r>
    </w:p>
    <w:p w:rsidR="008F2100" w:rsidRPr="00F2013C" w:rsidRDefault="008F2100" w:rsidP="009E04B1">
      <w:pPr>
        <w:pStyle w:val="ParaNoNdepar-AltN"/>
        <w:widowControl w:val="0"/>
        <w:rPr>
          <w:rFonts w:eastAsia="PMingLiU" w:cs="Times New Roman"/>
        </w:rPr>
      </w:pPr>
      <w:r w:rsidRPr="00F2013C">
        <w:rPr>
          <w:rFonts w:eastAsia="PMingLiU" w:cs="Times New Roman"/>
        </w:rPr>
        <w:t xml:space="preserve">These facts were recited </w:t>
      </w:r>
      <w:r>
        <w:rPr>
          <w:rFonts w:eastAsia="PMingLiU" w:cs="Times New Roman"/>
        </w:rPr>
        <w:t xml:space="preserve">in the trial judge’s reasons, and his conclusion at para. 67 </w:t>
      </w:r>
      <w:r w:rsidRPr="00F2013C">
        <w:rPr>
          <w:rFonts w:eastAsia="PMingLiU" w:cs="Times New Roman"/>
        </w:rPr>
        <w:t>that the “</w:t>
      </w:r>
      <w:proofErr w:type="spellStart"/>
      <w:r w:rsidRPr="00F2013C">
        <w:rPr>
          <w:rFonts w:eastAsia="PMingLiU" w:cs="Times New Roman"/>
        </w:rPr>
        <w:t>oswaldvillaroman</w:t>
      </w:r>
      <w:proofErr w:type="spellEnd"/>
      <w:r w:rsidRPr="00F2013C">
        <w:rPr>
          <w:rFonts w:eastAsia="PMingLiU" w:cs="Times New Roman"/>
        </w:rPr>
        <w:t xml:space="preserve">” user account downloaded the child pornography onto the computer using the </w:t>
      </w:r>
      <w:proofErr w:type="spellStart"/>
      <w:r w:rsidRPr="00F2013C">
        <w:rPr>
          <w:rFonts w:eastAsia="PMingLiU" w:cs="Times New Roman"/>
        </w:rPr>
        <w:t>Limewire</w:t>
      </w:r>
      <w:proofErr w:type="spellEnd"/>
      <w:r w:rsidRPr="00F2013C">
        <w:rPr>
          <w:rFonts w:eastAsia="PMingLiU" w:cs="Times New Roman"/>
        </w:rPr>
        <w:t xml:space="preserve"> program was reasonable.</w:t>
      </w:r>
    </w:p>
    <w:p w:rsidR="008F2100" w:rsidRPr="00F2013C" w:rsidRDefault="008F2100" w:rsidP="009E04B1">
      <w:pPr>
        <w:pStyle w:val="ParaNoNdepar-AltN"/>
        <w:widowControl w:val="0"/>
        <w:rPr>
          <w:rFonts w:cs="Times New Roman"/>
          <w:szCs w:val="24"/>
        </w:rPr>
      </w:pPr>
      <w:r w:rsidRPr="00F2013C">
        <w:rPr>
          <w:rFonts w:cs="Times New Roman"/>
        </w:rPr>
        <w:t xml:space="preserve">The second step is to ask whether it was reasonable to conclude that the respondent was knowingly in possession of the child pornography that had been saved on his computer.  </w:t>
      </w:r>
    </w:p>
    <w:p w:rsidR="008F2100" w:rsidRPr="00F2013C" w:rsidRDefault="008F2100" w:rsidP="009E04B1">
      <w:pPr>
        <w:pStyle w:val="ParaNoNdepar-AltN"/>
        <w:widowControl w:val="0"/>
        <w:rPr>
          <w:rFonts w:eastAsia="PMingLiU" w:cs="Times New Roman"/>
        </w:rPr>
      </w:pPr>
      <w:r w:rsidRPr="00F2013C">
        <w:rPr>
          <w:rFonts w:eastAsia="PMingLiU" w:cs="Times New Roman"/>
        </w:rPr>
        <w:t xml:space="preserve">The trial judge found that the respondent was the user who had downloaded the material, but I agree with the </w:t>
      </w:r>
      <w:r>
        <w:rPr>
          <w:rFonts w:eastAsia="PMingLiU" w:cs="Times New Roman"/>
        </w:rPr>
        <w:t xml:space="preserve">Crown </w:t>
      </w:r>
      <w:r w:rsidRPr="00F2013C">
        <w:rPr>
          <w:rFonts w:eastAsia="PMingLiU" w:cs="Times New Roman"/>
        </w:rPr>
        <w:t xml:space="preserve">that this finding was not essential to proof of </w:t>
      </w:r>
      <w:r w:rsidRPr="00F2013C">
        <w:rPr>
          <w:rFonts w:eastAsia="PMingLiU" w:cs="Times New Roman"/>
        </w:rPr>
        <w:lastRenderedPageBreak/>
        <w:t xml:space="preserve">the respondent’s knowledge. The judge also found </w:t>
      </w:r>
      <w:r>
        <w:rPr>
          <w:rFonts w:eastAsia="PMingLiU" w:cs="Times New Roman"/>
        </w:rPr>
        <w:t>—</w:t>
      </w:r>
      <w:r w:rsidRPr="00F2013C">
        <w:rPr>
          <w:rFonts w:eastAsia="PMingLiU" w:cs="Times New Roman"/>
        </w:rPr>
        <w:t xml:space="preserve"> and</w:t>
      </w:r>
      <w:r>
        <w:rPr>
          <w:rFonts w:eastAsia="PMingLiU" w:cs="Times New Roman"/>
        </w:rPr>
        <w:t xml:space="preserve"> this is the critical finding —</w:t>
      </w:r>
      <w:r w:rsidRPr="00F2013C">
        <w:rPr>
          <w:rFonts w:eastAsia="PMingLiU" w:cs="Times New Roman"/>
        </w:rPr>
        <w:t xml:space="preserve"> that the respondent was aware of the pornography on his computer: para. 85.  The trial judge considered and rejected the respondent’s submission that the evidence was not sufficient to establish the respondent’s knowledge of the nature of the material on his computer. Noting that the Crown does not have to negative every conjecture, he found that the evidence as a whole persuaded him beyond a reasonable doubt that the respondent “was aware that the ch</w:t>
      </w:r>
      <w:r>
        <w:rPr>
          <w:rFonts w:eastAsia="PMingLiU" w:cs="Times New Roman"/>
        </w:rPr>
        <w:t>ild pornography resided on the C</w:t>
      </w:r>
      <w:r w:rsidRPr="00F2013C">
        <w:rPr>
          <w:rFonts w:eastAsia="PMingLiU" w:cs="Times New Roman"/>
        </w:rPr>
        <w:t>omputer”: para. 8</w:t>
      </w:r>
      <w:r>
        <w:rPr>
          <w:rFonts w:eastAsia="PMingLiU" w:cs="Times New Roman"/>
        </w:rPr>
        <w:t>5</w:t>
      </w:r>
      <w:r w:rsidRPr="00F2013C">
        <w:rPr>
          <w:rFonts w:eastAsia="PMingLiU" w:cs="Times New Roman"/>
        </w:rPr>
        <w:t xml:space="preserve">. </w:t>
      </w:r>
    </w:p>
    <w:p w:rsidR="008F2100" w:rsidRPr="00F2013C" w:rsidRDefault="008F2100" w:rsidP="009E04B1">
      <w:pPr>
        <w:pStyle w:val="ParaNoNdepar-AltN"/>
        <w:widowControl w:val="0"/>
        <w:rPr>
          <w:rFonts w:eastAsia="PMingLiU" w:cs="Times New Roman"/>
        </w:rPr>
      </w:pPr>
      <w:r w:rsidRPr="00F2013C">
        <w:rPr>
          <w:rFonts w:eastAsia="PMingLiU" w:cs="Times New Roman"/>
        </w:rPr>
        <w:t>Contrary to the respondent’s submission, the trial judge did not merely consider the fact that the accused owned the computer in coming to this conclusion.  He r</w:t>
      </w:r>
      <w:r>
        <w:rPr>
          <w:rFonts w:eastAsia="PMingLiU" w:cs="Times New Roman"/>
        </w:rPr>
        <w:t xml:space="preserve">elied on the evidence of Mr. </w:t>
      </w:r>
      <w:proofErr w:type="spellStart"/>
      <w:r>
        <w:rPr>
          <w:rFonts w:eastAsia="PMingLiU" w:cs="Times New Roman"/>
        </w:rPr>
        <w:t>LaF</w:t>
      </w:r>
      <w:r w:rsidRPr="00F2013C">
        <w:rPr>
          <w:rFonts w:eastAsia="PMingLiU" w:cs="Times New Roman"/>
        </w:rPr>
        <w:t>ontaine</w:t>
      </w:r>
      <w:proofErr w:type="spellEnd"/>
      <w:r w:rsidRPr="00F2013C">
        <w:rPr>
          <w:rFonts w:eastAsia="PMingLiU" w:cs="Times New Roman"/>
        </w:rPr>
        <w:t xml:space="preserve"> and Mr. </w:t>
      </w:r>
      <w:proofErr w:type="spellStart"/>
      <w:r w:rsidRPr="00F2013C">
        <w:rPr>
          <w:rFonts w:eastAsia="PMingLiU" w:cs="Times New Roman"/>
        </w:rPr>
        <w:t>Sopczak</w:t>
      </w:r>
      <w:proofErr w:type="spellEnd"/>
      <w:r w:rsidRPr="00F2013C">
        <w:rPr>
          <w:rFonts w:eastAsia="PMingLiU" w:cs="Times New Roman"/>
        </w:rPr>
        <w:t>, and referred to the following pieces of evidence before the court in particular:</w:t>
      </w:r>
    </w:p>
    <w:p w:rsidR="008F2100" w:rsidRPr="00F2013C" w:rsidRDefault="008F2100" w:rsidP="009E04B1">
      <w:pPr>
        <w:pStyle w:val="Citation-AltC"/>
        <w:widowControl w:val="0"/>
        <w:numPr>
          <w:ilvl w:val="4"/>
          <w:numId w:val="6"/>
        </w:numPr>
        <w:tabs>
          <w:tab w:val="left" w:pos="1530"/>
        </w:tabs>
        <w:ind w:left="1170" w:firstLine="0"/>
        <w:rPr>
          <w:rFonts w:eastAsia="PMingLiU"/>
        </w:rPr>
      </w:pPr>
      <w:r>
        <w:rPr>
          <w:rFonts w:eastAsia="PMingLiU"/>
        </w:rPr>
        <w:t>t</w:t>
      </w:r>
      <w:r w:rsidRPr="00F2013C">
        <w:rPr>
          <w:rFonts w:eastAsia="PMingLiU"/>
        </w:rPr>
        <w:t>wo people with whom the accused lives did not download child pornography to the Computer;</w:t>
      </w:r>
    </w:p>
    <w:p w:rsidR="008F2100" w:rsidRPr="00F2013C" w:rsidRDefault="008F2100" w:rsidP="009E04B1">
      <w:pPr>
        <w:pStyle w:val="Citation-AltC"/>
        <w:widowControl w:val="0"/>
        <w:ind w:left="1800"/>
        <w:rPr>
          <w:rFonts w:eastAsia="PMingLiU"/>
        </w:rPr>
      </w:pPr>
    </w:p>
    <w:p w:rsidR="008F2100" w:rsidRPr="00F2013C" w:rsidRDefault="008F2100" w:rsidP="009E04B1">
      <w:pPr>
        <w:pStyle w:val="Citation-AltC"/>
        <w:widowControl w:val="0"/>
        <w:numPr>
          <w:ilvl w:val="4"/>
          <w:numId w:val="6"/>
        </w:numPr>
        <w:tabs>
          <w:tab w:val="left" w:pos="1530"/>
        </w:tabs>
        <w:ind w:left="1170" w:firstLine="0"/>
        <w:rPr>
          <w:rFonts w:eastAsia="PMingLiU"/>
        </w:rPr>
      </w:pPr>
      <w:r>
        <w:rPr>
          <w:rFonts w:eastAsia="PMingLiU"/>
        </w:rPr>
        <w:t>t</w:t>
      </w:r>
      <w:r w:rsidRPr="00F2013C">
        <w:rPr>
          <w:rFonts w:eastAsia="PMingLiU"/>
        </w:rPr>
        <w:t>he child</w:t>
      </w:r>
      <w:r>
        <w:rPr>
          <w:rFonts w:eastAsia="PMingLiU"/>
        </w:rPr>
        <w:t xml:space="preserve"> pornography was in the iTunes </w:t>
      </w:r>
      <w:r w:rsidR="00310E91">
        <w:rPr>
          <w:rFonts w:eastAsia="PMingLiU"/>
        </w:rPr>
        <w:t>“M</w:t>
      </w:r>
      <w:r w:rsidRPr="00F2013C">
        <w:rPr>
          <w:rFonts w:eastAsia="PMingLiU"/>
        </w:rPr>
        <w:t>usic</w:t>
      </w:r>
      <w:r w:rsidR="00310E91">
        <w:rPr>
          <w:rFonts w:eastAsia="PMingLiU"/>
        </w:rPr>
        <w:t>”</w:t>
      </w:r>
      <w:r w:rsidRPr="00F2013C">
        <w:rPr>
          <w:rFonts w:eastAsia="PMingLiU"/>
        </w:rPr>
        <w:t xml:space="preserve"> folder</w:t>
      </w:r>
      <w:r>
        <w:rPr>
          <w:rFonts w:eastAsia="PMingLiU"/>
        </w:rPr>
        <w:t>,</w:t>
      </w:r>
      <w:r w:rsidRPr="00F2013C">
        <w:rPr>
          <w:rFonts w:eastAsia="PMingLiU"/>
        </w:rPr>
        <w:t xml:space="preserve"> which is accessible to the Computer’s user;</w:t>
      </w:r>
    </w:p>
    <w:p w:rsidR="008F2100" w:rsidRPr="00F2013C" w:rsidRDefault="008F2100" w:rsidP="009E04B1">
      <w:pPr>
        <w:pStyle w:val="Citation-AltC"/>
        <w:widowControl w:val="0"/>
        <w:ind w:left="1800"/>
        <w:rPr>
          <w:rFonts w:eastAsia="PMingLiU"/>
        </w:rPr>
      </w:pPr>
    </w:p>
    <w:p w:rsidR="008F2100" w:rsidRPr="00F2013C" w:rsidRDefault="008F2100" w:rsidP="009E04B1">
      <w:pPr>
        <w:pStyle w:val="Citation-AltC"/>
        <w:widowControl w:val="0"/>
        <w:numPr>
          <w:ilvl w:val="4"/>
          <w:numId w:val="6"/>
        </w:numPr>
        <w:tabs>
          <w:tab w:val="left" w:pos="1530"/>
        </w:tabs>
        <w:ind w:left="1170" w:firstLine="0"/>
        <w:rPr>
          <w:rFonts w:eastAsia="PMingLiU"/>
        </w:rPr>
      </w:pPr>
      <w:r>
        <w:rPr>
          <w:rFonts w:eastAsia="PMingLiU"/>
        </w:rPr>
        <w:t>t</w:t>
      </w:r>
      <w:r w:rsidRPr="00F2013C">
        <w:rPr>
          <w:rFonts w:eastAsia="PMingLiU"/>
        </w:rPr>
        <w:t>he Computer belongs to the accused;</w:t>
      </w:r>
    </w:p>
    <w:p w:rsidR="008F2100" w:rsidRPr="00F2013C" w:rsidRDefault="008F2100" w:rsidP="009E04B1">
      <w:pPr>
        <w:pStyle w:val="Citation-AltC"/>
        <w:widowControl w:val="0"/>
        <w:ind w:left="1800"/>
        <w:rPr>
          <w:rFonts w:eastAsia="PMingLiU"/>
        </w:rPr>
      </w:pPr>
    </w:p>
    <w:p w:rsidR="008F2100" w:rsidRPr="00F2013C" w:rsidRDefault="008F2100" w:rsidP="009E04B1">
      <w:pPr>
        <w:pStyle w:val="Citation-AltC"/>
        <w:widowControl w:val="0"/>
        <w:numPr>
          <w:ilvl w:val="4"/>
          <w:numId w:val="6"/>
        </w:numPr>
        <w:tabs>
          <w:tab w:val="left" w:pos="1530"/>
        </w:tabs>
        <w:ind w:left="1170" w:firstLine="0"/>
        <w:rPr>
          <w:rFonts w:eastAsia="PMingLiU"/>
        </w:rPr>
      </w:pPr>
      <w:r>
        <w:rPr>
          <w:rFonts w:eastAsia="PMingLiU"/>
        </w:rPr>
        <w:t>t</w:t>
      </w:r>
      <w:r w:rsidRPr="00F2013C">
        <w:rPr>
          <w:rFonts w:eastAsia="PMingLiU"/>
        </w:rPr>
        <w:t xml:space="preserve">he Computer was used </w:t>
      </w:r>
      <w:r>
        <w:rPr>
          <w:rFonts w:eastAsia="PMingLiU"/>
        </w:rPr>
        <w:t>“</w:t>
      </w:r>
      <w:r w:rsidRPr="00F2013C">
        <w:rPr>
          <w:rFonts w:eastAsia="PMingLiU"/>
        </w:rPr>
        <w:t>almost daily</w:t>
      </w:r>
      <w:r>
        <w:rPr>
          <w:rFonts w:eastAsia="PMingLiU"/>
        </w:rPr>
        <w:t>”</w:t>
      </w:r>
      <w:r w:rsidRPr="00F2013C">
        <w:rPr>
          <w:rFonts w:eastAsia="PMingLiU"/>
        </w:rPr>
        <w:t xml:space="preserve"> from July 1, 2007, to November 29, 2009;</w:t>
      </w:r>
    </w:p>
    <w:p w:rsidR="008F2100" w:rsidRPr="00F2013C" w:rsidRDefault="008F2100" w:rsidP="009E04B1">
      <w:pPr>
        <w:pStyle w:val="Citation-AltC"/>
        <w:widowControl w:val="0"/>
        <w:ind w:left="0"/>
        <w:rPr>
          <w:rFonts w:eastAsia="PMingLiU"/>
        </w:rPr>
      </w:pPr>
    </w:p>
    <w:p w:rsidR="008F2100" w:rsidRPr="00F2013C" w:rsidRDefault="008F2100" w:rsidP="009E04B1">
      <w:pPr>
        <w:pStyle w:val="Citation-AltC"/>
        <w:widowControl w:val="0"/>
        <w:numPr>
          <w:ilvl w:val="4"/>
          <w:numId w:val="6"/>
        </w:numPr>
        <w:tabs>
          <w:tab w:val="left" w:pos="1530"/>
        </w:tabs>
        <w:ind w:left="1170" w:firstLine="0"/>
        <w:rPr>
          <w:rFonts w:eastAsia="PMingLiU"/>
        </w:rPr>
      </w:pPr>
      <w:r>
        <w:rPr>
          <w:rFonts w:eastAsia="PMingLiU"/>
        </w:rPr>
        <w:t>t</w:t>
      </w:r>
      <w:r w:rsidRPr="00F2013C">
        <w:rPr>
          <w:rFonts w:eastAsia="PMingLiU"/>
        </w:rPr>
        <w:t xml:space="preserve">he user name that was established on the same day that </w:t>
      </w:r>
      <w:proofErr w:type="spellStart"/>
      <w:r w:rsidRPr="00F2013C">
        <w:rPr>
          <w:rFonts w:eastAsia="PMingLiU"/>
        </w:rPr>
        <w:t>Limewire</w:t>
      </w:r>
      <w:proofErr w:type="spellEnd"/>
      <w:r w:rsidRPr="00F2013C">
        <w:rPr>
          <w:rFonts w:eastAsia="PMingLiU"/>
        </w:rPr>
        <w:t xml:space="preserve"> was installed is “</w:t>
      </w:r>
      <w:proofErr w:type="spellStart"/>
      <w:r w:rsidRPr="00F2013C">
        <w:rPr>
          <w:rFonts w:eastAsia="PMingLiU"/>
        </w:rPr>
        <w:t>oswaldvillaroman</w:t>
      </w:r>
      <w:proofErr w:type="spellEnd"/>
      <w:r w:rsidRPr="00F2013C">
        <w:rPr>
          <w:rFonts w:eastAsia="PMingLiU"/>
        </w:rPr>
        <w:t>”;</w:t>
      </w:r>
    </w:p>
    <w:p w:rsidR="008F2100" w:rsidRPr="00F2013C" w:rsidRDefault="008F2100" w:rsidP="009E04B1">
      <w:pPr>
        <w:pStyle w:val="Citation-AltC"/>
        <w:widowControl w:val="0"/>
        <w:tabs>
          <w:tab w:val="left" w:pos="1440"/>
        </w:tabs>
        <w:ind w:left="1170"/>
        <w:rPr>
          <w:rFonts w:eastAsia="PMingLiU"/>
        </w:rPr>
      </w:pPr>
    </w:p>
    <w:p w:rsidR="008F2100" w:rsidRPr="00F2013C" w:rsidRDefault="008F2100" w:rsidP="009E04B1">
      <w:pPr>
        <w:pStyle w:val="Citation-AltC"/>
        <w:widowControl w:val="0"/>
        <w:numPr>
          <w:ilvl w:val="4"/>
          <w:numId w:val="6"/>
        </w:numPr>
        <w:tabs>
          <w:tab w:val="left" w:pos="1440"/>
        </w:tabs>
        <w:ind w:left="1170" w:firstLine="0"/>
        <w:rPr>
          <w:rFonts w:eastAsia="PMingLiU"/>
        </w:rPr>
      </w:pPr>
      <w:r>
        <w:rPr>
          <w:rFonts w:eastAsia="PMingLiU"/>
        </w:rPr>
        <w:t>t</w:t>
      </w:r>
      <w:r w:rsidRPr="00F2013C">
        <w:rPr>
          <w:rFonts w:eastAsia="PMingLiU"/>
        </w:rPr>
        <w:t xml:space="preserve">he Computer was left at the </w:t>
      </w:r>
      <w:proofErr w:type="spellStart"/>
      <w:r w:rsidRPr="00F2013C">
        <w:rPr>
          <w:rFonts w:eastAsia="PMingLiU"/>
        </w:rPr>
        <w:t>MyMac</w:t>
      </w:r>
      <w:proofErr w:type="spellEnd"/>
      <w:r w:rsidRPr="00F2013C">
        <w:rPr>
          <w:rFonts w:eastAsia="PMingLiU"/>
        </w:rPr>
        <w:t xml:space="preserve"> on December 2, 2009, and the accused’s name and home address are shown </w:t>
      </w:r>
      <w:r>
        <w:rPr>
          <w:rFonts w:eastAsia="PMingLiU"/>
        </w:rPr>
        <w:t>on the Service Repair Order;</w:t>
      </w:r>
      <w:r w:rsidR="00310E91">
        <w:rPr>
          <w:rFonts w:eastAsia="PMingLiU"/>
        </w:rPr>
        <w:t xml:space="preserve"> and</w:t>
      </w:r>
    </w:p>
    <w:p w:rsidR="008F2100" w:rsidRPr="00F2013C" w:rsidRDefault="008F2100" w:rsidP="009E04B1">
      <w:pPr>
        <w:pStyle w:val="Citation-AltC"/>
        <w:widowControl w:val="0"/>
        <w:tabs>
          <w:tab w:val="left" w:pos="1530"/>
        </w:tabs>
        <w:ind w:left="1170"/>
        <w:rPr>
          <w:rFonts w:eastAsia="PMingLiU"/>
        </w:rPr>
      </w:pPr>
    </w:p>
    <w:p w:rsidR="008F2100" w:rsidRPr="00F2013C" w:rsidRDefault="008F2100" w:rsidP="009E04B1">
      <w:pPr>
        <w:pStyle w:val="Citation-AltC"/>
        <w:widowControl w:val="0"/>
        <w:numPr>
          <w:ilvl w:val="4"/>
          <w:numId w:val="6"/>
        </w:numPr>
        <w:tabs>
          <w:tab w:val="left" w:pos="1530"/>
        </w:tabs>
        <w:ind w:left="1170" w:firstLine="0"/>
        <w:rPr>
          <w:rFonts w:eastAsia="PMingLiU"/>
        </w:rPr>
      </w:pPr>
      <w:proofErr w:type="gramStart"/>
      <w:r>
        <w:rPr>
          <w:rFonts w:eastAsia="PMingLiU"/>
        </w:rPr>
        <w:t>t</w:t>
      </w:r>
      <w:r w:rsidRPr="00F2013C">
        <w:rPr>
          <w:rFonts w:eastAsia="PMingLiU"/>
        </w:rPr>
        <w:t>he</w:t>
      </w:r>
      <w:proofErr w:type="gramEnd"/>
      <w:r w:rsidRPr="00F2013C">
        <w:rPr>
          <w:rFonts w:eastAsia="PMingLiU"/>
        </w:rPr>
        <w:t xml:space="preserve"> specific problem</w:t>
      </w:r>
      <w:r>
        <w:rPr>
          <w:rFonts w:eastAsia="PMingLiU"/>
        </w:rPr>
        <w:t>s</w:t>
      </w:r>
      <w:r w:rsidRPr="00F2013C">
        <w:rPr>
          <w:rFonts w:eastAsia="PMingLiU"/>
        </w:rPr>
        <w:t xml:space="preserve"> that the Computer was suffering are listed under “Problem Description” on the Service Repair Order and specifically refers to the fact that </w:t>
      </w:r>
      <w:r>
        <w:rPr>
          <w:rFonts w:eastAsia="PMingLiU"/>
        </w:rPr>
        <w:t xml:space="preserve">the </w:t>
      </w:r>
      <w:r w:rsidRPr="00F2013C">
        <w:rPr>
          <w:rFonts w:eastAsia="PMingLiU"/>
        </w:rPr>
        <w:t>“client reports” the problems</w:t>
      </w:r>
      <w:r w:rsidR="00310E91">
        <w:rPr>
          <w:rFonts w:eastAsia="PMingLiU"/>
        </w:rPr>
        <w:t>.</w:t>
      </w:r>
    </w:p>
    <w:p w:rsidR="008F2100" w:rsidRPr="00F2013C" w:rsidRDefault="008F2100" w:rsidP="009E04B1">
      <w:pPr>
        <w:pStyle w:val="Citation-AltC"/>
        <w:widowControl w:val="0"/>
        <w:ind w:left="0"/>
        <w:rPr>
          <w:rFonts w:eastAsia="PMingLiU"/>
        </w:rPr>
      </w:pPr>
    </w:p>
    <w:p w:rsidR="008F2100" w:rsidRPr="00F2013C" w:rsidRDefault="00310E91" w:rsidP="009E04B1">
      <w:pPr>
        <w:pStyle w:val="Citation-AltC"/>
        <w:widowControl w:val="0"/>
        <w:tabs>
          <w:tab w:val="left" w:pos="1530"/>
        </w:tabs>
        <w:ind w:left="1170"/>
        <w:rPr>
          <w:rFonts w:eastAsia="PMingLiU"/>
        </w:rPr>
      </w:pPr>
      <w:r>
        <w:rPr>
          <w:rFonts w:eastAsia="PMingLiU"/>
        </w:rPr>
        <w:t xml:space="preserve">. . . </w:t>
      </w:r>
      <w:proofErr w:type="gramStart"/>
      <w:r w:rsidR="008F2100">
        <w:rPr>
          <w:rFonts w:eastAsia="PMingLiU"/>
        </w:rPr>
        <w:t>t</w:t>
      </w:r>
      <w:r>
        <w:rPr>
          <w:rFonts w:eastAsia="PMingLiU"/>
        </w:rPr>
        <w:t>he</w:t>
      </w:r>
      <w:proofErr w:type="gramEnd"/>
      <w:r>
        <w:rPr>
          <w:rFonts w:eastAsia="PMingLiU"/>
        </w:rPr>
        <w:t xml:space="preserve"> clock on the C</w:t>
      </w:r>
      <w:r w:rsidR="008F2100" w:rsidRPr="00F2013C">
        <w:rPr>
          <w:rFonts w:eastAsia="PMingLiU"/>
        </w:rPr>
        <w:t xml:space="preserve">omputer was accurate </w:t>
      </w:r>
      <w:r>
        <w:rPr>
          <w:rFonts w:eastAsia="PMingLiU"/>
        </w:rPr>
        <w:t>[</w:t>
      </w:r>
      <w:r w:rsidR="008F2100" w:rsidRPr="00F2013C">
        <w:rPr>
          <w:rFonts w:eastAsia="PMingLiU"/>
        </w:rPr>
        <w:t xml:space="preserve">which meant that some of the pornography had </w:t>
      </w:r>
      <w:r w:rsidR="008F2100">
        <w:rPr>
          <w:rFonts w:eastAsia="PMingLiU"/>
        </w:rPr>
        <w:t>been on the computer for about three</w:t>
      </w:r>
      <w:r w:rsidR="008F2100" w:rsidRPr="00F2013C">
        <w:rPr>
          <w:rFonts w:eastAsia="PMingLiU"/>
        </w:rPr>
        <w:t xml:space="preserve"> months before Mr. </w:t>
      </w:r>
      <w:proofErr w:type="spellStart"/>
      <w:r w:rsidR="008F2100" w:rsidRPr="00F2013C">
        <w:rPr>
          <w:rFonts w:eastAsia="PMingLiU"/>
        </w:rPr>
        <w:t>Villaroman</w:t>
      </w:r>
      <w:proofErr w:type="spellEnd"/>
      <w:r w:rsidR="008F2100" w:rsidRPr="00F2013C">
        <w:rPr>
          <w:rFonts w:eastAsia="PMingLiU"/>
        </w:rPr>
        <w:t xml:space="preserve"> took the computer in for repairs</w:t>
      </w:r>
      <w:r w:rsidR="008F2100">
        <w:rPr>
          <w:rFonts w:eastAsia="PMingLiU"/>
        </w:rPr>
        <w:t>.</w:t>
      </w:r>
      <w:r>
        <w:rPr>
          <w:rFonts w:eastAsia="PMingLiU"/>
        </w:rPr>
        <w:t>] [</w:t>
      </w:r>
      <w:proofErr w:type="gramStart"/>
      <w:r>
        <w:rPr>
          <w:rFonts w:eastAsia="PMingLiU"/>
        </w:rPr>
        <w:t>paras</w:t>
      </w:r>
      <w:proofErr w:type="gramEnd"/>
      <w:r>
        <w:rPr>
          <w:rFonts w:eastAsia="PMingLiU"/>
        </w:rPr>
        <w:t>. 82-</w:t>
      </w:r>
      <w:r w:rsidR="00C65B25">
        <w:rPr>
          <w:rFonts w:eastAsia="PMingLiU"/>
        </w:rPr>
        <w:t>8</w:t>
      </w:r>
      <w:r>
        <w:rPr>
          <w:rFonts w:eastAsia="PMingLiU"/>
        </w:rPr>
        <w:t>3]</w:t>
      </w:r>
    </w:p>
    <w:p w:rsidR="008F2100" w:rsidRPr="00F2013C" w:rsidRDefault="008F2100" w:rsidP="009E04B1">
      <w:pPr>
        <w:pStyle w:val="ParaNoNdepar-AltN"/>
        <w:widowControl w:val="0"/>
        <w:rPr>
          <w:rFonts w:eastAsia="PMingLiU" w:cs="Times New Roman"/>
          <w:szCs w:val="24"/>
        </w:rPr>
      </w:pPr>
      <w:r w:rsidRPr="00F2013C">
        <w:rPr>
          <w:rFonts w:eastAsia="PMingLiU" w:cs="Times New Roman"/>
        </w:rPr>
        <w:t>Was the conclusion that the respondent knew this material was on his computer reasonable? In my view, it was.</w:t>
      </w:r>
    </w:p>
    <w:p w:rsidR="008F2100" w:rsidRPr="00F2013C" w:rsidRDefault="008F2100" w:rsidP="009E04B1">
      <w:pPr>
        <w:pStyle w:val="ParaNoNdepar-AltN"/>
        <w:widowControl w:val="0"/>
        <w:rPr>
          <w:rFonts w:eastAsia="PMingLiU" w:cs="Times New Roman"/>
        </w:rPr>
      </w:pPr>
      <w:r w:rsidRPr="00F2013C">
        <w:rPr>
          <w:rFonts w:eastAsia="PMingLiU" w:cs="Times New Roman"/>
        </w:rPr>
        <w:t xml:space="preserve">As noted, Mr. </w:t>
      </w:r>
      <w:proofErr w:type="spellStart"/>
      <w:r w:rsidRPr="00F2013C">
        <w:rPr>
          <w:rFonts w:eastAsia="PMingLiU" w:cs="Times New Roman"/>
        </w:rPr>
        <w:t>Villaroman</w:t>
      </w:r>
      <w:proofErr w:type="spellEnd"/>
      <w:r w:rsidRPr="00F2013C">
        <w:rPr>
          <w:rFonts w:eastAsia="PMingLiU" w:cs="Times New Roman"/>
        </w:rPr>
        <w:t xml:space="preserve"> admitted that the laptop was his. He had possession and control of it for the purposes of having it repaired. He delivered it to the shop, paid for the repairs, tried to pick it up, stated that he was the person who could authorize the work and authorized the required repairs. The only user account on the computer, “</w:t>
      </w:r>
      <w:proofErr w:type="spellStart"/>
      <w:r w:rsidRPr="00F2013C">
        <w:rPr>
          <w:rFonts w:eastAsia="PMingLiU" w:cs="Times New Roman"/>
        </w:rPr>
        <w:t>oswaldvillaroman</w:t>
      </w:r>
      <w:proofErr w:type="spellEnd"/>
      <w:r w:rsidRPr="00F2013C">
        <w:rPr>
          <w:rFonts w:eastAsia="PMingLiU" w:cs="Times New Roman"/>
        </w:rPr>
        <w:t xml:space="preserve">”, was created using his name. The </w:t>
      </w:r>
      <w:proofErr w:type="spellStart"/>
      <w:r w:rsidRPr="00F2013C">
        <w:rPr>
          <w:rFonts w:eastAsia="PMingLiU" w:cs="Times New Roman"/>
        </w:rPr>
        <w:t>Limewire</w:t>
      </w:r>
      <w:proofErr w:type="spellEnd"/>
      <w:r w:rsidRPr="00F2013C">
        <w:rPr>
          <w:rFonts w:eastAsia="PMingLiU" w:cs="Times New Roman"/>
        </w:rPr>
        <w:t xml:space="preserve"> software was installed on the computer the same day. There had been almost daily use of the computer since. Some of the pornography had been stored on the computer for about three months before Mr. </w:t>
      </w:r>
      <w:proofErr w:type="spellStart"/>
      <w:r w:rsidRPr="00F2013C">
        <w:rPr>
          <w:rFonts w:eastAsia="PMingLiU" w:cs="Times New Roman"/>
        </w:rPr>
        <w:t>Villaroman</w:t>
      </w:r>
      <w:proofErr w:type="spellEnd"/>
      <w:r w:rsidRPr="00F2013C">
        <w:rPr>
          <w:rFonts w:eastAsia="PMingLiU" w:cs="Times New Roman"/>
        </w:rPr>
        <w:t xml:space="preserve"> took it in for repairs.  As discussed earlier, the nature of the material would be obvious to a user of the computer who saw the file names. Mr. </w:t>
      </w:r>
      <w:proofErr w:type="spellStart"/>
      <w:r w:rsidRPr="00F2013C">
        <w:rPr>
          <w:rFonts w:eastAsia="PMingLiU" w:cs="Times New Roman"/>
        </w:rPr>
        <w:t>Villaroman</w:t>
      </w:r>
      <w:proofErr w:type="spellEnd"/>
      <w:r w:rsidRPr="00F2013C">
        <w:rPr>
          <w:rFonts w:eastAsia="PMingLiU" w:cs="Times New Roman"/>
        </w:rPr>
        <w:t xml:space="preserve"> admitted that he resided at the same address as </w:t>
      </w:r>
      <w:proofErr w:type="spellStart"/>
      <w:r w:rsidRPr="00F2013C">
        <w:rPr>
          <w:rFonts w:eastAsia="PMingLiU" w:cs="Times New Roman"/>
        </w:rPr>
        <w:t>Benigno</w:t>
      </w:r>
      <w:proofErr w:type="spellEnd"/>
      <w:r w:rsidRPr="00F2013C">
        <w:rPr>
          <w:rFonts w:eastAsia="PMingLiU" w:cs="Times New Roman"/>
        </w:rPr>
        <w:t xml:space="preserve"> and Maxima </w:t>
      </w:r>
      <w:proofErr w:type="spellStart"/>
      <w:r w:rsidRPr="00F2013C">
        <w:rPr>
          <w:rFonts w:eastAsia="PMingLiU" w:cs="Times New Roman"/>
        </w:rPr>
        <w:t>Villaroman</w:t>
      </w:r>
      <w:proofErr w:type="spellEnd"/>
      <w:r w:rsidRPr="00F2013C">
        <w:rPr>
          <w:rFonts w:eastAsia="PMingLiU" w:cs="Times New Roman"/>
        </w:rPr>
        <w:t xml:space="preserve">, and that neither of them had put the child pornography on the computer. There was no evidence that anyone else lived there or that anyone else had the opportunity to download pornography onto the computer.  While the accused need not lead evidence to show that another person had such access to his laptop, based on the evidence and lack of evidence before the Court, it is speculative to consider whether another person had such an opportunity, let alone to assume that Mr. </w:t>
      </w:r>
      <w:proofErr w:type="spellStart"/>
      <w:r w:rsidRPr="00F2013C">
        <w:rPr>
          <w:rFonts w:eastAsia="PMingLiU" w:cs="Times New Roman"/>
        </w:rPr>
        <w:t>Villaroman</w:t>
      </w:r>
      <w:proofErr w:type="spellEnd"/>
      <w:r w:rsidRPr="00F2013C">
        <w:rPr>
          <w:rFonts w:eastAsia="PMingLiU" w:cs="Times New Roman"/>
        </w:rPr>
        <w:t xml:space="preserve"> would be ignorant of the presence of the material on his computer.  </w:t>
      </w:r>
    </w:p>
    <w:p w:rsidR="008F2100" w:rsidRPr="00F2013C" w:rsidRDefault="008F2100" w:rsidP="009E04B1">
      <w:pPr>
        <w:pStyle w:val="ParaNoNdepar-AltN"/>
        <w:widowControl w:val="0"/>
        <w:rPr>
          <w:rFonts w:eastAsia="PMingLiU" w:cs="Times New Roman"/>
        </w:rPr>
      </w:pPr>
      <w:r w:rsidRPr="00F2013C">
        <w:rPr>
          <w:rFonts w:eastAsia="PMingLiU" w:cs="Times New Roman"/>
        </w:rPr>
        <w:lastRenderedPageBreak/>
        <w:t xml:space="preserve">The judge did not ignore hypothetical alternative explanations advanced by the respondent’s counsel. He found that they were speculative, noting that the Crown does not have the burden “of </w:t>
      </w:r>
      <w:proofErr w:type="spellStart"/>
      <w:r>
        <w:rPr>
          <w:rFonts w:eastAsia="PMingLiU" w:cs="Times New Roman"/>
        </w:rPr>
        <w:t>negativing</w:t>
      </w:r>
      <w:proofErr w:type="spellEnd"/>
      <w:r>
        <w:rPr>
          <w:rFonts w:eastAsia="PMingLiU" w:cs="Times New Roman"/>
        </w:rPr>
        <w:t xml:space="preserve"> </w:t>
      </w:r>
      <w:r w:rsidRPr="00F2013C">
        <w:rPr>
          <w:rFonts w:eastAsia="PMingLiU" w:cs="Times New Roman"/>
        </w:rPr>
        <w:t>every conjecture to which circumstantial evidence might give rise and which might be consistent with the innocence of the accused”: para.</w:t>
      </w:r>
      <w:r>
        <w:rPr>
          <w:rFonts w:eastAsia="PMingLiU" w:cs="Times New Roman"/>
        </w:rPr>
        <w:t xml:space="preserve"> 81</w:t>
      </w:r>
      <w:r w:rsidRPr="00F2013C">
        <w:rPr>
          <w:rFonts w:eastAsia="PMingLiU" w:cs="Times New Roman"/>
        </w:rPr>
        <w:t xml:space="preserve">; citing </w:t>
      </w:r>
      <w:r w:rsidRPr="00F2013C">
        <w:rPr>
          <w:rFonts w:eastAsia="PMingLiU" w:cs="Times New Roman"/>
          <w:i/>
        </w:rPr>
        <w:t>Paul</w:t>
      </w:r>
      <w:r w:rsidRPr="00F2013C">
        <w:rPr>
          <w:rFonts w:eastAsia="PMingLiU" w:cs="Times New Roman"/>
        </w:rPr>
        <w:t>, at</w:t>
      </w:r>
      <w:r>
        <w:rPr>
          <w:rFonts w:eastAsia="PMingLiU" w:cs="Times New Roman"/>
        </w:rPr>
        <w:t xml:space="preserve"> p.</w:t>
      </w:r>
      <w:r w:rsidRPr="00F2013C">
        <w:rPr>
          <w:rFonts w:eastAsia="PMingLiU" w:cs="Times New Roman"/>
        </w:rPr>
        <w:t xml:space="preserve"> 191.</w:t>
      </w:r>
    </w:p>
    <w:p w:rsidR="008F2100" w:rsidRPr="00F2013C" w:rsidRDefault="008F2100" w:rsidP="009E04B1">
      <w:pPr>
        <w:pStyle w:val="ParaNoNdepar-AltN"/>
        <w:widowControl w:val="0"/>
        <w:rPr>
          <w:rFonts w:eastAsia="PMingLiU" w:cs="Times New Roman"/>
        </w:rPr>
      </w:pPr>
      <w:r w:rsidRPr="00F2013C">
        <w:rPr>
          <w:rFonts w:eastAsia="PMingLiU" w:cs="Times New Roman"/>
        </w:rPr>
        <w:t xml:space="preserve">The Court of Appeal, in my respectful view, erred by focusing on hypothetical alternative theories and, at times, engaging in speculation rather than on the question of whether the inferences drawn by the trial judge, having regard to the </w:t>
      </w:r>
      <w:r>
        <w:rPr>
          <w:rFonts w:eastAsia="PMingLiU" w:cs="Times New Roman"/>
        </w:rPr>
        <w:t>standard</w:t>
      </w:r>
      <w:r w:rsidRPr="00F2013C">
        <w:rPr>
          <w:rFonts w:eastAsia="PMingLiU" w:cs="Times New Roman"/>
        </w:rPr>
        <w:t xml:space="preserve"> of proof, were reasonably open to him. </w:t>
      </w:r>
    </w:p>
    <w:p w:rsidR="008F2100" w:rsidRPr="00F2013C" w:rsidRDefault="008F2100" w:rsidP="009E04B1">
      <w:pPr>
        <w:pStyle w:val="ParaNoNdepar-AltN"/>
        <w:widowControl w:val="0"/>
        <w:rPr>
          <w:rFonts w:cs="Times New Roman"/>
        </w:rPr>
      </w:pPr>
      <w:r w:rsidRPr="00F2013C">
        <w:rPr>
          <w:rFonts w:cs="Times New Roman"/>
        </w:rPr>
        <w:t>It is true, as the Court of Appeal noted, that there was no evidence about where the computer was kept or used and that anyone who had temporary physical access to the laptop computer could work the laptop, and could access or transmit the child pornography on it: paras.</w:t>
      </w:r>
      <w:r>
        <w:rPr>
          <w:rFonts w:cs="Times New Roman"/>
        </w:rPr>
        <w:t xml:space="preserve"> 25-26. </w:t>
      </w:r>
      <w:r w:rsidRPr="00F2013C">
        <w:rPr>
          <w:rFonts w:cs="Times New Roman"/>
        </w:rPr>
        <w:t>The Court of Appeal found that the pornography was not “accompanied by any email or similar communication”, nor was there any evidence about whether an ordinary user of the computer would notice the child pornography in the music folder: paras</w:t>
      </w:r>
      <w:r>
        <w:rPr>
          <w:rFonts w:cs="Times New Roman"/>
        </w:rPr>
        <w:t>.</w:t>
      </w:r>
      <w:r w:rsidRPr="00F2013C">
        <w:rPr>
          <w:rFonts w:cs="Times New Roman"/>
        </w:rPr>
        <w:t xml:space="preserve"> 34-35. </w:t>
      </w:r>
      <w:proofErr w:type="gramStart"/>
      <w:r w:rsidRPr="00F2013C">
        <w:rPr>
          <w:rFonts w:cs="Times New Roman"/>
        </w:rPr>
        <w:t>It</w:t>
      </w:r>
      <w:proofErr w:type="gramEnd"/>
      <w:r w:rsidRPr="00F2013C">
        <w:rPr>
          <w:rFonts w:cs="Times New Roman"/>
        </w:rPr>
        <w:t xml:space="preserve"> further found that the pornography was not downloaded very frequently, at an average of a little over one file per month, which does not “make actions by another user impossible, nor even highly unlikely”: para</w:t>
      </w:r>
      <w:r>
        <w:rPr>
          <w:rFonts w:cs="Times New Roman"/>
        </w:rPr>
        <w:t>.</w:t>
      </w:r>
      <w:r w:rsidRPr="00F2013C">
        <w:rPr>
          <w:rFonts w:cs="Times New Roman"/>
        </w:rPr>
        <w:t xml:space="preserve"> 32.  I note that this last point is not only speculative, but inaccurate.  The evidence shows that the pornography was downlo</w:t>
      </w:r>
      <w:r w:rsidR="00876A79">
        <w:rPr>
          <w:rFonts w:cs="Times New Roman"/>
        </w:rPr>
        <w:t>aded over a three-</w:t>
      </w:r>
      <w:r w:rsidRPr="00F2013C">
        <w:rPr>
          <w:rFonts w:cs="Times New Roman"/>
        </w:rPr>
        <w:t>month period.</w:t>
      </w:r>
    </w:p>
    <w:p w:rsidR="008F2100" w:rsidRPr="00F2013C" w:rsidRDefault="008F2100" w:rsidP="009E04B1">
      <w:pPr>
        <w:pStyle w:val="ParaNoNdepar-AltN"/>
        <w:widowControl w:val="0"/>
        <w:rPr>
          <w:rFonts w:eastAsia="PMingLiU" w:cs="Times New Roman"/>
        </w:rPr>
      </w:pPr>
      <w:r w:rsidRPr="00F2013C">
        <w:rPr>
          <w:rFonts w:eastAsia="PMingLiU" w:cs="Times New Roman"/>
        </w:rPr>
        <w:t xml:space="preserve">These were gaps in the Crown evidence about Mr. </w:t>
      </w:r>
      <w:proofErr w:type="spellStart"/>
      <w:r w:rsidRPr="00F2013C">
        <w:rPr>
          <w:rFonts w:eastAsia="PMingLiU" w:cs="Times New Roman"/>
        </w:rPr>
        <w:t>Villaroman’s</w:t>
      </w:r>
      <w:proofErr w:type="spellEnd"/>
      <w:r w:rsidRPr="00F2013C">
        <w:rPr>
          <w:rFonts w:eastAsia="PMingLiU" w:cs="Times New Roman"/>
        </w:rPr>
        <w:t xml:space="preserve"> possession </w:t>
      </w:r>
      <w:r w:rsidRPr="00F2013C">
        <w:rPr>
          <w:rFonts w:eastAsia="PMingLiU" w:cs="Times New Roman"/>
        </w:rPr>
        <w:lastRenderedPageBreak/>
        <w:t>and control of the computer that the trial judge had to take into account in weighing the evidence. However, the Court of Appeal</w:t>
      </w:r>
      <w:r>
        <w:rPr>
          <w:rFonts w:eastAsia="PMingLiU" w:cs="Times New Roman"/>
        </w:rPr>
        <w:t>, in its</w:t>
      </w:r>
      <w:r w:rsidRPr="00F2013C">
        <w:rPr>
          <w:rFonts w:eastAsia="PMingLiU" w:cs="Times New Roman"/>
        </w:rPr>
        <w:t xml:space="preserve"> analysis of these gaps</w:t>
      </w:r>
      <w:r>
        <w:rPr>
          <w:rFonts w:eastAsia="PMingLiU" w:cs="Times New Roman"/>
        </w:rPr>
        <w:t>,</w:t>
      </w:r>
      <w:r w:rsidRPr="00F2013C">
        <w:rPr>
          <w:rFonts w:eastAsia="PMingLiU" w:cs="Times New Roman"/>
        </w:rPr>
        <w:t xml:space="preserve"> in effect retried the case. It was for the trial judge to decide, as he did, whether the evidence of Mr. </w:t>
      </w:r>
      <w:proofErr w:type="spellStart"/>
      <w:r w:rsidRPr="00F2013C">
        <w:rPr>
          <w:rFonts w:eastAsia="PMingLiU" w:cs="Times New Roman"/>
        </w:rPr>
        <w:t>Villaroman’s</w:t>
      </w:r>
      <w:proofErr w:type="spellEnd"/>
      <w:r w:rsidRPr="00F2013C">
        <w:rPr>
          <w:rFonts w:eastAsia="PMingLiU" w:cs="Times New Roman"/>
        </w:rPr>
        <w:t xml:space="preserve"> powers of control and direction over the computer; the coincidence of his name and the only user name on the computer; the file names descriptive of their pornographic contents; the admission in relation to the non-involvement of two other people with whom he lived; and </w:t>
      </w:r>
      <w:r>
        <w:rPr>
          <w:rFonts w:eastAsia="PMingLiU" w:cs="Times New Roman"/>
        </w:rPr>
        <w:t xml:space="preserve">the </w:t>
      </w:r>
      <w:r w:rsidRPr="00F2013C">
        <w:rPr>
          <w:rFonts w:eastAsia="PMingLiU" w:cs="Times New Roman"/>
        </w:rPr>
        <w:t>length of time the pornography had been on the computer, when considered in light of human experience and the evidence as a whole and the absence of evidence, excluded all reasonable inferences other than guilt. In my view, while not every trier of fact would inevitably have reached the same conclusion as did the trial judge, that conclusion was a reasonable one.</w:t>
      </w:r>
    </w:p>
    <w:p w:rsidR="008F2100" w:rsidRPr="00F2013C" w:rsidRDefault="008F2100" w:rsidP="009E04B1">
      <w:pPr>
        <w:pStyle w:val="ParaNoNdepar-AltN"/>
        <w:widowControl w:val="0"/>
        <w:rPr>
          <w:rFonts w:eastAsia="PMingLiU" w:cs="Times New Roman"/>
        </w:rPr>
      </w:pPr>
      <w:r w:rsidRPr="00F2013C">
        <w:rPr>
          <w:rFonts w:eastAsia="PMingLiU" w:cs="Times New Roman"/>
        </w:rPr>
        <w:t>At certain points in its analysis, the Court of Appeal crossed the line from considering the effects of gaps in the Crown evidence to raising purely speculative possibilities. For example, the Court of Appeal considered questions such as whether the</w:t>
      </w:r>
      <w:r>
        <w:rPr>
          <w:rFonts w:eastAsia="PMingLiU" w:cs="Times New Roman"/>
        </w:rPr>
        <w:t xml:space="preserve"> “lap</w:t>
      </w:r>
      <w:r w:rsidRPr="00F2013C">
        <w:rPr>
          <w:rFonts w:eastAsia="PMingLiU" w:cs="Times New Roman"/>
        </w:rPr>
        <w:t xml:space="preserve">top </w:t>
      </w:r>
      <w:r>
        <w:rPr>
          <w:rFonts w:eastAsia="PMingLiU" w:cs="Times New Roman"/>
        </w:rPr>
        <w:t>[</w:t>
      </w:r>
      <w:r w:rsidRPr="00F2013C">
        <w:rPr>
          <w:rFonts w:eastAsia="PMingLiU" w:cs="Times New Roman"/>
        </w:rPr>
        <w:t>went</w:t>
      </w:r>
      <w:r>
        <w:rPr>
          <w:rFonts w:eastAsia="PMingLiU" w:cs="Times New Roman"/>
        </w:rPr>
        <w:t>]</w:t>
      </w:r>
      <w:r w:rsidRPr="00F2013C">
        <w:rPr>
          <w:rFonts w:eastAsia="PMingLiU" w:cs="Times New Roman"/>
        </w:rPr>
        <w:t xml:space="preserve"> to work” or “during the day to a school, college</w:t>
      </w:r>
      <w:r w:rsidR="00876A79">
        <w:rPr>
          <w:rFonts w:eastAsia="PMingLiU" w:cs="Times New Roman"/>
        </w:rPr>
        <w:t>,</w:t>
      </w:r>
      <w:r w:rsidRPr="00F2013C">
        <w:rPr>
          <w:rFonts w:eastAsia="PMingLiU" w:cs="Times New Roman"/>
        </w:rPr>
        <w:t xml:space="preserve"> or university” or “may have sat much of each day in a location or locations frequented by many friend</w:t>
      </w:r>
      <w:r>
        <w:rPr>
          <w:rFonts w:eastAsia="PMingLiU" w:cs="Times New Roman"/>
        </w:rPr>
        <w:t>s, coworkers, or fellow student</w:t>
      </w:r>
      <w:r w:rsidR="00876A79">
        <w:rPr>
          <w:rFonts w:eastAsia="PMingLiU" w:cs="Times New Roman"/>
        </w:rPr>
        <w:t>s</w:t>
      </w:r>
      <w:r w:rsidR="00876A79" w:rsidRPr="00F2013C">
        <w:rPr>
          <w:rFonts w:eastAsia="PMingLiU" w:cs="Times New Roman"/>
        </w:rPr>
        <w:t>”</w:t>
      </w:r>
      <w:r>
        <w:rPr>
          <w:rFonts w:eastAsia="PMingLiU" w:cs="Times New Roman"/>
        </w:rPr>
        <w:t>: paras. 28 and 31</w:t>
      </w:r>
      <w:r w:rsidRPr="00F2013C">
        <w:rPr>
          <w:rFonts w:eastAsia="PMingLiU" w:cs="Times New Roman"/>
        </w:rPr>
        <w:t xml:space="preserve">. These particular factual scenarios are purely speculative and postulating them goes beyond the bounds of properly considering the impact of the gaps in the Crown evidence about the physical location of the laptop. </w:t>
      </w:r>
    </w:p>
    <w:p w:rsidR="008F2100" w:rsidRPr="00F2013C" w:rsidRDefault="008F2100" w:rsidP="009E04B1">
      <w:pPr>
        <w:pStyle w:val="ParaNoNdepar-AltN"/>
        <w:widowControl w:val="0"/>
        <w:rPr>
          <w:rFonts w:eastAsia="PMingLiU" w:cs="Times New Roman"/>
        </w:rPr>
      </w:pPr>
      <w:r w:rsidRPr="00F2013C">
        <w:rPr>
          <w:rFonts w:eastAsia="PMingLiU" w:cs="Times New Roman"/>
        </w:rPr>
        <w:t xml:space="preserve">The Court of Appeal’s analysis overlooks the important point made in </w:t>
      </w:r>
      <w:proofErr w:type="spellStart"/>
      <w:r w:rsidRPr="00F2013C">
        <w:rPr>
          <w:rFonts w:eastAsia="PMingLiU" w:cs="Times New Roman"/>
          <w:i/>
        </w:rPr>
        <w:t>Dipnarine</w:t>
      </w:r>
      <w:proofErr w:type="spellEnd"/>
      <w:r w:rsidRPr="00F2013C">
        <w:rPr>
          <w:rFonts w:eastAsia="PMingLiU" w:cs="Times New Roman"/>
          <w:i/>
        </w:rPr>
        <w:t xml:space="preserve"> </w:t>
      </w:r>
      <w:r w:rsidRPr="00F2013C">
        <w:rPr>
          <w:rFonts w:eastAsia="PMingLiU" w:cs="Times New Roman"/>
        </w:rPr>
        <w:t xml:space="preserve">that it is fundamentally for the trier of fact to draw the line in each case that </w:t>
      </w:r>
      <w:r w:rsidRPr="00F2013C">
        <w:rPr>
          <w:rFonts w:eastAsia="PMingLiU" w:cs="Times New Roman"/>
        </w:rPr>
        <w:lastRenderedPageBreak/>
        <w:t>separates reasonable doubt from speculation. The trier of fact’s assessment can be set aside only where it is unreasonable. While the Crown’s case was not overwhelming, my view is that it was reasonable for the judge to conclude that the evidence as a whole excluded all reasonable alternatives to guilt.</w:t>
      </w:r>
    </w:p>
    <w:p w:rsidR="008F2100" w:rsidRPr="00F2013C" w:rsidRDefault="008F2100" w:rsidP="009E04B1">
      <w:pPr>
        <w:pStyle w:val="ParaNoNdepar-AltN"/>
        <w:widowControl w:val="0"/>
        <w:rPr>
          <w:rFonts w:eastAsia="PMingLiU" w:cs="Times New Roman"/>
        </w:rPr>
      </w:pPr>
      <w:r w:rsidRPr="00F2013C">
        <w:rPr>
          <w:rFonts w:eastAsia="PMingLiU" w:cs="Times New Roman"/>
        </w:rPr>
        <w:t xml:space="preserve">In my view, the judge’s finding that this evidence proved that Mr. </w:t>
      </w:r>
      <w:proofErr w:type="spellStart"/>
      <w:r w:rsidRPr="00F2013C">
        <w:rPr>
          <w:rFonts w:eastAsia="PMingLiU" w:cs="Times New Roman"/>
        </w:rPr>
        <w:t>Villaroman</w:t>
      </w:r>
      <w:proofErr w:type="spellEnd"/>
      <w:r w:rsidRPr="00F2013C">
        <w:rPr>
          <w:rFonts w:eastAsia="PMingLiU" w:cs="Times New Roman"/>
        </w:rPr>
        <w:t xml:space="preserve"> had possession of the child pornography found on his computer was not unreasonable.</w:t>
      </w:r>
    </w:p>
    <w:p w:rsidR="008F2100" w:rsidRPr="00F2013C" w:rsidRDefault="008F2100" w:rsidP="009E04B1">
      <w:pPr>
        <w:pStyle w:val="Title1LevelTitre1Niveau-AltL"/>
        <w:widowControl w:val="0"/>
        <w:rPr>
          <w:rFonts w:cs="Times New Roman"/>
        </w:rPr>
      </w:pPr>
      <w:r w:rsidRPr="00F2013C">
        <w:rPr>
          <w:rFonts w:cs="Times New Roman"/>
        </w:rPr>
        <w:t>Disposition</w:t>
      </w:r>
    </w:p>
    <w:p w:rsidR="008F2100" w:rsidRPr="000B59ED" w:rsidRDefault="008F2100" w:rsidP="009E04B1">
      <w:pPr>
        <w:pStyle w:val="ParaNoNdepar-AltN"/>
        <w:widowControl w:val="0"/>
        <w:rPr>
          <w:rFonts w:eastAsia="PMingLiU"/>
        </w:rPr>
      </w:pPr>
      <w:r w:rsidRPr="000B59ED">
        <w:t xml:space="preserve">I would allow the appeal, set aside the acquittal entered by the Court of Appeal and remand the case to the Court of Appeal for hearing and disposition of the </w:t>
      </w:r>
      <w:r w:rsidRPr="000B59ED">
        <w:rPr>
          <w:i/>
        </w:rPr>
        <w:t xml:space="preserve">Charter </w:t>
      </w:r>
      <w:r w:rsidRPr="000B59ED">
        <w:t xml:space="preserve">ss. 8 and 24(2) issues raised by Mr. </w:t>
      </w:r>
      <w:proofErr w:type="spellStart"/>
      <w:r w:rsidRPr="000B59ED">
        <w:t>Villaroman</w:t>
      </w:r>
      <w:proofErr w:type="spellEnd"/>
      <w:r w:rsidRPr="000B59ED">
        <w:t>.</w:t>
      </w:r>
    </w:p>
    <w:p w:rsidR="00324334" w:rsidRPr="005A0A9D" w:rsidRDefault="00324334" w:rsidP="009E04B1">
      <w:pPr>
        <w:pStyle w:val="SCCNormalDoubleSpacing"/>
        <w:widowControl w:val="0"/>
        <w:spacing w:before="480" w:after="480"/>
      </w:pPr>
      <w:r w:rsidRPr="005A0A9D">
        <w:tab/>
      </w:r>
      <w:r w:rsidRPr="005A0A9D">
        <w:rPr>
          <w:i/>
        </w:rPr>
        <w:t>Appeal allowed.</w:t>
      </w:r>
    </w:p>
    <w:p w:rsidR="00324334" w:rsidRPr="005A0A9D" w:rsidRDefault="00324334" w:rsidP="009E04B1">
      <w:pPr>
        <w:pStyle w:val="SCCLawFirm"/>
        <w:widowControl w:val="0"/>
        <w:spacing w:before="480" w:after="480"/>
      </w:pPr>
      <w:r w:rsidRPr="005A0A9D">
        <w:tab/>
        <w:t>Solicitor for the appellant: Attorney General of Alberta, Calgary.</w:t>
      </w:r>
    </w:p>
    <w:p w:rsidR="00324334" w:rsidRPr="005A0A9D" w:rsidRDefault="00324334" w:rsidP="009E04B1">
      <w:pPr>
        <w:pStyle w:val="SCCLawFirm"/>
        <w:widowControl w:val="0"/>
        <w:spacing w:before="480" w:after="480"/>
      </w:pPr>
      <w:r w:rsidRPr="005A0A9D">
        <w:tab/>
        <w:t>Solicitors for the respondent: Evans Fagan Rice McKay, Calgary.</w:t>
      </w:r>
    </w:p>
    <w:p w:rsidR="00324334" w:rsidRPr="005A0A9D" w:rsidRDefault="00324334" w:rsidP="009E04B1">
      <w:pPr>
        <w:pStyle w:val="SCCLawFirm"/>
        <w:widowControl w:val="0"/>
        <w:spacing w:before="480" w:after="480"/>
        <w:rPr>
          <w:lang w:val="en-US"/>
        </w:rPr>
      </w:pPr>
      <w:r w:rsidRPr="005A0A9D">
        <w:tab/>
        <w:t>Solicitor for the intervener the Attorney General of Ontario: Attorney General of Ontario, Toronto.</w:t>
      </w:r>
      <w:r w:rsidRPr="005A0A9D">
        <w:rPr>
          <w:lang w:val="en-US"/>
        </w:rPr>
        <w:t xml:space="preserve"> </w:t>
      </w:r>
    </w:p>
    <w:p w:rsidR="00324334" w:rsidRPr="005A0A9D" w:rsidRDefault="00324334" w:rsidP="009E04B1">
      <w:pPr>
        <w:pStyle w:val="SCCLawFirm"/>
        <w:widowControl w:val="0"/>
        <w:spacing w:before="480" w:after="480"/>
      </w:pPr>
      <w:r w:rsidRPr="005A0A9D">
        <w:tab/>
        <w:t xml:space="preserve">Solicitor for the intervener the Attorney General of British </w:t>
      </w:r>
      <w:r w:rsidRPr="005A0A9D">
        <w:lastRenderedPageBreak/>
        <w:t>Columbia: Attorney General of British Columbia, Victoria.</w:t>
      </w:r>
    </w:p>
    <w:p w:rsidR="005D37A6" w:rsidRDefault="00324334" w:rsidP="009F4C58">
      <w:pPr>
        <w:pStyle w:val="SCCLawFirm"/>
        <w:widowControl w:val="0"/>
        <w:spacing w:before="480" w:after="480"/>
      </w:pPr>
      <w:r w:rsidRPr="005A0A9D">
        <w:tab/>
        <w:t xml:space="preserve">Solicitors for the intervener the Criminal Lawyers’ Association (Ontario): Greenspan Humphrey </w:t>
      </w:r>
      <w:proofErr w:type="spellStart"/>
      <w:r w:rsidRPr="005A0A9D">
        <w:t>Lavine</w:t>
      </w:r>
      <w:proofErr w:type="spellEnd"/>
      <w:r w:rsidRPr="005A0A9D">
        <w:t>, Toronto.</w:t>
      </w:r>
    </w:p>
    <w:sectPr w:rsidR="005D37A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A22" w:rsidRDefault="00B74B2A">
      <w:r>
        <w:separator/>
      </w:r>
    </w:p>
  </w:endnote>
  <w:endnote w:type="continuationSeparator" w:id="0">
    <w:p w:rsidR="001E6A22" w:rsidRDefault="00B7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A22" w:rsidRDefault="00B74B2A">
      <w:r>
        <w:separator/>
      </w:r>
    </w:p>
  </w:footnote>
  <w:footnote w:type="continuationSeparator" w:id="0">
    <w:p w:rsidR="001E6A22" w:rsidRDefault="00B7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A5101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328"/>
    <w:multiLevelType w:val="hybridMultilevel"/>
    <w:tmpl w:val="46906E5A"/>
    <w:lvl w:ilvl="0" w:tplc="E452C8F0">
      <w:start w:val="4"/>
      <w:numFmt w:val="bullet"/>
      <w:lvlText w:val=""/>
      <w:lvlJc w:val="left"/>
      <w:pPr>
        <w:ind w:left="1526" w:hanging="360"/>
      </w:pPr>
      <w:rPr>
        <w:rFonts w:ascii="Symbol" w:eastAsia="Times New Roman" w:hAnsi="Symbol"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15:restartNumberingAfterBreak="0">
    <w:nsid w:val="044B5D3F"/>
    <w:multiLevelType w:val="hybridMultilevel"/>
    <w:tmpl w:val="160AEA44"/>
    <w:lvl w:ilvl="0" w:tplc="D1A43F12">
      <w:start w:val="1"/>
      <w:numFmt w:val="lowerRoman"/>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B044D97"/>
    <w:multiLevelType w:val="hybridMultilevel"/>
    <w:tmpl w:val="8E1C3C7E"/>
    <w:lvl w:ilvl="0" w:tplc="02F60EA8">
      <w:start w:val="4"/>
      <w:numFmt w:val="bullet"/>
      <w:lvlText w:val=""/>
      <w:lvlJc w:val="left"/>
      <w:pPr>
        <w:ind w:left="1526" w:hanging="360"/>
      </w:pPr>
      <w:rPr>
        <w:rFonts w:ascii="Symbol" w:eastAsia="Times New Roman" w:hAnsi="Symbol"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9467C4"/>
    <w:multiLevelType w:val="multilevel"/>
    <w:tmpl w:val="159A3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12D62AF"/>
    <w:multiLevelType w:val="hybridMultilevel"/>
    <w:tmpl w:val="0D340014"/>
    <w:lvl w:ilvl="0" w:tplc="D0B89FBA">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32F14"/>
    <w:multiLevelType w:val="hybridMultilevel"/>
    <w:tmpl w:val="A16AD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D414E"/>
    <w:multiLevelType w:val="hybridMultilevel"/>
    <w:tmpl w:val="8774D22A"/>
    <w:lvl w:ilvl="0" w:tplc="6486D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F2C94"/>
    <w:multiLevelType w:val="hybridMultilevel"/>
    <w:tmpl w:val="751041BC"/>
    <w:lvl w:ilvl="0" w:tplc="04090001">
      <w:start w:val="6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AAF5CFB"/>
    <w:multiLevelType w:val="hybridMultilevel"/>
    <w:tmpl w:val="4252A008"/>
    <w:lvl w:ilvl="0" w:tplc="A64AE7E8">
      <w:start w:val="6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9B20EE"/>
    <w:multiLevelType w:val="hybridMultilevel"/>
    <w:tmpl w:val="F7729452"/>
    <w:lvl w:ilvl="0" w:tplc="BE2ACB1E">
      <w:start w:val="60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83EE8"/>
    <w:multiLevelType w:val="multilevel"/>
    <w:tmpl w:val="8738E498"/>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9A4550"/>
    <w:multiLevelType w:val="multilevel"/>
    <w:tmpl w:val="BD526226"/>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2227D59"/>
    <w:multiLevelType w:val="hybridMultilevel"/>
    <w:tmpl w:val="EF22B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F80204"/>
    <w:multiLevelType w:val="hybridMultilevel"/>
    <w:tmpl w:val="12D4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A1AB9"/>
    <w:multiLevelType w:val="hybridMultilevel"/>
    <w:tmpl w:val="6A2EDCD0"/>
    <w:lvl w:ilvl="0" w:tplc="C11E1D04">
      <w:start w:val="60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12"/>
  </w:num>
  <w:num w:numId="5">
    <w:abstractNumId w:val="13"/>
  </w:num>
  <w:num w:numId="6">
    <w:abstractNumId w:val="15"/>
  </w:num>
  <w:num w:numId="7">
    <w:abstractNumId w:val="10"/>
  </w:num>
  <w:num w:numId="8">
    <w:abstractNumId w:val="10"/>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8"/>
  </w:num>
  <w:num w:numId="10">
    <w:abstractNumId w:val="19"/>
  </w:num>
  <w:num w:numId="11">
    <w:abstractNumId w:val="2"/>
  </w:num>
  <w:num w:numId="12">
    <w:abstractNumId w:val="0"/>
  </w:num>
  <w:num w:numId="13">
    <w:abstractNumId w:val="4"/>
  </w:num>
  <w:num w:numId="14">
    <w:abstractNumId w:val="17"/>
  </w:num>
  <w:num w:numId="15">
    <w:abstractNumId w:val="6"/>
  </w:num>
  <w:num w:numId="16">
    <w:abstractNumId w:val="7"/>
  </w:num>
  <w:num w:numId="17">
    <w:abstractNumId w:val="16"/>
  </w:num>
  <w:num w:numId="18">
    <w:abstractNumId w:val="11"/>
  </w:num>
  <w:num w:numId="19">
    <w:abstractNumId w:val="9"/>
  </w:num>
  <w:num w:numId="20">
    <w:abstractNumId w:val="20"/>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34"/>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56E1"/>
    <w:rsid w:val="001971E2"/>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E6A22"/>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0E9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334"/>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3E4"/>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42DF"/>
    <w:rsid w:val="00416280"/>
    <w:rsid w:val="004174BF"/>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6FDA"/>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5FEC"/>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98"/>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6F58"/>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5F2"/>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6A79"/>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2100"/>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202"/>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6C90"/>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E04B1"/>
    <w:rsid w:val="009E2258"/>
    <w:rsid w:val="009E249A"/>
    <w:rsid w:val="009E34F2"/>
    <w:rsid w:val="009E5873"/>
    <w:rsid w:val="009E5CBE"/>
    <w:rsid w:val="009E5D38"/>
    <w:rsid w:val="009E620B"/>
    <w:rsid w:val="009E6578"/>
    <w:rsid w:val="009E65F2"/>
    <w:rsid w:val="009E662A"/>
    <w:rsid w:val="009F181C"/>
    <w:rsid w:val="009F38D8"/>
    <w:rsid w:val="009F4C58"/>
    <w:rsid w:val="009F69F0"/>
    <w:rsid w:val="009F76FC"/>
    <w:rsid w:val="00A00CE8"/>
    <w:rsid w:val="00A01AA9"/>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1012"/>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5DA5"/>
    <w:rsid w:val="00A861FD"/>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0C80"/>
    <w:rsid w:val="00B03A85"/>
    <w:rsid w:val="00B04095"/>
    <w:rsid w:val="00B0417F"/>
    <w:rsid w:val="00B049FF"/>
    <w:rsid w:val="00B04D30"/>
    <w:rsid w:val="00B05E4B"/>
    <w:rsid w:val="00B061A8"/>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3252"/>
    <w:rsid w:val="00B740A5"/>
    <w:rsid w:val="00B74B2A"/>
    <w:rsid w:val="00B751D8"/>
    <w:rsid w:val="00B763B4"/>
    <w:rsid w:val="00B77160"/>
    <w:rsid w:val="00B77311"/>
    <w:rsid w:val="00B8015B"/>
    <w:rsid w:val="00B801B2"/>
    <w:rsid w:val="00B81746"/>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1C9E"/>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5B25"/>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571E"/>
    <w:rsid w:val="00DA68EC"/>
    <w:rsid w:val="00DA75D5"/>
    <w:rsid w:val="00DB1673"/>
    <w:rsid w:val="00DB179D"/>
    <w:rsid w:val="00DB1B0A"/>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25D8"/>
    <w:rsid w:val="00EA2B3F"/>
    <w:rsid w:val="00EA37AB"/>
    <w:rsid w:val="00EA382C"/>
    <w:rsid w:val="00EA3DEC"/>
    <w:rsid w:val="00EA3E7B"/>
    <w:rsid w:val="00EA775F"/>
    <w:rsid w:val="00EA7838"/>
    <w:rsid w:val="00EB1143"/>
    <w:rsid w:val="00EB16EA"/>
    <w:rsid w:val="00EB1E2E"/>
    <w:rsid w:val="00EB2C8D"/>
    <w:rsid w:val="00EB62AC"/>
    <w:rsid w:val="00EB7205"/>
    <w:rsid w:val="00EC1D2D"/>
    <w:rsid w:val="00EC1DF3"/>
    <w:rsid w:val="00EC249B"/>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398C"/>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31F"/>
    <w:rsid w:val="00FC6B98"/>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D8823-1B96-4EF1-9FDA-0F323D76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334"/>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8F210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8F210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8F2100"/>
    <w:pPr>
      <w:keepNext/>
      <w:keepLines/>
      <w:spacing w:before="40"/>
      <w:outlineLvl w:val="3"/>
    </w:pPr>
    <w:rPr>
      <w:rFonts w:asciiTheme="majorHAnsi" w:eastAsiaTheme="majorEastAsia" w:hAnsiTheme="majorHAnsi" w:cstheme="majorBidi"/>
      <w:i/>
      <w:iCs/>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32433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24334"/>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324334"/>
    <w:pPr>
      <w:tabs>
        <w:tab w:val="center" w:pos="4680"/>
        <w:tab w:val="right" w:pos="9360"/>
      </w:tabs>
    </w:pPr>
  </w:style>
  <w:style w:type="character" w:customStyle="1" w:styleId="HeaderChar">
    <w:name w:val="Header Char"/>
    <w:basedOn w:val="DefaultParagraphFont"/>
    <w:link w:val="Header"/>
    <w:uiPriority w:val="99"/>
    <w:rsid w:val="00324334"/>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324334"/>
    <w:pPr>
      <w:tabs>
        <w:tab w:val="center" w:pos="4680"/>
        <w:tab w:val="right" w:pos="9360"/>
      </w:tabs>
    </w:pPr>
  </w:style>
  <w:style w:type="character" w:customStyle="1" w:styleId="FooterChar">
    <w:name w:val="Footer Char"/>
    <w:basedOn w:val="DefaultParagraphFont"/>
    <w:link w:val="Footer"/>
    <w:uiPriority w:val="99"/>
    <w:rsid w:val="00324334"/>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324334"/>
    <w:pPr>
      <w:tabs>
        <w:tab w:val="right" w:pos="8222"/>
      </w:tabs>
      <w:jc w:val="both"/>
    </w:pPr>
    <w:rPr>
      <w:b/>
    </w:rPr>
  </w:style>
  <w:style w:type="character" w:customStyle="1" w:styleId="SCCLsocPartyChar">
    <w:name w:val="SCC.Lsoc.Party Char"/>
    <w:basedOn w:val="DefaultParagraphFont"/>
    <w:link w:val="SCCLsocParty"/>
    <w:rsid w:val="00324334"/>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324334"/>
    <w:pPr>
      <w:spacing w:after="720"/>
    </w:pPr>
    <w:rPr>
      <w:i/>
    </w:rPr>
  </w:style>
  <w:style w:type="character" w:customStyle="1" w:styleId="SCCLsocVersusChar">
    <w:name w:val="SCC.Lsoc.Versus Char"/>
    <w:basedOn w:val="DefaultParagraphFont"/>
    <w:link w:val="SCCLsocVersus"/>
    <w:rsid w:val="00324334"/>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324334"/>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324334"/>
    <w:pPr>
      <w:spacing w:after="720"/>
    </w:pPr>
  </w:style>
  <w:style w:type="character" w:customStyle="1" w:styleId="SCCLsocOtherPartySeparatorChar">
    <w:name w:val="SCC.Lsoc.OtherPartySeparator Char"/>
    <w:basedOn w:val="DefaultParagraphFont"/>
    <w:link w:val="SCCLsocOtherPartySeparator"/>
    <w:rsid w:val="00324334"/>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324334"/>
    <w:rPr>
      <w:b/>
    </w:rPr>
  </w:style>
  <w:style w:type="character" w:customStyle="1" w:styleId="SCCSystemYearChar">
    <w:name w:val="SCC.SystemYear Char"/>
    <w:basedOn w:val="DefaultParagraphFont"/>
    <w:link w:val="SCCSystemYear"/>
    <w:rsid w:val="00324334"/>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324334"/>
    <w:rPr>
      <w:smallCaps/>
    </w:rPr>
  </w:style>
  <w:style w:type="paragraph" w:customStyle="1" w:styleId="SCCLawFirm">
    <w:name w:val="SCC.LawFirm"/>
    <w:basedOn w:val="SCCNormalDoubleSpacing"/>
    <w:next w:val="SCCNormalDoubleSpacing"/>
    <w:link w:val="SCCLawFirmChar"/>
    <w:rsid w:val="00324334"/>
    <w:rPr>
      <w:i/>
    </w:rPr>
  </w:style>
  <w:style w:type="character" w:customStyle="1" w:styleId="SCCLawFirmChar">
    <w:name w:val="SCC.LawFirm Char"/>
    <w:basedOn w:val="SCCNormalDoubleSpacingChar"/>
    <w:link w:val="SCCLawFirm"/>
    <w:rsid w:val="00324334"/>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324334"/>
    <w:pPr>
      <w:tabs>
        <w:tab w:val="right" w:pos="8222"/>
      </w:tabs>
      <w:spacing w:after="720"/>
    </w:pPr>
    <w:rPr>
      <w:b/>
    </w:rPr>
  </w:style>
  <w:style w:type="character" w:customStyle="1" w:styleId="SCCLsocLastPartyInRoleChar">
    <w:name w:val="SCC.Lsoc.LastPartyInRole Char"/>
    <w:basedOn w:val="SCCLsocPartyChar"/>
    <w:link w:val="SCCLsocLastPartyInRole"/>
    <w:rsid w:val="00324334"/>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8F2100"/>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8F2100"/>
    <w:rPr>
      <w:rFonts w:asciiTheme="majorHAnsi" w:eastAsiaTheme="majorEastAsia" w:hAnsiTheme="majorHAnsi" w:cstheme="majorBidi"/>
      <w:b/>
      <w:bCs/>
      <w:color w:val="5B9BD5" w:themeColor="accent1"/>
      <w:sz w:val="26"/>
      <w:szCs w:val="26"/>
      <w:lang w:val="en-CA" w:eastAsia="en-CA"/>
    </w:rPr>
  </w:style>
  <w:style w:type="character" w:customStyle="1" w:styleId="Heading4Char">
    <w:name w:val="Heading 4 Char"/>
    <w:basedOn w:val="DefaultParagraphFont"/>
    <w:link w:val="Heading4"/>
    <w:uiPriority w:val="9"/>
    <w:semiHidden/>
    <w:rsid w:val="008F2100"/>
    <w:rPr>
      <w:rFonts w:asciiTheme="majorHAnsi" w:eastAsiaTheme="majorEastAsia" w:hAnsiTheme="majorHAnsi" w:cstheme="majorBidi"/>
      <w:i/>
      <w:iCs/>
      <w:color w:val="2E74B5" w:themeColor="accent1" w:themeShade="BF"/>
      <w:sz w:val="24"/>
      <w:szCs w:val="24"/>
      <w:lang w:val="en-CA" w:eastAsia="en-CA"/>
    </w:rPr>
  </w:style>
  <w:style w:type="paragraph" w:customStyle="1" w:styleId="SCCLsocOtherPartyRoleSeparator">
    <w:name w:val="SCC.Lsoc.OtherPartyRoleSeparator"/>
    <w:basedOn w:val="Normal"/>
    <w:next w:val="Normal"/>
    <w:link w:val="SCCLsocOtherPartyRoleSeparatorChar"/>
    <w:rsid w:val="008F2100"/>
    <w:pPr>
      <w:spacing w:after="480"/>
    </w:pPr>
    <w:rPr>
      <w:rFonts w:eastAsiaTheme="minorHAnsi" w:cstheme="minorBidi"/>
      <w:szCs w:val="22"/>
      <w:lang w:eastAsia="en-US"/>
    </w:rPr>
  </w:style>
  <w:style w:type="paragraph" w:customStyle="1" w:styleId="SCCCoram">
    <w:name w:val="SCC.Coram"/>
    <w:basedOn w:val="Normal"/>
    <w:next w:val="Normal"/>
    <w:link w:val="SCCCoramChar"/>
    <w:rsid w:val="008F2100"/>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8F2100"/>
    <w:pPr>
      <w:spacing w:after="480"/>
    </w:pPr>
    <w:rPr>
      <w:rFonts w:eastAsiaTheme="minorHAnsi" w:cstheme="minorBidi"/>
      <w:szCs w:val="22"/>
      <w:lang w:eastAsia="en-US"/>
    </w:rPr>
  </w:style>
  <w:style w:type="character" w:customStyle="1" w:styleId="SCCCoramChar">
    <w:name w:val="SCC.Coram Char"/>
    <w:basedOn w:val="DefaultParagraphFont"/>
    <w:link w:val="SCCCoram"/>
    <w:rsid w:val="008F2100"/>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8F2100"/>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8F2100"/>
    <w:rPr>
      <w:rFonts w:ascii="Times New Roman" w:hAnsi="Times New Roman"/>
      <w:sz w:val="24"/>
      <w:lang w:val="en-CA"/>
    </w:rPr>
  </w:style>
  <w:style w:type="paragraph" w:customStyle="1" w:styleId="SCCBanSummary">
    <w:name w:val="SCC.BanSummary"/>
    <w:basedOn w:val="Normal"/>
    <w:next w:val="Normal"/>
    <w:link w:val="SCCBanSummaryChar"/>
    <w:rsid w:val="008F2100"/>
    <w:pPr>
      <w:jc w:val="right"/>
    </w:pPr>
    <w:rPr>
      <w:rFonts w:eastAsiaTheme="minorEastAsia"/>
      <w:b/>
      <w:szCs w:val="24"/>
    </w:rPr>
  </w:style>
  <w:style w:type="character" w:customStyle="1" w:styleId="SCCBanSummaryChar">
    <w:name w:val="SCC.BanSummary Char"/>
    <w:basedOn w:val="DefaultParagraphFont"/>
    <w:link w:val="SCCBanSummary"/>
    <w:rsid w:val="008F2100"/>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8F2100"/>
    <w:rPr>
      <w:color w:val="808080"/>
    </w:rPr>
  </w:style>
  <w:style w:type="paragraph" w:styleId="BalloonText">
    <w:name w:val="Balloon Text"/>
    <w:basedOn w:val="Normal"/>
    <w:link w:val="BalloonTextChar"/>
    <w:uiPriority w:val="99"/>
    <w:semiHidden/>
    <w:unhideWhenUsed/>
    <w:rsid w:val="008F2100"/>
    <w:rPr>
      <w:rFonts w:ascii="Tahoma" w:hAnsi="Tahoma" w:cs="Tahoma"/>
      <w:sz w:val="16"/>
      <w:szCs w:val="16"/>
    </w:rPr>
  </w:style>
  <w:style w:type="character" w:customStyle="1" w:styleId="BalloonTextChar">
    <w:name w:val="Balloon Text Char"/>
    <w:basedOn w:val="DefaultParagraphFont"/>
    <w:link w:val="BalloonText"/>
    <w:uiPriority w:val="99"/>
    <w:semiHidden/>
    <w:rsid w:val="008F2100"/>
    <w:rPr>
      <w:rFonts w:ascii="Tahoma" w:eastAsia="Times New Roman" w:hAnsi="Tahoma" w:cs="Tahoma"/>
      <w:sz w:val="16"/>
      <w:szCs w:val="16"/>
      <w:lang w:val="en-CA" w:eastAsia="en-CA"/>
    </w:rPr>
  </w:style>
  <w:style w:type="table" w:styleId="TableGrid">
    <w:name w:val="Table Grid"/>
    <w:basedOn w:val="TableNormal"/>
    <w:uiPriority w:val="59"/>
    <w:rsid w:val="008F2100"/>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F2100"/>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8F2100"/>
    <w:pPr>
      <w:spacing w:before="480" w:after="480" w:line="480" w:lineRule="auto"/>
      <w:jc w:val="both"/>
    </w:pPr>
    <w:rPr>
      <w:rFonts w:ascii="Times New Roman" w:hAnsi="Times New Roman"/>
      <w:sz w:val="24"/>
      <w:lang w:val="en-CA"/>
    </w:rPr>
  </w:style>
  <w:style w:type="paragraph" w:customStyle="1" w:styleId="JudgeJuge">
    <w:name w:val="Judge / Juge"/>
    <w:uiPriority w:val="3"/>
    <w:rsid w:val="008F2100"/>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8F2100"/>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8F2100"/>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8F210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8F2100"/>
    <w:pPr>
      <w:numPr>
        <w:ilvl w:val="2"/>
      </w:numPr>
    </w:pPr>
  </w:style>
  <w:style w:type="paragraph" w:customStyle="1" w:styleId="Title4LevelTitre4Niveau">
    <w:name w:val="Title 4 Level / Titre 4 Niveau"/>
    <w:basedOn w:val="Title3LevelTitre3Niveau"/>
    <w:next w:val="ParaNoNdepar-AltN"/>
    <w:uiPriority w:val="4"/>
    <w:qFormat/>
    <w:rsid w:val="008F210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8F2100"/>
    <w:pPr>
      <w:numPr>
        <w:ilvl w:val="4"/>
      </w:numPr>
    </w:pPr>
  </w:style>
  <w:style w:type="paragraph" w:styleId="TOC1">
    <w:name w:val="toc 1"/>
    <w:basedOn w:val="Normal"/>
    <w:next w:val="Normal"/>
    <w:autoRedefine/>
    <w:uiPriority w:val="39"/>
    <w:unhideWhenUsed/>
    <w:rsid w:val="008F210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F210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F210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F210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F210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F2100"/>
    <w:pPr>
      <w:tabs>
        <w:tab w:val="left" w:pos="2160"/>
        <w:tab w:val="right" w:leader="dot" w:pos="8270"/>
      </w:tabs>
      <w:spacing w:after="100"/>
      <w:ind w:left="1800"/>
    </w:pPr>
    <w:rPr>
      <w:noProof/>
    </w:rPr>
  </w:style>
  <w:style w:type="table" w:customStyle="1" w:styleId="TableGrid1">
    <w:name w:val="Table Grid1"/>
    <w:basedOn w:val="TableNormal"/>
    <w:uiPriority w:val="59"/>
    <w:rsid w:val="008F210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F2100"/>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8F2100"/>
    <w:pPr>
      <w:numPr>
        <w:ilvl w:val="5"/>
      </w:numPr>
    </w:pPr>
    <w:rPr>
      <w:i/>
      <w:u w:val="none"/>
    </w:rPr>
  </w:style>
  <w:style w:type="paragraph" w:styleId="FootnoteText">
    <w:name w:val="footnote text"/>
    <w:basedOn w:val="Normal"/>
    <w:link w:val="FootnoteTextChar"/>
    <w:uiPriority w:val="99"/>
    <w:unhideWhenUsed/>
    <w:rsid w:val="008F210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F2100"/>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8F2100"/>
    <w:rPr>
      <w:vertAlign w:val="superscript"/>
    </w:rPr>
  </w:style>
  <w:style w:type="paragraph" w:styleId="ListParagraph">
    <w:name w:val="List Paragraph"/>
    <w:basedOn w:val="Normal"/>
    <w:uiPriority w:val="34"/>
    <w:qFormat/>
    <w:rsid w:val="008F2100"/>
    <w:pPr>
      <w:ind w:left="720"/>
      <w:contextualSpacing/>
    </w:pPr>
    <w:rPr>
      <w:szCs w:val="24"/>
    </w:rPr>
  </w:style>
  <w:style w:type="character" w:customStyle="1" w:styleId="reflex3-alt">
    <w:name w:val="reflex3-alt"/>
    <w:basedOn w:val="DefaultParagraphFont"/>
    <w:rsid w:val="008F2100"/>
  </w:style>
  <w:style w:type="character" w:styleId="CommentReference">
    <w:name w:val="annotation reference"/>
    <w:basedOn w:val="DefaultParagraphFont"/>
    <w:uiPriority w:val="99"/>
    <w:semiHidden/>
    <w:unhideWhenUsed/>
    <w:rsid w:val="008F2100"/>
    <w:rPr>
      <w:sz w:val="16"/>
      <w:szCs w:val="16"/>
    </w:rPr>
  </w:style>
  <w:style w:type="paragraph" w:styleId="CommentText">
    <w:name w:val="annotation text"/>
    <w:basedOn w:val="Normal"/>
    <w:link w:val="CommentTextChar"/>
    <w:uiPriority w:val="99"/>
    <w:semiHidden/>
    <w:unhideWhenUsed/>
    <w:rsid w:val="008F2100"/>
    <w:rPr>
      <w:sz w:val="20"/>
    </w:rPr>
  </w:style>
  <w:style w:type="character" w:customStyle="1" w:styleId="CommentTextChar">
    <w:name w:val="Comment Text Char"/>
    <w:basedOn w:val="DefaultParagraphFont"/>
    <w:link w:val="CommentText"/>
    <w:uiPriority w:val="99"/>
    <w:semiHidden/>
    <w:rsid w:val="008F2100"/>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8F2100"/>
    <w:rPr>
      <w:b/>
      <w:bCs/>
    </w:rPr>
  </w:style>
  <w:style w:type="character" w:customStyle="1" w:styleId="CommentSubjectChar">
    <w:name w:val="Comment Subject Char"/>
    <w:basedOn w:val="CommentTextChar"/>
    <w:link w:val="CommentSubject"/>
    <w:uiPriority w:val="99"/>
    <w:semiHidden/>
    <w:rsid w:val="008F2100"/>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semiHidden/>
    <w:unhideWhenUsed/>
    <w:rsid w:val="008F2100"/>
    <w:rPr>
      <w:rFonts w:ascii="Verdana" w:hAnsi="Verdana" w:hint="default"/>
      <w:strike w:val="0"/>
      <w:dstrike w:val="0"/>
      <w:color w:val="004B91"/>
      <w:u w:val="none"/>
      <w:effect w:val="none"/>
    </w:rPr>
  </w:style>
  <w:style w:type="character" w:customStyle="1" w:styleId="bold1">
    <w:name w:val="bold1"/>
    <w:basedOn w:val="DefaultParagraphFont"/>
    <w:rsid w:val="008F2100"/>
    <w:rPr>
      <w:b/>
      <w:bCs/>
    </w:rPr>
  </w:style>
  <w:style w:type="character" w:customStyle="1" w:styleId="italic1">
    <w:name w:val="italic1"/>
    <w:basedOn w:val="DefaultParagraphFont"/>
    <w:rsid w:val="008F2100"/>
    <w:rPr>
      <w:i/>
      <w:iCs/>
    </w:rPr>
  </w:style>
  <w:style w:type="paragraph" w:customStyle="1" w:styleId="loose">
    <w:name w:val="loose"/>
    <w:basedOn w:val="Normal"/>
    <w:rsid w:val="008F2100"/>
    <w:pPr>
      <w:spacing w:before="210"/>
    </w:pPr>
    <w:rPr>
      <w:szCs w:val="24"/>
      <w:lang w:val="en-US" w:eastAsia="ja-JP"/>
    </w:rPr>
  </w:style>
  <w:style w:type="character" w:customStyle="1" w:styleId="SCCLsocPartyRoleChar">
    <w:name w:val="SCC.Lsoc.PartyRole Char"/>
    <w:basedOn w:val="DefaultParagraphFont"/>
    <w:rsid w:val="00A51012"/>
    <w:rPr>
      <w:lang w:val="en-CA"/>
    </w:rPr>
  </w:style>
  <w:style w:type="paragraph" w:customStyle="1" w:styleId="SCCLsocPrefix">
    <w:name w:val="SCC.Lsoc.Prefix"/>
    <w:basedOn w:val="Normal"/>
    <w:next w:val="Normal"/>
    <w:link w:val="SCCLsocPrefixChar"/>
    <w:rsid w:val="00A51012"/>
    <w:rPr>
      <w:rFonts w:eastAsiaTheme="minorHAnsi" w:cstheme="minorBidi"/>
      <w:b/>
      <w:smallCaps/>
      <w:szCs w:val="24"/>
      <w:lang w:eastAsia="en-US"/>
    </w:rPr>
  </w:style>
  <w:style w:type="character" w:customStyle="1" w:styleId="SCCLsocPrefixChar">
    <w:name w:val="SCC.Lsoc.Prefix Char"/>
    <w:basedOn w:val="DefaultParagraphFont"/>
    <w:link w:val="SCCLsocPrefix"/>
    <w:rsid w:val="00A51012"/>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38</Pages>
  <Words>8629</Words>
  <Characters>49189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57703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18</cp:revision>
  <dcterms:created xsi:type="dcterms:W3CDTF">2016-08-02T18:35:00Z</dcterms:created>
  <dcterms:modified xsi:type="dcterms:W3CDTF">2017-02-16T18:26:00Z</dcterms:modified>
</cp:coreProperties>
</file>