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76" w:rsidRDefault="00722F76" w:rsidP="0051583B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4.5pt" o:ole="">
            <v:imagedata r:id="rId6" o:title=""/>
          </v:shape>
          <o:OLEObject Type="Embed" ProgID="Presentations.Drawing.13" ShapeID="_x0000_i1025" DrawAspect="Content" ObjectID="_1664290246" r:id="rId7"/>
        </w:object>
      </w:r>
      <w:bookmarkEnd w:id="0"/>
      <w:r>
        <w:t xml:space="preserve"> </w:t>
      </w:r>
      <w:r>
        <w:ptab w:relativeTo="margin" w:alignment="right" w:leader="none"/>
      </w:r>
    </w:p>
    <w:p w:rsidR="00722F76" w:rsidRDefault="00722F76" w:rsidP="00722F76">
      <w:pPr>
        <w:pStyle w:val="Header"/>
      </w:pPr>
    </w:p>
    <w:p w:rsidR="00722F76" w:rsidRPr="006B210C" w:rsidRDefault="00722F76" w:rsidP="00722F76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722F76" w:rsidRDefault="00722F76" w:rsidP="00722F76"/>
    <w:p w:rsidR="00722F76" w:rsidRDefault="00722F76" w:rsidP="00722F76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722F76" w:rsidRPr="006B210C" w:rsidTr="009D6BC9">
        <w:trPr>
          <w:cantSplit/>
        </w:trPr>
        <w:tc>
          <w:tcPr>
            <w:tcW w:w="5130" w:type="dxa"/>
          </w:tcPr>
          <w:p w:rsidR="00722F76" w:rsidRPr="000E4923" w:rsidRDefault="00722F76" w:rsidP="009D6BC9">
            <w:pPr>
              <w:ind w:left="-58"/>
              <w:rPr>
                <w:lang w:val="fr-CA"/>
              </w:rPr>
            </w:pPr>
            <w:r w:rsidRPr="000E4923">
              <w:rPr>
                <w:b/>
                <w:smallCaps/>
                <w:lang w:val="fr-CA"/>
              </w:rPr>
              <w:t xml:space="preserve">Citation: </w:t>
            </w:r>
            <w:r w:rsidRPr="00722F76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722F76">
              <w:rPr>
                <w:rStyle w:val="SCCAppellantForRunningHeadChar"/>
                <w:i/>
                <w:smallCaps w:val="0"/>
                <w:lang w:val="fr-CA"/>
              </w:rPr>
              <w:t>v.</w:t>
            </w:r>
            <w:r w:rsidRPr="00722F76">
              <w:rPr>
                <w:rStyle w:val="SCCAppellantForRunningHeadChar"/>
                <w:smallCaps w:val="0"/>
                <w:lang w:val="fr-CA"/>
              </w:rPr>
              <w:t xml:space="preserve"> Rowson</w:t>
            </w:r>
            <w:r w:rsidRPr="000E4923">
              <w:rPr>
                <w:rStyle w:val="SCCAppellantForRunningHeadChar"/>
                <w:lang w:val="fr-CA"/>
              </w:rPr>
              <w:t>, 2016 SCC 40, [2016] 2</w:t>
            </w:r>
            <w:r>
              <w:rPr>
                <w:rStyle w:val="SCCAppellantForRunningHeadChar"/>
                <w:lang w:val="fr-CA"/>
              </w:rPr>
              <w:t xml:space="preserve"> S.C.R. 158</w:t>
            </w:r>
          </w:p>
        </w:tc>
        <w:tc>
          <w:tcPr>
            <w:tcW w:w="4446" w:type="dxa"/>
          </w:tcPr>
          <w:p w:rsidR="00722F76" w:rsidRPr="006B210C" w:rsidRDefault="00722F76" w:rsidP="009D6BC9">
            <w:pPr>
              <w:ind w:left="-58"/>
            </w:pPr>
            <w:r>
              <w:rPr>
                <w:b/>
                <w:smallCaps/>
              </w:rPr>
              <w:t>Reference of a matter heard:</w:t>
            </w:r>
            <w:r w:rsidRPr="006B210C">
              <w:t xml:space="preserve"> </w:t>
            </w:r>
            <w:r>
              <w:t>October 14, 2016</w:t>
            </w:r>
          </w:p>
          <w:p w:rsidR="00722F76" w:rsidRDefault="00722F76" w:rsidP="009D6BC9">
            <w:pPr>
              <w:ind w:left="-58"/>
            </w:pPr>
            <w:r>
              <w:rPr>
                <w:b/>
                <w:smallCaps/>
              </w:rPr>
              <w:t>Order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October 14, 2016</w:t>
            </w:r>
          </w:p>
          <w:p w:rsidR="00722F76" w:rsidRPr="006B210C" w:rsidRDefault="00722F76" w:rsidP="009D6BC9">
            <w:pPr>
              <w:ind w:left="-58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36777</w:t>
            </w:r>
          </w:p>
        </w:tc>
      </w:tr>
    </w:tbl>
    <w:p w:rsidR="00722F76" w:rsidRDefault="00722F76" w:rsidP="00722F76"/>
    <w:p w:rsidR="00722F76" w:rsidRPr="006B210C" w:rsidRDefault="00722F76" w:rsidP="00722F76"/>
    <w:p w:rsidR="00722F76" w:rsidRDefault="00722F76" w:rsidP="00722F76">
      <w:pPr>
        <w:pStyle w:val="SCCLsocPrefix"/>
      </w:pPr>
      <w:r>
        <w:t>Between:</w:t>
      </w:r>
    </w:p>
    <w:p w:rsidR="00722F76" w:rsidRPr="000E4923" w:rsidRDefault="00722F76" w:rsidP="00722F76">
      <w:pPr>
        <w:pStyle w:val="SCCLsocParty"/>
        <w:jc w:val="center"/>
        <w:rPr>
          <w:lang w:val="en-US"/>
        </w:rPr>
      </w:pPr>
      <w:r>
        <w:rPr>
          <w:lang w:val="en-US"/>
        </w:rPr>
        <w:t>Eric Andrew Rowson</w:t>
      </w:r>
    </w:p>
    <w:p w:rsidR="00722F76" w:rsidRDefault="00722F76" w:rsidP="00722F76">
      <w:pPr>
        <w:jc w:val="center"/>
      </w:pPr>
      <w:r>
        <w:t>Appellant</w:t>
      </w:r>
    </w:p>
    <w:p w:rsidR="00722F76" w:rsidRDefault="00722F76" w:rsidP="00722F76">
      <w:pPr>
        <w:jc w:val="center"/>
      </w:pPr>
    </w:p>
    <w:p w:rsidR="00722F76" w:rsidRDefault="00722F76" w:rsidP="00722F76">
      <w:pPr>
        <w:pStyle w:val="SCCLsocVersus"/>
        <w:spacing w:after="0"/>
        <w:jc w:val="center"/>
        <w:rPr>
          <w:i w:val="0"/>
        </w:rPr>
      </w:pPr>
      <w:r>
        <w:rPr>
          <w:i w:val="0"/>
        </w:rPr>
        <w:t>a</w:t>
      </w:r>
      <w:r w:rsidRPr="00DF67E8">
        <w:rPr>
          <w:i w:val="0"/>
        </w:rPr>
        <w:t>nd</w:t>
      </w:r>
    </w:p>
    <w:p w:rsidR="00722F76" w:rsidRPr="000A5892" w:rsidRDefault="00722F76" w:rsidP="00722F76"/>
    <w:p w:rsidR="00722F76" w:rsidRPr="000B3925" w:rsidRDefault="00722F76" w:rsidP="00722F76">
      <w:pPr>
        <w:pStyle w:val="SCCLsocParty"/>
        <w:jc w:val="center"/>
        <w:rPr>
          <w:lang w:val="en-US"/>
        </w:rPr>
      </w:pPr>
      <w:r w:rsidRPr="000B3925">
        <w:rPr>
          <w:lang w:val="en-US"/>
        </w:rPr>
        <w:t>Her Majesty The Queen</w:t>
      </w:r>
    </w:p>
    <w:p w:rsidR="00722F76" w:rsidRDefault="00722F76" w:rsidP="00722F76">
      <w:pPr>
        <w:jc w:val="center"/>
      </w:pPr>
      <w:r>
        <w:t>Respondent</w:t>
      </w:r>
    </w:p>
    <w:p w:rsidR="00722F76" w:rsidRDefault="00722F76" w:rsidP="00722F76"/>
    <w:p w:rsidR="00722F76" w:rsidRPr="006B210C" w:rsidRDefault="00722F76" w:rsidP="00722F76"/>
    <w:p w:rsidR="00722F76" w:rsidRPr="006B210C" w:rsidRDefault="00722F76" w:rsidP="00722F76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Abella, Moldaver, Wagner, Côté and Brown JJ.</w:t>
      </w:r>
    </w:p>
    <w:p w:rsidR="00722F76" w:rsidRPr="006B210C" w:rsidRDefault="00722F76" w:rsidP="00722F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722F76" w:rsidRPr="006B210C" w:rsidTr="009D6BC9">
        <w:trPr>
          <w:cantSplit/>
        </w:trPr>
        <w:tc>
          <w:tcPr>
            <w:tcW w:w="3618" w:type="dxa"/>
          </w:tcPr>
          <w:p w:rsidR="00722F76" w:rsidRDefault="00722F76" w:rsidP="009D6BC9">
            <w:pPr>
              <w:ind w:left="-58"/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</w:t>
            </w:r>
            <w:r>
              <w:rPr>
                <w:b/>
                <w:smallCaps/>
              </w:rPr>
              <w:t xml:space="preserve"> Order:</w:t>
            </w:r>
          </w:p>
          <w:p w:rsidR="00722F76" w:rsidRDefault="00722F76" w:rsidP="009D6BC9">
            <w:pPr>
              <w:ind w:left="-58"/>
            </w:pPr>
            <w:r>
              <w:t>(para. 1)</w:t>
            </w:r>
          </w:p>
          <w:p w:rsidR="00722F76" w:rsidRPr="006B210C" w:rsidRDefault="00722F76" w:rsidP="009D6BC9">
            <w:pPr>
              <w:ind w:left="-58"/>
            </w:pPr>
          </w:p>
        </w:tc>
        <w:tc>
          <w:tcPr>
            <w:tcW w:w="5958" w:type="dxa"/>
          </w:tcPr>
          <w:p w:rsidR="00722F76" w:rsidRPr="006B210C" w:rsidRDefault="00722F76" w:rsidP="009D6BC9">
            <w:r>
              <w:t>Abella J. (Moldaver, Wagner, Côté and Brown JJ. concurring)</w:t>
            </w:r>
          </w:p>
        </w:tc>
      </w:tr>
    </w:tbl>
    <w:p w:rsidR="00722F76" w:rsidRPr="006B210C" w:rsidRDefault="00722F76" w:rsidP="00722F7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5675" wp14:editId="067F8A2B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4E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    </w:pict>
          </mc:Fallback>
        </mc:AlternateContent>
      </w:r>
    </w:p>
    <w:p w:rsidR="00722F76" w:rsidRDefault="00722F76" w:rsidP="00722F76"/>
    <w:p w:rsidR="00722F76" w:rsidRDefault="00722F76" w:rsidP="00722F76"/>
    <w:p w:rsidR="00722F76" w:rsidRDefault="00722F76" w:rsidP="00CD366C">
      <w:pPr>
        <w:widowControl w:val="0"/>
        <w:spacing w:line="480" w:lineRule="auto"/>
        <w:jc w:val="both"/>
      </w:pPr>
    </w:p>
    <w:p w:rsidR="008322BD" w:rsidRPr="00777BFD" w:rsidRDefault="00777BFD" w:rsidP="00CD366C">
      <w:pPr>
        <w:widowControl w:val="0"/>
        <w:spacing w:line="480" w:lineRule="auto"/>
        <w:jc w:val="both"/>
      </w:pPr>
      <w:r>
        <w:t>R</w:t>
      </w:r>
      <w:r w:rsidR="00B90EE8" w:rsidRPr="00777BFD">
        <w:t xml:space="preserve">. </w:t>
      </w:r>
      <w:r w:rsidR="00B90EE8" w:rsidRPr="00777BFD">
        <w:rPr>
          <w:i/>
        </w:rPr>
        <w:t>v.</w:t>
      </w:r>
      <w:r w:rsidR="00B90EE8" w:rsidRPr="00777BFD">
        <w:t xml:space="preserve"> </w:t>
      </w:r>
      <w:r>
        <w:t>R</w:t>
      </w:r>
      <w:r w:rsidR="00B90EE8" w:rsidRPr="00777BFD">
        <w:t>owson</w:t>
      </w:r>
      <w:r>
        <w:t xml:space="preserve">, 2016 </w:t>
      </w:r>
      <w:r w:rsidRPr="00C02092">
        <w:t>SCC </w:t>
      </w:r>
      <w:r>
        <w:t>40, [2016] 2 S.C.R. 158</w:t>
      </w:r>
    </w:p>
    <w:p w:rsidR="00766D14" w:rsidRDefault="00766D14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A149DF" w:rsidRPr="001426A9" w:rsidRDefault="00A149DF" w:rsidP="00CD366C">
      <w:pPr>
        <w:widowControl w:val="0"/>
        <w:jc w:val="both"/>
      </w:pPr>
    </w:p>
    <w:p w:rsidR="002C185A" w:rsidRDefault="004B33E9" w:rsidP="00CD366C">
      <w:pPr>
        <w:pStyle w:val="SCCLsocLastPartyInRole"/>
        <w:widowControl w:val="0"/>
      </w:pPr>
      <w:r>
        <w:t>Eric Andrew Rowson</w:t>
      </w:r>
      <w:r>
        <w:rPr>
          <w:rStyle w:val="SCCLsocPartyRole"/>
        </w:rPr>
        <w:tab/>
        <w:t>Appellant</w:t>
      </w:r>
    </w:p>
    <w:p w:rsidR="002C185A" w:rsidRDefault="004B33E9" w:rsidP="00CD366C">
      <w:pPr>
        <w:pStyle w:val="SCCLsocVersus"/>
        <w:widowControl w:val="0"/>
      </w:pPr>
      <w:r>
        <w:t>v.</w:t>
      </w:r>
    </w:p>
    <w:p w:rsidR="002C185A" w:rsidRDefault="004B33E9" w:rsidP="00CD366C">
      <w:pPr>
        <w:pStyle w:val="SCCLsocLastPartyInRole"/>
        <w:widowControl w:val="0"/>
      </w:pPr>
      <w:r>
        <w:t xml:space="preserve">Her Majesty </w:t>
      </w:r>
      <w:r w:rsidR="00B90EE8">
        <w:t>T</w:t>
      </w:r>
      <w:r>
        <w:t>he Queen</w:t>
      </w:r>
      <w:r>
        <w:rPr>
          <w:rStyle w:val="SCCLsocPartyRole"/>
        </w:rPr>
        <w:tab/>
        <w:t>Respondent</w:t>
      </w:r>
    </w:p>
    <w:p w:rsidR="00766D14" w:rsidRDefault="00766D14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A149DF" w:rsidRPr="001426A9" w:rsidRDefault="00A149DF" w:rsidP="00CD366C">
      <w:pPr>
        <w:widowControl w:val="0"/>
        <w:jc w:val="both"/>
      </w:pPr>
    </w:p>
    <w:p w:rsidR="00426659" w:rsidRPr="00426659" w:rsidRDefault="00426659" w:rsidP="00CD366C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B90EE8">
        <w:rPr>
          <w:b/>
        </w:rPr>
        <w:t xml:space="preserve">R. </w:t>
      </w:r>
      <w:r w:rsidR="00B90EE8" w:rsidRPr="00B90EE8">
        <w:rPr>
          <w:b/>
          <w:i/>
        </w:rPr>
        <w:t xml:space="preserve">v. </w:t>
      </w:r>
      <w:r w:rsidR="00B90EE8">
        <w:rPr>
          <w:b/>
        </w:rPr>
        <w:t>Rowson</w:t>
      </w:r>
    </w:p>
    <w:p w:rsidR="00426659" w:rsidRDefault="00426659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426659" w:rsidRPr="00C02092" w:rsidRDefault="00AE4535" w:rsidP="00CD366C">
      <w:pPr>
        <w:pStyle w:val="SCCSystemYear"/>
        <w:widowControl w:val="0"/>
        <w:jc w:val="both"/>
      </w:pPr>
      <w:r>
        <w:t>2016</w:t>
      </w:r>
      <w:r w:rsidR="003D0399">
        <w:t xml:space="preserve"> </w:t>
      </w:r>
      <w:r w:rsidR="00426659" w:rsidRPr="00C02092">
        <w:t>SCC </w:t>
      </w:r>
      <w:r w:rsidR="00B90EE8">
        <w:t>40</w:t>
      </w:r>
    </w:p>
    <w:p w:rsidR="00426659" w:rsidRDefault="00426659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8322BD" w:rsidRDefault="009B57B3" w:rsidP="00CD366C">
      <w:pPr>
        <w:widowControl w:val="0"/>
        <w:jc w:val="both"/>
      </w:pPr>
      <w:r w:rsidRPr="001426A9">
        <w:t xml:space="preserve">File No.:  </w:t>
      </w:r>
      <w:r>
        <w:t>36777</w:t>
      </w:r>
      <w:r w:rsidRPr="001426A9">
        <w:t>.</w:t>
      </w:r>
    </w:p>
    <w:p w:rsidR="00E97830" w:rsidRDefault="00E97830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8322BD" w:rsidRDefault="00AE4535" w:rsidP="00CD366C">
      <w:pPr>
        <w:widowControl w:val="0"/>
        <w:jc w:val="both"/>
      </w:pPr>
      <w:r>
        <w:t>2016:  October 14</w:t>
      </w:r>
      <w:r w:rsidR="00B90EE8">
        <w:t>.</w:t>
      </w:r>
    </w:p>
    <w:p w:rsidR="00E97830" w:rsidRDefault="00E97830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A149DF" w:rsidRDefault="00A149DF" w:rsidP="00CD366C">
      <w:pPr>
        <w:widowControl w:val="0"/>
        <w:jc w:val="both"/>
      </w:pPr>
    </w:p>
    <w:p w:rsidR="008322BD" w:rsidRDefault="009B57B3" w:rsidP="00CD366C">
      <w:pPr>
        <w:widowControl w:val="0"/>
        <w:jc w:val="both"/>
      </w:pPr>
      <w:r w:rsidRPr="001426A9">
        <w:t xml:space="preserve">Present:  </w:t>
      </w:r>
      <w:r>
        <w:t>Abella, Moldaver, Wagner, Côté and Brown JJ.</w:t>
      </w:r>
    </w:p>
    <w:p w:rsidR="00E97830" w:rsidRDefault="00E97830" w:rsidP="00CD366C">
      <w:pPr>
        <w:widowControl w:val="0"/>
        <w:jc w:val="both"/>
      </w:pPr>
    </w:p>
    <w:p w:rsidR="006A1551" w:rsidRDefault="006A1551" w:rsidP="00CD366C">
      <w:pPr>
        <w:widowControl w:val="0"/>
        <w:jc w:val="both"/>
      </w:pPr>
    </w:p>
    <w:p w:rsidR="00EF766E" w:rsidRDefault="00EF766E" w:rsidP="00CD366C">
      <w:pPr>
        <w:widowControl w:val="0"/>
        <w:jc w:val="both"/>
      </w:pPr>
    </w:p>
    <w:p w:rsidR="00B57F31" w:rsidRDefault="00B57F31" w:rsidP="00CD366C">
      <w:pPr>
        <w:widowControl w:val="0"/>
        <w:rPr>
          <w:smallCaps/>
        </w:rPr>
      </w:pPr>
      <w:r w:rsidRPr="00B57F31">
        <w:rPr>
          <w:smallCaps/>
        </w:rPr>
        <w:t>on appeal from the court of appeal for alberta</w:t>
      </w:r>
    </w:p>
    <w:p w:rsidR="003216F7" w:rsidRPr="003216F7" w:rsidRDefault="003216F7" w:rsidP="00CD366C">
      <w:pPr>
        <w:widowControl w:val="0"/>
        <w:rPr>
          <w:smallCaps/>
        </w:rPr>
      </w:pPr>
    </w:p>
    <w:p w:rsidR="00B57F31" w:rsidRDefault="00B57F31" w:rsidP="00CD366C">
      <w:pPr>
        <w:pStyle w:val="SCCNormalDoubleSpacing"/>
        <w:widowControl w:val="0"/>
      </w:pPr>
    </w:p>
    <w:p w:rsidR="008322BD" w:rsidRPr="00510D85" w:rsidRDefault="00510D85" w:rsidP="00CD366C">
      <w:pPr>
        <w:pStyle w:val="SCCNormalDoubleSpacing"/>
        <w:widowControl w:val="0"/>
        <w:rPr>
          <w:i/>
        </w:rPr>
      </w:pPr>
      <w:r>
        <w:tab/>
      </w:r>
      <w:r w:rsidR="00334076">
        <w:rPr>
          <w:i/>
        </w:rPr>
        <w:t>Constitutional law —</w:t>
      </w:r>
      <w:r w:rsidR="00CD5FB5">
        <w:rPr>
          <w:i/>
        </w:rPr>
        <w:t xml:space="preserve"> Charter of Rights</w:t>
      </w:r>
      <w:r w:rsidR="00334076">
        <w:rPr>
          <w:i/>
        </w:rPr>
        <w:t xml:space="preserve"> —</w:t>
      </w:r>
      <w:r w:rsidR="001846BA">
        <w:rPr>
          <w:i/>
        </w:rPr>
        <w:t xml:space="preserve"> </w:t>
      </w:r>
      <w:r w:rsidR="00334076">
        <w:rPr>
          <w:i/>
        </w:rPr>
        <w:t>Arbitrary detention — Right to counsel — Search and seizure —</w:t>
      </w:r>
      <w:r w:rsidR="00F87263">
        <w:rPr>
          <w:i/>
        </w:rPr>
        <w:t xml:space="preserve"> </w:t>
      </w:r>
      <w:r w:rsidR="00334076">
        <w:rPr>
          <w:i/>
        </w:rPr>
        <w:t>Remedy —</w:t>
      </w:r>
      <w:r w:rsidR="003216F7">
        <w:rPr>
          <w:i/>
        </w:rPr>
        <w:t xml:space="preserve"> </w:t>
      </w:r>
      <w:r w:rsidR="001846BA">
        <w:rPr>
          <w:i/>
        </w:rPr>
        <w:t>Exclusion of</w:t>
      </w:r>
      <w:r w:rsidR="00FE4451">
        <w:rPr>
          <w:i/>
        </w:rPr>
        <w:t xml:space="preserve"> evidence</w:t>
      </w:r>
      <w:r w:rsidR="00CD5FB5">
        <w:rPr>
          <w:i/>
        </w:rPr>
        <w:t xml:space="preserve"> </w:t>
      </w:r>
      <w:r w:rsidR="00334076">
        <w:rPr>
          <w:i/>
        </w:rPr>
        <w:t>—</w:t>
      </w:r>
      <w:r w:rsidR="00BB2A0E">
        <w:rPr>
          <w:i/>
        </w:rPr>
        <w:t xml:space="preserve"> </w:t>
      </w:r>
      <w:r w:rsidR="00FE4451">
        <w:rPr>
          <w:i/>
        </w:rPr>
        <w:t xml:space="preserve">Admission of </w:t>
      </w:r>
      <w:r w:rsidR="001846BA">
        <w:rPr>
          <w:i/>
        </w:rPr>
        <w:t xml:space="preserve">breath sample </w:t>
      </w:r>
      <w:r w:rsidR="00FE4451">
        <w:rPr>
          <w:i/>
        </w:rPr>
        <w:t>evidence would not bring administra</w:t>
      </w:r>
      <w:r w:rsidR="00334076">
        <w:rPr>
          <w:i/>
        </w:rPr>
        <w:t>tion of justice into disrepute —</w:t>
      </w:r>
      <w:r w:rsidR="00FE4451">
        <w:rPr>
          <w:i/>
        </w:rPr>
        <w:t xml:space="preserve"> </w:t>
      </w:r>
      <w:r>
        <w:rPr>
          <w:i/>
        </w:rPr>
        <w:t>Accused’s convictions upheld.</w:t>
      </w:r>
    </w:p>
    <w:p w:rsidR="00A149DF" w:rsidRDefault="00A149DF" w:rsidP="00CD366C">
      <w:pPr>
        <w:pStyle w:val="SCCNormalDoubleSpacing"/>
        <w:widowControl w:val="0"/>
      </w:pPr>
    </w:p>
    <w:p w:rsidR="00A149DF" w:rsidRDefault="00A149DF" w:rsidP="00CD366C">
      <w:pPr>
        <w:pStyle w:val="SCCNormalDoubleSpacing"/>
        <w:widowControl w:val="0"/>
        <w:spacing w:line="240" w:lineRule="auto"/>
        <w:ind w:left="540" w:hanging="540"/>
      </w:pPr>
    </w:p>
    <w:p w:rsidR="00656313" w:rsidRPr="007F79B5" w:rsidRDefault="009B57B3" w:rsidP="00CD366C">
      <w:pPr>
        <w:pStyle w:val="SCCNormalDoubleSpacing"/>
        <w:widowControl w:val="0"/>
        <w:rPr>
          <w:lang w:val="en-US"/>
        </w:rPr>
      </w:pPr>
      <w:r w:rsidRPr="001426A9">
        <w:tab/>
      </w:r>
      <w:r w:rsidR="00DD6F74" w:rsidRPr="001426A9">
        <w:t xml:space="preserve">APPEAL from a judgment of the </w:t>
      </w:r>
      <w:r w:rsidR="00DD6F74">
        <w:t xml:space="preserve">Alberta Court of Appeal </w:t>
      </w:r>
      <w:r w:rsidR="00E33688">
        <w:t>(Martin, O’Ferrall and Veldhuis JJ.A.),</w:t>
      </w:r>
      <w:r w:rsidR="00E63071">
        <w:t xml:space="preserve"> 2015 ABCA 354, 29 Alta. L.R. (6</w:t>
      </w:r>
      <w:r w:rsidR="00E63071" w:rsidRPr="00E63071">
        <w:t>th</w:t>
      </w:r>
      <w:r w:rsidR="00E63071">
        <w:t xml:space="preserve">) 40, 332 C.C.C. (3d) 165, 607 A.R. 334, </w:t>
      </w:r>
      <w:r w:rsidR="007C3DAA">
        <w:t>653 W.A.C. 334, 91 M.V.R. (6</w:t>
      </w:r>
      <w:r w:rsidR="007C3DAA" w:rsidRPr="007C3DAA">
        <w:t>th</w:t>
      </w:r>
      <w:r w:rsidR="007C3DAA">
        <w:t>) 51, [2016] 4 W.W.R. 483, [2015] A.J. No. 1253 (QL), 2015 CarswellAlta 2139 (WL Can.),</w:t>
      </w:r>
      <w:r w:rsidR="004045DA">
        <w:t xml:space="preserve"> </w:t>
      </w:r>
      <w:r w:rsidR="00510D85">
        <w:t xml:space="preserve">upholding the accused’s convictions for impaired driving causing bodily harm, dangerous driving causing bodily harm and driving with a blood alcohol level exceeding the legal limit </w:t>
      </w:r>
      <w:r w:rsidR="00510D85">
        <w:lastRenderedPageBreak/>
        <w:t>entered by Martin J</w:t>
      </w:r>
      <w:r w:rsidR="00E933B2">
        <w:rPr>
          <w:lang w:val="en-US"/>
        </w:rPr>
        <w:t xml:space="preserve">.  Appeal </w:t>
      </w:r>
      <w:r w:rsidR="00035F5D">
        <w:rPr>
          <w:lang w:val="en-US"/>
        </w:rPr>
        <w:t>dismissed, Abella and Côté JJ. dissenting.</w:t>
      </w:r>
    </w:p>
    <w:p w:rsidR="00656313" w:rsidRDefault="00656313" w:rsidP="00CD366C">
      <w:pPr>
        <w:pStyle w:val="SCCNormalDoubleSpacing"/>
        <w:widowControl w:val="0"/>
      </w:pPr>
    </w:p>
    <w:p w:rsidR="002C185A" w:rsidRDefault="004B33E9" w:rsidP="00CD366C">
      <w:pPr>
        <w:pStyle w:val="SCCNormalDoubleSpacing"/>
        <w:widowControl w:val="0"/>
      </w:pPr>
      <w:r>
        <w:rPr>
          <w:rStyle w:val="SCCCounselNameChar"/>
        </w:rPr>
        <w:tab/>
        <w:t>Jennifer Ruttan</w:t>
      </w:r>
      <w:r w:rsidR="00093079">
        <w:rPr>
          <w:rStyle w:val="SCCCounselNameChar"/>
        </w:rPr>
        <w:t xml:space="preserve"> </w:t>
      </w:r>
      <w:r w:rsidR="00093079" w:rsidRPr="00093079">
        <w:rPr>
          <w:rStyle w:val="SCCCounselNameChar"/>
          <w:i w:val="0"/>
        </w:rPr>
        <w:t>and</w:t>
      </w:r>
      <w:r w:rsidR="00093079">
        <w:rPr>
          <w:rStyle w:val="SCCCounselNameChar"/>
        </w:rPr>
        <w:t xml:space="preserve"> Michael Bates</w:t>
      </w:r>
      <w:r>
        <w:rPr>
          <w:rStyle w:val="SCCCounselPartyRoleChar"/>
        </w:rPr>
        <w:t>, for the appellant.</w:t>
      </w:r>
    </w:p>
    <w:p w:rsidR="002C185A" w:rsidRDefault="002C185A" w:rsidP="00CD366C">
      <w:pPr>
        <w:pStyle w:val="SCCNormalDoubleSpacing"/>
        <w:widowControl w:val="0"/>
      </w:pPr>
    </w:p>
    <w:p w:rsidR="002C185A" w:rsidRDefault="004B33E9" w:rsidP="00CD366C">
      <w:pPr>
        <w:pStyle w:val="SCCNormalDoubleSpacing"/>
        <w:widowControl w:val="0"/>
      </w:pPr>
      <w:r>
        <w:rPr>
          <w:rStyle w:val="SCCCounselNameChar"/>
        </w:rPr>
        <w:tab/>
        <w:t>Christine Rideout</w:t>
      </w:r>
      <w:r>
        <w:rPr>
          <w:rStyle w:val="SCCCounselPartyRoleChar"/>
        </w:rPr>
        <w:t>, for the respondent.</w:t>
      </w:r>
    </w:p>
    <w:p w:rsidR="002C185A" w:rsidRDefault="002C185A" w:rsidP="00CD366C">
      <w:pPr>
        <w:pStyle w:val="SCCLawFirm"/>
        <w:widowControl w:val="0"/>
      </w:pPr>
    </w:p>
    <w:p w:rsidR="00FC2950" w:rsidRDefault="00FC2950" w:rsidP="00CD366C">
      <w:pPr>
        <w:pStyle w:val="SCCNormalDoubleSpacing"/>
        <w:widowControl w:val="0"/>
      </w:pPr>
      <w:r>
        <w:tab/>
        <w:t>The judgment of the Court was delivered orally by</w:t>
      </w:r>
    </w:p>
    <w:p w:rsidR="00FC2950" w:rsidRDefault="00FC2950" w:rsidP="00CD366C">
      <w:pPr>
        <w:pStyle w:val="SCCNormalDoubleSpacing"/>
        <w:widowControl w:val="0"/>
      </w:pPr>
    </w:p>
    <w:p w:rsidR="00FC2950" w:rsidRDefault="00E933B2" w:rsidP="00CD366C">
      <w:pPr>
        <w:pStyle w:val="SCCNormalDoubleSpacing"/>
        <w:widowControl w:val="0"/>
      </w:pPr>
      <w:r w:rsidRPr="00E933B2">
        <w:rPr>
          <w:lang w:val="en-US"/>
        </w:rPr>
        <w:t>[1]</w:t>
      </w:r>
      <w:r w:rsidRPr="00E933B2">
        <w:rPr>
          <w:lang w:val="en-US"/>
        </w:rPr>
        <w:tab/>
      </w:r>
      <w:r w:rsidRPr="00A010BC">
        <w:rPr>
          <w:smallCaps/>
        </w:rPr>
        <w:t>Abella</w:t>
      </w:r>
      <w:r w:rsidRPr="00A010BC">
        <w:t xml:space="preserve"> J. — A majority of this panel is of the view that the appeal should be dismissed substantially for the reasons of Justice O’Ferrall. Justice Côté and I would allow the appeal primarily on the basis that the cumulative effect of the multiple breaches warranted the exclusion of the breathalyzer evidence.</w:t>
      </w:r>
    </w:p>
    <w:p w:rsidR="00FC2950" w:rsidRPr="00FC2950" w:rsidRDefault="00FC2950" w:rsidP="00CD366C">
      <w:pPr>
        <w:pStyle w:val="SCCNormalDoubleSpacing"/>
        <w:widowControl w:val="0"/>
      </w:pPr>
    </w:p>
    <w:p w:rsidR="009B57B3" w:rsidRDefault="004B33E9" w:rsidP="00CD366C">
      <w:pPr>
        <w:pStyle w:val="SCCLawFirm"/>
        <w:widowControl w:val="0"/>
      </w:pPr>
      <w:r>
        <w:tab/>
        <w:t>Judgment accordingly.</w:t>
      </w:r>
    </w:p>
    <w:p w:rsidR="00A149DF" w:rsidRPr="001426A9" w:rsidRDefault="00A149DF" w:rsidP="00CD366C">
      <w:pPr>
        <w:pStyle w:val="SCCNormalDoubleSpacing"/>
        <w:widowControl w:val="0"/>
      </w:pPr>
    </w:p>
    <w:p w:rsidR="002C185A" w:rsidRDefault="00093079" w:rsidP="00CD366C">
      <w:pPr>
        <w:pStyle w:val="SCCLawFirm"/>
        <w:widowControl w:val="0"/>
      </w:pPr>
      <w:r>
        <w:tab/>
        <w:t>Solicitors</w:t>
      </w:r>
      <w:r w:rsidR="004B33E9">
        <w:t xml:space="preserve"> for the appellant:  Ruttan Bates, Calgary.</w:t>
      </w:r>
    </w:p>
    <w:p w:rsidR="002C185A" w:rsidRDefault="002C185A" w:rsidP="00CD366C">
      <w:pPr>
        <w:pStyle w:val="SCCLawFirm"/>
        <w:widowControl w:val="0"/>
      </w:pPr>
    </w:p>
    <w:p w:rsidR="002C185A" w:rsidRDefault="00093079" w:rsidP="00CD366C">
      <w:pPr>
        <w:pStyle w:val="SCCLawFirm"/>
        <w:widowControl w:val="0"/>
      </w:pPr>
      <w:r>
        <w:tab/>
        <w:t>Solicitor</w:t>
      </w:r>
      <w:r w:rsidR="004B33E9">
        <w:t xml:space="preserve"> for the respondent:  Attorney General of Alberta, Calgary.</w:t>
      </w:r>
      <w:r w:rsidR="00601666">
        <w:t xml:space="preserve"> </w:t>
      </w:r>
    </w:p>
    <w:sectPr w:rsidR="002C185A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35F5D"/>
    <w:rsid w:val="000578A3"/>
    <w:rsid w:val="000648CC"/>
    <w:rsid w:val="00093079"/>
    <w:rsid w:val="000B313E"/>
    <w:rsid w:val="000C59B8"/>
    <w:rsid w:val="000C6AF0"/>
    <w:rsid w:val="00104F33"/>
    <w:rsid w:val="00111DE2"/>
    <w:rsid w:val="00116B38"/>
    <w:rsid w:val="00135406"/>
    <w:rsid w:val="00135972"/>
    <w:rsid w:val="001426A9"/>
    <w:rsid w:val="0014469E"/>
    <w:rsid w:val="00154D7C"/>
    <w:rsid w:val="001570B0"/>
    <w:rsid w:val="0015752C"/>
    <w:rsid w:val="00157737"/>
    <w:rsid w:val="00165277"/>
    <w:rsid w:val="00170592"/>
    <w:rsid w:val="001846BA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C185A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216F7"/>
    <w:rsid w:val="003310DE"/>
    <w:rsid w:val="003323B0"/>
    <w:rsid w:val="00334076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45DA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B33E9"/>
    <w:rsid w:val="004C478D"/>
    <w:rsid w:val="004E2C26"/>
    <w:rsid w:val="004F36FF"/>
    <w:rsid w:val="00510D85"/>
    <w:rsid w:val="005125A8"/>
    <w:rsid w:val="0051583B"/>
    <w:rsid w:val="00521AE8"/>
    <w:rsid w:val="00527180"/>
    <w:rsid w:val="0054201E"/>
    <w:rsid w:val="00555291"/>
    <w:rsid w:val="00566AD1"/>
    <w:rsid w:val="00583EDE"/>
    <w:rsid w:val="005A6079"/>
    <w:rsid w:val="005E4698"/>
    <w:rsid w:val="00601666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B6EE3"/>
    <w:rsid w:val="006F30AF"/>
    <w:rsid w:val="00701759"/>
    <w:rsid w:val="00705C15"/>
    <w:rsid w:val="0071600E"/>
    <w:rsid w:val="007208D1"/>
    <w:rsid w:val="00722F76"/>
    <w:rsid w:val="00747288"/>
    <w:rsid w:val="00747DD3"/>
    <w:rsid w:val="007549C8"/>
    <w:rsid w:val="00754A0B"/>
    <w:rsid w:val="00766D14"/>
    <w:rsid w:val="00767A0F"/>
    <w:rsid w:val="00777BFD"/>
    <w:rsid w:val="007A05F6"/>
    <w:rsid w:val="007A40E2"/>
    <w:rsid w:val="007B6F4A"/>
    <w:rsid w:val="007C3DAA"/>
    <w:rsid w:val="007E1C47"/>
    <w:rsid w:val="007E337A"/>
    <w:rsid w:val="007E5C70"/>
    <w:rsid w:val="007F2FF5"/>
    <w:rsid w:val="007F3F08"/>
    <w:rsid w:val="007F79B5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E4DD5"/>
    <w:rsid w:val="00AF03C5"/>
    <w:rsid w:val="00B000D8"/>
    <w:rsid w:val="00B00F75"/>
    <w:rsid w:val="00B145B6"/>
    <w:rsid w:val="00B279EB"/>
    <w:rsid w:val="00B50C81"/>
    <w:rsid w:val="00B557F8"/>
    <w:rsid w:val="00B57F31"/>
    <w:rsid w:val="00B815FC"/>
    <w:rsid w:val="00B90EE8"/>
    <w:rsid w:val="00B93FBC"/>
    <w:rsid w:val="00BA7DA0"/>
    <w:rsid w:val="00BB2A0E"/>
    <w:rsid w:val="00BB2EE4"/>
    <w:rsid w:val="00BC2108"/>
    <w:rsid w:val="00BD0E9E"/>
    <w:rsid w:val="00BD1BEC"/>
    <w:rsid w:val="00BD32FF"/>
    <w:rsid w:val="00C02092"/>
    <w:rsid w:val="00C24D91"/>
    <w:rsid w:val="00C438B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B002F"/>
    <w:rsid w:val="00CC34BD"/>
    <w:rsid w:val="00CD366C"/>
    <w:rsid w:val="00CD3A09"/>
    <w:rsid w:val="00CD5FB5"/>
    <w:rsid w:val="00CE161A"/>
    <w:rsid w:val="00CE3171"/>
    <w:rsid w:val="00CF1601"/>
    <w:rsid w:val="00D0172F"/>
    <w:rsid w:val="00D068A7"/>
    <w:rsid w:val="00D17476"/>
    <w:rsid w:val="00D23949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D4B14"/>
    <w:rsid w:val="00DD6F74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3688"/>
    <w:rsid w:val="00E35404"/>
    <w:rsid w:val="00E45109"/>
    <w:rsid w:val="00E47B7A"/>
    <w:rsid w:val="00E56A44"/>
    <w:rsid w:val="00E60269"/>
    <w:rsid w:val="00E63071"/>
    <w:rsid w:val="00E77932"/>
    <w:rsid w:val="00E933B2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87263"/>
    <w:rsid w:val="00FB37D2"/>
    <w:rsid w:val="00FC2950"/>
    <w:rsid w:val="00FC4EFB"/>
    <w:rsid w:val="00FD068D"/>
    <w:rsid w:val="00FD4F28"/>
    <w:rsid w:val="00FE4451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722F76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722F76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722F76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2016-10-14T15:23:00Z</dcterms:created>
  <dcterms:modified xsi:type="dcterms:W3CDTF">2020-10-15T22:03:00Z</dcterms:modified>
</cp:coreProperties>
</file>