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E8" w:rsidRDefault="00DF67E8" w:rsidP="00DF67E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39761278" r:id="rId8"/>
        </w:object>
      </w:r>
      <w:r>
        <w:t xml:space="preserve"> </w:t>
      </w:r>
      <w:r>
        <w:ptab w:relativeTo="margin" w:alignment="right" w:leader="none"/>
      </w:r>
    </w:p>
    <w:p w:rsidR="00DF67E8" w:rsidRDefault="00DF67E8" w:rsidP="00DF67E8">
      <w:pPr>
        <w:pStyle w:val="Header"/>
      </w:pPr>
    </w:p>
    <w:p w:rsidR="00DF67E8" w:rsidRPr="006B210C" w:rsidRDefault="00DF67E8" w:rsidP="00DF67E8">
      <w:pPr>
        <w:jc w:val="center"/>
        <w:rPr>
          <w:b/>
        </w:rPr>
      </w:pPr>
      <w:r w:rsidRPr="006B210C">
        <w:rPr>
          <w:b/>
        </w:rPr>
        <w:t>SUPREME COURT OF CANADA</w:t>
      </w:r>
    </w:p>
    <w:p w:rsidR="00DF67E8" w:rsidRDefault="00DF67E8" w:rsidP="00DF67E8"/>
    <w:p w:rsidR="00F100E5" w:rsidRDefault="00F100E5" w:rsidP="00F100E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F100E5" w:rsidRPr="006B210C" w:rsidTr="003E159F">
        <w:trPr>
          <w:cantSplit/>
        </w:trPr>
        <w:tc>
          <w:tcPr>
            <w:tcW w:w="5130" w:type="dxa"/>
          </w:tcPr>
          <w:p w:rsidR="00F100E5" w:rsidRPr="00D36FA3" w:rsidRDefault="00F100E5" w:rsidP="003E159F">
            <w:pPr>
              <w:ind w:left="-58"/>
              <w:rPr>
                <w:lang w:val="fr-CA"/>
              </w:rPr>
            </w:pPr>
            <w:r w:rsidRPr="00D36FA3">
              <w:rPr>
                <w:b/>
                <w:smallCaps/>
                <w:lang w:val="fr-CA"/>
              </w:rPr>
              <w:t>Citation:</w:t>
            </w:r>
            <w:r w:rsidRPr="00D36FA3">
              <w:rPr>
                <w:lang w:val="fr-CA"/>
              </w:rPr>
              <w:t xml:space="preserve"> </w:t>
            </w:r>
            <w:r w:rsidRPr="00F100E5">
              <w:rPr>
                <w:rStyle w:val="SCCAppellantForRunningHeadChar"/>
                <w:smallCaps w:val="0"/>
                <w:lang w:val="fr-CA"/>
              </w:rPr>
              <w:t xml:space="preserve">S.H. </w:t>
            </w:r>
            <w:r w:rsidRPr="00627212">
              <w:rPr>
                <w:i/>
                <w:lang w:val="fr-CA"/>
              </w:rPr>
              <w:t>v.</w:t>
            </w:r>
            <w:r w:rsidRPr="00627212">
              <w:rPr>
                <w:smallCaps/>
                <w:lang w:val="fr-CA"/>
              </w:rPr>
              <w:t xml:space="preserve"> </w:t>
            </w:r>
            <w:r w:rsidRPr="00F100E5">
              <w:rPr>
                <w:rStyle w:val="SCCAppellantForRunningHeadChar"/>
                <w:smallCaps w:val="0"/>
                <w:lang w:val="fr-CA"/>
              </w:rPr>
              <w:t>Quebec (Emploi et Solidarité sociale)</w:t>
            </w:r>
            <w:r>
              <w:rPr>
                <w:rStyle w:val="SCCAppellantForRunningHeadChar"/>
                <w:lang w:val="fr-CA"/>
              </w:rPr>
              <w:t>, 2015 SCC 66, [2016] 1 S.C.R. 3</w:t>
            </w:r>
          </w:p>
        </w:tc>
        <w:tc>
          <w:tcPr>
            <w:tcW w:w="4446" w:type="dxa"/>
          </w:tcPr>
          <w:p w:rsidR="00F100E5" w:rsidRPr="006B210C" w:rsidRDefault="00F100E5" w:rsidP="003E159F">
            <w:pPr>
              <w:ind w:left="-58"/>
            </w:pPr>
            <w:r>
              <w:rPr>
                <w:b/>
                <w:smallCaps/>
              </w:rPr>
              <w:t>Reference of a matter heard:</w:t>
            </w:r>
            <w:r w:rsidRPr="006B210C">
              <w:t xml:space="preserve"> </w:t>
            </w:r>
            <w:r w:rsidR="00EB3D52">
              <w:t>October 13, 2015</w:t>
            </w:r>
          </w:p>
          <w:p w:rsidR="00F100E5" w:rsidRDefault="00F100E5" w:rsidP="003E159F">
            <w:pPr>
              <w:ind w:left="-58"/>
            </w:pPr>
            <w:r>
              <w:rPr>
                <w:b/>
                <w:smallCaps/>
              </w:rPr>
              <w:t>Order</w:t>
            </w:r>
            <w:r w:rsidRPr="0079323E">
              <w:rPr>
                <w:b/>
                <w:smallCaps/>
              </w:rPr>
              <w:t>:</w:t>
            </w:r>
            <w:r w:rsidRPr="0079323E">
              <w:t xml:space="preserve"> </w:t>
            </w:r>
            <w:r w:rsidR="00EB3D52">
              <w:t>October 13, 2015</w:t>
            </w:r>
          </w:p>
          <w:p w:rsidR="00F100E5" w:rsidRPr="006B210C" w:rsidRDefault="00F100E5" w:rsidP="003E159F">
            <w:pPr>
              <w:ind w:left="-58"/>
            </w:pPr>
            <w:r w:rsidRPr="006B210C">
              <w:rPr>
                <w:b/>
                <w:smallCaps/>
              </w:rPr>
              <w:t>Docket</w:t>
            </w:r>
            <w:r>
              <w:rPr>
                <w:b/>
                <w:smallCaps/>
              </w:rPr>
              <w:t>:</w:t>
            </w:r>
            <w:r w:rsidRPr="006B210C">
              <w:t xml:space="preserve"> </w:t>
            </w:r>
            <w:r>
              <w:t>36674</w:t>
            </w:r>
          </w:p>
        </w:tc>
      </w:tr>
    </w:tbl>
    <w:p w:rsidR="00F100E5" w:rsidRDefault="00F100E5" w:rsidP="00DF67E8"/>
    <w:p w:rsidR="00F100E5" w:rsidRPr="006B210C" w:rsidRDefault="00F100E5" w:rsidP="00DF67E8"/>
    <w:p w:rsidR="00DF67E8" w:rsidRPr="001534B9" w:rsidRDefault="00DF67E8" w:rsidP="00DF67E8">
      <w:pPr>
        <w:pStyle w:val="SCCLsocPrefix"/>
        <w:rPr>
          <w:lang w:val="fr-CA"/>
        </w:rPr>
      </w:pPr>
      <w:proofErr w:type="spellStart"/>
      <w:r w:rsidRPr="001534B9">
        <w:rPr>
          <w:lang w:val="fr-CA"/>
        </w:rPr>
        <w:t>Between</w:t>
      </w:r>
      <w:proofErr w:type="spellEnd"/>
      <w:r w:rsidRPr="001534B9">
        <w:rPr>
          <w:lang w:val="fr-CA"/>
        </w:rPr>
        <w:t>:</w:t>
      </w:r>
    </w:p>
    <w:p w:rsidR="00973284" w:rsidRPr="001534B9" w:rsidRDefault="00DF67E8" w:rsidP="00973284">
      <w:pPr>
        <w:pStyle w:val="SCCLsocParty"/>
        <w:jc w:val="center"/>
        <w:rPr>
          <w:lang w:val="fr-CA"/>
        </w:rPr>
      </w:pPr>
      <w:r w:rsidRPr="001534B9">
        <w:rPr>
          <w:lang w:val="fr-CA"/>
        </w:rPr>
        <w:t>S.H.</w:t>
      </w:r>
    </w:p>
    <w:p w:rsidR="00DF67E8" w:rsidRPr="001534B9" w:rsidRDefault="00DF67E8" w:rsidP="00DF67E8">
      <w:pPr>
        <w:jc w:val="center"/>
        <w:rPr>
          <w:lang w:val="fr-CA"/>
        </w:rPr>
      </w:pPr>
      <w:proofErr w:type="spellStart"/>
      <w:r w:rsidRPr="001534B9">
        <w:rPr>
          <w:lang w:val="fr-CA"/>
        </w:rPr>
        <w:t>Appellant</w:t>
      </w:r>
      <w:proofErr w:type="spellEnd"/>
    </w:p>
    <w:p w:rsidR="00973284" w:rsidRPr="001534B9" w:rsidRDefault="00973284" w:rsidP="00DF67E8">
      <w:pPr>
        <w:jc w:val="center"/>
        <w:rPr>
          <w:lang w:val="fr-CA"/>
        </w:rPr>
      </w:pPr>
    </w:p>
    <w:p w:rsidR="00DF67E8" w:rsidRPr="001534B9" w:rsidRDefault="00973284" w:rsidP="00DF67E8">
      <w:pPr>
        <w:pStyle w:val="SCCLsocVersus"/>
        <w:spacing w:after="0"/>
        <w:jc w:val="center"/>
        <w:rPr>
          <w:i w:val="0"/>
          <w:lang w:val="fr-CA"/>
        </w:rPr>
      </w:pPr>
      <w:proofErr w:type="gramStart"/>
      <w:r w:rsidRPr="001534B9">
        <w:rPr>
          <w:i w:val="0"/>
          <w:lang w:val="fr-CA"/>
        </w:rPr>
        <w:t>a</w:t>
      </w:r>
      <w:r w:rsidR="00DF67E8" w:rsidRPr="001534B9">
        <w:rPr>
          <w:i w:val="0"/>
          <w:lang w:val="fr-CA"/>
        </w:rPr>
        <w:t>nd</w:t>
      </w:r>
      <w:proofErr w:type="gramEnd"/>
    </w:p>
    <w:p w:rsidR="00973284" w:rsidRPr="001534B9" w:rsidRDefault="00973284" w:rsidP="00973284">
      <w:pPr>
        <w:rPr>
          <w:lang w:val="fr-CA"/>
        </w:rPr>
      </w:pPr>
    </w:p>
    <w:p w:rsidR="00DF67E8" w:rsidRPr="00970E5F" w:rsidRDefault="00DF67E8" w:rsidP="00DF67E8">
      <w:pPr>
        <w:pStyle w:val="SCCLsocLastPartyInRole"/>
        <w:spacing w:after="0"/>
        <w:jc w:val="center"/>
        <w:rPr>
          <w:lang w:val="fr-CA"/>
        </w:rPr>
      </w:pPr>
      <w:r w:rsidRPr="00970E5F">
        <w:rPr>
          <w:lang w:val="fr-CA"/>
        </w:rPr>
        <w:t>Ministère de l’Emploi et de la Solidarité sociale,</w:t>
      </w:r>
    </w:p>
    <w:p w:rsidR="00DF67E8" w:rsidRPr="00970E5F" w:rsidRDefault="00DF67E8" w:rsidP="00DF67E8">
      <w:pPr>
        <w:pStyle w:val="SCCLsocLastPartyInRole"/>
        <w:spacing w:after="0"/>
        <w:jc w:val="center"/>
        <w:rPr>
          <w:lang w:val="fr-CA"/>
        </w:rPr>
      </w:pPr>
      <w:r>
        <w:rPr>
          <w:lang w:val="fr-CA"/>
        </w:rPr>
        <w:t>C</w:t>
      </w:r>
      <w:r w:rsidRPr="00970E5F">
        <w:rPr>
          <w:lang w:val="fr-CA"/>
        </w:rPr>
        <w:t>entre local d’emploi de Sainte-Foy, Stéphanie Paquet,</w:t>
      </w:r>
    </w:p>
    <w:p w:rsidR="00DF67E8" w:rsidRPr="00942B6C" w:rsidRDefault="00DF67E8" w:rsidP="00DF67E8">
      <w:pPr>
        <w:pStyle w:val="SCCLsocParty"/>
        <w:jc w:val="center"/>
        <w:rPr>
          <w:lang w:val="fr-CA"/>
        </w:rPr>
      </w:pPr>
      <w:r w:rsidRPr="00970E5F">
        <w:rPr>
          <w:lang w:val="fr-CA"/>
        </w:rPr>
        <w:t>Johanne Dufour and Centre de formation de Québec inc.</w:t>
      </w:r>
    </w:p>
    <w:p w:rsidR="00DF67E8" w:rsidRDefault="00DF67E8" w:rsidP="00DF67E8">
      <w:pPr>
        <w:jc w:val="center"/>
      </w:pPr>
      <w:r>
        <w:t>Respondents</w:t>
      </w:r>
    </w:p>
    <w:p w:rsidR="00DF67E8" w:rsidRDefault="00DF67E8" w:rsidP="00DF67E8"/>
    <w:p w:rsidR="00DF67E8" w:rsidRPr="006B210C" w:rsidRDefault="00DF67E8" w:rsidP="00DF67E8"/>
    <w:p w:rsidR="00DF67E8" w:rsidRPr="006B210C" w:rsidRDefault="00DF67E8" w:rsidP="00DF67E8">
      <w:r w:rsidRPr="006B210C">
        <w:rPr>
          <w:b/>
          <w:smallCaps/>
        </w:rPr>
        <w:t>Coram</w:t>
      </w:r>
      <w:r>
        <w:rPr>
          <w:b/>
          <w:smallCaps/>
        </w:rPr>
        <w:t>:</w:t>
      </w:r>
      <w:r w:rsidRPr="006B210C">
        <w:t xml:space="preserve"> </w:t>
      </w:r>
      <w:r w:rsidRPr="00581C42">
        <w:t>Cromwell J.</w:t>
      </w:r>
    </w:p>
    <w:p w:rsidR="00DF67E8" w:rsidRPr="006B210C" w:rsidRDefault="00DF67E8" w:rsidP="00DF67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F67E8" w:rsidRPr="006B210C" w:rsidTr="000C5592">
        <w:trPr>
          <w:cantSplit/>
        </w:trPr>
        <w:tc>
          <w:tcPr>
            <w:tcW w:w="3618" w:type="dxa"/>
          </w:tcPr>
          <w:p w:rsidR="00DF67E8" w:rsidRPr="001534B9" w:rsidRDefault="00DF67E8" w:rsidP="001534B9">
            <w:pPr>
              <w:rPr>
                <w:b/>
                <w:smallCaps/>
                <w:lang w:val="en-CA"/>
              </w:rPr>
            </w:pPr>
            <w:r w:rsidRPr="006B210C">
              <w:rPr>
                <w:b/>
                <w:smallCaps/>
              </w:rPr>
              <w:t>Reasons for</w:t>
            </w:r>
            <w:r>
              <w:rPr>
                <w:b/>
                <w:smallCaps/>
              </w:rPr>
              <w:t xml:space="preserve"> Order:</w:t>
            </w:r>
            <w:bookmarkStart w:id="0" w:name="_GoBack"/>
            <w:bookmarkEnd w:id="0"/>
          </w:p>
          <w:p w:rsidR="00DF67E8" w:rsidRDefault="00DF67E8" w:rsidP="00DF67E8">
            <w:pPr>
              <w:ind w:left="-58"/>
            </w:pPr>
            <w:r>
              <w:t>(paras. 1 to 7)</w:t>
            </w:r>
          </w:p>
          <w:p w:rsidR="00DF67E8" w:rsidRPr="006B210C" w:rsidRDefault="00DF67E8" w:rsidP="00DF67E8">
            <w:pPr>
              <w:ind w:left="-58"/>
            </w:pPr>
          </w:p>
        </w:tc>
        <w:tc>
          <w:tcPr>
            <w:tcW w:w="5958" w:type="dxa"/>
          </w:tcPr>
          <w:p w:rsidR="00DF67E8" w:rsidRPr="006B210C" w:rsidRDefault="00DF67E8" w:rsidP="000C5592">
            <w:r>
              <w:t>Cromwell J.</w:t>
            </w:r>
          </w:p>
        </w:tc>
      </w:tr>
    </w:tbl>
    <w:p w:rsidR="00DF67E8" w:rsidRPr="006B210C" w:rsidRDefault="00DF67E8" w:rsidP="00DF67E8">
      <w:r>
        <w:rPr>
          <w:noProof/>
          <w:lang w:val="en-US" w:eastAsia="en-US"/>
        </w:rPr>
        <mc:AlternateContent>
          <mc:Choice Requires="wps">
            <w:drawing>
              <wp:anchor distT="0" distB="0" distL="114300" distR="114300" simplePos="0" relativeHeight="251659264" behindDoc="0" locked="0" layoutInCell="1" allowOverlap="1" wp14:anchorId="1F98BF59" wp14:editId="41F17BA5">
                <wp:simplePos x="0" y="0"/>
                <wp:positionH relativeFrom="column">
                  <wp:posOffset>1609725</wp:posOffset>
                </wp:positionH>
                <wp:positionV relativeFrom="paragraph">
                  <wp:posOffset>184150</wp:posOffset>
                </wp:positionV>
                <wp:extent cx="250507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72619"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DF67E8" w:rsidRDefault="00DF67E8" w:rsidP="00DF67E8"/>
    <w:p w:rsidR="00DF67E8" w:rsidRDefault="00DF67E8" w:rsidP="0035169A">
      <w:pPr>
        <w:spacing w:line="480" w:lineRule="auto"/>
        <w:jc w:val="both"/>
        <w:rPr>
          <w:rStyle w:val="SCCAppellantForRunningHeadChar"/>
          <w:smallCaps w:val="0"/>
          <w:lang w:val="fr-CA"/>
        </w:rPr>
      </w:pPr>
    </w:p>
    <w:p w:rsidR="008322BD" w:rsidRPr="00970E5F" w:rsidRDefault="00411159" w:rsidP="0035169A">
      <w:pPr>
        <w:spacing w:line="480" w:lineRule="auto"/>
        <w:jc w:val="both"/>
        <w:rPr>
          <w:lang w:val="fr-CA"/>
        </w:rPr>
      </w:pPr>
      <w:r>
        <w:rPr>
          <w:rStyle w:val="SCCAppellantForRunningHeadChar"/>
          <w:smallCaps w:val="0"/>
          <w:lang w:val="fr-CA"/>
        </w:rPr>
        <w:t>S.H</w:t>
      </w:r>
      <w:r w:rsidR="008C3C41" w:rsidRPr="00411159">
        <w:rPr>
          <w:rStyle w:val="SCCAppellantForRunningHeadChar"/>
          <w:smallCaps w:val="0"/>
          <w:lang w:val="fr-CA"/>
        </w:rPr>
        <w:t xml:space="preserve">. </w:t>
      </w:r>
      <w:r w:rsidR="008C3C41" w:rsidRPr="00411159">
        <w:rPr>
          <w:i/>
          <w:lang w:val="fr-CA"/>
        </w:rPr>
        <w:t>v.</w:t>
      </w:r>
      <w:r w:rsidR="008C3C41" w:rsidRPr="00411159">
        <w:rPr>
          <w:smallCaps/>
          <w:lang w:val="fr-CA"/>
        </w:rPr>
        <w:t xml:space="preserve"> </w:t>
      </w:r>
      <w:r>
        <w:rPr>
          <w:rStyle w:val="SCCAppellantForRunningHeadChar"/>
          <w:smallCaps w:val="0"/>
          <w:lang w:val="fr-CA"/>
        </w:rPr>
        <w:t>Quebec (Emploi et S</w:t>
      </w:r>
      <w:r w:rsidR="0054478A" w:rsidRPr="00411159">
        <w:rPr>
          <w:rStyle w:val="SCCAppellantForRunningHeadChar"/>
          <w:smallCaps w:val="0"/>
          <w:lang w:val="fr-CA"/>
        </w:rPr>
        <w:t>olidarité sociale)</w:t>
      </w:r>
      <w:r w:rsidR="00864239">
        <w:rPr>
          <w:rStyle w:val="SCCAppellantForRunningHeadChar"/>
          <w:smallCaps w:val="0"/>
          <w:lang w:val="fr-CA"/>
        </w:rPr>
        <w:t>, 2015 SCC 66, [2016] 1 S.C.R. 3</w:t>
      </w:r>
    </w:p>
    <w:p w:rsidR="00A149DF" w:rsidRPr="00970E5F" w:rsidRDefault="00A149DF" w:rsidP="00FC4EFB">
      <w:pPr>
        <w:jc w:val="both"/>
        <w:rPr>
          <w:lang w:val="fr-CA"/>
        </w:rPr>
      </w:pPr>
    </w:p>
    <w:p w:rsidR="000A4D1C" w:rsidRPr="00970E5F" w:rsidRDefault="0054478A">
      <w:pPr>
        <w:pStyle w:val="SCCLsocLastPartyInRole"/>
        <w:rPr>
          <w:lang w:val="fr-CA"/>
        </w:rPr>
      </w:pPr>
      <w:r w:rsidRPr="00970E5F">
        <w:rPr>
          <w:lang w:val="fr-CA"/>
        </w:rPr>
        <w:t>S.H.</w:t>
      </w:r>
      <w:r w:rsidR="00E63F81" w:rsidRPr="00970E5F">
        <w:rPr>
          <w:rStyle w:val="SCCLsocPartyRole"/>
          <w:lang w:val="fr-CA"/>
        </w:rPr>
        <w:tab/>
        <w:t>Ap</w:t>
      </w:r>
      <w:r w:rsidRPr="00970E5F">
        <w:rPr>
          <w:rStyle w:val="SCCLsocPartyRole"/>
          <w:lang w:val="fr-CA"/>
        </w:rPr>
        <w:t>plicant</w:t>
      </w:r>
    </w:p>
    <w:p w:rsidR="000A4D1C" w:rsidRPr="00970E5F" w:rsidRDefault="00E63F81">
      <w:pPr>
        <w:pStyle w:val="SCCLsocVersus"/>
        <w:rPr>
          <w:lang w:val="fr-CA"/>
        </w:rPr>
      </w:pPr>
      <w:r w:rsidRPr="00970E5F">
        <w:rPr>
          <w:lang w:val="fr-CA"/>
        </w:rPr>
        <w:t>v.</w:t>
      </w:r>
    </w:p>
    <w:p w:rsidR="00304022" w:rsidRPr="00970E5F" w:rsidRDefault="0054478A" w:rsidP="00304022">
      <w:pPr>
        <w:pStyle w:val="SCCLsocLastPartyInRole"/>
        <w:spacing w:after="0"/>
        <w:rPr>
          <w:lang w:val="fr-CA"/>
        </w:rPr>
      </w:pPr>
      <w:r w:rsidRPr="00970E5F">
        <w:rPr>
          <w:lang w:val="fr-CA"/>
        </w:rPr>
        <w:t xml:space="preserve">Ministère de l’Emploi et de la Solidarité sociale, </w:t>
      </w:r>
    </w:p>
    <w:p w:rsidR="00304022" w:rsidRPr="00970E5F" w:rsidRDefault="00125311" w:rsidP="00304022">
      <w:pPr>
        <w:pStyle w:val="SCCLsocLastPartyInRole"/>
        <w:spacing w:after="0"/>
        <w:rPr>
          <w:lang w:val="fr-CA"/>
        </w:rPr>
      </w:pPr>
      <w:r>
        <w:rPr>
          <w:lang w:val="fr-CA"/>
        </w:rPr>
        <w:t>C</w:t>
      </w:r>
      <w:r w:rsidR="0054478A" w:rsidRPr="00970E5F">
        <w:rPr>
          <w:lang w:val="fr-CA"/>
        </w:rPr>
        <w:t xml:space="preserve">entre local d’emploi de Sainte-Foy, Stéphanie Paquet, </w:t>
      </w:r>
    </w:p>
    <w:p w:rsidR="000A4D1C" w:rsidRPr="00970E5F" w:rsidRDefault="0054478A">
      <w:pPr>
        <w:pStyle w:val="SCCLsocLastPartyInRole"/>
        <w:rPr>
          <w:lang w:val="fr-CA"/>
        </w:rPr>
      </w:pPr>
      <w:r w:rsidRPr="00970E5F">
        <w:rPr>
          <w:lang w:val="fr-CA"/>
        </w:rPr>
        <w:t xml:space="preserve">Johanne Dufour </w:t>
      </w:r>
      <w:r w:rsidR="00FD67ED" w:rsidRPr="00970E5F">
        <w:rPr>
          <w:lang w:val="fr-CA"/>
        </w:rPr>
        <w:t>and</w:t>
      </w:r>
      <w:r w:rsidRPr="00970E5F">
        <w:rPr>
          <w:lang w:val="fr-CA"/>
        </w:rPr>
        <w:t xml:space="preserve"> Centre de formation de Québec inc.</w:t>
      </w:r>
      <w:r w:rsidR="00E63F81" w:rsidRPr="00970E5F">
        <w:rPr>
          <w:rStyle w:val="SCCLsocPartyRole"/>
          <w:lang w:val="fr-CA"/>
        </w:rPr>
        <w:tab/>
        <w:t>Respondent</w:t>
      </w:r>
      <w:r w:rsidRPr="00970E5F">
        <w:rPr>
          <w:rStyle w:val="SCCLsocPartyRole"/>
          <w:lang w:val="fr-CA"/>
        </w:rPr>
        <w:t>s</w:t>
      </w:r>
    </w:p>
    <w:p w:rsidR="00426659" w:rsidRPr="00970E5F" w:rsidRDefault="00426659" w:rsidP="00970E5F">
      <w:pPr>
        <w:pStyle w:val="SCCLsocLastPartyInRole"/>
        <w:rPr>
          <w:b w:val="0"/>
          <w:lang w:val="fr-CA"/>
        </w:rPr>
      </w:pPr>
      <w:r w:rsidRPr="00970E5F">
        <w:rPr>
          <w:lang w:val="fr-CA"/>
        </w:rPr>
        <w:lastRenderedPageBreak/>
        <w:t xml:space="preserve">Indexed as: </w:t>
      </w:r>
      <w:r w:rsidR="0054478A" w:rsidRPr="00970E5F">
        <w:rPr>
          <w:lang w:val="fr-CA"/>
        </w:rPr>
        <w:t xml:space="preserve">S.H. </w:t>
      </w:r>
      <w:r w:rsidR="0054478A" w:rsidRPr="00970E5F">
        <w:rPr>
          <w:i/>
          <w:lang w:val="fr-CA"/>
        </w:rPr>
        <w:t>v.</w:t>
      </w:r>
      <w:r w:rsidR="0054478A" w:rsidRPr="00970E5F">
        <w:rPr>
          <w:lang w:val="fr-CA"/>
        </w:rPr>
        <w:t xml:space="preserve"> Quebec (Emploi et Solidarité sociale)</w:t>
      </w:r>
    </w:p>
    <w:p w:rsidR="00426659" w:rsidRPr="00C02092" w:rsidRDefault="00ED5464" w:rsidP="00970E5F">
      <w:pPr>
        <w:pStyle w:val="SCCLsocLastPartyInRole"/>
      </w:pPr>
      <w:r w:rsidRPr="00F554DD">
        <w:t>201</w:t>
      </w:r>
      <w:r w:rsidR="00F554DD" w:rsidRPr="00F554DD">
        <w:t>5</w:t>
      </w:r>
      <w:r w:rsidR="003D0399" w:rsidRPr="00F554DD">
        <w:t xml:space="preserve"> </w:t>
      </w:r>
      <w:r w:rsidR="00426659" w:rsidRPr="00F554DD">
        <w:t>SCC </w:t>
      </w:r>
      <w:r w:rsidR="00F554DD" w:rsidRPr="00F554DD">
        <w:t>66</w:t>
      </w:r>
    </w:p>
    <w:p w:rsidR="008322BD" w:rsidRDefault="008C3C41" w:rsidP="00E34CC1">
      <w:pPr>
        <w:spacing w:after="720"/>
        <w:jc w:val="both"/>
      </w:pPr>
      <w:r>
        <w:t xml:space="preserve">File No.: </w:t>
      </w:r>
      <w:r w:rsidR="009B57B3">
        <w:t>36</w:t>
      </w:r>
      <w:r w:rsidR="0054478A">
        <w:t>674</w:t>
      </w:r>
      <w:r w:rsidR="009B57B3" w:rsidRPr="001426A9">
        <w:t>.</w:t>
      </w:r>
    </w:p>
    <w:p w:rsidR="008322BD" w:rsidRDefault="008C3C41" w:rsidP="00E34CC1">
      <w:pPr>
        <w:spacing w:after="720"/>
        <w:jc w:val="both"/>
      </w:pPr>
      <w:r>
        <w:t xml:space="preserve">2015: </w:t>
      </w:r>
      <w:r w:rsidR="0054478A">
        <w:t>October 13</w:t>
      </w:r>
      <w:r w:rsidR="009B57B3" w:rsidRPr="001426A9">
        <w:t>.</w:t>
      </w:r>
    </w:p>
    <w:p w:rsidR="008322BD" w:rsidRDefault="008C3C41" w:rsidP="00E34CC1">
      <w:pPr>
        <w:spacing w:after="720"/>
        <w:jc w:val="both"/>
      </w:pPr>
      <w:r w:rsidRPr="00581C42">
        <w:t xml:space="preserve">Present: </w:t>
      </w:r>
      <w:r w:rsidR="009B57B3" w:rsidRPr="00581C42">
        <w:t>Cromwell J.</w:t>
      </w:r>
    </w:p>
    <w:p w:rsidR="00A149DF" w:rsidRDefault="00FD1872" w:rsidP="00FD1872">
      <w:pPr>
        <w:pStyle w:val="SCCLowerCourtNameLowercase"/>
        <w:rPr>
          <w:lang w:val="en-US"/>
        </w:rPr>
      </w:pPr>
      <w:r w:rsidRPr="00125311">
        <w:t>reference of a matter to a judge</w:t>
      </w:r>
      <w:r w:rsidRPr="00FD1872">
        <w:rPr>
          <w:lang w:val="en-US"/>
        </w:rPr>
        <w:t xml:space="preserve"> </w:t>
      </w:r>
    </w:p>
    <w:p w:rsidR="00FD1872" w:rsidRDefault="00FD1872" w:rsidP="00FD1872">
      <w:pPr>
        <w:pStyle w:val="SCCNormalDoubleSpacing"/>
        <w:rPr>
          <w:lang w:val="en-US"/>
        </w:rPr>
      </w:pPr>
    </w:p>
    <w:p w:rsidR="00A46AB6" w:rsidRPr="00A5527D" w:rsidRDefault="00A46AB6" w:rsidP="00A46AB6">
      <w:pPr>
        <w:pStyle w:val="SCCNormalDoubleSpacing"/>
      </w:pPr>
      <w:r w:rsidRPr="00125311">
        <w:rPr>
          <w:rStyle w:val="QuoteChar"/>
          <w:color w:val="auto"/>
          <w:lang w:val="en-CA"/>
        </w:rPr>
        <w:tab/>
        <w:t>Civil procedure — Supreme Court of Canada — Filing of documents by applicant — Matter referred to judge by Registrar — Power of Registrar to refuse document that does not comply with Rules of Court — Documents do not comply with Rules and must be returned by Registrar — Rules of the Supreme Court of Canada, SOR/2002-156, rr. 8(2), 19(2)(a).</w:t>
      </w:r>
    </w:p>
    <w:p w:rsidR="00A46AB6" w:rsidRPr="00A46AB6" w:rsidRDefault="00A46AB6" w:rsidP="00FD1872">
      <w:pPr>
        <w:pStyle w:val="SCCNormalDoubleSpacing"/>
      </w:pPr>
    </w:p>
    <w:p w:rsidR="003B215F" w:rsidRDefault="002E6705" w:rsidP="002C413D">
      <w:pPr>
        <w:pStyle w:val="SCCNormalDoubleSpacing"/>
        <w:spacing w:after="240" w:line="240" w:lineRule="auto"/>
      </w:pPr>
      <w:r w:rsidRPr="00314E01">
        <w:rPr>
          <w:b/>
        </w:rPr>
        <w:t>Statutes and Regulations Cite</w:t>
      </w:r>
      <w:r w:rsidR="00A41805">
        <w:rPr>
          <w:b/>
        </w:rPr>
        <w:t>d</w:t>
      </w:r>
    </w:p>
    <w:p w:rsidR="00A41805" w:rsidRDefault="00A41805" w:rsidP="00FC4EFB">
      <w:pPr>
        <w:pStyle w:val="SCCNormalDoubleSpacing"/>
        <w:spacing w:line="240" w:lineRule="auto"/>
        <w:ind w:left="540" w:hanging="540"/>
      </w:pPr>
    </w:p>
    <w:p w:rsidR="003752FC" w:rsidRDefault="003752FC" w:rsidP="00FC4EFB">
      <w:pPr>
        <w:pStyle w:val="SCCNormalDoubleSpacing"/>
        <w:spacing w:line="240" w:lineRule="auto"/>
        <w:ind w:left="540" w:hanging="540"/>
      </w:pPr>
      <w:r w:rsidRPr="00304022">
        <w:rPr>
          <w:i/>
        </w:rPr>
        <w:t>Canadian Charter of Rights and Freedoms</w:t>
      </w:r>
      <w:r>
        <w:t>.</w:t>
      </w:r>
    </w:p>
    <w:p w:rsidR="003752FC" w:rsidRDefault="003752FC" w:rsidP="00FC4EFB">
      <w:pPr>
        <w:pStyle w:val="SCCNormalDoubleSpacing"/>
        <w:spacing w:line="240" w:lineRule="auto"/>
        <w:ind w:left="540" w:hanging="540"/>
      </w:pPr>
    </w:p>
    <w:p w:rsidR="00A149DF" w:rsidRPr="003752FC" w:rsidRDefault="003752FC" w:rsidP="00FC4EFB">
      <w:pPr>
        <w:pStyle w:val="SCCNormalDoubleSpacing"/>
        <w:spacing w:line="240" w:lineRule="auto"/>
        <w:ind w:left="540" w:hanging="540"/>
      </w:pPr>
      <w:r w:rsidRPr="00304022">
        <w:rPr>
          <w:i/>
        </w:rPr>
        <w:t>Charter of human rights and freedoms</w:t>
      </w:r>
      <w:r w:rsidR="00F1696A">
        <w:t>, CQLR, c. C</w:t>
      </w:r>
      <w:r w:rsidR="00F1696A">
        <w:noBreakHyphen/>
        <w:t>12.</w:t>
      </w:r>
    </w:p>
    <w:p w:rsidR="00935218" w:rsidRDefault="00935218" w:rsidP="00FC4EFB">
      <w:pPr>
        <w:pStyle w:val="SCCNormalDoubleSpacing"/>
        <w:spacing w:line="240" w:lineRule="auto"/>
        <w:ind w:left="540" w:hanging="540"/>
      </w:pPr>
    </w:p>
    <w:p w:rsidR="003752FC" w:rsidRDefault="003752FC" w:rsidP="003752FC">
      <w:pPr>
        <w:pStyle w:val="SCCNormalDoubleSpacing"/>
        <w:spacing w:line="240" w:lineRule="auto"/>
        <w:ind w:left="540" w:hanging="540"/>
      </w:pPr>
      <w:r w:rsidRPr="00304022">
        <w:rPr>
          <w:i/>
        </w:rPr>
        <w:t>Code of Civil Procedure</w:t>
      </w:r>
      <w:r>
        <w:t xml:space="preserve">, </w:t>
      </w:r>
      <w:r w:rsidR="00F1696A">
        <w:t>CQLR, c. C</w:t>
      </w:r>
      <w:r w:rsidR="00F1696A">
        <w:noBreakHyphen/>
        <w:t xml:space="preserve">25, </w:t>
      </w:r>
      <w:r>
        <w:t>arts. 5, 26, 54.1.</w:t>
      </w:r>
    </w:p>
    <w:p w:rsidR="00F1696A" w:rsidRDefault="00F1696A" w:rsidP="003752FC">
      <w:pPr>
        <w:pStyle w:val="SCCNormalDoubleSpacing"/>
        <w:spacing w:line="240" w:lineRule="auto"/>
        <w:ind w:left="540" w:hanging="540"/>
      </w:pPr>
    </w:p>
    <w:p w:rsidR="00F1696A" w:rsidRPr="00F1696A" w:rsidRDefault="00F1696A" w:rsidP="003752FC">
      <w:pPr>
        <w:pStyle w:val="SCCNormalDoubleSpacing"/>
        <w:spacing w:line="240" w:lineRule="auto"/>
        <w:ind w:left="540" w:hanging="540"/>
      </w:pPr>
      <w:r w:rsidRPr="00304022">
        <w:rPr>
          <w:i/>
        </w:rPr>
        <w:t>Rules of the Supreme Court of Canada</w:t>
      </w:r>
      <w:r>
        <w:t>, SOR/2002</w:t>
      </w:r>
      <w:r>
        <w:noBreakHyphen/>
        <w:t>156, rr. 8(2), 13, 19(2)(</w:t>
      </w:r>
      <w:r w:rsidRPr="00F1696A">
        <w:rPr>
          <w:i/>
        </w:rPr>
        <w:t>a</w:t>
      </w:r>
      <w:r>
        <w:t>), 33(</w:t>
      </w:r>
      <w:r w:rsidRPr="00F1696A">
        <w:rPr>
          <w:i/>
        </w:rPr>
        <w:t>b</w:t>
      </w:r>
      <w:r>
        <w:t>).</w:t>
      </w:r>
    </w:p>
    <w:p w:rsidR="003752FC" w:rsidRDefault="003752FC" w:rsidP="003752FC">
      <w:pPr>
        <w:pStyle w:val="SCCNormalDoubleSpacing"/>
        <w:spacing w:line="240" w:lineRule="auto"/>
        <w:ind w:left="540" w:hanging="540"/>
      </w:pPr>
    </w:p>
    <w:p w:rsidR="003752FC" w:rsidRDefault="003752FC" w:rsidP="002C413D">
      <w:pPr>
        <w:pStyle w:val="SCCNormalDoubleSpacing"/>
        <w:spacing w:after="240" w:line="240" w:lineRule="auto"/>
        <w:ind w:left="547" w:hanging="547"/>
      </w:pPr>
      <w:r w:rsidRPr="00304022">
        <w:rPr>
          <w:i/>
        </w:rPr>
        <w:t>Supreme Court Act</w:t>
      </w:r>
      <w:r>
        <w:t xml:space="preserve">, </w:t>
      </w:r>
      <w:r w:rsidR="00F1696A">
        <w:t>R.S.C. 1985, c. S</w:t>
      </w:r>
      <w:r w:rsidR="00F1696A">
        <w:noBreakHyphen/>
        <w:t xml:space="preserve">26, </w:t>
      </w:r>
      <w:r>
        <w:t xml:space="preserve">ss. 28, </w:t>
      </w:r>
      <w:r w:rsidR="00F1696A">
        <w:t xml:space="preserve">43(1.2), </w:t>
      </w:r>
      <w:r>
        <w:t>61.</w:t>
      </w:r>
    </w:p>
    <w:p w:rsidR="003752FC" w:rsidRDefault="003752FC" w:rsidP="003752FC">
      <w:pPr>
        <w:pStyle w:val="SCCNormalDoubleSpacing"/>
        <w:spacing w:line="240" w:lineRule="auto"/>
        <w:ind w:left="540" w:hanging="540"/>
      </w:pPr>
    </w:p>
    <w:p w:rsidR="00A149DF" w:rsidRDefault="00A149DF" w:rsidP="00FC4EFB">
      <w:pPr>
        <w:pStyle w:val="SCCNormalDoubleSpacing"/>
        <w:spacing w:line="240" w:lineRule="auto"/>
        <w:ind w:left="540" w:hanging="540"/>
      </w:pPr>
    </w:p>
    <w:p w:rsidR="00656313" w:rsidRDefault="009B57B3" w:rsidP="00FC4EFB">
      <w:pPr>
        <w:pStyle w:val="SCCNormalDoubleSpacing"/>
      </w:pPr>
      <w:r w:rsidRPr="001426A9">
        <w:tab/>
      </w:r>
      <w:r w:rsidR="00332E06" w:rsidRPr="00125311">
        <w:t>REFERENCE of a matter to a judge by the Registrar. Order directing the Registrar to return the documents filed by the applicant.</w:t>
      </w:r>
    </w:p>
    <w:p w:rsidR="00332E06" w:rsidRDefault="00332E06">
      <w:pPr>
        <w:pStyle w:val="SCCNormalDoubleSpacing"/>
        <w:rPr>
          <w:rStyle w:val="SCCCounselNameChar"/>
          <w:i w:val="0"/>
        </w:rPr>
      </w:pPr>
    </w:p>
    <w:p w:rsidR="000A4D1C" w:rsidRDefault="00277068">
      <w:pPr>
        <w:pStyle w:val="SCCNormalDoubleSpacing"/>
      </w:pPr>
      <w:r>
        <w:rPr>
          <w:rStyle w:val="SCCCounselNameChar"/>
          <w:i w:val="0"/>
        </w:rPr>
        <w:tab/>
      </w:r>
      <w:r w:rsidR="00A31BB9" w:rsidRPr="00455907">
        <w:rPr>
          <w:rStyle w:val="SCCCounselNameChar"/>
        </w:rPr>
        <w:t>S.H.</w:t>
      </w:r>
      <w:r w:rsidR="00A31BB9" w:rsidRPr="00455907">
        <w:rPr>
          <w:rStyle w:val="SCCCounselNameChar"/>
          <w:i w:val="0"/>
        </w:rPr>
        <w:t>, on his own behalf</w:t>
      </w:r>
      <w:r w:rsidR="00E63F81" w:rsidRPr="00455907">
        <w:rPr>
          <w:rStyle w:val="SCCCounselPartyRoleChar"/>
        </w:rPr>
        <w:t>.</w:t>
      </w:r>
    </w:p>
    <w:p w:rsidR="00332E06" w:rsidRDefault="00332E06" w:rsidP="00FD67ED">
      <w:pPr>
        <w:pStyle w:val="SCCNormalDoubleSpacing"/>
        <w:rPr>
          <w:rStyle w:val="SCCCounselNameChar"/>
          <w:i w:val="0"/>
        </w:rPr>
      </w:pPr>
    </w:p>
    <w:p w:rsidR="000A4D1C" w:rsidRPr="00970E5F" w:rsidRDefault="00277068" w:rsidP="00FD67ED">
      <w:pPr>
        <w:pStyle w:val="SCCNormalDoubleSpacing"/>
        <w:rPr>
          <w:lang w:val="fr-CA"/>
        </w:rPr>
      </w:pPr>
      <w:r>
        <w:rPr>
          <w:rStyle w:val="SCCCounselNameChar"/>
          <w:i w:val="0"/>
        </w:rPr>
        <w:tab/>
      </w:r>
      <w:r w:rsidRPr="00970E5F">
        <w:rPr>
          <w:rStyle w:val="SCCCounselNameChar"/>
          <w:lang w:val="fr-CA"/>
        </w:rPr>
        <w:t>J</w:t>
      </w:r>
      <w:r w:rsidR="00FD67ED" w:rsidRPr="00970E5F">
        <w:rPr>
          <w:rStyle w:val="SCCCounselNameChar"/>
          <w:lang w:val="fr-CA"/>
        </w:rPr>
        <w:t>ennifer Tremblay</w:t>
      </w:r>
      <w:r w:rsidR="00E63F81" w:rsidRPr="00970E5F">
        <w:rPr>
          <w:rStyle w:val="SCCCounselPartyRoleChar"/>
          <w:lang w:val="fr-CA"/>
        </w:rPr>
        <w:t>, for the respondent</w:t>
      </w:r>
      <w:r w:rsidR="00FD67ED" w:rsidRPr="00970E5F">
        <w:rPr>
          <w:rStyle w:val="SCCCounselPartyRoleChar"/>
          <w:lang w:val="fr-CA"/>
        </w:rPr>
        <w:t xml:space="preserve">s </w:t>
      </w:r>
      <w:r w:rsidR="00125311">
        <w:rPr>
          <w:rStyle w:val="SCCCounselPartyRoleChar"/>
          <w:lang w:val="fr-CA"/>
        </w:rPr>
        <w:t>m</w:t>
      </w:r>
      <w:r w:rsidR="00FD67ED" w:rsidRPr="00970E5F">
        <w:rPr>
          <w:rStyle w:val="SCCCounselPartyRoleChar"/>
          <w:lang w:val="fr-CA"/>
        </w:rPr>
        <w:t xml:space="preserve">inistère de l’Emploi et de la Solidarité sociale, </w:t>
      </w:r>
      <w:r w:rsidR="00125311">
        <w:rPr>
          <w:rStyle w:val="SCCCounselPartyRoleChar"/>
          <w:lang w:val="fr-CA"/>
        </w:rPr>
        <w:t>C</w:t>
      </w:r>
      <w:r w:rsidR="00FD67ED" w:rsidRPr="00970E5F">
        <w:rPr>
          <w:rStyle w:val="SCCCounselPartyRoleChar"/>
          <w:lang w:val="fr-CA"/>
        </w:rPr>
        <w:t>entre local d’emploi de Sainte-Foy, Stéphanie Paquet and Johanne Dufour</w:t>
      </w:r>
      <w:r w:rsidR="00E63F81" w:rsidRPr="00970E5F">
        <w:rPr>
          <w:rStyle w:val="SCCCounselPartyRoleChar"/>
          <w:lang w:val="fr-CA"/>
        </w:rPr>
        <w:t>.</w:t>
      </w:r>
    </w:p>
    <w:p w:rsidR="000A4D1C" w:rsidRPr="00970E5F" w:rsidRDefault="000A4D1C">
      <w:pPr>
        <w:pStyle w:val="SCCNormalDoubleSpacing"/>
        <w:rPr>
          <w:lang w:val="fr-CA"/>
        </w:rPr>
      </w:pPr>
    </w:p>
    <w:p w:rsidR="008C3C41" w:rsidRPr="00970E5F" w:rsidRDefault="00277068" w:rsidP="008C3C41">
      <w:pPr>
        <w:pStyle w:val="SCCNormalDoubleSpacing"/>
        <w:rPr>
          <w:lang w:val="fr-CA"/>
        </w:rPr>
      </w:pPr>
      <w:r w:rsidRPr="00970E5F">
        <w:rPr>
          <w:rStyle w:val="SCCCounselNameChar"/>
          <w:i w:val="0"/>
          <w:lang w:val="fr-CA"/>
        </w:rPr>
        <w:tab/>
      </w:r>
      <w:r w:rsidR="008C3C41" w:rsidRPr="00970E5F">
        <w:rPr>
          <w:rStyle w:val="SCCCounselNameChar"/>
          <w:lang w:val="fr-CA"/>
        </w:rPr>
        <w:t>M</w:t>
      </w:r>
      <w:r w:rsidR="00FD67ED" w:rsidRPr="00970E5F">
        <w:rPr>
          <w:rStyle w:val="SCCCounselNameChar"/>
          <w:lang w:val="fr-CA"/>
        </w:rPr>
        <w:t>ihnea</w:t>
      </w:r>
      <w:r w:rsidR="00FD67ED" w:rsidRPr="00970E5F">
        <w:rPr>
          <w:i/>
          <w:lang w:val="fr-CA"/>
        </w:rPr>
        <w:t xml:space="preserve"> </w:t>
      </w:r>
      <w:r w:rsidR="00FD67ED" w:rsidRPr="00970E5F">
        <w:rPr>
          <w:rStyle w:val="SCCCounselNameChar"/>
          <w:lang w:val="fr-CA"/>
        </w:rPr>
        <w:t>Bantoiu</w:t>
      </w:r>
      <w:r w:rsidR="008C3C41" w:rsidRPr="00970E5F">
        <w:rPr>
          <w:rStyle w:val="SCCCounselPartyRoleChar"/>
          <w:lang w:val="fr-CA"/>
        </w:rPr>
        <w:t xml:space="preserve">, for the </w:t>
      </w:r>
      <w:r w:rsidR="00FD67ED" w:rsidRPr="00970E5F">
        <w:rPr>
          <w:rStyle w:val="SCCCounselPartyRoleChar"/>
          <w:lang w:val="fr-CA"/>
        </w:rPr>
        <w:t>respondent Centre de formation de Québec inc</w:t>
      </w:r>
      <w:r w:rsidR="008C3C41" w:rsidRPr="00970E5F">
        <w:rPr>
          <w:rStyle w:val="SCCCounselPartyRoleChar"/>
          <w:lang w:val="fr-CA"/>
        </w:rPr>
        <w:t>.</w:t>
      </w:r>
    </w:p>
    <w:p w:rsidR="008C3C41" w:rsidRPr="00970E5F" w:rsidRDefault="008C3C41" w:rsidP="008C3C41">
      <w:pPr>
        <w:pStyle w:val="SCCNormalDoubleSpacing"/>
        <w:rPr>
          <w:lang w:val="fr-CA"/>
        </w:rPr>
      </w:pPr>
    </w:p>
    <w:p w:rsidR="00581C42" w:rsidRDefault="00581C42" w:rsidP="008C3C41">
      <w:pPr>
        <w:pStyle w:val="SCCNormalDoubleSpacing"/>
      </w:pPr>
      <w:r w:rsidRPr="00970E5F">
        <w:rPr>
          <w:lang w:val="fr-CA"/>
        </w:rPr>
        <w:tab/>
      </w:r>
      <w:r w:rsidRPr="00455907">
        <w:t xml:space="preserve">The following </w:t>
      </w:r>
      <w:r w:rsidR="00455907" w:rsidRPr="00455907">
        <w:t xml:space="preserve">is the </w:t>
      </w:r>
      <w:r w:rsidR="0014723D" w:rsidRPr="00455907">
        <w:t>o</w:t>
      </w:r>
      <w:r w:rsidRPr="00455907">
        <w:t>rder</w:t>
      </w:r>
      <w:r w:rsidR="0014723D" w:rsidRPr="00455907">
        <w:t xml:space="preserve"> </w:t>
      </w:r>
      <w:r w:rsidRPr="00455907">
        <w:t>delivered by</w:t>
      </w:r>
    </w:p>
    <w:p w:rsidR="00581C42" w:rsidRDefault="00581C42" w:rsidP="008C3C41">
      <w:pPr>
        <w:pStyle w:val="SCCNormalDoubleSpacing"/>
      </w:pPr>
    </w:p>
    <w:p w:rsidR="00304022" w:rsidRDefault="00304022" w:rsidP="00304022">
      <w:pPr>
        <w:pStyle w:val="SCCNormalDoubleSpacing"/>
      </w:pPr>
      <w:r>
        <w:t>[1]</w:t>
      </w:r>
      <w:r>
        <w:tab/>
      </w:r>
      <w:r w:rsidR="00FD67ED" w:rsidRPr="00FD67ED">
        <w:rPr>
          <w:smallCaps/>
        </w:rPr>
        <w:t>Cromwell J.</w:t>
      </w:r>
      <w:r w:rsidR="00FD67ED">
        <w:t xml:space="preserve"> — </w:t>
      </w:r>
      <w:r>
        <w:t>On February 12, 2015, the Registry received from S.H. a document titled [</w:t>
      </w:r>
      <w:r>
        <w:rPr>
          <w:smallCaps/>
        </w:rPr>
        <w:t>translation</w:t>
      </w:r>
      <w:r>
        <w:t xml:space="preserve">] “Notice of Appeal as of Right” concerning four judgments in civil matters. In that document, S.H. referred to a number of statutory provisions that, according to him, authorized an appeal to the Court. He invoked, for example, ss. 28 and 61 of the </w:t>
      </w:r>
      <w:r w:rsidRPr="00304022">
        <w:rPr>
          <w:i/>
        </w:rPr>
        <w:t>Supreme Court Act</w:t>
      </w:r>
      <w:r>
        <w:t xml:space="preserve">, </w:t>
      </w:r>
      <w:r w:rsidR="00455907">
        <w:t>R.S.C. 1985, c. S</w:t>
      </w:r>
      <w:r w:rsidR="00455907">
        <w:noBreakHyphen/>
        <w:t xml:space="preserve">26, </w:t>
      </w:r>
      <w:r w:rsidR="00125311">
        <w:t>art</w:t>
      </w:r>
      <w:r>
        <w:t xml:space="preserve">s. 5, 26 and 54.1 of the Quebec </w:t>
      </w:r>
      <w:r w:rsidRPr="00304022">
        <w:rPr>
          <w:i/>
        </w:rPr>
        <w:t>Code of Civil Procedure</w:t>
      </w:r>
      <w:r>
        <w:t xml:space="preserve">, </w:t>
      </w:r>
      <w:r w:rsidR="00455907">
        <w:t>CQLR, c. C</w:t>
      </w:r>
      <w:r w:rsidR="00455907">
        <w:noBreakHyphen/>
        <w:t xml:space="preserve">25, </w:t>
      </w:r>
      <w:r>
        <w:t xml:space="preserve">the </w:t>
      </w:r>
      <w:r w:rsidRPr="00304022">
        <w:rPr>
          <w:i/>
        </w:rPr>
        <w:t>Canadian Charter of Rights and Freedoms</w:t>
      </w:r>
      <w:r>
        <w:t xml:space="preserve"> and the Quebec </w:t>
      </w:r>
      <w:r w:rsidRPr="00304022">
        <w:rPr>
          <w:i/>
        </w:rPr>
        <w:t>Charter of human rights and freedoms</w:t>
      </w:r>
      <w:r w:rsidR="002C6DC2">
        <w:t>, CQLR, c. C</w:t>
      </w:r>
      <w:r w:rsidR="002C6DC2">
        <w:noBreakHyphen/>
        <w:t>12</w:t>
      </w:r>
      <w:r>
        <w:t>.</w:t>
      </w:r>
    </w:p>
    <w:p w:rsidR="00304022" w:rsidRDefault="00304022" w:rsidP="00304022">
      <w:pPr>
        <w:pStyle w:val="SCCNormalDoubleSpacing"/>
      </w:pPr>
    </w:p>
    <w:p w:rsidR="00304022" w:rsidRDefault="00304022" w:rsidP="00304022">
      <w:pPr>
        <w:pStyle w:val="SCCNormalDoubleSpacing"/>
      </w:pPr>
      <w:r>
        <w:t>[2]</w:t>
      </w:r>
      <w:r>
        <w:tab/>
        <w:t xml:space="preserve">The Registry wrote to S.H., informing him that no appeal lay to this Court from the decisions in question unless the Court were to grant him leave to appeal. It requested that he file a notice of application for leave to appeal, four copies of his documents, which were to be treated as an application for leave to appeal in the circumstances, and a copy of Form 23A. S.H. instead submitted a request for an oral hearing pursuant to s. 43(1.2) of the </w:t>
      </w:r>
      <w:r w:rsidRPr="00304022">
        <w:rPr>
          <w:i/>
        </w:rPr>
        <w:t>Supreme Court Act</w:t>
      </w:r>
      <w:r>
        <w:t>. Appended to it was a document that was purportedly a notice of application for leave to appeal.</w:t>
      </w:r>
    </w:p>
    <w:p w:rsidR="00304022" w:rsidRDefault="00304022" w:rsidP="00304022">
      <w:pPr>
        <w:pStyle w:val="SCCNormalDoubleSpacing"/>
      </w:pPr>
    </w:p>
    <w:p w:rsidR="00304022" w:rsidRDefault="00304022" w:rsidP="00304022">
      <w:pPr>
        <w:pStyle w:val="SCCNormalDoubleSpacing"/>
      </w:pPr>
      <w:r>
        <w:t>[3]</w:t>
      </w:r>
      <w:r>
        <w:tab/>
        <w:t xml:space="preserve">S.H.’s two documents have yet to be accepted for filing, and the matter has been referred to me by the Registrar pursuant to Rule 13 of the </w:t>
      </w:r>
      <w:r w:rsidRPr="00304022">
        <w:rPr>
          <w:i/>
        </w:rPr>
        <w:t>Rules of the Supreme Court of Canada</w:t>
      </w:r>
      <w:r w:rsidR="00455907">
        <w:t>, SOR/2002</w:t>
      </w:r>
      <w:r w:rsidR="00455907">
        <w:noBreakHyphen/>
        <w:t>156</w:t>
      </w:r>
      <w:r>
        <w:t>.</w:t>
      </w:r>
    </w:p>
    <w:p w:rsidR="00304022" w:rsidRDefault="00304022" w:rsidP="00304022">
      <w:pPr>
        <w:pStyle w:val="SCCNormalDoubleSpacing"/>
      </w:pPr>
    </w:p>
    <w:p w:rsidR="00304022" w:rsidRDefault="00304022" w:rsidP="00304022">
      <w:pPr>
        <w:pStyle w:val="SCCNormalDoubleSpacing"/>
      </w:pPr>
      <w:r>
        <w:t>[4]</w:t>
      </w:r>
      <w:r>
        <w:tab/>
        <w:t>The documents must be refused for filing pursuant to Rules 8(2) and 19(2)(</w:t>
      </w:r>
      <w:r w:rsidRPr="00304022">
        <w:rPr>
          <w:i/>
        </w:rPr>
        <w:t>a</w:t>
      </w:r>
      <w:r>
        <w:t xml:space="preserve">). </w:t>
      </w:r>
    </w:p>
    <w:p w:rsidR="00304022" w:rsidRDefault="00304022" w:rsidP="00304022">
      <w:pPr>
        <w:pStyle w:val="SCCNormalDoubleSpacing"/>
      </w:pPr>
    </w:p>
    <w:p w:rsidR="00304022" w:rsidRDefault="00304022" w:rsidP="00304022">
      <w:pPr>
        <w:pStyle w:val="SCCNormalDoubleSpacing"/>
      </w:pPr>
      <w:r>
        <w:t>[5]</w:t>
      </w:r>
      <w:r>
        <w:tab/>
        <w:t>The document titled “Notice of Appeal as of Right” does not comply with Rule 33(</w:t>
      </w:r>
      <w:r w:rsidRPr="00304022">
        <w:rPr>
          <w:i/>
        </w:rPr>
        <w:t>b</w:t>
      </w:r>
      <w:r>
        <w:t>), which is intended to ensure that minimum standards are met so that the Registrar may properly assist the Court in managing its docket. To accept a notice of appeal for filing under Rule 19(2)(</w:t>
      </w:r>
      <w:r w:rsidRPr="00304022">
        <w:rPr>
          <w:i/>
        </w:rPr>
        <w:t>a</w:t>
      </w:r>
      <w:r>
        <w:t>), the Registrar must be satisfied that, at the very least, the provision or provisions mentioned in the document provide for an appeal to the Supreme Court of Canada. If they do not, the Registrar is entitled to refuse the document for filing pursuant to Rules 8(2) and 19(2)(</w:t>
      </w:r>
      <w:r w:rsidRPr="00304022">
        <w:rPr>
          <w:i/>
        </w:rPr>
        <w:t>a</w:t>
      </w:r>
      <w:r>
        <w:t xml:space="preserve">) on the basis that it does not comply with the </w:t>
      </w:r>
      <w:r w:rsidRPr="00304022">
        <w:rPr>
          <w:i/>
        </w:rPr>
        <w:t>Rules</w:t>
      </w:r>
      <w:r>
        <w:t>.</w:t>
      </w:r>
    </w:p>
    <w:p w:rsidR="00304022" w:rsidRDefault="00304022" w:rsidP="00304022">
      <w:pPr>
        <w:pStyle w:val="SCCNormalDoubleSpacing"/>
      </w:pPr>
    </w:p>
    <w:p w:rsidR="00304022" w:rsidRDefault="00304022" w:rsidP="00304022">
      <w:pPr>
        <w:pStyle w:val="SCCNormalDoubleSpacing"/>
      </w:pPr>
      <w:r>
        <w:t>[6]</w:t>
      </w:r>
      <w:r>
        <w:tab/>
        <w:t>As for the document titled [</w:t>
      </w:r>
      <w:r>
        <w:rPr>
          <w:smallCaps/>
        </w:rPr>
        <w:t>translation</w:t>
      </w:r>
      <w:r>
        <w:t>] “Request for an Oral Hearing”</w:t>
      </w:r>
      <w:r w:rsidR="00B439E4">
        <w:t>,</w:t>
      </w:r>
      <w:r>
        <w:t xml:space="preserve"> given that such a request can only be made in the context of an application for leave to appeal to the Court, it too must be refused for filing. Although it includes, as Annex H, a purported notice of application for leave to appeal, the notice of application for leave to appeal does not comply with the </w:t>
      </w:r>
      <w:r w:rsidRPr="00304022">
        <w:rPr>
          <w:i/>
        </w:rPr>
        <w:t>Rules</w:t>
      </w:r>
      <w:r>
        <w:t xml:space="preserve">’ requirements for applications for leave to appeal. A notice of application for leave to appeal must set out the section of the Act under which the application for leave is made; it must set out grounds for leave to appeal and it must identify the judgment from which the applicant is seeking to appeal. The notice at Annex H does not contain this required information.  </w:t>
      </w:r>
    </w:p>
    <w:p w:rsidR="00304022" w:rsidRDefault="00304022" w:rsidP="00304022">
      <w:pPr>
        <w:pStyle w:val="SCCNormalDoubleSpacing"/>
      </w:pPr>
    </w:p>
    <w:p w:rsidR="00304022" w:rsidRDefault="00304022" w:rsidP="00304022">
      <w:pPr>
        <w:pStyle w:val="SCCNormalDoubleSpacing"/>
      </w:pPr>
      <w:r>
        <w:t>[7]</w:t>
      </w:r>
      <w:r>
        <w:tab/>
        <w:t>The Registrar shall return the materials to S.H.</w:t>
      </w:r>
    </w:p>
    <w:p w:rsidR="000A4D1C" w:rsidRDefault="000A4D1C">
      <w:pPr>
        <w:pStyle w:val="SCCNormalDoubleSpacing"/>
      </w:pPr>
    </w:p>
    <w:p w:rsidR="009B57B3" w:rsidRPr="00455907" w:rsidRDefault="008C3C41" w:rsidP="00FC4EFB">
      <w:pPr>
        <w:pStyle w:val="SCCNormalDoubleSpacing"/>
      </w:pPr>
      <w:r>
        <w:tab/>
      </w:r>
      <w:r w:rsidR="00455907" w:rsidRPr="00455907">
        <w:rPr>
          <w:i/>
        </w:rPr>
        <w:t>Order</w:t>
      </w:r>
      <w:r w:rsidR="00304022" w:rsidRPr="00455907">
        <w:rPr>
          <w:i/>
        </w:rPr>
        <w:t xml:space="preserve"> accordingly</w:t>
      </w:r>
      <w:r w:rsidRPr="00455907">
        <w:rPr>
          <w:i/>
        </w:rPr>
        <w:t>.</w:t>
      </w:r>
    </w:p>
    <w:p w:rsidR="00A149DF" w:rsidRPr="00455907" w:rsidRDefault="00A149DF" w:rsidP="00FC4EFB">
      <w:pPr>
        <w:pStyle w:val="SCCNormalDoubleSpacing"/>
      </w:pPr>
    </w:p>
    <w:p w:rsidR="00455907" w:rsidRPr="00455907" w:rsidRDefault="00455907" w:rsidP="00455907">
      <w:pPr>
        <w:pStyle w:val="SCCNormalDoubleSpacing"/>
      </w:pPr>
      <w:r w:rsidRPr="00455907">
        <w:rPr>
          <w:rStyle w:val="SCCCounselNameChar"/>
        </w:rPr>
        <w:tab/>
        <w:t>S.H., on his own behalf</w:t>
      </w:r>
      <w:r w:rsidRPr="00455907">
        <w:rPr>
          <w:rStyle w:val="SCCCounselPartyRoleChar"/>
        </w:rPr>
        <w:t>.</w:t>
      </w:r>
    </w:p>
    <w:p w:rsidR="00455907" w:rsidRDefault="00455907" w:rsidP="00455907">
      <w:pPr>
        <w:pStyle w:val="SCCNormalDoubleSpacing"/>
      </w:pPr>
    </w:p>
    <w:p w:rsidR="00143B6D" w:rsidRPr="00970E5F" w:rsidRDefault="00143B6D" w:rsidP="00143B6D">
      <w:pPr>
        <w:pStyle w:val="SCCLawFirm"/>
        <w:rPr>
          <w:lang w:val="fr-CA"/>
        </w:rPr>
      </w:pPr>
      <w:r>
        <w:tab/>
      </w:r>
      <w:r w:rsidRPr="00970E5F">
        <w:rPr>
          <w:lang w:val="fr-CA"/>
        </w:rPr>
        <w:t>Solicitor</w:t>
      </w:r>
      <w:r w:rsidR="007F71DC" w:rsidRPr="00970E5F">
        <w:rPr>
          <w:lang w:val="fr-CA"/>
        </w:rPr>
        <w:t>s</w:t>
      </w:r>
      <w:r w:rsidRPr="00970E5F">
        <w:rPr>
          <w:lang w:val="fr-CA"/>
        </w:rPr>
        <w:t xml:space="preserve"> for the respondent</w:t>
      </w:r>
      <w:r w:rsidR="007F71DC" w:rsidRPr="00970E5F">
        <w:rPr>
          <w:lang w:val="fr-CA"/>
        </w:rPr>
        <w:t>s</w:t>
      </w:r>
      <w:r w:rsidR="00125311">
        <w:rPr>
          <w:lang w:val="fr-CA"/>
        </w:rPr>
        <w:t xml:space="preserve"> m</w:t>
      </w:r>
      <w:r w:rsidR="007F71DC" w:rsidRPr="00970E5F">
        <w:rPr>
          <w:lang w:val="fr-CA"/>
        </w:rPr>
        <w:t xml:space="preserve">inistère de l’Emploi et de la Solidarité sociale, </w:t>
      </w:r>
      <w:r w:rsidR="00125311">
        <w:rPr>
          <w:lang w:val="fr-CA"/>
        </w:rPr>
        <w:t>C</w:t>
      </w:r>
      <w:r w:rsidR="007F71DC" w:rsidRPr="00970E5F">
        <w:rPr>
          <w:lang w:val="fr-CA"/>
        </w:rPr>
        <w:t>entre local d’emploi de Sainte-Foy, Stéphanie Paquet and Johanne Dufour</w:t>
      </w:r>
      <w:r w:rsidRPr="00970E5F">
        <w:rPr>
          <w:lang w:val="fr-CA"/>
        </w:rPr>
        <w:t xml:space="preserve">: </w:t>
      </w:r>
      <w:r w:rsidR="007F71DC" w:rsidRPr="00970E5F">
        <w:rPr>
          <w:lang w:val="fr-CA"/>
        </w:rPr>
        <w:t>Chamberland, Gagnon, Québec</w:t>
      </w:r>
      <w:r w:rsidRPr="00970E5F">
        <w:rPr>
          <w:lang w:val="fr-CA"/>
        </w:rPr>
        <w:t>.</w:t>
      </w:r>
    </w:p>
    <w:p w:rsidR="00143B6D" w:rsidRPr="00970E5F" w:rsidRDefault="00143B6D" w:rsidP="00143B6D">
      <w:pPr>
        <w:pStyle w:val="SCCLawFirm"/>
        <w:rPr>
          <w:lang w:val="fr-CA"/>
        </w:rPr>
      </w:pPr>
    </w:p>
    <w:p w:rsidR="00143B6D" w:rsidRPr="00970E5F" w:rsidRDefault="00143B6D" w:rsidP="00143B6D">
      <w:pPr>
        <w:pStyle w:val="SCCLawFirm"/>
        <w:rPr>
          <w:lang w:val="fr-CA"/>
        </w:rPr>
      </w:pPr>
      <w:r w:rsidRPr="00970E5F">
        <w:rPr>
          <w:lang w:val="fr-CA"/>
        </w:rPr>
        <w:tab/>
        <w:t>Solicitor</w:t>
      </w:r>
      <w:r w:rsidR="007F71DC" w:rsidRPr="00970E5F">
        <w:rPr>
          <w:lang w:val="fr-CA"/>
        </w:rPr>
        <w:t>s</w:t>
      </w:r>
      <w:r w:rsidRPr="00970E5F">
        <w:rPr>
          <w:lang w:val="fr-CA"/>
        </w:rPr>
        <w:t xml:space="preserve"> for the </w:t>
      </w:r>
      <w:r w:rsidR="007F71DC" w:rsidRPr="00970E5F">
        <w:rPr>
          <w:lang w:val="fr-CA"/>
        </w:rPr>
        <w:t>respondent Centre de formation de Québec inc.: Létourneau &amp; Gagné, Québec</w:t>
      </w:r>
      <w:r w:rsidRPr="00970E5F">
        <w:rPr>
          <w:lang w:val="fr-CA"/>
        </w:rPr>
        <w:t>.</w:t>
      </w:r>
    </w:p>
    <w:sectPr w:rsidR="00143B6D" w:rsidRPr="00970E5F" w:rsidSect="006B5701">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450352">
    <w:pPr>
      <w:pStyle w:val="Header"/>
      <w:jc w:val="center"/>
    </w:pPr>
    <w:r>
      <w:t>-</w:t>
    </w:r>
    <w:r w:rsidR="00A5521C">
      <w:t xml:space="preserve"> </w:t>
    </w:r>
    <w:sdt>
      <w:sdtPr>
        <w:id w:val="4489865"/>
        <w:docPartObj>
          <w:docPartGallery w:val="Page Numbers (Top of Page)"/>
          <w:docPartUnique/>
        </w:docPartObj>
      </w:sdtPr>
      <w:sdtEndPr/>
      <w:sdtContent>
        <w:r w:rsidR="00AE4535">
          <w:fldChar w:fldCharType="begin"/>
        </w:r>
        <w:r w:rsidR="00AE4535">
          <w:instrText xml:space="preserve"> PAGE   \* MERGEFORMAT </w:instrText>
        </w:r>
        <w:r w:rsidR="00AE4535">
          <w:fldChar w:fldCharType="separate"/>
        </w:r>
        <w:r w:rsidR="001534B9">
          <w:rPr>
            <w:noProof/>
          </w:rPr>
          <w:t>6</w:t>
        </w:r>
        <w:r w:rsidR="00AE4535">
          <w:rPr>
            <w:noProof/>
          </w:rPr>
          <w:fldChar w:fldCharType="end"/>
        </w:r>
        <w:r w:rsidR="00A5521C">
          <w:t xml:space="preserve"> </w:t>
        </w:r>
        <w:r>
          <w:t>-</w:t>
        </w:r>
      </w:sdtContent>
    </w:sdt>
  </w:p>
  <w:p w:rsidR="00684EEA" w:rsidRDefault="00684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A4D1C"/>
    <w:rsid w:val="000C59B8"/>
    <w:rsid w:val="000C6AF0"/>
    <w:rsid w:val="00104F33"/>
    <w:rsid w:val="00111DE2"/>
    <w:rsid w:val="00116B38"/>
    <w:rsid w:val="00125311"/>
    <w:rsid w:val="00127625"/>
    <w:rsid w:val="00135406"/>
    <w:rsid w:val="00135972"/>
    <w:rsid w:val="001426A9"/>
    <w:rsid w:val="00143B6D"/>
    <w:rsid w:val="0014723D"/>
    <w:rsid w:val="001534B9"/>
    <w:rsid w:val="00154D7C"/>
    <w:rsid w:val="001570B0"/>
    <w:rsid w:val="0015752C"/>
    <w:rsid w:val="00157737"/>
    <w:rsid w:val="00165277"/>
    <w:rsid w:val="00170592"/>
    <w:rsid w:val="00173D04"/>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551B8"/>
    <w:rsid w:val="00270D93"/>
    <w:rsid w:val="002745CC"/>
    <w:rsid w:val="00277068"/>
    <w:rsid w:val="002B7924"/>
    <w:rsid w:val="002C02A2"/>
    <w:rsid w:val="002C413D"/>
    <w:rsid w:val="002C6DC2"/>
    <w:rsid w:val="002D28C3"/>
    <w:rsid w:val="002D39A4"/>
    <w:rsid w:val="002E6705"/>
    <w:rsid w:val="00301D08"/>
    <w:rsid w:val="0030329A"/>
    <w:rsid w:val="00304022"/>
    <w:rsid w:val="0031086F"/>
    <w:rsid w:val="0031414C"/>
    <w:rsid w:val="00314E01"/>
    <w:rsid w:val="0032089D"/>
    <w:rsid w:val="003310DE"/>
    <w:rsid w:val="003323B0"/>
    <w:rsid w:val="00332E06"/>
    <w:rsid w:val="0035169A"/>
    <w:rsid w:val="0035259D"/>
    <w:rsid w:val="00364B18"/>
    <w:rsid w:val="003752FC"/>
    <w:rsid w:val="003A125D"/>
    <w:rsid w:val="003A4C70"/>
    <w:rsid w:val="003B215F"/>
    <w:rsid w:val="003C799C"/>
    <w:rsid w:val="003D0399"/>
    <w:rsid w:val="003E1C71"/>
    <w:rsid w:val="003F327B"/>
    <w:rsid w:val="00406166"/>
    <w:rsid w:val="0040704B"/>
    <w:rsid w:val="00410A55"/>
    <w:rsid w:val="00411159"/>
    <w:rsid w:val="00411300"/>
    <w:rsid w:val="00415417"/>
    <w:rsid w:val="00426659"/>
    <w:rsid w:val="00450352"/>
    <w:rsid w:val="00454BDB"/>
    <w:rsid w:val="00455907"/>
    <w:rsid w:val="00464800"/>
    <w:rsid w:val="00465132"/>
    <w:rsid w:val="00480C90"/>
    <w:rsid w:val="0048396F"/>
    <w:rsid w:val="00493C18"/>
    <w:rsid w:val="004A600C"/>
    <w:rsid w:val="004A6118"/>
    <w:rsid w:val="004C3EA4"/>
    <w:rsid w:val="004C478D"/>
    <w:rsid w:val="004E2C26"/>
    <w:rsid w:val="004F36FF"/>
    <w:rsid w:val="005125A8"/>
    <w:rsid w:val="00521AE8"/>
    <w:rsid w:val="00527180"/>
    <w:rsid w:val="0054201E"/>
    <w:rsid w:val="0054478A"/>
    <w:rsid w:val="00555291"/>
    <w:rsid w:val="00566AD1"/>
    <w:rsid w:val="00581C42"/>
    <w:rsid w:val="00583EDE"/>
    <w:rsid w:val="00584DEC"/>
    <w:rsid w:val="00590C1B"/>
    <w:rsid w:val="005A6079"/>
    <w:rsid w:val="005C403D"/>
    <w:rsid w:val="005D2220"/>
    <w:rsid w:val="005E4698"/>
    <w:rsid w:val="00610539"/>
    <w:rsid w:val="00613969"/>
    <w:rsid w:val="00625C35"/>
    <w:rsid w:val="00656313"/>
    <w:rsid w:val="006565F4"/>
    <w:rsid w:val="00684EEA"/>
    <w:rsid w:val="00687291"/>
    <w:rsid w:val="0069689B"/>
    <w:rsid w:val="006A1551"/>
    <w:rsid w:val="006B5701"/>
    <w:rsid w:val="006B5FF5"/>
    <w:rsid w:val="006D36B7"/>
    <w:rsid w:val="006F30AF"/>
    <w:rsid w:val="00701759"/>
    <w:rsid w:val="00705C15"/>
    <w:rsid w:val="0071600E"/>
    <w:rsid w:val="007208D1"/>
    <w:rsid w:val="00747288"/>
    <w:rsid w:val="00747DD3"/>
    <w:rsid w:val="007549C8"/>
    <w:rsid w:val="00754A0B"/>
    <w:rsid w:val="00766D14"/>
    <w:rsid w:val="00767A0F"/>
    <w:rsid w:val="00771B52"/>
    <w:rsid w:val="00796F2B"/>
    <w:rsid w:val="007A05F6"/>
    <w:rsid w:val="007B6F4A"/>
    <w:rsid w:val="007E1C47"/>
    <w:rsid w:val="007E337A"/>
    <w:rsid w:val="007E5C70"/>
    <w:rsid w:val="007F2FF5"/>
    <w:rsid w:val="007F3F08"/>
    <w:rsid w:val="007F71DC"/>
    <w:rsid w:val="00804CC6"/>
    <w:rsid w:val="00817190"/>
    <w:rsid w:val="00820EE5"/>
    <w:rsid w:val="008260E2"/>
    <w:rsid w:val="008322BD"/>
    <w:rsid w:val="00833E0A"/>
    <w:rsid w:val="00834F73"/>
    <w:rsid w:val="00864239"/>
    <w:rsid w:val="00864CF8"/>
    <w:rsid w:val="008666E8"/>
    <w:rsid w:val="00872819"/>
    <w:rsid w:val="00874914"/>
    <w:rsid w:val="00891422"/>
    <w:rsid w:val="00892E1A"/>
    <w:rsid w:val="008A3F29"/>
    <w:rsid w:val="008B660A"/>
    <w:rsid w:val="008C01DA"/>
    <w:rsid w:val="008C3C41"/>
    <w:rsid w:val="008F78E9"/>
    <w:rsid w:val="00911989"/>
    <w:rsid w:val="009179F9"/>
    <w:rsid w:val="00933E5E"/>
    <w:rsid w:val="00935218"/>
    <w:rsid w:val="009403F3"/>
    <w:rsid w:val="009555B7"/>
    <w:rsid w:val="009567AA"/>
    <w:rsid w:val="00967374"/>
    <w:rsid w:val="00970E5F"/>
    <w:rsid w:val="00973284"/>
    <w:rsid w:val="009A343A"/>
    <w:rsid w:val="009B2F23"/>
    <w:rsid w:val="009B57B3"/>
    <w:rsid w:val="009C5B92"/>
    <w:rsid w:val="009D2920"/>
    <w:rsid w:val="009D5AEB"/>
    <w:rsid w:val="009F0E33"/>
    <w:rsid w:val="00A030CE"/>
    <w:rsid w:val="00A149DF"/>
    <w:rsid w:val="00A1707A"/>
    <w:rsid w:val="00A1755C"/>
    <w:rsid w:val="00A21B90"/>
    <w:rsid w:val="00A31BB9"/>
    <w:rsid w:val="00A41805"/>
    <w:rsid w:val="00A42DCD"/>
    <w:rsid w:val="00A46AB6"/>
    <w:rsid w:val="00A52AFB"/>
    <w:rsid w:val="00A548CB"/>
    <w:rsid w:val="00A5521C"/>
    <w:rsid w:val="00A643E7"/>
    <w:rsid w:val="00A73C38"/>
    <w:rsid w:val="00AB670D"/>
    <w:rsid w:val="00AE4535"/>
    <w:rsid w:val="00AF03C5"/>
    <w:rsid w:val="00B000D8"/>
    <w:rsid w:val="00B00F75"/>
    <w:rsid w:val="00B145B6"/>
    <w:rsid w:val="00B279EB"/>
    <w:rsid w:val="00B439E4"/>
    <w:rsid w:val="00B50C81"/>
    <w:rsid w:val="00B557F8"/>
    <w:rsid w:val="00B632C8"/>
    <w:rsid w:val="00B815FC"/>
    <w:rsid w:val="00B93FBC"/>
    <w:rsid w:val="00BA7DA0"/>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23080"/>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DF67E8"/>
    <w:rsid w:val="00E07EE2"/>
    <w:rsid w:val="00E07FD1"/>
    <w:rsid w:val="00E176D8"/>
    <w:rsid w:val="00E24573"/>
    <w:rsid w:val="00E25E1E"/>
    <w:rsid w:val="00E27EE7"/>
    <w:rsid w:val="00E34CC1"/>
    <w:rsid w:val="00E35404"/>
    <w:rsid w:val="00E45109"/>
    <w:rsid w:val="00E47B7A"/>
    <w:rsid w:val="00E56A44"/>
    <w:rsid w:val="00E60269"/>
    <w:rsid w:val="00E63F81"/>
    <w:rsid w:val="00E77932"/>
    <w:rsid w:val="00E97830"/>
    <w:rsid w:val="00EB3D52"/>
    <w:rsid w:val="00ED5464"/>
    <w:rsid w:val="00EE643C"/>
    <w:rsid w:val="00EF0683"/>
    <w:rsid w:val="00EF69D2"/>
    <w:rsid w:val="00EF766E"/>
    <w:rsid w:val="00F0070C"/>
    <w:rsid w:val="00F00EB7"/>
    <w:rsid w:val="00F100E5"/>
    <w:rsid w:val="00F1696A"/>
    <w:rsid w:val="00F36AB6"/>
    <w:rsid w:val="00F37A09"/>
    <w:rsid w:val="00F409CE"/>
    <w:rsid w:val="00F4379D"/>
    <w:rsid w:val="00F50D2D"/>
    <w:rsid w:val="00F554DD"/>
    <w:rsid w:val="00F56C8B"/>
    <w:rsid w:val="00F66810"/>
    <w:rsid w:val="00F846D9"/>
    <w:rsid w:val="00F84DF4"/>
    <w:rsid w:val="00F85C97"/>
    <w:rsid w:val="00FB37D2"/>
    <w:rsid w:val="00FC4EFB"/>
    <w:rsid w:val="00FD068D"/>
    <w:rsid w:val="00FD1872"/>
    <w:rsid w:val="00FD4F28"/>
    <w:rsid w:val="00FD67ED"/>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DF67E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F67E8"/>
    <w:rPr>
      <w:rFonts w:ascii="Times New Roman" w:hAnsi="Times New Roman"/>
      <w:sz w:val="24"/>
      <w:szCs w:val="24"/>
      <w:lang w:val="en-CA"/>
    </w:rPr>
  </w:style>
  <w:style w:type="paragraph" w:customStyle="1" w:styleId="SCCLsocPrefix">
    <w:name w:val="SCC.Lsoc.Prefix"/>
    <w:basedOn w:val="Normal"/>
    <w:next w:val="Normal"/>
    <w:link w:val="SCCLsocPrefixChar"/>
    <w:rsid w:val="00DF67E8"/>
    <w:rPr>
      <w:rFonts w:eastAsiaTheme="minorHAnsi" w:cstheme="minorBidi"/>
      <w:b/>
      <w:smallCaps/>
      <w:szCs w:val="24"/>
      <w:lang w:eastAsia="en-US"/>
    </w:rPr>
  </w:style>
  <w:style w:type="character" w:customStyle="1" w:styleId="SCCLsocPrefixChar">
    <w:name w:val="SCC.Lsoc.Prefix Char"/>
    <w:basedOn w:val="DefaultParagraphFont"/>
    <w:link w:val="SCCLsocPrefix"/>
    <w:rsid w:val="00DF67E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70AC-4C25-4600-9769-64502A52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2016-03-02T22:57:00Z</dcterms:created>
  <dcterms:modified xsi:type="dcterms:W3CDTF">2016-11-04T14:41:00Z</dcterms:modified>
</cp:coreProperties>
</file>