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15DC6" w14:textId="77777777" w:rsidR="00C83469" w:rsidRDefault="00C83469" w:rsidP="00C83469">
      <w:pPr>
        <w:pStyle w:val="Header"/>
      </w:pPr>
      <w:r>
        <w:ptab w:relativeTo="margin" w:alignment="center" w:leader="none"/>
      </w:r>
      <w:r w:rsidRPr="00F72014">
        <w:t xml:space="preserve"> </w:t>
      </w:r>
      <w:r>
        <w:object w:dxaOrig="1365" w:dyaOrig="1440" w14:anchorId="5BF3E33C">
          <v:shape id="_x0000_i1033" type="#_x0000_t75" style="width:61.2pt;height:64.9pt" o:ole="">
            <v:imagedata r:id="rId8" o:title=""/>
          </v:shape>
          <o:OLEObject Type="Embed" ProgID="Presentations.Drawing.13" ShapeID="_x0000_i1033" DrawAspect="Content" ObjectID="_1581231844" r:id="rId9"/>
        </w:object>
      </w:r>
      <w:r>
        <w:t xml:space="preserve"> </w:t>
      </w:r>
      <w:r>
        <w:ptab w:relativeTo="margin" w:alignment="right" w:leader="none"/>
      </w:r>
    </w:p>
    <w:p w14:paraId="50573AC3" w14:textId="77777777" w:rsidR="00C83469" w:rsidRDefault="00C83469" w:rsidP="00C83469">
      <w:pPr>
        <w:pStyle w:val="Header"/>
      </w:pPr>
    </w:p>
    <w:p w14:paraId="3D762FC5" w14:textId="77777777" w:rsidR="00C83469" w:rsidRPr="006B210C" w:rsidRDefault="00C83469" w:rsidP="00C83469">
      <w:pPr>
        <w:jc w:val="center"/>
        <w:rPr>
          <w:b/>
        </w:rPr>
      </w:pPr>
      <w:r w:rsidRPr="006B210C">
        <w:rPr>
          <w:b/>
        </w:rPr>
        <w:t>SUPREME COURT OF CANADA</w:t>
      </w:r>
    </w:p>
    <w:p w14:paraId="7A1365BD" w14:textId="77777777" w:rsidR="00C83469" w:rsidRDefault="00C83469" w:rsidP="00C83469"/>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130"/>
        <w:gridCol w:w="4446"/>
      </w:tblGrid>
      <w:tr w:rsidR="00C83469" w:rsidRPr="006B210C" w14:paraId="0BDB644E" w14:textId="77777777" w:rsidTr="00E6021F">
        <w:trPr>
          <w:cantSplit/>
        </w:trPr>
        <w:tc>
          <w:tcPr>
            <w:tcW w:w="5130" w:type="dxa"/>
          </w:tcPr>
          <w:p w14:paraId="5533074F" w14:textId="63492F4B" w:rsidR="00C83469" w:rsidRPr="00243915" w:rsidRDefault="00C83469" w:rsidP="00C83469">
            <w:pPr>
              <w:rPr>
                <w:lang w:val="fr-CA"/>
              </w:rPr>
            </w:pPr>
            <w:r w:rsidRPr="00243915">
              <w:rPr>
                <w:b/>
                <w:smallCaps/>
                <w:lang w:val="fr-CA"/>
              </w:rPr>
              <w:t>Citation:</w:t>
            </w:r>
            <w:r w:rsidRPr="00243915">
              <w:rPr>
                <w:lang w:val="fr-CA"/>
              </w:rPr>
              <w:t xml:space="preserve"> R. </w:t>
            </w:r>
            <w:r w:rsidRPr="00243915">
              <w:rPr>
                <w:i/>
                <w:lang w:val="fr-CA"/>
              </w:rPr>
              <w:t>v.</w:t>
            </w:r>
            <w:r w:rsidRPr="00243915">
              <w:rPr>
                <w:lang w:val="fr-CA"/>
              </w:rPr>
              <w:t xml:space="preserve"> Boutilier, 2017 SCC </w:t>
            </w:r>
            <w:r w:rsidRPr="009E5F1C">
              <w:rPr>
                <w:lang w:val="fr-CA"/>
              </w:rPr>
              <w:t>64</w:t>
            </w:r>
            <w:r>
              <w:rPr>
                <w:lang w:val="fr-CA"/>
              </w:rPr>
              <w:t xml:space="preserve">, </w:t>
            </w:r>
            <w:bookmarkStart w:id="0" w:name="_GoBack"/>
            <w:bookmarkEnd w:id="0"/>
            <w:r w:rsidRPr="00B66909">
              <w:rPr>
                <w:lang w:val="fr-CA"/>
              </w:rPr>
              <w:t>[2017] 2 S.C.R. 936</w:t>
            </w:r>
          </w:p>
        </w:tc>
        <w:tc>
          <w:tcPr>
            <w:tcW w:w="4446" w:type="dxa"/>
          </w:tcPr>
          <w:p w14:paraId="21AC4116" w14:textId="77777777" w:rsidR="00C83469" w:rsidRPr="006B210C" w:rsidRDefault="00C83469" w:rsidP="00E6021F">
            <w:r>
              <w:rPr>
                <w:b/>
                <w:smallCaps/>
              </w:rPr>
              <w:t>Appeal Heard:</w:t>
            </w:r>
            <w:r w:rsidRPr="006B210C">
              <w:t xml:space="preserve"> </w:t>
            </w:r>
            <w:r>
              <w:t>May 23, 2017</w:t>
            </w:r>
          </w:p>
          <w:p w14:paraId="6849A53B" w14:textId="77777777" w:rsidR="00C83469" w:rsidRDefault="00C83469" w:rsidP="00E6021F">
            <w:pPr>
              <w:rPr>
                <w:b/>
                <w:smallCaps/>
              </w:rPr>
            </w:pPr>
            <w:r>
              <w:rPr>
                <w:b/>
                <w:smallCaps/>
              </w:rPr>
              <w:t xml:space="preserve">Judgment Rendered: </w:t>
            </w:r>
            <w:r w:rsidRPr="00243915">
              <w:t>December 21, 2017</w:t>
            </w:r>
          </w:p>
          <w:p w14:paraId="6C54CA22" w14:textId="77777777" w:rsidR="00C83469" w:rsidRPr="006B210C" w:rsidRDefault="00C83469" w:rsidP="00E6021F">
            <w:r w:rsidRPr="006B210C">
              <w:rPr>
                <w:b/>
                <w:smallCaps/>
              </w:rPr>
              <w:t>Docket</w:t>
            </w:r>
            <w:r>
              <w:rPr>
                <w:b/>
                <w:smallCaps/>
              </w:rPr>
              <w:t>:</w:t>
            </w:r>
            <w:r w:rsidRPr="006B210C">
              <w:t xml:space="preserve"> </w:t>
            </w:r>
            <w:r>
              <w:t>37168</w:t>
            </w:r>
          </w:p>
        </w:tc>
      </w:tr>
    </w:tbl>
    <w:p w14:paraId="7AA3B1D0" w14:textId="77777777" w:rsidR="00C83469" w:rsidRPr="006B210C" w:rsidRDefault="00C83469" w:rsidP="00C83469"/>
    <w:p w14:paraId="74E98294" w14:textId="77777777" w:rsidR="00C83469" w:rsidRDefault="00C83469" w:rsidP="00C83469">
      <w:pPr>
        <w:pStyle w:val="SCCLsocPrefix"/>
      </w:pPr>
      <w:r>
        <w:t>Between:</w:t>
      </w:r>
    </w:p>
    <w:p w14:paraId="3D435815" w14:textId="77777777" w:rsidR="00C83469" w:rsidRDefault="00C83469" w:rsidP="00C83469">
      <w:pPr>
        <w:pStyle w:val="SCCLsocParty"/>
        <w:jc w:val="center"/>
      </w:pPr>
      <w:r>
        <w:t>Donald Joseph Boutilier</w:t>
      </w:r>
    </w:p>
    <w:p w14:paraId="5B970242" w14:textId="77777777" w:rsidR="00C83469" w:rsidRDefault="00C83469" w:rsidP="00C83469">
      <w:pPr>
        <w:jc w:val="center"/>
      </w:pPr>
      <w:r>
        <w:t>Appellant</w:t>
      </w:r>
    </w:p>
    <w:p w14:paraId="4B3E75A4" w14:textId="77777777" w:rsidR="00C83469" w:rsidRPr="00C1244D" w:rsidRDefault="00C83469" w:rsidP="00C83469">
      <w:pPr>
        <w:jc w:val="center"/>
      </w:pPr>
    </w:p>
    <w:p w14:paraId="36340259" w14:textId="77777777" w:rsidR="00C83469" w:rsidRPr="00C83469" w:rsidRDefault="00C83469" w:rsidP="00C83469">
      <w:pPr>
        <w:pStyle w:val="SCCLsocVersus"/>
        <w:spacing w:after="0"/>
        <w:jc w:val="center"/>
        <w:rPr>
          <w:i w:val="0"/>
        </w:rPr>
      </w:pPr>
      <w:r w:rsidRPr="00C83469">
        <w:rPr>
          <w:i w:val="0"/>
        </w:rPr>
        <w:t>and</w:t>
      </w:r>
    </w:p>
    <w:p w14:paraId="044AEE25" w14:textId="77777777" w:rsidR="00C83469" w:rsidRPr="00C1244D" w:rsidRDefault="00C83469" w:rsidP="00C83469">
      <w:pPr>
        <w:jc w:val="center"/>
      </w:pPr>
    </w:p>
    <w:p w14:paraId="499EC4CD" w14:textId="77777777" w:rsidR="00C83469" w:rsidRDefault="00C83469" w:rsidP="00C83469">
      <w:pPr>
        <w:pStyle w:val="SCCLsocParty"/>
        <w:jc w:val="center"/>
      </w:pPr>
      <w:r>
        <w:t>Her Majesty The Queen</w:t>
      </w:r>
    </w:p>
    <w:p w14:paraId="6AF0D1A0" w14:textId="77777777" w:rsidR="00C83469" w:rsidRDefault="00C83469" w:rsidP="00C83469">
      <w:pPr>
        <w:jc w:val="center"/>
      </w:pPr>
      <w:r>
        <w:t>Respondent</w:t>
      </w:r>
    </w:p>
    <w:p w14:paraId="33A6C935" w14:textId="77777777" w:rsidR="00C83469" w:rsidRPr="00C1244D" w:rsidRDefault="00C83469" w:rsidP="00C83469">
      <w:pPr>
        <w:jc w:val="center"/>
      </w:pPr>
    </w:p>
    <w:p w14:paraId="2081C741" w14:textId="77777777" w:rsidR="00C83469" w:rsidRDefault="00C83469" w:rsidP="00C83469">
      <w:pPr>
        <w:pStyle w:val="SCCLsocOtherPartySeparator"/>
        <w:spacing w:after="0"/>
        <w:jc w:val="center"/>
      </w:pPr>
      <w:r>
        <w:t>- and -</w:t>
      </w:r>
    </w:p>
    <w:p w14:paraId="2DC5C9A7" w14:textId="77777777" w:rsidR="00C83469" w:rsidRPr="00C1244D" w:rsidRDefault="00C83469" w:rsidP="00C83469">
      <w:pPr>
        <w:jc w:val="center"/>
      </w:pPr>
    </w:p>
    <w:p w14:paraId="17D5D89F" w14:textId="77777777" w:rsidR="00C83469" w:rsidRDefault="00C83469" w:rsidP="00C83469">
      <w:pPr>
        <w:pStyle w:val="SCCLsocParty"/>
        <w:jc w:val="center"/>
      </w:pPr>
      <w:r>
        <w:t>Attorney General of Canada, Attorney General of Ontario, Attorney General of Saskatchewan, Attorney General of Alberta, Criminal Lawyers’ Association of Ontario, Aboriginal Legal Services Inc. and Yukon Legal Services Society</w:t>
      </w:r>
    </w:p>
    <w:p w14:paraId="01E41426" w14:textId="77777777" w:rsidR="00C83469" w:rsidRDefault="00C83469" w:rsidP="00C83469">
      <w:pPr>
        <w:jc w:val="center"/>
      </w:pPr>
      <w:r>
        <w:t>Interveners</w:t>
      </w:r>
    </w:p>
    <w:p w14:paraId="25E594C1" w14:textId="77777777" w:rsidR="00C83469" w:rsidRPr="006B210C" w:rsidRDefault="00C83469" w:rsidP="00C83469">
      <w:pPr>
        <w:rPr>
          <w:b/>
          <w:smallCaps/>
        </w:rPr>
      </w:pPr>
    </w:p>
    <w:p w14:paraId="73886443" w14:textId="77777777" w:rsidR="00C83469" w:rsidRPr="006B210C" w:rsidRDefault="00C83469" w:rsidP="00C83469"/>
    <w:p w14:paraId="527B5F5E" w14:textId="77777777" w:rsidR="00C83469" w:rsidRPr="006B210C" w:rsidRDefault="00C83469" w:rsidP="00C83469">
      <w:r w:rsidRPr="006B210C">
        <w:rPr>
          <w:b/>
          <w:smallCaps/>
        </w:rPr>
        <w:t>Coram</w:t>
      </w:r>
      <w:r>
        <w:rPr>
          <w:b/>
          <w:smallCaps/>
        </w:rPr>
        <w:t>:</w:t>
      </w:r>
      <w:r w:rsidRPr="006B210C">
        <w:t xml:space="preserve"> </w:t>
      </w:r>
      <w:r>
        <w:t>McLachlin C.J. and Abella, Moldaver, Karakatsanis, Wagner, Gascon, Côté, Brown and Rowe JJ.</w:t>
      </w:r>
    </w:p>
    <w:p w14:paraId="62066AE5" w14:textId="77777777" w:rsidR="00C83469" w:rsidRPr="006B210C" w:rsidRDefault="00C83469" w:rsidP="00C8346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C83469" w:rsidRPr="006B210C" w14:paraId="3397FB55" w14:textId="77777777" w:rsidTr="00E6021F">
        <w:trPr>
          <w:cantSplit/>
        </w:trPr>
        <w:tc>
          <w:tcPr>
            <w:tcW w:w="3618" w:type="dxa"/>
          </w:tcPr>
          <w:p w14:paraId="2B3FB38D" w14:textId="77777777" w:rsidR="00C83469" w:rsidRDefault="00C83469" w:rsidP="00E6021F">
            <w:pPr>
              <w:rPr>
                <w:b/>
                <w:smallCaps/>
              </w:rPr>
            </w:pPr>
            <w:r w:rsidRPr="006B210C">
              <w:rPr>
                <w:b/>
                <w:smallCaps/>
              </w:rPr>
              <w:t>Reasons for Judgment</w:t>
            </w:r>
            <w:r>
              <w:rPr>
                <w:b/>
                <w:smallCaps/>
              </w:rPr>
              <w:t>:</w:t>
            </w:r>
          </w:p>
          <w:p w14:paraId="45D7F254" w14:textId="77777777" w:rsidR="00C83469" w:rsidRDefault="00C83469" w:rsidP="00E6021F">
            <w:r>
              <w:t xml:space="preserve">(paras. 1 </w:t>
            </w:r>
            <w:r w:rsidRPr="009E5F1C">
              <w:t>to 89)</w:t>
            </w:r>
          </w:p>
          <w:p w14:paraId="08784CA6" w14:textId="77777777" w:rsidR="00C83469" w:rsidRPr="006B210C" w:rsidRDefault="00C83469" w:rsidP="00E6021F"/>
        </w:tc>
        <w:tc>
          <w:tcPr>
            <w:tcW w:w="5958" w:type="dxa"/>
          </w:tcPr>
          <w:p w14:paraId="0A211E67" w14:textId="77777777" w:rsidR="00C83469" w:rsidRPr="006B210C" w:rsidRDefault="00C83469" w:rsidP="00E6021F">
            <w:r>
              <w:t>Côté J. (McLachlin C.J. and Abella, Moldaver, Wagner, Gascon, Brown and Rowe JJ. concurring)</w:t>
            </w:r>
          </w:p>
        </w:tc>
      </w:tr>
      <w:tr w:rsidR="00C83469" w:rsidRPr="006B210C" w14:paraId="47FD0EF1" w14:textId="77777777" w:rsidTr="00E6021F">
        <w:trPr>
          <w:cantSplit/>
        </w:trPr>
        <w:tc>
          <w:tcPr>
            <w:tcW w:w="3618" w:type="dxa"/>
          </w:tcPr>
          <w:p w14:paraId="6891C245" w14:textId="77777777" w:rsidR="00C83469" w:rsidRDefault="00C83469" w:rsidP="00E6021F">
            <w:pPr>
              <w:rPr>
                <w:b/>
                <w:smallCaps/>
              </w:rPr>
            </w:pPr>
            <w:r>
              <w:rPr>
                <w:b/>
                <w:smallCaps/>
              </w:rPr>
              <w:t xml:space="preserve">Reasons </w:t>
            </w:r>
            <w:r w:rsidRPr="009E5F1C">
              <w:rPr>
                <w:b/>
                <w:smallCaps/>
              </w:rPr>
              <w:t>Dissenting in Part:</w:t>
            </w:r>
            <w:r>
              <w:rPr>
                <w:b/>
                <w:smallCaps/>
              </w:rPr>
              <w:t xml:space="preserve"> </w:t>
            </w:r>
          </w:p>
          <w:p w14:paraId="3AD6BB77" w14:textId="77777777" w:rsidR="00C83469" w:rsidRDefault="00C83469" w:rsidP="00E6021F">
            <w:r>
              <w:t xml:space="preserve">(paras. </w:t>
            </w:r>
            <w:r w:rsidRPr="009E5F1C">
              <w:t>90 to 137)</w:t>
            </w:r>
          </w:p>
          <w:p w14:paraId="5AE29B5F" w14:textId="77777777" w:rsidR="00C83469" w:rsidRPr="006B210C" w:rsidRDefault="00C83469" w:rsidP="00E6021F">
            <w:pPr>
              <w:rPr>
                <w:b/>
                <w:smallCaps/>
              </w:rPr>
            </w:pPr>
          </w:p>
        </w:tc>
        <w:tc>
          <w:tcPr>
            <w:tcW w:w="5958" w:type="dxa"/>
          </w:tcPr>
          <w:p w14:paraId="426F6EDE" w14:textId="77777777" w:rsidR="00C83469" w:rsidRDefault="00C83469" w:rsidP="00E6021F">
            <w:r>
              <w:t>Karakatsanis J.</w:t>
            </w:r>
          </w:p>
        </w:tc>
      </w:tr>
    </w:tbl>
    <w:p w14:paraId="52331AA7" w14:textId="77777777" w:rsidR="00C83469" w:rsidRDefault="00C83469" w:rsidP="00C83469"/>
    <w:p w14:paraId="41181B09" w14:textId="77777777" w:rsidR="00C83469" w:rsidRPr="006B210C" w:rsidRDefault="00C83469" w:rsidP="00C83469">
      <w:r>
        <w:rPr>
          <w:noProof/>
          <w:lang w:val="en-US"/>
        </w:rPr>
        <mc:AlternateContent>
          <mc:Choice Requires="wps">
            <w:drawing>
              <wp:anchor distT="0" distB="0" distL="114300" distR="114300" simplePos="0" relativeHeight="251659264" behindDoc="0" locked="0" layoutInCell="1" allowOverlap="1" wp14:anchorId="54D21271" wp14:editId="1A1A61A7">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3ECFAE"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14:paraId="48F0E0FB" w14:textId="77777777" w:rsidR="00C83469" w:rsidRPr="00C83469" w:rsidRDefault="00C83469" w:rsidP="00F52BD7">
      <w:pPr>
        <w:widowControl w:val="0"/>
        <w:spacing w:after="720"/>
        <w:jc w:val="both"/>
      </w:pPr>
    </w:p>
    <w:p w14:paraId="36D44440" w14:textId="7B8E4CB4" w:rsidR="008322BD" w:rsidRPr="00B66909" w:rsidRDefault="00B66909" w:rsidP="00F52BD7">
      <w:pPr>
        <w:widowControl w:val="0"/>
        <w:spacing w:after="720"/>
        <w:jc w:val="both"/>
        <w:rPr>
          <w:smallCaps/>
          <w:lang w:val="fr-CA"/>
        </w:rPr>
      </w:pPr>
      <w:r>
        <w:rPr>
          <w:lang w:val="fr-CA"/>
        </w:rPr>
        <w:t>R</w:t>
      </w:r>
      <w:r w:rsidR="002A6DFF" w:rsidRPr="00B66909">
        <w:rPr>
          <w:lang w:val="fr-CA"/>
        </w:rPr>
        <w:t>.</w:t>
      </w:r>
      <w:r w:rsidR="002A6DFF" w:rsidRPr="004E1F18">
        <w:rPr>
          <w:smallCaps/>
          <w:lang w:val="fr-CA"/>
        </w:rPr>
        <w:t xml:space="preserve"> </w:t>
      </w:r>
      <w:r w:rsidR="002A6DFF" w:rsidRPr="004E1F18">
        <w:rPr>
          <w:i/>
          <w:lang w:val="fr-CA"/>
        </w:rPr>
        <w:t>v.</w:t>
      </w:r>
      <w:r w:rsidR="002A6DFF" w:rsidRPr="004E1F18">
        <w:rPr>
          <w:smallCaps/>
          <w:lang w:val="fr-CA"/>
        </w:rPr>
        <w:t xml:space="preserve"> </w:t>
      </w:r>
      <w:r>
        <w:rPr>
          <w:lang w:val="fr-CA"/>
        </w:rPr>
        <w:t>B</w:t>
      </w:r>
      <w:r w:rsidR="002A6DFF" w:rsidRPr="00B66909">
        <w:rPr>
          <w:lang w:val="fr-CA"/>
        </w:rPr>
        <w:t>outilier</w:t>
      </w:r>
      <w:r>
        <w:rPr>
          <w:lang w:val="fr-CA"/>
        </w:rPr>
        <w:t xml:space="preserve">, </w:t>
      </w:r>
      <w:r w:rsidRPr="00B66909">
        <w:rPr>
          <w:lang w:val="fr-CA"/>
        </w:rPr>
        <w:t>2017 SCC 64, [2017] 2 S.C.R. 936</w:t>
      </w:r>
    </w:p>
    <w:p w14:paraId="40FCDC00" w14:textId="77777777" w:rsidR="000455B9" w:rsidRPr="004E1F18" w:rsidRDefault="00104FF4" w:rsidP="00F52BD7">
      <w:pPr>
        <w:pStyle w:val="SCCLsocLastPartyInRole"/>
        <w:widowControl w:val="0"/>
        <w:rPr>
          <w:lang w:val="fr-CA"/>
        </w:rPr>
      </w:pPr>
      <w:r w:rsidRPr="004E1F18">
        <w:rPr>
          <w:lang w:val="fr-CA"/>
        </w:rPr>
        <w:lastRenderedPageBreak/>
        <w:t>Donald Joseph Boutilier</w:t>
      </w:r>
      <w:r w:rsidRPr="004E1F18">
        <w:rPr>
          <w:rStyle w:val="SCCLsocPartyRole"/>
          <w:lang w:val="fr-CA"/>
        </w:rPr>
        <w:tab/>
        <w:t>Appellant</w:t>
      </w:r>
    </w:p>
    <w:p w14:paraId="3F90B654" w14:textId="77777777" w:rsidR="000455B9" w:rsidRPr="00C83469" w:rsidRDefault="00104FF4" w:rsidP="00F52BD7">
      <w:pPr>
        <w:pStyle w:val="SCCLsocVersus"/>
        <w:widowControl w:val="0"/>
        <w:rPr>
          <w:lang w:val="fr-CA"/>
        </w:rPr>
      </w:pPr>
      <w:r w:rsidRPr="00C83469">
        <w:rPr>
          <w:lang w:val="fr-CA"/>
        </w:rPr>
        <w:t>v.</w:t>
      </w:r>
    </w:p>
    <w:p w14:paraId="2DAF958D" w14:textId="77777777" w:rsidR="000455B9" w:rsidRPr="004E1F18" w:rsidRDefault="00A032F4" w:rsidP="00F52BD7">
      <w:pPr>
        <w:pStyle w:val="SCCLsocLastPartyInRole"/>
        <w:widowControl w:val="0"/>
      </w:pPr>
      <w:r w:rsidRPr="004E1F18">
        <w:t>Her Majesty T</w:t>
      </w:r>
      <w:r w:rsidR="00104FF4" w:rsidRPr="004E1F18">
        <w:t>he Queen</w:t>
      </w:r>
      <w:r w:rsidR="00104FF4" w:rsidRPr="004E1F18">
        <w:rPr>
          <w:rStyle w:val="SCCLsocPartyRole"/>
        </w:rPr>
        <w:tab/>
        <w:t>Respondent</w:t>
      </w:r>
    </w:p>
    <w:p w14:paraId="4408FE51" w14:textId="77777777" w:rsidR="000455B9" w:rsidRPr="004E1F18" w:rsidRDefault="00104FF4" w:rsidP="00F52BD7">
      <w:pPr>
        <w:pStyle w:val="SCCLsocOtherPartySeparator"/>
        <w:widowControl w:val="0"/>
      </w:pPr>
      <w:r w:rsidRPr="004E1F18">
        <w:t>and</w:t>
      </w:r>
    </w:p>
    <w:p w14:paraId="281136D4" w14:textId="77777777" w:rsidR="000455B9" w:rsidRPr="004E1F18" w:rsidRDefault="00104FF4" w:rsidP="00F52BD7">
      <w:pPr>
        <w:pStyle w:val="SCCLsocParty"/>
        <w:widowControl w:val="0"/>
      </w:pPr>
      <w:r w:rsidRPr="004E1F18">
        <w:t>Attorney General of Canada,</w:t>
      </w:r>
    </w:p>
    <w:p w14:paraId="37712ED8" w14:textId="77777777" w:rsidR="000455B9" w:rsidRPr="004E1F18" w:rsidRDefault="00104FF4" w:rsidP="00F52BD7">
      <w:pPr>
        <w:pStyle w:val="SCCLsocParty"/>
        <w:widowControl w:val="0"/>
      </w:pPr>
      <w:r w:rsidRPr="004E1F18">
        <w:t>Attorney General of Ontario,</w:t>
      </w:r>
    </w:p>
    <w:p w14:paraId="0C1EE76B" w14:textId="77777777" w:rsidR="000455B9" w:rsidRPr="004E1F18" w:rsidRDefault="00104FF4" w:rsidP="00F52BD7">
      <w:pPr>
        <w:pStyle w:val="SCCLsocParty"/>
        <w:widowControl w:val="0"/>
      </w:pPr>
      <w:r w:rsidRPr="004E1F18">
        <w:t xml:space="preserve">Attorney General </w:t>
      </w:r>
      <w:r w:rsidR="00A032F4" w:rsidRPr="004E1F18">
        <w:t>of</w:t>
      </w:r>
      <w:r w:rsidRPr="004E1F18">
        <w:t xml:space="preserve"> Saskatchewan,</w:t>
      </w:r>
    </w:p>
    <w:p w14:paraId="18A0AA46" w14:textId="77777777" w:rsidR="000455B9" w:rsidRPr="004E1F18" w:rsidRDefault="00104FF4" w:rsidP="00F52BD7">
      <w:pPr>
        <w:pStyle w:val="SCCLsocParty"/>
        <w:widowControl w:val="0"/>
      </w:pPr>
      <w:r w:rsidRPr="004E1F18">
        <w:t>Attorney General of Alberta,</w:t>
      </w:r>
    </w:p>
    <w:p w14:paraId="66B0EDF5" w14:textId="77777777" w:rsidR="000455B9" w:rsidRPr="004E1F18" w:rsidRDefault="00104FF4" w:rsidP="00F52BD7">
      <w:pPr>
        <w:pStyle w:val="SCCLsocParty"/>
        <w:widowControl w:val="0"/>
      </w:pPr>
      <w:r w:rsidRPr="004E1F18">
        <w:t>Criminal Lawyers</w:t>
      </w:r>
      <w:r w:rsidR="00F150FC" w:rsidRPr="004E1F18">
        <w:t>’</w:t>
      </w:r>
      <w:r w:rsidRPr="004E1F18">
        <w:t xml:space="preserve"> Association of Ontario,</w:t>
      </w:r>
    </w:p>
    <w:p w14:paraId="2CA5C87D" w14:textId="77A32A07" w:rsidR="000455B9" w:rsidRPr="004E1F18" w:rsidRDefault="00A032F4" w:rsidP="00F52BD7">
      <w:pPr>
        <w:pStyle w:val="SCCLsocParty"/>
        <w:widowControl w:val="0"/>
      </w:pPr>
      <w:r w:rsidRPr="004E1F18">
        <w:t xml:space="preserve">Aboriginal Legal Services </w:t>
      </w:r>
      <w:r w:rsidR="00E0138B" w:rsidRPr="004E1F18">
        <w:t xml:space="preserve">Inc. </w:t>
      </w:r>
      <w:r w:rsidRPr="004E1F18">
        <w:t>and</w:t>
      </w:r>
    </w:p>
    <w:p w14:paraId="6F09403E" w14:textId="77777777" w:rsidR="000455B9" w:rsidRPr="004E1F18" w:rsidRDefault="00104FF4" w:rsidP="00F52BD7">
      <w:pPr>
        <w:pStyle w:val="SCCLsocLastPartyInRole"/>
        <w:widowControl w:val="0"/>
      </w:pPr>
      <w:r w:rsidRPr="004E1F18">
        <w:t>Yukon Legal Services Society</w:t>
      </w:r>
      <w:r w:rsidRPr="004E1F18">
        <w:rPr>
          <w:rStyle w:val="SCCLsocPartyRole"/>
        </w:rPr>
        <w:tab/>
        <w:t>Interveners</w:t>
      </w:r>
    </w:p>
    <w:p w14:paraId="2C328A7E" w14:textId="77777777" w:rsidR="00426659" w:rsidRPr="004E1F18" w:rsidRDefault="00426659" w:rsidP="00F52BD7">
      <w:pPr>
        <w:widowControl w:val="0"/>
        <w:spacing w:after="720"/>
        <w:jc w:val="both"/>
        <w:rPr>
          <w:b/>
        </w:rPr>
      </w:pPr>
      <w:r w:rsidRPr="004E1F18">
        <w:rPr>
          <w:b/>
        </w:rPr>
        <w:t xml:space="preserve">Indexed as: </w:t>
      </w:r>
      <w:r w:rsidR="00A032F4" w:rsidRPr="004E1F18">
        <w:rPr>
          <w:b/>
        </w:rPr>
        <w:t xml:space="preserve">R. </w:t>
      </w:r>
      <w:r w:rsidR="00A032F4" w:rsidRPr="004E1F18">
        <w:rPr>
          <w:b/>
          <w:i/>
        </w:rPr>
        <w:t>v.</w:t>
      </w:r>
      <w:r w:rsidR="00A032F4" w:rsidRPr="004E1F18">
        <w:rPr>
          <w:b/>
        </w:rPr>
        <w:t xml:space="preserve"> </w:t>
      </w:r>
      <w:r w:rsidRPr="004E1F18">
        <w:rPr>
          <w:b/>
        </w:rPr>
        <w:t>Boutilier</w:t>
      </w:r>
    </w:p>
    <w:p w14:paraId="5E75B1E5" w14:textId="40C5EDBF" w:rsidR="00426659" w:rsidRPr="004E1F18" w:rsidRDefault="00AE4535" w:rsidP="00F52BD7">
      <w:pPr>
        <w:pStyle w:val="SCCSystemYear"/>
        <w:widowControl w:val="0"/>
        <w:spacing w:after="720"/>
        <w:jc w:val="both"/>
      </w:pPr>
      <w:r w:rsidRPr="004E1F18">
        <w:t>2017</w:t>
      </w:r>
      <w:r w:rsidR="003D0399" w:rsidRPr="004E1F18">
        <w:t xml:space="preserve"> </w:t>
      </w:r>
      <w:r w:rsidR="00426659" w:rsidRPr="004E1F18">
        <w:t>SCC </w:t>
      </w:r>
      <w:r w:rsidR="007E3783" w:rsidRPr="004E1F18">
        <w:t>64</w:t>
      </w:r>
      <w:r w:rsidR="00DB3A2D" w:rsidRPr="004E1F18">
        <w:tab/>
      </w:r>
    </w:p>
    <w:p w14:paraId="388E6404" w14:textId="77777777" w:rsidR="008322BD" w:rsidRPr="004E1F18" w:rsidRDefault="00A032F4" w:rsidP="00F52BD7">
      <w:pPr>
        <w:widowControl w:val="0"/>
        <w:spacing w:after="720"/>
        <w:jc w:val="both"/>
      </w:pPr>
      <w:r w:rsidRPr="004E1F18">
        <w:t xml:space="preserve">File No.: </w:t>
      </w:r>
      <w:r w:rsidR="009B57B3" w:rsidRPr="004E1F18">
        <w:t>37168.</w:t>
      </w:r>
    </w:p>
    <w:p w14:paraId="7C9DE22A" w14:textId="2684ED69" w:rsidR="008322BD" w:rsidRPr="004E1F18" w:rsidRDefault="00A032F4" w:rsidP="00F52BD7">
      <w:pPr>
        <w:widowControl w:val="0"/>
        <w:spacing w:after="720"/>
        <w:jc w:val="both"/>
      </w:pPr>
      <w:r w:rsidRPr="004E1F18">
        <w:t>2017:</w:t>
      </w:r>
      <w:r w:rsidR="00BD31C6" w:rsidRPr="004E1F18">
        <w:t> May </w:t>
      </w:r>
      <w:r w:rsidR="00AE4535" w:rsidRPr="004E1F18">
        <w:t>23</w:t>
      </w:r>
      <w:r w:rsidR="009B57B3" w:rsidRPr="004E1F18">
        <w:t xml:space="preserve">; </w:t>
      </w:r>
      <w:r w:rsidR="009534BC" w:rsidRPr="004E1F18">
        <w:t>2017:</w:t>
      </w:r>
      <w:r w:rsidR="00BD31C6" w:rsidRPr="004E1F18">
        <w:t> </w:t>
      </w:r>
      <w:r w:rsidR="009534BC" w:rsidRPr="004E1F18">
        <w:t>December</w:t>
      </w:r>
      <w:r w:rsidR="00BD31C6" w:rsidRPr="004E1F18">
        <w:t> </w:t>
      </w:r>
      <w:r w:rsidR="009534BC" w:rsidRPr="004E1F18">
        <w:t>21</w:t>
      </w:r>
      <w:r w:rsidR="009B57B3" w:rsidRPr="004E1F18">
        <w:t>.</w:t>
      </w:r>
    </w:p>
    <w:p w14:paraId="1EB521C2" w14:textId="6AE3500B" w:rsidR="008322BD" w:rsidRPr="004E1F18" w:rsidRDefault="009B57B3" w:rsidP="00F52BD7">
      <w:pPr>
        <w:widowControl w:val="0"/>
        <w:spacing w:after="720"/>
        <w:jc w:val="both"/>
      </w:pPr>
      <w:r w:rsidRPr="004E1F18">
        <w:t>Present: McLachlin C.J. and Abella, Moldaver, Karakatsanis, Wagner, Gascon, Côté, Brown and Rowe JJ.</w:t>
      </w:r>
    </w:p>
    <w:p w14:paraId="44A9F414" w14:textId="77777777" w:rsidR="003A4C70" w:rsidRPr="004E1F18" w:rsidRDefault="00656313" w:rsidP="00F52BD7">
      <w:pPr>
        <w:pStyle w:val="SCCLowerCourtNameLowercase"/>
        <w:widowControl w:val="0"/>
        <w:spacing w:after="720" w:line="240" w:lineRule="auto"/>
      </w:pPr>
      <w:r w:rsidRPr="004E1F18">
        <w:t>o</w:t>
      </w:r>
      <w:r w:rsidR="00170592" w:rsidRPr="004E1F18">
        <w:t>n</w:t>
      </w:r>
      <w:r w:rsidR="00224FC0" w:rsidRPr="004E1F18">
        <w:t xml:space="preserve"> </w:t>
      </w:r>
      <w:r w:rsidRPr="004E1F18">
        <w:t>a</w:t>
      </w:r>
      <w:r w:rsidR="00170592" w:rsidRPr="004E1F18">
        <w:t>ppeal</w:t>
      </w:r>
      <w:r w:rsidR="00224FC0" w:rsidRPr="004E1F18">
        <w:t xml:space="preserve"> </w:t>
      </w:r>
      <w:r w:rsidR="00170592" w:rsidRPr="004E1F18">
        <w:t>from</w:t>
      </w:r>
      <w:r w:rsidR="009567AA" w:rsidRPr="004E1F18">
        <w:t xml:space="preserve"> the</w:t>
      </w:r>
      <w:r w:rsidR="00224FC0" w:rsidRPr="004E1F18">
        <w:t xml:space="preserve"> </w:t>
      </w:r>
      <w:r w:rsidR="009B57B3" w:rsidRPr="004E1F18">
        <w:t>court</w:t>
      </w:r>
      <w:r w:rsidR="00BD584B" w:rsidRPr="004E1F18">
        <w:t xml:space="preserve"> of appeal for british columbia</w:t>
      </w:r>
    </w:p>
    <w:p w14:paraId="0E5E4A6C" w14:textId="29FA5989" w:rsidR="006739DD" w:rsidRPr="004E1F18" w:rsidRDefault="009B57B3" w:rsidP="00F52BD7">
      <w:pPr>
        <w:pStyle w:val="SCCNormalDoubleSpacing"/>
        <w:widowControl w:val="0"/>
        <w:spacing w:before="480" w:after="480"/>
        <w:rPr>
          <w:i/>
        </w:rPr>
      </w:pPr>
      <w:r w:rsidRPr="004E1F18">
        <w:lastRenderedPageBreak/>
        <w:tab/>
      </w:r>
      <w:r w:rsidR="006739DD" w:rsidRPr="004E1F18">
        <w:rPr>
          <w:i/>
        </w:rPr>
        <w:t xml:space="preserve">Constitutional law — Charter of Rights — Fundamental justice — Overbreadth — Sentencing — Dangerous offender — Designation — Whether sentencing judge precluded from considering future treatment prospects </w:t>
      </w:r>
      <w:r w:rsidR="006739DD" w:rsidRPr="004E1F18">
        <w:rPr>
          <w:i/>
          <w:lang w:val="en-US"/>
        </w:rPr>
        <w:t>when deciding whether to designate an offender</w:t>
      </w:r>
      <w:r w:rsidR="006C5AB5" w:rsidRPr="004E1F18">
        <w:rPr>
          <w:i/>
          <w:lang w:val="en-US"/>
        </w:rPr>
        <w:t xml:space="preserve"> </w:t>
      </w:r>
      <w:r w:rsidR="006739DD" w:rsidRPr="004E1F18">
        <w:rPr>
          <w:i/>
        </w:rPr>
        <w:t xml:space="preserve">as dangerous — If so, whether </w:t>
      </w:r>
      <w:r w:rsidR="00AA266A" w:rsidRPr="004E1F18">
        <w:rPr>
          <w:i/>
        </w:rPr>
        <w:t>s. </w:t>
      </w:r>
      <w:r w:rsidR="006739DD" w:rsidRPr="004E1F18">
        <w:rPr>
          <w:i/>
        </w:rPr>
        <w:t xml:space="preserve">753(1) overbroad contrary to </w:t>
      </w:r>
      <w:r w:rsidR="00AA266A" w:rsidRPr="004E1F18">
        <w:rPr>
          <w:i/>
        </w:rPr>
        <w:t>s. </w:t>
      </w:r>
      <w:r w:rsidR="006739DD" w:rsidRPr="004E1F18">
        <w:rPr>
          <w:i/>
        </w:rPr>
        <w:t>7 of Canadian Charter of Rights and Freedoms —</w:t>
      </w:r>
      <w:r w:rsidR="00AA266A" w:rsidRPr="004E1F18">
        <w:rPr>
          <w:i/>
        </w:rPr>
        <w:t xml:space="preserve"> Criminal Code, R.S.C. 1985, c. </w:t>
      </w:r>
      <w:r w:rsidR="006739DD" w:rsidRPr="004E1F18">
        <w:rPr>
          <w:i/>
        </w:rPr>
        <w:t>C</w:t>
      </w:r>
      <w:r w:rsidR="00AA266A" w:rsidRPr="004E1F18">
        <w:rPr>
          <w:i/>
        </w:rPr>
        <w:noBreakHyphen/>
      </w:r>
      <w:r w:rsidR="006739DD" w:rsidRPr="004E1F18">
        <w:rPr>
          <w:i/>
        </w:rPr>
        <w:t xml:space="preserve">46, </w:t>
      </w:r>
      <w:r w:rsidR="00AA266A" w:rsidRPr="004E1F18">
        <w:rPr>
          <w:i/>
        </w:rPr>
        <w:t>s. </w:t>
      </w:r>
      <w:r w:rsidR="006739DD" w:rsidRPr="004E1F18">
        <w:rPr>
          <w:i/>
        </w:rPr>
        <w:t>753(1).</w:t>
      </w:r>
    </w:p>
    <w:p w14:paraId="5259D45F" w14:textId="2C80D500" w:rsidR="006739DD" w:rsidRPr="004E1F18" w:rsidRDefault="006739DD" w:rsidP="00F52BD7">
      <w:pPr>
        <w:pStyle w:val="SCCNormalDoubleSpacing"/>
        <w:widowControl w:val="0"/>
        <w:spacing w:before="480" w:after="480"/>
        <w:rPr>
          <w:i/>
        </w:rPr>
      </w:pPr>
      <w:r w:rsidRPr="004E1F18">
        <w:rPr>
          <w:i/>
        </w:rPr>
        <w:tab/>
        <w:t xml:space="preserve">Constitutional law — Charter of Rights — Fundamental justice — Overbreadth — Cruel and unusual punishment — Sentencing — Dangerous offender — Penalty — Indeterminate detention — Principles governing application of </w:t>
      </w:r>
      <w:r w:rsidR="00AA266A" w:rsidRPr="004E1F18">
        <w:rPr>
          <w:i/>
        </w:rPr>
        <w:t>s. </w:t>
      </w:r>
      <w:r w:rsidRPr="004E1F18">
        <w:rPr>
          <w:i/>
        </w:rPr>
        <w:t xml:space="preserve">753(4.1) of Criminal Code — Whether </w:t>
      </w:r>
      <w:r w:rsidR="00AA266A" w:rsidRPr="004E1F18">
        <w:rPr>
          <w:i/>
        </w:rPr>
        <w:t>s. </w:t>
      </w:r>
      <w:r w:rsidRPr="004E1F18">
        <w:rPr>
          <w:i/>
        </w:rPr>
        <w:t>753(4.1) overbroad by applying to offenders that could be monitored under long</w:t>
      </w:r>
      <w:r w:rsidR="00AA266A" w:rsidRPr="004E1F18">
        <w:rPr>
          <w:i/>
        </w:rPr>
        <w:noBreakHyphen/>
      </w:r>
      <w:r w:rsidRPr="004E1F18">
        <w:rPr>
          <w:i/>
        </w:rPr>
        <w:t xml:space="preserve">term offender scheme — Whether </w:t>
      </w:r>
      <w:r w:rsidR="00AA266A" w:rsidRPr="004E1F18">
        <w:rPr>
          <w:i/>
        </w:rPr>
        <w:t>s. </w:t>
      </w:r>
      <w:r w:rsidRPr="004E1F18">
        <w:rPr>
          <w:i/>
        </w:rPr>
        <w:t xml:space="preserve">753(4.1) leads to grossly disproportionate sentence by presumptively imposing indeterminate detention and preventing judge from imposing fit sentence consistent with principles and objectives of sentencing under Criminal Code — Canadian Charter of Rights and Freedoms, </w:t>
      </w:r>
      <w:r w:rsidR="00AA266A" w:rsidRPr="004E1F18">
        <w:rPr>
          <w:i/>
        </w:rPr>
        <w:t>ss. </w:t>
      </w:r>
      <w:r w:rsidRPr="004E1F18">
        <w:rPr>
          <w:i/>
        </w:rPr>
        <w:t>7, 12</w:t>
      </w:r>
      <w:r w:rsidR="00AA266A" w:rsidRPr="004E1F18">
        <w:rPr>
          <w:i/>
        </w:rPr>
        <w:t xml:space="preserve"> </w:t>
      </w:r>
      <w:r w:rsidRPr="004E1F18">
        <w:rPr>
          <w:i/>
        </w:rPr>
        <w:t>—</w:t>
      </w:r>
      <w:r w:rsidR="00AA266A" w:rsidRPr="004E1F18">
        <w:rPr>
          <w:i/>
        </w:rPr>
        <w:t xml:space="preserve"> Criminal Code, R.S.C. 1985, c. </w:t>
      </w:r>
      <w:r w:rsidRPr="004E1F18">
        <w:rPr>
          <w:i/>
        </w:rPr>
        <w:t>C</w:t>
      </w:r>
      <w:r w:rsidR="00AA266A" w:rsidRPr="004E1F18">
        <w:rPr>
          <w:i/>
        </w:rPr>
        <w:noBreakHyphen/>
      </w:r>
      <w:r w:rsidRPr="004E1F18">
        <w:rPr>
          <w:i/>
        </w:rPr>
        <w:t xml:space="preserve">46, </w:t>
      </w:r>
      <w:r w:rsidR="00AA266A" w:rsidRPr="004E1F18">
        <w:rPr>
          <w:i/>
        </w:rPr>
        <w:t>s. </w:t>
      </w:r>
      <w:r w:rsidRPr="004E1F18">
        <w:rPr>
          <w:i/>
        </w:rPr>
        <w:t>753(4.1).</w:t>
      </w:r>
    </w:p>
    <w:p w14:paraId="5B3510C2" w14:textId="31F06EA2" w:rsidR="006739DD" w:rsidRPr="004E1F18" w:rsidRDefault="006739DD" w:rsidP="00F52BD7">
      <w:pPr>
        <w:pStyle w:val="SCCNormalDoubleSpacing"/>
        <w:widowControl w:val="0"/>
        <w:spacing w:before="480" w:after="480"/>
        <w:rPr>
          <w:i/>
        </w:rPr>
      </w:pPr>
      <w:r w:rsidRPr="004E1F18">
        <w:rPr>
          <w:i/>
        </w:rPr>
        <w:tab/>
        <w:t>Criminal law — Sentencing — Dangerous offender — Indeterminate detention — Accused declared to be dangerous offender — Whether sentencing judge erred in imposing indeterminate sentence — Criminal Code, R.S.C. 1985, c.</w:t>
      </w:r>
      <w:r w:rsidR="00AA266A" w:rsidRPr="004E1F18">
        <w:rPr>
          <w:i/>
        </w:rPr>
        <w:t> </w:t>
      </w:r>
      <w:r w:rsidRPr="004E1F18">
        <w:rPr>
          <w:i/>
        </w:rPr>
        <w:t>C</w:t>
      </w:r>
      <w:r w:rsidR="00AA266A" w:rsidRPr="004E1F18">
        <w:rPr>
          <w:i/>
        </w:rPr>
        <w:noBreakHyphen/>
      </w:r>
      <w:r w:rsidRPr="004E1F18">
        <w:rPr>
          <w:i/>
        </w:rPr>
        <w:t xml:space="preserve">46, </w:t>
      </w:r>
      <w:r w:rsidR="00AA266A" w:rsidRPr="004E1F18">
        <w:rPr>
          <w:i/>
        </w:rPr>
        <w:t>s. </w:t>
      </w:r>
      <w:r w:rsidRPr="004E1F18">
        <w:rPr>
          <w:i/>
        </w:rPr>
        <w:t>753(4),</w:t>
      </w:r>
      <w:r w:rsidR="00EA4B08">
        <w:rPr>
          <w:i/>
        </w:rPr>
        <w:t xml:space="preserve"> </w:t>
      </w:r>
      <w:r w:rsidRPr="004E1F18">
        <w:rPr>
          <w:i/>
        </w:rPr>
        <w:t>(4.1).</w:t>
      </w:r>
    </w:p>
    <w:p w14:paraId="1DD0D0EC" w14:textId="73152239" w:rsidR="006739DD" w:rsidRPr="004E1F18" w:rsidRDefault="006739DD" w:rsidP="00F52BD7">
      <w:pPr>
        <w:pStyle w:val="SCCNormalDoubleSpacing"/>
        <w:widowControl w:val="0"/>
        <w:spacing w:before="480" w:after="480"/>
        <w:rPr>
          <w:i/>
        </w:rPr>
      </w:pPr>
      <w:r w:rsidRPr="004E1F18">
        <w:rPr>
          <w:i/>
        </w:rPr>
        <w:tab/>
      </w:r>
      <w:r w:rsidRPr="004E1F18">
        <w:t>B pleaded guilty to six criminal charges arising out of the robbery of a pharmacy with an imitation firearm and an ensuing car chase.</w:t>
      </w:r>
      <w:r w:rsidR="002815A5" w:rsidRPr="004E1F18">
        <w:t xml:space="preserve"> </w:t>
      </w:r>
      <w:r w:rsidRPr="004E1F18">
        <w:t xml:space="preserve">The Crown brought an </w:t>
      </w:r>
      <w:r w:rsidRPr="004E1F18">
        <w:lastRenderedPageBreak/>
        <w:t>application seeking his designation as a dangerous offender and the imposition of a sentence of indeterminate detention.</w:t>
      </w:r>
      <w:r w:rsidR="00AA266A" w:rsidRPr="004E1F18">
        <w:t xml:space="preserve"> </w:t>
      </w:r>
      <w:r w:rsidRPr="004E1F18">
        <w:t>B</w:t>
      </w:r>
      <w:r w:rsidR="006C5AB5" w:rsidRPr="004E1F18">
        <w:t xml:space="preserve"> </w:t>
      </w:r>
      <w:r w:rsidRPr="004E1F18">
        <w:t>challenged</w:t>
      </w:r>
      <w:r w:rsidR="006C5AB5" w:rsidRPr="004E1F18">
        <w:t xml:space="preserve"> </w:t>
      </w:r>
      <w:r w:rsidRPr="004E1F18">
        <w:t>the</w:t>
      </w:r>
      <w:r w:rsidR="006C5AB5" w:rsidRPr="004E1F18">
        <w:t xml:space="preserve"> </w:t>
      </w:r>
      <w:r w:rsidRPr="004E1F18">
        <w:t xml:space="preserve">constitutional validity of s. 753(1) and (4.1) of the </w:t>
      </w:r>
      <w:r w:rsidRPr="004E1F18">
        <w:rPr>
          <w:i/>
        </w:rPr>
        <w:t>Criminal Code</w:t>
      </w:r>
      <w:r w:rsidR="006C5AB5" w:rsidRPr="004E1F18">
        <w:rPr>
          <w:i/>
        </w:rPr>
        <w:t xml:space="preserve"> </w:t>
      </w:r>
      <w:r w:rsidRPr="004E1F18">
        <w:t xml:space="preserve">under </w:t>
      </w:r>
      <w:r w:rsidR="00AA266A" w:rsidRPr="004E1F18">
        <w:t>ss. </w:t>
      </w:r>
      <w:r w:rsidRPr="004E1F18">
        <w:t xml:space="preserve">7 and 12 of the </w:t>
      </w:r>
      <w:r w:rsidRPr="004E1F18">
        <w:rPr>
          <w:i/>
        </w:rPr>
        <w:t>Canadian Charter of Rights and Freedoms</w:t>
      </w:r>
      <w:r w:rsidRPr="004E1F18">
        <w:t>.</w:t>
      </w:r>
      <w:r w:rsidR="00AA266A" w:rsidRPr="004E1F18">
        <w:t xml:space="preserve"> </w:t>
      </w:r>
    </w:p>
    <w:p w14:paraId="6EEBBD88" w14:textId="5EB47335" w:rsidR="006739DD" w:rsidRPr="004E1F18" w:rsidRDefault="006739DD" w:rsidP="00F52BD7">
      <w:pPr>
        <w:pStyle w:val="SCCNormalDoubleSpacing"/>
        <w:widowControl w:val="0"/>
        <w:spacing w:before="480" w:after="480"/>
        <w:rPr>
          <w:szCs w:val="24"/>
        </w:rPr>
      </w:pPr>
      <w:r w:rsidRPr="004E1F18">
        <w:tab/>
      </w:r>
      <w:r w:rsidR="002815A5" w:rsidRPr="004E1F18">
        <w:rPr>
          <w:szCs w:val="24"/>
        </w:rPr>
        <w:t>Section </w:t>
      </w:r>
      <w:r w:rsidRPr="004E1F18">
        <w:rPr>
          <w:szCs w:val="24"/>
        </w:rPr>
        <w:t>753(1) lists the statutory requirements that must be met before a court can designate an offender as dangerous.</w:t>
      </w:r>
      <w:r w:rsidR="002815A5" w:rsidRPr="004E1F18">
        <w:rPr>
          <w:szCs w:val="24"/>
        </w:rPr>
        <w:t xml:space="preserve"> </w:t>
      </w:r>
      <w:r w:rsidR="002815A5" w:rsidRPr="004E1F18">
        <w:t>Section </w:t>
      </w:r>
      <w:r w:rsidRPr="004E1F18">
        <w:t>753(4.1) relates to the sentencing of a dangerous offender.</w:t>
      </w:r>
      <w:r w:rsidR="002815A5" w:rsidRPr="004E1F18">
        <w:t xml:space="preserve"> </w:t>
      </w:r>
      <w:r w:rsidRPr="004E1F18">
        <w:rPr>
          <w:lang w:val="en-US"/>
        </w:rPr>
        <w:t>The dangerous offender scheme is designed as a two</w:t>
      </w:r>
      <w:r w:rsidR="00AA266A" w:rsidRPr="004E1F18">
        <w:rPr>
          <w:lang w:val="en-US"/>
        </w:rPr>
        <w:noBreakHyphen/>
      </w:r>
      <w:r w:rsidRPr="004E1F18">
        <w:rPr>
          <w:lang w:val="en-US"/>
        </w:rPr>
        <w:t>stage process:</w:t>
      </w:r>
      <w:r w:rsidR="006C5AB5" w:rsidRPr="004E1F18">
        <w:rPr>
          <w:lang w:val="en-US"/>
        </w:rPr>
        <w:t xml:space="preserve"> </w:t>
      </w:r>
      <w:r w:rsidRPr="004E1F18">
        <w:rPr>
          <w:lang w:val="en-US"/>
        </w:rPr>
        <w:t>the designation stage</w:t>
      </w:r>
      <w:r w:rsidR="006C5AB5" w:rsidRPr="004E1F18">
        <w:rPr>
          <w:lang w:val="en-US"/>
        </w:rPr>
        <w:t xml:space="preserve"> </w:t>
      </w:r>
      <w:r w:rsidRPr="004E1F18">
        <w:rPr>
          <w:lang w:val="en-US"/>
        </w:rPr>
        <w:t>and the</w:t>
      </w:r>
      <w:r w:rsidR="006C5AB5" w:rsidRPr="004E1F18">
        <w:rPr>
          <w:lang w:val="en-US"/>
        </w:rPr>
        <w:t xml:space="preserve"> </w:t>
      </w:r>
      <w:r w:rsidRPr="004E1F18">
        <w:rPr>
          <w:lang w:val="en-US"/>
        </w:rPr>
        <w:t>penalty stage.</w:t>
      </w:r>
      <w:r w:rsidR="002815A5" w:rsidRPr="004E1F18">
        <w:rPr>
          <w:lang w:val="en-US"/>
        </w:rPr>
        <w:t xml:space="preserve"> </w:t>
      </w:r>
      <w:r w:rsidRPr="004E1F18">
        <w:rPr>
          <w:lang w:val="en-US"/>
        </w:rPr>
        <w:t>At the designation stage,</w:t>
      </w:r>
      <w:r w:rsidR="006C5AB5" w:rsidRPr="004E1F18">
        <w:rPr>
          <w:lang w:val="en-US"/>
        </w:rPr>
        <w:t xml:space="preserve"> </w:t>
      </w:r>
      <w:r w:rsidRPr="004E1F18">
        <w:rPr>
          <w:lang w:val="en-US"/>
        </w:rPr>
        <w:t>i</w:t>
      </w:r>
      <w:r w:rsidRPr="004E1F18">
        <w:rPr>
          <w:szCs w:val="24"/>
        </w:rPr>
        <w:t>f a sentencing judge is satisfied that the statutory criteria</w:t>
      </w:r>
      <w:r w:rsidR="006C5AB5" w:rsidRPr="004E1F18">
        <w:rPr>
          <w:szCs w:val="24"/>
        </w:rPr>
        <w:t xml:space="preserve"> </w:t>
      </w:r>
      <w:r w:rsidRPr="004E1F18">
        <w:rPr>
          <w:szCs w:val="24"/>
        </w:rPr>
        <w:t xml:space="preserve">under </w:t>
      </w:r>
      <w:r w:rsidR="00AA266A" w:rsidRPr="004E1F18">
        <w:rPr>
          <w:szCs w:val="24"/>
        </w:rPr>
        <w:t>s. </w:t>
      </w:r>
      <w:r w:rsidRPr="004E1F18">
        <w:rPr>
          <w:szCs w:val="24"/>
        </w:rPr>
        <w:t>753(1)</w:t>
      </w:r>
      <w:r w:rsidR="00940663">
        <w:rPr>
          <w:szCs w:val="24"/>
        </w:rPr>
        <w:t xml:space="preserve"> </w:t>
      </w:r>
      <w:r w:rsidRPr="004E1F18">
        <w:rPr>
          <w:szCs w:val="24"/>
        </w:rPr>
        <w:t>have been met, the designation</w:t>
      </w:r>
      <w:r w:rsidR="006C5AB5" w:rsidRPr="004E1F18">
        <w:rPr>
          <w:szCs w:val="24"/>
        </w:rPr>
        <w:t xml:space="preserve"> </w:t>
      </w:r>
      <w:r w:rsidRPr="004E1F18">
        <w:rPr>
          <w:szCs w:val="24"/>
        </w:rPr>
        <w:t>as a dangerous offender</w:t>
      </w:r>
      <w:r w:rsidR="006C5AB5" w:rsidRPr="004E1F18">
        <w:rPr>
          <w:szCs w:val="24"/>
        </w:rPr>
        <w:t xml:space="preserve"> </w:t>
      </w:r>
      <w:r w:rsidRPr="004E1F18">
        <w:rPr>
          <w:szCs w:val="24"/>
        </w:rPr>
        <w:t>must follow.</w:t>
      </w:r>
      <w:r w:rsidR="002815A5" w:rsidRPr="004E1F18">
        <w:rPr>
          <w:szCs w:val="24"/>
        </w:rPr>
        <w:t xml:space="preserve"> </w:t>
      </w:r>
      <w:r w:rsidRPr="004E1F18">
        <w:rPr>
          <w:szCs w:val="24"/>
        </w:rPr>
        <w:t>At the penalty stage,</w:t>
      </w:r>
      <w:r w:rsidR="006C5AB5" w:rsidRPr="004E1F18">
        <w:rPr>
          <w:szCs w:val="24"/>
        </w:rPr>
        <w:t xml:space="preserve"> </w:t>
      </w:r>
      <w:r w:rsidRPr="004E1F18">
        <w:rPr>
          <w:szCs w:val="24"/>
        </w:rPr>
        <w:t xml:space="preserve">under </w:t>
      </w:r>
      <w:r w:rsidR="00AA266A" w:rsidRPr="004E1F18">
        <w:rPr>
          <w:szCs w:val="24"/>
        </w:rPr>
        <w:t>s. </w:t>
      </w:r>
      <w:r w:rsidRPr="004E1F18">
        <w:rPr>
          <w:szCs w:val="24"/>
        </w:rPr>
        <w:t>753(4.1), a sentencing judge must impose an indeterminate sentence on a designated individual unless he or she is satisfied that there is a reasonable expectation that a lesser measure will adequately protect the public.</w:t>
      </w:r>
    </w:p>
    <w:p w14:paraId="64D2F567" w14:textId="221E9100" w:rsidR="006739DD" w:rsidRPr="004E1F18" w:rsidRDefault="006739DD" w:rsidP="00F52BD7">
      <w:pPr>
        <w:pStyle w:val="SCCNormalDoubleSpacing"/>
        <w:widowControl w:val="0"/>
        <w:spacing w:before="480" w:after="480"/>
      </w:pPr>
      <w:r w:rsidRPr="004E1F18">
        <w:rPr>
          <w:szCs w:val="24"/>
        </w:rPr>
        <w:tab/>
      </w:r>
      <w:r w:rsidRPr="004E1F18">
        <w:t xml:space="preserve">The </w:t>
      </w:r>
      <w:r w:rsidRPr="004E1F18">
        <w:rPr>
          <w:szCs w:val="24"/>
        </w:rPr>
        <w:t>sentencing</w:t>
      </w:r>
      <w:r w:rsidRPr="004E1F18">
        <w:t xml:space="preserve"> judge granted B’s application in part, finding only that </w:t>
      </w:r>
      <w:r w:rsidR="00AA266A" w:rsidRPr="004E1F18">
        <w:t>s. </w:t>
      </w:r>
      <w:r w:rsidRPr="004E1F18">
        <w:t>753(1) is unconstitutionally overbroad.</w:t>
      </w:r>
      <w:r w:rsidR="006C5AB5" w:rsidRPr="004E1F18">
        <w:t xml:space="preserve"> </w:t>
      </w:r>
      <w:r w:rsidRPr="004E1F18">
        <w:t>Nevertheless, the sentencing judge held that B was a dangerous offender and sentenced him to an indeterminate detention.</w:t>
      </w:r>
      <w:r w:rsidR="002815A5" w:rsidRPr="004E1F18">
        <w:t xml:space="preserve"> </w:t>
      </w:r>
      <w:r w:rsidRPr="004E1F18">
        <w:t xml:space="preserve">The Court of Appeal held that the sentencing judge had erred in finding </w:t>
      </w:r>
      <w:r w:rsidR="00AA266A" w:rsidRPr="004E1F18">
        <w:t>s. </w:t>
      </w:r>
      <w:r w:rsidRPr="004E1F18">
        <w:t xml:space="preserve">753(1) to be overbroad but agreed with the sentencing judge that </w:t>
      </w:r>
      <w:r w:rsidR="00AA266A" w:rsidRPr="004E1F18">
        <w:t>s. </w:t>
      </w:r>
      <w:r w:rsidRPr="004E1F18">
        <w:t xml:space="preserve">753(4.1) did not violate </w:t>
      </w:r>
      <w:r w:rsidR="00AA266A" w:rsidRPr="004E1F18">
        <w:t>ss. </w:t>
      </w:r>
      <w:r w:rsidRPr="004E1F18">
        <w:t xml:space="preserve">7 and 12 of the </w:t>
      </w:r>
      <w:r w:rsidRPr="004E1F18">
        <w:rPr>
          <w:i/>
        </w:rPr>
        <w:t>Charter</w:t>
      </w:r>
      <w:r w:rsidRPr="004E1F18">
        <w:t xml:space="preserve">. The Court of Appeal dismissed B’s appeal of his dangerous offender designation and indeterminate sentence. </w:t>
      </w:r>
    </w:p>
    <w:p w14:paraId="0C1D58F2" w14:textId="1D555779" w:rsidR="006739DD" w:rsidRPr="004E1F18" w:rsidRDefault="006739DD" w:rsidP="00F52BD7">
      <w:pPr>
        <w:pStyle w:val="SCCNormalDoubleSpacing"/>
        <w:widowControl w:val="0"/>
        <w:spacing w:before="480" w:after="480"/>
        <w:rPr>
          <w:szCs w:val="24"/>
        </w:rPr>
      </w:pPr>
      <w:r w:rsidRPr="004E1F18">
        <w:tab/>
      </w:r>
      <w:r w:rsidRPr="004E1F18">
        <w:rPr>
          <w:i/>
        </w:rPr>
        <w:t xml:space="preserve">Held </w:t>
      </w:r>
      <w:r w:rsidRPr="007C0475">
        <w:t>(Karakatsanis</w:t>
      </w:r>
      <w:r w:rsidR="00AA266A" w:rsidRPr="007C0475">
        <w:t> </w:t>
      </w:r>
      <w:r w:rsidRPr="007C0475">
        <w:t xml:space="preserve">J. </w:t>
      </w:r>
      <w:r w:rsidRPr="007C0475">
        <w:rPr>
          <w:iCs/>
          <w:szCs w:val="24"/>
        </w:rPr>
        <w:t>dissenting</w:t>
      </w:r>
      <w:r w:rsidRPr="007C0475">
        <w:t xml:space="preserve"> in part):</w:t>
      </w:r>
      <w:r w:rsidRPr="004E1F18">
        <w:t xml:space="preserve"> The appeal should be dismissed.</w:t>
      </w:r>
      <w:r w:rsidR="00AA266A" w:rsidRPr="004E1F18">
        <w:t xml:space="preserve"> </w:t>
      </w:r>
    </w:p>
    <w:p w14:paraId="5CE9FE4D" w14:textId="6FD11603" w:rsidR="006739DD" w:rsidRPr="004E1F18" w:rsidRDefault="006739DD" w:rsidP="00F52BD7">
      <w:pPr>
        <w:pStyle w:val="SCCNormalDoubleSpacing"/>
        <w:widowControl w:val="0"/>
        <w:spacing w:before="480" w:after="480"/>
      </w:pPr>
      <w:r w:rsidRPr="004E1F18">
        <w:lastRenderedPageBreak/>
        <w:tab/>
      </w:r>
      <w:r w:rsidRPr="004E1F18">
        <w:rPr>
          <w:i/>
        </w:rPr>
        <w:t>Per</w:t>
      </w:r>
      <w:r w:rsidRPr="004E1F18">
        <w:t xml:space="preserve"> McLachlin</w:t>
      </w:r>
      <w:r w:rsidR="00AA266A" w:rsidRPr="004E1F18">
        <w:t> </w:t>
      </w:r>
      <w:r w:rsidRPr="004E1F18">
        <w:t xml:space="preserve">C.J. and Abella, Moldaver, Wagner, Gascon, </w:t>
      </w:r>
      <w:r w:rsidRPr="006E6604">
        <w:t>Côté</w:t>
      </w:r>
      <w:r w:rsidR="00AA266A" w:rsidRPr="004E1F18">
        <w:t>, Brown and Rowe JJ</w:t>
      </w:r>
      <w:r w:rsidR="00EA4B08">
        <w:t>.</w:t>
      </w:r>
      <w:r w:rsidR="00AA266A" w:rsidRPr="004E1F18">
        <w:t>: Section </w:t>
      </w:r>
      <w:r w:rsidRPr="004E1F18">
        <w:t>753(1) does not</w:t>
      </w:r>
      <w:r w:rsidR="002248B0" w:rsidRPr="004E1F18">
        <w:t xml:space="preserve"> </w:t>
      </w:r>
      <w:r w:rsidRPr="004E1F18">
        <w:t>preclude a sentencing judge from considering future treatment prospects before designating an offender as dangerous and therefore</w:t>
      </w:r>
      <w:r w:rsidR="006C5AB5" w:rsidRPr="004E1F18">
        <w:t xml:space="preserve"> </w:t>
      </w:r>
      <w:r w:rsidRPr="004E1F18">
        <w:t>is</w:t>
      </w:r>
      <w:r w:rsidR="006C5AB5" w:rsidRPr="004E1F18">
        <w:t xml:space="preserve"> </w:t>
      </w:r>
      <w:r w:rsidRPr="004E1F18">
        <w:t>not</w:t>
      </w:r>
      <w:r w:rsidR="006C5AB5" w:rsidRPr="004E1F18">
        <w:t xml:space="preserve"> </w:t>
      </w:r>
      <w:r w:rsidRPr="004E1F18">
        <w:t xml:space="preserve">overbroad under </w:t>
      </w:r>
      <w:r w:rsidR="00AA266A" w:rsidRPr="004E1F18">
        <w:t>s. </w:t>
      </w:r>
      <w:r w:rsidRPr="004E1F18">
        <w:t xml:space="preserve">7 of the </w:t>
      </w:r>
      <w:r w:rsidRPr="004E1F18">
        <w:rPr>
          <w:i/>
        </w:rPr>
        <w:t>Charter</w:t>
      </w:r>
      <w:r w:rsidRPr="004E1F18">
        <w:t>.</w:t>
      </w:r>
      <w:r w:rsidR="002815A5" w:rsidRPr="004E1F18">
        <w:t xml:space="preserve"> </w:t>
      </w:r>
      <w:r w:rsidRPr="004E1F18">
        <w:t>To obtain a designation of dangerousness resulting from violent behaviour, the Crown must demonstrate</w:t>
      </w:r>
      <w:r w:rsidR="006C5AB5" w:rsidRPr="004E1F18">
        <w:t xml:space="preserve"> </w:t>
      </w:r>
      <w:r w:rsidRPr="004E1F18">
        <w:t xml:space="preserve">beyond a reasonable doubt, </w:t>
      </w:r>
      <w:r w:rsidR="00DB3A2D" w:rsidRPr="004E1F18">
        <w:rPr>
          <w:i/>
        </w:rPr>
        <w:t>inter alia</w:t>
      </w:r>
      <w:r w:rsidRPr="004E1F18">
        <w:t>, that</w:t>
      </w:r>
      <w:r w:rsidR="006C5AB5" w:rsidRPr="004E1F18">
        <w:t xml:space="preserve"> </w:t>
      </w:r>
      <w:r w:rsidRPr="004E1F18">
        <w:rPr>
          <w:szCs w:val="24"/>
          <w:lang w:val="en-US"/>
        </w:rPr>
        <w:t>the offender</w:t>
      </w:r>
      <w:r w:rsidR="006C5AB5" w:rsidRPr="004E1F18">
        <w:rPr>
          <w:szCs w:val="24"/>
          <w:lang w:val="en-US"/>
        </w:rPr>
        <w:t xml:space="preserve"> </w:t>
      </w:r>
      <w:r w:rsidRPr="004E1F18">
        <w:rPr>
          <w:szCs w:val="24"/>
          <w:lang w:val="en-US"/>
        </w:rPr>
        <w:t>represents a threat to the life, safety or physical or mental well</w:t>
      </w:r>
      <w:r w:rsidR="00AA266A" w:rsidRPr="004E1F18">
        <w:rPr>
          <w:szCs w:val="24"/>
          <w:lang w:val="en-US"/>
        </w:rPr>
        <w:noBreakHyphen/>
      </w:r>
      <w:r w:rsidRPr="004E1F18">
        <w:rPr>
          <w:szCs w:val="24"/>
          <w:lang w:val="en-US"/>
        </w:rPr>
        <w:t>being of other persons.</w:t>
      </w:r>
      <w:r w:rsidR="002815A5" w:rsidRPr="004E1F18">
        <w:rPr>
          <w:szCs w:val="24"/>
          <w:lang w:val="en-US"/>
        </w:rPr>
        <w:t xml:space="preserve"> </w:t>
      </w:r>
      <w:r w:rsidRPr="004E1F18">
        <w:rPr>
          <w:lang w:val="en-US"/>
        </w:rPr>
        <w:t>Before designating a dangerous offender, a sentencing judge must</w:t>
      </w:r>
      <w:r w:rsidR="006C5AB5" w:rsidRPr="004E1F18">
        <w:rPr>
          <w:lang w:val="en-US"/>
        </w:rPr>
        <w:t xml:space="preserve"> </w:t>
      </w:r>
      <w:r w:rsidRPr="004E1F18">
        <w:rPr>
          <w:lang w:val="en-US"/>
        </w:rPr>
        <w:t>be satisfied on the evidence that the offender poses a high likelihood of harmful recidivism and that his or her conduct is intractable.</w:t>
      </w:r>
      <w:r w:rsidR="002815A5" w:rsidRPr="004E1F18">
        <w:rPr>
          <w:lang w:val="en-US"/>
        </w:rPr>
        <w:t xml:space="preserve"> </w:t>
      </w:r>
      <w:r w:rsidRPr="004E1F18">
        <w:rPr>
          <w:lang w:val="en-US"/>
        </w:rPr>
        <w:t>Intractable conduct</w:t>
      </w:r>
      <w:r w:rsidR="006C5AB5" w:rsidRPr="004E1F18">
        <w:rPr>
          <w:lang w:val="en-US"/>
        </w:rPr>
        <w:t xml:space="preserve"> </w:t>
      </w:r>
      <w:r w:rsidRPr="004E1F18">
        <w:rPr>
          <w:lang w:val="en-US"/>
        </w:rPr>
        <w:t>means</w:t>
      </w:r>
      <w:r w:rsidR="006C5AB5" w:rsidRPr="004E1F18">
        <w:rPr>
          <w:lang w:val="en-US"/>
        </w:rPr>
        <w:t xml:space="preserve"> </w:t>
      </w:r>
      <w:r w:rsidRPr="004E1F18">
        <w:rPr>
          <w:lang w:val="en-US"/>
        </w:rPr>
        <w:t>behaviour that the offender is unable to surmount. Through these two criteria, Parliament requires sentencing judges to conduct a prospective assessment of dangerousne</w:t>
      </w:r>
      <w:r w:rsidR="00AA266A" w:rsidRPr="004E1F18">
        <w:rPr>
          <w:lang w:val="en-US"/>
        </w:rPr>
        <w:t>ss.</w:t>
      </w:r>
      <w:r w:rsidR="002815A5" w:rsidRPr="004E1F18">
        <w:rPr>
          <w:lang w:val="en-US"/>
        </w:rPr>
        <w:t xml:space="preserve"> </w:t>
      </w:r>
      <w:r w:rsidRPr="004E1F18">
        <w:rPr>
          <w:lang w:val="en-US"/>
        </w:rPr>
        <w:t>All of the evidence adduced during a dangerous offender hearing must be considered at both the designation and penalty</w:t>
      </w:r>
      <w:r w:rsidR="006C5AB5" w:rsidRPr="004E1F18">
        <w:rPr>
          <w:lang w:val="en-US"/>
        </w:rPr>
        <w:t xml:space="preserve"> </w:t>
      </w:r>
      <w:r w:rsidRPr="004E1F18">
        <w:rPr>
          <w:lang w:val="en-US"/>
        </w:rPr>
        <w:t>stages of the sentencing judge’s analysis, though for the purpose of making different findings related to different legal criteria.</w:t>
      </w:r>
      <w:r w:rsidR="006C5AB5" w:rsidRPr="004E1F18">
        <w:rPr>
          <w:lang w:val="en-US"/>
        </w:rPr>
        <w:t xml:space="preserve"> </w:t>
      </w:r>
      <w:r w:rsidRPr="004E1F18">
        <w:t>At the designation stage, treatability informs the decision on the threat posed by an offender, whereas at the penalty stage, it helps determine the appropriate sentence to manage this threat.</w:t>
      </w:r>
      <w:r w:rsidR="002815A5" w:rsidRPr="004E1F18">
        <w:t xml:space="preserve"> </w:t>
      </w:r>
      <w:r w:rsidRPr="004E1F18">
        <w:rPr>
          <w:lang w:val="en-US"/>
        </w:rPr>
        <w:t>A prospective assessment of dangerousness ensures that only offenders who pose a tremendous future risk</w:t>
      </w:r>
      <w:r w:rsidRPr="004E1F18">
        <w:t xml:space="preserve"> are designated as dangerous and face the possibility of being sentenced to an indeterminate detention.</w:t>
      </w:r>
      <w:r w:rsidR="006C5AB5" w:rsidRPr="004E1F18">
        <w:t xml:space="preserve"> </w:t>
      </w:r>
      <w:r w:rsidRPr="004E1F18">
        <w:rPr>
          <w:lang w:val="en-US"/>
        </w:rPr>
        <w:t xml:space="preserve">A provision imposing an indeterminate detention is therefore not overbroad if it is </w:t>
      </w:r>
      <w:r w:rsidRPr="004E1F18">
        <w:rPr>
          <w:spacing w:val="-3"/>
        </w:rPr>
        <w:t>carefully confined in its application to those habitual criminals who are dangerous to others.</w:t>
      </w:r>
    </w:p>
    <w:p w14:paraId="17CDA744" w14:textId="68FF3845" w:rsidR="006739DD" w:rsidRPr="004E1F18" w:rsidRDefault="006739DD" w:rsidP="00F52BD7">
      <w:pPr>
        <w:pStyle w:val="SCCNormalDoubleSpacing"/>
        <w:widowControl w:val="0"/>
        <w:spacing w:before="480" w:after="480"/>
        <w:rPr>
          <w:lang w:val="en-US"/>
        </w:rPr>
      </w:pPr>
      <w:r w:rsidRPr="004E1F18">
        <w:rPr>
          <w:lang w:val="en-US"/>
        </w:rPr>
        <w:tab/>
      </w:r>
      <w:r w:rsidR="002815A5" w:rsidRPr="004E1F18">
        <w:rPr>
          <w:lang w:val="en-US"/>
        </w:rPr>
        <w:t>Section </w:t>
      </w:r>
      <w:r w:rsidRPr="004E1F18">
        <w:rPr>
          <w:lang w:val="en-US"/>
        </w:rPr>
        <w:t>753(4.1) does not</w:t>
      </w:r>
      <w:r w:rsidR="006C5AB5" w:rsidRPr="004E1F18">
        <w:rPr>
          <w:lang w:val="en-US"/>
        </w:rPr>
        <w:t xml:space="preserve"> </w:t>
      </w:r>
      <w:r w:rsidRPr="004E1F18">
        <w:rPr>
          <w:lang w:val="en-US"/>
        </w:rPr>
        <w:t xml:space="preserve">lead to a grossly disproportionate sentence, contrary to </w:t>
      </w:r>
      <w:r w:rsidR="00AA266A" w:rsidRPr="004E1F18">
        <w:rPr>
          <w:lang w:val="en-US"/>
        </w:rPr>
        <w:t>s. </w:t>
      </w:r>
      <w:r w:rsidRPr="004E1F18">
        <w:rPr>
          <w:lang w:val="en-US"/>
        </w:rPr>
        <w:t xml:space="preserve">12 of the </w:t>
      </w:r>
      <w:r w:rsidRPr="004E1F18">
        <w:rPr>
          <w:i/>
          <w:lang w:val="en-US"/>
        </w:rPr>
        <w:t>Charter</w:t>
      </w:r>
      <w:r w:rsidRPr="004E1F18">
        <w:rPr>
          <w:lang w:val="en-US"/>
        </w:rPr>
        <w:t xml:space="preserve">, by presumptively imposing indeterminate detention </w:t>
      </w:r>
      <w:r w:rsidRPr="004E1F18">
        <w:rPr>
          <w:lang w:val="en-US"/>
        </w:rPr>
        <w:lastRenderedPageBreak/>
        <w:t>and preventing the sentencing judge from imposing a fit sentence.</w:t>
      </w:r>
      <w:r w:rsidR="006C5AB5" w:rsidRPr="004E1F18">
        <w:rPr>
          <w:lang w:val="en-US"/>
        </w:rPr>
        <w:t xml:space="preserve"> </w:t>
      </w:r>
      <w:r w:rsidRPr="004E1F18">
        <w:rPr>
          <w:lang w:val="en-US"/>
        </w:rPr>
        <w:t xml:space="preserve">Properly read and applied, </w:t>
      </w:r>
      <w:r w:rsidR="00AA266A" w:rsidRPr="004E1F18">
        <w:rPr>
          <w:lang w:val="en-US"/>
        </w:rPr>
        <w:t>s. </w:t>
      </w:r>
      <w:r w:rsidRPr="004E1F18">
        <w:t>753(4.1) does not impose an onus, a rebuttable presumption, or mandatory sanctioning.</w:t>
      </w:r>
      <w:r w:rsidR="006C5AB5" w:rsidRPr="004E1F18">
        <w:t xml:space="preserve"> </w:t>
      </w:r>
      <w:r w:rsidRPr="004E1F18">
        <w:rPr>
          <w:lang w:val="en-US"/>
        </w:rPr>
        <w:t>It</w:t>
      </w:r>
      <w:r w:rsidR="006C5AB5" w:rsidRPr="004E1F18">
        <w:rPr>
          <w:lang w:val="en-US"/>
        </w:rPr>
        <w:t xml:space="preserve"> </w:t>
      </w:r>
      <w:r w:rsidRPr="004E1F18">
        <w:rPr>
          <w:lang w:val="en-US"/>
        </w:rPr>
        <w:t>provides guidance on how a sentencing judge can properly exercise his or her discretion in accordance with the applicable objectives and principles of sentencing.</w:t>
      </w:r>
      <w:r w:rsidR="006C5AB5" w:rsidRPr="004E1F18">
        <w:rPr>
          <w:lang w:val="en-US"/>
        </w:rPr>
        <w:t xml:space="preserve"> </w:t>
      </w:r>
      <w:r w:rsidRPr="004E1F18">
        <w:rPr>
          <w:lang w:val="en-US"/>
        </w:rPr>
        <w:t xml:space="preserve">Sentencing principles and mandatory guidelines outlined in </w:t>
      </w:r>
      <w:r w:rsidR="00AA266A" w:rsidRPr="004E1F18">
        <w:rPr>
          <w:lang w:val="en-US"/>
        </w:rPr>
        <w:t>ss. </w:t>
      </w:r>
      <w:r w:rsidRPr="004E1F18">
        <w:rPr>
          <w:lang w:val="en-US"/>
        </w:rPr>
        <w:t>718 to 718.2</w:t>
      </w:r>
      <w:r w:rsidR="006C5AB5" w:rsidRPr="004E1F18">
        <w:rPr>
          <w:lang w:val="en-US"/>
        </w:rPr>
        <w:t xml:space="preserve"> </w:t>
      </w:r>
      <w:r w:rsidRPr="004E1F18">
        <w:rPr>
          <w:lang w:val="en-US"/>
        </w:rPr>
        <w:t xml:space="preserve">of the </w:t>
      </w:r>
      <w:r w:rsidRPr="004E1F18">
        <w:rPr>
          <w:i/>
          <w:lang w:val="en-US"/>
        </w:rPr>
        <w:t>Criminal Code</w:t>
      </w:r>
      <w:r w:rsidR="006C5AB5" w:rsidRPr="004E1F18">
        <w:rPr>
          <w:i/>
          <w:lang w:val="en-US"/>
        </w:rPr>
        <w:t xml:space="preserve"> </w:t>
      </w:r>
      <w:r w:rsidRPr="004E1F18">
        <w:rPr>
          <w:lang w:val="en-US"/>
        </w:rPr>
        <w:t>apply to every sentencing decision, whether made under the regular sentencing regime, the dangerous offender regime or the long</w:t>
      </w:r>
      <w:r w:rsidR="00AA266A" w:rsidRPr="004E1F18">
        <w:rPr>
          <w:lang w:val="en-US"/>
        </w:rPr>
        <w:noBreakHyphen/>
      </w:r>
      <w:r w:rsidRPr="004E1F18">
        <w:rPr>
          <w:lang w:val="en-US"/>
        </w:rPr>
        <w:t>term offender regime.</w:t>
      </w:r>
      <w:r w:rsidR="002815A5" w:rsidRPr="004E1F18">
        <w:rPr>
          <w:lang w:val="en-US"/>
        </w:rPr>
        <w:t xml:space="preserve"> </w:t>
      </w:r>
      <w:r w:rsidRPr="004E1F18">
        <w:t>Parliament is entitled to decide that protection of the public is an enhanced sentencing objective for individuals who have been designated as dangerous. This does not mean that this objective operates to the exclusion of all others.</w:t>
      </w:r>
      <w:r w:rsidR="002815A5" w:rsidRPr="004E1F18">
        <w:t xml:space="preserve"> </w:t>
      </w:r>
      <w:r w:rsidRPr="004E1F18">
        <w:t>I</w:t>
      </w:r>
      <w:r w:rsidRPr="004E1F18">
        <w:rPr>
          <w:lang w:val="en-US"/>
        </w:rPr>
        <w:t>ndeterminate detention is</w:t>
      </w:r>
      <w:r w:rsidR="006C5AB5" w:rsidRPr="004E1F18">
        <w:rPr>
          <w:lang w:val="en-US"/>
        </w:rPr>
        <w:t xml:space="preserve"> </w:t>
      </w:r>
      <w:r w:rsidRPr="004E1F18">
        <w:rPr>
          <w:lang w:val="en-US"/>
        </w:rPr>
        <w:t>only one</w:t>
      </w:r>
      <w:r w:rsidR="006C5AB5" w:rsidRPr="004E1F18">
        <w:rPr>
          <w:lang w:val="en-US"/>
        </w:rPr>
        <w:t xml:space="preserve"> </w:t>
      </w:r>
      <w:r w:rsidRPr="004E1F18">
        <w:rPr>
          <w:lang w:val="en-US"/>
        </w:rPr>
        <w:t>sentencing</w:t>
      </w:r>
      <w:r w:rsidR="006C5AB5" w:rsidRPr="004E1F18">
        <w:rPr>
          <w:lang w:val="en-US"/>
        </w:rPr>
        <w:t xml:space="preserve"> </w:t>
      </w:r>
      <w:r w:rsidRPr="004E1F18">
        <w:rPr>
          <w:lang w:val="en-US"/>
        </w:rPr>
        <w:t>option among others available</w:t>
      </w:r>
      <w:r w:rsidRPr="004E1F18">
        <w:rPr>
          <w:szCs w:val="24"/>
          <w:lang w:val="en-US"/>
        </w:rPr>
        <w:t xml:space="preserve"> under </w:t>
      </w:r>
      <w:r w:rsidR="00AA266A" w:rsidRPr="004E1F18">
        <w:rPr>
          <w:lang w:val="en-US"/>
        </w:rPr>
        <w:t>s. </w:t>
      </w:r>
      <w:r w:rsidRPr="004E1F18">
        <w:rPr>
          <w:lang w:val="en-US"/>
        </w:rPr>
        <w:t>753(4).</w:t>
      </w:r>
      <w:r w:rsidRPr="004E1F18">
        <w:rPr>
          <w:szCs w:val="24"/>
          <w:lang w:val="en-US"/>
        </w:rPr>
        <w:t xml:space="preserve"> </w:t>
      </w:r>
      <w:r w:rsidRPr="004E1F18">
        <w:t>In lieu of an indeterminate detention, a judge may impose a sentence that is more proportionate, whether it is imprisonment for a minimum of two years followed by long</w:t>
      </w:r>
      <w:r w:rsidR="00AA266A" w:rsidRPr="004E1F18">
        <w:noBreakHyphen/>
      </w:r>
      <w:r w:rsidRPr="004E1F18">
        <w:t>term supervision — which amounts to a long</w:t>
      </w:r>
      <w:r w:rsidR="00AA266A" w:rsidRPr="004E1F18">
        <w:noBreakHyphen/>
      </w:r>
      <w:r w:rsidRPr="004E1F18">
        <w:t xml:space="preserve">term offender sentence — or </w:t>
      </w:r>
      <w:r w:rsidRPr="004E1F18">
        <w:rPr>
          <w:lang w:val="en-US"/>
        </w:rPr>
        <w:t xml:space="preserve">a sentence under the regular sentencing regime. The sentencing alternatives listed in s. 753(4) therefore encompass the entire spectrum of sentences contemplated by the </w:t>
      </w:r>
      <w:r w:rsidRPr="004E1F18">
        <w:rPr>
          <w:i/>
          <w:lang w:val="en-US"/>
        </w:rPr>
        <w:t>Criminal Code</w:t>
      </w:r>
      <w:r w:rsidRPr="004E1F18">
        <w:rPr>
          <w:lang w:val="en-US"/>
        </w:rPr>
        <w:t>.</w:t>
      </w:r>
      <w:r w:rsidR="00940663">
        <w:rPr>
          <w:lang w:val="en-US"/>
        </w:rPr>
        <w:t xml:space="preserve"> </w:t>
      </w:r>
      <w:r w:rsidRPr="004E1F18">
        <w:rPr>
          <w:lang w:val="en-US"/>
        </w:rPr>
        <w:t xml:space="preserve">In order to properly exercise his or her discretion under </w:t>
      </w:r>
      <w:r w:rsidR="00AA266A" w:rsidRPr="004E1F18">
        <w:rPr>
          <w:lang w:val="en-US"/>
        </w:rPr>
        <w:t>s. </w:t>
      </w:r>
      <w:r w:rsidRPr="004E1F18">
        <w:rPr>
          <w:lang w:val="en-US"/>
        </w:rPr>
        <w:t>753(4), the sentencing judge must impose the least intrusive sentence required to achieve the primary purpose of the scheme.</w:t>
      </w:r>
      <w:r w:rsidR="006C5AB5" w:rsidRPr="004E1F18">
        <w:rPr>
          <w:lang w:val="en-US"/>
        </w:rPr>
        <w:t xml:space="preserve"> </w:t>
      </w:r>
      <w:r w:rsidRPr="004E1F18">
        <w:rPr>
          <w:lang w:val="en-US"/>
        </w:rPr>
        <w:t xml:space="preserve">Nothing in the wording of </w:t>
      </w:r>
      <w:r w:rsidR="00AA266A" w:rsidRPr="004E1F18">
        <w:rPr>
          <w:lang w:val="en-US"/>
        </w:rPr>
        <w:t>s. </w:t>
      </w:r>
      <w:r w:rsidRPr="004E1F18">
        <w:rPr>
          <w:lang w:val="en-US"/>
        </w:rPr>
        <w:t>753(4.1) removes the obligation incumbent on a sentencing judge to consider all sentencing principles in order to choose a sentence that is fit for a specific offender.</w:t>
      </w:r>
      <w:r w:rsidR="006C5AB5" w:rsidRPr="004E1F18">
        <w:rPr>
          <w:lang w:val="en-US"/>
        </w:rPr>
        <w:t xml:space="preserve"> </w:t>
      </w:r>
      <w:r w:rsidRPr="004E1F18">
        <w:rPr>
          <w:lang w:val="en-US"/>
        </w:rPr>
        <w:t xml:space="preserve">An offender’s moral culpability, the seriousness of the offence, mitigating factors, and principles developed for Indigenous offenders are each part of the sentencing process under the dangerous offender scheme. Each of these considerations is relevant to deciding whether or not a </w:t>
      </w:r>
      <w:r w:rsidRPr="004E1F18">
        <w:rPr>
          <w:lang w:val="en-US"/>
        </w:rPr>
        <w:lastRenderedPageBreak/>
        <w:t>lesser sentence would sufficiently protect the public.</w:t>
      </w:r>
    </w:p>
    <w:p w14:paraId="4796A6A2" w14:textId="5DADFF38" w:rsidR="006739DD" w:rsidRPr="004E1F18" w:rsidRDefault="004A0D0B" w:rsidP="00F52BD7">
      <w:pPr>
        <w:pStyle w:val="SCCNormalDoubleSpacing"/>
        <w:widowControl w:val="0"/>
        <w:spacing w:before="480" w:after="480"/>
        <w:rPr>
          <w:lang w:val="en-US"/>
        </w:rPr>
      </w:pPr>
      <w:r w:rsidRPr="004E1F18">
        <w:tab/>
      </w:r>
      <w:r w:rsidR="00AA266A" w:rsidRPr="004E1F18">
        <w:t>Section </w:t>
      </w:r>
      <w:r w:rsidR="006739DD" w:rsidRPr="004E1F18">
        <w:t>753(4.1) is not</w:t>
      </w:r>
      <w:r w:rsidR="006C5AB5" w:rsidRPr="004E1F18">
        <w:t xml:space="preserve"> </w:t>
      </w:r>
      <w:r w:rsidR="006739DD" w:rsidRPr="004E1F18">
        <w:t xml:space="preserve">overbroad in violation of </w:t>
      </w:r>
      <w:r w:rsidR="00AA266A" w:rsidRPr="004E1F18">
        <w:t>s. </w:t>
      </w:r>
      <w:r w:rsidR="006739DD" w:rsidRPr="004E1F18">
        <w:t xml:space="preserve">7 of the </w:t>
      </w:r>
      <w:r w:rsidR="006739DD" w:rsidRPr="004E1F18">
        <w:rPr>
          <w:i/>
        </w:rPr>
        <w:t>Charter</w:t>
      </w:r>
      <w:r w:rsidR="006739DD" w:rsidRPr="004E1F18">
        <w:t>.</w:t>
      </w:r>
      <w:r w:rsidR="00940663">
        <w:t xml:space="preserve"> </w:t>
      </w:r>
      <w:r w:rsidR="006739DD" w:rsidRPr="004E1F18">
        <w:rPr>
          <w:lang w:val="en-US"/>
        </w:rPr>
        <w:t>Section</w:t>
      </w:r>
      <w:r w:rsidR="002815A5" w:rsidRPr="004E1F18">
        <w:rPr>
          <w:lang w:val="en-US"/>
        </w:rPr>
        <w:t> </w:t>
      </w:r>
      <w:r w:rsidR="006739DD" w:rsidRPr="004E1F18">
        <w:rPr>
          <w:lang w:val="en-US"/>
        </w:rPr>
        <w:t xml:space="preserve">753(1) limits the availability of an indeterminate detention under </w:t>
      </w:r>
      <w:r w:rsidR="00AA266A" w:rsidRPr="004E1F18">
        <w:rPr>
          <w:lang w:val="en-US"/>
        </w:rPr>
        <w:t>s. </w:t>
      </w:r>
      <w:r w:rsidR="006739DD" w:rsidRPr="004E1F18">
        <w:rPr>
          <w:lang w:val="en-US"/>
        </w:rPr>
        <w:t xml:space="preserve">753(4) and (4.1) to a narrow group of offenders that are dangerous </w:t>
      </w:r>
      <w:r w:rsidR="006739DD" w:rsidRPr="004E1F18">
        <w:rPr>
          <w:i/>
          <w:lang w:val="en-US"/>
        </w:rPr>
        <w:t>per se</w:t>
      </w:r>
      <w:r w:rsidR="006C5AB5" w:rsidRPr="004E1F18">
        <w:rPr>
          <w:lang w:val="en-US"/>
        </w:rPr>
        <w:t xml:space="preserve">. </w:t>
      </w:r>
      <w:r w:rsidR="006739DD" w:rsidRPr="004E1F18">
        <w:rPr>
          <w:smallCaps/>
          <w:lang w:val="en-US"/>
        </w:rPr>
        <w:t>T</w:t>
      </w:r>
      <w:r w:rsidR="006739DD" w:rsidRPr="004E1F18">
        <w:rPr>
          <w:lang w:val="en-US"/>
        </w:rPr>
        <w:t>he dangerous offender designation criteria are more onerous than the long</w:t>
      </w:r>
      <w:r w:rsidR="00AA266A" w:rsidRPr="004E1F18">
        <w:rPr>
          <w:lang w:val="en-US"/>
        </w:rPr>
        <w:noBreakHyphen/>
      </w:r>
      <w:r w:rsidR="006739DD" w:rsidRPr="004E1F18">
        <w:rPr>
          <w:lang w:val="en-US"/>
        </w:rPr>
        <w:t>term offender criteria. It therefore cannot be said that both regimes target the same offenders.</w:t>
      </w:r>
      <w:r w:rsidR="006C5AB5" w:rsidRPr="004E1F18">
        <w:rPr>
          <w:lang w:val="en-US"/>
        </w:rPr>
        <w:t xml:space="preserve"> </w:t>
      </w:r>
      <w:r w:rsidR="006739DD" w:rsidRPr="004E1F18">
        <w:rPr>
          <w:lang w:val="en-US"/>
        </w:rPr>
        <w:t xml:space="preserve">Furthermore, </w:t>
      </w:r>
      <w:r w:rsidR="00AA266A" w:rsidRPr="004E1F18">
        <w:rPr>
          <w:lang w:val="en-US"/>
        </w:rPr>
        <w:t>s. </w:t>
      </w:r>
      <w:r w:rsidR="006739DD" w:rsidRPr="004E1F18">
        <w:rPr>
          <w:lang w:val="en-US"/>
        </w:rPr>
        <w:t>753(4.1) does not create a presumption that indeterminate detention is the appropriate sentence — the sentencing judge is under the obligation to conduct a thorough inquiry that considers all the evidence presented during the hearing in order to decide the fittest sentence for the offender.</w:t>
      </w:r>
      <w:r w:rsidR="006C5AB5" w:rsidRPr="004E1F18">
        <w:rPr>
          <w:lang w:val="en-US"/>
        </w:rPr>
        <w:t xml:space="preserve"> </w:t>
      </w:r>
      <w:r w:rsidR="006739DD" w:rsidRPr="004E1F18">
        <w:rPr>
          <w:lang w:val="en-US"/>
        </w:rPr>
        <w:t xml:space="preserve">Under </w:t>
      </w:r>
      <w:r w:rsidR="00AA266A" w:rsidRPr="004E1F18">
        <w:rPr>
          <w:lang w:val="en-US"/>
        </w:rPr>
        <w:t>s. </w:t>
      </w:r>
      <w:r w:rsidR="006739DD" w:rsidRPr="004E1F18">
        <w:rPr>
          <w:lang w:val="en-US"/>
        </w:rPr>
        <w:t>753(4), a long</w:t>
      </w:r>
      <w:r w:rsidR="00AA266A" w:rsidRPr="004E1F18">
        <w:rPr>
          <w:lang w:val="en-US"/>
        </w:rPr>
        <w:noBreakHyphen/>
      </w:r>
      <w:r w:rsidR="006739DD" w:rsidRPr="004E1F18">
        <w:rPr>
          <w:lang w:val="en-US"/>
        </w:rPr>
        <w:t>term offender sentence remains available for dangerous offenders who can be controlled in the community in a manner that adequately protects the public from murder or a serious personal injury offence.</w:t>
      </w:r>
    </w:p>
    <w:p w14:paraId="798360E7" w14:textId="613247F4" w:rsidR="006739DD" w:rsidRPr="004E1F18" w:rsidRDefault="006739DD" w:rsidP="00F52BD7">
      <w:pPr>
        <w:pStyle w:val="SCCNormalDoubleSpacing"/>
        <w:widowControl w:val="0"/>
        <w:spacing w:before="480" w:after="480"/>
        <w:rPr>
          <w:lang w:val="en-US"/>
        </w:rPr>
      </w:pPr>
      <w:r w:rsidRPr="004E1F18">
        <w:tab/>
        <w:t xml:space="preserve">In this case, although the sentencing judge committed an error of law, since he failed to consider B’s treatment prospects before designating him as a dangerous offender, </w:t>
      </w:r>
      <w:r w:rsidRPr="004E1F18">
        <w:rPr>
          <w:szCs w:val="24"/>
        </w:rPr>
        <w:t>this</w:t>
      </w:r>
      <w:r w:rsidRPr="004E1F18">
        <w:t xml:space="preserve"> error</w:t>
      </w:r>
      <w:r w:rsidR="006C5AB5" w:rsidRPr="004E1F18">
        <w:t xml:space="preserve"> </w:t>
      </w:r>
      <w:r w:rsidRPr="004E1F18">
        <w:t>has not resulted in a substantial wrong or miscarriage of justice.</w:t>
      </w:r>
      <w:r w:rsidR="006C5AB5" w:rsidRPr="004E1F18">
        <w:t xml:space="preserve"> </w:t>
      </w:r>
      <w:r w:rsidRPr="004E1F18">
        <w:rPr>
          <w:lang w:val="en-US"/>
        </w:rPr>
        <w:t>This</w:t>
      </w:r>
      <w:r w:rsidR="006C5AB5" w:rsidRPr="004E1F18">
        <w:rPr>
          <w:lang w:val="en-US"/>
        </w:rPr>
        <w:t xml:space="preserve"> </w:t>
      </w:r>
      <w:r w:rsidRPr="004E1F18">
        <w:rPr>
          <w:lang w:val="en-US"/>
        </w:rPr>
        <w:t>error of law does not change the sentencing judge’s conclusion regarding B’s dangerousne</w:t>
      </w:r>
      <w:r w:rsidR="00AA266A" w:rsidRPr="004E1F18">
        <w:rPr>
          <w:lang w:val="en-US"/>
        </w:rPr>
        <w:t xml:space="preserve">ss. </w:t>
      </w:r>
      <w:r w:rsidRPr="004E1F18">
        <w:rPr>
          <w:lang w:val="en-US"/>
        </w:rPr>
        <w:t>The judge found B’s conduct to be intractable because his prospect of overcoming his addictions, the source of his dangerousness, was nothing more than an expression of hope.</w:t>
      </w:r>
      <w:r w:rsidR="006C5AB5" w:rsidRPr="004E1F18">
        <w:rPr>
          <w:lang w:val="en-US"/>
        </w:rPr>
        <w:t xml:space="preserve"> </w:t>
      </w:r>
      <w:r w:rsidRPr="004E1F18">
        <w:t>The sentencing judge</w:t>
      </w:r>
      <w:r w:rsidR="006C5AB5" w:rsidRPr="004E1F18">
        <w:t xml:space="preserve"> </w:t>
      </w:r>
      <w:r w:rsidRPr="004E1F18">
        <w:t>explained that his analysis would remain unchanged even if he considered B’s treatment prospects at the designation stage.</w:t>
      </w:r>
      <w:r w:rsidR="00940663">
        <w:t xml:space="preserve"> </w:t>
      </w:r>
      <w:r w:rsidRPr="004E1F18">
        <w:t>Absent any material error of law, a dangerous offender designation is a question of fact.</w:t>
      </w:r>
      <w:r w:rsidR="00AA266A" w:rsidRPr="004E1F18">
        <w:t xml:space="preserve"> </w:t>
      </w:r>
      <w:r w:rsidRPr="004E1F18">
        <w:t xml:space="preserve">The role of an appellate court is therefore to determine if the designation was </w:t>
      </w:r>
      <w:r w:rsidRPr="004E1F18">
        <w:lastRenderedPageBreak/>
        <w:t>reasonable.</w:t>
      </w:r>
      <w:r w:rsidR="006C5AB5" w:rsidRPr="004E1F18">
        <w:t xml:space="preserve"> </w:t>
      </w:r>
      <w:r w:rsidRPr="004E1F18">
        <w:t>Ba</w:t>
      </w:r>
      <w:r w:rsidRPr="004E1F18">
        <w:rPr>
          <w:lang w:val="en-US"/>
        </w:rPr>
        <w:t>sed on</w:t>
      </w:r>
      <w:r w:rsidR="006C5AB5" w:rsidRPr="004E1F18">
        <w:rPr>
          <w:lang w:val="en-US"/>
        </w:rPr>
        <w:t xml:space="preserve"> </w:t>
      </w:r>
      <w:r w:rsidRPr="004E1F18">
        <w:rPr>
          <w:lang w:val="en-US"/>
        </w:rPr>
        <w:t>the sentencing judge’s</w:t>
      </w:r>
      <w:r w:rsidR="006C5AB5" w:rsidRPr="004E1F18">
        <w:rPr>
          <w:lang w:val="en-US"/>
        </w:rPr>
        <w:t xml:space="preserve"> </w:t>
      </w:r>
      <w:r w:rsidRPr="004E1F18">
        <w:rPr>
          <w:lang w:val="en-US"/>
        </w:rPr>
        <w:t>findings of fact, the designation of B as a dangerous offender and the imposition of an indeterminate detention cannot be said to be unreasonable.</w:t>
      </w:r>
      <w:r w:rsidR="00AA266A" w:rsidRPr="004E1F18">
        <w:rPr>
          <w:lang w:val="en-US"/>
        </w:rPr>
        <w:t xml:space="preserve"> </w:t>
      </w:r>
    </w:p>
    <w:p w14:paraId="7858F315" w14:textId="4FB00B91" w:rsidR="00D956F1" w:rsidRPr="004E1F18" w:rsidRDefault="00D956F1" w:rsidP="00F52BD7">
      <w:pPr>
        <w:pStyle w:val="SCCNormalDoubleSpacing"/>
        <w:widowControl w:val="0"/>
        <w:spacing w:before="480" w:after="480"/>
        <w:rPr>
          <w:lang w:val="en-US"/>
        </w:rPr>
      </w:pPr>
      <w:r w:rsidRPr="004E1F18">
        <w:rPr>
          <w:lang w:val="en-US"/>
        </w:rPr>
        <w:tab/>
      </w:r>
      <w:r w:rsidRPr="004E1F18">
        <w:rPr>
          <w:i/>
        </w:rPr>
        <w:t>Per</w:t>
      </w:r>
      <w:r w:rsidR="00AA266A" w:rsidRPr="004E1F18">
        <w:t xml:space="preserve"> </w:t>
      </w:r>
      <w:r w:rsidR="00AA266A" w:rsidRPr="006E6604">
        <w:t>Karakatsanis </w:t>
      </w:r>
      <w:r w:rsidRPr="006E6604">
        <w:t>J.</w:t>
      </w:r>
      <w:r w:rsidRPr="004E1F18">
        <w:t xml:space="preserve"> (dissenting in part): There is agreement with the majority that</w:t>
      </w:r>
      <w:r w:rsidR="006C5AB5" w:rsidRPr="004E1F18">
        <w:t xml:space="preserve"> </w:t>
      </w:r>
      <w:r w:rsidR="00AA266A" w:rsidRPr="004E1F18">
        <w:t>s. </w:t>
      </w:r>
      <w:r w:rsidRPr="004E1F18">
        <w:t xml:space="preserve">753(1) of the </w:t>
      </w:r>
      <w:r w:rsidRPr="004E1F18">
        <w:rPr>
          <w:i/>
        </w:rPr>
        <w:t xml:space="preserve">Criminal Code </w:t>
      </w:r>
      <w:r w:rsidRPr="004E1F18">
        <w:t xml:space="preserve">calls for consideration of the offender’s future </w:t>
      </w:r>
      <w:r w:rsidRPr="004E1F18">
        <w:rPr>
          <w:szCs w:val="24"/>
        </w:rPr>
        <w:t>treatment</w:t>
      </w:r>
      <w:r w:rsidRPr="004E1F18">
        <w:t xml:space="preserve"> prospects, and thus is not unconstitutionally overbroad on that basis.</w:t>
      </w:r>
      <w:r w:rsidR="00AA266A" w:rsidRPr="004E1F18">
        <w:t xml:space="preserve"> </w:t>
      </w:r>
      <w:r w:rsidRPr="004E1F18">
        <w:t>However,</w:t>
      </w:r>
      <w:r w:rsidR="006C5AB5" w:rsidRPr="004E1F18">
        <w:t xml:space="preserve"> </w:t>
      </w:r>
      <w:r w:rsidR="00AA266A" w:rsidRPr="004E1F18">
        <w:t>s. </w:t>
      </w:r>
      <w:r w:rsidRPr="004E1F18">
        <w:t>753(4.1) should be declared to be of no force and effect as it</w:t>
      </w:r>
      <w:r w:rsidR="006C5AB5" w:rsidRPr="004E1F18">
        <w:t xml:space="preserve"> </w:t>
      </w:r>
      <w:r w:rsidRPr="004E1F18">
        <w:t xml:space="preserve">violates </w:t>
      </w:r>
      <w:r w:rsidR="00AA266A" w:rsidRPr="004E1F18">
        <w:t>s. </w:t>
      </w:r>
      <w:r w:rsidRPr="004E1F18">
        <w:t xml:space="preserve">12 of the </w:t>
      </w:r>
      <w:r w:rsidRPr="004E1F18">
        <w:rPr>
          <w:i/>
        </w:rPr>
        <w:t xml:space="preserve">Charter </w:t>
      </w:r>
      <w:r w:rsidRPr="004E1F18">
        <w:t xml:space="preserve">and cannot be saved by </w:t>
      </w:r>
      <w:r w:rsidR="00AA266A" w:rsidRPr="004E1F18">
        <w:t>s. </w:t>
      </w:r>
      <w:r w:rsidRPr="004E1F18">
        <w:t>1.</w:t>
      </w:r>
      <w:r w:rsidR="006C5AB5" w:rsidRPr="004E1F18">
        <w:t xml:space="preserve"> </w:t>
      </w:r>
      <w:r w:rsidRPr="004E1F18">
        <w:t>A</w:t>
      </w:r>
      <w:r w:rsidR="006C5AB5" w:rsidRPr="004E1F18">
        <w:t xml:space="preserve"> </w:t>
      </w:r>
      <w:r w:rsidRPr="004E1F18">
        <w:t>new hearing</w:t>
      </w:r>
      <w:r w:rsidR="006C5AB5" w:rsidRPr="004E1F18">
        <w:t xml:space="preserve"> </w:t>
      </w:r>
      <w:r w:rsidRPr="004E1F18">
        <w:t>should be ordered</w:t>
      </w:r>
      <w:r w:rsidR="006C5AB5" w:rsidRPr="004E1F18">
        <w:t xml:space="preserve"> </w:t>
      </w:r>
      <w:r w:rsidRPr="004E1F18">
        <w:t xml:space="preserve">to determine the appropriate penalty under </w:t>
      </w:r>
      <w:r w:rsidR="00AA266A" w:rsidRPr="004E1F18">
        <w:t>s. </w:t>
      </w:r>
      <w:r w:rsidRPr="004E1F18">
        <w:t xml:space="preserve">753(4). </w:t>
      </w:r>
    </w:p>
    <w:p w14:paraId="07725CE0" w14:textId="3B130906" w:rsidR="00D956F1" w:rsidRPr="004E1F18" w:rsidRDefault="004A0D0B" w:rsidP="00F52BD7">
      <w:pPr>
        <w:pStyle w:val="SCCNormalDoubleSpacing"/>
        <w:widowControl w:val="0"/>
        <w:spacing w:before="480" w:after="480"/>
      </w:pPr>
      <w:r w:rsidRPr="004E1F18">
        <w:rPr>
          <w:lang w:val="en-US"/>
        </w:rPr>
        <w:tab/>
      </w:r>
      <w:r w:rsidR="00D956F1" w:rsidRPr="004E1F18">
        <w:t>By demanding a singular focus on public safety,</w:t>
      </w:r>
      <w:r w:rsidR="006C5AB5" w:rsidRPr="004E1F18">
        <w:t xml:space="preserve"> </w:t>
      </w:r>
      <w:r w:rsidR="00AA266A" w:rsidRPr="004E1F18">
        <w:t>s. </w:t>
      </w:r>
      <w:r w:rsidR="00D956F1" w:rsidRPr="004E1F18">
        <w:t>753(4.1)</w:t>
      </w:r>
      <w:r w:rsidR="006C5AB5" w:rsidRPr="004E1F18">
        <w:t xml:space="preserve"> </w:t>
      </w:r>
      <w:r w:rsidR="00D956F1" w:rsidRPr="004E1F18">
        <w:t>imposes indeterminate detention in cases where it is grossly disproportionate</w:t>
      </w:r>
      <w:r w:rsidR="00D956F1" w:rsidRPr="004E1F18">
        <w:rPr>
          <w:szCs w:val="24"/>
        </w:rPr>
        <w:t xml:space="preserve"> to the sentence mandated by the sentencing principles in the </w:t>
      </w:r>
      <w:r w:rsidR="00D956F1" w:rsidRPr="004E1F18">
        <w:rPr>
          <w:i/>
          <w:szCs w:val="24"/>
        </w:rPr>
        <w:t>Criminal Code</w:t>
      </w:r>
      <w:r w:rsidR="006C5AB5" w:rsidRPr="004E1F18">
        <w:rPr>
          <w:i/>
          <w:szCs w:val="24"/>
        </w:rPr>
        <w:t xml:space="preserve"> </w:t>
      </w:r>
      <w:r w:rsidR="00D956F1" w:rsidRPr="004E1F18">
        <w:rPr>
          <w:lang w:val="en-US"/>
        </w:rPr>
        <w:t>and the public protection objective of the dangerous offender</w:t>
      </w:r>
      <w:r w:rsidR="006C5AB5" w:rsidRPr="004E1F18">
        <w:rPr>
          <w:lang w:val="en-US"/>
        </w:rPr>
        <w:t xml:space="preserve"> </w:t>
      </w:r>
      <w:r w:rsidR="00D956F1" w:rsidRPr="004E1F18">
        <w:rPr>
          <w:lang w:val="en-US"/>
        </w:rPr>
        <w:t>scheme.</w:t>
      </w:r>
      <w:r w:rsidR="002815A5" w:rsidRPr="004E1F18">
        <w:rPr>
          <w:lang w:val="en-US"/>
        </w:rPr>
        <w:t xml:space="preserve"> </w:t>
      </w:r>
      <w:r w:rsidR="00D956F1" w:rsidRPr="004E1F18">
        <w:t>The mandatory designation stage,</w:t>
      </w:r>
      <w:r w:rsidR="006C5AB5" w:rsidRPr="004E1F18">
        <w:t xml:space="preserve"> </w:t>
      </w:r>
      <w:r w:rsidR="00D956F1" w:rsidRPr="004E1F18">
        <w:t>which captures a broad group of offenders, combined with the narrow, structured discretion at the penalty stage has created a legislative context that fails to ensure offenders are only sentenced to indeterminate incarceration if this sentence is appropriate.</w:t>
      </w:r>
      <w:r w:rsidR="006C5AB5" w:rsidRPr="004E1F18">
        <w:t xml:space="preserve"> </w:t>
      </w:r>
      <w:r w:rsidR="00D956F1" w:rsidRPr="004E1F18">
        <w:t xml:space="preserve">The dangerous offender scheme removes all judicial discretion at the designation stage. Thus, an offender who meets the legislative criteria for dangerousness must be designated a dangerous offender under </w:t>
      </w:r>
      <w:r w:rsidR="00AA266A" w:rsidRPr="004E1F18">
        <w:t>s. </w:t>
      </w:r>
      <w:r w:rsidR="00D956F1" w:rsidRPr="004E1F18">
        <w:t>753(1).</w:t>
      </w:r>
      <w:r w:rsidR="002815A5" w:rsidRPr="004E1F18">
        <w:t xml:space="preserve"> </w:t>
      </w:r>
      <w:r w:rsidR="00D956F1" w:rsidRPr="004E1F18">
        <w:t xml:space="preserve">At the penalty stage, </w:t>
      </w:r>
      <w:r w:rsidR="00AA266A" w:rsidRPr="004E1F18">
        <w:t>s. </w:t>
      </w:r>
      <w:r w:rsidR="00D956F1" w:rsidRPr="004E1F18">
        <w:t xml:space="preserve">753(4) provides the sentencing judge with broad discretion; however, </w:t>
      </w:r>
      <w:r w:rsidR="00AA266A" w:rsidRPr="004E1F18">
        <w:t>s. </w:t>
      </w:r>
      <w:r w:rsidR="00D956F1" w:rsidRPr="004E1F18">
        <w:t>753(4.1) curtails this discretion significantly</w:t>
      </w:r>
      <w:r w:rsidR="006C5AB5" w:rsidRPr="004E1F18">
        <w:t xml:space="preserve"> </w:t>
      </w:r>
      <w:r w:rsidR="00D956F1" w:rsidRPr="004E1F18">
        <w:t xml:space="preserve">— if </w:t>
      </w:r>
      <w:r w:rsidR="00D956F1" w:rsidRPr="004E1F18">
        <w:rPr>
          <w:lang w:val="en"/>
        </w:rPr>
        <w:t xml:space="preserve">there is not a reasonable expectation that the public will be adequately protected against the commission of another serious personal injury </w:t>
      </w:r>
      <w:r w:rsidR="00D956F1" w:rsidRPr="004E1F18">
        <w:rPr>
          <w:lang w:val="en"/>
        </w:rPr>
        <w:lastRenderedPageBreak/>
        <w:t xml:space="preserve">offence, indeterminate detention must be imposed, even if </w:t>
      </w:r>
      <w:r w:rsidR="00D956F1" w:rsidRPr="004E1F18">
        <w:t>this sentence is disproportionate to the gravity of the predicate offence and the offender’s degree of responsibility.</w:t>
      </w:r>
      <w:r w:rsidR="002815A5" w:rsidRPr="004E1F18">
        <w:t xml:space="preserve"> </w:t>
      </w:r>
      <w:r w:rsidR="00D956F1" w:rsidRPr="004E1F18">
        <w:t>Pr</w:t>
      </w:r>
      <w:r w:rsidR="00D956F1" w:rsidRPr="004E1F18">
        <w:rPr>
          <w:lang w:val="en-US"/>
        </w:rPr>
        <w:t xml:space="preserve">oportionality is not reflected in the </w:t>
      </w:r>
      <w:r w:rsidR="00AA266A" w:rsidRPr="004E1F18">
        <w:rPr>
          <w:lang w:val="en-US"/>
        </w:rPr>
        <w:t>s. </w:t>
      </w:r>
      <w:r w:rsidR="00D956F1" w:rsidRPr="004E1F18">
        <w:rPr>
          <w:lang w:val="en-US"/>
        </w:rPr>
        <w:t>753(4.1) public safety threshold.</w:t>
      </w:r>
      <w:r w:rsidR="00AA266A" w:rsidRPr="004E1F18">
        <w:rPr>
          <w:lang w:val="en-US"/>
        </w:rPr>
        <w:t xml:space="preserve"> </w:t>
      </w:r>
      <w:r w:rsidR="00D956F1" w:rsidRPr="004E1F18">
        <w:rPr>
          <w:lang w:val="en"/>
        </w:rPr>
        <w:t>Section</w:t>
      </w:r>
      <w:r w:rsidR="002815A5" w:rsidRPr="004E1F18">
        <w:t> </w:t>
      </w:r>
      <w:r w:rsidR="00D956F1" w:rsidRPr="004E1F18">
        <w:t>753(4.1) may also preclude a sentence that respects the principle of restraint as it</w:t>
      </w:r>
      <w:r w:rsidR="006C5AB5" w:rsidRPr="004E1F18">
        <w:t xml:space="preserve"> </w:t>
      </w:r>
      <w:r w:rsidR="00D956F1" w:rsidRPr="004E1F18">
        <w:t>creates a presumption for an indeterminate sentence that is only rebuttable by evide</w:t>
      </w:r>
      <w:r w:rsidR="006C5AB5" w:rsidRPr="004E1F18">
        <w:t xml:space="preserve">nce adduced during the hearing. </w:t>
      </w:r>
      <w:r w:rsidR="00D956F1" w:rsidRPr="004E1F18">
        <w:t xml:space="preserve">If no evidence of community supervision programs is presented, or if </w:t>
      </w:r>
      <w:r w:rsidR="0053683F" w:rsidRPr="004E1F18">
        <w:t xml:space="preserve">it is unknown whether the offender will be amenable to treatment, </w:t>
      </w:r>
      <w:r w:rsidR="00AA266A" w:rsidRPr="004E1F18">
        <w:t>s. </w:t>
      </w:r>
      <w:r w:rsidR="00D956F1" w:rsidRPr="004E1F18">
        <w:t>753(4.1) ma</w:t>
      </w:r>
      <w:r w:rsidR="006C5AB5" w:rsidRPr="004E1F18">
        <w:t xml:space="preserve">ndates indeterminate detention. </w:t>
      </w:r>
      <w:r w:rsidR="00D956F1" w:rsidRPr="004E1F18">
        <w:t>Life experiences and</w:t>
      </w:r>
      <w:r w:rsidR="006C5AB5" w:rsidRPr="004E1F18">
        <w:t xml:space="preserve"> </w:t>
      </w:r>
      <w:r w:rsidR="00D956F1" w:rsidRPr="004E1F18">
        <w:t>systemic factors that may have contributed to bringing</w:t>
      </w:r>
      <w:r w:rsidR="006C5AB5" w:rsidRPr="004E1F18">
        <w:t xml:space="preserve"> </w:t>
      </w:r>
      <w:r w:rsidR="00D956F1" w:rsidRPr="004E1F18">
        <w:t>a dangerous offender</w:t>
      </w:r>
      <w:r w:rsidR="006C5AB5" w:rsidRPr="004E1F18">
        <w:t xml:space="preserve"> </w:t>
      </w:r>
      <w:r w:rsidR="00D956F1" w:rsidRPr="004E1F18">
        <w:t>before the courts</w:t>
      </w:r>
      <w:r w:rsidR="006C5AB5" w:rsidRPr="004E1F18">
        <w:t xml:space="preserve"> </w:t>
      </w:r>
      <w:r w:rsidR="00D956F1" w:rsidRPr="004E1F18">
        <w:t xml:space="preserve">cannot be considered in the s. 753(4.1) analysis. </w:t>
      </w:r>
    </w:p>
    <w:p w14:paraId="4961B4BF" w14:textId="43467723" w:rsidR="00D956F1" w:rsidRPr="004E1F18" w:rsidRDefault="004A0D0B" w:rsidP="00F52BD7">
      <w:pPr>
        <w:pStyle w:val="SCCNormalDoubleSpacing"/>
        <w:widowControl w:val="0"/>
        <w:spacing w:before="480" w:after="480"/>
      </w:pPr>
      <w:r w:rsidRPr="004E1F18">
        <w:tab/>
      </w:r>
      <w:r w:rsidR="00D956F1" w:rsidRPr="004E1F18">
        <w:t xml:space="preserve">Indeterminate detention is </w:t>
      </w:r>
      <w:r w:rsidR="00D956F1" w:rsidRPr="004E1F18">
        <w:rPr>
          <w:lang w:val="en"/>
        </w:rPr>
        <w:t xml:space="preserve">so excessive as to outrage standards of decency </w:t>
      </w:r>
      <w:r w:rsidR="00D956F1" w:rsidRPr="004E1F18">
        <w:t xml:space="preserve">in cases where the offender’s degree of responsibility and the gravity of the predicate offence are </w:t>
      </w:r>
      <w:r w:rsidR="00D956F1" w:rsidRPr="004E1F18">
        <w:rPr>
          <w:szCs w:val="24"/>
        </w:rPr>
        <w:t>on</w:t>
      </w:r>
      <w:r w:rsidR="00D956F1" w:rsidRPr="004E1F18">
        <w:t xml:space="preserve"> the low end of the spectrum, especially where alternative measures, including lengthy sentences of incarceration with long</w:t>
      </w:r>
      <w:r w:rsidR="00AA266A" w:rsidRPr="004E1F18">
        <w:noBreakHyphen/>
      </w:r>
      <w:r w:rsidR="00D956F1" w:rsidRPr="004E1F18">
        <w:t xml:space="preserve">term supervision orders, permit public safety concerns to be addressed. While Parliament is entitled to take steps to protect Canadians against the threat posed by the most dangerous criminals, the current scheme goes too far. Indeterminate detention — the most severe penalty, apart perhaps from life sentences — is grossly disproportionate to the sentence some offenders would otherwise receive under the sentencing principles in the </w:t>
      </w:r>
      <w:r w:rsidR="00D956F1" w:rsidRPr="004E1F18">
        <w:rPr>
          <w:i/>
        </w:rPr>
        <w:t>Criminal Code</w:t>
      </w:r>
      <w:r w:rsidR="00D956F1" w:rsidRPr="004E1F18">
        <w:t xml:space="preserve">. </w:t>
      </w:r>
      <w:r w:rsidR="00D956F1" w:rsidRPr="004E1F18">
        <w:rPr>
          <w:lang w:val="en"/>
        </w:rPr>
        <w:t xml:space="preserve">In applying </w:t>
      </w:r>
      <w:r w:rsidR="00AA266A" w:rsidRPr="004E1F18">
        <w:rPr>
          <w:lang w:val="en"/>
        </w:rPr>
        <w:t>s. </w:t>
      </w:r>
      <w:r w:rsidR="00D956F1" w:rsidRPr="004E1F18">
        <w:rPr>
          <w:lang w:val="en"/>
        </w:rPr>
        <w:t>753(4.1),</w:t>
      </w:r>
      <w:r w:rsidR="006C5AB5" w:rsidRPr="004E1F18">
        <w:rPr>
          <w:lang w:val="en"/>
        </w:rPr>
        <w:t xml:space="preserve"> </w:t>
      </w:r>
      <w:r w:rsidR="00D956F1" w:rsidRPr="004E1F18">
        <w:t>a sentencing judge must ask whether the offender, due to the level of the risk and the nature of future harm likely to be caused, fall</w:t>
      </w:r>
      <w:r w:rsidR="00EA4B08">
        <w:t>s</w:t>
      </w:r>
      <w:r w:rsidR="00D956F1" w:rsidRPr="004E1F18">
        <w:t xml:space="preserve"> within the small group of truly dangerous offenders who must be imprisoned indefinitely in order to protect the public.</w:t>
      </w:r>
    </w:p>
    <w:p w14:paraId="445FE624" w14:textId="1D1B4569" w:rsidR="00D956F1" w:rsidRPr="004E1F18" w:rsidRDefault="00D956F1" w:rsidP="00F52BD7">
      <w:pPr>
        <w:pStyle w:val="SCCNormalDoubleSpacing"/>
        <w:widowControl w:val="0"/>
        <w:spacing w:before="480" w:after="480"/>
      </w:pPr>
      <w:r w:rsidRPr="004E1F18">
        <w:lastRenderedPageBreak/>
        <w:tab/>
        <w:t>In this case,</w:t>
      </w:r>
      <w:r w:rsidR="006C5AB5" w:rsidRPr="004E1F18">
        <w:t xml:space="preserve"> </w:t>
      </w:r>
      <w:r w:rsidRPr="004E1F18">
        <w:rPr>
          <w:lang w:val="en-US"/>
        </w:rPr>
        <w:t>the</w:t>
      </w:r>
      <w:r w:rsidR="006C5AB5" w:rsidRPr="004E1F18">
        <w:rPr>
          <w:lang w:val="en-US"/>
        </w:rPr>
        <w:t xml:space="preserve"> </w:t>
      </w:r>
      <w:r w:rsidRPr="004E1F18">
        <w:rPr>
          <w:lang w:val="en-US"/>
        </w:rPr>
        <w:t>evidence suggests there may be a reasonable possibility that B’s risk could be controlled in the community.</w:t>
      </w:r>
      <w:r w:rsidR="006C5AB5" w:rsidRPr="004E1F18">
        <w:rPr>
          <w:lang w:val="en-US"/>
        </w:rPr>
        <w:t xml:space="preserve"> </w:t>
      </w:r>
      <w:r w:rsidRPr="004E1F18">
        <w:t xml:space="preserve">The record before the sentencing </w:t>
      </w:r>
      <w:r w:rsidRPr="004E1F18">
        <w:rPr>
          <w:szCs w:val="24"/>
        </w:rPr>
        <w:t>judge</w:t>
      </w:r>
      <w:r w:rsidRPr="004E1F18">
        <w:t xml:space="preserve"> suggests that a determinate sentence with a long</w:t>
      </w:r>
      <w:r w:rsidR="00AA266A" w:rsidRPr="004E1F18">
        <w:noBreakHyphen/>
      </w:r>
      <w:r w:rsidRPr="004E1F18">
        <w:t>term supervision order may well have been appropriate</w:t>
      </w:r>
      <w:r w:rsidR="006C5AB5" w:rsidRPr="004E1F18">
        <w:t xml:space="preserve"> </w:t>
      </w:r>
      <w:r w:rsidRPr="004E1F18">
        <w:t xml:space="preserve">and been </w:t>
      </w:r>
      <w:r w:rsidRPr="004E1F18">
        <w:rPr>
          <w:szCs w:val="24"/>
          <w:lang w:val="en-US"/>
        </w:rPr>
        <w:t>adequate for public protection</w:t>
      </w:r>
      <w:r w:rsidR="006C5AB5" w:rsidRPr="004E1F18">
        <w:rPr>
          <w:szCs w:val="24"/>
          <w:lang w:val="en-US"/>
        </w:rPr>
        <w:t xml:space="preserve"> </w:t>
      </w:r>
      <w:r w:rsidRPr="004E1F18">
        <w:t xml:space="preserve">had the sentencing judge not proceeded on the basis that his discretion was curtailed by </w:t>
      </w:r>
      <w:r w:rsidR="00AA266A" w:rsidRPr="004E1F18">
        <w:t>s. </w:t>
      </w:r>
      <w:r w:rsidRPr="004E1F18">
        <w:t>753(4.1), an unconstitutional provision.</w:t>
      </w:r>
      <w:r w:rsidR="006C5AB5" w:rsidRPr="004E1F18">
        <w:t xml:space="preserve"> </w:t>
      </w:r>
      <w:r w:rsidRPr="004E1F18">
        <w:t xml:space="preserve">A new hearing is therefore required to determine the appropriate sentence. </w:t>
      </w:r>
    </w:p>
    <w:p w14:paraId="26D82356" w14:textId="1DE5A7AD" w:rsidR="007E1C47" w:rsidRPr="004E1F18" w:rsidRDefault="002E6705" w:rsidP="00F52BD7">
      <w:pPr>
        <w:pStyle w:val="SCCNormalDoubleSpacing"/>
        <w:widowControl w:val="0"/>
        <w:spacing w:before="480" w:after="480"/>
        <w:rPr>
          <w:b/>
        </w:rPr>
      </w:pPr>
      <w:r w:rsidRPr="004E1F18">
        <w:rPr>
          <w:b/>
        </w:rPr>
        <w:t>Cases Cited</w:t>
      </w:r>
    </w:p>
    <w:p w14:paraId="4CD06A6A" w14:textId="2447B1DC" w:rsidR="00A149DF" w:rsidRPr="004E1F18" w:rsidRDefault="00077449" w:rsidP="00F52BD7">
      <w:pPr>
        <w:pStyle w:val="SCCNormalDoubleSpacing"/>
        <w:widowControl w:val="0"/>
        <w:spacing w:after="720" w:line="240" w:lineRule="auto"/>
      </w:pPr>
      <w:r w:rsidRPr="004E1F18">
        <w:t>By Côté</w:t>
      </w:r>
      <w:r w:rsidR="00BD31C6" w:rsidRPr="004E1F18">
        <w:t> </w:t>
      </w:r>
      <w:r w:rsidRPr="004E1F18">
        <w:t>J.</w:t>
      </w:r>
    </w:p>
    <w:p w14:paraId="728F4BFB" w14:textId="2C9892EF" w:rsidR="004E2C26" w:rsidRPr="004E1F18" w:rsidRDefault="002E6705" w:rsidP="00F52BD7">
      <w:pPr>
        <w:pStyle w:val="SCCNormalDoubleSpacing"/>
        <w:widowControl w:val="0"/>
        <w:spacing w:before="480" w:after="480"/>
      </w:pPr>
      <w:r w:rsidRPr="004E1F18">
        <w:tab/>
      </w:r>
      <w:r w:rsidR="006F2BEA" w:rsidRPr="004E1F18">
        <w:rPr>
          <w:b/>
          <w:szCs w:val="24"/>
        </w:rPr>
        <w:t>Overruled:</w:t>
      </w:r>
      <w:r w:rsidR="006F2BEA" w:rsidRPr="004E1F18">
        <w:rPr>
          <w:i/>
          <w:szCs w:val="24"/>
        </w:rPr>
        <w:t xml:space="preserve"> R. v. Szostak</w:t>
      </w:r>
      <w:r w:rsidR="006F2BEA" w:rsidRPr="004E1F18">
        <w:rPr>
          <w:szCs w:val="24"/>
        </w:rPr>
        <w:t xml:space="preserve">, 2014 ONCA 15, 118 O.R. (3d) 401; </w:t>
      </w:r>
      <w:r w:rsidR="006F2BEA" w:rsidRPr="004E1F18">
        <w:rPr>
          <w:b/>
        </w:rPr>
        <w:t>a</w:t>
      </w:r>
      <w:r w:rsidR="00517CFE" w:rsidRPr="004E1F18">
        <w:rPr>
          <w:b/>
        </w:rPr>
        <w:t>pplied:</w:t>
      </w:r>
      <w:r w:rsidR="00517CFE" w:rsidRPr="004E1F18">
        <w:t xml:space="preserve"> </w:t>
      </w:r>
      <w:r w:rsidR="00C73D11" w:rsidRPr="004E1F18">
        <w:rPr>
          <w:i/>
        </w:rPr>
        <w:t>R. v. Lyons</w:t>
      </w:r>
      <w:r w:rsidR="00C73D11" w:rsidRPr="004E1F18">
        <w:t xml:space="preserve">, [1987] 2 S.C.R. 309; </w:t>
      </w:r>
      <w:r w:rsidR="00C73D11" w:rsidRPr="004E1F18">
        <w:rPr>
          <w:i/>
          <w:szCs w:val="24"/>
        </w:rPr>
        <w:t>R. v. Johnson</w:t>
      </w:r>
      <w:r w:rsidR="00C73D11" w:rsidRPr="004E1F18">
        <w:rPr>
          <w:szCs w:val="24"/>
        </w:rPr>
        <w:t xml:space="preserve">, 2003 SCC 46, [2003] 2 S.C.R. 357; </w:t>
      </w:r>
      <w:r w:rsidR="00C73D11" w:rsidRPr="004E1F18">
        <w:rPr>
          <w:b/>
          <w:szCs w:val="24"/>
        </w:rPr>
        <w:t>r</w:t>
      </w:r>
      <w:r w:rsidRPr="004E1F18">
        <w:rPr>
          <w:b/>
        </w:rPr>
        <w:t>eferred to:</w:t>
      </w:r>
      <w:r w:rsidR="00BD0E9E" w:rsidRPr="004E1F18">
        <w:t xml:space="preserve"> </w:t>
      </w:r>
      <w:r w:rsidR="00077449" w:rsidRPr="004E1F18">
        <w:rPr>
          <w:i/>
          <w:szCs w:val="24"/>
        </w:rPr>
        <w:t>R. v. Sipos</w:t>
      </w:r>
      <w:r w:rsidR="00077449" w:rsidRPr="004E1F18">
        <w:rPr>
          <w:szCs w:val="24"/>
        </w:rPr>
        <w:t xml:space="preserve">, </w:t>
      </w:r>
      <w:r w:rsidR="00DC1D0C" w:rsidRPr="004E1F18">
        <w:rPr>
          <w:szCs w:val="24"/>
        </w:rPr>
        <w:t xml:space="preserve">2014 SCC 47, </w:t>
      </w:r>
      <w:r w:rsidR="00077449" w:rsidRPr="004E1F18">
        <w:rPr>
          <w:szCs w:val="24"/>
        </w:rPr>
        <w:t xml:space="preserve">[2014] 2 S.C.R. 423; </w:t>
      </w:r>
      <w:r w:rsidR="00077449" w:rsidRPr="004E1F18">
        <w:rPr>
          <w:i/>
          <w:szCs w:val="24"/>
        </w:rPr>
        <w:t xml:space="preserve">Hatchwell v. </w:t>
      </w:r>
      <w:r w:rsidR="000530D0" w:rsidRPr="004E1F18">
        <w:rPr>
          <w:i/>
          <w:szCs w:val="24"/>
        </w:rPr>
        <w:t>The Queen</w:t>
      </w:r>
      <w:r w:rsidR="00077449" w:rsidRPr="004E1F18">
        <w:rPr>
          <w:szCs w:val="24"/>
        </w:rPr>
        <w:t xml:space="preserve">, [1976] 1 S.C.R. 39; </w:t>
      </w:r>
      <w:r w:rsidR="00BA67CB" w:rsidRPr="004E1F18">
        <w:rPr>
          <w:i/>
          <w:szCs w:val="24"/>
        </w:rPr>
        <w:t>R. v. Currie</w:t>
      </w:r>
      <w:r w:rsidR="00BA67CB" w:rsidRPr="004E1F18">
        <w:rPr>
          <w:szCs w:val="24"/>
        </w:rPr>
        <w:t>, [1997] 2 S.C.R. 260;</w:t>
      </w:r>
      <w:r w:rsidR="00BA67CB" w:rsidRPr="004E1F18">
        <w:rPr>
          <w:i/>
          <w:szCs w:val="24"/>
        </w:rPr>
        <w:t xml:space="preserve"> </w:t>
      </w:r>
      <w:r w:rsidR="001C3311" w:rsidRPr="004E1F18">
        <w:rPr>
          <w:i/>
          <w:szCs w:val="24"/>
        </w:rPr>
        <w:t>R. v. Gardiner</w:t>
      </w:r>
      <w:r w:rsidR="001C3311" w:rsidRPr="004E1F18">
        <w:rPr>
          <w:szCs w:val="24"/>
        </w:rPr>
        <w:t>, [1982] 2 S.C.R. 368;</w:t>
      </w:r>
      <w:r w:rsidR="001C3311" w:rsidRPr="004E1F18">
        <w:rPr>
          <w:i/>
          <w:szCs w:val="24"/>
        </w:rPr>
        <w:t xml:space="preserve"> </w:t>
      </w:r>
      <w:r w:rsidR="00077449" w:rsidRPr="004E1F18">
        <w:rPr>
          <w:i/>
          <w:szCs w:val="24"/>
        </w:rPr>
        <w:t>R. v. Jones</w:t>
      </w:r>
      <w:r w:rsidR="00077449" w:rsidRPr="004E1F18">
        <w:rPr>
          <w:szCs w:val="24"/>
        </w:rPr>
        <w:t xml:space="preserve">, [1994] 2 S.C.R. 229; </w:t>
      </w:r>
      <w:r w:rsidR="00077449" w:rsidRPr="004E1F18">
        <w:rPr>
          <w:i/>
          <w:szCs w:val="24"/>
        </w:rPr>
        <w:t>R. v. Carleton</w:t>
      </w:r>
      <w:r w:rsidR="00077449" w:rsidRPr="004E1F18">
        <w:rPr>
          <w:szCs w:val="24"/>
        </w:rPr>
        <w:t xml:space="preserve"> </w:t>
      </w:r>
      <w:r w:rsidR="000C52D9" w:rsidRPr="004E1F18">
        <w:rPr>
          <w:szCs w:val="24"/>
        </w:rPr>
        <w:t xml:space="preserve">(1981), </w:t>
      </w:r>
      <w:r w:rsidR="009E0E92" w:rsidRPr="004E1F18">
        <w:rPr>
          <w:szCs w:val="24"/>
        </w:rPr>
        <w:t>32 A.R. 181</w:t>
      </w:r>
      <w:r w:rsidR="00077449" w:rsidRPr="004E1F18">
        <w:rPr>
          <w:szCs w:val="24"/>
        </w:rPr>
        <w:t>, aff</w:t>
      </w:r>
      <w:r w:rsidR="003775EB" w:rsidRPr="004E1F18">
        <w:rPr>
          <w:szCs w:val="24"/>
        </w:rPr>
        <w:t>’</w:t>
      </w:r>
      <w:r w:rsidR="00077449" w:rsidRPr="004E1F18">
        <w:rPr>
          <w:szCs w:val="24"/>
        </w:rPr>
        <w:t xml:space="preserve">d [1983] 2 S.C.R. 58; </w:t>
      </w:r>
      <w:r w:rsidR="00077449" w:rsidRPr="004E1F18">
        <w:rPr>
          <w:i/>
          <w:szCs w:val="24"/>
        </w:rPr>
        <w:t>R. v. Sullivan</w:t>
      </w:r>
      <w:r w:rsidR="00077449" w:rsidRPr="004E1F18">
        <w:rPr>
          <w:szCs w:val="24"/>
        </w:rPr>
        <w:t xml:space="preserve"> </w:t>
      </w:r>
      <w:r w:rsidR="003775EB" w:rsidRPr="004E1F18">
        <w:rPr>
          <w:szCs w:val="24"/>
        </w:rPr>
        <w:t>(</w:t>
      </w:r>
      <w:r w:rsidR="00077449" w:rsidRPr="004E1F18">
        <w:rPr>
          <w:szCs w:val="24"/>
        </w:rPr>
        <w:t>1987</w:t>
      </w:r>
      <w:r w:rsidR="003775EB" w:rsidRPr="004E1F18">
        <w:rPr>
          <w:szCs w:val="24"/>
        </w:rPr>
        <w:t>),</w:t>
      </w:r>
      <w:r w:rsidR="00077449" w:rsidRPr="004E1F18">
        <w:rPr>
          <w:szCs w:val="24"/>
        </w:rPr>
        <w:t xml:space="preserve"> 20 O.A.C. 323; </w:t>
      </w:r>
      <w:r w:rsidR="00077449" w:rsidRPr="004E1F18">
        <w:rPr>
          <w:i/>
          <w:szCs w:val="24"/>
        </w:rPr>
        <w:t>R. v. Newman</w:t>
      </w:r>
      <w:r w:rsidR="00077449" w:rsidRPr="004E1F18">
        <w:rPr>
          <w:szCs w:val="24"/>
        </w:rPr>
        <w:t xml:space="preserve"> </w:t>
      </w:r>
      <w:r w:rsidR="00F3601E" w:rsidRPr="004E1F18">
        <w:rPr>
          <w:szCs w:val="24"/>
        </w:rPr>
        <w:t>(</w:t>
      </w:r>
      <w:r w:rsidR="00077449" w:rsidRPr="004E1F18">
        <w:rPr>
          <w:szCs w:val="24"/>
        </w:rPr>
        <w:t>1994</w:t>
      </w:r>
      <w:r w:rsidR="00F3601E" w:rsidRPr="004E1F18">
        <w:rPr>
          <w:szCs w:val="24"/>
        </w:rPr>
        <w:t xml:space="preserve">), 115 Nfld. &amp; P.E.I.R. 197; </w:t>
      </w:r>
      <w:r w:rsidR="00077449" w:rsidRPr="004E1F18">
        <w:rPr>
          <w:i/>
          <w:szCs w:val="24"/>
        </w:rPr>
        <w:t>R. v. Oliver</w:t>
      </w:r>
      <w:r w:rsidR="00077449" w:rsidRPr="004E1F18">
        <w:rPr>
          <w:szCs w:val="24"/>
        </w:rPr>
        <w:t xml:space="preserve"> </w:t>
      </w:r>
      <w:r w:rsidR="00F3601E" w:rsidRPr="004E1F18">
        <w:rPr>
          <w:szCs w:val="24"/>
        </w:rPr>
        <w:t xml:space="preserve">(1997), 114 C.C.C. (3d) 50; </w:t>
      </w:r>
      <w:r w:rsidR="00077449" w:rsidRPr="004E1F18">
        <w:rPr>
          <w:i/>
          <w:szCs w:val="24"/>
        </w:rPr>
        <w:t>R. v. Neve</w:t>
      </w:r>
      <w:r w:rsidR="000C52D9" w:rsidRPr="004E1F18">
        <w:rPr>
          <w:szCs w:val="24"/>
        </w:rPr>
        <w:t xml:space="preserve">, </w:t>
      </w:r>
      <w:r w:rsidR="00077449" w:rsidRPr="004E1F18">
        <w:rPr>
          <w:szCs w:val="24"/>
        </w:rPr>
        <w:t>1999</w:t>
      </w:r>
      <w:r w:rsidR="000C52D9" w:rsidRPr="004E1F18">
        <w:rPr>
          <w:szCs w:val="24"/>
        </w:rPr>
        <w:t xml:space="preserve"> ABCA 206,</w:t>
      </w:r>
      <w:r w:rsidR="00EA7F16" w:rsidRPr="004E1F18">
        <w:rPr>
          <w:szCs w:val="24"/>
        </w:rPr>
        <w:t xml:space="preserve"> 137 C.C.C.</w:t>
      </w:r>
      <w:r w:rsidR="000C52D9" w:rsidRPr="004E1F18">
        <w:rPr>
          <w:szCs w:val="24"/>
        </w:rPr>
        <w:t xml:space="preserve"> (3d) 97</w:t>
      </w:r>
      <w:r w:rsidR="00EA7F16" w:rsidRPr="004E1F18">
        <w:rPr>
          <w:szCs w:val="24"/>
        </w:rPr>
        <w:t xml:space="preserve">; </w:t>
      </w:r>
      <w:r w:rsidR="00F742B8" w:rsidRPr="004E1F18">
        <w:rPr>
          <w:i/>
          <w:szCs w:val="24"/>
        </w:rPr>
        <w:t>R. v. Nur</w:t>
      </w:r>
      <w:r w:rsidR="00865DA6" w:rsidRPr="004E1F18">
        <w:rPr>
          <w:szCs w:val="24"/>
        </w:rPr>
        <w:t>, 2015 SCC 15, [2015] 1 S.C.R</w:t>
      </w:r>
      <w:r w:rsidR="00F742B8" w:rsidRPr="004E1F18">
        <w:rPr>
          <w:szCs w:val="24"/>
        </w:rPr>
        <w:t xml:space="preserve">. 773; </w:t>
      </w:r>
      <w:r w:rsidR="00F742B8" w:rsidRPr="004E1F18">
        <w:rPr>
          <w:i/>
          <w:szCs w:val="24"/>
        </w:rPr>
        <w:t>R. v. Smith</w:t>
      </w:r>
      <w:r w:rsidR="00F742B8" w:rsidRPr="004E1F18">
        <w:rPr>
          <w:szCs w:val="24"/>
        </w:rPr>
        <w:t xml:space="preserve">, [1987] 1 S.C.R. 1045; </w:t>
      </w:r>
      <w:r w:rsidR="00077449" w:rsidRPr="004E1F18">
        <w:rPr>
          <w:i/>
          <w:szCs w:val="24"/>
        </w:rPr>
        <w:t>R. v. Lloyd</w:t>
      </w:r>
      <w:r w:rsidR="00077449" w:rsidRPr="004E1F18">
        <w:rPr>
          <w:szCs w:val="24"/>
        </w:rPr>
        <w:t>, 2016 SCC 13</w:t>
      </w:r>
      <w:r w:rsidR="00FF07D6" w:rsidRPr="004E1F18">
        <w:rPr>
          <w:szCs w:val="24"/>
        </w:rPr>
        <w:t>, [2016] 1 S.C.R. 130</w:t>
      </w:r>
      <w:r w:rsidR="00077449" w:rsidRPr="004E1F18">
        <w:rPr>
          <w:szCs w:val="24"/>
        </w:rPr>
        <w:t xml:space="preserve">; </w:t>
      </w:r>
      <w:r w:rsidR="00077449" w:rsidRPr="004E1F18">
        <w:rPr>
          <w:i/>
          <w:szCs w:val="24"/>
        </w:rPr>
        <w:t>R</w:t>
      </w:r>
      <w:r w:rsidR="00FF07D6" w:rsidRPr="004E1F18">
        <w:rPr>
          <w:i/>
          <w:szCs w:val="24"/>
        </w:rPr>
        <w:t>.</w:t>
      </w:r>
      <w:r w:rsidR="00077449" w:rsidRPr="004E1F18">
        <w:rPr>
          <w:i/>
          <w:szCs w:val="24"/>
        </w:rPr>
        <w:t xml:space="preserve"> v. Safarzadeh</w:t>
      </w:r>
      <w:r w:rsidR="00AA266A" w:rsidRPr="004E1F18">
        <w:rPr>
          <w:i/>
          <w:szCs w:val="24"/>
        </w:rPr>
        <w:noBreakHyphen/>
      </w:r>
      <w:r w:rsidR="00077449" w:rsidRPr="004E1F18">
        <w:rPr>
          <w:i/>
          <w:szCs w:val="24"/>
        </w:rPr>
        <w:t>Markhali</w:t>
      </w:r>
      <w:r w:rsidR="00077449" w:rsidRPr="004E1F18">
        <w:rPr>
          <w:szCs w:val="24"/>
        </w:rPr>
        <w:t>, 2016 SCC 14</w:t>
      </w:r>
      <w:r w:rsidR="00FF07D6" w:rsidRPr="004E1F18">
        <w:rPr>
          <w:szCs w:val="24"/>
        </w:rPr>
        <w:t>, [2016] 1 S.C.R. 180;</w:t>
      </w:r>
      <w:r w:rsidR="00077449" w:rsidRPr="004E1F18">
        <w:rPr>
          <w:szCs w:val="24"/>
        </w:rPr>
        <w:t xml:space="preserve"> </w:t>
      </w:r>
      <w:r w:rsidR="00004B51" w:rsidRPr="004E1F18">
        <w:rPr>
          <w:i/>
          <w:szCs w:val="24"/>
        </w:rPr>
        <w:t>R. v. Steele</w:t>
      </w:r>
      <w:r w:rsidR="00004B51" w:rsidRPr="004E1F18">
        <w:rPr>
          <w:szCs w:val="24"/>
        </w:rPr>
        <w:t xml:space="preserve">, 2014 SCC 61, [2014] 3 S.C.R. 138; </w:t>
      </w:r>
      <w:r w:rsidR="00F150FC" w:rsidRPr="004E1F18">
        <w:rPr>
          <w:i/>
          <w:szCs w:val="24"/>
        </w:rPr>
        <w:t>R. v. Ipeelee</w:t>
      </w:r>
      <w:r w:rsidR="00F150FC" w:rsidRPr="004E1F18">
        <w:rPr>
          <w:szCs w:val="24"/>
        </w:rPr>
        <w:t xml:space="preserve">, </w:t>
      </w:r>
      <w:r w:rsidR="000C7E34" w:rsidRPr="004E1F18">
        <w:rPr>
          <w:szCs w:val="24"/>
        </w:rPr>
        <w:t xml:space="preserve">2012 SCC 13, </w:t>
      </w:r>
      <w:r w:rsidR="00F150FC" w:rsidRPr="004E1F18">
        <w:rPr>
          <w:szCs w:val="24"/>
        </w:rPr>
        <w:t xml:space="preserve">[2012] 1 S.C.R. 433; </w:t>
      </w:r>
      <w:r w:rsidR="00F150FC" w:rsidRPr="004E1F18">
        <w:rPr>
          <w:i/>
          <w:szCs w:val="24"/>
        </w:rPr>
        <w:t>R. v. Lacasse</w:t>
      </w:r>
      <w:r w:rsidR="00F150FC" w:rsidRPr="004E1F18">
        <w:rPr>
          <w:szCs w:val="24"/>
        </w:rPr>
        <w:t xml:space="preserve">, </w:t>
      </w:r>
      <w:r w:rsidR="00A2471C" w:rsidRPr="004E1F18">
        <w:rPr>
          <w:szCs w:val="24"/>
        </w:rPr>
        <w:t xml:space="preserve">2015 SCC 64, </w:t>
      </w:r>
      <w:r w:rsidR="00F150FC" w:rsidRPr="004E1F18">
        <w:rPr>
          <w:szCs w:val="24"/>
        </w:rPr>
        <w:t xml:space="preserve">[2015] 3 S.C.R. 1089; </w:t>
      </w:r>
      <w:r w:rsidR="00F150FC" w:rsidRPr="004E1F18">
        <w:rPr>
          <w:i/>
          <w:szCs w:val="24"/>
        </w:rPr>
        <w:t>R</w:t>
      </w:r>
      <w:r w:rsidR="00A2471C" w:rsidRPr="004E1F18">
        <w:rPr>
          <w:i/>
          <w:szCs w:val="24"/>
        </w:rPr>
        <w:t>.</w:t>
      </w:r>
      <w:r w:rsidR="00F150FC" w:rsidRPr="004E1F18">
        <w:rPr>
          <w:i/>
          <w:szCs w:val="24"/>
        </w:rPr>
        <w:t xml:space="preserve"> v. Warawa</w:t>
      </w:r>
      <w:r w:rsidR="00F150FC" w:rsidRPr="004E1F18">
        <w:rPr>
          <w:szCs w:val="24"/>
        </w:rPr>
        <w:t>, 2011 ABCA 294</w:t>
      </w:r>
      <w:r w:rsidR="00A2471C" w:rsidRPr="004E1F18">
        <w:rPr>
          <w:szCs w:val="24"/>
        </w:rPr>
        <w:t xml:space="preserve">, 278 C.C.C. (3d) </w:t>
      </w:r>
      <w:r w:rsidR="00A2471C" w:rsidRPr="004E1F18">
        <w:rPr>
          <w:szCs w:val="24"/>
        </w:rPr>
        <w:lastRenderedPageBreak/>
        <w:t>409;</w:t>
      </w:r>
      <w:r w:rsidR="00F150FC" w:rsidRPr="004E1F18">
        <w:rPr>
          <w:szCs w:val="24"/>
        </w:rPr>
        <w:t xml:space="preserve"> </w:t>
      </w:r>
      <w:r w:rsidR="00F150FC" w:rsidRPr="004E1F18">
        <w:rPr>
          <w:i/>
          <w:szCs w:val="24"/>
        </w:rPr>
        <w:t>R. v. Osborne</w:t>
      </w:r>
      <w:r w:rsidR="00F150FC" w:rsidRPr="004E1F18">
        <w:rPr>
          <w:szCs w:val="24"/>
        </w:rPr>
        <w:t>, 2014 MBCA 73</w:t>
      </w:r>
      <w:r w:rsidR="00A2471C" w:rsidRPr="004E1F18">
        <w:rPr>
          <w:szCs w:val="24"/>
        </w:rPr>
        <w:t>, 314 C.C.C. (3d) 57;</w:t>
      </w:r>
      <w:r w:rsidR="00F150FC" w:rsidRPr="004E1F18">
        <w:rPr>
          <w:szCs w:val="24"/>
        </w:rPr>
        <w:t xml:space="preserve"> </w:t>
      </w:r>
      <w:r w:rsidR="00F150FC" w:rsidRPr="004E1F18">
        <w:rPr>
          <w:i/>
          <w:szCs w:val="24"/>
        </w:rPr>
        <w:t>R. v. Bragg</w:t>
      </w:r>
      <w:r w:rsidR="00F150FC" w:rsidRPr="004E1F18">
        <w:rPr>
          <w:szCs w:val="24"/>
        </w:rPr>
        <w:t>, 2015 BCCA 498</w:t>
      </w:r>
      <w:r w:rsidR="001504C3" w:rsidRPr="004E1F18">
        <w:rPr>
          <w:szCs w:val="24"/>
        </w:rPr>
        <w:t>, 332 C.C.C. (3d) 145;</w:t>
      </w:r>
      <w:r w:rsidR="00F150FC" w:rsidRPr="004E1F18">
        <w:rPr>
          <w:szCs w:val="24"/>
        </w:rPr>
        <w:t xml:space="preserve"> </w:t>
      </w:r>
      <w:r w:rsidR="00F150FC" w:rsidRPr="004E1F18">
        <w:rPr>
          <w:i/>
          <w:szCs w:val="24"/>
        </w:rPr>
        <w:t>R. v. Smarch</w:t>
      </w:r>
      <w:r w:rsidR="00F150FC" w:rsidRPr="004E1F18">
        <w:rPr>
          <w:szCs w:val="24"/>
        </w:rPr>
        <w:t>, 2015 YKCA 13</w:t>
      </w:r>
      <w:r w:rsidR="001565AF" w:rsidRPr="004E1F18">
        <w:rPr>
          <w:szCs w:val="24"/>
        </w:rPr>
        <w:t>, 374 B.C.A.C. 291</w:t>
      </w:r>
      <w:r w:rsidR="00F150FC" w:rsidRPr="004E1F18">
        <w:rPr>
          <w:szCs w:val="24"/>
        </w:rPr>
        <w:t xml:space="preserve">; </w:t>
      </w:r>
      <w:r w:rsidR="00F150FC" w:rsidRPr="004E1F18">
        <w:rPr>
          <w:i/>
          <w:szCs w:val="24"/>
        </w:rPr>
        <w:t>R. v. Gladue</w:t>
      </w:r>
      <w:r w:rsidR="00F150FC" w:rsidRPr="004E1F18">
        <w:rPr>
          <w:szCs w:val="24"/>
        </w:rPr>
        <w:t xml:space="preserve">, [1999] 1 S.C.R. 688; </w:t>
      </w:r>
      <w:r w:rsidR="00F150FC" w:rsidRPr="004E1F18">
        <w:rPr>
          <w:i/>
          <w:szCs w:val="24"/>
        </w:rPr>
        <w:t>R. v. Proulx</w:t>
      </w:r>
      <w:r w:rsidR="00F150FC" w:rsidRPr="004E1F18">
        <w:rPr>
          <w:szCs w:val="24"/>
        </w:rPr>
        <w:t xml:space="preserve">, </w:t>
      </w:r>
      <w:r w:rsidR="00E06DE4" w:rsidRPr="004E1F18">
        <w:rPr>
          <w:szCs w:val="24"/>
        </w:rPr>
        <w:t xml:space="preserve">2000 SCC 5, </w:t>
      </w:r>
      <w:r w:rsidR="00F150FC" w:rsidRPr="004E1F18">
        <w:rPr>
          <w:szCs w:val="24"/>
        </w:rPr>
        <w:t>[2000] 1 S</w:t>
      </w:r>
      <w:r w:rsidR="00E06DE4" w:rsidRPr="004E1F18">
        <w:rPr>
          <w:szCs w:val="24"/>
        </w:rPr>
        <w:t>.</w:t>
      </w:r>
      <w:r w:rsidR="00F150FC" w:rsidRPr="004E1F18">
        <w:rPr>
          <w:szCs w:val="24"/>
        </w:rPr>
        <w:t>C</w:t>
      </w:r>
      <w:r w:rsidR="00E06DE4" w:rsidRPr="004E1F18">
        <w:rPr>
          <w:szCs w:val="24"/>
        </w:rPr>
        <w:t>.</w:t>
      </w:r>
      <w:r w:rsidR="00F150FC" w:rsidRPr="004E1F18">
        <w:rPr>
          <w:szCs w:val="24"/>
        </w:rPr>
        <w:t>R</w:t>
      </w:r>
      <w:r w:rsidR="00E06DE4" w:rsidRPr="004E1F18">
        <w:rPr>
          <w:szCs w:val="24"/>
        </w:rPr>
        <w:t>.</w:t>
      </w:r>
      <w:r w:rsidR="00F150FC" w:rsidRPr="004E1F18">
        <w:rPr>
          <w:szCs w:val="24"/>
        </w:rPr>
        <w:t xml:space="preserve"> 61; </w:t>
      </w:r>
      <w:r w:rsidR="00F150FC" w:rsidRPr="004E1F18">
        <w:rPr>
          <w:i/>
          <w:szCs w:val="24"/>
        </w:rPr>
        <w:t>R. v. Crowe</w:t>
      </w:r>
      <w:r w:rsidR="00F150FC" w:rsidRPr="004E1F18">
        <w:rPr>
          <w:szCs w:val="24"/>
        </w:rPr>
        <w:t xml:space="preserve">, </w:t>
      </w:r>
      <w:r w:rsidR="002D5BCE" w:rsidRPr="004E1F18">
        <w:rPr>
          <w:szCs w:val="24"/>
        </w:rPr>
        <w:t>Ont. Ct.</w:t>
      </w:r>
      <w:r w:rsidR="00375904" w:rsidRPr="004E1F18">
        <w:rPr>
          <w:szCs w:val="24"/>
        </w:rPr>
        <w:t xml:space="preserve"> J.</w:t>
      </w:r>
      <w:r w:rsidR="002D5BCE" w:rsidRPr="004E1F18">
        <w:rPr>
          <w:szCs w:val="24"/>
        </w:rPr>
        <w:t xml:space="preserve">, </w:t>
      </w:r>
      <w:r w:rsidR="00AA266A" w:rsidRPr="004E1F18">
        <w:rPr>
          <w:szCs w:val="24"/>
        </w:rPr>
        <w:t>No. </w:t>
      </w:r>
      <w:r w:rsidR="00F150FC" w:rsidRPr="004E1F18">
        <w:rPr>
          <w:szCs w:val="24"/>
        </w:rPr>
        <w:t>10</w:t>
      </w:r>
      <w:r w:rsidR="00AA266A" w:rsidRPr="004E1F18">
        <w:rPr>
          <w:szCs w:val="24"/>
        </w:rPr>
        <w:noBreakHyphen/>
      </w:r>
      <w:r w:rsidR="00F150FC" w:rsidRPr="004E1F18">
        <w:rPr>
          <w:szCs w:val="24"/>
        </w:rPr>
        <w:t xml:space="preserve">10013990, </w:t>
      </w:r>
      <w:r w:rsidR="002D5BCE" w:rsidRPr="004E1F18">
        <w:rPr>
          <w:szCs w:val="24"/>
        </w:rPr>
        <w:t>March</w:t>
      </w:r>
      <w:r w:rsidR="00BD31C6" w:rsidRPr="004E1F18">
        <w:rPr>
          <w:szCs w:val="24"/>
        </w:rPr>
        <w:t> </w:t>
      </w:r>
      <w:r w:rsidR="002D5BCE" w:rsidRPr="004E1F18">
        <w:rPr>
          <w:szCs w:val="24"/>
        </w:rPr>
        <w:t xml:space="preserve">22, </w:t>
      </w:r>
      <w:r w:rsidR="00F150FC" w:rsidRPr="004E1F18">
        <w:rPr>
          <w:szCs w:val="24"/>
        </w:rPr>
        <w:t>2017</w:t>
      </w:r>
      <w:r w:rsidR="00410333" w:rsidRPr="004E1F18">
        <w:rPr>
          <w:szCs w:val="24"/>
        </w:rPr>
        <w:t>.</w:t>
      </w:r>
    </w:p>
    <w:p w14:paraId="2D82A1E5" w14:textId="62DA71DD" w:rsidR="00B033BC" w:rsidRPr="004E1F18" w:rsidRDefault="00B033BC" w:rsidP="00F52BD7">
      <w:pPr>
        <w:pStyle w:val="SCCNormalDoubleSpacing"/>
        <w:widowControl w:val="0"/>
        <w:spacing w:after="720" w:line="240" w:lineRule="auto"/>
      </w:pPr>
      <w:r w:rsidRPr="004E1F18">
        <w:t>By Karakatsanis</w:t>
      </w:r>
      <w:r w:rsidR="00BD31C6" w:rsidRPr="004E1F18">
        <w:t> </w:t>
      </w:r>
      <w:r w:rsidRPr="004E1F18">
        <w:t>J.</w:t>
      </w:r>
      <w:r w:rsidR="00C73D11" w:rsidRPr="004E1F18">
        <w:t xml:space="preserve"> (dissenting in part)</w:t>
      </w:r>
    </w:p>
    <w:p w14:paraId="6A52BBA5" w14:textId="006B08C8" w:rsidR="00B033BC" w:rsidRPr="004E1F18" w:rsidRDefault="00B033BC" w:rsidP="00F52BD7">
      <w:pPr>
        <w:pStyle w:val="SCCNormalDoubleSpacing"/>
        <w:widowControl w:val="0"/>
        <w:spacing w:before="480" w:after="480"/>
      </w:pPr>
      <w:r w:rsidRPr="004E1F18">
        <w:tab/>
      </w:r>
      <w:r w:rsidR="00487564" w:rsidRPr="004E1F18">
        <w:rPr>
          <w:i/>
        </w:rPr>
        <w:t>R. v. Lyons</w:t>
      </w:r>
      <w:r w:rsidR="00487564" w:rsidRPr="004E1F18">
        <w:t xml:space="preserve">, [1987] 2 S.C.R. 309; </w:t>
      </w:r>
      <w:r w:rsidR="00487564" w:rsidRPr="004E1F18">
        <w:rPr>
          <w:i/>
        </w:rPr>
        <w:t>R. v. Johnson</w:t>
      </w:r>
      <w:r w:rsidR="00487564" w:rsidRPr="004E1F18">
        <w:t>, 2003 SCC 46</w:t>
      </w:r>
      <w:r w:rsidR="0062335C" w:rsidRPr="004E1F18">
        <w:t>, [2003] 2 S.C.R. 357</w:t>
      </w:r>
      <w:r w:rsidR="00487564" w:rsidRPr="004E1F18">
        <w:t xml:space="preserve">; </w:t>
      </w:r>
      <w:r w:rsidR="00487564" w:rsidRPr="004E1F18">
        <w:rPr>
          <w:i/>
        </w:rPr>
        <w:t>R. v. Nur</w:t>
      </w:r>
      <w:r w:rsidR="00487564" w:rsidRPr="004E1F18">
        <w:t>, 2015 SCC 15</w:t>
      </w:r>
      <w:r w:rsidR="00E9568D" w:rsidRPr="004E1F18">
        <w:t>, [2015] 1 S.C.R. 773</w:t>
      </w:r>
      <w:r w:rsidR="00487564" w:rsidRPr="004E1F18">
        <w:t xml:space="preserve">; </w:t>
      </w:r>
      <w:r w:rsidR="00487564" w:rsidRPr="004E1F18">
        <w:rPr>
          <w:i/>
        </w:rPr>
        <w:t>R. v. Ferguson</w:t>
      </w:r>
      <w:r w:rsidR="00487564" w:rsidRPr="004E1F18">
        <w:t>, 2008 SCC 6</w:t>
      </w:r>
      <w:r w:rsidR="00A92557" w:rsidRPr="004E1F18">
        <w:t>, [2008] 1 S.C.R. 96</w:t>
      </w:r>
      <w:r w:rsidR="00487564" w:rsidRPr="004E1F18">
        <w:t>;</w:t>
      </w:r>
      <w:r w:rsidR="005B6895" w:rsidRPr="004E1F18">
        <w:t xml:space="preserve"> </w:t>
      </w:r>
      <w:r w:rsidR="005B6895" w:rsidRPr="004E1F18">
        <w:rPr>
          <w:i/>
        </w:rPr>
        <w:t>R. v. Wiles</w:t>
      </w:r>
      <w:r w:rsidR="005B6895" w:rsidRPr="004E1F18">
        <w:t>, 2005 SCC 84, [2005] 3 S.C.R. 895;</w:t>
      </w:r>
      <w:r w:rsidR="00487564" w:rsidRPr="004E1F18">
        <w:t xml:space="preserve"> </w:t>
      </w:r>
      <w:r w:rsidR="00487564" w:rsidRPr="004E1F18">
        <w:rPr>
          <w:i/>
        </w:rPr>
        <w:t>R. v. Lloyd</w:t>
      </w:r>
      <w:r w:rsidR="00487564" w:rsidRPr="004E1F18">
        <w:t>, 2016 SCC 13</w:t>
      </w:r>
      <w:r w:rsidR="00972894" w:rsidRPr="004E1F18">
        <w:t>, [2016] 1 S.C.R. 130</w:t>
      </w:r>
      <w:r w:rsidR="00487564" w:rsidRPr="004E1F18">
        <w:t xml:space="preserve">; </w:t>
      </w:r>
      <w:r w:rsidR="00487564" w:rsidRPr="004E1F18">
        <w:rPr>
          <w:i/>
        </w:rPr>
        <w:t>R. v. Steele</w:t>
      </w:r>
      <w:r w:rsidR="00487564" w:rsidRPr="004E1F18">
        <w:t>, 2014 SCC 61</w:t>
      </w:r>
      <w:r w:rsidR="001041AC" w:rsidRPr="004E1F18">
        <w:t>, [2014] 3 S.C.R. 138</w:t>
      </w:r>
      <w:r w:rsidR="00487564" w:rsidRPr="004E1F18">
        <w:t xml:space="preserve">; </w:t>
      </w:r>
      <w:r w:rsidR="00487564" w:rsidRPr="004E1F18">
        <w:rPr>
          <w:i/>
        </w:rPr>
        <w:t>R. v. Currie</w:t>
      </w:r>
      <w:r w:rsidR="00487564" w:rsidRPr="004E1F18">
        <w:t>, [1997] 2 S</w:t>
      </w:r>
      <w:r w:rsidR="00F10505" w:rsidRPr="004E1F18">
        <w:t>.</w:t>
      </w:r>
      <w:r w:rsidR="00487564" w:rsidRPr="004E1F18">
        <w:t>C</w:t>
      </w:r>
      <w:r w:rsidR="00F10505" w:rsidRPr="004E1F18">
        <w:t>.</w:t>
      </w:r>
      <w:r w:rsidR="00487564" w:rsidRPr="004E1F18">
        <w:t>R</w:t>
      </w:r>
      <w:r w:rsidR="00F10505" w:rsidRPr="004E1F18">
        <w:t>.</w:t>
      </w:r>
      <w:r w:rsidR="00487564" w:rsidRPr="004E1F18">
        <w:t xml:space="preserve"> 260; </w:t>
      </w:r>
      <w:r w:rsidR="00487564" w:rsidRPr="004E1F18">
        <w:rPr>
          <w:i/>
        </w:rPr>
        <w:t>R. v. Taillefer</w:t>
      </w:r>
      <w:r w:rsidR="00487564" w:rsidRPr="004E1F18">
        <w:t xml:space="preserve">, 2015 ONSC 2357; </w:t>
      </w:r>
      <w:r w:rsidR="00487564" w:rsidRPr="004E1F18">
        <w:rPr>
          <w:i/>
        </w:rPr>
        <w:t>R</w:t>
      </w:r>
      <w:r w:rsidR="00687A33" w:rsidRPr="004E1F18">
        <w:rPr>
          <w:i/>
        </w:rPr>
        <w:t>.</w:t>
      </w:r>
      <w:r w:rsidR="00487564" w:rsidRPr="004E1F18">
        <w:rPr>
          <w:i/>
        </w:rPr>
        <w:t xml:space="preserve"> v. </w:t>
      </w:r>
      <w:r w:rsidR="00382353" w:rsidRPr="004E1F18">
        <w:rPr>
          <w:i/>
        </w:rPr>
        <w:t>S.M.</w:t>
      </w:r>
      <w:r w:rsidR="00687A33" w:rsidRPr="004E1F18">
        <w:t xml:space="preserve"> (2005)</w:t>
      </w:r>
      <w:r w:rsidR="00487564" w:rsidRPr="004E1F18">
        <w:t xml:space="preserve">, 196 O.A.C. 127; </w:t>
      </w:r>
      <w:r w:rsidR="00487564" w:rsidRPr="004E1F18">
        <w:rPr>
          <w:i/>
        </w:rPr>
        <w:t>R. v. Langevin</w:t>
      </w:r>
      <w:r w:rsidR="00487564" w:rsidRPr="004E1F18">
        <w:t xml:space="preserve"> (1984)</w:t>
      </w:r>
      <w:r w:rsidR="00687A33" w:rsidRPr="004E1F18">
        <w:t xml:space="preserve">, </w:t>
      </w:r>
      <w:r w:rsidR="00487564" w:rsidRPr="004E1F18">
        <w:t xml:space="preserve">45 O.R. (2d) 705; </w:t>
      </w:r>
      <w:r w:rsidR="00487564" w:rsidRPr="004E1F18">
        <w:rPr>
          <w:i/>
        </w:rPr>
        <w:t>R. v. Neve</w:t>
      </w:r>
      <w:r w:rsidR="00487564" w:rsidRPr="004E1F18">
        <w:t>, 1999 ABCA 206</w:t>
      </w:r>
      <w:r w:rsidR="0008589E" w:rsidRPr="004E1F18">
        <w:t>, 137 C.C.C. (3d) 97</w:t>
      </w:r>
      <w:r w:rsidR="00487564" w:rsidRPr="004E1F18">
        <w:t xml:space="preserve">; </w:t>
      </w:r>
      <w:r w:rsidR="00487564" w:rsidRPr="004E1F18">
        <w:rPr>
          <w:i/>
        </w:rPr>
        <w:t>R. v. Szostak</w:t>
      </w:r>
      <w:r w:rsidR="00487564" w:rsidRPr="004E1F18">
        <w:t>, 2014 ONCA 15,</w:t>
      </w:r>
      <w:r w:rsidR="0008589E" w:rsidRPr="004E1F18">
        <w:t xml:space="preserve"> 118 O.R. (3d) 401;</w:t>
      </w:r>
      <w:r w:rsidR="00487564" w:rsidRPr="004E1F18">
        <w:t xml:space="preserve"> </w:t>
      </w:r>
      <w:r w:rsidR="00487564" w:rsidRPr="004E1F18">
        <w:rPr>
          <w:i/>
        </w:rPr>
        <w:t>R. v. Shea</w:t>
      </w:r>
      <w:r w:rsidR="00487564" w:rsidRPr="004E1F18">
        <w:t>, 2017 NSCA 43</w:t>
      </w:r>
      <w:r w:rsidR="00732932" w:rsidRPr="004E1F18">
        <w:t>, 349 C.C.C. (3d) 231</w:t>
      </w:r>
      <w:r w:rsidR="00487564" w:rsidRPr="004E1F18">
        <w:t xml:space="preserve">; </w:t>
      </w:r>
      <w:r w:rsidR="00487564" w:rsidRPr="004E1F18">
        <w:rPr>
          <w:i/>
        </w:rPr>
        <w:t>R. v. Ipeelee</w:t>
      </w:r>
      <w:r w:rsidR="00487564" w:rsidRPr="004E1F18">
        <w:t>, 2012 SCC 13</w:t>
      </w:r>
      <w:r w:rsidR="00732932" w:rsidRPr="004E1F18">
        <w:t>, [2012] 1 S.C.R. 433</w:t>
      </w:r>
      <w:r w:rsidR="00487564" w:rsidRPr="004E1F18">
        <w:t xml:space="preserve">; </w:t>
      </w:r>
      <w:r w:rsidR="00487564" w:rsidRPr="004E1F18">
        <w:rPr>
          <w:i/>
        </w:rPr>
        <w:t>R. v. Safarzadeh</w:t>
      </w:r>
      <w:r w:rsidR="00AA266A" w:rsidRPr="004E1F18">
        <w:rPr>
          <w:i/>
        </w:rPr>
        <w:noBreakHyphen/>
      </w:r>
      <w:r w:rsidR="00487564" w:rsidRPr="004E1F18">
        <w:rPr>
          <w:i/>
        </w:rPr>
        <w:t>Markhali</w:t>
      </w:r>
      <w:r w:rsidR="00487564" w:rsidRPr="004E1F18">
        <w:t>, 2016 SCC 14</w:t>
      </w:r>
      <w:r w:rsidR="00F45D15" w:rsidRPr="004E1F18">
        <w:t>, [2016] 1 S.C.R. 180</w:t>
      </w:r>
      <w:r w:rsidR="00487564" w:rsidRPr="004E1F18">
        <w:t xml:space="preserve">; </w:t>
      </w:r>
      <w:r w:rsidR="00487564" w:rsidRPr="004E1F18">
        <w:rPr>
          <w:i/>
        </w:rPr>
        <w:t>R. v. Nasogaluak</w:t>
      </w:r>
      <w:r w:rsidR="00487564" w:rsidRPr="004E1F18">
        <w:t>, 2010 SCC 6</w:t>
      </w:r>
      <w:r w:rsidR="00AF219E" w:rsidRPr="004E1F18">
        <w:t>, [2010] 1 S.C.R. 206</w:t>
      </w:r>
      <w:r w:rsidR="00487564" w:rsidRPr="004E1F18">
        <w:t xml:space="preserve">; </w:t>
      </w:r>
      <w:r w:rsidR="00DC30BB" w:rsidRPr="004E1F18">
        <w:rPr>
          <w:i/>
        </w:rPr>
        <w:t>R</w:t>
      </w:r>
      <w:r w:rsidR="00AF219E" w:rsidRPr="004E1F18">
        <w:rPr>
          <w:i/>
        </w:rPr>
        <w:t>.</w:t>
      </w:r>
      <w:r w:rsidR="00DC30BB" w:rsidRPr="004E1F18">
        <w:rPr>
          <w:i/>
        </w:rPr>
        <w:t xml:space="preserve"> v. Williams</w:t>
      </w:r>
      <w:r w:rsidR="00DC30BB" w:rsidRPr="004E1F18">
        <w:t xml:space="preserve">, [1998] 1 S.C.R. 1128; </w:t>
      </w:r>
      <w:r w:rsidR="00DC30BB" w:rsidRPr="004E1F18">
        <w:rPr>
          <w:i/>
        </w:rPr>
        <w:t>R</w:t>
      </w:r>
      <w:r w:rsidR="00AF219E" w:rsidRPr="004E1F18">
        <w:rPr>
          <w:i/>
        </w:rPr>
        <w:t>.</w:t>
      </w:r>
      <w:r w:rsidR="00DC30BB" w:rsidRPr="004E1F18">
        <w:rPr>
          <w:i/>
        </w:rPr>
        <w:t xml:space="preserve"> v. Gladue</w:t>
      </w:r>
      <w:r w:rsidR="00DC30BB" w:rsidRPr="004E1F18">
        <w:t>, [1999] 1 S</w:t>
      </w:r>
      <w:r w:rsidR="00AF219E" w:rsidRPr="004E1F18">
        <w:t>.</w:t>
      </w:r>
      <w:r w:rsidR="00DC30BB" w:rsidRPr="004E1F18">
        <w:t>C</w:t>
      </w:r>
      <w:r w:rsidR="00AF219E" w:rsidRPr="004E1F18">
        <w:t>.</w:t>
      </w:r>
      <w:r w:rsidR="00DC30BB" w:rsidRPr="004E1F18">
        <w:t>R</w:t>
      </w:r>
      <w:r w:rsidR="00AF219E" w:rsidRPr="004E1F18">
        <w:t>.</w:t>
      </w:r>
      <w:r w:rsidR="00DC30BB" w:rsidRPr="004E1F18">
        <w:t xml:space="preserve"> 688; </w:t>
      </w:r>
      <w:r w:rsidR="00DC30BB" w:rsidRPr="004E1F18">
        <w:rPr>
          <w:i/>
        </w:rPr>
        <w:t>R. v. Walsh</w:t>
      </w:r>
      <w:r w:rsidR="00DC30BB" w:rsidRPr="004E1F18">
        <w:t>, 2017 BCCA 195</w:t>
      </w:r>
      <w:r w:rsidR="00625F9D" w:rsidRPr="004E1F18">
        <w:t>, 348 C.C.C. (3d) 1</w:t>
      </w:r>
      <w:r w:rsidR="00DC30BB" w:rsidRPr="004E1F18">
        <w:t xml:space="preserve">; </w:t>
      </w:r>
      <w:r w:rsidR="00DC30BB" w:rsidRPr="004E1F18">
        <w:rPr>
          <w:i/>
        </w:rPr>
        <w:t>R. v. Payne</w:t>
      </w:r>
      <w:r w:rsidR="00991FFC" w:rsidRPr="004E1F18">
        <w:rPr>
          <w:i/>
        </w:rPr>
        <w:t xml:space="preserve"> </w:t>
      </w:r>
      <w:r w:rsidR="00991FFC" w:rsidRPr="004E1F18">
        <w:t>(2001)</w:t>
      </w:r>
      <w:r w:rsidR="00DC30BB" w:rsidRPr="004E1F18">
        <w:t xml:space="preserve">, </w:t>
      </w:r>
      <w:r w:rsidR="00991FFC" w:rsidRPr="004E1F18">
        <w:t>41 C.R. (5th) 156</w:t>
      </w:r>
      <w:r w:rsidR="00DC30BB" w:rsidRPr="004E1F18">
        <w:t xml:space="preserve">; </w:t>
      </w:r>
      <w:r w:rsidR="00DC30BB" w:rsidRPr="004E1F18">
        <w:rPr>
          <w:i/>
        </w:rPr>
        <w:t>R. v. Radcliffe</w:t>
      </w:r>
      <w:r w:rsidR="00DC30BB" w:rsidRPr="004E1F18">
        <w:t>, 2017 ONCA 176</w:t>
      </w:r>
      <w:r w:rsidR="00991FFC" w:rsidRPr="004E1F18">
        <w:t>, 347 C.C.C. (3d) 3</w:t>
      </w:r>
      <w:r w:rsidR="00DC30BB" w:rsidRPr="004E1F18">
        <w:t xml:space="preserve">; </w:t>
      </w:r>
      <w:r w:rsidR="00DC30BB" w:rsidRPr="004E1F18">
        <w:rPr>
          <w:i/>
        </w:rPr>
        <w:t>R. v. B.</w:t>
      </w:r>
      <w:r w:rsidR="004F028C" w:rsidRPr="004E1F18">
        <w:rPr>
          <w:i/>
        </w:rPr>
        <w:t xml:space="preserve"> </w:t>
      </w:r>
      <w:r w:rsidR="00DC30BB" w:rsidRPr="004E1F18">
        <w:rPr>
          <w:i/>
        </w:rPr>
        <w:t>(D.V.)</w:t>
      </w:r>
      <w:r w:rsidR="00DC30BB" w:rsidRPr="004E1F18">
        <w:t xml:space="preserve">, 2010 ONCA 291, </w:t>
      </w:r>
      <w:r w:rsidR="004F028C" w:rsidRPr="004E1F18">
        <w:t>100 O.R. (3d) 736</w:t>
      </w:r>
      <w:r w:rsidR="00DC30BB" w:rsidRPr="004E1F18">
        <w:t xml:space="preserve">, leave to appeal refused, [2011] </w:t>
      </w:r>
      <w:r w:rsidR="004F028C" w:rsidRPr="004E1F18">
        <w:t>3 S.C.R. vii</w:t>
      </w:r>
      <w:r w:rsidR="00DC30BB" w:rsidRPr="004E1F18">
        <w:t>;</w:t>
      </w:r>
      <w:r w:rsidR="00E232A6" w:rsidRPr="004E1F18">
        <w:t xml:space="preserve"> </w:t>
      </w:r>
      <w:r w:rsidR="00E232A6" w:rsidRPr="004E1F18">
        <w:rPr>
          <w:i/>
          <w:lang w:val="en-US"/>
        </w:rPr>
        <w:t>Re Moore and the Queen</w:t>
      </w:r>
      <w:r w:rsidR="00E232A6" w:rsidRPr="004E1F18">
        <w:rPr>
          <w:lang w:val="en-US"/>
        </w:rPr>
        <w:t xml:space="preserve"> (1984), 10 C.C.C. (3d) 306;</w:t>
      </w:r>
      <w:r w:rsidR="00DC30BB" w:rsidRPr="004E1F18">
        <w:t xml:space="preserve"> </w:t>
      </w:r>
      <w:r w:rsidR="00DC30BB" w:rsidRPr="004E1F18">
        <w:rPr>
          <w:i/>
        </w:rPr>
        <w:t xml:space="preserve">R. v. </w:t>
      </w:r>
      <w:r w:rsidR="008122FB" w:rsidRPr="004E1F18">
        <w:rPr>
          <w:i/>
        </w:rPr>
        <w:t>R.S.</w:t>
      </w:r>
      <w:r w:rsidR="00DC30BB" w:rsidRPr="004E1F18">
        <w:t xml:space="preserve">, 2016 ONSC 7767; </w:t>
      </w:r>
      <w:r w:rsidR="00DC30BB" w:rsidRPr="004E1F18">
        <w:rPr>
          <w:i/>
        </w:rPr>
        <w:t>R. v. Smarch</w:t>
      </w:r>
      <w:r w:rsidR="00DC30BB" w:rsidRPr="004E1F18">
        <w:t>, 2015 YKCA 13</w:t>
      </w:r>
      <w:r w:rsidR="008122FB" w:rsidRPr="004E1F18">
        <w:t>, 374 B.C.A.C. 280</w:t>
      </w:r>
      <w:r w:rsidR="00DC30BB" w:rsidRPr="004E1F18">
        <w:t xml:space="preserve">; </w:t>
      </w:r>
      <w:r w:rsidR="00DC30BB" w:rsidRPr="004E1F18">
        <w:rPr>
          <w:i/>
        </w:rPr>
        <w:t>R. v. Goodwin</w:t>
      </w:r>
      <w:r w:rsidR="00DC30BB" w:rsidRPr="004E1F18">
        <w:t>, 2002 BCCA 513</w:t>
      </w:r>
      <w:r w:rsidR="00336C76" w:rsidRPr="004E1F18">
        <w:t>, 168 C.C.C. (3d) 14</w:t>
      </w:r>
      <w:r w:rsidR="00DC30BB" w:rsidRPr="004E1F18">
        <w:t>;</w:t>
      </w:r>
      <w:r w:rsidR="001F0C38">
        <w:t xml:space="preserve"> </w:t>
      </w:r>
      <w:r w:rsidR="001F0C38" w:rsidRPr="001F0C38">
        <w:rPr>
          <w:i/>
        </w:rPr>
        <w:t>R. v. Oakes</w:t>
      </w:r>
      <w:r w:rsidR="001F0C38">
        <w:t>, [1986] 1 S.C.R. 103;</w:t>
      </w:r>
      <w:r w:rsidR="00DC30BB" w:rsidRPr="004E1F18">
        <w:t xml:space="preserve"> </w:t>
      </w:r>
      <w:r w:rsidR="00DC30BB" w:rsidRPr="004E1F18">
        <w:rPr>
          <w:i/>
        </w:rPr>
        <w:t>Schachter v. Canada</w:t>
      </w:r>
      <w:r w:rsidR="00DC30BB" w:rsidRPr="004E1F18">
        <w:t xml:space="preserve">, [1992] 2 S.C.R. 679; </w:t>
      </w:r>
      <w:r w:rsidR="00251D72" w:rsidRPr="004E1F18">
        <w:rPr>
          <w:i/>
        </w:rPr>
        <w:t>R. v. Sipos</w:t>
      </w:r>
      <w:r w:rsidR="00251D72" w:rsidRPr="004E1F18">
        <w:t>, 2014 SCC 47</w:t>
      </w:r>
      <w:r w:rsidR="00C34758" w:rsidRPr="004E1F18">
        <w:t>, [2014] 2 S.C.R. 423</w:t>
      </w:r>
      <w:r w:rsidR="00251D72" w:rsidRPr="004E1F18">
        <w:t xml:space="preserve">; </w:t>
      </w:r>
      <w:r w:rsidR="00251D72" w:rsidRPr="004E1F18">
        <w:rPr>
          <w:i/>
        </w:rPr>
        <w:t>R. v. Horvath</w:t>
      </w:r>
      <w:r w:rsidR="00DD6C2E" w:rsidRPr="004E1F18">
        <w:rPr>
          <w:i/>
        </w:rPr>
        <w:t xml:space="preserve"> </w:t>
      </w:r>
      <w:r w:rsidR="00DD6C2E" w:rsidRPr="004E1F18">
        <w:t>(1997)</w:t>
      </w:r>
      <w:r w:rsidR="00251D72" w:rsidRPr="004E1F18">
        <w:t xml:space="preserve">, </w:t>
      </w:r>
      <w:r w:rsidR="00DD6C2E" w:rsidRPr="004E1F18">
        <w:t xml:space="preserve">117 C.C.C. </w:t>
      </w:r>
      <w:r w:rsidR="00DD6C2E" w:rsidRPr="004E1F18">
        <w:lastRenderedPageBreak/>
        <w:t>(3d) 110.</w:t>
      </w:r>
      <w:r w:rsidR="00251D72" w:rsidRPr="004E1F18">
        <w:t xml:space="preserve"> </w:t>
      </w:r>
    </w:p>
    <w:p w14:paraId="30CA7DDB" w14:textId="77777777" w:rsidR="003B215F" w:rsidRPr="004E1F18" w:rsidRDefault="002E6705" w:rsidP="00F52BD7">
      <w:pPr>
        <w:pStyle w:val="SCCNormalDoubleSpacing"/>
        <w:widowControl w:val="0"/>
        <w:spacing w:after="720" w:line="240" w:lineRule="auto"/>
      </w:pPr>
      <w:r w:rsidRPr="004E1F18">
        <w:rPr>
          <w:b/>
        </w:rPr>
        <w:t>Statutes and Regulations Cite</w:t>
      </w:r>
      <w:r w:rsidR="00A41805" w:rsidRPr="004E1F18">
        <w:rPr>
          <w:b/>
        </w:rPr>
        <w:t>d</w:t>
      </w:r>
    </w:p>
    <w:p w14:paraId="0252EB98" w14:textId="015551E9" w:rsidR="001424B1" w:rsidRPr="004E1F18" w:rsidRDefault="001424B1" w:rsidP="00F52BD7">
      <w:pPr>
        <w:pStyle w:val="SCCNormalDoubleSpacing"/>
        <w:widowControl w:val="0"/>
        <w:spacing w:after="240" w:line="240" w:lineRule="auto"/>
        <w:ind w:left="547" w:hanging="547"/>
      </w:pPr>
      <w:r w:rsidRPr="004E1F18">
        <w:rPr>
          <w:i/>
        </w:rPr>
        <w:t>Act to amend the Criminal Code (high risk offenders), the Corrections and Conditional Release Act, the Criminal Records Act, the Prisons and Reformatories Act and the Department of the Solicitor General Act</w:t>
      </w:r>
      <w:r w:rsidRPr="004E1F18">
        <w:t>, S.C. 1997</w:t>
      </w:r>
      <w:r w:rsidR="00BD31C6" w:rsidRPr="004E1F18">
        <w:t>, c. </w:t>
      </w:r>
      <w:r w:rsidRPr="004E1F18">
        <w:t xml:space="preserve">17. </w:t>
      </w:r>
    </w:p>
    <w:p w14:paraId="757E5A3A" w14:textId="3269E758" w:rsidR="00182FA8" w:rsidRPr="004E1F18" w:rsidRDefault="00182FA8" w:rsidP="00F52BD7">
      <w:pPr>
        <w:pStyle w:val="SCCNormalDoubleSpacing"/>
        <w:widowControl w:val="0"/>
        <w:spacing w:after="240" w:line="240" w:lineRule="auto"/>
        <w:ind w:left="547" w:hanging="547"/>
      </w:pPr>
      <w:r w:rsidRPr="004E1F18">
        <w:rPr>
          <w:i/>
        </w:rPr>
        <w:t>Canadian Charter of Rights and Freedoms</w:t>
      </w:r>
      <w:r w:rsidRPr="004E1F18">
        <w:t xml:space="preserve">, </w:t>
      </w:r>
      <w:r w:rsidR="00AA266A" w:rsidRPr="004E1F18">
        <w:t>ss. </w:t>
      </w:r>
      <w:r w:rsidR="00316B36" w:rsidRPr="004E1F18">
        <w:t>1, 7, 12.</w:t>
      </w:r>
    </w:p>
    <w:p w14:paraId="43AA8BCD" w14:textId="0E316046" w:rsidR="00E82FBA" w:rsidRPr="004E1F18" w:rsidRDefault="00E82FBA" w:rsidP="00F52BD7">
      <w:pPr>
        <w:pStyle w:val="SCCNormalDoubleSpacing"/>
        <w:widowControl w:val="0"/>
        <w:spacing w:after="240" w:line="240" w:lineRule="auto"/>
        <w:ind w:left="547" w:hanging="547"/>
      </w:pPr>
      <w:r w:rsidRPr="004E1F18">
        <w:rPr>
          <w:i/>
        </w:rPr>
        <w:t>Constitution Act, 1982</w:t>
      </w:r>
      <w:r w:rsidR="00BD31C6" w:rsidRPr="004E1F18">
        <w:t>, s. </w:t>
      </w:r>
      <w:r w:rsidRPr="004E1F18">
        <w:t>52(1).</w:t>
      </w:r>
    </w:p>
    <w:p w14:paraId="0DCF3D99" w14:textId="1C00DC2C" w:rsidR="000827A5" w:rsidRPr="004E1F18" w:rsidRDefault="000827A5" w:rsidP="00F52BD7">
      <w:pPr>
        <w:pStyle w:val="SCCNormalDoubleSpacing"/>
        <w:widowControl w:val="0"/>
        <w:spacing w:after="240" w:line="240" w:lineRule="auto"/>
        <w:ind w:left="547" w:hanging="547"/>
      </w:pPr>
      <w:r w:rsidRPr="004E1F18">
        <w:rPr>
          <w:i/>
        </w:rPr>
        <w:t>Criminal Code</w:t>
      </w:r>
      <w:r w:rsidR="00BD31C6" w:rsidRPr="004E1F18">
        <w:t>, R.S.C. 1970, c. </w:t>
      </w:r>
      <w:r w:rsidRPr="004E1F18">
        <w:t>C</w:t>
      </w:r>
      <w:r w:rsidR="00AA266A" w:rsidRPr="004E1F18">
        <w:noBreakHyphen/>
      </w:r>
      <w:r w:rsidR="00BD31C6" w:rsidRPr="004E1F18">
        <w:t>34, s. </w:t>
      </w:r>
      <w:r w:rsidRPr="004E1F18">
        <w:t>688 [re</w:t>
      </w:r>
      <w:r w:rsidR="00AA266A" w:rsidRPr="004E1F18">
        <w:t>p. </w:t>
      </w:r>
      <w:r w:rsidRPr="004E1F18">
        <w:t>&amp; sub. 1976</w:t>
      </w:r>
      <w:r w:rsidR="00AA266A" w:rsidRPr="004E1F18">
        <w:noBreakHyphen/>
      </w:r>
      <w:r w:rsidR="00BD31C6" w:rsidRPr="004E1F18">
        <w:t>77, c. </w:t>
      </w:r>
      <w:r w:rsidRPr="004E1F18">
        <w:t>53, s.</w:t>
      </w:r>
      <w:r w:rsidR="00BD31C6" w:rsidRPr="004E1F18">
        <w:t> </w:t>
      </w:r>
      <w:r w:rsidRPr="004E1F18">
        <w:t>14].</w:t>
      </w:r>
    </w:p>
    <w:p w14:paraId="49ADFC55" w14:textId="2AD2DA51" w:rsidR="009204BC" w:rsidRPr="004E1F18" w:rsidRDefault="009204BC" w:rsidP="00F52BD7">
      <w:pPr>
        <w:pStyle w:val="SCCNormalDoubleSpacing"/>
        <w:widowControl w:val="0"/>
        <w:spacing w:after="240" w:line="240" w:lineRule="auto"/>
        <w:ind w:left="547" w:hanging="547"/>
      </w:pPr>
      <w:r w:rsidRPr="004E1F18">
        <w:rPr>
          <w:i/>
        </w:rPr>
        <w:t>Criminal Code</w:t>
      </w:r>
      <w:r w:rsidRPr="004E1F18">
        <w:t>, R.S.C. 1985, c.</w:t>
      </w:r>
      <w:r w:rsidR="00BD31C6" w:rsidRPr="004E1F18">
        <w:t> </w:t>
      </w:r>
      <w:r w:rsidRPr="004E1F18">
        <w:t>C</w:t>
      </w:r>
      <w:r w:rsidR="00AA266A" w:rsidRPr="004E1F18">
        <w:noBreakHyphen/>
      </w:r>
      <w:r w:rsidRPr="004E1F18">
        <w:t xml:space="preserve">46, </w:t>
      </w:r>
      <w:r w:rsidR="00AA266A" w:rsidRPr="004E1F18">
        <w:t>ss. </w:t>
      </w:r>
      <w:r w:rsidR="001D1E16" w:rsidRPr="004E1F18">
        <w:t xml:space="preserve">718 to 718.2, 718, 718.1, </w:t>
      </w:r>
      <w:r w:rsidR="003B6E79" w:rsidRPr="004E1F18">
        <w:t xml:space="preserve">718.2, </w:t>
      </w:r>
      <w:r w:rsidR="00C02AA4" w:rsidRPr="004E1F18">
        <w:t>718.3,</w:t>
      </w:r>
      <w:r w:rsidR="003B6E79" w:rsidRPr="004E1F18">
        <w:t xml:space="preserve"> </w:t>
      </w:r>
      <w:r w:rsidR="00C02AA4" w:rsidRPr="004E1F18">
        <w:t xml:space="preserve">742.1, </w:t>
      </w:r>
      <w:r w:rsidR="003B6E79" w:rsidRPr="004E1F18">
        <w:t xml:space="preserve">Part XXIV, </w:t>
      </w:r>
      <w:r w:rsidR="00360FC6" w:rsidRPr="004E1F18">
        <w:t xml:space="preserve">752 to 761, </w:t>
      </w:r>
      <w:r w:rsidR="0014399F" w:rsidRPr="004E1F18">
        <w:t>752 “serious personal injury offence”</w:t>
      </w:r>
      <w:r w:rsidR="00537F83" w:rsidRPr="004E1F18">
        <w:t xml:space="preserve">, </w:t>
      </w:r>
      <w:r w:rsidR="00751F04" w:rsidRPr="004E1F18">
        <w:t>752.1, 753,</w:t>
      </w:r>
      <w:r w:rsidR="00BC447F" w:rsidRPr="004E1F18">
        <w:t xml:space="preserve"> 753.01</w:t>
      </w:r>
      <w:r w:rsidR="00751F04" w:rsidRPr="004E1F18">
        <w:t xml:space="preserve">, </w:t>
      </w:r>
      <w:r w:rsidR="00C02AA4" w:rsidRPr="004E1F18">
        <w:t xml:space="preserve">753.1, </w:t>
      </w:r>
      <w:r w:rsidR="00751F04" w:rsidRPr="004E1F18">
        <w:t>757(a)</w:t>
      </w:r>
      <w:r w:rsidR="00383E5D" w:rsidRPr="004E1F18">
        <w:t xml:space="preserve">, 759, </w:t>
      </w:r>
      <w:r w:rsidR="00CC796B" w:rsidRPr="004E1F18">
        <w:t>761(1)</w:t>
      </w:r>
      <w:r w:rsidR="00383E5D" w:rsidRPr="004E1F18">
        <w:t>.</w:t>
      </w:r>
    </w:p>
    <w:p w14:paraId="651EB482" w14:textId="5B444617" w:rsidR="00077449" w:rsidRPr="004E1F18" w:rsidRDefault="00077449" w:rsidP="00F52BD7">
      <w:pPr>
        <w:pStyle w:val="SCCNormalDoubleSpacing"/>
        <w:widowControl w:val="0"/>
        <w:spacing w:after="720" w:line="240" w:lineRule="auto"/>
        <w:ind w:left="547" w:hanging="547"/>
      </w:pPr>
      <w:r w:rsidRPr="004E1F18">
        <w:rPr>
          <w:i/>
        </w:rPr>
        <w:t>Tackling Violent Crime Act</w:t>
      </w:r>
      <w:r w:rsidR="00BD31C6" w:rsidRPr="004E1F18">
        <w:t>, S.C. 2008, c. </w:t>
      </w:r>
      <w:r w:rsidRPr="004E1F18">
        <w:t>6</w:t>
      </w:r>
      <w:r w:rsidR="008773B2" w:rsidRPr="004E1F18">
        <w:t>.</w:t>
      </w:r>
    </w:p>
    <w:p w14:paraId="5C4B046C" w14:textId="2914F75D" w:rsidR="00077449" w:rsidRPr="004E1F18" w:rsidRDefault="002E6705" w:rsidP="00F52BD7">
      <w:pPr>
        <w:pStyle w:val="SCCNormalDoubleSpacing"/>
        <w:widowControl w:val="0"/>
        <w:spacing w:after="720" w:line="240" w:lineRule="auto"/>
        <w:rPr>
          <w:b/>
        </w:rPr>
      </w:pPr>
      <w:r w:rsidRPr="004E1F18">
        <w:rPr>
          <w:b/>
        </w:rPr>
        <w:t>Authors Cited</w:t>
      </w:r>
    </w:p>
    <w:p w14:paraId="11D28F75" w14:textId="77777777" w:rsidR="004A2E70" w:rsidRDefault="004A2E70" w:rsidP="00F52BD7">
      <w:pPr>
        <w:pStyle w:val="SCCNormalDoubleSpacing"/>
        <w:widowControl w:val="0"/>
        <w:spacing w:after="240" w:line="240" w:lineRule="auto"/>
        <w:ind w:left="547" w:hanging="547"/>
        <w:rPr>
          <w:szCs w:val="24"/>
        </w:rPr>
      </w:pPr>
      <w:r w:rsidRPr="004E1F18">
        <w:t xml:space="preserve">Canada. Public Safety Canada Portfolio Corrections Statistics Committee. </w:t>
      </w:r>
      <w:r w:rsidRPr="004E1F18">
        <w:rPr>
          <w:i/>
        </w:rPr>
        <w:t>Corrections and Conditional Release Statistical Overview</w:t>
      </w:r>
      <w:r w:rsidRPr="004E1F18">
        <w:t>, 2008 Annual Report. Ottawa: Public Works and Government Services Canada, 2008.</w:t>
      </w:r>
    </w:p>
    <w:p w14:paraId="1361CD3A" w14:textId="77777777" w:rsidR="006E6604" w:rsidRPr="004E1F18" w:rsidRDefault="006E6604" w:rsidP="00F52BD7">
      <w:pPr>
        <w:pStyle w:val="SCCNormalDoubleSpacing"/>
        <w:widowControl w:val="0"/>
        <w:spacing w:after="240" w:line="240" w:lineRule="auto"/>
        <w:ind w:left="547" w:hanging="547"/>
      </w:pPr>
      <w:r w:rsidRPr="004E1F18">
        <w:t xml:space="preserve">Canada. Public Safety Canada Portfolio Corrections Statistics Committee. </w:t>
      </w:r>
      <w:r w:rsidRPr="004E1F18">
        <w:rPr>
          <w:i/>
        </w:rPr>
        <w:t>Corrections and Conditional Release Statistical Overview</w:t>
      </w:r>
      <w:r w:rsidRPr="004E1F18">
        <w:t>,</w:t>
      </w:r>
      <w:r w:rsidRPr="004E1F18">
        <w:rPr>
          <w:i/>
        </w:rPr>
        <w:t xml:space="preserve"> </w:t>
      </w:r>
      <w:r w:rsidRPr="004E1F18">
        <w:t>2015 Annual Report. Ottawa: Public Works and Government Services Canada, 2016.</w:t>
      </w:r>
    </w:p>
    <w:p w14:paraId="10E0A818" w14:textId="57040E01" w:rsidR="00CA53BC" w:rsidRPr="004E1F18" w:rsidRDefault="00CA53BC" w:rsidP="00F52BD7">
      <w:pPr>
        <w:pStyle w:val="SCCNormalDoubleSpacing"/>
        <w:widowControl w:val="0"/>
        <w:spacing w:after="240" w:line="240" w:lineRule="auto"/>
        <w:ind w:left="547" w:hanging="547"/>
        <w:rPr>
          <w:szCs w:val="24"/>
        </w:rPr>
      </w:pPr>
      <w:r w:rsidRPr="004E1F18">
        <w:rPr>
          <w:szCs w:val="24"/>
        </w:rPr>
        <w:t>Canada. Public Safety Canada Portfolio Corrections Statistics Committee</w:t>
      </w:r>
      <w:r w:rsidRPr="004E1F18">
        <w:rPr>
          <w:i/>
          <w:iCs/>
          <w:szCs w:val="24"/>
        </w:rPr>
        <w:t>. Corrections and Conditional Release Statistical Overview</w:t>
      </w:r>
      <w:r w:rsidR="004F057B" w:rsidRPr="004E1F18">
        <w:rPr>
          <w:iCs/>
          <w:szCs w:val="24"/>
        </w:rPr>
        <w:t xml:space="preserve">, </w:t>
      </w:r>
      <w:r w:rsidR="005C697B" w:rsidRPr="004E1F18">
        <w:rPr>
          <w:iCs/>
          <w:szCs w:val="24"/>
        </w:rPr>
        <w:t>2016 Annual Report.</w:t>
      </w:r>
      <w:r w:rsidRPr="004E1F18">
        <w:rPr>
          <w:i/>
          <w:iCs/>
          <w:szCs w:val="24"/>
        </w:rPr>
        <w:t xml:space="preserve"> </w:t>
      </w:r>
      <w:r w:rsidRPr="004E1F18">
        <w:rPr>
          <w:szCs w:val="24"/>
        </w:rPr>
        <w:t xml:space="preserve">Ottawa: Public </w:t>
      </w:r>
      <w:r w:rsidR="005C697B" w:rsidRPr="004E1F18">
        <w:rPr>
          <w:szCs w:val="24"/>
        </w:rPr>
        <w:t>Works and Government Services Canada, 2017</w:t>
      </w:r>
      <w:r w:rsidR="00CA35B9" w:rsidRPr="004E1F18">
        <w:rPr>
          <w:szCs w:val="24"/>
        </w:rPr>
        <w:t>.</w:t>
      </w:r>
    </w:p>
    <w:p w14:paraId="10054271" w14:textId="4E6A43E4" w:rsidR="00CA53BC" w:rsidRPr="004E1F18" w:rsidRDefault="00CA53BC" w:rsidP="00F52BD7">
      <w:pPr>
        <w:pStyle w:val="SCCNormalDoubleSpacing"/>
        <w:widowControl w:val="0"/>
        <w:spacing w:after="240" w:line="240" w:lineRule="auto"/>
        <w:ind w:left="547" w:hanging="547"/>
      </w:pPr>
    </w:p>
    <w:p w14:paraId="108944AC" w14:textId="3F0D51AB" w:rsidR="00CA53BC" w:rsidRPr="004E1F18" w:rsidRDefault="0047396D" w:rsidP="00F52BD7">
      <w:pPr>
        <w:pStyle w:val="SCCNormalDoubleSpacing"/>
        <w:widowControl w:val="0"/>
        <w:spacing w:after="240" w:line="240" w:lineRule="auto"/>
        <w:ind w:left="547" w:hanging="547"/>
      </w:pPr>
      <w:r w:rsidRPr="004E1F18">
        <w:t xml:space="preserve">Canada. Royal Commission to Investigate the Penal System of Canada. </w:t>
      </w:r>
      <w:r w:rsidRPr="004E1F18">
        <w:rPr>
          <w:i/>
        </w:rPr>
        <w:t>Report of the Royal Commission to Investi</w:t>
      </w:r>
      <w:r w:rsidR="001011B9" w:rsidRPr="004E1F18">
        <w:rPr>
          <w:i/>
        </w:rPr>
        <w:t>gate the Penal System of Canada</w:t>
      </w:r>
      <w:r w:rsidRPr="004E1F18">
        <w:t>. Ottawa: King’s Printer, 1938.</w:t>
      </w:r>
    </w:p>
    <w:p w14:paraId="246270D8" w14:textId="4630F4F5" w:rsidR="0047396D" w:rsidRPr="004E1F18" w:rsidRDefault="00BD31C6" w:rsidP="00F52BD7">
      <w:pPr>
        <w:pStyle w:val="SCCNormalDoubleSpacing"/>
        <w:widowControl w:val="0"/>
        <w:spacing w:after="240" w:line="240" w:lineRule="auto"/>
        <w:ind w:left="547" w:hanging="547"/>
      </w:pPr>
      <w:r w:rsidRPr="004E1F18">
        <w:t>Neuberger, Joseph </w:t>
      </w:r>
      <w:r w:rsidR="0047396D" w:rsidRPr="004E1F18">
        <w:t xml:space="preserve">A. </w:t>
      </w:r>
      <w:r w:rsidR="0047396D" w:rsidRPr="004E1F18">
        <w:rPr>
          <w:i/>
        </w:rPr>
        <w:t xml:space="preserve">Assessing Dangerousness: Guide to the Dangerous Offender </w:t>
      </w:r>
      <w:r w:rsidR="0047396D" w:rsidRPr="004E1F18">
        <w:rPr>
          <w:i/>
        </w:rPr>
        <w:lastRenderedPageBreak/>
        <w:t>Application Proce</w:t>
      </w:r>
      <w:r w:rsidR="00AA266A" w:rsidRPr="004E1F18">
        <w:rPr>
          <w:i/>
        </w:rPr>
        <w:t>ss. </w:t>
      </w:r>
      <w:r w:rsidR="001011B9" w:rsidRPr="004E1F18">
        <w:t>Toronto: Carswell, 2011 (loose</w:t>
      </w:r>
      <w:r w:rsidR="00AA266A" w:rsidRPr="004E1F18">
        <w:noBreakHyphen/>
      </w:r>
      <w:r w:rsidR="001011B9" w:rsidRPr="004E1F18">
        <w:t xml:space="preserve">leaf updated </w:t>
      </w:r>
      <w:r w:rsidR="003E2BCE" w:rsidRPr="004E1F18">
        <w:t>2017</w:t>
      </w:r>
      <w:r w:rsidR="001011B9" w:rsidRPr="004E1F18">
        <w:t>).</w:t>
      </w:r>
    </w:p>
    <w:p w14:paraId="7BD34EF7" w14:textId="5EFB47AA" w:rsidR="00487564" w:rsidRPr="004E1F18" w:rsidRDefault="00BD31C6" w:rsidP="00F52BD7">
      <w:pPr>
        <w:pStyle w:val="SCCNormalDoubleSpacing"/>
        <w:widowControl w:val="0"/>
        <w:spacing w:after="720" w:line="240" w:lineRule="auto"/>
        <w:ind w:left="547" w:hanging="547"/>
        <w:rPr>
          <w:szCs w:val="24"/>
        </w:rPr>
      </w:pPr>
      <w:r w:rsidRPr="004E1F18">
        <w:rPr>
          <w:szCs w:val="24"/>
        </w:rPr>
        <w:t>Ruby, Clayton C., Gerald J. Chan and Nader </w:t>
      </w:r>
      <w:r w:rsidR="00CA53BC" w:rsidRPr="004E1F18">
        <w:rPr>
          <w:szCs w:val="24"/>
        </w:rPr>
        <w:t xml:space="preserve">R. Hasan. </w:t>
      </w:r>
      <w:r w:rsidR="00CA53BC" w:rsidRPr="004E1F18">
        <w:rPr>
          <w:i/>
          <w:szCs w:val="24"/>
        </w:rPr>
        <w:t>Sentencing</w:t>
      </w:r>
      <w:r w:rsidR="00CA53BC" w:rsidRPr="004E1F18">
        <w:rPr>
          <w:szCs w:val="24"/>
        </w:rPr>
        <w:t>, 8th ed. Markham, Ont.: LexisNexis, 2012.</w:t>
      </w:r>
    </w:p>
    <w:p w14:paraId="58F60359" w14:textId="3D56D774" w:rsidR="00656313" w:rsidRPr="004E1F18" w:rsidRDefault="009B57B3" w:rsidP="00F52BD7">
      <w:pPr>
        <w:pStyle w:val="SCCNormalDoubleSpacing"/>
        <w:widowControl w:val="0"/>
        <w:spacing w:before="480" w:after="480"/>
      </w:pPr>
      <w:r w:rsidRPr="004E1F18">
        <w:tab/>
        <w:t>APPEAL from a judgment</w:t>
      </w:r>
      <w:r w:rsidR="007E3783" w:rsidRPr="004E1F18">
        <w:t xml:space="preserve"> of</w:t>
      </w:r>
      <w:r w:rsidRPr="004E1F18">
        <w:t xml:space="preserve"> </w:t>
      </w:r>
      <w:r w:rsidR="00370661" w:rsidRPr="004E1F18">
        <w:t>the British Columbia Court of Appeal (Smith, Groberman and Goepel</w:t>
      </w:r>
      <w:r w:rsidR="002200F9" w:rsidRPr="004E1F18">
        <w:t> </w:t>
      </w:r>
      <w:r w:rsidR="00370661" w:rsidRPr="004E1F18">
        <w:t xml:space="preserve">JJ.A.), 2016 BCCA 235, 336 C.C.C. (3d) 293, 356 C.R.R. (2d) 275, 29 C.R. (7th) 419, 388 B.C.A.C. 264, 670 W.A.C. 264, [2016] B.C.J. </w:t>
      </w:r>
      <w:r w:rsidR="00AA266A" w:rsidRPr="004E1F18">
        <w:t>No. </w:t>
      </w:r>
      <w:r w:rsidR="00370661" w:rsidRPr="004E1F18">
        <w:t xml:space="preserve">1116 (QL), 2016 CarswellBC 1487 (WL Can.), </w:t>
      </w:r>
      <w:r w:rsidR="00E34C4E" w:rsidRPr="004E1F18">
        <w:t xml:space="preserve">setting aside </w:t>
      </w:r>
      <w:r w:rsidR="003E2606" w:rsidRPr="004E1F18">
        <w:t xml:space="preserve">in part the </w:t>
      </w:r>
      <w:r w:rsidR="00E34C4E" w:rsidRPr="004E1F18">
        <w:t>decisions of</w:t>
      </w:r>
      <w:r w:rsidR="00370661" w:rsidRPr="004E1F18">
        <w:t xml:space="preserve"> Voith</w:t>
      </w:r>
      <w:r w:rsidR="00940663">
        <w:t> </w:t>
      </w:r>
      <w:r w:rsidR="00370661" w:rsidRPr="004E1F18">
        <w:t xml:space="preserve">J., </w:t>
      </w:r>
      <w:r w:rsidR="0051701B" w:rsidRPr="004E1F18">
        <w:t xml:space="preserve">2015 BCSC 901, 325 C.C.C. (3d) 345, [2015] B.C.J. </w:t>
      </w:r>
      <w:r w:rsidR="00AA266A" w:rsidRPr="004E1F18">
        <w:t>No. </w:t>
      </w:r>
      <w:r w:rsidR="0051701B" w:rsidRPr="004E1F18">
        <w:t>1102 (QL),</w:t>
      </w:r>
      <w:r w:rsidR="001965A2" w:rsidRPr="004E1F18">
        <w:t xml:space="preserve"> 2015 CarswellBC 1464 (WL Can.);</w:t>
      </w:r>
      <w:r w:rsidR="00E34C4E" w:rsidRPr="004E1F18">
        <w:t xml:space="preserve"> and</w:t>
      </w:r>
      <w:r w:rsidR="0051701B" w:rsidRPr="004E1F18">
        <w:t xml:space="preserve"> 2014 BCSC 2187, 317 C.C.C. (3d) 1, 324 C.R.R. (2d) 221, [2014] B.C.J. </w:t>
      </w:r>
      <w:r w:rsidR="00AA266A" w:rsidRPr="004E1F18">
        <w:t>No. </w:t>
      </w:r>
      <w:r w:rsidR="0051701B" w:rsidRPr="004E1F18">
        <w:t xml:space="preserve">2867 (QL), 2014 CarswellBC 3475 (WL Can.). Appeal </w:t>
      </w:r>
      <w:r w:rsidR="009534BC" w:rsidRPr="004E1F18">
        <w:t>dismissed</w:t>
      </w:r>
      <w:r w:rsidR="00A82EF2" w:rsidRPr="004E1F18">
        <w:t>, Karakatsanis J. dissenting in part</w:t>
      </w:r>
      <w:r w:rsidR="0051701B" w:rsidRPr="004E1F18">
        <w:t>.</w:t>
      </w:r>
    </w:p>
    <w:p w14:paraId="0F329C59" w14:textId="7DF9147E" w:rsidR="000455B9" w:rsidRPr="004E1F18" w:rsidRDefault="00104FF4" w:rsidP="00F52BD7">
      <w:pPr>
        <w:pStyle w:val="SCCNormalDoubleSpacing"/>
        <w:widowControl w:val="0"/>
        <w:spacing w:before="480" w:after="480"/>
      </w:pPr>
      <w:r w:rsidRPr="004E1F18">
        <w:rPr>
          <w:i/>
        </w:rPr>
        <w:tab/>
        <w:t>Eric Purtzki</w:t>
      </w:r>
      <w:r w:rsidR="0051701B" w:rsidRPr="004E1F18">
        <w:t xml:space="preserve">, </w:t>
      </w:r>
      <w:r w:rsidRPr="004E1F18">
        <w:rPr>
          <w:i/>
        </w:rPr>
        <w:t>Gary</w:t>
      </w:r>
      <w:r w:rsidR="00AA266A" w:rsidRPr="004E1F18">
        <w:rPr>
          <w:i/>
        </w:rPr>
        <w:t> </w:t>
      </w:r>
      <w:r w:rsidR="0051701B" w:rsidRPr="004E1F18">
        <w:rPr>
          <w:i/>
        </w:rPr>
        <w:t>N.</w:t>
      </w:r>
      <w:r w:rsidR="006E6604">
        <w:rPr>
          <w:i/>
        </w:rPr>
        <w:t xml:space="preserve"> </w:t>
      </w:r>
      <w:r w:rsidR="0051701B" w:rsidRPr="004E1F18">
        <w:rPr>
          <w:i/>
        </w:rPr>
        <w:t>A.</w:t>
      </w:r>
      <w:r w:rsidRPr="004E1F18">
        <w:rPr>
          <w:i/>
        </w:rPr>
        <w:t xml:space="preserve"> Botting</w:t>
      </w:r>
      <w:r w:rsidR="0051701B" w:rsidRPr="004E1F18">
        <w:rPr>
          <w:i/>
        </w:rPr>
        <w:t xml:space="preserve"> </w:t>
      </w:r>
      <w:r w:rsidR="0051701B" w:rsidRPr="001F0C38">
        <w:t>and</w:t>
      </w:r>
      <w:r w:rsidR="0051701B" w:rsidRPr="004E1F18">
        <w:rPr>
          <w:i/>
        </w:rPr>
        <w:t xml:space="preserve"> Michael Sobkin</w:t>
      </w:r>
      <w:r w:rsidRPr="004E1F18">
        <w:t>, for the appellant.</w:t>
      </w:r>
    </w:p>
    <w:p w14:paraId="7FB4A551" w14:textId="77777777" w:rsidR="000455B9" w:rsidRPr="004E1F18" w:rsidRDefault="00104FF4" w:rsidP="00F52BD7">
      <w:pPr>
        <w:pStyle w:val="SCCNormalDoubleSpacing"/>
        <w:widowControl w:val="0"/>
        <w:spacing w:before="480" w:after="480"/>
      </w:pPr>
      <w:r w:rsidRPr="004E1F18">
        <w:rPr>
          <w:i/>
        </w:rPr>
        <w:tab/>
        <w:t>Rodney Garson</w:t>
      </w:r>
      <w:r w:rsidRPr="004E1F18">
        <w:t xml:space="preserve"> and </w:t>
      </w:r>
      <w:r w:rsidRPr="004E1F18">
        <w:rPr>
          <w:i/>
        </w:rPr>
        <w:t>Michael Brundrett</w:t>
      </w:r>
      <w:r w:rsidRPr="004E1F18">
        <w:t>, for the respondent.</w:t>
      </w:r>
    </w:p>
    <w:p w14:paraId="6D0AEBA1" w14:textId="0885B65A" w:rsidR="0051701B" w:rsidRPr="004E1F18" w:rsidRDefault="00BD31C6" w:rsidP="00F52BD7">
      <w:pPr>
        <w:pStyle w:val="SCCNormalDoubleSpacing"/>
        <w:widowControl w:val="0"/>
        <w:spacing w:before="480" w:after="480"/>
      </w:pPr>
      <w:r w:rsidRPr="004E1F18">
        <w:rPr>
          <w:i/>
        </w:rPr>
        <w:tab/>
        <w:t>Diba </w:t>
      </w:r>
      <w:r w:rsidR="0051701B" w:rsidRPr="004E1F18">
        <w:rPr>
          <w:i/>
        </w:rPr>
        <w:t>B. Majzub</w:t>
      </w:r>
      <w:r w:rsidR="0051701B" w:rsidRPr="004E1F18">
        <w:t>, for the intervener the Attorney General of Canada.</w:t>
      </w:r>
    </w:p>
    <w:p w14:paraId="78C98542" w14:textId="426E8C9E" w:rsidR="000455B9" w:rsidRPr="004E1F18" w:rsidRDefault="00BD31C6" w:rsidP="00F52BD7">
      <w:pPr>
        <w:pStyle w:val="SCCNormalDoubleSpacing"/>
        <w:widowControl w:val="0"/>
        <w:spacing w:before="480" w:after="480"/>
      </w:pPr>
      <w:r w:rsidRPr="004E1F18">
        <w:rPr>
          <w:i/>
        </w:rPr>
        <w:tab/>
        <w:t>Gregory </w:t>
      </w:r>
      <w:r w:rsidR="00104FF4" w:rsidRPr="004E1F18">
        <w:rPr>
          <w:i/>
        </w:rPr>
        <w:t>J. Tweney</w:t>
      </w:r>
      <w:r w:rsidR="00104FF4" w:rsidRPr="004E1F18">
        <w:t xml:space="preserve"> and </w:t>
      </w:r>
      <w:r w:rsidRPr="004E1F18">
        <w:rPr>
          <w:i/>
        </w:rPr>
        <w:t>Jennifer </w:t>
      </w:r>
      <w:r w:rsidR="00104FF4" w:rsidRPr="004E1F18">
        <w:rPr>
          <w:i/>
        </w:rPr>
        <w:t>A. Crawford</w:t>
      </w:r>
      <w:r w:rsidR="00104FF4" w:rsidRPr="004E1F18">
        <w:t xml:space="preserve">, for the intervener </w:t>
      </w:r>
      <w:r w:rsidR="0051701B" w:rsidRPr="004E1F18">
        <w:t xml:space="preserve">the </w:t>
      </w:r>
      <w:r w:rsidR="00104FF4" w:rsidRPr="004E1F18">
        <w:t>Attorney General of Ontario.</w:t>
      </w:r>
    </w:p>
    <w:p w14:paraId="31508FE7" w14:textId="1C5C3A8B" w:rsidR="0051701B" w:rsidRPr="004E1F18" w:rsidRDefault="00BD31C6" w:rsidP="00F52BD7">
      <w:pPr>
        <w:pStyle w:val="SCCNormalDoubleSpacing"/>
        <w:widowControl w:val="0"/>
        <w:spacing w:before="480" w:after="480"/>
      </w:pPr>
      <w:r w:rsidRPr="004E1F18">
        <w:rPr>
          <w:i/>
        </w:rPr>
        <w:tab/>
        <w:t>W. </w:t>
      </w:r>
      <w:r w:rsidR="0051701B" w:rsidRPr="004E1F18">
        <w:rPr>
          <w:i/>
        </w:rPr>
        <w:t>Dean Sinclair</w:t>
      </w:r>
      <w:r w:rsidR="0051701B" w:rsidRPr="00DF16BE">
        <w:t>,</w:t>
      </w:r>
      <w:r w:rsidR="0051701B" w:rsidRPr="004E1F18">
        <w:rPr>
          <w:i/>
        </w:rPr>
        <w:t xml:space="preserve"> Q.C.</w:t>
      </w:r>
      <w:r w:rsidR="0051701B" w:rsidRPr="004E1F18">
        <w:t>, for the intervener the Attorney General of Saskatchewan.</w:t>
      </w:r>
    </w:p>
    <w:p w14:paraId="69F9853E" w14:textId="77777777" w:rsidR="000455B9" w:rsidRPr="004E1F18" w:rsidRDefault="00104FF4" w:rsidP="00F52BD7">
      <w:pPr>
        <w:pStyle w:val="SCCNormalDoubleSpacing"/>
        <w:widowControl w:val="0"/>
        <w:spacing w:before="480" w:after="480"/>
      </w:pPr>
      <w:r w:rsidRPr="004E1F18">
        <w:rPr>
          <w:i/>
        </w:rPr>
        <w:lastRenderedPageBreak/>
        <w:tab/>
        <w:t>Sarah Clive</w:t>
      </w:r>
      <w:r w:rsidRPr="004E1F18">
        <w:t xml:space="preserve">, for the intervener </w:t>
      </w:r>
      <w:r w:rsidR="0051701B" w:rsidRPr="004E1F18">
        <w:t xml:space="preserve">the </w:t>
      </w:r>
      <w:r w:rsidRPr="004E1F18">
        <w:t>Attorney General of Alberta.</w:t>
      </w:r>
    </w:p>
    <w:p w14:paraId="63F6F2AD" w14:textId="77777777" w:rsidR="000455B9" w:rsidRPr="004E1F18" w:rsidRDefault="00104FF4" w:rsidP="00F52BD7">
      <w:pPr>
        <w:pStyle w:val="SCCNormalDoubleSpacing"/>
        <w:widowControl w:val="0"/>
        <w:spacing w:before="480" w:after="480"/>
      </w:pPr>
      <w:r w:rsidRPr="004E1F18">
        <w:rPr>
          <w:i/>
        </w:rPr>
        <w:tab/>
        <w:t>Catriona Verner</w:t>
      </w:r>
      <w:r w:rsidR="0051701B" w:rsidRPr="004E1F18">
        <w:rPr>
          <w:i/>
        </w:rPr>
        <w:t xml:space="preserve"> </w:t>
      </w:r>
      <w:r w:rsidR="0051701B" w:rsidRPr="001F0C38">
        <w:t>and</w:t>
      </w:r>
      <w:r w:rsidR="0051701B" w:rsidRPr="004E1F18">
        <w:rPr>
          <w:i/>
        </w:rPr>
        <w:t xml:space="preserve"> Corbin Cawkell</w:t>
      </w:r>
      <w:r w:rsidRPr="004E1F18">
        <w:t xml:space="preserve">, for the intervener </w:t>
      </w:r>
      <w:r w:rsidR="0051701B" w:rsidRPr="004E1F18">
        <w:t xml:space="preserve">the </w:t>
      </w:r>
      <w:r w:rsidRPr="004E1F18">
        <w:t>Criminal Lawyers</w:t>
      </w:r>
      <w:r w:rsidR="00F150FC" w:rsidRPr="004E1F18">
        <w:t>’</w:t>
      </w:r>
      <w:r w:rsidRPr="004E1F18">
        <w:t xml:space="preserve"> Association of Ontario.</w:t>
      </w:r>
    </w:p>
    <w:p w14:paraId="1A426728" w14:textId="3EDAE693" w:rsidR="000455B9" w:rsidRPr="004E1F18" w:rsidRDefault="00104FF4" w:rsidP="00F52BD7">
      <w:pPr>
        <w:pStyle w:val="SCCNormalDoubleSpacing"/>
        <w:widowControl w:val="0"/>
        <w:spacing w:before="480" w:after="480"/>
      </w:pPr>
      <w:r w:rsidRPr="004E1F18">
        <w:rPr>
          <w:i/>
        </w:rPr>
        <w:tab/>
        <w:t>Jonathan Rudin</w:t>
      </w:r>
      <w:r w:rsidRPr="004E1F18">
        <w:t xml:space="preserve"> and </w:t>
      </w:r>
      <w:r w:rsidR="00BD31C6" w:rsidRPr="004E1F18">
        <w:rPr>
          <w:i/>
        </w:rPr>
        <w:t>Caitlyn </w:t>
      </w:r>
      <w:r w:rsidRPr="004E1F18">
        <w:rPr>
          <w:i/>
        </w:rPr>
        <w:t>E. Kasper</w:t>
      </w:r>
      <w:r w:rsidRPr="004E1F18">
        <w:t>, for the intervener</w:t>
      </w:r>
      <w:r w:rsidR="00DD23AC" w:rsidRPr="004E1F18">
        <w:t xml:space="preserve"> the</w:t>
      </w:r>
      <w:r w:rsidRPr="004E1F18">
        <w:t xml:space="preserve"> Aboriginal Legal Services</w:t>
      </w:r>
      <w:r w:rsidR="009257E0" w:rsidRPr="004E1F18">
        <w:t xml:space="preserve"> Inc</w:t>
      </w:r>
      <w:r w:rsidRPr="004E1F18">
        <w:t>.</w:t>
      </w:r>
    </w:p>
    <w:p w14:paraId="36EFCAB0" w14:textId="77777777" w:rsidR="000455B9" w:rsidRPr="004E1F18" w:rsidRDefault="00104FF4" w:rsidP="00F52BD7">
      <w:pPr>
        <w:pStyle w:val="SCCNormalDoubleSpacing"/>
        <w:widowControl w:val="0"/>
      </w:pPr>
      <w:r w:rsidRPr="004E1F18">
        <w:rPr>
          <w:i/>
        </w:rPr>
        <w:tab/>
        <w:t>Vincent Larochelle</w:t>
      </w:r>
      <w:r w:rsidRPr="004E1F18">
        <w:t xml:space="preserve">, for the intervener </w:t>
      </w:r>
      <w:r w:rsidR="00DD23AC" w:rsidRPr="004E1F18">
        <w:t xml:space="preserve">the </w:t>
      </w:r>
      <w:r w:rsidRPr="004E1F18">
        <w:t>Yukon Legal Services Society.</w:t>
      </w:r>
    </w:p>
    <w:p w14:paraId="35041AE1" w14:textId="7C0A3ABA" w:rsidR="00D22BB5" w:rsidRDefault="00B957D9" w:rsidP="00F52BD7">
      <w:pPr>
        <w:pStyle w:val="SCCNormalDoubleSpacing"/>
        <w:widowControl w:val="0"/>
        <w:spacing w:before="480" w:after="480"/>
      </w:pPr>
      <w:r>
        <w:tab/>
      </w:r>
      <w:r w:rsidR="00D22BB5" w:rsidRPr="00B957D9">
        <w:t>The judgment of McLachlin C.J.</w:t>
      </w:r>
      <w:r w:rsidR="00D22BB5">
        <w:t xml:space="preserve"> and </w:t>
      </w:r>
      <w:r w:rsidR="00D22BB5" w:rsidRPr="00EE0D10">
        <w:t xml:space="preserve">Abella, </w:t>
      </w:r>
      <w:r w:rsidR="00D22BB5">
        <w:t xml:space="preserve">Moldaver, Wagner, Gascon, Côté, </w:t>
      </w:r>
      <w:r w:rsidR="00D22BB5" w:rsidRPr="00EE0D10">
        <w:t xml:space="preserve">Brown </w:t>
      </w:r>
      <w:r w:rsidR="00D22BB5">
        <w:t xml:space="preserve">and Rowe </w:t>
      </w:r>
      <w:r w:rsidR="00D22BB5" w:rsidRPr="00EE0D10">
        <w:t>JJ. was delivered by</w:t>
      </w:r>
    </w:p>
    <w:p w14:paraId="76237399" w14:textId="77777777" w:rsidR="00D22BB5" w:rsidRPr="001854C5" w:rsidRDefault="00D22BB5" w:rsidP="00F52BD7">
      <w:pPr>
        <w:pStyle w:val="JudgeJuge"/>
        <w:widowControl w:val="0"/>
      </w:pPr>
      <w:r w:rsidRPr="001854C5">
        <w:tab/>
        <w:t xml:space="preserve">Côté J. — </w:t>
      </w:r>
    </w:p>
    <w:p w14:paraId="03DDDA54" w14:textId="77777777" w:rsidR="00D22BB5" w:rsidRPr="001854C5" w:rsidRDefault="00D22BB5" w:rsidP="00F52BD7">
      <w:pPr>
        <w:pStyle w:val="Title1LevelTitre1Niveau-AltL"/>
        <w:widowControl w:val="0"/>
        <w:rPr>
          <w:rFonts w:cs="Times New Roman"/>
        </w:rPr>
      </w:pPr>
      <w:r w:rsidRPr="001854C5">
        <w:rPr>
          <w:rFonts w:cs="Times New Roman"/>
        </w:rPr>
        <w:t>Overview</w:t>
      </w:r>
    </w:p>
    <w:p w14:paraId="710D8581" w14:textId="77777777" w:rsidR="00D22BB5" w:rsidRPr="001854C5" w:rsidRDefault="00D22BB5" w:rsidP="00F52BD7">
      <w:pPr>
        <w:pStyle w:val="ParaNoNdepar-AltN"/>
        <w:widowControl w:val="0"/>
        <w:tabs>
          <w:tab w:val="clear" w:pos="1152"/>
          <w:tab w:val="left" w:pos="1166"/>
        </w:tabs>
        <w:rPr>
          <w:rFonts w:cs="Times New Roman"/>
        </w:rPr>
      </w:pPr>
      <w:r w:rsidRPr="001854C5">
        <w:rPr>
          <w:rFonts w:cs="Times New Roman"/>
        </w:rPr>
        <w:t xml:space="preserve">The appellant, Mr. Boutilier, challenges the constitutional validity of s. 753(1) and (4.1) of the </w:t>
      </w:r>
      <w:r w:rsidRPr="001854C5">
        <w:rPr>
          <w:rFonts w:cs="Times New Roman"/>
          <w:i/>
        </w:rPr>
        <w:t>Criminal Code</w:t>
      </w:r>
      <w:r w:rsidRPr="001854C5">
        <w:rPr>
          <w:rFonts w:cs="Times New Roman"/>
        </w:rPr>
        <w:t xml:space="preserve">, R.S.C. 1985, c. C-46, two provisions at the core of the dangerous offender regime, under ss. 7 and 12 of the </w:t>
      </w:r>
      <w:r w:rsidRPr="001854C5">
        <w:rPr>
          <w:rFonts w:cs="Times New Roman"/>
          <w:i/>
        </w:rPr>
        <w:t>Canadian</w:t>
      </w:r>
      <w:r w:rsidRPr="001854C5">
        <w:rPr>
          <w:rFonts w:cs="Times New Roman"/>
        </w:rPr>
        <w:t xml:space="preserve"> </w:t>
      </w:r>
      <w:r w:rsidRPr="001854C5">
        <w:rPr>
          <w:rFonts w:cs="Times New Roman"/>
          <w:i/>
        </w:rPr>
        <w:t>Charter of Rights and Freedoms</w:t>
      </w:r>
      <w:r w:rsidRPr="001854C5">
        <w:rPr>
          <w:rFonts w:cs="Times New Roman"/>
        </w:rPr>
        <w:t>.</w:t>
      </w:r>
    </w:p>
    <w:p w14:paraId="2EC7A086" w14:textId="77777777" w:rsidR="00D22BB5" w:rsidRPr="001854C5" w:rsidRDefault="00D22BB5" w:rsidP="00F52BD7">
      <w:pPr>
        <w:pStyle w:val="ParaNoNdepar-AltN"/>
        <w:widowControl w:val="0"/>
        <w:tabs>
          <w:tab w:val="clear" w:pos="1152"/>
          <w:tab w:val="left" w:pos="1166"/>
        </w:tabs>
        <w:rPr>
          <w:rFonts w:cs="Times New Roman"/>
        </w:rPr>
      </w:pPr>
      <w:r w:rsidRPr="001854C5">
        <w:rPr>
          <w:rFonts w:cs="Times New Roman"/>
        </w:rPr>
        <w:t xml:space="preserve">Mr. Boutilier pleaded guilty to six criminal charges arising out of the robbery of a pharmacy with an imitation firearm and an ensuing car chase. In turn, the Crown brought an application seeking his designation as a dangerous offender and the </w:t>
      </w:r>
      <w:r w:rsidRPr="001854C5">
        <w:rPr>
          <w:rFonts w:cs="Times New Roman"/>
        </w:rPr>
        <w:lastRenderedPageBreak/>
        <w:t>imposition of a sentence of indeterminate detention. After the close of evidence in the dangerous offender hearing, Mr. Boutilier served a notice of constitutional question challenging the constitutionality of the provisions.</w:t>
      </w:r>
    </w:p>
    <w:p w14:paraId="3B65F57E" w14:textId="77777777" w:rsidR="00D22BB5" w:rsidRPr="001854C5" w:rsidRDefault="00D22BB5" w:rsidP="00F52BD7">
      <w:pPr>
        <w:pStyle w:val="ParaNoNdepar-AltN"/>
        <w:widowControl w:val="0"/>
        <w:tabs>
          <w:tab w:val="clear" w:pos="1152"/>
          <w:tab w:val="left" w:pos="1166"/>
        </w:tabs>
        <w:rPr>
          <w:rFonts w:cs="Times New Roman"/>
        </w:rPr>
      </w:pPr>
      <w:r w:rsidRPr="001854C5">
        <w:rPr>
          <w:rFonts w:cs="Times New Roman"/>
        </w:rPr>
        <w:t xml:space="preserve">The impugned </w:t>
      </w:r>
      <w:r w:rsidRPr="001854C5">
        <w:rPr>
          <w:rFonts w:cs="Times New Roman"/>
          <w:i/>
        </w:rPr>
        <w:t>Criminal Code</w:t>
      </w:r>
      <w:r w:rsidRPr="001854C5">
        <w:rPr>
          <w:rFonts w:cs="Times New Roman"/>
        </w:rPr>
        <w:t xml:space="preserve"> provisions, which were most recently amended in 2008 by the </w:t>
      </w:r>
      <w:r w:rsidRPr="001854C5">
        <w:rPr>
          <w:rFonts w:cs="Times New Roman"/>
          <w:i/>
        </w:rPr>
        <w:t>Tackling Violent Crime Act</w:t>
      </w:r>
      <w:r>
        <w:rPr>
          <w:rFonts w:cs="Times New Roman"/>
        </w:rPr>
        <w:t>, S.C. 2008, c. </w:t>
      </w:r>
      <w:r w:rsidRPr="001854C5">
        <w:rPr>
          <w:rFonts w:cs="Times New Roman"/>
        </w:rPr>
        <w:t xml:space="preserve">6 (“2008 amendments”), authorize the most extreme and clearest form of preventive sentence that can be imposed on an offender, indeterminate detention, in order to protect the public from a small group of persistent criminals with a propensity for committing violent crimes against the person. </w:t>
      </w:r>
    </w:p>
    <w:p w14:paraId="5187C12F" w14:textId="77777777" w:rsidR="00D22BB5" w:rsidRPr="001854C5" w:rsidRDefault="00D22BB5" w:rsidP="00F52BD7">
      <w:pPr>
        <w:pStyle w:val="ParaNoNdepar-AltN"/>
        <w:widowControl w:val="0"/>
        <w:tabs>
          <w:tab w:val="clear" w:pos="1152"/>
          <w:tab w:val="left" w:pos="1166"/>
        </w:tabs>
        <w:rPr>
          <w:rFonts w:cs="Times New Roman"/>
        </w:rPr>
      </w:pPr>
      <w:r>
        <w:rPr>
          <w:rFonts w:cs="Times New Roman"/>
        </w:rPr>
        <w:t>Mr. Boutilier submits that s. </w:t>
      </w:r>
      <w:r w:rsidRPr="001854C5">
        <w:rPr>
          <w:rFonts w:cs="Times New Roman"/>
        </w:rPr>
        <w:t>753(</w:t>
      </w:r>
      <w:r>
        <w:rPr>
          <w:rFonts w:cs="Times New Roman"/>
        </w:rPr>
        <w:t>1) is overbroad and violates s. </w:t>
      </w:r>
      <w:r w:rsidRPr="001854C5">
        <w:rPr>
          <w:rFonts w:cs="Times New Roman"/>
        </w:rPr>
        <w:t>7 on the basis that a sentencing judge is precluded from considering an offender’s future treatment prospects in conducting a prospective risk assessm</w:t>
      </w:r>
      <w:r>
        <w:rPr>
          <w:rFonts w:cs="Times New Roman"/>
        </w:rPr>
        <w:t>ent. He further submits that s. </w:t>
      </w:r>
      <w:r w:rsidRPr="001854C5">
        <w:rPr>
          <w:rFonts w:cs="Times New Roman"/>
        </w:rPr>
        <w:t>753(4.</w:t>
      </w:r>
      <w:r>
        <w:rPr>
          <w:rFonts w:cs="Times New Roman"/>
        </w:rPr>
        <w:t>1) is overbroad and violates s. </w:t>
      </w:r>
      <w:r w:rsidRPr="001854C5">
        <w:rPr>
          <w:rFonts w:cs="Times New Roman"/>
        </w:rPr>
        <w:t xml:space="preserve">7 as it may result in the imposition of an indeterminate sentence on an offender who can be controlled under the long-term supervision provisions of the </w:t>
      </w:r>
      <w:r w:rsidRPr="001854C5">
        <w:rPr>
          <w:rFonts w:cs="Times New Roman"/>
          <w:i/>
        </w:rPr>
        <w:t>Criminal Code</w:t>
      </w:r>
      <w:r w:rsidRPr="001854C5">
        <w:rPr>
          <w:rFonts w:cs="Times New Roman"/>
        </w:rPr>
        <w:t xml:space="preserve">. He also </w:t>
      </w:r>
      <w:r>
        <w:rPr>
          <w:rFonts w:cs="Times New Roman"/>
        </w:rPr>
        <w:t>submits that s. </w:t>
      </w:r>
      <w:r w:rsidRPr="001854C5">
        <w:rPr>
          <w:rFonts w:cs="Times New Roman"/>
        </w:rPr>
        <w:t>753(4.1) imposes “grossly disproportio</w:t>
      </w:r>
      <w:r>
        <w:rPr>
          <w:rFonts w:cs="Times New Roman"/>
        </w:rPr>
        <w:t>nate” punishment contrary to s. </w:t>
      </w:r>
      <w:r w:rsidRPr="001854C5">
        <w:rPr>
          <w:rFonts w:cs="Times New Roman"/>
        </w:rPr>
        <w:t>12 on the basis that it heavily curtails judicial discretion at the sentencing stage in favour of indeterminate detention. Finally, he submits that the sentencing judge erred in imposing an indeterminate sentence.</w:t>
      </w:r>
    </w:p>
    <w:p w14:paraId="600AFCD1" w14:textId="77777777" w:rsidR="00D22BB5" w:rsidRPr="001854C5" w:rsidRDefault="00D22BB5" w:rsidP="00F52BD7">
      <w:pPr>
        <w:pStyle w:val="ParaNoNdepar-AltN"/>
        <w:widowControl w:val="0"/>
        <w:tabs>
          <w:tab w:val="clear" w:pos="1152"/>
          <w:tab w:val="left" w:pos="1166"/>
        </w:tabs>
        <w:rPr>
          <w:rFonts w:cs="Times New Roman"/>
        </w:rPr>
      </w:pPr>
      <w:r w:rsidRPr="001854C5">
        <w:rPr>
          <w:rFonts w:cs="Times New Roman"/>
        </w:rPr>
        <w:t xml:space="preserve">The sentencing judge granted Mr. Boutilier’s application in part, finding only </w:t>
      </w:r>
      <w:r>
        <w:rPr>
          <w:rFonts w:cs="Times New Roman"/>
        </w:rPr>
        <w:t>that s. </w:t>
      </w:r>
      <w:r w:rsidRPr="001854C5">
        <w:rPr>
          <w:rFonts w:cs="Times New Roman"/>
        </w:rPr>
        <w:t xml:space="preserve">753(1) is unconstitutionally overbroad. The Court of Appeal held that the </w:t>
      </w:r>
      <w:r w:rsidRPr="001854C5">
        <w:rPr>
          <w:rFonts w:cs="Times New Roman"/>
        </w:rPr>
        <w:lastRenderedPageBreak/>
        <w:t>sentencin</w:t>
      </w:r>
      <w:r>
        <w:rPr>
          <w:rFonts w:cs="Times New Roman"/>
        </w:rPr>
        <w:t>g judge had erred in finding s. </w:t>
      </w:r>
      <w:r w:rsidRPr="001854C5">
        <w:rPr>
          <w:rFonts w:cs="Times New Roman"/>
        </w:rPr>
        <w:t>753(1) to be overbroad but agreed wi</w:t>
      </w:r>
      <w:r>
        <w:rPr>
          <w:rFonts w:cs="Times New Roman"/>
        </w:rPr>
        <w:t>th the sentencing judge that s. </w:t>
      </w:r>
      <w:r w:rsidRPr="001854C5">
        <w:rPr>
          <w:rFonts w:cs="Times New Roman"/>
        </w:rPr>
        <w:t xml:space="preserve">753(4.1) did not violate ss. 7 and 12 of the </w:t>
      </w:r>
      <w:r w:rsidRPr="001854C5">
        <w:rPr>
          <w:rFonts w:cs="Times New Roman"/>
          <w:i/>
        </w:rPr>
        <w:t>Charter</w:t>
      </w:r>
      <w:r w:rsidRPr="001854C5">
        <w:rPr>
          <w:rFonts w:cs="Times New Roman"/>
        </w:rPr>
        <w:t>. The Court of Appeal dismissed Mr. Boutilier’s appeal of his indeterminate sentence.</w:t>
      </w:r>
    </w:p>
    <w:p w14:paraId="2091C87A" w14:textId="77777777" w:rsidR="00D22BB5" w:rsidRPr="001854C5" w:rsidRDefault="00D22BB5" w:rsidP="00F52BD7">
      <w:pPr>
        <w:pStyle w:val="ParaNoNdepar-AltN"/>
        <w:widowControl w:val="0"/>
        <w:tabs>
          <w:tab w:val="clear" w:pos="1152"/>
          <w:tab w:val="left" w:pos="1166"/>
        </w:tabs>
        <w:rPr>
          <w:rFonts w:cs="Times New Roman"/>
        </w:rPr>
      </w:pPr>
      <w:r w:rsidRPr="001854C5">
        <w:rPr>
          <w:rFonts w:cs="Times New Roman"/>
        </w:rPr>
        <w:t>The appeal to this Court raises four issues, which I resolve as follows:</w:t>
      </w:r>
    </w:p>
    <w:p w14:paraId="13C4AF0A" w14:textId="77777777" w:rsidR="00D22BB5" w:rsidRPr="001854C5" w:rsidRDefault="00D22BB5" w:rsidP="00F52BD7">
      <w:pPr>
        <w:pStyle w:val="Citation-AltC"/>
        <w:widowControl w:val="0"/>
        <w:numPr>
          <w:ilvl w:val="0"/>
          <w:numId w:val="20"/>
        </w:numPr>
        <w:spacing w:line="480" w:lineRule="auto"/>
        <w:ind w:left="720" w:hanging="720"/>
      </w:pPr>
      <w:r>
        <w:t>Does s. </w:t>
      </w:r>
      <w:r w:rsidRPr="001854C5">
        <w:t xml:space="preserve">753(1) preclude a sentencing judge from considering future treatment prospects before designating an offender as dangerous? If so, is this section overbroad under s. 7 of the </w:t>
      </w:r>
      <w:r w:rsidRPr="001854C5">
        <w:rPr>
          <w:i/>
        </w:rPr>
        <w:t>Charter</w:t>
      </w:r>
      <w:r w:rsidRPr="001854C5">
        <w:t>?</w:t>
      </w:r>
    </w:p>
    <w:p w14:paraId="7B7BC761" w14:textId="77777777" w:rsidR="00D22BB5" w:rsidRPr="001854C5" w:rsidRDefault="00D22BB5" w:rsidP="00F52BD7">
      <w:pPr>
        <w:pStyle w:val="Citation-AltC"/>
        <w:widowControl w:val="0"/>
        <w:spacing w:line="480" w:lineRule="auto"/>
        <w:ind w:left="720" w:hanging="720"/>
      </w:pPr>
    </w:p>
    <w:p w14:paraId="569CCFA5" w14:textId="77777777" w:rsidR="00D22BB5" w:rsidRPr="001854C5" w:rsidRDefault="00D22BB5" w:rsidP="00F52BD7">
      <w:pPr>
        <w:pStyle w:val="Citation-AltC"/>
        <w:widowControl w:val="0"/>
        <w:spacing w:line="480" w:lineRule="auto"/>
        <w:ind w:left="0"/>
      </w:pPr>
      <w:r w:rsidRPr="001854C5">
        <w:t>In my view, consideration of future treatment prospects has always been part of the prospective assessment of risk required by s. 753(1). There is no overbreadth.</w:t>
      </w:r>
    </w:p>
    <w:p w14:paraId="58D6CD13" w14:textId="77777777" w:rsidR="00D22BB5" w:rsidRPr="001854C5" w:rsidRDefault="00D22BB5" w:rsidP="00F52BD7">
      <w:pPr>
        <w:pStyle w:val="Citation-AltC"/>
        <w:widowControl w:val="0"/>
        <w:spacing w:line="480" w:lineRule="auto"/>
        <w:ind w:left="720" w:hanging="720"/>
      </w:pPr>
    </w:p>
    <w:p w14:paraId="43862D77" w14:textId="77777777" w:rsidR="00D22BB5" w:rsidRPr="001854C5" w:rsidRDefault="00D22BB5" w:rsidP="00F52BD7">
      <w:pPr>
        <w:pStyle w:val="Citation-AltC"/>
        <w:widowControl w:val="0"/>
        <w:numPr>
          <w:ilvl w:val="0"/>
          <w:numId w:val="20"/>
        </w:numPr>
        <w:spacing w:line="480" w:lineRule="auto"/>
        <w:ind w:left="720" w:hanging="720"/>
      </w:pPr>
      <w:r>
        <w:t>Does s. </w:t>
      </w:r>
      <w:r w:rsidRPr="001854C5">
        <w:t>753(4.1) lead to a grossly disproport</w:t>
      </w:r>
      <w:r>
        <w:t>ionate sentence, contrary to s. </w:t>
      </w:r>
      <w:r w:rsidRPr="001854C5">
        <w:t xml:space="preserve">12 of the </w:t>
      </w:r>
      <w:r w:rsidRPr="001854C5">
        <w:rPr>
          <w:i/>
        </w:rPr>
        <w:t>Charter</w:t>
      </w:r>
      <w:r w:rsidRPr="001854C5">
        <w:t>, by presumptively imposing indeterminate detention and preventing the sentencing judge from imposing a fit sentence consistent with the principles and objectives of sentencing?</w:t>
      </w:r>
    </w:p>
    <w:p w14:paraId="0D8B06B9" w14:textId="77777777" w:rsidR="00D22BB5" w:rsidRPr="001854C5" w:rsidRDefault="00D22BB5" w:rsidP="00F52BD7">
      <w:pPr>
        <w:pStyle w:val="Citation-AltC"/>
        <w:widowControl w:val="0"/>
        <w:spacing w:line="480" w:lineRule="auto"/>
        <w:ind w:left="720" w:hanging="720"/>
      </w:pPr>
    </w:p>
    <w:p w14:paraId="298DAE8A" w14:textId="77777777" w:rsidR="00D22BB5" w:rsidRPr="001854C5" w:rsidRDefault="00D22BB5" w:rsidP="00F52BD7">
      <w:pPr>
        <w:pStyle w:val="Citation-AltC"/>
        <w:widowControl w:val="0"/>
        <w:spacing w:line="480" w:lineRule="auto"/>
        <w:ind w:left="0"/>
      </w:pPr>
      <w:r w:rsidRPr="001854C5">
        <w:t>In my view,</w:t>
      </w:r>
      <w:r>
        <w:t xml:space="preserve"> s. </w:t>
      </w:r>
      <w:r w:rsidRPr="001854C5">
        <w:t>753(4.1) does not impose punishment that is grossly disproportionate. It does not create a presumption in favour of indeterminate detention, and the sentencing judge must apply the principles and objectives of sentencing to impose a fit sentence.</w:t>
      </w:r>
    </w:p>
    <w:p w14:paraId="3B6DBAFA" w14:textId="77777777" w:rsidR="00D22BB5" w:rsidRPr="001854C5" w:rsidRDefault="00D22BB5" w:rsidP="00F52BD7">
      <w:pPr>
        <w:pStyle w:val="Citation-AltC"/>
        <w:widowControl w:val="0"/>
        <w:spacing w:line="480" w:lineRule="auto"/>
        <w:ind w:left="720" w:hanging="720"/>
      </w:pPr>
    </w:p>
    <w:p w14:paraId="7BAAD04C" w14:textId="77777777" w:rsidR="00D22BB5" w:rsidRPr="001854C5" w:rsidRDefault="00D22BB5" w:rsidP="00F52BD7">
      <w:pPr>
        <w:pStyle w:val="Citation-AltC"/>
        <w:widowControl w:val="0"/>
        <w:numPr>
          <w:ilvl w:val="0"/>
          <w:numId w:val="20"/>
        </w:numPr>
        <w:spacing w:line="480" w:lineRule="auto"/>
        <w:ind w:left="720" w:hanging="720"/>
      </w:pPr>
      <w:r>
        <w:t>Is s. </w:t>
      </w:r>
      <w:r w:rsidRPr="001854C5">
        <w:t>753(4.1) overbroad in violation</w:t>
      </w:r>
      <w:r>
        <w:t xml:space="preserve"> of s. </w:t>
      </w:r>
      <w:r w:rsidRPr="001854C5">
        <w:t xml:space="preserve">7 of the </w:t>
      </w:r>
      <w:r w:rsidRPr="001854C5">
        <w:rPr>
          <w:i/>
        </w:rPr>
        <w:t>Charter</w:t>
      </w:r>
      <w:r w:rsidRPr="001854C5">
        <w:t xml:space="preserve"> because it applies to offenders that could have been monitored under the long-term offender </w:t>
      </w:r>
      <w:r w:rsidRPr="001854C5">
        <w:lastRenderedPageBreak/>
        <w:t>scheme?</w:t>
      </w:r>
    </w:p>
    <w:p w14:paraId="6305FEC0" w14:textId="77777777" w:rsidR="00D22BB5" w:rsidRPr="001854C5" w:rsidRDefault="00D22BB5" w:rsidP="00F52BD7">
      <w:pPr>
        <w:pStyle w:val="Citation-AltC"/>
        <w:widowControl w:val="0"/>
        <w:spacing w:line="480" w:lineRule="auto"/>
        <w:ind w:left="720" w:hanging="720"/>
      </w:pPr>
    </w:p>
    <w:p w14:paraId="780AF16D" w14:textId="77777777" w:rsidR="00D22BB5" w:rsidRPr="001854C5" w:rsidRDefault="00D22BB5" w:rsidP="00F52BD7">
      <w:pPr>
        <w:pStyle w:val="Citation-AltC"/>
        <w:widowControl w:val="0"/>
        <w:spacing w:line="480" w:lineRule="auto"/>
        <w:ind w:left="0"/>
      </w:pPr>
      <w:r w:rsidRPr="001854C5">
        <w:t>In my view, it is not.</w:t>
      </w:r>
    </w:p>
    <w:p w14:paraId="56DCCF18" w14:textId="77777777" w:rsidR="00D22BB5" w:rsidRPr="001854C5" w:rsidRDefault="00D22BB5" w:rsidP="00F52BD7">
      <w:pPr>
        <w:pStyle w:val="Citation-AltC"/>
        <w:widowControl w:val="0"/>
        <w:spacing w:line="480" w:lineRule="auto"/>
        <w:ind w:left="720" w:hanging="720"/>
      </w:pPr>
    </w:p>
    <w:p w14:paraId="7001A628" w14:textId="77777777" w:rsidR="00D22BB5" w:rsidRPr="001854C5" w:rsidRDefault="00D22BB5" w:rsidP="00F52BD7">
      <w:pPr>
        <w:pStyle w:val="Citation-AltC"/>
        <w:widowControl w:val="0"/>
        <w:numPr>
          <w:ilvl w:val="0"/>
          <w:numId w:val="20"/>
        </w:numPr>
        <w:spacing w:line="480" w:lineRule="auto"/>
        <w:ind w:left="720" w:hanging="720"/>
      </w:pPr>
      <w:r w:rsidRPr="001854C5">
        <w:t>Did the sentencing judge err by sentencing Mr. Boutilier to an indeterminate period of detention?</w:t>
      </w:r>
    </w:p>
    <w:p w14:paraId="0A502F97" w14:textId="77777777" w:rsidR="00D22BB5" w:rsidRPr="001854C5" w:rsidRDefault="00D22BB5" w:rsidP="00F52BD7">
      <w:pPr>
        <w:pStyle w:val="Citation-AltC"/>
        <w:widowControl w:val="0"/>
        <w:spacing w:line="480" w:lineRule="auto"/>
        <w:ind w:left="720" w:hanging="720"/>
      </w:pPr>
    </w:p>
    <w:p w14:paraId="413E6C6D" w14:textId="77777777" w:rsidR="00D22BB5" w:rsidRPr="001854C5" w:rsidRDefault="00D22BB5" w:rsidP="00F52BD7">
      <w:pPr>
        <w:pStyle w:val="Citation-AltC"/>
        <w:widowControl w:val="0"/>
        <w:spacing w:line="480" w:lineRule="auto"/>
        <w:ind w:left="0"/>
      </w:pPr>
      <w:r w:rsidRPr="001854C5">
        <w:t>In my view, he did not.</w:t>
      </w:r>
    </w:p>
    <w:p w14:paraId="12D270C2" w14:textId="77777777" w:rsidR="00D22BB5" w:rsidRPr="001854C5" w:rsidRDefault="00D22BB5" w:rsidP="00F52BD7">
      <w:pPr>
        <w:pStyle w:val="ParaNoNdepar-AltN"/>
        <w:widowControl w:val="0"/>
        <w:tabs>
          <w:tab w:val="clear" w:pos="1152"/>
          <w:tab w:val="left" w:pos="1166"/>
        </w:tabs>
        <w:rPr>
          <w:rFonts w:cs="Times New Roman"/>
        </w:rPr>
      </w:pPr>
      <w:r w:rsidRPr="001854C5">
        <w:rPr>
          <w:rFonts w:cs="Times New Roman"/>
        </w:rPr>
        <w:t>For these reasons, the appeal should be dismissed.</w:t>
      </w:r>
    </w:p>
    <w:p w14:paraId="2E3C902E" w14:textId="77777777" w:rsidR="00D22BB5" w:rsidRPr="001854C5" w:rsidRDefault="00D22BB5" w:rsidP="00F52BD7">
      <w:pPr>
        <w:pStyle w:val="Title1LevelTitre1Niveau-AltL"/>
        <w:widowControl w:val="0"/>
        <w:rPr>
          <w:rFonts w:cs="Times New Roman"/>
        </w:rPr>
      </w:pPr>
      <w:r w:rsidRPr="001854C5">
        <w:rPr>
          <w:rFonts w:cs="Times New Roman"/>
        </w:rPr>
        <w:t>Judgments Below</w:t>
      </w:r>
    </w:p>
    <w:p w14:paraId="6473F60C" w14:textId="77777777" w:rsidR="00D22BB5" w:rsidRPr="001854C5" w:rsidRDefault="00D22BB5" w:rsidP="00F52BD7">
      <w:pPr>
        <w:pStyle w:val="Title2LevelTitre2Niveau"/>
        <w:widowControl w:val="0"/>
        <w:rPr>
          <w:rFonts w:cs="Times New Roman"/>
        </w:rPr>
      </w:pPr>
      <w:bookmarkStart w:id="1" w:name="_Toc483072881"/>
      <w:r w:rsidRPr="001854C5">
        <w:rPr>
          <w:rFonts w:cs="Times New Roman"/>
        </w:rPr>
        <w:t>Sentencing J</w:t>
      </w:r>
      <w:r>
        <w:rPr>
          <w:rFonts w:cs="Times New Roman"/>
        </w:rPr>
        <w:t>udgment </w:t>
      </w:r>
      <w:r w:rsidRPr="001854C5">
        <w:rPr>
          <w:rFonts w:cs="Times New Roman"/>
        </w:rPr>
        <w:t>—</w:t>
      </w:r>
      <w:r>
        <w:rPr>
          <w:rFonts w:cs="Times New Roman"/>
        </w:rPr>
        <w:t> </w:t>
      </w:r>
      <w:r w:rsidRPr="001854C5">
        <w:rPr>
          <w:rFonts w:cs="Times New Roman"/>
        </w:rPr>
        <w:t>Supreme Court of British Columbia, 2014 BCSC 2187, 317 C.C.C. (3d) 1, and 2015 BCSC 901, 3</w:t>
      </w:r>
      <w:r>
        <w:rPr>
          <w:rFonts w:cs="Times New Roman"/>
        </w:rPr>
        <w:t>25 C.C.C. (3d) 345, per Voith </w:t>
      </w:r>
      <w:r w:rsidRPr="001854C5">
        <w:rPr>
          <w:rFonts w:cs="Times New Roman"/>
        </w:rPr>
        <w:t>J. (November 21, 2014 and May 29, 2015)</w:t>
      </w:r>
      <w:bookmarkEnd w:id="1"/>
    </w:p>
    <w:p w14:paraId="4FB3132F" w14:textId="77777777" w:rsidR="00D22BB5" w:rsidRPr="001854C5" w:rsidRDefault="00D22BB5" w:rsidP="00F52BD7">
      <w:pPr>
        <w:pStyle w:val="ParaNoNdepar-AltN"/>
        <w:widowControl w:val="0"/>
        <w:tabs>
          <w:tab w:val="clear" w:pos="1152"/>
          <w:tab w:val="left" w:pos="1166"/>
        </w:tabs>
        <w:rPr>
          <w:rFonts w:cs="Times New Roman"/>
        </w:rPr>
      </w:pPr>
      <w:r w:rsidRPr="001854C5">
        <w:rPr>
          <w:rFonts w:cs="Times New Roman"/>
        </w:rPr>
        <w:t>The</w:t>
      </w:r>
      <w:r>
        <w:rPr>
          <w:rFonts w:cs="Times New Roman"/>
        </w:rPr>
        <w:t xml:space="preserve"> sentencing judge found that s. </w:t>
      </w:r>
      <w:r w:rsidRPr="001854C5">
        <w:rPr>
          <w:rFonts w:cs="Times New Roman"/>
        </w:rPr>
        <w:t xml:space="preserve">753(1) is overbroad and thus violates s. 7 of the </w:t>
      </w:r>
      <w:r w:rsidRPr="001854C5">
        <w:rPr>
          <w:rFonts w:cs="Times New Roman"/>
          <w:i/>
        </w:rPr>
        <w:t>Charter</w:t>
      </w:r>
      <w:r w:rsidRPr="001854C5">
        <w:rPr>
          <w:rFonts w:cs="Times New Roman"/>
        </w:rPr>
        <w:t>. In his view, this subsection does not allow a sentencing judge to consider an offender’s future treatment prospects before designating him or her as dangerous. Consequently, an offender who may not necessarily be dangerous in the future could still be designated under the scheme and face the risk of a sentence of indeterminate detention. Additionally, he foun</w:t>
      </w:r>
      <w:r>
        <w:rPr>
          <w:rFonts w:cs="Times New Roman"/>
        </w:rPr>
        <w:t>d that the designation under s. </w:t>
      </w:r>
      <w:r w:rsidRPr="001854C5">
        <w:rPr>
          <w:rFonts w:cs="Times New Roman"/>
        </w:rPr>
        <w:t>753(1) is permanent and can have downstream consequences</w:t>
      </w:r>
      <w:r>
        <w:rPr>
          <w:rFonts w:cs="Times New Roman"/>
        </w:rPr>
        <w:t xml:space="preserve"> under s. </w:t>
      </w:r>
      <w:r w:rsidRPr="001854C5">
        <w:rPr>
          <w:rFonts w:cs="Times New Roman"/>
        </w:rPr>
        <w:t xml:space="preserve">753.01, potentially leading the accused to be sentenced to an indeterminate sentence for a subsequent offence </w:t>
      </w:r>
      <w:r w:rsidRPr="001854C5">
        <w:rPr>
          <w:rFonts w:cs="Times New Roman"/>
        </w:rPr>
        <w:lastRenderedPageBreak/>
        <w:t xml:space="preserve">without necessarily being redesignated as dangerous. </w:t>
      </w:r>
      <w:r>
        <w:rPr>
          <w:rFonts w:cs="Times New Roman"/>
        </w:rPr>
        <w:t>He held that the s. </w:t>
      </w:r>
      <w:r w:rsidRPr="001854C5">
        <w:rPr>
          <w:rFonts w:cs="Times New Roman"/>
        </w:rPr>
        <w:t>7 br</w:t>
      </w:r>
      <w:r>
        <w:rPr>
          <w:rFonts w:cs="Times New Roman"/>
        </w:rPr>
        <w:t>each was not justified under s. </w:t>
      </w:r>
      <w:r w:rsidRPr="001854C5">
        <w:rPr>
          <w:rFonts w:cs="Times New Roman"/>
        </w:rPr>
        <w:t xml:space="preserve">1 of the </w:t>
      </w:r>
      <w:r w:rsidRPr="001854C5">
        <w:rPr>
          <w:rFonts w:cs="Times New Roman"/>
          <w:i/>
        </w:rPr>
        <w:t>Charter</w:t>
      </w:r>
      <w:r w:rsidRPr="001854C5">
        <w:rPr>
          <w:rFonts w:cs="Times New Roman"/>
        </w:rPr>
        <w:t xml:space="preserve"> as Parliament could have enacted legislation addressing the legitimate objectives of the scheme while infringing offenders’ rights to a lesser extent. He </w:t>
      </w:r>
      <w:r>
        <w:rPr>
          <w:rFonts w:cs="Times New Roman"/>
        </w:rPr>
        <w:t>declared s. </w:t>
      </w:r>
      <w:r w:rsidRPr="001854C5">
        <w:rPr>
          <w:rFonts w:cs="Times New Roman"/>
        </w:rPr>
        <w:t xml:space="preserve">753(1) to be invalid but suspended this declaration of invalidity for one year. </w:t>
      </w:r>
    </w:p>
    <w:p w14:paraId="23F3D056" w14:textId="77777777" w:rsidR="00D22BB5" w:rsidRPr="001854C5" w:rsidRDefault="00D22BB5" w:rsidP="00F52BD7">
      <w:pPr>
        <w:pStyle w:val="ParaNoNdepar-AltN"/>
        <w:widowControl w:val="0"/>
        <w:tabs>
          <w:tab w:val="clear" w:pos="1152"/>
          <w:tab w:val="left" w:pos="1166"/>
        </w:tabs>
        <w:rPr>
          <w:rFonts w:cs="Times New Roman"/>
        </w:rPr>
      </w:pPr>
      <w:r w:rsidRPr="001854C5">
        <w:rPr>
          <w:rFonts w:cs="Times New Roman"/>
        </w:rPr>
        <w:t>The sentencing judge found that the other impugned subsection, s. 753(4.1), does not violate s</w:t>
      </w:r>
      <w:r>
        <w:rPr>
          <w:rFonts w:cs="Times New Roman"/>
        </w:rPr>
        <w:t>. </w:t>
      </w:r>
      <w:r w:rsidRPr="001854C5">
        <w:rPr>
          <w:rFonts w:cs="Times New Roman"/>
        </w:rPr>
        <w:t xml:space="preserve">7 or 12 of the </w:t>
      </w:r>
      <w:r w:rsidRPr="001854C5">
        <w:rPr>
          <w:rFonts w:cs="Times New Roman"/>
          <w:i/>
        </w:rPr>
        <w:t>Charter</w:t>
      </w:r>
      <w:r w:rsidRPr="001854C5">
        <w:rPr>
          <w:rFonts w:cs="Times New Roman"/>
        </w:rPr>
        <w:t>. First, he held that this provision does not impose a persuasive or evidentiary burden on the accused to rebut the presumption of indeterminate detention. Second, he held that a judge’s residual discretion under s. 753(4.1) ensures that indeterminate detention will not be imposed where it is unnecessary to protect the public.</w:t>
      </w:r>
    </w:p>
    <w:p w14:paraId="5B8C3A0C" w14:textId="77777777" w:rsidR="00D22BB5" w:rsidRPr="001854C5" w:rsidRDefault="00D22BB5" w:rsidP="00F52BD7">
      <w:pPr>
        <w:pStyle w:val="ParaNoNdepar-AltN"/>
        <w:widowControl w:val="0"/>
        <w:tabs>
          <w:tab w:val="clear" w:pos="1152"/>
          <w:tab w:val="left" w:pos="1166"/>
        </w:tabs>
        <w:rPr>
          <w:rFonts w:cs="Times New Roman"/>
        </w:rPr>
      </w:pPr>
      <w:r w:rsidRPr="001854C5">
        <w:rPr>
          <w:rFonts w:cs="Times New Roman"/>
        </w:rPr>
        <w:t xml:space="preserve">Despite the suspended declaration of invalidity, the sentencing judge found that, in this case, the Crown had established the statutory criteria under </w:t>
      </w:r>
      <w:r>
        <w:rPr>
          <w:rFonts w:cs="Times New Roman"/>
        </w:rPr>
        <w:t>s. </w:t>
      </w:r>
      <w:r w:rsidRPr="001854C5">
        <w:rPr>
          <w:rFonts w:cs="Times New Roman"/>
        </w:rPr>
        <w:t>753(1) beyond a reasonable doubt. The sentencing judge held that Mr. Boutilier was a dangerous offender and sentenced him to an indeterminate detention, finding that his prospect of successful treatment was nothing more than an “expression of hope” and, therefore, that no lesser sentence would adequately protect the public: s. 753(4.1).</w:t>
      </w:r>
    </w:p>
    <w:p w14:paraId="2D9BD127" w14:textId="0367E3C7" w:rsidR="00D22BB5" w:rsidRPr="001854C5" w:rsidRDefault="00D22BB5" w:rsidP="00F52BD7">
      <w:pPr>
        <w:pStyle w:val="Title2LevelTitre2Niveau"/>
        <w:widowControl w:val="0"/>
        <w:rPr>
          <w:rFonts w:cs="Times New Roman"/>
        </w:rPr>
      </w:pPr>
      <w:bookmarkStart w:id="2" w:name="_Toc483072882"/>
      <w:r w:rsidRPr="001854C5">
        <w:rPr>
          <w:rFonts w:cs="Times New Roman"/>
        </w:rPr>
        <w:t>Court of Appeal for British Columbia, 2016 BCCA 235, 336 C.C.C. (3d) 293, per Smith J.A. (</w:t>
      </w:r>
      <w:r w:rsidRPr="001854C5">
        <w:rPr>
          <w:rStyle w:val="SCCLowerCourtJudge"/>
          <w:rFonts w:cs="Times New Roman"/>
        </w:rPr>
        <w:t>Groberman and Goepel JJ.A.</w:t>
      </w:r>
      <w:r w:rsidR="00EA4B08">
        <w:rPr>
          <w:rFonts w:cs="Times New Roman"/>
        </w:rPr>
        <w:t xml:space="preserve"> C</w:t>
      </w:r>
      <w:r w:rsidRPr="001854C5">
        <w:rPr>
          <w:rFonts w:cs="Times New Roman"/>
        </w:rPr>
        <w:t>oncurring) (June 2, 2016)</w:t>
      </w:r>
      <w:bookmarkEnd w:id="2"/>
    </w:p>
    <w:p w14:paraId="4DB38322" w14:textId="77777777" w:rsidR="00D22BB5" w:rsidRPr="001854C5" w:rsidRDefault="00D22BB5" w:rsidP="00F52BD7">
      <w:pPr>
        <w:pStyle w:val="ParaNoNdepar-AltN"/>
        <w:widowControl w:val="0"/>
        <w:tabs>
          <w:tab w:val="clear" w:pos="1152"/>
          <w:tab w:val="left" w:pos="1166"/>
        </w:tabs>
        <w:rPr>
          <w:rFonts w:cs="Times New Roman"/>
          <w:iCs/>
        </w:rPr>
      </w:pPr>
      <w:r w:rsidRPr="001854C5">
        <w:rPr>
          <w:rFonts w:cs="Times New Roman"/>
        </w:rPr>
        <w:t>The Crown appealed the declaration of constitutiona</w:t>
      </w:r>
      <w:r>
        <w:rPr>
          <w:rFonts w:cs="Times New Roman"/>
        </w:rPr>
        <w:t>l invalidity with respect to s. </w:t>
      </w:r>
      <w:r w:rsidRPr="001854C5">
        <w:rPr>
          <w:rFonts w:cs="Times New Roman"/>
        </w:rPr>
        <w:t xml:space="preserve">753(1). In turn, Mr. Boutilier appealed the sentencing judge’s decision on </w:t>
      </w:r>
      <w:r w:rsidRPr="001854C5">
        <w:rPr>
          <w:rFonts w:cs="Times New Roman"/>
        </w:rPr>
        <w:lastRenderedPageBreak/>
        <w:t>the c</w:t>
      </w:r>
      <w:r>
        <w:rPr>
          <w:rFonts w:cs="Times New Roman"/>
        </w:rPr>
        <w:t>onstitutionality of s. </w:t>
      </w:r>
      <w:r w:rsidRPr="001854C5">
        <w:rPr>
          <w:rFonts w:cs="Times New Roman"/>
        </w:rPr>
        <w:t xml:space="preserve">753(4.1) as well as his dangerous offender designation and his indeterminate sentence. </w:t>
      </w:r>
      <w:r w:rsidRPr="001854C5">
        <w:rPr>
          <w:rFonts w:cs="Times New Roman"/>
          <w:iCs/>
        </w:rPr>
        <w:t>The Crown’s appeal was allowed and Mr. Boutilier’s appeal was dismissed.</w:t>
      </w:r>
    </w:p>
    <w:p w14:paraId="7ABA9181" w14:textId="77777777" w:rsidR="00D22BB5" w:rsidRPr="001854C5" w:rsidRDefault="00D22BB5" w:rsidP="00F52BD7">
      <w:pPr>
        <w:pStyle w:val="ParaNoNdepar-AltN"/>
        <w:widowControl w:val="0"/>
        <w:tabs>
          <w:tab w:val="clear" w:pos="1152"/>
          <w:tab w:val="left" w:pos="1166"/>
        </w:tabs>
        <w:rPr>
          <w:rFonts w:cs="Times New Roman"/>
        </w:rPr>
      </w:pPr>
      <w:r w:rsidRPr="001854C5">
        <w:rPr>
          <w:rFonts w:cs="Times New Roman"/>
        </w:rPr>
        <w:t>The Court of Appeal held that the sentencing judge had erred in finding s. 753(1) to be unconstitutionally overbroad. Although it found that treatment prospects have a limited role to play at the designation stage, its ultimate conclusion was that consideration of future treatment prospects at the sentencing stage is sufficient to avoid capturing offenders who may not be dangerous. The Court of Appeal upheld the sentencing judge’s decision regarding s. 753(4.1) and Mr. Boutilier’s sentence.</w:t>
      </w:r>
    </w:p>
    <w:p w14:paraId="626D001E" w14:textId="77777777" w:rsidR="00D22BB5" w:rsidRPr="001854C5" w:rsidRDefault="00D22BB5" w:rsidP="00F52BD7">
      <w:pPr>
        <w:pStyle w:val="Title1LevelTitre1Niveau-AltL"/>
        <w:widowControl w:val="0"/>
        <w:rPr>
          <w:rFonts w:cs="Times New Roman"/>
        </w:rPr>
      </w:pPr>
      <w:r w:rsidRPr="001854C5">
        <w:rPr>
          <w:rFonts w:cs="Times New Roman"/>
        </w:rPr>
        <w:t>The Statutory Scheme</w:t>
      </w:r>
    </w:p>
    <w:p w14:paraId="0AAA5B4A" w14:textId="0440F1BA" w:rsidR="00D22BB5" w:rsidRPr="001854C5" w:rsidRDefault="00D22BB5" w:rsidP="00F52BD7">
      <w:pPr>
        <w:pStyle w:val="ParaNoNdepar-AltN"/>
        <w:widowControl w:val="0"/>
        <w:tabs>
          <w:tab w:val="clear" w:pos="1152"/>
          <w:tab w:val="left" w:pos="1166"/>
        </w:tabs>
        <w:rPr>
          <w:rFonts w:cs="Times New Roman"/>
          <w:lang w:val="en-US"/>
        </w:rPr>
      </w:pPr>
      <w:r w:rsidRPr="001854C5">
        <w:rPr>
          <w:rFonts w:cs="Times New Roman"/>
          <w:lang w:val="en-US"/>
        </w:rPr>
        <w:t>The dangerous offend</w:t>
      </w:r>
      <w:r w:rsidR="00EA4B08">
        <w:rPr>
          <w:rFonts w:cs="Times New Roman"/>
          <w:lang w:val="en-US"/>
        </w:rPr>
        <w:t xml:space="preserve">er scheme is designed as a “two </w:t>
      </w:r>
      <w:r w:rsidRPr="001854C5">
        <w:rPr>
          <w:rFonts w:cs="Times New Roman"/>
          <w:lang w:val="en-US"/>
        </w:rPr>
        <w:t xml:space="preserve">stage” process. </w:t>
      </w:r>
    </w:p>
    <w:p w14:paraId="447CD7EF" w14:textId="77777777" w:rsidR="00D22BB5" w:rsidRPr="001854C5" w:rsidRDefault="00D22BB5" w:rsidP="00F52BD7">
      <w:pPr>
        <w:pStyle w:val="ParaNoNdepar-AltN"/>
        <w:widowControl w:val="0"/>
        <w:tabs>
          <w:tab w:val="clear" w:pos="1152"/>
          <w:tab w:val="left" w:pos="1166"/>
        </w:tabs>
        <w:rPr>
          <w:rFonts w:cs="Times New Roman"/>
          <w:lang w:val="en-US"/>
        </w:rPr>
      </w:pPr>
      <w:r w:rsidRPr="001854C5">
        <w:rPr>
          <w:rFonts w:cs="Times New Roman"/>
        </w:rPr>
        <w:t xml:space="preserve">Section 753(1) lists the statutory requirements that must be met before a court can designate an offender as dangerous (“designation stage”): </w:t>
      </w:r>
    </w:p>
    <w:p w14:paraId="0474D28E" w14:textId="77777777" w:rsidR="00D22BB5" w:rsidRPr="001854C5" w:rsidRDefault="00D22BB5" w:rsidP="00F52BD7">
      <w:pPr>
        <w:pStyle w:val="Citation-AltC"/>
        <w:widowControl w:val="0"/>
      </w:pPr>
      <w:r w:rsidRPr="001854C5">
        <w:rPr>
          <w:b/>
        </w:rPr>
        <w:t>753 (1)</w:t>
      </w:r>
      <w:r w:rsidRPr="001854C5">
        <w:t xml:space="preserve"> On application made under this Part after an assessment report is filed under subsection 752.1(2), the court shall find the offender to be a dangerous offender if it is satisfied</w:t>
      </w:r>
    </w:p>
    <w:p w14:paraId="10BE4630" w14:textId="77777777" w:rsidR="00D22BB5" w:rsidRPr="001854C5" w:rsidRDefault="00D22BB5" w:rsidP="00F52BD7">
      <w:pPr>
        <w:pStyle w:val="Citation-AltC"/>
        <w:widowControl w:val="0"/>
      </w:pPr>
    </w:p>
    <w:p w14:paraId="6E97668B" w14:textId="77777777" w:rsidR="00D22BB5" w:rsidRPr="001854C5" w:rsidRDefault="00D22BB5" w:rsidP="00F52BD7">
      <w:pPr>
        <w:pStyle w:val="Citation-AltC"/>
        <w:widowControl w:val="0"/>
        <w:ind w:left="1440"/>
      </w:pPr>
      <w:r w:rsidRPr="001854C5">
        <w:rPr>
          <w:b/>
        </w:rPr>
        <w:t>(a)</w:t>
      </w:r>
      <w:r w:rsidRPr="001854C5">
        <w:t xml:space="preserve"> that the offence for which the offender has been convicted is a serious personal injury offence described in paragraph (a) of the definition of that expression in section 752 and the offender constitutes a threat to the life, safety or physical or mental well-being of other persons on the basis of evidence establishing</w:t>
      </w:r>
    </w:p>
    <w:p w14:paraId="4145CACC" w14:textId="77777777" w:rsidR="00D22BB5" w:rsidRPr="001854C5" w:rsidRDefault="00D22BB5" w:rsidP="00F52BD7">
      <w:pPr>
        <w:pStyle w:val="Citation-AltC"/>
        <w:widowControl w:val="0"/>
      </w:pPr>
    </w:p>
    <w:p w14:paraId="2D81C7F5" w14:textId="77777777" w:rsidR="00D22BB5" w:rsidRPr="001854C5" w:rsidRDefault="00D22BB5" w:rsidP="00F52BD7">
      <w:pPr>
        <w:pStyle w:val="Citation-AltC"/>
        <w:widowControl w:val="0"/>
        <w:ind w:left="1800"/>
      </w:pPr>
      <w:r w:rsidRPr="001854C5">
        <w:rPr>
          <w:b/>
        </w:rPr>
        <w:t>(i)</w:t>
      </w:r>
      <w:r w:rsidRPr="001854C5">
        <w:t xml:space="preserve"> a pattern of repetitive behaviour by the offender, of which the offence for which he or she has been convicted forms a part, </w:t>
      </w:r>
      <w:r w:rsidRPr="001854C5">
        <w:lastRenderedPageBreak/>
        <w:t>showing a failure to restrain his or her behaviour and a likelihood of causing death or injury to other persons, or inflicting severe psychological damage on other persons, through failure in the future to restrain his or her behaviour,</w:t>
      </w:r>
    </w:p>
    <w:p w14:paraId="66E0BF4B" w14:textId="77777777" w:rsidR="00D22BB5" w:rsidRPr="001854C5" w:rsidRDefault="00D22BB5" w:rsidP="00F52BD7">
      <w:pPr>
        <w:pStyle w:val="Citation-AltC"/>
        <w:widowControl w:val="0"/>
      </w:pPr>
    </w:p>
    <w:p w14:paraId="5717906A" w14:textId="77777777" w:rsidR="00D22BB5" w:rsidRPr="001854C5" w:rsidRDefault="00D22BB5" w:rsidP="00F52BD7">
      <w:pPr>
        <w:pStyle w:val="Citation-AltC"/>
        <w:widowControl w:val="0"/>
        <w:ind w:left="1800"/>
      </w:pPr>
      <w:r w:rsidRPr="001854C5">
        <w:rPr>
          <w:b/>
        </w:rPr>
        <w:t>(ii)</w:t>
      </w:r>
      <w:r w:rsidRPr="001854C5">
        <w:t xml:space="preserve"> a pattern of persistent aggressive behaviour by the offender, of which the offence for which he or she has been convicted forms a part, showing a substantial degree of indifference on the part of the offender respecting the reasonably foreseeable consequences to other persons of his or her behaviour, or</w:t>
      </w:r>
    </w:p>
    <w:p w14:paraId="3E0C0920" w14:textId="77777777" w:rsidR="00D22BB5" w:rsidRPr="001854C5" w:rsidRDefault="00D22BB5" w:rsidP="00F52BD7">
      <w:pPr>
        <w:pStyle w:val="Citation-AltC"/>
        <w:widowControl w:val="0"/>
      </w:pPr>
    </w:p>
    <w:p w14:paraId="6EC6E990" w14:textId="77777777" w:rsidR="00D22BB5" w:rsidRPr="001854C5" w:rsidRDefault="00D22BB5" w:rsidP="00F52BD7">
      <w:pPr>
        <w:pStyle w:val="Citation-AltC"/>
        <w:widowControl w:val="0"/>
        <w:ind w:left="1800"/>
      </w:pPr>
      <w:r w:rsidRPr="001854C5">
        <w:rPr>
          <w:b/>
        </w:rPr>
        <w:t>(iii)</w:t>
      </w:r>
      <w:r w:rsidRPr="001854C5">
        <w:t xml:space="preserve"> any behaviour by the offender, associated with the offence for which he or she has been convicted, that is of such a brutal nature as to compel the conclusion that the offender’s behaviour in the future is unlikely to be inhibited by normal standards of behavioural restraint; or</w:t>
      </w:r>
    </w:p>
    <w:p w14:paraId="5FFB2A74" w14:textId="77777777" w:rsidR="00D22BB5" w:rsidRPr="001854C5" w:rsidRDefault="00D22BB5" w:rsidP="00F52BD7">
      <w:pPr>
        <w:pStyle w:val="Citation-AltC"/>
        <w:widowControl w:val="0"/>
      </w:pPr>
    </w:p>
    <w:p w14:paraId="419888C5" w14:textId="77777777" w:rsidR="00D22BB5" w:rsidRPr="001854C5" w:rsidRDefault="00D22BB5" w:rsidP="00F52BD7">
      <w:pPr>
        <w:pStyle w:val="Citation-AltC"/>
        <w:widowControl w:val="0"/>
        <w:ind w:left="1440"/>
      </w:pPr>
      <w:r w:rsidRPr="001854C5">
        <w:rPr>
          <w:b/>
        </w:rPr>
        <w:t>(b)</w:t>
      </w:r>
      <w:r w:rsidRPr="001854C5">
        <w:t xml:space="preserve"> that the offence for which the offender has been convicted is a serious personal injury offence described in paragraph (b) of the definition of that expression in section 752 and the offender, by his or her conduct in any sexual matter including that involved in the commission of the offence for which he or she has been convicted, has shown a failure to control his or her sexual impulses and a likelihood of causing injury, pain or other evil to other persons through failure in the future to control his or her sexual impulses.</w:t>
      </w:r>
    </w:p>
    <w:p w14:paraId="13C3C53C" w14:textId="77777777" w:rsidR="00D22BB5" w:rsidRPr="001854C5" w:rsidRDefault="00D22BB5" w:rsidP="00F52BD7">
      <w:pPr>
        <w:pStyle w:val="ParaNoNdepar-AltN"/>
        <w:widowControl w:val="0"/>
        <w:tabs>
          <w:tab w:val="clear" w:pos="1152"/>
          <w:tab w:val="left" w:pos="1166"/>
        </w:tabs>
        <w:rPr>
          <w:rFonts w:cs="Times New Roman"/>
          <w:lang w:val="en-US"/>
        </w:rPr>
      </w:pPr>
      <w:r w:rsidRPr="001854C5">
        <w:rPr>
          <w:rFonts w:cs="Times New Roman"/>
        </w:rPr>
        <w:t>Subsections (4) and (4.1) of s. 753 relate to the sentencing of a dangerous offender (“penalty stage”):</w:t>
      </w:r>
    </w:p>
    <w:p w14:paraId="58725634" w14:textId="77777777" w:rsidR="00D22BB5" w:rsidRPr="001854C5" w:rsidRDefault="00D22BB5" w:rsidP="00F52BD7">
      <w:pPr>
        <w:pStyle w:val="Citation-AltC"/>
        <w:widowControl w:val="0"/>
      </w:pPr>
      <w:r w:rsidRPr="001854C5">
        <w:rPr>
          <w:b/>
        </w:rPr>
        <w:t>(4)</w:t>
      </w:r>
      <w:r w:rsidRPr="001854C5">
        <w:t xml:space="preserve"> If the court finds an offender to be a dangerous offender, it shall</w:t>
      </w:r>
    </w:p>
    <w:p w14:paraId="3561E6B4" w14:textId="77777777" w:rsidR="00D22BB5" w:rsidRPr="001854C5" w:rsidRDefault="00D22BB5" w:rsidP="00F52BD7">
      <w:pPr>
        <w:pStyle w:val="Citation-AltC"/>
        <w:widowControl w:val="0"/>
      </w:pPr>
    </w:p>
    <w:p w14:paraId="07DC4AC1" w14:textId="77777777" w:rsidR="00D22BB5" w:rsidRPr="001854C5" w:rsidRDefault="00D22BB5" w:rsidP="00F52BD7">
      <w:pPr>
        <w:pStyle w:val="Citation-AltC"/>
        <w:widowControl w:val="0"/>
        <w:ind w:left="1440"/>
      </w:pPr>
      <w:r w:rsidRPr="001854C5">
        <w:rPr>
          <w:b/>
        </w:rPr>
        <w:t>(a)</w:t>
      </w:r>
      <w:r w:rsidRPr="001854C5">
        <w:t xml:space="preserve"> impose a sentence of detention in a penitentiary for an indeterminate period;</w:t>
      </w:r>
    </w:p>
    <w:p w14:paraId="292C8CE8" w14:textId="77777777" w:rsidR="00D22BB5" w:rsidRPr="001854C5" w:rsidRDefault="00D22BB5" w:rsidP="00F52BD7">
      <w:pPr>
        <w:pStyle w:val="Citation-AltC"/>
        <w:widowControl w:val="0"/>
        <w:ind w:left="1800"/>
      </w:pPr>
    </w:p>
    <w:p w14:paraId="2D265C00" w14:textId="77777777" w:rsidR="00D22BB5" w:rsidRPr="001854C5" w:rsidRDefault="00D22BB5" w:rsidP="00F52BD7">
      <w:pPr>
        <w:pStyle w:val="Citation-AltC"/>
        <w:widowControl w:val="0"/>
        <w:ind w:left="1440"/>
      </w:pPr>
      <w:r w:rsidRPr="001854C5">
        <w:rPr>
          <w:b/>
        </w:rPr>
        <w:t>(b)</w:t>
      </w:r>
      <w:r w:rsidRPr="001854C5">
        <w:t xml:space="preserve"> impose a sentence for the offence for which the offender has been convicted — which must be a minimum punishment of imprisonment for a term of two years — and order that the offender be subject to long-term supervision for a period that does not exceed 10 years; or</w:t>
      </w:r>
    </w:p>
    <w:p w14:paraId="33A43CEC" w14:textId="77777777" w:rsidR="00D22BB5" w:rsidRPr="001854C5" w:rsidRDefault="00D22BB5" w:rsidP="00F52BD7">
      <w:pPr>
        <w:pStyle w:val="Citation-AltC"/>
        <w:widowControl w:val="0"/>
      </w:pPr>
    </w:p>
    <w:p w14:paraId="3EC20A2B" w14:textId="77777777" w:rsidR="00D22BB5" w:rsidRPr="001854C5" w:rsidRDefault="00D22BB5" w:rsidP="00F52BD7">
      <w:pPr>
        <w:pStyle w:val="Citation-AltC"/>
        <w:widowControl w:val="0"/>
        <w:ind w:left="1440"/>
        <w:rPr>
          <w:bCs/>
          <w:sz w:val="22"/>
          <w:szCs w:val="22"/>
          <w:lang w:val="en" w:eastAsia="en-US"/>
        </w:rPr>
      </w:pPr>
      <w:r w:rsidRPr="001854C5">
        <w:rPr>
          <w:b/>
        </w:rPr>
        <w:t>(c)</w:t>
      </w:r>
      <w:r w:rsidRPr="001854C5">
        <w:t xml:space="preserve"> impose a sentence for the offence for which the offender has been convicted.</w:t>
      </w:r>
      <w:r w:rsidRPr="001854C5">
        <w:rPr>
          <w:bCs/>
          <w:sz w:val="22"/>
          <w:szCs w:val="22"/>
          <w:lang w:val="en" w:eastAsia="en-US"/>
        </w:rPr>
        <w:t xml:space="preserve"> </w:t>
      </w:r>
    </w:p>
    <w:p w14:paraId="350CE4B2" w14:textId="77777777" w:rsidR="00D22BB5" w:rsidRPr="001854C5" w:rsidRDefault="00D22BB5" w:rsidP="00F52BD7">
      <w:pPr>
        <w:pStyle w:val="Citation-AltC"/>
        <w:widowControl w:val="0"/>
        <w:ind w:left="1440"/>
        <w:rPr>
          <w:bCs/>
          <w:sz w:val="22"/>
          <w:szCs w:val="22"/>
          <w:lang w:val="en" w:eastAsia="en-US"/>
        </w:rPr>
      </w:pPr>
    </w:p>
    <w:p w14:paraId="4AAE48AB" w14:textId="77777777" w:rsidR="00D22BB5" w:rsidRPr="001854C5" w:rsidRDefault="00D22BB5" w:rsidP="00F52BD7">
      <w:pPr>
        <w:pStyle w:val="Citation-AltC"/>
        <w:widowControl w:val="0"/>
      </w:pPr>
      <w:r w:rsidRPr="001854C5">
        <w:rPr>
          <w:b/>
        </w:rPr>
        <w:lastRenderedPageBreak/>
        <w:t>(4.1)</w:t>
      </w:r>
      <w:r w:rsidRPr="001854C5">
        <w:t> The court shall impose a sentence of detention in a penitentiary for an indeterminate period unless it is satisfied by the evidence adduced during the hearing of the application that there is a reasonable expectation that a lesser measure under paragraph (4)(b) or (c) will adequately protect the public against the commission by the offender of murder or a serious personal injury offence.</w:t>
      </w:r>
    </w:p>
    <w:p w14:paraId="1B26B751" w14:textId="77777777" w:rsidR="00D22BB5" w:rsidRPr="001854C5" w:rsidRDefault="00D22BB5" w:rsidP="00F52BD7">
      <w:pPr>
        <w:pStyle w:val="ParaNoNdepar-AltN"/>
        <w:widowControl w:val="0"/>
        <w:tabs>
          <w:tab w:val="clear" w:pos="1152"/>
          <w:tab w:val="left" w:pos="1166"/>
        </w:tabs>
        <w:rPr>
          <w:rFonts w:cs="Times New Roman"/>
          <w:lang w:val="en-US"/>
        </w:rPr>
      </w:pPr>
      <w:r w:rsidRPr="001854C5">
        <w:rPr>
          <w:rFonts w:cs="Times New Roman"/>
        </w:rPr>
        <w:t>Section 753(1) contemplates two categories of dangerousness: (a) dangerousness resulting from violent behaviour (as in Mr. Boutilier’s case), and (b) dangerousness ensuing from sexual behaviour. Only the former category is at issue in this appeal.</w:t>
      </w:r>
    </w:p>
    <w:p w14:paraId="3753672F" w14:textId="77777777" w:rsidR="00D22BB5" w:rsidRPr="001854C5" w:rsidRDefault="00D22BB5" w:rsidP="00F52BD7">
      <w:pPr>
        <w:pStyle w:val="ParaNoNdepar-AltN"/>
        <w:widowControl w:val="0"/>
        <w:tabs>
          <w:tab w:val="clear" w:pos="1152"/>
          <w:tab w:val="left" w:pos="1166"/>
        </w:tabs>
        <w:rPr>
          <w:rFonts w:cs="Times New Roman"/>
          <w:lang w:val="en-US"/>
        </w:rPr>
      </w:pPr>
      <w:r w:rsidRPr="001854C5">
        <w:rPr>
          <w:rFonts w:cs="Times New Roman"/>
        </w:rPr>
        <w:t>The Crown must demonstrate two elements to obtain a designation of dangerousness resulting from violent behaviour. First, the offence for which the offender has been convicted must be “a</w:t>
      </w:r>
      <w:r w:rsidRPr="001854C5">
        <w:rPr>
          <w:rFonts w:cs="Times New Roman"/>
          <w:szCs w:val="24"/>
          <w:lang w:val="en-US"/>
        </w:rPr>
        <w:t xml:space="preserve"> serious personal injury offence”</w:t>
      </w:r>
      <w:r>
        <w:rPr>
          <w:rFonts w:cs="Times New Roman"/>
          <w:szCs w:val="24"/>
          <w:lang w:val="en-US"/>
        </w:rPr>
        <w:t>: s. </w:t>
      </w:r>
      <w:r w:rsidRPr="001854C5">
        <w:rPr>
          <w:rFonts w:cs="Times New Roman"/>
          <w:szCs w:val="24"/>
          <w:lang w:val="en-US"/>
        </w:rPr>
        <w:t>753(1)(a). This first criterion is objective. There is no room for judicial discretion,</w:t>
      </w:r>
      <w:r>
        <w:rPr>
          <w:rFonts w:cs="Times New Roman"/>
          <w:szCs w:val="24"/>
          <w:lang w:val="en-US"/>
        </w:rPr>
        <w:t xml:space="preserve"> since s. </w:t>
      </w:r>
      <w:r w:rsidRPr="001854C5">
        <w:rPr>
          <w:rFonts w:cs="Times New Roman"/>
          <w:szCs w:val="24"/>
          <w:lang w:val="en-US"/>
        </w:rPr>
        <w:t>752 defines the list of serious personal injury offences.</w:t>
      </w:r>
    </w:p>
    <w:p w14:paraId="15AA37DD" w14:textId="77777777" w:rsidR="00D22BB5" w:rsidRPr="001854C5" w:rsidRDefault="00D22BB5" w:rsidP="00F52BD7">
      <w:pPr>
        <w:pStyle w:val="ParaNoNdepar-AltN"/>
        <w:widowControl w:val="0"/>
        <w:tabs>
          <w:tab w:val="clear" w:pos="1152"/>
          <w:tab w:val="left" w:pos="1166"/>
        </w:tabs>
        <w:rPr>
          <w:rFonts w:cs="Times New Roman"/>
          <w:lang w:val="en-US"/>
        </w:rPr>
      </w:pPr>
      <w:r w:rsidRPr="001854C5">
        <w:rPr>
          <w:rFonts w:cs="Times New Roman"/>
          <w:lang w:val="en-US"/>
        </w:rPr>
        <w:t>Second</w:t>
      </w:r>
      <w:r w:rsidRPr="001854C5">
        <w:rPr>
          <w:rFonts w:cs="Times New Roman"/>
          <w:szCs w:val="24"/>
          <w:lang w:val="en-US"/>
        </w:rPr>
        <w:t xml:space="preserve">, the offender must represent “a </w:t>
      </w:r>
      <w:r w:rsidRPr="001854C5">
        <w:rPr>
          <w:rFonts w:cs="Times New Roman"/>
          <w:szCs w:val="24"/>
          <w:u w:val="single"/>
          <w:lang w:val="en-US"/>
        </w:rPr>
        <w:t>threat</w:t>
      </w:r>
      <w:r w:rsidRPr="001854C5">
        <w:rPr>
          <w:rFonts w:cs="Times New Roman"/>
          <w:szCs w:val="24"/>
          <w:lang w:val="en-US"/>
        </w:rPr>
        <w:t xml:space="preserve"> to the life, safety or physical or mental well-being of other persons”. This second element, the requisite threat level, requires that the judge evaluate the threat posed by the offender on the basis of evidence establishing one of the following three violent patterns of conduct:</w:t>
      </w:r>
    </w:p>
    <w:p w14:paraId="3E2DDF32" w14:textId="77777777" w:rsidR="00D22BB5" w:rsidRPr="001854C5" w:rsidRDefault="00D22BB5" w:rsidP="00F52BD7">
      <w:pPr>
        <w:pStyle w:val="Citation-AltC"/>
        <w:widowControl w:val="0"/>
        <w:rPr>
          <w:lang w:val="en-US"/>
        </w:rPr>
      </w:pPr>
      <w:r w:rsidRPr="001854C5">
        <w:rPr>
          <w:b/>
        </w:rPr>
        <w:t>(</w:t>
      </w:r>
      <w:r w:rsidRPr="001854C5">
        <w:rPr>
          <w:b/>
          <w:lang w:val="en-US"/>
        </w:rPr>
        <w:t>i)</w:t>
      </w:r>
      <w:r w:rsidRPr="001854C5">
        <w:rPr>
          <w:lang w:val="en-US"/>
        </w:rPr>
        <w:t xml:space="preserve"> a pattern of repetitive behaviour by the offender, of which the offence for which he or she has been convicted forms a part, showing a failure to restrain his or her behaviour and a likelihood of causing death or injury </w:t>
      </w:r>
      <w:r w:rsidRPr="001854C5">
        <w:t>to other persons,</w:t>
      </w:r>
      <w:r w:rsidRPr="001854C5">
        <w:rPr>
          <w:lang w:val="en-US"/>
        </w:rPr>
        <w:t xml:space="preserve"> or inflicting severe psychological damage on other persons, through failure in the future to restrain his or her behaviour,</w:t>
      </w:r>
    </w:p>
    <w:p w14:paraId="00D846B4" w14:textId="77777777" w:rsidR="00D22BB5" w:rsidRPr="001854C5" w:rsidRDefault="00D22BB5" w:rsidP="00F52BD7">
      <w:pPr>
        <w:pStyle w:val="Citation-AltC"/>
        <w:widowControl w:val="0"/>
        <w:rPr>
          <w:lang w:val="en-US"/>
        </w:rPr>
      </w:pPr>
    </w:p>
    <w:p w14:paraId="041D0A16" w14:textId="77777777" w:rsidR="00D22BB5" w:rsidRPr="001854C5" w:rsidRDefault="00D22BB5" w:rsidP="00F52BD7">
      <w:pPr>
        <w:pStyle w:val="Citation-AltC"/>
        <w:widowControl w:val="0"/>
        <w:rPr>
          <w:lang w:val="en-US"/>
        </w:rPr>
      </w:pPr>
      <w:r w:rsidRPr="001854C5">
        <w:rPr>
          <w:b/>
          <w:lang w:val="en-US"/>
        </w:rPr>
        <w:t>(ii)</w:t>
      </w:r>
      <w:r w:rsidRPr="001854C5">
        <w:rPr>
          <w:lang w:val="en-US"/>
        </w:rPr>
        <w:t xml:space="preserve"> a pattern of persistent aggressive behaviour by the offender, of which </w:t>
      </w:r>
      <w:r w:rsidRPr="001854C5">
        <w:rPr>
          <w:lang w:val="en-US"/>
        </w:rPr>
        <w:lastRenderedPageBreak/>
        <w:t>the offence for which he or she has been convicted forms a part, showing a substantial degree of indifference on the part of the offender respecting the reasonably foreseeable consequences to other persons of his or her behaviour, or</w:t>
      </w:r>
    </w:p>
    <w:p w14:paraId="6918A54A" w14:textId="77777777" w:rsidR="00D22BB5" w:rsidRPr="001854C5" w:rsidRDefault="00D22BB5" w:rsidP="00F52BD7">
      <w:pPr>
        <w:pStyle w:val="Citation-AltC"/>
        <w:widowControl w:val="0"/>
        <w:rPr>
          <w:lang w:val="en-US"/>
        </w:rPr>
      </w:pPr>
    </w:p>
    <w:p w14:paraId="7189EF2A" w14:textId="77777777" w:rsidR="00D22BB5" w:rsidRPr="001854C5" w:rsidRDefault="00D22BB5" w:rsidP="00F52BD7">
      <w:pPr>
        <w:pStyle w:val="Citation-AltC"/>
        <w:widowControl w:val="0"/>
        <w:rPr>
          <w:lang w:val="en-US"/>
        </w:rPr>
      </w:pPr>
      <w:r w:rsidRPr="001854C5">
        <w:rPr>
          <w:b/>
          <w:lang w:val="en-US"/>
        </w:rPr>
        <w:t>(iii)</w:t>
      </w:r>
      <w:r w:rsidRPr="001854C5">
        <w:rPr>
          <w:lang w:val="en-US"/>
        </w:rPr>
        <w:t xml:space="preserve"> any behaviour by the offender, associated with the offence for which he or she has been convicted, that is of such a brutal nature as to compel the conclusion that the offender’s behaviour in the future is unlikely to be inhibited by normal standards of behavioural restraint;</w:t>
      </w:r>
    </w:p>
    <w:p w14:paraId="53A912B2" w14:textId="77777777" w:rsidR="00D22BB5" w:rsidRPr="001854C5" w:rsidRDefault="00D22BB5" w:rsidP="00F52BD7">
      <w:pPr>
        <w:pStyle w:val="ContinueParaSuitedupar-AltP"/>
        <w:widowControl w:val="0"/>
        <w:rPr>
          <w:rFonts w:cs="Times New Roman"/>
        </w:rPr>
      </w:pPr>
      <w:r w:rsidRPr="001854C5">
        <w:rPr>
          <w:rFonts w:cs="Times New Roman"/>
        </w:rPr>
        <w:t>These subparagraphs are disjunctive — they provide three standalone grounds for finding that the offender is a “threat” under</w:t>
      </w:r>
      <w:r>
        <w:rPr>
          <w:rFonts w:cs="Times New Roman"/>
        </w:rPr>
        <w:t xml:space="preserve"> s. </w:t>
      </w:r>
      <w:r w:rsidRPr="001854C5">
        <w:rPr>
          <w:rFonts w:cs="Times New Roman"/>
        </w:rPr>
        <w:t xml:space="preserve">753(1). </w:t>
      </w:r>
    </w:p>
    <w:p w14:paraId="183F1AFF" w14:textId="77777777" w:rsidR="00D22BB5" w:rsidRPr="001854C5" w:rsidRDefault="00D22BB5" w:rsidP="00F52BD7">
      <w:pPr>
        <w:pStyle w:val="ParaNoNdepar-AltN"/>
        <w:widowControl w:val="0"/>
        <w:tabs>
          <w:tab w:val="clear" w:pos="1152"/>
          <w:tab w:val="left" w:pos="1166"/>
        </w:tabs>
        <w:rPr>
          <w:rFonts w:cs="Times New Roman"/>
          <w:szCs w:val="24"/>
        </w:rPr>
      </w:pPr>
      <w:r w:rsidRPr="001854C5">
        <w:rPr>
          <w:rFonts w:cs="Times New Roman"/>
          <w:szCs w:val="24"/>
        </w:rPr>
        <w:t>These grounds have not changed since the enactment of the scheme in 1977. Indeed, a brief overview of the scheme’s legislative history is in order.</w:t>
      </w:r>
    </w:p>
    <w:p w14:paraId="47FB646E" w14:textId="03370D2F" w:rsidR="00D22BB5" w:rsidRPr="001854C5" w:rsidRDefault="00D22BB5" w:rsidP="00F52BD7">
      <w:pPr>
        <w:pStyle w:val="ParaNoNdepar-AltN"/>
        <w:widowControl w:val="0"/>
        <w:tabs>
          <w:tab w:val="clear" w:pos="1152"/>
          <w:tab w:val="left" w:pos="1166"/>
        </w:tabs>
        <w:rPr>
          <w:rFonts w:cs="Times New Roman"/>
          <w:szCs w:val="24"/>
        </w:rPr>
      </w:pPr>
      <w:r w:rsidRPr="001854C5">
        <w:rPr>
          <w:rFonts w:cs="Times New Roman"/>
          <w:szCs w:val="24"/>
        </w:rPr>
        <w:t>The scheme was first introduced in 1977, subsequently amended in 1997, and amended again in 2008. When the scheme was enacted in 1977, it was referr</w:t>
      </w:r>
      <w:r w:rsidR="00EA4B08">
        <w:rPr>
          <w:rFonts w:cs="Times New Roman"/>
          <w:szCs w:val="24"/>
        </w:rPr>
        <w:t xml:space="preserve">ed to as a “two </w:t>
      </w:r>
      <w:r w:rsidRPr="001854C5">
        <w:rPr>
          <w:rFonts w:cs="Times New Roman"/>
          <w:szCs w:val="24"/>
        </w:rPr>
        <w:t>stage” process. At the designation stage, the sentencing judge had to determine if the statutory criteria were satisfied and then had the discretion to designate the individual. At the sentencing stage, the sentencing judge had to exercise his or her discretion again to decide whether to impose an indeterminate sentence. In</w:t>
      </w:r>
      <w:r w:rsidR="00EA4B08">
        <w:rPr>
          <w:rFonts w:cs="Times New Roman"/>
          <w:szCs w:val="24"/>
        </w:rPr>
        <w:t xml:space="preserve"> 1997, the scheme became a “one </w:t>
      </w:r>
      <w:r w:rsidRPr="001854C5">
        <w:rPr>
          <w:rFonts w:cs="Times New Roman"/>
          <w:szCs w:val="24"/>
        </w:rPr>
        <w:t>stage” process. The judge had discretion to designate an offender as dangerous, but there was no discretion at the sentencing stage</w:t>
      </w:r>
      <w:r>
        <w:rPr>
          <w:rFonts w:cs="Times New Roman"/>
          <w:szCs w:val="24"/>
        </w:rPr>
        <w:t> </w:t>
      </w:r>
      <w:r w:rsidRPr="001854C5">
        <w:rPr>
          <w:rFonts w:cs="Times New Roman"/>
          <w:szCs w:val="24"/>
        </w:rPr>
        <w:t>—</w:t>
      </w:r>
      <w:r>
        <w:rPr>
          <w:rFonts w:cs="Times New Roman"/>
          <w:szCs w:val="24"/>
        </w:rPr>
        <w:t> </w:t>
      </w:r>
      <w:r w:rsidRPr="001854C5">
        <w:rPr>
          <w:rFonts w:cs="Times New Roman"/>
          <w:szCs w:val="24"/>
        </w:rPr>
        <w:t xml:space="preserve">an indeterminate sentence flowed as a consequence of the designation. The current version </w:t>
      </w:r>
      <w:r w:rsidR="00EA4B08">
        <w:rPr>
          <w:rFonts w:cs="Times New Roman"/>
          <w:szCs w:val="24"/>
        </w:rPr>
        <w:t xml:space="preserve">of the scheme reverts to a “two </w:t>
      </w:r>
      <w:r w:rsidRPr="001854C5">
        <w:rPr>
          <w:rFonts w:cs="Times New Roman"/>
          <w:szCs w:val="24"/>
        </w:rPr>
        <w:t xml:space="preserve">stage” process but removes the discretionary language from the designation stage. If a sentencing judge is satisfied that the statutory criteria have been met, the designation must follow. There is, however, some discretion </w:t>
      </w:r>
      <w:r w:rsidRPr="001854C5">
        <w:rPr>
          <w:rFonts w:cs="Times New Roman"/>
          <w:szCs w:val="24"/>
        </w:rPr>
        <w:lastRenderedPageBreak/>
        <w:t>remaining at the sentencing stage. Under s.</w:t>
      </w:r>
      <w:r>
        <w:rPr>
          <w:rFonts w:cs="Times New Roman"/>
          <w:szCs w:val="24"/>
        </w:rPr>
        <w:t> </w:t>
      </w:r>
      <w:r w:rsidRPr="001854C5">
        <w:rPr>
          <w:rFonts w:cs="Times New Roman"/>
          <w:szCs w:val="24"/>
        </w:rPr>
        <w:t xml:space="preserve">753(4.1), a sentencing judge must impose an indeterminate sentence on a designated individual </w:t>
      </w:r>
      <w:r w:rsidRPr="001854C5">
        <w:rPr>
          <w:rFonts w:cs="Times New Roman"/>
          <w:i/>
          <w:szCs w:val="24"/>
        </w:rPr>
        <w:t>unless</w:t>
      </w:r>
      <w:r w:rsidRPr="001854C5">
        <w:rPr>
          <w:rFonts w:cs="Times New Roman"/>
          <w:szCs w:val="24"/>
        </w:rPr>
        <w:t xml:space="preserve"> he or she is satisfied that there is a reasonable expectation that a lesser measure will adequately protect the public.</w:t>
      </w:r>
    </w:p>
    <w:p w14:paraId="1248A7DB" w14:textId="77777777" w:rsidR="00D22BB5" w:rsidRPr="001854C5" w:rsidRDefault="00D22BB5" w:rsidP="00F52BD7">
      <w:pPr>
        <w:pStyle w:val="Title1LevelTitre1Niveau-AltL"/>
        <w:widowControl w:val="0"/>
        <w:rPr>
          <w:rFonts w:cs="Times New Roman"/>
        </w:rPr>
      </w:pPr>
      <w:r w:rsidRPr="001854C5">
        <w:rPr>
          <w:rFonts w:cs="Times New Roman"/>
        </w:rPr>
        <w:t>Analysis</w:t>
      </w:r>
    </w:p>
    <w:p w14:paraId="085C3283" w14:textId="77777777" w:rsidR="00D22BB5" w:rsidRPr="001854C5" w:rsidRDefault="00D22BB5" w:rsidP="00F52BD7">
      <w:pPr>
        <w:pStyle w:val="Title2LevelTitre2Niveau"/>
        <w:widowControl w:val="0"/>
        <w:rPr>
          <w:rFonts w:cs="Times New Roman"/>
        </w:rPr>
      </w:pPr>
      <w:r w:rsidRPr="001854C5">
        <w:rPr>
          <w:rFonts w:cs="Times New Roman"/>
        </w:rPr>
        <w:t xml:space="preserve">Does Section 753(1) Preclude a Sentencing Judge From Considering Future Treatment Prospects Before Designating an Offender as Dangerous? If So, Is This Section Overbroad Under Section 7 of the Charter? </w:t>
      </w:r>
    </w:p>
    <w:p w14:paraId="540A76AC" w14:textId="3B7143A0" w:rsidR="00D22BB5" w:rsidRPr="001854C5" w:rsidRDefault="00D22BB5" w:rsidP="00F52BD7">
      <w:pPr>
        <w:pStyle w:val="ParaNoNdepar-AltN"/>
        <w:widowControl w:val="0"/>
        <w:tabs>
          <w:tab w:val="clear" w:pos="1152"/>
          <w:tab w:val="left" w:pos="1166"/>
        </w:tabs>
        <w:rPr>
          <w:rFonts w:cs="Times New Roman"/>
        </w:rPr>
      </w:pPr>
      <w:r w:rsidRPr="001854C5">
        <w:rPr>
          <w:rFonts w:cs="Times New Roman"/>
          <w:lang w:val="en-US"/>
        </w:rPr>
        <w:t xml:space="preserve">Mr. Boutilier’s contention is as </w:t>
      </w:r>
      <w:r w:rsidR="00EA4B08">
        <w:rPr>
          <w:rFonts w:cs="Times New Roman"/>
          <w:lang w:val="en-US"/>
        </w:rPr>
        <w:t xml:space="preserve">follows. Under the current “two </w:t>
      </w:r>
      <w:r w:rsidRPr="001854C5">
        <w:rPr>
          <w:rFonts w:cs="Times New Roman"/>
          <w:lang w:val="en-US"/>
        </w:rPr>
        <w:t>stage” approach, prospective evidence of future treatment cannot be considered at the designation stage and is relevant only at the penalty</w:t>
      </w:r>
      <w:r>
        <w:rPr>
          <w:rFonts w:cs="Times New Roman"/>
          <w:lang w:val="en-US"/>
        </w:rPr>
        <w:t xml:space="preserve"> stage under s. </w:t>
      </w:r>
      <w:r w:rsidRPr="001854C5">
        <w:rPr>
          <w:rFonts w:cs="Times New Roman"/>
          <w:lang w:val="en-US"/>
        </w:rPr>
        <w:t xml:space="preserve">753(4.1). As a result, the provision is overbroad since it captures offenders who do not pose a future threat to public safety. </w:t>
      </w:r>
      <w:r w:rsidRPr="001854C5">
        <w:rPr>
          <w:rFonts w:cs="Times New Roman"/>
        </w:rPr>
        <w:t>Mr. Boutilier concedes that, should the Court find that prospective evidence must be considered at the designation stage, his overbreadth argument must fail.</w:t>
      </w:r>
    </w:p>
    <w:p w14:paraId="30778F55" w14:textId="77777777" w:rsidR="00D22BB5" w:rsidRPr="001854C5" w:rsidRDefault="00D22BB5" w:rsidP="00F52BD7">
      <w:pPr>
        <w:pStyle w:val="ParaNoNdepar-AltN"/>
        <w:widowControl w:val="0"/>
        <w:tabs>
          <w:tab w:val="clear" w:pos="1152"/>
          <w:tab w:val="left" w:pos="1166"/>
        </w:tabs>
        <w:rPr>
          <w:rFonts w:cs="Times New Roman"/>
        </w:rPr>
      </w:pPr>
      <w:r w:rsidRPr="001854C5">
        <w:rPr>
          <w:rFonts w:cs="Times New Roman"/>
        </w:rPr>
        <w:t>The sentencing judge agreed</w:t>
      </w:r>
      <w:r>
        <w:rPr>
          <w:rFonts w:cs="Times New Roman"/>
        </w:rPr>
        <w:t xml:space="preserve"> with Mr. </w:t>
      </w:r>
      <w:r w:rsidRPr="001854C5">
        <w:rPr>
          <w:rFonts w:cs="Times New Roman"/>
        </w:rPr>
        <w:t xml:space="preserve">Boutilier. He assumed that, with the passing of the 2008 amendments, the designation criteria now only allow for the consideration of retrospective evidence at the designation stage. This led him to find that, absent any consideration of an offender’s treatment prospects, the statutory criteria for designation </w:t>
      </w:r>
      <w:r>
        <w:rPr>
          <w:rFonts w:cs="Times New Roman"/>
        </w:rPr>
        <w:t>under s. </w:t>
      </w:r>
      <w:r w:rsidRPr="001854C5">
        <w:rPr>
          <w:rFonts w:cs="Times New Roman"/>
        </w:rPr>
        <w:t xml:space="preserve">753(1) are so broad in scope that they capture offenders who do not pose a future risk to public safety. This overbreadth is contrary to the principles </w:t>
      </w:r>
      <w:r w:rsidRPr="001854C5">
        <w:rPr>
          <w:rFonts w:cs="Times New Roman"/>
        </w:rPr>
        <w:lastRenderedPageBreak/>
        <w:t>of fundamental justice and to</w:t>
      </w:r>
      <w:r>
        <w:rPr>
          <w:rFonts w:cs="Times New Roman"/>
        </w:rPr>
        <w:t xml:space="preserve"> s. </w:t>
      </w:r>
      <w:r w:rsidRPr="001854C5">
        <w:rPr>
          <w:rFonts w:cs="Times New Roman"/>
        </w:rPr>
        <w:t xml:space="preserve">7 of the </w:t>
      </w:r>
      <w:r w:rsidRPr="001854C5">
        <w:rPr>
          <w:rFonts w:cs="Times New Roman"/>
          <w:i/>
        </w:rPr>
        <w:t>Charter</w:t>
      </w:r>
      <w:r w:rsidRPr="001854C5">
        <w:rPr>
          <w:rFonts w:cs="Times New Roman"/>
        </w:rPr>
        <w:t>. The Court of Appeal, while of the view that consideration of future treatment prospects at the penalty stage does not result in overbreadth, found that the designation stage has never required consideration of an offender’s future treatment prospects.</w:t>
      </w:r>
    </w:p>
    <w:p w14:paraId="75C28A77" w14:textId="77777777" w:rsidR="00D22BB5" w:rsidRPr="001854C5" w:rsidRDefault="00D22BB5" w:rsidP="00F52BD7">
      <w:pPr>
        <w:pStyle w:val="ParaNoNdepar-AltN"/>
        <w:widowControl w:val="0"/>
        <w:tabs>
          <w:tab w:val="clear" w:pos="1152"/>
          <w:tab w:val="left" w:pos="1166"/>
        </w:tabs>
        <w:rPr>
          <w:rFonts w:cs="Times New Roman"/>
          <w:lang w:val="en-US"/>
        </w:rPr>
      </w:pPr>
      <w:r w:rsidRPr="001854C5">
        <w:rPr>
          <w:rFonts w:cs="Times New Roman"/>
        </w:rPr>
        <w:t xml:space="preserve">In my view, </w:t>
      </w:r>
      <w:r>
        <w:rPr>
          <w:rFonts w:cs="Times New Roman"/>
        </w:rPr>
        <w:t>Mr. </w:t>
      </w:r>
      <w:r w:rsidRPr="001854C5">
        <w:rPr>
          <w:rFonts w:cs="Times New Roman"/>
        </w:rPr>
        <w:t xml:space="preserve">Boutilier’s arguments are unavailing. A </w:t>
      </w:r>
      <w:r w:rsidRPr="001854C5">
        <w:rPr>
          <w:rFonts w:cs="Times New Roman"/>
          <w:lang w:val="en-US"/>
        </w:rPr>
        <w:t>prospective assessment of risk has always been part of s. 753(1). The 2008 amendments</w:t>
      </w:r>
      <w:r w:rsidRPr="001854C5">
        <w:rPr>
          <w:rFonts w:cs="Times New Roman"/>
          <w:i/>
          <w:lang w:val="en-US"/>
        </w:rPr>
        <w:t xml:space="preserve"> </w:t>
      </w:r>
      <w:r w:rsidRPr="001854C5">
        <w:rPr>
          <w:rFonts w:cs="Times New Roman"/>
          <w:lang w:val="en-US"/>
        </w:rPr>
        <w:t>did not change the requirements for this assessment</w:t>
      </w:r>
      <w:r w:rsidRPr="001854C5">
        <w:rPr>
          <w:rFonts w:cs="Times New Roman"/>
        </w:rPr>
        <w:t>. In line with</w:t>
      </w:r>
      <w:r w:rsidRPr="001854C5">
        <w:rPr>
          <w:rFonts w:cs="Times New Roman"/>
          <w:lang w:val="en-US"/>
        </w:rPr>
        <w:t xml:space="preserve"> the purpose and wording of s</w:t>
      </w:r>
      <w:r w:rsidRPr="001854C5">
        <w:rPr>
          <w:rFonts w:cs="Times New Roman"/>
        </w:rPr>
        <w:t xml:space="preserve">. 753(1) as well as the consistent jurisprudence of this Court, </w:t>
      </w:r>
      <w:r w:rsidRPr="001854C5">
        <w:rPr>
          <w:rFonts w:cs="Times New Roman"/>
          <w:lang w:val="en-US"/>
        </w:rPr>
        <w:t xml:space="preserve">an offender cannot be designated as dangerous unless the judge concludes that he or she is a </w:t>
      </w:r>
      <w:r w:rsidRPr="001854C5">
        <w:rPr>
          <w:rFonts w:cs="Times New Roman"/>
          <w:i/>
          <w:lang w:val="en-US"/>
        </w:rPr>
        <w:t>future</w:t>
      </w:r>
      <w:r w:rsidRPr="001854C5">
        <w:rPr>
          <w:rFonts w:cs="Times New Roman"/>
          <w:lang w:val="en-US"/>
        </w:rPr>
        <w:t xml:space="preserve"> “threat” after a prospective assessment of risk. Contrary to the divided jurisprudence on this point and the reasons of the Court of Appeal in this matter, this future risk assessment has always required consideration of future treatment prospects</w:t>
      </w:r>
      <w:r w:rsidRPr="001854C5">
        <w:rPr>
          <w:rFonts w:cs="Times New Roman"/>
          <w:i/>
          <w:lang w:val="en-US"/>
        </w:rPr>
        <w:t xml:space="preserve">. </w:t>
      </w:r>
      <w:r w:rsidRPr="001854C5">
        <w:rPr>
          <w:rFonts w:cs="Times New Roman"/>
        </w:rPr>
        <w:t>This, in turn, means that the designation provision is not overbroad as it does not capture offenders who, though currently a threat to others, may cease to be in the future, notably after successful treatment.</w:t>
      </w:r>
    </w:p>
    <w:p w14:paraId="4346E839" w14:textId="77777777" w:rsidR="00D22BB5" w:rsidRPr="001854C5" w:rsidRDefault="00D22BB5" w:rsidP="00F52BD7">
      <w:pPr>
        <w:pStyle w:val="Title3LevelTitre3Niveau"/>
        <w:widowControl w:val="0"/>
        <w:rPr>
          <w:rFonts w:cs="Times New Roman"/>
          <w:lang w:val="en-US"/>
        </w:rPr>
      </w:pPr>
      <w:r w:rsidRPr="001854C5">
        <w:rPr>
          <w:rFonts w:cs="Times New Roman"/>
          <w:lang w:val="en-US"/>
        </w:rPr>
        <w:t>The Requirements for Prospective Assessment of Risk Under Section 753(1) Remain Unchanged</w:t>
      </w:r>
    </w:p>
    <w:p w14:paraId="1247A941" w14:textId="77777777" w:rsidR="00D22BB5" w:rsidRPr="001854C5" w:rsidRDefault="00D22BB5" w:rsidP="00F52BD7">
      <w:pPr>
        <w:pStyle w:val="ParaNoNdepar-AltN"/>
        <w:widowControl w:val="0"/>
        <w:tabs>
          <w:tab w:val="clear" w:pos="1152"/>
          <w:tab w:val="left" w:pos="1166"/>
        </w:tabs>
        <w:rPr>
          <w:rFonts w:cs="Times New Roman"/>
          <w:lang w:val="en-US"/>
        </w:rPr>
      </w:pPr>
      <w:r>
        <w:rPr>
          <w:rFonts w:cs="Times New Roman"/>
          <w:lang w:val="en-US"/>
        </w:rPr>
        <w:t>Mr. </w:t>
      </w:r>
      <w:r w:rsidRPr="001854C5">
        <w:rPr>
          <w:rFonts w:cs="Times New Roman"/>
          <w:lang w:val="en-US"/>
        </w:rPr>
        <w:t xml:space="preserve">Boutilier’s submissions and the sentencing judge’s conclusions relating to overbreadth rely on the assumption that the required assessment of prospective risk under s. 753(1) changed with the 2008 amendments, increasing the scope of the provision. This is not the case. The consistent language and the purpose of the provision both lead to the conclusion that the prospective risk assessment remains </w:t>
      </w:r>
      <w:r w:rsidRPr="001854C5">
        <w:rPr>
          <w:rFonts w:cs="Times New Roman"/>
          <w:lang w:val="en-US"/>
        </w:rPr>
        <w:lastRenderedPageBreak/>
        <w:t>the same.</w:t>
      </w:r>
    </w:p>
    <w:p w14:paraId="6234CE38" w14:textId="77777777" w:rsidR="00D22BB5" w:rsidRPr="001854C5" w:rsidRDefault="00D22BB5" w:rsidP="00F52BD7">
      <w:pPr>
        <w:pStyle w:val="ParaNoNdepar-AltN"/>
        <w:widowControl w:val="0"/>
        <w:tabs>
          <w:tab w:val="clear" w:pos="1152"/>
          <w:tab w:val="left" w:pos="1166"/>
        </w:tabs>
        <w:rPr>
          <w:rFonts w:cs="Times New Roman"/>
          <w:lang w:val="en-US"/>
        </w:rPr>
      </w:pPr>
      <w:r w:rsidRPr="001854C5">
        <w:rPr>
          <w:rFonts w:cs="Times New Roman"/>
        </w:rPr>
        <w:t xml:space="preserve">This Court considered the constitutionality of this statutory scheme in the leading case of </w:t>
      </w:r>
      <w:r w:rsidRPr="001854C5">
        <w:rPr>
          <w:rFonts w:cs="Times New Roman"/>
          <w:i/>
        </w:rPr>
        <w:t>R. v. Lyons</w:t>
      </w:r>
      <w:r w:rsidRPr="001854C5">
        <w:rPr>
          <w:rFonts w:cs="Times New Roman"/>
        </w:rPr>
        <w:t>, [1987] 2 S.C.R. 309.</w:t>
      </w:r>
    </w:p>
    <w:p w14:paraId="1ED82F9C" w14:textId="77777777" w:rsidR="00D22BB5" w:rsidRPr="001854C5" w:rsidRDefault="00D22BB5" w:rsidP="00F52BD7">
      <w:pPr>
        <w:pStyle w:val="ParaNoNdepar-AltN"/>
        <w:widowControl w:val="0"/>
        <w:tabs>
          <w:tab w:val="clear" w:pos="1152"/>
          <w:tab w:val="left" w:pos="1166"/>
        </w:tabs>
        <w:rPr>
          <w:rFonts w:cs="Times New Roman"/>
          <w:lang w:val="en-US"/>
        </w:rPr>
      </w:pPr>
      <w:r w:rsidRPr="001854C5">
        <w:rPr>
          <w:rFonts w:cs="Times New Roman"/>
          <w:lang w:val="en-US"/>
        </w:rPr>
        <w:t xml:space="preserve">In </w:t>
      </w:r>
      <w:r w:rsidRPr="001854C5">
        <w:rPr>
          <w:rFonts w:cs="Times New Roman"/>
          <w:i/>
          <w:iCs/>
          <w:lang w:val="en-US"/>
        </w:rPr>
        <w:t>Lyons</w:t>
      </w:r>
      <w:r w:rsidRPr="001854C5">
        <w:rPr>
          <w:rFonts w:cs="Times New Roman"/>
          <w:lang w:val="en-US"/>
        </w:rPr>
        <w:t>, Justice La Forest read the objective element of the designation — the requirement that the predicate offence be a “serious personal injury offence” — together with the subjective element — the “threat” assessment — and concluded that four criteria were “ex</w:t>
      </w:r>
      <w:r>
        <w:rPr>
          <w:rFonts w:cs="Times New Roman"/>
          <w:lang w:val="en-US"/>
        </w:rPr>
        <w:t>plicit” from the language of s. </w:t>
      </w:r>
      <w:r w:rsidRPr="001854C5">
        <w:rPr>
          <w:rFonts w:cs="Times New Roman"/>
          <w:lang w:val="en-US"/>
        </w:rPr>
        <w:t>753(1): (1) the offender has been convicted of, and has to be sentenced for, a “serious personal injury offence”; (2) this predicate offence is part of a broader pattern of violence; (3) there is a high likelihood of harmful recidivism; and (4) the violent conduct is intractable (p. 338). The last three criteria are part of the assessment of the “threat” posed by the offender. The last two of these are future-oriented,</w:t>
      </w:r>
      <w:r>
        <w:rPr>
          <w:rFonts w:cs="Times New Roman"/>
          <w:lang w:val="en-US"/>
        </w:rPr>
        <w:t xml:space="preserve"> and Justice La </w:t>
      </w:r>
      <w:r w:rsidRPr="001854C5">
        <w:rPr>
          <w:rFonts w:cs="Times New Roman"/>
          <w:lang w:val="en-US"/>
        </w:rPr>
        <w:t>Forest explained them as follows:</w:t>
      </w:r>
    </w:p>
    <w:p w14:paraId="66A73169" w14:textId="77777777" w:rsidR="00D22BB5" w:rsidRPr="001854C5" w:rsidRDefault="00D22BB5" w:rsidP="00F52BD7">
      <w:pPr>
        <w:pStyle w:val="Citation-AltC"/>
        <w:widowControl w:val="0"/>
        <w:rPr>
          <w:lang w:val="en-US"/>
        </w:rPr>
      </w:pPr>
      <w:r w:rsidRPr="001854C5">
        <w:rPr>
          <w:lang w:val="en-US"/>
        </w:rPr>
        <w:t xml:space="preserve">Thirdly, it must be established that the pattern of conduct </w:t>
      </w:r>
      <w:r w:rsidRPr="001854C5">
        <w:rPr>
          <w:u w:val="single"/>
          <w:lang w:val="en-US"/>
        </w:rPr>
        <w:t>is very likely to continue</w:t>
      </w:r>
      <w:r w:rsidRPr="001854C5">
        <w:rPr>
          <w:lang w:val="en-US"/>
        </w:rPr>
        <w:t xml:space="preserve"> and to result in the kind of suffering against which the section seeks to protect, namely, conduct endangering the life, safety or physical well-being of others or, in the case of sexual offences, conduct causing injury, pain or other evil to other persons. Also </w:t>
      </w:r>
      <w:r w:rsidRPr="001854C5">
        <w:rPr>
          <w:u w:val="single"/>
          <w:lang w:val="en-US"/>
        </w:rPr>
        <w:t>explicit</w:t>
      </w:r>
      <w:r w:rsidRPr="001854C5">
        <w:rPr>
          <w:lang w:val="en-US"/>
        </w:rPr>
        <w:t xml:space="preserve"> in one form or another in each subparagraph of s. [688, now 753] is the requirement </w:t>
      </w:r>
      <w:r w:rsidRPr="001854C5">
        <w:rPr>
          <w:u w:val="single"/>
          <w:lang w:val="en-US"/>
        </w:rPr>
        <w:t>that the court must be satisfied that the pattern of conduct is substantially or pathologically intractable</w:t>
      </w:r>
      <w:r w:rsidRPr="001854C5">
        <w:rPr>
          <w:lang w:val="en-US"/>
        </w:rPr>
        <w:t>. [Emphasis added; p. 338.]</w:t>
      </w:r>
    </w:p>
    <w:p w14:paraId="371F7CC2" w14:textId="77777777" w:rsidR="00D22BB5" w:rsidRPr="001854C5" w:rsidRDefault="00D22BB5" w:rsidP="00F52BD7">
      <w:pPr>
        <w:pStyle w:val="ParaNoNdepar-AltN"/>
        <w:widowControl w:val="0"/>
        <w:tabs>
          <w:tab w:val="clear" w:pos="1152"/>
          <w:tab w:val="left" w:pos="1166"/>
        </w:tabs>
        <w:rPr>
          <w:rFonts w:cs="Times New Roman"/>
          <w:lang w:val="en-US"/>
        </w:rPr>
      </w:pPr>
      <w:r>
        <w:rPr>
          <w:rFonts w:cs="Times New Roman"/>
          <w:lang w:val="en-US"/>
        </w:rPr>
        <w:t>The language of s. </w:t>
      </w:r>
      <w:r w:rsidRPr="001854C5">
        <w:rPr>
          <w:rFonts w:cs="Times New Roman"/>
          <w:lang w:val="en-US"/>
        </w:rPr>
        <w:t>753(1), which led Justice</w:t>
      </w:r>
      <w:r>
        <w:rPr>
          <w:rFonts w:cs="Times New Roman"/>
          <w:lang w:val="en-US"/>
        </w:rPr>
        <w:t> La </w:t>
      </w:r>
      <w:r w:rsidRPr="001854C5">
        <w:rPr>
          <w:rFonts w:cs="Times New Roman"/>
          <w:lang w:val="en-US"/>
        </w:rPr>
        <w:t xml:space="preserve">Forest to develop the four criteria outlined above, has never been amended since its enactment in 1977. Before designating a dangerous offender, a sentencing judge must still be satisfied on the </w:t>
      </w:r>
      <w:r w:rsidRPr="001854C5">
        <w:rPr>
          <w:rFonts w:cs="Times New Roman"/>
          <w:lang w:val="en-US"/>
        </w:rPr>
        <w:lastRenderedPageBreak/>
        <w:t>evidence that the offender poses a high likelihood of harmful recidivism and that his or her conduct is intractable. I understand “intractable” conduct as meaning behaviour that the offender is unable to surmount. Through these two criteria, Parliament requires sentencing judges to conduct a prospective assessment of dangerousness.</w:t>
      </w:r>
    </w:p>
    <w:p w14:paraId="4E0202BB" w14:textId="77777777" w:rsidR="00D22BB5" w:rsidRPr="001854C5" w:rsidRDefault="00D22BB5" w:rsidP="00F52BD7">
      <w:pPr>
        <w:pStyle w:val="ParaNoNdepar-AltN"/>
        <w:widowControl w:val="0"/>
        <w:tabs>
          <w:tab w:val="clear" w:pos="1152"/>
          <w:tab w:val="left" w:pos="1166"/>
        </w:tabs>
        <w:rPr>
          <w:rFonts w:cs="Times New Roman"/>
          <w:lang w:val="en-US"/>
        </w:rPr>
      </w:pPr>
      <w:r>
        <w:rPr>
          <w:rFonts w:cs="Times New Roman"/>
          <w:szCs w:val="24"/>
        </w:rPr>
        <w:t>Justice La </w:t>
      </w:r>
      <w:r w:rsidRPr="001854C5">
        <w:rPr>
          <w:rFonts w:cs="Times New Roman"/>
          <w:szCs w:val="24"/>
        </w:rPr>
        <w:t>Forest</w:t>
      </w:r>
      <w:r w:rsidRPr="001854C5">
        <w:rPr>
          <w:rFonts w:cs="Times New Roman"/>
          <w:spacing w:val="-3"/>
        </w:rPr>
        <w:t xml:space="preserve"> concluded what would today be referred to as an overbreadth analysis by finding</w:t>
      </w:r>
      <w:r w:rsidRPr="001854C5">
        <w:rPr>
          <w:rFonts w:cs="Times New Roman"/>
          <w:lang w:val="en-US"/>
        </w:rPr>
        <w:t xml:space="preserve"> that the </w:t>
      </w:r>
      <w:r w:rsidRPr="001854C5">
        <w:rPr>
          <w:rFonts w:cs="Times New Roman"/>
          <w:spacing w:val="-3"/>
        </w:rPr>
        <w:t xml:space="preserve">four s. 753(1) </w:t>
      </w:r>
      <w:r w:rsidRPr="001854C5">
        <w:rPr>
          <w:rFonts w:cs="Times New Roman"/>
          <w:szCs w:val="24"/>
        </w:rPr>
        <w:t>criteria define a very small group of offenders for whom the risk of indeterminate preventive detention is constitutional:</w:t>
      </w:r>
    </w:p>
    <w:p w14:paraId="3E2F9B1F" w14:textId="77777777" w:rsidR="00D22BB5" w:rsidRPr="001854C5" w:rsidRDefault="00D22BB5" w:rsidP="00F52BD7">
      <w:pPr>
        <w:pStyle w:val="Citation-AltC"/>
        <w:widowControl w:val="0"/>
      </w:pPr>
      <w:r w:rsidRPr="001854C5">
        <w:t xml:space="preserve">Not only has a diligent attempt been made to carefully define a very small group of offenders whose personal characteristics and particular circumstances militate strenuously in favour of preventive incarceration, but it would be difficult to imagine a better tailored set of criteria that could effectively accomplish the purposes sought to be attained. </w:t>
      </w:r>
      <w:r>
        <w:t>[p. </w:t>
      </w:r>
      <w:r w:rsidRPr="001854C5">
        <w:t>339]</w:t>
      </w:r>
    </w:p>
    <w:p w14:paraId="435ED046" w14:textId="77777777" w:rsidR="00D22BB5" w:rsidRPr="001854C5" w:rsidRDefault="00D22BB5" w:rsidP="00F52BD7">
      <w:pPr>
        <w:pStyle w:val="ParaNoNdepar-AltN"/>
        <w:widowControl w:val="0"/>
        <w:numPr>
          <w:ilvl w:val="0"/>
          <w:numId w:val="0"/>
        </w:numPr>
        <w:rPr>
          <w:rFonts w:cs="Times New Roman"/>
          <w:szCs w:val="24"/>
        </w:rPr>
      </w:pPr>
      <w:r w:rsidRPr="001854C5">
        <w:rPr>
          <w:rFonts w:cs="Times New Roman"/>
          <w:szCs w:val="24"/>
        </w:rPr>
        <w:t>He held that the designation criteria are sufficiently narrow and precise so as to</w:t>
      </w:r>
      <w:r w:rsidRPr="001854C5">
        <w:rPr>
          <w:rFonts w:cs="Times New Roman"/>
        </w:rPr>
        <w:t xml:space="preserve"> apply </w:t>
      </w:r>
      <w:r w:rsidRPr="001854C5">
        <w:rPr>
          <w:rFonts w:cs="Times New Roman"/>
          <w:i/>
        </w:rPr>
        <w:t>only</w:t>
      </w:r>
      <w:r w:rsidRPr="001854C5">
        <w:rPr>
          <w:rFonts w:cs="Times New Roman"/>
        </w:rPr>
        <w:t xml:space="preserve"> to offenders that pose a future threat to other persons, such that the risk of indeterminate detention is rationally tied to the public protection purpose of the scheme</w:t>
      </w:r>
      <w:r w:rsidRPr="001854C5">
        <w:rPr>
          <w:rFonts w:cs="Times New Roman"/>
          <w:szCs w:val="24"/>
        </w:rPr>
        <w:t xml:space="preserve">. </w:t>
      </w:r>
      <w:r w:rsidRPr="001854C5">
        <w:rPr>
          <w:rFonts w:cs="Times New Roman"/>
        </w:rPr>
        <w:t>Since these criteria have not subsequently been amended, the Court’s conclusion that</w:t>
      </w:r>
      <w:r>
        <w:rPr>
          <w:rFonts w:cs="Times New Roman"/>
        </w:rPr>
        <w:t xml:space="preserve"> s. </w:t>
      </w:r>
      <w:r w:rsidRPr="001854C5">
        <w:rPr>
          <w:rFonts w:cs="Times New Roman"/>
        </w:rPr>
        <w:t>753(1) does not overreach still applies.</w:t>
      </w:r>
    </w:p>
    <w:p w14:paraId="2768E95E" w14:textId="77777777" w:rsidR="00D22BB5" w:rsidRPr="001854C5" w:rsidRDefault="00D22BB5" w:rsidP="00F52BD7">
      <w:pPr>
        <w:pStyle w:val="ParaNoNdepar-AltN"/>
        <w:widowControl w:val="0"/>
        <w:tabs>
          <w:tab w:val="clear" w:pos="1152"/>
          <w:tab w:val="left" w:pos="1166"/>
        </w:tabs>
        <w:rPr>
          <w:rFonts w:cs="Times New Roman"/>
          <w:szCs w:val="24"/>
        </w:rPr>
      </w:pPr>
      <w:r w:rsidRPr="001854C5">
        <w:rPr>
          <w:rFonts w:cs="Times New Roman"/>
          <w:szCs w:val="24"/>
        </w:rPr>
        <w:t xml:space="preserve">Mr. Boutilier relies on </w:t>
      </w:r>
      <w:r w:rsidRPr="001854C5">
        <w:rPr>
          <w:rFonts w:cs="Times New Roman"/>
          <w:i/>
          <w:szCs w:val="24"/>
        </w:rPr>
        <w:t>R. v. Szostak</w:t>
      </w:r>
      <w:r w:rsidRPr="001854C5">
        <w:rPr>
          <w:rFonts w:cs="Times New Roman"/>
          <w:szCs w:val="24"/>
        </w:rPr>
        <w:t xml:space="preserve">, 2014 ONCA 15, 118 O.R. (3d) 401, for the proposition that intractability is no longer a requirement under the current dangerous offender regime. In my view, it is </w:t>
      </w:r>
      <w:r w:rsidRPr="001854C5">
        <w:rPr>
          <w:rFonts w:cs="Times New Roman"/>
          <w:i/>
          <w:szCs w:val="24"/>
        </w:rPr>
        <w:t>Lyons</w:t>
      </w:r>
      <w:r w:rsidRPr="001854C5">
        <w:rPr>
          <w:rFonts w:cs="Times New Roman"/>
          <w:szCs w:val="24"/>
        </w:rPr>
        <w:t xml:space="preserve"> and not </w:t>
      </w:r>
      <w:r w:rsidRPr="001854C5">
        <w:rPr>
          <w:rFonts w:cs="Times New Roman"/>
          <w:i/>
          <w:szCs w:val="24"/>
        </w:rPr>
        <w:t xml:space="preserve">Szostak </w:t>
      </w:r>
      <w:r w:rsidRPr="001854C5">
        <w:rPr>
          <w:rFonts w:cs="Times New Roman"/>
          <w:szCs w:val="24"/>
        </w:rPr>
        <w:t>that remains authoritative on this issue.</w:t>
      </w:r>
    </w:p>
    <w:p w14:paraId="7ECD901D" w14:textId="77777777" w:rsidR="00D22BB5" w:rsidRPr="001854C5" w:rsidRDefault="00D22BB5" w:rsidP="00F52BD7">
      <w:pPr>
        <w:pStyle w:val="ParaNoNdepar-AltN"/>
        <w:widowControl w:val="0"/>
        <w:tabs>
          <w:tab w:val="clear" w:pos="1152"/>
          <w:tab w:val="left" w:pos="1166"/>
        </w:tabs>
        <w:rPr>
          <w:rFonts w:cs="Times New Roman"/>
          <w:szCs w:val="24"/>
        </w:rPr>
      </w:pPr>
      <w:r w:rsidRPr="001854C5">
        <w:rPr>
          <w:rFonts w:cs="Times New Roman"/>
          <w:szCs w:val="24"/>
        </w:rPr>
        <w:lastRenderedPageBreak/>
        <w:t xml:space="preserve">The Ontario Court of Appeal in </w:t>
      </w:r>
      <w:r w:rsidRPr="001854C5">
        <w:rPr>
          <w:rFonts w:cs="Times New Roman"/>
          <w:i/>
          <w:szCs w:val="24"/>
        </w:rPr>
        <w:t>Szostak</w:t>
      </w:r>
      <w:r w:rsidRPr="001854C5">
        <w:rPr>
          <w:rFonts w:cs="Times New Roman"/>
          <w:szCs w:val="24"/>
        </w:rPr>
        <w:t xml:space="preserve">, </w:t>
      </w:r>
      <w:r>
        <w:rPr>
          <w:rFonts w:cs="Times New Roman"/>
          <w:szCs w:val="24"/>
        </w:rPr>
        <w:t>at paras. </w:t>
      </w:r>
      <w:r w:rsidRPr="001854C5">
        <w:rPr>
          <w:rFonts w:cs="Times New Roman"/>
          <w:szCs w:val="24"/>
        </w:rPr>
        <w:t>53-55, concluded that intractability is no longer an element of dangerousness because it is incompatible with the exercise of discretion to impose a determinate sentence at the penalty stage. The Court of Appeal considered that an offender whose conduct is intractable should rarely, if ever, be eligible to receive a lesser sentence.</w:t>
      </w:r>
    </w:p>
    <w:p w14:paraId="2F1EA7FD" w14:textId="77777777" w:rsidR="00D22BB5" w:rsidRPr="001854C5" w:rsidRDefault="00D22BB5" w:rsidP="00F52BD7">
      <w:pPr>
        <w:pStyle w:val="ParaNoNdepar-AltN"/>
        <w:widowControl w:val="0"/>
        <w:tabs>
          <w:tab w:val="clear" w:pos="1152"/>
          <w:tab w:val="left" w:pos="1166"/>
        </w:tabs>
        <w:rPr>
          <w:rFonts w:cs="Times New Roman"/>
          <w:szCs w:val="24"/>
        </w:rPr>
      </w:pPr>
      <w:r w:rsidRPr="001854C5">
        <w:rPr>
          <w:rFonts w:cs="Times New Roman"/>
        </w:rPr>
        <w:t>I respectfully disagree with this conclusion. As I will discuss below, the purposes of prospective evidence at the designation and sentencing stages are different. The designation stage is concerned with assessing the future threat posed by an offender. The penalty stage is concerned with imposing the appropriate sentence to manage the established threat. Though evidence may establish that an offender is unable to surmount his or her violent conduct, the sentencing judge must, at the penalty stage, turn his or her mind to whether the risk arising from the offender’s behaviour can be adequately managed outside of an indeterminate sentence.</w:t>
      </w:r>
    </w:p>
    <w:p w14:paraId="461F6DB3" w14:textId="77777777" w:rsidR="00D22BB5" w:rsidRPr="001854C5" w:rsidRDefault="00D22BB5" w:rsidP="00F52BD7">
      <w:pPr>
        <w:pStyle w:val="ParaNoNdepar-AltN"/>
        <w:widowControl w:val="0"/>
        <w:tabs>
          <w:tab w:val="clear" w:pos="1152"/>
          <w:tab w:val="left" w:pos="1166"/>
        </w:tabs>
        <w:rPr>
          <w:rFonts w:cs="Times New Roman"/>
          <w:szCs w:val="24"/>
        </w:rPr>
      </w:pPr>
      <w:r w:rsidRPr="001854C5">
        <w:rPr>
          <w:rFonts w:cs="Times New Roman"/>
          <w:szCs w:val="24"/>
        </w:rPr>
        <w:t xml:space="preserve">The elements of the dangerous offender designation as set out in </w:t>
      </w:r>
      <w:r w:rsidRPr="001854C5">
        <w:rPr>
          <w:rFonts w:cs="Times New Roman"/>
          <w:i/>
          <w:szCs w:val="24"/>
        </w:rPr>
        <w:t>Lyons</w:t>
      </w:r>
      <w:r w:rsidRPr="001854C5">
        <w:rPr>
          <w:rFonts w:cs="Times New Roman"/>
          <w:szCs w:val="24"/>
        </w:rPr>
        <w:t xml:space="preserve"> are therefore not incompatible with the exercise of discretion at the penalty stage. Indeed, there was also discretion at the penalty stage under the 1977 regime. This did not prevent this Court from concluding that intractability was a requirement in </w:t>
      </w:r>
      <w:r w:rsidRPr="001854C5">
        <w:rPr>
          <w:rFonts w:cs="Times New Roman"/>
          <w:i/>
          <w:szCs w:val="24"/>
        </w:rPr>
        <w:t>Lyons</w:t>
      </w:r>
      <w:r w:rsidRPr="001854C5">
        <w:rPr>
          <w:rFonts w:cs="Times New Roman"/>
          <w:szCs w:val="24"/>
        </w:rPr>
        <w:t xml:space="preserve">. </w:t>
      </w:r>
      <w:r w:rsidRPr="001854C5">
        <w:rPr>
          <w:rFonts w:cs="Times New Roman"/>
        </w:rPr>
        <w:t xml:space="preserve">More importantly, this Court in </w:t>
      </w:r>
      <w:r w:rsidRPr="001854C5">
        <w:rPr>
          <w:rFonts w:cs="Times New Roman"/>
          <w:i/>
        </w:rPr>
        <w:t>Lyons</w:t>
      </w:r>
      <w:r w:rsidRPr="001854C5">
        <w:rPr>
          <w:rFonts w:cs="Times New Roman"/>
        </w:rPr>
        <w:t xml:space="preserve"> clearly grounded the intractability requirement in the statutory language, which has not changed since 1977. I therefore cannot see how it can be said that intractability has ceased to be a requirement of the designation.</w:t>
      </w:r>
    </w:p>
    <w:p w14:paraId="3EC04F3C" w14:textId="77777777" w:rsidR="00D22BB5" w:rsidRPr="001854C5" w:rsidRDefault="00D22BB5" w:rsidP="00F52BD7">
      <w:pPr>
        <w:pStyle w:val="ParaNoNdepar-AltN"/>
        <w:widowControl w:val="0"/>
        <w:tabs>
          <w:tab w:val="clear" w:pos="1152"/>
          <w:tab w:val="left" w:pos="1166"/>
        </w:tabs>
        <w:rPr>
          <w:rFonts w:cs="Times New Roman"/>
          <w:szCs w:val="24"/>
        </w:rPr>
      </w:pPr>
      <w:r w:rsidRPr="001854C5">
        <w:rPr>
          <w:rFonts w:cs="Times New Roman"/>
        </w:rPr>
        <w:t>There are therefore four designation</w:t>
      </w:r>
      <w:r>
        <w:rPr>
          <w:rFonts w:cs="Times New Roman"/>
        </w:rPr>
        <w:t xml:space="preserve"> criteria under s. </w:t>
      </w:r>
      <w:r w:rsidRPr="001854C5">
        <w:rPr>
          <w:rFonts w:cs="Times New Roman"/>
        </w:rPr>
        <w:t xml:space="preserve">753(1) — two of </w:t>
      </w:r>
      <w:r w:rsidRPr="001854C5">
        <w:rPr>
          <w:rFonts w:cs="Times New Roman"/>
        </w:rPr>
        <w:lastRenderedPageBreak/>
        <w:t xml:space="preserve">which are meant to limit designation to offenders posing a real future threat to other persons. These limits on designation align with the provision’s purpose, which has also been consistent over time. </w:t>
      </w:r>
      <w:r w:rsidRPr="001854C5">
        <w:rPr>
          <w:rFonts w:cs="Times New Roman"/>
          <w:lang w:val="en-US"/>
        </w:rPr>
        <w:t xml:space="preserve">This Court has characterized the sentence of indeterminate detention as being a preventive sentence “in its clearest and most extreme form”: </w:t>
      </w:r>
      <w:r w:rsidRPr="001854C5">
        <w:rPr>
          <w:rFonts w:cs="Times New Roman"/>
          <w:i/>
          <w:lang w:val="en-US"/>
        </w:rPr>
        <w:t>R. v. Sipos</w:t>
      </w:r>
      <w:r w:rsidRPr="001854C5">
        <w:rPr>
          <w:rFonts w:cs="Times New Roman"/>
          <w:lang w:val="en-US"/>
        </w:rPr>
        <w:t xml:space="preserve">, 2014 SCC 47, [2014] 2 S.C.R. 423, at para. 19. </w:t>
      </w:r>
      <w:r w:rsidRPr="001854C5">
        <w:rPr>
          <w:rFonts w:cs="Times New Roman"/>
        </w:rPr>
        <w:t xml:space="preserve">The purpose of this type of sentence has always been “neither punitive nor reformative but primarily [the offender’s] segregation from society”: </w:t>
      </w:r>
      <w:r w:rsidRPr="001854C5">
        <w:rPr>
          <w:rFonts w:cs="Times New Roman"/>
          <w:i/>
        </w:rPr>
        <w:t>Report of the Royal Commission to Investigate the Penal System of Canada</w:t>
      </w:r>
      <w:r w:rsidRPr="001854C5">
        <w:rPr>
          <w:rFonts w:cs="Times New Roman"/>
        </w:rPr>
        <w:t xml:space="preserve"> (1938), at p. 223.</w:t>
      </w:r>
      <w:r w:rsidRPr="001854C5">
        <w:rPr>
          <w:rFonts w:cs="Times New Roman"/>
          <w:lang w:val="en-US"/>
        </w:rPr>
        <w:t xml:space="preserve"> This preventive sanction can be imposed only upon offenders for whom segregation from society is a rational means to achieve the overriding purpose of public safety. </w:t>
      </w:r>
    </w:p>
    <w:p w14:paraId="72AC7727" w14:textId="77777777" w:rsidR="00D22BB5" w:rsidRPr="001854C5" w:rsidRDefault="00D22BB5" w:rsidP="00F52BD7">
      <w:pPr>
        <w:pStyle w:val="ParaNoNdepar-AltN"/>
        <w:widowControl w:val="0"/>
        <w:tabs>
          <w:tab w:val="clear" w:pos="1152"/>
          <w:tab w:val="left" w:pos="1166"/>
        </w:tabs>
        <w:rPr>
          <w:rFonts w:cs="Times New Roman"/>
          <w:szCs w:val="24"/>
        </w:rPr>
      </w:pPr>
      <w:r w:rsidRPr="001854C5">
        <w:rPr>
          <w:rFonts w:cs="Times New Roman"/>
          <w:lang w:val="en-US"/>
        </w:rPr>
        <w:t xml:space="preserve">A provision imposing an indeterminate detention is therefore not overbroad if it is </w:t>
      </w:r>
      <w:r w:rsidRPr="001854C5">
        <w:rPr>
          <w:rFonts w:cs="Times New Roman"/>
          <w:spacing w:val="-3"/>
        </w:rPr>
        <w:t xml:space="preserve">carefully </w:t>
      </w:r>
      <w:r w:rsidRPr="001854C5">
        <w:rPr>
          <w:rFonts w:cs="Times New Roman"/>
          <w:szCs w:val="24"/>
          <w:lang w:val="en-US"/>
        </w:rPr>
        <w:t>“</w:t>
      </w:r>
      <w:r w:rsidRPr="001854C5">
        <w:rPr>
          <w:rFonts w:cs="Times New Roman"/>
          <w:spacing w:val="-3"/>
        </w:rPr>
        <w:t xml:space="preserve">confined in its application to those habitual criminals who are dangerous to others”: </w:t>
      </w:r>
      <w:r w:rsidRPr="001854C5">
        <w:rPr>
          <w:rFonts w:cs="Times New Roman"/>
          <w:i/>
          <w:spacing w:val="-3"/>
        </w:rPr>
        <w:t>Lyons</w:t>
      </w:r>
      <w:r w:rsidRPr="001854C5">
        <w:rPr>
          <w:rFonts w:cs="Times New Roman"/>
          <w:spacing w:val="-3"/>
        </w:rPr>
        <w:t xml:space="preserve">, at p. 323. </w:t>
      </w:r>
      <w:r w:rsidRPr="001854C5">
        <w:rPr>
          <w:rFonts w:cs="Times New Roman"/>
          <w:lang w:val="en-US"/>
        </w:rPr>
        <w:t xml:space="preserve">For an offender to be so “dangerous” as to render the “clearest and most extreme form” of preventive sentence a rational means to achieve the purpose of public safety, the offender must pose a future “threat” to public safety. This threat, characterized by the elements set out in </w:t>
      </w:r>
      <w:r w:rsidRPr="001854C5">
        <w:rPr>
          <w:rFonts w:cs="Times New Roman"/>
          <w:i/>
          <w:lang w:val="en-US"/>
        </w:rPr>
        <w:t>Lyons</w:t>
      </w:r>
      <w:r w:rsidRPr="001854C5">
        <w:rPr>
          <w:rFonts w:cs="Times New Roman"/>
          <w:lang w:val="en-US"/>
        </w:rPr>
        <w:t>, must consequently elevate the sentencing objective of segregation from society, at least in part, over the other objectives:</w:t>
      </w:r>
      <w:r w:rsidRPr="001854C5">
        <w:rPr>
          <w:rFonts w:cs="Times New Roman"/>
          <w:i/>
          <w:lang w:val="en-US"/>
        </w:rPr>
        <w:t xml:space="preserve"> Lyons</w:t>
      </w:r>
      <w:r w:rsidRPr="001854C5">
        <w:rPr>
          <w:rFonts w:cs="Times New Roman"/>
          <w:lang w:val="en-US"/>
        </w:rPr>
        <w:t>, at pp. 328-29.</w:t>
      </w:r>
    </w:p>
    <w:p w14:paraId="5D640283" w14:textId="77777777" w:rsidR="00D22BB5" w:rsidRPr="001854C5" w:rsidRDefault="00D22BB5" w:rsidP="00F52BD7">
      <w:pPr>
        <w:pStyle w:val="ParaNoNdepar-AltN"/>
        <w:widowControl w:val="0"/>
        <w:tabs>
          <w:tab w:val="clear" w:pos="1152"/>
          <w:tab w:val="left" w:pos="1166"/>
        </w:tabs>
        <w:rPr>
          <w:rFonts w:cs="Times New Roman"/>
          <w:szCs w:val="24"/>
        </w:rPr>
      </w:pPr>
      <w:r w:rsidRPr="001854C5">
        <w:rPr>
          <w:rFonts w:cs="Times New Roman"/>
        </w:rPr>
        <w:t xml:space="preserve">Determining whether or not a high risk of recidivism and intractability are present necessarily involves a prospective inquiry into whether an offender will continue to be, in Justice Dickson’s words (as he then was), “a real and present danger to life or limb”: </w:t>
      </w:r>
      <w:r w:rsidRPr="001854C5">
        <w:rPr>
          <w:rFonts w:cs="Times New Roman"/>
          <w:i/>
        </w:rPr>
        <w:t>Hatchwell v. The Queen</w:t>
      </w:r>
      <w:r w:rsidRPr="001854C5">
        <w:rPr>
          <w:rFonts w:cs="Times New Roman"/>
        </w:rPr>
        <w:t>, [1976] 1 S.C.R. 39</w:t>
      </w:r>
      <w:r>
        <w:rPr>
          <w:rFonts w:cs="Times New Roman"/>
        </w:rPr>
        <w:t>, at p. </w:t>
      </w:r>
      <w:r w:rsidRPr="001854C5">
        <w:rPr>
          <w:rFonts w:cs="Times New Roman"/>
        </w:rPr>
        <w:t xml:space="preserve">43. For the Court in </w:t>
      </w:r>
      <w:r w:rsidRPr="001854C5">
        <w:rPr>
          <w:rFonts w:cs="Times New Roman"/>
          <w:i/>
          <w:iCs/>
        </w:rPr>
        <w:lastRenderedPageBreak/>
        <w:t>Lyons</w:t>
      </w:r>
      <w:r w:rsidRPr="001854C5">
        <w:rPr>
          <w:rFonts w:cs="Times New Roman"/>
        </w:rPr>
        <w:t>, this prospective inquiry was critical to the constitutionality of the scheme. An entirely retrospective assessment could not ensure that indeterminate sentences were rationally connected to the objective of public safety going forward. Nor could it avoid catching offenders who had proved violent in the past but who presented no future threat.</w:t>
      </w:r>
    </w:p>
    <w:p w14:paraId="60C1326E" w14:textId="77777777" w:rsidR="00D22BB5" w:rsidRPr="001854C5" w:rsidRDefault="00D22BB5" w:rsidP="00F52BD7">
      <w:pPr>
        <w:pStyle w:val="ParaNoNdepar-AltN"/>
        <w:widowControl w:val="0"/>
        <w:tabs>
          <w:tab w:val="clear" w:pos="1152"/>
          <w:tab w:val="left" w:pos="1166"/>
        </w:tabs>
        <w:rPr>
          <w:rFonts w:cs="Times New Roman"/>
          <w:lang w:val="en-US"/>
        </w:rPr>
      </w:pPr>
      <w:r w:rsidRPr="001854C5">
        <w:rPr>
          <w:rFonts w:cs="Times New Roman"/>
          <w:lang w:val="en-US"/>
        </w:rPr>
        <w:t xml:space="preserve">The jurisprudence of this Court subsequent to </w:t>
      </w:r>
      <w:r w:rsidRPr="001854C5">
        <w:rPr>
          <w:rFonts w:cs="Times New Roman"/>
          <w:i/>
          <w:lang w:val="en-US"/>
        </w:rPr>
        <w:t>Lyons</w:t>
      </w:r>
      <w:r w:rsidRPr="001854C5">
        <w:rPr>
          <w:rFonts w:cs="Times New Roman"/>
          <w:lang w:val="en-US"/>
        </w:rPr>
        <w:t xml:space="preserve"> has consistently considered a prospective assessment of risk to be a component of dangerous offender applications. In</w:t>
      </w:r>
      <w:r w:rsidRPr="001854C5">
        <w:rPr>
          <w:rFonts w:cs="Times New Roman"/>
          <w:i/>
          <w:lang w:val="en-US"/>
        </w:rPr>
        <w:t xml:space="preserve"> R. v. Currie</w:t>
      </w:r>
      <w:r w:rsidRPr="001854C5">
        <w:rPr>
          <w:rFonts w:cs="Times New Roman"/>
          <w:lang w:val="en-US"/>
        </w:rPr>
        <w:t xml:space="preserve">, [1997] 2 S.C.R. 260, Lamer C.J. said that a judge has to “be satisfied beyond a reasonable doubt of the likelihood of future danger that an offender presents to society before he or she can impose the dangerous offender designation and an indeterminate sentence”: </w:t>
      </w:r>
      <w:r>
        <w:rPr>
          <w:rFonts w:cs="Times New Roman"/>
          <w:lang w:val="en-US"/>
        </w:rPr>
        <w:t>para. </w:t>
      </w:r>
      <w:r w:rsidRPr="001854C5">
        <w:rPr>
          <w:rFonts w:cs="Times New Roman"/>
          <w:lang w:val="en-US"/>
        </w:rPr>
        <w:t>25.</w:t>
      </w:r>
      <w:r w:rsidRPr="00E27465">
        <w:rPr>
          <w:rStyle w:val="Hyperlink"/>
          <w:vertAlign w:val="superscript"/>
        </w:rPr>
        <w:footnoteReference w:id="1"/>
      </w:r>
      <w:r w:rsidRPr="001854C5">
        <w:rPr>
          <w:rFonts w:cs="Times New Roman"/>
          <w:lang w:val="en-US"/>
        </w:rPr>
        <w:t xml:space="preserve"> In </w:t>
      </w:r>
      <w:r w:rsidRPr="001854C5">
        <w:rPr>
          <w:rFonts w:cs="Times New Roman"/>
          <w:i/>
          <w:spacing w:val="-3"/>
        </w:rPr>
        <w:t>Sipos</w:t>
      </w:r>
      <w:r w:rsidRPr="001854C5">
        <w:rPr>
          <w:rFonts w:cs="Times New Roman"/>
          <w:spacing w:val="-3"/>
        </w:rPr>
        <w:t xml:space="preserve">, at </w:t>
      </w:r>
      <w:r>
        <w:rPr>
          <w:rFonts w:cs="Times New Roman"/>
          <w:spacing w:val="-3"/>
        </w:rPr>
        <w:t>para. </w:t>
      </w:r>
      <w:r w:rsidRPr="001854C5">
        <w:rPr>
          <w:rFonts w:cs="Times New Roman"/>
          <w:spacing w:val="-3"/>
        </w:rPr>
        <w:t xml:space="preserve">20, </w:t>
      </w:r>
      <w:r>
        <w:rPr>
          <w:rFonts w:cs="Times New Roman"/>
          <w:spacing w:val="-3"/>
        </w:rPr>
        <w:t>which concerned s. </w:t>
      </w:r>
      <w:r w:rsidRPr="001854C5">
        <w:rPr>
          <w:rFonts w:cs="Times New Roman"/>
          <w:spacing w:val="-3"/>
        </w:rPr>
        <w:t xml:space="preserve">753(1)(b), this Court explained that designation requires evidence on both the retrospective and the prospective elements. </w:t>
      </w:r>
    </w:p>
    <w:p w14:paraId="6EB893CE" w14:textId="604BA0A6" w:rsidR="00D22BB5" w:rsidRPr="001854C5" w:rsidRDefault="00D22BB5" w:rsidP="00F52BD7">
      <w:pPr>
        <w:pStyle w:val="ParaNoNdepar-AltN"/>
        <w:widowControl w:val="0"/>
        <w:tabs>
          <w:tab w:val="clear" w:pos="1152"/>
          <w:tab w:val="left" w:pos="1166"/>
        </w:tabs>
        <w:rPr>
          <w:rFonts w:cs="Times New Roman"/>
          <w:lang w:val="en-US"/>
        </w:rPr>
      </w:pPr>
      <w:r w:rsidRPr="001854C5">
        <w:rPr>
          <w:rFonts w:cs="Times New Roman"/>
          <w:lang w:val="en-US"/>
        </w:rPr>
        <w:t>Indeed, three features of the designation scheme demonstrate the importance of prospective evidence to a finding of dangerousness. First, the pattern of violence that is proven through evidence of past conduct is future-oriented — it must show a “likelihood” of harmful recidivism “in the future”: see the language in s. 753(1)(a). As Neuberger put it, “[t]hough a past pattern may be proved by the Crown, if there is no evidence that such a pattern will necessa</w:t>
      </w:r>
      <w:r w:rsidR="00A75A2D">
        <w:rPr>
          <w:rFonts w:cs="Times New Roman"/>
          <w:lang w:val="en-US"/>
        </w:rPr>
        <w:t>rily lead to a likelihood of re-</w:t>
      </w:r>
      <w:r w:rsidRPr="001854C5">
        <w:rPr>
          <w:rFonts w:cs="Times New Roman"/>
          <w:lang w:val="en-US"/>
        </w:rPr>
        <w:lastRenderedPageBreak/>
        <w:t xml:space="preserve">offence, the dangerous offender application will fail”: J. A. Neuberger, </w:t>
      </w:r>
      <w:r w:rsidRPr="001854C5">
        <w:rPr>
          <w:rFonts w:cs="Times New Roman"/>
          <w:i/>
          <w:lang w:val="en-US"/>
        </w:rPr>
        <w:t>Assessing Dangerousness: Guide to the Dangerous Offender Application Process</w:t>
      </w:r>
      <w:r w:rsidRPr="001854C5">
        <w:rPr>
          <w:rFonts w:cs="Times New Roman"/>
          <w:lang w:val="en-US"/>
        </w:rPr>
        <w:t xml:space="preserve"> (loose-leaf), at p. 4-27. A past pattern of violence is considered in the global assessment of an offender’s future behaviour, which, in turn, is considered by the court in determining whether the offender constitutes a “threat”. </w:t>
      </w:r>
    </w:p>
    <w:p w14:paraId="3A0B2A9D" w14:textId="77777777" w:rsidR="00D22BB5" w:rsidRPr="001854C5" w:rsidRDefault="00D22BB5" w:rsidP="00F52BD7">
      <w:pPr>
        <w:pStyle w:val="ParaNoNdepar-AltN"/>
        <w:widowControl w:val="0"/>
        <w:tabs>
          <w:tab w:val="clear" w:pos="1152"/>
          <w:tab w:val="left" w:pos="1166"/>
        </w:tabs>
        <w:rPr>
          <w:rFonts w:cs="Times New Roman"/>
          <w:lang w:val="en-US"/>
        </w:rPr>
      </w:pPr>
      <w:r w:rsidRPr="001854C5">
        <w:rPr>
          <w:rFonts w:cs="Times New Roman"/>
          <w:lang w:val="en-US"/>
        </w:rPr>
        <w:t xml:space="preserve">Reference to the other category of dangerousness based on sexual conduct, under s. 753(1)(b), reinforces the conclusion that s. 753(1)(a) mandates a prospective assessment. </w:t>
      </w:r>
      <w:r w:rsidRPr="001854C5">
        <w:rPr>
          <w:rFonts w:cs="Times New Roman"/>
        </w:rPr>
        <w:t xml:space="preserve">This category requires, in addition to evidence of a pattern of past conduct, an independent assessment of future risk: </w:t>
      </w:r>
    </w:p>
    <w:p w14:paraId="596EAEB6" w14:textId="77777777" w:rsidR="00D22BB5" w:rsidRPr="001854C5" w:rsidRDefault="00D22BB5" w:rsidP="00F52BD7">
      <w:pPr>
        <w:pStyle w:val="Citation-AltC"/>
        <w:widowControl w:val="0"/>
        <w:rPr>
          <w:lang w:val="en"/>
        </w:rPr>
      </w:pPr>
      <w:r w:rsidRPr="001854C5">
        <w:rPr>
          <w:lang w:val="en"/>
        </w:rPr>
        <w:t xml:space="preserve">The offender must be shown to have failed </w:t>
      </w:r>
      <w:r w:rsidRPr="001854C5">
        <w:rPr>
          <w:u w:val="single"/>
          <w:lang w:val="en"/>
        </w:rPr>
        <w:t>in the past</w:t>
      </w:r>
      <w:r w:rsidRPr="001854C5">
        <w:rPr>
          <w:lang w:val="en"/>
        </w:rPr>
        <w:t xml:space="preserve"> “to control his or her sexual impulses” </w:t>
      </w:r>
      <w:r w:rsidRPr="001854C5">
        <w:rPr>
          <w:u w:val="single"/>
          <w:lang w:val="en"/>
        </w:rPr>
        <w:t>and, in the future</w:t>
      </w:r>
      <w:r w:rsidRPr="001854C5">
        <w:rPr>
          <w:lang w:val="en"/>
        </w:rPr>
        <w:t>, that there is “a likelihood of causing injury, pain or other evil to other persons through failure in the future to control his or her sexual impulses”. [Emphasis added; citation omitted.]</w:t>
      </w:r>
    </w:p>
    <w:p w14:paraId="0631689E" w14:textId="77777777" w:rsidR="00D22BB5" w:rsidRPr="001854C5" w:rsidRDefault="00D22BB5" w:rsidP="00F52BD7">
      <w:pPr>
        <w:pStyle w:val="Citation-AltC"/>
        <w:widowControl w:val="0"/>
        <w:rPr>
          <w:lang w:val="en"/>
        </w:rPr>
      </w:pPr>
    </w:p>
    <w:p w14:paraId="3087297A" w14:textId="77777777" w:rsidR="00D22BB5" w:rsidRPr="001854C5" w:rsidRDefault="00D22BB5" w:rsidP="00F52BD7">
      <w:pPr>
        <w:pStyle w:val="Citation-AltC"/>
        <w:widowControl w:val="0"/>
        <w:ind w:left="0"/>
        <w:rPr>
          <w:lang w:val="en-US"/>
        </w:rPr>
      </w:pPr>
      <w:r w:rsidRPr="001854C5">
        <w:rPr>
          <w:lang w:val="en"/>
        </w:rPr>
        <w:t>(</w:t>
      </w:r>
      <w:r w:rsidRPr="001854C5">
        <w:rPr>
          <w:i/>
          <w:lang w:val="en"/>
        </w:rPr>
        <w:t>Sipos</w:t>
      </w:r>
      <w:r w:rsidRPr="001854C5">
        <w:rPr>
          <w:lang w:val="en"/>
        </w:rPr>
        <w:t>, at para. 20)</w:t>
      </w:r>
    </w:p>
    <w:p w14:paraId="4C4EEA03" w14:textId="77777777" w:rsidR="00D22BB5" w:rsidRPr="001854C5" w:rsidRDefault="00D22BB5" w:rsidP="00F52BD7">
      <w:pPr>
        <w:pStyle w:val="ParaNoNdepar-AltN"/>
        <w:widowControl w:val="0"/>
        <w:tabs>
          <w:tab w:val="clear" w:pos="1152"/>
          <w:tab w:val="left" w:pos="1166"/>
        </w:tabs>
        <w:rPr>
          <w:rFonts w:cs="Times New Roman"/>
          <w:lang w:val="en-US"/>
        </w:rPr>
      </w:pPr>
      <w:r w:rsidRPr="001854C5">
        <w:rPr>
          <w:rFonts w:cs="Times New Roman"/>
          <w:lang w:val="en-US"/>
        </w:rPr>
        <w:t xml:space="preserve">Second, the </w:t>
      </w:r>
      <w:r w:rsidRPr="001854C5">
        <w:rPr>
          <w:rFonts w:cs="Times New Roman"/>
          <w:i/>
          <w:lang w:val="en-US"/>
        </w:rPr>
        <w:t xml:space="preserve">Criminal Code </w:t>
      </w:r>
      <w:r w:rsidRPr="001854C5">
        <w:rPr>
          <w:rFonts w:cs="Times New Roman"/>
          <w:lang w:val="en-US"/>
        </w:rPr>
        <w:t xml:space="preserve">requires that an assessment report be filed before a dangerous offender application can proceed: ss. 752.1 and 753(1). Usually, the assessment is conducted by a psychiatrist or psychologist: Neuberger, at p. 2-1. This report includes expert evidence on prospective aspects of dangerousness, such as risk factors, probabilities of recidivism, and treatment prospects: </w:t>
      </w:r>
      <w:r w:rsidRPr="001854C5">
        <w:rPr>
          <w:rFonts w:cs="Times New Roman"/>
          <w:i/>
        </w:rPr>
        <w:t>R. v. Jones</w:t>
      </w:r>
      <w:r w:rsidRPr="001854C5">
        <w:rPr>
          <w:rFonts w:cs="Times New Roman"/>
        </w:rPr>
        <w:t xml:space="preserve">, [1994] 2 S.C.R. 229; see also </w:t>
      </w:r>
      <w:r w:rsidRPr="001854C5">
        <w:rPr>
          <w:rFonts w:cs="Times New Roman"/>
          <w:i/>
          <w:lang w:val="en-US"/>
        </w:rPr>
        <w:t>Lyons</w:t>
      </w:r>
      <w:r w:rsidRPr="001854C5">
        <w:rPr>
          <w:rFonts w:cs="Times New Roman"/>
          <w:lang w:val="en-US"/>
        </w:rPr>
        <w:t xml:space="preserve">, at pp. 364-65. </w:t>
      </w:r>
    </w:p>
    <w:p w14:paraId="0A7453E1" w14:textId="77777777" w:rsidR="00D22BB5" w:rsidRPr="001854C5" w:rsidRDefault="00D22BB5" w:rsidP="00F52BD7">
      <w:pPr>
        <w:pStyle w:val="ParaNoNdepar-AltN"/>
        <w:widowControl w:val="0"/>
        <w:tabs>
          <w:tab w:val="clear" w:pos="1152"/>
          <w:tab w:val="left" w:pos="1166"/>
        </w:tabs>
        <w:rPr>
          <w:rFonts w:cs="Times New Roman"/>
          <w:lang w:val="en-US"/>
        </w:rPr>
      </w:pPr>
      <w:r w:rsidRPr="001854C5">
        <w:rPr>
          <w:rFonts w:cs="Times New Roman"/>
          <w:lang w:val="en-US"/>
        </w:rPr>
        <w:t xml:space="preserve">Third, s. 757(a) provides that “evidence of character and repute may be admitted on the question of whether the offender is or is not a dangerous offender”. </w:t>
      </w:r>
      <w:r w:rsidRPr="001854C5">
        <w:rPr>
          <w:rFonts w:cs="Times New Roman"/>
          <w:lang w:val="en-US"/>
        </w:rPr>
        <w:lastRenderedPageBreak/>
        <w:t xml:space="preserve">Such evidence, while grounded in past conduct, is future-oriented — it speaks to the </w:t>
      </w:r>
      <w:r w:rsidRPr="001854C5">
        <w:rPr>
          <w:rFonts w:cs="Times New Roman"/>
        </w:rPr>
        <w:t>likelihood of harmful recidivism and the intractability of the violent pattern of conduct. If a dangerousness finding could be made without any prospective assessment of risk, this type of reputational evidence would be irrelevant to the designation, since it tends to show the offender’s propensity for future bad acts. Indeed, it is not highly probative of past conduct, which is better proven by evidence of the prior bad acts themselves. Thus, by making evidence of character and repute relevant to the designation, this provision strongly suggests that a prospective assessment of future risk is part of the inquiry.</w:t>
      </w:r>
    </w:p>
    <w:p w14:paraId="2BC28999" w14:textId="77777777" w:rsidR="00D22BB5" w:rsidRDefault="00D22BB5" w:rsidP="00F52BD7">
      <w:pPr>
        <w:pStyle w:val="ParaNoNdepar-AltN"/>
        <w:widowControl w:val="0"/>
        <w:tabs>
          <w:tab w:val="clear" w:pos="1152"/>
          <w:tab w:val="left" w:pos="1166"/>
        </w:tabs>
        <w:rPr>
          <w:rFonts w:cs="Times New Roman"/>
          <w:lang w:val="en-US"/>
        </w:rPr>
      </w:pPr>
      <w:r w:rsidRPr="001854C5">
        <w:rPr>
          <w:rFonts w:cs="Times New Roman"/>
          <w:lang w:val="en-US"/>
        </w:rPr>
        <w:t xml:space="preserve">Section 753(1) states that, once the judge is satisfied that the designation criteria are met, the judge “shall” designate the offender as dangerous. Recall that before the 2008 amendments, the legislation provided that, once these criteria were met, the judge “may” make the designation. Some interveners suggested that this amendment requires the judge to declare an offender dangerous as soon as the statutory criteria are met, even if the judge is not satisfied of his or her future dangerousness. This argument is based on the premise that the statutory criteria for designation are overbroad and might apply to non-dangerous offenders. However, as explained above, a prospective assessment of the future risk posed by an offender is embedded within the dangerous offender criteria. Thus, a judge “shall” designate an offender as dangerous only if he or she is satisfied beyond a reasonable doubt that the offender actually constitutes a future threat to safety in light of all the relevant evidence. Once a judge finds an offender to be a “threat” after a prospective assessment of harmful recidivism and intractability, requiring a further exercise of discretion to determine </w:t>
      </w:r>
      <w:r w:rsidRPr="001854C5">
        <w:rPr>
          <w:rFonts w:cs="Times New Roman"/>
          <w:lang w:val="en-US"/>
        </w:rPr>
        <w:lastRenderedPageBreak/>
        <w:t>whether the offender poses a future risk would be unnecessary and would contradict the very conclusion the judge has just reached.</w:t>
      </w:r>
    </w:p>
    <w:p w14:paraId="77F363A1" w14:textId="77777777" w:rsidR="00D22BB5" w:rsidRPr="001854C5" w:rsidRDefault="00D22BB5" w:rsidP="00F52BD7">
      <w:pPr>
        <w:pStyle w:val="Title3LevelTitre3Niveau"/>
        <w:widowControl w:val="0"/>
        <w:rPr>
          <w:rFonts w:cs="Times New Roman"/>
          <w:lang w:val="en-US"/>
        </w:rPr>
      </w:pPr>
      <w:r w:rsidRPr="001854C5">
        <w:rPr>
          <w:rFonts w:cs="Times New Roman"/>
          <w:lang w:val="en-US"/>
        </w:rPr>
        <w:t xml:space="preserve">Evidence of Future Treatment Prospects Remains Relevant at Both Stages of the Statutory Scheme </w:t>
      </w:r>
    </w:p>
    <w:p w14:paraId="4F42075B" w14:textId="30EF191C" w:rsidR="00D22BB5" w:rsidRPr="001854C5" w:rsidRDefault="00D22BB5" w:rsidP="00F52BD7">
      <w:pPr>
        <w:pStyle w:val="ParaNoNdepar-AltN"/>
        <w:widowControl w:val="0"/>
        <w:tabs>
          <w:tab w:val="clear" w:pos="1152"/>
          <w:tab w:val="left" w:pos="1166"/>
        </w:tabs>
        <w:rPr>
          <w:rFonts w:cs="Times New Roman"/>
          <w:lang w:val="en-US"/>
        </w:rPr>
      </w:pPr>
      <w:r w:rsidRPr="001854C5">
        <w:rPr>
          <w:rFonts w:cs="Times New Roman"/>
          <w:lang w:val="en-US"/>
        </w:rPr>
        <w:t xml:space="preserve">This brings us to the central issue in the instant case, namely whether a sentencing judge is entitled to consider evidence of future treatment prospects when deciding whether to designate an offender as opposed to when imposing a sentence. Though I recognize that the jurisprudence on this question has been divided, </w:t>
      </w:r>
      <w:r w:rsidRPr="001854C5">
        <w:rPr>
          <w:rFonts w:cs="Times New Roman"/>
        </w:rPr>
        <w:t>with some courts finding future treatment prospects to be irrelevant at the designation stage (</w:t>
      </w:r>
      <w:r w:rsidRPr="001854C5">
        <w:rPr>
          <w:rFonts w:cs="Times New Roman"/>
          <w:i/>
        </w:rPr>
        <w:t>R. v. Carleton</w:t>
      </w:r>
      <w:r w:rsidRPr="001854C5">
        <w:rPr>
          <w:rFonts w:cs="Times New Roman"/>
        </w:rPr>
        <w:t xml:space="preserve"> (1981), 32 A.R. 181 (C.A.), at para. 13, aff’d [1983] 2 S.C.R. 58; </w:t>
      </w:r>
      <w:r w:rsidRPr="001854C5">
        <w:rPr>
          <w:rFonts w:cs="Times New Roman"/>
          <w:i/>
        </w:rPr>
        <w:t>R. v. Sullivan</w:t>
      </w:r>
      <w:r w:rsidRPr="001854C5">
        <w:rPr>
          <w:rFonts w:cs="Times New Roman"/>
        </w:rPr>
        <w:t xml:space="preserve"> (1987), 20 O.A.C. 323, at para. 23; </w:t>
      </w:r>
      <w:r w:rsidRPr="001854C5">
        <w:rPr>
          <w:rFonts w:cs="Times New Roman"/>
          <w:i/>
        </w:rPr>
        <w:t>R. v. Newman</w:t>
      </w:r>
      <w:r w:rsidRPr="001854C5">
        <w:rPr>
          <w:rFonts w:cs="Times New Roman"/>
        </w:rPr>
        <w:t xml:space="preserve"> (1994), 115 Nfld. &amp; P.E.I.R. 197 (C.A.), at para. 127; </w:t>
      </w:r>
      <w:r w:rsidRPr="001854C5">
        <w:rPr>
          <w:rFonts w:cs="Times New Roman"/>
          <w:i/>
        </w:rPr>
        <w:t>R. v. Oliver</w:t>
      </w:r>
      <w:r w:rsidRPr="001854C5">
        <w:rPr>
          <w:rFonts w:cs="Times New Roman"/>
        </w:rPr>
        <w:t xml:space="preserve"> (1997), 114 C.C.C. (3d) 50 (Alta. C.A.), at p. 57)</w:t>
      </w:r>
      <w:r w:rsidR="00EE6983">
        <w:rPr>
          <w:rFonts w:cs="Times New Roman"/>
        </w:rPr>
        <w:t>,</w:t>
      </w:r>
      <w:r w:rsidRPr="001854C5">
        <w:rPr>
          <w:rFonts w:cs="Times New Roman"/>
        </w:rPr>
        <w:t xml:space="preserve"> and some finding them to be a relevant consideration (</w:t>
      </w:r>
      <w:r w:rsidRPr="001854C5">
        <w:rPr>
          <w:rFonts w:cs="Times New Roman"/>
          <w:i/>
        </w:rPr>
        <w:t>R. v. Neve</w:t>
      </w:r>
      <w:r w:rsidRPr="001854C5">
        <w:rPr>
          <w:rFonts w:cs="Times New Roman"/>
        </w:rPr>
        <w:t>, 1999 ABCA 206, 137 C.C.C. (3d) 97,</w:t>
      </w:r>
      <w:r>
        <w:rPr>
          <w:rFonts w:cs="Times New Roman"/>
        </w:rPr>
        <w:t xml:space="preserve"> at para. </w:t>
      </w:r>
      <w:r w:rsidRPr="001854C5">
        <w:rPr>
          <w:rFonts w:cs="Times New Roman"/>
        </w:rPr>
        <w:t xml:space="preserve">241), I cannot agree with the Court of Appeal that </w:t>
      </w:r>
      <w:r w:rsidRPr="001854C5">
        <w:rPr>
          <w:rFonts w:cs="Times New Roman"/>
          <w:lang w:val="en-US"/>
        </w:rPr>
        <w:t xml:space="preserve">the criteria for designation </w:t>
      </w:r>
      <w:r w:rsidRPr="001854C5">
        <w:rPr>
          <w:rFonts w:cs="Times New Roman"/>
        </w:rPr>
        <w:t xml:space="preserve">“have never included the future treatability of the offender”: </w:t>
      </w:r>
      <w:r>
        <w:rPr>
          <w:rFonts w:cs="Times New Roman"/>
        </w:rPr>
        <w:t>para. </w:t>
      </w:r>
      <w:r w:rsidRPr="001854C5">
        <w:rPr>
          <w:rFonts w:cs="Times New Roman"/>
        </w:rPr>
        <w:t>53. An offender’s future treatment prospects are, and have always been, a relevant consideration at the designation stage.</w:t>
      </w:r>
    </w:p>
    <w:p w14:paraId="33210F3E" w14:textId="77777777" w:rsidR="00D22BB5" w:rsidRPr="001854C5" w:rsidRDefault="00D22BB5" w:rsidP="00F52BD7">
      <w:pPr>
        <w:pStyle w:val="ParaNoNdepar-AltN"/>
        <w:widowControl w:val="0"/>
        <w:tabs>
          <w:tab w:val="clear" w:pos="1152"/>
          <w:tab w:val="left" w:pos="1166"/>
        </w:tabs>
        <w:rPr>
          <w:rFonts w:cs="Times New Roman"/>
          <w:lang w:val="en-US"/>
        </w:rPr>
      </w:pPr>
      <w:r w:rsidRPr="001854C5">
        <w:rPr>
          <w:rFonts w:cs="Times New Roman"/>
          <w:lang w:val="en-US"/>
        </w:rPr>
        <w:t xml:space="preserve">As the assessment of prospective risk described above is concerned with whether an offender will continue to be “a real and present danger”, being unable to surmount his or her violent conduct, the sentencing judge must consider all retrospective and prospective evidence relating to the continuing nature of this risk, including future treatment prospects. Furthermore, I am of the view that confining the </w:t>
      </w:r>
      <w:r w:rsidRPr="001854C5">
        <w:rPr>
          <w:rFonts w:cs="Times New Roman"/>
          <w:lang w:val="en-US"/>
        </w:rPr>
        <w:lastRenderedPageBreak/>
        <w:t>consideration of treatability to</w:t>
      </w:r>
      <w:r>
        <w:rPr>
          <w:rFonts w:cs="Times New Roman"/>
          <w:lang w:val="en-US"/>
        </w:rPr>
        <w:t xml:space="preserve"> the choice of penalty under s. </w:t>
      </w:r>
      <w:r w:rsidRPr="001854C5">
        <w:rPr>
          <w:rFonts w:cs="Times New Roman"/>
          <w:lang w:val="en-US"/>
        </w:rPr>
        <w:t>753(4.1) rests on a theoretical distinction between the designation stage and the penalty stage that is neither practical nor useful.</w:t>
      </w:r>
    </w:p>
    <w:p w14:paraId="1652878E" w14:textId="77777777" w:rsidR="00D22BB5" w:rsidRPr="001854C5" w:rsidRDefault="00D22BB5" w:rsidP="00F52BD7">
      <w:pPr>
        <w:pStyle w:val="ParaNoNdepar-AltN"/>
        <w:widowControl w:val="0"/>
        <w:tabs>
          <w:tab w:val="clear" w:pos="1152"/>
          <w:tab w:val="left" w:pos="1166"/>
        </w:tabs>
        <w:rPr>
          <w:rFonts w:cs="Times New Roman"/>
          <w:lang w:val="en-US"/>
        </w:rPr>
      </w:pPr>
      <w:r w:rsidRPr="001854C5">
        <w:rPr>
          <w:rFonts w:cs="Times New Roman"/>
          <w:lang w:val="en-US"/>
        </w:rPr>
        <w:t>Given that a dangerous offender application is typically conducted in one hearing, it would be artificial to distinguish evidence that should be considered to designate an offender as dangerous from evidence that should be considered to determine the appropriate sentence. All of the evidence adduced during a dangerous offender hearing must be considered at both stages of the sentencing judge’s analysis, though for the purpose of making different findings related to different legal criteria. During the application hearing, the Crown or the accused must present any prospective evidence concerning risk, intractability, or treatment programs, including the required assessment report addressing prospective treatment options. Many aspects of clinical evaluations provide evidence going to both the assessment of the offender’s future risk and the sentence necessary to manage this risk:</w:t>
      </w:r>
    </w:p>
    <w:p w14:paraId="772717BE" w14:textId="77777777" w:rsidR="00D22BB5" w:rsidRPr="001854C5" w:rsidRDefault="00D22BB5" w:rsidP="00F52BD7">
      <w:pPr>
        <w:pStyle w:val="Citation-AltC"/>
        <w:widowControl w:val="0"/>
        <w:ind w:firstLine="274"/>
        <w:rPr>
          <w:lang w:val="en-US"/>
        </w:rPr>
      </w:pPr>
      <w:r w:rsidRPr="001854C5">
        <w:rPr>
          <w:lang w:val="en-US"/>
        </w:rPr>
        <w:t xml:space="preserve">Clinical evaluations identifying the presence of enduring mental illnesses and their treatability, presence of deeply ingrained personality traits or personality disorders that are likely to persist with time, sexual deviations, and substance-use disorders all </w:t>
      </w:r>
      <w:r w:rsidRPr="001854C5">
        <w:rPr>
          <w:u w:val="single"/>
          <w:lang w:val="en-US"/>
        </w:rPr>
        <w:t>become relevant in understanding the meaning of repetitive behaviours, persistent aggressive behaviours, and their relationship to the predicate offence/offences</w:t>
      </w:r>
      <w:r w:rsidRPr="001854C5">
        <w:rPr>
          <w:lang w:val="en-US"/>
        </w:rPr>
        <w:t xml:space="preserve">. The presence of impulsivity, lack of empathy, and need for immediate gratification at the expense of others will assist the court </w:t>
      </w:r>
      <w:r w:rsidRPr="001854C5">
        <w:rPr>
          <w:u w:val="single"/>
          <w:lang w:val="en-US"/>
        </w:rPr>
        <w:t>in examining whether the risk assessment and management of risk factors are related to the statutory tests concerned</w:t>
      </w:r>
      <w:r w:rsidRPr="001854C5">
        <w:rPr>
          <w:lang w:val="en-US"/>
        </w:rPr>
        <w:t>. [Emphasis added; footnotes omitted.]</w:t>
      </w:r>
    </w:p>
    <w:p w14:paraId="31C6C6F7" w14:textId="77777777" w:rsidR="00D22BB5" w:rsidRPr="001854C5" w:rsidRDefault="00D22BB5" w:rsidP="00F52BD7">
      <w:pPr>
        <w:pStyle w:val="Citation-AltC"/>
        <w:widowControl w:val="0"/>
        <w:ind w:firstLine="274"/>
        <w:rPr>
          <w:lang w:val="en-US"/>
        </w:rPr>
      </w:pPr>
    </w:p>
    <w:p w14:paraId="31CBBDC9" w14:textId="77777777" w:rsidR="00D22BB5" w:rsidRPr="001854C5" w:rsidRDefault="00D22BB5" w:rsidP="00F52BD7">
      <w:pPr>
        <w:pStyle w:val="Citation-AltC"/>
        <w:widowControl w:val="0"/>
        <w:ind w:left="0" w:firstLine="4"/>
        <w:rPr>
          <w:lang w:val="en-US"/>
        </w:rPr>
      </w:pPr>
      <w:r>
        <w:rPr>
          <w:lang w:val="en-US"/>
        </w:rPr>
        <w:t>(Neuberger, at p. </w:t>
      </w:r>
      <w:r w:rsidRPr="001854C5">
        <w:rPr>
          <w:lang w:val="en-US"/>
        </w:rPr>
        <w:t>2-37)</w:t>
      </w:r>
    </w:p>
    <w:p w14:paraId="703C8981" w14:textId="77777777" w:rsidR="00D22BB5" w:rsidRPr="001854C5" w:rsidRDefault="00D22BB5" w:rsidP="00F52BD7">
      <w:pPr>
        <w:pStyle w:val="ParaNoNdepar-AltN"/>
        <w:widowControl w:val="0"/>
        <w:tabs>
          <w:tab w:val="clear" w:pos="1152"/>
          <w:tab w:val="left" w:pos="1166"/>
        </w:tabs>
        <w:rPr>
          <w:rFonts w:cs="Times New Roman"/>
          <w:lang w:val="en-US"/>
        </w:rPr>
      </w:pPr>
      <w:r w:rsidRPr="001854C5">
        <w:rPr>
          <w:rFonts w:cs="Times New Roman"/>
        </w:rPr>
        <w:t xml:space="preserve">The same prospective evidence of treatability plays a different role at the </w:t>
      </w:r>
      <w:r w:rsidRPr="001854C5">
        <w:rPr>
          <w:rFonts w:cs="Times New Roman"/>
        </w:rPr>
        <w:lastRenderedPageBreak/>
        <w:t xml:space="preserve">different stages of the judge’s decision-making process. At the designation stage, treatability informs the decision on the threat posed by an offender, whereas at the penalty stage, it helps determine the appropriate sentence to manage this threat. </w:t>
      </w:r>
      <w:r w:rsidRPr="001854C5">
        <w:rPr>
          <w:rFonts w:cs="Times New Roman"/>
          <w:lang w:val="en-US"/>
        </w:rPr>
        <w:t xml:space="preserve">Thus, </w:t>
      </w:r>
      <w:r w:rsidRPr="001854C5">
        <w:rPr>
          <w:rFonts w:cs="Times New Roman"/>
        </w:rPr>
        <w:t xml:space="preserve">offenders will not be designated as dangerous if their treatment prospects are so compelling that the sentencing judge cannot conclude beyond a reasonable doubt that they present a high likelihood of harmful recidivism or that their violent pattern is intractable: see </w:t>
      </w:r>
      <w:r>
        <w:rPr>
          <w:rFonts w:cs="Times New Roman"/>
        </w:rPr>
        <w:t>Neuberger, at p. </w:t>
      </w:r>
      <w:r w:rsidRPr="001854C5">
        <w:rPr>
          <w:rFonts w:cs="Times New Roman"/>
        </w:rPr>
        <w:t xml:space="preserve">7-1, by M. Henschel. </w:t>
      </w:r>
      <w:r w:rsidRPr="001854C5">
        <w:rPr>
          <w:rFonts w:cs="Times New Roman"/>
          <w:lang w:val="en-US"/>
        </w:rPr>
        <w:t>However, even where the treatment prospects are not compelling enough to affect the judge’s conclusion on dangerousness, they will still be relevant in choosing the sentence required to adequately protect the public.</w:t>
      </w:r>
    </w:p>
    <w:p w14:paraId="5D7410A0" w14:textId="77777777" w:rsidR="00D22BB5" w:rsidRPr="001854C5" w:rsidRDefault="00D22BB5" w:rsidP="00F52BD7">
      <w:pPr>
        <w:pStyle w:val="Title3LevelTitre3Niveau"/>
        <w:widowControl w:val="0"/>
        <w:rPr>
          <w:rFonts w:cs="Times New Roman"/>
          <w:lang w:val="en-US"/>
        </w:rPr>
      </w:pPr>
      <w:r w:rsidRPr="001854C5">
        <w:rPr>
          <w:rFonts w:cs="Times New Roman"/>
          <w:lang w:val="en-US"/>
        </w:rPr>
        <w:t>Conclusion</w:t>
      </w:r>
    </w:p>
    <w:p w14:paraId="48AEA038" w14:textId="77777777" w:rsidR="00D22BB5" w:rsidRPr="001854C5" w:rsidRDefault="00D22BB5" w:rsidP="00F52BD7">
      <w:pPr>
        <w:pStyle w:val="ParaNoNdepar-AltN"/>
        <w:widowControl w:val="0"/>
        <w:tabs>
          <w:tab w:val="clear" w:pos="1152"/>
          <w:tab w:val="left" w:pos="1166"/>
        </w:tabs>
        <w:rPr>
          <w:rFonts w:cs="Times New Roman"/>
          <w:lang w:val="en-US"/>
        </w:rPr>
      </w:pPr>
      <w:r w:rsidRPr="001854C5">
        <w:rPr>
          <w:rFonts w:cs="Times New Roman"/>
          <w:lang w:val="en-US"/>
        </w:rPr>
        <w:t>In sum, a finding of dangerousness has always required that the Crown demonstrate, beyond a reasonable doubt, a high likelihood of harmful recidivism and the intractability of the violent pattern of conduct. A prospective assessment of dangerousness ensures that only offenders who pose a tremendous future risk</w:t>
      </w:r>
      <w:r w:rsidRPr="001854C5">
        <w:rPr>
          <w:rFonts w:cs="Times New Roman"/>
        </w:rPr>
        <w:t xml:space="preserve"> are designated as dangerous and face the possibility of being sentenced to an indeterminate detention. This necessarily involves the consideration of future treatment prospects.</w:t>
      </w:r>
      <w:r w:rsidRPr="001854C5">
        <w:rPr>
          <w:rFonts w:cs="Times New Roman"/>
          <w:lang w:val="en-US"/>
        </w:rPr>
        <w:t xml:space="preserve"> Had the prospective aspects of the dangerousness criteria been removed by the 2008 amendments, the constitutionality of the provision might have required a deeper analysis. But that is not the case. The sentencing judge erred in concluding otherwise. Accordingly, this Court need not revisit its decision in </w:t>
      </w:r>
      <w:r w:rsidRPr="001854C5">
        <w:rPr>
          <w:rFonts w:cs="Times New Roman"/>
          <w:i/>
          <w:iCs/>
          <w:lang w:val="en-US"/>
        </w:rPr>
        <w:t>Lyons</w:t>
      </w:r>
      <w:r w:rsidRPr="001854C5">
        <w:rPr>
          <w:rFonts w:cs="Times New Roman"/>
          <w:lang w:val="en-US"/>
        </w:rPr>
        <w:t xml:space="preserve"> as to the constitutionality of s. 753(1).</w:t>
      </w:r>
    </w:p>
    <w:p w14:paraId="6E4552DE" w14:textId="77777777" w:rsidR="00D22BB5" w:rsidRPr="001854C5" w:rsidRDefault="00D22BB5" w:rsidP="00F52BD7">
      <w:pPr>
        <w:pStyle w:val="ParaNoNdepar-AltN"/>
        <w:widowControl w:val="0"/>
        <w:tabs>
          <w:tab w:val="clear" w:pos="1152"/>
          <w:tab w:val="left" w:pos="1166"/>
        </w:tabs>
        <w:rPr>
          <w:rFonts w:cs="Times New Roman"/>
          <w:lang w:val="en-US"/>
        </w:rPr>
      </w:pPr>
      <w:r w:rsidRPr="001854C5">
        <w:rPr>
          <w:rFonts w:cs="Times New Roman"/>
          <w:lang w:val="en-US"/>
        </w:rPr>
        <w:lastRenderedPageBreak/>
        <w:t xml:space="preserve">A final point must be addressed. The 2008 amendments also introduced s. 753.01. The sentencing judge found </w:t>
      </w:r>
      <w:r>
        <w:rPr>
          <w:rFonts w:cs="Times New Roman"/>
          <w:lang w:val="en-US"/>
        </w:rPr>
        <w:t>that this provision made the s. </w:t>
      </w:r>
      <w:r w:rsidRPr="001854C5">
        <w:rPr>
          <w:rFonts w:cs="Times New Roman"/>
          <w:lang w:val="en-US"/>
        </w:rPr>
        <w:t xml:space="preserve">753(1) designation permanent and imposed new consequences on the offender. The dangerous offender regime, however, has had permanent effect since </w:t>
      </w:r>
      <w:r w:rsidRPr="001854C5">
        <w:rPr>
          <w:rFonts w:cs="Times New Roman"/>
          <w:i/>
          <w:lang w:val="en-US"/>
        </w:rPr>
        <w:t>Lyons</w:t>
      </w:r>
      <w:r>
        <w:rPr>
          <w:rFonts w:cs="Times New Roman"/>
          <w:lang w:val="en-US"/>
        </w:rPr>
        <w:t>: p. </w:t>
      </w:r>
      <w:r w:rsidRPr="001854C5">
        <w:rPr>
          <w:rFonts w:cs="Times New Roman"/>
          <w:lang w:val="en-US"/>
        </w:rPr>
        <w:t>342. The change has to do with the potential consequences of that designation as a result of</w:t>
      </w:r>
      <w:r>
        <w:rPr>
          <w:rFonts w:cs="Times New Roman"/>
          <w:lang w:val="en-US"/>
        </w:rPr>
        <w:t xml:space="preserve"> s. </w:t>
      </w:r>
      <w:r w:rsidRPr="001854C5">
        <w:rPr>
          <w:rFonts w:cs="Times New Roman"/>
          <w:lang w:val="en-US"/>
        </w:rPr>
        <w:t>753.01. That being said, the constitutionality of those consequences is not at stake in this case. Mr. Boutilier was not sentenced to an indetermina</w:t>
      </w:r>
      <w:r>
        <w:rPr>
          <w:rFonts w:cs="Times New Roman"/>
          <w:lang w:val="en-US"/>
        </w:rPr>
        <w:t>te detention on the basis of s. </w:t>
      </w:r>
      <w:r w:rsidRPr="001854C5">
        <w:rPr>
          <w:rFonts w:cs="Times New Roman"/>
          <w:lang w:val="en-US"/>
        </w:rPr>
        <w:t xml:space="preserve">753.01, but rather after a regular application for a dangerous offender designation pursuant to s. 753. It would be imprudent for this Court to rule on the constitutionality </w:t>
      </w:r>
      <w:r>
        <w:rPr>
          <w:rFonts w:cs="Times New Roman"/>
          <w:lang w:val="en-US"/>
        </w:rPr>
        <w:t>of s. </w:t>
      </w:r>
      <w:r w:rsidRPr="001854C5">
        <w:rPr>
          <w:rFonts w:cs="Times New Roman"/>
          <w:lang w:val="en-US"/>
        </w:rPr>
        <w:t>753.01 without a concrete example of its real effects. It is therefore unnecessary to consider the constitutional validity of the interaction between s. 753(1) and s. 753.01, a provision applying to later convictions of dangerous offenders.</w:t>
      </w:r>
    </w:p>
    <w:p w14:paraId="7488F645" w14:textId="77777777" w:rsidR="00D22BB5" w:rsidRPr="001854C5" w:rsidRDefault="00D22BB5" w:rsidP="00F52BD7">
      <w:pPr>
        <w:pStyle w:val="Title2LevelTitre2Niveau"/>
        <w:widowControl w:val="0"/>
        <w:rPr>
          <w:rFonts w:cs="Times New Roman"/>
          <w:lang w:val="en-US"/>
        </w:rPr>
      </w:pPr>
      <w:r w:rsidRPr="001854C5">
        <w:rPr>
          <w:rFonts w:cs="Times New Roman"/>
          <w:lang w:val="en-US"/>
        </w:rPr>
        <w:t>Does Section 753(4.1) Lead to a Grossly Disproportionate Sentence, Contrary to Section 12 of the Charter, by Presumptively Imposing Indeterminate Detention and Preventing the Sentencing Judge From Imposing a Fit Sentence Consistent With the Principles and Objectives of Sentencing?</w:t>
      </w:r>
    </w:p>
    <w:p w14:paraId="455CBD5C" w14:textId="77777777" w:rsidR="00D22BB5" w:rsidRPr="001854C5" w:rsidRDefault="00D22BB5" w:rsidP="00F52BD7">
      <w:pPr>
        <w:pStyle w:val="ParaNoNdepar-AltN"/>
        <w:widowControl w:val="0"/>
        <w:tabs>
          <w:tab w:val="clear" w:pos="1152"/>
          <w:tab w:val="left" w:pos="1166"/>
        </w:tabs>
        <w:rPr>
          <w:rFonts w:cs="Times New Roman"/>
          <w:lang w:val="en-US"/>
        </w:rPr>
      </w:pPr>
      <w:r w:rsidRPr="001854C5">
        <w:rPr>
          <w:rFonts w:cs="Times New Roman"/>
        </w:rPr>
        <w:t>The current s.</w:t>
      </w:r>
      <w:r>
        <w:rPr>
          <w:rFonts w:cs="Times New Roman"/>
        </w:rPr>
        <w:t> </w:t>
      </w:r>
      <w:r w:rsidRPr="001854C5">
        <w:rPr>
          <w:rFonts w:cs="Times New Roman"/>
        </w:rPr>
        <w:t xml:space="preserve">753(4.1) </w:t>
      </w:r>
      <w:r w:rsidRPr="001854C5">
        <w:rPr>
          <w:rFonts w:cs="Times New Roman"/>
          <w:lang w:val="en-US"/>
        </w:rPr>
        <w:t>was introduced in 2008. This Court has not yet considered its constitutionality. It reads as follows:</w:t>
      </w:r>
    </w:p>
    <w:p w14:paraId="11D95BD9" w14:textId="77777777" w:rsidR="00D22BB5" w:rsidRPr="001854C5" w:rsidRDefault="00D22BB5" w:rsidP="00F52BD7">
      <w:pPr>
        <w:pStyle w:val="Citation-AltC"/>
        <w:widowControl w:val="0"/>
        <w:rPr>
          <w:lang w:val="en-US"/>
        </w:rPr>
      </w:pPr>
      <w:r w:rsidRPr="001854C5">
        <w:rPr>
          <w:b/>
          <w:bCs/>
          <w:lang w:val="en" w:eastAsia="en-US"/>
        </w:rPr>
        <w:t>(4.1)</w:t>
      </w:r>
      <w:r w:rsidRPr="001854C5">
        <w:rPr>
          <w:lang w:val="en" w:eastAsia="en-US"/>
        </w:rPr>
        <w:t> The court shall impose a sentence of detention in a penitentiary for an indeterminate period unless it is satisfied by the evidence adduced during the hearing of the application that there is a reasonable expectation that a lesser measure under paragraph (4)(b) or (c) will adequately protect the public against the commission by the offender of murder or a serious personal injury offence.</w:t>
      </w:r>
    </w:p>
    <w:p w14:paraId="5AA55D1C" w14:textId="77777777" w:rsidR="00D22BB5" w:rsidRPr="001854C5" w:rsidRDefault="00D22BB5" w:rsidP="00F52BD7">
      <w:pPr>
        <w:pStyle w:val="ParaNoNdepar-AltN"/>
        <w:widowControl w:val="0"/>
        <w:tabs>
          <w:tab w:val="clear" w:pos="1152"/>
          <w:tab w:val="left" w:pos="1166"/>
        </w:tabs>
        <w:rPr>
          <w:rFonts w:cs="Times New Roman"/>
        </w:rPr>
      </w:pPr>
      <w:r w:rsidRPr="001854C5">
        <w:rPr>
          <w:rFonts w:cs="Times New Roman"/>
          <w:lang w:val="en-US"/>
        </w:rPr>
        <w:lastRenderedPageBreak/>
        <w:t>Mr. Boutilier contends that s. </w:t>
      </w:r>
      <w:r>
        <w:rPr>
          <w:rFonts w:cs="Times New Roman"/>
          <w:lang w:val="en-US"/>
        </w:rPr>
        <w:t>753(4.1) infringes s. </w:t>
      </w:r>
      <w:r w:rsidRPr="001854C5">
        <w:rPr>
          <w:rFonts w:cs="Times New Roman"/>
          <w:lang w:val="en-US"/>
        </w:rPr>
        <w:t xml:space="preserve">12 of the </w:t>
      </w:r>
      <w:r w:rsidRPr="001854C5">
        <w:rPr>
          <w:rFonts w:cs="Times New Roman"/>
          <w:i/>
          <w:lang w:val="en-US"/>
        </w:rPr>
        <w:t>Charter</w:t>
      </w:r>
      <w:r w:rsidRPr="001854C5">
        <w:rPr>
          <w:rFonts w:cs="Times New Roman"/>
          <w:lang w:val="en-US"/>
        </w:rPr>
        <w:t>.</w:t>
      </w:r>
    </w:p>
    <w:p w14:paraId="14F1EDBD" w14:textId="77777777" w:rsidR="00D22BB5" w:rsidRPr="001854C5" w:rsidRDefault="00D22BB5" w:rsidP="00F52BD7">
      <w:pPr>
        <w:pStyle w:val="ParaNoNdepar-AltN"/>
        <w:widowControl w:val="0"/>
        <w:tabs>
          <w:tab w:val="clear" w:pos="1152"/>
          <w:tab w:val="left" w:pos="1166"/>
        </w:tabs>
        <w:rPr>
          <w:rFonts w:cs="Times New Roman"/>
        </w:rPr>
      </w:pPr>
      <w:r w:rsidRPr="001854C5">
        <w:rPr>
          <w:rFonts w:cs="Times New Roman"/>
        </w:rPr>
        <w:t>McLachlin</w:t>
      </w:r>
      <w:r>
        <w:rPr>
          <w:rFonts w:cs="Times New Roman"/>
        </w:rPr>
        <w:t> </w:t>
      </w:r>
      <w:r w:rsidRPr="001854C5">
        <w:rPr>
          <w:rFonts w:cs="Times New Roman"/>
        </w:rPr>
        <w:t xml:space="preserve">C.J. recently summarized the framework applicable to a claim of cruel and unusual punishment under s. 12 of the </w:t>
      </w:r>
      <w:r w:rsidRPr="001854C5">
        <w:rPr>
          <w:rFonts w:cs="Times New Roman"/>
          <w:i/>
        </w:rPr>
        <w:t>Charter</w:t>
      </w:r>
      <w:r w:rsidRPr="001854C5">
        <w:rPr>
          <w:rFonts w:cs="Times New Roman"/>
        </w:rPr>
        <w:t>:</w:t>
      </w:r>
    </w:p>
    <w:p w14:paraId="203A3B16" w14:textId="0F96D185" w:rsidR="00D22BB5" w:rsidRPr="001854C5" w:rsidRDefault="00D22BB5" w:rsidP="00F52BD7">
      <w:pPr>
        <w:pStyle w:val="Citation-AltC"/>
        <w:widowControl w:val="0"/>
      </w:pPr>
      <w:r w:rsidRPr="001854C5">
        <w:t>A sentence will infringe s. 12 if it is “grossly disproportionate” to the punishment that is appropriate, having regard to the nature of the offence and the circumstances of the offender: [</w:t>
      </w:r>
      <w:r w:rsidRPr="001854C5">
        <w:rPr>
          <w:i/>
        </w:rPr>
        <w:t>R. v.</w:t>
      </w:r>
      <w:r w:rsidRPr="001854C5">
        <w:t xml:space="preserve">] </w:t>
      </w:r>
      <w:r w:rsidRPr="001854C5">
        <w:rPr>
          <w:i/>
        </w:rPr>
        <w:t>Nur</w:t>
      </w:r>
      <w:r w:rsidRPr="001854C5">
        <w:t xml:space="preserve"> [2015 SCC 15, [2015] 1 S.C.R. 773], at para. 39; </w:t>
      </w:r>
      <w:r w:rsidRPr="001854C5">
        <w:rPr>
          <w:i/>
        </w:rPr>
        <w:t>R. v. Smith</w:t>
      </w:r>
      <w:r w:rsidRPr="001854C5">
        <w:t xml:space="preserve">, [1987] 1 S.C.R. 1045, at p. 1073. A law will violate s. 12 if it imposes a grossly disproportionate sentence on the individual before the court, or if the law’s reasonably foreseeable applications will impose grossly disproportionate sentences on others: </w:t>
      </w:r>
      <w:r w:rsidRPr="001854C5">
        <w:rPr>
          <w:i/>
        </w:rPr>
        <w:t>Nur</w:t>
      </w:r>
      <w:r>
        <w:t>, at para. </w:t>
      </w:r>
      <w:r w:rsidRPr="001854C5">
        <w:t xml:space="preserve">77. </w:t>
      </w:r>
    </w:p>
    <w:p w14:paraId="74F98325" w14:textId="77777777" w:rsidR="00D22BB5" w:rsidRPr="001854C5" w:rsidRDefault="00D22BB5" w:rsidP="00F52BD7">
      <w:pPr>
        <w:pStyle w:val="Citation-AltC"/>
        <w:widowControl w:val="0"/>
      </w:pPr>
    </w:p>
    <w:p w14:paraId="23291F93" w14:textId="77777777" w:rsidR="00D22BB5" w:rsidRPr="001854C5" w:rsidRDefault="00D22BB5" w:rsidP="00F52BD7">
      <w:pPr>
        <w:pStyle w:val="Citation-AltC"/>
        <w:widowControl w:val="0"/>
        <w:ind w:left="0"/>
      </w:pPr>
      <w:r w:rsidRPr="001854C5">
        <w:t>(</w:t>
      </w:r>
      <w:r w:rsidRPr="001854C5">
        <w:rPr>
          <w:i/>
        </w:rPr>
        <w:t>R. v. Lloyd</w:t>
      </w:r>
      <w:r w:rsidRPr="001854C5">
        <w:t>, 2016 SCC 13</w:t>
      </w:r>
      <w:r>
        <w:t>, [2016] 1 S.C.R. 130, at para. </w:t>
      </w:r>
      <w:r w:rsidRPr="001854C5">
        <w:t>22)</w:t>
      </w:r>
    </w:p>
    <w:p w14:paraId="7BAD0B10" w14:textId="77777777" w:rsidR="00D22BB5" w:rsidRPr="001854C5" w:rsidRDefault="00D22BB5" w:rsidP="00F52BD7">
      <w:pPr>
        <w:pStyle w:val="ParaNoNdepar-AltN"/>
        <w:widowControl w:val="0"/>
        <w:tabs>
          <w:tab w:val="clear" w:pos="1152"/>
          <w:tab w:val="left" w:pos="1166"/>
        </w:tabs>
        <w:rPr>
          <w:rFonts w:cs="Times New Roman"/>
        </w:rPr>
      </w:pPr>
      <w:r w:rsidRPr="001854C5">
        <w:rPr>
          <w:rFonts w:cs="Times New Roman"/>
          <w:lang w:val="en-US"/>
        </w:rPr>
        <w:t xml:space="preserve">Mr. Boutilier argues that the </w:t>
      </w:r>
      <w:r w:rsidRPr="001854C5">
        <w:rPr>
          <w:rFonts w:cs="Times New Roman"/>
        </w:rPr>
        <w:t xml:space="preserve">reasonably foreseeable applications of s. 753(4.1) </w:t>
      </w:r>
      <w:r w:rsidRPr="001854C5">
        <w:rPr>
          <w:rFonts w:cs="Times New Roman"/>
          <w:lang w:val="en-US"/>
        </w:rPr>
        <w:t xml:space="preserve">lead to grossly disproportionate sentences because the provision presumptively imposes indeterminate detention on designated offenders each time there are public safety concerns, even when such a sentence would be unfit in a specific case. This argument rests on two premises. First, Mr. Boutilier argues </w:t>
      </w:r>
      <w:r>
        <w:rPr>
          <w:rFonts w:cs="Times New Roman"/>
          <w:lang w:val="en-US"/>
        </w:rPr>
        <w:t>that s. </w:t>
      </w:r>
      <w:r w:rsidRPr="001854C5">
        <w:rPr>
          <w:rFonts w:cs="Times New Roman"/>
          <w:lang w:val="en-US"/>
        </w:rPr>
        <w:t xml:space="preserve">753(4.1) is properly read as impeding the discretion of a sentencing judge to impose a fit sentence in light of </w:t>
      </w:r>
      <w:r w:rsidRPr="001854C5">
        <w:rPr>
          <w:rFonts w:cs="Times New Roman"/>
        </w:rPr>
        <w:t>all relevant factors and circumstances and the principles and objectives of sentencing</w:t>
      </w:r>
      <w:r w:rsidRPr="001854C5">
        <w:rPr>
          <w:rFonts w:cs="Times New Roman"/>
          <w:lang w:val="en-US"/>
        </w:rPr>
        <w:t xml:space="preserve">. </w:t>
      </w:r>
      <w:r>
        <w:rPr>
          <w:rFonts w:cs="Times New Roman"/>
          <w:lang w:val="en-US"/>
        </w:rPr>
        <w:t>Second, he says that s. </w:t>
      </w:r>
      <w:r w:rsidRPr="001854C5">
        <w:rPr>
          <w:rFonts w:cs="Times New Roman"/>
          <w:lang w:val="en-US"/>
        </w:rPr>
        <w:t xml:space="preserve">753(4.1) imposes a </w:t>
      </w:r>
      <w:r w:rsidRPr="001854C5">
        <w:rPr>
          <w:rFonts w:cs="Times New Roman"/>
          <w:i/>
          <w:iCs/>
          <w:lang w:val="en-US"/>
        </w:rPr>
        <w:t>presumption</w:t>
      </w:r>
      <w:r w:rsidRPr="001854C5">
        <w:rPr>
          <w:rFonts w:cs="Times New Roman"/>
          <w:lang w:val="en-US"/>
        </w:rPr>
        <w:t xml:space="preserve"> of indeterminate detention for designated offenders.</w:t>
      </w:r>
    </w:p>
    <w:p w14:paraId="388E5BA6" w14:textId="19E06ED1" w:rsidR="00D22BB5" w:rsidRPr="001854C5" w:rsidRDefault="00D22BB5" w:rsidP="00F52BD7">
      <w:pPr>
        <w:pStyle w:val="ParaNoNdepar-AltN"/>
        <w:widowControl w:val="0"/>
        <w:tabs>
          <w:tab w:val="clear" w:pos="1152"/>
          <w:tab w:val="left" w:pos="1166"/>
        </w:tabs>
        <w:rPr>
          <w:rFonts w:cs="Times New Roman"/>
          <w:lang w:val="en-US"/>
        </w:rPr>
      </w:pPr>
      <w:r w:rsidRPr="001854C5">
        <w:rPr>
          <w:rFonts w:cs="Times New Roman"/>
        </w:rPr>
        <w:t>Having carefully read my colleague’s reasons, I cannot, for the reasons outlined below,</w:t>
      </w:r>
      <w:r>
        <w:rPr>
          <w:rFonts w:cs="Times New Roman"/>
        </w:rPr>
        <w:t xml:space="preserve"> agree that s. </w:t>
      </w:r>
      <w:r w:rsidRPr="001854C5">
        <w:rPr>
          <w:rFonts w:cs="Times New Roman"/>
        </w:rPr>
        <w:t>753(4.1) imposes indeterminate detention in cases where it is grossly disproportionate to the sentence mandated by sentencing principles. T</w:t>
      </w:r>
      <w:r w:rsidRPr="001854C5">
        <w:rPr>
          <w:rFonts w:cs="Times New Roman"/>
          <w:lang w:val="en-US"/>
        </w:rPr>
        <w:t xml:space="preserve">he </w:t>
      </w:r>
      <w:r w:rsidRPr="001854C5">
        <w:rPr>
          <w:rFonts w:cs="Times New Roman"/>
          <w:lang w:val="en-US"/>
        </w:rPr>
        <w:lastRenderedPageBreak/>
        <w:t xml:space="preserve">sentencing principles and objectives set out in the </w:t>
      </w:r>
      <w:r w:rsidRPr="001854C5">
        <w:rPr>
          <w:rFonts w:cs="Times New Roman"/>
          <w:i/>
          <w:lang w:val="en-US"/>
        </w:rPr>
        <w:t>Criminal Code</w:t>
      </w:r>
      <w:r w:rsidRPr="001854C5">
        <w:rPr>
          <w:rFonts w:cs="Times New Roman"/>
          <w:lang w:val="en-US"/>
        </w:rPr>
        <w:t>, including the</w:t>
      </w:r>
      <w:r w:rsidRPr="001854C5">
        <w:rPr>
          <w:rFonts w:cs="Times New Roman"/>
        </w:rPr>
        <w:t xml:space="preserve"> fundamental pri</w:t>
      </w:r>
      <w:r>
        <w:rPr>
          <w:rFonts w:cs="Times New Roman"/>
        </w:rPr>
        <w:t>nciple of proportionality in s. </w:t>
      </w:r>
      <w:r w:rsidRPr="001854C5">
        <w:rPr>
          <w:rFonts w:cs="Times New Roman"/>
        </w:rPr>
        <w:t xml:space="preserve">718.1, do not have constitutional status and may be limited by Parliament </w:t>
      </w:r>
      <w:r w:rsidRPr="001854C5">
        <w:rPr>
          <w:rFonts w:cs="Times New Roman"/>
          <w:lang w:val="en-US"/>
        </w:rPr>
        <w:t>where necessary to achieve a valid penal purpose,</w:t>
      </w:r>
      <w:r w:rsidRPr="001854C5">
        <w:rPr>
          <w:rFonts w:cs="Times New Roman"/>
        </w:rPr>
        <w:t xml:space="preserve"> so long as a sentencing judge is not required to impose a sentence that is “grossly disproportionate” to the se</w:t>
      </w:r>
      <w:r>
        <w:rPr>
          <w:rFonts w:cs="Times New Roman"/>
        </w:rPr>
        <w:t>ntence normally mandated by ss. </w:t>
      </w:r>
      <w:r w:rsidRPr="001854C5">
        <w:rPr>
          <w:rFonts w:cs="Times New Roman"/>
        </w:rPr>
        <w:t xml:space="preserve">718 to 718.2 of the </w:t>
      </w:r>
      <w:r w:rsidRPr="001854C5">
        <w:rPr>
          <w:rFonts w:cs="Times New Roman"/>
          <w:i/>
        </w:rPr>
        <w:t>Criminal Code</w:t>
      </w:r>
      <w:r w:rsidRPr="001854C5">
        <w:rPr>
          <w:rFonts w:cs="Times New Roman"/>
        </w:rPr>
        <w:t xml:space="preserve">: </w:t>
      </w:r>
      <w:r w:rsidRPr="001854C5">
        <w:rPr>
          <w:rFonts w:cs="Times New Roman"/>
          <w:i/>
        </w:rPr>
        <w:t>R. v. Safarzadeh-Markhali</w:t>
      </w:r>
      <w:r w:rsidRPr="001854C5">
        <w:rPr>
          <w:rFonts w:cs="Times New Roman"/>
        </w:rPr>
        <w:t xml:space="preserve">, 2016 SCC 14, [2016] 1 S.C.R. 180, at para. 71; </w:t>
      </w:r>
      <w:r w:rsidRPr="001854C5">
        <w:rPr>
          <w:rFonts w:cs="Times New Roman"/>
          <w:i/>
        </w:rPr>
        <w:t>R. v.</w:t>
      </w:r>
      <w:r w:rsidRPr="001854C5">
        <w:rPr>
          <w:rFonts w:cs="Times New Roman"/>
        </w:rPr>
        <w:t xml:space="preserve"> </w:t>
      </w:r>
      <w:r w:rsidRPr="001854C5">
        <w:rPr>
          <w:rFonts w:cs="Times New Roman"/>
          <w:i/>
        </w:rPr>
        <w:t>Nur</w:t>
      </w:r>
      <w:r w:rsidRPr="001854C5">
        <w:rPr>
          <w:rFonts w:cs="Times New Roman"/>
        </w:rPr>
        <w:t>, 2015 SCC 15, [2015] 1 S.C.R. 773, at paras. 40-42.</w:t>
      </w:r>
      <w:r w:rsidRPr="001854C5">
        <w:rPr>
          <w:rFonts w:cs="Times New Roman"/>
          <w:lang w:val="en-US"/>
        </w:rPr>
        <w:t xml:space="preserve"> In </w:t>
      </w:r>
      <w:r w:rsidRPr="001854C5">
        <w:rPr>
          <w:rFonts w:cs="Times New Roman"/>
          <w:i/>
          <w:lang w:val="en-US"/>
        </w:rPr>
        <w:t>R. v. Smith</w:t>
      </w:r>
      <w:r w:rsidRPr="001854C5">
        <w:rPr>
          <w:rFonts w:cs="Times New Roman"/>
          <w:lang w:val="en-US"/>
        </w:rPr>
        <w:t xml:space="preserve">, </w:t>
      </w:r>
      <w:r w:rsidRPr="001854C5">
        <w:rPr>
          <w:rFonts w:cs="Times New Roman"/>
        </w:rPr>
        <w:t>[1987] 1 S.C.R. 1045</w:t>
      </w:r>
      <w:r w:rsidRPr="001854C5">
        <w:rPr>
          <w:rFonts w:cs="Times New Roman"/>
          <w:lang w:val="en-US"/>
        </w:rPr>
        <w:t>, this Court referred to three factors that are useful in determining whether punishment is “grossly disproportionate” to what would have been appropriate: “</w:t>
      </w:r>
      <w:r w:rsidR="00EE296D">
        <w:rPr>
          <w:rFonts w:cs="Times New Roman"/>
          <w:lang w:val="en-US"/>
        </w:rPr>
        <w:t xml:space="preserve">. . . </w:t>
      </w:r>
      <w:r w:rsidRPr="001854C5">
        <w:rPr>
          <w:rFonts w:cs="Times New Roman"/>
          <w:lang w:val="en-US"/>
        </w:rPr>
        <w:t>whether the punishment is necessary to achieve a valid penal purpose, whether it is founded on recognized sentencing principles, and whether there exist valid alternatives</w:t>
      </w:r>
      <w:r>
        <w:rPr>
          <w:rFonts w:cs="Times New Roman"/>
          <w:lang w:val="en-US"/>
        </w:rPr>
        <w:t xml:space="preserve"> to the punishment imposed</w:t>
      </w:r>
      <w:r w:rsidR="00EE296D">
        <w:rPr>
          <w:rFonts w:cs="Times New Roman"/>
          <w:lang w:val="en-US"/>
        </w:rPr>
        <w:t xml:space="preserve"> . . .</w:t>
      </w:r>
      <w:r>
        <w:rPr>
          <w:rFonts w:cs="Times New Roman"/>
          <w:lang w:val="en-US"/>
        </w:rPr>
        <w:t>” (p. </w:t>
      </w:r>
      <w:r w:rsidRPr="001854C5">
        <w:rPr>
          <w:rFonts w:cs="Times New Roman"/>
          <w:lang w:val="en-US"/>
        </w:rPr>
        <w:t>1074). Considering the provision’s heightened preve</w:t>
      </w:r>
      <w:r>
        <w:rPr>
          <w:rFonts w:cs="Times New Roman"/>
          <w:lang w:val="en-US"/>
        </w:rPr>
        <w:t>ntive purpose, recognized by s. </w:t>
      </w:r>
      <w:r w:rsidRPr="001854C5">
        <w:rPr>
          <w:rFonts w:cs="Times New Roman"/>
          <w:lang w:val="en-US"/>
        </w:rPr>
        <w:t xml:space="preserve">718(c), as well as the sentencing judge’s duty to carefully inquire into the appropriateness of alternatives to indeterminate detention in light of the full range of sentencing principles, I cannot </w:t>
      </w:r>
      <w:r>
        <w:rPr>
          <w:rFonts w:cs="Times New Roman"/>
          <w:lang w:val="en-US"/>
        </w:rPr>
        <w:t>conclude that s. </w:t>
      </w:r>
      <w:r w:rsidRPr="001854C5">
        <w:rPr>
          <w:rFonts w:cs="Times New Roman"/>
          <w:lang w:val="en-US"/>
        </w:rPr>
        <w:t>753(4.1) imposes punishment that is “grossly disproportionate” to the extent that Canadians would find it abhorrent or intolerable.</w:t>
      </w:r>
    </w:p>
    <w:p w14:paraId="485ECC71" w14:textId="77777777" w:rsidR="00D22BB5" w:rsidRPr="001854C5" w:rsidRDefault="00D22BB5" w:rsidP="00F52BD7">
      <w:pPr>
        <w:pStyle w:val="Title3LevelTitre3Niveau"/>
        <w:widowControl w:val="0"/>
        <w:rPr>
          <w:rFonts w:cs="Times New Roman"/>
          <w:lang w:val="en-US"/>
        </w:rPr>
      </w:pPr>
      <w:r w:rsidRPr="001854C5">
        <w:rPr>
          <w:rFonts w:cs="Times New Roman"/>
          <w:lang w:val="en-US"/>
        </w:rPr>
        <w:t>The Sentencing Judge’s Discretion to Impose a Fit Sentence Under Section 753(4.1)</w:t>
      </w:r>
    </w:p>
    <w:p w14:paraId="77D5DC6B" w14:textId="77777777" w:rsidR="00D22BB5" w:rsidRPr="001854C5" w:rsidRDefault="00D22BB5" w:rsidP="00F52BD7">
      <w:pPr>
        <w:pStyle w:val="ParaNoNdepar-AltN"/>
        <w:widowControl w:val="0"/>
        <w:tabs>
          <w:tab w:val="clear" w:pos="1152"/>
          <w:tab w:val="left" w:pos="1166"/>
        </w:tabs>
        <w:rPr>
          <w:rFonts w:cs="Times New Roman"/>
          <w:lang w:val="en-US"/>
        </w:rPr>
      </w:pPr>
      <w:r w:rsidRPr="001854C5">
        <w:rPr>
          <w:rFonts w:cs="Times New Roman"/>
          <w:lang w:val="en-US"/>
        </w:rPr>
        <w:t>This Court has consistently affirmed that dangerous offender proceedings are sentencing proceedings: </w:t>
      </w:r>
      <w:r w:rsidRPr="001854C5">
        <w:rPr>
          <w:rFonts w:cs="Times New Roman"/>
          <w:i/>
          <w:lang w:val="en-US"/>
        </w:rPr>
        <w:t>R. v.</w:t>
      </w:r>
      <w:r w:rsidRPr="001854C5">
        <w:rPr>
          <w:rFonts w:cs="Times New Roman"/>
          <w:lang w:val="en-US"/>
        </w:rPr>
        <w:t xml:space="preserve"> </w:t>
      </w:r>
      <w:r w:rsidRPr="001854C5">
        <w:rPr>
          <w:rFonts w:cs="Times New Roman"/>
          <w:i/>
          <w:lang w:val="en-US"/>
        </w:rPr>
        <w:t>Steele</w:t>
      </w:r>
      <w:r w:rsidRPr="001854C5">
        <w:rPr>
          <w:rFonts w:cs="Times New Roman"/>
          <w:lang w:val="en-US"/>
        </w:rPr>
        <w:t xml:space="preserve">, 2014 SCC 61, [2014] 3 S.C.R. 138, at para. 40; </w:t>
      </w:r>
      <w:r w:rsidRPr="001854C5">
        <w:rPr>
          <w:rFonts w:cs="Times New Roman"/>
          <w:i/>
          <w:iCs/>
          <w:lang w:val="en-US"/>
        </w:rPr>
        <w:t>Jones</w:t>
      </w:r>
      <w:r w:rsidRPr="001854C5">
        <w:rPr>
          <w:rFonts w:cs="Times New Roman"/>
          <w:lang w:val="en-US"/>
        </w:rPr>
        <w:t xml:space="preserve">, at pp. 279-80 and 294-95; </w:t>
      </w:r>
      <w:r w:rsidRPr="001854C5">
        <w:rPr>
          <w:rFonts w:cs="Times New Roman"/>
          <w:i/>
          <w:iCs/>
          <w:lang w:val="en-US"/>
        </w:rPr>
        <w:t>Lyons</w:t>
      </w:r>
      <w:r w:rsidRPr="001854C5">
        <w:rPr>
          <w:rFonts w:cs="Times New Roman"/>
          <w:lang w:val="en-US"/>
        </w:rPr>
        <w:t xml:space="preserve">, at p. 350. Accordingly, a sentencing judge in </w:t>
      </w:r>
      <w:r w:rsidRPr="001854C5">
        <w:rPr>
          <w:rFonts w:cs="Times New Roman"/>
          <w:lang w:val="en-US"/>
        </w:rPr>
        <w:lastRenderedPageBreak/>
        <w:t>a dangerous offender proceeding must apply the sentencing principles and mandatory guidelines outlined in</w:t>
      </w:r>
      <w:r>
        <w:rPr>
          <w:rFonts w:cs="Times New Roman"/>
          <w:lang w:val="en-US"/>
        </w:rPr>
        <w:t xml:space="preserve"> ss. </w:t>
      </w:r>
      <w:r w:rsidRPr="001854C5">
        <w:rPr>
          <w:rFonts w:cs="Times New Roman"/>
          <w:lang w:val="en-US"/>
        </w:rPr>
        <w:t xml:space="preserve">718 to 718.2: </w:t>
      </w:r>
      <w:r w:rsidRPr="001854C5">
        <w:rPr>
          <w:rFonts w:cs="Times New Roman"/>
          <w:i/>
          <w:lang w:val="en-US"/>
        </w:rPr>
        <w:t>R. v.</w:t>
      </w:r>
      <w:r w:rsidRPr="001854C5">
        <w:rPr>
          <w:rFonts w:cs="Times New Roman"/>
          <w:lang w:val="en-US"/>
        </w:rPr>
        <w:t xml:space="preserve"> </w:t>
      </w:r>
      <w:r w:rsidRPr="001854C5">
        <w:rPr>
          <w:rFonts w:cs="Times New Roman"/>
          <w:i/>
          <w:lang w:val="en-US"/>
        </w:rPr>
        <w:t>Johnson</w:t>
      </w:r>
      <w:r w:rsidRPr="001854C5">
        <w:rPr>
          <w:rFonts w:cs="Times New Roman"/>
          <w:lang w:val="en-US"/>
        </w:rPr>
        <w:t xml:space="preserve">, 2003 SCC 46, [2003] 2 S.C.R. 357, at para. 23; Neuberger, at </w:t>
      </w:r>
      <w:r>
        <w:rPr>
          <w:rFonts w:cs="Times New Roman"/>
          <w:lang w:val="en-US"/>
        </w:rPr>
        <w:t>p. </w:t>
      </w:r>
      <w:r w:rsidRPr="001854C5">
        <w:rPr>
          <w:rFonts w:cs="Times New Roman"/>
          <w:lang w:val="en-US"/>
        </w:rPr>
        <w:t xml:space="preserve">3-4. These sections of the </w:t>
      </w:r>
      <w:r w:rsidRPr="001854C5">
        <w:rPr>
          <w:rFonts w:cs="Times New Roman"/>
          <w:i/>
          <w:iCs/>
          <w:lang w:val="en-US"/>
        </w:rPr>
        <w:t>Criminal Code</w:t>
      </w:r>
      <w:r w:rsidRPr="001854C5">
        <w:rPr>
          <w:rFonts w:cs="Times New Roman"/>
          <w:lang w:val="en-US"/>
        </w:rPr>
        <w:t xml:space="preserve"> set out the purpose and objectives of sentencing (s. 718), the fundamental p</w:t>
      </w:r>
      <w:r>
        <w:rPr>
          <w:rFonts w:cs="Times New Roman"/>
          <w:lang w:val="en-US"/>
        </w:rPr>
        <w:t>rinciple of proportionality (s. </w:t>
      </w:r>
      <w:r w:rsidRPr="001854C5">
        <w:rPr>
          <w:rFonts w:cs="Times New Roman"/>
          <w:lang w:val="en-US"/>
        </w:rPr>
        <w:t>718.1) — </w:t>
      </w:r>
      <w:r w:rsidRPr="001854C5">
        <w:rPr>
          <w:rFonts w:cs="Times New Roman"/>
        </w:rPr>
        <w:t xml:space="preserve">“the </w:t>
      </w:r>
      <w:r w:rsidRPr="001854C5">
        <w:rPr>
          <w:rFonts w:cs="Times New Roman"/>
          <w:i/>
          <w:iCs/>
        </w:rPr>
        <w:t>sine qua non</w:t>
      </w:r>
      <w:r w:rsidRPr="001854C5">
        <w:rPr>
          <w:rFonts w:cs="Times New Roman"/>
        </w:rPr>
        <w:t xml:space="preserve"> of a just sanction” (</w:t>
      </w:r>
      <w:r w:rsidRPr="001854C5">
        <w:rPr>
          <w:rFonts w:cs="Times New Roman"/>
          <w:i/>
          <w:lang w:val="en-US"/>
        </w:rPr>
        <w:t>R. v. Ipeelee</w:t>
      </w:r>
      <w:r w:rsidRPr="001854C5">
        <w:rPr>
          <w:rFonts w:cs="Times New Roman"/>
          <w:lang w:val="en-US"/>
        </w:rPr>
        <w:t>, 2012 SCC 13, [2012] 1 S.C.R. 433</w:t>
      </w:r>
      <w:r w:rsidRPr="001854C5">
        <w:rPr>
          <w:rFonts w:cs="Times New Roman"/>
        </w:rPr>
        <w:t xml:space="preserve">, at </w:t>
      </w:r>
      <w:r>
        <w:rPr>
          <w:rFonts w:cs="Times New Roman"/>
        </w:rPr>
        <w:t>para. </w:t>
      </w:r>
      <w:r w:rsidRPr="001854C5">
        <w:rPr>
          <w:rFonts w:cs="Times New Roman"/>
        </w:rPr>
        <w:t>37) — and t</w:t>
      </w:r>
      <w:r w:rsidRPr="001854C5">
        <w:rPr>
          <w:rFonts w:cs="Times New Roman"/>
          <w:lang w:val="en-US"/>
        </w:rPr>
        <w:t xml:space="preserve">he other sentencing principles that a court “shall” consider before imposing </w:t>
      </w:r>
      <w:r>
        <w:rPr>
          <w:rFonts w:cs="Times New Roman"/>
          <w:lang w:val="en-US"/>
        </w:rPr>
        <w:t>any sentence on an offender (s. </w:t>
      </w:r>
      <w:r w:rsidRPr="001854C5">
        <w:rPr>
          <w:rFonts w:cs="Times New Roman"/>
          <w:lang w:val="en-US"/>
        </w:rPr>
        <w:t xml:space="preserve">718.2). An error in the application of these principles is reviewable by an appellate court: </w:t>
      </w:r>
      <w:r w:rsidRPr="001854C5">
        <w:rPr>
          <w:rFonts w:cs="Times New Roman"/>
          <w:i/>
          <w:lang w:val="en-US"/>
        </w:rPr>
        <w:t>R. v. Lacasse</w:t>
      </w:r>
      <w:r w:rsidRPr="001854C5">
        <w:rPr>
          <w:rFonts w:cs="Times New Roman"/>
          <w:lang w:val="en-US"/>
        </w:rPr>
        <w:t>, 2015 SCC 64, [2015] 3 S.C.R. 1089.</w:t>
      </w:r>
    </w:p>
    <w:p w14:paraId="6275FF1D" w14:textId="3754C673" w:rsidR="00D22BB5" w:rsidRPr="001854C5" w:rsidRDefault="00D22BB5" w:rsidP="00F52BD7">
      <w:pPr>
        <w:pStyle w:val="ParaNoNdepar-AltN"/>
        <w:widowControl w:val="0"/>
        <w:tabs>
          <w:tab w:val="clear" w:pos="1152"/>
          <w:tab w:val="left" w:pos="1166"/>
        </w:tabs>
        <w:rPr>
          <w:rFonts w:cs="Times New Roman"/>
          <w:lang w:val="en-US"/>
        </w:rPr>
      </w:pPr>
      <w:r w:rsidRPr="001854C5">
        <w:rPr>
          <w:rFonts w:eastAsia="Times New Roman" w:cs="Times New Roman"/>
          <w:szCs w:val="20"/>
          <w:lang w:eastAsia="en-CA"/>
        </w:rPr>
        <w:t xml:space="preserve">Mr. Boutilier’s position that, under the dangerous offender scheme, a sentencing judge lacks discretion to impose an appropriate sentence in light of the principles and objectives of sentencing has no support in the jurisprudence. </w:t>
      </w:r>
      <w:r w:rsidRPr="001854C5">
        <w:rPr>
          <w:rFonts w:cs="Times New Roman"/>
          <w:lang w:val="en-US"/>
        </w:rPr>
        <w:t>Appellate courts have continued to apply these principles under</w:t>
      </w:r>
      <w:r>
        <w:rPr>
          <w:rFonts w:cs="Times New Roman"/>
          <w:lang w:val="en-US"/>
        </w:rPr>
        <w:t xml:space="preserve"> s. </w:t>
      </w:r>
      <w:r w:rsidRPr="001854C5">
        <w:rPr>
          <w:rFonts w:cs="Times New Roman"/>
          <w:lang w:val="en-US"/>
        </w:rPr>
        <w:t xml:space="preserve">753 since the 2008 amendments: </w:t>
      </w:r>
      <w:r w:rsidRPr="001854C5">
        <w:rPr>
          <w:rFonts w:cs="Times New Roman"/>
          <w:i/>
          <w:lang w:val="en-US"/>
        </w:rPr>
        <w:t>R. v. Warawa</w:t>
      </w:r>
      <w:r w:rsidRPr="001854C5">
        <w:rPr>
          <w:rFonts w:cs="Times New Roman"/>
          <w:lang w:val="en-US"/>
        </w:rPr>
        <w:t xml:space="preserve">, 2011 ABCA 294, 278 C.C.C. (3d) 409, </w:t>
      </w:r>
      <w:r>
        <w:rPr>
          <w:rFonts w:cs="Times New Roman"/>
          <w:lang w:val="en-US"/>
        </w:rPr>
        <w:t>at para. </w:t>
      </w:r>
      <w:r w:rsidRPr="001854C5">
        <w:rPr>
          <w:rFonts w:cs="Times New Roman"/>
          <w:lang w:val="en-US"/>
        </w:rPr>
        <w:t xml:space="preserve">40; </w:t>
      </w:r>
      <w:r w:rsidRPr="001854C5">
        <w:rPr>
          <w:rFonts w:cs="Times New Roman"/>
          <w:i/>
          <w:lang w:val="en-US"/>
        </w:rPr>
        <w:t>R. v. Osborne</w:t>
      </w:r>
      <w:r w:rsidRPr="001854C5">
        <w:rPr>
          <w:rFonts w:cs="Times New Roman"/>
          <w:lang w:val="en-US"/>
        </w:rPr>
        <w:t>, 2014 MBCA 73, 314 C.C.C. (3d) 57,</w:t>
      </w:r>
      <w:r>
        <w:rPr>
          <w:rFonts w:cs="Times New Roman"/>
          <w:lang w:val="en-US"/>
        </w:rPr>
        <w:t xml:space="preserve"> at paras. </w:t>
      </w:r>
      <w:r w:rsidRPr="001854C5">
        <w:rPr>
          <w:rFonts w:cs="Times New Roman"/>
          <w:lang w:val="en-US"/>
        </w:rPr>
        <w:t xml:space="preserve">90-91; </w:t>
      </w:r>
      <w:r w:rsidRPr="001854C5">
        <w:rPr>
          <w:rFonts w:cs="Times New Roman"/>
          <w:i/>
          <w:lang w:val="en-US"/>
        </w:rPr>
        <w:t>R. v. Bragg</w:t>
      </w:r>
      <w:r w:rsidRPr="001854C5">
        <w:rPr>
          <w:rFonts w:cs="Times New Roman"/>
          <w:lang w:val="en-US"/>
        </w:rPr>
        <w:t xml:space="preserve">, 2015 BCCA 498, 332 C.C.C. (3d) 145, at para. 26; </w:t>
      </w:r>
      <w:r w:rsidRPr="001854C5">
        <w:rPr>
          <w:rFonts w:cs="Times New Roman"/>
          <w:i/>
          <w:lang w:val="en-US"/>
        </w:rPr>
        <w:t>R. v. Smarch</w:t>
      </w:r>
      <w:r w:rsidRPr="001854C5">
        <w:rPr>
          <w:rFonts w:cs="Times New Roman"/>
          <w:lang w:val="en-US"/>
        </w:rPr>
        <w:t xml:space="preserve">, 2015 YKCA 13, 374 B.C.A.C. 291, at paras. 46-47. These sentencing principles apply to every sentencing decision, whether made under the regular sentencing regime, the dangerous offender regime or the long-term offender regime. One example is provided by </w:t>
      </w:r>
      <w:r w:rsidRPr="001854C5">
        <w:rPr>
          <w:rFonts w:cs="Times New Roman"/>
          <w:i/>
          <w:lang w:val="en-US"/>
        </w:rPr>
        <w:t>Ipeelee</w:t>
      </w:r>
      <w:r w:rsidRPr="001854C5">
        <w:rPr>
          <w:rFonts w:cs="Times New Roman"/>
          <w:lang w:val="en-US"/>
        </w:rPr>
        <w:t>,</w:t>
      </w:r>
      <w:r w:rsidRPr="001854C5">
        <w:rPr>
          <w:rFonts w:cs="Times New Roman"/>
          <w:i/>
          <w:lang w:val="en-US"/>
        </w:rPr>
        <w:t xml:space="preserve"> </w:t>
      </w:r>
      <w:r w:rsidRPr="001854C5">
        <w:rPr>
          <w:rFonts w:cs="Times New Roman"/>
          <w:lang w:val="en-US"/>
        </w:rPr>
        <w:t>in which Manasie Ipeelee and Frank Ralph Ladue were sentenced under the long-term offender regime. Nevertheless, this Court reviewed the fitness of their sentence according to sentencing principles, and more specifically the principle in</w:t>
      </w:r>
      <w:r>
        <w:rPr>
          <w:rFonts w:cs="Times New Roman"/>
          <w:lang w:val="en-US"/>
        </w:rPr>
        <w:t xml:space="preserve"> s.</w:t>
      </w:r>
      <w:r>
        <w:rPr>
          <w:lang w:val="en-US"/>
        </w:rPr>
        <w:t> </w:t>
      </w:r>
      <w:r w:rsidRPr="001854C5">
        <w:rPr>
          <w:rFonts w:cs="Times New Roman"/>
          <w:lang w:val="en-US"/>
        </w:rPr>
        <w:t xml:space="preserve">718.2(e) requiring judges to pay attention to the circumstances of Aboriginal offenders in sentencing </w:t>
      </w:r>
      <w:r w:rsidRPr="001854C5">
        <w:rPr>
          <w:rFonts w:cs="Times New Roman"/>
          <w:lang w:val="en-US"/>
        </w:rPr>
        <w:lastRenderedPageBreak/>
        <w:t xml:space="preserve">proceedings: see </w:t>
      </w:r>
      <w:r w:rsidRPr="001854C5">
        <w:rPr>
          <w:rFonts w:cs="Times New Roman"/>
          <w:i/>
          <w:lang w:val="en-US"/>
        </w:rPr>
        <w:t>R. v. Gladue</w:t>
      </w:r>
      <w:r w:rsidRPr="001854C5">
        <w:rPr>
          <w:rFonts w:cs="Times New Roman"/>
          <w:lang w:val="en-US"/>
        </w:rPr>
        <w:t>, [1999] 1 S.C.R. 688.</w:t>
      </w:r>
    </w:p>
    <w:p w14:paraId="63C8DA51" w14:textId="77777777" w:rsidR="00D22BB5" w:rsidRPr="001854C5" w:rsidRDefault="00D22BB5" w:rsidP="00F52BD7">
      <w:pPr>
        <w:pStyle w:val="ParaNoNdepar-AltN"/>
        <w:widowControl w:val="0"/>
        <w:tabs>
          <w:tab w:val="clear" w:pos="1152"/>
          <w:tab w:val="left" w:pos="1166"/>
        </w:tabs>
        <w:rPr>
          <w:rFonts w:cs="Times New Roman"/>
          <w:lang w:val="en-US"/>
        </w:rPr>
      </w:pPr>
      <w:r w:rsidRPr="001854C5">
        <w:rPr>
          <w:rFonts w:eastAsia="Times New Roman" w:cs="Times New Roman"/>
          <w:szCs w:val="20"/>
          <w:lang w:eastAsia="en-CA"/>
        </w:rPr>
        <w:t xml:space="preserve">Mr. Boutilier’s contention is also not supported by the principles underlying indeterminate detention. </w:t>
      </w:r>
      <w:r w:rsidRPr="001854C5">
        <w:rPr>
          <w:rFonts w:cs="Times New Roman"/>
        </w:rPr>
        <w:t xml:space="preserve">This exceptional sentence is not an exception to the principles of sentencing, but rather a sentence mandated by their proper application. </w:t>
      </w:r>
      <w:r w:rsidRPr="001854C5">
        <w:rPr>
          <w:rFonts w:cs="Times New Roman"/>
          <w:lang w:val="en-US"/>
        </w:rPr>
        <w:t xml:space="preserve">As </w:t>
      </w:r>
      <w:r w:rsidRPr="001854C5">
        <w:rPr>
          <w:rFonts w:cs="Times New Roman"/>
        </w:rPr>
        <w:t>La</w:t>
      </w:r>
      <w:r>
        <w:rPr>
          <w:rFonts w:cs="Times New Roman"/>
        </w:rPr>
        <w:t> Forest </w:t>
      </w:r>
      <w:r w:rsidRPr="001854C5">
        <w:rPr>
          <w:rFonts w:cs="Times New Roman"/>
        </w:rPr>
        <w:t xml:space="preserve">J. explained in </w:t>
      </w:r>
      <w:r w:rsidRPr="001854C5">
        <w:rPr>
          <w:rFonts w:cs="Times New Roman"/>
          <w:i/>
          <w:iCs/>
        </w:rPr>
        <w:t>Lyons</w:t>
      </w:r>
      <w:r w:rsidRPr="001854C5">
        <w:rPr>
          <w:rFonts w:cs="Times New Roman"/>
        </w:rPr>
        <w:t>,</w:t>
      </w:r>
      <w:r w:rsidRPr="001854C5">
        <w:rPr>
          <w:rFonts w:cs="Times New Roman"/>
          <w:i/>
          <w:iCs/>
        </w:rPr>
        <w:t xml:space="preserve"> </w:t>
      </w:r>
      <w:r w:rsidRPr="001854C5">
        <w:rPr>
          <w:rFonts w:cs="Times New Roman"/>
        </w:rPr>
        <w:t>preventive detention “represents a judgment that the relative importance of the objectives of rehabilitation, deterrence and retribution are greatly attenuated in the circumstances of the individual case, and that of prevention, correspondingly increased”:</w:t>
      </w:r>
      <w:r>
        <w:rPr>
          <w:rFonts w:cs="Times New Roman"/>
        </w:rPr>
        <w:t xml:space="preserve"> p. </w:t>
      </w:r>
      <w:r w:rsidRPr="001854C5">
        <w:rPr>
          <w:rFonts w:cs="Times New Roman"/>
        </w:rPr>
        <w:t>329. To conclude that the objectives of rehabilitation and retribution are trumped by that of prevention in a given case, the sentencing judge must assess the relative importance of the sentencing objectives in that particular case.</w:t>
      </w:r>
    </w:p>
    <w:p w14:paraId="2B6C4D03" w14:textId="77777777" w:rsidR="00D22BB5" w:rsidRPr="001854C5" w:rsidRDefault="00D22BB5" w:rsidP="00F52BD7">
      <w:pPr>
        <w:pStyle w:val="ParaNoNdepar-AltN"/>
        <w:widowControl w:val="0"/>
        <w:tabs>
          <w:tab w:val="clear" w:pos="1152"/>
          <w:tab w:val="left" w:pos="1166"/>
        </w:tabs>
        <w:rPr>
          <w:rFonts w:cs="Times New Roman"/>
          <w:szCs w:val="24"/>
          <w:lang w:val="en-US"/>
        </w:rPr>
      </w:pPr>
      <w:r w:rsidRPr="001854C5">
        <w:rPr>
          <w:rFonts w:cs="Times New Roman"/>
          <w:lang w:val="en-US"/>
        </w:rPr>
        <w:t>Mr. Boutilier contends that, by referring solely to the objective of public protection, the wording of</w:t>
      </w:r>
      <w:r>
        <w:rPr>
          <w:rFonts w:cs="Times New Roman"/>
          <w:lang w:val="en-US"/>
        </w:rPr>
        <w:t xml:space="preserve"> s. </w:t>
      </w:r>
      <w:r w:rsidRPr="001854C5">
        <w:rPr>
          <w:rFonts w:cs="Times New Roman"/>
          <w:lang w:val="en-US"/>
        </w:rPr>
        <w:t xml:space="preserve">753(4.1) excludes other sentencing objectives and principles from the sentencing judge’s discretion. In my view, a fair reading of s. 753(4.1) does not result in the exclusion of these principles. </w:t>
      </w:r>
      <w:r w:rsidRPr="001854C5">
        <w:rPr>
          <w:rFonts w:cs="Times New Roman"/>
        </w:rPr>
        <w:t>Parliament is entitled to decide that protection of the public is an enhanced sentencing objective for individuals who have been designated as dangerous. This does not mean that this objective operates to the exclusion of all others.</w:t>
      </w:r>
      <w:r w:rsidRPr="001854C5">
        <w:rPr>
          <w:rFonts w:cs="Times New Roman"/>
          <w:lang w:val="en-US"/>
        </w:rPr>
        <w:t xml:space="preserve"> I</w:t>
      </w:r>
      <w:r w:rsidRPr="001854C5">
        <w:rPr>
          <w:rFonts w:cs="Times New Roman"/>
        </w:rPr>
        <w:t>t is permissible for Parliament to guide the courts to emphasize certain sentencing principles in certain circumstances without curtailing their ability to look at the whole picture.</w:t>
      </w:r>
      <w:r w:rsidRPr="001854C5">
        <w:rPr>
          <w:rFonts w:cs="Times New Roman"/>
          <w:szCs w:val="24"/>
          <w:lang w:val="en-US"/>
        </w:rPr>
        <w:t xml:space="preserve"> </w:t>
      </w:r>
      <w:r w:rsidRPr="001854C5">
        <w:rPr>
          <w:rFonts w:cs="Times New Roman"/>
        </w:rPr>
        <w:t xml:space="preserve">Emphasis on the public safety component is consistent with the fact that public protection is the general purpose of Part XXIV of the </w:t>
      </w:r>
      <w:r w:rsidRPr="001854C5">
        <w:rPr>
          <w:rFonts w:cs="Times New Roman"/>
          <w:i/>
        </w:rPr>
        <w:t>Code</w:t>
      </w:r>
      <w:r w:rsidRPr="001854C5">
        <w:rPr>
          <w:rFonts w:cs="Times New Roman"/>
        </w:rPr>
        <w:t xml:space="preserve">: </w:t>
      </w:r>
      <w:r w:rsidRPr="001854C5">
        <w:rPr>
          <w:rFonts w:cs="Times New Roman"/>
          <w:i/>
        </w:rPr>
        <w:t>Steele</w:t>
      </w:r>
      <w:r w:rsidRPr="001854C5">
        <w:rPr>
          <w:rFonts w:cs="Times New Roman"/>
        </w:rPr>
        <w:t xml:space="preserve">, at </w:t>
      </w:r>
      <w:r>
        <w:rPr>
          <w:rFonts w:cs="Times New Roman"/>
        </w:rPr>
        <w:t>para. </w:t>
      </w:r>
      <w:r w:rsidRPr="001854C5">
        <w:rPr>
          <w:rFonts w:cs="Times New Roman"/>
        </w:rPr>
        <w:t xml:space="preserve">27. Further, because the enhanced objective of public safety </w:t>
      </w:r>
      <w:r w:rsidRPr="001854C5">
        <w:rPr>
          <w:rFonts w:cs="Times New Roman"/>
        </w:rPr>
        <w:lastRenderedPageBreak/>
        <w:t>parallels the justification for imposing an indeterminate detention, such emphasis is also consistent with the principles of sentencing generally.</w:t>
      </w:r>
    </w:p>
    <w:p w14:paraId="74D34208" w14:textId="77777777" w:rsidR="00D22BB5" w:rsidRPr="001854C5" w:rsidRDefault="00D22BB5" w:rsidP="00F52BD7">
      <w:pPr>
        <w:pStyle w:val="ParaNoNdepar-AltN"/>
        <w:widowControl w:val="0"/>
        <w:tabs>
          <w:tab w:val="clear" w:pos="1152"/>
          <w:tab w:val="left" w:pos="1166"/>
        </w:tabs>
        <w:rPr>
          <w:rFonts w:cs="Times New Roman"/>
          <w:szCs w:val="24"/>
          <w:lang w:val="en-US"/>
        </w:rPr>
      </w:pPr>
      <w:r w:rsidRPr="001854C5">
        <w:rPr>
          <w:rFonts w:cs="Times New Roman"/>
        </w:rPr>
        <w:t xml:space="preserve">It follows that, if the goal of public protection could be achieved in a given case without imposing indeterminate detention, a dangerous offender provision requiring a sentencing judge to declare an offender dangerous and then sentence him or her to an indeterminate period of detention would </w:t>
      </w:r>
      <w:r w:rsidRPr="001854C5">
        <w:rPr>
          <w:rFonts w:cs="Times New Roman"/>
          <w:szCs w:val="24"/>
          <w:lang w:val="en-US"/>
        </w:rPr>
        <w:t>“</w:t>
      </w:r>
      <w:r w:rsidRPr="001854C5">
        <w:rPr>
          <w:rFonts w:cs="Times New Roman"/>
        </w:rPr>
        <w:t xml:space="preserve">overshoot the public protection purpose of the dangerous offender regime”: </w:t>
      </w:r>
      <w:r w:rsidRPr="001854C5">
        <w:rPr>
          <w:rFonts w:cs="Times New Roman"/>
          <w:i/>
        </w:rPr>
        <w:t>Johnson</w:t>
      </w:r>
      <w:r>
        <w:rPr>
          <w:rFonts w:cs="Times New Roman"/>
        </w:rPr>
        <w:t>, at para. </w:t>
      </w:r>
      <w:r w:rsidRPr="001854C5">
        <w:rPr>
          <w:rFonts w:cs="Times New Roman"/>
        </w:rPr>
        <w:t>20.</w:t>
      </w:r>
      <w:r w:rsidRPr="001854C5">
        <w:rPr>
          <w:rFonts w:cs="Times New Roman"/>
          <w:lang w:val="en-US"/>
        </w:rPr>
        <w:t xml:space="preserve"> This accords with the principle in</w:t>
      </w:r>
      <w:r>
        <w:rPr>
          <w:rFonts w:cs="Times New Roman"/>
          <w:lang w:val="en-US"/>
        </w:rPr>
        <w:t xml:space="preserve"> s. </w:t>
      </w:r>
      <w:r w:rsidRPr="001854C5">
        <w:rPr>
          <w:rFonts w:cs="Times New Roman"/>
          <w:lang w:val="en-US"/>
        </w:rPr>
        <w:t xml:space="preserve">718.2(d) that </w:t>
      </w:r>
      <w:r w:rsidRPr="001854C5">
        <w:rPr>
          <w:rFonts w:cs="Times New Roman"/>
          <w:szCs w:val="24"/>
          <w:lang w:val="en-US"/>
        </w:rPr>
        <w:t>“</w:t>
      </w:r>
      <w:r w:rsidRPr="001854C5">
        <w:rPr>
          <w:rFonts w:cs="Times New Roman"/>
          <w:szCs w:val="24"/>
        </w:rPr>
        <w:t xml:space="preserve">an offender should not be deprived of liberty, if less restrictive sanctions may be appropriate in the circumstances”. </w:t>
      </w:r>
      <w:r w:rsidRPr="001854C5">
        <w:rPr>
          <w:rFonts w:cs="Times New Roman"/>
          <w:lang w:val="en-US"/>
        </w:rPr>
        <w:t xml:space="preserve">Even though the current sentencing mechanism for dangerous offenders differs from the one in place when </w:t>
      </w:r>
      <w:r w:rsidRPr="001854C5">
        <w:rPr>
          <w:rFonts w:cs="Times New Roman"/>
          <w:i/>
          <w:lang w:val="en-US"/>
        </w:rPr>
        <w:t xml:space="preserve">Johnson </w:t>
      </w:r>
      <w:r w:rsidRPr="001854C5">
        <w:rPr>
          <w:rFonts w:cs="Times New Roman"/>
          <w:lang w:val="en-US"/>
        </w:rPr>
        <w:t xml:space="preserve">was decided, the Court’s reasoning in </w:t>
      </w:r>
      <w:r w:rsidRPr="001854C5">
        <w:rPr>
          <w:rFonts w:cs="Times New Roman"/>
          <w:i/>
          <w:lang w:val="en-US"/>
        </w:rPr>
        <w:t>Johnson</w:t>
      </w:r>
      <w:r w:rsidRPr="001854C5">
        <w:rPr>
          <w:rFonts w:cs="Times New Roman"/>
          <w:lang w:val="en-US"/>
        </w:rPr>
        <w:t xml:space="preserve"> is still applicable. Let me explain.</w:t>
      </w:r>
    </w:p>
    <w:p w14:paraId="679913DB" w14:textId="77777777" w:rsidR="00D22BB5" w:rsidRPr="001854C5" w:rsidRDefault="00D22BB5" w:rsidP="00F52BD7">
      <w:pPr>
        <w:pStyle w:val="ParaNoNdepar-AltN"/>
        <w:widowControl w:val="0"/>
        <w:tabs>
          <w:tab w:val="clear" w:pos="1152"/>
          <w:tab w:val="left" w:pos="1166"/>
        </w:tabs>
        <w:rPr>
          <w:rFonts w:cs="Times New Roman"/>
          <w:szCs w:val="24"/>
          <w:lang w:val="en-US"/>
        </w:rPr>
      </w:pPr>
      <w:r w:rsidRPr="001854C5">
        <w:rPr>
          <w:rFonts w:cs="Times New Roman"/>
          <w:lang w:val="en-US"/>
        </w:rPr>
        <w:t>Since the 2008 amendments, indeterminate detention is no longer automatic for a dangerous offender. Rather, this sentence is only one option among others available</w:t>
      </w:r>
      <w:r w:rsidRPr="001854C5">
        <w:rPr>
          <w:rFonts w:cs="Times New Roman"/>
          <w:szCs w:val="24"/>
          <w:lang w:val="en-US"/>
        </w:rPr>
        <w:t xml:space="preserve"> under </w:t>
      </w:r>
      <w:r>
        <w:rPr>
          <w:rFonts w:cs="Times New Roman"/>
          <w:lang w:val="en-US"/>
        </w:rPr>
        <w:t>s. </w:t>
      </w:r>
      <w:r w:rsidRPr="001854C5">
        <w:rPr>
          <w:rFonts w:cs="Times New Roman"/>
          <w:lang w:val="en-US"/>
        </w:rPr>
        <w:t>753(4).</w:t>
      </w:r>
      <w:r w:rsidRPr="001854C5">
        <w:rPr>
          <w:rFonts w:cs="Times New Roman"/>
          <w:szCs w:val="24"/>
          <w:lang w:val="en-US"/>
        </w:rPr>
        <w:t xml:space="preserve"> </w:t>
      </w:r>
      <w:r w:rsidRPr="001854C5">
        <w:rPr>
          <w:rFonts w:cs="Times New Roman"/>
        </w:rPr>
        <w:t xml:space="preserve">In lieu of an indeterminate detention, a judge may impose a sentence that is more proportionate to the predicate offence for which the offender is being sentenced, whether it is imprisonment for a minimum of two years followed by long-term supervision — which amounts to a long-term offender sentence — or </w:t>
      </w:r>
      <w:r w:rsidRPr="001854C5">
        <w:rPr>
          <w:rFonts w:cs="Times New Roman"/>
          <w:lang w:val="en-US"/>
        </w:rPr>
        <w:t xml:space="preserve">a sentence under the regular sentencing regime. The sentencing alternatives listed in s. 753(4) therefore encompass the entire spectrum of sentences contemplated by the </w:t>
      </w:r>
      <w:r w:rsidRPr="001854C5">
        <w:rPr>
          <w:rFonts w:cs="Times New Roman"/>
          <w:i/>
          <w:lang w:val="en-US"/>
        </w:rPr>
        <w:t>Criminal Code</w:t>
      </w:r>
      <w:r w:rsidRPr="001854C5">
        <w:rPr>
          <w:rFonts w:cs="Times New Roman"/>
          <w:lang w:val="en-US"/>
        </w:rPr>
        <w:t>.</w:t>
      </w:r>
    </w:p>
    <w:p w14:paraId="769BA893" w14:textId="77777777" w:rsidR="00D22BB5" w:rsidRPr="001854C5" w:rsidRDefault="00D22BB5" w:rsidP="00F52BD7">
      <w:pPr>
        <w:pStyle w:val="ParaNoNdepar-AltN"/>
        <w:widowControl w:val="0"/>
        <w:tabs>
          <w:tab w:val="clear" w:pos="1152"/>
          <w:tab w:val="left" w:pos="1166"/>
        </w:tabs>
        <w:rPr>
          <w:rFonts w:cs="Times New Roman"/>
          <w:szCs w:val="24"/>
          <w:lang w:val="en-US"/>
        </w:rPr>
      </w:pPr>
      <w:r w:rsidRPr="001854C5">
        <w:rPr>
          <w:rFonts w:cs="Times New Roman"/>
          <w:lang w:val="en-US"/>
        </w:rPr>
        <w:lastRenderedPageBreak/>
        <w:t xml:space="preserve">When </w:t>
      </w:r>
      <w:r w:rsidRPr="001854C5">
        <w:rPr>
          <w:rFonts w:cs="Times New Roman"/>
          <w:i/>
          <w:iCs/>
          <w:lang w:val="en-US"/>
        </w:rPr>
        <w:t>Johnson</w:t>
      </w:r>
      <w:r w:rsidRPr="001854C5">
        <w:rPr>
          <w:rFonts w:cs="Times New Roman"/>
          <w:lang w:val="en-US"/>
        </w:rPr>
        <w:t xml:space="preserve"> was decided, indeterminate detention was the only sentence available for dangerous offenders under </w:t>
      </w:r>
      <w:r>
        <w:rPr>
          <w:rFonts w:cs="Times New Roman"/>
          <w:lang w:val="en-US"/>
        </w:rPr>
        <w:t>s. </w:t>
      </w:r>
      <w:r w:rsidRPr="001854C5">
        <w:rPr>
          <w:rFonts w:cs="Times New Roman"/>
          <w:lang w:val="en-US"/>
        </w:rPr>
        <w:t xml:space="preserve">753. Nonetheless, this Court did not interpret this provision as requiring indeterminate detention for every designated offender. It refused to do so because this would have been “in direct conflict with the underlying principle that the sentence must be appropriate in the circumstances of the individual case”: </w:t>
      </w:r>
      <w:r w:rsidRPr="001854C5">
        <w:rPr>
          <w:rFonts w:cs="Times New Roman"/>
          <w:i/>
          <w:lang w:val="en-US"/>
        </w:rPr>
        <w:t>Johnson</w:t>
      </w:r>
      <w:r w:rsidRPr="001854C5">
        <w:rPr>
          <w:rFonts w:cs="Times New Roman"/>
          <w:lang w:val="en-US"/>
        </w:rPr>
        <w:t xml:space="preserve">, at </w:t>
      </w:r>
      <w:r>
        <w:rPr>
          <w:rFonts w:cs="Times New Roman"/>
          <w:lang w:val="en-US"/>
        </w:rPr>
        <w:t>para. </w:t>
      </w:r>
      <w:r w:rsidRPr="001854C5">
        <w:rPr>
          <w:rFonts w:cs="Times New Roman"/>
          <w:lang w:val="en-US"/>
        </w:rPr>
        <w:t>24.</w:t>
      </w:r>
      <w:r w:rsidRPr="001854C5">
        <w:rPr>
          <w:rFonts w:cs="Times New Roman"/>
          <w:szCs w:val="24"/>
          <w:lang w:val="en-US"/>
        </w:rPr>
        <w:t xml:space="preserve"> </w:t>
      </w:r>
    </w:p>
    <w:p w14:paraId="4C9EFE72" w14:textId="77777777" w:rsidR="00D22BB5" w:rsidRPr="001854C5" w:rsidRDefault="00D22BB5" w:rsidP="00F52BD7">
      <w:pPr>
        <w:pStyle w:val="ParaNoNdepar-AltN"/>
        <w:widowControl w:val="0"/>
        <w:tabs>
          <w:tab w:val="clear" w:pos="1152"/>
          <w:tab w:val="left" w:pos="1166"/>
        </w:tabs>
        <w:rPr>
          <w:rFonts w:cs="Times New Roman"/>
          <w:szCs w:val="24"/>
          <w:lang w:val="en-US"/>
        </w:rPr>
      </w:pPr>
      <w:r w:rsidRPr="001854C5">
        <w:rPr>
          <w:rFonts w:cs="Times New Roman"/>
          <w:lang w:val="en-US"/>
        </w:rPr>
        <w:t xml:space="preserve">Section 753(4) and (4.1) should therefore be read as a codification of </w:t>
      </w:r>
      <w:r w:rsidRPr="001854C5">
        <w:rPr>
          <w:rFonts w:cs="Times New Roman"/>
          <w:i/>
          <w:lang w:val="en-US"/>
        </w:rPr>
        <w:t>Johnson</w:t>
      </w:r>
      <w:r w:rsidRPr="001854C5">
        <w:rPr>
          <w:rFonts w:cs="Times New Roman"/>
          <w:lang w:val="en-US"/>
        </w:rPr>
        <w:t xml:space="preserve">: the first subsection lists the alternatives available to a sentencing judge, while the second codifies the exercise of the sentencing judge’s discretion required by </w:t>
      </w:r>
      <w:r w:rsidRPr="001854C5">
        <w:rPr>
          <w:rFonts w:cs="Times New Roman"/>
          <w:i/>
          <w:lang w:val="en-US"/>
        </w:rPr>
        <w:t>Johnson</w:t>
      </w:r>
      <w:r w:rsidRPr="001854C5">
        <w:rPr>
          <w:rFonts w:cs="Times New Roman"/>
          <w:lang w:val="en-US"/>
        </w:rPr>
        <w:t>. In order to properly exercise</w:t>
      </w:r>
      <w:r>
        <w:rPr>
          <w:rFonts w:cs="Times New Roman"/>
          <w:lang w:val="en-US"/>
        </w:rPr>
        <w:t xml:space="preserve"> his or her discretion under s. </w:t>
      </w:r>
      <w:r w:rsidRPr="001854C5">
        <w:rPr>
          <w:rFonts w:cs="Times New Roman"/>
          <w:lang w:val="en-US"/>
        </w:rPr>
        <w:t xml:space="preserve">753(4), the sentencing judge must impose the least intrusive sentence required to achieve the primary purpose of the scheme. </w:t>
      </w:r>
    </w:p>
    <w:p w14:paraId="0A943CC0" w14:textId="77777777" w:rsidR="00D22BB5" w:rsidRPr="001854C5" w:rsidRDefault="00D22BB5" w:rsidP="00F52BD7">
      <w:pPr>
        <w:pStyle w:val="ParaNoNdepar-AltN"/>
        <w:widowControl w:val="0"/>
        <w:tabs>
          <w:tab w:val="clear" w:pos="1152"/>
          <w:tab w:val="left" w:pos="1166"/>
        </w:tabs>
        <w:rPr>
          <w:rFonts w:cs="Times New Roman"/>
          <w:szCs w:val="24"/>
          <w:lang w:val="en-US"/>
        </w:rPr>
      </w:pPr>
      <w:r w:rsidRPr="001854C5">
        <w:rPr>
          <w:rFonts w:cs="Times New Roman"/>
          <w:lang w:val="en-US"/>
        </w:rPr>
        <w:t>Against this backdrop, it would strain credulity to suggest that the principles enumerated in ss</w:t>
      </w:r>
      <w:r>
        <w:rPr>
          <w:rFonts w:cs="Times New Roman"/>
          <w:lang w:val="en-US"/>
        </w:rPr>
        <w:t>. </w:t>
      </w:r>
      <w:r w:rsidRPr="001854C5">
        <w:rPr>
          <w:rFonts w:cs="Times New Roman"/>
          <w:lang w:val="en-US"/>
        </w:rPr>
        <w:t>718 to 718.2 are irrelevant to the exercise of the sentencing judge’s newly codified discretion in</w:t>
      </w:r>
      <w:r>
        <w:rPr>
          <w:rFonts w:cs="Times New Roman"/>
          <w:lang w:val="en-US"/>
        </w:rPr>
        <w:t xml:space="preserve"> s. </w:t>
      </w:r>
      <w:r w:rsidRPr="001854C5">
        <w:rPr>
          <w:rFonts w:cs="Times New Roman"/>
          <w:lang w:val="en-US"/>
        </w:rPr>
        <w:t xml:space="preserve">753(4) and (4.1) when they were relevant even under the former scheme, which imposed </w:t>
      </w:r>
      <w:r w:rsidRPr="001854C5">
        <w:rPr>
          <w:rFonts w:cs="Times New Roman"/>
          <w:iCs/>
          <w:lang w:val="en-US"/>
        </w:rPr>
        <w:t>automatic indeterminate detention for every dangerous offender</w:t>
      </w:r>
      <w:r w:rsidRPr="001854C5">
        <w:rPr>
          <w:rFonts w:cs="Times New Roman"/>
          <w:lang w:val="en-US"/>
        </w:rPr>
        <w:t>.</w:t>
      </w:r>
      <w:r w:rsidRPr="001854C5">
        <w:rPr>
          <w:rFonts w:cs="Times New Roman"/>
          <w:szCs w:val="24"/>
          <w:lang w:val="en-US"/>
        </w:rPr>
        <w:t xml:space="preserve"> </w:t>
      </w:r>
      <w:r w:rsidRPr="001854C5">
        <w:rPr>
          <w:rFonts w:cs="Times New Roman"/>
          <w:lang w:val="en-US"/>
        </w:rPr>
        <w:t xml:space="preserve">The 2008 amendments replaced mandatory indeterminate detention with a codification of the principle that a sentencing judge must impose a sentence that is tailored to the specific offender and consistent with the principles of sentencing. When considered in its historical context, the current </w:t>
      </w:r>
      <w:r>
        <w:rPr>
          <w:rFonts w:cs="Times New Roman"/>
          <w:lang w:val="en-US"/>
        </w:rPr>
        <w:t>s. </w:t>
      </w:r>
      <w:r w:rsidRPr="001854C5">
        <w:rPr>
          <w:rFonts w:cs="Times New Roman"/>
          <w:lang w:val="en-US"/>
        </w:rPr>
        <w:t xml:space="preserve">753(4.1) confers a discretion to apply general sentencing principles more explicitly than the former scheme did. It does so for the benefit of the offender, who </w:t>
      </w:r>
      <w:r w:rsidRPr="001854C5">
        <w:rPr>
          <w:rFonts w:cs="Times New Roman"/>
          <w:spacing w:val="-3"/>
        </w:rPr>
        <w:t xml:space="preserve">cannot complain of a </w:t>
      </w:r>
      <w:r w:rsidRPr="001854C5">
        <w:rPr>
          <w:rFonts w:cs="Times New Roman"/>
          <w:spacing w:val="-3"/>
        </w:rPr>
        <w:lastRenderedPageBreak/>
        <w:t xml:space="preserve">discretion that can only operate to his or her benefit: see </w:t>
      </w:r>
      <w:r w:rsidRPr="001854C5">
        <w:rPr>
          <w:rFonts w:cs="Times New Roman"/>
          <w:i/>
          <w:spacing w:val="-3"/>
        </w:rPr>
        <w:t>Lyons</w:t>
      </w:r>
      <w:r w:rsidRPr="001854C5">
        <w:rPr>
          <w:rFonts w:cs="Times New Roman"/>
          <w:spacing w:val="-3"/>
        </w:rPr>
        <w:t>, at p</w:t>
      </w:r>
      <w:r>
        <w:rPr>
          <w:rFonts w:cs="Times New Roman"/>
          <w:spacing w:val="-3"/>
        </w:rPr>
        <w:t>p. </w:t>
      </w:r>
      <w:r w:rsidRPr="001854C5">
        <w:rPr>
          <w:rFonts w:cs="Times New Roman"/>
          <w:spacing w:val="-3"/>
        </w:rPr>
        <w:t>348-49.</w:t>
      </w:r>
    </w:p>
    <w:p w14:paraId="73EB435A" w14:textId="77777777" w:rsidR="00D22BB5" w:rsidRPr="001854C5" w:rsidRDefault="00D22BB5" w:rsidP="00F52BD7">
      <w:pPr>
        <w:pStyle w:val="ParaNoNdepar-AltN"/>
        <w:widowControl w:val="0"/>
        <w:tabs>
          <w:tab w:val="clear" w:pos="1152"/>
          <w:tab w:val="left" w:pos="1166"/>
        </w:tabs>
        <w:rPr>
          <w:rFonts w:cs="Times New Roman"/>
          <w:szCs w:val="24"/>
          <w:lang w:val="en-US"/>
        </w:rPr>
      </w:pPr>
      <w:r w:rsidRPr="001854C5">
        <w:rPr>
          <w:rFonts w:cs="Times New Roman"/>
          <w:lang w:val="en-US"/>
        </w:rPr>
        <w:t>Further, n</w:t>
      </w:r>
      <w:r>
        <w:rPr>
          <w:rFonts w:cs="Times New Roman"/>
          <w:lang w:val="en-US"/>
        </w:rPr>
        <w:t>othing in the wording of s. </w:t>
      </w:r>
      <w:r w:rsidRPr="001854C5">
        <w:rPr>
          <w:rFonts w:cs="Times New Roman"/>
          <w:lang w:val="en-US"/>
        </w:rPr>
        <w:t>753(4.1) removes the obligation incumbent on a sentencing judge to consider all sentencing principles in order to choose a sentence that is fit for a specific offender.</w:t>
      </w:r>
      <w:r w:rsidRPr="001854C5">
        <w:rPr>
          <w:rFonts w:cs="Times New Roman"/>
          <w:szCs w:val="24"/>
          <w:lang w:val="en-US"/>
        </w:rPr>
        <w:t xml:space="preserve"> </w:t>
      </w:r>
    </w:p>
    <w:p w14:paraId="2383B6FA" w14:textId="77777777" w:rsidR="00D22BB5" w:rsidRPr="001854C5" w:rsidRDefault="00D22BB5" w:rsidP="00F52BD7">
      <w:pPr>
        <w:pStyle w:val="ParaNoNdepar-AltN"/>
        <w:widowControl w:val="0"/>
        <w:tabs>
          <w:tab w:val="clear" w:pos="1152"/>
          <w:tab w:val="left" w:pos="1166"/>
        </w:tabs>
        <w:rPr>
          <w:rFonts w:cs="Times New Roman"/>
          <w:szCs w:val="24"/>
          <w:lang w:val="en-US"/>
        </w:rPr>
      </w:pPr>
      <w:r w:rsidRPr="001854C5">
        <w:rPr>
          <w:rFonts w:cs="Times New Roman"/>
          <w:lang w:val="en-US"/>
        </w:rPr>
        <w:t xml:space="preserve">For all these reasons, an offender’s moral culpability, the seriousness of the offence, mitigating factors, and principles developed for Indigenous offenders are each part of the sentencing process under the dangerous offender scheme. Each of these considerations is relevant to deciding whether or not a lesser sentence would sufficiently protect the public. Mr. Boutilier’s suggestion </w:t>
      </w:r>
      <w:r w:rsidRPr="001854C5">
        <w:rPr>
          <w:rFonts w:cs="Times New Roman"/>
        </w:rPr>
        <w:t xml:space="preserve">to the contrary has been repeatedly rejected by this Court in relation to any of the </w:t>
      </w:r>
      <w:r w:rsidRPr="001854C5">
        <w:rPr>
          <w:rFonts w:cs="Times New Roman"/>
          <w:i/>
        </w:rPr>
        <w:t>Criminal Code</w:t>
      </w:r>
      <w:r w:rsidRPr="001854C5">
        <w:rPr>
          <w:rFonts w:cs="Times New Roman"/>
        </w:rPr>
        <w:t xml:space="preserve">’s sentencing regimes and, in effect, seeks to read </w:t>
      </w:r>
      <w:r>
        <w:rPr>
          <w:rFonts w:cs="Times New Roman"/>
        </w:rPr>
        <w:t>a prohibition into s. </w:t>
      </w:r>
      <w:r w:rsidRPr="001854C5">
        <w:rPr>
          <w:rFonts w:cs="Times New Roman"/>
        </w:rPr>
        <w:t>753(4.1) where none exists.</w:t>
      </w:r>
    </w:p>
    <w:p w14:paraId="0F0F6239" w14:textId="77777777" w:rsidR="00D22BB5" w:rsidRPr="001854C5" w:rsidRDefault="00D22BB5" w:rsidP="00F52BD7">
      <w:pPr>
        <w:pStyle w:val="Title3LevelTitre3Niveau"/>
        <w:widowControl w:val="0"/>
        <w:rPr>
          <w:rFonts w:cs="Times New Roman"/>
          <w:szCs w:val="24"/>
          <w:lang w:val="en-US"/>
        </w:rPr>
      </w:pPr>
      <w:r w:rsidRPr="001854C5">
        <w:rPr>
          <w:rFonts w:cs="Times New Roman"/>
          <w:lang w:val="en-US"/>
        </w:rPr>
        <w:t>The Question of the Presumption of an Indeterminate Period of Detention Under Section 753(4.1)</w:t>
      </w:r>
    </w:p>
    <w:p w14:paraId="5C37F088" w14:textId="77777777" w:rsidR="00D22BB5" w:rsidRPr="001854C5" w:rsidRDefault="00D22BB5" w:rsidP="00F52BD7">
      <w:pPr>
        <w:pStyle w:val="ParaNoNdepar-AltN"/>
        <w:widowControl w:val="0"/>
        <w:tabs>
          <w:tab w:val="clear" w:pos="1152"/>
          <w:tab w:val="left" w:pos="1166"/>
        </w:tabs>
        <w:rPr>
          <w:rFonts w:cs="Times New Roman"/>
          <w:lang w:val="en-US"/>
        </w:rPr>
      </w:pPr>
      <w:r w:rsidRPr="001854C5">
        <w:rPr>
          <w:rFonts w:cs="Times New Roman"/>
          <w:lang w:val="en-US"/>
        </w:rPr>
        <w:t>Section 753(4.1) states that a judge “shall” impose an indeterminate sentence unless he or she is satisfied on the evidence “that there is a reasonable expectation that a lesser measure . . . will adequately protect the public</w:t>
      </w:r>
      <w:r w:rsidRPr="001854C5">
        <w:rPr>
          <w:rFonts w:cs="Times New Roman"/>
        </w:rPr>
        <w:t xml:space="preserve"> </w:t>
      </w:r>
      <w:r w:rsidRPr="001854C5">
        <w:rPr>
          <w:rFonts w:cs="Times New Roman"/>
          <w:lang w:val="en-US"/>
        </w:rPr>
        <w:t xml:space="preserve">against the commission by the offender of murder or a serious personal injury offence”. Mr. Boutilier contends that this provision enacts a presumption that an indeterminate sentence is a fit sentence for a dangerous offender and imposes a burden on the offender to adduce evidence to demonstrate “a reasonable expectation” that a lesser measure will adequately protect the public. He also argues that this burden extends beyond the </w:t>
      </w:r>
      <w:r w:rsidRPr="001854C5">
        <w:rPr>
          <w:rFonts w:cs="Times New Roman"/>
          <w:lang w:val="en-US"/>
        </w:rPr>
        <w:lastRenderedPageBreak/>
        <w:t xml:space="preserve">one envisioned by this Court in </w:t>
      </w:r>
      <w:r w:rsidRPr="001854C5">
        <w:rPr>
          <w:rFonts w:cs="Times New Roman"/>
          <w:i/>
          <w:lang w:val="en-US"/>
        </w:rPr>
        <w:t>Johnson</w:t>
      </w:r>
      <w:r w:rsidRPr="001854C5">
        <w:rPr>
          <w:rFonts w:cs="Times New Roman"/>
          <w:lang w:val="en-US"/>
        </w:rPr>
        <w:t>.</w:t>
      </w:r>
      <w:r w:rsidRPr="001854C5">
        <w:rPr>
          <w:rFonts w:cs="Times New Roman"/>
          <w:szCs w:val="24"/>
          <w:lang w:val="en-US"/>
        </w:rPr>
        <w:t xml:space="preserve"> Again, I disagree</w:t>
      </w:r>
      <w:r w:rsidRPr="001854C5">
        <w:rPr>
          <w:rFonts w:cs="Times New Roman"/>
          <w:lang w:val="en-US"/>
        </w:rPr>
        <w:t>.</w:t>
      </w:r>
    </w:p>
    <w:p w14:paraId="69138AB7" w14:textId="77777777" w:rsidR="00D22BB5" w:rsidRPr="001854C5" w:rsidRDefault="00D22BB5" w:rsidP="00F52BD7">
      <w:pPr>
        <w:pStyle w:val="ParaNoNdepar-AltN"/>
        <w:widowControl w:val="0"/>
        <w:tabs>
          <w:tab w:val="clear" w:pos="1152"/>
          <w:tab w:val="left" w:pos="1166"/>
        </w:tabs>
        <w:rPr>
          <w:rFonts w:cs="Times New Roman"/>
          <w:lang w:val="en-US"/>
        </w:rPr>
      </w:pPr>
      <w:r w:rsidRPr="001854C5">
        <w:rPr>
          <w:rFonts w:cs="Times New Roman"/>
          <w:szCs w:val="24"/>
          <w:lang w:val="en-US"/>
        </w:rPr>
        <w:t xml:space="preserve">Section </w:t>
      </w:r>
      <w:r w:rsidRPr="001854C5">
        <w:rPr>
          <w:rFonts w:cs="Times New Roman"/>
        </w:rPr>
        <w:t>753(4.1) guides the discretion of the judge, who ultimately must determine the fittest sentence in a given case based on</w:t>
      </w:r>
      <w:r w:rsidRPr="001854C5">
        <w:rPr>
          <w:rFonts w:cs="Times New Roman"/>
          <w:lang w:val="en-US"/>
        </w:rPr>
        <w:t xml:space="preserve"> the evidence adduced during the sentencing hearing. This Court in</w:t>
      </w:r>
      <w:r w:rsidRPr="001854C5">
        <w:rPr>
          <w:rFonts w:cs="Times New Roman"/>
          <w:i/>
          <w:lang w:val="en-US"/>
        </w:rPr>
        <w:t xml:space="preserve"> Johnson</w:t>
      </w:r>
      <w:r w:rsidRPr="001854C5">
        <w:rPr>
          <w:rFonts w:cs="Times New Roman"/>
          <w:lang w:val="en-US"/>
        </w:rPr>
        <w:t xml:space="preserve"> stated that the “</w:t>
      </w:r>
      <w:r w:rsidRPr="001854C5">
        <w:rPr>
          <w:rFonts w:cs="Times New Roman"/>
        </w:rPr>
        <w:t>sentencing judge should declare the offender dangerous and impose an indeterminate period of detention if, and only if, an indeterminate sentence is the least restrictive means by which to reduce the public threat posed by the offender</w:t>
      </w:r>
      <w:r>
        <w:rPr>
          <w:rFonts w:cs="Times New Roman"/>
        </w:rPr>
        <w:t xml:space="preserve"> to an acceptable level”: para. </w:t>
      </w:r>
      <w:r w:rsidRPr="001854C5">
        <w:rPr>
          <w:rFonts w:cs="Times New Roman"/>
        </w:rPr>
        <w:t>44</w:t>
      </w:r>
      <w:r w:rsidRPr="001854C5">
        <w:rPr>
          <w:rFonts w:cs="Times New Roman"/>
          <w:lang w:val="en-US"/>
        </w:rPr>
        <w:t xml:space="preserve">. Again, </w:t>
      </w:r>
      <w:r>
        <w:rPr>
          <w:rFonts w:cs="Times New Roman"/>
          <w:szCs w:val="24"/>
          <w:lang w:val="en-US"/>
        </w:rPr>
        <w:t>s. </w:t>
      </w:r>
      <w:r w:rsidRPr="001854C5">
        <w:rPr>
          <w:rFonts w:cs="Times New Roman"/>
          <w:szCs w:val="24"/>
          <w:lang w:val="en-US"/>
        </w:rPr>
        <w:t xml:space="preserve">753(4.1) is simply a codification of the exercise of discretion required by </w:t>
      </w:r>
      <w:r w:rsidRPr="001854C5">
        <w:rPr>
          <w:rFonts w:cs="Times New Roman"/>
          <w:i/>
          <w:szCs w:val="24"/>
          <w:lang w:val="en-US"/>
        </w:rPr>
        <w:t xml:space="preserve">Johnson </w:t>
      </w:r>
      <w:r w:rsidRPr="001854C5">
        <w:rPr>
          <w:rFonts w:cs="Times New Roman"/>
          <w:szCs w:val="24"/>
          <w:lang w:val="en-US"/>
        </w:rPr>
        <w:t xml:space="preserve">in light of the regime’s general purpose of </w:t>
      </w:r>
      <w:r w:rsidRPr="001854C5">
        <w:rPr>
          <w:rFonts w:cs="Times New Roman"/>
        </w:rPr>
        <w:t xml:space="preserve">public protection in dealing with offenders presenting a very </w:t>
      </w:r>
      <w:r w:rsidRPr="001854C5">
        <w:rPr>
          <w:rFonts w:cs="Times New Roman"/>
          <w:lang w:val="en-US"/>
        </w:rPr>
        <w:t>high likelihood of harmful recidivism.</w:t>
      </w:r>
    </w:p>
    <w:p w14:paraId="2DBD6B3E" w14:textId="77777777" w:rsidR="00D22BB5" w:rsidRPr="001854C5" w:rsidRDefault="00D22BB5" w:rsidP="00F52BD7">
      <w:pPr>
        <w:pStyle w:val="ParaNoNdepar-AltN"/>
        <w:widowControl w:val="0"/>
        <w:tabs>
          <w:tab w:val="clear" w:pos="1152"/>
          <w:tab w:val="left" w:pos="1166"/>
        </w:tabs>
        <w:rPr>
          <w:rFonts w:cs="Times New Roman"/>
          <w:szCs w:val="24"/>
          <w:lang w:val="en-US"/>
        </w:rPr>
      </w:pPr>
      <w:r w:rsidRPr="001854C5">
        <w:rPr>
          <w:rFonts w:cs="Times New Roman"/>
          <w:lang w:val="en-US"/>
        </w:rPr>
        <w:t>This</w:t>
      </w:r>
      <w:r>
        <w:rPr>
          <w:rFonts w:cs="Times New Roman"/>
          <w:lang w:val="en-US"/>
        </w:rPr>
        <w:t xml:space="preserve"> interpretation of s. </w:t>
      </w:r>
      <w:r w:rsidRPr="001854C5">
        <w:rPr>
          <w:rFonts w:cs="Times New Roman"/>
          <w:lang w:val="en-US"/>
        </w:rPr>
        <w:t xml:space="preserve">753(4.1) is consistent </w:t>
      </w:r>
      <w:r>
        <w:rPr>
          <w:rFonts w:cs="Times New Roman"/>
          <w:lang w:val="en-US"/>
        </w:rPr>
        <w:t>with s. </w:t>
      </w:r>
      <w:r w:rsidRPr="001854C5">
        <w:rPr>
          <w:rFonts w:cs="Times New Roman"/>
          <w:lang w:val="en-US"/>
        </w:rPr>
        <w:t>718.3:</w:t>
      </w:r>
    </w:p>
    <w:p w14:paraId="56C7FE6B" w14:textId="77777777" w:rsidR="00D22BB5" w:rsidRPr="001854C5" w:rsidRDefault="00D22BB5" w:rsidP="00F52BD7">
      <w:pPr>
        <w:pStyle w:val="Citation-AltC"/>
        <w:widowControl w:val="0"/>
      </w:pPr>
      <w:r w:rsidRPr="001854C5">
        <w:rPr>
          <w:b/>
        </w:rPr>
        <w:t>718.3 (1)</w:t>
      </w:r>
      <w:r w:rsidRPr="001854C5">
        <w:t xml:space="preserve"> Where an enactment prescribes different degrees or kinds of punishment in respect of an offence, </w:t>
      </w:r>
      <w:r w:rsidRPr="001854C5">
        <w:rPr>
          <w:u w:val="single"/>
        </w:rPr>
        <w:t>the punishment to be imposed is</w:t>
      </w:r>
      <w:r w:rsidRPr="001854C5">
        <w:t xml:space="preserve">, subject to the limitations prescribed in the enactment, </w:t>
      </w:r>
      <w:r w:rsidRPr="001854C5">
        <w:rPr>
          <w:u w:val="single"/>
        </w:rPr>
        <w:t>in the discretion of the court that convicts a person who commits the offence</w:t>
      </w:r>
      <w:r w:rsidRPr="001854C5">
        <w:t>.</w:t>
      </w:r>
    </w:p>
    <w:p w14:paraId="517820FE" w14:textId="77777777" w:rsidR="00D22BB5" w:rsidRPr="001854C5" w:rsidRDefault="00D22BB5" w:rsidP="00F52BD7">
      <w:pPr>
        <w:pStyle w:val="Citation-AltC"/>
        <w:widowControl w:val="0"/>
      </w:pPr>
    </w:p>
    <w:p w14:paraId="08968D1D" w14:textId="77777777" w:rsidR="00D22BB5" w:rsidRPr="001854C5" w:rsidRDefault="00D22BB5" w:rsidP="00F52BD7">
      <w:pPr>
        <w:pStyle w:val="Citation-AltC"/>
        <w:widowControl w:val="0"/>
      </w:pPr>
      <w:r w:rsidRPr="001854C5">
        <w:rPr>
          <w:b/>
        </w:rPr>
        <w:t>(2)</w:t>
      </w:r>
      <w:r w:rsidRPr="001854C5">
        <w:t xml:space="preserve"> Where an enactment prescribes a punishment in respect of an offence, the punishment to be imposed is, subject to the limitations prescribed in the enactment, in the discretion of the court that convicts a person who commits the offence, but </w:t>
      </w:r>
      <w:r w:rsidRPr="001854C5">
        <w:rPr>
          <w:u w:val="single"/>
        </w:rPr>
        <w:t>no punishment is a minimum punishment unless it is declared to be a minimum punishment</w:t>
      </w:r>
      <w:r w:rsidRPr="001854C5">
        <w:t>.</w:t>
      </w:r>
    </w:p>
    <w:p w14:paraId="12B04709" w14:textId="77777777" w:rsidR="00D22BB5" w:rsidRPr="001854C5" w:rsidRDefault="00D22BB5" w:rsidP="00F52BD7">
      <w:pPr>
        <w:pStyle w:val="ParaNoNdepar-AltN"/>
        <w:widowControl w:val="0"/>
        <w:tabs>
          <w:tab w:val="clear" w:pos="1152"/>
          <w:tab w:val="left" w:pos="1166"/>
        </w:tabs>
        <w:rPr>
          <w:rFonts w:cs="Times New Roman"/>
          <w:lang w:val="en-US"/>
        </w:rPr>
      </w:pPr>
      <w:r w:rsidRPr="001854C5">
        <w:rPr>
          <w:rFonts w:cs="Times New Roman"/>
          <w:lang w:val="en-US"/>
        </w:rPr>
        <w:t>It is also consistent with th</w:t>
      </w:r>
      <w:r>
        <w:rPr>
          <w:rFonts w:cs="Times New Roman"/>
          <w:lang w:val="en-US"/>
        </w:rPr>
        <w:t>is Court’s interpretation of s. </w:t>
      </w:r>
      <w:r w:rsidRPr="001854C5">
        <w:rPr>
          <w:rFonts w:cs="Times New Roman"/>
          <w:lang w:val="en-US"/>
        </w:rPr>
        <w:t>742.1 — a provision requiring judges to be</w:t>
      </w:r>
      <w:r w:rsidRPr="001854C5">
        <w:rPr>
          <w:rFonts w:cs="Times New Roman"/>
        </w:rPr>
        <w:t xml:space="preserve"> “satisfied that the service of the sentence in the community would not endanger the safety of the community”</w:t>
      </w:r>
      <w:r w:rsidRPr="001854C5">
        <w:rPr>
          <w:rFonts w:cs="Times New Roman"/>
          <w:lang w:val="en-US"/>
        </w:rPr>
        <w:t xml:space="preserve"> before imposing a conditional sentence. As Lamer</w:t>
      </w:r>
      <w:r>
        <w:rPr>
          <w:rFonts w:cs="Times New Roman"/>
          <w:lang w:val="en-US"/>
        </w:rPr>
        <w:t> </w:t>
      </w:r>
      <w:r w:rsidRPr="001854C5">
        <w:rPr>
          <w:rFonts w:cs="Times New Roman"/>
          <w:lang w:val="en-US"/>
        </w:rPr>
        <w:t>C.J. explained</w:t>
      </w:r>
      <w:r w:rsidRPr="001854C5">
        <w:rPr>
          <w:rFonts w:cs="Times New Roman"/>
        </w:rPr>
        <w:t>:</w:t>
      </w:r>
    </w:p>
    <w:p w14:paraId="0FA1F246" w14:textId="4A4DEE43" w:rsidR="00D22BB5" w:rsidRPr="001854C5" w:rsidRDefault="00D22BB5" w:rsidP="00F52BD7">
      <w:pPr>
        <w:pStyle w:val="Citation-AltC"/>
        <w:widowControl w:val="0"/>
        <w:rPr>
          <w:lang w:val="en-US"/>
        </w:rPr>
      </w:pPr>
      <w:r>
        <w:lastRenderedPageBreak/>
        <w:t>The wording used in s. </w:t>
      </w:r>
      <w:r w:rsidRPr="001854C5">
        <w:t xml:space="preserve">742.1 does not attribute to either party the onus of establishing that the offender should or should not receive a conditional sentence.  </w:t>
      </w:r>
      <w:r w:rsidRPr="001854C5">
        <w:rPr>
          <w:u w:val="single"/>
        </w:rPr>
        <w:t>To inform his or her decision about the appropriate sentence, the judge can take into consideration all the evidence, no matter who adduces it</w:t>
      </w:r>
      <w:r w:rsidRPr="001854C5">
        <w:t xml:space="preserve"> ([</w:t>
      </w:r>
      <w:r w:rsidRPr="001854C5">
        <w:rPr>
          <w:i/>
        </w:rPr>
        <w:t>R. v.</w:t>
      </w:r>
      <w:r w:rsidRPr="001854C5">
        <w:t xml:space="preserve">] </w:t>
      </w:r>
      <w:r w:rsidRPr="001854C5">
        <w:rPr>
          <w:i/>
          <w:iCs/>
        </w:rPr>
        <w:t>Ursel</w:t>
      </w:r>
      <w:r w:rsidRPr="001854C5">
        <w:t xml:space="preserve"> [(1997), 96 B.C.A.C. 241],</w:t>
      </w:r>
      <w:r>
        <w:t xml:space="preserve"> at pp. </w:t>
      </w:r>
      <w:r w:rsidRPr="001854C5">
        <w:t>264-65 and 287).</w:t>
      </w:r>
    </w:p>
    <w:p w14:paraId="52D81E47" w14:textId="77777777" w:rsidR="00D22BB5" w:rsidRPr="001854C5" w:rsidRDefault="00D22BB5" w:rsidP="00F52BD7">
      <w:pPr>
        <w:pStyle w:val="Citation-AltC"/>
        <w:widowControl w:val="0"/>
      </w:pPr>
    </w:p>
    <w:p w14:paraId="480E6222" w14:textId="77777777" w:rsidR="00D22BB5" w:rsidRPr="001854C5" w:rsidRDefault="00D22BB5" w:rsidP="00F52BD7">
      <w:pPr>
        <w:pStyle w:val="Citation-AltC"/>
        <w:widowControl w:val="0"/>
        <w:ind w:firstLine="274"/>
      </w:pPr>
      <w:r w:rsidRPr="001854C5">
        <w:t xml:space="preserve">In matters of sentencing, while each party is expected to establish elements in support of its position as to the appropriate sentence that should be imposed, </w:t>
      </w:r>
      <w:r w:rsidRPr="001854C5">
        <w:rPr>
          <w:u w:val="single"/>
        </w:rPr>
        <w:t>the ultimate decision as to what constitutes the best disposition is left to the discretion of the sentencing judge</w:t>
      </w:r>
      <w:r w:rsidRPr="001854C5">
        <w:t>. [Emphasis added.]</w:t>
      </w:r>
    </w:p>
    <w:p w14:paraId="6AD7921C" w14:textId="77777777" w:rsidR="00D22BB5" w:rsidRPr="001854C5" w:rsidRDefault="00D22BB5" w:rsidP="00F52BD7">
      <w:pPr>
        <w:pStyle w:val="Citation-AltC"/>
        <w:widowControl w:val="0"/>
        <w:ind w:firstLine="274"/>
      </w:pPr>
    </w:p>
    <w:p w14:paraId="6B0D1B41" w14:textId="77777777" w:rsidR="00D22BB5" w:rsidRPr="001854C5" w:rsidRDefault="00D22BB5" w:rsidP="00F52BD7">
      <w:pPr>
        <w:pStyle w:val="Citation-AltC"/>
        <w:widowControl w:val="0"/>
        <w:ind w:left="0" w:firstLine="4"/>
        <w:rPr>
          <w:lang w:val="fr-CA"/>
        </w:rPr>
      </w:pPr>
      <w:r w:rsidRPr="00A05E47">
        <w:t>(</w:t>
      </w:r>
      <w:r w:rsidRPr="00A05E47">
        <w:rPr>
          <w:i/>
        </w:rPr>
        <w:t>R. v. Proulx</w:t>
      </w:r>
      <w:r w:rsidRPr="00A05E47">
        <w:t>, 2000 SCC 5, [2000] 1 S.C.R. 61, at paras. </w:t>
      </w:r>
      <w:r w:rsidRPr="001854C5">
        <w:rPr>
          <w:lang w:val="fr-CA"/>
        </w:rPr>
        <w:t>120-21)</w:t>
      </w:r>
    </w:p>
    <w:p w14:paraId="70DB79C8" w14:textId="77777777" w:rsidR="00D22BB5" w:rsidRPr="001854C5" w:rsidRDefault="00D22BB5" w:rsidP="00F52BD7">
      <w:pPr>
        <w:pStyle w:val="ParaNoNdepar-AltN"/>
        <w:widowControl w:val="0"/>
        <w:tabs>
          <w:tab w:val="clear" w:pos="1152"/>
          <w:tab w:val="left" w:pos="1166"/>
        </w:tabs>
        <w:rPr>
          <w:rFonts w:cs="Times New Roman"/>
          <w:szCs w:val="24"/>
          <w:lang w:val="en-US"/>
        </w:rPr>
      </w:pPr>
      <w:r w:rsidRPr="001854C5">
        <w:rPr>
          <w:rFonts w:cs="Times New Roman"/>
          <w:szCs w:val="24"/>
          <w:lang w:val="en-US"/>
        </w:rPr>
        <w:t xml:space="preserve">Under s. 753(4.1), the sentencing judge is under the obligation to conduct a “thorough inquiry” into the possibility of control in the community: </w:t>
      </w:r>
      <w:r w:rsidRPr="001854C5">
        <w:rPr>
          <w:rFonts w:cs="Times New Roman"/>
          <w:i/>
          <w:szCs w:val="24"/>
          <w:lang w:val="en-US"/>
        </w:rPr>
        <w:t>Johnson</w:t>
      </w:r>
      <w:r w:rsidRPr="001854C5">
        <w:rPr>
          <w:rFonts w:cs="Times New Roman"/>
          <w:szCs w:val="24"/>
          <w:lang w:val="en-US"/>
        </w:rPr>
        <w:t>, at para. 50. The judge considers all the evidence presented during the hearing in order to determine the fittest sentence for the offender:</w:t>
      </w:r>
    </w:p>
    <w:p w14:paraId="2EDBE086" w14:textId="77777777" w:rsidR="00D22BB5" w:rsidRPr="001854C5" w:rsidRDefault="00D22BB5" w:rsidP="00F52BD7">
      <w:pPr>
        <w:pStyle w:val="Citation-AltC"/>
        <w:widowControl w:val="0"/>
        <w:rPr>
          <w:lang w:val="en-US"/>
        </w:rPr>
      </w:pPr>
      <w:r w:rsidRPr="001854C5">
        <w:rPr>
          <w:lang w:val="en-US"/>
        </w:rPr>
        <w:t>The judge should . . . take into account all the evidence available before making a determination, which will inevitably require a thorough investigation. Once such an investigation has been conducted, it will be up to the judge to determine the sentence; there is no obligation on any of the parties to prove on any standard the adequate sentence one way or another.</w:t>
      </w:r>
    </w:p>
    <w:p w14:paraId="444139B0" w14:textId="77777777" w:rsidR="00D22BB5" w:rsidRPr="001854C5" w:rsidRDefault="00D22BB5" w:rsidP="00F52BD7">
      <w:pPr>
        <w:pStyle w:val="Citation-AltC"/>
        <w:widowControl w:val="0"/>
        <w:rPr>
          <w:lang w:val="en-US"/>
        </w:rPr>
      </w:pPr>
    </w:p>
    <w:p w14:paraId="154EF9F2" w14:textId="77777777" w:rsidR="00D22BB5" w:rsidRPr="001854C5" w:rsidRDefault="00D22BB5" w:rsidP="00F52BD7">
      <w:pPr>
        <w:pStyle w:val="Citation-AltC"/>
        <w:widowControl w:val="0"/>
        <w:ind w:left="0"/>
        <w:rPr>
          <w:lang w:val="en-US"/>
        </w:rPr>
      </w:pPr>
      <w:r w:rsidRPr="001854C5">
        <w:rPr>
          <w:lang w:val="en-US"/>
        </w:rPr>
        <w:t xml:space="preserve">(Neuberger, at </w:t>
      </w:r>
      <w:r>
        <w:rPr>
          <w:lang w:val="en-US"/>
        </w:rPr>
        <w:t>p. </w:t>
      </w:r>
      <w:r w:rsidRPr="001854C5">
        <w:rPr>
          <w:lang w:val="en-US"/>
        </w:rPr>
        <w:t>4-4.1</w:t>
      </w:r>
      <w:r>
        <w:rPr>
          <w:lang w:val="en-US"/>
        </w:rPr>
        <w:t>; see also p. </w:t>
      </w:r>
      <w:r w:rsidRPr="001854C5">
        <w:rPr>
          <w:lang w:val="en-US"/>
        </w:rPr>
        <w:t>10-10.)</w:t>
      </w:r>
    </w:p>
    <w:p w14:paraId="11D766B3" w14:textId="77777777" w:rsidR="00D22BB5" w:rsidRPr="001854C5" w:rsidRDefault="00D22BB5" w:rsidP="00F52BD7">
      <w:pPr>
        <w:pStyle w:val="ParaNoNdepar-AltN"/>
        <w:widowControl w:val="0"/>
        <w:tabs>
          <w:tab w:val="clear" w:pos="1152"/>
          <w:tab w:val="left" w:pos="1166"/>
        </w:tabs>
        <w:rPr>
          <w:rFonts w:cs="Times New Roman"/>
          <w:lang w:val="en-US"/>
        </w:rPr>
      </w:pPr>
      <w:r>
        <w:rPr>
          <w:rFonts w:cs="Times New Roman"/>
          <w:lang w:val="en-US"/>
        </w:rPr>
        <w:t>In other words, s. </w:t>
      </w:r>
      <w:r w:rsidRPr="001854C5">
        <w:rPr>
          <w:rFonts w:cs="Times New Roman"/>
          <w:lang w:val="en-US"/>
        </w:rPr>
        <w:t xml:space="preserve">753(4.1) provides guidance on how a sentencing judge can properly exercise his or her discretion in accordance with the applicable objectives and principles of sentencing. As explained above, it is </w:t>
      </w:r>
      <w:r w:rsidRPr="001854C5">
        <w:rPr>
          <w:rFonts w:cs="Times New Roman"/>
        </w:rPr>
        <w:t>permissible for Parliament to guide the courts to emphasize certain sentencing principles in certain circumstances without curtailing their discretion.</w:t>
      </w:r>
      <w:r w:rsidRPr="001854C5">
        <w:rPr>
          <w:rFonts w:cs="Times New Roman"/>
          <w:lang w:val="en-US"/>
        </w:rPr>
        <w:t xml:space="preserve"> Once the sentencing judge has exhausted the least coercive sentencing options to address the question of risk based on the evidence, indeterminate detention in a penitentiary is the last option. </w:t>
      </w:r>
    </w:p>
    <w:p w14:paraId="0F8B93D5" w14:textId="77777777" w:rsidR="00D22BB5" w:rsidRPr="001854C5" w:rsidRDefault="00D22BB5" w:rsidP="00F52BD7">
      <w:pPr>
        <w:pStyle w:val="ParaNoNdepar-AltN"/>
        <w:widowControl w:val="0"/>
        <w:tabs>
          <w:tab w:val="clear" w:pos="1152"/>
          <w:tab w:val="left" w:pos="1166"/>
        </w:tabs>
        <w:rPr>
          <w:rFonts w:cs="Times New Roman"/>
          <w:lang w:val="en-US"/>
        </w:rPr>
      </w:pPr>
      <w:r w:rsidRPr="001854C5">
        <w:rPr>
          <w:rFonts w:cs="Times New Roman"/>
          <w:lang w:val="en-US"/>
        </w:rPr>
        <w:lastRenderedPageBreak/>
        <w:t>The framework a sentencing judge should adopt in exercising his or her discretion under s.</w:t>
      </w:r>
      <w:r>
        <w:rPr>
          <w:rFonts w:cs="Times New Roman"/>
          <w:lang w:val="en-US"/>
        </w:rPr>
        <w:t> </w:t>
      </w:r>
      <w:r w:rsidRPr="001854C5">
        <w:rPr>
          <w:rFonts w:cs="Times New Roman"/>
          <w:lang w:val="en-US"/>
        </w:rPr>
        <w:t xml:space="preserve">753(4.1) has been aptly explained by Justice Tuck-Jackson of the Ontario Court of Justice: </w:t>
      </w:r>
      <w:r w:rsidRPr="001854C5">
        <w:rPr>
          <w:rFonts w:cs="Times New Roman"/>
          <w:i/>
          <w:lang w:val="en-US"/>
        </w:rPr>
        <w:t>R. v. Crowe</w:t>
      </w:r>
      <w:r w:rsidRPr="001854C5">
        <w:rPr>
          <w:rFonts w:cs="Times New Roman"/>
          <w:lang w:val="en-US"/>
        </w:rPr>
        <w:t xml:space="preserve">, No. 10-10013990, March 22, 2017. First, if the court is satisfied that a conventional sentence, which may include a period of probation, if available in law, will adequately protect the public against the commission of murder or a serious personal injury offence, then that sentence must be imposed. If the court is not satisfied that this is the case, then it must proceed to a second assessment and determine whether it is satisfied that a conventional sentence of a minimum of 2 years of imprisonment, followed by a long-term supervision order for a period that does not exceed 10 years, will adequately protect the public against the commission by the offender of murder or a serious personal injury offence. If the answer is “yes”, then that sentence must be imposed. If the answer is “no”, then the court must proceed to the third step and impose a detention in a penitentiary for an indeterminate period of time. </w:t>
      </w:r>
      <w:r w:rsidRPr="001854C5">
        <w:rPr>
          <w:rFonts w:cs="Times New Roman"/>
        </w:rPr>
        <w:t>Section 753(4.1) reflects the fact that, j</w:t>
      </w:r>
      <w:r w:rsidRPr="001854C5">
        <w:rPr>
          <w:rFonts w:cs="Times New Roman"/>
          <w:lang w:val="en-US"/>
        </w:rPr>
        <w:t>ust as nothing less than a sentence reducing the risk to an acceptable level is required for a dangerous offender, so too is nothing more required.</w:t>
      </w:r>
    </w:p>
    <w:p w14:paraId="78B30BB2" w14:textId="77777777" w:rsidR="00D22BB5" w:rsidRPr="001854C5" w:rsidRDefault="00D22BB5" w:rsidP="00F52BD7">
      <w:pPr>
        <w:pStyle w:val="ParaNoNdepar-AltN"/>
        <w:widowControl w:val="0"/>
        <w:tabs>
          <w:tab w:val="clear" w:pos="1152"/>
          <w:tab w:val="left" w:pos="1166"/>
        </w:tabs>
        <w:rPr>
          <w:rFonts w:cs="Times New Roman"/>
          <w:lang w:val="en-US"/>
        </w:rPr>
      </w:pPr>
      <w:r w:rsidRPr="001854C5">
        <w:rPr>
          <w:rFonts w:cs="Times New Roman"/>
          <w:lang w:val="en-US"/>
        </w:rPr>
        <w:t xml:space="preserve">In sum, Mr. Boutilier’s s. 12 argument is grounded in an erroneous reading of the impugned provision. Properly read and applied, </w:t>
      </w:r>
      <w:r w:rsidRPr="001854C5">
        <w:rPr>
          <w:rFonts w:cs="Times New Roman"/>
        </w:rPr>
        <w:t>s. 753(4.1) does not impose an onus, a rebuttable presumption, or mandatory sanctioning. Nor does it</w:t>
      </w:r>
      <w:r w:rsidRPr="001854C5">
        <w:rPr>
          <w:rFonts w:cs="Times New Roman"/>
          <w:lang w:val="en-US"/>
        </w:rPr>
        <w:t xml:space="preserve"> prevent a sentencing judge from considering sentencing objectives and principles. Every sentence must be imposed after </w:t>
      </w:r>
      <w:r w:rsidRPr="001854C5">
        <w:rPr>
          <w:rFonts w:cs="Times New Roman"/>
        </w:rPr>
        <w:t>an individualized assessment of all of the relevant factors and circumstances.</w:t>
      </w:r>
      <w:r w:rsidRPr="001854C5">
        <w:rPr>
          <w:rFonts w:cs="Times New Roman"/>
          <w:lang w:val="en-US"/>
        </w:rPr>
        <w:t xml:space="preserve"> </w:t>
      </w:r>
      <w:r w:rsidRPr="001854C5">
        <w:rPr>
          <w:rFonts w:cs="Times New Roman"/>
        </w:rPr>
        <w:t>Seen in this way, s. 753(4.1) will not result in</w:t>
      </w:r>
      <w:r w:rsidRPr="001854C5">
        <w:rPr>
          <w:rFonts w:cs="Times New Roman"/>
          <w:lang w:val="en-US"/>
        </w:rPr>
        <w:t xml:space="preserve"> grossly disproportionate sentences or in the imposition of a detention of indeterminate duration </w:t>
      </w:r>
      <w:r w:rsidRPr="001854C5">
        <w:rPr>
          <w:rFonts w:cs="Times New Roman"/>
          <w:lang w:val="en-US"/>
        </w:rPr>
        <w:lastRenderedPageBreak/>
        <w:t>in cases where such a sentence is unfit. The sentencing judge and the British Columbia Court of Appeal therefore rightly rejected Mr. Boutilier’s position on this point.</w:t>
      </w:r>
    </w:p>
    <w:p w14:paraId="07D4AA26" w14:textId="77777777" w:rsidR="00D22BB5" w:rsidRPr="001854C5" w:rsidRDefault="00D22BB5" w:rsidP="00F52BD7">
      <w:pPr>
        <w:pStyle w:val="Title2LevelTitre2Niveau"/>
        <w:widowControl w:val="0"/>
        <w:rPr>
          <w:rFonts w:eastAsiaTheme="minorEastAsia" w:cs="Times New Roman"/>
          <w:lang w:val="en-US"/>
        </w:rPr>
      </w:pPr>
      <w:r w:rsidRPr="001854C5">
        <w:rPr>
          <w:rFonts w:cs="Times New Roman"/>
        </w:rPr>
        <w:t>Is Section</w:t>
      </w:r>
      <w:r w:rsidRPr="001854C5">
        <w:rPr>
          <w:rFonts w:cs="Times New Roman"/>
          <w:lang w:val="en-US"/>
        </w:rPr>
        <w:t xml:space="preserve"> 753(4.1) </w:t>
      </w:r>
      <w:r w:rsidRPr="001854C5">
        <w:rPr>
          <w:rFonts w:cs="Times New Roman"/>
        </w:rPr>
        <w:t xml:space="preserve">Overbroad in Violation of Section 7 of the Charter Because It Applies to Offenders That Could Have Been Monitored Under the </w:t>
      </w:r>
      <w:r w:rsidRPr="001854C5">
        <w:rPr>
          <w:rFonts w:cs="Times New Roman"/>
          <w:lang w:val="en-US"/>
        </w:rPr>
        <w:t>Long-Term Offender Scheme?</w:t>
      </w:r>
    </w:p>
    <w:p w14:paraId="0490184C" w14:textId="77777777" w:rsidR="00D22BB5" w:rsidRDefault="00D22BB5" w:rsidP="00F52BD7">
      <w:pPr>
        <w:pStyle w:val="ParaNoNdepar-AltN"/>
        <w:widowControl w:val="0"/>
        <w:tabs>
          <w:tab w:val="clear" w:pos="1152"/>
          <w:tab w:val="left" w:pos="1166"/>
        </w:tabs>
        <w:rPr>
          <w:rFonts w:cs="Times New Roman"/>
          <w:lang w:val="en-US"/>
        </w:rPr>
      </w:pPr>
      <w:r w:rsidRPr="001854C5">
        <w:rPr>
          <w:rFonts w:cs="Times New Roman"/>
          <w:lang w:val="en-US"/>
        </w:rPr>
        <w:t>Mr. Boutilier also argues that s. 753(4.1) is overbroad in a manner contrary to s. 7 on the basis that some offenders who are designated as dangerous meet the statutory criteria for a long-term offender designation under s. 753.1. He argues that the provision is overbroad because these offenders, who could have been properly monitored under the long-term offender regime, face the risk of an indeterminate detention under s. 753(4.1). He argues that an anomaly flows from the fact that, under the dangerous offender regime, offenders must satisfy the higher standard of a “reasonable expectation” of control to obtain a lower sentence, whereas under the long-term offender regime, they would need to meet the lower standard of a “reasonable possibility” of control. As such, Mr. Boutilier contends that the risk of indeterminate detention under s. 753(4) and (4.1) depends only on whether the Crown uses its discretion to place the offender within the dangerous offender scheme or the long-term offender stream.</w:t>
      </w:r>
    </w:p>
    <w:p w14:paraId="67B8D245" w14:textId="77777777" w:rsidR="00D22BB5" w:rsidRPr="001854C5" w:rsidRDefault="00D22BB5" w:rsidP="00F52BD7">
      <w:pPr>
        <w:pStyle w:val="ParaNoNdepar-AltN"/>
        <w:widowControl w:val="0"/>
        <w:tabs>
          <w:tab w:val="clear" w:pos="1152"/>
          <w:tab w:val="left" w:pos="1166"/>
        </w:tabs>
        <w:rPr>
          <w:rFonts w:cs="Times New Roman"/>
          <w:lang w:val="en-US"/>
        </w:rPr>
      </w:pPr>
      <w:r w:rsidRPr="001854C5">
        <w:rPr>
          <w:rFonts w:cs="Times New Roman"/>
          <w:lang w:val="en-US"/>
        </w:rPr>
        <w:t>The criteria to be designated as a long-term offender are in s. 753.1(1):</w:t>
      </w:r>
    </w:p>
    <w:p w14:paraId="38679774" w14:textId="77777777" w:rsidR="00D22BB5" w:rsidRPr="001854C5" w:rsidRDefault="00D22BB5" w:rsidP="00F52BD7">
      <w:pPr>
        <w:pStyle w:val="Citation-AltC"/>
        <w:widowControl w:val="0"/>
        <w:rPr>
          <w:lang w:val="en"/>
        </w:rPr>
      </w:pPr>
      <w:r w:rsidRPr="001854C5">
        <w:rPr>
          <w:b/>
          <w:lang w:val="en"/>
        </w:rPr>
        <w:t xml:space="preserve">753.1 (1) </w:t>
      </w:r>
      <w:r w:rsidRPr="001854C5">
        <w:rPr>
          <w:lang w:val="en"/>
        </w:rPr>
        <w:t>The court may, on application made under this Part following the filing of an assessment report under subsection 752.1(2), find an offender to be a long-term offender if it is satisfied that</w:t>
      </w:r>
    </w:p>
    <w:p w14:paraId="792A16AD" w14:textId="77777777" w:rsidR="00D22BB5" w:rsidRPr="001854C5" w:rsidRDefault="00D22BB5" w:rsidP="00F52BD7">
      <w:pPr>
        <w:pStyle w:val="Citation-AltC"/>
        <w:widowControl w:val="0"/>
        <w:rPr>
          <w:lang w:val="en"/>
        </w:rPr>
      </w:pPr>
    </w:p>
    <w:p w14:paraId="5EB4ED5F" w14:textId="77777777" w:rsidR="00D22BB5" w:rsidRPr="001854C5" w:rsidRDefault="00D22BB5" w:rsidP="00F52BD7">
      <w:pPr>
        <w:pStyle w:val="Citation-AltC"/>
        <w:widowControl w:val="0"/>
        <w:ind w:left="1440"/>
        <w:rPr>
          <w:lang w:val="en" w:eastAsia="en-US"/>
        </w:rPr>
      </w:pPr>
      <w:r w:rsidRPr="001854C5">
        <w:rPr>
          <w:b/>
          <w:lang w:val="en" w:eastAsia="en-US"/>
        </w:rPr>
        <w:lastRenderedPageBreak/>
        <w:t>(a)</w:t>
      </w:r>
      <w:r w:rsidRPr="001854C5">
        <w:rPr>
          <w:lang w:val="en" w:eastAsia="en-US"/>
        </w:rPr>
        <w:t xml:space="preserve"> it would be appropriate to impose a sentence of imprisonment of two years or more for the offence for which the offender has been convicted;</w:t>
      </w:r>
    </w:p>
    <w:p w14:paraId="5E033F89" w14:textId="77777777" w:rsidR="00D22BB5" w:rsidRPr="001854C5" w:rsidRDefault="00D22BB5" w:rsidP="00F52BD7">
      <w:pPr>
        <w:pStyle w:val="Citation-AltC"/>
        <w:widowControl w:val="0"/>
        <w:rPr>
          <w:lang w:val="en" w:eastAsia="en-US"/>
        </w:rPr>
      </w:pPr>
    </w:p>
    <w:p w14:paraId="3DA9456F" w14:textId="77777777" w:rsidR="00D22BB5" w:rsidRPr="001854C5" w:rsidRDefault="00D22BB5" w:rsidP="00F52BD7">
      <w:pPr>
        <w:pStyle w:val="Citation-AltC"/>
        <w:widowControl w:val="0"/>
        <w:ind w:left="1440"/>
        <w:rPr>
          <w:lang w:val="en" w:eastAsia="en-US"/>
        </w:rPr>
      </w:pPr>
      <w:r w:rsidRPr="001854C5">
        <w:rPr>
          <w:b/>
          <w:lang w:val="en" w:eastAsia="en-US"/>
        </w:rPr>
        <w:t>(b)</w:t>
      </w:r>
      <w:r w:rsidRPr="001854C5">
        <w:rPr>
          <w:lang w:val="en" w:eastAsia="en-US"/>
        </w:rPr>
        <w:t xml:space="preserve"> there is a substantial risk that the offender will reoffend; and</w:t>
      </w:r>
    </w:p>
    <w:p w14:paraId="21D984EC" w14:textId="77777777" w:rsidR="00D22BB5" w:rsidRPr="001854C5" w:rsidRDefault="00D22BB5" w:rsidP="00F52BD7">
      <w:pPr>
        <w:pStyle w:val="Citation-AltC"/>
        <w:widowControl w:val="0"/>
        <w:rPr>
          <w:lang w:val="en" w:eastAsia="en-US"/>
        </w:rPr>
      </w:pPr>
    </w:p>
    <w:p w14:paraId="30CD2428" w14:textId="77777777" w:rsidR="00D22BB5" w:rsidRPr="001854C5" w:rsidRDefault="00D22BB5" w:rsidP="00F52BD7">
      <w:pPr>
        <w:pStyle w:val="Citation-AltC"/>
        <w:widowControl w:val="0"/>
        <w:ind w:left="1440"/>
        <w:rPr>
          <w:lang w:val="en"/>
        </w:rPr>
      </w:pPr>
      <w:r w:rsidRPr="001854C5">
        <w:rPr>
          <w:b/>
          <w:bCs/>
          <w:lang w:val="en" w:eastAsia="en-US"/>
        </w:rPr>
        <w:t>(c)</w:t>
      </w:r>
      <w:r w:rsidRPr="001854C5">
        <w:rPr>
          <w:bCs/>
          <w:lang w:val="en" w:eastAsia="en-US"/>
        </w:rPr>
        <w:t xml:space="preserve"> there is a reasonable possibility of eventual control of the risk in the community</w:t>
      </w:r>
      <w:r w:rsidRPr="001854C5">
        <w:rPr>
          <w:lang w:val="en" w:eastAsia="en-US"/>
        </w:rPr>
        <w:t>.</w:t>
      </w:r>
    </w:p>
    <w:p w14:paraId="48F0E4E1" w14:textId="77777777" w:rsidR="00D22BB5" w:rsidRPr="001854C5" w:rsidRDefault="00D22BB5" w:rsidP="00F52BD7">
      <w:pPr>
        <w:pStyle w:val="ParaNoNdepar-AltN"/>
        <w:widowControl w:val="0"/>
        <w:tabs>
          <w:tab w:val="clear" w:pos="1152"/>
          <w:tab w:val="left" w:pos="1166"/>
        </w:tabs>
        <w:rPr>
          <w:rFonts w:cs="Times New Roman"/>
          <w:lang w:val="en-US"/>
        </w:rPr>
      </w:pPr>
      <w:r w:rsidRPr="001854C5">
        <w:rPr>
          <w:rFonts w:cs="Times New Roman"/>
          <w:lang w:val="en-US"/>
        </w:rPr>
        <w:t xml:space="preserve">While it is true that this Court in </w:t>
      </w:r>
      <w:r w:rsidRPr="001854C5">
        <w:rPr>
          <w:rFonts w:cs="Times New Roman"/>
          <w:i/>
          <w:lang w:val="en-US"/>
        </w:rPr>
        <w:t xml:space="preserve">Johnson </w:t>
      </w:r>
      <w:r w:rsidRPr="001854C5">
        <w:rPr>
          <w:rFonts w:cs="Times New Roman"/>
          <w:lang w:val="en-US"/>
        </w:rPr>
        <w:t xml:space="preserve">found that “[a]lmost every offender who satisfies the dangerous offender criteria will satisfy the first two criteria in the long-term offender provisions” (para. 31) and that, in some cases, an offender designated as dangerous may establish “a reasonable possibility of eventual control” so as to fall within the long-term offender regime, this is of no relevance to the constitutionality of s. 753(4.1). </w:t>
      </w:r>
    </w:p>
    <w:p w14:paraId="5C89571D" w14:textId="77777777" w:rsidR="00D22BB5" w:rsidRPr="001854C5" w:rsidRDefault="00D22BB5" w:rsidP="00F52BD7">
      <w:pPr>
        <w:pStyle w:val="ParaNoNdepar-AltN"/>
        <w:widowControl w:val="0"/>
        <w:tabs>
          <w:tab w:val="clear" w:pos="1152"/>
          <w:tab w:val="left" w:pos="1166"/>
        </w:tabs>
        <w:rPr>
          <w:rFonts w:cs="Times New Roman"/>
          <w:lang w:val="en-US"/>
        </w:rPr>
      </w:pPr>
      <w:r w:rsidRPr="001854C5">
        <w:rPr>
          <w:rFonts w:cs="Times New Roman"/>
          <w:lang w:val="en-US"/>
        </w:rPr>
        <w:t xml:space="preserve">Undoubtedly, the dangerous offender designation criteria are more onerous than the long-term offender criteria. In particular, under s. 753(1), the sentencing judge must be satisfied that “the offender constitutes a threat to the life, safety or physical or mental well-being of other persons”, whereas under s. 753.1, the sentencing judge must merely be satisfied that “there is a substantial risk that the offender will reoffend”.  As explained above, when read properly, s. 753(1) limits the availability of an indeterminate detention under s. 753(4) and (4.1) to a narrow group of offenders that are dangerous </w:t>
      </w:r>
      <w:r w:rsidRPr="001854C5">
        <w:rPr>
          <w:rFonts w:cs="Times New Roman"/>
          <w:i/>
          <w:lang w:val="en-US"/>
        </w:rPr>
        <w:t>per se</w:t>
      </w:r>
      <w:r w:rsidRPr="001854C5">
        <w:rPr>
          <w:rFonts w:cs="Times New Roman"/>
          <w:lang w:val="en-US"/>
        </w:rPr>
        <w:t>. It therefore cannot be said that both regimes target the same offenders.</w:t>
      </w:r>
    </w:p>
    <w:p w14:paraId="1BDFE966" w14:textId="77777777" w:rsidR="00D22BB5" w:rsidRPr="001854C5" w:rsidRDefault="00D22BB5" w:rsidP="00F52BD7">
      <w:pPr>
        <w:pStyle w:val="ParaNoNdepar-AltN"/>
        <w:widowControl w:val="0"/>
        <w:tabs>
          <w:tab w:val="clear" w:pos="1152"/>
          <w:tab w:val="left" w:pos="1166"/>
        </w:tabs>
        <w:rPr>
          <w:rFonts w:cs="Times New Roman"/>
          <w:lang w:val="en-US"/>
        </w:rPr>
      </w:pPr>
      <w:r w:rsidRPr="001854C5">
        <w:rPr>
          <w:rFonts w:cs="Times New Roman"/>
          <w:lang w:val="en-US"/>
        </w:rPr>
        <w:t xml:space="preserve">Furthermore, as I have already concluded, </w:t>
      </w:r>
      <w:r>
        <w:rPr>
          <w:rFonts w:cs="Times New Roman"/>
          <w:lang w:val="en-US"/>
        </w:rPr>
        <w:t>s. </w:t>
      </w:r>
      <w:r w:rsidRPr="001854C5">
        <w:rPr>
          <w:rFonts w:cs="Times New Roman"/>
          <w:lang w:val="en-US"/>
        </w:rPr>
        <w:t>753(4.1) does not create a presumption that indeterminate detention is the appropriate sentence</w:t>
      </w:r>
      <w:r>
        <w:rPr>
          <w:rFonts w:cs="Times New Roman"/>
          <w:lang w:val="en-US"/>
        </w:rPr>
        <w:t> </w:t>
      </w:r>
      <w:r w:rsidRPr="001854C5">
        <w:rPr>
          <w:rFonts w:cs="Times New Roman"/>
          <w:lang w:val="en-US"/>
        </w:rPr>
        <w:t>—</w:t>
      </w:r>
      <w:r>
        <w:rPr>
          <w:rFonts w:cs="Times New Roman"/>
          <w:lang w:val="en-US"/>
        </w:rPr>
        <w:t> </w:t>
      </w:r>
      <w:r w:rsidRPr="001854C5">
        <w:rPr>
          <w:rFonts w:cs="Times New Roman"/>
          <w:lang w:val="en-US"/>
        </w:rPr>
        <w:t xml:space="preserve">the sentencing </w:t>
      </w:r>
      <w:r w:rsidRPr="001854C5">
        <w:rPr>
          <w:rFonts w:cs="Times New Roman"/>
          <w:lang w:val="en-US"/>
        </w:rPr>
        <w:lastRenderedPageBreak/>
        <w:t>judge is under the obligation to conduct a thorough inquiry that considers all the evidence presented during the hearing in order to decide the fittest sentence for the offender. Indeed, u</w:t>
      </w:r>
      <w:r>
        <w:rPr>
          <w:rFonts w:cs="Times New Roman"/>
          <w:lang w:val="en-US"/>
        </w:rPr>
        <w:t>nder s. </w:t>
      </w:r>
      <w:r w:rsidRPr="001854C5">
        <w:rPr>
          <w:rFonts w:cs="Times New Roman"/>
          <w:lang w:val="en-US"/>
        </w:rPr>
        <w:t>753(4), a long-term offender sentence remains available for dangerous offenders who can be controlled in the community in a manner that adequately protects the public from murder or a serious personal injury offence.</w:t>
      </w:r>
    </w:p>
    <w:p w14:paraId="7809BD2D" w14:textId="77777777" w:rsidR="00D22BB5" w:rsidRDefault="00D22BB5" w:rsidP="00F52BD7">
      <w:pPr>
        <w:pStyle w:val="ParaNoNdepar-AltN"/>
        <w:widowControl w:val="0"/>
        <w:tabs>
          <w:tab w:val="clear" w:pos="1152"/>
          <w:tab w:val="left" w:pos="1166"/>
        </w:tabs>
        <w:rPr>
          <w:rFonts w:cs="Times New Roman"/>
          <w:lang w:val="en-US"/>
        </w:rPr>
      </w:pPr>
      <w:r w:rsidRPr="001854C5">
        <w:rPr>
          <w:rFonts w:cs="Times New Roman"/>
          <w:lang w:val="en-US"/>
        </w:rPr>
        <w:t xml:space="preserve">Imposing indeterminate detention where the sentencing judge is not satisfied that there is a “reasonable expectation” that a lesser sentence “will adequately protect the public against the commission by the offender of </w:t>
      </w:r>
      <w:r w:rsidRPr="001854C5">
        <w:rPr>
          <w:rFonts w:cs="Times New Roman"/>
          <w:u w:val="single"/>
          <w:lang w:val="en-US"/>
        </w:rPr>
        <w:t>murder or a serious personal injury offence</w:t>
      </w:r>
      <w:r w:rsidRPr="001854C5">
        <w:rPr>
          <w:rFonts w:cs="Times New Roman"/>
          <w:lang w:val="en-US"/>
        </w:rPr>
        <w:t xml:space="preserve">” is </w:t>
      </w:r>
      <w:r w:rsidRPr="001854C5">
        <w:rPr>
          <w:rFonts w:cs="Times New Roman"/>
        </w:rPr>
        <w:t xml:space="preserve">a rational means to achieve the public protection objective of Part XXIV of the </w:t>
      </w:r>
      <w:r w:rsidRPr="001854C5">
        <w:rPr>
          <w:rFonts w:cs="Times New Roman"/>
          <w:i/>
        </w:rPr>
        <w:t>Criminal Code</w:t>
      </w:r>
      <w:r w:rsidRPr="001854C5">
        <w:rPr>
          <w:rFonts w:cs="Times New Roman"/>
        </w:rPr>
        <w:t xml:space="preserve"> insofar as such detention is limited</w:t>
      </w:r>
      <w:r w:rsidRPr="001854C5">
        <w:rPr>
          <w:rFonts w:cs="Times New Roman"/>
          <w:lang w:val="en-US"/>
        </w:rPr>
        <w:t xml:space="preserve"> to habitual criminals who pose a tremendous risk to public safety. A rigorous application of the designation criteria under </w:t>
      </w:r>
      <w:r>
        <w:rPr>
          <w:rFonts w:cs="Times New Roman"/>
          <w:lang w:val="en-US"/>
        </w:rPr>
        <w:t>s. </w:t>
      </w:r>
      <w:r w:rsidRPr="001854C5">
        <w:rPr>
          <w:rFonts w:cs="Times New Roman"/>
          <w:lang w:val="en-US"/>
        </w:rPr>
        <w:t>753(1) ensures that the provision does not overreach by capturing offenders that should not face the risk of a sentence of indeterminate detention.</w:t>
      </w:r>
    </w:p>
    <w:p w14:paraId="519C6A62" w14:textId="77777777" w:rsidR="00D22BB5" w:rsidRPr="001854C5" w:rsidRDefault="00D22BB5" w:rsidP="00F52BD7">
      <w:pPr>
        <w:pStyle w:val="Title2LevelTitre2Niveau"/>
        <w:widowControl w:val="0"/>
        <w:rPr>
          <w:rFonts w:cs="Times New Roman"/>
        </w:rPr>
      </w:pPr>
      <w:r w:rsidRPr="001854C5">
        <w:rPr>
          <w:rFonts w:cs="Times New Roman"/>
        </w:rPr>
        <w:t>Did the Sentencing Judge Err by Sentencing Mr. Boutilier to an Indeterminate Period of Detention?</w:t>
      </w:r>
    </w:p>
    <w:p w14:paraId="78AA1DF2" w14:textId="77777777" w:rsidR="00D22BB5" w:rsidRPr="001854C5" w:rsidRDefault="00D22BB5" w:rsidP="00F52BD7">
      <w:pPr>
        <w:pStyle w:val="ParaNoNdepar-AltN"/>
        <w:widowControl w:val="0"/>
        <w:tabs>
          <w:tab w:val="clear" w:pos="1152"/>
          <w:tab w:val="left" w:pos="1166"/>
        </w:tabs>
        <w:rPr>
          <w:rFonts w:cs="Times New Roman"/>
          <w:iCs/>
        </w:rPr>
      </w:pPr>
      <w:r>
        <w:rPr>
          <w:rFonts w:cs="Times New Roman"/>
        </w:rPr>
        <w:t>Mr. </w:t>
      </w:r>
      <w:r w:rsidRPr="001854C5">
        <w:rPr>
          <w:rFonts w:cs="Times New Roman"/>
        </w:rPr>
        <w:t>Boutilier pleaded guilty to six criminal charges arising out of the robbery of a pharmacy with an imitation firearm and an ensuing car chase. He was 41 years old at the time of the predicate offences and 46 at the time of sentencing.</w:t>
      </w:r>
    </w:p>
    <w:p w14:paraId="314BBFC8" w14:textId="77777777" w:rsidR="00D22BB5" w:rsidRPr="001854C5" w:rsidRDefault="00D22BB5" w:rsidP="00F52BD7">
      <w:pPr>
        <w:pStyle w:val="ParaNoNdepar-AltN"/>
        <w:widowControl w:val="0"/>
        <w:rPr>
          <w:rFonts w:cs="Times New Roman"/>
        </w:rPr>
      </w:pPr>
      <w:r w:rsidRPr="001854C5">
        <w:rPr>
          <w:rFonts w:cs="Times New Roman"/>
        </w:rPr>
        <w:t xml:space="preserve">His criminal record is lengthy, and he has spent the majority of his life incarcerated </w:t>
      </w:r>
      <w:r w:rsidRPr="001854C5">
        <w:rPr>
          <w:rFonts w:cs="Times New Roman"/>
          <w:lang w:val="en-US"/>
        </w:rPr>
        <w:t xml:space="preserve">for similar robbery-related offences committed in Seattle in 1988 and in </w:t>
      </w:r>
      <w:r w:rsidRPr="001854C5">
        <w:rPr>
          <w:rFonts w:cs="Times New Roman"/>
          <w:lang w:val="en-US"/>
        </w:rPr>
        <w:lastRenderedPageBreak/>
        <w:t>Brantford in 2000-2001</w:t>
      </w:r>
      <w:r w:rsidRPr="001854C5">
        <w:rPr>
          <w:rFonts w:cs="Times New Roman"/>
        </w:rPr>
        <w:t>. His adult record, excluding the offences for which the sentencing judge sentenced him, includes 24 convictions for several instances of breaking and entering and other property-related offences, robberies, conspiracy to commit robbery, escape from lawful custody, assault, assault with a weapon, and kidnapping.</w:t>
      </w:r>
    </w:p>
    <w:p w14:paraId="420920AA" w14:textId="77777777" w:rsidR="00D22BB5" w:rsidRPr="001854C5" w:rsidRDefault="00D22BB5" w:rsidP="00F52BD7">
      <w:pPr>
        <w:pStyle w:val="ParaNoNdepar-AltN"/>
        <w:widowControl w:val="0"/>
        <w:tabs>
          <w:tab w:val="clear" w:pos="1152"/>
          <w:tab w:val="left" w:pos="1166"/>
        </w:tabs>
        <w:rPr>
          <w:rFonts w:cs="Times New Roman"/>
          <w:lang w:val="en-US"/>
        </w:rPr>
      </w:pPr>
      <w:r w:rsidRPr="001854C5">
        <w:rPr>
          <w:rFonts w:cs="Times New Roman"/>
          <w:lang w:val="en-US"/>
        </w:rPr>
        <w:t>Mr. Boutilier was assessed by Dr. Schweighofer, a forensic psychologist who found that his tendency to commit dangerous criminal offences flowed from his drug addictions. On this basis, Dr. Schweighofer found that he was very likely to continue committing criminal offences to fund his drug use in the future. He explained that Mr. Boutilier had had little success with the wide variety of drug treatment programs he had been through in his life, with the exception of a program at a halfway house in Vancouver (Belkin House) where he had stayed for several months in 2007-2008, to which he had responded well.</w:t>
      </w:r>
    </w:p>
    <w:p w14:paraId="7336FEC2" w14:textId="77777777" w:rsidR="00D22BB5" w:rsidRPr="001854C5" w:rsidRDefault="00D22BB5" w:rsidP="00F52BD7">
      <w:pPr>
        <w:pStyle w:val="ParaNoNdepar-AltN"/>
        <w:widowControl w:val="0"/>
        <w:tabs>
          <w:tab w:val="clear" w:pos="1152"/>
          <w:tab w:val="left" w:pos="1166"/>
        </w:tabs>
        <w:rPr>
          <w:rFonts w:cs="Times New Roman"/>
          <w:lang w:val="en-US"/>
        </w:rPr>
      </w:pPr>
      <w:r w:rsidRPr="001854C5">
        <w:rPr>
          <w:rFonts w:cs="Times New Roman"/>
          <w:lang w:val="en-US"/>
        </w:rPr>
        <w:t xml:space="preserve">While Mr. Boutilier’s appeal is limited to the imposition of an indeterminate sentence, I must first consider his designation as a dangerous offender. Section 759 of the </w:t>
      </w:r>
      <w:r w:rsidRPr="001854C5">
        <w:rPr>
          <w:rFonts w:cs="Times New Roman"/>
          <w:i/>
          <w:lang w:val="en-US"/>
        </w:rPr>
        <w:t>Criminal Code</w:t>
      </w:r>
      <w:r w:rsidRPr="001854C5">
        <w:rPr>
          <w:rFonts w:cs="Times New Roman"/>
          <w:lang w:val="en-US"/>
        </w:rPr>
        <w:t xml:space="preserve"> regulates the right to appeal in such cases. On the basis of the broad language of this section, this Court has stated that “</w:t>
      </w:r>
      <w:r w:rsidRPr="001854C5">
        <w:rPr>
          <w:rFonts w:cs="Times New Roman"/>
        </w:rPr>
        <w:t>appellate review of a dangerous offender designation is somewhat more robust”</w:t>
      </w:r>
      <w:r w:rsidRPr="001854C5">
        <w:rPr>
          <w:rFonts w:cs="Times New Roman"/>
          <w:lang w:val="en-US"/>
        </w:rPr>
        <w:t xml:space="preserve"> than regular appellate review of a sentence: </w:t>
      </w:r>
      <w:r w:rsidRPr="001854C5">
        <w:rPr>
          <w:rFonts w:cs="Times New Roman"/>
          <w:i/>
          <w:lang w:val="en-US"/>
        </w:rPr>
        <w:t>Sipos</w:t>
      </w:r>
      <w:r w:rsidRPr="001854C5">
        <w:rPr>
          <w:rFonts w:cs="Times New Roman"/>
          <w:lang w:val="en-US"/>
        </w:rPr>
        <w:t xml:space="preserve">, at </w:t>
      </w:r>
      <w:r>
        <w:rPr>
          <w:rFonts w:cs="Times New Roman"/>
          <w:lang w:val="en-US"/>
        </w:rPr>
        <w:t>para. </w:t>
      </w:r>
      <w:r w:rsidRPr="001854C5">
        <w:rPr>
          <w:rFonts w:cs="Times New Roman"/>
          <w:lang w:val="en-US"/>
        </w:rPr>
        <w:t xml:space="preserve">26. </w:t>
      </w:r>
      <w:r w:rsidRPr="001854C5">
        <w:rPr>
          <w:rFonts w:cs="Times New Roman"/>
        </w:rPr>
        <w:t>Nonetheless, the appellate court must give some deference to the findings of the sentencing judge. In sum, errors of law will be reviewed on a correctness standard, while errors of fact will be reviewed on a reasonableness standard: Neuberger, at p. 9-2.</w:t>
      </w:r>
    </w:p>
    <w:p w14:paraId="1FD852FD" w14:textId="77777777" w:rsidR="00D22BB5" w:rsidRPr="001854C5" w:rsidRDefault="00D22BB5" w:rsidP="00F52BD7">
      <w:pPr>
        <w:pStyle w:val="ParaNoNdepar-AltN"/>
        <w:widowControl w:val="0"/>
        <w:tabs>
          <w:tab w:val="clear" w:pos="1152"/>
          <w:tab w:val="left" w:pos="1166"/>
        </w:tabs>
        <w:rPr>
          <w:rFonts w:cs="Times New Roman"/>
          <w:lang w:val="en-US"/>
        </w:rPr>
      </w:pPr>
      <w:r w:rsidRPr="001854C5">
        <w:rPr>
          <w:rFonts w:cs="Times New Roman"/>
          <w:lang w:val="en-US"/>
        </w:rPr>
        <w:lastRenderedPageBreak/>
        <w:t>T</w:t>
      </w:r>
      <w:r w:rsidRPr="001854C5">
        <w:rPr>
          <w:rFonts w:cs="Times New Roman"/>
        </w:rPr>
        <w:t>he sentencing judge committed an error of law, since he failed to consider Mr. Boutilier’s treatment prospects before designating him as a dangerous offender.</w:t>
      </w:r>
      <w:r w:rsidRPr="001854C5">
        <w:rPr>
          <w:rFonts w:cs="Times New Roman"/>
          <w:lang w:val="en-US"/>
        </w:rPr>
        <w:t xml:space="preserve"> However, not every error of law </w:t>
      </w:r>
      <w:r w:rsidRPr="001854C5">
        <w:rPr>
          <w:rFonts w:cs="Times New Roman"/>
        </w:rPr>
        <w:t>requires that a new hearing be ordered. In rare circumstances, where the error of law has not resulted in a substantial wrong or miscarriage of justice, a court of appeal may dismiss an appeal against a declaration that an offender is dangerous under s. 759(3)(b):</w:t>
      </w:r>
    </w:p>
    <w:p w14:paraId="48F466C9" w14:textId="77777777" w:rsidR="00D22BB5" w:rsidRPr="001854C5" w:rsidRDefault="00D22BB5" w:rsidP="00F52BD7">
      <w:pPr>
        <w:pStyle w:val="Citation-AltC"/>
        <w:widowControl w:val="0"/>
        <w:rPr>
          <w:lang w:val="en-US"/>
        </w:rPr>
      </w:pPr>
      <w:r w:rsidRPr="001854C5">
        <w:rPr>
          <w:lang w:val="en-US"/>
        </w:rPr>
        <w:t xml:space="preserve">But if a court of appeal has the power to dismiss an appeal against a declaration that an offender is dangerous on the basis that the error of law has resulted in no substantial wrong or miscarriage of justice, that power may be exercised in only the rarest of circumstances. In </w:t>
      </w:r>
      <w:r w:rsidRPr="001854C5">
        <w:rPr>
          <w:i/>
          <w:lang w:val="en-US"/>
        </w:rPr>
        <w:t>R. v. Bevan</w:t>
      </w:r>
      <w:r w:rsidRPr="001854C5">
        <w:rPr>
          <w:lang w:val="en-US"/>
        </w:rPr>
        <w:t>, [1993] 2 S.C.R. 599, at p. 617, the Court concluded that the curative proviso contained in s. 686(1)(</w:t>
      </w:r>
      <w:r w:rsidRPr="001854C5">
        <w:rPr>
          <w:i/>
          <w:lang w:val="en-US"/>
        </w:rPr>
        <w:t>b</w:t>
      </w:r>
      <w:r w:rsidRPr="001854C5">
        <w:rPr>
          <w:lang w:val="en-US"/>
        </w:rPr>
        <w:t>)(iii) is to be applied in only those circumstances in which there is no reasonable possibility that the verdict would have been any different had the error of law not been made.  The same high standard applies in the context of s. 759(3)(</w:t>
      </w:r>
      <w:r w:rsidRPr="001854C5">
        <w:rPr>
          <w:i/>
          <w:lang w:val="en-US"/>
        </w:rPr>
        <w:t>b</w:t>
      </w:r>
      <w:r w:rsidRPr="001854C5">
        <w:rPr>
          <w:lang w:val="en-US"/>
        </w:rPr>
        <w:t>).</w:t>
      </w:r>
    </w:p>
    <w:p w14:paraId="631813AB" w14:textId="77777777" w:rsidR="00D22BB5" w:rsidRPr="001854C5" w:rsidRDefault="00D22BB5" w:rsidP="00F52BD7">
      <w:pPr>
        <w:pStyle w:val="Citation-AltC"/>
        <w:widowControl w:val="0"/>
        <w:rPr>
          <w:lang w:val="en-US"/>
        </w:rPr>
      </w:pPr>
    </w:p>
    <w:p w14:paraId="2DB7817B" w14:textId="77777777" w:rsidR="00D22BB5" w:rsidRPr="001854C5" w:rsidRDefault="00D22BB5" w:rsidP="00F52BD7">
      <w:pPr>
        <w:pStyle w:val="Citation-AltC"/>
        <w:widowControl w:val="0"/>
        <w:ind w:left="0"/>
        <w:rPr>
          <w:lang w:val="en-US"/>
        </w:rPr>
      </w:pPr>
      <w:r w:rsidRPr="001854C5">
        <w:rPr>
          <w:lang w:val="en-US"/>
        </w:rPr>
        <w:t>(</w:t>
      </w:r>
      <w:r w:rsidRPr="001854C5">
        <w:rPr>
          <w:i/>
          <w:lang w:val="en-US"/>
        </w:rPr>
        <w:t>Johnson</w:t>
      </w:r>
      <w:r w:rsidRPr="001854C5">
        <w:rPr>
          <w:lang w:val="en-US"/>
        </w:rPr>
        <w:t xml:space="preserve">, at para. 49; see also </w:t>
      </w:r>
      <w:r w:rsidRPr="001854C5">
        <w:rPr>
          <w:i/>
          <w:lang w:val="en-US"/>
        </w:rPr>
        <w:t>Sipos</w:t>
      </w:r>
      <w:r w:rsidRPr="001854C5">
        <w:rPr>
          <w:lang w:val="en-US"/>
        </w:rPr>
        <w:t>, at para. 35.)</w:t>
      </w:r>
    </w:p>
    <w:p w14:paraId="73EF16E9" w14:textId="77777777" w:rsidR="00D22BB5" w:rsidRPr="001854C5" w:rsidRDefault="00D22BB5" w:rsidP="00F52BD7">
      <w:pPr>
        <w:pStyle w:val="ParaNoNdepar-AltN"/>
        <w:widowControl w:val="0"/>
        <w:tabs>
          <w:tab w:val="clear" w:pos="1152"/>
          <w:tab w:val="left" w:pos="1166"/>
        </w:tabs>
        <w:rPr>
          <w:rFonts w:cs="Times New Roman"/>
          <w:lang w:val="en-US"/>
        </w:rPr>
      </w:pPr>
      <w:r w:rsidRPr="001854C5">
        <w:rPr>
          <w:rFonts w:cs="Times New Roman"/>
          <w:lang w:val="en-US"/>
        </w:rPr>
        <w:t xml:space="preserve">The instant case involves such a rare circumstance. Here, the error of law does not change the sentencing judge’s conclusion regarding Mr. Boutilier’s dangerousness. The judge found Mr. Boutilier’s conduct to be intractable because his prospect of overcoming his addictions, the source of his dangerousness, was nothing more than an “expression of hope”. </w:t>
      </w:r>
    </w:p>
    <w:p w14:paraId="364ED092" w14:textId="77777777" w:rsidR="00D22BB5" w:rsidRPr="001854C5" w:rsidRDefault="00D22BB5" w:rsidP="00F52BD7">
      <w:pPr>
        <w:pStyle w:val="ParaNoNdepar-AltN"/>
        <w:widowControl w:val="0"/>
        <w:tabs>
          <w:tab w:val="clear" w:pos="1152"/>
          <w:tab w:val="left" w:pos="1166"/>
        </w:tabs>
        <w:rPr>
          <w:rFonts w:cs="Times New Roman"/>
          <w:lang w:val="en-US"/>
        </w:rPr>
      </w:pPr>
      <w:r w:rsidRPr="001854C5">
        <w:rPr>
          <w:rFonts w:cs="Times New Roman"/>
        </w:rPr>
        <w:t>The sentencing judge anticipated a potential disagreement on appeal as to whether s. 753(1) still includes “intractability”. Accordingly, he explained that his analysis would remain unchanged even if he considered Mr. Boutilier’s treatment prospects at the designation stage:</w:t>
      </w:r>
    </w:p>
    <w:p w14:paraId="08A4487C" w14:textId="77777777" w:rsidR="00D22BB5" w:rsidRPr="001854C5" w:rsidRDefault="00D22BB5" w:rsidP="00F52BD7">
      <w:pPr>
        <w:pStyle w:val="Citation-AltC"/>
        <w:widowControl w:val="0"/>
      </w:pPr>
      <w:r w:rsidRPr="001854C5">
        <w:lastRenderedPageBreak/>
        <w:t>I note for completeness, that even were it possible to consider future treatment prospects as part of the designation stage under s. 753(1), an expression of hope would not alter my conclusion of a “likelihood” of future harm, as described earlier. [2015 BCSC 901, at para. 210]</w:t>
      </w:r>
    </w:p>
    <w:p w14:paraId="217D6F8D" w14:textId="77777777" w:rsidR="00D22BB5" w:rsidRPr="001854C5" w:rsidRDefault="00D22BB5" w:rsidP="00F52BD7">
      <w:pPr>
        <w:pStyle w:val="ParaNoNdepar-AltN"/>
        <w:widowControl w:val="0"/>
        <w:tabs>
          <w:tab w:val="clear" w:pos="1152"/>
          <w:tab w:val="left" w:pos="1166"/>
        </w:tabs>
        <w:rPr>
          <w:rFonts w:cs="Times New Roman"/>
          <w:lang w:val="en-US"/>
        </w:rPr>
      </w:pPr>
      <w:r w:rsidRPr="001854C5">
        <w:rPr>
          <w:rFonts w:cs="Times New Roman"/>
          <w:lang w:val="en-US"/>
        </w:rPr>
        <w:t>Absent any material error of law, a</w:t>
      </w:r>
      <w:r w:rsidRPr="001854C5">
        <w:rPr>
          <w:rFonts w:eastAsia="Times New Roman" w:cs="Times New Roman"/>
          <w:szCs w:val="24"/>
          <w:lang w:eastAsia="en-CA"/>
        </w:rPr>
        <w:t xml:space="preserve"> dangerous offender designation is a question of fact. The role of an appellate court is therefore to determine if the designation was reasonable</w:t>
      </w:r>
      <w:r w:rsidRPr="001854C5">
        <w:rPr>
          <w:rFonts w:cs="Times New Roman"/>
          <w:lang w:val="en-US"/>
        </w:rPr>
        <w:t xml:space="preserve">: </w:t>
      </w:r>
      <w:r w:rsidRPr="001854C5">
        <w:rPr>
          <w:rFonts w:cs="Times New Roman"/>
          <w:i/>
          <w:lang w:val="en-US"/>
        </w:rPr>
        <w:t>Currie</w:t>
      </w:r>
      <w:r w:rsidRPr="001854C5">
        <w:rPr>
          <w:rFonts w:cs="Times New Roman"/>
          <w:lang w:val="en-US"/>
        </w:rPr>
        <w:t>, at para. 33. Mr. Boutilier did not direct the attention of this Court to any aspect of the sentencing judge’s decision that would render it unreasonable. The most favourable evidence presented to the sentencing judge concerned Mr. Boutilier’s conduct during the period from November 2007 to August 2008, when he resided at Belkin House in Vancouver. Mr. Boutilier relies heavily on this period in his submissions. However, as the Crown rightly noted during the hearing, the Belkin House period is just one aspect of an overall bleak picture.</w:t>
      </w:r>
    </w:p>
    <w:p w14:paraId="642D3808" w14:textId="77777777" w:rsidR="00D22BB5" w:rsidRPr="001854C5" w:rsidRDefault="00D22BB5" w:rsidP="00F52BD7">
      <w:pPr>
        <w:pStyle w:val="ParaNoNdepar-AltN"/>
        <w:widowControl w:val="0"/>
        <w:tabs>
          <w:tab w:val="clear" w:pos="1152"/>
          <w:tab w:val="left" w:pos="1166"/>
        </w:tabs>
        <w:rPr>
          <w:rFonts w:cs="Times New Roman"/>
          <w:lang w:val="en-US"/>
        </w:rPr>
      </w:pPr>
      <w:r w:rsidRPr="001854C5">
        <w:rPr>
          <w:rFonts w:cs="Times New Roman"/>
          <w:lang w:val="en-US"/>
        </w:rPr>
        <w:t xml:space="preserve">The judge concluded that Mr. Boutilier is not a psychopath or a sexual offender, but rather a drug addict that becomes impulsive and dangerous when using drugs — one who is at a high risk of committing offences when he is in a state of relapse, since he will do whatever is needed to obtain drugs. The judge concluded that, when he commits offences, he puts other people’s physical safety and lives at risk. The judge inferred the depth and intractability of his addiction in part from the fact that he continued to use drugs while in custody despite having overdosed numerous times in his life. The judge concluded that the prospect of successful treatment of Mr. Boutilier’s addiction did not rise above an expression of hope, as his positive experience at Belkin House was a brief positive interlude in a 35-year history: 2015 </w:t>
      </w:r>
      <w:r w:rsidRPr="001854C5">
        <w:rPr>
          <w:rFonts w:cs="Times New Roman"/>
          <w:lang w:val="en-US"/>
        </w:rPr>
        <w:lastRenderedPageBreak/>
        <w:t>BCSC 901, at paras. 203-10. Mr. Boutilier does not argue that these findings of fact are unsupported by the evidence.</w:t>
      </w:r>
    </w:p>
    <w:p w14:paraId="35CB7382" w14:textId="77777777" w:rsidR="00D22BB5" w:rsidRPr="001854C5" w:rsidRDefault="00D22BB5" w:rsidP="00F52BD7">
      <w:pPr>
        <w:pStyle w:val="ParaNoNdepar-AltN"/>
        <w:widowControl w:val="0"/>
        <w:tabs>
          <w:tab w:val="clear" w:pos="1152"/>
          <w:tab w:val="left" w:pos="1166"/>
        </w:tabs>
        <w:rPr>
          <w:rFonts w:cs="Times New Roman"/>
          <w:lang w:val="en-US"/>
        </w:rPr>
      </w:pPr>
      <w:r w:rsidRPr="001854C5">
        <w:rPr>
          <w:rFonts w:cs="Times New Roman"/>
          <w:lang w:val="en-US"/>
        </w:rPr>
        <w:t>Since Mr. Boutilier had consistently failed to adhere to the conditions of his release, the sentencing judge found it impossible to conclude that a determinate sentence and a period of supervision would adequately protect the public from the commission of a serious personal injury offence.</w:t>
      </w:r>
    </w:p>
    <w:p w14:paraId="591B0B95" w14:textId="77777777" w:rsidR="00D22BB5" w:rsidRPr="001854C5" w:rsidRDefault="00D22BB5" w:rsidP="00F52BD7">
      <w:pPr>
        <w:pStyle w:val="ParaNoNdepar-AltN"/>
        <w:widowControl w:val="0"/>
        <w:tabs>
          <w:tab w:val="clear" w:pos="1152"/>
          <w:tab w:val="left" w:pos="1166"/>
        </w:tabs>
        <w:rPr>
          <w:rFonts w:cs="Times New Roman"/>
          <w:lang w:val="en-US"/>
        </w:rPr>
      </w:pPr>
      <w:r w:rsidRPr="001854C5">
        <w:rPr>
          <w:rFonts w:cs="Times New Roman"/>
          <w:lang w:val="en-US"/>
        </w:rPr>
        <w:t>Based on these findings of fact, the designation of Mr. Boutilier as a dangerous offender and the imposition of an indeterminate detention cannot be said to be unreasonable.</w:t>
      </w:r>
    </w:p>
    <w:p w14:paraId="7D98264C" w14:textId="77777777" w:rsidR="00D22BB5" w:rsidRPr="001854C5" w:rsidRDefault="00D22BB5" w:rsidP="00F52BD7">
      <w:pPr>
        <w:pStyle w:val="ParaNoNdepar-AltN"/>
        <w:widowControl w:val="0"/>
        <w:tabs>
          <w:tab w:val="clear" w:pos="1152"/>
          <w:tab w:val="left" w:pos="1166"/>
        </w:tabs>
        <w:rPr>
          <w:rFonts w:cs="Times New Roman"/>
          <w:lang w:val="en-US"/>
        </w:rPr>
      </w:pPr>
      <w:r w:rsidRPr="001854C5">
        <w:rPr>
          <w:rFonts w:cs="Times New Roman"/>
          <w:lang w:val="en-US"/>
        </w:rPr>
        <w:t xml:space="preserve">For these reasons, the appeal is dismissed. Sections 753(1) and 753(4.1) of the </w:t>
      </w:r>
      <w:r w:rsidRPr="001854C5">
        <w:rPr>
          <w:rFonts w:cs="Times New Roman"/>
          <w:i/>
          <w:lang w:val="en-US"/>
        </w:rPr>
        <w:t>Criminal Code</w:t>
      </w:r>
      <w:r w:rsidRPr="001854C5">
        <w:rPr>
          <w:rFonts w:cs="Times New Roman"/>
          <w:lang w:val="en-US"/>
        </w:rPr>
        <w:t xml:space="preserve"> are constitutional. The sentencing judge did not err by sentencing Mr. Boutilier to an indeterminate period of detention.</w:t>
      </w:r>
    </w:p>
    <w:p w14:paraId="15E1EA71" w14:textId="5349C0A7" w:rsidR="00D22BB5" w:rsidRPr="00E040AD" w:rsidRDefault="00B957D9" w:rsidP="00F52BD7">
      <w:pPr>
        <w:pStyle w:val="ParaNoNdepar-AltN"/>
        <w:widowControl w:val="0"/>
        <w:numPr>
          <w:ilvl w:val="0"/>
          <w:numId w:val="0"/>
        </w:numPr>
        <w:tabs>
          <w:tab w:val="left" w:pos="1166"/>
        </w:tabs>
      </w:pPr>
      <w:r>
        <w:tab/>
      </w:r>
      <w:r w:rsidR="00D22BB5" w:rsidRPr="00E040AD">
        <w:t xml:space="preserve">The following are the reasons delivered by </w:t>
      </w:r>
    </w:p>
    <w:p w14:paraId="2C1A42DA" w14:textId="6BC8DA17" w:rsidR="00D22BB5" w:rsidRPr="000C431E" w:rsidRDefault="00D22BB5" w:rsidP="00F52BD7">
      <w:pPr>
        <w:pStyle w:val="JudgeJuge"/>
        <w:widowControl w:val="0"/>
        <w:spacing w:line="240" w:lineRule="auto"/>
      </w:pPr>
      <w:r w:rsidRPr="000C431E">
        <w:tab/>
        <w:t xml:space="preserve">Karakatsanis J. </w:t>
      </w:r>
      <w:r w:rsidR="00EE296D" w:rsidRPr="00EE296D">
        <w:rPr>
          <w:smallCaps w:val="0"/>
        </w:rPr>
        <w:t>(dissenting in part)</w:t>
      </w:r>
      <w:r w:rsidR="00EE296D">
        <w:t xml:space="preserve"> </w:t>
      </w:r>
      <w:r w:rsidRPr="000C431E">
        <w:t xml:space="preserve">— </w:t>
      </w:r>
    </w:p>
    <w:p w14:paraId="068370A7" w14:textId="77777777" w:rsidR="00D22BB5" w:rsidRPr="00E27465" w:rsidRDefault="00D22BB5" w:rsidP="00F52BD7">
      <w:pPr>
        <w:pStyle w:val="Title1LevelTitre1Niveau-AltL"/>
        <w:widowControl w:val="0"/>
        <w:numPr>
          <w:ilvl w:val="0"/>
          <w:numId w:val="29"/>
        </w:numPr>
        <w:rPr>
          <w:rFonts w:cs="Times New Roman"/>
        </w:rPr>
      </w:pPr>
      <w:r w:rsidRPr="00E27465">
        <w:rPr>
          <w:rFonts w:cs="Times New Roman"/>
        </w:rPr>
        <w:t>Overview</w:t>
      </w:r>
    </w:p>
    <w:p w14:paraId="7B8566C5" w14:textId="77777777" w:rsidR="00D22BB5" w:rsidRPr="000C431E" w:rsidRDefault="00D22BB5" w:rsidP="00F52BD7">
      <w:pPr>
        <w:pStyle w:val="ParaNoNdepar-AltN"/>
        <w:widowControl w:val="0"/>
        <w:rPr>
          <w:lang w:val="en-US"/>
        </w:rPr>
      </w:pPr>
      <w:r w:rsidRPr="000C431E">
        <w:t>Thirty years ago, this Court held that a narrowly tailored scheme for the indefinite imprisonment of a very small group of highly dangerous offenders was constitutionally permissible (</w:t>
      </w:r>
      <w:r w:rsidRPr="000C431E">
        <w:rPr>
          <w:i/>
        </w:rPr>
        <w:t>R. v. Lyons</w:t>
      </w:r>
      <w:r w:rsidRPr="000C431E">
        <w:t xml:space="preserve">, [1987] 2 S.C.R. 309). Broad judicial </w:t>
      </w:r>
      <w:r w:rsidRPr="000C431E">
        <w:lastRenderedPageBreak/>
        <w:t xml:space="preserve">discretion was a key safeguard. But legislative changes have since removed much of the judicial discretion on which </w:t>
      </w:r>
      <w:r w:rsidRPr="000C431E">
        <w:rPr>
          <w:i/>
        </w:rPr>
        <w:t xml:space="preserve">Lyons </w:t>
      </w:r>
      <w:r w:rsidRPr="000C431E">
        <w:t xml:space="preserve">was premised. </w:t>
      </w:r>
      <w:r w:rsidRPr="000C431E">
        <w:rPr>
          <w:lang w:val="en-US"/>
        </w:rPr>
        <w:t>The dangerous offender scheme now mandates indeterminate detention — one of the most extreme sanctions in the </w:t>
      </w:r>
      <w:r w:rsidRPr="000C431E">
        <w:rPr>
          <w:i/>
          <w:iCs/>
          <w:lang w:val="en-US"/>
        </w:rPr>
        <w:t>Criminal Code</w:t>
      </w:r>
      <w:r w:rsidRPr="000C431E">
        <w:rPr>
          <w:iCs/>
          <w:lang w:val="en-US"/>
        </w:rPr>
        <w:t>, R.S.C. 1985, c. C-46</w:t>
      </w:r>
      <w:r w:rsidRPr="000C431E">
        <w:rPr>
          <w:i/>
          <w:iCs/>
          <w:lang w:val="en-US"/>
        </w:rPr>
        <w:t xml:space="preserve"> </w:t>
      </w:r>
      <w:r w:rsidRPr="000C431E">
        <w:rPr>
          <w:lang w:val="en-US"/>
        </w:rPr>
        <w:t xml:space="preserve">— even when it is grossly disproportionate to the offender’s moral blameworthiness. </w:t>
      </w:r>
    </w:p>
    <w:p w14:paraId="47C484EF" w14:textId="77777777" w:rsidR="00D22BB5" w:rsidRPr="000C431E" w:rsidRDefault="00D22BB5" w:rsidP="00F52BD7">
      <w:pPr>
        <w:pStyle w:val="ParaNoNdepar-AltN"/>
        <w:widowControl w:val="0"/>
        <w:rPr>
          <w:rFonts w:cs="Times New Roman"/>
        </w:rPr>
      </w:pPr>
      <w:r w:rsidRPr="000C431E">
        <w:rPr>
          <w:rFonts w:cs="Times New Roman"/>
        </w:rPr>
        <w:t xml:space="preserve">I agree with my colleague that s. 753(1) of the </w:t>
      </w:r>
      <w:r w:rsidRPr="000C431E">
        <w:rPr>
          <w:rFonts w:cs="Times New Roman"/>
          <w:i/>
        </w:rPr>
        <w:t>Criminal Code</w:t>
      </w:r>
      <w:r w:rsidRPr="000C431E">
        <w:rPr>
          <w:rFonts w:cs="Times New Roman"/>
        </w:rPr>
        <w:t xml:space="preserve"> calls for consideration of the offender’s future treatment prospects, and thus is not unconstitutionally overbroad on that basis. But given that s. 753(1) provides </w:t>
      </w:r>
      <w:r w:rsidRPr="000C431E">
        <w:rPr>
          <w:rFonts w:cs="Times New Roman"/>
          <w:i/>
        </w:rPr>
        <w:t xml:space="preserve">no </w:t>
      </w:r>
      <w:r w:rsidRPr="000C431E">
        <w:rPr>
          <w:rFonts w:cs="Times New Roman"/>
        </w:rPr>
        <w:t>judicial discretion, and that Mr. Boutilier has not successfully challenged its constitutionality, I cannot agree that s. 753(4.1) passes constitutional muster. By demanding a singular focus on public safety, this provision imposes indeterminate detention in cases where it is grossly disproportionate</w:t>
      </w:r>
      <w:r w:rsidRPr="000C431E">
        <w:rPr>
          <w:rFonts w:cs="Times New Roman"/>
          <w:szCs w:val="24"/>
        </w:rPr>
        <w:t xml:space="preserve"> to the sentence mandated by the sentencing principles in the </w:t>
      </w:r>
      <w:r w:rsidRPr="000C431E">
        <w:rPr>
          <w:rFonts w:cs="Times New Roman"/>
          <w:i/>
          <w:szCs w:val="24"/>
        </w:rPr>
        <w:t>Criminal Code</w:t>
      </w:r>
      <w:r w:rsidRPr="000C431E">
        <w:rPr>
          <w:rFonts w:cs="Times New Roman"/>
        </w:rPr>
        <w:t xml:space="preserve">. Section 753(4.1) violates s. 12 of the </w:t>
      </w:r>
      <w:r w:rsidRPr="000C431E">
        <w:rPr>
          <w:rFonts w:cs="Times New Roman"/>
          <w:i/>
        </w:rPr>
        <w:t xml:space="preserve">Canadian Charter of Rights and Freedoms </w:t>
      </w:r>
      <w:r w:rsidRPr="000C431E">
        <w:rPr>
          <w:rFonts w:cs="Times New Roman"/>
        </w:rPr>
        <w:t xml:space="preserve">and cannot be saved by s. 1. I would therefore declare it of no force or effect. </w:t>
      </w:r>
    </w:p>
    <w:p w14:paraId="592C97EB" w14:textId="77777777" w:rsidR="00D22BB5" w:rsidRPr="000C431E" w:rsidRDefault="00D22BB5" w:rsidP="00F52BD7">
      <w:pPr>
        <w:pStyle w:val="ParaNoNdepar-AltN"/>
        <w:widowControl w:val="0"/>
        <w:rPr>
          <w:rFonts w:cs="Times New Roman"/>
        </w:rPr>
      </w:pPr>
      <w:r w:rsidRPr="000C431E">
        <w:rPr>
          <w:rFonts w:cs="Times New Roman"/>
        </w:rPr>
        <w:t xml:space="preserve">Mr. Boutilier was sentenced to indeterminate detention on the basis of an unconstitutional provision. There is a reasonable possibility that a determinate sentence with a long-term supervision order would have been imposed had the sentencing judge not proceeded on the basis that his discretion was curtailed by s. 753(4.1). A new hearing is therefore required to determine the appropriate sentence. </w:t>
      </w:r>
    </w:p>
    <w:p w14:paraId="1ECCFD12" w14:textId="77777777" w:rsidR="00D22BB5" w:rsidRPr="000C431E" w:rsidRDefault="00D22BB5" w:rsidP="00F52BD7">
      <w:pPr>
        <w:pStyle w:val="Title1LevelTitre1Niveau-AltL"/>
        <w:widowControl w:val="0"/>
        <w:rPr>
          <w:rFonts w:cs="Times New Roman"/>
        </w:rPr>
      </w:pPr>
      <w:r w:rsidRPr="000C431E">
        <w:rPr>
          <w:rFonts w:cs="Times New Roman"/>
        </w:rPr>
        <w:t>Legislative Evolution</w:t>
      </w:r>
    </w:p>
    <w:p w14:paraId="39156831" w14:textId="13639666" w:rsidR="00D22BB5" w:rsidRPr="000C431E" w:rsidRDefault="00D22BB5" w:rsidP="00F52BD7">
      <w:pPr>
        <w:pStyle w:val="ParaNoNdepar-AltN"/>
        <w:widowControl w:val="0"/>
        <w:rPr>
          <w:rFonts w:cs="Times New Roman"/>
        </w:rPr>
      </w:pPr>
      <w:r w:rsidRPr="000C431E">
        <w:rPr>
          <w:rFonts w:cs="Times New Roman"/>
        </w:rPr>
        <w:lastRenderedPageBreak/>
        <w:t xml:space="preserve">The dangerous offender provisions are found in ss. 752 to 761 of the </w:t>
      </w:r>
      <w:r w:rsidRPr="000C431E">
        <w:rPr>
          <w:rFonts w:cs="Times New Roman"/>
          <w:i/>
        </w:rPr>
        <w:t>Criminal Code</w:t>
      </w:r>
      <w:r w:rsidRPr="000C431E">
        <w:rPr>
          <w:rFonts w:cs="Times New Roman"/>
        </w:rPr>
        <w:t>. On the application of a prosecutor, after an expert psychological assessment, a hearing is held to determine whether the offender should be designated as dangerous and</w:t>
      </w:r>
      <w:r w:rsidR="00EE296D">
        <w:rPr>
          <w:rFonts w:cs="Times New Roman"/>
        </w:rPr>
        <w:t>,</w:t>
      </w:r>
      <w:r w:rsidRPr="000C431E">
        <w:rPr>
          <w:rFonts w:cs="Times New Roman"/>
        </w:rPr>
        <w:t xml:space="preserve"> if so, whether he or she should be sentenced to indeterminate detention (s. 753).</w:t>
      </w:r>
    </w:p>
    <w:p w14:paraId="054AF2AD" w14:textId="77777777" w:rsidR="00D22BB5" w:rsidRPr="000C431E" w:rsidRDefault="00D22BB5" w:rsidP="00F52BD7">
      <w:pPr>
        <w:pStyle w:val="ParaNoNdepar-AltN"/>
        <w:widowControl w:val="0"/>
        <w:rPr>
          <w:rFonts w:cs="Times New Roman"/>
        </w:rPr>
      </w:pPr>
      <w:r w:rsidRPr="000C431E">
        <w:rPr>
          <w:rFonts w:cs="Times New Roman"/>
        </w:rPr>
        <w:t xml:space="preserve">When this Court first assessed the constitutionality of the dangerous offender scheme in </w:t>
      </w:r>
      <w:r w:rsidRPr="000C431E">
        <w:rPr>
          <w:rFonts w:cs="Times New Roman"/>
          <w:i/>
        </w:rPr>
        <w:t>Lyons</w:t>
      </w:r>
      <w:r w:rsidRPr="000C431E">
        <w:rPr>
          <w:rFonts w:cs="Times New Roman"/>
        </w:rPr>
        <w:t>, the legislation provided the sentencing judge with discretion at both the designation and the penalty stages. The legislation stated that a sentencing judge “may” designate an offender as dangerous if the legislative criteria for dangerousness were met. In addition, the sentencing judge had discretion as to whether to impose indeterminate detention on a designated dangerous offender (</w:t>
      </w:r>
      <w:r w:rsidRPr="000C431E">
        <w:rPr>
          <w:rFonts w:cs="Times New Roman"/>
          <w:i/>
        </w:rPr>
        <w:t>Criminal Code</w:t>
      </w:r>
      <w:r w:rsidRPr="000C431E">
        <w:rPr>
          <w:rFonts w:cs="Times New Roman"/>
        </w:rPr>
        <w:t>, R.S.C. 1970, c. C-34, s. 688 [rep. &amp; sub. 1976-77, c. 53, s. 14]).</w:t>
      </w:r>
    </w:p>
    <w:p w14:paraId="274C8647" w14:textId="77777777" w:rsidR="00D22BB5" w:rsidRPr="000C431E" w:rsidRDefault="00D22BB5" w:rsidP="00F52BD7">
      <w:pPr>
        <w:pStyle w:val="ParaNoNdepar-AltN"/>
        <w:widowControl w:val="0"/>
        <w:rPr>
          <w:rFonts w:cs="Times New Roman"/>
        </w:rPr>
      </w:pPr>
      <w:r w:rsidRPr="000C431E">
        <w:rPr>
          <w:rFonts w:cs="Times New Roman"/>
        </w:rPr>
        <w:t xml:space="preserve">Changes were made to the dangerous offender scheme in 1997 by the </w:t>
      </w:r>
      <w:r w:rsidRPr="000C431E">
        <w:rPr>
          <w:rFonts w:cs="Times New Roman"/>
          <w:i/>
        </w:rPr>
        <w:t>Act to amend the Criminal Code (high risk offenders), the Corrections and Conditional Release Act, the Criminal Records Act, the Prisons and Reformatories Act and the Department of the Solicitor General Act</w:t>
      </w:r>
      <w:r w:rsidRPr="000C431E">
        <w:rPr>
          <w:rFonts w:cs="Times New Roman"/>
        </w:rPr>
        <w:t xml:space="preserve">, S.C. 1997, c. 17. The legislative amendments removed the discretion at the penalty stage. While sentencing judges retained discretion on whether to designate an offender as dangerous when the statutory criteria for dangerousness were met (s. 753(1)), the legislation stated that a judge “shall” sentence designated dangerous offenders to indeterminate detention (s. 753(4)). In </w:t>
      </w:r>
      <w:r w:rsidRPr="000C431E">
        <w:rPr>
          <w:rFonts w:cs="Times New Roman"/>
          <w:i/>
        </w:rPr>
        <w:t>R. v. Johnson</w:t>
      </w:r>
      <w:r w:rsidRPr="000C431E">
        <w:rPr>
          <w:rFonts w:cs="Times New Roman"/>
        </w:rPr>
        <w:t>, 2003 SCC 46, [2003] 2 S.C.R. 357, this Court confirmed that, under this legislative scheme, judges could not impose an indeterminate sentence if they were “</w:t>
      </w:r>
      <w:r w:rsidRPr="000C431E">
        <w:rPr>
          <w:rFonts w:cs="Times New Roman"/>
          <w:lang w:val="en"/>
        </w:rPr>
        <w:t xml:space="preserve">satisfied that </w:t>
      </w:r>
      <w:r w:rsidRPr="000C431E">
        <w:rPr>
          <w:rFonts w:cs="Times New Roman"/>
          <w:lang w:val="en"/>
        </w:rPr>
        <w:lastRenderedPageBreak/>
        <w:t>the sentencing options available under the long-term offender provisions [were] sufficient to reduce the threat to the life, safety or physical or mental well-being of other persons to an acceptable level” (para. 40).</w:t>
      </w:r>
      <w:r w:rsidRPr="000C431E">
        <w:rPr>
          <w:rFonts w:cs="Times New Roman"/>
        </w:rPr>
        <w:t xml:space="preserve"> This ensured that offenders who met the statutory criteria were only designated as dangerous and sentenced to indeterminate detention if their risk could not be adequately managed through the long-term offender scheme. Although there was no discretion at the penalty stage, discretion at the designation stage ensured that the sentencing principles in ss. 718 to 718.2 of the </w:t>
      </w:r>
      <w:r w:rsidRPr="000C431E">
        <w:rPr>
          <w:rFonts w:cs="Times New Roman"/>
          <w:i/>
        </w:rPr>
        <w:t>Criminal Code</w:t>
      </w:r>
      <w:r w:rsidRPr="000C431E">
        <w:rPr>
          <w:rFonts w:cs="Times New Roman"/>
        </w:rPr>
        <w:t xml:space="preserve"> continued to guide decisions under the dangerous offender scheme (</w:t>
      </w:r>
      <w:r w:rsidRPr="000C431E">
        <w:rPr>
          <w:rFonts w:cs="Times New Roman"/>
          <w:i/>
        </w:rPr>
        <w:t>Johnson</w:t>
      </w:r>
      <w:r w:rsidRPr="000C431E">
        <w:rPr>
          <w:rFonts w:cs="Times New Roman"/>
        </w:rPr>
        <w:t xml:space="preserve">, at para. 28). Once again, judicial discretion helped guarantee that only “a </w:t>
      </w:r>
      <w:r w:rsidRPr="000C431E">
        <w:rPr>
          <w:rFonts w:cs="Times New Roman"/>
          <w:spacing w:val="-3"/>
          <w:lang w:val="en-US"/>
        </w:rPr>
        <w:t>small group of highly dangerous criminals posing threats to the physical or mental well</w:t>
      </w:r>
      <w:r w:rsidRPr="000C431E">
        <w:rPr>
          <w:rFonts w:cs="Times New Roman"/>
          <w:spacing w:val="-3"/>
          <w:lang w:val="en-US"/>
        </w:rPr>
        <w:noBreakHyphen/>
        <w:t>being of their victims”</w:t>
      </w:r>
      <w:r w:rsidRPr="000C431E">
        <w:rPr>
          <w:rFonts w:cs="Times New Roman"/>
        </w:rPr>
        <w:t xml:space="preserve"> would be sentenced to indefinite imprisonment (</w:t>
      </w:r>
      <w:r w:rsidRPr="000C431E">
        <w:rPr>
          <w:rFonts w:cs="Times New Roman"/>
          <w:i/>
        </w:rPr>
        <w:t>Lyons</w:t>
      </w:r>
      <w:r w:rsidRPr="000C431E">
        <w:rPr>
          <w:rFonts w:cs="Times New Roman"/>
        </w:rPr>
        <w:t xml:space="preserve">, at p. 347; </w:t>
      </w:r>
      <w:r w:rsidRPr="000C431E">
        <w:rPr>
          <w:rFonts w:cs="Times New Roman"/>
          <w:i/>
        </w:rPr>
        <w:t>Johnson</w:t>
      </w:r>
      <w:r w:rsidRPr="000C431E">
        <w:rPr>
          <w:rFonts w:cs="Times New Roman"/>
        </w:rPr>
        <w:t xml:space="preserve">, at para. 19). </w:t>
      </w:r>
    </w:p>
    <w:p w14:paraId="3DC82ACF" w14:textId="77777777" w:rsidR="00D22BB5" w:rsidRPr="000C431E" w:rsidRDefault="00D22BB5" w:rsidP="00F52BD7">
      <w:pPr>
        <w:pStyle w:val="ParaNoNdepar-AltN"/>
        <w:widowControl w:val="0"/>
        <w:rPr>
          <w:rFonts w:cs="Times New Roman"/>
          <w:lang w:val="en"/>
        </w:rPr>
      </w:pPr>
      <w:r w:rsidRPr="000C431E">
        <w:rPr>
          <w:rFonts w:cs="Times New Roman"/>
        </w:rPr>
        <w:t xml:space="preserve">The dangerous offender scheme was amended again in 2008 when the </w:t>
      </w:r>
      <w:r w:rsidRPr="000C431E">
        <w:rPr>
          <w:rFonts w:cs="Times New Roman"/>
          <w:i/>
        </w:rPr>
        <w:t>Tackling Violent Crime Act</w:t>
      </w:r>
      <w:r w:rsidRPr="000C431E">
        <w:rPr>
          <w:rFonts w:cs="Times New Roman"/>
        </w:rPr>
        <w:t xml:space="preserve">, S.C. 2008, c. 6, came into force. It removed all judicial discretion at the designation stage. Thus, an offender who meets the legislative criteria for dangerousness </w:t>
      </w:r>
      <w:r w:rsidRPr="000C431E">
        <w:rPr>
          <w:rFonts w:cs="Times New Roman"/>
          <w:i/>
        </w:rPr>
        <w:t>must</w:t>
      </w:r>
      <w:r w:rsidRPr="000C431E">
        <w:rPr>
          <w:rFonts w:cs="Times New Roman"/>
        </w:rPr>
        <w:t xml:space="preserve"> be designated a dangerous offender (s. 753(1)). At the penalty stage, s. 753(4) provides the sentencing judge with broad discretion to impose either an indeterminate sentence, a determinate sentence with a long-term supervision order of a maximum of 10 years, or a determinate sentence alone. However, s. 753(4.1) curtails this discretion significantly. It mandates an indeterminate sentence unless the sentencing judge is satisfied by the evidence presented at the hearing “that there is a reasonable expectation that [either a determinate sentence followed by a long-term supervision order or a determinate sentence alone] will adequately protect the public </w:t>
      </w:r>
      <w:r w:rsidRPr="000C431E">
        <w:rPr>
          <w:rFonts w:cs="Times New Roman"/>
          <w:lang w:val="en"/>
        </w:rPr>
        <w:lastRenderedPageBreak/>
        <w:t xml:space="preserve">against the commission by the offender of murder or a serious personal injury offence”. If the evidence on the application does not satisfy this threshold, a judge must impose indeterminate detention. These changes have dramatically altered the legislative scheme this Court deemed constitutional in </w:t>
      </w:r>
      <w:r w:rsidRPr="000C431E">
        <w:rPr>
          <w:rFonts w:cs="Times New Roman"/>
          <w:i/>
          <w:lang w:val="en"/>
        </w:rPr>
        <w:t>Lyons</w:t>
      </w:r>
      <w:r w:rsidRPr="000C431E">
        <w:rPr>
          <w:rFonts w:cs="Times New Roman"/>
          <w:lang w:val="en"/>
        </w:rPr>
        <w:t>.</w:t>
      </w:r>
    </w:p>
    <w:p w14:paraId="431F18F2" w14:textId="77777777" w:rsidR="00D22BB5" w:rsidRPr="000C431E" w:rsidRDefault="00D22BB5" w:rsidP="00F52BD7">
      <w:pPr>
        <w:pStyle w:val="Title1LevelTitre1Niveau-AltL"/>
        <w:widowControl w:val="0"/>
        <w:rPr>
          <w:rFonts w:cs="Times New Roman"/>
        </w:rPr>
      </w:pPr>
      <w:r w:rsidRPr="000C431E">
        <w:rPr>
          <w:rFonts w:cs="Times New Roman"/>
        </w:rPr>
        <w:t>Analysis</w:t>
      </w:r>
    </w:p>
    <w:p w14:paraId="1B0CDC46" w14:textId="77777777" w:rsidR="00D22BB5" w:rsidRPr="000C431E" w:rsidRDefault="00D22BB5" w:rsidP="00F52BD7">
      <w:pPr>
        <w:pStyle w:val="ParaNoNdepar-AltN"/>
        <w:widowControl w:val="0"/>
        <w:rPr>
          <w:rFonts w:cs="Times New Roman"/>
        </w:rPr>
      </w:pPr>
      <w:r w:rsidRPr="000C431E">
        <w:rPr>
          <w:rFonts w:cs="Times New Roman"/>
        </w:rPr>
        <w:t xml:space="preserve">Mr. Boutilier argues that s. 753(4.1) is overbroad and mandates grossly disproportionate sentences in reasonably foreseeable circumstances, in violation of ss. 7 and 12 of the </w:t>
      </w:r>
      <w:r w:rsidRPr="000C431E">
        <w:rPr>
          <w:rFonts w:cs="Times New Roman"/>
          <w:i/>
        </w:rPr>
        <w:t>Charter</w:t>
      </w:r>
      <w:r w:rsidRPr="000C431E">
        <w:rPr>
          <w:rFonts w:cs="Times New Roman"/>
        </w:rPr>
        <w:t xml:space="preserve">. I agree that s. 753(4.1) violates s. 12, and that this violation cannot be justified under s. 1 of the </w:t>
      </w:r>
      <w:r w:rsidRPr="000C431E">
        <w:rPr>
          <w:rFonts w:cs="Times New Roman"/>
          <w:i/>
        </w:rPr>
        <w:t>Charter</w:t>
      </w:r>
      <w:r w:rsidRPr="000C431E">
        <w:rPr>
          <w:rFonts w:cs="Times New Roman"/>
        </w:rPr>
        <w:t>.</w:t>
      </w:r>
      <w:r w:rsidRPr="000C431E">
        <w:rPr>
          <w:rFonts w:cs="Times New Roman"/>
          <w:i/>
        </w:rPr>
        <w:t xml:space="preserve"> </w:t>
      </w:r>
      <w:r w:rsidRPr="000C431E">
        <w:rPr>
          <w:rFonts w:cs="Times New Roman"/>
        </w:rPr>
        <w:t>Given these conclusions, it is unnecessary to consider whether the provision also violates s. 7.</w:t>
      </w:r>
    </w:p>
    <w:p w14:paraId="576B3388" w14:textId="77777777" w:rsidR="00D22BB5" w:rsidRPr="000C431E" w:rsidRDefault="00D22BB5" w:rsidP="00F52BD7">
      <w:pPr>
        <w:pStyle w:val="Title2LevelTitre2Niveau"/>
        <w:widowControl w:val="0"/>
        <w:rPr>
          <w:rFonts w:cs="Times New Roman"/>
        </w:rPr>
      </w:pPr>
      <w:r w:rsidRPr="000C431E">
        <w:rPr>
          <w:rFonts w:cs="Times New Roman"/>
        </w:rPr>
        <w:t>Section 753(4.1) Violates Section 12 of the Charter</w:t>
      </w:r>
    </w:p>
    <w:p w14:paraId="46A4DAE6" w14:textId="77777777" w:rsidR="00D22BB5" w:rsidRPr="000C431E" w:rsidRDefault="00D22BB5" w:rsidP="00F52BD7">
      <w:pPr>
        <w:pStyle w:val="ParaNoNdepar-AltN"/>
        <w:widowControl w:val="0"/>
        <w:rPr>
          <w:rFonts w:cs="Times New Roman"/>
        </w:rPr>
      </w:pPr>
      <w:r w:rsidRPr="000C431E">
        <w:rPr>
          <w:rFonts w:cs="Times New Roman"/>
          <w:szCs w:val="24"/>
        </w:rPr>
        <w:t xml:space="preserve">Section 12 of the </w:t>
      </w:r>
      <w:r w:rsidRPr="000C431E">
        <w:rPr>
          <w:rFonts w:cs="Times New Roman"/>
          <w:i/>
          <w:szCs w:val="24"/>
        </w:rPr>
        <w:t xml:space="preserve">Charter </w:t>
      </w:r>
      <w:r w:rsidRPr="000C431E">
        <w:rPr>
          <w:rFonts w:cs="Times New Roman"/>
          <w:szCs w:val="24"/>
        </w:rPr>
        <w:t>states: “</w:t>
      </w:r>
      <w:r w:rsidRPr="000C431E">
        <w:rPr>
          <w:rFonts w:eastAsia="Times New Roman" w:cs="Times New Roman"/>
          <w:szCs w:val="24"/>
          <w:lang w:val="en" w:eastAsia="en-CA"/>
        </w:rPr>
        <w:t xml:space="preserve">Everyone has the right not to be subjected to any cruel and unusual treatment or punishment.” </w:t>
      </w:r>
      <w:r w:rsidRPr="000C431E">
        <w:rPr>
          <w:rFonts w:cs="Times New Roman"/>
          <w:szCs w:val="24"/>
        </w:rPr>
        <w:t xml:space="preserve">A law violates s. 12 if it mandates a sentence that is “grossly disproportionate to the sentence the conduct would otherwise merit under the sentencing provisions of the </w:t>
      </w:r>
      <w:r w:rsidRPr="000C431E">
        <w:rPr>
          <w:rFonts w:cs="Times New Roman"/>
          <w:i/>
          <w:szCs w:val="24"/>
        </w:rPr>
        <w:t>Criminal Code</w:t>
      </w:r>
      <w:r w:rsidRPr="000C431E">
        <w:rPr>
          <w:rFonts w:cs="Times New Roman"/>
          <w:szCs w:val="24"/>
        </w:rPr>
        <w:t>” (</w:t>
      </w:r>
      <w:r w:rsidRPr="000C431E">
        <w:rPr>
          <w:rFonts w:cs="Times New Roman"/>
          <w:i/>
          <w:szCs w:val="24"/>
        </w:rPr>
        <w:t>R. v. Nur</w:t>
      </w:r>
      <w:r w:rsidRPr="000C431E">
        <w:rPr>
          <w:rFonts w:cs="Times New Roman"/>
          <w:szCs w:val="24"/>
        </w:rPr>
        <w:t>,</w:t>
      </w:r>
      <w:r w:rsidRPr="000C431E">
        <w:rPr>
          <w:rFonts w:cs="Times New Roman"/>
          <w:i/>
          <w:szCs w:val="24"/>
        </w:rPr>
        <w:t xml:space="preserve"> </w:t>
      </w:r>
      <w:r w:rsidRPr="000C431E">
        <w:rPr>
          <w:rFonts w:cs="Times New Roman"/>
          <w:szCs w:val="24"/>
        </w:rPr>
        <w:t>2015 SCC 15, [2015] 1 S.C.R. 773, at para. 82). The appropriate sentence, for comparative purposes, is determined in light of the relevant sentencing principles an</w:t>
      </w:r>
      <w:r w:rsidRPr="000C431E">
        <w:rPr>
          <w:rFonts w:cs="Times New Roman"/>
        </w:rPr>
        <w:t xml:space="preserve">d objectives set out in ss. 718 to 718.2 of the </w:t>
      </w:r>
      <w:r w:rsidRPr="000C431E">
        <w:rPr>
          <w:rFonts w:cs="Times New Roman"/>
          <w:i/>
        </w:rPr>
        <w:t xml:space="preserve">Criminal Code </w:t>
      </w:r>
      <w:r w:rsidRPr="000C431E">
        <w:rPr>
          <w:rFonts w:cs="Times New Roman"/>
        </w:rPr>
        <w:t>(</w:t>
      </w:r>
      <w:r w:rsidRPr="000C431E">
        <w:rPr>
          <w:rFonts w:cs="Times New Roman"/>
          <w:i/>
        </w:rPr>
        <w:t>Nur</w:t>
      </w:r>
      <w:r w:rsidRPr="000C431E">
        <w:rPr>
          <w:rFonts w:cs="Times New Roman"/>
        </w:rPr>
        <w:t xml:space="preserve">, at paras. 40-42).  A mere distinction between the sentence imposed by the challenged provision and the appropriate sentence does not suffice to render the provision unconstitutional. The sentence imposed must be </w:t>
      </w:r>
      <w:r w:rsidRPr="000C431E">
        <w:rPr>
          <w:rFonts w:cs="Times New Roman"/>
        </w:rPr>
        <w:lastRenderedPageBreak/>
        <w:t>“</w:t>
      </w:r>
      <w:r w:rsidRPr="000C431E">
        <w:rPr>
          <w:rFonts w:cs="Times New Roman"/>
          <w:lang w:val="en"/>
        </w:rPr>
        <w:t>disproportionate to the extent that Canadians ‘would find the punishment abhorrent or intolerable’” in order to constitute cruel and unusual punishment (</w:t>
      </w:r>
      <w:r w:rsidRPr="000C431E">
        <w:rPr>
          <w:rFonts w:cs="Times New Roman"/>
          <w:i/>
          <w:lang w:val="en"/>
        </w:rPr>
        <w:t>R. v. Ferguson</w:t>
      </w:r>
      <w:r w:rsidRPr="000C431E">
        <w:rPr>
          <w:rFonts w:cs="Times New Roman"/>
          <w:lang w:val="en"/>
        </w:rPr>
        <w:t xml:space="preserve">, 2008 SCC 6, [2008] 1 S.C.R. 96, at para. 14, quoting </w:t>
      </w:r>
      <w:r w:rsidRPr="000C431E">
        <w:rPr>
          <w:rFonts w:cs="Times New Roman"/>
          <w:i/>
          <w:lang w:val="en"/>
        </w:rPr>
        <w:t>R. v. Wiles</w:t>
      </w:r>
      <w:r w:rsidRPr="000C431E">
        <w:rPr>
          <w:rFonts w:cs="Times New Roman"/>
          <w:lang w:val="en"/>
        </w:rPr>
        <w:t>, 2005 SCC 84, [2005] 3 S.C.R. 895, at para. 4). The law violates s. 12 if it imposes a grossly disproportionate sentence on the individual before the court or in reasonably foreseeable cases (</w:t>
      </w:r>
      <w:r w:rsidRPr="000C431E">
        <w:rPr>
          <w:rFonts w:cs="Times New Roman"/>
          <w:i/>
          <w:lang w:val="en"/>
        </w:rPr>
        <w:t>R. v. Lloyd</w:t>
      </w:r>
      <w:r w:rsidRPr="000C431E">
        <w:rPr>
          <w:rFonts w:cs="Times New Roman"/>
          <w:lang w:val="en"/>
        </w:rPr>
        <w:t xml:space="preserve">, 2016 SCC 13, [2016] 1 S.C.R. 130, at paras. 22-23). </w:t>
      </w:r>
    </w:p>
    <w:p w14:paraId="3D6E7203" w14:textId="77777777" w:rsidR="00D22BB5" w:rsidRPr="000C431E" w:rsidRDefault="00D22BB5" w:rsidP="00F52BD7">
      <w:pPr>
        <w:pStyle w:val="ParaNoNdepar-AltN"/>
        <w:widowControl w:val="0"/>
        <w:rPr>
          <w:rFonts w:cs="Times New Roman"/>
        </w:rPr>
      </w:pPr>
      <w:r w:rsidRPr="000C431E">
        <w:rPr>
          <w:rFonts w:cs="Times New Roman"/>
          <w:lang w:val="en"/>
        </w:rPr>
        <w:t xml:space="preserve">I agree with Mr. Boutilier that s. 753(4.1) violates the </w:t>
      </w:r>
      <w:r w:rsidRPr="000C431E">
        <w:rPr>
          <w:rFonts w:cs="Times New Roman"/>
          <w:i/>
          <w:lang w:val="en"/>
        </w:rPr>
        <w:t>Charter</w:t>
      </w:r>
      <w:r w:rsidRPr="000C431E">
        <w:rPr>
          <w:rFonts w:cs="Times New Roman"/>
          <w:lang w:val="en"/>
        </w:rPr>
        <w:t xml:space="preserve"> protection against cruel and unusual punishment. To explain why, this challenged provision must be interpreted and considered in the context of the dangerous offender scheme. </w:t>
      </w:r>
    </w:p>
    <w:p w14:paraId="5118A95E" w14:textId="77777777" w:rsidR="00D22BB5" w:rsidRPr="000C431E" w:rsidRDefault="00D22BB5" w:rsidP="00F52BD7">
      <w:pPr>
        <w:pStyle w:val="Title3LevelTitre3Niveau"/>
        <w:widowControl w:val="0"/>
        <w:rPr>
          <w:rFonts w:cs="Times New Roman"/>
        </w:rPr>
      </w:pPr>
      <w:r w:rsidRPr="000C431E">
        <w:rPr>
          <w:rFonts w:cs="Times New Roman"/>
        </w:rPr>
        <w:t>Section 753(1)</w:t>
      </w:r>
    </w:p>
    <w:p w14:paraId="3A26518B" w14:textId="77777777" w:rsidR="00D22BB5" w:rsidRPr="000C431E" w:rsidRDefault="00D22BB5" w:rsidP="00F52BD7">
      <w:pPr>
        <w:pStyle w:val="ParaNoNdepar-AltN"/>
        <w:widowControl w:val="0"/>
        <w:rPr>
          <w:rFonts w:cs="Times New Roman"/>
        </w:rPr>
      </w:pPr>
      <w:r w:rsidRPr="000C431E">
        <w:rPr>
          <w:rFonts w:cs="Times New Roman"/>
        </w:rPr>
        <w:t xml:space="preserve">Section 753(1), the dangerous offender designation provision, is the gateway to indeterminate detention. As decisions of this Court since </w:t>
      </w:r>
      <w:r w:rsidRPr="000C431E">
        <w:rPr>
          <w:rFonts w:cs="Times New Roman"/>
          <w:i/>
        </w:rPr>
        <w:t>Lyons</w:t>
      </w:r>
      <w:r w:rsidRPr="000C431E">
        <w:rPr>
          <w:rFonts w:cs="Times New Roman"/>
        </w:rPr>
        <w:t xml:space="preserve"> make clear, the degree of responsibility of the offenders caught by s. 753(1) and the gravity of their offences vary greatly.</w:t>
      </w:r>
    </w:p>
    <w:p w14:paraId="6B130587" w14:textId="5C6AF710" w:rsidR="00D22BB5" w:rsidRPr="000C431E" w:rsidRDefault="00D22BB5" w:rsidP="00F52BD7">
      <w:pPr>
        <w:pStyle w:val="ParaNoNdepar-AltN"/>
        <w:widowControl w:val="0"/>
        <w:rPr>
          <w:rFonts w:cs="Times New Roman"/>
        </w:rPr>
      </w:pPr>
      <w:r w:rsidRPr="000C431E">
        <w:rPr>
          <w:rFonts w:cs="Times New Roman"/>
        </w:rPr>
        <w:t xml:space="preserve">For an offender to be designated as dangerous, he or she must have been convicted of a “serious personal injury offence” as defined in s. 752 of the </w:t>
      </w:r>
      <w:r w:rsidRPr="000C431E">
        <w:rPr>
          <w:rFonts w:cs="Times New Roman"/>
          <w:i/>
        </w:rPr>
        <w:t>Criminal Code</w:t>
      </w:r>
      <w:r w:rsidRPr="000C431E">
        <w:rPr>
          <w:rFonts w:cs="Times New Roman"/>
        </w:rPr>
        <w:t>. Serious personal injury offences include offences involving violence or attempted violence against another person (s. 752(a)(i)) and offences likely to endanger life or safety or cause severe psychological damage (s. 752(a)(ii)) for which the maximum penalty is at least 10 years in prison.</w:t>
      </w:r>
      <w:r w:rsidRPr="000C431E">
        <w:rPr>
          <w:rFonts w:cs="Times New Roman"/>
          <w:i/>
        </w:rPr>
        <w:t xml:space="preserve"> </w:t>
      </w:r>
      <w:r w:rsidRPr="000C431E">
        <w:rPr>
          <w:rFonts w:cs="Times New Roman"/>
        </w:rPr>
        <w:t xml:space="preserve">As this Court acknowledged in </w:t>
      </w:r>
      <w:r w:rsidRPr="000C431E">
        <w:rPr>
          <w:rFonts w:cs="Times New Roman"/>
          <w:i/>
        </w:rPr>
        <w:t xml:space="preserve">R. v. </w:t>
      </w:r>
      <w:r w:rsidRPr="000C431E">
        <w:rPr>
          <w:rFonts w:cs="Times New Roman"/>
          <w:i/>
        </w:rPr>
        <w:lastRenderedPageBreak/>
        <w:t>Steele</w:t>
      </w:r>
      <w:r w:rsidRPr="000C431E">
        <w:rPr>
          <w:rFonts w:cs="Times New Roman"/>
        </w:rPr>
        <w:t xml:space="preserve">, 2014 SCC 61, [2014] 3 S.C.R. 138, the predicate offence must be violent to qualify under s. 752(a)(i), but the violence need not be serious (paras. 38-39; see also </w:t>
      </w:r>
      <w:r w:rsidRPr="000C431E">
        <w:rPr>
          <w:rFonts w:cs="Times New Roman"/>
          <w:i/>
        </w:rPr>
        <w:t>R. v. Currie</w:t>
      </w:r>
      <w:r w:rsidRPr="000C431E">
        <w:rPr>
          <w:rFonts w:cs="Times New Roman"/>
        </w:rPr>
        <w:t xml:space="preserve">, [1997] 2 S.C.R. 260, at para. 28). Serious personal injury offences include criminal harassment, obstruction of justice, offences involving threats of violence (but no physical harm), and some negligence-based offences, such as dangerous operation of a motor vehicle causing bodily harm (see, e.g., </w:t>
      </w:r>
      <w:r w:rsidRPr="000C431E">
        <w:rPr>
          <w:rFonts w:cs="Times New Roman"/>
          <w:i/>
        </w:rPr>
        <w:t>R. v. Taillefer</w:t>
      </w:r>
      <w:r w:rsidRPr="000C431E">
        <w:rPr>
          <w:rFonts w:cs="Times New Roman"/>
        </w:rPr>
        <w:t xml:space="preserve">, 2015 ONSC 2357; </w:t>
      </w:r>
      <w:r w:rsidRPr="000C431E">
        <w:rPr>
          <w:rFonts w:cs="Times New Roman"/>
          <w:i/>
        </w:rPr>
        <w:t>R. v. S.M.</w:t>
      </w:r>
      <w:r w:rsidRPr="000C431E">
        <w:rPr>
          <w:rFonts w:cs="Times New Roman"/>
        </w:rPr>
        <w:t xml:space="preserve"> (2005), 196 O.A.C. 127, at para. 11; </w:t>
      </w:r>
      <w:r w:rsidRPr="000C431E">
        <w:rPr>
          <w:rFonts w:cs="Times New Roman"/>
          <w:i/>
        </w:rPr>
        <w:t>Steele</w:t>
      </w:r>
      <w:r w:rsidRPr="000C431E">
        <w:rPr>
          <w:rFonts w:cs="Times New Roman"/>
        </w:rPr>
        <w:t xml:space="preserve">, at paras. 3-4 and 58; s. 752(a)(i) and (ii)). As well, all sexual assault offences — regardless of the degree of harm they cause — are serious personal injury offences (s. 752(b)). Thus, in some cases, the dangerous offender regime allows for the imposition of what can effectively be life sentence even when this far exceeds the maximum sentence normally available for the predicate offence under the </w:t>
      </w:r>
      <w:r w:rsidRPr="000C431E">
        <w:rPr>
          <w:rFonts w:cs="Times New Roman"/>
          <w:i/>
        </w:rPr>
        <w:t>Criminal Code</w:t>
      </w:r>
      <w:r w:rsidRPr="000C431E">
        <w:rPr>
          <w:rFonts w:cs="Times New Roman"/>
        </w:rPr>
        <w:t>.</w:t>
      </w:r>
    </w:p>
    <w:p w14:paraId="53C8098C" w14:textId="77777777" w:rsidR="00D22BB5" w:rsidRPr="000C431E" w:rsidRDefault="00D22BB5" w:rsidP="00F52BD7">
      <w:pPr>
        <w:pStyle w:val="ParaNoNdepar-AltN"/>
        <w:widowControl w:val="0"/>
        <w:rPr>
          <w:rFonts w:cs="Times New Roman"/>
        </w:rPr>
      </w:pPr>
      <w:r w:rsidRPr="000C431E">
        <w:rPr>
          <w:rFonts w:cs="Times New Roman"/>
        </w:rPr>
        <w:t>The other dangerous offender designation criteria in s. 753(1) are also fairly broad. A conviction for a serious personal injury offence will lead to a dangerous offender designation if the offender is a threat to the “physical or mental well-being of other persons” and the offence is part of a pattern of repetitive behaviour showing a likelihood of causing future injury to others through the offender’s failure to restrain his or her behaviour (s. 753(1)(a)(i)). The future injury does not need to be serious injury. Two similar incidents may suffice to constitute a pattern (</w:t>
      </w:r>
      <w:r w:rsidRPr="000C431E">
        <w:rPr>
          <w:rFonts w:cs="Times New Roman"/>
          <w:i/>
        </w:rPr>
        <w:t>R. v. Langevin</w:t>
      </w:r>
      <w:r w:rsidRPr="000C431E">
        <w:rPr>
          <w:rFonts w:cs="Times New Roman"/>
        </w:rPr>
        <w:t xml:space="preserve"> (1984), 45 O.R. (2d) 705 (C.A.), at p. 717). For sexual offences, a single conviction can give rise to a dangerous offender designation (s. 753(1)(b)). In short, s. 753(1) does not exclusively catch highly dangerous and morally blameworthy offenders.</w:t>
      </w:r>
    </w:p>
    <w:p w14:paraId="3C23234A" w14:textId="77777777" w:rsidR="00D22BB5" w:rsidRPr="000C431E" w:rsidRDefault="00D22BB5" w:rsidP="00F52BD7">
      <w:pPr>
        <w:pStyle w:val="ParaNoNdepar-AltN"/>
        <w:widowControl w:val="0"/>
        <w:rPr>
          <w:rFonts w:cs="Times New Roman"/>
        </w:rPr>
      </w:pPr>
      <w:r w:rsidRPr="000C431E">
        <w:rPr>
          <w:rFonts w:cs="Times New Roman"/>
        </w:rPr>
        <w:lastRenderedPageBreak/>
        <w:t xml:space="preserve">Furthermore, s. 753(1) is mandatory — the sentencing judge </w:t>
      </w:r>
      <w:r w:rsidRPr="000C431E">
        <w:rPr>
          <w:rFonts w:cs="Times New Roman"/>
          <w:i/>
        </w:rPr>
        <w:t xml:space="preserve">must </w:t>
      </w:r>
      <w:r w:rsidRPr="000C431E">
        <w:rPr>
          <w:rFonts w:cs="Times New Roman"/>
        </w:rPr>
        <w:t xml:space="preserve">designate the offender as dangerous if the legislative criteria are met. In contrast, the 1977 and 1997 versions of the legislation provided judicial discretion at the designation stage. This ensured that sentencing principles in the </w:t>
      </w:r>
      <w:r w:rsidRPr="000C431E">
        <w:rPr>
          <w:rFonts w:cs="Times New Roman"/>
          <w:i/>
        </w:rPr>
        <w:t xml:space="preserve">Criminal Code </w:t>
      </w:r>
      <w:r w:rsidRPr="000C431E">
        <w:rPr>
          <w:rFonts w:cs="Times New Roman"/>
        </w:rPr>
        <w:t>guided designation decisions (</w:t>
      </w:r>
      <w:r w:rsidRPr="000C431E">
        <w:rPr>
          <w:rFonts w:cs="Times New Roman"/>
          <w:i/>
        </w:rPr>
        <w:t>Johnson</w:t>
      </w:r>
      <w:r w:rsidRPr="000C431E">
        <w:rPr>
          <w:rFonts w:cs="Times New Roman"/>
        </w:rPr>
        <w:t>, at paras. 28-34). Judicial discretion required sentencing judges to “step back and reassess” whether a dangerous offender designation was truly warranted when the designation criteria were met (</w:t>
      </w:r>
      <w:r w:rsidRPr="000C431E">
        <w:rPr>
          <w:rFonts w:cs="Times New Roman"/>
          <w:i/>
        </w:rPr>
        <w:t>R. v. Neve</w:t>
      </w:r>
      <w:r w:rsidRPr="000C431E">
        <w:rPr>
          <w:rFonts w:cs="Times New Roman"/>
        </w:rPr>
        <w:t xml:space="preserve">, 1999 ABCA 206, 137 C.C.C. (3d) 97, at para. 229). In </w:t>
      </w:r>
      <w:r w:rsidRPr="000C431E">
        <w:rPr>
          <w:rFonts w:cs="Times New Roman"/>
          <w:i/>
        </w:rPr>
        <w:t>Lyons</w:t>
      </w:r>
      <w:r w:rsidRPr="000C431E">
        <w:rPr>
          <w:rFonts w:cs="Times New Roman"/>
        </w:rPr>
        <w:t xml:space="preserve">, this Court cited this discretion as a key reason that the legislation did not lead to cruel and unusual punishment (pp. 337-38). As this Court later recognized in </w:t>
      </w:r>
      <w:r w:rsidRPr="000C431E">
        <w:rPr>
          <w:rFonts w:cs="Times New Roman"/>
          <w:i/>
        </w:rPr>
        <w:t>Johnson</w:t>
      </w:r>
      <w:r w:rsidRPr="000C431E">
        <w:rPr>
          <w:rFonts w:cs="Times New Roman"/>
        </w:rPr>
        <w:t xml:space="preserve">, “the </w:t>
      </w:r>
      <w:r w:rsidRPr="000C431E">
        <w:rPr>
          <w:rFonts w:cs="Times New Roman"/>
          <w:lang w:val="en"/>
        </w:rPr>
        <w:t>discretion helped ensure the dangerous offender provisions’ constitutionality”</w:t>
      </w:r>
      <w:r w:rsidRPr="000C431E">
        <w:rPr>
          <w:rFonts w:cs="Times New Roman"/>
        </w:rPr>
        <w:t xml:space="preserve"> (para. 36). It helped guarantee that designations were made based on “accepted standards of rationality and proportionality” rather than “on the basis of rigid classifications” </w:t>
      </w:r>
      <w:r w:rsidRPr="000C431E">
        <w:rPr>
          <w:rFonts w:cs="Times New Roman"/>
          <w:lang w:val="en"/>
        </w:rPr>
        <w:t>(</w:t>
      </w:r>
      <w:r w:rsidRPr="000C431E">
        <w:rPr>
          <w:rFonts w:cs="Times New Roman"/>
          <w:i/>
          <w:lang w:val="en"/>
        </w:rPr>
        <w:t>Neve</w:t>
      </w:r>
      <w:r w:rsidRPr="000C431E">
        <w:rPr>
          <w:rFonts w:cs="Times New Roman"/>
          <w:lang w:val="en"/>
        </w:rPr>
        <w:t xml:space="preserve">, at para. 228). </w:t>
      </w:r>
    </w:p>
    <w:p w14:paraId="2B0DA926" w14:textId="77777777" w:rsidR="00D22BB5" w:rsidRPr="000C431E" w:rsidRDefault="00D22BB5" w:rsidP="00F52BD7">
      <w:pPr>
        <w:pStyle w:val="ParaNoNdepar-AltN"/>
        <w:widowControl w:val="0"/>
        <w:rPr>
          <w:rFonts w:cs="Times New Roman"/>
        </w:rPr>
      </w:pPr>
      <w:r w:rsidRPr="000C431E">
        <w:rPr>
          <w:rFonts w:cs="Times New Roman"/>
        </w:rPr>
        <w:t xml:space="preserve">Since the legislative change from “may” to “shall” in s. 753(1) of the </w:t>
      </w:r>
      <w:r w:rsidRPr="000C431E">
        <w:rPr>
          <w:rFonts w:cs="Times New Roman"/>
          <w:i/>
        </w:rPr>
        <w:t>Criminal Code</w:t>
      </w:r>
      <w:r w:rsidRPr="000C431E">
        <w:rPr>
          <w:rFonts w:cs="Times New Roman"/>
        </w:rPr>
        <w:t xml:space="preserve"> was implemented, the number of designated dangerous offenders has risen.</w:t>
      </w:r>
      <w:r w:rsidRPr="00C75C4C">
        <w:rPr>
          <w:rStyle w:val="Hyperlink"/>
          <w:u w:val="none"/>
          <w:vertAlign w:val="superscript"/>
        </w:rPr>
        <w:footnoteReference w:id="2"/>
      </w:r>
      <w:r w:rsidRPr="000C431E">
        <w:rPr>
          <w:rFonts w:cs="Times New Roman"/>
        </w:rPr>
        <w:t xml:space="preserve"> Indeed, with the 2008 changes, Parliament intended to capture a broader group of offenders (</w:t>
      </w:r>
      <w:r w:rsidRPr="000C431E">
        <w:rPr>
          <w:rFonts w:cs="Times New Roman"/>
          <w:i/>
        </w:rPr>
        <w:t>R. v. Szostak</w:t>
      </w:r>
      <w:r w:rsidRPr="000C431E">
        <w:rPr>
          <w:rFonts w:cs="Times New Roman"/>
        </w:rPr>
        <w:t>, 2014 ONCA 15, 118 O.R. (3d) 401, at para. 54;</w:t>
      </w:r>
      <w:r w:rsidRPr="000C431E">
        <w:rPr>
          <w:rFonts w:cs="Times New Roman"/>
          <w:b/>
        </w:rPr>
        <w:t xml:space="preserve"> </w:t>
      </w:r>
      <w:r w:rsidRPr="000C431E">
        <w:rPr>
          <w:rFonts w:cs="Times New Roman"/>
          <w:i/>
        </w:rPr>
        <w:t>R. v. Shea</w:t>
      </w:r>
      <w:r w:rsidRPr="000C431E">
        <w:rPr>
          <w:rFonts w:cs="Times New Roman"/>
        </w:rPr>
        <w:t xml:space="preserve">, 2017 NSCA 43, 349 C.C.C. (3d) 231, at para. 16). Of course, not all designated dangerous offenders will be sentenced to indeterminate detention. But s. 753(1) creates </w:t>
      </w:r>
      <w:r w:rsidRPr="000C431E">
        <w:rPr>
          <w:rFonts w:cs="Times New Roman"/>
        </w:rPr>
        <w:lastRenderedPageBreak/>
        <w:t>a broad pool of offenders who may be subjected to this extreme sanction. Furthermore, the vast majority of dangerous offenders are currently serving indeterminate sentences.</w:t>
      </w:r>
      <w:r w:rsidRPr="00C75C4C">
        <w:rPr>
          <w:rStyle w:val="Hyperlink"/>
          <w:u w:val="none"/>
          <w:vertAlign w:val="superscript"/>
        </w:rPr>
        <w:footnoteReference w:id="3"/>
      </w:r>
    </w:p>
    <w:p w14:paraId="461ED36C" w14:textId="77777777" w:rsidR="00D22BB5" w:rsidRPr="000C431E" w:rsidRDefault="00D22BB5" w:rsidP="00F52BD7">
      <w:pPr>
        <w:pStyle w:val="Title3LevelTitre3Niveau"/>
        <w:widowControl w:val="0"/>
        <w:rPr>
          <w:rFonts w:cs="Times New Roman"/>
        </w:rPr>
      </w:pPr>
      <w:r w:rsidRPr="000C431E">
        <w:rPr>
          <w:rFonts w:cs="Times New Roman"/>
        </w:rPr>
        <w:t>Section 753(4)</w:t>
      </w:r>
    </w:p>
    <w:p w14:paraId="27A1AE0D" w14:textId="77777777" w:rsidR="00D22BB5" w:rsidRPr="000C431E" w:rsidRDefault="00D22BB5" w:rsidP="00F52BD7">
      <w:pPr>
        <w:pStyle w:val="ParaNoNdepar-AltN"/>
        <w:widowControl w:val="0"/>
        <w:rPr>
          <w:rFonts w:cs="Times New Roman"/>
        </w:rPr>
      </w:pPr>
      <w:r w:rsidRPr="000C431E">
        <w:rPr>
          <w:rFonts w:cs="Times New Roman"/>
        </w:rPr>
        <w:t xml:space="preserve">Once an offender has been designated as dangerous, the sentencing judge has discretion to determine the appropriate sentence under s. 753(4): </w:t>
      </w:r>
    </w:p>
    <w:p w14:paraId="009EFE12" w14:textId="77777777" w:rsidR="00D22BB5" w:rsidRPr="000C431E" w:rsidRDefault="00D22BB5" w:rsidP="00F52BD7">
      <w:pPr>
        <w:pStyle w:val="Citation-AltC"/>
        <w:widowControl w:val="0"/>
      </w:pPr>
      <w:r w:rsidRPr="000C431E">
        <w:rPr>
          <w:b/>
        </w:rPr>
        <w:t>(4)</w:t>
      </w:r>
      <w:r w:rsidRPr="000C431E">
        <w:t xml:space="preserve"> If the court finds an offender to be a dangerous offender, it shall</w:t>
      </w:r>
    </w:p>
    <w:p w14:paraId="6E85A7BE" w14:textId="77777777" w:rsidR="00D22BB5" w:rsidRPr="000C431E" w:rsidRDefault="00D22BB5" w:rsidP="00F52BD7">
      <w:pPr>
        <w:pStyle w:val="Citation-AltC"/>
        <w:widowControl w:val="0"/>
        <w:ind w:left="1530"/>
      </w:pPr>
    </w:p>
    <w:p w14:paraId="18810E80" w14:textId="77777777" w:rsidR="00D22BB5" w:rsidRPr="000C431E" w:rsidRDefault="00D22BB5" w:rsidP="00F52BD7">
      <w:pPr>
        <w:pStyle w:val="Citation-AltC"/>
        <w:widowControl w:val="0"/>
        <w:ind w:left="1530"/>
      </w:pPr>
      <w:r w:rsidRPr="000C431E">
        <w:rPr>
          <w:b/>
        </w:rPr>
        <w:t>(a)</w:t>
      </w:r>
      <w:r w:rsidRPr="000C431E">
        <w:t xml:space="preserve"> impose a sentence of detention in a penitentiary for an indeterminate period;</w:t>
      </w:r>
    </w:p>
    <w:p w14:paraId="2A1607DD" w14:textId="77777777" w:rsidR="00D22BB5" w:rsidRPr="000C431E" w:rsidRDefault="00D22BB5" w:rsidP="00F52BD7">
      <w:pPr>
        <w:pStyle w:val="Citation-AltC"/>
        <w:widowControl w:val="0"/>
        <w:ind w:left="1530"/>
      </w:pPr>
    </w:p>
    <w:p w14:paraId="2A386814" w14:textId="77777777" w:rsidR="00D22BB5" w:rsidRPr="000C431E" w:rsidRDefault="00D22BB5" w:rsidP="00F52BD7">
      <w:pPr>
        <w:pStyle w:val="Citation-AltC"/>
        <w:widowControl w:val="0"/>
        <w:ind w:left="1530"/>
      </w:pPr>
      <w:r w:rsidRPr="000C431E">
        <w:rPr>
          <w:b/>
        </w:rPr>
        <w:t>(b)</w:t>
      </w:r>
      <w:r w:rsidRPr="000C431E">
        <w:t xml:space="preserve"> impose a sentence for the offence for which the offender has been convicted — which must be a minimum punishment of imprisonment for a term of two years — and order that the offender be subject to long-term supervision for a period that does not exceed 10 years; or</w:t>
      </w:r>
    </w:p>
    <w:p w14:paraId="50FD82FC" w14:textId="77777777" w:rsidR="00D22BB5" w:rsidRPr="000C431E" w:rsidRDefault="00D22BB5" w:rsidP="00F52BD7">
      <w:pPr>
        <w:pStyle w:val="Citation-AltC"/>
        <w:widowControl w:val="0"/>
        <w:ind w:left="1530"/>
      </w:pPr>
    </w:p>
    <w:p w14:paraId="2896CE79" w14:textId="77777777" w:rsidR="00D22BB5" w:rsidRPr="000C431E" w:rsidRDefault="00D22BB5" w:rsidP="00F52BD7">
      <w:pPr>
        <w:pStyle w:val="Citation-AltC"/>
        <w:widowControl w:val="0"/>
        <w:ind w:left="1530"/>
      </w:pPr>
      <w:r w:rsidRPr="000C431E">
        <w:rPr>
          <w:b/>
        </w:rPr>
        <w:t>(c)</w:t>
      </w:r>
      <w:r w:rsidRPr="000C431E">
        <w:t xml:space="preserve"> impose a sentence for the offence for which the offender has been convicted.</w:t>
      </w:r>
    </w:p>
    <w:p w14:paraId="3C7BB207" w14:textId="77777777" w:rsidR="00D22BB5" w:rsidRPr="000C431E" w:rsidRDefault="00D22BB5" w:rsidP="00F52BD7">
      <w:pPr>
        <w:pStyle w:val="ParaNoNdepar-AltN"/>
        <w:widowControl w:val="0"/>
        <w:rPr>
          <w:rFonts w:cs="Times New Roman"/>
        </w:rPr>
      </w:pPr>
      <w:r w:rsidRPr="000C431E">
        <w:rPr>
          <w:rFonts w:cs="Times New Roman"/>
        </w:rPr>
        <w:t xml:space="preserve">The sentencing judge’s discretion under s. 753(4) must be guided by the relevant sentencing principles and purposes in the </w:t>
      </w:r>
      <w:r w:rsidRPr="000C431E">
        <w:rPr>
          <w:rFonts w:cs="Times New Roman"/>
          <w:i/>
        </w:rPr>
        <w:t xml:space="preserve">Criminal Code </w:t>
      </w:r>
      <w:r w:rsidRPr="000C431E">
        <w:rPr>
          <w:rFonts w:cs="Times New Roman"/>
          <w:lang w:val="en"/>
        </w:rPr>
        <w:t xml:space="preserve">(see </w:t>
      </w:r>
      <w:r w:rsidRPr="000C431E">
        <w:rPr>
          <w:rFonts w:cs="Times New Roman"/>
          <w:i/>
          <w:lang w:val="en"/>
        </w:rPr>
        <w:t>Johnson</w:t>
      </w:r>
      <w:r w:rsidRPr="000C431E">
        <w:rPr>
          <w:rFonts w:cs="Times New Roman"/>
          <w:lang w:val="en"/>
        </w:rPr>
        <w:t>,</w:t>
      </w:r>
      <w:r w:rsidRPr="000C431E">
        <w:rPr>
          <w:rFonts w:cs="Times New Roman"/>
          <w:i/>
          <w:lang w:val="en"/>
        </w:rPr>
        <w:t xml:space="preserve"> </w:t>
      </w:r>
      <w:r w:rsidRPr="000C431E">
        <w:rPr>
          <w:rFonts w:cs="Times New Roman"/>
          <w:lang w:val="en"/>
        </w:rPr>
        <w:t>at para. 23)</w:t>
      </w:r>
      <w:r w:rsidRPr="000C431E">
        <w:rPr>
          <w:rFonts w:cs="Times New Roman"/>
        </w:rPr>
        <w:t>. The predominant purpose of the dangerous offender scheme is public protection, and this must be respected in the sentencing judge’s choice under s. 753(4) (</w:t>
      </w:r>
      <w:r w:rsidRPr="000C431E">
        <w:rPr>
          <w:rFonts w:cs="Times New Roman"/>
          <w:i/>
        </w:rPr>
        <w:t>Johnson</w:t>
      </w:r>
      <w:r w:rsidRPr="000C431E">
        <w:rPr>
          <w:rFonts w:cs="Times New Roman"/>
        </w:rPr>
        <w:t xml:space="preserve">, at para. 29; </w:t>
      </w:r>
      <w:r w:rsidRPr="000C431E">
        <w:rPr>
          <w:rFonts w:cs="Times New Roman"/>
          <w:i/>
        </w:rPr>
        <w:t>Lyons</w:t>
      </w:r>
      <w:r w:rsidRPr="000C431E">
        <w:rPr>
          <w:rFonts w:cs="Times New Roman"/>
        </w:rPr>
        <w:t xml:space="preserve">, at p. 329; </w:t>
      </w:r>
      <w:r w:rsidRPr="000C431E">
        <w:rPr>
          <w:rFonts w:cs="Times New Roman"/>
          <w:i/>
        </w:rPr>
        <w:t>Steele</w:t>
      </w:r>
      <w:r w:rsidRPr="000C431E">
        <w:rPr>
          <w:rFonts w:cs="Times New Roman"/>
        </w:rPr>
        <w:t xml:space="preserve">, at para. 29; </w:t>
      </w:r>
      <w:r w:rsidRPr="000C431E">
        <w:rPr>
          <w:rFonts w:cs="Times New Roman"/>
          <w:i/>
        </w:rPr>
        <w:t>Criminal Code</w:t>
      </w:r>
      <w:r w:rsidRPr="000C431E">
        <w:rPr>
          <w:rFonts w:cs="Times New Roman"/>
        </w:rPr>
        <w:t xml:space="preserve">, s. 718(c)). </w:t>
      </w:r>
    </w:p>
    <w:p w14:paraId="7069879D" w14:textId="77777777" w:rsidR="00D22BB5" w:rsidRPr="000C431E" w:rsidRDefault="00D22BB5" w:rsidP="00F52BD7">
      <w:pPr>
        <w:pStyle w:val="ParaNoNdepar-AltN"/>
        <w:widowControl w:val="0"/>
        <w:rPr>
          <w:rFonts w:cs="Times New Roman"/>
        </w:rPr>
      </w:pPr>
      <w:r w:rsidRPr="000C431E">
        <w:rPr>
          <w:rFonts w:cs="Times New Roman"/>
        </w:rPr>
        <w:lastRenderedPageBreak/>
        <w:t xml:space="preserve">While public safety is the predominant objective of the dangerous offender scheme, the fundamental principle of sentencing — proportionality — must guide the sentencing judge’s discretion in selecting the appropriate penalty for a dangerous offender. This principle is set out in s. 718.1 of the </w:t>
      </w:r>
      <w:r w:rsidRPr="000C431E">
        <w:rPr>
          <w:rFonts w:cs="Times New Roman"/>
          <w:i/>
        </w:rPr>
        <w:t>Criminal Code</w:t>
      </w:r>
      <w:r w:rsidRPr="000C431E">
        <w:rPr>
          <w:rFonts w:cs="Times New Roman"/>
        </w:rPr>
        <w:t xml:space="preserve">: “A sentence </w:t>
      </w:r>
      <w:r w:rsidRPr="000C431E">
        <w:rPr>
          <w:rFonts w:cs="Times New Roman"/>
          <w:u w:val="single"/>
        </w:rPr>
        <w:t>must</w:t>
      </w:r>
      <w:r w:rsidRPr="000C431E">
        <w:rPr>
          <w:rFonts w:cs="Times New Roman"/>
        </w:rPr>
        <w:t xml:space="preserve"> be </w:t>
      </w:r>
      <w:r w:rsidRPr="000C431E">
        <w:rPr>
          <w:rFonts w:cs="Times New Roman"/>
          <w:lang w:val="en"/>
        </w:rPr>
        <w:t xml:space="preserve">proportionate to the gravity of the offence and the degree of responsibility of the offender.” </w:t>
      </w:r>
      <w:r w:rsidRPr="000C431E">
        <w:rPr>
          <w:rFonts w:cs="Times New Roman"/>
        </w:rPr>
        <w:t xml:space="preserve">Proportionality is </w:t>
      </w:r>
      <w:r w:rsidRPr="000C431E">
        <w:rPr>
          <w:rFonts w:cs="Times New Roman"/>
          <w:lang w:val="en"/>
        </w:rPr>
        <w:t xml:space="preserve">“the </w:t>
      </w:r>
      <w:r w:rsidRPr="000C431E">
        <w:rPr>
          <w:rFonts w:cs="Times New Roman"/>
          <w:i/>
          <w:iCs/>
          <w:lang w:val="en"/>
        </w:rPr>
        <w:t>sine qua non</w:t>
      </w:r>
      <w:r w:rsidRPr="000C431E">
        <w:rPr>
          <w:rFonts w:cs="Times New Roman"/>
          <w:lang w:val="en"/>
        </w:rPr>
        <w:t xml:space="preserve"> of a just sanction” (</w:t>
      </w:r>
      <w:r w:rsidRPr="000C431E">
        <w:rPr>
          <w:rFonts w:cs="Times New Roman"/>
          <w:i/>
        </w:rPr>
        <w:t>R. v. Ipeelee</w:t>
      </w:r>
      <w:r w:rsidRPr="000C431E">
        <w:rPr>
          <w:rFonts w:cs="Times New Roman"/>
        </w:rPr>
        <w:t xml:space="preserve">, 2012 SCC 13, [2012] 1 S.C.R. 433, at </w:t>
      </w:r>
      <w:r w:rsidRPr="000C431E">
        <w:rPr>
          <w:rFonts w:cs="Times New Roman"/>
          <w:lang w:val="en"/>
        </w:rPr>
        <w:t>paras. 36-37). “It is grounded in elemental notions of justice and fairness, and is indispensable to the public’s confidence in the justice system” (</w:t>
      </w:r>
      <w:r w:rsidRPr="000C431E">
        <w:rPr>
          <w:rFonts w:cs="Times New Roman"/>
          <w:i/>
          <w:lang w:val="en"/>
        </w:rPr>
        <w:t>R. v. Safarzadeh-Markhali</w:t>
      </w:r>
      <w:r w:rsidRPr="000C431E">
        <w:rPr>
          <w:rFonts w:cs="Times New Roman"/>
          <w:lang w:val="en"/>
        </w:rPr>
        <w:t xml:space="preserve">, </w:t>
      </w:r>
      <w:r w:rsidRPr="000C431E">
        <w:rPr>
          <w:rFonts w:cs="Times New Roman"/>
        </w:rPr>
        <w:t xml:space="preserve">2016 SCC 14, [2016] 1 S.C.R. 180, </w:t>
      </w:r>
      <w:r w:rsidRPr="000C431E">
        <w:rPr>
          <w:rFonts w:cs="Times New Roman"/>
          <w:lang w:val="en"/>
        </w:rPr>
        <w:t xml:space="preserve">at para. 70). Proportionality reconciles the disparate sentencing goals of the </w:t>
      </w:r>
      <w:r w:rsidRPr="000C431E">
        <w:rPr>
          <w:rFonts w:cs="Times New Roman"/>
          <w:i/>
          <w:lang w:val="en"/>
        </w:rPr>
        <w:t>Criminal Code</w:t>
      </w:r>
      <w:r w:rsidRPr="000C431E">
        <w:rPr>
          <w:rFonts w:cs="Times New Roman"/>
          <w:lang w:val="en"/>
        </w:rPr>
        <w:t>: “</w:t>
      </w:r>
      <w:r w:rsidRPr="000C431E">
        <w:rPr>
          <w:rFonts w:cs="Times New Roman"/>
        </w:rPr>
        <w:t xml:space="preserve">Whatever weight a judge may wish to accord to the various objectives and other principles listed in the </w:t>
      </w:r>
      <w:r w:rsidRPr="000C431E">
        <w:rPr>
          <w:rFonts w:cs="Times New Roman"/>
          <w:i/>
          <w:iCs/>
        </w:rPr>
        <w:t>Code</w:t>
      </w:r>
      <w:r w:rsidRPr="000C431E">
        <w:rPr>
          <w:rFonts w:cs="Times New Roman"/>
        </w:rPr>
        <w:t>, the resulting sentence must respect the fundamental principle of proportionality” (</w:t>
      </w:r>
      <w:r w:rsidRPr="000C431E">
        <w:rPr>
          <w:rFonts w:cs="Times New Roman"/>
          <w:i/>
        </w:rPr>
        <w:t>Ipeelee</w:t>
      </w:r>
      <w:r w:rsidRPr="000C431E">
        <w:rPr>
          <w:rFonts w:cs="Times New Roman"/>
        </w:rPr>
        <w:t xml:space="preserve">, at para. 37; </w:t>
      </w:r>
      <w:r w:rsidRPr="000C431E">
        <w:rPr>
          <w:rFonts w:cs="Times New Roman"/>
          <w:i/>
          <w:lang w:val="en-US"/>
        </w:rPr>
        <w:t xml:space="preserve">R. </w:t>
      </w:r>
      <w:r w:rsidRPr="000C431E">
        <w:rPr>
          <w:rFonts w:cs="Times New Roman"/>
          <w:i/>
          <w:iCs/>
          <w:lang w:val="en-US"/>
        </w:rPr>
        <w:t xml:space="preserve">v. </w:t>
      </w:r>
      <w:r w:rsidRPr="000C431E">
        <w:rPr>
          <w:rFonts w:cs="Times New Roman"/>
          <w:i/>
          <w:lang w:val="en-US"/>
        </w:rPr>
        <w:t>Nasogaluak</w:t>
      </w:r>
      <w:r w:rsidRPr="000C431E">
        <w:rPr>
          <w:rFonts w:cs="Times New Roman"/>
          <w:lang w:val="en-US"/>
        </w:rPr>
        <w:t xml:space="preserve">, 2010 SCC 6, [2010] 1 S.C.R. 206, at para. 40; </w:t>
      </w:r>
      <w:r w:rsidRPr="000C431E">
        <w:rPr>
          <w:rFonts w:cs="Times New Roman"/>
        </w:rPr>
        <w:t xml:space="preserve">see also </w:t>
      </w:r>
      <w:r w:rsidRPr="000C431E">
        <w:rPr>
          <w:rFonts w:cs="Times New Roman"/>
          <w:i/>
        </w:rPr>
        <w:t>Nur</w:t>
      </w:r>
      <w:r w:rsidRPr="000C431E">
        <w:rPr>
          <w:rFonts w:cs="Times New Roman"/>
        </w:rPr>
        <w:t xml:space="preserve">, at para. 42). </w:t>
      </w:r>
    </w:p>
    <w:p w14:paraId="1B848068" w14:textId="77777777" w:rsidR="00D22BB5" w:rsidRPr="000C431E" w:rsidRDefault="00D22BB5" w:rsidP="00F52BD7">
      <w:pPr>
        <w:pStyle w:val="ParaNoNdepar-AltN"/>
        <w:widowControl w:val="0"/>
        <w:rPr>
          <w:rFonts w:cs="Times New Roman"/>
        </w:rPr>
      </w:pPr>
      <w:r w:rsidRPr="000C431E">
        <w:rPr>
          <w:rFonts w:cs="Times New Roman"/>
        </w:rPr>
        <w:t xml:space="preserve">If the offender is an Indigenous person, </w:t>
      </w:r>
      <w:r w:rsidRPr="000C431E">
        <w:rPr>
          <w:rFonts w:cs="Times New Roman"/>
          <w:i/>
        </w:rPr>
        <w:t xml:space="preserve">Gladue </w:t>
      </w:r>
      <w:r w:rsidRPr="000C431E">
        <w:rPr>
          <w:rFonts w:cs="Times New Roman"/>
        </w:rPr>
        <w:t xml:space="preserve">principles are important in crafting a proportionate sentence. Indigenous persons are greatly overrepresented in prisons and especially in the dangerous offender population (Canada, Public Safety Canada Portfolio Corrections Statistics Committee, </w:t>
      </w:r>
      <w:r w:rsidRPr="000C431E">
        <w:rPr>
          <w:rFonts w:cs="Times New Roman"/>
          <w:i/>
        </w:rPr>
        <w:t>Corrections and Conditional Release Statistical Overview</w:t>
      </w:r>
      <w:r w:rsidRPr="000C431E">
        <w:rPr>
          <w:rFonts w:cs="Times New Roman"/>
        </w:rPr>
        <w:t xml:space="preserve"> (2015 Annual Report), at p. 107). This Court has recognized that racism, colonialism, and intergenerational trauma inform this disturbing statistic (</w:t>
      </w:r>
      <w:r w:rsidRPr="000C431E">
        <w:rPr>
          <w:rFonts w:cs="Times New Roman"/>
          <w:i/>
        </w:rPr>
        <w:t>R. v. Williams</w:t>
      </w:r>
      <w:r w:rsidRPr="000C431E">
        <w:rPr>
          <w:rFonts w:cs="Times New Roman"/>
        </w:rPr>
        <w:t xml:space="preserve">, [1998] 1 S.C.R. 1128, at para. 58; </w:t>
      </w:r>
      <w:r w:rsidRPr="000C431E">
        <w:rPr>
          <w:rFonts w:cs="Times New Roman"/>
          <w:i/>
        </w:rPr>
        <w:t>R. v. Gladue</w:t>
      </w:r>
      <w:r w:rsidRPr="000C431E">
        <w:rPr>
          <w:rFonts w:cs="Times New Roman"/>
        </w:rPr>
        <w:t>,</w:t>
      </w:r>
      <w:r w:rsidRPr="000C431E">
        <w:rPr>
          <w:rFonts w:cs="Times New Roman"/>
          <w:i/>
        </w:rPr>
        <w:t xml:space="preserve"> </w:t>
      </w:r>
      <w:r w:rsidRPr="000C431E">
        <w:rPr>
          <w:rFonts w:cs="Times New Roman"/>
        </w:rPr>
        <w:t xml:space="preserve">[1999] 1 S.C.R. 688, at para. 65; </w:t>
      </w:r>
      <w:r w:rsidRPr="000C431E">
        <w:rPr>
          <w:rFonts w:cs="Times New Roman"/>
          <w:i/>
        </w:rPr>
        <w:t>Ipeelee</w:t>
      </w:r>
      <w:r w:rsidRPr="000C431E">
        <w:rPr>
          <w:rFonts w:cs="Times New Roman"/>
        </w:rPr>
        <w:t xml:space="preserve">, at para. 61). Through s. 718.2(e) of the </w:t>
      </w:r>
      <w:r w:rsidRPr="000C431E">
        <w:rPr>
          <w:rFonts w:cs="Times New Roman"/>
          <w:i/>
        </w:rPr>
        <w:t>Criminal Code</w:t>
      </w:r>
      <w:r w:rsidRPr="000C431E">
        <w:rPr>
          <w:rFonts w:cs="Times New Roman"/>
        </w:rPr>
        <w:t xml:space="preserve">, Parliament has directed sentencing judges to pay particular attention to </w:t>
      </w:r>
      <w:r w:rsidRPr="000C431E">
        <w:rPr>
          <w:rFonts w:cs="Times New Roman"/>
        </w:rPr>
        <w:lastRenderedPageBreak/>
        <w:t>the circumstances of Indigenous offenders. This recognizes that the systemic disadvantages and marginalization faced by Indigenous people inform moral blameworthiness and therefore the proportionality of sentences for Indigenous offenders (</w:t>
      </w:r>
      <w:r w:rsidRPr="000C431E">
        <w:rPr>
          <w:rFonts w:cs="Times New Roman"/>
          <w:i/>
        </w:rPr>
        <w:t>Ipeelee</w:t>
      </w:r>
      <w:r w:rsidRPr="000C431E">
        <w:rPr>
          <w:rFonts w:cs="Times New Roman"/>
        </w:rPr>
        <w:t>,</w:t>
      </w:r>
      <w:r w:rsidRPr="000C431E">
        <w:rPr>
          <w:rFonts w:cs="Times New Roman"/>
          <w:i/>
        </w:rPr>
        <w:t xml:space="preserve"> </w:t>
      </w:r>
      <w:r w:rsidRPr="000C431E">
        <w:rPr>
          <w:rFonts w:cs="Times New Roman"/>
        </w:rPr>
        <w:t xml:space="preserve">at para. 73). In </w:t>
      </w:r>
      <w:r w:rsidRPr="000C431E">
        <w:rPr>
          <w:rFonts w:cs="Times New Roman"/>
          <w:i/>
        </w:rPr>
        <w:t>Gladue</w:t>
      </w:r>
      <w:r w:rsidRPr="000C431E">
        <w:rPr>
          <w:rFonts w:cs="Times New Roman"/>
        </w:rPr>
        <w:t xml:space="preserve">, this Court interpreted s. 718.2(e) as requiring sentencing judges to consider the following principles in sentencing decisions for Indigenous offenders: </w:t>
      </w:r>
    </w:p>
    <w:p w14:paraId="49A0F5DB" w14:textId="48A17ED6" w:rsidR="009968C4" w:rsidRDefault="00D22BB5" w:rsidP="00F52BD7">
      <w:pPr>
        <w:pStyle w:val="ParaNoNdepar-AltN"/>
        <w:widowControl w:val="0"/>
        <w:numPr>
          <w:ilvl w:val="0"/>
          <w:numId w:val="32"/>
        </w:numPr>
        <w:tabs>
          <w:tab w:val="left" w:pos="1710"/>
        </w:tabs>
        <w:spacing w:before="0" w:after="0" w:line="240" w:lineRule="auto"/>
        <w:contextualSpacing/>
        <w:rPr>
          <w:rFonts w:cs="Times New Roman"/>
        </w:rPr>
      </w:pPr>
      <w:r w:rsidRPr="000C431E">
        <w:rPr>
          <w:rFonts w:cs="Times New Roman"/>
        </w:rPr>
        <w:t xml:space="preserve">The unique systemic or background factors which may have played a part in bringing the particular </w:t>
      </w:r>
      <w:r w:rsidR="00500FEE">
        <w:rPr>
          <w:rFonts w:cs="Times New Roman"/>
        </w:rPr>
        <w:t>aboriginal</w:t>
      </w:r>
      <w:r w:rsidRPr="000C431E">
        <w:rPr>
          <w:rFonts w:cs="Times New Roman"/>
        </w:rPr>
        <w:t xml:space="preserve"> offender before the courts; and</w:t>
      </w:r>
    </w:p>
    <w:p w14:paraId="187BBACC" w14:textId="77777777" w:rsidR="004B305C" w:rsidRDefault="004B305C" w:rsidP="00F52BD7">
      <w:pPr>
        <w:pStyle w:val="ParaNoNdepar-AltN"/>
        <w:widowControl w:val="0"/>
        <w:numPr>
          <w:ilvl w:val="0"/>
          <w:numId w:val="0"/>
        </w:numPr>
        <w:spacing w:before="0" w:after="0" w:line="240" w:lineRule="auto"/>
        <w:contextualSpacing/>
        <w:rPr>
          <w:rFonts w:cs="Times New Roman"/>
        </w:rPr>
      </w:pPr>
    </w:p>
    <w:p w14:paraId="453EDEB0" w14:textId="69AF6136" w:rsidR="00D22BB5" w:rsidRPr="000C431E" w:rsidRDefault="00D22BB5" w:rsidP="00F52BD7">
      <w:pPr>
        <w:pStyle w:val="ParaNoNdepar-AltN"/>
        <w:widowControl w:val="0"/>
        <w:numPr>
          <w:ilvl w:val="0"/>
          <w:numId w:val="0"/>
        </w:numPr>
        <w:tabs>
          <w:tab w:val="left" w:pos="1710"/>
        </w:tabs>
        <w:spacing w:before="0" w:after="0" w:line="240" w:lineRule="auto"/>
        <w:ind w:left="1713" w:hanging="547"/>
        <w:rPr>
          <w:rFonts w:cs="Times New Roman"/>
        </w:rPr>
      </w:pPr>
      <w:r w:rsidRPr="000C431E">
        <w:rPr>
          <w:rFonts w:cs="Times New Roman"/>
        </w:rPr>
        <w:t>(B) </w:t>
      </w:r>
      <w:r w:rsidR="009968C4">
        <w:rPr>
          <w:rFonts w:cs="Times New Roman"/>
        </w:rPr>
        <w:tab/>
      </w:r>
      <w:r w:rsidRPr="000C431E">
        <w:rPr>
          <w:rFonts w:cs="Times New Roman"/>
        </w:rPr>
        <w:t xml:space="preserve">The types of sentencing procedures and sanctions which may be appropriate in the circumstances for the offender because of his or her particular </w:t>
      </w:r>
      <w:r w:rsidR="00500FEE">
        <w:rPr>
          <w:rFonts w:cs="Times New Roman"/>
        </w:rPr>
        <w:t xml:space="preserve">aboriginal </w:t>
      </w:r>
      <w:r w:rsidRPr="000C431E">
        <w:rPr>
          <w:rFonts w:cs="Times New Roman"/>
        </w:rPr>
        <w:t>heritage or connection. [para. 66]</w:t>
      </w:r>
    </w:p>
    <w:p w14:paraId="17F1D5AA" w14:textId="77777777" w:rsidR="00D22BB5" w:rsidRPr="000C431E" w:rsidRDefault="00D22BB5" w:rsidP="00F52BD7">
      <w:pPr>
        <w:pStyle w:val="ParaNoNdepar-AltN"/>
        <w:widowControl w:val="0"/>
        <w:rPr>
          <w:rFonts w:cs="Times New Roman"/>
        </w:rPr>
      </w:pPr>
      <w:r w:rsidRPr="000C431E">
        <w:rPr>
          <w:rFonts w:cs="Times New Roman"/>
        </w:rPr>
        <w:t xml:space="preserve">The sentencing judge must also be guided by the principle of restraint (s. 718.2(d) and (e)) in sentencing a dangerous offender. This principle </w:t>
      </w:r>
      <w:r w:rsidRPr="000C431E">
        <w:rPr>
          <w:rFonts w:cs="Times New Roman"/>
          <w:lang w:val="en"/>
        </w:rPr>
        <w:t>“dictate[s] that a judge ought to impose an indeterminate sentence only in those instances in which there does not exist less restrictive means by which to protect the public adequately from the threat of harm” (</w:t>
      </w:r>
      <w:r w:rsidRPr="000C431E">
        <w:rPr>
          <w:rFonts w:cs="Times New Roman"/>
          <w:i/>
          <w:lang w:val="en"/>
        </w:rPr>
        <w:t>Johnson</w:t>
      </w:r>
      <w:r w:rsidRPr="000C431E">
        <w:rPr>
          <w:rFonts w:cs="Times New Roman"/>
          <w:lang w:val="en"/>
        </w:rPr>
        <w:t>, at para. 29).</w:t>
      </w:r>
    </w:p>
    <w:p w14:paraId="339E986D" w14:textId="77777777" w:rsidR="00D22BB5" w:rsidRPr="000C431E" w:rsidRDefault="00D22BB5" w:rsidP="00F52BD7">
      <w:pPr>
        <w:pStyle w:val="Title3LevelTitre3Niveau"/>
        <w:widowControl w:val="0"/>
        <w:rPr>
          <w:rFonts w:cs="Times New Roman"/>
        </w:rPr>
      </w:pPr>
      <w:r w:rsidRPr="000C431E">
        <w:rPr>
          <w:rFonts w:cs="Times New Roman"/>
        </w:rPr>
        <w:t>Section 753(4.1)</w:t>
      </w:r>
    </w:p>
    <w:p w14:paraId="664A53E1" w14:textId="77777777" w:rsidR="00D22BB5" w:rsidRPr="000C431E" w:rsidRDefault="00D22BB5" w:rsidP="00F52BD7">
      <w:pPr>
        <w:pStyle w:val="ParaNoNdepar-AltN"/>
        <w:widowControl w:val="0"/>
        <w:rPr>
          <w:rFonts w:cs="Times New Roman"/>
        </w:rPr>
      </w:pPr>
      <w:r w:rsidRPr="000C431E">
        <w:rPr>
          <w:rFonts w:cs="Times New Roman"/>
        </w:rPr>
        <w:t xml:space="preserve">These objectives and principles guide sentencing judges in selecting the appropriate sentence under s. 753(4). However, s. 753(4.1) significantly curtails judicial discretion at the penalty stage: </w:t>
      </w:r>
    </w:p>
    <w:p w14:paraId="4C80C71D" w14:textId="77777777" w:rsidR="00D22BB5" w:rsidRPr="000C431E" w:rsidRDefault="00D22BB5" w:rsidP="00F52BD7">
      <w:pPr>
        <w:pStyle w:val="Citation-AltC"/>
        <w:widowControl w:val="0"/>
      </w:pPr>
      <w:r w:rsidRPr="000C431E">
        <w:rPr>
          <w:b/>
        </w:rPr>
        <w:t>(4.1)</w:t>
      </w:r>
      <w:r w:rsidRPr="000C431E">
        <w:t xml:space="preserve"> The court shall impose a sentence of detention in a penitentiary for </w:t>
      </w:r>
      <w:r w:rsidRPr="000C431E">
        <w:lastRenderedPageBreak/>
        <w:t>an indeterminate period unless it is satisfied by the evidence adduced during the hearing of the application that there is a reasonable expectation that a lesser measure under paragraph (4)(b) or (c) will adequately protect the public against the commission by the offender of murder or a serious personal injury offence.</w:t>
      </w:r>
    </w:p>
    <w:p w14:paraId="03637E5A" w14:textId="77777777" w:rsidR="00D22BB5" w:rsidRPr="000C431E" w:rsidRDefault="00D22BB5" w:rsidP="00F52BD7">
      <w:pPr>
        <w:pStyle w:val="ParaNoNdepar-AltN"/>
        <w:widowControl w:val="0"/>
        <w:rPr>
          <w:rFonts w:cs="Times New Roman"/>
        </w:rPr>
      </w:pPr>
      <w:r w:rsidRPr="000C431E">
        <w:rPr>
          <w:rFonts w:cs="Times New Roman"/>
        </w:rPr>
        <w:t xml:space="preserve">Section 753(4.1) imposes indeterminate detention unless the sentencing judge is satisfied that there is a reasonable expectation that a lesser measure is adequate for public protection. In assessing whether a lesser measure “will adequately protect the public against the commission by the offender of murder or a serious personal injury offence”, sentencing judges must consider both the </w:t>
      </w:r>
      <w:r w:rsidRPr="000C431E">
        <w:rPr>
          <w:rFonts w:cs="Times New Roman"/>
          <w:i/>
        </w:rPr>
        <w:t xml:space="preserve">level </w:t>
      </w:r>
      <w:r w:rsidRPr="000C431E">
        <w:rPr>
          <w:rFonts w:cs="Times New Roman"/>
        </w:rPr>
        <w:t xml:space="preserve">of the risk presented by the offender and the </w:t>
      </w:r>
      <w:r w:rsidRPr="000C431E">
        <w:rPr>
          <w:rFonts w:cs="Times New Roman"/>
          <w:i/>
        </w:rPr>
        <w:t xml:space="preserve">nature </w:t>
      </w:r>
      <w:r w:rsidRPr="000C431E">
        <w:rPr>
          <w:rFonts w:cs="Times New Roman"/>
        </w:rPr>
        <w:t xml:space="preserve">of the harm the offender is likely to cause. The specific reference to murder in s. 753(4.1) suggests that indeterminate detention should only be imposed in cases where the offender’s risk is expected to manifest itself in the most severe forms of serious personal injury offences. For example, if there is a high risk that the offender will commit another serious personal injury offence, but this offence is not likely to involve significant violence (e.g. criminal harassment, obstruction of justice), s. 753(4.1) does not necessarily mandate indeterminate detention. Indeed, the principle of restraint bars sentencing judges from imposing indeterminate detention on offenders who are not likely to commit very serious crimes in the future (see </w:t>
      </w:r>
      <w:r w:rsidRPr="000C431E">
        <w:rPr>
          <w:rFonts w:cs="Times New Roman"/>
          <w:i/>
        </w:rPr>
        <w:t>Johnson</w:t>
      </w:r>
      <w:r w:rsidRPr="000C431E">
        <w:rPr>
          <w:rFonts w:cs="Times New Roman"/>
        </w:rPr>
        <w:t xml:space="preserve">, at para. 40). As discussed above, serious personal injury offences include offences that do not involve serious violence. The question a sentencing judge must ask in applying s. 753(4.1) is this: Does this offender, due to the level of the risk and the nature of future harm likely to be caused, fall within the small group of truly dangerous offenders who must be imprisoned indefinitely in order to protect the public? </w:t>
      </w:r>
    </w:p>
    <w:p w14:paraId="1AF2FBDE" w14:textId="77777777" w:rsidR="00D22BB5" w:rsidRPr="000C431E" w:rsidRDefault="00D22BB5" w:rsidP="00F52BD7">
      <w:pPr>
        <w:pStyle w:val="ParaNoNdepar-AltN"/>
        <w:widowControl w:val="0"/>
        <w:rPr>
          <w:rFonts w:cs="Times New Roman"/>
        </w:rPr>
      </w:pPr>
      <w:r w:rsidRPr="000C431E">
        <w:rPr>
          <w:rFonts w:cs="Times New Roman"/>
          <w:lang w:val="en-US"/>
        </w:rPr>
        <w:lastRenderedPageBreak/>
        <w:t xml:space="preserve">I agree with Mr. Boutilier that s. 753(4.1) prevents sentencing judges from imposing appropriate sentences on dangerous offenders in some cases. This provision imposes indeterminate detention on some offenders for whom this sentence is unfit in light of all the sentencing principles and the public protection objective of the scheme.  </w:t>
      </w:r>
      <w:r w:rsidRPr="000C431E">
        <w:rPr>
          <w:rFonts w:cs="Times New Roman"/>
        </w:rPr>
        <w:t xml:space="preserve">This is because s. 753(4.1) mandates indeterminate detention even where it is disproportionate to the offender’s degree of responsibility and the gravity of the predicate offence. And, given the legislative changes since </w:t>
      </w:r>
      <w:r w:rsidRPr="000C431E">
        <w:rPr>
          <w:rFonts w:cs="Times New Roman"/>
          <w:i/>
        </w:rPr>
        <w:t>Lyons</w:t>
      </w:r>
      <w:r w:rsidRPr="000C431E">
        <w:rPr>
          <w:rFonts w:cs="Times New Roman"/>
        </w:rPr>
        <w:t>, no judicial discretion is available to preclude such a sentence.</w:t>
      </w:r>
    </w:p>
    <w:p w14:paraId="76B53DD3" w14:textId="77777777" w:rsidR="00D22BB5" w:rsidRPr="000C431E" w:rsidRDefault="00D22BB5" w:rsidP="00F52BD7">
      <w:pPr>
        <w:pStyle w:val="ParaNoNdepar-AltN"/>
        <w:widowControl w:val="0"/>
        <w:rPr>
          <w:rFonts w:cs="Times New Roman"/>
        </w:rPr>
      </w:pPr>
      <w:r w:rsidRPr="000C431E">
        <w:rPr>
          <w:rFonts w:cs="Times New Roman"/>
          <w:lang w:val="en-US"/>
        </w:rPr>
        <w:t xml:space="preserve">While proportionality — the fundamental principle of sentencing — obviously governs under s. 753(4), it is not reflected in the s. 753(4.1) public safety threshold. </w:t>
      </w:r>
      <w:r w:rsidRPr="000C431E">
        <w:rPr>
          <w:rFonts w:cs="Times New Roman"/>
        </w:rPr>
        <w:t xml:space="preserve">Section 753(4.1) is imperative — if </w:t>
      </w:r>
      <w:r w:rsidRPr="000C431E">
        <w:rPr>
          <w:rFonts w:cs="Times New Roman"/>
          <w:lang w:val="en"/>
        </w:rPr>
        <w:t xml:space="preserve">there is not a reasonable expectation that the public will be adequately protected against the commission of another serious personal injury offence, indeterminate detention must be imposed, </w:t>
      </w:r>
      <w:r w:rsidRPr="000C431E">
        <w:rPr>
          <w:rFonts w:cs="Times New Roman"/>
          <w:i/>
        </w:rPr>
        <w:t xml:space="preserve">even if </w:t>
      </w:r>
      <w:r w:rsidRPr="000C431E">
        <w:rPr>
          <w:rFonts w:cs="Times New Roman"/>
        </w:rPr>
        <w:t xml:space="preserve">this sentence is disproportionate to the gravity of the predicate offence and the offender’s degree of responsibility. Like mandatory minimum sentencing provisions, s. 753(4.1) overrides the fundamental principle of sentencing. It “function[s] as </w:t>
      </w:r>
      <w:r w:rsidRPr="000C431E">
        <w:rPr>
          <w:rFonts w:cs="Times New Roman"/>
          <w:lang w:val="en"/>
        </w:rPr>
        <w:t xml:space="preserve">a blunt instrument that may deprive courts of the ability to tailor proportionate sentences” (see </w:t>
      </w:r>
      <w:r w:rsidRPr="000C431E">
        <w:rPr>
          <w:rFonts w:cs="Times New Roman"/>
          <w:i/>
          <w:lang w:val="en"/>
        </w:rPr>
        <w:t>Nur</w:t>
      </w:r>
      <w:r w:rsidRPr="000C431E">
        <w:rPr>
          <w:rFonts w:cs="Times New Roman"/>
          <w:lang w:val="en"/>
        </w:rPr>
        <w:t xml:space="preserve">, at para. 44). </w:t>
      </w:r>
    </w:p>
    <w:p w14:paraId="2211C11D" w14:textId="77777777" w:rsidR="00D22BB5" w:rsidRPr="000C431E" w:rsidRDefault="00D22BB5" w:rsidP="00F52BD7">
      <w:pPr>
        <w:pStyle w:val="ParaNoNdepar-AltN"/>
        <w:widowControl w:val="0"/>
        <w:rPr>
          <w:rFonts w:cs="Times New Roman"/>
          <w:lang w:val="en-US"/>
        </w:rPr>
      </w:pPr>
      <w:r w:rsidRPr="000C431E">
        <w:rPr>
          <w:rFonts w:cs="Times New Roman"/>
        </w:rPr>
        <w:t xml:space="preserve">Given the severity of indeterminate detention, this sentence will only be proportionate when the offender is very blameworthy and the offence is quite grave. Apart perhaps from life imprisonment, an indeterminate sentence is the harshest sanction available under the </w:t>
      </w:r>
      <w:r w:rsidRPr="000C431E">
        <w:rPr>
          <w:rFonts w:cs="Times New Roman"/>
          <w:i/>
        </w:rPr>
        <w:t>Criminal Code</w:t>
      </w:r>
      <w:r w:rsidRPr="000C431E">
        <w:rPr>
          <w:rFonts w:cs="Times New Roman"/>
        </w:rPr>
        <w:t>. Testimony in a recent case indicated that only 4-5 percent of dangerous offenders are ever released on parole (</w:t>
      </w:r>
      <w:r w:rsidRPr="000C431E">
        <w:rPr>
          <w:rFonts w:cs="Times New Roman"/>
          <w:i/>
        </w:rPr>
        <w:t>R. v. Walsh</w:t>
      </w:r>
      <w:r w:rsidRPr="000C431E">
        <w:rPr>
          <w:rFonts w:cs="Times New Roman"/>
        </w:rPr>
        <w:t xml:space="preserve">, 2017 </w:t>
      </w:r>
      <w:r w:rsidRPr="000C431E">
        <w:rPr>
          <w:rFonts w:cs="Times New Roman"/>
        </w:rPr>
        <w:lastRenderedPageBreak/>
        <w:t>BCCA 195, 348 C.C.C. (3d) 1, at para. 22). In addition, they are viewed as low priority for placement in treatment programs in prison, contributing to their poor prospects for rehabilitation and release (</w:t>
      </w:r>
      <w:r w:rsidRPr="000C431E">
        <w:rPr>
          <w:rFonts w:cs="Times New Roman"/>
          <w:i/>
        </w:rPr>
        <w:t>ibid.</w:t>
      </w:r>
      <w:r w:rsidRPr="000C431E">
        <w:rPr>
          <w:rFonts w:cs="Times New Roman"/>
        </w:rPr>
        <w:t xml:space="preserve">; </w:t>
      </w:r>
      <w:r w:rsidRPr="000C431E">
        <w:rPr>
          <w:rFonts w:cs="Times New Roman"/>
          <w:i/>
        </w:rPr>
        <w:t>R. v. Payne</w:t>
      </w:r>
      <w:r w:rsidRPr="000C431E">
        <w:rPr>
          <w:rFonts w:cs="Times New Roman"/>
        </w:rPr>
        <w:t xml:space="preserve"> (2001), 41 C.R. (5th) 156 (Ont. Sup. Ct.)). In effect, an indeterminate sentence amounts “to a life sentence with little chance of parole” (</w:t>
      </w:r>
      <w:r w:rsidRPr="000C431E">
        <w:rPr>
          <w:rFonts w:cs="Times New Roman"/>
          <w:i/>
        </w:rPr>
        <w:t>Walsh</w:t>
      </w:r>
      <w:r w:rsidRPr="000C431E">
        <w:rPr>
          <w:rFonts w:cs="Times New Roman"/>
        </w:rPr>
        <w:t>, at para. 22). This Court has characterized the effects of indeterminate detention as “profoundly devastating” (</w:t>
      </w:r>
      <w:r w:rsidRPr="000C431E">
        <w:rPr>
          <w:rFonts w:cs="Times New Roman"/>
          <w:i/>
        </w:rPr>
        <w:t>Lyons</w:t>
      </w:r>
      <w:r w:rsidRPr="000C431E">
        <w:rPr>
          <w:rFonts w:cs="Times New Roman"/>
        </w:rPr>
        <w:t xml:space="preserve">, at p. 339). </w:t>
      </w:r>
    </w:p>
    <w:p w14:paraId="1E2A39F2" w14:textId="77777777" w:rsidR="00D22BB5" w:rsidRPr="000C431E" w:rsidRDefault="00D22BB5" w:rsidP="00F52BD7">
      <w:pPr>
        <w:pStyle w:val="ParaNoNdepar-AltN"/>
        <w:widowControl w:val="0"/>
        <w:rPr>
          <w:rFonts w:cs="Times New Roman"/>
          <w:lang w:val="en-US"/>
        </w:rPr>
      </w:pPr>
      <w:r w:rsidRPr="000C431E">
        <w:rPr>
          <w:rFonts w:cs="Times New Roman"/>
          <w:lang w:val="en-US"/>
        </w:rPr>
        <w:t xml:space="preserve">The respondent, </w:t>
      </w:r>
      <w:r w:rsidRPr="000C431E">
        <w:rPr>
          <w:rFonts w:cs="Times New Roman"/>
        </w:rPr>
        <w:t>the Crown in right of British Columbia, asserts that subss. (1), (4) and (4.1) of s. 753 “embody the proportionality principle” and the dangerous offender scheme mandates indeterminate detention only when it is consistent with the sentencing principles. Similarly, my colleague C</w:t>
      </w:r>
      <w:r w:rsidRPr="000C431E">
        <w:rPr>
          <w:rFonts w:cs="Times New Roman"/>
          <w:lang w:val="en-US"/>
        </w:rPr>
        <w:t>ô</w:t>
      </w:r>
      <w:r w:rsidRPr="000C431E">
        <w:rPr>
          <w:rFonts w:cs="Times New Roman"/>
        </w:rPr>
        <w:t xml:space="preserve">té J. says s. 753(4.1) sets out the inevitable application of the sentencing principles for an offender who has been designated as dangerous. If this is correct, s. 753(4.1) would be redundant in light of s. 753(4). In any event, </w:t>
      </w:r>
      <w:r w:rsidRPr="000C431E">
        <w:rPr>
          <w:rFonts w:cs="Times New Roman"/>
          <w:lang w:val="en-US"/>
        </w:rPr>
        <w:t xml:space="preserve">I cannot agree. </w:t>
      </w:r>
    </w:p>
    <w:p w14:paraId="54FDCC88" w14:textId="77777777" w:rsidR="00D22BB5" w:rsidRPr="000C431E" w:rsidRDefault="00D22BB5" w:rsidP="00F52BD7">
      <w:pPr>
        <w:pStyle w:val="ParaNoNdepar-AltN"/>
        <w:widowControl w:val="0"/>
        <w:rPr>
          <w:rFonts w:cs="Times New Roman"/>
          <w:lang w:val="en-US"/>
        </w:rPr>
      </w:pPr>
      <w:r w:rsidRPr="000C431E">
        <w:rPr>
          <w:rFonts w:cs="Times New Roman"/>
          <w:lang w:val="en-US"/>
        </w:rPr>
        <w:t xml:space="preserve">Proportionality is the governing principle in sentencing — s. 718.1 says that a sentence </w:t>
      </w:r>
      <w:r w:rsidRPr="000C431E">
        <w:rPr>
          <w:rFonts w:cs="Times New Roman"/>
          <w:i/>
          <w:lang w:val="en-US"/>
        </w:rPr>
        <w:t xml:space="preserve">must </w:t>
      </w:r>
      <w:r w:rsidRPr="000C431E">
        <w:rPr>
          <w:rFonts w:cs="Times New Roman"/>
          <w:lang w:val="en-US"/>
        </w:rPr>
        <w:t xml:space="preserve">be proportionate to the gravity of the offence and the offender’s degree of responsibility. Outside the dangerous offender scheme, sentencing judges cannot impose a disproportionate sentence in the name of public protection. But once an offender is designated as dangerous, they are sometimes required to. </w:t>
      </w:r>
    </w:p>
    <w:p w14:paraId="279C7285" w14:textId="77777777" w:rsidR="00D22BB5" w:rsidRPr="000C431E" w:rsidRDefault="00D22BB5" w:rsidP="00F52BD7">
      <w:pPr>
        <w:pStyle w:val="ParaNoNdepar-AltN"/>
        <w:widowControl w:val="0"/>
        <w:rPr>
          <w:rFonts w:cs="Times New Roman"/>
          <w:lang w:val="en-US"/>
        </w:rPr>
      </w:pPr>
      <w:r w:rsidRPr="000C431E">
        <w:rPr>
          <w:rFonts w:cs="Times New Roman"/>
          <w:lang w:val="en-US"/>
        </w:rPr>
        <w:t xml:space="preserve">The offender’s degree of responsibility is not reflected in the s. 753(4.1) public safety threshold (see </w:t>
      </w:r>
      <w:r w:rsidRPr="000C431E">
        <w:rPr>
          <w:rFonts w:cs="Times New Roman"/>
          <w:i/>
          <w:lang w:val="en"/>
        </w:rPr>
        <w:t>R. v. Radcliffe</w:t>
      </w:r>
      <w:r w:rsidRPr="000C431E">
        <w:rPr>
          <w:rFonts w:cs="Times New Roman"/>
          <w:lang w:val="en"/>
        </w:rPr>
        <w:t>,</w:t>
      </w:r>
      <w:r w:rsidRPr="000C431E">
        <w:rPr>
          <w:rFonts w:cs="Times New Roman"/>
          <w:i/>
          <w:lang w:val="en"/>
        </w:rPr>
        <w:t xml:space="preserve"> </w:t>
      </w:r>
      <w:r w:rsidRPr="000C431E">
        <w:rPr>
          <w:rFonts w:cs="Times New Roman"/>
          <w:lang w:val="en"/>
        </w:rPr>
        <w:t xml:space="preserve">2017 ONCA 176, 347 C.C.C. (3d) 3, at para. 57; </w:t>
      </w:r>
      <w:r w:rsidRPr="000C431E">
        <w:rPr>
          <w:rFonts w:cs="Times New Roman"/>
          <w:i/>
          <w:lang w:val="en"/>
        </w:rPr>
        <w:t>R. v. B. (D.V.)</w:t>
      </w:r>
      <w:r w:rsidRPr="000C431E">
        <w:rPr>
          <w:rFonts w:cs="Times New Roman"/>
          <w:lang w:val="en"/>
        </w:rPr>
        <w:t xml:space="preserve">, 2010 ONCA 291, 100 O.R. (3d) 736, at para. 80, leave to </w:t>
      </w:r>
      <w:r w:rsidRPr="000C431E">
        <w:rPr>
          <w:rFonts w:cs="Times New Roman"/>
          <w:lang w:val="en"/>
        </w:rPr>
        <w:lastRenderedPageBreak/>
        <w:t>appeal refused, [2011] 3 S.C.R. vii)</w:t>
      </w:r>
      <w:r w:rsidRPr="000C431E">
        <w:rPr>
          <w:rFonts w:cs="Times New Roman"/>
          <w:lang w:val="en-US"/>
        </w:rPr>
        <w:t xml:space="preserve">. And given the broad definition of serious personal injury offences (which, despite their name, need not necessarily entail serious injury), indeterminate detention will be disproportionate to the gravity of the offence for many offenders who meet the designation criteria. But a sentencing judge is required to impose indeterminate detention on offenders whose moral blameworthiness is limited if the public safety threshold in s. 753(4.1) is not met, even if this sentence is inconsistent with </w:t>
      </w:r>
      <w:r w:rsidRPr="000C431E">
        <w:rPr>
          <w:rFonts w:cs="Times New Roman"/>
          <w:i/>
          <w:lang w:val="en-US"/>
        </w:rPr>
        <w:t xml:space="preserve">Gladue </w:t>
      </w:r>
      <w:r w:rsidRPr="000C431E">
        <w:rPr>
          <w:rFonts w:cs="Times New Roman"/>
          <w:lang w:val="en-US"/>
        </w:rPr>
        <w:t xml:space="preserve">principles. </w:t>
      </w:r>
    </w:p>
    <w:p w14:paraId="37E22E7C" w14:textId="0697C57B" w:rsidR="00D22BB5" w:rsidRPr="000C431E" w:rsidRDefault="00D22BB5" w:rsidP="00F52BD7">
      <w:pPr>
        <w:pStyle w:val="ParaNoNdepar-AltN"/>
        <w:widowControl w:val="0"/>
        <w:rPr>
          <w:rFonts w:cs="Times New Roman"/>
          <w:lang w:val="en"/>
        </w:rPr>
      </w:pPr>
      <w:r w:rsidRPr="000C431E">
        <w:rPr>
          <w:rFonts w:cs="Times New Roman"/>
          <w:lang w:val="en-US"/>
        </w:rPr>
        <w:t>Of course, Parliament is entitled “to identify those offenders who, in the interests of protecting the public, ought to be sentenced according to considerations which are not entirely reactive or based on a ‘just deserts’ rationale” (</w:t>
      </w:r>
      <w:r w:rsidRPr="000C431E">
        <w:rPr>
          <w:rFonts w:cs="Times New Roman"/>
          <w:i/>
          <w:lang w:val="en-US"/>
        </w:rPr>
        <w:t>Lyons</w:t>
      </w:r>
      <w:r w:rsidRPr="000C431E">
        <w:rPr>
          <w:rFonts w:cs="Times New Roman"/>
          <w:lang w:val="en-US"/>
        </w:rPr>
        <w:t>, at pp. 328-29), truly dangerous individuals who should receive a sentence which “is partly punitive but is mainly imposed for the protection of the public” (</w:t>
      </w:r>
      <w:r w:rsidRPr="000C431E">
        <w:rPr>
          <w:rFonts w:cs="Times New Roman"/>
          <w:i/>
          <w:lang w:val="en-US"/>
        </w:rPr>
        <w:t>Lyons</w:t>
      </w:r>
      <w:r w:rsidRPr="000C431E">
        <w:rPr>
          <w:rFonts w:cs="Times New Roman"/>
          <w:lang w:val="en-US"/>
        </w:rPr>
        <w:t xml:space="preserve">, at p. 329, quoting </w:t>
      </w:r>
      <w:r w:rsidRPr="000C431E">
        <w:rPr>
          <w:rFonts w:cs="Times New Roman"/>
          <w:i/>
          <w:lang w:val="en-US"/>
        </w:rPr>
        <w:t>Re Moore and the Queen</w:t>
      </w:r>
      <w:r w:rsidRPr="000C431E">
        <w:rPr>
          <w:rFonts w:cs="Times New Roman"/>
          <w:lang w:val="en-US"/>
        </w:rPr>
        <w:t xml:space="preserve"> (1984), 10 C.C.C. (3d) 306 (Ont. H.C.)). Parliament can dictate that public protection, which is recognized as a sentencing objective in s. 718(c), is an enhanced objective for dangerous offenders (see </w:t>
      </w:r>
      <w:r w:rsidRPr="000C431E">
        <w:rPr>
          <w:rFonts w:cs="Times New Roman"/>
          <w:i/>
          <w:lang w:val="en-US"/>
        </w:rPr>
        <w:t>Lyons</w:t>
      </w:r>
      <w:r w:rsidRPr="000C431E">
        <w:rPr>
          <w:rFonts w:cs="Times New Roman"/>
          <w:lang w:val="en-US"/>
        </w:rPr>
        <w:t xml:space="preserve">, at p. 329). But s. 12 of the </w:t>
      </w:r>
      <w:r w:rsidRPr="000C431E">
        <w:rPr>
          <w:rFonts w:cs="Times New Roman"/>
          <w:i/>
          <w:lang w:val="en-US"/>
        </w:rPr>
        <w:t xml:space="preserve">Charter </w:t>
      </w:r>
      <w:r w:rsidRPr="000C431E">
        <w:rPr>
          <w:rFonts w:cs="Times New Roman"/>
          <w:lang w:val="en-US"/>
        </w:rPr>
        <w:t>limits this power. While Parliament can impose sentences that depart from the principle of proportionality, grossly disproportionate sentences are unconstitutional (</w:t>
      </w:r>
      <w:r w:rsidRPr="000C431E">
        <w:rPr>
          <w:rFonts w:cs="Times New Roman"/>
          <w:i/>
        </w:rPr>
        <w:t>Safarzadeh-Markhali</w:t>
      </w:r>
      <w:r w:rsidRPr="000C431E">
        <w:rPr>
          <w:rFonts w:cs="Times New Roman"/>
        </w:rPr>
        <w:t>, at para. 73</w:t>
      </w:r>
      <w:r w:rsidRPr="000C431E">
        <w:rPr>
          <w:rFonts w:cs="Times New Roman"/>
          <w:lang w:val="en-US"/>
        </w:rPr>
        <w:t xml:space="preserve">). </w:t>
      </w:r>
      <w:r w:rsidRPr="000C431E">
        <w:rPr>
          <w:rFonts w:cs="Times New Roman"/>
        </w:rPr>
        <w:t>Moral blameworthiness is the bedrock of our criminal law tradition, and it has been since long before the principle of proportionality in sentencing was codified in 1995 (</w:t>
      </w:r>
      <w:r w:rsidRPr="000C431E">
        <w:rPr>
          <w:rFonts w:cs="Times New Roman"/>
          <w:i/>
        </w:rPr>
        <w:t>Ipeelee</w:t>
      </w:r>
      <w:r w:rsidRPr="000C431E">
        <w:rPr>
          <w:rFonts w:cs="Times New Roman"/>
        </w:rPr>
        <w:t xml:space="preserve">, at para. 36). The </w:t>
      </w:r>
      <w:r w:rsidRPr="000C431E">
        <w:rPr>
          <w:rFonts w:cs="Times New Roman"/>
          <w:i/>
        </w:rPr>
        <w:t xml:space="preserve">Charter </w:t>
      </w:r>
      <w:r w:rsidRPr="000C431E">
        <w:rPr>
          <w:rFonts w:cs="Times New Roman"/>
        </w:rPr>
        <w:t xml:space="preserve">thus ensures that Canada does not come to resemble </w:t>
      </w:r>
      <w:r w:rsidRPr="000C431E">
        <w:rPr>
          <w:rFonts w:cs="Times New Roman"/>
          <w:lang w:val="en-US"/>
        </w:rPr>
        <w:t xml:space="preserve">Philip K. Dick’s </w:t>
      </w:r>
      <w:r w:rsidRPr="000C431E">
        <w:rPr>
          <w:rFonts w:cs="Times New Roman"/>
          <w:i/>
          <w:lang w:val="en-US"/>
        </w:rPr>
        <w:t>Minority Report</w:t>
      </w:r>
      <w:r w:rsidRPr="000C431E">
        <w:rPr>
          <w:rFonts w:cs="Times New Roman"/>
          <w:lang w:val="en-US"/>
        </w:rPr>
        <w:t xml:space="preserve">, a frightening dystopia in which citizens who have done no wrong are arrested for crimes they are predicted to commit. </w:t>
      </w:r>
    </w:p>
    <w:p w14:paraId="7B1E2089" w14:textId="77777777" w:rsidR="00D22BB5" w:rsidRPr="000C431E" w:rsidRDefault="00D22BB5" w:rsidP="00F52BD7">
      <w:pPr>
        <w:pStyle w:val="ParaNoNdepar-AltN"/>
        <w:widowControl w:val="0"/>
        <w:rPr>
          <w:rFonts w:cs="Times New Roman"/>
        </w:rPr>
      </w:pPr>
      <w:r w:rsidRPr="000C431E">
        <w:rPr>
          <w:rFonts w:cs="Times New Roman"/>
          <w:lang w:val="en"/>
        </w:rPr>
        <w:lastRenderedPageBreak/>
        <w:t>Section</w:t>
      </w:r>
      <w:r w:rsidRPr="000C431E">
        <w:rPr>
          <w:rFonts w:cs="Times New Roman"/>
        </w:rPr>
        <w:t xml:space="preserve"> 753(4.1) may also preclude a sentence that respects the principle of restraint. This provision resolves any uncertainty about the offender’s amenability to treatment in favour of</w:t>
      </w:r>
      <w:r w:rsidRPr="000C431E">
        <w:rPr>
          <w:rFonts w:cs="Times New Roman"/>
          <w:i/>
        </w:rPr>
        <w:t xml:space="preserve"> </w:t>
      </w:r>
      <w:r w:rsidRPr="000C431E">
        <w:rPr>
          <w:rFonts w:cs="Times New Roman"/>
        </w:rPr>
        <w:t>indeterminate detention (</w:t>
      </w:r>
      <w:r w:rsidRPr="000C431E">
        <w:rPr>
          <w:rFonts w:cs="Times New Roman"/>
          <w:i/>
        </w:rPr>
        <w:t>R. v. R.S.</w:t>
      </w:r>
      <w:r w:rsidRPr="000C431E">
        <w:rPr>
          <w:rFonts w:cs="Times New Roman"/>
        </w:rPr>
        <w:t>, 2016 ONSC 7767, at paras. 51 and 102 (CanLII)). Section 753(4.1) creates a presumption for an indeterminate sentence that is only rebuttable by “evidence adduced during the hearing”. The Crown will often know about the existence of community-based supervision programs, but it is not required to lead evidence on this point, and if no relevant evidence is provided to the court, the appropriate sentence is an indeterminate one (</w:t>
      </w:r>
      <w:r w:rsidRPr="000C431E">
        <w:rPr>
          <w:rFonts w:cs="Times New Roman"/>
          <w:i/>
        </w:rPr>
        <w:t>Radcliffe</w:t>
      </w:r>
      <w:r w:rsidRPr="000C431E">
        <w:rPr>
          <w:rFonts w:cs="Times New Roman"/>
        </w:rPr>
        <w:t xml:space="preserve">, at para. 58; </w:t>
      </w:r>
      <w:r w:rsidRPr="000C431E">
        <w:rPr>
          <w:rFonts w:cs="Times New Roman"/>
          <w:i/>
        </w:rPr>
        <w:t>R. v. Smarch</w:t>
      </w:r>
      <w:r w:rsidRPr="000C431E">
        <w:rPr>
          <w:rFonts w:cs="Times New Roman"/>
        </w:rPr>
        <w:t>, 2015 YKCA 13, 374 B.C.A.C. 280, at para. 48). As one of the interveners, the Yukon Legal Services Society, points out, the absence of evidence that suitable community supervision programs exist is sometimes attributable to an offender’s limited resources or the lack of programming in a particular community, rather than to the inability to manage the offender’s risk.</w:t>
      </w:r>
    </w:p>
    <w:p w14:paraId="4DD331A3" w14:textId="17848C0D" w:rsidR="00D22BB5" w:rsidRPr="000C431E" w:rsidRDefault="00D22BB5" w:rsidP="00F52BD7">
      <w:pPr>
        <w:pStyle w:val="ParaNoNdepar-AltN"/>
        <w:widowControl w:val="0"/>
        <w:rPr>
          <w:rFonts w:cs="Times New Roman"/>
        </w:rPr>
      </w:pPr>
      <w:r w:rsidRPr="000C431E">
        <w:rPr>
          <w:rFonts w:cs="Times New Roman"/>
        </w:rPr>
        <w:t>In short, the mandatory designation stage</w:t>
      </w:r>
      <w:r w:rsidR="00C73E54">
        <w:rPr>
          <w:rFonts w:cs="Times New Roman"/>
        </w:rPr>
        <w:t>,</w:t>
      </w:r>
      <w:r w:rsidRPr="000C431E">
        <w:rPr>
          <w:rFonts w:cs="Times New Roman"/>
        </w:rPr>
        <w:t xml:space="preserve"> in the dangerous offender scheme, which captures a broad group of offenders, combined with the narrow, structured discretion at the penalty stage</w:t>
      </w:r>
      <w:r w:rsidR="00C932C6">
        <w:rPr>
          <w:rFonts w:cs="Times New Roman"/>
        </w:rPr>
        <w:t>,</w:t>
      </w:r>
      <w:r w:rsidRPr="000C431E">
        <w:rPr>
          <w:rFonts w:cs="Times New Roman"/>
        </w:rPr>
        <w:t xml:space="preserve"> has created a legislative context that fails to ensure offenders are only sentenced to indeterminate incarceration if this sentence is appropriate. While judicial discretion in sentencing is not a general constitutional imperative, Parliament cannot curtail this discretion in a manner that requires judges to impose grossly disproportionate sentences. </w:t>
      </w:r>
    </w:p>
    <w:p w14:paraId="3A241C72" w14:textId="77777777" w:rsidR="00D22BB5" w:rsidRPr="000C431E" w:rsidRDefault="00D22BB5" w:rsidP="00F52BD7">
      <w:pPr>
        <w:pStyle w:val="ParaNoNdepar-AltN"/>
        <w:widowControl w:val="0"/>
        <w:tabs>
          <w:tab w:val="clear" w:pos="1152"/>
          <w:tab w:val="left" w:pos="1166"/>
        </w:tabs>
        <w:rPr>
          <w:rFonts w:cs="Times New Roman"/>
        </w:rPr>
      </w:pPr>
      <w:r w:rsidRPr="000C431E">
        <w:rPr>
          <w:rFonts w:cs="Times New Roman"/>
        </w:rPr>
        <w:t xml:space="preserve">Given the design of the dangerous offender scheme, it is not difficult to foresee circumstances where s. 753(4.1) will impose grossly disproportionate </w:t>
      </w:r>
      <w:r w:rsidRPr="000C431E">
        <w:rPr>
          <w:rFonts w:cs="Times New Roman"/>
        </w:rPr>
        <w:lastRenderedPageBreak/>
        <w:t>sentences. This may happen notably where the gravity of the predicate offence is on the low end of the spectrum and the offender’s degree of responsibility is minimal. The indeterminate detention of such offenders is particularly troubling if their risk will likely manifest itself in crimes that fall on the lower end of the “serious personal injury offence” spectrum.</w:t>
      </w:r>
    </w:p>
    <w:p w14:paraId="16642047" w14:textId="77777777" w:rsidR="00D22BB5" w:rsidRPr="000C431E" w:rsidRDefault="00D22BB5" w:rsidP="00F52BD7">
      <w:pPr>
        <w:pStyle w:val="ParaNoNdepar-AltN"/>
        <w:widowControl w:val="0"/>
        <w:tabs>
          <w:tab w:val="clear" w:pos="1152"/>
          <w:tab w:val="left" w:pos="1166"/>
        </w:tabs>
        <w:rPr>
          <w:rFonts w:cs="Times New Roman"/>
        </w:rPr>
      </w:pPr>
      <w:r w:rsidRPr="000C431E">
        <w:rPr>
          <w:rFonts w:cs="Times New Roman"/>
        </w:rPr>
        <w:t>On the low end of the spectrum, serious personal injury offences include criminal harassment and obstruction of justice. They can also include robbery where the victim is threatened, but the offender does not have a weapon and no one is injured (</w:t>
      </w:r>
      <w:r w:rsidRPr="000C431E">
        <w:rPr>
          <w:rFonts w:cs="Times New Roman"/>
          <w:i/>
        </w:rPr>
        <w:t>Steele</w:t>
      </w:r>
      <w:r w:rsidRPr="000C431E">
        <w:rPr>
          <w:rFonts w:cs="Times New Roman"/>
        </w:rPr>
        <w:t xml:space="preserve">). If an offender commits one of these offences twice, a pattern may be established. If the Crown seeks this designation and there is a likelihood that the offender will cause injury or severe psychological damage in the future, the offender must be designated as dangerous. At the penalty stage, if no evidence of community supervision programs is presented, or if it is unknown whether the offender will be amenable to treatment, s. 753(4.1) mandates indeterminate detention. </w:t>
      </w:r>
    </w:p>
    <w:p w14:paraId="1A36F59F" w14:textId="77777777" w:rsidR="00D22BB5" w:rsidRPr="000C431E" w:rsidRDefault="00D22BB5" w:rsidP="00F52BD7">
      <w:pPr>
        <w:pStyle w:val="ParaNoNdepar-AltN"/>
        <w:widowControl w:val="0"/>
        <w:rPr>
          <w:rFonts w:cs="Times New Roman"/>
        </w:rPr>
      </w:pPr>
      <w:r w:rsidRPr="000C431E">
        <w:rPr>
          <w:rFonts w:cs="Times New Roman"/>
        </w:rPr>
        <w:t>These offenders must be imprisoned indefinitely, regardless of their degree of responsibility. The fact that an offender is youthful, has pled guilty (as in this case), or commits crimes due to developmental disability (</w:t>
      </w:r>
      <w:r w:rsidRPr="000C431E">
        <w:rPr>
          <w:rFonts w:cs="Times New Roman"/>
          <w:i/>
        </w:rPr>
        <w:t>R. v. Goodwin</w:t>
      </w:r>
      <w:r w:rsidRPr="000C431E">
        <w:rPr>
          <w:rFonts w:cs="Times New Roman"/>
        </w:rPr>
        <w:t>, 2002 BCCA 513, 168 C.C.C. (3d) 14) or addiction (as in this case) has no bearing in the s. 753(4.1) analysis or on designation decisions. Addiction is often linked to poverty and childhood abuse, and while these experiences speak to the offender’s moral blameworthiness (</w:t>
      </w:r>
      <w:r w:rsidRPr="000C431E">
        <w:rPr>
          <w:rFonts w:cs="Times New Roman"/>
          <w:i/>
        </w:rPr>
        <w:t>Ipeelee</w:t>
      </w:r>
      <w:r w:rsidRPr="000C431E">
        <w:rPr>
          <w:rFonts w:cs="Times New Roman"/>
        </w:rPr>
        <w:t xml:space="preserve">, at para. 73), they are irrelevant under s. 753(4.1). Such life experiences are not rare. Criminal courts in this country are tragically filled with offenders whose </w:t>
      </w:r>
      <w:r w:rsidRPr="000C431E">
        <w:rPr>
          <w:rFonts w:cs="Times New Roman"/>
        </w:rPr>
        <w:lastRenderedPageBreak/>
        <w:t xml:space="preserve">crimes are linked to the disease of addiction and the consequences of marginalization. </w:t>
      </w:r>
    </w:p>
    <w:p w14:paraId="4979A695" w14:textId="77777777" w:rsidR="00D22BB5" w:rsidRPr="000C431E" w:rsidRDefault="00D22BB5" w:rsidP="00F52BD7">
      <w:pPr>
        <w:pStyle w:val="ParaNoNdepar-AltN"/>
        <w:widowControl w:val="0"/>
        <w:rPr>
          <w:rFonts w:cs="Times New Roman"/>
        </w:rPr>
      </w:pPr>
      <w:r w:rsidRPr="000C431E">
        <w:rPr>
          <w:rFonts w:cs="Times New Roman"/>
        </w:rPr>
        <w:t xml:space="preserve">If the dangerous offender is an Indigenous person, systemic factors that may have contributed to bringing him or her before the courts, such as the roots of the offender’s criminality in intergenerational trauma, cannot be considered in the s. 753(4.1) analysis, even though Parliament has expressly directed sentencing judges to consider these factors for Indigenous offenders </w:t>
      </w:r>
      <w:r w:rsidRPr="000C431E">
        <w:rPr>
          <w:rFonts w:cs="Times New Roman"/>
          <w:lang w:val="en"/>
        </w:rPr>
        <w:t xml:space="preserve">(see </w:t>
      </w:r>
      <w:r w:rsidRPr="000C431E">
        <w:rPr>
          <w:rFonts w:cs="Times New Roman"/>
          <w:i/>
          <w:lang w:val="en"/>
        </w:rPr>
        <w:t>Radcliffe</w:t>
      </w:r>
      <w:r w:rsidRPr="000C431E">
        <w:rPr>
          <w:rFonts w:cs="Times New Roman"/>
          <w:lang w:val="en"/>
        </w:rPr>
        <w:t xml:space="preserve">, at para. 63; s. 718.2(e)). This is particularly concerning because there is no judicial discretion at the designation stage, and because Indigenous offenders are significantly overrepresented in the dangerous offender population. </w:t>
      </w:r>
    </w:p>
    <w:p w14:paraId="5AF88974" w14:textId="08313D25" w:rsidR="00D22BB5" w:rsidRPr="000C431E" w:rsidRDefault="00D22BB5" w:rsidP="00F52BD7">
      <w:pPr>
        <w:pStyle w:val="ParaNoNdepar-AltN"/>
        <w:widowControl w:val="0"/>
        <w:rPr>
          <w:rFonts w:cs="Times New Roman"/>
        </w:rPr>
      </w:pPr>
      <w:r w:rsidRPr="000C431E">
        <w:rPr>
          <w:rFonts w:cs="Times New Roman"/>
        </w:rPr>
        <w:t xml:space="preserve">Offenders sentenced to indefinite imprisonment receive low priority for treatment programs in prison, and there is no assurance of addiction treatment before the first Parole Board review seven years after they enter custody (s. 761(1)). Further, the possibility of parole has no bearing on the constitutionality of the challenged provision. In the words of the Chief Justice in </w:t>
      </w:r>
      <w:r w:rsidRPr="000C431E">
        <w:rPr>
          <w:rFonts w:cs="Times New Roman"/>
          <w:i/>
        </w:rPr>
        <w:t>Nur</w:t>
      </w:r>
      <w:r w:rsidRPr="000C431E">
        <w:rPr>
          <w:rFonts w:cs="Times New Roman"/>
        </w:rPr>
        <w:t>,</w:t>
      </w:r>
      <w:r w:rsidRPr="000C431E">
        <w:rPr>
          <w:rFonts w:cs="Times New Roman"/>
          <w:i/>
        </w:rPr>
        <w:t xml:space="preserve"> </w:t>
      </w:r>
      <w:r w:rsidRPr="000C431E">
        <w:rPr>
          <w:rFonts w:cs="Times New Roman"/>
          <w:lang w:val="en"/>
        </w:rPr>
        <w:t>“[t]he discretionary decision of the [P]arole [B]oard is</w:t>
      </w:r>
      <w:r w:rsidRPr="000C431E">
        <w:rPr>
          <w:rFonts w:cs="Times New Roman"/>
        </w:rPr>
        <w:t xml:space="preserve"> no substitute for a constitutional law” (para. 98).</w:t>
      </w:r>
    </w:p>
    <w:p w14:paraId="0BBE137E" w14:textId="77777777" w:rsidR="00D22BB5" w:rsidRPr="000C431E" w:rsidRDefault="00D22BB5" w:rsidP="00F52BD7">
      <w:pPr>
        <w:pStyle w:val="ParaNoNdepar-AltN"/>
        <w:widowControl w:val="0"/>
        <w:rPr>
          <w:rFonts w:cs="Times New Roman"/>
        </w:rPr>
      </w:pPr>
      <w:r w:rsidRPr="000C431E">
        <w:rPr>
          <w:rFonts w:cs="Times New Roman"/>
        </w:rPr>
        <w:t>By including full discretion at the designation stage (under the 1997 scheme)</w:t>
      </w:r>
      <w:r w:rsidRPr="000C431E">
        <w:rPr>
          <w:rFonts w:cs="Times New Roman"/>
          <w:lang w:val="en-US"/>
        </w:rPr>
        <w:t xml:space="preserve"> and at both the designation and penalty stages (under 1977 scheme), previous versions of the dangerous offender scheme ensured that sentencing judges were not required to impose grossly disproportionate sentences on dangerous offenders (</w:t>
      </w:r>
      <w:r w:rsidRPr="000C431E">
        <w:rPr>
          <w:rFonts w:cs="Times New Roman"/>
          <w:i/>
          <w:lang w:val="en"/>
        </w:rPr>
        <w:t>Johnson</w:t>
      </w:r>
      <w:r w:rsidRPr="000C431E">
        <w:rPr>
          <w:rFonts w:cs="Times New Roman"/>
          <w:lang w:val="en"/>
        </w:rPr>
        <w:t xml:space="preserve">, at paras. 28 and 34). Thus in </w:t>
      </w:r>
      <w:r w:rsidRPr="000C431E">
        <w:rPr>
          <w:rFonts w:cs="Times New Roman"/>
          <w:i/>
          <w:lang w:val="en"/>
        </w:rPr>
        <w:t>Neve</w:t>
      </w:r>
      <w:r w:rsidRPr="000C431E">
        <w:rPr>
          <w:rFonts w:cs="Times New Roman"/>
          <w:lang w:val="en"/>
        </w:rPr>
        <w:t xml:space="preserve">, which was decided under the 1977 scheme, the Alberta Court of Appeal overturned a decision designating a 21-year-old </w:t>
      </w:r>
      <w:r w:rsidRPr="000C431E">
        <w:rPr>
          <w:rFonts w:cs="Times New Roman"/>
          <w:lang w:val="en"/>
        </w:rPr>
        <w:lastRenderedPageBreak/>
        <w:t>Indigenous woman as a dangerous offender and sentencing her to indeterminate detention. Ms. Neve had been a prostitute since she was 12 and she struggled with substance abuse issues. The offence giving rise to the dangerous offender application was a robbery committed when Ms. Neve was 18 during which the victim sustained only a minor injury.</w:t>
      </w:r>
      <w:r w:rsidRPr="000C431E">
        <w:rPr>
          <w:rFonts w:cs="Times New Roman"/>
        </w:rPr>
        <w:t xml:space="preserve"> The decision ordering Ms. Neve’s indeterminate detention was overturned notably because this sentence was not proportionate to the gravity of her offence and her degree of responsibility. </w:t>
      </w:r>
      <w:r w:rsidRPr="000C431E">
        <w:rPr>
          <w:rFonts w:cs="Times New Roman"/>
          <w:lang w:val="en"/>
        </w:rPr>
        <w:t xml:space="preserve">Similarly, in </w:t>
      </w:r>
      <w:r w:rsidRPr="000C431E">
        <w:rPr>
          <w:rFonts w:cs="Times New Roman"/>
          <w:i/>
          <w:lang w:val="en"/>
        </w:rPr>
        <w:t>Goodwin</w:t>
      </w:r>
      <w:r w:rsidRPr="000C431E">
        <w:rPr>
          <w:rFonts w:cs="Times New Roman"/>
          <w:lang w:val="en"/>
        </w:rPr>
        <w:t xml:space="preserve">, which was decided under the 1997 scheme, the majority overturned a decision designating a man who had the “mental age of about eight years” as a dangerous offender because “indefinite incarceration [was] disproportionate in light of his low moral culpability” (paras. 1 and 8). But under the current scheme, Ms. Neve and Mr. Goodwin would be sentenced to indeterminate detention if the public safety threshold in s. 753(4.1) is not met. </w:t>
      </w:r>
    </w:p>
    <w:p w14:paraId="15FE6EEA" w14:textId="77777777" w:rsidR="00D22BB5" w:rsidRPr="000C431E" w:rsidRDefault="00D22BB5" w:rsidP="00F52BD7">
      <w:pPr>
        <w:pStyle w:val="ParaNoNdepar-AltN"/>
        <w:widowControl w:val="0"/>
        <w:rPr>
          <w:rFonts w:cs="Times New Roman"/>
        </w:rPr>
      </w:pPr>
      <w:r w:rsidRPr="000C431E">
        <w:rPr>
          <w:rFonts w:cs="Times New Roman"/>
          <w:lang w:val="en"/>
        </w:rPr>
        <w:t xml:space="preserve">Thus, consider an Indigenous offender who suffers from serious drug addiction rooted in intergenerational trauma and whose treatment prospects are uncertain. If this offender commits a number of robberies to sustain his addiction, but does not use a real weapon and causes no injury, he may well face indeterminate detention under s. 753(4.1). </w:t>
      </w:r>
      <w:r w:rsidRPr="000C431E">
        <w:rPr>
          <w:rFonts w:cs="Times New Roman"/>
        </w:rPr>
        <w:t>In this case, the dangerous offender regime requires a sentence that is grossly disproportionate to the gravity of the predicate offence and the degree of responsibility of the offender.</w:t>
      </w:r>
    </w:p>
    <w:p w14:paraId="5CF1CBF1" w14:textId="77777777" w:rsidR="00D22BB5" w:rsidRPr="000C431E" w:rsidRDefault="00D22BB5" w:rsidP="00F52BD7">
      <w:pPr>
        <w:pStyle w:val="ParaNoNdepar-AltN"/>
        <w:widowControl w:val="0"/>
        <w:rPr>
          <w:rFonts w:cs="Times New Roman"/>
        </w:rPr>
      </w:pPr>
      <w:r w:rsidRPr="000C431E">
        <w:rPr>
          <w:rFonts w:cs="Times New Roman"/>
        </w:rPr>
        <w:t xml:space="preserve">In sum, indeterminate detention is </w:t>
      </w:r>
      <w:r w:rsidRPr="000C431E">
        <w:rPr>
          <w:rFonts w:cs="Times New Roman"/>
          <w:lang w:val="en"/>
        </w:rPr>
        <w:t xml:space="preserve">“so excessive as to outrage standards of decency” </w:t>
      </w:r>
      <w:r w:rsidRPr="000C431E">
        <w:rPr>
          <w:rFonts w:cs="Times New Roman"/>
        </w:rPr>
        <w:t>in cases where the offender’s degree of responsibility and the gravity of the predicate offence are on the low end of the spectrum (</w:t>
      </w:r>
      <w:r w:rsidRPr="000C431E">
        <w:rPr>
          <w:rFonts w:cs="Times New Roman"/>
          <w:i/>
        </w:rPr>
        <w:t>Ferguson</w:t>
      </w:r>
      <w:r w:rsidRPr="000C431E">
        <w:rPr>
          <w:rFonts w:cs="Times New Roman"/>
        </w:rPr>
        <w:t xml:space="preserve">, at para. 14, quoting </w:t>
      </w:r>
      <w:r w:rsidRPr="000C431E">
        <w:rPr>
          <w:rFonts w:cs="Times New Roman"/>
          <w:i/>
          <w:iCs/>
          <w:lang w:val="en"/>
        </w:rPr>
        <w:lastRenderedPageBreak/>
        <w:t>Wiles</w:t>
      </w:r>
      <w:r w:rsidRPr="000C431E">
        <w:rPr>
          <w:rFonts w:cs="Times New Roman"/>
          <w:lang w:val="en"/>
        </w:rPr>
        <w:t>, at para. 4</w:t>
      </w:r>
      <w:r w:rsidRPr="000C431E">
        <w:rPr>
          <w:rFonts w:cs="Times New Roman"/>
        </w:rPr>
        <w:t xml:space="preserve">), especially where alternative measures, including lengthy sentences of incarceration with long-term supervision orders, permit public safety concerns to be addressed. While Parliament is, of course, entitled to take steps to protect Canadians against the threat posed by the most dangerous criminals, the current scheme goes too far. Indeterminate detention — the most severe penalty, apart perhaps from life sentences — is grossly disproportionate to the sentence some offenders would otherwise receive under the sentencing principles in the </w:t>
      </w:r>
      <w:r w:rsidRPr="000C431E">
        <w:rPr>
          <w:rFonts w:cs="Times New Roman"/>
          <w:i/>
        </w:rPr>
        <w:t>Criminal Code</w:t>
      </w:r>
      <w:r w:rsidRPr="000C431E">
        <w:rPr>
          <w:rFonts w:cs="Times New Roman"/>
        </w:rPr>
        <w:t xml:space="preserve">. </w:t>
      </w:r>
    </w:p>
    <w:p w14:paraId="4329BA96" w14:textId="77777777" w:rsidR="00D22BB5" w:rsidRPr="000C431E" w:rsidRDefault="00D22BB5" w:rsidP="00F52BD7">
      <w:pPr>
        <w:pStyle w:val="Title2LevelTitre2Niveau"/>
        <w:widowControl w:val="0"/>
        <w:rPr>
          <w:rFonts w:cs="Times New Roman"/>
        </w:rPr>
      </w:pPr>
      <w:r w:rsidRPr="000C431E">
        <w:rPr>
          <w:rFonts w:cs="Times New Roman"/>
        </w:rPr>
        <w:t>Section 753(4.1) Is Not Saved by Section 1 of the Charter</w:t>
      </w:r>
    </w:p>
    <w:p w14:paraId="32E7E4C2" w14:textId="77777777" w:rsidR="00D22BB5" w:rsidRPr="000C431E" w:rsidRDefault="00D22BB5" w:rsidP="00F52BD7">
      <w:pPr>
        <w:pStyle w:val="ParaNoNdepar-AltN"/>
        <w:widowControl w:val="0"/>
        <w:rPr>
          <w:rFonts w:cs="Times New Roman"/>
        </w:rPr>
      </w:pPr>
      <w:r w:rsidRPr="000C431E">
        <w:rPr>
          <w:rFonts w:cs="Times New Roman"/>
        </w:rPr>
        <w:t xml:space="preserve">Violations of s. 12 of the </w:t>
      </w:r>
      <w:r w:rsidRPr="000C431E">
        <w:rPr>
          <w:rFonts w:cs="Times New Roman"/>
          <w:i/>
        </w:rPr>
        <w:t xml:space="preserve">Charter </w:t>
      </w:r>
      <w:r w:rsidRPr="000C431E">
        <w:rPr>
          <w:rFonts w:cs="Times New Roman"/>
        </w:rPr>
        <w:t>can rarely be justified under s. 1. This Court recently recognized that it will be difficult for the government to establish that a sentencing provision that is grossly disproportionate under s. 12 nevertheless represents a proportionate balancing between the deleterious and salutary effects of the law under the s. 1 analysis (</w:t>
      </w:r>
      <w:r w:rsidRPr="000C431E">
        <w:rPr>
          <w:rFonts w:cs="Times New Roman"/>
          <w:i/>
        </w:rPr>
        <w:t>Nur</w:t>
      </w:r>
      <w:r w:rsidRPr="000C431E">
        <w:rPr>
          <w:rFonts w:cs="Times New Roman"/>
        </w:rPr>
        <w:t>, at para. 111).</w:t>
      </w:r>
      <w:r w:rsidRPr="000C431E">
        <w:rPr>
          <w:rFonts w:cs="Times New Roman"/>
          <w:i/>
        </w:rPr>
        <w:t xml:space="preserve"> </w:t>
      </w:r>
    </w:p>
    <w:p w14:paraId="053FBF45" w14:textId="22CF7CEF" w:rsidR="00D22BB5" w:rsidRPr="000C431E" w:rsidRDefault="00D22BB5" w:rsidP="00F52BD7">
      <w:pPr>
        <w:pStyle w:val="ParaNoNdepar-AltN"/>
        <w:widowControl w:val="0"/>
        <w:rPr>
          <w:rFonts w:cs="Times New Roman"/>
        </w:rPr>
      </w:pPr>
      <w:r w:rsidRPr="000C431E">
        <w:rPr>
          <w:rFonts w:cs="Times New Roman"/>
        </w:rPr>
        <w:t>The dangerous offender scheme advances the laudable goal of protecting the public from violent offenders likely to reoffend (</w:t>
      </w:r>
      <w:r w:rsidRPr="000C431E">
        <w:rPr>
          <w:rFonts w:cs="Times New Roman"/>
          <w:i/>
        </w:rPr>
        <w:t>Steele</w:t>
      </w:r>
      <w:r w:rsidRPr="000C431E">
        <w:rPr>
          <w:rFonts w:cs="Times New Roman"/>
        </w:rPr>
        <w:t xml:space="preserve">, at para. 29). But while there is a rational connection between s. 753(4.1) and its intended purpose, the provision fails the second branch of the </w:t>
      </w:r>
      <w:r w:rsidRPr="000C431E">
        <w:rPr>
          <w:rFonts w:cs="Times New Roman"/>
          <w:i/>
        </w:rPr>
        <w:t xml:space="preserve">Oakes </w:t>
      </w:r>
      <w:r w:rsidRPr="000C431E">
        <w:rPr>
          <w:rFonts w:cs="Times New Roman"/>
        </w:rPr>
        <w:t>test</w:t>
      </w:r>
      <w:r w:rsidR="004A2E70">
        <w:rPr>
          <w:rFonts w:cs="Times New Roman"/>
        </w:rPr>
        <w:t xml:space="preserve"> (</w:t>
      </w:r>
      <w:r w:rsidR="004A2E70" w:rsidRPr="004A2E70">
        <w:rPr>
          <w:rFonts w:cs="Times New Roman"/>
          <w:i/>
        </w:rPr>
        <w:t>R. c. Oakes</w:t>
      </w:r>
      <w:r w:rsidR="004A2E70">
        <w:rPr>
          <w:rFonts w:cs="Times New Roman"/>
        </w:rPr>
        <w:t>, [1986] 1 S.C.R. 103)</w:t>
      </w:r>
      <w:r w:rsidRPr="000C431E">
        <w:rPr>
          <w:rFonts w:cs="Times New Roman"/>
        </w:rPr>
        <w:t>. It does not minimally impair the s. 12 right of dangerous offenders not to be subjected to cruel and unusual punishment. The respondent has not established that the provision is reasonably tailored to the objective of the law (</w:t>
      </w:r>
      <w:r w:rsidRPr="000C431E">
        <w:rPr>
          <w:rFonts w:cs="Times New Roman"/>
          <w:i/>
        </w:rPr>
        <w:t>Nur</w:t>
      </w:r>
      <w:r w:rsidRPr="000C431E">
        <w:rPr>
          <w:rFonts w:cs="Times New Roman"/>
        </w:rPr>
        <w:t xml:space="preserve">, at para. 116). It has not shown that less harmful means for achieving the public protection objective were unavailable. For </w:t>
      </w:r>
      <w:r w:rsidRPr="000C431E">
        <w:rPr>
          <w:rFonts w:cs="Times New Roman"/>
        </w:rPr>
        <w:lastRenderedPageBreak/>
        <w:t xml:space="preserve">example, Parliament could have included </w:t>
      </w:r>
      <w:r w:rsidRPr="000C431E">
        <w:rPr>
          <w:rFonts w:cs="Times New Roman"/>
          <w:lang w:val="en"/>
        </w:rPr>
        <w:t>residual judicial discretion to allow for a lesser sentence to be imposed where indeterminate detention would be grossly disproportionate</w:t>
      </w:r>
      <w:r w:rsidRPr="000C431E">
        <w:rPr>
          <w:rFonts w:cs="Times New Roman"/>
        </w:rPr>
        <w:t xml:space="preserve"> (see </w:t>
      </w:r>
      <w:r w:rsidRPr="000C431E">
        <w:rPr>
          <w:rFonts w:cs="Times New Roman"/>
          <w:i/>
        </w:rPr>
        <w:t>Lloyd</w:t>
      </w:r>
      <w:r w:rsidRPr="000C431E">
        <w:rPr>
          <w:rFonts w:cs="Times New Roman"/>
        </w:rPr>
        <w:t xml:space="preserve">, at para. 49). </w:t>
      </w:r>
    </w:p>
    <w:p w14:paraId="799976E8" w14:textId="77777777" w:rsidR="00D22BB5" w:rsidRPr="000C431E" w:rsidRDefault="00D22BB5" w:rsidP="00F52BD7">
      <w:pPr>
        <w:pStyle w:val="ParaNoNdepar-AltN"/>
        <w:widowControl w:val="0"/>
        <w:rPr>
          <w:rFonts w:cs="Times New Roman"/>
        </w:rPr>
      </w:pPr>
      <w:r w:rsidRPr="000C431E">
        <w:rPr>
          <w:rFonts w:cs="Times New Roman"/>
        </w:rPr>
        <w:t xml:space="preserve">Section 753(4.1) is therefore inconsistent with s. 12 of the </w:t>
      </w:r>
      <w:r w:rsidRPr="000C431E">
        <w:rPr>
          <w:rFonts w:cs="Times New Roman"/>
          <w:i/>
        </w:rPr>
        <w:t xml:space="preserve">Charter </w:t>
      </w:r>
      <w:r w:rsidRPr="000C431E">
        <w:rPr>
          <w:rFonts w:cs="Times New Roman"/>
        </w:rPr>
        <w:t xml:space="preserve">and is not saved by s. 1. I would therefore declare it of no force or effect under s. 52(1) of the </w:t>
      </w:r>
      <w:r w:rsidRPr="000C431E">
        <w:rPr>
          <w:rFonts w:cs="Times New Roman"/>
          <w:i/>
        </w:rPr>
        <w:t>Constitution Act, 1982</w:t>
      </w:r>
      <w:r w:rsidRPr="000C431E">
        <w:rPr>
          <w:rFonts w:cs="Times New Roman"/>
        </w:rPr>
        <w:t>. It is unnecessary to suspend the declaration of invalidity because immediate invalidity does not pose a danger to the public (</w:t>
      </w:r>
      <w:r w:rsidRPr="000C431E">
        <w:rPr>
          <w:rFonts w:cs="Times New Roman"/>
          <w:i/>
          <w:iCs/>
          <w:lang w:val="en"/>
        </w:rPr>
        <w:t>Schachter v. Canada</w:t>
      </w:r>
      <w:r w:rsidRPr="000C431E">
        <w:rPr>
          <w:rFonts w:cs="Times New Roman"/>
          <w:lang w:val="en"/>
        </w:rPr>
        <w:t>, [1992] 2 S.C.R. 679)</w:t>
      </w:r>
      <w:r w:rsidRPr="000C431E">
        <w:rPr>
          <w:rFonts w:cs="Times New Roman"/>
        </w:rPr>
        <w:t xml:space="preserve">. Without s. 753(4.1), offenders can still be designated as dangerous (under s. 753(1)) and judges must exercise their discretion in determining the appropriate penalty (under s. 753(4)) in accordance with the relevant sentencing goals and principles set out in the </w:t>
      </w:r>
      <w:r w:rsidRPr="000C431E">
        <w:rPr>
          <w:rFonts w:cs="Times New Roman"/>
          <w:i/>
        </w:rPr>
        <w:t xml:space="preserve">Criminal Code </w:t>
      </w:r>
      <w:r w:rsidRPr="000C431E">
        <w:rPr>
          <w:rFonts w:cs="Times New Roman"/>
        </w:rPr>
        <w:t>(</w:t>
      </w:r>
      <w:r w:rsidRPr="000C431E">
        <w:rPr>
          <w:rFonts w:cs="Times New Roman"/>
          <w:i/>
        </w:rPr>
        <w:t>Johnson</w:t>
      </w:r>
      <w:r w:rsidRPr="000C431E">
        <w:rPr>
          <w:rFonts w:cs="Times New Roman"/>
        </w:rPr>
        <w:t xml:space="preserve">, at para. 28). The appropriate sentence must reflect that public protection is the predominate purpose of the dangerous offender scheme. Indeterminate detention remains available for offenders whose risk cannot be adequately managed through the long-term offender scheme. However, indeterminate detention can only be imposed if it is a proportionate sentence. </w:t>
      </w:r>
    </w:p>
    <w:p w14:paraId="0F738F01" w14:textId="77777777" w:rsidR="00D22BB5" w:rsidRPr="000C431E" w:rsidRDefault="00D22BB5" w:rsidP="00F52BD7">
      <w:pPr>
        <w:pStyle w:val="Title2LevelTitre2Niveau"/>
        <w:widowControl w:val="0"/>
        <w:rPr>
          <w:rFonts w:cs="Times New Roman"/>
        </w:rPr>
      </w:pPr>
      <w:r w:rsidRPr="000C431E">
        <w:rPr>
          <w:rFonts w:cs="Times New Roman"/>
        </w:rPr>
        <w:t>Application to Mr. Boutilier</w:t>
      </w:r>
    </w:p>
    <w:p w14:paraId="5F41E26B" w14:textId="77777777" w:rsidR="00D22BB5" w:rsidRPr="000C431E" w:rsidRDefault="00D22BB5" w:rsidP="00F52BD7">
      <w:pPr>
        <w:pStyle w:val="ParaNoNdepar-AltN"/>
        <w:widowControl w:val="0"/>
        <w:rPr>
          <w:rFonts w:cs="Times New Roman"/>
        </w:rPr>
      </w:pPr>
      <w:r w:rsidRPr="000C431E">
        <w:rPr>
          <w:rFonts w:cs="Times New Roman"/>
        </w:rPr>
        <w:t>The sentencing judge imposed an indeterminate sentence on the basis of an unconstitutional provision, s. 753(4.1). This appeal can nonetheless be dismissed if “there is no reasonable possibility that the verdict would have been any different had the error of law not been made” (</w:t>
      </w:r>
      <w:r w:rsidRPr="000C431E">
        <w:rPr>
          <w:rFonts w:cs="Times New Roman"/>
          <w:i/>
        </w:rPr>
        <w:t>Johnson</w:t>
      </w:r>
      <w:r w:rsidRPr="000C431E">
        <w:rPr>
          <w:rFonts w:cs="Times New Roman"/>
        </w:rPr>
        <w:t xml:space="preserve">, at para. 49; </w:t>
      </w:r>
      <w:r w:rsidRPr="000C431E">
        <w:rPr>
          <w:rFonts w:cs="Times New Roman"/>
          <w:i/>
        </w:rPr>
        <w:t>R. v. Sipos</w:t>
      </w:r>
      <w:r w:rsidRPr="000C431E">
        <w:rPr>
          <w:rFonts w:cs="Times New Roman"/>
        </w:rPr>
        <w:t xml:space="preserve">, 2014 SCC 47, [2014] </w:t>
      </w:r>
      <w:r w:rsidRPr="000C431E">
        <w:rPr>
          <w:rFonts w:cs="Times New Roman"/>
        </w:rPr>
        <w:lastRenderedPageBreak/>
        <w:t>2 S.C.R. 423, at para. 35).</w:t>
      </w:r>
      <w:r w:rsidRPr="000C431E">
        <w:rPr>
          <w:rFonts w:cs="Times New Roman"/>
          <w:i/>
        </w:rPr>
        <w:t xml:space="preserve"> </w:t>
      </w:r>
      <w:r w:rsidRPr="000C431E">
        <w:rPr>
          <w:rFonts w:cs="Times New Roman"/>
        </w:rPr>
        <w:t>In my view, this appeal is not one of those rare cases where this curative power should be exercised (</w:t>
      </w:r>
      <w:r w:rsidRPr="000C431E">
        <w:rPr>
          <w:rFonts w:cs="Times New Roman"/>
          <w:i/>
        </w:rPr>
        <w:t>Johnson</w:t>
      </w:r>
      <w:r w:rsidRPr="000C431E">
        <w:rPr>
          <w:rFonts w:cs="Times New Roman"/>
        </w:rPr>
        <w:t xml:space="preserve">, at para. 49). There is a reasonable possibility that a determinate sentence with a long-term supervision order would have been imposed had the sentencing judge not proceeded on the basis that his discretion was curtailed by s. 753(4.1). The record before the sentencing judge suggests that a determinate sentence with a long-term supervision order may well have been appropriate. </w:t>
      </w:r>
    </w:p>
    <w:p w14:paraId="7D980087" w14:textId="651C31CE" w:rsidR="00D22BB5" w:rsidRPr="000C431E" w:rsidRDefault="00D22BB5" w:rsidP="00F52BD7">
      <w:pPr>
        <w:pStyle w:val="ParaNoNdepar-AltN"/>
        <w:widowControl w:val="0"/>
        <w:rPr>
          <w:rFonts w:cs="Times New Roman"/>
        </w:rPr>
      </w:pPr>
      <w:r w:rsidRPr="000C431E">
        <w:rPr>
          <w:rFonts w:cs="Times New Roman"/>
        </w:rPr>
        <w:t>H</w:t>
      </w:r>
      <w:r w:rsidRPr="000C431E">
        <w:rPr>
          <w:rFonts w:cs="Times New Roman"/>
          <w:lang w:val="en"/>
        </w:rPr>
        <w:t xml:space="preserve">ad the sentencing judge declared s. 753(4.1) to be of no force or effect, he could not have imposed </w:t>
      </w:r>
      <w:r w:rsidRPr="000C431E">
        <w:rPr>
          <w:rFonts w:cs="Times New Roman"/>
        </w:rPr>
        <w:t>indeterminate detention unless it was proportionate to the gravity of the predicate offences and to Mr. Boutilier’s degree of responsibility (s. 718.1). While the sentencing judge made no reference to proportionality in his judgment, his findings suggest that indeterminate detention may not have been proportionate. The predicate offences that gave rise to the dangerous offender application were two robberies and an assault with a weapon. Mr. Boutilier did not injure anyone and the gun he used to threaten the victims was an imitation firearm. His tragic background,</w:t>
      </w:r>
      <w:r w:rsidRPr="000C431E">
        <w:rPr>
          <w:rFonts w:cs="Times New Roman"/>
          <w:lang w:val="en"/>
        </w:rPr>
        <w:t xml:space="preserve"> addiction, and guilty plea speak to his degree of moral blameworthiness (s. 718.1; </w:t>
      </w:r>
      <w:r w:rsidRPr="000C431E">
        <w:rPr>
          <w:rFonts w:cs="Times New Roman"/>
          <w:i/>
          <w:lang w:val="en"/>
        </w:rPr>
        <w:t>Ipeelee</w:t>
      </w:r>
      <w:r w:rsidRPr="000C431E">
        <w:rPr>
          <w:rFonts w:cs="Times New Roman"/>
          <w:lang w:val="en"/>
        </w:rPr>
        <w:t xml:space="preserve">, at para. 73; </w:t>
      </w:r>
      <w:r w:rsidRPr="000C431E">
        <w:rPr>
          <w:rFonts w:cs="Times New Roman"/>
          <w:i/>
          <w:lang w:val="en"/>
        </w:rPr>
        <w:t>R. v. Horvath</w:t>
      </w:r>
      <w:r w:rsidRPr="000C431E">
        <w:rPr>
          <w:rFonts w:cs="Times New Roman"/>
          <w:lang w:val="en"/>
        </w:rPr>
        <w:t xml:space="preserve"> (</w:t>
      </w:r>
      <w:r w:rsidRPr="000C431E">
        <w:rPr>
          <w:rStyle w:val="nowrap"/>
          <w:rFonts w:cs="Times New Roman"/>
        </w:rPr>
        <w:t xml:space="preserve">1997), 117 C.C.C. (3d) 110 (Sask. C.A.), </w:t>
      </w:r>
      <w:r w:rsidRPr="000C431E">
        <w:rPr>
          <w:rFonts w:cs="Times New Roman"/>
          <w:lang w:val="en"/>
        </w:rPr>
        <w:t xml:space="preserve">at para. 41; </w:t>
      </w:r>
      <w:r w:rsidRPr="000C431E">
        <w:rPr>
          <w:rFonts w:cs="Times New Roman"/>
        </w:rPr>
        <w:t>C. C. Ruby, G. J. Chan</w:t>
      </w:r>
      <w:r w:rsidR="00C73E54">
        <w:rPr>
          <w:rFonts w:cs="Times New Roman"/>
        </w:rPr>
        <w:t xml:space="preserve"> </w:t>
      </w:r>
      <w:r w:rsidR="00C932C6">
        <w:rPr>
          <w:rFonts w:cs="Times New Roman"/>
        </w:rPr>
        <w:t>and</w:t>
      </w:r>
      <w:r w:rsidRPr="000C431E">
        <w:rPr>
          <w:rFonts w:cs="Times New Roman"/>
        </w:rPr>
        <w:t xml:space="preserve"> N. R. Hasan, </w:t>
      </w:r>
      <w:r w:rsidRPr="000C431E">
        <w:rPr>
          <w:rFonts w:cs="Times New Roman"/>
          <w:i/>
        </w:rPr>
        <w:t xml:space="preserve">Sentencing </w:t>
      </w:r>
      <w:r w:rsidRPr="000C431E">
        <w:rPr>
          <w:rFonts w:cs="Times New Roman"/>
        </w:rPr>
        <w:t>(8th ed. 2012), at §5.211). The sentencing judge explained that “</w:t>
      </w:r>
      <w:r w:rsidRPr="000C431E">
        <w:rPr>
          <w:rFonts w:cs="Times New Roman"/>
          <w:lang w:val="en"/>
        </w:rPr>
        <w:t xml:space="preserve">Mr. Boutilier’s childhood, upbringing, and personal circumstances have been extraordinarily difficult” (2015 BCSC 901, 325 C.C.C. (3d) 345, at para. 104). He was physically and sexually abused as a child. “His stepfather . . . began to provide him with alcohol and illegal substances when he was as young as six or seven years old and, as an apparent source of </w:t>
      </w:r>
      <w:r w:rsidRPr="000C431E">
        <w:rPr>
          <w:rFonts w:cs="Times New Roman"/>
          <w:lang w:val="en"/>
        </w:rPr>
        <w:lastRenderedPageBreak/>
        <w:t xml:space="preserve">amusement, would watch him become impaired” (para. 104). Mr. Boutilier was using drugs weekly by the time he was 14. The sentencing judge concluded: “Mr. Boutilier’s ongoing drug use, and his inability to overcome his crippling addictions, is likely the central issue before me” (para. 110). The record showed that addiction was at the root of Mr. Boutilier’s criminality, and that this addiction developed through tragic personal circumstances. </w:t>
      </w:r>
    </w:p>
    <w:p w14:paraId="4B593D31" w14:textId="61F0D54A" w:rsidR="00D22BB5" w:rsidRPr="000C431E" w:rsidRDefault="00D22BB5" w:rsidP="00F52BD7">
      <w:pPr>
        <w:pStyle w:val="ParaNoNdepar-AltN"/>
        <w:widowControl w:val="0"/>
        <w:rPr>
          <w:rFonts w:cs="Times New Roman"/>
        </w:rPr>
      </w:pPr>
      <w:r w:rsidRPr="000C431E">
        <w:rPr>
          <w:rFonts w:cs="Times New Roman"/>
        </w:rPr>
        <w:t xml:space="preserve">Furthermore, the principle of restraint prevented the sentencing judge from imposing an indeterminate sentence if the long-term offender criteria were met and the sentence available under that scheme was adequate for public protection </w:t>
      </w:r>
      <w:r w:rsidRPr="000C431E">
        <w:rPr>
          <w:rFonts w:cs="Times New Roman"/>
          <w:lang w:val="en"/>
        </w:rPr>
        <w:t>(</w:t>
      </w:r>
      <w:r w:rsidRPr="000C431E">
        <w:rPr>
          <w:rFonts w:cs="Times New Roman"/>
          <w:i/>
          <w:lang w:val="en"/>
        </w:rPr>
        <w:t>Johnson</w:t>
      </w:r>
      <w:r w:rsidRPr="000C431E">
        <w:rPr>
          <w:rFonts w:cs="Times New Roman"/>
          <w:lang w:val="en"/>
        </w:rPr>
        <w:t xml:space="preserve">, at paras. 29 and 40; s. 718.2(d) and (e)). The sentencing judge did not consider whether the long-term offender criteria were met, and the evidence before him suggested that they may well have been (s. 753.1). </w:t>
      </w:r>
      <w:r w:rsidRPr="000C431E">
        <w:rPr>
          <w:rFonts w:cs="Times New Roman"/>
          <w:lang w:val="en-US"/>
        </w:rPr>
        <w:t>The psychiatric evidence was that “the possibility of the eventual management of Mr. Boutilier’s risk in the community is moderate based on the likelihood that he will be amenable to treatment and that he will benefit from treatment” (para. 127). The sentencing judge noted that Mr. Boutilier had expressed a desire to stop taking drugs. Although Mr. Bou</w:t>
      </w:r>
      <w:r w:rsidR="00C73E54">
        <w:rPr>
          <w:rFonts w:cs="Times New Roman"/>
          <w:lang w:val="en-US"/>
        </w:rPr>
        <w:t>tilier has a terrible behaviour</w:t>
      </w:r>
      <w:r w:rsidRPr="000C431E">
        <w:rPr>
          <w:rFonts w:cs="Times New Roman"/>
          <w:lang w:val="en-US"/>
        </w:rPr>
        <w:t xml:space="preserve">al record in prison, the sentencing judge remarked that “[h]is positive experience at Belkin House was a brief, positive interlude in a 35-year history” (para. 208). While Mr. Boutilier was enrolled in the structured, residential program at Belkin House, he “was able to form positive therapeutic relationships . . . and made some positive changes” (para. 176). Mr. Boutilier’s age at the time that a 10-year long-term supervision order would expire (over 50) also indicates a greater chance that his risk could be managed. The evidence before the sentencing judge was that the risk of reoffending is significantly </w:t>
      </w:r>
      <w:r w:rsidRPr="000C431E">
        <w:rPr>
          <w:rFonts w:cs="Times New Roman"/>
          <w:lang w:val="en-US"/>
        </w:rPr>
        <w:lastRenderedPageBreak/>
        <w:t xml:space="preserve">reduced for most offenders by age 50 and 60. Overall, this evidence suggests there may be a reasonable possibility that Mr. Boutilier’s risk could be controlled in the community (s. 753.1(c)). </w:t>
      </w:r>
    </w:p>
    <w:p w14:paraId="398D6E46" w14:textId="77777777" w:rsidR="00D22BB5" w:rsidRPr="000C431E" w:rsidRDefault="00D22BB5" w:rsidP="00F52BD7">
      <w:pPr>
        <w:pStyle w:val="ParaNoNdepar-AltN"/>
        <w:widowControl w:val="0"/>
        <w:rPr>
          <w:rFonts w:cs="Times New Roman"/>
        </w:rPr>
      </w:pPr>
      <w:r w:rsidRPr="000C431E">
        <w:rPr>
          <w:rFonts w:cs="Times New Roman"/>
          <w:lang w:val="en-US"/>
        </w:rPr>
        <w:t xml:space="preserve">The record also suggested that a determinate sentence with a long-term supervision order may be adequate for public protection. </w:t>
      </w:r>
      <w:r w:rsidRPr="000C431E">
        <w:rPr>
          <w:rFonts w:cs="Times New Roman"/>
          <w:lang w:val="en"/>
        </w:rPr>
        <w:t xml:space="preserve">To determine whether a sentence other than indeterminate detention would be adequate for public protection, both the level of the risk and the nature of harm Mr. Boutilier is likely to cause in the future must be considered. </w:t>
      </w:r>
      <w:r w:rsidRPr="000C431E" w:rsidDel="00493094">
        <w:rPr>
          <w:rFonts w:cs="Times New Roman"/>
        </w:rPr>
        <w:t xml:space="preserve">The sentencing judge only considered the level of the risk presented by Mr. Boutilier (i.e. how likely he was to overcome his addiction), and not the nature of the harm Mr. Boutilier was likely to cause (i.e. the gravity of the offences Mr. Boutilier would commit in the future if he did not), in deciding </w:t>
      </w:r>
      <w:r w:rsidRPr="000C431E">
        <w:rPr>
          <w:rFonts w:cs="Times New Roman"/>
        </w:rPr>
        <w:t>to impose indeterminate detention</w:t>
      </w:r>
      <w:r w:rsidRPr="000C431E" w:rsidDel="00493094">
        <w:rPr>
          <w:rFonts w:cs="Times New Roman"/>
        </w:rPr>
        <w:t xml:space="preserve">. </w:t>
      </w:r>
      <w:r w:rsidRPr="000C431E">
        <w:rPr>
          <w:rFonts w:cs="Times New Roman"/>
          <w:lang w:val="en"/>
        </w:rPr>
        <w:t xml:space="preserve">In assessing whether a lesser measure would be adequate for public protection, it is significant that Mr. Boutilier’s criminal record is not characterized by offences that caused serious harm. </w:t>
      </w:r>
    </w:p>
    <w:p w14:paraId="01CC355F" w14:textId="77777777" w:rsidR="00D22BB5" w:rsidRPr="000C431E" w:rsidRDefault="00D22BB5" w:rsidP="00F52BD7">
      <w:pPr>
        <w:pStyle w:val="ParaNoNdepar-AltN"/>
        <w:widowControl w:val="0"/>
        <w:rPr>
          <w:rFonts w:cs="Times New Roman"/>
        </w:rPr>
      </w:pPr>
      <w:r w:rsidRPr="000C431E">
        <w:rPr>
          <w:rFonts w:cs="Times New Roman"/>
        </w:rPr>
        <w:t xml:space="preserve">A new hearing is therefore required under s. 759(3)(a)(ii) to determine which penalty should be imposed under s. 753(4). </w:t>
      </w:r>
    </w:p>
    <w:p w14:paraId="12282AFF" w14:textId="77777777" w:rsidR="00D22BB5" w:rsidRPr="000C431E" w:rsidRDefault="00D22BB5" w:rsidP="00F52BD7">
      <w:pPr>
        <w:pStyle w:val="Title1LevelTitre1Niveau-AltL"/>
        <w:widowControl w:val="0"/>
        <w:rPr>
          <w:rFonts w:cs="Times New Roman"/>
        </w:rPr>
      </w:pPr>
      <w:r w:rsidRPr="000C431E">
        <w:rPr>
          <w:rFonts w:cs="Times New Roman"/>
        </w:rPr>
        <w:t>Conclusion</w:t>
      </w:r>
    </w:p>
    <w:p w14:paraId="2A0635EF" w14:textId="77777777" w:rsidR="00D22BB5" w:rsidRPr="000C431E" w:rsidRDefault="00D22BB5" w:rsidP="00F52BD7">
      <w:pPr>
        <w:pStyle w:val="ParaNoNdepar-AltN"/>
        <w:widowControl w:val="0"/>
        <w:rPr>
          <w:rFonts w:cs="Times New Roman"/>
        </w:rPr>
      </w:pPr>
      <w:r w:rsidRPr="000C431E">
        <w:rPr>
          <w:rFonts w:cs="Times New Roman"/>
        </w:rPr>
        <w:t xml:space="preserve">For the foregoing reasons, I would allow the appeal in part and declare s. 753(4.1) of the </w:t>
      </w:r>
      <w:r w:rsidRPr="000C431E">
        <w:rPr>
          <w:rFonts w:cs="Times New Roman"/>
          <w:i/>
        </w:rPr>
        <w:t xml:space="preserve">Criminal Code </w:t>
      </w:r>
      <w:r w:rsidRPr="000C431E">
        <w:rPr>
          <w:rFonts w:cs="Times New Roman"/>
        </w:rPr>
        <w:t xml:space="preserve">to be of no force or effect under s. 52(1) of the </w:t>
      </w:r>
      <w:r w:rsidRPr="000C431E">
        <w:rPr>
          <w:rFonts w:cs="Times New Roman"/>
          <w:i/>
        </w:rPr>
        <w:t>Constitution Act, 1982</w:t>
      </w:r>
      <w:r w:rsidRPr="000C431E">
        <w:rPr>
          <w:rFonts w:cs="Times New Roman"/>
        </w:rPr>
        <w:t xml:space="preserve">. I would also order a new hearing under s. 759(3)(a)(ii) of the </w:t>
      </w:r>
      <w:r w:rsidRPr="000C431E">
        <w:rPr>
          <w:rFonts w:cs="Times New Roman"/>
          <w:i/>
        </w:rPr>
        <w:lastRenderedPageBreak/>
        <w:t>Criminal Code</w:t>
      </w:r>
      <w:r w:rsidRPr="000C431E">
        <w:rPr>
          <w:rFonts w:cs="Times New Roman"/>
        </w:rPr>
        <w:t xml:space="preserve"> to determine the appropriate penalty under s. 753(4). </w:t>
      </w:r>
    </w:p>
    <w:p w14:paraId="07C65B77" w14:textId="21E7E0B3" w:rsidR="009B57B3" w:rsidRPr="004E1F18" w:rsidRDefault="00DD23AC" w:rsidP="00F52BD7">
      <w:pPr>
        <w:pStyle w:val="SCCNormalDoubleSpacing"/>
        <w:widowControl w:val="0"/>
        <w:spacing w:before="480" w:after="480"/>
      </w:pPr>
      <w:r w:rsidRPr="004E1F18">
        <w:tab/>
      </w:r>
      <w:r w:rsidR="00656313" w:rsidRPr="004E1F18">
        <w:rPr>
          <w:i/>
        </w:rPr>
        <w:t>Appeal</w:t>
      </w:r>
      <w:r w:rsidRPr="004E1F18">
        <w:rPr>
          <w:i/>
        </w:rPr>
        <w:t xml:space="preserve"> </w:t>
      </w:r>
      <w:r w:rsidR="00F618CF" w:rsidRPr="004E1F18">
        <w:rPr>
          <w:i/>
        </w:rPr>
        <w:t>dismissed</w:t>
      </w:r>
      <w:r w:rsidR="00A82EF2" w:rsidRPr="004E1F18">
        <w:rPr>
          <w:i/>
        </w:rPr>
        <w:t xml:space="preserve">, </w:t>
      </w:r>
      <w:r w:rsidR="00A82EF2" w:rsidRPr="004E1F18">
        <w:rPr>
          <w:smallCaps/>
        </w:rPr>
        <w:t>Karakatsanis</w:t>
      </w:r>
      <w:r w:rsidR="00940663">
        <w:rPr>
          <w:smallCaps/>
        </w:rPr>
        <w:t> </w:t>
      </w:r>
      <w:r w:rsidR="00A82EF2" w:rsidRPr="004E1F18">
        <w:rPr>
          <w:smallCaps/>
        </w:rPr>
        <w:t>J.</w:t>
      </w:r>
      <w:r w:rsidR="00A82EF2" w:rsidRPr="004E1F18">
        <w:rPr>
          <w:i/>
        </w:rPr>
        <w:t xml:space="preserve"> dissenting in part</w:t>
      </w:r>
      <w:r w:rsidRPr="004E1F18">
        <w:rPr>
          <w:i/>
        </w:rPr>
        <w:t>.</w:t>
      </w:r>
    </w:p>
    <w:p w14:paraId="6E280EC0" w14:textId="0CF8A462" w:rsidR="000455B9" w:rsidRPr="004E1F18" w:rsidRDefault="00104FF4" w:rsidP="00F52BD7">
      <w:pPr>
        <w:pStyle w:val="SCCLawFirm"/>
        <w:widowControl w:val="0"/>
        <w:spacing w:before="480" w:after="480"/>
      </w:pPr>
      <w:r w:rsidRPr="004E1F18">
        <w:tab/>
        <w:t>S</w:t>
      </w:r>
      <w:r w:rsidR="00075DA7" w:rsidRPr="004E1F18">
        <w:t>olicitors for the appellant</w:t>
      </w:r>
      <w:r w:rsidR="00BD31C6" w:rsidRPr="004E1F18">
        <w:t>: </w:t>
      </w:r>
      <w:r w:rsidR="009E4390" w:rsidRPr="004E1F18">
        <w:t>Eric Purtzki, Vancouver;</w:t>
      </w:r>
      <w:r w:rsidR="00AA266A" w:rsidRPr="004E1F18">
        <w:t xml:space="preserve"> Gary </w:t>
      </w:r>
      <w:r w:rsidR="009E4390" w:rsidRPr="004E1F18">
        <w:t>N.</w:t>
      </w:r>
      <w:r w:rsidR="004A2E70">
        <w:t xml:space="preserve"> </w:t>
      </w:r>
      <w:r w:rsidR="009E4390" w:rsidRPr="004E1F18">
        <w:t>A. Botting, Vancouver; Michael Sobkin, Ottawa.</w:t>
      </w:r>
    </w:p>
    <w:p w14:paraId="2DF1F690" w14:textId="68D640DB" w:rsidR="000455B9" w:rsidRPr="004E1F18" w:rsidRDefault="00DD23AC" w:rsidP="00F52BD7">
      <w:pPr>
        <w:pStyle w:val="SCCLawFirm"/>
        <w:widowControl w:val="0"/>
        <w:spacing w:before="480" w:after="480"/>
      </w:pPr>
      <w:r w:rsidRPr="004E1F18">
        <w:tab/>
        <w:t>Solicitor</w:t>
      </w:r>
      <w:r w:rsidR="00104FF4" w:rsidRPr="004E1F18">
        <w:t xml:space="preserve"> for the </w:t>
      </w:r>
      <w:r w:rsidRPr="004E1F18">
        <w:t>respondent</w:t>
      </w:r>
      <w:r w:rsidR="00BD31C6" w:rsidRPr="004E1F18">
        <w:t>: </w:t>
      </w:r>
      <w:r w:rsidR="00104FF4" w:rsidRPr="004E1F18">
        <w:t>Attorney General of British Columbia, Victoria.</w:t>
      </w:r>
    </w:p>
    <w:p w14:paraId="4F700925" w14:textId="04CEBD35" w:rsidR="00DD23AC" w:rsidRPr="004E1F18" w:rsidRDefault="00DD23AC" w:rsidP="00F52BD7">
      <w:pPr>
        <w:pStyle w:val="SCCLawFirm"/>
        <w:widowControl w:val="0"/>
        <w:spacing w:before="480" w:after="480"/>
      </w:pPr>
      <w:r w:rsidRPr="004E1F18">
        <w:tab/>
        <w:t>Solicitor for the intervener the Attorney General of Canada</w:t>
      </w:r>
      <w:r w:rsidR="00BD31C6" w:rsidRPr="004E1F18">
        <w:t>: </w:t>
      </w:r>
      <w:r w:rsidRPr="004E1F18">
        <w:t>Attorney General of Canada, Vancouver.</w:t>
      </w:r>
    </w:p>
    <w:p w14:paraId="7A2F2901" w14:textId="6B3DE33A" w:rsidR="000455B9" w:rsidRPr="004E1F18" w:rsidRDefault="00DD23AC" w:rsidP="00F52BD7">
      <w:pPr>
        <w:pStyle w:val="SCCLawFirm"/>
        <w:widowControl w:val="0"/>
        <w:spacing w:before="480" w:after="480"/>
      </w:pPr>
      <w:r w:rsidRPr="004E1F18">
        <w:tab/>
        <w:t>Solicitor</w:t>
      </w:r>
      <w:r w:rsidR="00104FF4" w:rsidRPr="004E1F18">
        <w:t xml:space="preserve"> for the intervener </w:t>
      </w:r>
      <w:r w:rsidRPr="004E1F18">
        <w:t>the Attorney General of Ontario</w:t>
      </w:r>
      <w:r w:rsidR="00BD31C6" w:rsidRPr="004E1F18">
        <w:t>: </w:t>
      </w:r>
      <w:r w:rsidR="00104FF4" w:rsidRPr="004E1F18">
        <w:t>Attorney General of Ontario, Toronto.</w:t>
      </w:r>
    </w:p>
    <w:p w14:paraId="38163FCD" w14:textId="684DBB20" w:rsidR="000455B9" w:rsidRPr="004E1F18" w:rsidRDefault="00DD23AC" w:rsidP="00F52BD7">
      <w:pPr>
        <w:pStyle w:val="SCCLawFirm"/>
        <w:widowControl w:val="0"/>
        <w:spacing w:before="480" w:after="480"/>
      </w:pPr>
      <w:r w:rsidRPr="004E1F18">
        <w:tab/>
        <w:t>Solicitor</w:t>
      </w:r>
      <w:r w:rsidR="00104FF4" w:rsidRPr="004E1F18">
        <w:t xml:space="preserve"> for the intervener</w:t>
      </w:r>
      <w:r w:rsidRPr="004E1F18">
        <w:t xml:space="preserve"> the Attorney General of Saskatchewan</w:t>
      </w:r>
      <w:r w:rsidR="00BD31C6" w:rsidRPr="004E1F18">
        <w:t>: </w:t>
      </w:r>
      <w:r w:rsidRPr="004E1F18">
        <w:t>Attorney General of</w:t>
      </w:r>
      <w:r w:rsidR="00104FF4" w:rsidRPr="004E1F18">
        <w:t xml:space="preserve"> Saskatchewan, Regina.</w:t>
      </w:r>
    </w:p>
    <w:p w14:paraId="69D5413F" w14:textId="620D067D" w:rsidR="00DD23AC" w:rsidRPr="004E1F18" w:rsidRDefault="00DD23AC" w:rsidP="00F52BD7">
      <w:pPr>
        <w:pStyle w:val="SCCLawFirm"/>
        <w:widowControl w:val="0"/>
        <w:spacing w:before="480" w:after="480"/>
      </w:pPr>
      <w:r w:rsidRPr="004E1F18">
        <w:tab/>
        <w:t>Solicitor for the intervener the Attorney General of Alberta</w:t>
      </w:r>
      <w:r w:rsidR="00BD31C6" w:rsidRPr="004E1F18">
        <w:t>: </w:t>
      </w:r>
      <w:r w:rsidRPr="004E1F18">
        <w:t>Attorney General of Alberta, Calgary.</w:t>
      </w:r>
    </w:p>
    <w:p w14:paraId="4F2B1CDF" w14:textId="3A43D530" w:rsidR="000455B9" w:rsidRPr="004E1F18" w:rsidRDefault="00DD23AC" w:rsidP="00F52BD7">
      <w:pPr>
        <w:pStyle w:val="SCCLawFirm"/>
        <w:widowControl w:val="0"/>
        <w:spacing w:before="480" w:after="480"/>
      </w:pPr>
      <w:r w:rsidRPr="004E1F18">
        <w:tab/>
        <w:t>Solicitors</w:t>
      </w:r>
      <w:r w:rsidR="00104FF4" w:rsidRPr="004E1F18">
        <w:t xml:space="preserve"> for the intervener </w:t>
      </w:r>
      <w:r w:rsidRPr="004E1F18">
        <w:t xml:space="preserve">the </w:t>
      </w:r>
      <w:r w:rsidR="00104FF4" w:rsidRPr="004E1F18">
        <w:t>Criminal Lawyers</w:t>
      </w:r>
      <w:r w:rsidR="00F150FC" w:rsidRPr="004E1F18">
        <w:t>’</w:t>
      </w:r>
      <w:r w:rsidR="00104FF4" w:rsidRPr="004E1F18">
        <w:t xml:space="preserve"> Association of Ontario</w:t>
      </w:r>
      <w:r w:rsidR="00BD31C6" w:rsidRPr="004E1F18">
        <w:t>: </w:t>
      </w:r>
      <w:r w:rsidR="00104FF4" w:rsidRPr="004E1F18">
        <w:t>Lockyer</w:t>
      </w:r>
      <w:r w:rsidRPr="004E1F18">
        <w:t>,</w:t>
      </w:r>
      <w:r w:rsidR="00104FF4" w:rsidRPr="004E1F18">
        <w:t xml:space="preserve"> Campbell</w:t>
      </w:r>
      <w:r w:rsidRPr="004E1F18">
        <w:t>,</w:t>
      </w:r>
      <w:r w:rsidR="00104FF4" w:rsidRPr="004E1F18">
        <w:t xml:space="preserve"> Posner, Toronto</w:t>
      </w:r>
      <w:r w:rsidRPr="004E1F18">
        <w:t>;</w:t>
      </w:r>
      <w:r w:rsidR="009E4390" w:rsidRPr="004E1F18">
        <w:t xml:space="preserve"> Corbin Cawkell, Toronto</w:t>
      </w:r>
      <w:r w:rsidR="00104FF4" w:rsidRPr="004E1F18">
        <w:t>.</w:t>
      </w:r>
    </w:p>
    <w:p w14:paraId="3B9E9597" w14:textId="6DC4128F" w:rsidR="000455B9" w:rsidRPr="004E1F18" w:rsidRDefault="00DD23AC" w:rsidP="00F52BD7">
      <w:pPr>
        <w:pStyle w:val="SCCLawFirm"/>
        <w:widowControl w:val="0"/>
        <w:spacing w:before="480" w:after="480"/>
      </w:pPr>
      <w:r w:rsidRPr="004E1F18">
        <w:lastRenderedPageBreak/>
        <w:tab/>
        <w:t xml:space="preserve">Solicitor </w:t>
      </w:r>
      <w:r w:rsidR="00104FF4" w:rsidRPr="004E1F18">
        <w:t xml:space="preserve">for the intervener </w:t>
      </w:r>
      <w:r w:rsidRPr="004E1F18">
        <w:t>the Aboriginal Legal Services</w:t>
      </w:r>
      <w:r w:rsidR="00F903C1" w:rsidRPr="004E1F18">
        <w:t xml:space="preserve"> Inc.</w:t>
      </w:r>
      <w:r w:rsidR="00BD31C6" w:rsidRPr="004E1F18">
        <w:t>: </w:t>
      </w:r>
      <w:r w:rsidR="00104FF4" w:rsidRPr="004E1F18">
        <w:t>Aboriginal Legal Services</w:t>
      </w:r>
      <w:r w:rsidR="009257E0" w:rsidRPr="004E1F18">
        <w:t xml:space="preserve"> Inc.</w:t>
      </w:r>
      <w:r w:rsidR="00104FF4" w:rsidRPr="004E1F18">
        <w:t>, Toronto.</w:t>
      </w:r>
    </w:p>
    <w:p w14:paraId="5DCA91FC" w14:textId="1C01687E" w:rsidR="009B57B3" w:rsidRPr="004E1F18" w:rsidRDefault="00DD23AC" w:rsidP="00F52BD7">
      <w:pPr>
        <w:pStyle w:val="SCCLawFirm"/>
        <w:widowControl w:val="0"/>
      </w:pPr>
      <w:r w:rsidRPr="004E1F18">
        <w:tab/>
        <w:t>Solicitor</w:t>
      </w:r>
      <w:r w:rsidR="00104FF4" w:rsidRPr="004E1F18">
        <w:t xml:space="preserve"> for the intervener </w:t>
      </w:r>
      <w:r w:rsidRPr="004E1F18">
        <w:t>the Yukon Legal Services Society</w:t>
      </w:r>
      <w:r w:rsidR="00BD31C6" w:rsidRPr="004E1F18">
        <w:t>: </w:t>
      </w:r>
      <w:r w:rsidR="00104FF4" w:rsidRPr="004E1F18">
        <w:t>Tutshi Law Centre, Whitehorse.</w:t>
      </w:r>
    </w:p>
    <w:sectPr w:rsidR="009B57B3" w:rsidRPr="004E1F18" w:rsidSect="000648CC">
      <w:headerReference w:type="default" r:id="rId10"/>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9877A8" w14:textId="77777777" w:rsidR="00AE4535" w:rsidRDefault="00AE4535">
      <w:r>
        <w:separator/>
      </w:r>
    </w:p>
  </w:endnote>
  <w:endnote w:type="continuationSeparator" w:id="0">
    <w:p w14:paraId="070AB04E" w14:textId="77777777" w:rsidR="00AE4535" w:rsidRDefault="00AE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1)">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F1E29" w14:textId="77777777" w:rsidR="00AE4535" w:rsidRDefault="00AE4535">
      <w:r>
        <w:separator/>
      </w:r>
    </w:p>
  </w:footnote>
  <w:footnote w:type="continuationSeparator" w:id="0">
    <w:p w14:paraId="694AB7FD" w14:textId="77777777" w:rsidR="00AE4535" w:rsidRDefault="00AE4535">
      <w:r>
        <w:continuationSeparator/>
      </w:r>
    </w:p>
  </w:footnote>
  <w:footnote w:id="1">
    <w:p w14:paraId="51022346" w14:textId="77777777" w:rsidR="00D22BB5" w:rsidRPr="007B304E" w:rsidRDefault="00D22BB5" w:rsidP="00D22BB5">
      <w:pPr>
        <w:pStyle w:val="FootnoteText"/>
        <w:rPr>
          <w:lang w:val="en-US"/>
        </w:rPr>
      </w:pPr>
      <w:r>
        <w:rPr>
          <w:rStyle w:val="FootnoteReference"/>
          <w:rFonts w:eastAsiaTheme="majorEastAsia"/>
        </w:rPr>
        <w:footnoteRef/>
      </w:r>
      <w:r>
        <w:t xml:space="preserve">   </w:t>
      </w:r>
      <w:r w:rsidRPr="007B304E">
        <w:t>While the Crown must prove every dangerousness criteri</w:t>
      </w:r>
      <w:r>
        <w:t>on</w:t>
      </w:r>
      <w:r w:rsidRPr="007B304E">
        <w:t xml:space="preserve"> beyond a reasonable doubt (</w:t>
      </w:r>
      <w:r w:rsidRPr="00B22127">
        <w:rPr>
          <w:i/>
        </w:rPr>
        <w:t>R. v. Gardiner</w:t>
      </w:r>
      <w:r w:rsidRPr="007B304E">
        <w:t xml:space="preserve">, [1982] 2 S.C.R. 368; </w:t>
      </w:r>
      <w:r w:rsidRPr="00B22127">
        <w:rPr>
          <w:i/>
        </w:rPr>
        <w:t>R. v. Jones</w:t>
      </w:r>
      <w:r w:rsidRPr="007B304E">
        <w:t xml:space="preserve">, [1994] 2 S.C.R. 229), what must be proven beyond </w:t>
      </w:r>
      <w:r>
        <w:t xml:space="preserve">a </w:t>
      </w:r>
      <w:r w:rsidRPr="007B304E">
        <w:t xml:space="preserve">reasonable doubt </w:t>
      </w:r>
      <w:r>
        <w:t>with respect to</w:t>
      </w:r>
      <w:r w:rsidRPr="007B304E">
        <w:t xml:space="preserve"> these two prospective criteria is not their certainty, but their likelihood: </w:t>
      </w:r>
      <w:r w:rsidRPr="00B22127">
        <w:rPr>
          <w:i/>
        </w:rPr>
        <w:t>Currie</w:t>
      </w:r>
      <w:r w:rsidRPr="007B304E">
        <w:t xml:space="preserve">, </w:t>
      </w:r>
      <w:r>
        <w:t xml:space="preserve">at </w:t>
      </w:r>
      <w:r w:rsidRPr="007B304E">
        <w:t xml:space="preserve">para. 42. This is so because “as a matter of practicality, the most that can be established in a future context is a likelihood of certain events occurring”: </w:t>
      </w:r>
      <w:r w:rsidRPr="00B22127">
        <w:rPr>
          <w:i/>
        </w:rPr>
        <w:t>Lyons</w:t>
      </w:r>
      <w:r>
        <w:t>, at p. 364</w:t>
      </w:r>
      <w:r w:rsidRPr="007B304E">
        <w:t>.</w:t>
      </w:r>
    </w:p>
  </w:footnote>
  <w:footnote w:id="2">
    <w:p w14:paraId="4B4FCC45" w14:textId="77777777" w:rsidR="00D22BB5" w:rsidRPr="006D6B0A" w:rsidRDefault="00D22BB5" w:rsidP="00D22BB5">
      <w:pPr>
        <w:pStyle w:val="FootnoteText"/>
        <w:rPr>
          <w:szCs w:val="24"/>
        </w:rPr>
      </w:pPr>
      <w:r w:rsidRPr="00E8260D">
        <w:rPr>
          <w:rStyle w:val="FootnoteReference"/>
          <w:rFonts w:eastAsiaTheme="majorEastAsia"/>
        </w:rPr>
        <w:footnoteRef/>
      </w:r>
      <w:r w:rsidRPr="00E8260D">
        <w:t xml:space="preserve"> </w:t>
      </w:r>
      <w:r>
        <w:t xml:space="preserve"> </w:t>
      </w:r>
      <w:r w:rsidRPr="00E8260D">
        <w:t xml:space="preserve">According to statistics relied on by the Attorney General of Canada in this appeal, </w:t>
      </w:r>
      <w:r>
        <w:t xml:space="preserve">there were 394 </w:t>
      </w:r>
      <w:r w:rsidRPr="00E8260D">
        <w:t xml:space="preserve">dangerous offenders </w:t>
      </w:r>
      <w:r>
        <w:t>in 2008 (</w:t>
      </w:r>
      <w:r w:rsidRPr="00E8260D">
        <w:t>2.8</w:t>
      </w:r>
      <w:r>
        <w:t xml:space="preserve"> percent</w:t>
      </w:r>
      <w:r w:rsidRPr="00E8260D">
        <w:t xml:space="preserve"> of the total federal inmate population</w:t>
      </w:r>
      <w:r>
        <w:t>). That number rose to 622 dangerous offenders in 2015</w:t>
      </w:r>
      <w:r w:rsidRPr="00E8260D">
        <w:t xml:space="preserve"> </w:t>
      </w:r>
      <w:r>
        <w:t>(3.9 percent</w:t>
      </w:r>
      <w:r w:rsidRPr="00E8260D">
        <w:t xml:space="preserve"> </w:t>
      </w:r>
      <w:r>
        <w:t>of the total federal inmate population)</w:t>
      </w:r>
      <w:r w:rsidRPr="00E8260D">
        <w:t xml:space="preserve"> </w:t>
      </w:r>
      <w:r w:rsidRPr="00E8260D">
        <w:rPr>
          <w:szCs w:val="24"/>
        </w:rPr>
        <w:t>(Canada, Public Safety Canada Portfolio Corrections Statistics Committee</w:t>
      </w:r>
      <w:r w:rsidRPr="00535078">
        <w:rPr>
          <w:iCs/>
          <w:szCs w:val="24"/>
        </w:rPr>
        <w:t xml:space="preserve">, </w:t>
      </w:r>
      <w:r w:rsidRPr="00E8260D">
        <w:rPr>
          <w:i/>
          <w:iCs/>
          <w:szCs w:val="24"/>
        </w:rPr>
        <w:t xml:space="preserve">Corrections and Conditional Release Statistical Overview </w:t>
      </w:r>
      <w:r w:rsidRPr="00E8260D">
        <w:rPr>
          <w:szCs w:val="24"/>
        </w:rPr>
        <w:t>(2008 and 2015</w:t>
      </w:r>
      <w:r>
        <w:rPr>
          <w:szCs w:val="24"/>
        </w:rPr>
        <w:t xml:space="preserve"> Annual Reports</w:t>
      </w:r>
      <w:r w:rsidRPr="00E8260D">
        <w:rPr>
          <w:szCs w:val="24"/>
        </w:rPr>
        <w:t>)</w:t>
      </w:r>
      <w:r w:rsidRPr="00F32CCE">
        <w:rPr>
          <w:szCs w:val="24"/>
        </w:rPr>
        <w:t>)</w:t>
      </w:r>
      <w:r w:rsidRPr="00E8260D">
        <w:rPr>
          <w:szCs w:val="24"/>
        </w:rPr>
        <w:t>.</w:t>
      </w:r>
      <w:r>
        <w:rPr>
          <w:szCs w:val="24"/>
        </w:rPr>
        <w:t xml:space="preserve"> While the number of dangerous offenders designated per year ranged from 3 to 28 between 1978 and 2008, those numbers have since increased, peaking at 65 in 2015 (</w:t>
      </w:r>
      <w:r w:rsidRPr="00CF548E">
        <w:rPr>
          <w:szCs w:val="24"/>
          <w:lang w:val="en"/>
        </w:rPr>
        <w:t xml:space="preserve">2016 </w:t>
      </w:r>
      <w:r>
        <w:rPr>
          <w:szCs w:val="24"/>
          <w:lang w:val="en"/>
        </w:rPr>
        <w:t>Annual Report)</w:t>
      </w:r>
      <w:r>
        <w:rPr>
          <w:szCs w:val="24"/>
        </w:rPr>
        <w:t>.</w:t>
      </w:r>
    </w:p>
  </w:footnote>
  <w:footnote w:id="3">
    <w:p w14:paraId="4F5C409E" w14:textId="77777777" w:rsidR="00D22BB5" w:rsidRDefault="00D22BB5" w:rsidP="00D22BB5">
      <w:pPr>
        <w:pStyle w:val="FootnoteText"/>
      </w:pPr>
      <w:r>
        <w:rPr>
          <w:rStyle w:val="FootnoteReference"/>
          <w:rFonts w:eastAsiaTheme="majorEastAsia"/>
        </w:rPr>
        <w:footnoteRef/>
      </w:r>
      <w:r>
        <w:t xml:space="preserve">  </w:t>
      </w:r>
      <w:r w:rsidRPr="00CF548E">
        <w:rPr>
          <w:lang w:val="en"/>
        </w:rPr>
        <w:t>At the end of fiscal year 2015-</w:t>
      </w:r>
      <w:r>
        <w:rPr>
          <w:lang w:val="en"/>
        </w:rPr>
        <w:t>20</w:t>
      </w:r>
      <w:r w:rsidRPr="00CF548E">
        <w:rPr>
          <w:lang w:val="en"/>
        </w:rPr>
        <w:t xml:space="preserve">16, </w:t>
      </w:r>
      <w:r>
        <w:rPr>
          <w:lang w:val="en"/>
        </w:rPr>
        <w:t>86 percent of the dangerous offenders</w:t>
      </w:r>
      <w:r w:rsidRPr="00CF548E">
        <w:rPr>
          <w:lang w:val="en"/>
        </w:rPr>
        <w:t xml:space="preserve"> under the responsibility of Correctional Service Canada</w:t>
      </w:r>
      <w:r>
        <w:rPr>
          <w:lang w:val="en"/>
        </w:rPr>
        <w:t xml:space="preserve"> </w:t>
      </w:r>
      <w:r w:rsidRPr="00944422">
        <w:rPr>
          <w:lang w:val="en"/>
        </w:rPr>
        <w:t>were serving</w:t>
      </w:r>
      <w:r>
        <w:rPr>
          <w:lang w:val="en"/>
        </w:rPr>
        <w:t xml:space="preserve"> indeterminate sentences </w:t>
      </w:r>
      <w:r>
        <w:rPr>
          <w:szCs w:val="24"/>
        </w:rPr>
        <w:t>(</w:t>
      </w:r>
      <w:r>
        <w:rPr>
          <w:szCs w:val="24"/>
          <w:lang w:val="en"/>
        </w:rPr>
        <w:t>2016 Annual Report)</w:t>
      </w:r>
      <w:r>
        <w:rPr>
          <w:szCs w:val="24"/>
        </w:rPr>
        <w:t>.</w:t>
      </w:r>
    </w:p>
    <w:p w14:paraId="2127C72A" w14:textId="77777777" w:rsidR="00D22BB5" w:rsidRDefault="00D22BB5" w:rsidP="00D22BB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03A81" w14:textId="77777777" w:rsidR="00450352" w:rsidRPr="008857D1" w:rsidRDefault="00450352" w:rsidP="008857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3in;height:3in" o:bullet="t"/>
    </w:pict>
  </w:numPicBullet>
  <w:numPicBullet w:numPicBulletId="1">
    <w:pict>
      <v:shape id="_x0000_i1059" type="#_x0000_t75" style="width:3in;height:3in" o:bullet="t"/>
    </w:pict>
  </w:numPicBullet>
  <w:numPicBullet w:numPicBulletId="2">
    <w:pict>
      <v:shape id="_x0000_i1060" type="#_x0000_t75" style="width:3in;height:3in" o:bullet="t"/>
    </w:pict>
  </w:numPicBullet>
  <w:numPicBullet w:numPicBulletId="3">
    <w:pict>
      <v:shape id="_x0000_i1061" type="#_x0000_t75" style="width:3in;height:3in" o:bullet="t"/>
    </w:pict>
  </w:numPicBullet>
  <w:numPicBullet w:numPicBulletId="4">
    <w:pict>
      <v:shape id="_x0000_i1062" type="#_x0000_t75" style="width:3in;height:3in" o:bullet="t"/>
    </w:pict>
  </w:numPicBullet>
  <w:numPicBullet w:numPicBulletId="5">
    <w:pict>
      <v:shape id="_x0000_i1063" type="#_x0000_t75" style="width:3in;height:3in" o:bullet="t"/>
    </w:pict>
  </w:numPicBullet>
  <w:numPicBullet w:numPicBulletId="6">
    <w:pict>
      <v:shape id="_x0000_i1064" type="#_x0000_t75" style="width:3in;height:3in" o:bullet="t"/>
    </w:pict>
  </w:numPicBullet>
  <w:numPicBullet w:numPicBulletId="7">
    <w:pict>
      <v:shape id="_x0000_i1065" type="#_x0000_t75" style="width:3in;height:3in" o:bullet="t"/>
    </w:pict>
  </w:numPicBullet>
  <w:abstractNum w:abstractNumId="0" w15:restartNumberingAfterBreak="0">
    <w:nsid w:val="00000001"/>
    <w:multiLevelType w:val="multilevel"/>
    <w:tmpl w:val="00000001"/>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BD3C0C"/>
    <w:multiLevelType w:val="multilevel"/>
    <w:tmpl w:val="9372104E"/>
    <w:lvl w:ilvl="0">
      <w:start w:val="1"/>
      <w:numFmt w:val="bullet"/>
      <w:lvlText w:val=""/>
      <w:lvlPicBulletId w:val="5"/>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6B62C9"/>
    <w:multiLevelType w:val="hybridMultilevel"/>
    <w:tmpl w:val="75EC5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D5942"/>
    <w:multiLevelType w:val="multilevel"/>
    <w:tmpl w:val="F7841FD8"/>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2164D09"/>
    <w:multiLevelType w:val="hybridMultilevel"/>
    <w:tmpl w:val="5066ACBA"/>
    <w:lvl w:ilvl="0" w:tplc="51F450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7B21B6"/>
    <w:multiLevelType w:val="multilevel"/>
    <w:tmpl w:val="01300724"/>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9B7EDF"/>
    <w:multiLevelType w:val="hybridMultilevel"/>
    <w:tmpl w:val="C2F82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0D60B3"/>
    <w:multiLevelType w:val="hybridMultilevel"/>
    <w:tmpl w:val="DF10FEA6"/>
    <w:lvl w:ilvl="0" w:tplc="04090015">
      <w:start w:val="1"/>
      <w:numFmt w:val="upperLetter"/>
      <w:lvlText w:val="%1."/>
      <w:lvlJc w:val="left"/>
      <w:pPr>
        <w:ind w:left="1886" w:hanging="360"/>
      </w:p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10" w15:restartNumberingAfterBreak="0">
    <w:nsid w:val="3D2865EA"/>
    <w:multiLevelType w:val="hybridMultilevel"/>
    <w:tmpl w:val="4D02BBCC"/>
    <w:lvl w:ilvl="0" w:tplc="189A184A">
      <w:start w:val="1"/>
      <w:numFmt w:val="upperLetter"/>
      <w:lvlText w:val="(%1)"/>
      <w:lvlJc w:val="left"/>
      <w:pPr>
        <w:ind w:left="1706" w:hanging="54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11" w15:restartNumberingAfterBreak="0">
    <w:nsid w:val="3FB300E9"/>
    <w:multiLevelType w:val="multilevel"/>
    <w:tmpl w:val="67023B4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9B235F"/>
    <w:multiLevelType w:val="multilevel"/>
    <w:tmpl w:val="39980B3E"/>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AB6C94"/>
    <w:multiLevelType w:val="hybridMultilevel"/>
    <w:tmpl w:val="8AEAD758"/>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4" w15:restartNumberingAfterBreak="0">
    <w:nsid w:val="4603130A"/>
    <w:multiLevelType w:val="multilevel"/>
    <w:tmpl w:val="046A9606"/>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5" w15:restartNumberingAfterBreak="0">
    <w:nsid w:val="49B618C1"/>
    <w:multiLevelType w:val="multilevel"/>
    <w:tmpl w:val="A3C8BC84"/>
    <w:lvl w:ilvl="0">
      <w:start w:val="1"/>
      <w:numFmt w:val="bullet"/>
      <w:lvlText w:val=""/>
      <w:lvlPicBulletId w:val="6"/>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7"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0797208"/>
    <w:multiLevelType w:val="hybridMultilevel"/>
    <w:tmpl w:val="2408C192"/>
    <w:lvl w:ilvl="0" w:tplc="D2DA8E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139139A"/>
    <w:multiLevelType w:val="hybridMultilevel"/>
    <w:tmpl w:val="6180D66E"/>
    <w:lvl w:ilvl="0" w:tplc="04090015">
      <w:start w:val="1"/>
      <w:numFmt w:val="upperLetter"/>
      <w:lvlText w:val="%1."/>
      <w:lvlJc w:val="left"/>
      <w:pPr>
        <w:ind w:left="1886" w:hanging="360"/>
      </w:p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21"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BA7227D"/>
    <w:multiLevelType w:val="multilevel"/>
    <w:tmpl w:val="2BCA707A"/>
    <w:lvl w:ilvl="0">
      <w:start w:val="1"/>
      <w:numFmt w:val="bullet"/>
      <w:lvlText w:val=""/>
      <w:lvlPicBulletId w:val="0"/>
      <w:lvlJc w:val="left"/>
      <w:pPr>
        <w:tabs>
          <w:tab w:val="num" w:pos="720"/>
        </w:tabs>
        <w:ind w:left="720" w:hanging="360"/>
      </w:pPr>
      <w:rPr>
        <w:rFonts w:ascii="Symbol" w:hAnsi="Symbol" w:hint="default"/>
        <w:sz w:val="20"/>
      </w:rPr>
    </w:lvl>
    <w:lvl w:ilvl="1">
      <w:start w:val="1"/>
      <w:numFmt w:val="decimal"/>
      <w:lvlText w:val="%2."/>
      <w:lvlJc w:val="left"/>
      <w:pPr>
        <w:ind w:left="2250" w:hanging="360"/>
      </w:pPr>
      <w:rPr>
        <w:rFonts w:hint="default"/>
      </w:rPr>
    </w:lvl>
    <w:lvl w:ilvl="2">
      <w:start w:val="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6E7BB6"/>
    <w:multiLevelType w:val="multilevel"/>
    <w:tmpl w:val="9A344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2C5690"/>
    <w:multiLevelType w:val="multilevel"/>
    <w:tmpl w:val="19FC20A6"/>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B13F5D"/>
    <w:multiLevelType w:val="multilevel"/>
    <w:tmpl w:val="0E6A418C"/>
    <w:lvl w:ilvl="0">
      <w:start w:val="1"/>
      <w:numFmt w:val="bullet"/>
      <w:lvlText w:val=""/>
      <w:lvlPicBulletId w:val="3"/>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105F34"/>
    <w:multiLevelType w:val="hybridMultilevel"/>
    <w:tmpl w:val="2730CFEA"/>
    <w:lvl w:ilvl="0" w:tplc="55E468B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5"/>
  </w:num>
  <w:num w:numId="4">
    <w:abstractNumId w:val="1"/>
  </w:num>
  <w:num w:numId="5">
    <w:abstractNumId w:val="16"/>
  </w:num>
  <w:num w:numId="6">
    <w:abstractNumId w:val="17"/>
  </w:num>
  <w:num w:numId="7">
    <w:abstractNumId w:val="14"/>
  </w:num>
  <w:num w:numId="8">
    <w:abstractNumId w:val="1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0"/>
  </w:num>
  <w:num w:numId="10">
    <w:abstractNumId w:val="4"/>
  </w:num>
  <w:num w:numId="11">
    <w:abstractNumId w:val="11"/>
  </w:num>
  <w:num w:numId="12">
    <w:abstractNumId w:val="3"/>
  </w:num>
  <w:num w:numId="13">
    <w:abstractNumId w:val="6"/>
  </w:num>
  <w:num w:numId="14">
    <w:abstractNumId w:val="22"/>
  </w:num>
  <w:num w:numId="15">
    <w:abstractNumId w:val="7"/>
  </w:num>
  <w:num w:numId="16">
    <w:abstractNumId w:val="24"/>
  </w:num>
  <w:num w:numId="17">
    <w:abstractNumId w:val="18"/>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9"/>
  </w:num>
  <w:num w:numId="21">
    <w:abstractNumId w:val="25"/>
  </w:num>
  <w:num w:numId="22">
    <w:abstractNumId w:val="26"/>
  </w:num>
  <w:num w:numId="23">
    <w:abstractNumId w:val="13"/>
  </w:num>
  <w:num w:numId="24">
    <w:abstractNumId w:val="12"/>
  </w:num>
  <w:num w:numId="25">
    <w:abstractNumId w:val="2"/>
  </w:num>
  <w:num w:numId="26">
    <w:abstractNumId w:val="15"/>
  </w:num>
  <w:num w:numId="27">
    <w:abstractNumId w:val="8"/>
  </w:num>
  <w:num w:numId="28">
    <w:abstractNumId w:val="23"/>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9"/>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4B51"/>
    <w:rsid w:val="000200F9"/>
    <w:rsid w:val="00025198"/>
    <w:rsid w:val="00040514"/>
    <w:rsid w:val="000455B9"/>
    <w:rsid w:val="000530D0"/>
    <w:rsid w:val="000578A3"/>
    <w:rsid w:val="00057BDC"/>
    <w:rsid w:val="00063B0E"/>
    <w:rsid w:val="000648CC"/>
    <w:rsid w:val="00075DA7"/>
    <w:rsid w:val="00077449"/>
    <w:rsid w:val="000827A5"/>
    <w:rsid w:val="0008589E"/>
    <w:rsid w:val="000C52D9"/>
    <w:rsid w:val="000C59B8"/>
    <w:rsid w:val="000C6AF0"/>
    <w:rsid w:val="000C7E34"/>
    <w:rsid w:val="000D7B05"/>
    <w:rsid w:val="001011B9"/>
    <w:rsid w:val="001041AC"/>
    <w:rsid w:val="00104F33"/>
    <w:rsid w:val="00104FF4"/>
    <w:rsid w:val="00111DE2"/>
    <w:rsid w:val="0011656B"/>
    <w:rsid w:val="00116B38"/>
    <w:rsid w:val="00117B24"/>
    <w:rsid w:val="0012532D"/>
    <w:rsid w:val="00135406"/>
    <w:rsid w:val="00135972"/>
    <w:rsid w:val="001424B1"/>
    <w:rsid w:val="001426A9"/>
    <w:rsid w:val="0014399F"/>
    <w:rsid w:val="001504C3"/>
    <w:rsid w:val="00154D7C"/>
    <w:rsid w:val="001565AF"/>
    <w:rsid w:val="001570B0"/>
    <w:rsid w:val="0015752C"/>
    <w:rsid w:val="00157737"/>
    <w:rsid w:val="00165277"/>
    <w:rsid w:val="00170592"/>
    <w:rsid w:val="00182FA8"/>
    <w:rsid w:val="00186351"/>
    <w:rsid w:val="00194997"/>
    <w:rsid w:val="00195D83"/>
    <w:rsid w:val="001965A2"/>
    <w:rsid w:val="001A00C1"/>
    <w:rsid w:val="001B33E0"/>
    <w:rsid w:val="001B4573"/>
    <w:rsid w:val="001C3311"/>
    <w:rsid w:val="001C779F"/>
    <w:rsid w:val="001D1E16"/>
    <w:rsid w:val="001D2AC1"/>
    <w:rsid w:val="001D4E88"/>
    <w:rsid w:val="001D6A6D"/>
    <w:rsid w:val="001F0C38"/>
    <w:rsid w:val="002200F9"/>
    <w:rsid w:val="00220FC2"/>
    <w:rsid w:val="002222F4"/>
    <w:rsid w:val="002248B0"/>
    <w:rsid w:val="00224FC0"/>
    <w:rsid w:val="00225EA4"/>
    <w:rsid w:val="00226EAF"/>
    <w:rsid w:val="00231F3A"/>
    <w:rsid w:val="00234199"/>
    <w:rsid w:val="002406EE"/>
    <w:rsid w:val="00243EC8"/>
    <w:rsid w:val="002442A9"/>
    <w:rsid w:val="00251D72"/>
    <w:rsid w:val="00270D93"/>
    <w:rsid w:val="002745CC"/>
    <w:rsid w:val="002815A5"/>
    <w:rsid w:val="00281C96"/>
    <w:rsid w:val="002834B1"/>
    <w:rsid w:val="002844BC"/>
    <w:rsid w:val="002A6DFF"/>
    <w:rsid w:val="002B2379"/>
    <w:rsid w:val="002B3E13"/>
    <w:rsid w:val="002B7924"/>
    <w:rsid w:val="002D28C3"/>
    <w:rsid w:val="002D39A4"/>
    <w:rsid w:val="002D5BCE"/>
    <w:rsid w:val="002E6705"/>
    <w:rsid w:val="00301D08"/>
    <w:rsid w:val="0030329A"/>
    <w:rsid w:val="0031086F"/>
    <w:rsid w:val="0031414C"/>
    <w:rsid w:val="00314E01"/>
    <w:rsid w:val="00316B36"/>
    <w:rsid w:val="0032089D"/>
    <w:rsid w:val="003310DE"/>
    <w:rsid w:val="003323B0"/>
    <w:rsid w:val="00336C76"/>
    <w:rsid w:val="0035169A"/>
    <w:rsid w:val="0035259D"/>
    <w:rsid w:val="00355537"/>
    <w:rsid w:val="00360FC6"/>
    <w:rsid w:val="00364B18"/>
    <w:rsid w:val="0036707C"/>
    <w:rsid w:val="00370661"/>
    <w:rsid w:val="00375904"/>
    <w:rsid w:val="003775EB"/>
    <w:rsid w:val="00382353"/>
    <w:rsid w:val="00383E5D"/>
    <w:rsid w:val="00387853"/>
    <w:rsid w:val="003A125D"/>
    <w:rsid w:val="003A4C70"/>
    <w:rsid w:val="003A7F6D"/>
    <w:rsid w:val="003B215F"/>
    <w:rsid w:val="003B6E79"/>
    <w:rsid w:val="003C799C"/>
    <w:rsid w:val="003D0399"/>
    <w:rsid w:val="003E1C71"/>
    <w:rsid w:val="003E2606"/>
    <w:rsid w:val="003E2BCE"/>
    <w:rsid w:val="003E4CA7"/>
    <w:rsid w:val="003F327B"/>
    <w:rsid w:val="00406166"/>
    <w:rsid w:val="0040704B"/>
    <w:rsid w:val="00410333"/>
    <w:rsid w:val="00410A55"/>
    <w:rsid w:val="00411300"/>
    <w:rsid w:val="00415417"/>
    <w:rsid w:val="004205E2"/>
    <w:rsid w:val="00426659"/>
    <w:rsid w:val="00430D96"/>
    <w:rsid w:val="00450352"/>
    <w:rsid w:val="00454BDB"/>
    <w:rsid w:val="00464800"/>
    <w:rsid w:val="00465132"/>
    <w:rsid w:val="00471062"/>
    <w:rsid w:val="0047396D"/>
    <w:rsid w:val="00480C90"/>
    <w:rsid w:val="0048396F"/>
    <w:rsid w:val="00487564"/>
    <w:rsid w:val="00493C18"/>
    <w:rsid w:val="004A0D0B"/>
    <w:rsid w:val="004A2E70"/>
    <w:rsid w:val="004A600C"/>
    <w:rsid w:val="004A6118"/>
    <w:rsid w:val="004B305C"/>
    <w:rsid w:val="004C478D"/>
    <w:rsid w:val="004E1F18"/>
    <w:rsid w:val="004E2C26"/>
    <w:rsid w:val="004F028C"/>
    <w:rsid w:val="004F057B"/>
    <w:rsid w:val="004F36FF"/>
    <w:rsid w:val="00500FEE"/>
    <w:rsid w:val="005125A8"/>
    <w:rsid w:val="0051701B"/>
    <w:rsid w:val="00517CFE"/>
    <w:rsid w:val="00521AE8"/>
    <w:rsid w:val="00527180"/>
    <w:rsid w:val="0053419A"/>
    <w:rsid w:val="0053683F"/>
    <w:rsid w:val="00537F83"/>
    <w:rsid w:val="0054201E"/>
    <w:rsid w:val="00555291"/>
    <w:rsid w:val="00566AD1"/>
    <w:rsid w:val="00583EDE"/>
    <w:rsid w:val="005A6079"/>
    <w:rsid w:val="005B6895"/>
    <w:rsid w:val="005C2FCE"/>
    <w:rsid w:val="005C697B"/>
    <w:rsid w:val="005E4698"/>
    <w:rsid w:val="00610539"/>
    <w:rsid w:val="00613969"/>
    <w:rsid w:val="00615978"/>
    <w:rsid w:val="0062335C"/>
    <w:rsid w:val="00625C35"/>
    <w:rsid w:val="00625F9D"/>
    <w:rsid w:val="006445BD"/>
    <w:rsid w:val="00656313"/>
    <w:rsid w:val="006565F4"/>
    <w:rsid w:val="00672868"/>
    <w:rsid w:val="006739DD"/>
    <w:rsid w:val="00684EEA"/>
    <w:rsid w:val="00687A33"/>
    <w:rsid w:val="0069689B"/>
    <w:rsid w:val="006A1551"/>
    <w:rsid w:val="006B5FF5"/>
    <w:rsid w:val="006C5AB5"/>
    <w:rsid w:val="006E3CCC"/>
    <w:rsid w:val="006E6604"/>
    <w:rsid w:val="006F2BEA"/>
    <w:rsid w:val="006F30AF"/>
    <w:rsid w:val="00701759"/>
    <w:rsid w:val="00701D2A"/>
    <w:rsid w:val="00705C15"/>
    <w:rsid w:val="0071600E"/>
    <w:rsid w:val="007208D1"/>
    <w:rsid w:val="00726A96"/>
    <w:rsid w:val="00732932"/>
    <w:rsid w:val="00747288"/>
    <w:rsid w:val="00747DD3"/>
    <w:rsid w:val="00751F04"/>
    <w:rsid w:val="00752320"/>
    <w:rsid w:val="007549C8"/>
    <w:rsid w:val="00754A0B"/>
    <w:rsid w:val="00766D14"/>
    <w:rsid w:val="00767A0F"/>
    <w:rsid w:val="00770E6F"/>
    <w:rsid w:val="007766B2"/>
    <w:rsid w:val="007A05F6"/>
    <w:rsid w:val="007A3283"/>
    <w:rsid w:val="007B6F4A"/>
    <w:rsid w:val="007C0475"/>
    <w:rsid w:val="007C5233"/>
    <w:rsid w:val="007E1C47"/>
    <w:rsid w:val="007E337A"/>
    <w:rsid w:val="007E3783"/>
    <w:rsid w:val="007E5C70"/>
    <w:rsid w:val="007F2FF5"/>
    <w:rsid w:val="007F3F08"/>
    <w:rsid w:val="008024C3"/>
    <w:rsid w:val="00804CC6"/>
    <w:rsid w:val="008122FB"/>
    <w:rsid w:val="00817190"/>
    <w:rsid w:val="00820EE5"/>
    <w:rsid w:val="008260E2"/>
    <w:rsid w:val="008322BD"/>
    <w:rsid w:val="00833E0A"/>
    <w:rsid w:val="00834F73"/>
    <w:rsid w:val="00864CF8"/>
    <w:rsid w:val="00865DA6"/>
    <w:rsid w:val="00872819"/>
    <w:rsid w:val="00874914"/>
    <w:rsid w:val="008773B2"/>
    <w:rsid w:val="008834CF"/>
    <w:rsid w:val="008857D1"/>
    <w:rsid w:val="00891422"/>
    <w:rsid w:val="00892E1A"/>
    <w:rsid w:val="008A3F29"/>
    <w:rsid w:val="008A3F6D"/>
    <w:rsid w:val="008B009E"/>
    <w:rsid w:val="008B660A"/>
    <w:rsid w:val="008C01DA"/>
    <w:rsid w:val="008E21F7"/>
    <w:rsid w:val="008F50A7"/>
    <w:rsid w:val="008F78E9"/>
    <w:rsid w:val="00911989"/>
    <w:rsid w:val="009179F9"/>
    <w:rsid w:val="009204BC"/>
    <w:rsid w:val="009257E0"/>
    <w:rsid w:val="009310E6"/>
    <w:rsid w:val="00933E5E"/>
    <w:rsid w:val="00935218"/>
    <w:rsid w:val="009403F3"/>
    <w:rsid w:val="00940663"/>
    <w:rsid w:val="009534BC"/>
    <w:rsid w:val="009555B7"/>
    <w:rsid w:val="009567AA"/>
    <w:rsid w:val="00967374"/>
    <w:rsid w:val="00972894"/>
    <w:rsid w:val="00991FFC"/>
    <w:rsid w:val="009968C4"/>
    <w:rsid w:val="009A343A"/>
    <w:rsid w:val="009B2F23"/>
    <w:rsid w:val="009B57B3"/>
    <w:rsid w:val="009C5B92"/>
    <w:rsid w:val="009D2920"/>
    <w:rsid w:val="009D5AEB"/>
    <w:rsid w:val="009E05CA"/>
    <w:rsid w:val="009E0E92"/>
    <w:rsid w:val="009E4390"/>
    <w:rsid w:val="009F05BA"/>
    <w:rsid w:val="009F0E33"/>
    <w:rsid w:val="00A030CE"/>
    <w:rsid w:val="00A032F4"/>
    <w:rsid w:val="00A149DF"/>
    <w:rsid w:val="00A1755C"/>
    <w:rsid w:val="00A21B90"/>
    <w:rsid w:val="00A2471C"/>
    <w:rsid w:val="00A41805"/>
    <w:rsid w:val="00A42DCD"/>
    <w:rsid w:val="00A52AFB"/>
    <w:rsid w:val="00A548CB"/>
    <w:rsid w:val="00A5521C"/>
    <w:rsid w:val="00A643E7"/>
    <w:rsid w:val="00A7115E"/>
    <w:rsid w:val="00A73C38"/>
    <w:rsid w:val="00A75A2D"/>
    <w:rsid w:val="00A82EF2"/>
    <w:rsid w:val="00A92557"/>
    <w:rsid w:val="00AA266A"/>
    <w:rsid w:val="00AB670D"/>
    <w:rsid w:val="00AC1E30"/>
    <w:rsid w:val="00AE4535"/>
    <w:rsid w:val="00AF03C5"/>
    <w:rsid w:val="00AF219E"/>
    <w:rsid w:val="00B000D8"/>
    <w:rsid w:val="00B00F75"/>
    <w:rsid w:val="00B033BC"/>
    <w:rsid w:val="00B145B6"/>
    <w:rsid w:val="00B279EB"/>
    <w:rsid w:val="00B50C81"/>
    <w:rsid w:val="00B557F8"/>
    <w:rsid w:val="00B61CF6"/>
    <w:rsid w:val="00B66909"/>
    <w:rsid w:val="00B673C8"/>
    <w:rsid w:val="00B704C4"/>
    <w:rsid w:val="00B815FC"/>
    <w:rsid w:val="00B85903"/>
    <w:rsid w:val="00B85E85"/>
    <w:rsid w:val="00B86A49"/>
    <w:rsid w:val="00B93FBC"/>
    <w:rsid w:val="00B957D9"/>
    <w:rsid w:val="00B95950"/>
    <w:rsid w:val="00BA67CB"/>
    <w:rsid w:val="00BA7DA0"/>
    <w:rsid w:val="00BB2EE4"/>
    <w:rsid w:val="00BC0BB9"/>
    <w:rsid w:val="00BC2108"/>
    <w:rsid w:val="00BC447F"/>
    <w:rsid w:val="00BD0E9E"/>
    <w:rsid w:val="00BD1BEC"/>
    <w:rsid w:val="00BD31C6"/>
    <w:rsid w:val="00BD32FF"/>
    <w:rsid w:val="00BD45E2"/>
    <w:rsid w:val="00BD584B"/>
    <w:rsid w:val="00BE2F2E"/>
    <w:rsid w:val="00C02092"/>
    <w:rsid w:val="00C02AA4"/>
    <w:rsid w:val="00C24D91"/>
    <w:rsid w:val="00C32C01"/>
    <w:rsid w:val="00C34758"/>
    <w:rsid w:val="00C34856"/>
    <w:rsid w:val="00C53F14"/>
    <w:rsid w:val="00C600CF"/>
    <w:rsid w:val="00C6084F"/>
    <w:rsid w:val="00C62A66"/>
    <w:rsid w:val="00C71458"/>
    <w:rsid w:val="00C73D11"/>
    <w:rsid w:val="00C73E54"/>
    <w:rsid w:val="00C75C4C"/>
    <w:rsid w:val="00C77613"/>
    <w:rsid w:val="00C828E7"/>
    <w:rsid w:val="00C83469"/>
    <w:rsid w:val="00C86719"/>
    <w:rsid w:val="00C9157B"/>
    <w:rsid w:val="00C921DD"/>
    <w:rsid w:val="00C932C6"/>
    <w:rsid w:val="00CA35B9"/>
    <w:rsid w:val="00CA53BC"/>
    <w:rsid w:val="00CA6391"/>
    <w:rsid w:val="00CC34BD"/>
    <w:rsid w:val="00CC796B"/>
    <w:rsid w:val="00CE161A"/>
    <w:rsid w:val="00CE3171"/>
    <w:rsid w:val="00CF1601"/>
    <w:rsid w:val="00CF2C87"/>
    <w:rsid w:val="00D0172F"/>
    <w:rsid w:val="00D068A7"/>
    <w:rsid w:val="00D17476"/>
    <w:rsid w:val="00D22BB5"/>
    <w:rsid w:val="00D32086"/>
    <w:rsid w:val="00D37A3F"/>
    <w:rsid w:val="00D4431D"/>
    <w:rsid w:val="00D4667A"/>
    <w:rsid w:val="00D63A1C"/>
    <w:rsid w:val="00D7516F"/>
    <w:rsid w:val="00D8579F"/>
    <w:rsid w:val="00D871C8"/>
    <w:rsid w:val="00D956F1"/>
    <w:rsid w:val="00D95F8E"/>
    <w:rsid w:val="00DA0590"/>
    <w:rsid w:val="00DA2921"/>
    <w:rsid w:val="00DB3A2D"/>
    <w:rsid w:val="00DB7BEA"/>
    <w:rsid w:val="00DC1739"/>
    <w:rsid w:val="00DC1788"/>
    <w:rsid w:val="00DC1D0C"/>
    <w:rsid w:val="00DC30BB"/>
    <w:rsid w:val="00DD23AC"/>
    <w:rsid w:val="00DD6C2E"/>
    <w:rsid w:val="00DE319C"/>
    <w:rsid w:val="00DF0CA8"/>
    <w:rsid w:val="00DF16BE"/>
    <w:rsid w:val="00DF2B48"/>
    <w:rsid w:val="00DF49A7"/>
    <w:rsid w:val="00E0138B"/>
    <w:rsid w:val="00E06DE4"/>
    <w:rsid w:val="00E07EE2"/>
    <w:rsid w:val="00E07FD1"/>
    <w:rsid w:val="00E176D8"/>
    <w:rsid w:val="00E17E30"/>
    <w:rsid w:val="00E232A6"/>
    <w:rsid w:val="00E24573"/>
    <w:rsid w:val="00E25E1E"/>
    <w:rsid w:val="00E27465"/>
    <w:rsid w:val="00E27EE7"/>
    <w:rsid w:val="00E34C4E"/>
    <w:rsid w:val="00E35404"/>
    <w:rsid w:val="00E40796"/>
    <w:rsid w:val="00E42FE8"/>
    <w:rsid w:val="00E45109"/>
    <w:rsid w:val="00E47B7A"/>
    <w:rsid w:val="00E56A44"/>
    <w:rsid w:val="00E60269"/>
    <w:rsid w:val="00E71A7A"/>
    <w:rsid w:val="00E77932"/>
    <w:rsid w:val="00E82FBA"/>
    <w:rsid w:val="00E9568D"/>
    <w:rsid w:val="00E97830"/>
    <w:rsid w:val="00EA4B08"/>
    <w:rsid w:val="00EA7F16"/>
    <w:rsid w:val="00ED2AC7"/>
    <w:rsid w:val="00ED6D6F"/>
    <w:rsid w:val="00ED724F"/>
    <w:rsid w:val="00EE296D"/>
    <w:rsid w:val="00EE643C"/>
    <w:rsid w:val="00EE6983"/>
    <w:rsid w:val="00EE7F73"/>
    <w:rsid w:val="00EF0683"/>
    <w:rsid w:val="00EF69D2"/>
    <w:rsid w:val="00EF766E"/>
    <w:rsid w:val="00F0070C"/>
    <w:rsid w:val="00F00EB7"/>
    <w:rsid w:val="00F10505"/>
    <w:rsid w:val="00F150FC"/>
    <w:rsid w:val="00F3601E"/>
    <w:rsid w:val="00F36AB6"/>
    <w:rsid w:val="00F37A09"/>
    <w:rsid w:val="00F409CE"/>
    <w:rsid w:val="00F42D75"/>
    <w:rsid w:val="00F4379D"/>
    <w:rsid w:val="00F44E6D"/>
    <w:rsid w:val="00F45D15"/>
    <w:rsid w:val="00F50D2D"/>
    <w:rsid w:val="00F52BD7"/>
    <w:rsid w:val="00F56C8B"/>
    <w:rsid w:val="00F618CF"/>
    <w:rsid w:val="00F66810"/>
    <w:rsid w:val="00F742B8"/>
    <w:rsid w:val="00F846D9"/>
    <w:rsid w:val="00F84DF4"/>
    <w:rsid w:val="00F85C97"/>
    <w:rsid w:val="00F903C1"/>
    <w:rsid w:val="00F92B2C"/>
    <w:rsid w:val="00FB37D2"/>
    <w:rsid w:val="00FC4EFB"/>
    <w:rsid w:val="00FD068D"/>
    <w:rsid w:val="00FD4F28"/>
    <w:rsid w:val="00FE6784"/>
    <w:rsid w:val="00FF0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33E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465"/>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D22BB5"/>
    <w:pPr>
      <w:spacing w:before="200" w:line="271" w:lineRule="auto"/>
      <w:ind w:left="1440"/>
      <w:outlineLvl w:val="2"/>
    </w:pPr>
    <w:rPr>
      <w:rFonts w:asciiTheme="majorHAnsi" w:eastAsiaTheme="majorEastAsia" w:hAnsiTheme="majorHAnsi" w:cstheme="majorBidi"/>
      <w:b/>
      <w:bCs/>
      <w:szCs w:val="24"/>
    </w:rPr>
  </w:style>
  <w:style w:type="paragraph" w:styleId="Heading4">
    <w:name w:val="heading 4"/>
    <w:basedOn w:val="Normal"/>
    <w:next w:val="Normal"/>
    <w:link w:val="Heading4Char"/>
    <w:uiPriority w:val="9"/>
    <w:unhideWhenUsed/>
    <w:rsid w:val="00D22BB5"/>
    <w:pPr>
      <w:spacing w:before="200"/>
      <w:ind w:left="2160"/>
      <w:outlineLvl w:val="3"/>
    </w:pPr>
    <w:rPr>
      <w:rFonts w:asciiTheme="majorHAnsi" w:eastAsiaTheme="majorEastAsia" w:hAnsiTheme="majorHAnsi" w:cstheme="majorBidi"/>
      <w:b/>
      <w:bCs/>
      <w:i/>
      <w:iCs/>
      <w:szCs w:val="24"/>
    </w:rPr>
  </w:style>
  <w:style w:type="paragraph" w:styleId="Heading5">
    <w:name w:val="heading 5"/>
    <w:basedOn w:val="Normal"/>
    <w:next w:val="Normal"/>
    <w:link w:val="Heading5Char"/>
    <w:uiPriority w:val="9"/>
    <w:semiHidden/>
    <w:unhideWhenUsed/>
    <w:rsid w:val="00D22BB5"/>
    <w:pPr>
      <w:spacing w:before="200"/>
      <w:ind w:left="2880"/>
      <w:outlineLvl w:val="4"/>
    </w:pPr>
    <w:rPr>
      <w:rFonts w:asciiTheme="majorHAnsi" w:eastAsiaTheme="majorEastAsia" w:hAnsiTheme="majorHAnsi" w:cstheme="majorBidi"/>
      <w:b/>
      <w:bCs/>
      <w:color w:val="7F7F7F" w:themeColor="text1" w:themeTint="80"/>
      <w:szCs w:val="24"/>
    </w:rPr>
  </w:style>
  <w:style w:type="paragraph" w:styleId="Heading6">
    <w:name w:val="heading 6"/>
    <w:basedOn w:val="Normal"/>
    <w:next w:val="Normal"/>
    <w:link w:val="Heading6Char"/>
    <w:uiPriority w:val="9"/>
    <w:semiHidden/>
    <w:unhideWhenUsed/>
    <w:qFormat/>
    <w:rsid w:val="00D22BB5"/>
    <w:pPr>
      <w:spacing w:line="271" w:lineRule="auto"/>
      <w:ind w:left="3600"/>
      <w:outlineLvl w:val="5"/>
    </w:pPr>
    <w:rPr>
      <w:rFonts w:asciiTheme="majorHAnsi" w:eastAsiaTheme="majorEastAsia" w:hAnsiTheme="majorHAnsi" w:cstheme="majorBidi"/>
      <w:b/>
      <w:bCs/>
      <w:i/>
      <w:iCs/>
      <w:color w:val="7F7F7F" w:themeColor="text1" w:themeTint="80"/>
      <w:szCs w:val="24"/>
    </w:rPr>
  </w:style>
  <w:style w:type="paragraph" w:styleId="Heading7">
    <w:name w:val="heading 7"/>
    <w:basedOn w:val="Normal"/>
    <w:next w:val="Normal"/>
    <w:link w:val="Heading7Char"/>
    <w:uiPriority w:val="9"/>
    <w:semiHidden/>
    <w:unhideWhenUsed/>
    <w:qFormat/>
    <w:rsid w:val="00D22BB5"/>
    <w:pPr>
      <w:ind w:left="4320"/>
      <w:outlineLvl w:val="6"/>
    </w:pPr>
    <w:rPr>
      <w:rFonts w:asciiTheme="majorHAnsi" w:eastAsiaTheme="majorEastAsia" w:hAnsiTheme="majorHAnsi" w:cstheme="majorBidi"/>
      <w:i/>
      <w:iCs/>
      <w:szCs w:val="24"/>
    </w:rPr>
  </w:style>
  <w:style w:type="paragraph" w:styleId="Heading8">
    <w:name w:val="heading 8"/>
    <w:basedOn w:val="Normal"/>
    <w:next w:val="Normal"/>
    <w:link w:val="Heading8Char"/>
    <w:uiPriority w:val="9"/>
    <w:semiHidden/>
    <w:unhideWhenUsed/>
    <w:qFormat/>
    <w:rsid w:val="00D22BB5"/>
    <w:pPr>
      <w:ind w:left="5040"/>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semiHidden/>
    <w:unhideWhenUsed/>
    <w:qFormat/>
    <w:rsid w:val="00D22BB5"/>
    <w:pPr>
      <w:ind w:left="5760"/>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CommentReference">
    <w:name w:val="annotation reference"/>
    <w:basedOn w:val="DefaultParagraphFont"/>
    <w:uiPriority w:val="99"/>
    <w:semiHidden/>
    <w:unhideWhenUsed/>
    <w:rsid w:val="00B85E85"/>
    <w:rPr>
      <w:sz w:val="16"/>
      <w:szCs w:val="16"/>
    </w:rPr>
  </w:style>
  <w:style w:type="paragraph" w:styleId="CommentText">
    <w:name w:val="annotation text"/>
    <w:basedOn w:val="Normal"/>
    <w:link w:val="CommentTextChar"/>
    <w:uiPriority w:val="99"/>
    <w:unhideWhenUsed/>
    <w:rsid w:val="00B85E85"/>
    <w:rPr>
      <w:sz w:val="20"/>
    </w:rPr>
  </w:style>
  <w:style w:type="character" w:customStyle="1" w:styleId="CommentTextChar">
    <w:name w:val="Comment Text Char"/>
    <w:basedOn w:val="DefaultParagraphFont"/>
    <w:link w:val="CommentText"/>
    <w:uiPriority w:val="99"/>
    <w:rsid w:val="00B85E85"/>
  </w:style>
  <w:style w:type="paragraph" w:styleId="CommentSubject">
    <w:name w:val="annotation subject"/>
    <w:basedOn w:val="CommentText"/>
    <w:next w:val="CommentText"/>
    <w:link w:val="CommentSubjectChar"/>
    <w:uiPriority w:val="99"/>
    <w:semiHidden/>
    <w:unhideWhenUsed/>
    <w:rsid w:val="00B85E85"/>
    <w:rPr>
      <w:b/>
      <w:bCs/>
    </w:rPr>
  </w:style>
  <w:style w:type="character" w:customStyle="1" w:styleId="CommentSubjectChar">
    <w:name w:val="Comment Subject Char"/>
    <w:basedOn w:val="CommentTextChar"/>
    <w:link w:val="CommentSubject"/>
    <w:uiPriority w:val="99"/>
    <w:semiHidden/>
    <w:rsid w:val="00B85E85"/>
    <w:rPr>
      <w:b/>
      <w:bCs/>
    </w:rPr>
  </w:style>
  <w:style w:type="character" w:customStyle="1" w:styleId="solext01">
    <w:name w:val="solext01"/>
    <w:basedOn w:val="DefaultParagraphFont"/>
    <w:rsid w:val="0047396D"/>
    <w:rPr>
      <w:shd w:val="clear" w:color="auto" w:fill="BFE8FD"/>
    </w:rPr>
  </w:style>
  <w:style w:type="character" w:customStyle="1" w:styleId="solext02">
    <w:name w:val="solext02"/>
    <w:basedOn w:val="DefaultParagraphFont"/>
    <w:rsid w:val="0047396D"/>
    <w:rPr>
      <w:shd w:val="clear" w:color="auto" w:fill="BFE8FD"/>
    </w:rPr>
  </w:style>
  <w:style w:type="paragraph" w:customStyle="1" w:styleId="ParaNoNdepar-AltN">
    <w:name w:val="Para. No. / Nº de par. - Alt N"/>
    <w:link w:val="ParaNoNdepar-AltNChar"/>
    <w:qFormat/>
    <w:rsid w:val="006739DD"/>
    <w:pPr>
      <w:numPr>
        <w:numId w:val="1"/>
      </w:num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rsid w:val="006739DD"/>
    <w:rPr>
      <w:rFonts w:eastAsiaTheme="minorEastAsia" w:cstheme="minorBidi"/>
      <w:sz w:val="24"/>
      <w:szCs w:val="22"/>
      <w:lang w:eastAsia="en-US"/>
    </w:rPr>
  </w:style>
  <w:style w:type="character" w:customStyle="1" w:styleId="Heading3Char">
    <w:name w:val="Heading 3 Char"/>
    <w:basedOn w:val="DefaultParagraphFont"/>
    <w:link w:val="Heading3"/>
    <w:uiPriority w:val="9"/>
    <w:rsid w:val="00D22BB5"/>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sid w:val="00D22BB5"/>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D22BB5"/>
    <w:rPr>
      <w:rFonts w:asciiTheme="majorHAnsi" w:eastAsiaTheme="majorEastAsia" w:hAnsiTheme="majorHAnsi" w:cstheme="majorBidi"/>
      <w:b/>
      <w:bCs/>
      <w:color w:val="7F7F7F" w:themeColor="text1" w:themeTint="80"/>
      <w:sz w:val="24"/>
      <w:szCs w:val="24"/>
    </w:rPr>
  </w:style>
  <w:style w:type="character" w:customStyle="1" w:styleId="Heading6Char">
    <w:name w:val="Heading 6 Char"/>
    <w:basedOn w:val="DefaultParagraphFont"/>
    <w:link w:val="Heading6"/>
    <w:uiPriority w:val="9"/>
    <w:semiHidden/>
    <w:rsid w:val="00D22BB5"/>
    <w:rPr>
      <w:rFonts w:asciiTheme="majorHAnsi" w:eastAsiaTheme="majorEastAsia" w:hAnsiTheme="majorHAnsi" w:cstheme="majorBidi"/>
      <w:b/>
      <w:bCs/>
      <w:i/>
      <w:iCs/>
      <w:color w:val="7F7F7F" w:themeColor="text1" w:themeTint="80"/>
      <w:sz w:val="24"/>
      <w:szCs w:val="24"/>
    </w:rPr>
  </w:style>
  <w:style w:type="character" w:customStyle="1" w:styleId="Heading7Char">
    <w:name w:val="Heading 7 Char"/>
    <w:basedOn w:val="DefaultParagraphFont"/>
    <w:link w:val="Heading7"/>
    <w:uiPriority w:val="9"/>
    <w:semiHidden/>
    <w:rsid w:val="00D22BB5"/>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D22BB5"/>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D22BB5"/>
    <w:rPr>
      <w:rFonts w:asciiTheme="majorHAnsi" w:eastAsiaTheme="majorEastAsia" w:hAnsiTheme="majorHAnsi" w:cstheme="majorBidi"/>
      <w:i/>
      <w:iCs/>
      <w:spacing w:val="5"/>
    </w:rPr>
  </w:style>
  <w:style w:type="paragraph" w:customStyle="1" w:styleId="SCCLsocOtherPartyRoleSeparator">
    <w:name w:val="SCC.Lsoc.OtherPartyRoleSeparator"/>
    <w:basedOn w:val="Normal"/>
    <w:next w:val="Normal"/>
    <w:link w:val="SCCLsocOtherPartyRoleSeparatorChar"/>
    <w:rsid w:val="00D22BB5"/>
    <w:pPr>
      <w:spacing w:after="480"/>
    </w:pPr>
    <w:rPr>
      <w:rFonts w:eastAsiaTheme="minorHAnsi" w:cstheme="minorBidi"/>
      <w:szCs w:val="22"/>
      <w:lang w:eastAsia="en-US"/>
    </w:rPr>
  </w:style>
  <w:style w:type="paragraph" w:customStyle="1" w:styleId="SCCCoram">
    <w:name w:val="SCC.Coram"/>
    <w:basedOn w:val="Normal"/>
    <w:next w:val="Normal"/>
    <w:link w:val="SCCCoramChar"/>
    <w:rsid w:val="00D22BB5"/>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D22BB5"/>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D22BB5"/>
    <w:rPr>
      <w:rFonts w:eastAsiaTheme="minorHAnsi" w:cstheme="minorBidi"/>
      <w:sz w:val="24"/>
      <w:szCs w:val="22"/>
      <w:lang w:eastAsia="en-US"/>
    </w:rPr>
  </w:style>
  <w:style w:type="character" w:customStyle="1" w:styleId="SCCBanSummaryChar">
    <w:name w:val="SCC.BanSummary Char"/>
    <w:basedOn w:val="DefaultParagraphFont"/>
    <w:link w:val="SCCBanSummary"/>
    <w:rsid w:val="00D22BB5"/>
    <w:rPr>
      <w:b/>
      <w:sz w:val="24"/>
    </w:rPr>
  </w:style>
  <w:style w:type="table" w:styleId="TableGrid">
    <w:name w:val="Table Grid"/>
    <w:basedOn w:val="TableNormal"/>
    <w:uiPriority w:val="59"/>
    <w:rsid w:val="00D22BB5"/>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D22BB5"/>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D22BB5"/>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D22BB5"/>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D22BB5"/>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D22BB5"/>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D22BB5"/>
    <w:pPr>
      <w:numPr>
        <w:ilvl w:val="2"/>
      </w:numPr>
      <w:outlineLvl w:val="2"/>
    </w:pPr>
  </w:style>
  <w:style w:type="paragraph" w:customStyle="1" w:styleId="Title4LevelTitre4Niveau">
    <w:name w:val="Title 4 Level / Titre 4 Niveau"/>
    <w:basedOn w:val="Title3LevelTitre3Niveau"/>
    <w:next w:val="ParaNoNdepar-AltN"/>
    <w:uiPriority w:val="4"/>
    <w:qFormat/>
    <w:rsid w:val="00D22BB5"/>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D22BB5"/>
    <w:pPr>
      <w:numPr>
        <w:ilvl w:val="4"/>
      </w:numPr>
      <w:outlineLvl w:val="4"/>
    </w:pPr>
  </w:style>
  <w:style w:type="paragraph" w:styleId="TOC1">
    <w:name w:val="toc 1"/>
    <w:basedOn w:val="Normal"/>
    <w:next w:val="Normal"/>
    <w:autoRedefine/>
    <w:uiPriority w:val="39"/>
    <w:unhideWhenUsed/>
    <w:rsid w:val="00D22BB5"/>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D22BB5"/>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D22BB5"/>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D22BB5"/>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D22BB5"/>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D22BB5"/>
    <w:pPr>
      <w:tabs>
        <w:tab w:val="left" w:pos="2160"/>
        <w:tab w:val="right" w:leader="dot" w:pos="8270"/>
      </w:tabs>
      <w:spacing w:after="100"/>
      <w:ind w:left="1800"/>
    </w:pPr>
    <w:rPr>
      <w:noProof/>
    </w:rPr>
  </w:style>
  <w:style w:type="table" w:customStyle="1" w:styleId="TableGrid1">
    <w:name w:val="Table Grid1"/>
    <w:basedOn w:val="TableNormal"/>
    <w:uiPriority w:val="59"/>
    <w:rsid w:val="00D22BB5"/>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D22BB5"/>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D22BB5"/>
    <w:pPr>
      <w:numPr>
        <w:ilvl w:val="5"/>
      </w:numPr>
      <w:outlineLvl w:val="5"/>
    </w:pPr>
    <w:rPr>
      <w:i/>
      <w:u w:val="none"/>
    </w:rPr>
  </w:style>
  <w:style w:type="paragraph" w:styleId="FootnoteText">
    <w:name w:val="footnote text"/>
    <w:basedOn w:val="Normal"/>
    <w:link w:val="FootnoteTextChar"/>
    <w:uiPriority w:val="99"/>
    <w:unhideWhenUsed/>
    <w:rsid w:val="00D22BB5"/>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D22BB5"/>
  </w:style>
  <w:style w:type="character" w:styleId="FootnoteReference">
    <w:name w:val="footnote reference"/>
    <w:basedOn w:val="DefaultParagraphFont"/>
    <w:uiPriority w:val="99"/>
    <w:semiHidden/>
    <w:unhideWhenUsed/>
    <w:rsid w:val="00D22BB5"/>
    <w:rPr>
      <w:vertAlign w:val="superscript"/>
    </w:rPr>
  </w:style>
  <w:style w:type="character" w:customStyle="1" w:styleId="SCCLowerCourtJudge">
    <w:name w:val="SCC.LowerCourtJudge"/>
    <w:basedOn w:val="DefaultParagraphFont"/>
    <w:uiPriority w:val="1"/>
    <w:qFormat/>
    <w:rsid w:val="00D22BB5"/>
  </w:style>
  <w:style w:type="numbering" w:customStyle="1" w:styleId="MemoTOCList">
    <w:name w:val="Memo TOC List"/>
    <w:basedOn w:val="NoList"/>
    <w:uiPriority w:val="99"/>
    <w:rsid w:val="00D22BB5"/>
  </w:style>
  <w:style w:type="character" w:styleId="Hyperlink">
    <w:name w:val="Hyperlink"/>
    <w:basedOn w:val="DefaultParagraphFont"/>
    <w:uiPriority w:val="99"/>
    <w:unhideWhenUsed/>
    <w:rsid w:val="00D22BB5"/>
    <w:rPr>
      <w:color w:val="0000FF" w:themeColor="hyperlink"/>
      <w:u w:val="single"/>
    </w:rPr>
  </w:style>
  <w:style w:type="paragraph" w:styleId="Title">
    <w:name w:val="Title"/>
    <w:basedOn w:val="Normal"/>
    <w:next w:val="Normal"/>
    <w:link w:val="TitleChar"/>
    <w:uiPriority w:val="10"/>
    <w:rsid w:val="00D22BB5"/>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22B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rsid w:val="00D22BB5"/>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22BB5"/>
    <w:rPr>
      <w:rFonts w:asciiTheme="majorHAnsi" w:eastAsiaTheme="majorEastAsia" w:hAnsiTheme="majorHAnsi" w:cstheme="majorBidi"/>
      <w:i/>
      <w:iCs/>
      <w:spacing w:val="13"/>
      <w:sz w:val="24"/>
      <w:szCs w:val="24"/>
    </w:rPr>
  </w:style>
  <w:style w:type="character" w:styleId="Emphasis">
    <w:name w:val="Emphasis"/>
    <w:uiPriority w:val="20"/>
    <w:rsid w:val="00D22BB5"/>
    <w:rPr>
      <w:b/>
      <w:bCs/>
      <w:i/>
      <w:iCs/>
      <w:spacing w:val="10"/>
      <w:bdr w:val="none" w:sz="0" w:space="0" w:color="auto"/>
      <w:shd w:val="clear" w:color="auto" w:fill="auto"/>
    </w:rPr>
  </w:style>
  <w:style w:type="paragraph" w:styleId="NoSpacing">
    <w:name w:val="No Spacing"/>
    <w:basedOn w:val="Normal"/>
    <w:uiPriority w:val="1"/>
    <w:rsid w:val="00D22BB5"/>
    <w:rPr>
      <w:szCs w:val="24"/>
    </w:rPr>
  </w:style>
  <w:style w:type="paragraph" w:styleId="ListParagraph">
    <w:name w:val="List Paragraph"/>
    <w:basedOn w:val="Normal"/>
    <w:uiPriority w:val="34"/>
    <w:qFormat/>
    <w:rsid w:val="00D22BB5"/>
    <w:pPr>
      <w:ind w:left="720"/>
      <w:contextualSpacing/>
    </w:pPr>
    <w:rPr>
      <w:szCs w:val="24"/>
    </w:rPr>
  </w:style>
  <w:style w:type="paragraph" w:styleId="Quote">
    <w:name w:val="Quote"/>
    <w:basedOn w:val="Normal"/>
    <w:next w:val="Normal"/>
    <w:link w:val="QuoteChar"/>
    <w:uiPriority w:val="29"/>
    <w:rsid w:val="00D22BB5"/>
    <w:pPr>
      <w:spacing w:before="200"/>
      <w:ind w:left="360" w:right="360"/>
    </w:pPr>
    <w:rPr>
      <w:i/>
      <w:iCs/>
      <w:szCs w:val="24"/>
    </w:rPr>
  </w:style>
  <w:style w:type="character" w:customStyle="1" w:styleId="QuoteChar">
    <w:name w:val="Quote Char"/>
    <w:basedOn w:val="DefaultParagraphFont"/>
    <w:link w:val="Quote"/>
    <w:uiPriority w:val="29"/>
    <w:rsid w:val="00D22BB5"/>
    <w:rPr>
      <w:i/>
      <w:iCs/>
      <w:sz w:val="24"/>
      <w:szCs w:val="24"/>
    </w:rPr>
  </w:style>
  <w:style w:type="paragraph" w:styleId="IntenseQuote">
    <w:name w:val="Intense Quote"/>
    <w:basedOn w:val="Normal"/>
    <w:next w:val="Normal"/>
    <w:link w:val="IntenseQuoteChar"/>
    <w:uiPriority w:val="30"/>
    <w:rsid w:val="00D22BB5"/>
    <w:pPr>
      <w:pBdr>
        <w:bottom w:val="single" w:sz="4" w:space="1" w:color="auto"/>
      </w:pBdr>
      <w:spacing w:before="200" w:after="280"/>
      <w:ind w:left="1008" w:right="1152"/>
      <w:jc w:val="both"/>
    </w:pPr>
    <w:rPr>
      <w:b/>
      <w:bCs/>
      <w:i/>
      <w:iCs/>
      <w:szCs w:val="24"/>
    </w:rPr>
  </w:style>
  <w:style w:type="character" w:customStyle="1" w:styleId="IntenseQuoteChar">
    <w:name w:val="Intense Quote Char"/>
    <w:basedOn w:val="DefaultParagraphFont"/>
    <w:link w:val="IntenseQuote"/>
    <w:uiPriority w:val="30"/>
    <w:rsid w:val="00D22BB5"/>
    <w:rPr>
      <w:b/>
      <w:bCs/>
      <w:i/>
      <w:iCs/>
      <w:sz w:val="24"/>
      <w:szCs w:val="24"/>
    </w:rPr>
  </w:style>
  <w:style w:type="character" w:styleId="SubtleEmphasis">
    <w:name w:val="Subtle Emphasis"/>
    <w:uiPriority w:val="19"/>
    <w:rsid w:val="00D22BB5"/>
    <w:rPr>
      <w:i/>
      <w:iCs/>
    </w:rPr>
  </w:style>
  <w:style w:type="character" w:styleId="IntenseEmphasis">
    <w:name w:val="Intense Emphasis"/>
    <w:uiPriority w:val="21"/>
    <w:rsid w:val="00D22BB5"/>
    <w:rPr>
      <w:b/>
      <w:bCs/>
    </w:rPr>
  </w:style>
  <w:style w:type="character" w:styleId="SubtleReference">
    <w:name w:val="Subtle Reference"/>
    <w:uiPriority w:val="31"/>
    <w:rsid w:val="00D22BB5"/>
    <w:rPr>
      <w:smallCaps/>
    </w:rPr>
  </w:style>
  <w:style w:type="character" w:styleId="IntenseReference">
    <w:name w:val="Intense Reference"/>
    <w:uiPriority w:val="32"/>
    <w:rsid w:val="00D22BB5"/>
    <w:rPr>
      <w:smallCaps/>
      <w:spacing w:val="5"/>
      <w:u w:val="single"/>
    </w:rPr>
  </w:style>
  <w:style w:type="character" w:styleId="BookTitle">
    <w:name w:val="Book Title"/>
    <w:uiPriority w:val="33"/>
    <w:rsid w:val="00D22BB5"/>
    <w:rPr>
      <w:i/>
      <w:iCs/>
      <w:smallCaps/>
      <w:spacing w:val="5"/>
    </w:rPr>
  </w:style>
  <w:style w:type="paragraph" w:styleId="TOCHeading">
    <w:name w:val="TOC Heading"/>
    <w:basedOn w:val="Heading1"/>
    <w:next w:val="Normal"/>
    <w:uiPriority w:val="39"/>
    <w:unhideWhenUsed/>
    <w:qFormat/>
    <w:rsid w:val="00D22BB5"/>
    <w:pPr>
      <w:keepNext w:val="0"/>
      <w:keepLines w:val="0"/>
      <w:spacing w:after="240"/>
      <w:ind w:left="0" w:firstLine="0"/>
      <w:jc w:val="center"/>
      <w:outlineLvl w:val="9"/>
    </w:pPr>
    <w:rPr>
      <w:rFonts w:asciiTheme="minorHAnsi" w:eastAsiaTheme="minorEastAsia" w:hAnsiTheme="minorHAnsi" w:cstheme="minorBidi"/>
      <w:caps/>
      <w:color w:val="auto"/>
      <w:sz w:val="24"/>
      <w:szCs w:val="24"/>
      <w:u w:val="single"/>
    </w:rPr>
  </w:style>
  <w:style w:type="character" w:customStyle="1" w:styleId="Italic">
    <w:name w:val="Italic"/>
    <w:basedOn w:val="DefaultParagraphFont"/>
    <w:uiPriority w:val="1"/>
    <w:rsid w:val="00D22BB5"/>
    <w:rPr>
      <w:i/>
    </w:rPr>
  </w:style>
  <w:style w:type="character" w:customStyle="1" w:styleId="solext0">
    <w:name w:val="solext0"/>
    <w:basedOn w:val="DefaultParagraphFont"/>
    <w:rsid w:val="00D22BB5"/>
  </w:style>
  <w:style w:type="character" w:customStyle="1" w:styleId="solext1">
    <w:name w:val="solext1"/>
    <w:basedOn w:val="DefaultParagraphFont"/>
    <w:rsid w:val="00D22BB5"/>
  </w:style>
  <w:style w:type="character" w:customStyle="1" w:styleId="reflex3-block">
    <w:name w:val="reflex3-block"/>
    <w:basedOn w:val="DefaultParagraphFont"/>
    <w:rsid w:val="00D22BB5"/>
  </w:style>
  <w:style w:type="character" w:customStyle="1" w:styleId="reflex3-alt">
    <w:name w:val="reflex3-alt"/>
    <w:basedOn w:val="DefaultParagraphFont"/>
    <w:rsid w:val="00D22BB5"/>
  </w:style>
  <w:style w:type="paragraph" w:styleId="Revision">
    <w:name w:val="Revision"/>
    <w:hidden/>
    <w:uiPriority w:val="99"/>
    <w:semiHidden/>
    <w:rsid w:val="00D22BB5"/>
    <w:rPr>
      <w:sz w:val="24"/>
      <w:szCs w:val="24"/>
    </w:rPr>
  </w:style>
  <w:style w:type="paragraph" w:customStyle="1" w:styleId="continuedparagraph">
    <w:name w:val="continuedparagraph"/>
    <w:basedOn w:val="Normal"/>
    <w:rsid w:val="00D22BB5"/>
    <w:pPr>
      <w:spacing w:before="100" w:beforeAutospacing="1" w:after="100" w:afterAutospacing="1"/>
      <w:ind w:left="360"/>
    </w:pPr>
    <w:rPr>
      <w:szCs w:val="24"/>
    </w:rPr>
  </w:style>
  <w:style w:type="paragraph" w:customStyle="1" w:styleId="paragraph">
    <w:name w:val="paragraph"/>
    <w:basedOn w:val="Normal"/>
    <w:rsid w:val="00D22BB5"/>
    <w:pPr>
      <w:spacing w:before="168" w:after="120"/>
      <w:ind w:left="360"/>
    </w:pPr>
    <w:rPr>
      <w:szCs w:val="24"/>
    </w:rPr>
  </w:style>
  <w:style w:type="paragraph" w:customStyle="1" w:styleId="subparagraph">
    <w:name w:val="subparagraph"/>
    <w:basedOn w:val="Normal"/>
    <w:rsid w:val="00D22BB5"/>
    <w:pPr>
      <w:spacing w:before="168" w:after="120"/>
      <w:ind w:left="720"/>
    </w:pPr>
    <w:rPr>
      <w:szCs w:val="24"/>
    </w:rPr>
  </w:style>
  <w:style w:type="character" w:customStyle="1" w:styleId="definedtermlink">
    <w:name w:val="definedtermlink"/>
    <w:basedOn w:val="DefaultParagraphFont"/>
    <w:rsid w:val="00D22BB5"/>
    <w:rPr>
      <w:i/>
      <w:iCs/>
    </w:rPr>
  </w:style>
  <w:style w:type="character" w:customStyle="1" w:styleId="lawlabel2">
    <w:name w:val="lawlabel2"/>
    <w:basedOn w:val="DefaultParagraphFont"/>
    <w:rsid w:val="00D22BB5"/>
    <w:rPr>
      <w:b/>
      <w:bCs/>
      <w:color w:val="000000"/>
    </w:rPr>
  </w:style>
  <w:style w:type="character" w:customStyle="1" w:styleId="solext310">
    <w:name w:val="solext310"/>
    <w:basedOn w:val="DefaultParagraphFont"/>
    <w:rsid w:val="00D22BB5"/>
    <w:rPr>
      <w:shd w:val="clear" w:color="auto" w:fill="C9FDBF"/>
    </w:rPr>
  </w:style>
  <w:style w:type="character" w:customStyle="1" w:styleId="sectionlabel">
    <w:name w:val="sectionlabel"/>
    <w:basedOn w:val="DefaultParagraphFont"/>
    <w:rsid w:val="00D22BB5"/>
    <w:rPr>
      <w:b/>
      <w:bCs/>
      <w:color w:val="000000"/>
    </w:rPr>
  </w:style>
  <w:style w:type="character" w:customStyle="1" w:styleId="solext110">
    <w:name w:val="solext110"/>
    <w:basedOn w:val="DefaultParagraphFont"/>
    <w:rsid w:val="00D22BB5"/>
    <w:rPr>
      <w:shd w:val="clear" w:color="auto" w:fill="F3BFFD"/>
    </w:rPr>
  </w:style>
  <w:style w:type="character" w:customStyle="1" w:styleId="solext210">
    <w:name w:val="solext210"/>
    <w:basedOn w:val="DefaultParagraphFont"/>
    <w:rsid w:val="00D22BB5"/>
    <w:rPr>
      <w:shd w:val="clear" w:color="auto" w:fill="FDD3BF"/>
    </w:rPr>
  </w:style>
  <w:style w:type="character" w:customStyle="1" w:styleId="solext211">
    <w:name w:val="solext211"/>
    <w:basedOn w:val="DefaultParagraphFont"/>
    <w:rsid w:val="00D22BB5"/>
    <w:rPr>
      <w:shd w:val="clear" w:color="auto" w:fill="FDD3BF"/>
    </w:rPr>
  </w:style>
  <w:style w:type="character" w:customStyle="1" w:styleId="decisia-reflex2-icon">
    <w:name w:val="decisia-reflex2-icon"/>
    <w:basedOn w:val="DefaultParagraphFont"/>
    <w:rsid w:val="00D22BB5"/>
    <w:rPr>
      <w:strike w:val="0"/>
      <w:dstrike w:val="0"/>
      <w:sz w:val="19"/>
      <w:szCs w:val="19"/>
      <w:u w:val="none"/>
      <w:effect w:val="none"/>
    </w:rPr>
  </w:style>
  <w:style w:type="character" w:customStyle="1" w:styleId="nowrap">
    <w:name w:val="nowrap"/>
    <w:basedOn w:val="DefaultParagraphFont"/>
    <w:rsid w:val="00D22BB5"/>
  </w:style>
  <w:style w:type="paragraph" w:customStyle="1" w:styleId="11">
    <w:name w:val="11"/>
    <w:basedOn w:val="Normal"/>
    <w:rsid w:val="00D22BB5"/>
    <w:pPr>
      <w:autoSpaceDE w:val="0"/>
      <w:autoSpaceDN w:val="0"/>
      <w:ind w:hanging="720"/>
    </w:pPr>
    <w:rPr>
      <w:szCs w:val="24"/>
      <w:lang w:val="en-US" w:eastAsia="en-US"/>
    </w:rPr>
  </w:style>
  <w:style w:type="character" w:customStyle="1" w:styleId="canliisectionwithsubsection1">
    <w:name w:val="canlii_section_with_subsection1"/>
    <w:basedOn w:val="DefaultParagraphFont"/>
    <w:rsid w:val="00D22BB5"/>
    <w:rPr>
      <w:strike w:val="0"/>
      <w:dstrike w:val="0"/>
      <w:color w:val="027ABB"/>
      <w:u w:val="none"/>
      <w:effect w:val="none"/>
    </w:rPr>
  </w:style>
  <w:style w:type="paragraph" w:customStyle="1" w:styleId="subsection1">
    <w:name w:val="subsection1"/>
    <w:basedOn w:val="Normal"/>
    <w:rsid w:val="00D22BB5"/>
    <w:pPr>
      <w:spacing w:before="168" w:after="120"/>
    </w:pPr>
    <w:rPr>
      <w:szCs w:val="24"/>
      <w:lang w:val="en-US" w:eastAsia="en-US"/>
    </w:rPr>
  </w:style>
  <w:style w:type="character" w:customStyle="1" w:styleId="sectionlabel1">
    <w:name w:val="sectionlabel1"/>
    <w:basedOn w:val="DefaultParagraphFont"/>
    <w:rsid w:val="00D22BB5"/>
    <w:rPr>
      <w:b/>
      <w:bCs/>
      <w:color w:val="000000"/>
    </w:rPr>
  </w:style>
  <w:style w:type="paragraph" w:customStyle="1" w:styleId="paragraph1">
    <w:name w:val="paragraph1"/>
    <w:basedOn w:val="Normal"/>
    <w:rsid w:val="00D22BB5"/>
    <w:pPr>
      <w:spacing w:before="168" w:after="120"/>
      <w:ind w:left="360"/>
    </w:pPr>
    <w:rPr>
      <w:szCs w:val="24"/>
      <w:lang w:val="en-US" w:eastAsia="en-US"/>
    </w:rPr>
  </w:style>
  <w:style w:type="paragraph" w:customStyle="1" w:styleId="scjnumber1">
    <w:name w:val="scjnumber1"/>
    <w:basedOn w:val="Normal"/>
    <w:rsid w:val="00D22BB5"/>
    <w:pPr>
      <w:spacing w:after="240"/>
    </w:pPr>
    <w:rPr>
      <w:rFonts w:ascii="Arial (W1)" w:hAnsi="Arial (W1)"/>
      <w:szCs w:val="24"/>
      <w:lang w:val="en-US" w:eastAsia="en-US"/>
    </w:rPr>
  </w:style>
  <w:style w:type="table" w:customStyle="1" w:styleId="TableGrid2">
    <w:name w:val="Table Grid2"/>
    <w:basedOn w:val="TableNormal"/>
    <w:next w:val="TableGrid"/>
    <w:uiPriority w:val="59"/>
    <w:rsid w:val="00D22BB5"/>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C83469"/>
    <w:rPr>
      <w:lang w:val="en-CA"/>
    </w:rPr>
  </w:style>
  <w:style w:type="paragraph" w:customStyle="1" w:styleId="SCCLsocPrefix">
    <w:name w:val="SCC.Lsoc.Prefix"/>
    <w:basedOn w:val="Normal"/>
    <w:next w:val="Normal"/>
    <w:link w:val="SCCLsocPrefixChar"/>
    <w:rsid w:val="00C83469"/>
    <w:rPr>
      <w:rFonts w:eastAsiaTheme="minorHAnsi" w:cstheme="minorBidi"/>
      <w:b/>
      <w:smallCaps/>
      <w:szCs w:val="24"/>
      <w:lang w:eastAsia="en-US"/>
    </w:rPr>
  </w:style>
  <w:style w:type="character" w:customStyle="1" w:styleId="SCCLsocPrefixChar">
    <w:name w:val="SCC.Lsoc.Prefix Char"/>
    <w:basedOn w:val="DefaultParagraphFont"/>
    <w:link w:val="SCCLsocPrefix"/>
    <w:rsid w:val="00C83469"/>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27878-B3FD-4C76-948B-AB35376B6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19730</Words>
  <Characters>104777</Characters>
  <Application>Microsoft Office Word</Application>
  <DocSecurity>0</DocSecurity>
  <Lines>873</Lines>
  <Paragraphs>248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124259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2017-12-22T17:48:00Z</dcterms:created>
  <dcterms:modified xsi:type="dcterms:W3CDTF">2018-02-27T15:18:00Z</dcterms:modified>
</cp:coreProperties>
</file>