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14" w:rsidRDefault="00543514" w:rsidP="00543514">
      <w:pPr>
        <w:pStyle w:val="Header"/>
      </w:pPr>
      <w:bookmarkStart w:id="0" w:name="_GoBack"/>
      <w:bookmarkEnd w:id="0"/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4.5pt" o:ole="">
            <v:imagedata r:id="rId7" o:title=""/>
          </v:shape>
          <o:OLEObject Type="Embed" ProgID="Presentations.Drawing.13" ShapeID="_x0000_i1025" DrawAspect="Content" ObjectID="_1636293436" r:id="rId8"/>
        </w:object>
      </w:r>
      <w:r>
        <w:t xml:space="preserve"> </w:t>
      </w:r>
      <w:r>
        <w:ptab w:relativeTo="margin" w:alignment="right" w:leader="none"/>
      </w:r>
    </w:p>
    <w:p w:rsidR="00543514" w:rsidRDefault="00543514" w:rsidP="00543514">
      <w:pPr>
        <w:pStyle w:val="Header"/>
      </w:pPr>
    </w:p>
    <w:p w:rsidR="00543514" w:rsidRPr="006B210C" w:rsidRDefault="00543514" w:rsidP="00543514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543514" w:rsidRDefault="00543514" w:rsidP="00543514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543514" w:rsidRPr="006B210C" w:rsidTr="001C72ED">
        <w:trPr>
          <w:cantSplit/>
        </w:trPr>
        <w:tc>
          <w:tcPr>
            <w:tcW w:w="5670" w:type="dxa"/>
          </w:tcPr>
          <w:p w:rsidR="00543514" w:rsidRPr="00C73B0C" w:rsidRDefault="00543514" w:rsidP="001C72ED">
            <w:pPr>
              <w:rPr>
                <w:lang w:val="fr-CA"/>
              </w:rPr>
            </w:pPr>
            <w:r w:rsidRPr="00C73B0C">
              <w:rPr>
                <w:b/>
                <w:smallCaps/>
                <w:lang w:val="fr-CA"/>
              </w:rPr>
              <w:t>Citation:</w:t>
            </w:r>
            <w:r w:rsidRPr="00C73B0C">
              <w:rPr>
                <w:lang w:val="fr-CA"/>
              </w:rPr>
              <w:t xml:space="preserve"> </w:t>
            </w:r>
            <w:r w:rsidRPr="00543514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543514">
              <w:rPr>
                <w:rStyle w:val="SCCAppellantForRunningHeadChar"/>
                <w:i/>
                <w:smallCaps w:val="0"/>
                <w:lang w:val="fr-CA"/>
              </w:rPr>
              <w:t>v</w:t>
            </w:r>
            <w:r w:rsidRPr="00543514">
              <w:rPr>
                <w:rStyle w:val="SCCAppellantForRunningHeadChar"/>
                <w:smallCaps w:val="0"/>
                <w:lang w:val="fr-CA"/>
              </w:rPr>
              <w:t>. Quartey</w:t>
            </w:r>
            <w:r w:rsidRPr="00C73B0C">
              <w:rPr>
                <w:rStyle w:val="SCCAppellantForRunningHeadChar"/>
                <w:lang w:val="fr-CA"/>
              </w:rPr>
              <w:t xml:space="preserve">, </w:t>
            </w:r>
            <w:r w:rsidRPr="00C73B0C">
              <w:rPr>
                <w:lang w:val="fr-CA"/>
              </w:rPr>
              <w:t>2018 SCC 5</w:t>
            </w:r>
            <w:r>
              <w:rPr>
                <w:lang w:val="fr-CA"/>
              </w:rPr>
              <w:t>9</w:t>
            </w:r>
            <w:r w:rsidRPr="00C73B0C">
              <w:rPr>
                <w:lang w:val="fr-CA"/>
              </w:rPr>
              <w:t>, [2018] 3 S.C.R.</w:t>
            </w:r>
            <w:r>
              <w:rPr>
                <w:lang w:val="fr-CA"/>
              </w:rPr>
              <w:t xml:space="preserve"> 687</w:t>
            </w:r>
          </w:p>
        </w:tc>
        <w:tc>
          <w:tcPr>
            <w:tcW w:w="3960" w:type="dxa"/>
          </w:tcPr>
          <w:p w:rsidR="00543514" w:rsidRDefault="00543514" w:rsidP="001C72ED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December 14, 2018</w:t>
            </w:r>
          </w:p>
          <w:p w:rsidR="00543514" w:rsidRPr="006B210C" w:rsidRDefault="00543514" w:rsidP="001C72ED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December 14, 2018</w:t>
            </w:r>
          </w:p>
          <w:p w:rsidR="00543514" w:rsidRPr="006B210C" w:rsidRDefault="00543514" w:rsidP="001C72ED">
            <w:r w:rsidRPr="005D4B83">
              <w:rPr>
                <w:b/>
                <w:smallCaps/>
              </w:rPr>
              <w:t>Docket:</w:t>
            </w:r>
            <w:r>
              <w:t xml:space="preserve"> 38026</w:t>
            </w:r>
          </w:p>
        </w:tc>
      </w:tr>
    </w:tbl>
    <w:p w:rsidR="00543514" w:rsidRPr="006B210C" w:rsidRDefault="00543514" w:rsidP="00543514"/>
    <w:p w:rsidR="00543514" w:rsidRDefault="00543514" w:rsidP="00543514">
      <w:pPr>
        <w:pStyle w:val="SCCLsocPrefix"/>
      </w:pPr>
      <w:r>
        <w:t>Between:</w:t>
      </w:r>
    </w:p>
    <w:p w:rsidR="00543514" w:rsidRPr="00085D5A" w:rsidRDefault="00543514" w:rsidP="00543514">
      <w:pPr>
        <w:jc w:val="center"/>
        <w:rPr>
          <w:b/>
        </w:rPr>
      </w:pPr>
      <w:r w:rsidRPr="00085D5A">
        <w:rPr>
          <w:b/>
        </w:rPr>
        <w:t>Kingsley Yianomah Quartey</w:t>
      </w:r>
    </w:p>
    <w:p w:rsidR="00543514" w:rsidRDefault="00543514" w:rsidP="00543514">
      <w:pPr>
        <w:jc w:val="center"/>
      </w:pPr>
      <w:r>
        <w:t>Appellant</w:t>
      </w:r>
    </w:p>
    <w:p w:rsidR="00543514" w:rsidRPr="005D4B83" w:rsidRDefault="00543514" w:rsidP="00543514">
      <w:pPr>
        <w:jc w:val="center"/>
      </w:pPr>
    </w:p>
    <w:p w:rsidR="00543514" w:rsidRPr="00543514" w:rsidRDefault="00543514" w:rsidP="00543514">
      <w:pPr>
        <w:pStyle w:val="SCCLsocVersus"/>
        <w:spacing w:after="0"/>
        <w:jc w:val="center"/>
        <w:rPr>
          <w:i w:val="0"/>
        </w:rPr>
      </w:pPr>
      <w:r w:rsidRPr="00543514">
        <w:rPr>
          <w:i w:val="0"/>
        </w:rPr>
        <w:t>and</w:t>
      </w:r>
    </w:p>
    <w:p w:rsidR="00543514" w:rsidRPr="005D4B83" w:rsidRDefault="00543514" w:rsidP="00543514">
      <w:pPr>
        <w:jc w:val="center"/>
      </w:pPr>
    </w:p>
    <w:p w:rsidR="00543514" w:rsidRDefault="00543514" w:rsidP="00543514">
      <w:pPr>
        <w:pStyle w:val="SCCLsocParty"/>
        <w:jc w:val="center"/>
      </w:pPr>
      <w:r>
        <w:t>Her Majesty The Queen</w:t>
      </w:r>
    </w:p>
    <w:p w:rsidR="00543514" w:rsidRDefault="00543514" w:rsidP="00543514">
      <w:pPr>
        <w:jc w:val="center"/>
      </w:pPr>
      <w:r>
        <w:t>Respondent</w:t>
      </w:r>
    </w:p>
    <w:p w:rsidR="00543514" w:rsidRPr="002B50D2" w:rsidRDefault="00543514" w:rsidP="00543514">
      <w:pPr>
        <w:jc w:val="center"/>
      </w:pPr>
    </w:p>
    <w:p w:rsidR="00543514" w:rsidRPr="006B210C" w:rsidRDefault="00543514" w:rsidP="00543514"/>
    <w:p w:rsidR="00543514" w:rsidRPr="006B210C" w:rsidRDefault="00543514" w:rsidP="00543514"/>
    <w:p w:rsidR="00543514" w:rsidRDefault="00543514" w:rsidP="00543514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Moldaver, Karakatsanis, Côté, Brown and Martin JJ.</w:t>
      </w:r>
    </w:p>
    <w:p w:rsidR="00543514" w:rsidRPr="006B210C" w:rsidRDefault="00543514" w:rsidP="005435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543514" w:rsidRPr="000872C9" w:rsidTr="001C72ED">
        <w:trPr>
          <w:cantSplit/>
        </w:trPr>
        <w:tc>
          <w:tcPr>
            <w:tcW w:w="3618" w:type="dxa"/>
          </w:tcPr>
          <w:p w:rsidR="00543514" w:rsidRDefault="00543514" w:rsidP="001C72ED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543514" w:rsidRPr="006B210C" w:rsidRDefault="00543514" w:rsidP="001C72ED">
            <w:r>
              <w:t>(paras. 1 to 3)</w:t>
            </w:r>
          </w:p>
        </w:tc>
        <w:tc>
          <w:tcPr>
            <w:tcW w:w="5958" w:type="dxa"/>
          </w:tcPr>
          <w:p w:rsidR="00543514" w:rsidRPr="00484289" w:rsidRDefault="00543514" w:rsidP="001C72ED">
            <w:r>
              <w:t>Brown</w:t>
            </w:r>
            <w:r w:rsidRPr="00484289">
              <w:t xml:space="preserve"> J. (</w:t>
            </w:r>
            <w:r>
              <w:t>Moldaver, Karakatsanis, Côté and Martin</w:t>
            </w:r>
            <w:r w:rsidRPr="00484289">
              <w:t> JJ. concurring)</w:t>
            </w:r>
          </w:p>
        </w:tc>
      </w:tr>
    </w:tbl>
    <w:p w:rsidR="00543514" w:rsidRPr="00484289" w:rsidRDefault="00543514" w:rsidP="00543514">
      <w:pPr>
        <w:rPr>
          <w:lang w:val="en-US"/>
        </w:rPr>
      </w:pPr>
    </w:p>
    <w:p w:rsidR="00543514" w:rsidRPr="00484289" w:rsidRDefault="00543514" w:rsidP="00543514">
      <w:pPr>
        <w:rPr>
          <w:lang w:val="en-US"/>
        </w:rPr>
      </w:pPr>
    </w:p>
    <w:p w:rsidR="00543514" w:rsidRPr="00484289" w:rsidRDefault="00543514" w:rsidP="00543514">
      <w:pPr>
        <w:rPr>
          <w:lang w:val="en-US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6D443" wp14:editId="1039E303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CC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543514" w:rsidRPr="00484289" w:rsidRDefault="00543514" w:rsidP="00543514">
      <w:pPr>
        <w:rPr>
          <w:lang w:val="en-US"/>
        </w:rPr>
      </w:pPr>
    </w:p>
    <w:p w:rsidR="00543514" w:rsidRPr="00484289" w:rsidRDefault="00543514" w:rsidP="00543514">
      <w:pPr>
        <w:rPr>
          <w:lang w:val="en-US"/>
        </w:rPr>
      </w:pPr>
    </w:p>
    <w:p w:rsidR="00543514" w:rsidRPr="00484289" w:rsidRDefault="00543514" w:rsidP="00543514">
      <w:pPr>
        <w:rPr>
          <w:lang w:val="en-US"/>
        </w:rPr>
      </w:pPr>
    </w:p>
    <w:p w:rsidR="00A149DF" w:rsidRPr="00A15E6E" w:rsidRDefault="00A15E6E" w:rsidP="00FF7578">
      <w:pPr>
        <w:spacing w:after="480" w:line="480" w:lineRule="auto"/>
        <w:jc w:val="both"/>
        <w:rPr>
          <w:smallCaps/>
          <w:lang w:val="en-US"/>
        </w:rPr>
      </w:pPr>
      <w:r>
        <w:rPr>
          <w:rStyle w:val="SCCAppellantForRunningHeadChar"/>
          <w:smallCaps w:val="0"/>
          <w:lang w:val="en-US"/>
        </w:rPr>
        <w:t>R</w:t>
      </w:r>
      <w:r w:rsidR="00DC294D" w:rsidRPr="00A15E6E">
        <w:rPr>
          <w:rStyle w:val="SCCAppellantForRunningHeadChar"/>
          <w:smallCaps w:val="0"/>
          <w:lang w:val="en-US"/>
        </w:rPr>
        <w:t xml:space="preserve">. </w:t>
      </w:r>
      <w:r w:rsidR="00DC294D" w:rsidRPr="00A15E6E">
        <w:rPr>
          <w:rStyle w:val="SCCAppellantForRunningHeadChar"/>
          <w:i/>
          <w:smallCaps w:val="0"/>
          <w:lang w:val="en-US"/>
        </w:rPr>
        <w:t>v</w:t>
      </w:r>
      <w:r w:rsidR="00DC294D" w:rsidRPr="00A15E6E">
        <w:rPr>
          <w:rStyle w:val="SCCAppellantForRunningHeadChar"/>
          <w:smallCaps w:val="0"/>
          <w:lang w:val="en-US"/>
        </w:rPr>
        <w:t xml:space="preserve">. </w:t>
      </w:r>
      <w:r>
        <w:rPr>
          <w:rStyle w:val="SCCAppellantForRunningHeadChar"/>
          <w:smallCaps w:val="0"/>
          <w:lang w:val="en-US"/>
        </w:rPr>
        <w:t>Q</w:t>
      </w:r>
      <w:r w:rsidR="008F78E9" w:rsidRPr="00A15E6E">
        <w:rPr>
          <w:rStyle w:val="SCCAppellantForRunningHeadChar"/>
          <w:smallCaps w:val="0"/>
          <w:lang w:val="en-US"/>
        </w:rPr>
        <w:t>uartey</w:t>
      </w:r>
      <w:r>
        <w:rPr>
          <w:rStyle w:val="SCCAppellantForRunningHeadChar"/>
          <w:smallCaps w:val="0"/>
          <w:lang w:val="en-US"/>
        </w:rPr>
        <w:t xml:space="preserve">, </w:t>
      </w:r>
      <w:r>
        <w:t>2018 SCC 59, [2018] 3 S.C.R. 687</w:t>
      </w:r>
    </w:p>
    <w:p w:rsidR="00EB56D9" w:rsidRDefault="00905081">
      <w:pPr>
        <w:pStyle w:val="SCCLsocLastPartyInRole"/>
      </w:pPr>
      <w:r>
        <w:t>Kingsley Yianomah Quartey</w:t>
      </w:r>
      <w:r>
        <w:rPr>
          <w:rStyle w:val="SCCLsocPartyRole"/>
        </w:rPr>
        <w:tab/>
        <w:t>Appellant</w:t>
      </w:r>
    </w:p>
    <w:p w:rsidR="00EB56D9" w:rsidRDefault="00905081">
      <w:pPr>
        <w:pStyle w:val="SCCLsocVersus"/>
      </w:pPr>
      <w:r>
        <w:t>v.</w:t>
      </w:r>
    </w:p>
    <w:p w:rsidR="009C5D81" w:rsidRPr="00FF7578" w:rsidRDefault="00905081" w:rsidP="00FF7578">
      <w:pPr>
        <w:pStyle w:val="SCCLsocLastPartyInRole"/>
        <w:rPr>
          <w:b w:val="0"/>
          <w:i/>
        </w:rPr>
      </w:pPr>
      <w:r>
        <w:t xml:space="preserve">Her Majesty </w:t>
      </w:r>
      <w:r w:rsidR="009C5D81">
        <w:t>T</w:t>
      </w:r>
      <w:r>
        <w:t>he Queen</w:t>
      </w:r>
      <w:r>
        <w:rPr>
          <w:rStyle w:val="SCCLsocPartyRole"/>
        </w:rPr>
        <w:tab/>
        <w:t>Respondent</w:t>
      </w:r>
    </w:p>
    <w:p w:rsidR="00B64599" w:rsidRDefault="00B64599" w:rsidP="009C5D81">
      <w:pPr>
        <w:jc w:val="both"/>
        <w:rPr>
          <w:b/>
        </w:rPr>
      </w:pPr>
    </w:p>
    <w:p w:rsidR="00B64599" w:rsidRPr="00FF7578" w:rsidRDefault="00426659" w:rsidP="00B64599">
      <w:pPr>
        <w:pStyle w:val="SCCLsocLastPartyInRole"/>
        <w:rPr>
          <w:b w:val="0"/>
          <w:i/>
        </w:rPr>
      </w:pPr>
      <w:r w:rsidRPr="00426659">
        <w:lastRenderedPageBreak/>
        <w:t>Indexed as:</w:t>
      </w:r>
      <w:r>
        <w:t xml:space="preserve"> </w:t>
      </w:r>
      <w:r w:rsidR="00DC294D">
        <w:t>R</w:t>
      </w:r>
      <w:r w:rsidR="00B64599">
        <w:t>.</w:t>
      </w:r>
      <w:r w:rsidR="00DC294D">
        <w:t xml:space="preserve"> </w:t>
      </w:r>
      <w:r w:rsidR="00DC294D" w:rsidRPr="00DC294D">
        <w:rPr>
          <w:i/>
        </w:rPr>
        <w:t>v</w:t>
      </w:r>
      <w:r w:rsidR="00DC294D" w:rsidRPr="00C40E88">
        <w:rPr>
          <w:i/>
        </w:rPr>
        <w:t>.</w:t>
      </w:r>
      <w:r w:rsidR="00DC294D">
        <w:t xml:space="preserve"> </w:t>
      </w:r>
      <w:r w:rsidRPr="00B64599">
        <w:rPr>
          <w:rStyle w:val="SCCAppellantForIndexChar"/>
          <w:b/>
        </w:rPr>
        <w:t>Quartey</w:t>
      </w:r>
    </w:p>
    <w:p w:rsidR="00B64599" w:rsidRDefault="00B64599" w:rsidP="00B64599">
      <w:pPr>
        <w:jc w:val="both"/>
        <w:rPr>
          <w:b/>
        </w:rPr>
      </w:pPr>
    </w:p>
    <w:p w:rsidR="00426659" w:rsidRDefault="00AE4535" w:rsidP="009C5D81">
      <w:pPr>
        <w:pStyle w:val="SCCSystemYear"/>
        <w:spacing w:after="480"/>
        <w:jc w:val="both"/>
      </w:pPr>
      <w:r>
        <w:t>2018</w:t>
      </w:r>
      <w:r w:rsidR="003D0399">
        <w:t xml:space="preserve"> </w:t>
      </w:r>
      <w:r w:rsidR="00DC294D">
        <w:t>SCC 59</w:t>
      </w:r>
    </w:p>
    <w:p w:rsidR="00A149DF" w:rsidRDefault="00A149DF" w:rsidP="009C5D81">
      <w:pPr>
        <w:spacing w:after="480"/>
        <w:jc w:val="both"/>
      </w:pPr>
    </w:p>
    <w:p w:rsidR="008322BD" w:rsidRDefault="009B57B3" w:rsidP="009C5D81">
      <w:pPr>
        <w:spacing w:after="480"/>
        <w:jc w:val="both"/>
      </w:pPr>
      <w:r w:rsidRPr="001426A9">
        <w:t xml:space="preserve">File No.: </w:t>
      </w:r>
      <w:r>
        <w:t>38026</w:t>
      </w:r>
      <w:r w:rsidRPr="001426A9">
        <w:t>.</w:t>
      </w:r>
    </w:p>
    <w:p w:rsidR="00A149DF" w:rsidRDefault="00A149DF" w:rsidP="009C5D81">
      <w:pPr>
        <w:spacing w:after="480"/>
        <w:jc w:val="both"/>
      </w:pPr>
    </w:p>
    <w:p w:rsidR="008322BD" w:rsidRDefault="00AE4535" w:rsidP="009C5D81">
      <w:pPr>
        <w:spacing w:after="480"/>
        <w:jc w:val="both"/>
      </w:pPr>
      <w:r>
        <w:t>2018: December 14</w:t>
      </w:r>
      <w:r w:rsidR="009B57B3" w:rsidRPr="001426A9">
        <w:t>.</w:t>
      </w:r>
    </w:p>
    <w:p w:rsidR="00A149DF" w:rsidRDefault="00A149DF" w:rsidP="009C5D81">
      <w:pPr>
        <w:spacing w:after="480"/>
        <w:jc w:val="both"/>
      </w:pPr>
    </w:p>
    <w:p w:rsidR="006A1551" w:rsidRDefault="00C40E88" w:rsidP="009C5D81">
      <w:pPr>
        <w:spacing w:after="480"/>
        <w:jc w:val="both"/>
      </w:pPr>
      <w:r>
        <w:t xml:space="preserve">Present: </w:t>
      </w:r>
      <w:r w:rsidR="009B57B3">
        <w:t>Moldaver, Karakatsanis, Côté, Brown and Martin JJ.</w:t>
      </w:r>
    </w:p>
    <w:p w:rsidR="009C5D81" w:rsidRDefault="009C5D81" w:rsidP="009C5D81">
      <w:pPr>
        <w:spacing w:after="480"/>
        <w:jc w:val="both"/>
      </w:pPr>
    </w:p>
    <w:p w:rsidR="006A1551" w:rsidRDefault="006A1551" w:rsidP="00FC4EFB">
      <w:pPr>
        <w:jc w:val="both"/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</w:t>
      </w:r>
      <w:r w:rsidR="00C40E88">
        <w:t>or</w:t>
      </w:r>
      <w:r w:rsidR="009B57B3">
        <w:t xml:space="preserve"> alberta </w:t>
      </w:r>
    </w:p>
    <w:p w:rsidR="003A4C70" w:rsidRDefault="003A4C70" w:rsidP="00FC4EFB">
      <w:pPr>
        <w:pStyle w:val="SCCNormalDoubleSpacing"/>
      </w:pPr>
    </w:p>
    <w:p w:rsidR="009C5D81" w:rsidRPr="001426A9" w:rsidRDefault="009C5D81" w:rsidP="00FC4EFB">
      <w:pPr>
        <w:pStyle w:val="SCCNormalDoubleSpacing"/>
      </w:pPr>
    </w:p>
    <w:p w:rsidR="008322BD" w:rsidRPr="00325134" w:rsidRDefault="009B57B3" w:rsidP="00FC4EFB">
      <w:pPr>
        <w:pStyle w:val="SCCNormalDoubleSpacing"/>
        <w:rPr>
          <w:i/>
        </w:rPr>
      </w:pPr>
      <w:r w:rsidRPr="00583EDE">
        <w:tab/>
      </w:r>
      <w:r w:rsidR="00325134" w:rsidRPr="00DA40B8">
        <w:rPr>
          <w:i/>
        </w:rPr>
        <w:t xml:space="preserve">Criminal law </w:t>
      </w:r>
      <w:r w:rsidR="000D2A44" w:rsidRPr="00DA40B8">
        <w:rPr>
          <w:i/>
        </w:rPr>
        <w:t>—</w:t>
      </w:r>
      <w:r w:rsidR="00325134" w:rsidRPr="00DA40B8">
        <w:rPr>
          <w:i/>
        </w:rPr>
        <w:t xml:space="preserve"> Evidence </w:t>
      </w:r>
      <w:r w:rsidR="000D2A44" w:rsidRPr="00DA40B8">
        <w:rPr>
          <w:i/>
        </w:rPr>
        <w:t>—</w:t>
      </w:r>
      <w:r w:rsidR="00325134" w:rsidRPr="00DA40B8">
        <w:rPr>
          <w:i/>
        </w:rPr>
        <w:t xml:space="preserve"> Assessm</w:t>
      </w:r>
      <w:r w:rsidR="00325134" w:rsidRPr="00340617">
        <w:rPr>
          <w:i/>
        </w:rPr>
        <w:t xml:space="preserve">ent </w:t>
      </w:r>
      <w:r w:rsidR="000D2A44" w:rsidRPr="00340617">
        <w:rPr>
          <w:i/>
        </w:rPr>
        <w:t>—</w:t>
      </w:r>
      <w:r w:rsidR="00325134" w:rsidRPr="00340617">
        <w:rPr>
          <w:i/>
        </w:rPr>
        <w:t xml:space="preserve"> Credibility</w:t>
      </w:r>
      <w:r w:rsidR="00AA4765" w:rsidRPr="00340617">
        <w:rPr>
          <w:i/>
        </w:rPr>
        <w:t xml:space="preserve"> </w:t>
      </w:r>
      <w:r w:rsidR="000D2A44" w:rsidRPr="00340617">
        <w:rPr>
          <w:i/>
        </w:rPr>
        <w:t>—</w:t>
      </w:r>
      <w:r w:rsidR="00325134" w:rsidRPr="00340617">
        <w:rPr>
          <w:i/>
        </w:rPr>
        <w:t xml:space="preserve"> </w:t>
      </w:r>
      <w:r w:rsidR="00340617" w:rsidRPr="00340617">
        <w:rPr>
          <w:i/>
        </w:rPr>
        <w:t xml:space="preserve">Burden of proof — </w:t>
      </w:r>
      <w:r w:rsidR="00531B95">
        <w:rPr>
          <w:i/>
        </w:rPr>
        <w:t xml:space="preserve">Generalizations and stereotypes — </w:t>
      </w:r>
      <w:r w:rsidR="000D2A44" w:rsidRPr="00340617">
        <w:rPr>
          <w:i/>
        </w:rPr>
        <w:t>Accused convicted of sexual assault —</w:t>
      </w:r>
      <w:r w:rsidR="00531B95">
        <w:rPr>
          <w:i/>
        </w:rPr>
        <w:t xml:space="preserve"> </w:t>
      </w:r>
      <w:r w:rsidR="00AA4765" w:rsidRPr="00340617">
        <w:rPr>
          <w:i/>
        </w:rPr>
        <w:t>Court of Appeal holding that t</w:t>
      </w:r>
      <w:r w:rsidR="00325134" w:rsidRPr="00340617">
        <w:rPr>
          <w:i/>
        </w:rPr>
        <w:t>rial judge</w:t>
      </w:r>
      <w:r w:rsidR="00531B95">
        <w:rPr>
          <w:i/>
        </w:rPr>
        <w:t>’s</w:t>
      </w:r>
      <w:r w:rsidR="00211099" w:rsidRPr="00340617">
        <w:rPr>
          <w:i/>
        </w:rPr>
        <w:t xml:space="preserve"> credibility </w:t>
      </w:r>
      <w:r w:rsidR="00531B95" w:rsidRPr="00340617">
        <w:rPr>
          <w:i/>
        </w:rPr>
        <w:t>a</w:t>
      </w:r>
      <w:r w:rsidR="00531B95">
        <w:rPr>
          <w:i/>
        </w:rPr>
        <w:t xml:space="preserve">ssessment could be reasonably supported by the record and that he </w:t>
      </w:r>
      <w:r w:rsidR="00325134" w:rsidRPr="00340617">
        <w:rPr>
          <w:i/>
        </w:rPr>
        <w:t xml:space="preserve">did not apply generalizations and stereotypes in rejecting </w:t>
      </w:r>
      <w:r w:rsidR="00AA4765" w:rsidRPr="00340617">
        <w:rPr>
          <w:i/>
        </w:rPr>
        <w:t xml:space="preserve">accused’s </w:t>
      </w:r>
      <w:r w:rsidR="00325134" w:rsidRPr="00340617">
        <w:rPr>
          <w:i/>
        </w:rPr>
        <w:t xml:space="preserve">evidence </w:t>
      </w:r>
      <w:r w:rsidR="00531B95">
        <w:rPr>
          <w:i/>
        </w:rPr>
        <w:t>or</w:t>
      </w:r>
      <w:r w:rsidR="00211099" w:rsidRPr="00340617">
        <w:rPr>
          <w:i/>
        </w:rPr>
        <w:t xml:space="preserve"> shift burden of proof to accused —</w:t>
      </w:r>
      <w:r w:rsidR="00325134">
        <w:rPr>
          <w:i/>
        </w:rPr>
        <w:t xml:space="preserve"> </w:t>
      </w:r>
      <w:r w:rsidR="00DA40B8">
        <w:rPr>
          <w:i/>
        </w:rPr>
        <w:t xml:space="preserve">Conviction upheld. </w:t>
      </w:r>
    </w:p>
    <w:p w:rsidR="00B34B7E" w:rsidRDefault="00B34B7E" w:rsidP="00EB2682">
      <w:pPr>
        <w:pStyle w:val="SCCNormalDoubleSpacing"/>
        <w:spacing w:after="720" w:line="240" w:lineRule="auto"/>
        <w:rPr>
          <w:b/>
        </w:rPr>
      </w:pPr>
    </w:p>
    <w:p w:rsidR="007E1C47" w:rsidRPr="00EB2682" w:rsidRDefault="002E6705" w:rsidP="00EB2682">
      <w:pPr>
        <w:pStyle w:val="SCCNormalDoubleSpacing"/>
        <w:spacing w:after="720" w:line="240" w:lineRule="auto"/>
        <w:rPr>
          <w:b/>
          <w:lang w:val="en-US"/>
        </w:rPr>
      </w:pPr>
      <w:r w:rsidRPr="00314E01">
        <w:rPr>
          <w:b/>
        </w:rPr>
        <w:lastRenderedPageBreak/>
        <w:t>Cases Cited</w:t>
      </w:r>
    </w:p>
    <w:p w:rsidR="004E2C26" w:rsidRPr="007E1C47" w:rsidRDefault="002E6705" w:rsidP="00EB2682">
      <w:pPr>
        <w:pStyle w:val="SCCNormalDoubleSpacing"/>
        <w:spacing w:after="480"/>
      </w:pPr>
      <w:r>
        <w:tab/>
      </w:r>
      <w:r w:rsidRPr="00314E01">
        <w:rPr>
          <w:b/>
        </w:rPr>
        <w:t>Referred to:</w:t>
      </w:r>
      <w:r w:rsidR="00BD0E9E" w:rsidRPr="00BD0E9E">
        <w:t xml:space="preserve"> </w:t>
      </w:r>
      <w:r w:rsidR="00420561" w:rsidRPr="00BC5277">
        <w:rPr>
          <w:i/>
          <w:lang w:val="en"/>
        </w:rPr>
        <w:t>R. v. W. (D.)</w:t>
      </w:r>
      <w:r w:rsidR="00420561" w:rsidRPr="00BC5277">
        <w:rPr>
          <w:lang w:val="en"/>
        </w:rPr>
        <w:t xml:space="preserve">, </w:t>
      </w:r>
      <w:r w:rsidR="00420561" w:rsidRPr="00BC5277">
        <w:rPr>
          <w:lang w:val="en-US"/>
        </w:rPr>
        <w:t>[1991] 1 S.C.R. 742</w:t>
      </w:r>
      <w:r w:rsidR="00B64599">
        <w:rPr>
          <w:lang w:val="en-US"/>
        </w:rPr>
        <w:t>.</w:t>
      </w:r>
    </w:p>
    <w:p w:rsidR="00656313" w:rsidRPr="003F5EA7" w:rsidRDefault="009B57B3" w:rsidP="00FC4EFB">
      <w:pPr>
        <w:pStyle w:val="SCCNormalDoubleSpacing"/>
        <w:rPr>
          <w:lang w:val="en-US"/>
        </w:rPr>
      </w:pPr>
      <w:r w:rsidRPr="001426A9">
        <w:tab/>
        <w:t xml:space="preserve">APPEAL from a judgment of the </w:t>
      </w:r>
      <w:r w:rsidR="00BE3AAC">
        <w:t xml:space="preserve">Alberta </w:t>
      </w:r>
      <w:r>
        <w:t xml:space="preserve">Court of Appeal </w:t>
      </w:r>
      <w:r w:rsidR="009C5D81">
        <w:t xml:space="preserve">(Berger, Wakeling and Strekaf JJ.A.), </w:t>
      </w:r>
      <w:r w:rsidR="003F5EA7">
        <w:t>2018 ABCA 12, 43 C.R. (7</w:t>
      </w:r>
      <w:r w:rsidR="003F5EA7" w:rsidRPr="003F5EA7">
        <w:t>th</w:t>
      </w:r>
      <w:r w:rsidR="003F5EA7">
        <w:t xml:space="preserve">) 359, </w:t>
      </w:r>
      <w:r w:rsidR="00B64599">
        <w:t>[</w:t>
      </w:r>
      <w:r w:rsidR="003F5EA7" w:rsidRPr="003F5EA7">
        <w:rPr>
          <w:lang w:val="en-US"/>
        </w:rPr>
        <w:t>2018] A.J. No. 55 (QL)</w:t>
      </w:r>
      <w:r w:rsidR="003F5EA7">
        <w:rPr>
          <w:lang w:val="en-US"/>
        </w:rPr>
        <w:t>, 2018 CarswellAlta 70 (WL Can.),</w:t>
      </w:r>
      <w:r w:rsidR="00EB1A95">
        <w:rPr>
          <w:lang w:val="en-US"/>
        </w:rPr>
        <w:t xml:space="preserve"> affirming the </w:t>
      </w:r>
      <w:r w:rsidR="00BE3AAC">
        <w:rPr>
          <w:lang w:val="en-US"/>
        </w:rPr>
        <w:t xml:space="preserve">conviction of the </w:t>
      </w:r>
      <w:r w:rsidR="00EB1A95">
        <w:rPr>
          <w:lang w:val="en-US"/>
        </w:rPr>
        <w:t>accused f</w:t>
      </w:r>
      <w:r w:rsidR="00BE3AAC">
        <w:rPr>
          <w:lang w:val="en-US"/>
        </w:rPr>
        <w:t>or</w:t>
      </w:r>
      <w:r w:rsidR="00EB1A95">
        <w:rPr>
          <w:lang w:val="en-US"/>
        </w:rPr>
        <w:t xml:space="preserve"> sexual assault. Appeal </w:t>
      </w:r>
      <w:r w:rsidR="00B64599">
        <w:rPr>
          <w:lang w:val="en-US"/>
        </w:rPr>
        <w:t>dismissed.</w:t>
      </w:r>
    </w:p>
    <w:p w:rsidR="00F2002B" w:rsidRDefault="00F2002B">
      <w:pPr>
        <w:pStyle w:val="SCCNormalDoubleSpacing"/>
      </w:pPr>
    </w:p>
    <w:p w:rsidR="00EB56D9" w:rsidRDefault="00905081">
      <w:pPr>
        <w:pStyle w:val="SCCNormalDoubleSpacing"/>
      </w:pPr>
      <w:r>
        <w:rPr>
          <w:rStyle w:val="SCCCounselNameChar"/>
        </w:rPr>
        <w:tab/>
        <w:t>Kathryn Quinlan</w:t>
      </w:r>
      <w:r>
        <w:rPr>
          <w:rStyle w:val="SCCCounselPartyRoleChar"/>
        </w:rPr>
        <w:t>, for the appellant.</w:t>
      </w:r>
    </w:p>
    <w:p w:rsidR="00EB56D9" w:rsidRDefault="00EB56D9">
      <w:pPr>
        <w:pStyle w:val="SCCNormalDoubleSpacing"/>
      </w:pPr>
    </w:p>
    <w:p w:rsidR="00EB56D9" w:rsidRDefault="00905081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Troy Couillard</w:t>
      </w:r>
      <w:r>
        <w:rPr>
          <w:rStyle w:val="SCCCounselPartyRoleChar"/>
        </w:rPr>
        <w:t>, for the respondent.</w:t>
      </w:r>
    </w:p>
    <w:p w:rsidR="00A55C82" w:rsidRDefault="00A55C82">
      <w:pPr>
        <w:pStyle w:val="SCCNormalDoubleSpacing"/>
        <w:rPr>
          <w:rStyle w:val="SCCCounselPartyRoleChar"/>
        </w:rPr>
      </w:pPr>
    </w:p>
    <w:p w:rsidR="00A55C82" w:rsidRDefault="00A55C82" w:rsidP="001954D3">
      <w:pPr>
        <w:pStyle w:val="SCCNormalDoubleSpacing"/>
        <w:spacing w:after="480"/>
      </w:pPr>
      <w:r>
        <w:tab/>
        <w:t>The judgment of the Court was delivered orally by</w:t>
      </w:r>
    </w:p>
    <w:p w:rsidR="00644F59" w:rsidRDefault="00644F59" w:rsidP="00644F59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en"/>
        </w:rPr>
      </w:pPr>
      <w:r w:rsidRPr="00097F3D">
        <w:rPr>
          <w:smallCaps/>
        </w:rPr>
        <w:t>Brown</w:t>
      </w:r>
      <w:r w:rsidRPr="00097F3D">
        <w:t xml:space="preserve"> J. — </w:t>
      </w:r>
      <w:r>
        <w:rPr>
          <w:lang w:val="en"/>
        </w:rPr>
        <w:t xml:space="preserve">We </w:t>
      </w:r>
      <w:r w:rsidRPr="00644F59">
        <w:t>agree</w:t>
      </w:r>
      <w:r>
        <w:rPr>
          <w:lang w:val="en"/>
        </w:rPr>
        <w:t xml:space="preserve"> substantially with the majority at the Court of Appeal, and would dismiss the appeal. The trial judge’s analysis of the evidence reveals his path of reasoning that led to </w:t>
      </w:r>
      <w:r w:rsidRPr="00644F59">
        <w:t>conviction</w:t>
      </w:r>
      <w:r>
        <w:rPr>
          <w:lang w:val="en"/>
        </w:rPr>
        <w:t>, and permits effective appellate review.</w:t>
      </w:r>
    </w:p>
    <w:p w:rsidR="00644F59" w:rsidRDefault="00644F59" w:rsidP="00644F59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en"/>
        </w:rPr>
      </w:pPr>
      <w:r>
        <w:rPr>
          <w:lang w:val="en"/>
        </w:rPr>
        <w:t xml:space="preserve">Moreover, the trial </w:t>
      </w:r>
      <w:r w:rsidRPr="00644F59">
        <w:t>judge</w:t>
      </w:r>
      <w:r>
        <w:rPr>
          <w:lang w:val="en"/>
        </w:rPr>
        <w:t xml:space="preserve"> did not err in his credibility analysis. He did not shift the burden of proof or hold the appellant’s evidence to a higher standard of scrutiny than that applied to the complainant’s evidence. As the majority at the Court of Appeal observed, the trial judge instructed himself on the </w:t>
      </w:r>
      <w:r w:rsidRPr="00BC5277">
        <w:rPr>
          <w:lang w:val="en"/>
        </w:rPr>
        <w:t xml:space="preserve">principles of </w:t>
      </w:r>
      <w:r w:rsidRPr="00BC5277">
        <w:rPr>
          <w:i/>
          <w:lang w:val="en"/>
        </w:rPr>
        <w:t>R. v. W. (D.)</w:t>
      </w:r>
      <w:r w:rsidRPr="00BC5277">
        <w:rPr>
          <w:lang w:val="en"/>
        </w:rPr>
        <w:t xml:space="preserve">, </w:t>
      </w:r>
      <w:r w:rsidRPr="00BC5277">
        <w:rPr>
          <w:lang w:val="en-US"/>
        </w:rPr>
        <w:t>[1991] 1 S.C.R. 742,</w:t>
      </w:r>
      <w:r>
        <w:rPr>
          <w:lang w:val="en-US"/>
        </w:rPr>
        <w:t xml:space="preserve"> </w:t>
      </w:r>
      <w:r>
        <w:rPr>
          <w:lang w:val="en"/>
        </w:rPr>
        <w:t xml:space="preserve">and, based on internal contradictions in the appellant’s testimony </w:t>
      </w:r>
      <w:r>
        <w:rPr>
          <w:lang w:val="en"/>
        </w:rPr>
        <w:lastRenderedPageBreak/>
        <w:t xml:space="preserve">and on the strength of the complainant’s testimony, he was entitled to </w:t>
      </w:r>
      <w:r w:rsidRPr="00721C4D">
        <w:rPr>
          <w:szCs w:val="24"/>
          <w:lang w:val="en"/>
        </w:rPr>
        <w:t>conclude</w:t>
      </w:r>
      <w:r>
        <w:rPr>
          <w:lang w:val="en"/>
        </w:rPr>
        <w:t xml:space="preserve"> that the Crown had met its burden of proving the appellant’s guilt beyond a reasonable doubt. </w:t>
      </w:r>
    </w:p>
    <w:p w:rsidR="003F5EA7" w:rsidRPr="00644F59" w:rsidRDefault="00644F59" w:rsidP="00644F59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en"/>
        </w:rPr>
      </w:pPr>
      <w:r w:rsidRPr="00644F59">
        <w:rPr>
          <w:smallCaps/>
        </w:rPr>
        <w:t>N</w:t>
      </w:r>
      <w:r w:rsidRPr="001954D3">
        <w:t>or</w:t>
      </w:r>
      <w:r>
        <w:rPr>
          <w:lang w:val="en"/>
        </w:rPr>
        <w:t xml:space="preserve"> did the trial judge err by</w:t>
      </w:r>
      <w:r w:rsidRPr="00F5750B">
        <w:rPr>
          <w:lang w:val="en"/>
        </w:rPr>
        <w:t xml:space="preserve"> applying generalizations and stereotypes in rejecting the appellant’s evidence</w:t>
      </w:r>
      <w:r>
        <w:rPr>
          <w:lang w:val="en"/>
        </w:rPr>
        <w:t xml:space="preserve">. We agree with the majority at the Court of Appeal that the trial judge’s statements in this regard were directed to the appellant’s </w:t>
      </w:r>
      <w:r w:rsidRPr="00403672">
        <w:rPr>
          <w:i/>
          <w:lang w:val="en"/>
        </w:rPr>
        <w:t>own</w:t>
      </w:r>
      <w:r>
        <w:rPr>
          <w:lang w:val="en"/>
        </w:rPr>
        <w:t xml:space="preserve"> evidence and to the believability of </w:t>
      </w:r>
      <w:r w:rsidRPr="00403672">
        <w:rPr>
          <w:i/>
          <w:lang w:val="en"/>
        </w:rPr>
        <w:t>the appellant’s</w:t>
      </w:r>
      <w:r>
        <w:rPr>
          <w:lang w:val="en"/>
        </w:rPr>
        <w:t xml:space="preserve"> claims about how </w:t>
      </w:r>
      <w:r>
        <w:rPr>
          <w:i/>
          <w:lang w:val="en"/>
        </w:rPr>
        <w:t>he</w:t>
      </w:r>
      <w:r>
        <w:rPr>
          <w:lang w:val="en"/>
        </w:rPr>
        <w:t xml:space="preserve"> responded to the specific circumstances of this case, and not to some stereotypical understanding of how </w:t>
      </w:r>
      <w:r w:rsidRPr="00403672">
        <w:rPr>
          <w:i/>
          <w:lang w:val="en"/>
        </w:rPr>
        <w:t>men</w:t>
      </w:r>
      <w:r>
        <w:rPr>
          <w:lang w:val="en"/>
        </w:rPr>
        <w:t xml:space="preserve"> in those circumstances would conduct themselves.</w:t>
      </w:r>
    </w:p>
    <w:p w:rsidR="00DC294D" w:rsidRDefault="00DC294D" w:rsidP="00DC294D">
      <w:pPr>
        <w:pStyle w:val="SCCNormalDoubleSpacing"/>
        <w:rPr>
          <w:i/>
        </w:rPr>
      </w:pPr>
      <w:r>
        <w:tab/>
      </w:r>
      <w:r w:rsidR="00F2002B">
        <w:rPr>
          <w:i/>
        </w:rPr>
        <w:t>Judgment accordingly</w:t>
      </w:r>
      <w:r>
        <w:rPr>
          <w:i/>
        </w:rPr>
        <w:t>.</w:t>
      </w:r>
    </w:p>
    <w:p w:rsidR="00DC294D" w:rsidRDefault="00DC294D" w:rsidP="00DC294D">
      <w:pPr>
        <w:pStyle w:val="SCCNormalDoubleSpacing"/>
        <w:rPr>
          <w:i/>
        </w:rPr>
      </w:pPr>
    </w:p>
    <w:p w:rsidR="00EB56D9" w:rsidRPr="00F2002B" w:rsidRDefault="00905081" w:rsidP="00DC294D">
      <w:pPr>
        <w:pStyle w:val="SCCNormalDoubleSpacing"/>
        <w:rPr>
          <w:i/>
        </w:rPr>
      </w:pPr>
      <w:r w:rsidRPr="00F2002B">
        <w:rPr>
          <w:i/>
        </w:rPr>
        <w:tab/>
        <w:t>Solicitors for the appellant: Dawson Duckett Garcia &amp; Johnson, Edmonton.</w:t>
      </w:r>
    </w:p>
    <w:p w:rsidR="00EB56D9" w:rsidRPr="00F2002B" w:rsidRDefault="00EB56D9">
      <w:pPr>
        <w:pStyle w:val="SCCLawFirm"/>
      </w:pPr>
    </w:p>
    <w:p w:rsidR="00EB56D9" w:rsidRDefault="00BE3AAC">
      <w:pPr>
        <w:pStyle w:val="SCCLawFirm"/>
      </w:pPr>
      <w:r>
        <w:tab/>
        <w:t xml:space="preserve">Solicitor for the respondent: </w:t>
      </w:r>
      <w:r w:rsidR="00905081" w:rsidRPr="00631584">
        <w:t>Alberta Department of Justice,</w:t>
      </w:r>
      <w:r w:rsidR="00905081">
        <w:t xml:space="preserve"> Edmonton.</w:t>
      </w:r>
    </w:p>
    <w:sectPr w:rsidR="00EB56D9" w:rsidSect="001954D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EA" w:rsidRDefault="00684EEA" w:rsidP="001954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C59B8"/>
    <w:rsid w:val="000C6AF0"/>
    <w:rsid w:val="000D2A44"/>
    <w:rsid w:val="000E4343"/>
    <w:rsid w:val="00100ABF"/>
    <w:rsid w:val="00104F33"/>
    <w:rsid w:val="00111DE2"/>
    <w:rsid w:val="00116B38"/>
    <w:rsid w:val="00132D8A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4D3"/>
    <w:rsid w:val="00195D83"/>
    <w:rsid w:val="001A00C1"/>
    <w:rsid w:val="001B33E0"/>
    <w:rsid w:val="001B4573"/>
    <w:rsid w:val="001C779F"/>
    <w:rsid w:val="001D2AC1"/>
    <w:rsid w:val="001D4E88"/>
    <w:rsid w:val="00211099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25134"/>
    <w:rsid w:val="003310DE"/>
    <w:rsid w:val="003323B0"/>
    <w:rsid w:val="00340617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3F5EA7"/>
    <w:rsid w:val="00406166"/>
    <w:rsid w:val="0040704B"/>
    <w:rsid w:val="00410A55"/>
    <w:rsid w:val="00411300"/>
    <w:rsid w:val="00415417"/>
    <w:rsid w:val="00420561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31B95"/>
    <w:rsid w:val="0054201E"/>
    <w:rsid w:val="00543514"/>
    <w:rsid w:val="00555291"/>
    <w:rsid w:val="00566AD1"/>
    <w:rsid w:val="00583EDE"/>
    <w:rsid w:val="005A6079"/>
    <w:rsid w:val="005E4698"/>
    <w:rsid w:val="00610539"/>
    <w:rsid w:val="00613969"/>
    <w:rsid w:val="00625C35"/>
    <w:rsid w:val="00631584"/>
    <w:rsid w:val="00644F59"/>
    <w:rsid w:val="00656313"/>
    <w:rsid w:val="006565F4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05081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C5D81"/>
    <w:rsid w:val="009D2920"/>
    <w:rsid w:val="009D5AEB"/>
    <w:rsid w:val="009E662F"/>
    <w:rsid w:val="009F0E33"/>
    <w:rsid w:val="00A030CE"/>
    <w:rsid w:val="00A149DF"/>
    <w:rsid w:val="00A15E6E"/>
    <w:rsid w:val="00A1755C"/>
    <w:rsid w:val="00A21B90"/>
    <w:rsid w:val="00A41805"/>
    <w:rsid w:val="00A42DCD"/>
    <w:rsid w:val="00A44851"/>
    <w:rsid w:val="00A52AFB"/>
    <w:rsid w:val="00A548CB"/>
    <w:rsid w:val="00A5521C"/>
    <w:rsid w:val="00A55C82"/>
    <w:rsid w:val="00A643E7"/>
    <w:rsid w:val="00A73C38"/>
    <w:rsid w:val="00AA4765"/>
    <w:rsid w:val="00AB670D"/>
    <w:rsid w:val="00AE4535"/>
    <w:rsid w:val="00AF03C5"/>
    <w:rsid w:val="00B000D8"/>
    <w:rsid w:val="00B00F75"/>
    <w:rsid w:val="00B145B6"/>
    <w:rsid w:val="00B279EB"/>
    <w:rsid w:val="00B34B7E"/>
    <w:rsid w:val="00B50C81"/>
    <w:rsid w:val="00B557F8"/>
    <w:rsid w:val="00B64599"/>
    <w:rsid w:val="00B815FC"/>
    <w:rsid w:val="00B93FBC"/>
    <w:rsid w:val="00BA2325"/>
    <w:rsid w:val="00BA7DA0"/>
    <w:rsid w:val="00BB2EE4"/>
    <w:rsid w:val="00BC2108"/>
    <w:rsid w:val="00BD0E9E"/>
    <w:rsid w:val="00BD1BEC"/>
    <w:rsid w:val="00BD32FF"/>
    <w:rsid w:val="00BE3AAC"/>
    <w:rsid w:val="00C02092"/>
    <w:rsid w:val="00C24D91"/>
    <w:rsid w:val="00C40E88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A40B8"/>
    <w:rsid w:val="00DB7BEA"/>
    <w:rsid w:val="00DC1739"/>
    <w:rsid w:val="00DC1788"/>
    <w:rsid w:val="00DC294D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0ABC"/>
    <w:rsid w:val="00E35404"/>
    <w:rsid w:val="00E45109"/>
    <w:rsid w:val="00E47B7A"/>
    <w:rsid w:val="00E56A44"/>
    <w:rsid w:val="00E60269"/>
    <w:rsid w:val="00E77932"/>
    <w:rsid w:val="00E97830"/>
    <w:rsid w:val="00EB1A95"/>
    <w:rsid w:val="00EB2682"/>
    <w:rsid w:val="00EB56D9"/>
    <w:rsid w:val="00EE5EC6"/>
    <w:rsid w:val="00EE643C"/>
    <w:rsid w:val="00EF0683"/>
    <w:rsid w:val="00EF69D2"/>
    <w:rsid w:val="00EF766E"/>
    <w:rsid w:val="00F00483"/>
    <w:rsid w:val="00F0070C"/>
    <w:rsid w:val="00F00EB7"/>
    <w:rsid w:val="00F2002B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54351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543514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43514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543514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2019-11-26T22:11:00Z</dcterms:created>
  <dcterms:modified xsi:type="dcterms:W3CDTF">2019-11-26T22:11:00Z</dcterms:modified>
</cp:coreProperties>
</file>