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D04" w:rsidRDefault="002D1D04" w:rsidP="002D1D04">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5pt;height:64.7pt" o:ole="">
            <v:imagedata r:id="rId6" o:title=""/>
          </v:shape>
          <o:OLEObject Type="Embed" ProgID="Presentations.Drawing.13" ShapeID="_x0000_i1025" DrawAspect="Content" ObjectID="_1736100138" r:id="rId7"/>
        </w:object>
      </w:r>
      <w:r>
        <w:t xml:space="preserve"> </w:t>
      </w:r>
      <w:r>
        <w:ptab w:relativeTo="margin" w:alignment="right" w:leader="none"/>
      </w:r>
    </w:p>
    <w:p w:rsidR="002D1D04" w:rsidRDefault="002D1D04" w:rsidP="002D1D04">
      <w:pPr>
        <w:pStyle w:val="Header"/>
      </w:pPr>
    </w:p>
    <w:p w:rsidR="002D1D04" w:rsidRPr="006B210C" w:rsidRDefault="002D1D04" w:rsidP="002D1D04">
      <w:pPr>
        <w:jc w:val="center"/>
        <w:rPr>
          <w:b/>
        </w:rPr>
      </w:pPr>
      <w:r w:rsidRPr="006B210C">
        <w:rPr>
          <w:b/>
        </w:rPr>
        <w:t>SUPREME COURT OF CANADA</w:t>
      </w:r>
    </w:p>
    <w:p w:rsidR="002D1D04" w:rsidRDefault="002D1D04" w:rsidP="002D1D0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770"/>
        <w:gridCol w:w="4770"/>
      </w:tblGrid>
      <w:tr w:rsidR="002D1D04" w:rsidRPr="006B210C" w:rsidTr="001149D9">
        <w:trPr>
          <w:cantSplit/>
        </w:trPr>
        <w:tc>
          <w:tcPr>
            <w:tcW w:w="4770" w:type="dxa"/>
          </w:tcPr>
          <w:p w:rsidR="002D1D04" w:rsidRPr="006B210C" w:rsidRDefault="002D1D04" w:rsidP="00B87849">
            <w:r w:rsidRPr="006B210C">
              <w:rPr>
                <w:b/>
                <w:smallCaps/>
              </w:rPr>
              <w:t>Citation</w:t>
            </w:r>
            <w:r>
              <w:rPr>
                <w:b/>
                <w:smallCaps/>
              </w:rPr>
              <w:t>:</w:t>
            </w:r>
            <w:r w:rsidRPr="006B210C">
              <w:t xml:space="preserve"> </w:t>
            </w:r>
            <w:r>
              <w:t xml:space="preserve">R. </w:t>
            </w:r>
            <w:r w:rsidRPr="00122F30">
              <w:rPr>
                <w:i/>
              </w:rPr>
              <w:t>v</w:t>
            </w:r>
            <w:r>
              <w:t>. Doonanco, 2020 SCC 2</w:t>
            </w:r>
            <w:r w:rsidR="00B87849">
              <w:t>, [2020] 1</w:t>
            </w:r>
            <w:r w:rsidRPr="002D1D04">
              <w:t xml:space="preserve"> S.C.R. </w:t>
            </w:r>
            <w:r w:rsidR="00B87849">
              <w:t>9</w:t>
            </w:r>
          </w:p>
        </w:tc>
        <w:tc>
          <w:tcPr>
            <w:tcW w:w="4770" w:type="dxa"/>
          </w:tcPr>
          <w:p w:rsidR="002D1D04" w:rsidRPr="006B210C" w:rsidRDefault="002D1D04" w:rsidP="001149D9">
            <w:r>
              <w:rPr>
                <w:b/>
                <w:smallCaps/>
              </w:rPr>
              <w:t>Appeal Heard:</w:t>
            </w:r>
            <w:r w:rsidRPr="006B210C">
              <w:t xml:space="preserve"> </w:t>
            </w:r>
            <w:r>
              <w:t>February 18, 2020</w:t>
            </w:r>
          </w:p>
          <w:p w:rsidR="002D1D04" w:rsidRDefault="002D1D04" w:rsidP="001149D9">
            <w:r>
              <w:rPr>
                <w:b/>
                <w:smallCaps/>
              </w:rPr>
              <w:t>Judgment Rendered:</w:t>
            </w:r>
            <w:r w:rsidRPr="006B210C">
              <w:t xml:space="preserve"> </w:t>
            </w:r>
            <w:r>
              <w:t>February 18, 2020</w:t>
            </w:r>
          </w:p>
          <w:p w:rsidR="002D1D04" w:rsidRPr="006B210C" w:rsidRDefault="002D1D04" w:rsidP="001149D9">
            <w:r w:rsidRPr="00527E81">
              <w:rPr>
                <w:b/>
                <w:smallCaps/>
              </w:rPr>
              <w:t>Docket:</w:t>
            </w:r>
            <w:r>
              <w:t xml:space="preserve"> 38577</w:t>
            </w:r>
          </w:p>
        </w:tc>
      </w:tr>
    </w:tbl>
    <w:p w:rsidR="002D1D04" w:rsidRPr="006B210C" w:rsidRDefault="002D1D04" w:rsidP="002D1D04"/>
    <w:p w:rsidR="002D1D04" w:rsidRDefault="002D1D04" w:rsidP="002D1D04">
      <w:pPr>
        <w:pStyle w:val="SCCLsocPrefix"/>
      </w:pPr>
      <w:r>
        <w:t>Between:</w:t>
      </w:r>
    </w:p>
    <w:p w:rsidR="002D1D04" w:rsidRDefault="002D1D04" w:rsidP="002D1D04"/>
    <w:p w:rsidR="002D1D04" w:rsidRPr="00F25E6D" w:rsidRDefault="002D1D04" w:rsidP="002D1D04"/>
    <w:p w:rsidR="002D1D04" w:rsidRDefault="002D1D04" w:rsidP="002D1D04">
      <w:pPr>
        <w:pStyle w:val="SCCLsocParty"/>
        <w:jc w:val="center"/>
      </w:pPr>
      <w:r>
        <w:t>Deborah Lee Doonanco</w:t>
      </w:r>
    </w:p>
    <w:p w:rsidR="002D1D04" w:rsidRDefault="002D1D04" w:rsidP="002D1D04">
      <w:pPr>
        <w:jc w:val="center"/>
      </w:pPr>
      <w:r>
        <w:t>Appellant</w:t>
      </w:r>
    </w:p>
    <w:p w:rsidR="002D1D04" w:rsidRPr="00155063" w:rsidRDefault="002D1D04" w:rsidP="002D1D04"/>
    <w:p w:rsidR="002D1D04" w:rsidRPr="002D1D04" w:rsidRDefault="002D1D04" w:rsidP="009D4ED1">
      <w:pPr>
        <w:pStyle w:val="SCCLsocVersus"/>
        <w:spacing w:after="0"/>
        <w:jc w:val="center"/>
        <w:rPr>
          <w:i w:val="0"/>
        </w:rPr>
      </w:pPr>
      <w:r w:rsidRPr="002D1D04">
        <w:rPr>
          <w:i w:val="0"/>
        </w:rPr>
        <w:t>and</w:t>
      </w:r>
    </w:p>
    <w:p w:rsidR="002D1D04" w:rsidRPr="00155063" w:rsidRDefault="002D1D04" w:rsidP="002D1D04"/>
    <w:p w:rsidR="002D1D04" w:rsidRDefault="002D1D04" w:rsidP="002D1D04">
      <w:pPr>
        <w:pStyle w:val="SCCLsocParty"/>
        <w:jc w:val="center"/>
      </w:pPr>
      <w:r>
        <w:t>Her Majesty The Queen</w:t>
      </w:r>
    </w:p>
    <w:p w:rsidR="002D1D04" w:rsidRDefault="002D1D04" w:rsidP="002D1D04">
      <w:pPr>
        <w:jc w:val="center"/>
      </w:pPr>
      <w:r>
        <w:t>Respondent</w:t>
      </w:r>
    </w:p>
    <w:p w:rsidR="002D1D04" w:rsidRDefault="002D1D04" w:rsidP="002D1D04">
      <w:pPr>
        <w:pStyle w:val="SCCRestrictionOnPublicationText"/>
      </w:pPr>
    </w:p>
    <w:p w:rsidR="009D4ED1" w:rsidRPr="009D4ED1" w:rsidRDefault="009D4ED1" w:rsidP="009D4ED1">
      <w:pPr>
        <w:rPr>
          <w:lang w:eastAsia="en-US"/>
        </w:rPr>
      </w:pPr>
    </w:p>
    <w:p w:rsidR="002D1D04" w:rsidRPr="006B210C" w:rsidRDefault="002D1D04" w:rsidP="002D1D04"/>
    <w:p w:rsidR="002D1D04" w:rsidRPr="006B210C" w:rsidRDefault="002D1D04" w:rsidP="002D1D04">
      <w:r w:rsidRPr="006B210C">
        <w:rPr>
          <w:b/>
          <w:smallCaps/>
        </w:rPr>
        <w:t>Coram</w:t>
      </w:r>
      <w:r>
        <w:rPr>
          <w:b/>
          <w:smallCaps/>
        </w:rPr>
        <w:t>:</w:t>
      </w:r>
      <w:r w:rsidRPr="006B210C">
        <w:t xml:space="preserve"> </w:t>
      </w:r>
      <w:r>
        <w:t>Wagner C.J. and Abella, Moldaver, Karakatsanis, Côté, Brown, Rowe, Martin and Kasirer JJ.</w:t>
      </w:r>
    </w:p>
    <w:p w:rsidR="002D1D04" w:rsidRPr="006B210C" w:rsidRDefault="002D1D04" w:rsidP="002D1D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D1D04" w:rsidRPr="006B210C" w:rsidTr="001149D9">
        <w:trPr>
          <w:cantSplit/>
        </w:trPr>
        <w:tc>
          <w:tcPr>
            <w:tcW w:w="3618" w:type="dxa"/>
          </w:tcPr>
          <w:p w:rsidR="002D1D04" w:rsidRDefault="002D1D04" w:rsidP="001149D9">
            <w:r>
              <w:rPr>
                <w:b/>
                <w:smallCaps/>
              </w:rPr>
              <w:t xml:space="preserve">Unanimous </w:t>
            </w:r>
            <w:r w:rsidRPr="006B210C">
              <w:rPr>
                <w:b/>
                <w:smallCaps/>
              </w:rPr>
              <w:t>Judgment</w:t>
            </w:r>
            <w:r>
              <w:rPr>
                <w:b/>
                <w:smallCaps/>
              </w:rPr>
              <w:t xml:space="preserve"> Read By:</w:t>
            </w:r>
          </w:p>
          <w:p w:rsidR="002D1D04" w:rsidRPr="001F0038" w:rsidRDefault="002D1D04" w:rsidP="001149D9">
            <w:pPr>
              <w:tabs>
                <w:tab w:val="left" w:pos="2429"/>
              </w:tabs>
            </w:pPr>
            <w:r>
              <w:t>(paras. 1 to 5)</w:t>
            </w:r>
          </w:p>
        </w:tc>
        <w:tc>
          <w:tcPr>
            <w:tcW w:w="5958" w:type="dxa"/>
          </w:tcPr>
          <w:p w:rsidR="002D1D04" w:rsidRDefault="002D1D04" w:rsidP="001149D9">
            <w:r>
              <w:t xml:space="preserve">Moldaver J. </w:t>
            </w:r>
          </w:p>
          <w:p w:rsidR="002D1D04" w:rsidRPr="006B210C" w:rsidRDefault="002D1D04" w:rsidP="001149D9"/>
        </w:tc>
      </w:tr>
    </w:tbl>
    <w:p w:rsidR="002D1D04" w:rsidRDefault="002D1D04" w:rsidP="002D1D04"/>
    <w:p w:rsidR="002D1D04" w:rsidRPr="006B210C" w:rsidRDefault="002D1D04" w:rsidP="002D1D04">
      <w:bookmarkStart w:id="0" w:name="_GoBack"/>
      <w:bookmarkEnd w:id="0"/>
    </w:p>
    <w:p w:rsidR="002D1D04" w:rsidRPr="006B210C" w:rsidRDefault="002D1D04" w:rsidP="002D1D04">
      <w:r>
        <w:rPr>
          <w:noProof/>
        </w:rPr>
        <mc:AlternateContent>
          <mc:Choice Requires="wps">
            <w:drawing>
              <wp:anchor distT="0" distB="0" distL="114300" distR="114300" simplePos="0" relativeHeight="251659264" behindDoc="0" locked="0" layoutInCell="1" allowOverlap="1" wp14:anchorId="27B4E892" wp14:editId="624AE714">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0E39C"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2D1D04" w:rsidRDefault="002D1D04" w:rsidP="004D0A28">
      <w:pPr>
        <w:spacing w:after="720"/>
        <w:jc w:val="both"/>
        <w:rPr>
          <w:rStyle w:val="SCCAppellantForRunningHeadChar"/>
        </w:rPr>
      </w:pPr>
      <w:r>
        <w:rPr>
          <w:rStyle w:val="SCCAppellantForRunningHeadChar"/>
        </w:rPr>
        <w:br w:type="page"/>
      </w:r>
    </w:p>
    <w:p w:rsidR="004D0A28" w:rsidRPr="00C121EA" w:rsidRDefault="004D0A28" w:rsidP="004D0A28">
      <w:pPr>
        <w:pStyle w:val="SCCLsocLastPartyInRole"/>
        <w:rPr>
          <w:lang w:val="en-US"/>
        </w:rPr>
      </w:pPr>
      <w:r>
        <w:rPr>
          <w:lang w:val="en-US"/>
        </w:rPr>
        <w:lastRenderedPageBreak/>
        <w:t>Deborah Lee Doonanco</w:t>
      </w:r>
      <w:r w:rsidRPr="00C121EA">
        <w:rPr>
          <w:rStyle w:val="SCCLsocPartyRole"/>
          <w:lang w:val="en-US"/>
        </w:rPr>
        <w:tab/>
        <w:t>Appellant</w:t>
      </w:r>
    </w:p>
    <w:p w:rsidR="004D0A28" w:rsidRPr="00870F49" w:rsidRDefault="004D0A28" w:rsidP="004D0A28">
      <w:pPr>
        <w:pStyle w:val="SCCLsocVersus"/>
        <w:rPr>
          <w:lang w:val="en-US"/>
        </w:rPr>
      </w:pPr>
      <w:r w:rsidRPr="00870F49">
        <w:rPr>
          <w:lang w:val="en-US"/>
        </w:rPr>
        <w:t>v.</w:t>
      </w:r>
    </w:p>
    <w:p w:rsidR="004D0A28" w:rsidRPr="001426A9" w:rsidRDefault="004D0A28" w:rsidP="004D0A28">
      <w:pPr>
        <w:pStyle w:val="SCCLsocLastPartyInRole"/>
      </w:pPr>
      <w:r>
        <w:t>Her Majesty The Queen</w:t>
      </w:r>
      <w:r>
        <w:rPr>
          <w:rStyle w:val="SCCLsocPartyRole"/>
        </w:rPr>
        <w:tab/>
        <w:t>Respondent</w:t>
      </w:r>
    </w:p>
    <w:p w:rsidR="004D0A28" w:rsidRDefault="004D0A28" w:rsidP="004D0A28">
      <w:pPr>
        <w:spacing w:after="720"/>
        <w:jc w:val="both"/>
      </w:pPr>
      <w:r w:rsidRPr="00426659">
        <w:rPr>
          <w:b/>
        </w:rPr>
        <w:t>Indexed as:</w:t>
      </w:r>
      <w:r>
        <w:rPr>
          <w:b/>
        </w:rPr>
        <w:t xml:space="preserve"> R. </w:t>
      </w:r>
      <w:r>
        <w:rPr>
          <w:b/>
          <w:i/>
        </w:rPr>
        <w:t xml:space="preserve">v. </w:t>
      </w:r>
      <w:r>
        <w:rPr>
          <w:rStyle w:val="SCCAppellantForIndexChar"/>
        </w:rPr>
        <w:t>Doonanco</w:t>
      </w:r>
      <w:r w:rsidRPr="00426659">
        <w:rPr>
          <w:b/>
        </w:rPr>
        <w:t xml:space="preserve"> </w:t>
      </w:r>
    </w:p>
    <w:p w:rsidR="004D0A28" w:rsidRDefault="004D0A28" w:rsidP="004D0A28">
      <w:pPr>
        <w:pStyle w:val="SCCSystemYear"/>
        <w:spacing w:after="720"/>
        <w:jc w:val="both"/>
      </w:pPr>
      <w:r>
        <w:t xml:space="preserve">2020 </w:t>
      </w:r>
      <w:r w:rsidRPr="00C02092">
        <w:t>SCC </w:t>
      </w:r>
      <w:r>
        <w:t>2</w:t>
      </w:r>
    </w:p>
    <w:p w:rsidR="004D0A28" w:rsidRDefault="004D0A28" w:rsidP="004D0A28">
      <w:pPr>
        <w:spacing w:after="720"/>
        <w:jc w:val="both"/>
      </w:pPr>
      <w:r w:rsidRPr="001426A9">
        <w:t xml:space="preserve">File No.: </w:t>
      </w:r>
      <w:r>
        <w:t>38577</w:t>
      </w:r>
      <w:r w:rsidRPr="001426A9">
        <w:t>.</w:t>
      </w:r>
    </w:p>
    <w:p w:rsidR="004D0A28" w:rsidRDefault="004D0A28" w:rsidP="004D0A28">
      <w:pPr>
        <w:spacing w:after="720"/>
        <w:jc w:val="both"/>
      </w:pPr>
      <w:r>
        <w:t>2020: February 18.</w:t>
      </w:r>
    </w:p>
    <w:p w:rsidR="004D0A28" w:rsidRDefault="004D0A28" w:rsidP="004D0A28">
      <w:pPr>
        <w:spacing w:after="720"/>
        <w:jc w:val="both"/>
      </w:pPr>
      <w:r w:rsidRPr="001426A9">
        <w:t xml:space="preserve">Present: </w:t>
      </w:r>
      <w:r>
        <w:t>Wagner C.J. and Abella, Moldaver, Karakatsanis, Côté, Brown, Rowe, Martin and Kasirer JJ.</w:t>
      </w:r>
    </w:p>
    <w:p w:rsidR="004D0A28" w:rsidRPr="001426A9" w:rsidRDefault="004D0A28" w:rsidP="004D0A28">
      <w:pPr>
        <w:pStyle w:val="SCCLowerCourtNameLowercase"/>
        <w:spacing w:after="720" w:line="240" w:lineRule="auto"/>
      </w:pPr>
      <w:r>
        <w:t xml:space="preserve">on appeal from the court of appeal for alberta </w:t>
      </w:r>
    </w:p>
    <w:p w:rsidR="004D0A28" w:rsidRPr="00047716" w:rsidRDefault="004D0A28" w:rsidP="004D0A28">
      <w:pPr>
        <w:pStyle w:val="SCCNormalDoubleSpacing"/>
        <w:spacing w:after="480"/>
        <w:rPr>
          <w:i/>
        </w:rPr>
      </w:pPr>
      <w:r w:rsidRPr="00583EDE">
        <w:tab/>
      </w:r>
      <w:r w:rsidRPr="00047716">
        <w:rPr>
          <w:i/>
        </w:rPr>
        <w:t>Criminal law — Evidence — Expert evidence — Disclosure</w:t>
      </w:r>
      <w:r>
        <w:rPr>
          <w:i/>
        </w:rPr>
        <w:t xml:space="preserve"> </w:t>
      </w:r>
      <w:r w:rsidRPr="00047716">
        <w:rPr>
          <w:i/>
        </w:rPr>
        <w:t xml:space="preserve">— </w:t>
      </w:r>
      <w:r>
        <w:rPr>
          <w:i/>
        </w:rPr>
        <w:t xml:space="preserve">Crown seeking to lead rebuttal expert evidence at trial but failing to disclose expert report prior to testimony of defence’s expert — Trial judge allowing testimony of Crown’s expert </w:t>
      </w:r>
      <w:r w:rsidRPr="00047716">
        <w:rPr>
          <w:i/>
        </w:rPr>
        <w:t xml:space="preserve">but restricting scope of evidence </w:t>
      </w:r>
      <w:r>
        <w:rPr>
          <w:i/>
        </w:rPr>
        <w:t xml:space="preserve">— Accused convicted by jury of second degree murder, indecently interfering with human remains and arson — </w:t>
      </w:r>
      <w:r w:rsidRPr="00047716">
        <w:rPr>
          <w:i/>
        </w:rPr>
        <w:t xml:space="preserve">Court of Appeal </w:t>
      </w:r>
      <w:r>
        <w:rPr>
          <w:i/>
        </w:rPr>
        <w:t xml:space="preserve">upholding convictions </w:t>
      </w:r>
      <w:r w:rsidRPr="00047716">
        <w:rPr>
          <w:i/>
        </w:rPr>
        <w:t>—</w:t>
      </w:r>
      <w:r>
        <w:rPr>
          <w:i/>
        </w:rPr>
        <w:t xml:space="preserve"> </w:t>
      </w:r>
      <w:r w:rsidRPr="0067470F">
        <w:rPr>
          <w:i/>
        </w:rPr>
        <w:t>Crown</w:t>
      </w:r>
      <w:r>
        <w:rPr>
          <w:i/>
        </w:rPr>
        <w:t>’s</w:t>
      </w:r>
      <w:r w:rsidRPr="0067470F">
        <w:rPr>
          <w:i/>
        </w:rPr>
        <w:t xml:space="preserve"> late disclosure of expert report </w:t>
      </w:r>
      <w:r>
        <w:rPr>
          <w:i/>
        </w:rPr>
        <w:t>and</w:t>
      </w:r>
      <w:r w:rsidRPr="0067470F">
        <w:rPr>
          <w:i/>
        </w:rPr>
        <w:t xml:space="preserve"> failure to cross-examine defence expert on contents of report interfered with accused</w:t>
      </w:r>
      <w:r>
        <w:rPr>
          <w:i/>
        </w:rPr>
        <w:t>’s</w:t>
      </w:r>
      <w:r w:rsidRPr="0067470F">
        <w:rPr>
          <w:i/>
        </w:rPr>
        <w:t xml:space="preserve"> ability </w:t>
      </w:r>
      <w:r w:rsidRPr="0067470F">
        <w:rPr>
          <w:i/>
        </w:rPr>
        <w:lastRenderedPageBreak/>
        <w:t>to know case to meet and make full answer and defence</w:t>
      </w:r>
      <w:r>
        <w:rPr>
          <w:i/>
        </w:rPr>
        <w:t xml:space="preserve"> —</w:t>
      </w:r>
      <w:r w:rsidRPr="00047716">
        <w:rPr>
          <w:i/>
        </w:rPr>
        <w:t xml:space="preserve"> Trial judge</w:t>
      </w:r>
      <w:r>
        <w:rPr>
          <w:i/>
        </w:rPr>
        <w:t>’s</w:t>
      </w:r>
      <w:r w:rsidRPr="00047716">
        <w:rPr>
          <w:i/>
        </w:rPr>
        <w:t xml:space="preserve"> </w:t>
      </w:r>
      <w:r>
        <w:rPr>
          <w:i/>
        </w:rPr>
        <w:t>remedial ruling</w:t>
      </w:r>
      <w:r w:rsidRPr="00047716">
        <w:rPr>
          <w:i/>
        </w:rPr>
        <w:t xml:space="preserve"> not capable of undoing prejudice caused</w:t>
      </w:r>
      <w:r>
        <w:rPr>
          <w:i/>
        </w:rPr>
        <w:t xml:space="preserve"> — </w:t>
      </w:r>
      <w:r w:rsidRPr="00047716">
        <w:rPr>
          <w:i/>
        </w:rPr>
        <w:t xml:space="preserve">New trial ordered. </w:t>
      </w:r>
    </w:p>
    <w:p w:rsidR="004D0A28" w:rsidRDefault="004D0A28" w:rsidP="004D0A28">
      <w:pPr>
        <w:pStyle w:val="SCCNormalDoubleSpacing"/>
        <w:spacing w:after="720" w:line="240" w:lineRule="auto"/>
      </w:pPr>
      <w:r w:rsidRPr="00314E01">
        <w:rPr>
          <w:b/>
        </w:rPr>
        <w:t>Statutes and Regulations Cite</w:t>
      </w:r>
      <w:r>
        <w:rPr>
          <w:b/>
        </w:rPr>
        <w:t>d</w:t>
      </w:r>
    </w:p>
    <w:p w:rsidR="004D0A28" w:rsidRPr="00D254B8" w:rsidRDefault="004D0A28" w:rsidP="004D0A28">
      <w:pPr>
        <w:pStyle w:val="SCCNormalDoubleSpacing"/>
        <w:spacing w:after="720" w:line="240" w:lineRule="auto"/>
        <w:ind w:left="547" w:hanging="547"/>
        <w:rPr>
          <w:lang w:val="en-US"/>
        </w:rPr>
      </w:pPr>
      <w:r w:rsidRPr="00D254B8">
        <w:rPr>
          <w:i/>
          <w:iCs/>
          <w:lang w:val="en-US"/>
        </w:rPr>
        <w:t>Criminal Code</w:t>
      </w:r>
      <w:r w:rsidRPr="00D254B8">
        <w:rPr>
          <w:lang w:val="en-US"/>
        </w:rPr>
        <w:t>, R.S.C. 1985, c. C-46, s. 686(1)(a)(iii).</w:t>
      </w:r>
    </w:p>
    <w:p w:rsidR="004D0A28" w:rsidRDefault="004D0A28" w:rsidP="004D0A28">
      <w:pPr>
        <w:pStyle w:val="SCCNormalDoubleSpacing"/>
        <w:spacing w:after="480"/>
      </w:pPr>
      <w:r w:rsidRPr="00D254B8">
        <w:rPr>
          <w:lang w:val="en-US"/>
        </w:rPr>
        <w:tab/>
      </w:r>
      <w:r w:rsidRPr="001426A9">
        <w:t xml:space="preserve">APPEAL from a judgment of the </w:t>
      </w:r>
      <w:r>
        <w:t>Alberta Court of Appeal (Watson, Bielby and Wakeling JJ.A.)</w:t>
      </w:r>
      <w:r w:rsidRPr="00173A02">
        <w:t xml:space="preserve">, </w:t>
      </w:r>
      <w:r>
        <w:t xml:space="preserve">2019 ABCA 118, 432 C.R.R. (2d) 270, </w:t>
      </w:r>
      <w:r>
        <w:rPr>
          <w:lang w:val="en-US"/>
        </w:rPr>
        <w:t>[2019] 7 W.W.R. 430, 373 C.C.C. (3d) 275, 87 Alta. L.R. (6th) 221, [2019] A.J. No. 395 (QL), 2019 CarswellAlta 619 (WL Can.), affirming the convictions of the accused for second degree murder, indecently interfering with human remains and arson.</w:t>
      </w:r>
      <w:r w:rsidRPr="00173A02">
        <w:t xml:space="preserve"> </w:t>
      </w:r>
      <w:r>
        <w:t>Appeal allowed</w:t>
      </w:r>
      <w:r w:rsidRPr="00870F49">
        <w:t>.</w:t>
      </w:r>
    </w:p>
    <w:p w:rsidR="004D0A28" w:rsidRDefault="004D0A28" w:rsidP="004D0A28">
      <w:pPr>
        <w:pStyle w:val="SCCNormalDoubleSpacing"/>
        <w:spacing w:after="480"/>
      </w:pPr>
      <w:r>
        <w:rPr>
          <w:rStyle w:val="SCCCounselNameChar"/>
        </w:rPr>
        <w:tab/>
        <w:t>Brian A. Beresh</w:t>
      </w:r>
      <w:r w:rsidRPr="00330F0D">
        <w:rPr>
          <w:rStyle w:val="SCCCounselNameChar"/>
          <w:i w:val="0"/>
        </w:rPr>
        <w:t>,</w:t>
      </w:r>
      <w:r>
        <w:rPr>
          <w:rStyle w:val="SCCCounselNameChar"/>
        </w:rPr>
        <w:t xml:space="preserve"> Q.C.</w:t>
      </w:r>
      <w:r>
        <w:rPr>
          <w:rStyle w:val="SCCCounselPartyRoleChar"/>
        </w:rPr>
        <w:t>, for the appellant.</w:t>
      </w:r>
    </w:p>
    <w:p w:rsidR="004D0A28" w:rsidRDefault="004D0A28" w:rsidP="004D0A28">
      <w:pPr>
        <w:pStyle w:val="SCCNormalDoubleSpacing"/>
        <w:spacing w:after="480"/>
        <w:rPr>
          <w:i/>
        </w:rPr>
      </w:pPr>
      <w:r>
        <w:rPr>
          <w:rStyle w:val="SCCCounselNameChar"/>
        </w:rPr>
        <w:tab/>
        <w:t xml:space="preserve">Joanne Dartana </w:t>
      </w:r>
      <w:r>
        <w:rPr>
          <w:rStyle w:val="SCCCounselNameChar"/>
          <w:i w:val="0"/>
        </w:rPr>
        <w:t xml:space="preserve">and </w:t>
      </w:r>
      <w:r>
        <w:rPr>
          <w:rStyle w:val="SCCCounselNameChar"/>
        </w:rPr>
        <w:t>Cheryl A. Schlecker</w:t>
      </w:r>
      <w:r>
        <w:rPr>
          <w:rStyle w:val="SCCCounselNameChar"/>
          <w:i w:val="0"/>
        </w:rPr>
        <w:t>,</w:t>
      </w:r>
      <w:r>
        <w:rPr>
          <w:rStyle w:val="SCCCounselPartyRoleChar"/>
        </w:rPr>
        <w:t xml:space="preserve"> for the respondent.</w:t>
      </w:r>
    </w:p>
    <w:p w:rsidR="004D0A28" w:rsidRDefault="004D0A28" w:rsidP="004D0A28">
      <w:pPr>
        <w:pStyle w:val="SCCNormalDoubleSpacing"/>
        <w:widowControl w:val="0"/>
        <w:spacing w:before="480" w:after="480"/>
      </w:pPr>
      <w:r>
        <w:tab/>
        <w:t>The judgment of the Court was delivered orally by</w:t>
      </w:r>
    </w:p>
    <w:p w:rsidR="004D0A28" w:rsidRPr="00A94053" w:rsidRDefault="004D0A28" w:rsidP="004D0A28">
      <w:pPr>
        <w:pStyle w:val="ParaNoNdepar-AltN"/>
        <w:tabs>
          <w:tab w:val="clear" w:pos="720"/>
        </w:tabs>
        <w:ind w:left="0" w:firstLine="0"/>
        <w:rPr>
          <w:rFonts w:cs="Times New Roman"/>
        </w:rPr>
      </w:pPr>
      <w:r w:rsidRPr="00870F49">
        <w:t>[1]</w:t>
      </w:r>
      <w:r>
        <w:tab/>
      </w:r>
      <w:r>
        <w:rPr>
          <w:smallCaps/>
        </w:rPr>
        <w:t>Moldaver</w:t>
      </w:r>
      <w:r w:rsidRPr="00870F49">
        <w:rPr>
          <w:smallCaps/>
        </w:rPr>
        <w:t xml:space="preserve"> J.</w:t>
      </w:r>
      <w:r w:rsidRPr="00870F49">
        <w:t xml:space="preserve"> —</w:t>
      </w:r>
      <w:r>
        <w:t> </w:t>
      </w:r>
      <w:r w:rsidRPr="005B2DB2">
        <w:t>We are all of the view that the appeal must be allowed and a new trial ordered on all counts. The Crown</w:t>
      </w:r>
      <w:r>
        <w:t>’</w:t>
      </w:r>
      <w:r w:rsidRPr="005B2DB2">
        <w:t>s failure to disclose Dr. Glancy</w:t>
      </w:r>
      <w:r>
        <w:t>’</w:t>
      </w:r>
      <w:r w:rsidRPr="005B2DB2">
        <w:t>s report before Dr.</w:t>
      </w:r>
      <w:r>
        <w:t> </w:t>
      </w:r>
      <w:r w:rsidRPr="005B2DB2">
        <w:t>Walker completed her testimony, when considered together with the Crown</w:t>
      </w:r>
      <w:r>
        <w:t>’</w:t>
      </w:r>
      <w:r w:rsidRPr="005B2DB2">
        <w:t>s failure to cross-examine Dr. Walker on the contents of that report, interfered with Ms.</w:t>
      </w:r>
      <w:r>
        <w:t> </w:t>
      </w:r>
      <w:r w:rsidRPr="005B2DB2">
        <w:t>Doonanco</w:t>
      </w:r>
      <w:r>
        <w:t>’</w:t>
      </w:r>
      <w:r w:rsidRPr="005B2DB2">
        <w:t xml:space="preserve">s ability to know the case she had to meet and make full answer and defence. To that extent, we agree with the reasons of </w:t>
      </w:r>
      <w:r w:rsidRPr="004965B4">
        <w:t>Justice</w:t>
      </w:r>
      <w:r>
        <w:t xml:space="preserve"> Bielby</w:t>
      </w:r>
      <w:r w:rsidRPr="005B2DB2">
        <w:t>, dissenting in the Court of Appeal.</w:t>
      </w:r>
    </w:p>
    <w:p w:rsidR="004D0A28" w:rsidRPr="00870F49" w:rsidRDefault="004D0A28" w:rsidP="004D0A28">
      <w:pPr>
        <w:pStyle w:val="ParaNoNdepar-AltN"/>
        <w:tabs>
          <w:tab w:val="clear" w:pos="720"/>
        </w:tabs>
        <w:ind w:left="0" w:firstLine="0"/>
      </w:pPr>
      <w:r>
        <w:lastRenderedPageBreak/>
        <w:t>[2]</w:t>
      </w:r>
      <w:r>
        <w:tab/>
      </w:r>
      <w:r w:rsidRPr="005B2DB2">
        <w:t xml:space="preserve">With respect, however, unlike </w:t>
      </w:r>
      <w:r w:rsidRPr="004965B4">
        <w:t>Justice</w:t>
      </w:r>
      <w:r>
        <w:t xml:space="preserve"> </w:t>
      </w:r>
      <w:r w:rsidRPr="005B2DB2">
        <w:t>Bielby, we are not persuaded that the trial judge</w:t>
      </w:r>
      <w:r>
        <w:t>’</w:t>
      </w:r>
      <w:r w:rsidRPr="005B2DB2">
        <w:t>s remedial ruling was capable of undoing the prejudice caused to Ms.</w:t>
      </w:r>
      <w:r>
        <w:t> </w:t>
      </w:r>
      <w:r w:rsidRPr="005B2DB2">
        <w:t>Doonanco by the manner in which the Crown proceeded. In the circumstances, precluding Dr. Glancy from testifying was, in our view, the only way of preserving Ms.</w:t>
      </w:r>
      <w:r>
        <w:t> </w:t>
      </w:r>
      <w:r w:rsidRPr="005B2DB2">
        <w:t>Doonanco</w:t>
      </w:r>
      <w:r>
        <w:t>’</w:t>
      </w:r>
      <w:r w:rsidRPr="005B2DB2">
        <w:t>s right to a fair trial.</w:t>
      </w:r>
      <w:r w:rsidRPr="00870F49">
        <w:t xml:space="preserve"> </w:t>
      </w:r>
    </w:p>
    <w:p w:rsidR="004D0A28" w:rsidRPr="00870F49" w:rsidRDefault="004D0A28" w:rsidP="004D0A28">
      <w:pPr>
        <w:pStyle w:val="ParaNoNdepar-AltN"/>
        <w:tabs>
          <w:tab w:val="clear" w:pos="720"/>
        </w:tabs>
        <w:ind w:left="0" w:firstLine="0"/>
      </w:pPr>
      <w:r w:rsidRPr="00870F49">
        <w:t>[3]</w:t>
      </w:r>
      <w:r>
        <w:tab/>
      </w:r>
      <w:r w:rsidRPr="001A66BA">
        <w:t>The net effect of Dr. Glancy’s evidenc</w:t>
      </w:r>
      <w:r>
        <w:t>e was to call into question Dr. </w:t>
      </w:r>
      <w:r w:rsidRPr="001A66BA">
        <w:t>Walker’s competence and the reliability of her expert testimony by showing that she failed to consider, much less explain, a number of factors that Dr. Glancy found to be atypical of the battered woman’s syndrome — factors which undermined Dr.</w:t>
      </w:r>
      <w:r>
        <w:t> </w:t>
      </w:r>
      <w:r w:rsidRPr="001A66BA">
        <w:t>Walker’s conclusion that Ms. Doonanco was suffering from this syndrome when she killed her domestic partner.</w:t>
      </w:r>
    </w:p>
    <w:p w:rsidR="004D0A28" w:rsidRDefault="004D0A28" w:rsidP="004D0A28">
      <w:pPr>
        <w:pStyle w:val="ParaNoNdepar-AltN"/>
        <w:tabs>
          <w:tab w:val="clear" w:pos="720"/>
        </w:tabs>
        <w:ind w:left="0" w:firstLine="0"/>
      </w:pPr>
      <w:r w:rsidRPr="00870F49">
        <w:t>[4]</w:t>
      </w:r>
      <w:r>
        <w:tab/>
      </w:r>
      <w:r w:rsidRPr="001A66BA">
        <w:t xml:space="preserve">Because Dr. Glancy’s report was not disclosed to the defence before Dr. Walker completed her testimony, and because the factors that Dr. Glancy relied upon to characterize Ms. Doonanco’s case as atypical were never put to Dr. Walker by the Crown in cross-examination, the defence was not able to respond to Dr. Glancy’s critiques. This rendered Ms. Doonanco’s trial unfair, resulting in a miscarriage of justice (see </w:t>
      </w:r>
      <w:r w:rsidRPr="001A66BA">
        <w:rPr>
          <w:i/>
        </w:rPr>
        <w:t>Criminal Code</w:t>
      </w:r>
      <w:r w:rsidRPr="001A66BA">
        <w:t>, R.S.C. 1985, c. C-46, s. 686(1)(a)(iii)).</w:t>
      </w:r>
    </w:p>
    <w:p w:rsidR="004D0A28" w:rsidRPr="00870F49" w:rsidRDefault="004D0A28" w:rsidP="004D0A28">
      <w:pPr>
        <w:pStyle w:val="ParaNoNdepar-AltN"/>
        <w:tabs>
          <w:tab w:val="clear" w:pos="720"/>
        </w:tabs>
        <w:ind w:left="0" w:firstLine="0"/>
        <w:rPr>
          <w:lang w:val="en-US"/>
        </w:rPr>
      </w:pPr>
      <w:r>
        <w:t>[5</w:t>
      </w:r>
      <w:r w:rsidRPr="00870F49">
        <w:t>]</w:t>
      </w:r>
      <w:r>
        <w:tab/>
      </w:r>
      <w:r w:rsidRPr="001A66BA">
        <w:t>Accordingly, the appeal is allowed, the convictions are set aside, and a new trial is ordered on all counts.</w:t>
      </w:r>
    </w:p>
    <w:p w:rsidR="004D0A28" w:rsidRPr="001426A9" w:rsidRDefault="004D0A28" w:rsidP="004D0A28">
      <w:pPr>
        <w:pStyle w:val="SCCNormalDoubleSpacing"/>
        <w:spacing w:after="480"/>
      </w:pPr>
      <w:r w:rsidRPr="001426A9">
        <w:tab/>
      </w:r>
      <w:r>
        <w:rPr>
          <w:i/>
        </w:rPr>
        <w:t>Judgment accordingly.</w:t>
      </w:r>
    </w:p>
    <w:p w:rsidR="004D0A28" w:rsidRDefault="004D0A28" w:rsidP="004D0A28">
      <w:pPr>
        <w:pStyle w:val="SCCLawFirm"/>
        <w:spacing w:after="480"/>
      </w:pPr>
      <w:r>
        <w:tab/>
        <w:t>Solicitors for the appellant: Beresh Law, Edmonton.</w:t>
      </w:r>
    </w:p>
    <w:p w:rsidR="004D0A28" w:rsidRPr="00870F49" w:rsidRDefault="004D0A28" w:rsidP="004D0A28">
      <w:pPr>
        <w:pStyle w:val="SCCLawFirm"/>
        <w:rPr>
          <w:lang w:val="en-US"/>
        </w:rPr>
      </w:pPr>
      <w:r>
        <w:lastRenderedPageBreak/>
        <w:tab/>
        <w:t>Solicitor for the respondent: Attorney General of Alberta, Edmonton.</w:t>
      </w:r>
    </w:p>
    <w:p w:rsidR="009B57B3" w:rsidRPr="004D0A28" w:rsidRDefault="009B57B3" w:rsidP="004D0A28">
      <w:pPr>
        <w:rPr>
          <w:lang w:val="en-US"/>
        </w:rPr>
      </w:pPr>
    </w:p>
    <w:sectPr w:rsidR="009B57B3" w:rsidRPr="004D0A28" w:rsidSect="002B7450">
      <w:pgSz w:w="12240" w:h="15840"/>
      <w:pgMar w:top="1440" w:right="1440" w:bottom="1440" w:left="144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BF6" w:rsidRDefault="001B1BF6">
      <w:r>
        <w:separator/>
      </w:r>
    </w:p>
  </w:endnote>
  <w:endnote w:type="continuationSeparator" w:id="0">
    <w:p w:rsidR="001B1BF6" w:rsidRDefault="001B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BF6" w:rsidRDefault="001B1BF6">
      <w:r>
        <w:separator/>
      </w:r>
    </w:p>
  </w:footnote>
  <w:footnote w:type="continuationSeparator" w:id="0">
    <w:p w:rsidR="001B1BF6" w:rsidRDefault="001B1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47716"/>
    <w:rsid w:val="000578A3"/>
    <w:rsid w:val="000648CC"/>
    <w:rsid w:val="000C59B8"/>
    <w:rsid w:val="000C6AF0"/>
    <w:rsid w:val="00104F33"/>
    <w:rsid w:val="00111DE2"/>
    <w:rsid w:val="00116B38"/>
    <w:rsid w:val="00135406"/>
    <w:rsid w:val="00135972"/>
    <w:rsid w:val="001426A9"/>
    <w:rsid w:val="00154D7C"/>
    <w:rsid w:val="001570B0"/>
    <w:rsid w:val="0015752C"/>
    <w:rsid w:val="00157737"/>
    <w:rsid w:val="001640C3"/>
    <w:rsid w:val="00165277"/>
    <w:rsid w:val="00170592"/>
    <w:rsid w:val="00186351"/>
    <w:rsid w:val="00193C19"/>
    <w:rsid w:val="001942F8"/>
    <w:rsid w:val="00195D83"/>
    <w:rsid w:val="001A00C1"/>
    <w:rsid w:val="001A66BA"/>
    <w:rsid w:val="001B1BF6"/>
    <w:rsid w:val="001B33E0"/>
    <w:rsid w:val="001B4573"/>
    <w:rsid w:val="001C4779"/>
    <w:rsid w:val="001C5E8F"/>
    <w:rsid w:val="001C779F"/>
    <w:rsid w:val="001D2AC1"/>
    <w:rsid w:val="001D4E88"/>
    <w:rsid w:val="001E1736"/>
    <w:rsid w:val="00220FC2"/>
    <w:rsid w:val="002222F4"/>
    <w:rsid w:val="00224FC0"/>
    <w:rsid w:val="00225EA4"/>
    <w:rsid w:val="00226EAF"/>
    <w:rsid w:val="00231F3A"/>
    <w:rsid w:val="0023365F"/>
    <w:rsid w:val="00234199"/>
    <w:rsid w:val="002406EE"/>
    <w:rsid w:val="00243EC8"/>
    <w:rsid w:val="002465EE"/>
    <w:rsid w:val="00270D93"/>
    <w:rsid w:val="0027157D"/>
    <w:rsid w:val="002745CC"/>
    <w:rsid w:val="00294908"/>
    <w:rsid w:val="00296107"/>
    <w:rsid w:val="002961B6"/>
    <w:rsid w:val="002B7197"/>
    <w:rsid w:val="002B7924"/>
    <w:rsid w:val="002D1D04"/>
    <w:rsid w:val="002D28C3"/>
    <w:rsid w:val="002D39A4"/>
    <w:rsid w:val="002E6705"/>
    <w:rsid w:val="00300590"/>
    <w:rsid w:val="00301D08"/>
    <w:rsid w:val="0030329A"/>
    <w:rsid w:val="0031086F"/>
    <w:rsid w:val="0031414C"/>
    <w:rsid w:val="00314E01"/>
    <w:rsid w:val="0032089D"/>
    <w:rsid w:val="003208EF"/>
    <w:rsid w:val="00330F0D"/>
    <w:rsid w:val="003310DE"/>
    <w:rsid w:val="003323B0"/>
    <w:rsid w:val="0034495C"/>
    <w:rsid w:val="0035169A"/>
    <w:rsid w:val="0035259D"/>
    <w:rsid w:val="00364B18"/>
    <w:rsid w:val="003A125D"/>
    <w:rsid w:val="003A4C70"/>
    <w:rsid w:val="003B215F"/>
    <w:rsid w:val="003C0608"/>
    <w:rsid w:val="003C799C"/>
    <w:rsid w:val="003D0399"/>
    <w:rsid w:val="003E1C71"/>
    <w:rsid w:val="003F327B"/>
    <w:rsid w:val="00406166"/>
    <w:rsid w:val="0040704B"/>
    <w:rsid w:val="00410A55"/>
    <w:rsid w:val="00411300"/>
    <w:rsid w:val="00415417"/>
    <w:rsid w:val="00426659"/>
    <w:rsid w:val="00450352"/>
    <w:rsid w:val="00454BDB"/>
    <w:rsid w:val="00455756"/>
    <w:rsid w:val="00464800"/>
    <w:rsid w:val="00465132"/>
    <w:rsid w:val="0046537F"/>
    <w:rsid w:val="00480A68"/>
    <w:rsid w:val="00480C90"/>
    <w:rsid w:val="0048396F"/>
    <w:rsid w:val="00493C18"/>
    <w:rsid w:val="004A600C"/>
    <w:rsid w:val="004A6118"/>
    <w:rsid w:val="004C478D"/>
    <w:rsid w:val="004D0A28"/>
    <w:rsid w:val="004E2C26"/>
    <w:rsid w:val="004F36FF"/>
    <w:rsid w:val="004F3D81"/>
    <w:rsid w:val="005125A8"/>
    <w:rsid w:val="00521AE8"/>
    <w:rsid w:val="00527180"/>
    <w:rsid w:val="00530A10"/>
    <w:rsid w:val="0054201E"/>
    <w:rsid w:val="00555291"/>
    <w:rsid w:val="00562132"/>
    <w:rsid w:val="00566AD1"/>
    <w:rsid w:val="00583EDE"/>
    <w:rsid w:val="005A6079"/>
    <w:rsid w:val="005E04B2"/>
    <w:rsid w:val="005E4698"/>
    <w:rsid w:val="00610539"/>
    <w:rsid w:val="00613969"/>
    <w:rsid w:val="00625C35"/>
    <w:rsid w:val="00656313"/>
    <w:rsid w:val="006565F4"/>
    <w:rsid w:val="0067470F"/>
    <w:rsid w:val="00682900"/>
    <w:rsid w:val="00684EEA"/>
    <w:rsid w:val="0069689B"/>
    <w:rsid w:val="006A1551"/>
    <w:rsid w:val="006B5FF5"/>
    <w:rsid w:val="006E51DB"/>
    <w:rsid w:val="006F30AF"/>
    <w:rsid w:val="00701759"/>
    <w:rsid w:val="00705C15"/>
    <w:rsid w:val="00707A4D"/>
    <w:rsid w:val="0071600E"/>
    <w:rsid w:val="007208D1"/>
    <w:rsid w:val="00747288"/>
    <w:rsid w:val="00747DD3"/>
    <w:rsid w:val="007549C8"/>
    <w:rsid w:val="00754A0B"/>
    <w:rsid w:val="00766D14"/>
    <w:rsid w:val="00767A0F"/>
    <w:rsid w:val="007A05F6"/>
    <w:rsid w:val="007B6F4A"/>
    <w:rsid w:val="007C46AB"/>
    <w:rsid w:val="007D184D"/>
    <w:rsid w:val="007E1C47"/>
    <w:rsid w:val="007E337A"/>
    <w:rsid w:val="007E5C70"/>
    <w:rsid w:val="007F2FF5"/>
    <w:rsid w:val="007F3F08"/>
    <w:rsid w:val="00804CC6"/>
    <w:rsid w:val="00817190"/>
    <w:rsid w:val="00820EE5"/>
    <w:rsid w:val="008260E2"/>
    <w:rsid w:val="008322BD"/>
    <w:rsid w:val="00833E0A"/>
    <w:rsid w:val="00834F73"/>
    <w:rsid w:val="00864CF8"/>
    <w:rsid w:val="00870F49"/>
    <w:rsid w:val="00872819"/>
    <w:rsid w:val="00874914"/>
    <w:rsid w:val="00891422"/>
    <w:rsid w:val="00892E1A"/>
    <w:rsid w:val="00893F2B"/>
    <w:rsid w:val="008A3F29"/>
    <w:rsid w:val="008B660A"/>
    <w:rsid w:val="008C01DA"/>
    <w:rsid w:val="008C7E88"/>
    <w:rsid w:val="008F78E9"/>
    <w:rsid w:val="00911989"/>
    <w:rsid w:val="009179F9"/>
    <w:rsid w:val="00933E5E"/>
    <w:rsid w:val="00935218"/>
    <w:rsid w:val="009403F3"/>
    <w:rsid w:val="009555B7"/>
    <w:rsid w:val="009567AA"/>
    <w:rsid w:val="00967374"/>
    <w:rsid w:val="009851DA"/>
    <w:rsid w:val="009A343A"/>
    <w:rsid w:val="009B2F23"/>
    <w:rsid w:val="009B57B3"/>
    <w:rsid w:val="009C5B92"/>
    <w:rsid w:val="009D2920"/>
    <w:rsid w:val="009D4ED1"/>
    <w:rsid w:val="009D5AEB"/>
    <w:rsid w:val="009E1953"/>
    <w:rsid w:val="009F0E33"/>
    <w:rsid w:val="00A030CE"/>
    <w:rsid w:val="00A149DF"/>
    <w:rsid w:val="00A1755C"/>
    <w:rsid w:val="00A21B90"/>
    <w:rsid w:val="00A41805"/>
    <w:rsid w:val="00A42DCD"/>
    <w:rsid w:val="00A52AFB"/>
    <w:rsid w:val="00A548CB"/>
    <w:rsid w:val="00A5521C"/>
    <w:rsid w:val="00A616AF"/>
    <w:rsid w:val="00A643E7"/>
    <w:rsid w:val="00A73C38"/>
    <w:rsid w:val="00A94053"/>
    <w:rsid w:val="00AB670D"/>
    <w:rsid w:val="00AE4535"/>
    <w:rsid w:val="00AF03C5"/>
    <w:rsid w:val="00B000D8"/>
    <w:rsid w:val="00B00990"/>
    <w:rsid w:val="00B00F75"/>
    <w:rsid w:val="00B145B6"/>
    <w:rsid w:val="00B279EB"/>
    <w:rsid w:val="00B30AD0"/>
    <w:rsid w:val="00B50C81"/>
    <w:rsid w:val="00B557F8"/>
    <w:rsid w:val="00B577E1"/>
    <w:rsid w:val="00B70913"/>
    <w:rsid w:val="00B815FC"/>
    <w:rsid w:val="00B87849"/>
    <w:rsid w:val="00B93FBC"/>
    <w:rsid w:val="00BA7DA0"/>
    <w:rsid w:val="00BB2EE4"/>
    <w:rsid w:val="00BC2108"/>
    <w:rsid w:val="00BD0E9E"/>
    <w:rsid w:val="00BD1BEC"/>
    <w:rsid w:val="00BD32FF"/>
    <w:rsid w:val="00BF1A9B"/>
    <w:rsid w:val="00C02092"/>
    <w:rsid w:val="00C121EA"/>
    <w:rsid w:val="00C24D91"/>
    <w:rsid w:val="00C53F14"/>
    <w:rsid w:val="00C600CF"/>
    <w:rsid w:val="00C6084F"/>
    <w:rsid w:val="00C62A66"/>
    <w:rsid w:val="00C638B0"/>
    <w:rsid w:val="00C71458"/>
    <w:rsid w:val="00C77613"/>
    <w:rsid w:val="00C828E7"/>
    <w:rsid w:val="00C85E26"/>
    <w:rsid w:val="00C86719"/>
    <w:rsid w:val="00C921DD"/>
    <w:rsid w:val="00C95001"/>
    <w:rsid w:val="00CA6391"/>
    <w:rsid w:val="00CC34BD"/>
    <w:rsid w:val="00CE161A"/>
    <w:rsid w:val="00CE3171"/>
    <w:rsid w:val="00CF1601"/>
    <w:rsid w:val="00D0172F"/>
    <w:rsid w:val="00D0420C"/>
    <w:rsid w:val="00D068A7"/>
    <w:rsid w:val="00D17476"/>
    <w:rsid w:val="00D254B8"/>
    <w:rsid w:val="00D32086"/>
    <w:rsid w:val="00D37A3F"/>
    <w:rsid w:val="00D4431D"/>
    <w:rsid w:val="00D4667A"/>
    <w:rsid w:val="00D474BE"/>
    <w:rsid w:val="00D63A1C"/>
    <w:rsid w:val="00D750EB"/>
    <w:rsid w:val="00D7516F"/>
    <w:rsid w:val="00D8579F"/>
    <w:rsid w:val="00D95F8E"/>
    <w:rsid w:val="00DA0590"/>
    <w:rsid w:val="00DB1F26"/>
    <w:rsid w:val="00DB7BEA"/>
    <w:rsid w:val="00DC1739"/>
    <w:rsid w:val="00DC1788"/>
    <w:rsid w:val="00DE319C"/>
    <w:rsid w:val="00DF0CA8"/>
    <w:rsid w:val="00DF2B48"/>
    <w:rsid w:val="00DF49A7"/>
    <w:rsid w:val="00E07EE2"/>
    <w:rsid w:val="00E07FD1"/>
    <w:rsid w:val="00E121AB"/>
    <w:rsid w:val="00E1685E"/>
    <w:rsid w:val="00E176D8"/>
    <w:rsid w:val="00E24573"/>
    <w:rsid w:val="00E25E1E"/>
    <w:rsid w:val="00E271FB"/>
    <w:rsid w:val="00E27EE7"/>
    <w:rsid w:val="00E35404"/>
    <w:rsid w:val="00E45109"/>
    <w:rsid w:val="00E47B7A"/>
    <w:rsid w:val="00E56A44"/>
    <w:rsid w:val="00E60269"/>
    <w:rsid w:val="00E77932"/>
    <w:rsid w:val="00E97830"/>
    <w:rsid w:val="00EA0881"/>
    <w:rsid w:val="00EE643C"/>
    <w:rsid w:val="00EF0683"/>
    <w:rsid w:val="00EF69D2"/>
    <w:rsid w:val="00EF766E"/>
    <w:rsid w:val="00F0070C"/>
    <w:rsid w:val="00F00EB7"/>
    <w:rsid w:val="00F12C4E"/>
    <w:rsid w:val="00F33B85"/>
    <w:rsid w:val="00F36AB6"/>
    <w:rsid w:val="00F37A09"/>
    <w:rsid w:val="00F409CE"/>
    <w:rsid w:val="00F4379D"/>
    <w:rsid w:val="00F50D2D"/>
    <w:rsid w:val="00F56C8B"/>
    <w:rsid w:val="00F66810"/>
    <w:rsid w:val="00F846D9"/>
    <w:rsid w:val="00F84DF4"/>
    <w:rsid w:val="00F85C97"/>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193C19"/>
    <w:pPr>
      <w:tabs>
        <w:tab w:val="num" w:pos="720"/>
        <w:tab w:val="left" w:pos="1166"/>
      </w:tabs>
      <w:spacing w:before="480" w:after="480" w:line="480" w:lineRule="auto"/>
      <w:ind w:left="720" w:hanging="720"/>
      <w:jc w:val="both"/>
    </w:pPr>
    <w:rPr>
      <w:rFonts w:eastAsiaTheme="minorEastAsia" w:cstheme="minorBidi"/>
      <w:sz w:val="24"/>
      <w:szCs w:val="22"/>
      <w:lang w:eastAsia="en-US"/>
    </w:rPr>
  </w:style>
  <w:style w:type="table" w:styleId="TableGrid">
    <w:name w:val="Table Grid"/>
    <w:basedOn w:val="TableNormal"/>
    <w:uiPriority w:val="59"/>
    <w:rsid w:val="0029490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RestrictionOnPublicationText">
    <w:name w:val="SCC.RestrictionOnPublicationText"/>
    <w:basedOn w:val="Normal"/>
    <w:next w:val="Normal"/>
    <w:link w:val="SCCRestrictionOnPublicationTextChar"/>
    <w:rsid w:val="002D1D04"/>
    <w:rPr>
      <w:rFonts w:eastAsiaTheme="minorHAnsi" w:cstheme="minorBidi"/>
      <w:szCs w:val="24"/>
      <w:lang w:eastAsia="en-US"/>
    </w:rPr>
  </w:style>
  <w:style w:type="character" w:customStyle="1" w:styleId="SCCRestrictionOnPublicationTextChar">
    <w:name w:val="SCC.RestrictionOnPublicationText Char"/>
    <w:basedOn w:val="DefaultParagraphFont"/>
    <w:link w:val="SCCRestrictionOnPublicationText"/>
    <w:rsid w:val="002D1D04"/>
    <w:rPr>
      <w:rFonts w:eastAsiaTheme="minorHAnsi" w:cstheme="minorBidi"/>
      <w:sz w:val="24"/>
      <w:szCs w:val="24"/>
      <w:lang w:eastAsia="en-US"/>
    </w:rPr>
  </w:style>
  <w:style w:type="character" w:customStyle="1" w:styleId="SCCLsocPartyRoleChar">
    <w:name w:val="SCC.Lsoc.PartyRole Char"/>
    <w:basedOn w:val="DefaultParagraphFont"/>
    <w:rsid w:val="002D1D04"/>
    <w:rPr>
      <w:lang w:val="en-CA"/>
    </w:rPr>
  </w:style>
  <w:style w:type="paragraph" w:customStyle="1" w:styleId="SCCLsocPrefix">
    <w:name w:val="SCC.Lsoc.Prefix"/>
    <w:basedOn w:val="Normal"/>
    <w:next w:val="Normal"/>
    <w:link w:val="SCCLsocPrefixChar"/>
    <w:rsid w:val="002D1D04"/>
    <w:rPr>
      <w:rFonts w:eastAsiaTheme="minorHAnsi" w:cstheme="minorBidi"/>
      <w:b/>
      <w:smallCaps/>
      <w:szCs w:val="24"/>
      <w:lang w:eastAsia="en-US"/>
    </w:rPr>
  </w:style>
  <w:style w:type="character" w:customStyle="1" w:styleId="SCCLsocPrefixChar">
    <w:name w:val="SCC.Lsoc.Prefix Char"/>
    <w:basedOn w:val="DefaultParagraphFont"/>
    <w:link w:val="SCCLsocPrefix"/>
    <w:rsid w:val="002D1D04"/>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2021-11-03T19:35:00Z</dcterms:created>
  <dcterms:modified xsi:type="dcterms:W3CDTF">2023-01-25T02:15:00Z</dcterms:modified>
</cp:coreProperties>
</file>