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D85BF" w14:textId="77777777" w:rsidR="000B672C" w:rsidRDefault="000B672C" w:rsidP="000B672C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 w14:anchorId="22D4F9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05pt;height:65.6pt" o:ole="">
            <v:imagedata r:id="rId7" o:title=""/>
          </v:shape>
          <o:OLEObject Type="Embed" ProgID="Presentations.Drawing.13" ShapeID="_x0000_i1025" DrawAspect="Content" ObjectID="_1736099694" r:id="rId8"/>
        </w:object>
      </w:r>
      <w:r>
        <w:t xml:space="preserve"> </w:t>
      </w:r>
      <w:r>
        <w:ptab w:relativeTo="margin" w:alignment="right" w:leader="none"/>
      </w:r>
    </w:p>
    <w:p w14:paraId="07B0CAC1" w14:textId="77777777" w:rsidR="000B672C" w:rsidRDefault="000B672C" w:rsidP="000B672C">
      <w:pPr>
        <w:pStyle w:val="Header"/>
      </w:pPr>
    </w:p>
    <w:p w14:paraId="245F03D7" w14:textId="77777777" w:rsidR="000B672C" w:rsidRPr="006B210C" w:rsidRDefault="000B672C" w:rsidP="000B672C">
      <w:pPr>
        <w:jc w:val="center"/>
        <w:rPr>
          <w:b/>
        </w:rPr>
      </w:pPr>
      <w:r w:rsidRPr="006B210C">
        <w:rPr>
          <w:b/>
        </w:rPr>
        <w:t>SUPREME COURT OF CANADA</w:t>
      </w:r>
    </w:p>
    <w:p w14:paraId="6C230BA5" w14:textId="77777777" w:rsidR="000B672C" w:rsidRDefault="000B672C" w:rsidP="000B672C"/>
    <w:tbl>
      <w:tblPr>
        <w:tblStyle w:val="TableGrid1"/>
        <w:tblW w:w="53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4"/>
        <w:gridCol w:w="1415"/>
        <w:gridCol w:w="4397"/>
      </w:tblGrid>
      <w:tr w:rsidR="000B672C" w:rsidRPr="006B210C" w14:paraId="7432E2B9" w14:textId="77777777" w:rsidTr="004407C7">
        <w:tc>
          <w:tcPr>
            <w:tcW w:w="2113" w:type="pct"/>
            <w:tcMar>
              <w:top w:w="284" w:type="dxa"/>
            </w:tcMar>
          </w:tcPr>
          <w:p w14:paraId="1782B028" w14:textId="69E5AD27" w:rsidR="000B672C" w:rsidRPr="00FE4398" w:rsidRDefault="000B672C" w:rsidP="004407C7">
            <w:pPr>
              <w:spacing w:before="100" w:beforeAutospacing="1"/>
              <w:rPr>
                <w:rFonts w:eastAsia="Calibri"/>
                <w:lang w:val="fr-CA"/>
              </w:rPr>
            </w:pPr>
            <w:r w:rsidRPr="00FE4398">
              <w:rPr>
                <w:b/>
                <w:smallCaps/>
                <w:lang w:val="fr-CA"/>
              </w:rPr>
              <w:t>Citation:</w:t>
            </w:r>
            <w:r w:rsidRPr="00FE4398">
              <w:rPr>
                <w:lang w:val="fr-CA"/>
              </w:rPr>
              <w:t xml:space="preserve"> </w:t>
            </w:r>
            <w:r w:rsidRPr="00C86D8C">
              <w:rPr>
                <w:lang w:val="fr-CA"/>
              </w:rPr>
              <w:t xml:space="preserve">R. </w:t>
            </w:r>
            <w:r w:rsidRPr="006A5663">
              <w:rPr>
                <w:i/>
                <w:lang w:val="fr-CA"/>
              </w:rPr>
              <w:t>v</w:t>
            </w:r>
            <w:r w:rsidRPr="00C86D8C">
              <w:rPr>
                <w:lang w:val="fr-CA"/>
              </w:rPr>
              <w:t>. S.H., 2020 SCC 3</w:t>
            </w:r>
            <w:r w:rsidR="00BF672F">
              <w:rPr>
                <w:lang w:val="fr-CA"/>
              </w:rPr>
              <w:t>, [2020] 1 S.C.R. 12</w:t>
            </w:r>
          </w:p>
        </w:tc>
        <w:tc>
          <w:tcPr>
            <w:tcW w:w="703" w:type="pct"/>
          </w:tcPr>
          <w:p w14:paraId="0BACA1B6" w14:textId="77777777" w:rsidR="000B672C" w:rsidRPr="00FE4398" w:rsidRDefault="000B672C" w:rsidP="004407C7">
            <w:pPr>
              <w:rPr>
                <w:b/>
                <w:smallCaps/>
                <w:lang w:val="fr-CA"/>
              </w:rPr>
            </w:pPr>
          </w:p>
        </w:tc>
        <w:tc>
          <w:tcPr>
            <w:tcW w:w="2184" w:type="pct"/>
            <w:tcMar>
              <w:top w:w="284" w:type="dxa"/>
            </w:tcMar>
          </w:tcPr>
          <w:p w14:paraId="78C478EA" w14:textId="77777777" w:rsidR="000B672C" w:rsidRPr="006B210C" w:rsidRDefault="000B672C" w:rsidP="004407C7">
            <w:r>
              <w:rPr>
                <w:b/>
                <w:smallCaps/>
              </w:rPr>
              <w:t>Appeal Heard:</w:t>
            </w:r>
            <w:r w:rsidRPr="006B210C">
              <w:t xml:space="preserve"> </w:t>
            </w:r>
            <w:r>
              <w:t>February 19, 2020</w:t>
            </w:r>
          </w:p>
          <w:p w14:paraId="245F92E2" w14:textId="77777777" w:rsidR="000B672C" w:rsidRDefault="000B672C" w:rsidP="004407C7">
            <w:r>
              <w:rPr>
                <w:b/>
                <w:smallCaps/>
              </w:rPr>
              <w:t>Judgment Rendered:</w:t>
            </w:r>
            <w:r w:rsidRPr="006B210C">
              <w:t xml:space="preserve"> </w:t>
            </w:r>
            <w:r>
              <w:t>February 19, 2020</w:t>
            </w:r>
          </w:p>
          <w:p w14:paraId="0192B4E8" w14:textId="77777777" w:rsidR="000B672C" w:rsidRPr="006B210C" w:rsidRDefault="000B672C" w:rsidP="004407C7">
            <w:r w:rsidRPr="006B210C">
              <w:rPr>
                <w:b/>
                <w:smallCaps/>
              </w:rPr>
              <w:t>Docket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>
              <w:t>38827</w:t>
            </w:r>
          </w:p>
        </w:tc>
      </w:tr>
    </w:tbl>
    <w:p w14:paraId="5F30C71F" w14:textId="77777777" w:rsidR="000B672C" w:rsidRPr="006B210C" w:rsidRDefault="000B672C" w:rsidP="000B672C"/>
    <w:p w14:paraId="2A952074" w14:textId="2D02C6A4" w:rsidR="000B672C" w:rsidRPr="00C86D8C" w:rsidRDefault="000B672C" w:rsidP="00AF5426">
      <w:pPr>
        <w:pStyle w:val="SCCLsocPrefix"/>
      </w:pPr>
      <w:r>
        <w:t>Between:</w:t>
      </w:r>
    </w:p>
    <w:p w14:paraId="360ABD56" w14:textId="77777777" w:rsidR="000B672C" w:rsidRDefault="000B672C" w:rsidP="000B672C">
      <w:pPr>
        <w:pStyle w:val="SCCLsocParty"/>
        <w:jc w:val="center"/>
      </w:pPr>
      <w:r>
        <w:t>S.H.</w:t>
      </w:r>
    </w:p>
    <w:p w14:paraId="550E52C0" w14:textId="77777777" w:rsidR="000B672C" w:rsidRDefault="000B672C" w:rsidP="000B672C">
      <w:pPr>
        <w:jc w:val="center"/>
      </w:pPr>
      <w:r>
        <w:t>Appellant</w:t>
      </w:r>
    </w:p>
    <w:p w14:paraId="218966AB" w14:textId="77777777" w:rsidR="000B672C" w:rsidRDefault="000B672C" w:rsidP="000B672C">
      <w:pPr>
        <w:pStyle w:val="SCCLsocVersus"/>
        <w:spacing w:after="0"/>
        <w:jc w:val="center"/>
      </w:pPr>
    </w:p>
    <w:p w14:paraId="2F347C93" w14:textId="77777777" w:rsidR="000B672C" w:rsidRDefault="000B672C" w:rsidP="000B672C">
      <w:pPr>
        <w:jc w:val="center"/>
      </w:pPr>
      <w:r>
        <w:t>and</w:t>
      </w:r>
    </w:p>
    <w:p w14:paraId="0B9BCDB3" w14:textId="77777777" w:rsidR="000B672C" w:rsidRPr="00C86D8C" w:rsidRDefault="000B672C" w:rsidP="000B672C">
      <w:pPr>
        <w:jc w:val="center"/>
      </w:pPr>
    </w:p>
    <w:p w14:paraId="732F0BA3" w14:textId="77777777" w:rsidR="000B672C" w:rsidRDefault="000B672C" w:rsidP="000B672C">
      <w:pPr>
        <w:pStyle w:val="SCCLsocParty"/>
        <w:jc w:val="center"/>
      </w:pPr>
      <w:r>
        <w:t>Her Majesty The Queen</w:t>
      </w:r>
    </w:p>
    <w:p w14:paraId="6EDE7495" w14:textId="77777777" w:rsidR="000B672C" w:rsidRDefault="000B672C" w:rsidP="000B672C">
      <w:pPr>
        <w:jc w:val="center"/>
      </w:pPr>
      <w:r>
        <w:t>Respondent</w:t>
      </w:r>
    </w:p>
    <w:p w14:paraId="672B6872" w14:textId="77777777" w:rsidR="000B672C" w:rsidRDefault="000B672C" w:rsidP="000B672C">
      <w:pPr>
        <w:pStyle w:val="SCCLsocOtherPartySeparator"/>
        <w:spacing w:after="0"/>
      </w:pPr>
    </w:p>
    <w:p w14:paraId="0752C20C" w14:textId="77777777" w:rsidR="000B672C" w:rsidRDefault="000B672C" w:rsidP="000B672C">
      <w:pPr>
        <w:pStyle w:val="SCCLsocOtherPartySeparator"/>
        <w:spacing w:after="0"/>
        <w:jc w:val="center"/>
      </w:pPr>
      <w:r>
        <w:t>- and -</w:t>
      </w:r>
    </w:p>
    <w:p w14:paraId="0CEAF7AA" w14:textId="77777777" w:rsidR="000B672C" w:rsidRPr="00C86D8C" w:rsidRDefault="000B672C" w:rsidP="000B672C"/>
    <w:p w14:paraId="2D2BFC2A" w14:textId="77777777" w:rsidR="000B672C" w:rsidRDefault="000B672C" w:rsidP="000B672C">
      <w:pPr>
        <w:pStyle w:val="SCCLsocParty"/>
        <w:jc w:val="center"/>
      </w:pPr>
      <w:r>
        <w:t>Criminal Lawyers’ Association (Ontario)</w:t>
      </w:r>
    </w:p>
    <w:p w14:paraId="0B75B512" w14:textId="77777777" w:rsidR="000B672C" w:rsidRDefault="000B672C" w:rsidP="000B672C">
      <w:pPr>
        <w:jc w:val="center"/>
      </w:pPr>
      <w:r>
        <w:t>Intervener</w:t>
      </w:r>
    </w:p>
    <w:p w14:paraId="3DB036E6" w14:textId="77777777" w:rsidR="000B672C" w:rsidRDefault="000B672C" w:rsidP="000B672C"/>
    <w:p w14:paraId="2C36FAB6" w14:textId="77777777" w:rsidR="000B672C" w:rsidRPr="006B210C" w:rsidRDefault="000B672C" w:rsidP="000B672C"/>
    <w:p w14:paraId="543CD3D6" w14:textId="77777777" w:rsidR="000B672C" w:rsidRPr="006B210C" w:rsidRDefault="000B672C" w:rsidP="000B672C"/>
    <w:p w14:paraId="3C9789AA" w14:textId="77777777" w:rsidR="000B672C" w:rsidRPr="006B210C" w:rsidRDefault="000B672C" w:rsidP="000B672C">
      <w:r w:rsidRPr="006B210C">
        <w:rPr>
          <w:b/>
          <w:smallCaps/>
        </w:rPr>
        <w:t>Coram</w:t>
      </w:r>
      <w:r>
        <w:rPr>
          <w:b/>
          <w:smallCaps/>
        </w:rPr>
        <w:t>:</w:t>
      </w:r>
      <w:r w:rsidRPr="006B210C">
        <w:t xml:space="preserve"> </w:t>
      </w:r>
      <w:r>
        <w:t>Abella, Moldaver, Côté, Brown and Martin JJ.</w:t>
      </w:r>
    </w:p>
    <w:p w14:paraId="1C891F31" w14:textId="77777777" w:rsidR="000B672C" w:rsidRDefault="000B672C" w:rsidP="000B672C"/>
    <w:p w14:paraId="537E6BDF" w14:textId="77777777" w:rsidR="000B672C" w:rsidRPr="006B210C" w:rsidRDefault="000B672C" w:rsidP="000B672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0B672C" w:rsidRPr="00531E43" w14:paraId="16702504" w14:textId="77777777" w:rsidTr="004407C7">
        <w:trPr>
          <w:cantSplit/>
        </w:trPr>
        <w:tc>
          <w:tcPr>
            <w:tcW w:w="3618" w:type="dxa"/>
          </w:tcPr>
          <w:p w14:paraId="33FD3862" w14:textId="77777777" w:rsidR="000B672C" w:rsidRDefault="000B672C" w:rsidP="004407C7">
            <w:pPr>
              <w:rPr>
                <w:b/>
                <w:smallCaps/>
              </w:rPr>
            </w:pPr>
            <w:r w:rsidRPr="006B210C">
              <w:rPr>
                <w:b/>
                <w:smallCaps/>
              </w:rPr>
              <w:t>Judgment</w:t>
            </w:r>
            <w:r>
              <w:rPr>
                <w:b/>
                <w:smallCaps/>
              </w:rPr>
              <w:t xml:space="preserve"> Read By:</w:t>
            </w:r>
          </w:p>
          <w:p w14:paraId="1468D06F" w14:textId="77777777" w:rsidR="000B672C" w:rsidRDefault="000B672C" w:rsidP="004407C7">
            <w:r>
              <w:t>(paras. 1 to 3</w:t>
            </w:r>
            <w:r w:rsidRPr="00F905FA">
              <w:t>)</w:t>
            </w:r>
          </w:p>
          <w:p w14:paraId="1410FB15" w14:textId="77777777" w:rsidR="000B672C" w:rsidRDefault="000B672C" w:rsidP="004407C7"/>
          <w:p w14:paraId="6A7D166A" w14:textId="77777777" w:rsidR="000B672C" w:rsidRDefault="000B672C" w:rsidP="004407C7">
            <w:pPr>
              <w:rPr>
                <w:b/>
                <w:smallCaps/>
              </w:rPr>
            </w:pPr>
            <w:r w:rsidRPr="00474A76">
              <w:rPr>
                <w:b/>
                <w:smallCaps/>
              </w:rPr>
              <w:t>Dissent Read By:</w:t>
            </w:r>
          </w:p>
          <w:p w14:paraId="5BD1CCC7" w14:textId="77777777" w:rsidR="000B672C" w:rsidRDefault="000B672C" w:rsidP="004407C7">
            <w:r w:rsidRPr="00531E43">
              <w:t xml:space="preserve">(para. </w:t>
            </w:r>
            <w:r>
              <w:t>4)</w:t>
            </w:r>
          </w:p>
          <w:p w14:paraId="1AA9DA31" w14:textId="77777777" w:rsidR="000B672C" w:rsidRDefault="000B672C" w:rsidP="004407C7"/>
          <w:p w14:paraId="012452DC" w14:textId="77777777" w:rsidR="000B672C" w:rsidRDefault="000B672C" w:rsidP="004407C7">
            <w:pPr>
              <w:rPr>
                <w:b/>
                <w:smallCaps/>
              </w:rPr>
            </w:pPr>
            <w:r w:rsidRPr="00531E43">
              <w:rPr>
                <w:b/>
                <w:smallCaps/>
              </w:rPr>
              <w:t>Majority:</w:t>
            </w:r>
          </w:p>
          <w:p w14:paraId="698B7937" w14:textId="77777777" w:rsidR="000B672C" w:rsidRDefault="000B672C" w:rsidP="004407C7">
            <w:pPr>
              <w:rPr>
                <w:b/>
                <w:smallCaps/>
              </w:rPr>
            </w:pPr>
          </w:p>
          <w:p w14:paraId="26B63522" w14:textId="77777777" w:rsidR="000B672C" w:rsidRPr="006B210C" w:rsidRDefault="000B672C" w:rsidP="004407C7">
            <w:r w:rsidRPr="00474A76">
              <w:rPr>
                <w:b/>
                <w:smallCaps/>
              </w:rPr>
              <w:t>Dissent:</w:t>
            </w:r>
            <w:r>
              <w:rPr>
                <w:b/>
                <w:smallCaps/>
              </w:rPr>
              <w:t xml:space="preserve"> </w:t>
            </w:r>
          </w:p>
        </w:tc>
        <w:tc>
          <w:tcPr>
            <w:tcW w:w="5958" w:type="dxa"/>
          </w:tcPr>
          <w:p w14:paraId="37212BD9" w14:textId="77777777" w:rsidR="000B672C" w:rsidRPr="002871DC" w:rsidRDefault="000B672C" w:rsidP="004407C7">
            <w:r w:rsidRPr="002871DC">
              <w:t>Moldaver J.</w:t>
            </w:r>
          </w:p>
          <w:p w14:paraId="0E9BFD26" w14:textId="77777777" w:rsidR="000B672C" w:rsidRPr="002871DC" w:rsidRDefault="000B672C" w:rsidP="004407C7"/>
          <w:p w14:paraId="114B6211" w14:textId="77777777" w:rsidR="000B672C" w:rsidRPr="002871DC" w:rsidRDefault="000B672C" w:rsidP="004407C7"/>
          <w:p w14:paraId="13FDCFB0" w14:textId="77777777" w:rsidR="000B672C" w:rsidRPr="005F4438" w:rsidRDefault="000B672C" w:rsidP="004407C7">
            <w:r w:rsidRPr="005F4438">
              <w:t>Brown J.</w:t>
            </w:r>
          </w:p>
          <w:p w14:paraId="0B155E8B" w14:textId="77777777" w:rsidR="000B672C" w:rsidRPr="002871DC" w:rsidRDefault="000B672C" w:rsidP="004407C7"/>
          <w:p w14:paraId="4DD8B889" w14:textId="77777777" w:rsidR="000B672C" w:rsidRPr="002871DC" w:rsidRDefault="000B672C" w:rsidP="004407C7"/>
          <w:p w14:paraId="0E2C48E6" w14:textId="77777777" w:rsidR="000B672C" w:rsidRPr="002871DC" w:rsidRDefault="000B672C" w:rsidP="004407C7">
            <w:r w:rsidRPr="002871DC">
              <w:t xml:space="preserve">Abella, Moldaver and Côté JJ. </w:t>
            </w:r>
          </w:p>
          <w:p w14:paraId="53F54CF6" w14:textId="77777777" w:rsidR="000B672C" w:rsidRPr="002871DC" w:rsidRDefault="000B672C" w:rsidP="004407C7"/>
          <w:p w14:paraId="0496560F" w14:textId="77777777" w:rsidR="000B672C" w:rsidRPr="005F4438" w:rsidRDefault="000B672C" w:rsidP="004407C7">
            <w:r w:rsidRPr="005F4438">
              <w:t>Brown and Martin JJ.</w:t>
            </w:r>
          </w:p>
        </w:tc>
      </w:tr>
    </w:tbl>
    <w:p w14:paraId="43D5D797" w14:textId="77777777" w:rsidR="000B672C" w:rsidRPr="006B210C" w:rsidRDefault="000B672C" w:rsidP="000B672C"/>
    <w:p w14:paraId="7DBC9E28" w14:textId="77777777" w:rsidR="000B672C" w:rsidRPr="006B210C" w:rsidRDefault="000B672C" w:rsidP="000B67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C70B9" wp14:editId="204D3D5B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A31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14:paraId="4E377EDC" w14:textId="2C4D1B6D" w:rsidR="000B672C" w:rsidRDefault="000B672C" w:rsidP="00C93250">
      <w:pPr>
        <w:spacing w:after="720"/>
        <w:jc w:val="both"/>
        <w:rPr>
          <w:smallCaps/>
        </w:rPr>
      </w:pPr>
      <w:r>
        <w:rPr>
          <w:smallCaps/>
        </w:rPr>
        <w:br w:type="page"/>
      </w:r>
    </w:p>
    <w:p w14:paraId="05387E73" w14:textId="77777777" w:rsidR="00C93250" w:rsidRPr="00DD205C" w:rsidRDefault="00C93250" w:rsidP="00C93250">
      <w:pPr>
        <w:pStyle w:val="SCCLsocLastPartyInRole"/>
        <w:rPr>
          <w:lang w:val="en-US"/>
        </w:rPr>
      </w:pPr>
      <w:bookmarkStart w:id="0" w:name="_GoBack"/>
      <w:bookmarkEnd w:id="0"/>
      <w:r w:rsidRPr="00DD205C">
        <w:rPr>
          <w:lang w:val="en-US"/>
        </w:rPr>
        <w:lastRenderedPageBreak/>
        <w:t>S.H.</w:t>
      </w:r>
      <w:r w:rsidRPr="00DD205C">
        <w:rPr>
          <w:rStyle w:val="SCCLsocPartyRole"/>
          <w:lang w:val="en-US"/>
        </w:rPr>
        <w:tab/>
        <w:t>Appellant</w:t>
      </w:r>
    </w:p>
    <w:p w14:paraId="6357C4E9" w14:textId="77777777" w:rsidR="00C93250" w:rsidRPr="00775F17" w:rsidRDefault="00C93250" w:rsidP="00C93250">
      <w:pPr>
        <w:pStyle w:val="SCCLsocVersus"/>
      </w:pPr>
      <w:r w:rsidRPr="00775F17">
        <w:t>v.</w:t>
      </w:r>
    </w:p>
    <w:p w14:paraId="392A1542" w14:textId="77777777" w:rsidR="00C93250" w:rsidRPr="00775F17" w:rsidRDefault="00C93250" w:rsidP="00C93250">
      <w:pPr>
        <w:pStyle w:val="SCCLsocLastPartyInRole"/>
      </w:pPr>
      <w:r w:rsidRPr="00775F17">
        <w:t>Her Majesty The Queen</w:t>
      </w:r>
      <w:r w:rsidRPr="00775F17">
        <w:rPr>
          <w:rStyle w:val="SCCLsocPartyRole"/>
        </w:rPr>
        <w:tab/>
        <w:t>Respondent</w:t>
      </w:r>
    </w:p>
    <w:p w14:paraId="1E7E4D0F" w14:textId="77777777" w:rsidR="00C93250" w:rsidRPr="00775F17" w:rsidRDefault="00C93250" w:rsidP="00C93250">
      <w:pPr>
        <w:pStyle w:val="SCCLsocVersus"/>
        <w:rPr>
          <w:i w:val="0"/>
          <w:lang w:val="en-US"/>
        </w:rPr>
      </w:pPr>
      <w:r w:rsidRPr="00775F17">
        <w:rPr>
          <w:i w:val="0"/>
          <w:lang w:val="en-US"/>
        </w:rPr>
        <w:t>and</w:t>
      </w:r>
    </w:p>
    <w:p w14:paraId="6E5F083F" w14:textId="77777777" w:rsidR="00C93250" w:rsidRPr="00775F17" w:rsidRDefault="00C93250" w:rsidP="00C93250">
      <w:pPr>
        <w:pStyle w:val="SCCLsocLastPartyInRole"/>
        <w:rPr>
          <w:lang w:val="en-US"/>
        </w:rPr>
      </w:pPr>
      <w:r w:rsidRPr="00775F17">
        <w:rPr>
          <w:lang w:val="en-US"/>
        </w:rPr>
        <w:t>Criminal Lawyers’ Association (Ontario)</w:t>
      </w:r>
      <w:r w:rsidRPr="00775F17">
        <w:rPr>
          <w:rStyle w:val="SCCLsocPartyRole"/>
          <w:lang w:val="en-US"/>
        </w:rPr>
        <w:tab/>
        <w:t>Intervener</w:t>
      </w:r>
    </w:p>
    <w:p w14:paraId="4ECC43E2" w14:textId="77777777" w:rsidR="00C93250" w:rsidRPr="00775F17" w:rsidRDefault="00C93250" w:rsidP="00C93250">
      <w:pPr>
        <w:spacing w:after="720"/>
        <w:jc w:val="both"/>
        <w:rPr>
          <w:b/>
        </w:rPr>
      </w:pPr>
      <w:r w:rsidRPr="00775F17">
        <w:rPr>
          <w:b/>
        </w:rPr>
        <w:t xml:space="preserve">Indexed as: R. </w:t>
      </w:r>
      <w:r w:rsidRPr="00775F17">
        <w:rPr>
          <w:b/>
          <w:i/>
        </w:rPr>
        <w:t>v</w:t>
      </w:r>
      <w:r w:rsidRPr="00775F17">
        <w:rPr>
          <w:b/>
        </w:rPr>
        <w:t>. S.H.</w:t>
      </w:r>
    </w:p>
    <w:p w14:paraId="0D551DA1" w14:textId="77777777" w:rsidR="00C93250" w:rsidRPr="00775F17" w:rsidRDefault="00C93250" w:rsidP="00C93250">
      <w:pPr>
        <w:pStyle w:val="SCCSystemYear"/>
        <w:spacing w:after="720"/>
        <w:jc w:val="both"/>
        <w:rPr>
          <w:lang w:val="en-US"/>
        </w:rPr>
      </w:pPr>
      <w:r w:rsidRPr="00775F17">
        <w:rPr>
          <w:lang w:val="en-US"/>
        </w:rPr>
        <w:t>2020 SCC 3</w:t>
      </w:r>
    </w:p>
    <w:p w14:paraId="155E6BE1" w14:textId="77777777" w:rsidR="00C93250" w:rsidRPr="00775F17" w:rsidRDefault="00C93250" w:rsidP="00C93250">
      <w:pPr>
        <w:spacing w:after="720"/>
        <w:jc w:val="both"/>
        <w:rPr>
          <w:lang w:val="en-US"/>
        </w:rPr>
      </w:pPr>
      <w:r w:rsidRPr="00775F17">
        <w:rPr>
          <w:lang w:val="en-US"/>
        </w:rPr>
        <w:t xml:space="preserve">File No.: </w:t>
      </w:r>
      <w:r>
        <w:rPr>
          <w:lang w:val="en-US"/>
        </w:rPr>
        <w:t>38827</w:t>
      </w:r>
      <w:r w:rsidRPr="00775F17">
        <w:rPr>
          <w:lang w:val="en-US"/>
        </w:rPr>
        <w:t>.</w:t>
      </w:r>
    </w:p>
    <w:p w14:paraId="625D47AA" w14:textId="77777777" w:rsidR="00C93250" w:rsidRPr="00775F17" w:rsidRDefault="00C93250" w:rsidP="00C93250">
      <w:pPr>
        <w:spacing w:after="720"/>
        <w:jc w:val="both"/>
      </w:pPr>
      <w:r w:rsidRPr="00775F17">
        <w:t>2020: February 19.</w:t>
      </w:r>
    </w:p>
    <w:p w14:paraId="2F93360D" w14:textId="77777777" w:rsidR="00C93250" w:rsidRPr="00775F17" w:rsidRDefault="00C93250" w:rsidP="00C93250">
      <w:pPr>
        <w:spacing w:after="720"/>
        <w:jc w:val="both"/>
      </w:pPr>
      <w:r w:rsidRPr="00775F17">
        <w:t>Present: Abella, Moldaver, Côté, Brown and Martin JJ.</w:t>
      </w:r>
    </w:p>
    <w:p w14:paraId="3D8D5CC6" w14:textId="77777777" w:rsidR="00C93250" w:rsidRPr="00775F17" w:rsidRDefault="00C93250" w:rsidP="00C93250">
      <w:pPr>
        <w:pStyle w:val="SCCLowerCourtNameLowercase"/>
        <w:spacing w:after="720" w:line="240" w:lineRule="auto"/>
        <w:rPr>
          <w:lang w:val="en-US"/>
        </w:rPr>
      </w:pPr>
      <w:r w:rsidRPr="00775F17">
        <w:t>on appeal from the court of appeal for ontario</w:t>
      </w:r>
    </w:p>
    <w:p w14:paraId="732CFFC7" w14:textId="77777777" w:rsidR="00C93250" w:rsidRDefault="00C93250" w:rsidP="00C93250">
      <w:pPr>
        <w:pStyle w:val="SCCNormalDoubleSpacing"/>
      </w:pPr>
    </w:p>
    <w:p w14:paraId="205D6C0E" w14:textId="77777777" w:rsidR="00C93250" w:rsidRDefault="00C93250" w:rsidP="00C93250">
      <w:pPr>
        <w:pStyle w:val="SCCNormalDoubleSpacing"/>
      </w:pPr>
      <w:r>
        <w:rPr>
          <w:i/>
        </w:rPr>
        <w:tab/>
      </w:r>
      <w:r w:rsidRPr="00775F17">
        <w:rPr>
          <w:i/>
        </w:rPr>
        <w:t xml:space="preserve">Criminal </w:t>
      </w:r>
      <w:r>
        <w:rPr>
          <w:i/>
        </w:rPr>
        <w:t>l</w:t>
      </w:r>
      <w:r w:rsidRPr="00775F17">
        <w:rPr>
          <w:i/>
        </w:rPr>
        <w:t>aw</w:t>
      </w:r>
      <w:r w:rsidRPr="00B87601">
        <w:t xml:space="preserve"> —</w:t>
      </w:r>
      <w:r w:rsidRPr="00D4776F">
        <w:t xml:space="preserve"> </w:t>
      </w:r>
      <w:r w:rsidRPr="00B87601">
        <w:rPr>
          <w:i/>
        </w:rPr>
        <w:t>Evidence</w:t>
      </w:r>
      <w:r w:rsidRPr="00B87601">
        <w:t xml:space="preserve"> — </w:t>
      </w:r>
      <w:r w:rsidRPr="00B87601">
        <w:rPr>
          <w:i/>
        </w:rPr>
        <w:t>Admissibility</w:t>
      </w:r>
      <w:r w:rsidRPr="00B87601">
        <w:t xml:space="preserve"> —</w:t>
      </w:r>
      <w:r>
        <w:t xml:space="preserve"> </w:t>
      </w:r>
      <w:r w:rsidRPr="00B87601">
        <w:rPr>
          <w:i/>
        </w:rPr>
        <w:t>Curative proviso</w:t>
      </w:r>
      <w:r w:rsidRPr="00B87601">
        <w:t xml:space="preserve"> —</w:t>
      </w:r>
      <w:r>
        <w:t xml:space="preserve"> </w:t>
      </w:r>
      <w:r w:rsidRPr="00A74A3C">
        <w:rPr>
          <w:i/>
        </w:rPr>
        <w:t xml:space="preserve">Accused </w:t>
      </w:r>
      <w:r>
        <w:rPr>
          <w:i/>
        </w:rPr>
        <w:t xml:space="preserve">convicted of </w:t>
      </w:r>
      <w:r w:rsidRPr="00A74A3C">
        <w:rPr>
          <w:i/>
        </w:rPr>
        <w:t>drug offences</w:t>
      </w:r>
      <w:r w:rsidRPr="00D4776F">
        <w:rPr>
          <w:i/>
        </w:rPr>
        <w:t xml:space="preserve"> </w:t>
      </w:r>
      <w:r>
        <w:rPr>
          <w:i/>
        </w:rPr>
        <w:t xml:space="preserve">at trial </w:t>
      </w:r>
      <w:r w:rsidRPr="00B87601">
        <w:t>—</w:t>
      </w:r>
      <w:r>
        <w:t xml:space="preserve"> </w:t>
      </w:r>
      <w:r w:rsidRPr="00847733">
        <w:rPr>
          <w:i/>
        </w:rPr>
        <w:t xml:space="preserve">Majority of Court of Appeal holding </w:t>
      </w:r>
      <w:r>
        <w:rPr>
          <w:i/>
        </w:rPr>
        <w:t>that t</w:t>
      </w:r>
      <w:r w:rsidRPr="00A74A3C">
        <w:rPr>
          <w:i/>
        </w:rPr>
        <w:t>rial judge</w:t>
      </w:r>
      <w:r>
        <w:rPr>
          <w:i/>
        </w:rPr>
        <w:t>’s error in relying on wrong legislative provision to admit</w:t>
      </w:r>
      <w:r w:rsidRPr="00A74A3C">
        <w:rPr>
          <w:i/>
        </w:rPr>
        <w:t xml:space="preserve"> evidence of data extracted from cell phone</w:t>
      </w:r>
      <w:r>
        <w:rPr>
          <w:i/>
        </w:rPr>
        <w:t xml:space="preserve"> and possible </w:t>
      </w:r>
      <w:r>
        <w:rPr>
          <w:i/>
        </w:rPr>
        <w:lastRenderedPageBreak/>
        <w:t>errors</w:t>
      </w:r>
      <w:r w:rsidRPr="00AB38AE">
        <w:rPr>
          <w:i/>
        </w:rPr>
        <w:t xml:space="preserve"> in allowing Crown to reopen case by recalling police officer </w:t>
      </w:r>
      <w:r>
        <w:rPr>
          <w:i/>
        </w:rPr>
        <w:t xml:space="preserve">and in admitting statement by accused without voluntariness voir dire did not affect outcome of trial </w:t>
      </w:r>
      <w:r w:rsidRPr="00AB38AE">
        <w:t>—</w:t>
      </w:r>
      <w:r>
        <w:t xml:space="preserve"> </w:t>
      </w:r>
      <w:r>
        <w:rPr>
          <w:i/>
        </w:rPr>
        <w:t xml:space="preserve">Majority of Court of Appeal concluding that Crown’s case overwhelming and </w:t>
      </w:r>
      <w:r w:rsidRPr="00AB38AE">
        <w:rPr>
          <w:i/>
        </w:rPr>
        <w:t>applying curative proviso to sustain convictions</w:t>
      </w:r>
      <w:r w:rsidRPr="00AB38AE">
        <w:t xml:space="preserve"> —</w:t>
      </w:r>
      <w:r>
        <w:t xml:space="preserve"> </w:t>
      </w:r>
      <w:r w:rsidRPr="00AB38AE">
        <w:rPr>
          <w:i/>
        </w:rPr>
        <w:t>Convictions upheld</w:t>
      </w:r>
      <w:r>
        <w:t xml:space="preserve">. </w:t>
      </w:r>
    </w:p>
    <w:p w14:paraId="3B072B2E" w14:textId="77777777" w:rsidR="00C93250" w:rsidRDefault="00C93250" w:rsidP="00C93250">
      <w:pPr>
        <w:pStyle w:val="SCCNormalDoubleSpacing"/>
      </w:pPr>
    </w:p>
    <w:p w14:paraId="1D10523D" w14:textId="77777777" w:rsidR="00C93250" w:rsidRPr="00775F17" w:rsidRDefault="00C93250" w:rsidP="00C93250">
      <w:pPr>
        <w:pStyle w:val="SCCNormalDoubleSpacing"/>
        <w:keepNext/>
        <w:keepLines/>
        <w:rPr>
          <w:b/>
        </w:rPr>
      </w:pPr>
      <w:r w:rsidRPr="00775F17">
        <w:rPr>
          <w:b/>
        </w:rPr>
        <w:t>Cases Cited</w:t>
      </w:r>
    </w:p>
    <w:p w14:paraId="162FAF6D" w14:textId="77777777" w:rsidR="00C93250" w:rsidRPr="00775F17" w:rsidRDefault="00C93250" w:rsidP="00C93250">
      <w:pPr>
        <w:pStyle w:val="SCCNormalDoubleSpacing"/>
        <w:keepNext/>
        <w:keepLines/>
      </w:pPr>
    </w:p>
    <w:p w14:paraId="3E69A417" w14:textId="77777777" w:rsidR="00C93250" w:rsidRPr="00775F17" w:rsidRDefault="00C93250" w:rsidP="00C93250">
      <w:pPr>
        <w:pStyle w:val="SCCNormalDoubleSpacing"/>
        <w:keepNext/>
        <w:keepLines/>
      </w:pPr>
      <w:r w:rsidRPr="00775F17">
        <w:t>By Brown J. (dissenting)</w:t>
      </w:r>
    </w:p>
    <w:p w14:paraId="75C8E8BC" w14:textId="77777777" w:rsidR="00C93250" w:rsidRPr="00775F17" w:rsidRDefault="00C93250" w:rsidP="00C93250">
      <w:pPr>
        <w:pStyle w:val="SCCNormalDoubleSpacing"/>
        <w:keepNext/>
        <w:keepLines/>
      </w:pPr>
    </w:p>
    <w:p w14:paraId="37956118" w14:textId="77777777" w:rsidR="00C93250" w:rsidRPr="00775F17" w:rsidRDefault="00C93250" w:rsidP="00C93250">
      <w:pPr>
        <w:pStyle w:val="SCCNormalDoubleSpacing"/>
        <w:keepNext/>
        <w:keepLines/>
      </w:pPr>
      <w:r w:rsidRPr="00775F17">
        <w:rPr>
          <w:b/>
        </w:rPr>
        <w:tab/>
      </w:r>
      <w:r w:rsidRPr="00775F17">
        <w:rPr>
          <w:i/>
        </w:rPr>
        <w:t>R. v. Khan</w:t>
      </w:r>
      <w:r w:rsidRPr="00775F17">
        <w:t>, 2001 SCC 86, [2001] 3 S.C.R. 823.</w:t>
      </w:r>
    </w:p>
    <w:p w14:paraId="78BAA5AA" w14:textId="77777777" w:rsidR="00C93250" w:rsidRPr="00775F17" w:rsidRDefault="00C93250" w:rsidP="00C93250">
      <w:pPr>
        <w:pStyle w:val="SCCNormalDoubleSpacing"/>
        <w:rPr>
          <w:lang w:val="en"/>
        </w:rPr>
      </w:pPr>
    </w:p>
    <w:p w14:paraId="2B7263B2" w14:textId="77777777" w:rsidR="00C93250" w:rsidRPr="00775F17" w:rsidRDefault="00C93250" w:rsidP="00C93250">
      <w:pPr>
        <w:pStyle w:val="SCCNormalDoubleSpacing"/>
        <w:rPr>
          <w:lang w:val="en-US"/>
        </w:rPr>
      </w:pPr>
      <w:r w:rsidRPr="00775F17">
        <w:tab/>
        <w:t>APPEAL from a judgment of the Ontario Court of Appeal (Simmons, Tulloch and Brown JJ.</w:t>
      </w:r>
      <w:r>
        <w:t>A.)</w:t>
      </w:r>
      <w:r w:rsidRPr="00775F17">
        <w:t>, 2019 ONCA 669, 377 C.C.C. (3d) 335, 442 D.L.R. (4th) 184, [2019] O.J. No. 4438 (QL), 2019 CarswellOnt 14110 (WL Can.), affirming the conviction</w:t>
      </w:r>
      <w:r>
        <w:t xml:space="preserve">s of the accused </w:t>
      </w:r>
      <w:r w:rsidRPr="00751CCC">
        <w:t xml:space="preserve">for </w:t>
      </w:r>
      <w:r>
        <w:t>possession of cocaine for the purpose of trafficking, possession of oxycodone, production of marijuana, and possession of marijuana for the purpose of trafficking</w:t>
      </w:r>
      <w:r w:rsidRPr="00775F17">
        <w:t>. Appeal dismissed, Brown and Martin JJ. dissenting.</w:t>
      </w:r>
    </w:p>
    <w:p w14:paraId="5E675DBB" w14:textId="77777777" w:rsidR="00C93250" w:rsidRPr="00775F17" w:rsidRDefault="00C93250" w:rsidP="00C93250">
      <w:pPr>
        <w:pStyle w:val="SCCNormalDoubleSpacing"/>
      </w:pPr>
    </w:p>
    <w:p w14:paraId="3E83C65F" w14:textId="77777777" w:rsidR="00C93250" w:rsidRPr="00775F17" w:rsidRDefault="00C93250" w:rsidP="00C93250">
      <w:pPr>
        <w:pStyle w:val="SCCNormalDoubleSpacing"/>
        <w:rPr>
          <w:lang w:val="en-US"/>
        </w:rPr>
      </w:pPr>
      <w:r w:rsidRPr="00775F17">
        <w:tab/>
      </w:r>
      <w:r w:rsidRPr="00775F17">
        <w:rPr>
          <w:i/>
          <w:lang w:val="en-US"/>
        </w:rPr>
        <w:t xml:space="preserve">Alice Barton </w:t>
      </w:r>
      <w:r w:rsidRPr="00775F17">
        <w:rPr>
          <w:lang w:val="en-US"/>
        </w:rPr>
        <w:t>and</w:t>
      </w:r>
      <w:r w:rsidRPr="00775F17">
        <w:rPr>
          <w:i/>
          <w:lang w:val="en-US"/>
        </w:rPr>
        <w:t xml:space="preserve"> Michael Dineen</w:t>
      </w:r>
      <w:r w:rsidRPr="00775F17">
        <w:rPr>
          <w:lang w:val="en-US"/>
        </w:rPr>
        <w:t>, for the appellant.</w:t>
      </w:r>
    </w:p>
    <w:p w14:paraId="605DF284" w14:textId="77777777" w:rsidR="00C93250" w:rsidRPr="00775F17" w:rsidRDefault="00C93250" w:rsidP="00C93250">
      <w:pPr>
        <w:pStyle w:val="SCCNormalDoubleSpacing"/>
      </w:pPr>
    </w:p>
    <w:p w14:paraId="0F2DA126" w14:textId="77777777" w:rsidR="00C93250" w:rsidRPr="00775F17" w:rsidRDefault="00C93250" w:rsidP="00C93250">
      <w:pPr>
        <w:pStyle w:val="SCCNormalDoubleSpacing"/>
        <w:rPr>
          <w:rStyle w:val="SCCCounselPartyRoleChar"/>
          <w:lang w:val="en-US"/>
        </w:rPr>
      </w:pPr>
      <w:r w:rsidRPr="00775F17">
        <w:rPr>
          <w:rStyle w:val="SCCCounselNameChar"/>
        </w:rPr>
        <w:tab/>
      </w:r>
      <w:r w:rsidRPr="00775F17">
        <w:rPr>
          <w:rStyle w:val="SCCCounselNameChar"/>
          <w:lang w:val="en-US"/>
        </w:rPr>
        <w:t xml:space="preserve">Jennifer Conroy </w:t>
      </w:r>
      <w:r w:rsidRPr="00775F17">
        <w:rPr>
          <w:rStyle w:val="SCCCounselNameChar"/>
          <w:i w:val="0"/>
          <w:lang w:val="en-US"/>
        </w:rPr>
        <w:t>and</w:t>
      </w:r>
      <w:r w:rsidRPr="00775F17">
        <w:rPr>
          <w:rStyle w:val="SCCCounselNameChar"/>
          <w:lang w:val="en-US"/>
        </w:rPr>
        <w:t xml:space="preserve"> François Lacasse</w:t>
      </w:r>
      <w:r w:rsidRPr="00775F17">
        <w:rPr>
          <w:rStyle w:val="SCCCounselPartyRoleChar"/>
          <w:lang w:val="en-US"/>
        </w:rPr>
        <w:t>, for the respondent.</w:t>
      </w:r>
    </w:p>
    <w:p w14:paraId="648BF78F" w14:textId="77777777" w:rsidR="00C93250" w:rsidRPr="00775F17" w:rsidRDefault="00C93250" w:rsidP="00C93250">
      <w:pPr>
        <w:pStyle w:val="SCCNormalDoubleSpacing"/>
        <w:rPr>
          <w:rStyle w:val="SCCCounselPartyRoleChar"/>
          <w:lang w:val="en-US"/>
        </w:rPr>
      </w:pPr>
    </w:p>
    <w:p w14:paraId="68A51119" w14:textId="77777777" w:rsidR="00C93250" w:rsidRPr="00775F17" w:rsidRDefault="00C93250" w:rsidP="00C93250">
      <w:pPr>
        <w:pStyle w:val="SCCNormalDoubleSpacing"/>
        <w:rPr>
          <w:rStyle w:val="SCCCounselPartyRoleChar"/>
        </w:rPr>
      </w:pPr>
      <w:r w:rsidRPr="00775F17">
        <w:rPr>
          <w:rStyle w:val="SCCCounselNameChar"/>
          <w:lang w:val="en-US"/>
        </w:rPr>
        <w:tab/>
      </w:r>
      <w:r w:rsidRPr="00775F17">
        <w:rPr>
          <w:rStyle w:val="SCCCounselNameChar"/>
        </w:rPr>
        <w:t xml:space="preserve">Nader R. Hasan </w:t>
      </w:r>
      <w:r w:rsidRPr="00775F17">
        <w:rPr>
          <w:rStyle w:val="SCCCounselNameChar"/>
          <w:i w:val="0"/>
        </w:rPr>
        <w:t>and</w:t>
      </w:r>
      <w:r w:rsidRPr="00775F17">
        <w:rPr>
          <w:rStyle w:val="SCCCounselNameChar"/>
        </w:rPr>
        <w:t xml:space="preserve"> Taufiq Hashmani</w:t>
      </w:r>
      <w:r w:rsidRPr="00775F17">
        <w:rPr>
          <w:rStyle w:val="SCCCounselPartyRoleChar"/>
        </w:rPr>
        <w:t>, for the intervener.</w:t>
      </w:r>
    </w:p>
    <w:p w14:paraId="1F8DD85B" w14:textId="77777777" w:rsidR="00C93250" w:rsidRPr="00775F17" w:rsidRDefault="00C93250" w:rsidP="00C93250">
      <w:pPr>
        <w:pStyle w:val="SCCNormalDoubleSpacing"/>
        <w:rPr>
          <w:rStyle w:val="SCCCounselPartyRoleChar"/>
        </w:rPr>
      </w:pPr>
    </w:p>
    <w:p w14:paraId="1FB1E098" w14:textId="77777777" w:rsidR="00C93250" w:rsidRPr="00775F17" w:rsidRDefault="00C93250" w:rsidP="00C93250">
      <w:pPr>
        <w:pStyle w:val="SCCNormalDoubleSpacing"/>
      </w:pPr>
      <w:r>
        <w:tab/>
      </w:r>
      <w:r w:rsidRPr="00775F17">
        <w:t xml:space="preserve">The judgment of </w:t>
      </w:r>
      <w:r>
        <w:t>Abella, Moldaver and Côté JJ.</w:t>
      </w:r>
      <w:r w:rsidRPr="00775F17">
        <w:t xml:space="preserve"> was delivered orally by</w:t>
      </w:r>
    </w:p>
    <w:p w14:paraId="0601F047" w14:textId="77777777" w:rsidR="00C93250" w:rsidRPr="000B1581" w:rsidRDefault="00C93250" w:rsidP="00C93250">
      <w:pPr>
        <w:pStyle w:val="ParaNoNdepar-AltN"/>
        <w:tabs>
          <w:tab w:val="clear" w:pos="720"/>
        </w:tabs>
        <w:ind w:left="0" w:firstLine="0"/>
        <w:rPr>
          <w:lang w:val="en-US"/>
        </w:rPr>
      </w:pPr>
      <w:r w:rsidRPr="00775F17">
        <w:rPr>
          <w:lang w:val="en-US"/>
        </w:rPr>
        <w:t>[1]</w:t>
      </w:r>
      <w:r w:rsidRPr="00775F17">
        <w:rPr>
          <w:lang w:val="en-US"/>
        </w:rPr>
        <w:tab/>
      </w:r>
      <w:r w:rsidRPr="00775F17">
        <w:rPr>
          <w:smallCaps/>
          <w:lang w:val="en-US"/>
        </w:rPr>
        <w:t>Moldaver J.</w:t>
      </w:r>
      <w:r w:rsidRPr="00775F17">
        <w:rPr>
          <w:lang w:val="en-US"/>
        </w:rPr>
        <w:t xml:space="preserve"> — A majority of the Court is of the view that the evidence adduced by the Crown after the re-opening was essentially confirmatory of the evidence that had already been adduced by the Crown showing that the appellant had constructive possession of the drugs in question. </w:t>
      </w:r>
      <w:r w:rsidRPr="000B1581">
        <w:rPr>
          <w:lang w:val="en-US"/>
        </w:rPr>
        <w:t>We agree with the majority of the Court of Appeal that the evidence led prior to the re-opening was overwhelming.</w:t>
      </w:r>
    </w:p>
    <w:p w14:paraId="136B8B18" w14:textId="77777777" w:rsidR="00C93250" w:rsidRPr="00775F17" w:rsidRDefault="00C93250" w:rsidP="00C93250">
      <w:pPr>
        <w:pStyle w:val="ParaNoNdepar-AltN"/>
        <w:tabs>
          <w:tab w:val="clear" w:pos="720"/>
        </w:tabs>
        <w:ind w:left="0" w:firstLine="0"/>
        <w:rPr>
          <w:lang w:val="en-US"/>
        </w:rPr>
      </w:pPr>
      <w:r w:rsidRPr="00775F17">
        <w:rPr>
          <w:lang w:val="en-US"/>
        </w:rPr>
        <w:t>[2]</w:t>
      </w:r>
      <w:r w:rsidRPr="00775F17">
        <w:rPr>
          <w:lang w:val="en-US"/>
        </w:rPr>
        <w:tab/>
        <w:t xml:space="preserve">In these circumstances, we are satisfied that the Court of Appeal did not err in applying the curative proviso to sustain the convictions. </w:t>
      </w:r>
    </w:p>
    <w:p w14:paraId="1FC3CD25" w14:textId="77777777" w:rsidR="00C93250" w:rsidRPr="00775F17" w:rsidRDefault="00C93250" w:rsidP="00C93250">
      <w:pPr>
        <w:pStyle w:val="ParaNoNdepar-AltN"/>
        <w:tabs>
          <w:tab w:val="clear" w:pos="720"/>
        </w:tabs>
        <w:ind w:left="0" w:firstLine="0"/>
        <w:rPr>
          <w:lang w:val="en-US"/>
        </w:rPr>
      </w:pPr>
      <w:r w:rsidRPr="00775F17">
        <w:rPr>
          <w:lang w:val="en-US"/>
        </w:rPr>
        <w:t>[3]</w:t>
      </w:r>
      <w:r w:rsidRPr="00775F17">
        <w:rPr>
          <w:lang w:val="en-US"/>
        </w:rPr>
        <w:tab/>
        <w:t>Accordingly, we would dismiss the appeal.</w:t>
      </w:r>
    </w:p>
    <w:p w14:paraId="35A1CB79" w14:textId="77777777" w:rsidR="00C93250" w:rsidRPr="00775F17" w:rsidRDefault="00C93250" w:rsidP="00C93250">
      <w:pPr>
        <w:pStyle w:val="ParaNoNdepar-AltN"/>
        <w:tabs>
          <w:tab w:val="clear" w:pos="720"/>
        </w:tabs>
        <w:ind w:left="0" w:firstLine="0"/>
        <w:rPr>
          <w:lang w:val="en-US"/>
        </w:rPr>
      </w:pPr>
      <w:r>
        <w:rPr>
          <w:lang w:val="en-US"/>
        </w:rPr>
        <w:tab/>
      </w:r>
      <w:r w:rsidRPr="00775F17">
        <w:rPr>
          <w:lang w:val="en-US"/>
        </w:rPr>
        <w:t>The reasons of Brown and Martin JJ. were delivered orally by</w:t>
      </w:r>
    </w:p>
    <w:p w14:paraId="1B07C24B" w14:textId="77777777" w:rsidR="00C93250" w:rsidRPr="00775F17" w:rsidRDefault="00C93250" w:rsidP="00C93250">
      <w:pPr>
        <w:pStyle w:val="ParaNoNdepar-AltN"/>
        <w:tabs>
          <w:tab w:val="clear" w:pos="720"/>
        </w:tabs>
        <w:ind w:left="0" w:firstLine="0"/>
        <w:rPr>
          <w:lang w:val="en-US"/>
        </w:rPr>
      </w:pPr>
      <w:r w:rsidRPr="00775F17">
        <w:rPr>
          <w:lang w:val="en-US"/>
        </w:rPr>
        <w:t>[4]</w:t>
      </w:r>
      <w:r w:rsidRPr="00775F17">
        <w:rPr>
          <w:lang w:val="en-US"/>
        </w:rPr>
        <w:tab/>
      </w:r>
      <w:r w:rsidRPr="00775F17">
        <w:rPr>
          <w:smallCaps/>
          <w:lang w:val="en-US"/>
        </w:rPr>
        <w:t>Brown J.</w:t>
      </w:r>
      <w:r w:rsidRPr="00775F17">
        <w:rPr>
          <w:lang w:val="en-US"/>
        </w:rPr>
        <w:t xml:space="preserve"> (dissenting)</w:t>
      </w:r>
      <w:r>
        <w:rPr>
          <w:lang w:val="en-US"/>
        </w:rPr>
        <w:t xml:space="preserve"> </w:t>
      </w:r>
      <w:r w:rsidRPr="00775F17">
        <w:rPr>
          <w:lang w:val="en-US"/>
        </w:rPr>
        <w:t xml:space="preserve">— We would allow the appeal and order a new trial. In our view, the trial judge’s error in allowing the Crown to split its case led to an unfair trial, which miscarriage of justice cannot be cured: </w:t>
      </w:r>
      <w:r w:rsidRPr="00775F17">
        <w:rPr>
          <w:i/>
          <w:lang w:val="en-US"/>
        </w:rPr>
        <w:t>R. v. Khan</w:t>
      </w:r>
      <w:r w:rsidRPr="00775F17">
        <w:rPr>
          <w:lang w:val="en-US"/>
        </w:rPr>
        <w:t>, 2001 SCC 86, [2001] 3 S.C.R. 823, at para. 27.</w:t>
      </w:r>
    </w:p>
    <w:p w14:paraId="13B568DA" w14:textId="77777777" w:rsidR="00C93250" w:rsidRPr="00775F17" w:rsidRDefault="00C93250" w:rsidP="00C93250">
      <w:pPr>
        <w:pStyle w:val="SCCNormalDoubleSpacing"/>
      </w:pPr>
      <w:r w:rsidRPr="00775F17">
        <w:rPr>
          <w:lang w:val="en-US"/>
        </w:rPr>
        <w:tab/>
      </w:r>
      <w:r w:rsidRPr="00775F17">
        <w:rPr>
          <w:i/>
        </w:rPr>
        <w:t>Judgment accordingly.</w:t>
      </w:r>
    </w:p>
    <w:p w14:paraId="3184301D" w14:textId="77777777" w:rsidR="00C93250" w:rsidRPr="00775F17" w:rsidRDefault="00C93250" w:rsidP="00C93250">
      <w:pPr>
        <w:pStyle w:val="SCCNormalDoubleSpacing"/>
      </w:pPr>
    </w:p>
    <w:p w14:paraId="373695DD" w14:textId="77777777" w:rsidR="00C93250" w:rsidRPr="00775F17" w:rsidRDefault="00C93250" w:rsidP="00C93250">
      <w:pPr>
        <w:pStyle w:val="SCCNormalDoubleSpacing"/>
        <w:rPr>
          <w:i/>
        </w:rPr>
      </w:pPr>
      <w:r w:rsidRPr="00775F17">
        <w:tab/>
      </w:r>
      <w:r w:rsidRPr="00775F17">
        <w:rPr>
          <w:i/>
        </w:rPr>
        <w:t>Solicitor</w:t>
      </w:r>
      <w:r>
        <w:rPr>
          <w:i/>
        </w:rPr>
        <w:t>s</w:t>
      </w:r>
      <w:r w:rsidRPr="00775F17">
        <w:rPr>
          <w:i/>
        </w:rPr>
        <w:t xml:space="preserve"> for the appellant: </w:t>
      </w:r>
      <w:r>
        <w:rPr>
          <w:i/>
        </w:rPr>
        <w:t>Dawe &amp; Dineen</w:t>
      </w:r>
      <w:r w:rsidRPr="00775F17">
        <w:rPr>
          <w:i/>
        </w:rPr>
        <w:t xml:space="preserve">, </w:t>
      </w:r>
      <w:r>
        <w:rPr>
          <w:i/>
        </w:rPr>
        <w:t>Toronto</w:t>
      </w:r>
      <w:r w:rsidRPr="00775F17">
        <w:rPr>
          <w:i/>
        </w:rPr>
        <w:t>.</w:t>
      </w:r>
    </w:p>
    <w:p w14:paraId="44200425" w14:textId="77777777" w:rsidR="00C93250" w:rsidRPr="00775F17" w:rsidRDefault="00C93250" w:rsidP="00C93250">
      <w:pPr>
        <w:pStyle w:val="SCCLawFirm"/>
      </w:pPr>
      <w:r w:rsidRPr="00775F17">
        <w:tab/>
      </w:r>
    </w:p>
    <w:p w14:paraId="1B4BD683" w14:textId="77777777" w:rsidR="00C93250" w:rsidRPr="00775F17" w:rsidRDefault="00C93250" w:rsidP="00C93250">
      <w:pPr>
        <w:pStyle w:val="SCCLawFirm"/>
      </w:pPr>
      <w:r w:rsidRPr="00775F17">
        <w:lastRenderedPageBreak/>
        <w:tab/>
        <w:t xml:space="preserve">Solicitor for the respondent: </w:t>
      </w:r>
      <w:r>
        <w:t>Public Prosecution Service of Canada</w:t>
      </w:r>
      <w:r w:rsidRPr="00775F17">
        <w:t xml:space="preserve">, </w:t>
      </w:r>
      <w:r>
        <w:t>Toronto</w:t>
      </w:r>
      <w:r w:rsidRPr="00775F17">
        <w:t>.</w:t>
      </w:r>
    </w:p>
    <w:p w14:paraId="4771159D" w14:textId="77777777" w:rsidR="00C93250" w:rsidRPr="00775F17" w:rsidRDefault="00C93250" w:rsidP="00C93250">
      <w:pPr>
        <w:pStyle w:val="SCCNormalDoubleSpacing"/>
      </w:pPr>
    </w:p>
    <w:p w14:paraId="58570073" w14:textId="77777777" w:rsidR="00C93250" w:rsidRDefault="00C93250" w:rsidP="00C93250">
      <w:pPr>
        <w:pStyle w:val="SCCLawFirm"/>
      </w:pPr>
      <w:r w:rsidRPr="00775F17">
        <w:tab/>
        <w:t>Solicitor</w:t>
      </w:r>
      <w:r>
        <w:t>s</w:t>
      </w:r>
      <w:r w:rsidRPr="00775F17">
        <w:t xml:space="preserve"> for the intervener: </w:t>
      </w:r>
      <w:r>
        <w:t>Stockwoods</w:t>
      </w:r>
      <w:r w:rsidRPr="00775F17">
        <w:t xml:space="preserve">, </w:t>
      </w:r>
      <w:r>
        <w:t>Toronto</w:t>
      </w:r>
      <w:r w:rsidRPr="00775F17">
        <w:t>.</w:t>
      </w:r>
    </w:p>
    <w:p w14:paraId="1CB92282" w14:textId="77777777" w:rsidR="00C93250" w:rsidRPr="00AC22E6" w:rsidRDefault="00C93250" w:rsidP="00C93250">
      <w:pPr>
        <w:pStyle w:val="SCCNormalDoubleSpacing"/>
      </w:pPr>
    </w:p>
    <w:p w14:paraId="1729571F" w14:textId="77777777" w:rsidR="00AC22E6" w:rsidRPr="00C93250" w:rsidRDefault="00AC22E6" w:rsidP="00C93250"/>
    <w:sectPr w:rsidR="00AC22E6" w:rsidRPr="00C93250" w:rsidSect="005D13CA">
      <w:pgSz w:w="12240" w:h="15840"/>
      <w:pgMar w:top="1440" w:right="1440" w:bottom="1440" w:left="144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97BED" w14:textId="77777777" w:rsidR="005F5F93" w:rsidRDefault="005F5F93">
      <w:r>
        <w:separator/>
      </w:r>
    </w:p>
  </w:endnote>
  <w:endnote w:type="continuationSeparator" w:id="0">
    <w:p w14:paraId="779F4E4C" w14:textId="77777777" w:rsidR="005F5F93" w:rsidRDefault="005F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3BBDC" w14:textId="77777777" w:rsidR="005F5F93" w:rsidRDefault="005F5F93">
      <w:r>
        <w:separator/>
      </w:r>
    </w:p>
  </w:footnote>
  <w:footnote w:type="continuationSeparator" w:id="0">
    <w:p w14:paraId="123A4905" w14:textId="77777777" w:rsidR="005F5F93" w:rsidRDefault="005F5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05F0A"/>
    <w:multiLevelType w:val="hybridMultilevel"/>
    <w:tmpl w:val="87DC71A6"/>
    <w:lvl w:ilvl="0" w:tplc="BD56451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removePersonalInformation/>
  <w:removeDateAndTime/>
  <w:bordersDoNotSurroundHeader/>
  <w:bordersDoNotSurroundFooter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1405C"/>
    <w:rsid w:val="00025198"/>
    <w:rsid w:val="000578A3"/>
    <w:rsid w:val="000648CC"/>
    <w:rsid w:val="00075172"/>
    <w:rsid w:val="000A1BF4"/>
    <w:rsid w:val="000B1581"/>
    <w:rsid w:val="000B672C"/>
    <w:rsid w:val="000C59B8"/>
    <w:rsid w:val="000C6AF0"/>
    <w:rsid w:val="000E14DB"/>
    <w:rsid w:val="000E3A57"/>
    <w:rsid w:val="00104F33"/>
    <w:rsid w:val="0011152E"/>
    <w:rsid w:val="00111DE2"/>
    <w:rsid w:val="0011302B"/>
    <w:rsid w:val="00116B38"/>
    <w:rsid w:val="00122FE6"/>
    <w:rsid w:val="00133B7D"/>
    <w:rsid w:val="00135406"/>
    <w:rsid w:val="00135972"/>
    <w:rsid w:val="001426A9"/>
    <w:rsid w:val="00145E81"/>
    <w:rsid w:val="00154D7C"/>
    <w:rsid w:val="001570B0"/>
    <w:rsid w:val="0015752C"/>
    <w:rsid w:val="00157737"/>
    <w:rsid w:val="00165277"/>
    <w:rsid w:val="00170592"/>
    <w:rsid w:val="001833C1"/>
    <w:rsid w:val="00186351"/>
    <w:rsid w:val="00195D83"/>
    <w:rsid w:val="00195E61"/>
    <w:rsid w:val="001A00C1"/>
    <w:rsid w:val="001A1069"/>
    <w:rsid w:val="001B33E0"/>
    <w:rsid w:val="001B4573"/>
    <w:rsid w:val="001C779F"/>
    <w:rsid w:val="001D2AC1"/>
    <w:rsid w:val="001D37DE"/>
    <w:rsid w:val="001D4E88"/>
    <w:rsid w:val="001E4E02"/>
    <w:rsid w:val="00201ED9"/>
    <w:rsid w:val="00220FC2"/>
    <w:rsid w:val="002222F4"/>
    <w:rsid w:val="00224FC0"/>
    <w:rsid w:val="00225EA4"/>
    <w:rsid w:val="00226EAF"/>
    <w:rsid w:val="00231F3A"/>
    <w:rsid w:val="00234199"/>
    <w:rsid w:val="00235700"/>
    <w:rsid w:val="00237348"/>
    <w:rsid w:val="002406EE"/>
    <w:rsid w:val="00243EC8"/>
    <w:rsid w:val="002642CF"/>
    <w:rsid w:val="00270D93"/>
    <w:rsid w:val="002745CC"/>
    <w:rsid w:val="00287FCE"/>
    <w:rsid w:val="002A5402"/>
    <w:rsid w:val="002B2A63"/>
    <w:rsid w:val="002B7924"/>
    <w:rsid w:val="002D28C3"/>
    <w:rsid w:val="002D39A4"/>
    <w:rsid w:val="002E6705"/>
    <w:rsid w:val="00301D08"/>
    <w:rsid w:val="0030329A"/>
    <w:rsid w:val="0031086F"/>
    <w:rsid w:val="0031414C"/>
    <w:rsid w:val="00314E01"/>
    <w:rsid w:val="0032089D"/>
    <w:rsid w:val="003226B9"/>
    <w:rsid w:val="003310DE"/>
    <w:rsid w:val="003323B0"/>
    <w:rsid w:val="0035169A"/>
    <w:rsid w:val="0035259D"/>
    <w:rsid w:val="00364170"/>
    <w:rsid w:val="00364B18"/>
    <w:rsid w:val="00366044"/>
    <w:rsid w:val="00375C28"/>
    <w:rsid w:val="00397F78"/>
    <w:rsid w:val="003A0E17"/>
    <w:rsid w:val="003A125D"/>
    <w:rsid w:val="003A4C70"/>
    <w:rsid w:val="003A4F02"/>
    <w:rsid w:val="003B215F"/>
    <w:rsid w:val="003C799C"/>
    <w:rsid w:val="003D0399"/>
    <w:rsid w:val="003E1C71"/>
    <w:rsid w:val="003E6071"/>
    <w:rsid w:val="003F327B"/>
    <w:rsid w:val="0040026B"/>
    <w:rsid w:val="00406166"/>
    <w:rsid w:val="0040704B"/>
    <w:rsid w:val="00410A55"/>
    <w:rsid w:val="00411300"/>
    <w:rsid w:val="00415417"/>
    <w:rsid w:val="00426659"/>
    <w:rsid w:val="0043757D"/>
    <w:rsid w:val="00450352"/>
    <w:rsid w:val="00454BDB"/>
    <w:rsid w:val="004615C8"/>
    <w:rsid w:val="00464800"/>
    <w:rsid w:val="00465132"/>
    <w:rsid w:val="00480C90"/>
    <w:rsid w:val="0048396F"/>
    <w:rsid w:val="00492A14"/>
    <w:rsid w:val="00493C18"/>
    <w:rsid w:val="004A600C"/>
    <w:rsid w:val="004A6118"/>
    <w:rsid w:val="004C478D"/>
    <w:rsid w:val="004C492C"/>
    <w:rsid w:val="004E0C56"/>
    <w:rsid w:val="004E2C26"/>
    <w:rsid w:val="004E5A34"/>
    <w:rsid w:val="004F36FF"/>
    <w:rsid w:val="004F7750"/>
    <w:rsid w:val="005015CA"/>
    <w:rsid w:val="005125A8"/>
    <w:rsid w:val="00521AE8"/>
    <w:rsid w:val="00525312"/>
    <w:rsid w:val="00527180"/>
    <w:rsid w:val="0054201E"/>
    <w:rsid w:val="005437B2"/>
    <w:rsid w:val="0055140A"/>
    <w:rsid w:val="00555291"/>
    <w:rsid w:val="00566AD1"/>
    <w:rsid w:val="00572EBD"/>
    <w:rsid w:val="00583EDE"/>
    <w:rsid w:val="005A268E"/>
    <w:rsid w:val="005A6079"/>
    <w:rsid w:val="005A7F6D"/>
    <w:rsid w:val="005B68AD"/>
    <w:rsid w:val="005C7222"/>
    <w:rsid w:val="005E4698"/>
    <w:rsid w:val="005E6A9C"/>
    <w:rsid w:val="005F5F93"/>
    <w:rsid w:val="0060580F"/>
    <w:rsid w:val="00605CDA"/>
    <w:rsid w:val="00610539"/>
    <w:rsid w:val="00613969"/>
    <w:rsid w:val="00622CEF"/>
    <w:rsid w:val="00625C35"/>
    <w:rsid w:val="00632D69"/>
    <w:rsid w:val="00656313"/>
    <w:rsid w:val="006565F4"/>
    <w:rsid w:val="00665825"/>
    <w:rsid w:val="00684EEA"/>
    <w:rsid w:val="0069689B"/>
    <w:rsid w:val="006978A5"/>
    <w:rsid w:val="006A1551"/>
    <w:rsid w:val="006B5FF5"/>
    <w:rsid w:val="006C32E7"/>
    <w:rsid w:val="006F135A"/>
    <w:rsid w:val="006F30AF"/>
    <w:rsid w:val="00701759"/>
    <w:rsid w:val="00705C15"/>
    <w:rsid w:val="0071600E"/>
    <w:rsid w:val="007208D1"/>
    <w:rsid w:val="007260DD"/>
    <w:rsid w:val="00747288"/>
    <w:rsid w:val="00747DD3"/>
    <w:rsid w:val="00751CCC"/>
    <w:rsid w:val="007549C8"/>
    <w:rsid w:val="00754A0B"/>
    <w:rsid w:val="00760794"/>
    <w:rsid w:val="00766D14"/>
    <w:rsid w:val="00767A0F"/>
    <w:rsid w:val="00770903"/>
    <w:rsid w:val="00775F17"/>
    <w:rsid w:val="007A05F6"/>
    <w:rsid w:val="007A3B48"/>
    <w:rsid w:val="007B56C6"/>
    <w:rsid w:val="007B6F4A"/>
    <w:rsid w:val="007E1C47"/>
    <w:rsid w:val="007E337A"/>
    <w:rsid w:val="007E5C70"/>
    <w:rsid w:val="007F04D3"/>
    <w:rsid w:val="007F2FF5"/>
    <w:rsid w:val="007F3F08"/>
    <w:rsid w:val="008027D3"/>
    <w:rsid w:val="00804CC6"/>
    <w:rsid w:val="00817190"/>
    <w:rsid w:val="00820EE5"/>
    <w:rsid w:val="008260E2"/>
    <w:rsid w:val="008322BD"/>
    <w:rsid w:val="00833E0A"/>
    <w:rsid w:val="00834F73"/>
    <w:rsid w:val="00847733"/>
    <w:rsid w:val="008542B1"/>
    <w:rsid w:val="00864CF8"/>
    <w:rsid w:val="00872819"/>
    <w:rsid w:val="00874914"/>
    <w:rsid w:val="00891422"/>
    <w:rsid w:val="00892E1A"/>
    <w:rsid w:val="008A3F29"/>
    <w:rsid w:val="008B4EA7"/>
    <w:rsid w:val="008B6279"/>
    <w:rsid w:val="008B660A"/>
    <w:rsid w:val="008C01DA"/>
    <w:rsid w:val="008C456E"/>
    <w:rsid w:val="008D3272"/>
    <w:rsid w:val="008E154A"/>
    <w:rsid w:val="008F78E9"/>
    <w:rsid w:val="00906875"/>
    <w:rsid w:val="00911989"/>
    <w:rsid w:val="009179F9"/>
    <w:rsid w:val="00933E5E"/>
    <w:rsid w:val="00935218"/>
    <w:rsid w:val="009403F3"/>
    <w:rsid w:val="00941F89"/>
    <w:rsid w:val="009555B7"/>
    <w:rsid w:val="009567AA"/>
    <w:rsid w:val="009572D2"/>
    <w:rsid w:val="00967374"/>
    <w:rsid w:val="009770FA"/>
    <w:rsid w:val="0099206F"/>
    <w:rsid w:val="009A343A"/>
    <w:rsid w:val="009B2F23"/>
    <w:rsid w:val="009B57B3"/>
    <w:rsid w:val="009B70AB"/>
    <w:rsid w:val="009C5B92"/>
    <w:rsid w:val="009D1BF9"/>
    <w:rsid w:val="009D2920"/>
    <w:rsid w:val="009D51F3"/>
    <w:rsid w:val="009D5AEB"/>
    <w:rsid w:val="009E047E"/>
    <w:rsid w:val="009F0E33"/>
    <w:rsid w:val="00A030CE"/>
    <w:rsid w:val="00A03569"/>
    <w:rsid w:val="00A040B9"/>
    <w:rsid w:val="00A06ACC"/>
    <w:rsid w:val="00A149DF"/>
    <w:rsid w:val="00A1755C"/>
    <w:rsid w:val="00A21679"/>
    <w:rsid w:val="00A21B90"/>
    <w:rsid w:val="00A41805"/>
    <w:rsid w:val="00A42DCD"/>
    <w:rsid w:val="00A52AFB"/>
    <w:rsid w:val="00A5428E"/>
    <w:rsid w:val="00A548CB"/>
    <w:rsid w:val="00A5521C"/>
    <w:rsid w:val="00A643E7"/>
    <w:rsid w:val="00A73C38"/>
    <w:rsid w:val="00A74A3C"/>
    <w:rsid w:val="00AA763E"/>
    <w:rsid w:val="00AB1AA6"/>
    <w:rsid w:val="00AB38AE"/>
    <w:rsid w:val="00AB670D"/>
    <w:rsid w:val="00AC22E6"/>
    <w:rsid w:val="00AD3080"/>
    <w:rsid w:val="00AE1A92"/>
    <w:rsid w:val="00AE2086"/>
    <w:rsid w:val="00AE4535"/>
    <w:rsid w:val="00AF03C5"/>
    <w:rsid w:val="00AF5426"/>
    <w:rsid w:val="00B000D8"/>
    <w:rsid w:val="00B00F75"/>
    <w:rsid w:val="00B145B6"/>
    <w:rsid w:val="00B2035B"/>
    <w:rsid w:val="00B2580F"/>
    <w:rsid w:val="00B279EB"/>
    <w:rsid w:val="00B50C81"/>
    <w:rsid w:val="00B53A67"/>
    <w:rsid w:val="00B557F8"/>
    <w:rsid w:val="00B66189"/>
    <w:rsid w:val="00B815FC"/>
    <w:rsid w:val="00B87601"/>
    <w:rsid w:val="00B93FBC"/>
    <w:rsid w:val="00BA7DA0"/>
    <w:rsid w:val="00BB1E85"/>
    <w:rsid w:val="00BB2EE4"/>
    <w:rsid w:val="00BC2108"/>
    <w:rsid w:val="00BD0E9E"/>
    <w:rsid w:val="00BD1BEC"/>
    <w:rsid w:val="00BD32FF"/>
    <w:rsid w:val="00BF672F"/>
    <w:rsid w:val="00C02092"/>
    <w:rsid w:val="00C24D91"/>
    <w:rsid w:val="00C32704"/>
    <w:rsid w:val="00C53F14"/>
    <w:rsid w:val="00C57765"/>
    <w:rsid w:val="00C600CF"/>
    <w:rsid w:val="00C6084F"/>
    <w:rsid w:val="00C62A66"/>
    <w:rsid w:val="00C71458"/>
    <w:rsid w:val="00C71911"/>
    <w:rsid w:val="00C77613"/>
    <w:rsid w:val="00C828E7"/>
    <w:rsid w:val="00C86719"/>
    <w:rsid w:val="00C921DD"/>
    <w:rsid w:val="00C93250"/>
    <w:rsid w:val="00CA6391"/>
    <w:rsid w:val="00CC34BD"/>
    <w:rsid w:val="00CD7F28"/>
    <w:rsid w:val="00CE161A"/>
    <w:rsid w:val="00CE3171"/>
    <w:rsid w:val="00CF1601"/>
    <w:rsid w:val="00D003BA"/>
    <w:rsid w:val="00D0172F"/>
    <w:rsid w:val="00D01FE7"/>
    <w:rsid w:val="00D068A7"/>
    <w:rsid w:val="00D17476"/>
    <w:rsid w:val="00D32086"/>
    <w:rsid w:val="00D37A3F"/>
    <w:rsid w:val="00D4431D"/>
    <w:rsid w:val="00D4667A"/>
    <w:rsid w:val="00D4776F"/>
    <w:rsid w:val="00D50713"/>
    <w:rsid w:val="00D63A1C"/>
    <w:rsid w:val="00D7142F"/>
    <w:rsid w:val="00D7516F"/>
    <w:rsid w:val="00D827D5"/>
    <w:rsid w:val="00D8579F"/>
    <w:rsid w:val="00D95F8E"/>
    <w:rsid w:val="00D97642"/>
    <w:rsid w:val="00DA0590"/>
    <w:rsid w:val="00DB7BEA"/>
    <w:rsid w:val="00DC1739"/>
    <w:rsid w:val="00DC1788"/>
    <w:rsid w:val="00DD205C"/>
    <w:rsid w:val="00DE319C"/>
    <w:rsid w:val="00DE4766"/>
    <w:rsid w:val="00DE48FD"/>
    <w:rsid w:val="00DE58AA"/>
    <w:rsid w:val="00DF0CA8"/>
    <w:rsid w:val="00DF2B48"/>
    <w:rsid w:val="00DF49A7"/>
    <w:rsid w:val="00E07EE2"/>
    <w:rsid w:val="00E07FD1"/>
    <w:rsid w:val="00E11D46"/>
    <w:rsid w:val="00E176D8"/>
    <w:rsid w:val="00E24573"/>
    <w:rsid w:val="00E25E1E"/>
    <w:rsid w:val="00E27EE7"/>
    <w:rsid w:val="00E322A2"/>
    <w:rsid w:val="00E35404"/>
    <w:rsid w:val="00E45109"/>
    <w:rsid w:val="00E47B7A"/>
    <w:rsid w:val="00E56A44"/>
    <w:rsid w:val="00E60269"/>
    <w:rsid w:val="00E6533B"/>
    <w:rsid w:val="00E77932"/>
    <w:rsid w:val="00E923E3"/>
    <w:rsid w:val="00E97830"/>
    <w:rsid w:val="00EE643C"/>
    <w:rsid w:val="00EF0683"/>
    <w:rsid w:val="00EF5AF3"/>
    <w:rsid w:val="00EF69D2"/>
    <w:rsid w:val="00EF766E"/>
    <w:rsid w:val="00F0070C"/>
    <w:rsid w:val="00F00EB7"/>
    <w:rsid w:val="00F127B5"/>
    <w:rsid w:val="00F332D0"/>
    <w:rsid w:val="00F36AB6"/>
    <w:rsid w:val="00F37A09"/>
    <w:rsid w:val="00F409CE"/>
    <w:rsid w:val="00F4379D"/>
    <w:rsid w:val="00F45727"/>
    <w:rsid w:val="00F46695"/>
    <w:rsid w:val="00F50D2D"/>
    <w:rsid w:val="00F55785"/>
    <w:rsid w:val="00F56C8B"/>
    <w:rsid w:val="00F66810"/>
    <w:rsid w:val="00F73703"/>
    <w:rsid w:val="00F846D9"/>
    <w:rsid w:val="00F84DF4"/>
    <w:rsid w:val="00F85C97"/>
    <w:rsid w:val="00FA28B6"/>
    <w:rsid w:val="00FA3457"/>
    <w:rsid w:val="00FB37D2"/>
    <w:rsid w:val="00FC4EFB"/>
    <w:rsid w:val="00FD068D"/>
    <w:rsid w:val="00FD4F28"/>
    <w:rsid w:val="00FD67FD"/>
    <w:rsid w:val="00FE6784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64C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paragraph" w:styleId="ListParagraph">
    <w:name w:val="List Paragraph"/>
    <w:basedOn w:val="Normal"/>
    <w:uiPriority w:val="34"/>
    <w:qFormat/>
    <w:rsid w:val="00760794"/>
    <w:pPr>
      <w:ind w:left="720"/>
      <w:contextualSpacing/>
    </w:pPr>
  </w:style>
  <w:style w:type="paragraph" w:customStyle="1" w:styleId="ParaNoNdepar-AltN">
    <w:name w:val="Para. No. / Nº de par. - Alt N"/>
    <w:qFormat/>
    <w:rsid w:val="004615C8"/>
    <w:pPr>
      <w:tabs>
        <w:tab w:val="num" w:pos="720"/>
        <w:tab w:val="left" w:pos="1166"/>
      </w:tabs>
      <w:spacing w:before="480" w:after="480" w:line="480" w:lineRule="auto"/>
      <w:ind w:left="720" w:hanging="720"/>
      <w:jc w:val="both"/>
    </w:pPr>
    <w:rPr>
      <w:rFonts w:eastAsiaTheme="minorEastAsia" w:cstheme="minorBidi"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3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0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0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02B"/>
    <w:rPr>
      <w:b/>
      <w:bCs/>
    </w:rPr>
  </w:style>
  <w:style w:type="table" w:styleId="TableGrid">
    <w:name w:val="Table Grid"/>
    <w:basedOn w:val="TableNormal"/>
    <w:uiPriority w:val="59"/>
    <w:rsid w:val="000B672C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0B672C"/>
    <w:rPr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0B672C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0B672C"/>
    <w:rPr>
      <w:rFonts w:eastAsiaTheme="minorHAnsi" w:cstheme="minorBidi"/>
      <w:b/>
      <w:smallCaps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0B672C"/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2021-11-04T13:52:00Z</dcterms:created>
  <dcterms:modified xsi:type="dcterms:W3CDTF">2023-01-25T02:08:00Z</dcterms:modified>
</cp:coreProperties>
</file>