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57" w:type="dxa"/>
          <w:bottom w:w="57" w:type="dxa"/>
          <w:right w:w="57" w:type="dxa"/>
        </w:tblCellMar>
        <w:tblLook w:val="04A0" w:firstRow="1" w:lastRow="0" w:firstColumn="1" w:lastColumn="0" w:noHBand="0" w:noVBand="1"/>
      </w:tblPr>
      <w:tblGrid>
        <w:gridCol w:w="3491"/>
        <w:gridCol w:w="1903"/>
        <w:gridCol w:w="2868"/>
        <w:gridCol w:w="18"/>
      </w:tblGrid>
      <w:tr w:rsidR="005B052D" w:rsidTr="008E32ED">
        <w:trPr>
          <w:trHeight w:val="1784"/>
        </w:trPr>
        <w:tc>
          <w:tcPr>
            <w:tcW w:w="5000" w:type="pct"/>
            <w:gridSpan w:val="4"/>
          </w:tcPr>
          <w:p w:rsidR="005B052D" w:rsidRDefault="005B052D" w:rsidP="008E32ED">
            <w:pPr>
              <w:jc w:val="center"/>
            </w:pPr>
            <w:r w:rsidRPr="00C22905">
              <w:rPr>
                <w:rFonts w:eastAsia="Calibri"/>
                <w:szCs w:val="24"/>
                <w:lang w:eastAsia="en-US"/>
              </w:rP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8pt;height:64.8pt" o:ole="">
                  <v:imagedata r:id="rId8" o:title=""/>
                </v:shape>
                <o:OLEObject Type="Embed" ProgID="Presentations.Drawing.15" ShapeID="_x0000_i1025" DrawAspect="Content" ObjectID="_1766496168" r:id="rId9"/>
              </w:object>
            </w:r>
          </w:p>
          <w:p w:rsidR="005B052D" w:rsidRDefault="005B052D" w:rsidP="008E32ED">
            <w:pPr>
              <w:spacing w:before="120" w:after="100" w:afterAutospacing="1"/>
              <w:jc w:val="center"/>
              <w:rPr>
                <w:rFonts w:eastAsia="Calibri"/>
              </w:rPr>
            </w:pPr>
            <w:r w:rsidRPr="00C22905">
              <w:rPr>
                <w:rFonts w:eastAsia="Calibri"/>
                <w:b/>
                <w:szCs w:val="24"/>
                <w:lang w:eastAsia="en-US"/>
              </w:rPr>
              <w:t>SUPREME COURT OF CANADA</w:t>
            </w:r>
          </w:p>
        </w:tc>
      </w:tr>
      <w:tr w:rsidR="005B052D" w:rsidTr="008E32ED">
        <w:trPr>
          <w:gridAfter w:val="1"/>
          <w:wAfter w:w="11" w:type="pct"/>
        </w:trPr>
        <w:tc>
          <w:tcPr>
            <w:tcW w:w="2108" w:type="pct"/>
            <w:tcMar>
              <w:top w:w="284" w:type="dxa"/>
            </w:tcMar>
          </w:tcPr>
          <w:p w:rsidR="005B052D" w:rsidRPr="003D3EFA" w:rsidRDefault="005B052D" w:rsidP="008E32ED">
            <w:pPr>
              <w:spacing w:before="100" w:beforeAutospacing="1"/>
              <w:rPr>
                <w:rFonts w:eastAsia="Calibri"/>
              </w:rPr>
            </w:pPr>
            <w:r w:rsidRPr="006B210C">
              <w:rPr>
                <w:b/>
                <w:smallCaps/>
              </w:rPr>
              <w:t>Citation</w:t>
            </w:r>
            <w:r>
              <w:rPr>
                <w:b/>
                <w:smallCaps/>
              </w:rPr>
              <w:t>:</w:t>
            </w:r>
            <w:r w:rsidRPr="006B210C">
              <w:t xml:space="preserve"> </w:t>
            </w:r>
            <w:r>
              <w:t xml:space="preserve">R. </w:t>
            </w:r>
            <w:r>
              <w:rPr>
                <w:i/>
              </w:rPr>
              <w:t>v.</w:t>
            </w:r>
            <w:r>
              <w:t xml:space="preserve"> Waterman, 2021 SCC 5, [2021] 1 S.C.R</w:t>
            </w:r>
            <w:r w:rsidRPr="00AC23A1">
              <w:t>. 14</w:t>
            </w:r>
          </w:p>
        </w:tc>
        <w:tc>
          <w:tcPr>
            <w:tcW w:w="1149" w:type="pct"/>
          </w:tcPr>
          <w:p w:rsidR="005B052D" w:rsidRDefault="005B052D" w:rsidP="008E32ED">
            <w:pPr>
              <w:rPr>
                <w:b/>
                <w:smallCaps/>
              </w:rPr>
            </w:pPr>
          </w:p>
        </w:tc>
        <w:tc>
          <w:tcPr>
            <w:tcW w:w="1732" w:type="pct"/>
            <w:tcMar>
              <w:top w:w="284" w:type="dxa"/>
            </w:tcMar>
          </w:tcPr>
          <w:p w:rsidR="005B052D" w:rsidRPr="006B210C" w:rsidRDefault="005B052D" w:rsidP="008E32ED">
            <w:r>
              <w:rPr>
                <w:b/>
                <w:smallCaps/>
              </w:rPr>
              <w:t>Appeal Heard:</w:t>
            </w:r>
            <w:r w:rsidRPr="006B210C">
              <w:t xml:space="preserve"> </w:t>
            </w:r>
            <w:r>
              <w:t>January 22, 2021</w:t>
            </w:r>
          </w:p>
          <w:p w:rsidR="005B052D" w:rsidRDefault="005B052D" w:rsidP="008E32ED">
            <w:r>
              <w:rPr>
                <w:b/>
                <w:smallCaps/>
              </w:rPr>
              <w:t>Judgment Rendered:</w:t>
            </w:r>
            <w:r w:rsidRPr="006B210C">
              <w:t xml:space="preserve"> </w:t>
            </w:r>
            <w:r>
              <w:t>January 22, 2021</w:t>
            </w:r>
          </w:p>
          <w:p w:rsidR="005B052D" w:rsidRPr="006B210C" w:rsidRDefault="005B052D" w:rsidP="008E32ED">
            <w:r w:rsidRPr="00527E81">
              <w:rPr>
                <w:b/>
                <w:smallCaps/>
              </w:rPr>
              <w:t>Docket:</w:t>
            </w:r>
            <w:r>
              <w:t xml:space="preserve"> 39214</w:t>
            </w:r>
          </w:p>
        </w:tc>
      </w:tr>
      <w:tr w:rsidR="005B052D" w:rsidTr="008E32ED">
        <w:tc>
          <w:tcPr>
            <w:tcW w:w="5000" w:type="pct"/>
            <w:gridSpan w:val="4"/>
          </w:tcPr>
          <w:p w:rsidR="005B052D" w:rsidRDefault="005B052D" w:rsidP="008E32ED">
            <w:pPr>
              <w:rPr>
                <w:rFonts w:eastAsiaTheme="minorHAnsi" w:cstheme="minorBidi"/>
                <w:b/>
                <w:szCs w:val="24"/>
                <w:lang w:eastAsia="en-US"/>
              </w:rPr>
            </w:pPr>
          </w:p>
          <w:p w:rsidR="005B052D" w:rsidRDefault="005B052D" w:rsidP="008E32ED">
            <w:pPr>
              <w:rPr>
                <w:rFonts w:eastAsiaTheme="minorHAnsi" w:cstheme="minorBidi"/>
                <w:b/>
                <w:smallCaps/>
                <w:szCs w:val="24"/>
                <w:lang w:val="en-US" w:eastAsia="en-US"/>
              </w:rPr>
            </w:pPr>
            <w:r w:rsidRPr="00E42546">
              <w:rPr>
                <w:rFonts w:eastAsiaTheme="minorHAnsi" w:cstheme="minorBidi"/>
                <w:b/>
                <w:smallCaps/>
                <w:szCs w:val="24"/>
                <w:lang w:val="en-US" w:eastAsia="en-US"/>
              </w:rPr>
              <w:t>Between</w:t>
            </w:r>
            <w:r>
              <w:rPr>
                <w:rFonts w:eastAsiaTheme="minorHAnsi" w:cstheme="minorBidi"/>
                <w:b/>
                <w:smallCaps/>
                <w:szCs w:val="24"/>
                <w:lang w:val="en-US" w:eastAsia="en-US"/>
              </w:rPr>
              <w:t>:</w:t>
            </w:r>
          </w:p>
          <w:p w:rsidR="005B052D" w:rsidRPr="004A4030" w:rsidRDefault="005B052D" w:rsidP="008E32ED">
            <w:pPr>
              <w:rPr>
                <w:rFonts w:eastAsiaTheme="minorHAnsi" w:cstheme="minorBidi"/>
                <w:b/>
                <w:smallCaps/>
                <w:szCs w:val="24"/>
                <w:lang w:val="en-US" w:eastAsia="en-US"/>
              </w:rPr>
            </w:pPr>
          </w:p>
          <w:p w:rsidR="005B052D" w:rsidRPr="004A4030" w:rsidRDefault="005B052D" w:rsidP="008E32ED">
            <w:pPr>
              <w:jc w:val="center"/>
              <w:rPr>
                <w:rFonts w:eastAsiaTheme="minorHAnsi" w:cstheme="minorBidi"/>
                <w:b/>
                <w:szCs w:val="24"/>
                <w:lang w:val="en-US" w:eastAsia="en-US"/>
              </w:rPr>
            </w:pPr>
            <w:r w:rsidRPr="00E42546">
              <w:rPr>
                <w:rFonts w:eastAsiaTheme="minorHAnsi" w:cstheme="minorBidi"/>
                <w:b/>
                <w:szCs w:val="24"/>
                <w:lang w:val="en-US" w:eastAsia="en-US"/>
              </w:rPr>
              <w:t>Her Majesty The Queen</w:t>
            </w:r>
          </w:p>
          <w:p w:rsidR="005B052D" w:rsidRPr="00E42546" w:rsidRDefault="005B052D" w:rsidP="008E32ED">
            <w:pPr>
              <w:jc w:val="center"/>
              <w:rPr>
                <w:rFonts w:eastAsiaTheme="minorHAnsi" w:cstheme="minorBidi"/>
                <w:szCs w:val="24"/>
                <w:lang w:val="en-US" w:eastAsia="en-US"/>
              </w:rPr>
            </w:pPr>
            <w:r w:rsidRPr="00E42546">
              <w:rPr>
                <w:rFonts w:eastAsiaTheme="minorHAnsi" w:cstheme="minorBidi"/>
                <w:szCs w:val="24"/>
                <w:lang w:val="en-US" w:eastAsia="en-US"/>
              </w:rPr>
              <w:t>A</w:t>
            </w:r>
            <w:r>
              <w:rPr>
                <w:rFonts w:eastAsiaTheme="minorHAnsi" w:cstheme="minorBidi"/>
                <w:szCs w:val="24"/>
                <w:lang w:val="en-US" w:eastAsia="en-US"/>
              </w:rPr>
              <w:t>ppellant</w:t>
            </w:r>
          </w:p>
          <w:p w:rsidR="005B052D" w:rsidRPr="004A4030" w:rsidRDefault="005B052D" w:rsidP="008E32ED">
            <w:pPr>
              <w:jc w:val="center"/>
              <w:rPr>
                <w:rFonts w:eastAsiaTheme="minorHAnsi" w:cstheme="minorBidi"/>
                <w:szCs w:val="24"/>
                <w:lang w:val="en-US" w:eastAsia="en-US"/>
              </w:rPr>
            </w:pPr>
          </w:p>
          <w:p w:rsidR="005B052D" w:rsidRPr="00226E61" w:rsidRDefault="005B052D" w:rsidP="008E32ED">
            <w:pPr>
              <w:jc w:val="center"/>
              <w:rPr>
                <w:rFonts w:eastAsiaTheme="minorHAnsi" w:cstheme="minorBidi"/>
                <w:szCs w:val="24"/>
                <w:lang w:val="en-US" w:eastAsia="en-US"/>
              </w:rPr>
            </w:pPr>
            <w:r w:rsidRPr="00226E61">
              <w:rPr>
                <w:rFonts w:eastAsiaTheme="minorHAnsi" w:cstheme="minorBidi"/>
                <w:szCs w:val="24"/>
                <w:lang w:val="en-US" w:eastAsia="en-US"/>
              </w:rPr>
              <w:t>and</w:t>
            </w:r>
          </w:p>
          <w:p w:rsidR="005B052D" w:rsidRPr="00226E61" w:rsidRDefault="005B052D" w:rsidP="008E32ED">
            <w:pPr>
              <w:jc w:val="center"/>
              <w:rPr>
                <w:rFonts w:eastAsiaTheme="minorHAnsi" w:cstheme="minorBidi"/>
                <w:szCs w:val="24"/>
                <w:lang w:val="en-US" w:eastAsia="en-US"/>
              </w:rPr>
            </w:pPr>
          </w:p>
          <w:p w:rsidR="005B052D" w:rsidRPr="00226E61" w:rsidRDefault="005B052D" w:rsidP="008E32ED">
            <w:pPr>
              <w:jc w:val="center"/>
              <w:rPr>
                <w:rFonts w:eastAsiaTheme="minorHAnsi" w:cstheme="minorBidi"/>
                <w:b/>
                <w:szCs w:val="24"/>
                <w:lang w:val="en-US" w:eastAsia="en-US"/>
              </w:rPr>
            </w:pPr>
            <w:r w:rsidRPr="00226E61">
              <w:rPr>
                <w:rFonts w:eastAsiaTheme="minorHAnsi" w:cstheme="minorBidi"/>
                <w:b/>
                <w:szCs w:val="24"/>
                <w:lang w:val="en-US" w:eastAsia="en-US"/>
              </w:rPr>
              <w:t>Angus Frederick Waterman</w:t>
            </w:r>
          </w:p>
          <w:p w:rsidR="005B052D" w:rsidRPr="00226E61" w:rsidRDefault="005B052D" w:rsidP="008E32ED">
            <w:pPr>
              <w:jc w:val="center"/>
              <w:rPr>
                <w:rFonts w:eastAsiaTheme="minorHAnsi" w:cstheme="minorBidi"/>
                <w:szCs w:val="24"/>
                <w:lang w:val="en-US" w:eastAsia="en-US"/>
              </w:rPr>
            </w:pPr>
            <w:r w:rsidRPr="00226E61">
              <w:rPr>
                <w:rFonts w:eastAsiaTheme="minorHAnsi" w:cstheme="minorBidi"/>
                <w:szCs w:val="24"/>
                <w:lang w:val="en-US" w:eastAsia="en-US"/>
              </w:rPr>
              <w:t>Respondent</w:t>
            </w:r>
          </w:p>
          <w:p w:rsidR="005B052D" w:rsidRPr="00226E61" w:rsidRDefault="005B052D" w:rsidP="008E32ED">
            <w:pPr>
              <w:jc w:val="center"/>
              <w:rPr>
                <w:rFonts w:eastAsiaTheme="minorHAnsi" w:cstheme="minorBidi"/>
                <w:szCs w:val="24"/>
                <w:lang w:val="en-US" w:eastAsia="en-US"/>
              </w:rPr>
            </w:pPr>
          </w:p>
          <w:p w:rsidR="005B052D" w:rsidRPr="00746121" w:rsidRDefault="005B052D" w:rsidP="008E32ED">
            <w:pPr>
              <w:jc w:val="center"/>
              <w:rPr>
                <w:rFonts w:eastAsiaTheme="minorHAnsi" w:cstheme="minorBidi"/>
                <w:szCs w:val="24"/>
                <w:lang w:eastAsia="en-US"/>
              </w:rPr>
            </w:pPr>
            <w:r w:rsidRPr="00746121">
              <w:rPr>
                <w:rFonts w:eastAsiaTheme="minorHAnsi" w:cstheme="minorBidi"/>
                <w:szCs w:val="24"/>
                <w:lang w:eastAsia="en-US"/>
              </w:rPr>
              <w:t>- and -</w:t>
            </w:r>
          </w:p>
          <w:p w:rsidR="005B052D" w:rsidRPr="00226E61" w:rsidRDefault="005B052D" w:rsidP="008E32ED">
            <w:pPr>
              <w:jc w:val="center"/>
              <w:rPr>
                <w:rFonts w:eastAsiaTheme="minorHAnsi"/>
                <w:szCs w:val="24"/>
                <w:lang w:val="en-US"/>
              </w:rPr>
            </w:pPr>
          </w:p>
          <w:p w:rsidR="005B052D" w:rsidRDefault="005B052D" w:rsidP="008E32ED">
            <w:pPr>
              <w:jc w:val="center"/>
              <w:rPr>
                <w:rFonts w:eastAsiaTheme="minorHAnsi"/>
                <w:b/>
                <w:szCs w:val="24"/>
                <w:lang w:val="en-US"/>
              </w:rPr>
            </w:pPr>
            <w:r w:rsidRPr="00FE03B5">
              <w:rPr>
                <w:rFonts w:eastAsiaTheme="minorHAnsi"/>
                <w:b/>
                <w:szCs w:val="24"/>
                <w:lang w:val="en-US"/>
              </w:rPr>
              <w:t>Attorney General of Ontario and C</w:t>
            </w:r>
            <w:r>
              <w:rPr>
                <w:rFonts w:eastAsiaTheme="minorHAnsi"/>
                <w:b/>
                <w:szCs w:val="24"/>
                <w:lang w:val="en-US"/>
              </w:rPr>
              <w:t>riminal Lawyers’ Association (Ontario)</w:t>
            </w:r>
          </w:p>
          <w:p w:rsidR="005B052D" w:rsidRPr="00FE03B5" w:rsidRDefault="005B052D" w:rsidP="008E32ED">
            <w:pPr>
              <w:jc w:val="center"/>
              <w:rPr>
                <w:rFonts w:eastAsiaTheme="minorHAnsi"/>
                <w:szCs w:val="24"/>
                <w:lang w:val="en-US"/>
              </w:rPr>
            </w:pPr>
            <w:r>
              <w:rPr>
                <w:rFonts w:eastAsiaTheme="minorHAnsi"/>
                <w:szCs w:val="24"/>
                <w:lang w:val="en-US"/>
              </w:rPr>
              <w:t>Interveners</w:t>
            </w:r>
          </w:p>
          <w:p w:rsidR="005B052D" w:rsidRPr="00C22905" w:rsidRDefault="005B052D" w:rsidP="008E32ED">
            <w:pPr>
              <w:rPr>
                <w:b/>
                <w:smallCaps/>
              </w:rPr>
            </w:pPr>
          </w:p>
        </w:tc>
      </w:tr>
    </w:tbl>
    <w:tbl>
      <w:tblPr>
        <w:tblStyle w:val="TableGrid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280"/>
        <w:gridCol w:w="6982"/>
        <w:gridCol w:w="18"/>
      </w:tblGrid>
      <w:tr w:rsidR="005B052D" w:rsidRPr="00C22905" w:rsidTr="008E32ED">
        <w:trPr>
          <w:cantSplit/>
          <w:trHeight w:val="508"/>
        </w:trPr>
        <w:tc>
          <w:tcPr>
            <w:tcW w:w="5000" w:type="pct"/>
            <w:gridSpan w:val="3"/>
            <w:tcMar>
              <w:top w:w="284" w:type="dxa"/>
              <w:bottom w:w="57" w:type="dxa"/>
            </w:tcMar>
            <w:vAlign w:val="center"/>
          </w:tcPr>
          <w:p w:rsidR="005B052D" w:rsidRDefault="005B052D" w:rsidP="008E32ED">
            <w:r w:rsidRPr="006B210C">
              <w:rPr>
                <w:b/>
                <w:smallCaps/>
              </w:rPr>
              <w:t>Coram</w:t>
            </w:r>
            <w:r>
              <w:rPr>
                <w:b/>
                <w:smallCaps/>
              </w:rPr>
              <w:t>:</w:t>
            </w:r>
            <w:r w:rsidRPr="006B210C">
              <w:t xml:space="preserve"> </w:t>
            </w:r>
            <w:r>
              <w:t>Wagner C.J. and Abella, Moldaver, Karakatsanis, Brown, Rowe and Martin JJ.</w:t>
            </w:r>
          </w:p>
          <w:p w:rsidR="005B052D" w:rsidRPr="00C22905" w:rsidRDefault="005B052D" w:rsidP="008E32ED"/>
        </w:tc>
      </w:tr>
      <w:tr w:rsidR="005B052D" w:rsidRPr="00C4140B" w:rsidTr="008E32ED">
        <w:trPr>
          <w:gridAfter w:val="1"/>
          <w:wAfter w:w="11" w:type="pct"/>
          <w:cantSplit/>
          <w:trHeight w:val="508"/>
        </w:trPr>
        <w:tc>
          <w:tcPr>
            <w:tcW w:w="773" w:type="pct"/>
            <w:tcMar>
              <w:top w:w="28" w:type="dxa"/>
              <w:left w:w="57" w:type="dxa"/>
              <w:bottom w:w="57" w:type="dxa"/>
              <w:right w:w="57" w:type="dxa"/>
            </w:tcMar>
            <w:vAlign w:val="center"/>
          </w:tcPr>
          <w:p w:rsidR="005B052D" w:rsidRPr="00CE08B9" w:rsidRDefault="005B052D" w:rsidP="008E32ED">
            <w:pPr>
              <w:spacing w:before="120"/>
              <w:rPr>
                <w:smallCaps/>
              </w:rPr>
            </w:pPr>
            <w:r w:rsidRPr="006B210C">
              <w:rPr>
                <w:b/>
                <w:smallCaps/>
              </w:rPr>
              <w:t>Judgment</w:t>
            </w:r>
            <w:r>
              <w:rPr>
                <w:b/>
                <w:smallCaps/>
              </w:rPr>
              <w:t xml:space="preserve"> Read By:</w:t>
            </w:r>
          </w:p>
          <w:p w:rsidR="005B052D" w:rsidRDefault="005B052D" w:rsidP="008E32ED">
            <w:pPr>
              <w:rPr>
                <w:b/>
                <w:smallCaps/>
              </w:rPr>
            </w:pPr>
            <w:r>
              <w:t>(paras. 1 to 5)</w:t>
            </w:r>
          </w:p>
        </w:tc>
        <w:tc>
          <w:tcPr>
            <w:tcW w:w="4216" w:type="pct"/>
            <w:tcMar>
              <w:top w:w="28" w:type="dxa"/>
              <w:left w:w="57" w:type="dxa"/>
              <w:bottom w:w="57" w:type="dxa"/>
              <w:right w:w="57" w:type="dxa"/>
            </w:tcMar>
            <w:vAlign w:val="center"/>
          </w:tcPr>
          <w:p w:rsidR="005B052D" w:rsidRDefault="005B052D" w:rsidP="008E32ED">
            <w:pPr>
              <w:spacing w:before="120"/>
            </w:pPr>
            <w:r w:rsidRPr="001534B3">
              <w:t>Moldaver J.</w:t>
            </w:r>
          </w:p>
          <w:p w:rsidR="005B052D" w:rsidRPr="001534B3" w:rsidRDefault="005B052D" w:rsidP="008E32ED">
            <w:pPr>
              <w:rPr>
                <w:b/>
                <w:smallCaps/>
              </w:rPr>
            </w:pPr>
          </w:p>
        </w:tc>
      </w:tr>
      <w:tr w:rsidR="005B052D" w:rsidRPr="00C22905" w:rsidTr="008E32ED">
        <w:trPr>
          <w:gridAfter w:val="1"/>
          <w:wAfter w:w="11" w:type="pct"/>
          <w:cantSplit/>
          <w:trHeight w:val="508"/>
        </w:trPr>
        <w:tc>
          <w:tcPr>
            <w:tcW w:w="773" w:type="pct"/>
            <w:tcMar>
              <w:top w:w="28" w:type="dxa"/>
              <w:left w:w="57" w:type="dxa"/>
              <w:bottom w:w="57" w:type="dxa"/>
              <w:right w:w="57" w:type="dxa"/>
            </w:tcMar>
            <w:vAlign w:val="center"/>
          </w:tcPr>
          <w:p w:rsidR="005B052D" w:rsidRPr="006B210C" w:rsidRDefault="005B052D" w:rsidP="008E32ED">
            <w:pPr>
              <w:spacing w:before="120"/>
              <w:rPr>
                <w:b/>
                <w:smallCaps/>
              </w:rPr>
            </w:pPr>
            <w:r>
              <w:rPr>
                <w:b/>
                <w:smallCaps/>
              </w:rPr>
              <w:t>Majority:</w:t>
            </w:r>
          </w:p>
        </w:tc>
        <w:tc>
          <w:tcPr>
            <w:tcW w:w="4216" w:type="pct"/>
            <w:tcMar>
              <w:top w:w="28" w:type="dxa"/>
              <w:left w:w="57" w:type="dxa"/>
              <w:bottom w:w="57" w:type="dxa"/>
              <w:right w:w="57" w:type="dxa"/>
            </w:tcMar>
            <w:vAlign w:val="center"/>
          </w:tcPr>
          <w:p w:rsidR="005B052D" w:rsidRDefault="005B052D" w:rsidP="008E32ED">
            <w:pPr>
              <w:spacing w:before="120"/>
              <w:rPr>
                <w:b/>
                <w:smallCaps/>
              </w:rPr>
            </w:pPr>
            <w:r>
              <w:t>Wagner C.J. and Abella, Moldaver, Karakatsanis and Martin JJ.</w:t>
            </w:r>
          </w:p>
        </w:tc>
      </w:tr>
      <w:tr w:rsidR="005B052D" w:rsidRPr="00C22905" w:rsidTr="008E32ED">
        <w:trPr>
          <w:gridAfter w:val="1"/>
          <w:wAfter w:w="11" w:type="pct"/>
          <w:cantSplit/>
          <w:trHeight w:val="508"/>
        </w:trPr>
        <w:tc>
          <w:tcPr>
            <w:tcW w:w="773" w:type="pct"/>
            <w:tcMar>
              <w:top w:w="28" w:type="dxa"/>
              <w:left w:w="57" w:type="dxa"/>
              <w:bottom w:w="57" w:type="dxa"/>
              <w:right w:w="57" w:type="dxa"/>
            </w:tcMar>
            <w:vAlign w:val="center"/>
          </w:tcPr>
          <w:p w:rsidR="005B052D" w:rsidRDefault="005B052D" w:rsidP="008E32ED">
            <w:pPr>
              <w:spacing w:before="120"/>
              <w:rPr>
                <w:b/>
                <w:smallCaps/>
              </w:rPr>
            </w:pPr>
            <w:r>
              <w:rPr>
                <w:b/>
                <w:smallCaps/>
              </w:rPr>
              <w:t>Dissent:</w:t>
            </w:r>
          </w:p>
        </w:tc>
        <w:tc>
          <w:tcPr>
            <w:tcW w:w="4216" w:type="pct"/>
            <w:tcMar>
              <w:top w:w="28" w:type="dxa"/>
              <w:left w:w="57" w:type="dxa"/>
              <w:bottom w:w="57" w:type="dxa"/>
              <w:right w:w="57" w:type="dxa"/>
            </w:tcMar>
            <w:vAlign w:val="center"/>
          </w:tcPr>
          <w:p w:rsidR="005B052D" w:rsidRDefault="005B052D" w:rsidP="008E32ED">
            <w:pPr>
              <w:spacing w:before="120"/>
              <w:rPr>
                <w:b/>
                <w:smallCaps/>
              </w:rPr>
            </w:pPr>
            <w:r w:rsidRPr="001534B3">
              <w:t>Brown and Rowe JJ.</w:t>
            </w:r>
          </w:p>
        </w:tc>
      </w:tr>
      <w:tr w:rsidR="005B052D" w:rsidRPr="00C22905" w:rsidTr="008E32ED">
        <w:trPr>
          <w:cantSplit/>
        </w:trPr>
        <w:tc>
          <w:tcPr>
            <w:tcW w:w="5000" w:type="pct"/>
            <w:gridSpan w:val="3"/>
            <w:tcMar>
              <w:top w:w="284" w:type="dxa"/>
              <w:bottom w:w="57" w:type="dxa"/>
            </w:tcMar>
            <w:vAlign w:val="center"/>
          </w:tcPr>
          <w:p w:rsidR="005B052D" w:rsidRPr="006F2CF7" w:rsidRDefault="005B052D" w:rsidP="008E32ED"/>
        </w:tc>
      </w:tr>
    </w:tbl>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4"/>
        <w:gridCol w:w="3312"/>
        <w:gridCol w:w="2484"/>
      </w:tblGrid>
      <w:tr w:rsidR="005B052D" w:rsidTr="008E32ED">
        <w:tc>
          <w:tcPr>
            <w:tcW w:w="1500" w:type="pct"/>
            <w:tcMar>
              <w:top w:w="284" w:type="dxa"/>
            </w:tcMar>
          </w:tcPr>
          <w:p w:rsidR="005B052D" w:rsidRDefault="005B052D" w:rsidP="008E32ED">
            <w:pPr>
              <w:rPr>
                <w:rFonts w:eastAsia="Calibri"/>
                <w:szCs w:val="24"/>
                <w:lang w:eastAsia="en-US"/>
              </w:rPr>
            </w:pPr>
          </w:p>
        </w:tc>
        <w:tc>
          <w:tcPr>
            <w:tcW w:w="2000" w:type="pct"/>
            <w:tcBorders>
              <w:bottom w:val="single" w:sz="4" w:space="0" w:color="auto"/>
            </w:tcBorders>
            <w:tcMar>
              <w:top w:w="284" w:type="dxa"/>
            </w:tcMar>
          </w:tcPr>
          <w:p w:rsidR="005B052D" w:rsidRDefault="005B052D" w:rsidP="008E32ED">
            <w:pPr>
              <w:rPr>
                <w:rFonts w:eastAsia="Calibri"/>
                <w:szCs w:val="24"/>
                <w:lang w:eastAsia="en-US"/>
              </w:rPr>
            </w:pPr>
          </w:p>
        </w:tc>
        <w:tc>
          <w:tcPr>
            <w:tcW w:w="1500" w:type="pct"/>
            <w:tcMar>
              <w:top w:w="284" w:type="dxa"/>
            </w:tcMar>
          </w:tcPr>
          <w:p w:rsidR="005B052D" w:rsidRDefault="005B052D" w:rsidP="008E32ED">
            <w:pPr>
              <w:rPr>
                <w:rFonts w:eastAsia="Calibri"/>
                <w:szCs w:val="24"/>
                <w:lang w:eastAsia="en-US"/>
              </w:rPr>
            </w:pPr>
          </w:p>
        </w:tc>
      </w:tr>
    </w:tbl>
    <w:p w:rsidR="005B052D" w:rsidRDefault="005B052D" w:rsidP="00B5104D">
      <w:pPr>
        <w:spacing w:after="720"/>
        <w:jc w:val="both"/>
        <w:rPr>
          <w:smallCaps/>
          <w:lang w:val="en-US"/>
        </w:rPr>
        <w:sectPr w:rsidR="005B052D" w:rsidSect="000648CC">
          <w:pgSz w:w="12240" w:h="15840"/>
          <w:pgMar w:top="1267" w:right="2160" w:bottom="720" w:left="1800" w:header="1802" w:footer="720" w:gutter="0"/>
          <w:cols w:space="720"/>
          <w:docGrid w:linePitch="326"/>
        </w:sectPr>
      </w:pPr>
    </w:p>
    <w:p w:rsidR="00B5104D" w:rsidRPr="009442CF" w:rsidRDefault="00B5104D" w:rsidP="00B5104D">
      <w:pPr>
        <w:spacing w:after="720"/>
        <w:jc w:val="both"/>
        <w:rPr>
          <w:lang w:val="en-US"/>
        </w:rPr>
      </w:pPr>
      <w:bookmarkStart w:id="0" w:name="_GoBack"/>
      <w:bookmarkEnd w:id="0"/>
      <w:r w:rsidRPr="009442CF">
        <w:rPr>
          <w:smallCaps/>
          <w:lang w:val="en-US"/>
        </w:rPr>
        <w:lastRenderedPageBreak/>
        <w:t>r.</w:t>
      </w:r>
      <w:r>
        <w:rPr>
          <w:lang w:val="en-US"/>
        </w:rPr>
        <w:t xml:space="preserve"> </w:t>
      </w:r>
      <w:r w:rsidRPr="009442CF">
        <w:rPr>
          <w:i/>
          <w:lang w:val="en-US"/>
        </w:rPr>
        <w:t>v.</w:t>
      </w:r>
      <w:r w:rsidRPr="009442CF">
        <w:rPr>
          <w:lang w:val="en-US"/>
        </w:rPr>
        <w:t xml:space="preserve"> </w:t>
      </w:r>
      <w:r>
        <w:rPr>
          <w:smallCaps/>
        </w:rPr>
        <w:t>w</w:t>
      </w:r>
      <w:r w:rsidRPr="009442CF">
        <w:rPr>
          <w:smallCaps/>
        </w:rPr>
        <w:t>aterman</w:t>
      </w:r>
    </w:p>
    <w:p w:rsidR="00B5104D" w:rsidRPr="009442CF" w:rsidRDefault="00B5104D" w:rsidP="00B5104D">
      <w:pPr>
        <w:pStyle w:val="SCCLsocLastPartyInRole"/>
        <w:rPr>
          <w:lang w:val="en-US"/>
        </w:rPr>
      </w:pPr>
      <w:r w:rsidRPr="009442CF">
        <w:rPr>
          <w:bCs/>
        </w:rPr>
        <w:t>Her Majesty The Queen</w:t>
      </w:r>
      <w:r w:rsidRPr="009442CF">
        <w:rPr>
          <w:rStyle w:val="SCCLsocPartyRole"/>
          <w:lang w:val="en-US"/>
        </w:rPr>
        <w:tab/>
        <w:t>Appellant</w:t>
      </w:r>
    </w:p>
    <w:p w:rsidR="00B5104D" w:rsidRDefault="00B5104D" w:rsidP="00B5104D">
      <w:pPr>
        <w:pStyle w:val="SCCLsocVersus"/>
      </w:pPr>
      <w:r>
        <w:t>v.</w:t>
      </w:r>
    </w:p>
    <w:p w:rsidR="00B5104D" w:rsidRPr="00775F17" w:rsidRDefault="00B5104D" w:rsidP="00B5104D">
      <w:pPr>
        <w:pStyle w:val="SCCLsocLastPartyInRole"/>
      </w:pPr>
      <w:r w:rsidRPr="009442CF">
        <w:rPr>
          <w:bCs/>
        </w:rPr>
        <w:t>Angus Frederick Waterman</w:t>
      </w:r>
      <w:r>
        <w:rPr>
          <w:rStyle w:val="SCCLsocPartyRole"/>
        </w:rPr>
        <w:tab/>
        <w:t>Respondent</w:t>
      </w:r>
    </w:p>
    <w:p w:rsidR="00B5104D" w:rsidRPr="00775F17" w:rsidRDefault="00B5104D" w:rsidP="00B5104D">
      <w:pPr>
        <w:pStyle w:val="SCCLsocVersus"/>
        <w:rPr>
          <w:i w:val="0"/>
          <w:lang w:val="en-US"/>
        </w:rPr>
      </w:pPr>
      <w:r w:rsidRPr="00775F17">
        <w:rPr>
          <w:i w:val="0"/>
          <w:lang w:val="en-US"/>
        </w:rPr>
        <w:t>and</w:t>
      </w:r>
    </w:p>
    <w:p w:rsidR="00B5104D" w:rsidRPr="004735FC" w:rsidRDefault="00B5104D" w:rsidP="00B5104D">
      <w:pPr>
        <w:pStyle w:val="SCCLsocLastPartyInRole"/>
        <w:rPr>
          <w:bCs/>
          <w:color w:val="000000"/>
        </w:rPr>
      </w:pPr>
      <w:r w:rsidRPr="009442CF">
        <w:rPr>
          <w:bCs/>
          <w:color w:val="000000"/>
        </w:rPr>
        <w:t>Attorney General of Ontario</w:t>
      </w:r>
      <w:r w:rsidRPr="004735FC">
        <w:rPr>
          <w:bCs/>
          <w:color w:val="000000"/>
        </w:rPr>
        <w:t xml:space="preserve"> and</w:t>
      </w:r>
    </w:p>
    <w:p w:rsidR="00B5104D" w:rsidRPr="00775F17" w:rsidRDefault="00B5104D" w:rsidP="00B5104D">
      <w:pPr>
        <w:pStyle w:val="SCCLsocLastPartyInRole"/>
        <w:rPr>
          <w:lang w:val="en-US"/>
        </w:rPr>
      </w:pPr>
      <w:r w:rsidRPr="009442CF">
        <w:rPr>
          <w:bCs/>
        </w:rPr>
        <w:t xml:space="preserve">Criminal </w:t>
      </w:r>
      <w:r w:rsidRPr="00EA0ABF">
        <w:rPr>
          <w:bCs/>
        </w:rPr>
        <w:t>Lawyers’ A</w:t>
      </w:r>
      <w:r w:rsidRPr="009442CF">
        <w:rPr>
          <w:bCs/>
        </w:rPr>
        <w:t>ssociation (Ontario)</w:t>
      </w:r>
      <w:r w:rsidRPr="00775F17">
        <w:rPr>
          <w:rStyle w:val="SCCLsocPartyRole"/>
          <w:lang w:val="en-US"/>
        </w:rPr>
        <w:tab/>
        <w:t>Intervener</w:t>
      </w:r>
      <w:r>
        <w:rPr>
          <w:rStyle w:val="SCCLsocPartyRole"/>
          <w:lang w:val="en-US"/>
        </w:rPr>
        <w:t>s</w:t>
      </w:r>
    </w:p>
    <w:p w:rsidR="00B5104D" w:rsidRPr="00426659" w:rsidRDefault="00B5104D" w:rsidP="00B5104D">
      <w:pPr>
        <w:spacing w:after="720"/>
        <w:jc w:val="both"/>
        <w:rPr>
          <w:b/>
        </w:rPr>
      </w:pPr>
      <w:r w:rsidRPr="00426659">
        <w:rPr>
          <w:b/>
        </w:rPr>
        <w:t>Indexed as:</w:t>
      </w:r>
      <w:r>
        <w:rPr>
          <w:b/>
        </w:rPr>
        <w:t xml:space="preserve"> </w:t>
      </w:r>
      <w:r w:rsidRPr="00211B61">
        <w:rPr>
          <w:b/>
          <w:lang w:val="en-US"/>
        </w:rPr>
        <w:t xml:space="preserve">R. </w:t>
      </w:r>
      <w:r w:rsidRPr="00211B61">
        <w:rPr>
          <w:b/>
          <w:i/>
          <w:lang w:val="en-US"/>
        </w:rPr>
        <w:t>v.</w:t>
      </w:r>
      <w:r w:rsidRPr="00211B61">
        <w:rPr>
          <w:b/>
          <w:lang w:val="en-US"/>
        </w:rPr>
        <w:t xml:space="preserve"> </w:t>
      </w:r>
      <w:r w:rsidRPr="009442CF">
        <w:rPr>
          <w:b/>
        </w:rPr>
        <w:t>Waterman</w:t>
      </w:r>
    </w:p>
    <w:p w:rsidR="00B5104D" w:rsidRPr="00C02092" w:rsidRDefault="00B5104D" w:rsidP="00B5104D">
      <w:pPr>
        <w:pStyle w:val="SCCSystemYear"/>
        <w:spacing w:after="720"/>
        <w:jc w:val="both"/>
      </w:pPr>
      <w:r>
        <w:t>2021 SCC 5</w:t>
      </w:r>
    </w:p>
    <w:p w:rsidR="00B5104D" w:rsidRDefault="00B5104D" w:rsidP="00B5104D">
      <w:pPr>
        <w:spacing w:after="720"/>
        <w:jc w:val="both"/>
      </w:pPr>
      <w:r>
        <w:t xml:space="preserve">File No.: </w:t>
      </w:r>
      <w:r>
        <w:rPr>
          <w:color w:val="000000"/>
        </w:rPr>
        <w:t>39214</w:t>
      </w:r>
      <w:r w:rsidRPr="001426A9">
        <w:t>.</w:t>
      </w:r>
    </w:p>
    <w:p w:rsidR="00B5104D" w:rsidRDefault="00B5104D" w:rsidP="00B5104D">
      <w:pPr>
        <w:spacing w:after="720"/>
        <w:jc w:val="both"/>
      </w:pPr>
      <w:r>
        <w:rPr>
          <w:color w:val="000000"/>
        </w:rPr>
        <w:t>2021</w:t>
      </w:r>
      <w:r>
        <w:t xml:space="preserve">: </w:t>
      </w:r>
      <w:r>
        <w:rPr>
          <w:color w:val="000000"/>
        </w:rPr>
        <w:t>January 22</w:t>
      </w:r>
      <w:r w:rsidRPr="001426A9">
        <w:t>.</w:t>
      </w:r>
    </w:p>
    <w:p w:rsidR="00B5104D" w:rsidRDefault="00B5104D" w:rsidP="00B5104D">
      <w:pPr>
        <w:spacing w:after="720"/>
        <w:jc w:val="both"/>
      </w:pPr>
      <w:r w:rsidRPr="001426A9">
        <w:t xml:space="preserve">Present: </w:t>
      </w:r>
      <w:r>
        <w:rPr>
          <w:color w:val="000000"/>
        </w:rPr>
        <w:t>Wagner C.J. and Abella, Moldaver, Karakatsanis, Brown, Rowe and Martin JJ.</w:t>
      </w:r>
    </w:p>
    <w:p w:rsidR="00B5104D" w:rsidRPr="001C779F" w:rsidRDefault="00B5104D" w:rsidP="00B5104D">
      <w:pPr>
        <w:pStyle w:val="SCCLowerCourtNameLowercase"/>
        <w:spacing w:after="720" w:line="240" w:lineRule="auto"/>
      </w:pPr>
      <w:r>
        <w:t xml:space="preserve">on appeal from the court of appeal for </w:t>
      </w:r>
      <w:r>
        <w:rPr>
          <w:color w:val="000000"/>
        </w:rPr>
        <w:t>newfoundland and labrador</w:t>
      </w:r>
    </w:p>
    <w:p w:rsidR="00B5104D" w:rsidRPr="002E692B" w:rsidRDefault="00B5104D" w:rsidP="00B5104D">
      <w:pPr>
        <w:pStyle w:val="SCCNormalDoubleSpacing"/>
        <w:spacing w:after="480"/>
        <w:rPr>
          <w:i/>
        </w:rPr>
      </w:pPr>
      <w:r>
        <w:tab/>
      </w:r>
      <w:r>
        <w:rPr>
          <w:i/>
        </w:rPr>
        <w:t xml:space="preserve">Criminal law — Appeals — </w:t>
      </w:r>
      <w:r w:rsidRPr="00101D8D">
        <w:rPr>
          <w:i/>
          <w:lang w:val="en-GB"/>
        </w:rPr>
        <w:t>Unreasonable verdict</w:t>
      </w:r>
      <w:r>
        <w:rPr>
          <w:i/>
          <w:lang w:val="en-GB"/>
        </w:rPr>
        <w:t xml:space="preserve"> — Evidence </w:t>
      </w:r>
      <w:r w:rsidRPr="00C924B9">
        <w:rPr>
          <w:i/>
          <w:lang w:val="en-GB"/>
        </w:rPr>
        <w:t>—</w:t>
      </w:r>
      <w:r w:rsidRPr="004B4F8E">
        <w:rPr>
          <w:i/>
        </w:rPr>
        <w:t xml:space="preserve"> </w:t>
      </w:r>
      <w:r>
        <w:rPr>
          <w:i/>
        </w:rPr>
        <w:t>S</w:t>
      </w:r>
      <w:r w:rsidRPr="0051327A">
        <w:rPr>
          <w:i/>
        </w:rPr>
        <w:t xml:space="preserve">ignificant </w:t>
      </w:r>
      <w:r>
        <w:rPr>
          <w:i/>
        </w:rPr>
        <w:t>i</w:t>
      </w:r>
      <w:r w:rsidRPr="00552792">
        <w:rPr>
          <w:i/>
        </w:rPr>
        <w:t>nconsistencies</w:t>
      </w:r>
      <w:r>
        <w:rPr>
          <w:i/>
        </w:rPr>
        <w:t xml:space="preserve"> in complainant’s statement to police and testimony at </w:t>
      </w:r>
      <w:r>
        <w:rPr>
          <w:i/>
        </w:rPr>
        <w:lastRenderedPageBreak/>
        <w:t xml:space="preserve">preliminary inquiry and trial regarding allegations of criminal sexual activity against accused </w:t>
      </w:r>
      <w:r w:rsidRPr="008B4D65">
        <w:rPr>
          <w:i/>
          <w:lang w:val="en-GB"/>
        </w:rPr>
        <w:t>—</w:t>
      </w:r>
      <w:r>
        <w:rPr>
          <w:i/>
          <w:lang w:val="en-GB"/>
        </w:rPr>
        <w:t xml:space="preserve"> Accused convicted of</w:t>
      </w:r>
      <w:r w:rsidRPr="00C924B9">
        <w:t xml:space="preserve"> </w:t>
      </w:r>
      <w:r w:rsidRPr="00C924B9">
        <w:rPr>
          <w:i/>
        </w:rPr>
        <w:t>indecent assault and gross indecency</w:t>
      </w:r>
      <w:r>
        <w:rPr>
          <w:i/>
        </w:rPr>
        <w:t xml:space="preserve"> by jury </w:t>
      </w:r>
      <w:r w:rsidRPr="00C924B9">
        <w:rPr>
          <w:i/>
          <w:lang w:val="en-GB"/>
        </w:rPr>
        <w:t>—</w:t>
      </w:r>
      <w:r>
        <w:rPr>
          <w:i/>
          <w:lang w:val="en-GB"/>
        </w:rPr>
        <w:t xml:space="preserve"> Court of Appeal holding that jury’s verdict was unreasonable and unsupported by evidence</w:t>
      </w:r>
      <w:r w:rsidRPr="003D2211">
        <w:rPr>
          <w:i/>
          <w:color w:val="000000"/>
        </w:rPr>
        <w:t xml:space="preserve"> </w:t>
      </w:r>
      <w:r w:rsidRPr="003D2211">
        <w:rPr>
          <w:i/>
        </w:rPr>
        <w:t>because Crown failed to adduce evidence necessary to prove offences beyond</w:t>
      </w:r>
      <w:r>
        <w:rPr>
          <w:i/>
        </w:rPr>
        <w:t xml:space="preserve"> </w:t>
      </w:r>
      <w:r w:rsidRPr="003D2211">
        <w:rPr>
          <w:i/>
        </w:rPr>
        <w:t>reasonable doubt and complainant’s evidence was not credible</w:t>
      </w:r>
      <w:r>
        <w:rPr>
          <w:i/>
          <w:lang w:val="en-GB"/>
        </w:rPr>
        <w:t xml:space="preserve"> </w:t>
      </w:r>
      <w:r w:rsidRPr="004B4F8E">
        <w:rPr>
          <w:i/>
          <w:lang w:val="en-GB"/>
        </w:rPr>
        <w:t>—</w:t>
      </w:r>
      <w:r>
        <w:rPr>
          <w:i/>
          <w:lang w:val="en-GB"/>
        </w:rPr>
        <w:t xml:space="preserve"> Court of Appeal setting aside convictions </w:t>
      </w:r>
      <w:r w:rsidRPr="004B4F8E">
        <w:rPr>
          <w:i/>
          <w:lang w:val="en-GB"/>
        </w:rPr>
        <w:t>—</w:t>
      </w:r>
      <w:r>
        <w:rPr>
          <w:i/>
          <w:lang w:val="en-GB"/>
        </w:rPr>
        <w:t xml:space="preserve"> </w:t>
      </w:r>
      <w:r>
        <w:rPr>
          <w:i/>
          <w:iCs/>
          <w:color w:val="000000"/>
        </w:rPr>
        <w:t>Convictions restored.</w:t>
      </w:r>
    </w:p>
    <w:p w:rsidR="00B5104D" w:rsidRPr="004735FC" w:rsidRDefault="00B5104D" w:rsidP="00B5104D">
      <w:pPr>
        <w:pStyle w:val="SCCNormalDoubleSpacing"/>
        <w:spacing w:after="480"/>
      </w:pPr>
      <w:r w:rsidRPr="001426A9">
        <w:tab/>
        <w:t xml:space="preserve">APPEAL from a judgment of the </w:t>
      </w:r>
      <w:r>
        <w:rPr>
          <w:color w:val="000000"/>
        </w:rPr>
        <w:t xml:space="preserve">Newfoundland and Labrador </w:t>
      </w:r>
      <w:r>
        <w:t>Court of Appeal (</w:t>
      </w:r>
      <w:r w:rsidRPr="00C968D6">
        <w:t>Welsh</w:t>
      </w:r>
      <w:r>
        <w:t xml:space="preserve">, </w:t>
      </w:r>
      <w:r w:rsidRPr="00C968D6">
        <w:t>White</w:t>
      </w:r>
      <w:r>
        <w:t xml:space="preserve"> and </w:t>
      </w:r>
      <w:r w:rsidRPr="00C968D6">
        <w:t>Butler</w:t>
      </w:r>
      <w:r>
        <w:t xml:space="preserve"> </w:t>
      </w:r>
      <w:r w:rsidRPr="004735FC">
        <w:t>JJ.A.</w:t>
      </w:r>
      <w:r>
        <w:t xml:space="preserve">), </w:t>
      </w:r>
      <w:r>
        <w:rPr>
          <w:color w:val="000000"/>
        </w:rPr>
        <w:t>2020 NLCA 18, 453 D.L.R. (4th) 586, [2020] N.J. No. </w:t>
      </w:r>
      <w:r w:rsidRPr="00DB4ED9">
        <w:rPr>
          <w:color w:val="000000"/>
        </w:rPr>
        <w:t>106</w:t>
      </w:r>
      <w:r w:rsidRPr="00211B61">
        <w:rPr>
          <w:color w:val="000000"/>
        </w:rPr>
        <w:t xml:space="preserve"> </w:t>
      </w:r>
      <w:r>
        <w:rPr>
          <w:color w:val="000000"/>
        </w:rPr>
        <w:t xml:space="preserve">(QL), </w:t>
      </w:r>
      <w:r w:rsidRPr="00DB4ED9">
        <w:rPr>
          <w:color w:val="000000"/>
        </w:rPr>
        <w:t>2020 CarswellNfld 126</w:t>
      </w:r>
      <w:r w:rsidRPr="00211B61">
        <w:rPr>
          <w:color w:val="000000"/>
        </w:rPr>
        <w:t xml:space="preserve"> </w:t>
      </w:r>
      <w:r>
        <w:rPr>
          <w:color w:val="000000"/>
        </w:rPr>
        <w:t xml:space="preserve">(WL Can.), </w:t>
      </w:r>
      <w:r w:rsidRPr="004A126C">
        <w:t>setting aside the convictions of the accused for indecent assault and gross indecency</w:t>
      </w:r>
      <w:r>
        <w:t>.</w:t>
      </w:r>
      <w:r w:rsidRPr="004A126C">
        <w:t xml:space="preserve"> </w:t>
      </w:r>
      <w:r w:rsidRPr="00220523">
        <w:rPr>
          <w:bCs/>
        </w:rPr>
        <w:t>Appeal allowed, Brown and Rowe JJ. dissenting.</w:t>
      </w:r>
    </w:p>
    <w:p w:rsidR="00B5104D" w:rsidRDefault="00B5104D" w:rsidP="00B5104D">
      <w:pPr>
        <w:pStyle w:val="SCCNormalDoubleSpacing"/>
        <w:spacing w:after="480"/>
        <w:rPr>
          <w:lang w:val="en-US"/>
        </w:rPr>
      </w:pPr>
      <w:r>
        <w:rPr>
          <w:iCs/>
          <w:lang w:val="en-US"/>
        </w:rPr>
        <w:tab/>
      </w:r>
      <w:r w:rsidRPr="006E4EE5">
        <w:rPr>
          <w:i/>
          <w:iCs/>
        </w:rPr>
        <w:t>Arnold Hussey</w:t>
      </w:r>
      <w:r w:rsidRPr="00BF733C">
        <w:rPr>
          <w:iCs/>
        </w:rPr>
        <w:t>,</w:t>
      </w:r>
      <w:r w:rsidRPr="006E4EE5">
        <w:rPr>
          <w:i/>
          <w:iCs/>
        </w:rPr>
        <w:t xml:space="preserve"> Q.C</w:t>
      </w:r>
      <w:r w:rsidRPr="0048019B">
        <w:rPr>
          <w:iCs/>
        </w:rPr>
        <w:t xml:space="preserve">., </w:t>
      </w:r>
      <w:r w:rsidRPr="00906F2E">
        <w:rPr>
          <w:lang w:val="en-US"/>
        </w:rPr>
        <w:t>for the appellant.</w:t>
      </w:r>
    </w:p>
    <w:p w:rsidR="00B5104D" w:rsidRPr="002C146C" w:rsidRDefault="00B5104D" w:rsidP="00B5104D">
      <w:pPr>
        <w:pStyle w:val="SCCNormalDoubleSpacing"/>
        <w:spacing w:after="480"/>
        <w:rPr>
          <w:lang w:val="en-US"/>
        </w:rPr>
      </w:pPr>
      <w:r>
        <w:rPr>
          <w:iCs/>
          <w:lang w:val="en-US"/>
        </w:rPr>
        <w:tab/>
      </w:r>
      <w:r w:rsidRPr="00081F60">
        <w:rPr>
          <w:i/>
          <w:iCs/>
        </w:rPr>
        <w:t>Michael Crystal</w:t>
      </w:r>
      <w:r>
        <w:rPr>
          <w:iCs/>
        </w:rPr>
        <w:t xml:space="preserve"> </w:t>
      </w:r>
      <w:r w:rsidRPr="00081F60">
        <w:rPr>
          <w:iCs/>
        </w:rPr>
        <w:t>and</w:t>
      </w:r>
      <w:r>
        <w:rPr>
          <w:iCs/>
        </w:rPr>
        <w:t xml:space="preserve"> </w:t>
      </w:r>
      <w:r w:rsidRPr="00081F60">
        <w:rPr>
          <w:i/>
          <w:iCs/>
        </w:rPr>
        <w:t>Heather Cross</w:t>
      </w:r>
      <w:r w:rsidRPr="00906F2E">
        <w:rPr>
          <w:lang w:val="en-US"/>
        </w:rPr>
        <w:t>, for the respondent.</w:t>
      </w:r>
    </w:p>
    <w:p w:rsidR="00B5104D" w:rsidRDefault="00B5104D" w:rsidP="00B5104D">
      <w:pPr>
        <w:pStyle w:val="SCCNormalDoubleSpacing"/>
        <w:spacing w:after="480"/>
        <w:rPr>
          <w:lang w:val="en-US"/>
        </w:rPr>
      </w:pPr>
      <w:r>
        <w:rPr>
          <w:iCs/>
          <w:lang w:val="en-US"/>
        </w:rPr>
        <w:tab/>
      </w:r>
      <w:r w:rsidRPr="006E4EE5">
        <w:rPr>
          <w:i/>
          <w:iCs/>
          <w:color w:val="000000"/>
        </w:rPr>
        <w:t>Lisa Joyal</w:t>
      </w:r>
      <w:r w:rsidRPr="00C968D6">
        <w:rPr>
          <w:color w:val="000000"/>
        </w:rPr>
        <w:t>, for the intervener the Attorney General of Ontario.</w:t>
      </w:r>
    </w:p>
    <w:p w:rsidR="00B5104D" w:rsidRPr="00C968D6" w:rsidRDefault="00B5104D" w:rsidP="00B5104D">
      <w:pPr>
        <w:pStyle w:val="SCCNormalDoubleSpacing"/>
        <w:spacing w:after="480"/>
        <w:rPr>
          <w:lang w:val="en-US"/>
        </w:rPr>
      </w:pPr>
      <w:r>
        <w:rPr>
          <w:iCs/>
          <w:lang w:val="en-US"/>
        </w:rPr>
        <w:tab/>
      </w:r>
      <w:r w:rsidRPr="006E4EE5">
        <w:rPr>
          <w:i/>
          <w:iCs/>
          <w:color w:val="000000"/>
        </w:rPr>
        <w:t>Alan D. Gold</w:t>
      </w:r>
      <w:r w:rsidRPr="00081F60">
        <w:rPr>
          <w:color w:val="000000"/>
        </w:rPr>
        <w:t>, for the intervener the Criminal Lawyers’ Association (Ontario).</w:t>
      </w:r>
    </w:p>
    <w:p w:rsidR="00B5104D" w:rsidRPr="0048019B" w:rsidRDefault="00B5104D" w:rsidP="00B5104D">
      <w:pPr>
        <w:pStyle w:val="SCCNormalDoubleSpacing"/>
        <w:spacing w:after="480"/>
        <w:rPr>
          <w:lang w:val="en-US"/>
        </w:rPr>
      </w:pPr>
      <w:r>
        <w:rPr>
          <w:lang w:val="en-US"/>
        </w:rPr>
        <w:tab/>
      </w:r>
      <w:r>
        <w:rPr>
          <w:color w:val="000000"/>
        </w:rPr>
        <w:t>The judgment of the Court was delivered orally by</w:t>
      </w:r>
    </w:p>
    <w:p w:rsidR="00B5104D" w:rsidRDefault="00B5104D" w:rsidP="00B5104D">
      <w:pPr>
        <w:pStyle w:val="SCCNormalDoubleSpacing"/>
        <w:spacing w:after="480"/>
      </w:pPr>
      <w:r>
        <w:rPr>
          <w:smallCaps/>
        </w:rPr>
        <w:t>[1]</w:t>
      </w:r>
      <w:r>
        <w:rPr>
          <w:smallCaps/>
        </w:rPr>
        <w:tab/>
      </w:r>
      <w:r>
        <w:rPr>
          <w:smallCaps/>
          <w:color w:val="000000"/>
        </w:rPr>
        <w:t xml:space="preserve">Moldaver </w:t>
      </w:r>
      <w:r w:rsidRPr="00C968D6">
        <w:rPr>
          <w:smallCaps/>
          <w:color w:val="000000"/>
        </w:rPr>
        <w:t>J.</w:t>
      </w:r>
      <w:r w:rsidRPr="00F73CBB">
        <w:t xml:space="preserve"> — </w:t>
      </w:r>
      <w:r>
        <w:rPr>
          <w:color w:val="000000"/>
        </w:rPr>
        <w:t xml:space="preserve">The only issue on this unreasonable verdict appeal is whether </w:t>
      </w:r>
      <w:r w:rsidRPr="00847E74">
        <w:rPr>
          <w:color w:val="000000"/>
        </w:rPr>
        <w:t>the inconsistencies in the complainant’s testimony are</w:t>
      </w:r>
      <w:r>
        <w:rPr>
          <w:color w:val="000000"/>
        </w:rPr>
        <w:t xml:space="preserve"> so significant that a </w:t>
      </w:r>
      <w:r>
        <w:rPr>
          <w:color w:val="000000"/>
        </w:rPr>
        <w:lastRenderedPageBreak/>
        <w:t>conviction registered on the basis of his evidence is unreasonable as a matter of law. Although some of the inconsistencies are troubling, a majority of the Court is satisfied that the jury acted reasonably in believing the complainant.</w:t>
      </w:r>
    </w:p>
    <w:p w:rsidR="00B5104D" w:rsidRDefault="00B5104D" w:rsidP="00B5104D">
      <w:pPr>
        <w:pStyle w:val="SCCNormalDoubleSpacing"/>
        <w:spacing w:after="480"/>
        <w:rPr>
          <w:color w:val="000000"/>
        </w:rPr>
      </w:pPr>
      <w:r>
        <w:t>[2]</w:t>
      </w:r>
      <w:r>
        <w:tab/>
      </w:r>
      <w:r>
        <w:rPr>
          <w:color w:val="000000"/>
        </w:rPr>
        <w:t>The complainant accepted that his testimony was inconsistent with his prior statements. These inconsistencies were the focus of vigorous cross</w:t>
      </w:r>
      <w:r>
        <w:rPr>
          <w:color w:val="000000"/>
        </w:rPr>
        <w:noBreakHyphen/>
        <w:t>examination, forceful closing submissions and a comprehensive jury charge, which the parties agree was free of errors. For his part, the complainant explained that counselling had helped improve his memory since his initial police statement. In the majority’s view, it was for the jury to decide whether this explanation neutralized any reasonable doubt caused by the inconsistencies. In these circumstances, the lens of judicial experience causes us to yield to the wisdom of the jurors who had the advantage of hearing the complainant testify. We decline to second guess this determination.</w:t>
      </w:r>
    </w:p>
    <w:p w:rsidR="00B5104D" w:rsidRDefault="00B5104D" w:rsidP="00B5104D">
      <w:pPr>
        <w:pStyle w:val="SCCNormalDoubleSpacing"/>
        <w:spacing w:after="480"/>
      </w:pPr>
      <w:r>
        <w:t>[3]</w:t>
      </w:r>
      <w:r>
        <w:tab/>
      </w:r>
      <w:r>
        <w:rPr>
          <w:color w:val="000000"/>
        </w:rPr>
        <w:t>With respect, the major</w:t>
      </w:r>
      <w:r w:rsidRPr="008730A3">
        <w:rPr>
          <w:color w:val="000000"/>
        </w:rPr>
        <w:t>ity disagrees that the Crown had to either lead further evidence on the complainant’s counselling sessions or adduce expert evidence on the role that counselling can play in refining memory.</w:t>
      </w:r>
    </w:p>
    <w:p w:rsidR="00B5104D" w:rsidRPr="005D1DFD" w:rsidRDefault="00B5104D" w:rsidP="00B5104D">
      <w:pPr>
        <w:pStyle w:val="SCCNormalDoubleSpacing"/>
        <w:spacing w:after="480"/>
        <w:rPr>
          <w:lang w:val="en-US"/>
        </w:rPr>
      </w:pPr>
      <w:r>
        <w:t>[4]</w:t>
      </w:r>
      <w:r>
        <w:tab/>
      </w:r>
      <w:r w:rsidRPr="005D1DFD">
        <w:rPr>
          <w:lang w:val="en-US"/>
        </w:rPr>
        <w:t>For these reasons, the majority would allow the appeal, set aside the acquittals and restore the convictions.</w:t>
      </w:r>
    </w:p>
    <w:p w:rsidR="00B5104D" w:rsidRPr="00F73CBB" w:rsidRDefault="00B5104D" w:rsidP="00B5104D">
      <w:pPr>
        <w:pStyle w:val="SCCNormalDoubleSpacing"/>
        <w:spacing w:after="480"/>
      </w:pPr>
      <w:r>
        <w:t>[5]</w:t>
      </w:r>
      <w:r>
        <w:tab/>
      </w:r>
      <w:r>
        <w:rPr>
          <w:color w:val="000000"/>
        </w:rPr>
        <w:t>Justices Brown and Rowe, dissenting, would dismiss the appeal, substantially for the reasons of Justice White.</w:t>
      </w:r>
    </w:p>
    <w:p w:rsidR="00B5104D" w:rsidRPr="00D37745" w:rsidRDefault="00B5104D" w:rsidP="00B5104D">
      <w:pPr>
        <w:pStyle w:val="SCCNormalDoubleSpacing"/>
        <w:spacing w:after="480"/>
        <w:rPr>
          <w:i/>
          <w:iCs/>
          <w:color w:val="000000"/>
        </w:rPr>
      </w:pPr>
      <w:r>
        <w:rPr>
          <w:i/>
          <w:iCs/>
          <w:color w:val="000000"/>
        </w:rPr>
        <w:tab/>
      </w:r>
      <w:r w:rsidRPr="00D37745">
        <w:rPr>
          <w:i/>
          <w:iCs/>
          <w:color w:val="000000"/>
        </w:rPr>
        <w:t>Judgment accordingly.</w:t>
      </w:r>
    </w:p>
    <w:p w:rsidR="00B5104D" w:rsidRPr="00D37745" w:rsidRDefault="00B5104D" w:rsidP="00B5104D">
      <w:pPr>
        <w:pStyle w:val="SCCNormalDoubleSpacing"/>
        <w:spacing w:after="480"/>
        <w:rPr>
          <w:i/>
          <w:iCs/>
          <w:color w:val="000000"/>
        </w:rPr>
      </w:pPr>
      <w:r w:rsidRPr="002B77C4">
        <w:rPr>
          <w:i/>
          <w:iCs/>
          <w:color w:val="000000"/>
        </w:rPr>
        <w:lastRenderedPageBreak/>
        <w:tab/>
        <w:t xml:space="preserve">Solicitor for the appellant: Department of Justice and Public Safety, Clarenville, </w:t>
      </w:r>
      <w:r>
        <w:rPr>
          <w:i/>
          <w:iCs/>
          <w:color w:val="000000"/>
        </w:rPr>
        <w:t>N</w:t>
      </w:r>
      <w:r w:rsidRPr="00D37745">
        <w:rPr>
          <w:i/>
          <w:iCs/>
          <w:color w:val="000000"/>
        </w:rPr>
        <w:t>.</w:t>
      </w:r>
      <w:r>
        <w:rPr>
          <w:i/>
          <w:iCs/>
          <w:color w:val="000000"/>
        </w:rPr>
        <w:t>L.</w:t>
      </w:r>
    </w:p>
    <w:p w:rsidR="00B5104D" w:rsidRPr="00D37745" w:rsidRDefault="00B5104D" w:rsidP="00B5104D">
      <w:pPr>
        <w:pStyle w:val="SCCNormalDoubleSpacing"/>
        <w:spacing w:after="480"/>
        <w:rPr>
          <w:i/>
          <w:iCs/>
          <w:color w:val="000000"/>
        </w:rPr>
      </w:pPr>
      <w:r w:rsidRPr="00D37745">
        <w:rPr>
          <w:i/>
          <w:iCs/>
          <w:color w:val="000000"/>
        </w:rPr>
        <w:tab/>
        <w:t>Solicitors for the respondent: Crystal Cyr, Ottawa.</w:t>
      </w:r>
    </w:p>
    <w:p w:rsidR="00B5104D" w:rsidRPr="00D37745" w:rsidRDefault="00B5104D" w:rsidP="00B5104D">
      <w:pPr>
        <w:pStyle w:val="SCCNormalDoubleSpacing"/>
        <w:spacing w:after="480"/>
        <w:rPr>
          <w:i/>
          <w:iCs/>
          <w:color w:val="000000"/>
        </w:rPr>
      </w:pPr>
      <w:r w:rsidRPr="00D37745">
        <w:rPr>
          <w:i/>
          <w:iCs/>
          <w:color w:val="000000"/>
        </w:rPr>
        <w:tab/>
      </w:r>
      <w:r>
        <w:rPr>
          <w:i/>
          <w:iCs/>
          <w:color w:val="000000"/>
        </w:rPr>
        <w:t xml:space="preserve">Solicitor for the </w:t>
      </w:r>
      <w:r w:rsidRPr="00D37745">
        <w:rPr>
          <w:i/>
          <w:iCs/>
          <w:color w:val="000000"/>
        </w:rPr>
        <w:t>intervener the Attorney General of Ontario: Attorney General of Ontario, Toronto.</w:t>
      </w:r>
    </w:p>
    <w:p w:rsidR="00B5104D" w:rsidRPr="00D37745" w:rsidRDefault="00B5104D" w:rsidP="00B5104D">
      <w:pPr>
        <w:pStyle w:val="SCCNormalDoubleSpacing"/>
        <w:spacing w:after="480"/>
        <w:rPr>
          <w:i/>
          <w:iCs/>
          <w:color w:val="000000"/>
        </w:rPr>
      </w:pPr>
      <w:r w:rsidRPr="00D37745">
        <w:rPr>
          <w:i/>
          <w:iCs/>
          <w:color w:val="000000"/>
        </w:rPr>
        <w:tab/>
        <w:t>Solicitor for the intervener the Criminal Lawyers’ Association (Ontario): Alan D. Gold Professional Corporation, Toronto.</w:t>
      </w:r>
    </w:p>
    <w:sectPr w:rsidR="00B5104D" w:rsidRPr="00D37745" w:rsidSect="000648CC">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4A41" w:rsidRDefault="00CD4A41">
      <w:r>
        <w:separator/>
      </w:r>
    </w:p>
  </w:endnote>
  <w:endnote w:type="continuationSeparator" w:id="0">
    <w:p w:rsidR="00CD4A41" w:rsidRDefault="00CD4A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4A41" w:rsidRDefault="00CD4A41">
      <w:r>
        <w:separator/>
      </w:r>
    </w:p>
  </w:footnote>
  <w:footnote w:type="continuationSeparator" w:id="0">
    <w:p w:rsidR="00CD4A41" w:rsidRDefault="00CD4A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15E64F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8763FA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FC8503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9A47E2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838374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630031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77208E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996618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F9058A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82A518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1F058D6"/>
    <w:multiLevelType w:val="hybridMultilevel"/>
    <w:tmpl w:val="B41E8F70"/>
    <w:lvl w:ilvl="0" w:tplc="B706DBC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5B73F21"/>
    <w:multiLevelType w:val="hybridMultilevel"/>
    <w:tmpl w:val="1CA8AB4C"/>
    <w:lvl w:ilvl="0" w:tplc="AF12D38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257C39AA"/>
    <w:multiLevelType w:val="hybridMultilevel"/>
    <w:tmpl w:val="4AF8A330"/>
    <w:lvl w:ilvl="0" w:tplc="9D8EDA5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000BA4"/>
    <w:multiLevelType w:val="hybridMultilevel"/>
    <w:tmpl w:val="900CBD0E"/>
    <w:lvl w:ilvl="0" w:tplc="AF12D38C">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6" w15:restartNumberingAfterBreak="0">
    <w:nsid w:val="3C1B2609"/>
    <w:multiLevelType w:val="hybridMultilevel"/>
    <w:tmpl w:val="B62EB43A"/>
    <w:lvl w:ilvl="0" w:tplc="AF12D38C">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7" w15:restartNumberingAfterBreak="0">
    <w:nsid w:val="40F65EB2"/>
    <w:multiLevelType w:val="hybridMultilevel"/>
    <w:tmpl w:val="406E4396"/>
    <w:lvl w:ilvl="0" w:tplc="AF12D38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43A269BE"/>
    <w:multiLevelType w:val="hybridMultilevel"/>
    <w:tmpl w:val="424E113C"/>
    <w:lvl w:ilvl="0" w:tplc="846E0020">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4603130A"/>
    <w:multiLevelType w:val="multilevel"/>
    <w:tmpl w:val="9A5EAD4C"/>
    <w:lvl w:ilvl="0">
      <w:start w:val="1"/>
      <w:numFmt w:val="upperRoman"/>
      <w:pStyle w:val="Title1LevelTitre1Niveau-AltL"/>
      <w:lvlText w:val="%1."/>
      <w:lvlJc w:val="left"/>
      <w:pPr>
        <w:tabs>
          <w:tab w:val="num" w:pos="576"/>
        </w:tabs>
        <w:ind w:left="576" w:hanging="576"/>
      </w:pPr>
      <w:rPr>
        <w:rFonts w:hint="default"/>
        <w:sz w:val="24"/>
      </w:rPr>
    </w:lvl>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 w:ilvl="3">
      <w:start w:val="1"/>
      <w:numFmt w:val="lowerLetter"/>
      <w:pStyle w:val="Title4LevelTitre4Niveau"/>
      <w:lvlText w:val="(%4)"/>
      <w:lvlJc w:val="left"/>
      <w:pPr>
        <w:tabs>
          <w:tab w:val="num" w:pos="1152"/>
        </w:tabs>
        <w:ind w:left="1152" w:hanging="576"/>
      </w:pPr>
      <w:rPr>
        <w:rFonts w:hint="default"/>
        <w:b w:val="0"/>
        <w:i w:val="0"/>
      </w:rPr>
    </w:lvl>
    <w:lvl w:ilvl="4">
      <w:start w:val="1"/>
      <w:numFmt w:val="lowerRoman"/>
      <w:pStyle w:val="Title5LevelTitre5Niveau"/>
      <w:lvlText w:val="(%5)"/>
      <w:lvlJc w:val="left"/>
      <w:pPr>
        <w:tabs>
          <w:tab w:val="num" w:pos="1728"/>
        </w:tabs>
        <w:ind w:left="1728" w:hanging="576"/>
      </w:pPr>
      <w:rPr>
        <w:rFonts w:hint="default"/>
      </w:rPr>
    </w:lvl>
    <w:lvl w:ilvl="5">
      <w:start w:val="1"/>
      <w:numFmt w:val="decimal"/>
      <w:pStyle w:val="Title6LevelTitre6Niveau"/>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20" w15:restartNumberingAfterBreak="0">
    <w:nsid w:val="4AC64FE2"/>
    <w:multiLevelType w:val="hybridMultilevel"/>
    <w:tmpl w:val="0B76EEBC"/>
    <w:lvl w:ilvl="0" w:tplc="434646E8">
      <w:start w:val="1"/>
      <w:numFmt w:val="decimal"/>
      <w:lvlText w:val="[%1]"/>
      <w:lvlJc w:val="left"/>
      <w:pPr>
        <w:ind w:left="36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22" w15:restartNumberingAfterBreak="0">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54283EE8"/>
    <w:multiLevelType w:val="multilevel"/>
    <w:tmpl w:val="61380426"/>
    <w:lvl w:ilvl="0">
      <w:start w:val="1"/>
      <w:numFmt w:val="decimal"/>
      <w:pStyle w:val="ParaNoNdepar-AltN"/>
      <w:lvlText w:val="[%1]"/>
      <w:lvlJc w:val="left"/>
      <w:pPr>
        <w:tabs>
          <w:tab w:val="num" w:pos="1152"/>
        </w:tabs>
        <w:ind w:left="0" w:firstLine="0"/>
      </w:pPr>
      <w:rPr>
        <w:rFonts w:ascii="Times New Roman" w:hAnsi="Times New Roman" w:hint="default"/>
        <w:b w:val="0"/>
        <w:i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66662891"/>
    <w:multiLevelType w:val="hybridMultilevel"/>
    <w:tmpl w:val="FAECBADC"/>
    <w:lvl w:ilvl="0" w:tplc="AF12D38C">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6" w15:restartNumberingAfterBreak="0">
    <w:nsid w:val="666D1F9C"/>
    <w:multiLevelType w:val="hybridMultilevel"/>
    <w:tmpl w:val="A1BADD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CA5550B"/>
    <w:multiLevelType w:val="hybridMultilevel"/>
    <w:tmpl w:val="D9EA6A54"/>
    <w:lvl w:ilvl="0" w:tplc="AF12D38C">
      <w:start w:val="1"/>
      <w:numFmt w:val="decimal"/>
      <w:lvlText w:val="(%1)"/>
      <w:lvlJc w:val="left"/>
      <w:pPr>
        <w:ind w:left="1080" w:hanging="360"/>
      </w:pPr>
      <w:rPr>
        <w:rFonts w:hint="default"/>
      </w:rPr>
    </w:lvl>
    <w:lvl w:ilvl="1" w:tplc="19B23C74">
      <w:start w:val="1"/>
      <w:numFmt w:val="lowerLetter"/>
      <w:lvlText w:val="(%2)"/>
      <w:lvlJc w:val="left"/>
      <w:pPr>
        <w:ind w:left="1800" w:hanging="360"/>
      </w:pPr>
      <w:rPr>
        <w:rFonts w:hint="default"/>
      </w:r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8" w15:restartNumberingAfterBreak="0">
    <w:nsid w:val="7A957F3C"/>
    <w:multiLevelType w:val="hybridMultilevel"/>
    <w:tmpl w:val="A0A41CF8"/>
    <w:lvl w:ilvl="0" w:tplc="D7E6156A">
      <w:start w:val="1"/>
      <w:numFmt w:val="bullet"/>
      <w:lvlText w:val=""/>
      <w:lvlJc w:val="left"/>
      <w:pPr>
        <w:ind w:left="900" w:hanging="360"/>
      </w:pPr>
      <w:rPr>
        <w:rFonts w:ascii="Symbol" w:hAnsi="Symbol" w:hint="default"/>
        <w:color w:val="auto"/>
      </w:rPr>
    </w:lvl>
    <w:lvl w:ilvl="1" w:tplc="10090003" w:tentative="1">
      <w:start w:val="1"/>
      <w:numFmt w:val="bullet"/>
      <w:lvlText w:val="o"/>
      <w:lvlJc w:val="left"/>
      <w:pPr>
        <w:ind w:left="1620" w:hanging="360"/>
      </w:pPr>
      <w:rPr>
        <w:rFonts w:ascii="Courier New" w:hAnsi="Courier New" w:cs="Courier New" w:hint="default"/>
      </w:rPr>
    </w:lvl>
    <w:lvl w:ilvl="2" w:tplc="10090005" w:tentative="1">
      <w:start w:val="1"/>
      <w:numFmt w:val="bullet"/>
      <w:lvlText w:val=""/>
      <w:lvlJc w:val="left"/>
      <w:pPr>
        <w:ind w:left="2340" w:hanging="360"/>
      </w:pPr>
      <w:rPr>
        <w:rFonts w:ascii="Wingdings" w:hAnsi="Wingdings" w:hint="default"/>
      </w:rPr>
    </w:lvl>
    <w:lvl w:ilvl="3" w:tplc="10090001" w:tentative="1">
      <w:start w:val="1"/>
      <w:numFmt w:val="bullet"/>
      <w:lvlText w:val=""/>
      <w:lvlJc w:val="left"/>
      <w:pPr>
        <w:ind w:left="3060" w:hanging="360"/>
      </w:pPr>
      <w:rPr>
        <w:rFonts w:ascii="Symbol" w:hAnsi="Symbol" w:hint="default"/>
      </w:rPr>
    </w:lvl>
    <w:lvl w:ilvl="4" w:tplc="10090003" w:tentative="1">
      <w:start w:val="1"/>
      <w:numFmt w:val="bullet"/>
      <w:lvlText w:val="o"/>
      <w:lvlJc w:val="left"/>
      <w:pPr>
        <w:ind w:left="3780" w:hanging="360"/>
      </w:pPr>
      <w:rPr>
        <w:rFonts w:ascii="Courier New" w:hAnsi="Courier New" w:cs="Courier New" w:hint="default"/>
      </w:rPr>
    </w:lvl>
    <w:lvl w:ilvl="5" w:tplc="10090005" w:tentative="1">
      <w:start w:val="1"/>
      <w:numFmt w:val="bullet"/>
      <w:lvlText w:val=""/>
      <w:lvlJc w:val="left"/>
      <w:pPr>
        <w:ind w:left="4500" w:hanging="360"/>
      </w:pPr>
      <w:rPr>
        <w:rFonts w:ascii="Wingdings" w:hAnsi="Wingdings" w:hint="default"/>
      </w:rPr>
    </w:lvl>
    <w:lvl w:ilvl="6" w:tplc="10090001" w:tentative="1">
      <w:start w:val="1"/>
      <w:numFmt w:val="bullet"/>
      <w:lvlText w:val=""/>
      <w:lvlJc w:val="left"/>
      <w:pPr>
        <w:ind w:left="5220" w:hanging="360"/>
      </w:pPr>
      <w:rPr>
        <w:rFonts w:ascii="Symbol" w:hAnsi="Symbol" w:hint="default"/>
      </w:rPr>
    </w:lvl>
    <w:lvl w:ilvl="7" w:tplc="10090003" w:tentative="1">
      <w:start w:val="1"/>
      <w:numFmt w:val="bullet"/>
      <w:lvlText w:val="o"/>
      <w:lvlJc w:val="left"/>
      <w:pPr>
        <w:ind w:left="5940" w:hanging="360"/>
      </w:pPr>
      <w:rPr>
        <w:rFonts w:ascii="Courier New" w:hAnsi="Courier New" w:cs="Courier New" w:hint="default"/>
      </w:rPr>
    </w:lvl>
    <w:lvl w:ilvl="8" w:tplc="10090005" w:tentative="1">
      <w:start w:val="1"/>
      <w:numFmt w:val="bullet"/>
      <w:lvlText w:val=""/>
      <w:lvlJc w:val="left"/>
      <w:pPr>
        <w:ind w:left="6660" w:hanging="360"/>
      </w:pPr>
      <w:rPr>
        <w:rFonts w:ascii="Wingdings" w:hAnsi="Wingdings" w:hint="default"/>
      </w:rPr>
    </w:lvl>
  </w:abstractNum>
  <w:num w:numId="1">
    <w:abstractNumId w:val="24"/>
  </w:num>
  <w:num w:numId="2">
    <w:abstractNumId w:val="13"/>
  </w:num>
  <w:num w:numId="3">
    <w:abstractNumId w:val="10"/>
  </w:num>
  <w:num w:numId="4">
    <w:abstractNumId w:val="21"/>
  </w:num>
  <w:num w:numId="5">
    <w:abstractNumId w:val="22"/>
  </w:num>
  <w:num w:numId="6">
    <w:abstractNumId w:val="23"/>
  </w:num>
  <w:num w:numId="7">
    <w:abstractNumId w:val="19"/>
  </w:num>
  <w:num w:numId="8">
    <w:abstractNumId w:val="19"/>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9">
    <w:abstractNumId w:val="27"/>
  </w:num>
  <w:num w:numId="10">
    <w:abstractNumId w:val="17"/>
  </w:num>
  <w:num w:numId="11">
    <w:abstractNumId w:val="15"/>
  </w:num>
  <w:num w:numId="12">
    <w:abstractNumId w:val="12"/>
  </w:num>
  <w:num w:numId="13">
    <w:abstractNumId w:val="19"/>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i w:val="0"/>
          <w:sz w:val="24"/>
        </w:rPr>
      </w:lvl>
    </w:lvlOverride>
    <w:lvlOverride w:ilvl="2">
      <w:lvl w:ilvl="2">
        <w:start w:val="1"/>
        <w:numFmt w:val="decimal"/>
        <w:pStyle w:val="Title3LevelTitre3Niveau"/>
        <w:lvlText w:val="(%3)"/>
        <w:lvlJc w:val="left"/>
        <w:pPr>
          <w:tabs>
            <w:tab w:val="num" w:pos="1152"/>
          </w:tabs>
          <w:ind w:left="1152" w:hanging="576"/>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lowerLetter"/>
        <w:pStyle w:val="Title4LevelTitre4Niveau"/>
        <w:lvlText w:val="(%4)"/>
        <w:lvlJc w:val="left"/>
        <w:pPr>
          <w:tabs>
            <w:tab w:val="num" w:pos="1152"/>
          </w:tabs>
          <w:ind w:left="1152" w:hanging="576"/>
        </w:pPr>
        <w:rPr>
          <w:rFonts w:hint="default"/>
          <w:b/>
          <w:i w:val="0"/>
        </w:rPr>
      </w:lvl>
    </w:lvlOverride>
    <w:lvlOverride w:ilvl="4">
      <w:lvl w:ilvl="4">
        <w:start w:val="1"/>
        <w:numFmt w:val="lowerRoman"/>
        <w:pStyle w:val="Title5LevelTitre5Niveau"/>
        <w:lvlText w:val="(%5)"/>
        <w:lvlJc w:val="left"/>
        <w:pPr>
          <w:tabs>
            <w:tab w:val="num" w:pos="1728"/>
          </w:tabs>
          <w:ind w:left="1728" w:hanging="576"/>
        </w:pPr>
        <w:rPr>
          <w:rFonts w:hint="default"/>
          <w:i w:val="0"/>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14">
    <w:abstractNumId w:val="20"/>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8"/>
  </w:num>
  <w:num w:numId="26">
    <w:abstractNumId w:val="25"/>
  </w:num>
  <w:num w:numId="27">
    <w:abstractNumId w:val="16"/>
  </w:num>
  <w:num w:numId="28">
    <w:abstractNumId w:val="28"/>
  </w:num>
  <w:num w:numId="29">
    <w:abstractNumId w:val="26"/>
  </w:num>
  <w:num w:numId="30">
    <w:abstractNumId w:val="19"/>
    <w:lvlOverride w:ilvl="0">
      <w:startOverride w:val="1"/>
      <w:lvl w:ilvl="0">
        <w:start w:val="1"/>
        <w:numFmt w:val="upperRoman"/>
        <w:pStyle w:val="Title1LevelTitre1Niveau-AltL"/>
        <w:lvlText w:val="%1."/>
        <w:lvlJc w:val="left"/>
        <w:pPr>
          <w:tabs>
            <w:tab w:val="num" w:pos="576"/>
          </w:tabs>
          <w:ind w:left="576" w:hanging="576"/>
        </w:pPr>
        <w:rPr>
          <w:rFonts w:hint="default"/>
          <w:sz w:val="24"/>
        </w:rPr>
      </w:lvl>
    </w:lvlOverride>
    <w:lvlOverride w:ilvl="1">
      <w:startOverride w:val="1"/>
      <w:lvl w:ilvl="1">
        <w:start w:val="1"/>
        <w:numFmt w:val="upperLetter"/>
        <w:pStyle w:val="Title2LevelTitre2Niveau"/>
        <w:lvlText w:val="%2."/>
        <w:lvlJc w:val="left"/>
        <w:pPr>
          <w:tabs>
            <w:tab w:val="num" w:pos="576"/>
          </w:tabs>
          <w:ind w:left="576" w:hanging="576"/>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startOverride w:val="1"/>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startOverride w:val="1"/>
      <w:lvl w:ilvl="3">
        <w:start w:val="1"/>
        <w:numFmt w:val="lowerLetter"/>
        <w:pStyle w:val="Title4LevelTitre4Niveau"/>
        <w:lvlText w:val="(%4)"/>
        <w:lvlJc w:val="left"/>
        <w:pPr>
          <w:tabs>
            <w:tab w:val="num" w:pos="1152"/>
          </w:tabs>
          <w:ind w:left="1152" w:hanging="576"/>
        </w:pPr>
        <w:rPr>
          <w:rFonts w:hint="default"/>
          <w:b w:val="0"/>
          <w:i w:val="0"/>
        </w:rPr>
      </w:lvl>
    </w:lvlOverride>
    <w:lvlOverride w:ilvl="4">
      <w:startOverride w:val="1"/>
      <w:lvl w:ilvl="4">
        <w:start w:val="1"/>
        <w:numFmt w:val="lowerRoman"/>
        <w:pStyle w:val="Title5LevelTitre5Niveau"/>
        <w:lvlText w:val="(%5)"/>
        <w:lvlJc w:val="left"/>
        <w:pPr>
          <w:tabs>
            <w:tab w:val="num" w:pos="1728"/>
          </w:tabs>
          <w:ind w:left="1728" w:hanging="576"/>
        </w:pPr>
        <w:rPr>
          <w:rFonts w:hint="default"/>
        </w:rPr>
      </w:lvl>
    </w:lvlOverride>
    <w:lvlOverride w:ilvl="5">
      <w:startOverride w:val="1"/>
      <w:lvl w:ilvl="5">
        <w:start w:val="1"/>
        <w:numFmt w:val="decimal"/>
        <w:pStyle w:val="Title6LevelTitre6Niveau"/>
        <w:lvlText w:val="%6."/>
        <w:lvlJc w:val="left"/>
        <w:pPr>
          <w:tabs>
            <w:tab w:val="num" w:pos="1728"/>
          </w:tabs>
          <w:ind w:left="1728" w:hanging="576"/>
        </w:pPr>
        <w:rPr>
          <w:rFonts w:hint="default"/>
          <w:b w:val="0"/>
          <w:i w:val="0"/>
        </w:rPr>
      </w:lvl>
    </w:lvlOverride>
    <w:lvlOverride w:ilvl="6">
      <w:startOverride w:val="1"/>
      <w:lvl w:ilvl="6">
        <w:start w:val="1"/>
        <w:numFmt w:val="decimal"/>
        <w:lvlText w:val="%7."/>
        <w:lvlJc w:val="left"/>
        <w:pPr>
          <w:ind w:left="8208" w:hanging="432"/>
        </w:pPr>
        <w:rPr>
          <w:rFonts w:hint="default"/>
        </w:rPr>
      </w:lvl>
    </w:lvlOverride>
    <w:lvlOverride w:ilvl="7">
      <w:startOverride w:val="1"/>
      <w:lvl w:ilvl="7">
        <w:start w:val="1"/>
        <w:numFmt w:val="lowerLetter"/>
        <w:lvlText w:val="%8."/>
        <w:lvlJc w:val="left"/>
        <w:pPr>
          <w:ind w:left="8640" w:hanging="432"/>
        </w:pPr>
        <w:rPr>
          <w:rFonts w:hint="default"/>
        </w:rPr>
      </w:lvl>
    </w:lvlOverride>
    <w:lvlOverride w:ilvl="8">
      <w:startOverride w:val="1"/>
      <w:lvl w:ilvl="8">
        <w:start w:val="1"/>
        <w:numFmt w:val="lowerRoman"/>
        <w:lvlText w:val="%9."/>
        <w:lvlJc w:val="left"/>
        <w:pPr>
          <w:ind w:left="9072" w:hanging="432"/>
        </w:pPr>
        <w:rPr>
          <w:rFonts w:hint="default"/>
        </w:rPr>
      </w:lvl>
    </w:lvlOverride>
  </w:num>
  <w:num w:numId="31">
    <w:abstractNumId w:val="11"/>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2"/>
  <w:removePersonalInformation/>
  <w:removeDateAndTime/>
  <w:bordersDoNotSurroundHeader/>
  <w:bordersDoNotSurroundFooter/>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4C"/>
    <w:rsid w:val="00000ED4"/>
    <w:rsid w:val="00013781"/>
    <w:rsid w:val="00017885"/>
    <w:rsid w:val="00025198"/>
    <w:rsid w:val="00025763"/>
    <w:rsid w:val="00026467"/>
    <w:rsid w:val="00040D1B"/>
    <w:rsid w:val="00040F00"/>
    <w:rsid w:val="00041BDD"/>
    <w:rsid w:val="000578A3"/>
    <w:rsid w:val="000648CC"/>
    <w:rsid w:val="00076E46"/>
    <w:rsid w:val="00094FED"/>
    <w:rsid w:val="000B5CFA"/>
    <w:rsid w:val="000B69B5"/>
    <w:rsid w:val="000C3FCE"/>
    <w:rsid w:val="000C59B8"/>
    <w:rsid w:val="000C6AF0"/>
    <w:rsid w:val="000C78C2"/>
    <w:rsid w:val="000F0995"/>
    <w:rsid w:val="000F2039"/>
    <w:rsid w:val="000F2FF1"/>
    <w:rsid w:val="00104F33"/>
    <w:rsid w:val="00106D75"/>
    <w:rsid w:val="00111905"/>
    <w:rsid w:val="00111DE2"/>
    <w:rsid w:val="0011492A"/>
    <w:rsid w:val="001160DE"/>
    <w:rsid w:val="00116378"/>
    <w:rsid w:val="00116B38"/>
    <w:rsid w:val="00134F55"/>
    <w:rsid w:val="00135406"/>
    <w:rsid w:val="00135972"/>
    <w:rsid w:val="00136268"/>
    <w:rsid w:val="00137E61"/>
    <w:rsid w:val="001426A9"/>
    <w:rsid w:val="0014546A"/>
    <w:rsid w:val="001534B3"/>
    <w:rsid w:val="00154563"/>
    <w:rsid w:val="00154D7C"/>
    <w:rsid w:val="001570B0"/>
    <w:rsid w:val="0015752C"/>
    <w:rsid w:val="00157737"/>
    <w:rsid w:val="00165277"/>
    <w:rsid w:val="001677C1"/>
    <w:rsid w:val="00170592"/>
    <w:rsid w:val="0018066E"/>
    <w:rsid w:val="00186351"/>
    <w:rsid w:val="00195D83"/>
    <w:rsid w:val="001977DB"/>
    <w:rsid w:val="001A00C1"/>
    <w:rsid w:val="001A42A4"/>
    <w:rsid w:val="001B33E0"/>
    <w:rsid w:val="001B4573"/>
    <w:rsid w:val="001C779F"/>
    <w:rsid w:val="001D2AC1"/>
    <w:rsid w:val="001D4DDF"/>
    <w:rsid w:val="001D4E88"/>
    <w:rsid w:val="001D65FF"/>
    <w:rsid w:val="001D6E70"/>
    <w:rsid w:val="001E477D"/>
    <w:rsid w:val="001F4F4D"/>
    <w:rsid w:val="00220FC2"/>
    <w:rsid w:val="002222F4"/>
    <w:rsid w:val="00224FC0"/>
    <w:rsid w:val="00225EA4"/>
    <w:rsid w:val="00226E61"/>
    <w:rsid w:val="00226EAF"/>
    <w:rsid w:val="002310A2"/>
    <w:rsid w:val="00231F3A"/>
    <w:rsid w:val="00234199"/>
    <w:rsid w:val="00236389"/>
    <w:rsid w:val="00237AFE"/>
    <w:rsid w:val="002406EE"/>
    <w:rsid w:val="00243EC8"/>
    <w:rsid w:val="00264B77"/>
    <w:rsid w:val="00270D93"/>
    <w:rsid w:val="002745CC"/>
    <w:rsid w:val="0029178F"/>
    <w:rsid w:val="002B4D7F"/>
    <w:rsid w:val="002B7924"/>
    <w:rsid w:val="002B7ABA"/>
    <w:rsid w:val="002D2226"/>
    <w:rsid w:val="002D28C3"/>
    <w:rsid w:val="002D294E"/>
    <w:rsid w:val="002D39A4"/>
    <w:rsid w:val="002E6189"/>
    <w:rsid w:val="002E6705"/>
    <w:rsid w:val="00301D08"/>
    <w:rsid w:val="0030329A"/>
    <w:rsid w:val="00303F14"/>
    <w:rsid w:val="00305526"/>
    <w:rsid w:val="0031086F"/>
    <w:rsid w:val="0031414C"/>
    <w:rsid w:val="00314E01"/>
    <w:rsid w:val="00317670"/>
    <w:rsid w:val="0032089D"/>
    <w:rsid w:val="00324AE2"/>
    <w:rsid w:val="003310DE"/>
    <w:rsid w:val="003323B0"/>
    <w:rsid w:val="00337C82"/>
    <w:rsid w:val="00342089"/>
    <w:rsid w:val="00347BA4"/>
    <w:rsid w:val="0035169A"/>
    <w:rsid w:val="0035259D"/>
    <w:rsid w:val="00353B79"/>
    <w:rsid w:val="00355C66"/>
    <w:rsid w:val="00362ADA"/>
    <w:rsid w:val="00364B18"/>
    <w:rsid w:val="00396BF3"/>
    <w:rsid w:val="003A125D"/>
    <w:rsid w:val="003A4C70"/>
    <w:rsid w:val="003B215F"/>
    <w:rsid w:val="003C2CFF"/>
    <w:rsid w:val="003C799C"/>
    <w:rsid w:val="003D0399"/>
    <w:rsid w:val="003D3EFA"/>
    <w:rsid w:val="003E1C71"/>
    <w:rsid w:val="003E2693"/>
    <w:rsid w:val="003E53AC"/>
    <w:rsid w:val="003F327B"/>
    <w:rsid w:val="003F7ACB"/>
    <w:rsid w:val="00400B24"/>
    <w:rsid w:val="00404D28"/>
    <w:rsid w:val="0040508D"/>
    <w:rsid w:val="00406166"/>
    <w:rsid w:val="0040704B"/>
    <w:rsid w:val="00407839"/>
    <w:rsid w:val="00410003"/>
    <w:rsid w:val="00410A55"/>
    <w:rsid w:val="00411300"/>
    <w:rsid w:val="00415417"/>
    <w:rsid w:val="0041747D"/>
    <w:rsid w:val="00424FE1"/>
    <w:rsid w:val="00426659"/>
    <w:rsid w:val="00426D16"/>
    <w:rsid w:val="00450352"/>
    <w:rsid w:val="00454BDB"/>
    <w:rsid w:val="00463A7A"/>
    <w:rsid w:val="00464800"/>
    <w:rsid w:val="00464BF6"/>
    <w:rsid w:val="00465132"/>
    <w:rsid w:val="00465EF1"/>
    <w:rsid w:val="00470DB3"/>
    <w:rsid w:val="0047411A"/>
    <w:rsid w:val="00480C90"/>
    <w:rsid w:val="0048396F"/>
    <w:rsid w:val="00493C18"/>
    <w:rsid w:val="00495D96"/>
    <w:rsid w:val="004A600C"/>
    <w:rsid w:val="004A6118"/>
    <w:rsid w:val="004C2314"/>
    <w:rsid w:val="004C25EE"/>
    <w:rsid w:val="004C478D"/>
    <w:rsid w:val="004D4FEC"/>
    <w:rsid w:val="004E0D6A"/>
    <w:rsid w:val="004E2C26"/>
    <w:rsid w:val="004E61A7"/>
    <w:rsid w:val="004F36FF"/>
    <w:rsid w:val="004F7454"/>
    <w:rsid w:val="0050060D"/>
    <w:rsid w:val="005125A8"/>
    <w:rsid w:val="00516DED"/>
    <w:rsid w:val="00521AE8"/>
    <w:rsid w:val="00524449"/>
    <w:rsid w:val="00527180"/>
    <w:rsid w:val="00533A2E"/>
    <w:rsid w:val="005341CE"/>
    <w:rsid w:val="00534AB2"/>
    <w:rsid w:val="0054201E"/>
    <w:rsid w:val="005541DB"/>
    <w:rsid w:val="00555291"/>
    <w:rsid w:val="0056265A"/>
    <w:rsid w:val="00566AD1"/>
    <w:rsid w:val="0057257D"/>
    <w:rsid w:val="00583EDE"/>
    <w:rsid w:val="00586928"/>
    <w:rsid w:val="005A4F85"/>
    <w:rsid w:val="005A6079"/>
    <w:rsid w:val="005B052D"/>
    <w:rsid w:val="005B7C58"/>
    <w:rsid w:val="005C7840"/>
    <w:rsid w:val="005E4698"/>
    <w:rsid w:val="006003EE"/>
    <w:rsid w:val="00610539"/>
    <w:rsid w:val="00613969"/>
    <w:rsid w:val="0061523C"/>
    <w:rsid w:val="00617208"/>
    <w:rsid w:val="006230B6"/>
    <w:rsid w:val="00625C35"/>
    <w:rsid w:val="00626A7D"/>
    <w:rsid w:val="0062787A"/>
    <w:rsid w:val="00635521"/>
    <w:rsid w:val="00637CCD"/>
    <w:rsid w:val="006468AB"/>
    <w:rsid w:val="006532FF"/>
    <w:rsid w:val="00656313"/>
    <w:rsid w:val="006565F4"/>
    <w:rsid w:val="0066108F"/>
    <w:rsid w:val="006763FD"/>
    <w:rsid w:val="00684EEA"/>
    <w:rsid w:val="006908E8"/>
    <w:rsid w:val="0069689B"/>
    <w:rsid w:val="006A1551"/>
    <w:rsid w:val="006A48DB"/>
    <w:rsid w:val="006B5FF5"/>
    <w:rsid w:val="006B7683"/>
    <w:rsid w:val="006D4200"/>
    <w:rsid w:val="006D5F45"/>
    <w:rsid w:val="006E66A5"/>
    <w:rsid w:val="006F2CF7"/>
    <w:rsid w:val="006F30AF"/>
    <w:rsid w:val="007009A0"/>
    <w:rsid w:val="00701759"/>
    <w:rsid w:val="00701CF2"/>
    <w:rsid w:val="00705C15"/>
    <w:rsid w:val="00712E55"/>
    <w:rsid w:val="00713025"/>
    <w:rsid w:val="007154A1"/>
    <w:rsid w:val="00715A65"/>
    <w:rsid w:val="0071600E"/>
    <w:rsid w:val="00717FDC"/>
    <w:rsid w:val="007208D1"/>
    <w:rsid w:val="0072428C"/>
    <w:rsid w:val="00730177"/>
    <w:rsid w:val="00742119"/>
    <w:rsid w:val="00746121"/>
    <w:rsid w:val="00747288"/>
    <w:rsid w:val="00747DD3"/>
    <w:rsid w:val="007549C8"/>
    <w:rsid w:val="00754A0B"/>
    <w:rsid w:val="00766D14"/>
    <w:rsid w:val="00767A0F"/>
    <w:rsid w:val="007A05F6"/>
    <w:rsid w:val="007B6F4A"/>
    <w:rsid w:val="007D097E"/>
    <w:rsid w:val="007E1C47"/>
    <w:rsid w:val="007E337A"/>
    <w:rsid w:val="007E5C70"/>
    <w:rsid w:val="007F2FF5"/>
    <w:rsid w:val="007F3F08"/>
    <w:rsid w:val="00804CC6"/>
    <w:rsid w:val="00813B48"/>
    <w:rsid w:val="0081470C"/>
    <w:rsid w:val="00817190"/>
    <w:rsid w:val="008201FB"/>
    <w:rsid w:val="00820EE5"/>
    <w:rsid w:val="008244E9"/>
    <w:rsid w:val="008260E2"/>
    <w:rsid w:val="008322BD"/>
    <w:rsid w:val="008323C4"/>
    <w:rsid w:val="00833E0A"/>
    <w:rsid w:val="00834F73"/>
    <w:rsid w:val="00847F55"/>
    <w:rsid w:val="00851F3D"/>
    <w:rsid w:val="008544FA"/>
    <w:rsid w:val="00864CF8"/>
    <w:rsid w:val="0086722E"/>
    <w:rsid w:val="00872819"/>
    <w:rsid w:val="00874914"/>
    <w:rsid w:val="00891422"/>
    <w:rsid w:val="00892E1A"/>
    <w:rsid w:val="008A3F29"/>
    <w:rsid w:val="008B660A"/>
    <w:rsid w:val="008B70F9"/>
    <w:rsid w:val="008C01DA"/>
    <w:rsid w:val="008C02C9"/>
    <w:rsid w:val="008C7263"/>
    <w:rsid w:val="008D2104"/>
    <w:rsid w:val="008F78E9"/>
    <w:rsid w:val="00903C32"/>
    <w:rsid w:val="00911989"/>
    <w:rsid w:val="009179F9"/>
    <w:rsid w:val="0093031F"/>
    <w:rsid w:val="00931C1C"/>
    <w:rsid w:val="00933E5E"/>
    <w:rsid w:val="00935218"/>
    <w:rsid w:val="009356C5"/>
    <w:rsid w:val="009403F3"/>
    <w:rsid w:val="009555B7"/>
    <w:rsid w:val="009567AA"/>
    <w:rsid w:val="0096473A"/>
    <w:rsid w:val="00967374"/>
    <w:rsid w:val="00976EB5"/>
    <w:rsid w:val="00981B4D"/>
    <w:rsid w:val="009A343A"/>
    <w:rsid w:val="009A4E51"/>
    <w:rsid w:val="009A520F"/>
    <w:rsid w:val="009B2F23"/>
    <w:rsid w:val="009B57B3"/>
    <w:rsid w:val="009B6FFE"/>
    <w:rsid w:val="009C5B92"/>
    <w:rsid w:val="009D2920"/>
    <w:rsid w:val="009D5AEB"/>
    <w:rsid w:val="009F0E33"/>
    <w:rsid w:val="009F1E77"/>
    <w:rsid w:val="00A003F4"/>
    <w:rsid w:val="00A030CE"/>
    <w:rsid w:val="00A12217"/>
    <w:rsid w:val="00A149DF"/>
    <w:rsid w:val="00A1755C"/>
    <w:rsid w:val="00A21B90"/>
    <w:rsid w:val="00A244B9"/>
    <w:rsid w:val="00A41805"/>
    <w:rsid w:val="00A42DCD"/>
    <w:rsid w:val="00A44699"/>
    <w:rsid w:val="00A52AFB"/>
    <w:rsid w:val="00A548CB"/>
    <w:rsid w:val="00A5521C"/>
    <w:rsid w:val="00A557A1"/>
    <w:rsid w:val="00A55CEF"/>
    <w:rsid w:val="00A643E7"/>
    <w:rsid w:val="00A73C38"/>
    <w:rsid w:val="00AB305A"/>
    <w:rsid w:val="00AB670D"/>
    <w:rsid w:val="00AC5BFC"/>
    <w:rsid w:val="00AC6FA4"/>
    <w:rsid w:val="00AD2826"/>
    <w:rsid w:val="00AD342F"/>
    <w:rsid w:val="00AD4C25"/>
    <w:rsid w:val="00AE25FE"/>
    <w:rsid w:val="00AE4535"/>
    <w:rsid w:val="00AF03C5"/>
    <w:rsid w:val="00AF0B26"/>
    <w:rsid w:val="00B000D8"/>
    <w:rsid w:val="00B00F75"/>
    <w:rsid w:val="00B11735"/>
    <w:rsid w:val="00B145B6"/>
    <w:rsid w:val="00B2215E"/>
    <w:rsid w:val="00B279EB"/>
    <w:rsid w:val="00B30E18"/>
    <w:rsid w:val="00B32357"/>
    <w:rsid w:val="00B43559"/>
    <w:rsid w:val="00B50C81"/>
    <w:rsid w:val="00B5104D"/>
    <w:rsid w:val="00B52E9E"/>
    <w:rsid w:val="00B557F8"/>
    <w:rsid w:val="00B56AAF"/>
    <w:rsid w:val="00B67199"/>
    <w:rsid w:val="00B815FC"/>
    <w:rsid w:val="00B93FBC"/>
    <w:rsid w:val="00BA066D"/>
    <w:rsid w:val="00BA7DA0"/>
    <w:rsid w:val="00BB2366"/>
    <w:rsid w:val="00BB2640"/>
    <w:rsid w:val="00BB2EE4"/>
    <w:rsid w:val="00BB5AE6"/>
    <w:rsid w:val="00BC2108"/>
    <w:rsid w:val="00BC5642"/>
    <w:rsid w:val="00BD0E9E"/>
    <w:rsid w:val="00BD1BEC"/>
    <w:rsid w:val="00BD32FF"/>
    <w:rsid w:val="00BD67ED"/>
    <w:rsid w:val="00BF733C"/>
    <w:rsid w:val="00C02092"/>
    <w:rsid w:val="00C13536"/>
    <w:rsid w:val="00C14AA0"/>
    <w:rsid w:val="00C22905"/>
    <w:rsid w:val="00C229CD"/>
    <w:rsid w:val="00C24D91"/>
    <w:rsid w:val="00C4140B"/>
    <w:rsid w:val="00C53F14"/>
    <w:rsid w:val="00C600CF"/>
    <w:rsid w:val="00C6084F"/>
    <w:rsid w:val="00C62A66"/>
    <w:rsid w:val="00C62FD6"/>
    <w:rsid w:val="00C71458"/>
    <w:rsid w:val="00C77613"/>
    <w:rsid w:val="00C828E7"/>
    <w:rsid w:val="00C86719"/>
    <w:rsid w:val="00C921DD"/>
    <w:rsid w:val="00CA6391"/>
    <w:rsid w:val="00CA7B39"/>
    <w:rsid w:val="00CC34BD"/>
    <w:rsid w:val="00CD4A41"/>
    <w:rsid w:val="00CE08B9"/>
    <w:rsid w:val="00CE161A"/>
    <w:rsid w:val="00CE3171"/>
    <w:rsid w:val="00CE7262"/>
    <w:rsid w:val="00CF1601"/>
    <w:rsid w:val="00D0172F"/>
    <w:rsid w:val="00D068A7"/>
    <w:rsid w:val="00D173CE"/>
    <w:rsid w:val="00D17476"/>
    <w:rsid w:val="00D26B67"/>
    <w:rsid w:val="00D32086"/>
    <w:rsid w:val="00D360E6"/>
    <w:rsid w:val="00D37A3F"/>
    <w:rsid w:val="00D4431D"/>
    <w:rsid w:val="00D4667A"/>
    <w:rsid w:val="00D469D5"/>
    <w:rsid w:val="00D47BFC"/>
    <w:rsid w:val="00D614A5"/>
    <w:rsid w:val="00D614E0"/>
    <w:rsid w:val="00D63A1C"/>
    <w:rsid w:val="00D67CB1"/>
    <w:rsid w:val="00D7516F"/>
    <w:rsid w:val="00D83628"/>
    <w:rsid w:val="00D8579F"/>
    <w:rsid w:val="00D90B9E"/>
    <w:rsid w:val="00D91A89"/>
    <w:rsid w:val="00D95F8E"/>
    <w:rsid w:val="00DA0590"/>
    <w:rsid w:val="00DB7BEA"/>
    <w:rsid w:val="00DC1739"/>
    <w:rsid w:val="00DC1788"/>
    <w:rsid w:val="00DC2F37"/>
    <w:rsid w:val="00DD105B"/>
    <w:rsid w:val="00DE319C"/>
    <w:rsid w:val="00DE54B0"/>
    <w:rsid w:val="00DF0CA8"/>
    <w:rsid w:val="00DF2B48"/>
    <w:rsid w:val="00DF49A7"/>
    <w:rsid w:val="00E07EE2"/>
    <w:rsid w:val="00E07FD1"/>
    <w:rsid w:val="00E176D8"/>
    <w:rsid w:val="00E24573"/>
    <w:rsid w:val="00E25E1E"/>
    <w:rsid w:val="00E27EE7"/>
    <w:rsid w:val="00E31D67"/>
    <w:rsid w:val="00E3214F"/>
    <w:rsid w:val="00E333F9"/>
    <w:rsid w:val="00E35404"/>
    <w:rsid w:val="00E45109"/>
    <w:rsid w:val="00E47B7A"/>
    <w:rsid w:val="00E50A79"/>
    <w:rsid w:val="00E5130B"/>
    <w:rsid w:val="00E56A44"/>
    <w:rsid w:val="00E60269"/>
    <w:rsid w:val="00E653D0"/>
    <w:rsid w:val="00E65A2E"/>
    <w:rsid w:val="00E71951"/>
    <w:rsid w:val="00E77932"/>
    <w:rsid w:val="00E83FDA"/>
    <w:rsid w:val="00E92347"/>
    <w:rsid w:val="00E97830"/>
    <w:rsid w:val="00EA1D3B"/>
    <w:rsid w:val="00EB0B7C"/>
    <w:rsid w:val="00ED60AA"/>
    <w:rsid w:val="00ED681A"/>
    <w:rsid w:val="00EE5737"/>
    <w:rsid w:val="00EE643C"/>
    <w:rsid w:val="00EF0683"/>
    <w:rsid w:val="00EF69D2"/>
    <w:rsid w:val="00EF766E"/>
    <w:rsid w:val="00F0070C"/>
    <w:rsid w:val="00F00EB7"/>
    <w:rsid w:val="00F36AB6"/>
    <w:rsid w:val="00F37A09"/>
    <w:rsid w:val="00F409CE"/>
    <w:rsid w:val="00F4379D"/>
    <w:rsid w:val="00F50635"/>
    <w:rsid w:val="00F50D2D"/>
    <w:rsid w:val="00F56C8B"/>
    <w:rsid w:val="00F66810"/>
    <w:rsid w:val="00F75F4E"/>
    <w:rsid w:val="00F846D9"/>
    <w:rsid w:val="00F84DF4"/>
    <w:rsid w:val="00F85C97"/>
    <w:rsid w:val="00F94A57"/>
    <w:rsid w:val="00FA51A0"/>
    <w:rsid w:val="00FB37D2"/>
    <w:rsid w:val="00FB7D08"/>
    <w:rsid w:val="00FC3788"/>
    <w:rsid w:val="00FC4EFB"/>
    <w:rsid w:val="00FD068D"/>
    <w:rsid w:val="00FD4F28"/>
    <w:rsid w:val="00FE03B5"/>
    <w:rsid w:val="00FE0416"/>
    <w:rsid w:val="00FE6784"/>
    <w:rsid w:val="00FF18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7ABA"/>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22905"/>
    <w:pPr>
      <w:keepNext/>
      <w:keepLines/>
      <w:spacing w:before="200"/>
      <w:outlineLvl w:val="2"/>
    </w:pPr>
    <w:rPr>
      <w:rFonts w:asciiTheme="majorHAnsi" w:eastAsiaTheme="majorEastAsia" w:hAnsiTheme="majorHAnsi" w:cstheme="majorBidi"/>
      <w:b/>
      <w:bCs/>
      <w:color w:val="4F81BD" w:themeColor="accent1"/>
      <w:szCs w:val="22"/>
      <w:lang w:val="en-US" w:eastAsia="en-US" w:bidi="en-US"/>
    </w:rPr>
  </w:style>
  <w:style w:type="paragraph" w:styleId="Heading4">
    <w:name w:val="heading 4"/>
    <w:basedOn w:val="Normal"/>
    <w:next w:val="Normal"/>
    <w:link w:val="Heading4Char"/>
    <w:uiPriority w:val="9"/>
    <w:semiHidden/>
    <w:unhideWhenUsed/>
    <w:qFormat/>
    <w:rsid w:val="00C22905"/>
    <w:pPr>
      <w:keepNext/>
      <w:keepLines/>
      <w:spacing w:before="200"/>
      <w:outlineLvl w:val="3"/>
    </w:pPr>
    <w:rPr>
      <w:rFonts w:asciiTheme="majorHAnsi" w:eastAsiaTheme="majorEastAsia" w:hAnsiTheme="majorHAnsi" w:cstheme="majorBidi"/>
      <w:b/>
      <w:bCs/>
      <w:i/>
      <w:iCs/>
      <w:color w:val="4F81BD" w:themeColor="accent1"/>
      <w:szCs w:val="22"/>
      <w:lang w:val="en-US" w:eastAsia="en-US" w:bidi="en-US"/>
    </w:rPr>
  </w:style>
  <w:style w:type="paragraph" w:styleId="Heading5">
    <w:name w:val="heading 5"/>
    <w:basedOn w:val="Normal"/>
    <w:next w:val="Normal"/>
    <w:link w:val="Heading5Char"/>
    <w:uiPriority w:val="9"/>
    <w:semiHidden/>
    <w:unhideWhenUsed/>
    <w:qFormat/>
    <w:rsid w:val="00C22905"/>
    <w:pPr>
      <w:keepNext/>
      <w:keepLines/>
      <w:spacing w:before="200"/>
      <w:outlineLvl w:val="4"/>
    </w:pPr>
    <w:rPr>
      <w:rFonts w:asciiTheme="majorHAnsi" w:eastAsiaTheme="majorEastAsia" w:hAnsiTheme="majorHAnsi" w:cstheme="majorBidi"/>
      <w:color w:val="243F60" w:themeColor="accent1" w:themeShade="7F"/>
      <w:szCs w:val="22"/>
      <w:lang w:val="en-US" w:eastAsia="en-US" w:bidi="en-US"/>
    </w:rPr>
  </w:style>
  <w:style w:type="paragraph" w:styleId="Heading6">
    <w:name w:val="heading 6"/>
    <w:basedOn w:val="Normal"/>
    <w:next w:val="Normal"/>
    <w:link w:val="Heading6Char"/>
    <w:uiPriority w:val="9"/>
    <w:semiHidden/>
    <w:unhideWhenUsed/>
    <w:qFormat/>
    <w:rsid w:val="00C22905"/>
    <w:pPr>
      <w:keepNext/>
      <w:keepLines/>
      <w:spacing w:before="200"/>
      <w:outlineLvl w:val="5"/>
    </w:pPr>
    <w:rPr>
      <w:rFonts w:asciiTheme="majorHAnsi" w:eastAsiaTheme="majorEastAsia" w:hAnsiTheme="majorHAnsi" w:cstheme="majorBidi"/>
      <w:i/>
      <w:iCs/>
      <w:color w:val="243F60" w:themeColor="accent1" w:themeShade="7F"/>
      <w:szCs w:val="22"/>
      <w:lang w:val="en-US" w:eastAsia="en-US" w:bidi="en-US"/>
    </w:rPr>
  </w:style>
  <w:style w:type="paragraph" w:styleId="Heading7">
    <w:name w:val="heading 7"/>
    <w:basedOn w:val="Normal"/>
    <w:next w:val="Normal"/>
    <w:link w:val="Heading7Char"/>
    <w:uiPriority w:val="9"/>
    <w:semiHidden/>
    <w:unhideWhenUsed/>
    <w:qFormat/>
    <w:rsid w:val="00C22905"/>
    <w:pPr>
      <w:keepNext/>
      <w:keepLines/>
      <w:spacing w:before="200"/>
      <w:outlineLvl w:val="6"/>
    </w:pPr>
    <w:rPr>
      <w:rFonts w:asciiTheme="majorHAnsi" w:eastAsiaTheme="majorEastAsia" w:hAnsiTheme="majorHAnsi" w:cstheme="majorBidi"/>
      <w:i/>
      <w:iCs/>
      <w:color w:val="404040" w:themeColor="text1" w:themeTint="BF"/>
      <w:szCs w:val="22"/>
      <w:lang w:val="en-US" w:eastAsia="en-US" w:bidi="en-US"/>
    </w:rPr>
  </w:style>
  <w:style w:type="paragraph" w:styleId="Heading8">
    <w:name w:val="heading 8"/>
    <w:basedOn w:val="Normal"/>
    <w:next w:val="Normal"/>
    <w:link w:val="Heading8Char"/>
    <w:uiPriority w:val="9"/>
    <w:semiHidden/>
    <w:unhideWhenUsed/>
    <w:qFormat/>
    <w:rsid w:val="00C22905"/>
    <w:pPr>
      <w:keepNext/>
      <w:keepLines/>
      <w:spacing w:before="200"/>
      <w:outlineLvl w:val="7"/>
    </w:pPr>
    <w:rPr>
      <w:rFonts w:asciiTheme="majorHAnsi" w:eastAsiaTheme="majorEastAsia" w:hAnsiTheme="majorHAnsi" w:cstheme="majorBidi"/>
      <w:color w:val="4F81BD" w:themeColor="accent1"/>
      <w:sz w:val="20"/>
      <w:lang w:val="en-US" w:eastAsia="en-US" w:bidi="en-US"/>
    </w:rPr>
  </w:style>
  <w:style w:type="paragraph" w:styleId="Heading9">
    <w:name w:val="heading 9"/>
    <w:basedOn w:val="Normal"/>
    <w:next w:val="Normal"/>
    <w:link w:val="Heading9Char"/>
    <w:uiPriority w:val="9"/>
    <w:semiHidden/>
    <w:unhideWhenUsed/>
    <w:qFormat/>
    <w:rsid w:val="00C22905"/>
    <w:pPr>
      <w:keepNext/>
      <w:keepLines/>
      <w:spacing w:before="200"/>
      <w:outlineLvl w:val="8"/>
    </w:pPr>
    <w:rPr>
      <w:rFonts w:asciiTheme="majorHAnsi" w:eastAsiaTheme="majorEastAsia" w:hAnsiTheme="majorHAnsi" w:cstheme="majorBidi"/>
      <w:i/>
      <w:iCs/>
      <w:color w:val="404040" w:themeColor="text1" w:themeTint="BF"/>
      <w:sz w:val="20"/>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qFormat/>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sz w:val="24"/>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rPr>
      <w:sz w:val="24"/>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rPr>
      <w:sz w:val="24"/>
    </w:rPr>
  </w:style>
  <w:style w:type="paragraph" w:customStyle="1" w:styleId="SCCLsocLastPartyInRole">
    <w:name w:val="SCC.Lsoc.LastPartyInRole"/>
    <w:basedOn w:val="Normal"/>
    <w:next w:val="Normal"/>
    <w:link w:val="SCCLsocLastPartyInRoleChar"/>
    <w:qFormat/>
    <w:rsid w:val="00301D08"/>
    <w:pPr>
      <w:tabs>
        <w:tab w:val="right" w:pos="8222"/>
      </w:tabs>
      <w:spacing w:after="720"/>
    </w:pPr>
    <w:rPr>
      <w:b/>
    </w:rPr>
  </w:style>
  <w:style w:type="character" w:customStyle="1" w:styleId="SCCLsocLastPartyInRoleChar">
    <w:name w:val="SCC.Lsoc.LastPartyInRole Char"/>
    <w:basedOn w:val="SCCLsocPartyChar"/>
    <w:link w:val="SCCLsocLastPartyInRole"/>
    <w:rsid w:val="00301D08"/>
    <w:rPr>
      <w:b/>
      <w:sz w:val="24"/>
    </w:rPr>
  </w:style>
  <w:style w:type="character" w:styleId="Hyperlink">
    <w:name w:val="Hyperlink"/>
    <w:basedOn w:val="DefaultParagraphFont"/>
    <w:uiPriority w:val="99"/>
    <w:unhideWhenUsed/>
    <w:rsid w:val="00E65A2E"/>
    <w:rPr>
      <w:color w:val="0000FF" w:themeColor="hyperlink"/>
      <w:u w:val="single"/>
    </w:rPr>
  </w:style>
  <w:style w:type="character" w:customStyle="1" w:styleId="solexhl">
    <w:name w:val="solexhl"/>
    <w:basedOn w:val="DefaultParagraphFont"/>
    <w:rsid w:val="000C78C2"/>
  </w:style>
  <w:style w:type="character" w:customStyle="1" w:styleId="Heading3Char">
    <w:name w:val="Heading 3 Char"/>
    <w:basedOn w:val="DefaultParagraphFont"/>
    <w:link w:val="Heading3"/>
    <w:uiPriority w:val="9"/>
    <w:semiHidden/>
    <w:rsid w:val="00C22905"/>
    <w:rPr>
      <w:rFonts w:asciiTheme="majorHAnsi" w:eastAsiaTheme="majorEastAsia" w:hAnsiTheme="majorHAnsi" w:cstheme="majorBidi"/>
      <w:b/>
      <w:bCs/>
      <w:color w:val="4F81BD" w:themeColor="accent1"/>
      <w:sz w:val="24"/>
      <w:szCs w:val="22"/>
      <w:lang w:val="en-US" w:eastAsia="en-US" w:bidi="en-US"/>
    </w:rPr>
  </w:style>
  <w:style w:type="character" w:customStyle="1" w:styleId="Heading4Char">
    <w:name w:val="Heading 4 Char"/>
    <w:basedOn w:val="DefaultParagraphFont"/>
    <w:link w:val="Heading4"/>
    <w:uiPriority w:val="9"/>
    <w:semiHidden/>
    <w:rsid w:val="00C22905"/>
    <w:rPr>
      <w:rFonts w:asciiTheme="majorHAnsi" w:eastAsiaTheme="majorEastAsia" w:hAnsiTheme="majorHAnsi" w:cstheme="majorBidi"/>
      <w:b/>
      <w:bCs/>
      <w:i/>
      <w:iCs/>
      <w:color w:val="4F81BD" w:themeColor="accent1"/>
      <w:sz w:val="24"/>
      <w:szCs w:val="22"/>
      <w:lang w:val="en-US" w:eastAsia="en-US" w:bidi="en-US"/>
    </w:rPr>
  </w:style>
  <w:style w:type="character" w:customStyle="1" w:styleId="Heading5Char">
    <w:name w:val="Heading 5 Char"/>
    <w:basedOn w:val="DefaultParagraphFont"/>
    <w:link w:val="Heading5"/>
    <w:uiPriority w:val="9"/>
    <w:semiHidden/>
    <w:rsid w:val="00C22905"/>
    <w:rPr>
      <w:rFonts w:asciiTheme="majorHAnsi" w:eastAsiaTheme="majorEastAsia" w:hAnsiTheme="majorHAnsi" w:cstheme="majorBidi"/>
      <w:color w:val="243F60" w:themeColor="accent1" w:themeShade="7F"/>
      <w:sz w:val="24"/>
      <w:szCs w:val="22"/>
      <w:lang w:val="en-US" w:eastAsia="en-US" w:bidi="en-US"/>
    </w:rPr>
  </w:style>
  <w:style w:type="character" w:customStyle="1" w:styleId="Heading6Char">
    <w:name w:val="Heading 6 Char"/>
    <w:basedOn w:val="DefaultParagraphFont"/>
    <w:link w:val="Heading6"/>
    <w:uiPriority w:val="9"/>
    <w:semiHidden/>
    <w:rsid w:val="00C22905"/>
    <w:rPr>
      <w:rFonts w:asciiTheme="majorHAnsi" w:eastAsiaTheme="majorEastAsia" w:hAnsiTheme="majorHAnsi" w:cstheme="majorBidi"/>
      <w:i/>
      <w:iCs/>
      <w:color w:val="243F60" w:themeColor="accent1" w:themeShade="7F"/>
      <w:sz w:val="24"/>
      <w:szCs w:val="22"/>
      <w:lang w:val="en-US" w:eastAsia="en-US" w:bidi="en-US"/>
    </w:rPr>
  </w:style>
  <w:style w:type="character" w:customStyle="1" w:styleId="Heading7Char">
    <w:name w:val="Heading 7 Char"/>
    <w:basedOn w:val="DefaultParagraphFont"/>
    <w:link w:val="Heading7"/>
    <w:uiPriority w:val="9"/>
    <w:semiHidden/>
    <w:rsid w:val="00C22905"/>
    <w:rPr>
      <w:rFonts w:asciiTheme="majorHAnsi" w:eastAsiaTheme="majorEastAsia" w:hAnsiTheme="majorHAnsi" w:cstheme="majorBidi"/>
      <w:i/>
      <w:iCs/>
      <w:color w:val="404040" w:themeColor="text1" w:themeTint="BF"/>
      <w:sz w:val="24"/>
      <w:szCs w:val="22"/>
      <w:lang w:val="en-US" w:eastAsia="en-US" w:bidi="en-US"/>
    </w:rPr>
  </w:style>
  <w:style w:type="character" w:customStyle="1" w:styleId="Heading8Char">
    <w:name w:val="Heading 8 Char"/>
    <w:basedOn w:val="DefaultParagraphFont"/>
    <w:link w:val="Heading8"/>
    <w:uiPriority w:val="9"/>
    <w:semiHidden/>
    <w:rsid w:val="00C22905"/>
    <w:rPr>
      <w:rFonts w:asciiTheme="majorHAnsi" w:eastAsiaTheme="majorEastAsia" w:hAnsiTheme="majorHAnsi" w:cstheme="majorBidi"/>
      <w:color w:val="4F81BD" w:themeColor="accent1"/>
      <w:lang w:val="en-US" w:eastAsia="en-US" w:bidi="en-US"/>
    </w:rPr>
  </w:style>
  <w:style w:type="character" w:customStyle="1" w:styleId="Heading9Char">
    <w:name w:val="Heading 9 Char"/>
    <w:basedOn w:val="DefaultParagraphFont"/>
    <w:link w:val="Heading9"/>
    <w:uiPriority w:val="9"/>
    <w:semiHidden/>
    <w:rsid w:val="00C22905"/>
    <w:rPr>
      <w:rFonts w:asciiTheme="majorHAnsi" w:eastAsiaTheme="majorEastAsia" w:hAnsiTheme="majorHAnsi" w:cstheme="majorBidi"/>
      <w:i/>
      <w:iCs/>
      <w:color w:val="404040" w:themeColor="text1" w:themeTint="BF"/>
      <w:lang w:val="en-US" w:eastAsia="en-US" w:bidi="en-US"/>
    </w:rPr>
  </w:style>
  <w:style w:type="paragraph" w:customStyle="1" w:styleId="SCCLsocOtherPartyRoleSeparator">
    <w:name w:val="SCC.Lsoc.OtherPartyRoleSeparator"/>
    <w:basedOn w:val="Normal"/>
    <w:next w:val="Normal"/>
    <w:link w:val="SCCLsocOtherPartyRoleSeparatorChar"/>
    <w:rsid w:val="00C22905"/>
    <w:pPr>
      <w:spacing w:after="480"/>
    </w:pPr>
    <w:rPr>
      <w:rFonts w:eastAsiaTheme="minorHAnsi" w:cstheme="minorBidi"/>
      <w:szCs w:val="22"/>
      <w:lang w:val="en-US" w:eastAsia="en-US" w:bidi="en-US"/>
    </w:rPr>
  </w:style>
  <w:style w:type="paragraph" w:customStyle="1" w:styleId="SCCCoram">
    <w:name w:val="SCC.Coram"/>
    <w:basedOn w:val="Normal"/>
    <w:next w:val="Normal"/>
    <w:link w:val="SCCCoramChar"/>
    <w:rsid w:val="00C22905"/>
    <w:pPr>
      <w:pBdr>
        <w:bottom w:val="single" w:sz="4" w:space="1" w:color="auto"/>
      </w:pBdr>
    </w:pPr>
    <w:rPr>
      <w:rFonts w:eastAsiaTheme="minorHAnsi" w:cstheme="minorBidi"/>
      <w:szCs w:val="22"/>
      <w:lang w:val="en-US" w:eastAsia="en-US" w:bidi="en-US"/>
    </w:rPr>
  </w:style>
  <w:style w:type="character" w:customStyle="1" w:styleId="SCCCoramChar">
    <w:name w:val="SCC.Coram Char"/>
    <w:basedOn w:val="DefaultParagraphFont"/>
    <w:link w:val="SCCCoram"/>
    <w:rsid w:val="00C22905"/>
    <w:rPr>
      <w:rFonts w:eastAsiaTheme="minorHAnsi" w:cstheme="minorBidi"/>
      <w:sz w:val="24"/>
      <w:szCs w:val="22"/>
      <w:lang w:val="en-US" w:eastAsia="en-US" w:bidi="en-US"/>
    </w:rPr>
  </w:style>
  <w:style w:type="character" w:customStyle="1" w:styleId="SCCLsocOtherPartyRoleSeparatorChar">
    <w:name w:val="SCC.Lsoc.OtherPartyRoleSeparator Char"/>
    <w:basedOn w:val="DefaultParagraphFont"/>
    <w:link w:val="SCCLsocOtherPartyRoleSeparator"/>
    <w:rsid w:val="00C22905"/>
    <w:rPr>
      <w:rFonts w:eastAsiaTheme="minorHAnsi" w:cstheme="minorBidi"/>
      <w:sz w:val="24"/>
      <w:szCs w:val="22"/>
      <w:lang w:val="en-US" w:eastAsia="en-US" w:bidi="en-US"/>
    </w:rPr>
  </w:style>
  <w:style w:type="character" w:customStyle="1" w:styleId="SCCBanSummaryChar">
    <w:name w:val="SCC.BanSummary Char"/>
    <w:basedOn w:val="DefaultParagraphFont"/>
    <w:link w:val="SCCBanSummary"/>
    <w:rsid w:val="00C22905"/>
    <w:rPr>
      <w:b/>
      <w:sz w:val="24"/>
    </w:rPr>
  </w:style>
  <w:style w:type="table" w:styleId="TableGrid">
    <w:name w:val="Table Grid"/>
    <w:basedOn w:val="TableNormal"/>
    <w:uiPriority w:val="59"/>
    <w:rsid w:val="00C22905"/>
    <w:rPr>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itation-AltC">
    <w:name w:val="Citation - Alt C"/>
    <w:uiPriority w:val="2"/>
    <w:qFormat/>
    <w:rsid w:val="00C22905"/>
    <w:pPr>
      <w:spacing w:after="720"/>
      <w:ind w:left="1166"/>
      <w:contextualSpacing/>
      <w:jc w:val="both"/>
    </w:pPr>
    <w:rPr>
      <w:sz w:val="24"/>
    </w:rPr>
  </w:style>
  <w:style w:type="paragraph" w:customStyle="1" w:styleId="ContinueParaSuitedupar-AltP">
    <w:name w:val="Continue Para. / Suite du par. - Alt P"/>
    <w:next w:val="ParaNoNdepar-AltN"/>
    <w:uiPriority w:val="1"/>
    <w:qFormat/>
    <w:rsid w:val="00C22905"/>
    <w:pPr>
      <w:spacing w:before="480" w:after="480" w:line="480" w:lineRule="auto"/>
      <w:jc w:val="both"/>
    </w:pPr>
    <w:rPr>
      <w:rFonts w:eastAsiaTheme="minorHAnsi" w:cstheme="minorBidi"/>
      <w:sz w:val="24"/>
      <w:szCs w:val="22"/>
      <w:lang w:eastAsia="en-US"/>
    </w:rPr>
  </w:style>
  <w:style w:type="paragraph" w:customStyle="1" w:styleId="JudgeJuge">
    <w:name w:val="Judge / Juge"/>
    <w:link w:val="JudgeJugeChar"/>
    <w:uiPriority w:val="3"/>
    <w:rsid w:val="00C22905"/>
    <w:pPr>
      <w:tabs>
        <w:tab w:val="left" w:pos="1260"/>
      </w:tabs>
      <w:spacing w:after="480" w:line="480" w:lineRule="auto"/>
    </w:pPr>
    <w:rPr>
      <w:smallCaps/>
      <w:sz w:val="24"/>
    </w:rPr>
  </w:style>
  <w:style w:type="paragraph" w:customStyle="1" w:styleId="ParaNoNdepar-AltN">
    <w:name w:val="Para. No. / Nº de par. - Alt N"/>
    <w:link w:val="ParaNoNdepar-AltNChar"/>
    <w:qFormat/>
    <w:rsid w:val="00C22905"/>
    <w:pPr>
      <w:numPr>
        <w:numId w:val="6"/>
      </w:numPr>
      <w:spacing w:before="480" w:after="480" w:line="480" w:lineRule="auto"/>
      <w:jc w:val="both"/>
    </w:pPr>
    <w:rPr>
      <w:rFonts w:eastAsiaTheme="minorEastAsia" w:cstheme="minorBidi"/>
      <w:sz w:val="24"/>
      <w:szCs w:val="22"/>
      <w:lang w:eastAsia="en-US"/>
    </w:rPr>
  </w:style>
  <w:style w:type="paragraph" w:customStyle="1" w:styleId="Title1LevelTitre1Niveau-AltL">
    <w:name w:val="Title 1 Level / Titre 1 Niveau - Alt L"/>
    <w:next w:val="ParaNoNdepar-AltN"/>
    <w:uiPriority w:val="4"/>
    <w:qFormat/>
    <w:rsid w:val="00C22905"/>
    <w:pPr>
      <w:numPr>
        <w:numId w:val="7"/>
      </w:numPr>
      <w:tabs>
        <w:tab w:val="clear" w:pos="576"/>
      </w:tabs>
      <w:spacing w:before="480" w:after="720"/>
      <w:outlineLvl w:val="0"/>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uiPriority w:val="4"/>
    <w:qFormat/>
    <w:rsid w:val="00C22905"/>
    <w:pPr>
      <w:numPr>
        <w:ilvl w:val="1"/>
      </w:numPr>
      <w:tabs>
        <w:tab w:val="clear" w:pos="576"/>
      </w:tabs>
      <w:outlineLvl w:val="1"/>
    </w:pPr>
    <w:rPr>
      <w:i/>
      <w:u w:val="none"/>
    </w:rPr>
  </w:style>
  <w:style w:type="paragraph" w:customStyle="1" w:styleId="Title3LevelTitre3Niveau">
    <w:name w:val="Title 3 Level / Titre 3 Niveau"/>
    <w:basedOn w:val="Title1LevelTitre1Niveau-AltL"/>
    <w:next w:val="ParaNoNdepar-AltN"/>
    <w:uiPriority w:val="4"/>
    <w:qFormat/>
    <w:rsid w:val="00C22905"/>
    <w:pPr>
      <w:numPr>
        <w:ilvl w:val="2"/>
      </w:numPr>
      <w:tabs>
        <w:tab w:val="clear" w:pos="1152"/>
      </w:tabs>
      <w:outlineLvl w:val="2"/>
    </w:pPr>
  </w:style>
  <w:style w:type="paragraph" w:customStyle="1" w:styleId="Title4LevelTitre4Niveau">
    <w:name w:val="Title 4 Level / Titre 4 Niveau"/>
    <w:basedOn w:val="Title3LevelTitre3Niveau"/>
    <w:next w:val="ParaNoNdepar-AltN"/>
    <w:uiPriority w:val="4"/>
    <w:qFormat/>
    <w:rsid w:val="00C22905"/>
    <w:pPr>
      <w:numPr>
        <w:ilvl w:val="3"/>
      </w:numPr>
      <w:tabs>
        <w:tab w:val="clear" w:pos="1152"/>
      </w:tabs>
      <w:ind w:left="1156" w:hanging="578"/>
      <w:outlineLvl w:val="3"/>
    </w:pPr>
    <w:rPr>
      <w:i/>
      <w:u w:val="none"/>
    </w:rPr>
  </w:style>
  <w:style w:type="paragraph" w:customStyle="1" w:styleId="Title5LevelTitre5Niveau">
    <w:name w:val="Title 5 Level / Titre 5 Niveau"/>
    <w:basedOn w:val="Title1LevelTitre1Niveau-AltL"/>
    <w:next w:val="ParaNoNdepar-AltN"/>
    <w:uiPriority w:val="4"/>
    <w:qFormat/>
    <w:rsid w:val="00C22905"/>
    <w:pPr>
      <w:numPr>
        <w:ilvl w:val="4"/>
      </w:numPr>
      <w:tabs>
        <w:tab w:val="clear" w:pos="1728"/>
      </w:tabs>
      <w:ind w:left="1729" w:hanging="578"/>
      <w:outlineLvl w:val="4"/>
    </w:pPr>
  </w:style>
  <w:style w:type="paragraph" w:styleId="TOC1">
    <w:name w:val="toc 1"/>
    <w:basedOn w:val="Normal"/>
    <w:next w:val="Normal"/>
    <w:autoRedefine/>
    <w:uiPriority w:val="39"/>
    <w:unhideWhenUsed/>
    <w:rsid w:val="00C22905"/>
    <w:pPr>
      <w:tabs>
        <w:tab w:val="left" w:pos="360"/>
        <w:tab w:val="right" w:leader="dot" w:pos="8270"/>
      </w:tabs>
      <w:spacing w:before="120" w:after="120"/>
    </w:pPr>
    <w:rPr>
      <w:rFonts w:eastAsiaTheme="minorHAnsi" w:cstheme="minorBidi"/>
      <w:noProof/>
      <w:u w:val="single"/>
      <w:lang w:val="en-US" w:eastAsia="en-US" w:bidi="en-US"/>
    </w:rPr>
  </w:style>
  <w:style w:type="paragraph" w:styleId="TOC2">
    <w:name w:val="toc 2"/>
    <w:basedOn w:val="Normal"/>
    <w:next w:val="Normal"/>
    <w:autoRedefine/>
    <w:uiPriority w:val="39"/>
    <w:unhideWhenUsed/>
    <w:rsid w:val="00C22905"/>
    <w:pPr>
      <w:tabs>
        <w:tab w:val="left" w:pos="720"/>
        <w:tab w:val="right" w:leader="dot" w:pos="8270"/>
      </w:tabs>
      <w:spacing w:before="120" w:after="120"/>
      <w:ind w:left="432" w:hanging="432"/>
    </w:pPr>
    <w:rPr>
      <w:rFonts w:eastAsiaTheme="minorHAnsi" w:cstheme="minorBidi"/>
      <w:i/>
      <w:szCs w:val="22"/>
      <w:lang w:val="en-US" w:eastAsia="en-US" w:bidi="en-US"/>
    </w:rPr>
  </w:style>
  <w:style w:type="paragraph" w:styleId="TOC3">
    <w:name w:val="toc 3"/>
    <w:basedOn w:val="Normal"/>
    <w:next w:val="Normal"/>
    <w:autoRedefine/>
    <w:uiPriority w:val="39"/>
    <w:unhideWhenUsed/>
    <w:rsid w:val="00C22905"/>
    <w:pPr>
      <w:tabs>
        <w:tab w:val="left" w:pos="1080"/>
        <w:tab w:val="right" w:leader="dot" w:pos="8270"/>
      </w:tabs>
      <w:spacing w:before="120" w:after="120"/>
      <w:ind w:left="864" w:hanging="432"/>
    </w:pPr>
    <w:rPr>
      <w:rFonts w:eastAsiaTheme="minorHAnsi" w:cstheme="minorBidi"/>
      <w:noProof/>
      <w:u w:val="single"/>
      <w:lang w:val="en-US" w:eastAsia="en-US" w:bidi="en-US"/>
    </w:rPr>
  </w:style>
  <w:style w:type="paragraph" w:styleId="TOC4">
    <w:name w:val="toc 4"/>
    <w:basedOn w:val="Normal"/>
    <w:next w:val="Normal"/>
    <w:autoRedefine/>
    <w:uiPriority w:val="39"/>
    <w:unhideWhenUsed/>
    <w:rsid w:val="00C22905"/>
    <w:pPr>
      <w:tabs>
        <w:tab w:val="left" w:pos="900"/>
        <w:tab w:val="right" w:leader="dot" w:pos="8270"/>
      </w:tabs>
      <w:spacing w:before="120" w:after="120"/>
      <w:ind w:left="900" w:hanging="450"/>
    </w:pPr>
    <w:rPr>
      <w:rFonts w:eastAsiaTheme="minorEastAsia" w:cstheme="minorBidi"/>
      <w:i/>
      <w:noProof/>
      <w:szCs w:val="22"/>
      <w:lang w:val="en-US" w:eastAsia="en-US" w:bidi="en-US"/>
    </w:rPr>
  </w:style>
  <w:style w:type="paragraph" w:styleId="TOC5">
    <w:name w:val="toc 5"/>
    <w:basedOn w:val="Normal"/>
    <w:next w:val="Normal"/>
    <w:autoRedefine/>
    <w:uiPriority w:val="39"/>
    <w:unhideWhenUsed/>
    <w:rsid w:val="00C22905"/>
    <w:pPr>
      <w:tabs>
        <w:tab w:val="left" w:pos="1440"/>
        <w:tab w:val="right" w:leader="dot" w:pos="8270"/>
      </w:tabs>
      <w:spacing w:before="120" w:after="120"/>
      <w:ind w:left="1454" w:hanging="547"/>
    </w:pPr>
    <w:rPr>
      <w:rFonts w:eastAsiaTheme="minorHAnsi" w:cstheme="minorBidi"/>
      <w:noProof/>
      <w:u w:val="single"/>
      <w:lang w:val="en-US" w:eastAsia="en-US" w:bidi="en-US"/>
    </w:rPr>
  </w:style>
  <w:style w:type="paragraph" w:styleId="TOC6">
    <w:name w:val="toc 6"/>
    <w:basedOn w:val="Normal"/>
    <w:next w:val="Normal"/>
    <w:autoRedefine/>
    <w:uiPriority w:val="39"/>
    <w:unhideWhenUsed/>
    <w:rsid w:val="00C22905"/>
    <w:pPr>
      <w:tabs>
        <w:tab w:val="left" w:pos="2160"/>
        <w:tab w:val="right" w:leader="dot" w:pos="8270"/>
      </w:tabs>
      <w:spacing w:after="100"/>
      <w:ind w:left="1800"/>
    </w:pPr>
    <w:rPr>
      <w:rFonts w:eastAsiaTheme="minorHAnsi" w:cstheme="minorBidi"/>
      <w:noProof/>
      <w:lang w:val="en-US" w:eastAsia="en-US" w:bidi="en-US"/>
    </w:rPr>
  </w:style>
  <w:style w:type="table" w:customStyle="1" w:styleId="TableGrid1">
    <w:name w:val="Table Grid1"/>
    <w:basedOn w:val="TableNormal"/>
    <w:uiPriority w:val="59"/>
    <w:rsid w:val="00C22905"/>
    <w:rPr>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leTitre-AltT">
    <w:name w:val="Title / Titre - Alt T"/>
    <w:next w:val="ParaNoNdepar-AltN"/>
    <w:uiPriority w:val="3"/>
    <w:qFormat/>
    <w:rsid w:val="00C22905"/>
    <w:pPr>
      <w:tabs>
        <w:tab w:val="left" w:pos="360"/>
      </w:tabs>
      <w:spacing w:before="480" w:after="720"/>
      <w:ind w:left="360" w:hanging="360"/>
      <w:jc w:val="both"/>
      <w:outlineLvl w:val="0"/>
    </w:pPr>
    <w:rPr>
      <w:rFonts w:eastAsiaTheme="minorHAnsi" w:cstheme="minorBidi"/>
      <w:sz w:val="24"/>
      <w:szCs w:val="22"/>
      <w:lang w:eastAsia="en-US"/>
    </w:rPr>
  </w:style>
  <w:style w:type="paragraph" w:customStyle="1" w:styleId="Title6LevelTitre6Niveau">
    <w:name w:val="Title 6 Level / Titre 6 Niveau"/>
    <w:basedOn w:val="Title5LevelTitre5Niveau"/>
    <w:next w:val="ParaNoNdepar-AltN"/>
    <w:uiPriority w:val="4"/>
    <w:qFormat/>
    <w:rsid w:val="00C22905"/>
    <w:pPr>
      <w:numPr>
        <w:ilvl w:val="5"/>
      </w:numPr>
      <w:jc w:val="both"/>
      <w:outlineLvl w:val="5"/>
    </w:pPr>
    <w:rPr>
      <w:i/>
      <w:u w:val="none"/>
    </w:rPr>
  </w:style>
  <w:style w:type="paragraph" w:styleId="FootnoteText">
    <w:name w:val="footnote text"/>
    <w:basedOn w:val="Normal"/>
    <w:link w:val="FootnoteTextChar"/>
    <w:uiPriority w:val="99"/>
    <w:unhideWhenUsed/>
    <w:rsid w:val="00C22905"/>
    <w:pPr>
      <w:tabs>
        <w:tab w:val="left" w:pos="180"/>
      </w:tabs>
      <w:ind w:left="187" w:hanging="187"/>
      <w:jc w:val="both"/>
    </w:pPr>
    <w:rPr>
      <w:sz w:val="20"/>
    </w:rPr>
  </w:style>
  <w:style w:type="character" w:customStyle="1" w:styleId="FootnoteTextChar">
    <w:name w:val="Footnote Text Char"/>
    <w:basedOn w:val="DefaultParagraphFont"/>
    <w:link w:val="FootnoteText"/>
    <w:uiPriority w:val="99"/>
    <w:rsid w:val="00C22905"/>
  </w:style>
  <w:style w:type="character" w:styleId="FootnoteReference">
    <w:name w:val="footnote reference"/>
    <w:basedOn w:val="DefaultParagraphFont"/>
    <w:uiPriority w:val="99"/>
    <w:semiHidden/>
    <w:unhideWhenUsed/>
    <w:rsid w:val="00C22905"/>
    <w:rPr>
      <w:vertAlign w:val="superscript"/>
    </w:rPr>
  </w:style>
  <w:style w:type="character" w:styleId="SubtleEmphasis">
    <w:name w:val="Subtle Emphasis"/>
    <w:basedOn w:val="DefaultParagraphFont"/>
    <w:uiPriority w:val="19"/>
    <w:rsid w:val="00C22905"/>
    <w:rPr>
      <w:i/>
      <w:iCs/>
      <w:color w:val="808080" w:themeColor="text1" w:themeTint="7F"/>
    </w:rPr>
  </w:style>
  <w:style w:type="character" w:customStyle="1" w:styleId="ParaNoNdepar-AltNChar">
    <w:name w:val="Para. No. / Nº de par. - Alt N Char"/>
    <w:basedOn w:val="DefaultParagraphFont"/>
    <w:link w:val="ParaNoNdepar-AltN"/>
    <w:locked/>
    <w:rsid w:val="00C22905"/>
    <w:rPr>
      <w:rFonts w:eastAsiaTheme="minorEastAsia" w:cstheme="minorBidi"/>
      <w:sz w:val="24"/>
      <w:szCs w:val="22"/>
      <w:lang w:eastAsia="en-US"/>
    </w:rPr>
  </w:style>
  <w:style w:type="character" w:styleId="CommentReference">
    <w:name w:val="annotation reference"/>
    <w:basedOn w:val="DefaultParagraphFont"/>
    <w:uiPriority w:val="99"/>
    <w:semiHidden/>
    <w:unhideWhenUsed/>
    <w:rsid w:val="00C22905"/>
    <w:rPr>
      <w:sz w:val="16"/>
      <w:szCs w:val="16"/>
    </w:rPr>
  </w:style>
  <w:style w:type="paragraph" w:styleId="CommentText">
    <w:name w:val="annotation text"/>
    <w:basedOn w:val="Normal"/>
    <w:link w:val="CommentTextChar"/>
    <w:uiPriority w:val="99"/>
    <w:semiHidden/>
    <w:unhideWhenUsed/>
    <w:rsid w:val="00C22905"/>
    <w:rPr>
      <w:rFonts w:eastAsiaTheme="minorHAnsi" w:cstheme="minorBidi"/>
      <w:sz w:val="20"/>
      <w:szCs w:val="22"/>
      <w:lang w:val="en-US" w:eastAsia="en-US" w:bidi="en-US"/>
    </w:rPr>
  </w:style>
  <w:style w:type="character" w:customStyle="1" w:styleId="CommentTextChar">
    <w:name w:val="Comment Text Char"/>
    <w:basedOn w:val="DefaultParagraphFont"/>
    <w:link w:val="CommentText"/>
    <w:uiPriority w:val="99"/>
    <w:semiHidden/>
    <w:rsid w:val="00C22905"/>
    <w:rPr>
      <w:rFonts w:eastAsiaTheme="minorHAnsi" w:cstheme="minorBidi"/>
      <w:szCs w:val="22"/>
      <w:lang w:val="en-US" w:eastAsia="en-US" w:bidi="en-US"/>
    </w:rPr>
  </w:style>
  <w:style w:type="paragraph" w:styleId="CommentSubject">
    <w:name w:val="annotation subject"/>
    <w:basedOn w:val="CommentText"/>
    <w:next w:val="CommentText"/>
    <w:link w:val="CommentSubjectChar"/>
    <w:uiPriority w:val="99"/>
    <w:semiHidden/>
    <w:unhideWhenUsed/>
    <w:rsid w:val="00C22905"/>
    <w:rPr>
      <w:b/>
      <w:bCs/>
    </w:rPr>
  </w:style>
  <w:style w:type="character" w:customStyle="1" w:styleId="CommentSubjectChar">
    <w:name w:val="Comment Subject Char"/>
    <w:basedOn w:val="CommentTextChar"/>
    <w:link w:val="CommentSubject"/>
    <w:uiPriority w:val="99"/>
    <w:semiHidden/>
    <w:rsid w:val="00C22905"/>
    <w:rPr>
      <w:rFonts w:eastAsiaTheme="minorHAnsi" w:cstheme="minorBidi"/>
      <w:b/>
      <w:bCs/>
      <w:szCs w:val="22"/>
      <w:lang w:val="en-US" w:eastAsia="en-US" w:bidi="en-US"/>
    </w:rPr>
  </w:style>
  <w:style w:type="character" w:customStyle="1" w:styleId="JudgeJugeChar">
    <w:name w:val="Judge / Juge Char"/>
    <w:basedOn w:val="DefaultParagraphFont"/>
    <w:link w:val="JudgeJuge"/>
    <w:uiPriority w:val="3"/>
    <w:rsid w:val="00C22905"/>
    <w:rPr>
      <w:smallCaps/>
      <w:sz w:val="24"/>
    </w:rPr>
  </w:style>
  <w:style w:type="paragraph" w:styleId="NoSpacing">
    <w:name w:val="No Spacing"/>
    <w:uiPriority w:val="1"/>
    <w:rsid w:val="00C22905"/>
    <w:rPr>
      <w:rFonts w:eastAsiaTheme="minorHAnsi" w:cstheme="minorBidi"/>
      <w:sz w:val="24"/>
      <w:szCs w:val="22"/>
      <w:lang w:val="en-US" w:eastAsia="en-US" w:bidi="en-US"/>
    </w:rPr>
  </w:style>
  <w:style w:type="paragraph" w:styleId="TOCHeading">
    <w:name w:val="TOC Heading"/>
    <w:basedOn w:val="Heading1"/>
    <w:next w:val="Normal"/>
    <w:uiPriority w:val="39"/>
    <w:semiHidden/>
    <w:unhideWhenUsed/>
    <w:qFormat/>
    <w:rsid w:val="00C22905"/>
    <w:pPr>
      <w:spacing w:before="480" w:after="0"/>
      <w:ind w:left="0" w:firstLine="0"/>
      <w:outlineLvl w:val="9"/>
    </w:pPr>
    <w:rPr>
      <w:lang w:val="en-US" w:eastAsia="en-US" w:bidi="en-US"/>
    </w:rPr>
  </w:style>
  <w:style w:type="paragraph" w:styleId="Caption">
    <w:name w:val="caption"/>
    <w:basedOn w:val="Normal"/>
    <w:next w:val="Normal"/>
    <w:uiPriority w:val="35"/>
    <w:semiHidden/>
    <w:unhideWhenUsed/>
    <w:qFormat/>
    <w:rsid w:val="00C22905"/>
    <w:rPr>
      <w:rFonts w:eastAsiaTheme="minorHAnsi" w:cstheme="minorBidi"/>
      <w:b/>
      <w:bCs/>
      <w:color w:val="4F81BD" w:themeColor="accent1"/>
      <w:sz w:val="18"/>
      <w:szCs w:val="18"/>
      <w:lang w:val="en-US" w:eastAsia="en-US" w:bidi="en-US"/>
    </w:rPr>
  </w:style>
  <w:style w:type="paragraph" w:styleId="Title">
    <w:name w:val="Title"/>
    <w:basedOn w:val="Normal"/>
    <w:next w:val="Normal"/>
    <w:link w:val="TitleChar"/>
    <w:uiPriority w:val="10"/>
    <w:rsid w:val="00C2290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US" w:eastAsia="en-US" w:bidi="en-US"/>
    </w:rPr>
  </w:style>
  <w:style w:type="character" w:customStyle="1" w:styleId="TitleChar">
    <w:name w:val="Title Char"/>
    <w:basedOn w:val="DefaultParagraphFont"/>
    <w:link w:val="Title"/>
    <w:uiPriority w:val="10"/>
    <w:rsid w:val="00C22905"/>
    <w:rPr>
      <w:rFonts w:asciiTheme="majorHAnsi" w:eastAsiaTheme="majorEastAsia" w:hAnsiTheme="majorHAnsi" w:cstheme="majorBidi"/>
      <w:color w:val="17365D" w:themeColor="text2" w:themeShade="BF"/>
      <w:spacing w:val="5"/>
      <w:kern w:val="28"/>
      <w:sz w:val="52"/>
      <w:szCs w:val="52"/>
      <w:lang w:val="en-US" w:eastAsia="en-US" w:bidi="en-US"/>
    </w:rPr>
  </w:style>
  <w:style w:type="paragraph" w:styleId="Subtitle">
    <w:name w:val="Subtitle"/>
    <w:basedOn w:val="Normal"/>
    <w:next w:val="Normal"/>
    <w:link w:val="SubtitleChar"/>
    <w:uiPriority w:val="11"/>
    <w:rsid w:val="00C22905"/>
    <w:pPr>
      <w:numPr>
        <w:ilvl w:val="1"/>
      </w:numPr>
    </w:pPr>
    <w:rPr>
      <w:rFonts w:asciiTheme="majorHAnsi" w:eastAsiaTheme="majorEastAsia" w:hAnsiTheme="majorHAnsi" w:cstheme="majorBidi"/>
      <w:i/>
      <w:iCs/>
      <w:color w:val="4F81BD" w:themeColor="accent1"/>
      <w:spacing w:val="15"/>
      <w:szCs w:val="24"/>
      <w:lang w:val="en-US" w:eastAsia="en-US" w:bidi="en-US"/>
    </w:rPr>
  </w:style>
  <w:style w:type="character" w:customStyle="1" w:styleId="SubtitleChar">
    <w:name w:val="Subtitle Char"/>
    <w:basedOn w:val="DefaultParagraphFont"/>
    <w:link w:val="Subtitle"/>
    <w:uiPriority w:val="11"/>
    <w:rsid w:val="00C22905"/>
    <w:rPr>
      <w:rFonts w:asciiTheme="majorHAnsi" w:eastAsiaTheme="majorEastAsia" w:hAnsiTheme="majorHAnsi" w:cstheme="majorBidi"/>
      <w:i/>
      <w:iCs/>
      <w:color w:val="4F81BD" w:themeColor="accent1"/>
      <w:spacing w:val="15"/>
      <w:sz w:val="24"/>
      <w:szCs w:val="24"/>
      <w:lang w:val="en-US" w:eastAsia="en-US" w:bidi="en-US"/>
    </w:rPr>
  </w:style>
  <w:style w:type="character" w:styleId="Emphasis">
    <w:name w:val="Emphasis"/>
    <w:basedOn w:val="DefaultParagraphFont"/>
    <w:uiPriority w:val="20"/>
    <w:rsid w:val="00C22905"/>
    <w:rPr>
      <w:i/>
      <w:iCs/>
    </w:rPr>
  </w:style>
  <w:style w:type="paragraph" w:styleId="ListParagraph">
    <w:name w:val="List Paragraph"/>
    <w:basedOn w:val="Normal"/>
    <w:uiPriority w:val="34"/>
    <w:rsid w:val="00C22905"/>
    <w:pPr>
      <w:ind w:left="720"/>
      <w:contextualSpacing/>
    </w:pPr>
    <w:rPr>
      <w:rFonts w:eastAsiaTheme="minorHAnsi" w:cstheme="minorBidi"/>
      <w:szCs w:val="22"/>
      <w:lang w:val="en-US" w:eastAsia="en-US" w:bidi="en-US"/>
    </w:rPr>
  </w:style>
  <w:style w:type="paragraph" w:styleId="IntenseQuote">
    <w:name w:val="Intense Quote"/>
    <w:basedOn w:val="Normal"/>
    <w:next w:val="Normal"/>
    <w:link w:val="IntenseQuoteChar"/>
    <w:uiPriority w:val="30"/>
    <w:rsid w:val="00C22905"/>
    <w:pPr>
      <w:pBdr>
        <w:bottom w:val="single" w:sz="4" w:space="4" w:color="4F81BD" w:themeColor="accent1"/>
      </w:pBdr>
      <w:spacing w:before="200" w:after="280"/>
      <w:ind w:left="936" w:right="936"/>
    </w:pPr>
    <w:rPr>
      <w:rFonts w:eastAsiaTheme="minorHAnsi" w:cstheme="minorBidi"/>
      <w:b/>
      <w:bCs/>
      <w:i/>
      <w:iCs/>
      <w:color w:val="4F81BD" w:themeColor="accent1"/>
      <w:szCs w:val="22"/>
      <w:lang w:val="en-US" w:eastAsia="en-US" w:bidi="en-US"/>
    </w:rPr>
  </w:style>
  <w:style w:type="character" w:customStyle="1" w:styleId="IntenseQuoteChar">
    <w:name w:val="Intense Quote Char"/>
    <w:basedOn w:val="DefaultParagraphFont"/>
    <w:link w:val="IntenseQuote"/>
    <w:uiPriority w:val="30"/>
    <w:rsid w:val="00C22905"/>
    <w:rPr>
      <w:rFonts w:eastAsiaTheme="minorHAnsi" w:cstheme="minorBidi"/>
      <w:b/>
      <w:bCs/>
      <w:i/>
      <w:iCs/>
      <w:color w:val="4F81BD" w:themeColor="accent1"/>
      <w:sz w:val="24"/>
      <w:szCs w:val="22"/>
      <w:lang w:val="en-US" w:eastAsia="en-US" w:bidi="en-US"/>
    </w:rPr>
  </w:style>
  <w:style w:type="character" w:styleId="IntenseEmphasis">
    <w:name w:val="Intense Emphasis"/>
    <w:basedOn w:val="DefaultParagraphFont"/>
    <w:uiPriority w:val="21"/>
    <w:rsid w:val="00C22905"/>
    <w:rPr>
      <w:b/>
      <w:bCs/>
      <w:i/>
      <w:iCs/>
      <w:color w:val="4F81BD" w:themeColor="accent1"/>
    </w:rPr>
  </w:style>
  <w:style w:type="character" w:styleId="SubtleReference">
    <w:name w:val="Subtle Reference"/>
    <w:basedOn w:val="DefaultParagraphFont"/>
    <w:uiPriority w:val="31"/>
    <w:rsid w:val="00C22905"/>
    <w:rPr>
      <w:smallCaps/>
      <w:color w:val="C0504D" w:themeColor="accent2"/>
      <w:u w:val="single"/>
    </w:rPr>
  </w:style>
  <w:style w:type="character" w:styleId="IntenseReference">
    <w:name w:val="Intense Reference"/>
    <w:basedOn w:val="DefaultParagraphFont"/>
    <w:uiPriority w:val="32"/>
    <w:rsid w:val="00C22905"/>
    <w:rPr>
      <w:b/>
      <w:bCs/>
      <w:smallCaps/>
      <w:color w:val="C0504D" w:themeColor="accent2"/>
      <w:spacing w:val="5"/>
      <w:u w:val="single"/>
    </w:rPr>
  </w:style>
  <w:style w:type="character" w:styleId="BookTitle">
    <w:name w:val="Book Title"/>
    <w:basedOn w:val="DefaultParagraphFont"/>
    <w:uiPriority w:val="33"/>
    <w:rsid w:val="00C22905"/>
    <w:rPr>
      <w:b/>
      <w:bCs/>
      <w:smallCaps/>
      <w:spacing w:val="5"/>
    </w:rPr>
  </w:style>
  <w:style w:type="paragraph" w:styleId="Revision">
    <w:name w:val="Revision"/>
    <w:hidden/>
    <w:uiPriority w:val="99"/>
    <w:semiHidden/>
    <w:rsid w:val="00C22905"/>
    <w:rPr>
      <w:rFonts w:eastAsiaTheme="minorHAnsi" w:cstheme="minorBidi"/>
      <w:sz w:val="24"/>
      <w:szCs w:val="22"/>
      <w:lang w:val="en-US" w:eastAsia="en-US" w:bidi="en-US"/>
    </w:rPr>
  </w:style>
  <w:style w:type="paragraph" w:styleId="EndnoteText">
    <w:name w:val="endnote text"/>
    <w:basedOn w:val="Normal"/>
    <w:link w:val="EndnoteTextChar"/>
    <w:uiPriority w:val="99"/>
    <w:semiHidden/>
    <w:unhideWhenUsed/>
    <w:rsid w:val="00C22905"/>
    <w:rPr>
      <w:rFonts w:eastAsiaTheme="minorHAnsi" w:cstheme="minorBidi"/>
      <w:sz w:val="20"/>
      <w:lang w:val="en-US" w:eastAsia="en-US" w:bidi="en-US"/>
    </w:rPr>
  </w:style>
  <w:style w:type="character" w:customStyle="1" w:styleId="EndnoteTextChar">
    <w:name w:val="Endnote Text Char"/>
    <w:basedOn w:val="DefaultParagraphFont"/>
    <w:link w:val="EndnoteText"/>
    <w:uiPriority w:val="99"/>
    <w:semiHidden/>
    <w:rsid w:val="00C22905"/>
    <w:rPr>
      <w:rFonts w:eastAsiaTheme="minorHAnsi" w:cstheme="minorBidi"/>
      <w:lang w:val="en-US" w:eastAsia="en-US" w:bidi="en-US"/>
    </w:rPr>
  </w:style>
  <w:style w:type="character" w:styleId="EndnoteReference">
    <w:name w:val="endnote reference"/>
    <w:basedOn w:val="DefaultParagraphFont"/>
    <w:uiPriority w:val="99"/>
    <w:semiHidden/>
    <w:unhideWhenUsed/>
    <w:rsid w:val="00C22905"/>
    <w:rPr>
      <w:vertAlign w:val="superscript"/>
    </w:rPr>
  </w:style>
  <w:style w:type="character" w:customStyle="1" w:styleId="reflex3-block">
    <w:name w:val="reflex3-block"/>
    <w:basedOn w:val="DefaultParagraphFont"/>
    <w:rsid w:val="00C22905"/>
  </w:style>
  <w:style w:type="character" w:customStyle="1" w:styleId="reflex3-alt">
    <w:name w:val="reflex3-alt"/>
    <w:basedOn w:val="DefaultParagraphFont"/>
    <w:rsid w:val="00C22905"/>
  </w:style>
  <w:style w:type="character" w:customStyle="1" w:styleId="lawlabel">
    <w:name w:val="lawlabel"/>
    <w:basedOn w:val="DefaultParagraphFont"/>
    <w:rsid w:val="00C22905"/>
  </w:style>
  <w:style w:type="table" w:customStyle="1" w:styleId="TableGrid2">
    <w:name w:val="Table Grid2"/>
    <w:basedOn w:val="TableNormal"/>
    <w:next w:val="TableGrid"/>
    <w:uiPriority w:val="59"/>
    <w:rsid w:val="00C22905"/>
    <w:rPr>
      <w:rFonts w:eastAsia="Calibri"/>
      <w:sz w:val="24"/>
      <w:szCs w:val="24"/>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CCLsocPartyRoleChar">
    <w:name w:val="SCC.Lsoc.PartyRole Char"/>
    <w:basedOn w:val="DefaultParagraphFont"/>
    <w:rsid w:val="00B52E9E"/>
    <w:rPr>
      <w:rFonts w:ascii="Times New Roman" w:eastAsiaTheme="minorHAnsi" w:hAnsi="Times New Roman"/>
      <w:sz w:val="24"/>
      <w:lang w:eastAsia="en-US"/>
    </w:rPr>
  </w:style>
  <w:style w:type="paragraph" w:customStyle="1" w:styleId="SCCLsocPrefix">
    <w:name w:val="SCC.Lsoc.Prefix"/>
    <w:basedOn w:val="Normal"/>
    <w:next w:val="Normal"/>
    <w:link w:val="SCCLsocPrefixChar"/>
    <w:rsid w:val="00B52E9E"/>
    <w:rPr>
      <w:rFonts w:eastAsiaTheme="minorHAnsi" w:cstheme="minorBidi"/>
      <w:b/>
      <w:szCs w:val="22"/>
      <w:lang w:eastAsia="en-US"/>
    </w:rPr>
  </w:style>
  <w:style w:type="character" w:customStyle="1" w:styleId="SCCLsocPrefixChar">
    <w:name w:val="SCC.Lsoc.Prefix Char"/>
    <w:basedOn w:val="DefaultParagraphFont"/>
    <w:link w:val="SCCLsocPrefix"/>
    <w:rsid w:val="00B52E9E"/>
    <w:rPr>
      <w:rFonts w:eastAsiaTheme="minorHAnsi" w:cstheme="minorBidi"/>
      <w:b/>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5231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F32BF0-0A23-43AB-9AB7-093F477D1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648</Words>
  <Characters>3570</Characters>
  <Application>Microsoft Office Word</Application>
  <DocSecurity>0</DocSecurity>
  <Lines>29</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LinksUpToDate>false</LinksUpToDate>
  <CharactersWithSpaces>4210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2021-02-01T23:08:00Z</dcterms:created>
  <dcterms:modified xsi:type="dcterms:W3CDTF">2024-01-11T21:35:00Z</dcterms:modified>
</cp:coreProperties>
</file>