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53"/>
        <w:gridCol w:w="2126"/>
        <w:gridCol w:w="3689"/>
        <w:gridCol w:w="18"/>
      </w:tblGrid>
      <w:tr w:rsidR="003C4975" w:rsidTr="003C4975">
        <w:trPr>
          <w:trHeight w:val="2103"/>
        </w:trPr>
        <w:tc>
          <w:tcPr>
            <w:tcW w:w="5000" w:type="pct"/>
            <w:gridSpan w:val="4"/>
            <w:hideMark/>
          </w:tcPr>
          <w:p w:rsidR="003C4975" w:rsidRDefault="003C4975">
            <w:pPr>
              <w:jc w:val="center"/>
            </w:pPr>
            <w:r>
              <w:rPr>
                <w:noProof/>
                <w:lang w:val="fr-CA" w:eastAsia="fr-CA"/>
              </w:rPr>
              <w:drawing>
                <wp:inline distT="0" distB="0" distL="0" distR="0">
                  <wp:extent cx="1188720" cy="1638300"/>
                  <wp:effectExtent l="0" t="0" r="0"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rsidR="003C4975" w:rsidRDefault="003C4975">
            <w:pPr>
              <w:spacing w:before="120" w:after="100" w:afterAutospacing="1"/>
              <w:jc w:val="center"/>
              <w:rPr>
                <w:rFonts w:eastAsia="Calibri"/>
              </w:rPr>
            </w:pPr>
            <w:r>
              <w:rPr>
                <w:rFonts w:eastAsia="Calibri"/>
                <w:b/>
                <w:szCs w:val="24"/>
                <w:lang w:eastAsia="en-US"/>
              </w:rPr>
              <w:t>SUPREME COURT OF CANADA</w:t>
            </w:r>
          </w:p>
        </w:tc>
      </w:tr>
      <w:tr w:rsidR="003C4975" w:rsidTr="003C4975">
        <w:trPr>
          <w:gridAfter w:val="1"/>
          <w:wAfter w:w="9" w:type="pct"/>
        </w:trPr>
        <w:tc>
          <w:tcPr>
            <w:tcW w:w="2108" w:type="pct"/>
            <w:tcMar>
              <w:top w:w="284" w:type="dxa"/>
              <w:left w:w="57" w:type="dxa"/>
              <w:bottom w:w="57" w:type="dxa"/>
              <w:right w:w="57" w:type="dxa"/>
            </w:tcMar>
            <w:hideMark/>
          </w:tcPr>
          <w:p w:rsidR="003C4975" w:rsidRDefault="003C4975">
            <w:pPr>
              <w:spacing w:before="100" w:beforeAutospacing="1"/>
              <w:rPr>
                <w:rFonts w:eastAsia="Calibri"/>
                <w:lang w:val="en-US"/>
              </w:rPr>
            </w:pPr>
            <w:r>
              <w:rPr>
                <w:b/>
                <w:smallCaps/>
                <w:lang w:val="en-US"/>
              </w:rPr>
              <w:t>Citation:</w:t>
            </w:r>
            <w:r>
              <w:rPr>
                <w:lang w:val="en-US"/>
              </w:rPr>
              <w:t xml:space="preserve"> R. </w:t>
            </w:r>
            <w:r>
              <w:rPr>
                <w:i/>
                <w:lang w:val="en-US"/>
              </w:rPr>
              <w:t>v.</w:t>
            </w:r>
            <w:r>
              <w:rPr>
                <w:lang w:val="en-US"/>
              </w:rPr>
              <w:t xml:space="preserve"> Gul, 2021 SCC 14</w:t>
            </w:r>
            <w:r>
              <w:rPr>
                <w:lang w:val="en-US"/>
              </w:rPr>
              <w:t>, [2021] 1 S.C.R.  525</w:t>
            </w:r>
            <w:bookmarkStart w:id="0" w:name="_GoBack"/>
            <w:bookmarkEnd w:id="0"/>
          </w:p>
        </w:tc>
        <w:tc>
          <w:tcPr>
            <w:tcW w:w="1054" w:type="pct"/>
          </w:tcPr>
          <w:p w:rsidR="003C4975" w:rsidRDefault="003C4975">
            <w:pPr>
              <w:rPr>
                <w:b/>
                <w:smallCaps/>
                <w:lang w:val="en-US"/>
              </w:rPr>
            </w:pPr>
          </w:p>
        </w:tc>
        <w:tc>
          <w:tcPr>
            <w:tcW w:w="1829" w:type="pct"/>
            <w:tcMar>
              <w:top w:w="284" w:type="dxa"/>
              <w:left w:w="57" w:type="dxa"/>
              <w:bottom w:w="57" w:type="dxa"/>
              <w:right w:w="57" w:type="dxa"/>
            </w:tcMar>
            <w:hideMark/>
          </w:tcPr>
          <w:p w:rsidR="003C4975" w:rsidRDefault="003C4975">
            <w:r>
              <w:rPr>
                <w:b/>
                <w:smallCaps/>
              </w:rPr>
              <w:t xml:space="preserve">Appeal Heard: </w:t>
            </w:r>
            <w:r>
              <w:t>April 19, 2021</w:t>
            </w:r>
          </w:p>
          <w:p w:rsidR="003C4975" w:rsidRDefault="003C4975">
            <w:r>
              <w:rPr>
                <w:b/>
                <w:smallCaps/>
              </w:rPr>
              <w:t xml:space="preserve">Judgment Rendered: </w:t>
            </w:r>
            <w:r>
              <w:t>April 19, 2021</w:t>
            </w:r>
          </w:p>
          <w:p w:rsidR="003C4975" w:rsidRDefault="003C4975">
            <w:r>
              <w:rPr>
                <w:b/>
                <w:smallCaps/>
              </w:rPr>
              <w:t>Docket:</w:t>
            </w:r>
            <w:r>
              <w:t xml:space="preserve"> 39414</w:t>
            </w:r>
          </w:p>
        </w:tc>
      </w:tr>
      <w:tr w:rsidR="003C4975" w:rsidRPr="003C4975" w:rsidTr="003C4975">
        <w:tc>
          <w:tcPr>
            <w:tcW w:w="5000" w:type="pct"/>
            <w:gridSpan w:val="4"/>
          </w:tcPr>
          <w:p w:rsidR="003C4975" w:rsidRDefault="003C4975">
            <w:pPr>
              <w:rPr>
                <w:rFonts w:eastAsiaTheme="minorHAnsi" w:cstheme="minorBidi"/>
                <w:b/>
                <w:szCs w:val="24"/>
                <w:lang w:eastAsia="en-US"/>
              </w:rPr>
            </w:pPr>
          </w:p>
          <w:p w:rsidR="003C4975" w:rsidRDefault="003C4975">
            <w:pPr>
              <w:rPr>
                <w:rFonts w:eastAsiaTheme="minorHAnsi" w:cstheme="minorBidi"/>
                <w:b/>
                <w:smallCaps/>
                <w:szCs w:val="24"/>
                <w:lang w:eastAsia="en-US"/>
              </w:rPr>
            </w:pPr>
            <w:r>
              <w:rPr>
                <w:rFonts w:eastAsiaTheme="minorHAnsi" w:cstheme="minorBidi"/>
                <w:b/>
                <w:smallCaps/>
                <w:szCs w:val="24"/>
                <w:lang w:eastAsia="en-US"/>
              </w:rPr>
              <w:t>Between:</w:t>
            </w:r>
          </w:p>
          <w:p w:rsidR="003C4975" w:rsidRDefault="003C4975">
            <w:pPr>
              <w:jc w:val="center"/>
              <w:rPr>
                <w:rFonts w:eastAsiaTheme="minorHAnsi" w:cstheme="minorBidi"/>
                <w:b/>
                <w:szCs w:val="24"/>
                <w:lang w:eastAsia="en-US"/>
              </w:rPr>
            </w:pPr>
            <w:r>
              <w:rPr>
                <w:rFonts w:eastAsiaTheme="minorHAnsi" w:cstheme="minorBidi"/>
                <w:b/>
                <w:szCs w:val="24"/>
                <w:lang w:eastAsia="en-US"/>
              </w:rPr>
              <w:t>Rafi Mohammad Gul</w:t>
            </w:r>
          </w:p>
          <w:p w:rsidR="003C4975" w:rsidRDefault="003C4975">
            <w:pPr>
              <w:jc w:val="center"/>
              <w:rPr>
                <w:rFonts w:eastAsiaTheme="minorHAnsi" w:cstheme="minorBidi"/>
                <w:szCs w:val="24"/>
                <w:lang w:eastAsia="en-US"/>
              </w:rPr>
            </w:pPr>
            <w:r>
              <w:rPr>
                <w:rFonts w:eastAsiaTheme="minorHAnsi" w:cstheme="minorBidi"/>
                <w:szCs w:val="24"/>
                <w:lang w:eastAsia="en-US"/>
              </w:rPr>
              <w:t>Appellant</w:t>
            </w:r>
          </w:p>
          <w:p w:rsidR="003C4975" w:rsidRDefault="003C4975">
            <w:pPr>
              <w:jc w:val="center"/>
              <w:rPr>
                <w:rFonts w:eastAsiaTheme="minorHAnsi" w:cstheme="minorBidi"/>
                <w:szCs w:val="24"/>
                <w:lang w:eastAsia="en-US"/>
              </w:rPr>
            </w:pPr>
          </w:p>
          <w:p w:rsidR="003C4975" w:rsidRDefault="003C4975">
            <w:pPr>
              <w:jc w:val="center"/>
              <w:rPr>
                <w:rFonts w:eastAsiaTheme="minorHAnsi" w:cstheme="minorBidi"/>
                <w:szCs w:val="24"/>
                <w:lang w:eastAsia="en-US"/>
              </w:rPr>
            </w:pPr>
            <w:r>
              <w:rPr>
                <w:rFonts w:eastAsiaTheme="minorHAnsi" w:cstheme="minorBidi"/>
                <w:szCs w:val="24"/>
                <w:lang w:eastAsia="en-US"/>
              </w:rPr>
              <w:t>and</w:t>
            </w:r>
          </w:p>
          <w:p w:rsidR="003C4975" w:rsidRDefault="003C4975">
            <w:pPr>
              <w:jc w:val="center"/>
              <w:rPr>
                <w:rFonts w:eastAsiaTheme="minorHAnsi" w:cstheme="minorBidi"/>
                <w:szCs w:val="24"/>
                <w:lang w:eastAsia="en-US"/>
              </w:rPr>
            </w:pPr>
          </w:p>
          <w:p w:rsidR="003C4975" w:rsidRDefault="003C4975">
            <w:pPr>
              <w:jc w:val="center"/>
              <w:rPr>
                <w:rFonts w:eastAsiaTheme="minorHAnsi" w:cstheme="minorBidi"/>
                <w:b/>
                <w:szCs w:val="24"/>
                <w:lang w:eastAsia="en-US"/>
              </w:rPr>
            </w:pPr>
            <w:r>
              <w:rPr>
                <w:rFonts w:eastAsiaTheme="minorHAnsi" w:cstheme="minorBidi"/>
                <w:b/>
                <w:szCs w:val="24"/>
                <w:lang w:eastAsia="en-US"/>
              </w:rPr>
              <w:t>Her Majesty The Queen</w:t>
            </w:r>
          </w:p>
          <w:p w:rsidR="003C4975" w:rsidRDefault="003C4975">
            <w:pPr>
              <w:jc w:val="center"/>
              <w:rPr>
                <w:rFonts w:eastAsiaTheme="minorHAnsi" w:cstheme="minorBidi"/>
                <w:szCs w:val="24"/>
                <w:lang w:eastAsia="en-US"/>
              </w:rPr>
            </w:pPr>
            <w:r>
              <w:rPr>
                <w:rFonts w:eastAsiaTheme="minorHAnsi" w:cstheme="minorBidi"/>
                <w:szCs w:val="24"/>
                <w:lang w:eastAsia="en-US"/>
              </w:rPr>
              <w:t>Respondent</w:t>
            </w:r>
          </w:p>
          <w:p w:rsidR="003C4975" w:rsidRDefault="003C4975">
            <w:pPr>
              <w:jc w:val="center"/>
              <w:rPr>
                <w:b/>
                <w:smallCaps/>
              </w:rPr>
            </w:pPr>
          </w:p>
          <w:p w:rsidR="003C4975" w:rsidRDefault="003C4975">
            <w:pPr>
              <w:rPr>
                <w:b/>
                <w:smallCaps/>
              </w:rPr>
            </w:pPr>
          </w:p>
          <w:p w:rsidR="003C4975" w:rsidRDefault="003C4975">
            <w:pPr>
              <w:jc w:val="center"/>
              <w:rPr>
                <w:b/>
                <w:smallCaps/>
              </w:rPr>
            </w:pPr>
            <w:r>
              <w:rPr>
                <w:b/>
                <w:smallCaps/>
                <w:lang w:val="en-US"/>
              </w:rPr>
              <w:t>Official English Translation</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126"/>
        <w:gridCol w:w="7940"/>
        <w:gridCol w:w="20"/>
      </w:tblGrid>
      <w:tr w:rsidR="003C4975" w:rsidRPr="003C4975" w:rsidTr="003C4975">
        <w:trPr>
          <w:cantSplit/>
          <w:trHeight w:val="508"/>
        </w:trPr>
        <w:tc>
          <w:tcPr>
            <w:tcW w:w="5000" w:type="pct"/>
            <w:gridSpan w:val="3"/>
            <w:tcMar>
              <w:top w:w="284" w:type="dxa"/>
              <w:left w:w="58" w:type="dxa"/>
              <w:bottom w:w="57" w:type="dxa"/>
              <w:right w:w="58" w:type="dxa"/>
            </w:tcMar>
            <w:vAlign w:val="center"/>
          </w:tcPr>
          <w:p w:rsidR="003C4975" w:rsidRDefault="003C4975">
            <w:r>
              <w:rPr>
                <w:b/>
                <w:smallCaps/>
              </w:rPr>
              <w:t>Coram:</w:t>
            </w:r>
            <w:r>
              <w:t xml:space="preserve"> Wagner C.J. and Moldaver, Brown, Rowe and Kasirer JJ.</w:t>
            </w:r>
          </w:p>
          <w:p w:rsidR="003C4975" w:rsidRDefault="003C4975"/>
        </w:tc>
      </w:tr>
      <w:tr w:rsidR="003C4975" w:rsidTr="003C4975">
        <w:trPr>
          <w:gridAfter w:val="1"/>
          <w:wAfter w:w="10" w:type="pct"/>
          <w:cantSplit/>
          <w:trHeight w:val="508"/>
        </w:trPr>
        <w:tc>
          <w:tcPr>
            <w:tcW w:w="1054" w:type="pct"/>
            <w:tcMar>
              <w:top w:w="28" w:type="dxa"/>
              <w:left w:w="57" w:type="dxa"/>
              <w:bottom w:w="57" w:type="dxa"/>
              <w:right w:w="57" w:type="dxa"/>
            </w:tcMar>
            <w:vAlign w:val="center"/>
            <w:hideMark/>
          </w:tcPr>
          <w:p w:rsidR="003C4975" w:rsidRDefault="003C4975">
            <w:pPr>
              <w:spacing w:before="120"/>
              <w:rPr>
                <w:smallCaps/>
              </w:rPr>
            </w:pPr>
            <w:r>
              <w:rPr>
                <w:b/>
                <w:smallCaps/>
              </w:rPr>
              <w:t>Judgment Read By:</w:t>
            </w:r>
          </w:p>
          <w:p w:rsidR="003C4975" w:rsidRDefault="003C4975">
            <w:pPr>
              <w:rPr>
                <w:b/>
                <w:smallCaps/>
              </w:rPr>
            </w:pPr>
            <w:r>
              <w:t>(paras. 1 to 2)</w:t>
            </w:r>
          </w:p>
        </w:tc>
        <w:tc>
          <w:tcPr>
            <w:tcW w:w="3936" w:type="pct"/>
            <w:tcMar>
              <w:top w:w="28" w:type="dxa"/>
              <w:left w:w="57" w:type="dxa"/>
              <w:bottom w:w="57" w:type="dxa"/>
              <w:right w:w="57" w:type="dxa"/>
            </w:tcMar>
            <w:vAlign w:val="center"/>
            <w:hideMark/>
          </w:tcPr>
          <w:p w:rsidR="003C4975" w:rsidRDefault="003C4975">
            <w:pPr>
              <w:spacing w:before="120"/>
            </w:pPr>
            <w:r>
              <w:t>Wagner C.J.</w:t>
            </w:r>
          </w:p>
        </w:tc>
      </w:tr>
      <w:tr w:rsidR="003C4975" w:rsidTr="003C4975">
        <w:trPr>
          <w:gridAfter w:val="1"/>
          <w:wAfter w:w="11" w:type="pct"/>
          <w:cantSplit/>
          <w:trHeight w:val="508"/>
        </w:trPr>
        <w:tc>
          <w:tcPr>
            <w:tcW w:w="1054" w:type="pct"/>
            <w:tcMar>
              <w:top w:w="28" w:type="dxa"/>
              <w:left w:w="57" w:type="dxa"/>
              <w:bottom w:w="57" w:type="dxa"/>
              <w:right w:w="57" w:type="dxa"/>
            </w:tcMar>
            <w:vAlign w:val="center"/>
            <w:hideMark/>
          </w:tcPr>
          <w:p w:rsidR="003C4975" w:rsidRDefault="003C4975">
            <w:pPr>
              <w:spacing w:before="120"/>
              <w:rPr>
                <w:b/>
                <w:smallCaps/>
              </w:rPr>
            </w:pPr>
            <w:r>
              <w:rPr>
                <w:b/>
                <w:smallCaps/>
              </w:rPr>
              <w:t>Dissent Read By:</w:t>
            </w:r>
          </w:p>
          <w:p w:rsidR="003C4975" w:rsidRDefault="003C4975">
            <w:pPr>
              <w:rPr>
                <w:b/>
                <w:smallCaps/>
              </w:rPr>
            </w:pPr>
            <w:r>
              <w:t>(paras. 3 to 4)</w:t>
            </w:r>
          </w:p>
        </w:tc>
        <w:tc>
          <w:tcPr>
            <w:tcW w:w="3935" w:type="pct"/>
            <w:tcMar>
              <w:top w:w="28" w:type="dxa"/>
              <w:left w:w="57" w:type="dxa"/>
              <w:bottom w:w="57" w:type="dxa"/>
              <w:right w:w="57" w:type="dxa"/>
            </w:tcMar>
            <w:vAlign w:val="center"/>
            <w:hideMark/>
          </w:tcPr>
          <w:p w:rsidR="003C4975" w:rsidRDefault="003C4975">
            <w:pPr>
              <w:spacing w:before="120"/>
            </w:pPr>
            <w:r>
              <w:t>Rowe J.</w:t>
            </w:r>
          </w:p>
        </w:tc>
      </w:tr>
      <w:tr w:rsidR="003C4975" w:rsidRPr="003C4975" w:rsidTr="003C4975">
        <w:trPr>
          <w:gridAfter w:val="1"/>
          <w:wAfter w:w="11" w:type="pct"/>
          <w:cantSplit/>
          <w:trHeight w:val="508"/>
        </w:trPr>
        <w:tc>
          <w:tcPr>
            <w:tcW w:w="1054" w:type="pct"/>
            <w:tcMar>
              <w:top w:w="28" w:type="dxa"/>
              <w:left w:w="57" w:type="dxa"/>
              <w:bottom w:w="57" w:type="dxa"/>
              <w:right w:w="57" w:type="dxa"/>
            </w:tcMar>
            <w:vAlign w:val="center"/>
            <w:hideMark/>
          </w:tcPr>
          <w:p w:rsidR="003C4975" w:rsidRDefault="003C4975">
            <w:pPr>
              <w:spacing w:before="120"/>
              <w:rPr>
                <w:b/>
                <w:smallCaps/>
              </w:rPr>
            </w:pPr>
            <w:r>
              <w:rPr>
                <w:b/>
                <w:smallCaps/>
              </w:rPr>
              <w:t>Majority:</w:t>
            </w:r>
          </w:p>
        </w:tc>
        <w:tc>
          <w:tcPr>
            <w:tcW w:w="3935" w:type="pct"/>
            <w:tcMar>
              <w:top w:w="28" w:type="dxa"/>
              <w:left w:w="57" w:type="dxa"/>
              <w:bottom w:w="57" w:type="dxa"/>
              <w:right w:w="57" w:type="dxa"/>
            </w:tcMar>
            <w:vAlign w:val="center"/>
            <w:hideMark/>
          </w:tcPr>
          <w:p w:rsidR="003C4975" w:rsidRDefault="003C4975">
            <w:pPr>
              <w:spacing w:before="120"/>
            </w:pPr>
            <w:r>
              <w:t>Wagner C.J. and Moldaver and Kasirer JJ.</w:t>
            </w:r>
          </w:p>
        </w:tc>
      </w:tr>
      <w:tr w:rsidR="003C4975" w:rsidTr="003C4975">
        <w:trPr>
          <w:gridAfter w:val="1"/>
          <w:wAfter w:w="11" w:type="pct"/>
          <w:cantSplit/>
          <w:trHeight w:val="508"/>
        </w:trPr>
        <w:tc>
          <w:tcPr>
            <w:tcW w:w="1054" w:type="pct"/>
            <w:tcMar>
              <w:top w:w="28" w:type="dxa"/>
              <w:left w:w="57" w:type="dxa"/>
              <w:bottom w:w="57" w:type="dxa"/>
              <w:right w:w="57" w:type="dxa"/>
            </w:tcMar>
            <w:vAlign w:val="center"/>
            <w:hideMark/>
          </w:tcPr>
          <w:p w:rsidR="003C4975" w:rsidRDefault="003C4975">
            <w:pPr>
              <w:spacing w:before="120"/>
              <w:rPr>
                <w:b/>
                <w:smallCaps/>
              </w:rPr>
            </w:pPr>
            <w:r>
              <w:rPr>
                <w:b/>
                <w:smallCaps/>
              </w:rPr>
              <w:t>Dissent:</w:t>
            </w:r>
          </w:p>
        </w:tc>
        <w:tc>
          <w:tcPr>
            <w:tcW w:w="3935" w:type="pct"/>
            <w:tcMar>
              <w:top w:w="28" w:type="dxa"/>
              <w:left w:w="57" w:type="dxa"/>
              <w:bottom w:w="57" w:type="dxa"/>
              <w:right w:w="57" w:type="dxa"/>
            </w:tcMar>
            <w:vAlign w:val="center"/>
            <w:hideMark/>
          </w:tcPr>
          <w:p w:rsidR="003C4975" w:rsidRDefault="003C4975">
            <w:pPr>
              <w:spacing w:before="120"/>
            </w:pPr>
            <w:r>
              <w:t>Brown and Rowe JJ.</w:t>
            </w:r>
          </w:p>
        </w:tc>
      </w:tr>
      <w:tr w:rsidR="003C4975" w:rsidTr="003C4975">
        <w:trPr>
          <w:cantSplit/>
        </w:trPr>
        <w:tc>
          <w:tcPr>
            <w:tcW w:w="5000" w:type="pct"/>
            <w:gridSpan w:val="3"/>
            <w:tcMar>
              <w:top w:w="284" w:type="dxa"/>
              <w:left w:w="58" w:type="dxa"/>
              <w:bottom w:w="57" w:type="dxa"/>
              <w:right w:w="58" w:type="dxa"/>
            </w:tcMar>
            <w:vAlign w:val="center"/>
          </w:tcPr>
          <w:p w:rsidR="003C4975" w:rsidRDefault="003C4975"/>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4034"/>
        <w:gridCol w:w="3026"/>
      </w:tblGrid>
      <w:tr w:rsidR="003C4975" w:rsidRPr="003C4975" w:rsidTr="003C4975">
        <w:tc>
          <w:tcPr>
            <w:tcW w:w="1500" w:type="pct"/>
            <w:tcMar>
              <w:top w:w="284" w:type="dxa"/>
              <w:left w:w="108" w:type="dxa"/>
              <w:bottom w:w="0" w:type="dxa"/>
              <w:right w:w="108" w:type="dxa"/>
            </w:tcMar>
          </w:tcPr>
          <w:p w:rsidR="003C4975" w:rsidRDefault="003C4975">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rsidR="003C4975" w:rsidRDefault="003C4975">
            <w:pPr>
              <w:rPr>
                <w:rFonts w:eastAsia="Calibri"/>
                <w:szCs w:val="24"/>
                <w:lang w:eastAsia="en-US"/>
              </w:rPr>
            </w:pPr>
          </w:p>
        </w:tc>
        <w:tc>
          <w:tcPr>
            <w:tcW w:w="1500" w:type="pct"/>
            <w:tcMar>
              <w:top w:w="284" w:type="dxa"/>
              <w:left w:w="108" w:type="dxa"/>
              <w:bottom w:w="0" w:type="dxa"/>
              <w:right w:w="108" w:type="dxa"/>
            </w:tcMar>
          </w:tcPr>
          <w:p w:rsidR="003C4975" w:rsidRDefault="003C4975">
            <w:pPr>
              <w:rPr>
                <w:rFonts w:eastAsia="Calibri"/>
                <w:szCs w:val="24"/>
                <w:lang w:eastAsia="en-US"/>
              </w:rPr>
            </w:pPr>
          </w:p>
        </w:tc>
      </w:tr>
    </w:tbl>
    <w:p w:rsidR="003C4975" w:rsidRDefault="003C4975" w:rsidP="003C4975">
      <w:pPr>
        <w:rPr>
          <w:rFonts w:eastAsia="Calibri"/>
          <w:szCs w:val="24"/>
          <w:lang w:eastAsia="en-US"/>
        </w:rPr>
        <w:sectPr w:rsidR="003C4975">
          <w:pgSz w:w="12240" w:h="15840"/>
          <w:pgMar w:top="1134" w:right="1077" w:bottom="1134" w:left="1077" w:header="1803" w:footer="720" w:gutter="0"/>
          <w:cols w:space="720"/>
        </w:sectPr>
      </w:pPr>
    </w:p>
    <w:p w:rsidR="007F6BE5" w:rsidRPr="00376037" w:rsidRDefault="007F6BE5" w:rsidP="007F6BE5">
      <w:pPr>
        <w:pStyle w:val="SCCLsocLastPartyInRole"/>
        <w:rPr>
          <w:lang w:val="en-US"/>
        </w:rPr>
      </w:pPr>
      <w:r w:rsidRPr="00376037">
        <w:rPr>
          <w:bCs/>
        </w:rPr>
        <w:t>Rafi Mohammad Gul</w:t>
      </w:r>
      <w:r w:rsidRPr="00376037">
        <w:rPr>
          <w:rStyle w:val="SCCLsocPartyRole"/>
          <w:lang w:val="en-US"/>
        </w:rPr>
        <w:tab/>
        <w:t>Appellant</w:t>
      </w:r>
    </w:p>
    <w:p w:rsidR="007F6BE5" w:rsidRPr="00376037" w:rsidRDefault="007F6BE5" w:rsidP="007F6BE5">
      <w:pPr>
        <w:pStyle w:val="SCCLsocVersus"/>
      </w:pPr>
      <w:r w:rsidRPr="00376037">
        <w:t>v.</w:t>
      </w:r>
    </w:p>
    <w:p w:rsidR="007F6BE5" w:rsidRPr="00376037" w:rsidRDefault="007F6BE5" w:rsidP="007F6BE5">
      <w:pPr>
        <w:pStyle w:val="SCCLsocLastPartyInRole"/>
      </w:pPr>
      <w:r w:rsidRPr="00376037">
        <w:rPr>
          <w:bCs/>
        </w:rPr>
        <w:t>Her Majesty The Queen</w:t>
      </w:r>
      <w:r w:rsidRPr="00376037">
        <w:rPr>
          <w:rStyle w:val="SCCLsocPartyRole"/>
        </w:rPr>
        <w:tab/>
        <w:t>Respondent</w:t>
      </w:r>
      <w:r w:rsidRPr="00376037">
        <w:t xml:space="preserve"> </w:t>
      </w:r>
    </w:p>
    <w:p w:rsidR="007F6BE5" w:rsidRPr="00376037" w:rsidRDefault="007F6BE5" w:rsidP="007F6BE5">
      <w:pPr>
        <w:spacing w:after="720"/>
        <w:jc w:val="both"/>
        <w:rPr>
          <w:b/>
        </w:rPr>
      </w:pPr>
      <w:r w:rsidRPr="00376037">
        <w:rPr>
          <w:b/>
        </w:rPr>
        <w:t xml:space="preserve">Indexed as: </w:t>
      </w:r>
      <w:r w:rsidRPr="00376037">
        <w:rPr>
          <w:b/>
          <w:lang w:val="en-US"/>
        </w:rPr>
        <w:t xml:space="preserve">R. </w:t>
      </w:r>
      <w:r w:rsidRPr="00376037">
        <w:rPr>
          <w:b/>
          <w:i/>
          <w:lang w:val="en-US"/>
        </w:rPr>
        <w:t>v.</w:t>
      </w:r>
      <w:r w:rsidRPr="00376037">
        <w:rPr>
          <w:b/>
          <w:lang w:val="en-US"/>
        </w:rPr>
        <w:t xml:space="preserve"> </w:t>
      </w:r>
      <w:r w:rsidRPr="00376037">
        <w:rPr>
          <w:b/>
        </w:rPr>
        <w:t>Gul</w:t>
      </w:r>
    </w:p>
    <w:p w:rsidR="007F6BE5" w:rsidRPr="00376037" w:rsidRDefault="007F6BE5" w:rsidP="007F6BE5">
      <w:pPr>
        <w:pStyle w:val="SCCSystemYear"/>
        <w:spacing w:after="720"/>
        <w:jc w:val="both"/>
      </w:pPr>
      <w:r w:rsidRPr="00376037">
        <w:t xml:space="preserve">2021 </w:t>
      </w:r>
      <w:r>
        <w:t xml:space="preserve">SCC </w:t>
      </w:r>
      <w:r w:rsidRPr="00376037">
        <w:t>14</w:t>
      </w:r>
    </w:p>
    <w:p w:rsidR="007F6BE5" w:rsidRPr="00376037" w:rsidRDefault="007F6BE5" w:rsidP="007F6BE5">
      <w:pPr>
        <w:spacing w:after="720"/>
        <w:jc w:val="both"/>
      </w:pPr>
      <w:r w:rsidRPr="00376037">
        <w:t xml:space="preserve">File No.: </w:t>
      </w:r>
      <w:r w:rsidRPr="00376037">
        <w:rPr>
          <w:color w:val="000000"/>
        </w:rPr>
        <w:t>39414</w:t>
      </w:r>
      <w:r w:rsidRPr="00376037">
        <w:t>.</w:t>
      </w:r>
    </w:p>
    <w:p w:rsidR="007F6BE5" w:rsidRPr="00376037" w:rsidRDefault="007F6BE5" w:rsidP="007F6BE5">
      <w:pPr>
        <w:spacing w:after="720"/>
        <w:jc w:val="both"/>
      </w:pPr>
      <w:r w:rsidRPr="00376037">
        <w:rPr>
          <w:color w:val="000000"/>
        </w:rPr>
        <w:t>2021</w:t>
      </w:r>
      <w:r w:rsidRPr="00376037">
        <w:t xml:space="preserve">: </w:t>
      </w:r>
      <w:r w:rsidRPr="00376037">
        <w:rPr>
          <w:color w:val="000000"/>
        </w:rPr>
        <w:t>April 19</w:t>
      </w:r>
      <w:r w:rsidRPr="00376037">
        <w:t>.</w:t>
      </w:r>
    </w:p>
    <w:p w:rsidR="007F6BE5" w:rsidRPr="00376037" w:rsidRDefault="007F6BE5" w:rsidP="007F6BE5">
      <w:pPr>
        <w:spacing w:after="720"/>
        <w:jc w:val="both"/>
      </w:pPr>
      <w:r w:rsidRPr="00376037">
        <w:t xml:space="preserve">Present: </w:t>
      </w:r>
      <w:r>
        <w:rPr>
          <w:color w:val="000000"/>
        </w:rPr>
        <w:t xml:space="preserve">Wagner </w:t>
      </w:r>
      <w:r w:rsidRPr="00376037">
        <w:rPr>
          <w:color w:val="000000"/>
        </w:rPr>
        <w:t>C.J. and Moldaver, Brown, Rowe and Kasirer</w:t>
      </w:r>
      <w:r>
        <w:rPr>
          <w:color w:val="000000"/>
        </w:rPr>
        <w:t xml:space="preserve"> </w:t>
      </w:r>
      <w:r w:rsidRPr="00376037">
        <w:rPr>
          <w:color w:val="000000"/>
        </w:rPr>
        <w:t>JJ.</w:t>
      </w:r>
    </w:p>
    <w:p w:rsidR="007F6BE5" w:rsidRPr="001C779F" w:rsidRDefault="007F6BE5" w:rsidP="007F6BE5">
      <w:pPr>
        <w:pStyle w:val="SCCLowerCourtNameLowercase"/>
        <w:spacing w:after="720" w:line="240" w:lineRule="auto"/>
      </w:pPr>
      <w:r w:rsidRPr="00376037">
        <w:t xml:space="preserve">on appeal from the court of appeal for </w:t>
      </w:r>
      <w:r w:rsidRPr="00376037">
        <w:rPr>
          <w:color w:val="000000"/>
        </w:rPr>
        <w:t>quebec</w:t>
      </w:r>
    </w:p>
    <w:p w:rsidR="007F6BE5" w:rsidRPr="001E0C86" w:rsidRDefault="007F6BE5" w:rsidP="007F6BE5">
      <w:pPr>
        <w:pStyle w:val="SCCNormalDoubleSpacing"/>
        <w:spacing w:after="480"/>
        <w:rPr>
          <w:i/>
          <w:lang w:val="en-US"/>
        </w:rPr>
      </w:pPr>
      <w:r w:rsidRPr="001E0C86">
        <w:rPr>
          <w:lang w:val="en-US"/>
        </w:rPr>
        <w:tab/>
      </w:r>
      <w:r w:rsidRPr="001E0C86">
        <w:rPr>
          <w:i/>
          <w:lang w:val="en-US"/>
        </w:rPr>
        <w:t>Criminal law — Appeals — Application of curative proviso — Accused convicted of sexual assault and breaking and entering with intent to commit indictable offence — Court of Appeal holding that trial judge erred in characterizing prior event as similar fact evidence — Majority of Court of Appeal applying curative proviso</w:t>
      </w:r>
      <w:r w:rsidRPr="001E0C86">
        <w:rPr>
          <w:i/>
          <w:iCs/>
          <w:color w:val="000000"/>
          <w:lang w:val="en-US"/>
        </w:rPr>
        <w:t xml:space="preserve"> </w:t>
      </w:r>
      <w:r w:rsidRPr="001E0C86">
        <w:rPr>
          <w:i/>
          <w:lang w:val="en-US"/>
        </w:rPr>
        <w:t>— Convictions upheld — Criminal Code, R.S.C. 1985, c. C</w:t>
      </w:r>
      <w:r w:rsidRPr="001E0C86">
        <w:rPr>
          <w:i/>
          <w:lang w:val="en-US"/>
        </w:rPr>
        <w:noBreakHyphen/>
        <w:t>46, s. 686(1)(b)(iii).</w:t>
      </w:r>
    </w:p>
    <w:p w:rsidR="007F6BE5" w:rsidRPr="00376037" w:rsidRDefault="007F6BE5" w:rsidP="007F6BE5">
      <w:pPr>
        <w:pStyle w:val="SCCNormalDoubleSpacing"/>
        <w:widowControl w:val="0"/>
        <w:spacing w:after="720" w:line="240" w:lineRule="auto"/>
        <w:rPr>
          <w:b/>
          <w:bCs/>
          <w:color w:val="000000"/>
          <w:lang w:val="en-US"/>
        </w:rPr>
      </w:pPr>
      <w:r w:rsidRPr="00376037">
        <w:rPr>
          <w:b/>
          <w:bCs/>
          <w:color w:val="000000"/>
          <w:lang w:val="en-US"/>
        </w:rPr>
        <w:t>Cases Cited</w:t>
      </w:r>
    </w:p>
    <w:p w:rsidR="007F6BE5" w:rsidRPr="00376037" w:rsidRDefault="007F6BE5" w:rsidP="007F6BE5">
      <w:pPr>
        <w:pStyle w:val="SCCNormalDoubleSpacing"/>
        <w:widowControl w:val="0"/>
        <w:spacing w:after="720" w:line="240" w:lineRule="auto"/>
        <w:rPr>
          <w:b/>
          <w:bCs/>
          <w:color w:val="000000"/>
          <w:lang w:val="en-US"/>
        </w:rPr>
      </w:pPr>
      <w:r w:rsidRPr="00376037">
        <w:rPr>
          <w:bCs/>
          <w:color w:val="000000"/>
          <w:lang w:val="en-US"/>
        </w:rPr>
        <w:lastRenderedPageBreak/>
        <w:t xml:space="preserve">By </w:t>
      </w:r>
      <w:r>
        <w:rPr>
          <w:bCs/>
          <w:color w:val="000000"/>
          <w:lang w:val="en-US"/>
        </w:rPr>
        <w:t xml:space="preserve">Rowe </w:t>
      </w:r>
      <w:r w:rsidRPr="00376037">
        <w:rPr>
          <w:bCs/>
          <w:color w:val="000000"/>
          <w:lang w:val="en-US"/>
        </w:rPr>
        <w:t>J. (dissenting)</w:t>
      </w:r>
    </w:p>
    <w:p w:rsidR="007F6BE5" w:rsidRPr="00376037" w:rsidRDefault="007F6BE5" w:rsidP="007F6BE5">
      <w:pPr>
        <w:pStyle w:val="SCCNormalDoubleSpacing"/>
        <w:widowControl w:val="0"/>
        <w:spacing w:after="720" w:line="240" w:lineRule="auto"/>
        <w:rPr>
          <w:color w:val="000000"/>
        </w:rPr>
      </w:pPr>
      <w:r w:rsidRPr="00376037">
        <w:rPr>
          <w:b/>
          <w:bCs/>
          <w:color w:val="000000"/>
          <w:lang w:val="en-US"/>
        </w:rPr>
        <w:tab/>
      </w:r>
      <w:r w:rsidRPr="00376037">
        <w:rPr>
          <w:i/>
          <w:iCs/>
          <w:color w:val="000000"/>
        </w:rPr>
        <w:t>R. v. Trochym</w:t>
      </w:r>
      <w:r w:rsidRPr="00376037">
        <w:rPr>
          <w:color w:val="000000"/>
        </w:rPr>
        <w:t>, 2007 SCC 6, [2007] 1 S.C.R. 239.</w:t>
      </w:r>
    </w:p>
    <w:p w:rsidR="007F6BE5" w:rsidRPr="00376037" w:rsidRDefault="007F6BE5" w:rsidP="007F6BE5">
      <w:pPr>
        <w:pStyle w:val="SCCNormalDoubleSpacing"/>
        <w:widowControl w:val="0"/>
        <w:spacing w:after="720" w:line="240" w:lineRule="auto"/>
        <w:rPr>
          <w:b/>
        </w:rPr>
      </w:pPr>
      <w:r w:rsidRPr="00376037">
        <w:rPr>
          <w:b/>
          <w:bCs/>
          <w:color w:val="000000"/>
        </w:rPr>
        <w:t>Statutes and Regulations Cited</w:t>
      </w:r>
    </w:p>
    <w:p w:rsidR="007F6BE5" w:rsidRPr="00546568" w:rsidRDefault="007F6BE5" w:rsidP="007F6BE5">
      <w:pPr>
        <w:pStyle w:val="SCCNormalDoubleSpacing"/>
        <w:widowControl w:val="0"/>
        <w:spacing w:after="720" w:line="240" w:lineRule="auto"/>
        <w:rPr>
          <w:lang w:val="fr-CA"/>
        </w:rPr>
      </w:pPr>
      <w:r w:rsidRPr="00546568">
        <w:rPr>
          <w:rFonts w:eastAsiaTheme="majorEastAsia"/>
          <w:i/>
          <w:iCs/>
          <w:lang w:val="fr-CA"/>
        </w:rPr>
        <w:t>Criminal Code</w:t>
      </w:r>
      <w:r w:rsidRPr="00546568">
        <w:rPr>
          <w:rFonts w:eastAsiaTheme="majorEastAsia"/>
          <w:lang w:val="fr-CA"/>
        </w:rPr>
        <w:t>, R.S.C. 1985, c. C</w:t>
      </w:r>
      <w:r w:rsidRPr="00546568">
        <w:rPr>
          <w:rFonts w:eastAsiaTheme="majorEastAsia"/>
          <w:lang w:val="fr-CA"/>
        </w:rPr>
        <w:noBreakHyphen/>
        <w:t>46</w:t>
      </w:r>
      <w:r w:rsidRPr="00546568">
        <w:rPr>
          <w:color w:val="000000"/>
          <w:lang w:val="fr-CA"/>
        </w:rPr>
        <w:t>, s. 686(1)(b)(iii).</w:t>
      </w:r>
    </w:p>
    <w:p w:rsidR="007F6BE5" w:rsidRPr="004735FC" w:rsidRDefault="007F6BE5" w:rsidP="007F6BE5">
      <w:pPr>
        <w:pStyle w:val="SCCNormalDoubleSpacing"/>
        <w:spacing w:after="480"/>
      </w:pPr>
      <w:r w:rsidRPr="00546568">
        <w:rPr>
          <w:lang w:val="fr-CA"/>
        </w:rPr>
        <w:tab/>
      </w:r>
      <w:r w:rsidRPr="00674111">
        <w:t>APPEAL from a judgment of the Quebec Court of Appeal (Savard C.J. and Schrager and Ruel</w:t>
      </w:r>
      <w:r>
        <w:t xml:space="preserve"> </w:t>
      </w:r>
      <w:r w:rsidRPr="00674111">
        <w:t xml:space="preserve">JJ.A.), </w:t>
      </w:r>
      <w:r w:rsidRPr="00674111">
        <w:rPr>
          <w:color w:val="000000"/>
        </w:rPr>
        <w:t xml:space="preserve">2020 QCCA 1557, 405 C.C.C. (3d) 143, 460 D.L.R. (4th) 195, </w:t>
      </w:r>
      <w:r>
        <w:rPr>
          <w:color w:val="000000"/>
          <w:lang w:val="en-US"/>
        </w:rPr>
        <w:t>[2020] AZ</w:t>
      </w:r>
      <w:r>
        <w:rPr>
          <w:color w:val="000000"/>
          <w:lang w:val="en-US"/>
        </w:rPr>
        <w:noBreakHyphen/>
      </w:r>
      <w:r w:rsidRPr="00674111">
        <w:rPr>
          <w:color w:val="000000"/>
          <w:lang w:val="en-US"/>
        </w:rPr>
        <w:t>51724181,</w:t>
      </w:r>
      <w:r w:rsidRPr="00674111">
        <w:rPr>
          <w:color w:val="000000"/>
        </w:rPr>
        <w:t xml:space="preserve"> [2020] Q.J. No. 11528 (QL), 2020 CarswellQue 12281 (WL Can.), </w:t>
      </w:r>
      <w:r w:rsidRPr="00674111">
        <w:t>affirming the convictions of the accused for sexual assault and breaking and entering with intent to commit an indictable offence</w:t>
      </w:r>
      <w:r w:rsidRPr="00674111">
        <w:rPr>
          <w:color w:val="000000"/>
        </w:rPr>
        <w:t xml:space="preserve"> entered by </w:t>
      </w:r>
      <w:r w:rsidRPr="00674111">
        <w:t>Bélisle</w:t>
      </w:r>
      <w:r>
        <w:t xml:space="preserve"> </w:t>
      </w:r>
      <w:r w:rsidRPr="00674111">
        <w:t>J.C.Q., 2018 QCCQ 7257</w:t>
      </w:r>
      <w:r w:rsidRPr="00674111">
        <w:rPr>
          <w:bCs/>
        </w:rPr>
        <w:t xml:space="preserve">, </w:t>
      </w:r>
      <w:r>
        <w:rPr>
          <w:bCs/>
          <w:lang w:val="en-US"/>
        </w:rPr>
        <w:t>[2018] AZ</w:t>
      </w:r>
      <w:r>
        <w:rPr>
          <w:bCs/>
          <w:lang w:val="en-US"/>
        </w:rPr>
        <w:noBreakHyphen/>
      </w:r>
      <w:r w:rsidRPr="00674111">
        <w:rPr>
          <w:bCs/>
          <w:lang w:val="en-US"/>
        </w:rPr>
        <w:t>51535284</w:t>
      </w:r>
      <w:r w:rsidRPr="00674111">
        <w:t xml:space="preserve">, </w:t>
      </w:r>
      <w:r w:rsidRPr="00674111">
        <w:rPr>
          <w:bCs/>
        </w:rPr>
        <w:t>[2018] J.Q. n</w:t>
      </w:r>
      <w:r w:rsidRPr="00674111">
        <w:rPr>
          <w:bCs/>
          <w:vertAlign w:val="superscript"/>
        </w:rPr>
        <w:t>o</w:t>
      </w:r>
      <w:r w:rsidRPr="00674111">
        <w:rPr>
          <w:bCs/>
        </w:rPr>
        <w:t xml:space="preserve"> 9504 (QL), 2018 CarswellQue 9145 (WL Can.). Appeal </w:t>
      </w:r>
      <w:r w:rsidRPr="00674111">
        <w:rPr>
          <w:color w:val="000000"/>
        </w:rPr>
        <w:t>dismissed</w:t>
      </w:r>
      <w:r w:rsidRPr="00674111">
        <w:rPr>
          <w:bCs/>
        </w:rPr>
        <w:t xml:space="preserve">, </w:t>
      </w:r>
      <w:r>
        <w:rPr>
          <w:color w:val="000000"/>
        </w:rPr>
        <w:t xml:space="preserve">Brown and Rowe </w:t>
      </w:r>
      <w:r w:rsidRPr="00674111">
        <w:rPr>
          <w:color w:val="000000"/>
        </w:rPr>
        <w:t>JJ. dissenting</w:t>
      </w:r>
      <w:r w:rsidRPr="00674111">
        <w:rPr>
          <w:bCs/>
        </w:rPr>
        <w:t>.</w:t>
      </w:r>
    </w:p>
    <w:p w:rsidR="007F6BE5" w:rsidRPr="00376037" w:rsidRDefault="007F6BE5" w:rsidP="007F6BE5">
      <w:pPr>
        <w:pStyle w:val="SCCNormalDoubleSpacing"/>
        <w:spacing w:after="480"/>
        <w:rPr>
          <w:lang w:val="en-US"/>
        </w:rPr>
      </w:pPr>
      <w:r>
        <w:rPr>
          <w:iCs/>
          <w:lang w:val="en-US"/>
        </w:rPr>
        <w:tab/>
      </w:r>
      <w:r w:rsidRPr="001E0C86">
        <w:rPr>
          <w:i/>
          <w:iCs/>
        </w:rPr>
        <w:t>Jordan Trevick</w:t>
      </w:r>
      <w:r w:rsidRPr="00376037">
        <w:rPr>
          <w:iCs/>
        </w:rPr>
        <w:t xml:space="preserve"> and </w:t>
      </w:r>
      <w:r w:rsidRPr="001E0C86">
        <w:rPr>
          <w:i/>
          <w:iCs/>
        </w:rPr>
        <w:t>Clara Daviault</w:t>
      </w:r>
      <w:r w:rsidRPr="00376037">
        <w:rPr>
          <w:lang w:val="en-US"/>
        </w:rPr>
        <w:t>, for the appellant.</w:t>
      </w:r>
    </w:p>
    <w:p w:rsidR="007F6BE5" w:rsidRPr="00376037" w:rsidRDefault="007F6BE5" w:rsidP="007F6BE5">
      <w:pPr>
        <w:pStyle w:val="SCCNormalDoubleSpacing"/>
        <w:spacing w:after="480"/>
        <w:rPr>
          <w:lang w:val="en-US"/>
        </w:rPr>
      </w:pPr>
      <w:r w:rsidRPr="00376037">
        <w:rPr>
          <w:iCs/>
          <w:lang w:val="en-US"/>
        </w:rPr>
        <w:tab/>
      </w:r>
      <w:r w:rsidRPr="001E0C86">
        <w:rPr>
          <w:i/>
          <w:iCs/>
        </w:rPr>
        <w:t>Frédérique Le Colletter</w:t>
      </w:r>
      <w:r w:rsidRPr="00376037">
        <w:rPr>
          <w:lang w:val="en-US"/>
        </w:rPr>
        <w:t>, for the respondent.</w:t>
      </w:r>
    </w:p>
    <w:p w:rsidR="007F6BE5" w:rsidRPr="00376037" w:rsidRDefault="007F6BE5" w:rsidP="007F6BE5">
      <w:pPr>
        <w:pStyle w:val="SCCNormalDoubleSpacing"/>
        <w:spacing w:after="480"/>
        <w:rPr>
          <w:lang w:val="en-US"/>
        </w:rPr>
      </w:pPr>
      <w:r w:rsidRPr="00376037">
        <w:rPr>
          <w:lang w:val="en-US"/>
        </w:rPr>
        <w:tab/>
      </w:r>
      <w:r w:rsidRPr="00376037">
        <w:t xml:space="preserve">English version of the judgment of </w:t>
      </w:r>
      <w:r>
        <w:rPr>
          <w:color w:val="000000"/>
        </w:rPr>
        <w:t xml:space="preserve">Wagner </w:t>
      </w:r>
      <w:r w:rsidRPr="00376037">
        <w:rPr>
          <w:color w:val="000000"/>
        </w:rPr>
        <w:t>C.J. and Moldaver</w:t>
      </w:r>
      <w:r w:rsidRPr="00376037">
        <w:t xml:space="preserve"> and </w:t>
      </w:r>
      <w:r w:rsidRPr="00376037">
        <w:rPr>
          <w:color w:val="000000"/>
        </w:rPr>
        <w:t>Kasirer</w:t>
      </w:r>
      <w:r w:rsidRPr="00376037">
        <w:t> JJ. delivered orally by</w:t>
      </w:r>
    </w:p>
    <w:p w:rsidR="007F6BE5" w:rsidRPr="00376037" w:rsidRDefault="007F6BE5" w:rsidP="007F6BE5">
      <w:pPr>
        <w:pStyle w:val="SCCNormalDoubleSpacing"/>
        <w:spacing w:after="480"/>
      </w:pPr>
      <w:r w:rsidRPr="00376037">
        <w:rPr>
          <w:smallCaps/>
        </w:rPr>
        <w:t>[1]</w:t>
      </w:r>
      <w:r w:rsidRPr="00376037">
        <w:rPr>
          <w:smallCaps/>
        </w:rPr>
        <w:tab/>
        <w:t>The Chief Justice</w:t>
      </w:r>
      <w:r w:rsidRPr="00376037">
        <w:t xml:space="preserve"> — </w:t>
      </w:r>
      <w:r w:rsidRPr="00376037">
        <w:rPr>
          <w:color w:val="000000"/>
        </w:rPr>
        <w:t>The appellant appeals as of right from a decision in which a majority of the Quebec Court of Appeal upheld a verdict of guilty entered by the trial judge.</w:t>
      </w:r>
    </w:p>
    <w:p w:rsidR="007F6BE5" w:rsidRPr="00376037" w:rsidRDefault="007F6BE5" w:rsidP="007F6BE5">
      <w:pPr>
        <w:pStyle w:val="SCCNormalDoubleSpacing"/>
        <w:spacing w:after="480"/>
        <w:rPr>
          <w:color w:val="000000"/>
        </w:rPr>
      </w:pPr>
      <w:r w:rsidRPr="00376037">
        <w:t>[2]</w:t>
      </w:r>
      <w:r w:rsidRPr="00376037">
        <w:tab/>
      </w:r>
      <w:r w:rsidRPr="00376037">
        <w:rPr>
          <w:color w:val="000000"/>
        </w:rPr>
        <w:t>A majority of judges of this Court would, for the reasons of Savard C.J.Q. and Schrager J.A., and in particular f</w:t>
      </w:r>
      <w:r>
        <w:rPr>
          <w:color w:val="000000"/>
        </w:rPr>
        <w:t>or the reasons set out at para. </w:t>
      </w:r>
      <w:r w:rsidRPr="00376037">
        <w:rPr>
          <w:color w:val="000000"/>
        </w:rPr>
        <w:t>44 of the Court of Appeal’s decision, dismiss the appeal.</w:t>
      </w:r>
    </w:p>
    <w:p w:rsidR="007F6BE5" w:rsidRPr="00376037" w:rsidRDefault="007F6BE5" w:rsidP="007F6BE5">
      <w:pPr>
        <w:pStyle w:val="SCCNormalDoubleSpacing"/>
        <w:spacing w:after="480"/>
        <w:rPr>
          <w:color w:val="000000"/>
        </w:rPr>
      </w:pPr>
      <w:r w:rsidRPr="00376037">
        <w:rPr>
          <w:color w:val="000000"/>
        </w:rPr>
        <w:tab/>
      </w:r>
      <w:r w:rsidRPr="00376037">
        <w:t xml:space="preserve">English version of the reasons of </w:t>
      </w:r>
      <w:r>
        <w:rPr>
          <w:color w:val="000000"/>
        </w:rPr>
        <w:t xml:space="preserve">Brown and Rowe </w:t>
      </w:r>
      <w:r w:rsidRPr="00376037">
        <w:rPr>
          <w:color w:val="000000"/>
        </w:rPr>
        <w:t xml:space="preserve">JJ. </w:t>
      </w:r>
      <w:r w:rsidRPr="00376037">
        <w:t>delivered orally by</w:t>
      </w:r>
    </w:p>
    <w:p w:rsidR="007F6BE5" w:rsidRPr="00376037" w:rsidRDefault="007F6BE5" w:rsidP="007F6BE5">
      <w:pPr>
        <w:pStyle w:val="SCCNormalDoubleSpacing"/>
        <w:spacing w:after="480"/>
      </w:pPr>
      <w:r w:rsidRPr="00376037">
        <w:t>[3]</w:t>
      </w:r>
      <w:r w:rsidRPr="00376037">
        <w:tab/>
      </w:r>
      <w:r>
        <w:rPr>
          <w:smallCaps/>
          <w:color w:val="000000"/>
        </w:rPr>
        <w:t xml:space="preserve">Rowe J. </w:t>
      </w:r>
      <w:r w:rsidR="00436CD5" w:rsidRPr="00436CD5">
        <w:rPr>
          <w:color w:val="000000"/>
        </w:rPr>
        <w:t xml:space="preserve">(dissenting) </w:t>
      </w:r>
      <w:r w:rsidRPr="00376037">
        <w:rPr>
          <w:color w:val="000000"/>
        </w:rPr>
        <w:t>— The Crown acknowledges, and we agree with the Quebec Court of Appeal, that the trial judge erred in characterizing a prior event as [</w:t>
      </w:r>
      <w:r w:rsidRPr="00376037">
        <w:rPr>
          <w:smallCaps/>
          <w:color w:val="000000"/>
        </w:rPr>
        <w:t>translation</w:t>
      </w:r>
      <w:r w:rsidRPr="00376037">
        <w:rPr>
          <w:color w:val="000000"/>
        </w:rPr>
        <w:t>] “probative evidence of past misconduct” (</w:t>
      </w:r>
      <w:r w:rsidRPr="00376037">
        <w:rPr>
          <w:color w:val="000000"/>
          <w:shd w:val="clear" w:color="auto" w:fill="FFFFFF"/>
        </w:rPr>
        <w:t>2018 QCCQ 7257, at para. 21 (CanLII))</w:t>
      </w:r>
      <w:r>
        <w:rPr>
          <w:color w:val="000000"/>
        </w:rPr>
        <w:t xml:space="preserve">. </w:t>
      </w:r>
      <w:r w:rsidRPr="00376037">
        <w:rPr>
          <w:color w:val="000000"/>
        </w:rPr>
        <w:t xml:space="preserve">However, unlike our colleagues, we are of the view that the curative proviso set </w:t>
      </w:r>
      <w:r>
        <w:rPr>
          <w:color w:val="000000"/>
        </w:rPr>
        <w:t xml:space="preserve">out in s. 686(1)(b)(iii) of the </w:t>
      </w:r>
      <w:r w:rsidRPr="00376037">
        <w:rPr>
          <w:rFonts w:eastAsiaTheme="majorEastAsia"/>
          <w:i/>
          <w:iCs/>
        </w:rPr>
        <w:t>Criminal Code</w:t>
      </w:r>
      <w:r>
        <w:rPr>
          <w:rFonts w:eastAsiaTheme="majorEastAsia"/>
        </w:rPr>
        <w:t>, R.S.C. 1985, c. C</w:t>
      </w:r>
      <w:r>
        <w:rPr>
          <w:rFonts w:eastAsiaTheme="majorEastAsia"/>
        </w:rPr>
        <w:noBreakHyphen/>
      </w:r>
      <w:r w:rsidRPr="00376037">
        <w:rPr>
          <w:rFonts w:eastAsiaTheme="majorEastAsia"/>
        </w:rPr>
        <w:t>46</w:t>
      </w:r>
      <w:r>
        <w:rPr>
          <w:color w:val="000000"/>
        </w:rPr>
        <w:t>, cannot apply. At para. </w:t>
      </w:r>
      <w:r w:rsidRPr="00376037">
        <w:rPr>
          <w:color w:val="000000"/>
        </w:rPr>
        <w:t>21 of his reasons, the trial judge explained that the evidence in question was probative to [</w:t>
      </w:r>
      <w:r w:rsidRPr="00376037">
        <w:rPr>
          <w:smallCaps/>
          <w:color w:val="000000"/>
        </w:rPr>
        <w:t>translation</w:t>
      </w:r>
      <w:r w:rsidRPr="00376037">
        <w:rPr>
          <w:color w:val="000000"/>
        </w:rPr>
        <w:t>] “demonstrate similarity of conduct, determine the credibility of the accused, establish the identity of the offender and enhance the credibility of the complainant, because her version is contradicted by that of the accused”. In our view, because the assessment of the credibility of the accused and of the complainant was central to the case, this is not a situation in which the Crown’s evidence was overwhelming and conviction was in</w:t>
      </w:r>
      <w:r>
        <w:rPr>
          <w:color w:val="000000"/>
        </w:rPr>
        <w:t xml:space="preserve">evitable. As this Court held in </w:t>
      </w:r>
      <w:r w:rsidRPr="00376037">
        <w:rPr>
          <w:i/>
          <w:iCs/>
          <w:color w:val="000000"/>
        </w:rPr>
        <w:t>R. v. Trochym</w:t>
      </w:r>
      <w:r w:rsidRPr="00376037">
        <w:rPr>
          <w:color w:val="000000"/>
        </w:rPr>
        <w:t>, 2007 SCC 6</w:t>
      </w:r>
      <w:r>
        <w:rPr>
          <w:color w:val="000000"/>
        </w:rPr>
        <w:t>, [2007] 1 S.C.R. 239, at para. </w:t>
      </w:r>
      <w:r w:rsidRPr="00376037">
        <w:rPr>
          <w:color w:val="000000"/>
        </w:rPr>
        <w:t>82, whether the evidence against an accused is overwhelming is a higher standard than the requirement that the Crown prove its case beyond a reasonable doubt.</w:t>
      </w:r>
    </w:p>
    <w:p w:rsidR="007F6BE5" w:rsidRPr="00376037" w:rsidRDefault="007F6BE5" w:rsidP="007F6BE5">
      <w:pPr>
        <w:pStyle w:val="SCCNormalDoubleSpacing"/>
        <w:spacing w:after="480"/>
      </w:pPr>
      <w:r w:rsidRPr="00376037">
        <w:t>[4]</w:t>
      </w:r>
      <w:r w:rsidRPr="00376037">
        <w:tab/>
      </w:r>
      <w:r w:rsidRPr="00376037">
        <w:rPr>
          <w:color w:val="000000"/>
        </w:rPr>
        <w:t>For these reasons, we would therefore have allowed the appeal and ordered a new trial on the same charges.</w:t>
      </w:r>
    </w:p>
    <w:p w:rsidR="007F6BE5" w:rsidRDefault="007F6BE5" w:rsidP="007F6BE5">
      <w:pPr>
        <w:pStyle w:val="SCCNormalDoubleSpacing"/>
        <w:spacing w:after="480"/>
        <w:rPr>
          <w:i/>
          <w:iCs/>
          <w:color w:val="000000"/>
        </w:rPr>
      </w:pPr>
      <w:r w:rsidRPr="00376037">
        <w:rPr>
          <w:i/>
          <w:iCs/>
          <w:color w:val="000000"/>
        </w:rPr>
        <w:tab/>
        <w:t>Judgment accordingly.</w:t>
      </w:r>
    </w:p>
    <w:p w:rsidR="007F6BE5" w:rsidRPr="001E0C86" w:rsidRDefault="007F6BE5" w:rsidP="007F6BE5">
      <w:pPr>
        <w:pStyle w:val="SCCNormalDoubleSpacing"/>
        <w:spacing w:after="480"/>
        <w:rPr>
          <w:i/>
          <w:lang w:val="en-US"/>
        </w:rPr>
      </w:pPr>
      <w:r>
        <w:tab/>
      </w:r>
      <w:r w:rsidRPr="001E0C86">
        <w:rPr>
          <w:i/>
          <w:lang w:val="en-US"/>
        </w:rPr>
        <w:t>Solicitors for the appellant:</w:t>
      </w:r>
      <w:r w:rsidRPr="001E0C86">
        <w:rPr>
          <w:bCs/>
          <w:i/>
          <w:szCs w:val="24"/>
          <w:lang w:val="en-US" w:eastAsia="en-US"/>
        </w:rPr>
        <w:t xml:space="preserve"> </w:t>
      </w:r>
      <w:r w:rsidRPr="001E0C86">
        <w:rPr>
          <w:i/>
          <w:iCs/>
          <w:lang w:val="en-US"/>
        </w:rPr>
        <w:t>Jordan Trevick, Montréal;</w:t>
      </w:r>
      <w:r w:rsidRPr="001E0C86">
        <w:rPr>
          <w:bCs/>
          <w:i/>
          <w:lang w:val="en-US"/>
        </w:rPr>
        <w:t xml:space="preserve"> Yves Ménard Avocats inc.</w:t>
      </w:r>
      <w:r w:rsidRPr="001E0C86">
        <w:rPr>
          <w:i/>
          <w:lang w:val="en-US"/>
        </w:rPr>
        <w:t>, Montréal.</w:t>
      </w:r>
    </w:p>
    <w:p w:rsidR="007F6BE5" w:rsidRPr="001E0C86" w:rsidRDefault="007F6BE5" w:rsidP="007F6BE5">
      <w:pPr>
        <w:pStyle w:val="SCCNormalDoubleSpacing"/>
        <w:spacing w:after="480"/>
        <w:rPr>
          <w:i/>
          <w:lang w:val="en-US"/>
        </w:rPr>
      </w:pPr>
      <w:r w:rsidRPr="001E0C86">
        <w:rPr>
          <w:lang w:val="en-US"/>
        </w:rPr>
        <w:tab/>
      </w:r>
      <w:r w:rsidRPr="001E0C86">
        <w:rPr>
          <w:i/>
          <w:lang w:val="en-US"/>
        </w:rPr>
        <w:t xml:space="preserve">Solicitor for the respondent: </w:t>
      </w:r>
      <w:r w:rsidRPr="001E0C86">
        <w:rPr>
          <w:bCs/>
          <w:i/>
          <w:lang w:val="en-US"/>
        </w:rPr>
        <w:t>Director of Criminal and Penal Prosecutions</w:t>
      </w:r>
      <w:r w:rsidRPr="001E0C86">
        <w:rPr>
          <w:i/>
          <w:lang w:val="en-US"/>
        </w:rPr>
        <w:t>, Longueuil.</w:t>
      </w:r>
    </w:p>
    <w:sectPr w:rsidR="007F6BE5" w:rsidRPr="001E0C86"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699" w:rsidRDefault="00311699">
      <w:r>
        <w:separator/>
      </w:r>
    </w:p>
  </w:endnote>
  <w:endnote w:type="continuationSeparator" w:id="0">
    <w:p w:rsidR="00311699" w:rsidRDefault="0031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699" w:rsidRDefault="00311699">
      <w:r>
        <w:separator/>
      </w:r>
    </w:p>
  </w:footnote>
  <w:footnote w:type="continuationSeparator" w:id="0">
    <w:p w:rsidR="00311699" w:rsidRDefault="00311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D83"/>
    <w:rsid w:val="00013781"/>
    <w:rsid w:val="00017885"/>
    <w:rsid w:val="00025198"/>
    <w:rsid w:val="00025763"/>
    <w:rsid w:val="00026467"/>
    <w:rsid w:val="00040D1B"/>
    <w:rsid w:val="00040F00"/>
    <w:rsid w:val="00041BDD"/>
    <w:rsid w:val="000578A3"/>
    <w:rsid w:val="000648CC"/>
    <w:rsid w:val="00076E46"/>
    <w:rsid w:val="00094FED"/>
    <w:rsid w:val="00096F6F"/>
    <w:rsid w:val="000B5CFA"/>
    <w:rsid w:val="000B69B5"/>
    <w:rsid w:val="000C3FCE"/>
    <w:rsid w:val="000C433D"/>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625A"/>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66BBC"/>
    <w:rsid w:val="00270D93"/>
    <w:rsid w:val="002745CC"/>
    <w:rsid w:val="0029178F"/>
    <w:rsid w:val="002B7924"/>
    <w:rsid w:val="002B7ABA"/>
    <w:rsid w:val="002D2226"/>
    <w:rsid w:val="002D28C3"/>
    <w:rsid w:val="002D294E"/>
    <w:rsid w:val="002D39A4"/>
    <w:rsid w:val="002E6189"/>
    <w:rsid w:val="002E6705"/>
    <w:rsid w:val="00301D08"/>
    <w:rsid w:val="0030329A"/>
    <w:rsid w:val="00303F14"/>
    <w:rsid w:val="00305526"/>
    <w:rsid w:val="0030575E"/>
    <w:rsid w:val="0031086F"/>
    <w:rsid w:val="00311699"/>
    <w:rsid w:val="0031414C"/>
    <w:rsid w:val="00314E01"/>
    <w:rsid w:val="00317670"/>
    <w:rsid w:val="0032089D"/>
    <w:rsid w:val="00324AE2"/>
    <w:rsid w:val="003310DE"/>
    <w:rsid w:val="003323B0"/>
    <w:rsid w:val="0033435C"/>
    <w:rsid w:val="00337C82"/>
    <w:rsid w:val="00342089"/>
    <w:rsid w:val="00347BA4"/>
    <w:rsid w:val="0035169A"/>
    <w:rsid w:val="0035259D"/>
    <w:rsid w:val="00353B79"/>
    <w:rsid w:val="00354BF8"/>
    <w:rsid w:val="00355C66"/>
    <w:rsid w:val="00362ADA"/>
    <w:rsid w:val="00364B18"/>
    <w:rsid w:val="00396BF3"/>
    <w:rsid w:val="003A125D"/>
    <w:rsid w:val="003A4C70"/>
    <w:rsid w:val="003B215F"/>
    <w:rsid w:val="003C2CFF"/>
    <w:rsid w:val="003C4975"/>
    <w:rsid w:val="003C799C"/>
    <w:rsid w:val="003D0399"/>
    <w:rsid w:val="003E1C71"/>
    <w:rsid w:val="003E2693"/>
    <w:rsid w:val="003E53AC"/>
    <w:rsid w:val="003F327B"/>
    <w:rsid w:val="003F7ACB"/>
    <w:rsid w:val="00400B24"/>
    <w:rsid w:val="00404D28"/>
    <w:rsid w:val="0040508D"/>
    <w:rsid w:val="00406166"/>
    <w:rsid w:val="0040704B"/>
    <w:rsid w:val="00407839"/>
    <w:rsid w:val="00410003"/>
    <w:rsid w:val="00410588"/>
    <w:rsid w:val="00410A55"/>
    <w:rsid w:val="00411300"/>
    <w:rsid w:val="00415417"/>
    <w:rsid w:val="0041747D"/>
    <w:rsid w:val="00424FE1"/>
    <w:rsid w:val="00426659"/>
    <w:rsid w:val="00426D16"/>
    <w:rsid w:val="00436CD5"/>
    <w:rsid w:val="00450352"/>
    <w:rsid w:val="004515E1"/>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C5B67"/>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77F18"/>
    <w:rsid w:val="00583EDE"/>
    <w:rsid w:val="005857BC"/>
    <w:rsid w:val="00586928"/>
    <w:rsid w:val="005A4F85"/>
    <w:rsid w:val="005A6079"/>
    <w:rsid w:val="005C7840"/>
    <w:rsid w:val="005E4698"/>
    <w:rsid w:val="006003EE"/>
    <w:rsid w:val="00610539"/>
    <w:rsid w:val="00613969"/>
    <w:rsid w:val="0061523C"/>
    <w:rsid w:val="00617208"/>
    <w:rsid w:val="006230B6"/>
    <w:rsid w:val="00625C35"/>
    <w:rsid w:val="00626A7D"/>
    <w:rsid w:val="0062787A"/>
    <w:rsid w:val="00635521"/>
    <w:rsid w:val="006468AB"/>
    <w:rsid w:val="00656313"/>
    <w:rsid w:val="006565F4"/>
    <w:rsid w:val="0066108F"/>
    <w:rsid w:val="006763FD"/>
    <w:rsid w:val="006808EE"/>
    <w:rsid w:val="00684EEA"/>
    <w:rsid w:val="006908E8"/>
    <w:rsid w:val="0069689B"/>
    <w:rsid w:val="006A1551"/>
    <w:rsid w:val="006A31A1"/>
    <w:rsid w:val="006A48DB"/>
    <w:rsid w:val="006B5FF5"/>
    <w:rsid w:val="006B7683"/>
    <w:rsid w:val="006D4200"/>
    <w:rsid w:val="006F30AF"/>
    <w:rsid w:val="007009A0"/>
    <w:rsid w:val="00701759"/>
    <w:rsid w:val="00701CF2"/>
    <w:rsid w:val="00705C15"/>
    <w:rsid w:val="00712E55"/>
    <w:rsid w:val="00713025"/>
    <w:rsid w:val="007154A1"/>
    <w:rsid w:val="00715A65"/>
    <w:rsid w:val="0071600E"/>
    <w:rsid w:val="00717FDC"/>
    <w:rsid w:val="007208D1"/>
    <w:rsid w:val="0072428C"/>
    <w:rsid w:val="00730177"/>
    <w:rsid w:val="00742119"/>
    <w:rsid w:val="00747288"/>
    <w:rsid w:val="00747DD3"/>
    <w:rsid w:val="007549C8"/>
    <w:rsid w:val="00754A0B"/>
    <w:rsid w:val="00766D14"/>
    <w:rsid w:val="00767A0F"/>
    <w:rsid w:val="00780E64"/>
    <w:rsid w:val="007A05F6"/>
    <w:rsid w:val="007B6F4A"/>
    <w:rsid w:val="007D097E"/>
    <w:rsid w:val="007E1C47"/>
    <w:rsid w:val="007E337A"/>
    <w:rsid w:val="007E5C70"/>
    <w:rsid w:val="007F2FF5"/>
    <w:rsid w:val="007F3F08"/>
    <w:rsid w:val="007F6BE5"/>
    <w:rsid w:val="00804CC6"/>
    <w:rsid w:val="00813B48"/>
    <w:rsid w:val="0081470C"/>
    <w:rsid w:val="00817190"/>
    <w:rsid w:val="008201FB"/>
    <w:rsid w:val="00820EE5"/>
    <w:rsid w:val="008238F7"/>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95EB7"/>
    <w:rsid w:val="008A3F29"/>
    <w:rsid w:val="008B660A"/>
    <w:rsid w:val="008B70F9"/>
    <w:rsid w:val="008C01DA"/>
    <w:rsid w:val="008C02C9"/>
    <w:rsid w:val="008C1723"/>
    <w:rsid w:val="008C7263"/>
    <w:rsid w:val="008D2104"/>
    <w:rsid w:val="008F78E9"/>
    <w:rsid w:val="00903C32"/>
    <w:rsid w:val="00911011"/>
    <w:rsid w:val="00911989"/>
    <w:rsid w:val="009179F9"/>
    <w:rsid w:val="0093031F"/>
    <w:rsid w:val="00931C1C"/>
    <w:rsid w:val="00933E5E"/>
    <w:rsid w:val="00935218"/>
    <w:rsid w:val="009403F3"/>
    <w:rsid w:val="009555B7"/>
    <w:rsid w:val="009567AA"/>
    <w:rsid w:val="0096120B"/>
    <w:rsid w:val="0096473A"/>
    <w:rsid w:val="00967374"/>
    <w:rsid w:val="0097155E"/>
    <w:rsid w:val="00976EB5"/>
    <w:rsid w:val="00981B4D"/>
    <w:rsid w:val="009A343A"/>
    <w:rsid w:val="009A4E51"/>
    <w:rsid w:val="009A520F"/>
    <w:rsid w:val="009B2F23"/>
    <w:rsid w:val="009B57B3"/>
    <w:rsid w:val="009B6FFE"/>
    <w:rsid w:val="009B7BE6"/>
    <w:rsid w:val="009C5B92"/>
    <w:rsid w:val="009D2920"/>
    <w:rsid w:val="009D5AEB"/>
    <w:rsid w:val="009D79D6"/>
    <w:rsid w:val="009F0E33"/>
    <w:rsid w:val="009F1E77"/>
    <w:rsid w:val="00A003F4"/>
    <w:rsid w:val="00A030CE"/>
    <w:rsid w:val="00A12217"/>
    <w:rsid w:val="00A149DF"/>
    <w:rsid w:val="00A1755C"/>
    <w:rsid w:val="00A21B90"/>
    <w:rsid w:val="00A244B9"/>
    <w:rsid w:val="00A41805"/>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376B"/>
    <w:rsid w:val="00AE4535"/>
    <w:rsid w:val="00AF03C5"/>
    <w:rsid w:val="00AF0B26"/>
    <w:rsid w:val="00B000D8"/>
    <w:rsid w:val="00B00F75"/>
    <w:rsid w:val="00B11735"/>
    <w:rsid w:val="00B145B6"/>
    <w:rsid w:val="00B2215E"/>
    <w:rsid w:val="00B269FF"/>
    <w:rsid w:val="00B279EB"/>
    <w:rsid w:val="00B30E18"/>
    <w:rsid w:val="00B32357"/>
    <w:rsid w:val="00B36958"/>
    <w:rsid w:val="00B43559"/>
    <w:rsid w:val="00B50C81"/>
    <w:rsid w:val="00B557F8"/>
    <w:rsid w:val="00B56AAF"/>
    <w:rsid w:val="00B652DB"/>
    <w:rsid w:val="00B67199"/>
    <w:rsid w:val="00B815FC"/>
    <w:rsid w:val="00B91A56"/>
    <w:rsid w:val="00B93FBC"/>
    <w:rsid w:val="00BA066D"/>
    <w:rsid w:val="00BA7DA0"/>
    <w:rsid w:val="00BB2366"/>
    <w:rsid w:val="00BB2640"/>
    <w:rsid w:val="00BB2EE4"/>
    <w:rsid w:val="00BB5AE6"/>
    <w:rsid w:val="00BC2108"/>
    <w:rsid w:val="00BC5642"/>
    <w:rsid w:val="00BD0E9E"/>
    <w:rsid w:val="00BD1BEC"/>
    <w:rsid w:val="00BD32FF"/>
    <w:rsid w:val="00BD67ED"/>
    <w:rsid w:val="00C02092"/>
    <w:rsid w:val="00C14AA0"/>
    <w:rsid w:val="00C22905"/>
    <w:rsid w:val="00C229CD"/>
    <w:rsid w:val="00C248ED"/>
    <w:rsid w:val="00C24D91"/>
    <w:rsid w:val="00C53F14"/>
    <w:rsid w:val="00C600CF"/>
    <w:rsid w:val="00C6084F"/>
    <w:rsid w:val="00C62A66"/>
    <w:rsid w:val="00C62FD6"/>
    <w:rsid w:val="00C703CE"/>
    <w:rsid w:val="00C71458"/>
    <w:rsid w:val="00C77613"/>
    <w:rsid w:val="00C828E7"/>
    <w:rsid w:val="00C8650B"/>
    <w:rsid w:val="00C86719"/>
    <w:rsid w:val="00C921DD"/>
    <w:rsid w:val="00CA6391"/>
    <w:rsid w:val="00CA7B39"/>
    <w:rsid w:val="00CC34BD"/>
    <w:rsid w:val="00CD6453"/>
    <w:rsid w:val="00CE08B9"/>
    <w:rsid w:val="00CE161A"/>
    <w:rsid w:val="00CE3171"/>
    <w:rsid w:val="00CE7262"/>
    <w:rsid w:val="00CF09E5"/>
    <w:rsid w:val="00CF1601"/>
    <w:rsid w:val="00D0172F"/>
    <w:rsid w:val="00D068A7"/>
    <w:rsid w:val="00D173CE"/>
    <w:rsid w:val="00D17476"/>
    <w:rsid w:val="00D2527D"/>
    <w:rsid w:val="00D26B67"/>
    <w:rsid w:val="00D32086"/>
    <w:rsid w:val="00D360E6"/>
    <w:rsid w:val="00D37A3F"/>
    <w:rsid w:val="00D4431D"/>
    <w:rsid w:val="00D4667A"/>
    <w:rsid w:val="00D469D5"/>
    <w:rsid w:val="00D47BFC"/>
    <w:rsid w:val="00D57CCA"/>
    <w:rsid w:val="00D614A5"/>
    <w:rsid w:val="00D614E0"/>
    <w:rsid w:val="00D63A1C"/>
    <w:rsid w:val="00D67CB1"/>
    <w:rsid w:val="00D7516F"/>
    <w:rsid w:val="00D83628"/>
    <w:rsid w:val="00D8579F"/>
    <w:rsid w:val="00D90B9E"/>
    <w:rsid w:val="00D91A89"/>
    <w:rsid w:val="00D95F8E"/>
    <w:rsid w:val="00DA0590"/>
    <w:rsid w:val="00DA09F8"/>
    <w:rsid w:val="00DB1C39"/>
    <w:rsid w:val="00DB7BEA"/>
    <w:rsid w:val="00DC1739"/>
    <w:rsid w:val="00DC1788"/>
    <w:rsid w:val="00DC2F37"/>
    <w:rsid w:val="00DD105B"/>
    <w:rsid w:val="00DE319C"/>
    <w:rsid w:val="00DE416C"/>
    <w:rsid w:val="00DE54B0"/>
    <w:rsid w:val="00DF0CA8"/>
    <w:rsid w:val="00DF2B48"/>
    <w:rsid w:val="00DF49A7"/>
    <w:rsid w:val="00E03F44"/>
    <w:rsid w:val="00E07EE2"/>
    <w:rsid w:val="00E07FD1"/>
    <w:rsid w:val="00E176D8"/>
    <w:rsid w:val="00E24573"/>
    <w:rsid w:val="00E25E1E"/>
    <w:rsid w:val="00E27EE7"/>
    <w:rsid w:val="00E31D67"/>
    <w:rsid w:val="00E3214F"/>
    <w:rsid w:val="00E332C4"/>
    <w:rsid w:val="00E333F9"/>
    <w:rsid w:val="00E35404"/>
    <w:rsid w:val="00E37104"/>
    <w:rsid w:val="00E42BC1"/>
    <w:rsid w:val="00E45109"/>
    <w:rsid w:val="00E47B7A"/>
    <w:rsid w:val="00E50A79"/>
    <w:rsid w:val="00E56A44"/>
    <w:rsid w:val="00E60269"/>
    <w:rsid w:val="00E653D0"/>
    <w:rsid w:val="00E65A2E"/>
    <w:rsid w:val="00E71951"/>
    <w:rsid w:val="00E77932"/>
    <w:rsid w:val="00E83FDA"/>
    <w:rsid w:val="00E92347"/>
    <w:rsid w:val="00E97830"/>
    <w:rsid w:val="00EA07C1"/>
    <w:rsid w:val="00EA13F9"/>
    <w:rsid w:val="00EA1D3B"/>
    <w:rsid w:val="00EB0B7C"/>
    <w:rsid w:val="00ED60AA"/>
    <w:rsid w:val="00ED681A"/>
    <w:rsid w:val="00EE5737"/>
    <w:rsid w:val="00EE643C"/>
    <w:rsid w:val="00EF0683"/>
    <w:rsid w:val="00EF69D2"/>
    <w:rsid w:val="00EF766E"/>
    <w:rsid w:val="00F0070C"/>
    <w:rsid w:val="00F00EB7"/>
    <w:rsid w:val="00F32475"/>
    <w:rsid w:val="00F36AB6"/>
    <w:rsid w:val="00F37A09"/>
    <w:rsid w:val="00F409CE"/>
    <w:rsid w:val="00F4379D"/>
    <w:rsid w:val="00F50635"/>
    <w:rsid w:val="00F50D2D"/>
    <w:rsid w:val="00F56C8B"/>
    <w:rsid w:val="00F66810"/>
    <w:rsid w:val="00F70A7A"/>
    <w:rsid w:val="00F75F4E"/>
    <w:rsid w:val="00F846D9"/>
    <w:rsid w:val="00F84DF4"/>
    <w:rsid w:val="00F85C97"/>
    <w:rsid w:val="00F94A57"/>
    <w:rsid w:val="00FA51A0"/>
    <w:rsid w:val="00FB37D2"/>
    <w:rsid w:val="00FB7D08"/>
    <w:rsid w:val="00FC3788"/>
    <w:rsid w:val="00FC4EFB"/>
    <w:rsid w:val="00FD068D"/>
    <w:rsid w:val="00FD4F28"/>
    <w:rsid w:val="00FE0416"/>
    <w:rsid w:val="00FE22A8"/>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E332C4"/>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E332C4"/>
    <w:rPr>
      <w:rFonts w:eastAsiaTheme="minorHAnsi" w:cstheme="minorBidi"/>
      <w:b/>
      <w:szCs w:val="22"/>
      <w:lang w:val="fr-CA" w:eastAsia="en-US"/>
    </w:rPr>
  </w:style>
  <w:style w:type="character" w:customStyle="1" w:styleId="SCCLsocPrefixChar">
    <w:name w:val="SCC.Lsoc.Prefix Char"/>
    <w:basedOn w:val="DefaultParagraphFont"/>
    <w:link w:val="SCCLsocPrefix"/>
    <w:rsid w:val="00E332C4"/>
    <w:rPr>
      <w:rFonts w:eastAsiaTheme="minorHAnsi" w:cstheme="minorBidi"/>
      <w:b/>
      <w:sz w:val="24"/>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375">
      <w:bodyDiv w:val="1"/>
      <w:marLeft w:val="0"/>
      <w:marRight w:val="0"/>
      <w:marTop w:val="0"/>
      <w:marBottom w:val="0"/>
      <w:divBdr>
        <w:top w:val="none" w:sz="0" w:space="0" w:color="auto"/>
        <w:left w:val="none" w:sz="0" w:space="0" w:color="auto"/>
        <w:bottom w:val="none" w:sz="0" w:space="0" w:color="auto"/>
        <w:right w:val="none" w:sz="0" w:space="0" w:color="auto"/>
      </w:divBdr>
    </w:div>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 w:id="19323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72252.19B69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AFED-E0A0-4949-A215-BB80A1C9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3398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2021-04-21T19:53:00Z</dcterms:created>
  <dcterms:modified xsi:type="dcterms:W3CDTF">2024-02-18T15:32:00Z</dcterms:modified>
</cp:coreProperties>
</file>