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06" w:rsidRPr="004617ED" w:rsidRDefault="00165206" w:rsidP="00165206">
      <w:pPr>
        <w:tabs>
          <w:tab w:val="center" w:pos="4680"/>
          <w:tab w:val="right" w:pos="9360"/>
        </w:tabs>
        <w:rPr>
          <w:rFonts w:eastAsiaTheme="minorHAnsi" w:cstheme="minorBidi"/>
          <w:szCs w:val="24"/>
          <w:lang w:eastAsia="en-US"/>
        </w:rPr>
      </w:pPr>
      <w:r w:rsidRPr="004617ED">
        <w:rPr>
          <w:rFonts w:eastAsiaTheme="minorHAnsi" w:cstheme="minorBidi"/>
          <w:szCs w:val="24"/>
          <w:lang w:eastAsia="en-US"/>
        </w:rPr>
        <w:ptab w:relativeTo="margin" w:alignment="center" w:leader="none"/>
      </w:r>
      <w:r w:rsidRPr="004617ED">
        <w:rPr>
          <w:rFonts w:eastAsiaTheme="minorHAnsi" w:cstheme="minorBidi"/>
          <w:szCs w:val="24"/>
          <w:lang w:eastAsia="en-US"/>
        </w:rPr>
        <w:t xml:space="preserve"> </w:t>
      </w:r>
      <w:r w:rsidRPr="004617E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368950500" r:id="rId9"/>
        </w:object>
      </w:r>
      <w:r w:rsidRPr="004617ED">
        <w:rPr>
          <w:rFonts w:eastAsiaTheme="minorHAnsi" w:cstheme="minorBidi"/>
          <w:szCs w:val="24"/>
          <w:lang w:eastAsia="en-US"/>
        </w:rPr>
        <w:t xml:space="preserve"> </w:t>
      </w:r>
      <w:r w:rsidRPr="004617ED">
        <w:rPr>
          <w:rFonts w:eastAsiaTheme="minorHAnsi" w:cstheme="minorBidi"/>
          <w:szCs w:val="24"/>
          <w:lang w:eastAsia="en-US"/>
        </w:rPr>
        <w:ptab w:relativeTo="margin" w:alignment="right" w:leader="none"/>
      </w:r>
    </w:p>
    <w:p w:rsidR="00165206" w:rsidRPr="004617ED" w:rsidRDefault="00165206" w:rsidP="00165206">
      <w:pPr>
        <w:tabs>
          <w:tab w:val="center" w:pos="4680"/>
          <w:tab w:val="right" w:pos="9360"/>
        </w:tabs>
        <w:rPr>
          <w:rFonts w:eastAsiaTheme="minorHAnsi" w:cstheme="minorBidi"/>
          <w:szCs w:val="24"/>
          <w:lang w:eastAsia="en-US"/>
        </w:rPr>
      </w:pPr>
    </w:p>
    <w:p w:rsidR="00165206" w:rsidRPr="004617ED" w:rsidRDefault="00165206" w:rsidP="00165206">
      <w:pPr>
        <w:jc w:val="center"/>
        <w:rPr>
          <w:rFonts w:eastAsiaTheme="minorHAnsi" w:cstheme="minorBidi"/>
          <w:b/>
          <w:szCs w:val="24"/>
          <w:lang w:eastAsia="en-US"/>
        </w:rPr>
      </w:pPr>
      <w:r w:rsidRPr="004617ED">
        <w:rPr>
          <w:rFonts w:eastAsiaTheme="minorHAnsi" w:cstheme="minorBidi"/>
          <w:b/>
          <w:szCs w:val="24"/>
          <w:lang w:eastAsia="en-US"/>
        </w:rPr>
        <w:t>SUPREME COURT OF CANADA</w:t>
      </w:r>
    </w:p>
    <w:p w:rsidR="00165206" w:rsidRPr="004617ED" w:rsidRDefault="00165206" w:rsidP="00165206">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65206" w:rsidRPr="004617ED" w:rsidTr="00BA475A">
        <w:trPr>
          <w:cantSplit/>
        </w:trPr>
        <w:tc>
          <w:tcPr>
            <w:tcW w:w="6768" w:type="dxa"/>
          </w:tcPr>
          <w:p w:rsidR="00165206" w:rsidRPr="004617ED" w:rsidRDefault="00165206" w:rsidP="00BA475A">
            <w:pPr>
              <w:rPr>
                <w:iCs/>
                <w:color w:val="000000" w:themeColor="text1"/>
              </w:rPr>
            </w:pPr>
            <w:r w:rsidRPr="004617ED">
              <w:rPr>
                <w:b/>
                <w:smallCaps/>
              </w:rPr>
              <w:t>Citation:</w:t>
            </w:r>
            <w:r w:rsidRPr="004617ED">
              <w:t xml:space="preserve"> Nu-</w:t>
            </w:r>
            <w:proofErr w:type="spellStart"/>
            <w:r w:rsidRPr="004617ED">
              <w:t>Pharm</w:t>
            </w:r>
            <w:proofErr w:type="spellEnd"/>
            <w:r w:rsidRPr="004617ED">
              <w:t xml:space="preserve"> Inc. </w:t>
            </w:r>
            <w:r w:rsidRPr="004617ED">
              <w:rPr>
                <w:i/>
              </w:rPr>
              <w:t>v.</w:t>
            </w:r>
            <w:r w:rsidRPr="004617ED">
              <w:t xml:space="preserve"> Canada</w:t>
            </w:r>
            <w:r w:rsidRPr="004617ED">
              <w:rPr>
                <w:iCs/>
                <w:color w:val="000000" w:themeColor="text1"/>
              </w:rPr>
              <w:t xml:space="preserve"> (Attorney General), </w:t>
            </w:r>
          </w:p>
          <w:p w:rsidR="00165206" w:rsidRPr="004617ED" w:rsidRDefault="00165206" w:rsidP="00BA475A">
            <w:pPr>
              <w:rPr>
                <w:i/>
              </w:rPr>
            </w:pPr>
            <w:r>
              <w:rPr>
                <w:rStyle w:val="SCCRespondentForIndexChar"/>
                <w:b w:val="0"/>
              </w:rPr>
              <w:t>2010 SCC 65, [2010] 3 S.C.R. 648</w:t>
            </w:r>
          </w:p>
        </w:tc>
        <w:tc>
          <w:tcPr>
            <w:tcW w:w="2808" w:type="dxa"/>
          </w:tcPr>
          <w:p w:rsidR="00165206" w:rsidRPr="004617ED" w:rsidRDefault="00165206" w:rsidP="00BA475A">
            <w:r w:rsidRPr="004617ED">
              <w:rPr>
                <w:b/>
                <w:smallCaps/>
              </w:rPr>
              <w:t>Date:</w:t>
            </w:r>
            <w:r w:rsidRPr="004617ED">
              <w:t xml:space="preserve"> 20101223</w:t>
            </w:r>
          </w:p>
          <w:p w:rsidR="00165206" w:rsidRPr="004617ED" w:rsidRDefault="00165206" w:rsidP="00BA475A">
            <w:r w:rsidRPr="004617ED">
              <w:rPr>
                <w:b/>
                <w:smallCaps/>
              </w:rPr>
              <w:t>Docket:</w:t>
            </w:r>
            <w:r w:rsidRPr="004617ED">
              <w:t xml:space="preserve"> 32830</w:t>
            </w:r>
          </w:p>
        </w:tc>
      </w:tr>
    </w:tbl>
    <w:p w:rsidR="00165206" w:rsidRPr="004617ED" w:rsidRDefault="00165206" w:rsidP="00165206">
      <w:pPr>
        <w:rPr>
          <w:rFonts w:eastAsiaTheme="minorHAnsi" w:cstheme="minorBidi"/>
          <w:szCs w:val="24"/>
          <w:lang w:eastAsia="en-US"/>
        </w:rPr>
      </w:pPr>
    </w:p>
    <w:p w:rsidR="00165206" w:rsidRPr="004617ED" w:rsidRDefault="00165206" w:rsidP="00165206">
      <w:pPr>
        <w:rPr>
          <w:rFonts w:eastAsiaTheme="minorHAnsi" w:cstheme="minorBidi"/>
          <w:b/>
          <w:smallCaps/>
          <w:szCs w:val="24"/>
          <w:lang w:eastAsia="en-US"/>
        </w:rPr>
      </w:pPr>
      <w:r w:rsidRPr="004617ED">
        <w:rPr>
          <w:rFonts w:eastAsiaTheme="minorHAnsi" w:cstheme="minorBidi"/>
          <w:b/>
          <w:smallCaps/>
          <w:szCs w:val="24"/>
          <w:lang w:eastAsia="en-US"/>
        </w:rPr>
        <w:t>Between:</w:t>
      </w:r>
    </w:p>
    <w:p w:rsidR="00165206" w:rsidRPr="004617ED" w:rsidRDefault="00165206" w:rsidP="00165206">
      <w:pPr>
        <w:jc w:val="center"/>
        <w:rPr>
          <w:rFonts w:eastAsiaTheme="minorHAnsi" w:cstheme="minorBidi"/>
          <w:b/>
          <w:szCs w:val="24"/>
          <w:lang w:eastAsia="en-US"/>
        </w:rPr>
      </w:pPr>
      <w:r w:rsidRPr="004617ED">
        <w:rPr>
          <w:rFonts w:eastAsiaTheme="minorHAnsi" w:cstheme="minorBidi"/>
          <w:b/>
          <w:szCs w:val="24"/>
          <w:lang w:eastAsia="en-US"/>
        </w:rPr>
        <w:t>Nu-</w:t>
      </w:r>
      <w:proofErr w:type="spellStart"/>
      <w:r w:rsidRPr="004617ED">
        <w:rPr>
          <w:rFonts w:eastAsiaTheme="minorHAnsi" w:cstheme="minorBidi"/>
          <w:b/>
          <w:szCs w:val="24"/>
          <w:lang w:eastAsia="en-US"/>
        </w:rPr>
        <w:t>Pharm</w:t>
      </w:r>
      <w:proofErr w:type="spellEnd"/>
      <w:r w:rsidRPr="004617ED">
        <w:rPr>
          <w:rFonts w:eastAsiaTheme="minorHAnsi" w:cstheme="minorBidi"/>
          <w:b/>
          <w:szCs w:val="24"/>
          <w:lang w:eastAsia="en-US"/>
        </w:rPr>
        <w:t xml:space="preserve"> Inc.</w:t>
      </w:r>
    </w:p>
    <w:p w:rsidR="00165206" w:rsidRPr="004617ED" w:rsidRDefault="00165206" w:rsidP="00165206">
      <w:pPr>
        <w:jc w:val="center"/>
        <w:rPr>
          <w:rFonts w:eastAsiaTheme="minorHAnsi" w:cstheme="minorBidi"/>
          <w:szCs w:val="24"/>
          <w:lang w:eastAsia="en-US"/>
        </w:rPr>
      </w:pPr>
      <w:r w:rsidRPr="004617ED">
        <w:rPr>
          <w:rFonts w:eastAsiaTheme="minorHAnsi" w:cstheme="minorBidi"/>
          <w:szCs w:val="24"/>
          <w:lang w:eastAsia="en-US"/>
        </w:rPr>
        <w:t>Appellant</w:t>
      </w:r>
    </w:p>
    <w:p w:rsidR="00165206" w:rsidRPr="004617ED" w:rsidRDefault="00165206" w:rsidP="00165206">
      <w:pPr>
        <w:jc w:val="center"/>
        <w:rPr>
          <w:rFonts w:eastAsiaTheme="minorHAnsi" w:cstheme="minorBidi"/>
          <w:szCs w:val="24"/>
          <w:lang w:eastAsia="en-US"/>
        </w:rPr>
      </w:pPr>
      <w:proofErr w:type="gramStart"/>
      <w:r w:rsidRPr="004617ED">
        <w:rPr>
          <w:rFonts w:eastAsiaTheme="minorHAnsi" w:cstheme="minorBidi"/>
          <w:szCs w:val="24"/>
          <w:lang w:eastAsia="en-US"/>
        </w:rPr>
        <w:t>and</w:t>
      </w:r>
      <w:proofErr w:type="gramEnd"/>
    </w:p>
    <w:p w:rsidR="00165206" w:rsidRPr="004617ED" w:rsidRDefault="00165206" w:rsidP="00165206">
      <w:pPr>
        <w:jc w:val="center"/>
        <w:rPr>
          <w:rFonts w:eastAsiaTheme="minorHAnsi" w:cstheme="minorBidi"/>
          <w:b/>
          <w:szCs w:val="24"/>
          <w:lang w:eastAsia="en-US"/>
        </w:rPr>
      </w:pPr>
      <w:r w:rsidRPr="004617ED">
        <w:rPr>
          <w:rFonts w:eastAsiaTheme="minorHAnsi" w:cstheme="minorBidi"/>
          <w:b/>
          <w:szCs w:val="24"/>
          <w:lang w:eastAsia="en-US"/>
        </w:rPr>
        <w:t>Her Majesty the Queen in Right of Canada,</w:t>
      </w:r>
    </w:p>
    <w:p w:rsidR="00165206" w:rsidRPr="004617ED" w:rsidRDefault="00165206" w:rsidP="00165206">
      <w:pPr>
        <w:jc w:val="center"/>
        <w:rPr>
          <w:rFonts w:eastAsiaTheme="minorHAnsi" w:cstheme="minorBidi"/>
          <w:b/>
          <w:szCs w:val="24"/>
          <w:lang w:eastAsia="en-US"/>
        </w:rPr>
      </w:pPr>
      <w:r w:rsidRPr="004617ED">
        <w:rPr>
          <w:rFonts w:eastAsiaTheme="minorHAnsi" w:cstheme="minorBidi"/>
          <w:b/>
          <w:szCs w:val="24"/>
          <w:lang w:eastAsia="en-US"/>
        </w:rPr>
        <w:t>Attorney General of Canada and Director-General,</w:t>
      </w:r>
    </w:p>
    <w:p w:rsidR="00165206" w:rsidRPr="004617ED" w:rsidRDefault="00165206" w:rsidP="00165206">
      <w:pPr>
        <w:jc w:val="center"/>
        <w:rPr>
          <w:rFonts w:eastAsiaTheme="minorHAnsi" w:cstheme="minorBidi"/>
          <w:b/>
          <w:szCs w:val="24"/>
          <w:lang w:eastAsia="en-US"/>
        </w:rPr>
      </w:pPr>
      <w:r w:rsidRPr="004617ED">
        <w:rPr>
          <w:rFonts w:eastAsiaTheme="minorHAnsi" w:cstheme="minorBidi"/>
          <w:b/>
          <w:szCs w:val="24"/>
          <w:lang w:eastAsia="en-US"/>
        </w:rPr>
        <w:t>Therapeutic Products Directorate of Health Canada</w:t>
      </w:r>
    </w:p>
    <w:p w:rsidR="00165206" w:rsidRPr="004617ED" w:rsidRDefault="00165206" w:rsidP="00165206">
      <w:pPr>
        <w:jc w:val="center"/>
        <w:rPr>
          <w:rFonts w:eastAsiaTheme="minorHAnsi" w:cstheme="minorBidi"/>
          <w:b/>
          <w:smallCaps/>
          <w:szCs w:val="24"/>
          <w:lang w:eastAsia="en-US"/>
        </w:rPr>
      </w:pPr>
      <w:r w:rsidRPr="004617ED">
        <w:rPr>
          <w:rFonts w:eastAsiaTheme="minorHAnsi" w:cstheme="minorBidi"/>
          <w:szCs w:val="24"/>
          <w:lang w:eastAsia="en-US"/>
        </w:rPr>
        <w:t>Respondents</w:t>
      </w:r>
      <w:r w:rsidRPr="004617ED">
        <w:rPr>
          <w:rFonts w:eastAsiaTheme="minorHAnsi" w:cstheme="minorBidi"/>
          <w:szCs w:val="24"/>
          <w:lang w:eastAsia="en-US"/>
        </w:rPr>
        <w:br/>
      </w:r>
    </w:p>
    <w:p w:rsidR="00165206" w:rsidRPr="004617ED" w:rsidRDefault="00165206" w:rsidP="00165206">
      <w:pPr>
        <w:rPr>
          <w:rFonts w:eastAsiaTheme="minorHAnsi" w:cstheme="minorBidi"/>
          <w:szCs w:val="24"/>
          <w:lang w:eastAsia="en-US"/>
        </w:rPr>
      </w:pPr>
    </w:p>
    <w:p w:rsidR="00165206" w:rsidRPr="004617ED" w:rsidRDefault="00165206" w:rsidP="00165206">
      <w:pPr>
        <w:rPr>
          <w:rFonts w:eastAsiaTheme="minorHAnsi" w:cstheme="minorBidi"/>
          <w:szCs w:val="24"/>
          <w:lang w:eastAsia="en-US"/>
        </w:rPr>
      </w:pPr>
      <w:r w:rsidRPr="004617ED">
        <w:rPr>
          <w:rFonts w:eastAsiaTheme="minorHAnsi" w:cstheme="minorBidi"/>
          <w:b/>
          <w:smallCaps/>
          <w:szCs w:val="24"/>
          <w:lang w:eastAsia="en-US"/>
        </w:rPr>
        <w:t>Coram:</w:t>
      </w:r>
      <w:r w:rsidRPr="004617ED">
        <w:rPr>
          <w:rFonts w:eastAsiaTheme="minorHAnsi" w:cstheme="minorBidi"/>
          <w:szCs w:val="24"/>
          <w:lang w:eastAsia="en-US"/>
        </w:rPr>
        <w:t xml:space="preserve"> </w:t>
      </w:r>
      <w:proofErr w:type="spellStart"/>
      <w:r w:rsidRPr="004617ED">
        <w:rPr>
          <w:rFonts w:eastAsiaTheme="minorHAnsi" w:cstheme="minorBidi"/>
          <w:szCs w:val="24"/>
          <w:lang w:eastAsia="en-US"/>
        </w:rPr>
        <w:t>Binnie</w:t>
      </w:r>
      <w:proofErr w:type="spellEnd"/>
      <w:r w:rsidRPr="004617ED">
        <w:rPr>
          <w:rFonts w:eastAsiaTheme="minorHAnsi" w:cstheme="minorBidi"/>
          <w:szCs w:val="24"/>
          <w:lang w:eastAsia="en-US"/>
        </w:rPr>
        <w:t xml:space="preserve">, </w:t>
      </w:r>
      <w:proofErr w:type="spellStart"/>
      <w:r w:rsidRPr="004617ED">
        <w:rPr>
          <w:rFonts w:eastAsiaTheme="minorHAnsi" w:cstheme="minorBidi"/>
          <w:szCs w:val="24"/>
          <w:lang w:eastAsia="en-US"/>
        </w:rPr>
        <w:t>LeBel</w:t>
      </w:r>
      <w:proofErr w:type="spellEnd"/>
      <w:r w:rsidRPr="004617ED">
        <w:rPr>
          <w:rFonts w:eastAsiaTheme="minorHAnsi" w:cstheme="minorBidi"/>
          <w:szCs w:val="24"/>
          <w:lang w:eastAsia="en-US"/>
        </w:rPr>
        <w:t xml:space="preserve">, </w:t>
      </w:r>
      <w:proofErr w:type="spellStart"/>
      <w:r w:rsidRPr="004617ED">
        <w:rPr>
          <w:rFonts w:eastAsiaTheme="minorHAnsi" w:cstheme="minorBidi"/>
          <w:szCs w:val="24"/>
          <w:lang w:eastAsia="en-US"/>
        </w:rPr>
        <w:t>Deschamps</w:t>
      </w:r>
      <w:proofErr w:type="spellEnd"/>
      <w:r w:rsidRPr="004617ED">
        <w:rPr>
          <w:rFonts w:eastAsiaTheme="minorHAnsi" w:cstheme="minorBidi"/>
          <w:szCs w:val="24"/>
          <w:lang w:eastAsia="en-US"/>
        </w:rPr>
        <w:t xml:space="preserve">, </w:t>
      </w:r>
      <w:proofErr w:type="spellStart"/>
      <w:r w:rsidRPr="004617ED">
        <w:rPr>
          <w:rFonts w:eastAsiaTheme="minorHAnsi" w:cstheme="minorBidi"/>
          <w:szCs w:val="24"/>
          <w:lang w:eastAsia="en-US"/>
        </w:rPr>
        <w:t>Abella</w:t>
      </w:r>
      <w:proofErr w:type="spellEnd"/>
      <w:r w:rsidRPr="004617ED">
        <w:rPr>
          <w:rFonts w:eastAsiaTheme="minorHAnsi" w:cstheme="minorBidi"/>
          <w:szCs w:val="24"/>
          <w:lang w:eastAsia="en-US"/>
        </w:rPr>
        <w:t xml:space="preserve">, </w:t>
      </w:r>
      <w:proofErr w:type="spellStart"/>
      <w:r w:rsidRPr="004617ED">
        <w:rPr>
          <w:rFonts w:eastAsiaTheme="minorHAnsi" w:cstheme="minorBidi"/>
          <w:szCs w:val="24"/>
          <w:lang w:eastAsia="en-US"/>
        </w:rPr>
        <w:t>Charron</w:t>
      </w:r>
      <w:proofErr w:type="spellEnd"/>
      <w:r w:rsidRPr="004617ED">
        <w:rPr>
          <w:rFonts w:eastAsiaTheme="minorHAnsi" w:cstheme="minorBidi"/>
          <w:szCs w:val="24"/>
          <w:lang w:eastAsia="en-US"/>
        </w:rPr>
        <w:t>, Rothstein and Cromwell JJ.</w:t>
      </w:r>
    </w:p>
    <w:p w:rsidR="00165206" w:rsidRPr="004617ED" w:rsidRDefault="00165206" w:rsidP="00165206">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65206" w:rsidRPr="004617ED" w:rsidTr="00BA475A">
        <w:trPr>
          <w:cantSplit/>
        </w:trPr>
        <w:tc>
          <w:tcPr>
            <w:tcW w:w="3618" w:type="dxa"/>
          </w:tcPr>
          <w:p w:rsidR="00165206" w:rsidRPr="004617ED" w:rsidRDefault="00165206" w:rsidP="00BA475A">
            <w:pPr>
              <w:rPr>
                <w:b/>
                <w:smallCaps/>
              </w:rPr>
            </w:pPr>
            <w:r w:rsidRPr="004617ED">
              <w:rPr>
                <w:b/>
                <w:smallCaps/>
              </w:rPr>
              <w:t>Reasons for Judgment:</w:t>
            </w:r>
          </w:p>
          <w:p w:rsidR="00165206" w:rsidRPr="004617ED" w:rsidRDefault="00165206" w:rsidP="00BA475A">
            <w:r w:rsidRPr="004617ED">
              <w:t>(</w:t>
            </w:r>
            <w:proofErr w:type="spellStart"/>
            <w:r w:rsidRPr="004617ED">
              <w:t>paras</w:t>
            </w:r>
            <w:proofErr w:type="spellEnd"/>
            <w:r w:rsidRPr="004617ED">
              <w:t>. 1 to 21)</w:t>
            </w:r>
          </w:p>
        </w:tc>
        <w:tc>
          <w:tcPr>
            <w:tcW w:w="5958" w:type="dxa"/>
          </w:tcPr>
          <w:p w:rsidR="00165206" w:rsidRPr="004617ED" w:rsidRDefault="00165206" w:rsidP="00BA475A">
            <w:r w:rsidRPr="004617ED">
              <w:t>Rothstein J. (</w:t>
            </w:r>
            <w:proofErr w:type="spellStart"/>
            <w:r w:rsidRPr="004617ED">
              <w:t>Binnie</w:t>
            </w:r>
            <w:proofErr w:type="spellEnd"/>
            <w:r w:rsidRPr="004617ED">
              <w:t xml:space="preserve">, </w:t>
            </w:r>
            <w:proofErr w:type="spellStart"/>
            <w:r w:rsidRPr="004617ED">
              <w:t>LeBel</w:t>
            </w:r>
            <w:proofErr w:type="spellEnd"/>
            <w:r w:rsidRPr="004617ED">
              <w:t xml:space="preserve">, </w:t>
            </w:r>
            <w:proofErr w:type="spellStart"/>
            <w:r w:rsidRPr="004617ED">
              <w:t>Deschamps</w:t>
            </w:r>
            <w:proofErr w:type="spellEnd"/>
            <w:r w:rsidRPr="004617ED">
              <w:t xml:space="preserve">, </w:t>
            </w:r>
            <w:proofErr w:type="spellStart"/>
            <w:r w:rsidRPr="004617ED">
              <w:t>Abella</w:t>
            </w:r>
            <w:proofErr w:type="spellEnd"/>
            <w:r w:rsidRPr="004617ED">
              <w:t xml:space="preserve">, </w:t>
            </w:r>
            <w:proofErr w:type="spellStart"/>
            <w:r w:rsidRPr="004617ED">
              <w:t>Charron</w:t>
            </w:r>
            <w:proofErr w:type="spellEnd"/>
            <w:r w:rsidRPr="004617ED">
              <w:t xml:space="preserve"> and Cromwell JJ. concurring)</w:t>
            </w:r>
          </w:p>
        </w:tc>
      </w:tr>
    </w:tbl>
    <w:p w:rsidR="00165206" w:rsidRPr="004617ED" w:rsidRDefault="00165206" w:rsidP="00165206">
      <w:pPr>
        <w:rPr>
          <w:rFonts w:eastAsiaTheme="minorHAnsi" w:cstheme="minorBidi"/>
          <w:szCs w:val="24"/>
          <w:lang w:eastAsia="en-US"/>
        </w:rPr>
      </w:pPr>
    </w:p>
    <w:p w:rsidR="00165206" w:rsidRPr="004617ED" w:rsidRDefault="00165206" w:rsidP="00165206">
      <w:pPr>
        <w:rPr>
          <w:rFonts w:eastAsiaTheme="minorHAnsi" w:cstheme="minorBidi"/>
          <w:szCs w:val="24"/>
          <w:lang w:eastAsia="en-US"/>
        </w:rPr>
      </w:pPr>
      <w:r w:rsidRPr="00576D8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65206" w:rsidRDefault="00165206" w:rsidP="00165206">
      <w:pPr>
        <w:rPr>
          <w:rStyle w:val="SCCAppellantForRunningHeadChar"/>
          <w:lang w:val="en-US"/>
        </w:rPr>
      </w:pPr>
      <w:r>
        <w:rPr>
          <w:rStyle w:val="SCCAppellantForRunningHeadChar"/>
          <w:lang w:val="en-US"/>
        </w:rPr>
        <w:br w:type="page"/>
      </w:r>
    </w:p>
    <w:p w:rsidR="00165206" w:rsidRDefault="00165206">
      <w:pPr>
        <w:rPr>
          <w:rStyle w:val="SCCAppellantForIndexChar"/>
          <w:b w:val="0"/>
        </w:rPr>
      </w:pPr>
    </w:p>
    <w:p w:rsidR="00766D14" w:rsidRPr="00B74F63" w:rsidRDefault="009B488B" w:rsidP="00D273FC">
      <w:pPr>
        <w:spacing w:line="480" w:lineRule="auto"/>
        <w:jc w:val="both"/>
        <w:rPr>
          <w:rStyle w:val="SCCRespondentForRunningHeadChar"/>
          <w:lang w:val="en-US"/>
        </w:rPr>
      </w:pPr>
      <w:r w:rsidRPr="009B488B">
        <w:rPr>
          <w:rStyle w:val="SCCAppellantForIndexChar"/>
          <w:b w:val="0"/>
        </w:rPr>
        <w:t>Nu-</w:t>
      </w:r>
      <w:proofErr w:type="spellStart"/>
      <w:r w:rsidRPr="009B488B">
        <w:rPr>
          <w:rStyle w:val="SCCAppellantForIndexChar"/>
          <w:b w:val="0"/>
        </w:rPr>
        <w:t>Pharm</w:t>
      </w:r>
      <w:proofErr w:type="spellEnd"/>
      <w:r w:rsidRPr="009B488B">
        <w:rPr>
          <w:rStyle w:val="SCCAppellantForIndexChar"/>
          <w:b w:val="0"/>
        </w:rPr>
        <w:t xml:space="preserve"> Inc.</w:t>
      </w:r>
      <w:r w:rsidRPr="009B488B">
        <w:t xml:space="preserve"> </w:t>
      </w:r>
      <w:r w:rsidRPr="009B488B">
        <w:rPr>
          <w:i/>
        </w:rPr>
        <w:t>v.</w:t>
      </w:r>
      <w:r w:rsidRPr="009B488B">
        <w:t xml:space="preserve"> </w:t>
      </w:r>
      <w:r w:rsidRPr="009B488B">
        <w:rPr>
          <w:rStyle w:val="SCCRespondentForIndexChar"/>
          <w:b w:val="0"/>
        </w:rPr>
        <w:t>Canada</w:t>
      </w:r>
      <w:r w:rsidRPr="009B488B">
        <w:rPr>
          <w:rStyle w:val="QuoteChar"/>
          <w:i w:val="0"/>
          <w:color w:val="auto"/>
        </w:rPr>
        <w:t xml:space="preserve"> (Attorney General)</w:t>
      </w:r>
      <w:r>
        <w:rPr>
          <w:rStyle w:val="SCCRespondentForRunningHeadChar"/>
          <w:lang w:val="en-US"/>
        </w:rPr>
        <w:t xml:space="preserve">, </w:t>
      </w:r>
      <w:r>
        <w:rPr>
          <w:rStyle w:val="SCCRespondentForIndexChar"/>
          <w:b w:val="0"/>
        </w:rPr>
        <w:t>2010 SCC 65, [2010] 3 S.C.R. 648</w:t>
      </w:r>
    </w:p>
    <w:p w:rsidR="00D273FC" w:rsidRPr="00B74F63" w:rsidRDefault="00D273FC" w:rsidP="00D273FC">
      <w:pPr>
        <w:spacing w:line="480" w:lineRule="auto"/>
        <w:jc w:val="both"/>
        <w:rPr>
          <w:rStyle w:val="SCCRespondentForRunningHeadChar"/>
          <w:lang w:val="en-US"/>
        </w:rPr>
      </w:pPr>
    </w:p>
    <w:p w:rsidR="0070701F" w:rsidRPr="00B74F63" w:rsidRDefault="00BD5DE2" w:rsidP="00D01481">
      <w:pPr>
        <w:pStyle w:val="SCCLsocParty"/>
        <w:tabs>
          <w:tab w:val="right" w:pos="8280"/>
        </w:tabs>
        <w:spacing w:after="0" w:line="480" w:lineRule="auto"/>
        <w:rPr>
          <w:lang w:val="en-US"/>
        </w:rPr>
      </w:pPr>
      <w:r>
        <w:rPr>
          <w:b/>
          <w:lang w:val="en-US"/>
        </w:rPr>
        <w:t>Nu-</w:t>
      </w:r>
      <w:r w:rsidR="00D273FC" w:rsidRPr="00B06074">
        <w:rPr>
          <w:b/>
          <w:lang w:val="en-US"/>
        </w:rPr>
        <w:t>Pharm Inc.</w:t>
      </w:r>
      <w:r w:rsidR="00EE1439" w:rsidRPr="00B74F63">
        <w:rPr>
          <w:lang w:val="en-US"/>
        </w:rPr>
        <w:tab/>
      </w:r>
      <w:r w:rsidR="00D273FC" w:rsidRPr="00B74F63">
        <w:rPr>
          <w:i/>
          <w:lang w:val="en-US"/>
        </w:rPr>
        <w:t>Appellant</w:t>
      </w:r>
      <w:r w:rsidR="00D273FC" w:rsidRPr="00B74F63">
        <w:rPr>
          <w:lang w:val="en-US"/>
        </w:rPr>
        <w:br/>
      </w:r>
    </w:p>
    <w:p w:rsidR="0070701F" w:rsidRPr="00BD5DE2" w:rsidRDefault="00D273FC" w:rsidP="00D01481">
      <w:pPr>
        <w:pStyle w:val="SCCLsocVersus"/>
        <w:spacing w:after="0" w:line="480" w:lineRule="auto"/>
        <w:rPr>
          <w:i/>
        </w:rPr>
      </w:pPr>
      <w:proofErr w:type="gramStart"/>
      <w:r w:rsidRPr="00BD5DE2">
        <w:rPr>
          <w:i/>
        </w:rPr>
        <w:t>v</w:t>
      </w:r>
      <w:proofErr w:type="gramEnd"/>
      <w:r w:rsidRPr="00BD5DE2">
        <w:rPr>
          <w:i/>
        </w:rPr>
        <w:t>.</w:t>
      </w:r>
      <w:r w:rsidRPr="00BD5DE2">
        <w:rPr>
          <w:i/>
        </w:rPr>
        <w:br/>
      </w:r>
    </w:p>
    <w:p w:rsidR="0070701F" w:rsidRPr="00B06074" w:rsidRDefault="00D51572" w:rsidP="00D01481">
      <w:pPr>
        <w:pStyle w:val="SCCLsocParty"/>
        <w:spacing w:after="0"/>
        <w:rPr>
          <w:b/>
        </w:rPr>
      </w:pPr>
      <w:r>
        <w:rPr>
          <w:b/>
        </w:rPr>
        <w:t xml:space="preserve">Her Majesty </w:t>
      </w:r>
      <w:proofErr w:type="gramStart"/>
      <w:r>
        <w:rPr>
          <w:b/>
        </w:rPr>
        <w:t>T</w:t>
      </w:r>
      <w:r w:rsidR="00D273FC" w:rsidRPr="00B06074">
        <w:rPr>
          <w:b/>
        </w:rPr>
        <w:t>he</w:t>
      </w:r>
      <w:proofErr w:type="gramEnd"/>
      <w:r w:rsidR="00D273FC" w:rsidRPr="00B06074">
        <w:rPr>
          <w:b/>
        </w:rPr>
        <w:t xml:space="preserve"> Queen in Right of Canada, </w:t>
      </w:r>
    </w:p>
    <w:p w:rsidR="00EE1439" w:rsidRPr="00B06074" w:rsidRDefault="00D273FC" w:rsidP="00D01481">
      <w:pPr>
        <w:pStyle w:val="SCCLsocParty"/>
        <w:spacing w:after="0"/>
        <w:rPr>
          <w:b/>
        </w:rPr>
      </w:pPr>
      <w:r w:rsidRPr="00B06074">
        <w:rPr>
          <w:b/>
        </w:rPr>
        <w:t>Attorney</w:t>
      </w:r>
      <w:r w:rsidR="007E77D0" w:rsidRPr="00B06074">
        <w:rPr>
          <w:b/>
        </w:rPr>
        <w:t xml:space="preserve"> General of Canada and Director</w:t>
      </w:r>
      <w:r w:rsidR="007E77D0" w:rsidRPr="00B06074">
        <w:rPr>
          <w:b/>
        </w:rPr>
        <w:noBreakHyphen/>
      </w:r>
      <w:r w:rsidRPr="00B06074">
        <w:rPr>
          <w:b/>
        </w:rPr>
        <w:t xml:space="preserve">General, </w:t>
      </w:r>
    </w:p>
    <w:p w:rsidR="00A149DF" w:rsidRDefault="00D273FC" w:rsidP="00D01481">
      <w:pPr>
        <w:pStyle w:val="SCCLsocParty"/>
        <w:tabs>
          <w:tab w:val="right" w:pos="8280"/>
        </w:tabs>
        <w:spacing w:after="720"/>
        <w:rPr>
          <w:i/>
        </w:rPr>
      </w:pPr>
      <w:r w:rsidRPr="00B06074">
        <w:rPr>
          <w:b/>
        </w:rPr>
        <w:t>Therapeutic Products Directorate of Health Canada</w:t>
      </w:r>
      <w:r w:rsidR="00EE1439" w:rsidRPr="00B74F63">
        <w:tab/>
      </w:r>
      <w:r w:rsidRPr="00B74F63">
        <w:rPr>
          <w:i/>
        </w:rPr>
        <w:t>Respondents</w:t>
      </w:r>
    </w:p>
    <w:p w:rsidR="00426659" w:rsidRPr="00B74F63" w:rsidRDefault="00426659" w:rsidP="00EE1439">
      <w:pPr>
        <w:spacing w:line="480" w:lineRule="auto"/>
        <w:jc w:val="both"/>
        <w:rPr>
          <w:b/>
          <w:lang w:val="en-US"/>
        </w:rPr>
      </w:pPr>
      <w:r w:rsidRPr="00B74F63">
        <w:rPr>
          <w:b/>
        </w:rPr>
        <w:t>Indexed as:</w:t>
      </w:r>
      <w:r w:rsidR="00BD5DE2">
        <w:rPr>
          <w:b/>
        </w:rPr>
        <w:t xml:space="preserve"> </w:t>
      </w:r>
      <w:r w:rsidRPr="00B74F63">
        <w:rPr>
          <w:rStyle w:val="SCCAppellantForIndexChar"/>
        </w:rPr>
        <w:t>Nu</w:t>
      </w:r>
      <w:r w:rsidR="00424045">
        <w:rPr>
          <w:rStyle w:val="SCCAppellantForIndexChar"/>
        </w:rPr>
        <w:t>-</w:t>
      </w:r>
      <w:proofErr w:type="spellStart"/>
      <w:r w:rsidRPr="00B74F63">
        <w:rPr>
          <w:rStyle w:val="SCCAppellantForIndexChar"/>
        </w:rPr>
        <w:t>Pharm</w:t>
      </w:r>
      <w:proofErr w:type="spellEnd"/>
      <w:r w:rsidRPr="00B74F63">
        <w:rPr>
          <w:rStyle w:val="SCCAppellantForIndexChar"/>
        </w:rPr>
        <w:t xml:space="preserve"> Inc.</w:t>
      </w:r>
      <w:r w:rsidRPr="00B74F63">
        <w:rPr>
          <w:b/>
        </w:rPr>
        <w:t xml:space="preserve"> </w:t>
      </w:r>
      <w:r w:rsidRPr="00B74F63">
        <w:rPr>
          <w:b/>
          <w:i/>
        </w:rPr>
        <w:t>v.</w:t>
      </w:r>
      <w:r w:rsidRPr="00B74F63">
        <w:rPr>
          <w:b/>
        </w:rPr>
        <w:t xml:space="preserve"> </w:t>
      </w:r>
      <w:r w:rsidR="00EE1439" w:rsidRPr="00B74F63">
        <w:rPr>
          <w:rStyle w:val="SCCRespondentForIndexChar"/>
        </w:rPr>
        <w:t>Canada</w:t>
      </w:r>
      <w:r w:rsidR="000261A4" w:rsidRPr="00B74F63">
        <w:rPr>
          <w:rStyle w:val="QuoteChar"/>
          <w:b/>
          <w:i w:val="0"/>
          <w:color w:val="auto"/>
        </w:rPr>
        <w:t xml:space="preserve"> (Attorney General)</w:t>
      </w:r>
    </w:p>
    <w:p w:rsidR="00426659" w:rsidRPr="00B74F63" w:rsidRDefault="00426659" w:rsidP="00EE1439">
      <w:pPr>
        <w:spacing w:line="480" w:lineRule="auto"/>
        <w:jc w:val="both"/>
        <w:rPr>
          <w:lang w:val="en-US"/>
        </w:rPr>
      </w:pPr>
    </w:p>
    <w:p w:rsidR="00426659" w:rsidRPr="00B74F63" w:rsidRDefault="007F3F08" w:rsidP="00EE1439">
      <w:pPr>
        <w:pStyle w:val="SCCSystemYear"/>
        <w:spacing w:line="480" w:lineRule="auto"/>
        <w:jc w:val="both"/>
      </w:pPr>
      <w:r w:rsidRPr="00B74F63">
        <w:t>2010</w:t>
      </w:r>
      <w:r w:rsidR="0063086F">
        <w:t> SCC </w:t>
      </w:r>
      <w:r w:rsidR="007F038F" w:rsidRPr="00B74F63">
        <w:t>65</w:t>
      </w:r>
    </w:p>
    <w:p w:rsidR="00426659" w:rsidRPr="00B74F63" w:rsidRDefault="00426659" w:rsidP="00EE1439">
      <w:pPr>
        <w:spacing w:line="480" w:lineRule="auto"/>
        <w:jc w:val="both"/>
      </w:pPr>
    </w:p>
    <w:p w:rsidR="008322BD" w:rsidRPr="00B74F63" w:rsidRDefault="00BD5DE2" w:rsidP="00EE1439">
      <w:pPr>
        <w:spacing w:line="480" w:lineRule="auto"/>
        <w:jc w:val="both"/>
      </w:pPr>
      <w:r>
        <w:t xml:space="preserve">File No.: </w:t>
      </w:r>
      <w:r w:rsidR="009B57B3" w:rsidRPr="00B74F63">
        <w:t>32830.</w:t>
      </w:r>
    </w:p>
    <w:p w:rsidR="00E97830" w:rsidRPr="00B74F63" w:rsidRDefault="00E97830" w:rsidP="00EE1439">
      <w:pPr>
        <w:spacing w:line="480" w:lineRule="auto"/>
        <w:jc w:val="both"/>
      </w:pPr>
    </w:p>
    <w:p w:rsidR="008322BD" w:rsidRPr="00B74F63" w:rsidRDefault="00BD5DE2" w:rsidP="00EE1439">
      <w:pPr>
        <w:spacing w:line="480" w:lineRule="auto"/>
        <w:jc w:val="both"/>
      </w:pPr>
      <w:r>
        <w:t xml:space="preserve">2010: </w:t>
      </w:r>
      <w:r w:rsidR="007F3F08" w:rsidRPr="00B74F63">
        <w:t>January</w:t>
      </w:r>
      <w:r>
        <w:t xml:space="preserve"> </w:t>
      </w:r>
      <w:r w:rsidR="007F3F08" w:rsidRPr="00B74F63">
        <w:t>20</w:t>
      </w:r>
      <w:r w:rsidR="00CA3AB7" w:rsidRPr="00B74F63">
        <w:t>, 21</w:t>
      </w:r>
      <w:r w:rsidR="009B57B3" w:rsidRPr="00B74F63">
        <w:t xml:space="preserve">; </w:t>
      </w:r>
      <w:r>
        <w:t xml:space="preserve">2010: December </w:t>
      </w:r>
      <w:r w:rsidR="00CA3AB7" w:rsidRPr="00B74F63">
        <w:t>23</w:t>
      </w:r>
      <w:r w:rsidR="009B57B3" w:rsidRPr="00B74F63">
        <w:t>.</w:t>
      </w:r>
    </w:p>
    <w:p w:rsidR="00E97830" w:rsidRPr="00B74F63" w:rsidRDefault="00E97830" w:rsidP="00EE1439">
      <w:pPr>
        <w:spacing w:line="480" w:lineRule="auto"/>
        <w:jc w:val="both"/>
      </w:pPr>
    </w:p>
    <w:p w:rsidR="008322BD" w:rsidRPr="00B74F63" w:rsidRDefault="003A0A4C" w:rsidP="00EE1439">
      <w:pPr>
        <w:spacing w:line="480" w:lineRule="auto"/>
        <w:jc w:val="both"/>
      </w:pPr>
      <w:r w:rsidRPr="00B74F63">
        <w:t>Present:  </w:t>
      </w:r>
      <w:r w:rsidR="009B57B3" w:rsidRPr="00B74F63">
        <w:t>Binnie, LeBel, Deschamps, Abella, Charron, Rothstein and Cromwell</w:t>
      </w:r>
      <w:r w:rsidR="00BD5DE2">
        <w:t xml:space="preserve"> </w:t>
      </w:r>
      <w:r w:rsidR="009B57B3" w:rsidRPr="00B74F63">
        <w:t>JJ.</w:t>
      </w:r>
    </w:p>
    <w:p w:rsidR="00E97830" w:rsidRPr="00B74F63" w:rsidRDefault="00E97830" w:rsidP="00EE1439">
      <w:pPr>
        <w:spacing w:line="480" w:lineRule="auto"/>
        <w:jc w:val="both"/>
      </w:pPr>
    </w:p>
    <w:p w:rsidR="008322BD" w:rsidRPr="00B74F63" w:rsidRDefault="00656313" w:rsidP="0076149F">
      <w:pPr>
        <w:pStyle w:val="SCCLowerCourtNameLowercase"/>
        <w:tabs>
          <w:tab w:val="left" w:pos="1170"/>
        </w:tabs>
      </w:pPr>
      <w:r w:rsidRPr="00B74F63">
        <w:t>o</w:t>
      </w:r>
      <w:r w:rsidR="00170592" w:rsidRPr="00B74F63">
        <w:t>n</w:t>
      </w:r>
      <w:r w:rsidR="00224FC0" w:rsidRPr="00B74F63">
        <w:t xml:space="preserve"> </w:t>
      </w:r>
      <w:r w:rsidRPr="00B74F63">
        <w:t>a</w:t>
      </w:r>
      <w:r w:rsidR="00170592" w:rsidRPr="00B74F63">
        <w:t>ppeal</w:t>
      </w:r>
      <w:r w:rsidR="00224FC0" w:rsidRPr="00B74F63">
        <w:t xml:space="preserve"> </w:t>
      </w:r>
      <w:r w:rsidR="00170592" w:rsidRPr="00B74F63">
        <w:t>from</w:t>
      </w:r>
      <w:r w:rsidR="009567AA" w:rsidRPr="00B74F63">
        <w:t xml:space="preserve"> the</w:t>
      </w:r>
      <w:r w:rsidR="00224FC0" w:rsidRPr="00B74F63">
        <w:t xml:space="preserve"> </w:t>
      </w:r>
      <w:r w:rsidR="009B57B3" w:rsidRPr="00B74F63">
        <w:t>federal court of appeal</w:t>
      </w:r>
    </w:p>
    <w:p w:rsidR="00FC239F" w:rsidRPr="00B74F63" w:rsidRDefault="00FC239F" w:rsidP="0076149F">
      <w:pPr>
        <w:pStyle w:val="SCCNormalDoubleSpacing"/>
        <w:tabs>
          <w:tab w:val="left" w:pos="1170"/>
        </w:tabs>
      </w:pPr>
    </w:p>
    <w:p w:rsidR="00FC239F" w:rsidRPr="00B74F63" w:rsidRDefault="00FC239F" w:rsidP="0076149F">
      <w:pPr>
        <w:pStyle w:val="SCCNormalDoubleSpacing"/>
        <w:tabs>
          <w:tab w:val="left" w:pos="1170"/>
        </w:tabs>
        <w:rPr>
          <w:i/>
        </w:rPr>
      </w:pPr>
      <w:r w:rsidRPr="00B74F63">
        <w:rPr>
          <w:i/>
        </w:rPr>
        <w:lastRenderedPageBreak/>
        <w:tab/>
        <w:t xml:space="preserve">Courts </w:t>
      </w:r>
      <w:r w:rsidR="001406E3" w:rsidRPr="00B74F63">
        <w:rPr>
          <w:szCs w:val="24"/>
        </w:rPr>
        <w:fldChar w:fldCharType="begin"/>
      </w:r>
      <w:r w:rsidR="006B43F1" w:rsidRPr="00B74F63">
        <w:rPr>
          <w:szCs w:val="24"/>
        </w:rPr>
        <w:instrText xml:space="preserve"> SEQ CHAPTER \h \r 1</w:instrText>
      </w:r>
      <w:r w:rsidR="001406E3" w:rsidRPr="00B74F63">
        <w:rPr>
          <w:szCs w:val="24"/>
        </w:rPr>
        <w:fldChar w:fldCharType="end"/>
      </w:r>
      <w:r w:rsidR="006B43F1" w:rsidRPr="00B74F63">
        <w:rPr>
          <w:szCs w:val="24"/>
          <w:lang w:val="en-US"/>
        </w:rPr>
        <w:t>—</w:t>
      </w:r>
      <w:r w:rsidR="006B43F1" w:rsidRPr="00B74F63">
        <w:rPr>
          <w:i/>
        </w:rPr>
        <w:t xml:space="preserve"> Federal Court </w:t>
      </w:r>
      <w:r w:rsidR="001406E3" w:rsidRPr="00B74F63">
        <w:rPr>
          <w:szCs w:val="24"/>
        </w:rPr>
        <w:fldChar w:fldCharType="begin"/>
      </w:r>
      <w:r w:rsidR="006B43F1" w:rsidRPr="00B74F63">
        <w:rPr>
          <w:szCs w:val="24"/>
        </w:rPr>
        <w:instrText xml:space="preserve"> SEQ CHAPTER \h \r 1</w:instrText>
      </w:r>
      <w:r w:rsidR="001406E3" w:rsidRPr="00B74F63">
        <w:rPr>
          <w:szCs w:val="24"/>
        </w:rPr>
        <w:fldChar w:fldCharType="end"/>
      </w:r>
      <w:r w:rsidR="006B43F1" w:rsidRPr="00B74F63">
        <w:rPr>
          <w:szCs w:val="24"/>
          <w:lang w:val="en-US"/>
        </w:rPr>
        <w:t>—</w:t>
      </w:r>
      <w:r w:rsidRPr="00B74F63">
        <w:rPr>
          <w:i/>
        </w:rPr>
        <w:t xml:space="preserve"> Procedure </w:t>
      </w:r>
      <w:r w:rsidR="001406E3" w:rsidRPr="00B74F63">
        <w:rPr>
          <w:szCs w:val="24"/>
        </w:rPr>
        <w:fldChar w:fldCharType="begin"/>
      </w:r>
      <w:r w:rsidR="006B43F1" w:rsidRPr="00B74F63">
        <w:rPr>
          <w:szCs w:val="24"/>
        </w:rPr>
        <w:instrText xml:space="preserve"> SEQ CHAPTER \h \r 1</w:instrText>
      </w:r>
      <w:r w:rsidR="001406E3" w:rsidRPr="00B74F63">
        <w:rPr>
          <w:szCs w:val="24"/>
        </w:rPr>
        <w:fldChar w:fldCharType="end"/>
      </w:r>
      <w:r w:rsidR="006B43F1" w:rsidRPr="00B74F63">
        <w:rPr>
          <w:szCs w:val="24"/>
          <w:lang w:val="en-US"/>
        </w:rPr>
        <w:t>—</w:t>
      </w:r>
      <w:r w:rsidRPr="00B74F63">
        <w:rPr>
          <w:i/>
        </w:rPr>
        <w:t xml:space="preserve"> Plaintiff bringing action in Federal Court against federal Crown for damages for various torts arising from decisions prohibiting sale of drug </w:t>
      </w:r>
      <w:r w:rsidR="001406E3" w:rsidRPr="00B74F63">
        <w:rPr>
          <w:szCs w:val="24"/>
        </w:rPr>
        <w:fldChar w:fldCharType="begin"/>
      </w:r>
      <w:r w:rsidR="006B43F1" w:rsidRPr="00B74F63">
        <w:rPr>
          <w:szCs w:val="24"/>
        </w:rPr>
        <w:instrText xml:space="preserve"> SEQ CHAPTER \h \r 1</w:instrText>
      </w:r>
      <w:r w:rsidR="001406E3" w:rsidRPr="00B74F63">
        <w:rPr>
          <w:szCs w:val="24"/>
        </w:rPr>
        <w:fldChar w:fldCharType="end"/>
      </w:r>
      <w:r w:rsidR="006B43F1" w:rsidRPr="00B74F63">
        <w:rPr>
          <w:szCs w:val="24"/>
          <w:lang w:val="en-US"/>
        </w:rPr>
        <w:t>—</w:t>
      </w:r>
      <w:r w:rsidRPr="00B74F63">
        <w:rPr>
          <w:i/>
        </w:rPr>
        <w:t xml:space="preserve"> Plaintiff not seeking judicial review of decisions </w:t>
      </w:r>
      <w:r w:rsidR="001406E3" w:rsidRPr="00B74F63">
        <w:rPr>
          <w:szCs w:val="24"/>
        </w:rPr>
        <w:fldChar w:fldCharType="begin"/>
      </w:r>
      <w:r w:rsidR="006B43F1" w:rsidRPr="00B74F63">
        <w:rPr>
          <w:szCs w:val="24"/>
        </w:rPr>
        <w:instrText xml:space="preserve"> SEQ CHAPTER \h \r 1</w:instrText>
      </w:r>
      <w:r w:rsidR="001406E3" w:rsidRPr="00B74F63">
        <w:rPr>
          <w:szCs w:val="24"/>
        </w:rPr>
        <w:fldChar w:fldCharType="end"/>
      </w:r>
      <w:r w:rsidR="006B43F1" w:rsidRPr="00B74F63">
        <w:rPr>
          <w:szCs w:val="24"/>
          <w:lang w:val="en-US"/>
        </w:rPr>
        <w:t>—</w:t>
      </w:r>
      <w:r w:rsidRPr="00B74F63">
        <w:rPr>
          <w:i/>
        </w:rPr>
        <w:t xml:space="preserve"> Whether plaintiff entitled to seek damages by way of action without first proceeding by way of judicial review </w:t>
      </w:r>
      <w:r w:rsidR="001406E3" w:rsidRPr="00B74F63">
        <w:rPr>
          <w:szCs w:val="24"/>
        </w:rPr>
        <w:fldChar w:fldCharType="begin"/>
      </w:r>
      <w:r w:rsidR="006B43F1" w:rsidRPr="00B74F63">
        <w:rPr>
          <w:szCs w:val="24"/>
        </w:rPr>
        <w:instrText xml:space="preserve"> SEQ CHAPTER \h \r 1</w:instrText>
      </w:r>
      <w:r w:rsidR="001406E3" w:rsidRPr="00B74F63">
        <w:rPr>
          <w:szCs w:val="24"/>
        </w:rPr>
        <w:fldChar w:fldCharType="end"/>
      </w:r>
      <w:r w:rsidR="006B43F1" w:rsidRPr="00B74F63">
        <w:rPr>
          <w:szCs w:val="24"/>
          <w:lang w:val="en-US"/>
        </w:rPr>
        <w:t>—</w:t>
      </w:r>
      <w:r w:rsidRPr="00B74F63">
        <w:rPr>
          <w:i/>
        </w:rPr>
        <w:t xml:space="preserve"> Federal Courts Act, R.S.C. 1985, c.</w:t>
      </w:r>
      <w:r w:rsidR="00D51572">
        <w:rPr>
          <w:i/>
        </w:rPr>
        <w:t xml:space="preserve"> </w:t>
      </w:r>
      <w:r w:rsidR="0076149F" w:rsidRPr="00B74F63">
        <w:rPr>
          <w:i/>
        </w:rPr>
        <w:t>F</w:t>
      </w:r>
      <w:r w:rsidR="007E77D0" w:rsidRPr="00B74F63">
        <w:rPr>
          <w:i/>
        </w:rPr>
        <w:noBreakHyphen/>
      </w:r>
      <w:r w:rsidR="0076149F" w:rsidRPr="00B74F63">
        <w:rPr>
          <w:i/>
        </w:rPr>
        <w:t>7, ss</w:t>
      </w:r>
      <w:r w:rsidR="00D51572">
        <w:rPr>
          <w:i/>
        </w:rPr>
        <w:t>.</w:t>
      </w:r>
      <w:r w:rsidR="00887EEB">
        <w:rPr>
          <w:i/>
        </w:rPr>
        <w:t xml:space="preserve"> </w:t>
      </w:r>
      <w:r w:rsidRPr="00B74F63">
        <w:rPr>
          <w:i/>
        </w:rPr>
        <w:t>17</w:t>
      </w:r>
      <w:r w:rsidR="00D51572">
        <w:rPr>
          <w:i/>
        </w:rPr>
        <w:t>,</w:t>
      </w:r>
      <w:r w:rsidRPr="00B74F63">
        <w:rPr>
          <w:i/>
        </w:rPr>
        <w:t xml:space="preserve"> 18.</w:t>
      </w:r>
    </w:p>
    <w:p w:rsidR="00FC239F" w:rsidRPr="00B74F63" w:rsidRDefault="00FC239F" w:rsidP="0076149F">
      <w:pPr>
        <w:pStyle w:val="SCCNormalDoubleSpacing"/>
        <w:tabs>
          <w:tab w:val="left" w:pos="1170"/>
        </w:tabs>
      </w:pPr>
    </w:p>
    <w:p w:rsidR="00FC239F" w:rsidRPr="00B74F63" w:rsidRDefault="00FC239F" w:rsidP="0076149F">
      <w:pPr>
        <w:pStyle w:val="SCCNormalDoubleSpacing"/>
        <w:tabs>
          <w:tab w:val="left" w:pos="1170"/>
        </w:tabs>
      </w:pPr>
      <w:r w:rsidRPr="00B74F63">
        <w:tab/>
        <w:t>In 1997, N applied unsuccessfully to Health Canada to obtain authorization to sell its drug Nu</w:t>
      </w:r>
      <w:r w:rsidR="007E77D0" w:rsidRPr="00B74F63">
        <w:noBreakHyphen/>
      </w:r>
      <w:r w:rsidRPr="00B74F63">
        <w:t xml:space="preserve">Enalapril in Canada.  The decision was set aside on judicial review, and Health Canada issued a notice of compliance, but that decision was subsequently overturned on judicial review.  As a result, N could no longer sell and market the drug.  In 2001, N initiated an application for judicial review, alleging that Health Canada was acting unlawfully in requiring it to obtain a notice of compliance and by prohibiting the sale of the drug, but later discontinued its application.  In 2002, N filed a statement of claim in the Federal Court against the Crown seeking injunctive and mandatory relief and damages for various torts.  The Crown was successful in bringing a motion for summary judgment dismissing the action on the basis that, absent a successful challenge of the decisions of Health Canada by way of judicial review, the Federal Court did not have jurisdiction to hear the matter in light of </w:t>
      </w:r>
      <w:r w:rsidRPr="00B74F63">
        <w:rPr>
          <w:i/>
        </w:rPr>
        <w:t>Canada v. Grenier</w:t>
      </w:r>
      <w:r w:rsidRPr="00B74F63">
        <w:t>, 2005 FCA 348, [2006] 2 F.C.R. 287.</w:t>
      </w:r>
    </w:p>
    <w:p w:rsidR="00FC239F" w:rsidRPr="00B74F63" w:rsidRDefault="00FC239F" w:rsidP="0076149F">
      <w:pPr>
        <w:pStyle w:val="SCCNormalDoubleSpacing"/>
        <w:tabs>
          <w:tab w:val="left" w:pos="1170"/>
        </w:tabs>
      </w:pPr>
    </w:p>
    <w:p w:rsidR="00FC239F" w:rsidRPr="00B74F63" w:rsidRDefault="00FC239F" w:rsidP="0076149F">
      <w:pPr>
        <w:pStyle w:val="SCCNormalDoubleSpacing"/>
        <w:tabs>
          <w:tab w:val="left" w:pos="1170"/>
        </w:tabs>
      </w:pPr>
      <w:r w:rsidRPr="00B74F63">
        <w:tab/>
      </w:r>
      <w:r w:rsidRPr="00B74F63">
        <w:rPr>
          <w:rStyle w:val="QuoteChar"/>
          <w:color w:val="auto"/>
          <w:lang w:val="en-CA"/>
        </w:rPr>
        <w:t>Held</w:t>
      </w:r>
      <w:r w:rsidRPr="00B74F63">
        <w:rPr>
          <w:rStyle w:val="QuoteChar"/>
          <w:i w:val="0"/>
          <w:color w:val="auto"/>
          <w:lang w:val="en-CA"/>
        </w:rPr>
        <w:t>:</w:t>
      </w:r>
      <w:r w:rsidRPr="00B74F63">
        <w:t xml:space="preserve">  The appeal should be allowed.</w:t>
      </w:r>
    </w:p>
    <w:p w:rsidR="00FC239F" w:rsidRPr="00B74F63" w:rsidRDefault="00FC239F" w:rsidP="0076149F">
      <w:pPr>
        <w:pStyle w:val="SCCNormalDoubleSpacing"/>
        <w:tabs>
          <w:tab w:val="left" w:pos="1170"/>
        </w:tabs>
      </w:pPr>
    </w:p>
    <w:p w:rsidR="00FC239F" w:rsidRPr="00B74F63" w:rsidRDefault="00FC239F" w:rsidP="0076149F">
      <w:pPr>
        <w:pStyle w:val="SCCNormalDoubleSpacing"/>
        <w:tabs>
          <w:tab w:val="left" w:pos="1170"/>
        </w:tabs>
      </w:pPr>
      <w:r w:rsidRPr="00B74F63">
        <w:lastRenderedPageBreak/>
        <w:tab/>
      </w:r>
      <w:r w:rsidR="001406E3" w:rsidRPr="00B74F63">
        <w:rPr>
          <w:szCs w:val="24"/>
        </w:rPr>
        <w:fldChar w:fldCharType="begin"/>
      </w:r>
      <w:r w:rsidRPr="00B74F63">
        <w:rPr>
          <w:szCs w:val="24"/>
        </w:rPr>
        <w:instrText xml:space="preserve"> SEQ CHAPTER \h \r 1</w:instrText>
      </w:r>
      <w:r w:rsidR="001406E3" w:rsidRPr="00B74F63">
        <w:rPr>
          <w:szCs w:val="24"/>
        </w:rPr>
        <w:fldChar w:fldCharType="end"/>
      </w:r>
      <w:r w:rsidRPr="00B74F63">
        <w:rPr>
          <w:szCs w:val="24"/>
        </w:rPr>
        <w:t xml:space="preserve">For the reasons given in </w:t>
      </w:r>
      <w:r w:rsidRPr="00B74F63">
        <w:rPr>
          <w:i/>
          <w:szCs w:val="24"/>
        </w:rPr>
        <w:t xml:space="preserve">Canada (Attorney General) v. </w:t>
      </w:r>
      <w:r w:rsidRPr="00B74F63">
        <w:rPr>
          <w:i/>
          <w:iCs/>
          <w:szCs w:val="24"/>
        </w:rPr>
        <w:t>TeleZone</w:t>
      </w:r>
      <w:r w:rsidR="00D51572">
        <w:rPr>
          <w:i/>
          <w:iCs/>
          <w:szCs w:val="24"/>
        </w:rPr>
        <w:t xml:space="preserve"> Inc.</w:t>
      </w:r>
      <w:r w:rsidRPr="00B74F63">
        <w:rPr>
          <w:szCs w:val="24"/>
        </w:rPr>
        <w:t xml:space="preserve">, 2010 SCC </w:t>
      </w:r>
      <w:r w:rsidR="007F038F" w:rsidRPr="00B74F63">
        <w:rPr>
          <w:szCs w:val="24"/>
        </w:rPr>
        <w:t>62</w:t>
      </w:r>
      <w:r w:rsidRPr="00B74F63">
        <w:rPr>
          <w:szCs w:val="24"/>
        </w:rPr>
        <w:t>,</w:t>
      </w:r>
      <w:r w:rsidR="00D51572">
        <w:rPr>
          <w:szCs w:val="24"/>
        </w:rPr>
        <w:t xml:space="preserve"> [2010] 3 S.C.R. </w:t>
      </w:r>
      <w:r w:rsidR="002D3F37">
        <w:rPr>
          <w:szCs w:val="24"/>
        </w:rPr>
        <w:t>585</w:t>
      </w:r>
      <w:r w:rsidR="00D51572">
        <w:rPr>
          <w:szCs w:val="24"/>
        </w:rPr>
        <w:t>,</w:t>
      </w:r>
      <w:r w:rsidRPr="00B74F63">
        <w:rPr>
          <w:szCs w:val="24"/>
        </w:rPr>
        <w:t xml:space="preserve"> the Federal Court should have decided N’s claim for damages without requiring it to first be successf</w:t>
      </w:r>
      <w:r w:rsidR="0076149F" w:rsidRPr="00B74F63">
        <w:rPr>
          <w:szCs w:val="24"/>
        </w:rPr>
        <w:t>ul on judicial review.  Section</w:t>
      </w:r>
      <w:r w:rsidR="00BD5DE2">
        <w:rPr>
          <w:szCs w:val="24"/>
        </w:rPr>
        <w:t xml:space="preserve"> </w:t>
      </w:r>
      <w:r w:rsidRPr="00B74F63">
        <w:rPr>
          <w:szCs w:val="24"/>
        </w:rPr>
        <w:t xml:space="preserve">17 of the </w:t>
      </w:r>
      <w:r w:rsidRPr="00B74F63">
        <w:rPr>
          <w:i/>
          <w:szCs w:val="24"/>
        </w:rPr>
        <w:t>Federal Courts Act</w:t>
      </w:r>
      <w:r w:rsidRPr="00B74F63">
        <w:rPr>
          <w:szCs w:val="24"/>
        </w:rPr>
        <w:t xml:space="preserve"> gives the Federal Court concurrent jurisdiction over claims for damages against the Crown. </w:t>
      </w:r>
      <w:r w:rsidR="0076149F" w:rsidRPr="00B74F63">
        <w:rPr>
          <w:szCs w:val="24"/>
        </w:rPr>
        <w:t xml:space="preserve"> </w:t>
      </w:r>
      <w:r w:rsidRPr="00B74F63">
        <w:rPr>
          <w:szCs w:val="24"/>
        </w:rPr>
        <w:t>S</w:t>
      </w:r>
      <w:r w:rsidR="00BD5DE2">
        <w:rPr>
          <w:szCs w:val="24"/>
        </w:rPr>
        <w:t xml:space="preserve">ection </w:t>
      </w:r>
      <w:r w:rsidRPr="00B74F63">
        <w:rPr>
          <w:szCs w:val="24"/>
        </w:rPr>
        <w:t xml:space="preserve">18 of the Act does not derogate from this concurrent jurisdiction.  </w:t>
      </w:r>
      <w:r w:rsidR="001406E3" w:rsidRPr="00B74F63">
        <w:rPr>
          <w:szCs w:val="24"/>
        </w:rPr>
        <w:fldChar w:fldCharType="begin"/>
      </w:r>
      <w:r w:rsidRPr="00B74F63">
        <w:rPr>
          <w:szCs w:val="24"/>
        </w:rPr>
        <w:instrText xml:space="preserve"> SEQ CHAPTER \h \r 1</w:instrText>
      </w:r>
      <w:r w:rsidR="001406E3" w:rsidRPr="00B74F63">
        <w:rPr>
          <w:szCs w:val="24"/>
        </w:rPr>
        <w:fldChar w:fldCharType="end"/>
      </w:r>
      <w:r w:rsidR="00BD5DE2">
        <w:rPr>
          <w:szCs w:val="24"/>
        </w:rPr>
        <w:t xml:space="preserve">Nothing in ss. </w:t>
      </w:r>
      <w:r w:rsidRPr="00B74F63">
        <w:rPr>
          <w:szCs w:val="24"/>
        </w:rPr>
        <w:t xml:space="preserve">17 or 18 of the Act requires a plaintiff to be successful on judicial review before bringing a claim for damages against the Crown.  </w:t>
      </w:r>
      <w:r w:rsidR="001406E3" w:rsidRPr="00B74F63">
        <w:rPr>
          <w:szCs w:val="24"/>
        </w:rPr>
        <w:fldChar w:fldCharType="begin"/>
      </w:r>
      <w:r w:rsidRPr="00B74F63">
        <w:rPr>
          <w:szCs w:val="24"/>
        </w:rPr>
        <w:instrText xml:space="preserve"> SEQ CHAPTER \h \r 1</w:instrText>
      </w:r>
      <w:r w:rsidR="001406E3" w:rsidRPr="00B74F63">
        <w:rPr>
          <w:szCs w:val="24"/>
        </w:rPr>
        <w:fldChar w:fldCharType="end"/>
      </w:r>
      <w:r w:rsidRPr="00B74F63">
        <w:rPr>
          <w:szCs w:val="24"/>
        </w:rPr>
        <w:t xml:space="preserve">N is currently authorized to distribute the drug across the country and, since the discontinuance of the claims for injunctive and declaratory </w:t>
      </w:r>
      <w:proofErr w:type="gramStart"/>
      <w:r w:rsidRPr="00B74F63">
        <w:rPr>
          <w:szCs w:val="24"/>
        </w:rPr>
        <w:t>relief,</w:t>
      </w:r>
      <w:proofErr w:type="gramEnd"/>
      <w:r w:rsidRPr="00B74F63">
        <w:rPr>
          <w:szCs w:val="24"/>
        </w:rPr>
        <w:t xml:space="preserve"> there is no longer any practical effect in seeking judicial review.  The merits of the defence of statutory authority, if raised, may be determined at trial.</w:t>
      </w:r>
    </w:p>
    <w:p w:rsidR="00A149DF" w:rsidRPr="00B74F63" w:rsidRDefault="00A149DF" w:rsidP="0076149F">
      <w:pPr>
        <w:pStyle w:val="SCCNormalDoubleSpacing"/>
        <w:tabs>
          <w:tab w:val="left" w:pos="1170"/>
        </w:tabs>
      </w:pPr>
    </w:p>
    <w:p w:rsidR="007E1C47" w:rsidRPr="00B74F63" w:rsidRDefault="002E6705" w:rsidP="0076149F">
      <w:pPr>
        <w:pStyle w:val="SCCNormalDoubleSpacing"/>
        <w:keepNext/>
        <w:tabs>
          <w:tab w:val="left" w:pos="1170"/>
        </w:tabs>
        <w:rPr>
          <w:b/>
        </w:rPr>
      </w:pPr>
      <w:r w:rsidRPr="00B74F63">
        <w:rPr>
          <w:b/>
        </w:rPr>
        <w:t>Cases Cited</w:t>
      </w:r>
    </w:p>
    <w:p w:rsidR="00A149DF" w:rsidRPr="00B74F63" w:rsidRDefault="00A149DF" w:rsidP="0076149F">
      <w:pPr>
        <w:pStyle w:val="SCCNormalDoubleSpacing"/>
        <w:keepNext/>
        <w:tabs>
          <w:tab w:val="left" w:pos="1170"/>
        </w:tabs>
      </w:pPr>
    </w:p>
    <w:p w:rsidR="004E2C26" w:rsidRPr="00B74F63" w:rsidRDefault="0089323A" w:rsidP="0076149F">
      <w:pPr>
        <w:pStyle w:val="SCCNormalDoubleSpacing"/>
        <w:tabs>
          <w:tab w:val="left" w:pos="1170"/>
        </w:tabs>
      </w:pPr>
      <w:r w:rsidRPr="00B74F63">
        <w:tab/>
      </w:r>
      <w:r w:rsidR="00635061" w:rsidRPr="00B74F63">
        <w:rPr>
          <w:b/>
        </w:rPr>
        <w:t>A</w:t>
      </w:r>
      <w:r w:rsidRPr="00B74F63">
        <w:rPr>
          <w:b/>
        </w:rPr>
        <w:t>pplied:</w:t>
      </w:r>
      <w:r w:rsidR="003A0A4C" w:rsidRPr="00B74F63">
        <w:rPr>
          <w:b/>
        </w:rPr>
        <w:t xml:space="preserve"> </w:t>
      </w:r>
      <w:r w:rsidRPr="00B74F63">
        <w:t xml:space="preserve"> </w:t>
      </w:r>
      <w:r w:rsidRPr="00B74F63">
        <w:rPr>
          <w:i/>
          <w:szCs w:val="24"/>
        </w:rPr>
        <w:t>Canada (Attorney General) v. TeleZone Inc.</w:t>
      </w:r>
      <w:r w:rsidRPr="00B74F63">
        <w:rPr>
          <w:szCs w:val="24"/>
        </w:rPr>
        <w:t>, 2010 SCC 62</w:t>
      </w:r>
      <w:r w:rsidR="00D51572">
        <w:rPr>
          <w:szCs w:val="24"/>
        </w:rPr>
        <w:t xml:space="preserve">, [2010] 3 S.C.R. </w:t>
      </w:r>
      <w:r w:rsidR="002D3F37">
        <w:rPr>
          <w:szCs w:val="24"/>
        </w:rPr>
        <w:t>585</w:t>
      </w:r>
      <w:r w:rsidRPr="00B74F63">
        <w:rPr>
          <w:szCs w:val="24"/>
        </w:rPr>
        <w:t>;</w:t>
      </w:r>
      <w:r w:rsidR="00635061" w:rsidRPr="00B74F63">
        <w:t xml:space="preserve"> </w:t>
      </w:r>
      <w:r w:rsidR="00ED028E" w:rsidRPr="00B74F63">
        <w:rPr>
          <w:b/>
        </w:rPr>
        <w:t>overruled:</w:t>
      </w:r>
      <w:r w:rsidR="00ED028E" w:rsidRPr="00B74F63">
        <w:t xml:space="preserve">  </w:t>
      </w:r>
      <w:r w:rsidR="00ED028E" w:rsidRPr="00B74F63">
        <w:rPr>
          <w:i/>
        </w:rPr>
        <w:t>Canada v. Grenier</w:t>
      </w:r>
      <w:r w:rsidR="00ED028E" w:rsidRPr="00B74F63">
        <w:t xml:space="preserve">, 2005 FCA 348, [2006] 2 F.C.R. 287; </w:t>
      </w:r>
      <w:r w:rsidRPr="00B74F63">
        <w:rPr>
          <w:b/>
        </w:rPr>
        <w:t>r</w:t>
      </w:r>
      <w:r w:rsidR="002E6705" w:rsidRPr="00B74F63">
        <w:rPr>
          <w:b/>
        </w:rPr>
        <w:t>eferred to:</w:t>
      </w:r>
      <w:r w:rsidR="00BD0E9E" w:rsidRPr="00B74F63">
        <w:t xml:space="preserve"> </w:t>
      </w:r>
      <w:r w:rsidR="00B46C6A" w:rsidRPr="00B74F63">
        <w:t xml:space="preserve"> </w:t>
      </w:r>
      <w:r w:rsidR="001406E3" w:rsidRPr="00B74F63">
        <w:rPr>
          <w:szCs w:val="24"/>
        </w:rPr>
        <w:fldChar w:fldCharType="begin"/>
      </w:r>
      <w:r w:rsidR="00B46C6A" w:rsidRPr="00B74F63">
        <w:rPr>
          <w:szCs w:val="24"/>
        </w:rPr>
        <w:instrText xml:space="preserve"> SEQ CHAPTER \h \r 1</w:instrText>
      </w:r>
      <w:r w:rsidR="001406E3" w:rsidRPr="00B74F63">
        <w:rPr>
          <w:szCs w:val="24"/>
        </w:rPr>
        <w:fldChar w:fldCharType="end"/>
      </w:r>
      <w:r w:rsidR="00B46C6A" w:rsidRPr="00B74F63">
        <w:rPr>
          <w:i/>
          <w:iCs/>
          <w:szCs w:val="24"/>
        </w:rPr>
        <w:t>Nu</w:t>
      </w:r>
      <w:r w:rsidR="007E77D0" w:rsidRPr="00B74F63">
        <w:rPr>
          <w:i/>
          <w:iCs/>
          <w:szCs w:val="24"/>
        </w:rPr>
        <w:noBreakHyphen/>
      </w:r>
      <w:r w:rsidR="00B46C6A" w:rsidRPr="00B74F63">
        <w:rPr>
          <w:i/>
          <w:iCs/>
          <w:szCs w:val="24"/>
        </w:rPr>
        <w:t>Pharm Inc. v. Canada (Attorney General)</w:t>
      </w:r>
      <w:r w:rsidR="00B46C6A" w:rsidRPr="00B74F63">
        <w:rPr>
          <w:szCs w:val="24"/>
        </w:rPr>
        <w:t>, [1999] 1 F.C. 620</w:t>
      </w:r>
      <w:r w:rsidR="003C03A5" w:rsidRPr="00B74F63">
        <w:rPr>
          <w:szCs w:val="24"/>
        </w:rPr>
        <w:t xml:space="preserve">; </w:t>
      </w:r>
      <w:r w:rsidR="003C03A5" w:rsidRPr="00B74F63">
        <w:rPr>
          <w:i/>
          <w:iCs/>
          <w:szCs w:val="24"/>
        </w:rPr>
        <w:t xml:space="preserve">Merck &amp; Co. v. Canada (Attorney General) </w:t>
      </w:r>
      <w:r w:rsidR="003C03A5" w:rsidRPr="00B74F63">
        <w:rPr>
          <w:szCs w:val="24"/>
        </w:rPr>
        <w:t>(1999), 176 F.T.R. 21</w:t>
      </w:r>
      <w:r w:rsidR="000071AF" w:rsidRPr="00B74F63">
        <w:rPr>
          <w:szCs w:val="24"/>
        </w:rPr>
        <w:t xml:space="preserve">, </w:t>
      </w:r>
      <w:r w:rsidR="00C763D6" w:rsidRPr="00B74F63">
        <w:rPr>
          <w:szCs w:val="24"/>
        </w:rPr>
        <w:t xml:space="preserve">aff’d </w:t>
      </w:r>
      <w:r w:rsidR="001406E3" w:rsidRPr="00B74F63">
        <w:rPr>
          <w:szCs w:val="24"/>
        </w:rPr>
        <w:fldChar w:fldCharType="begin"/>
      </w:r>
      <w:r w:rsidR="000071AF" w:rsidRPr="00B74F63">
        <w:rPr>
          <w:szCs w:val="24"/>
        </w:rPr>
        <w:instrText xml:space="preserve"> SEQ CHAPTER \h \r 1</w:instrText>
      </w:r>
      <w:r w:rsidR="001406E3" w:rsidRPr="00B74F63">
        <w:rPr>
          <w:szCs w:val="24"/>
        </w:rPr>
        <w:fldChar w:fldCharType="end"/>
      </w:r>
      <w:r w:rsidR="000071AF" w:rsidRPr="00B74F63">
        <w:rPr>
          <w:szCs w:val="24"/>
        </w:rPr>
        <w:t>(2000), 254 N.R. 68</w:t>
      </w:r>
      <w:r w:rsidR="00C763D6" w:rsidRPr="00B74F63">
        <w:rPr>
          <w:szCs w:val="24"/>
        </w:rPr>
        <w:t xml:space="preserve">, leave to appeal refused, </w:t>
      </w:r>
      <w:r w:rsidR="000071AF" w:rsidRPr="00B74F63">
        <w:rPr>
          <w:szCs w:val="24"/>
        </w:rPr>
        <w:t xml:space="preserve">[2000] </w:t>
      </w:r>
      <w:r w:rsidR="00C763D6" w:rsidRPr="00B74F63">
        <w:rPr>
          <w:szCs w:val="24"/>
        </w:rPr>
        <w:t>1 S.C.R. xvii</w:t>
      </w:r>
      <w:r w:rsidR="001406E3" w:rsidRPr="00B74F63">
        <w:rPr>
          <w:szCs w:val="24"/>
        </w:rPr>
        <w:fldChar w:fldCharType="begin"/>
      </w:r>
      <w:r w:rsidR="003D5413" w:rsidRPr="00B74F63">
        <w:rPr>
          <w:szCs w:val="24"/>
        </w:rPr>
        <w:instrText xml:space="preserve"> SEQ CHAPTER \h \r 1</w:instrText>
      </w:r>
      <w:r w:rsidR="001406E3" w:rsidRPr="00B74F63">
        <w:rPr>
          <w:szCs w:val="24"/>
        </w:rPr>
        <w:fldChar w:fldCharType="end"/>
      </w:r>
      <w:r w:rsidR="00B46C6A" w:rsidRPr="00B74F63">
        <w:rPr>
          <w:szCs w:val="24"/>
        </w:rPr>
        <w:t>.</w:t>
      </w:r>
    </w:p>
    <w:p w:rsidR="00A149DF" w:rsidRPr="00B74F63" w:rsidRDefault="00A149DF" w:rsidP="00762E7D">
      <w:pPr>
        <w:pStyle w:val="SCCNormalDoubleSpacing"/>
      </w:pPr>
    </w:p>
    <w:p w:rsidR="003B215F" w:rsidRPr="00B74F63" w:rsidRDefault="002E6705" w:rsidP="0076149F">
      <w:pPr>
        <w:pStyle w:val="SCCNormalDoubleSpacing"/>
        <w:keepNext/>
        <w:rPr>
          <w:b/>
        </w:rPr>
      </w:pPr>
      <w:r w:rsidRPr="00B74F63">
        <w:rPr>
          <w:b/>
        </w:rPr>
        <w:t>Statutes and Regulations Cite</w:t>
      </w:r>
      <w:r w:rsidR="00A41805" w:rsidRPr="00B74F63">
        <w:rPr>
          <w:b/>
        </w:rPr>
        <w:t>d</w:t>
      </w:r>
    </w:p>
    <w:p w:rsidR="00F71115" w:rsidRPr="00B74F63" w:rsidRDefault="00F71115" w:rsidP="0076149F">
      <w:pPr>
        <w:pStyle w:val="SCCNormalDoubleSpacing"/>
        <w:keepNext/>
        <w:rPr>
          <w:b/>
        </w:rPr>
      </w:pPr>
    </w:p>
    <w:p w:rsidR="001F6782" w:rsidRPr="00B74F63" w:rsidRDefault="001406E3" w:rsidP="00F71115">
      <w:pPr>
        <w:pStyle w:val="SCCNormalDoubleSpacing"/>
        <w:spacing w:line="240" w:lineRule="auto"/>
        <w:ind w:left="540" w:hanging="540"/>
        <w:rPr>
          <w:szCs w:val="24"/>
        </w:rPr>
      </w:pPr>
      <w:r w:rsidRPr="00B74F63">
        <w:rPr>
          <w:szCs w:val="24"/>
        </w:rPr>
        <w:fldChar w:fldCharType="begin"/>
      </w:r>
      <w:r w:rsidR="001F6782" w:rsidRPr="00B74F63">
        <w:rPr>
          <w:szCs w:val="24"/>
        </w:rPr>
        <w:instrText xml:space="preserve"> SEQ CHAPTER \h \r 1</w:instrText>
      </w:r>
      <w:r w:rsidRPr="00B74F63">
        <w:rPr>
          <w:szCs w:val="24"/>
        </w:rPr>
        <w:fldChar w:fldCharType="end"/>
      </w:r>
      <w:proofErr w:type="gramStart"/>
      <w:r w:rsidR="001F6782" w:rsidRPr="00B74F63">
        <w:rPr>
          <w:i/>
          <w:iCs/>
          <w:szCs w:val="24"/>
        </w:rPr>
        <w:t>Federal Courts Act</w:t>
      </w:r>
      <w:r w:rsidR="001F6782" w:rsidRPr="00B74F63">
        <w:rPr>
          <w:szCs w:val="24"/>
        </w:rPr>
        <w:t xml:space="preserve">, R.S.C. </w:t>
      </w:r>
      <w:r w:rsidR="0076149F" w:rsidRPr="00B74F63">
        <w:rPr>
          <w:szCs w:val="24"/>
        </w:rPr>
        <w:t>1985, c.</w:t>
      </w:r>
      <w:r w:rsidR="00BD5DE2">
        <w:rPr>
          <w:szCs w:val="24"/>
        </w:rPr>
        <w:t xml:space="preserve"> </w:t>
      </w:r>
      <w:r w:rsidR="001F6782" w:rsidRPr="00B74F63">
        <w:rPr>
          <w:szCs w:val="24"/>
        </w:rPr>
        <w:t>F</w:t>
      </w:r>
      <w:r w:rsidR="007E77D0" w:rsidRPr="00B74F63">
        <w:rPr>
          <w:szCs w:val="24"/>
        </w:rPr>
        <w:noBreakHyphen/>
      </w:r>
      <w:r w:rsidR="001F6782" w:rsidRPr="00B74F63">
        <w:rPr>
          <w:szCs w:val="24"/>
        </w:rPr>
        <w:t>7, ss.</w:t>
      </w:r>
      <w:r w:rsidR="00BD5DE2">
        <w:rPr>
          <w:szCs w:val="24"/>
        </w:rPr>
        <w:t xml:space="preserve"> </w:t>
      </w:r>
      <w:r w:rsidR="001F6782" w:rsidRPr="00B74F63">
        <w:rPr>
          <w:szCs w:val="24"/>
        </w:rPr>
        <w:t>17, 18.</w:t>
      </w:r>
      <w:proofErr w:type="gramEnd"/>
    </w:p>
    <w:p w:rsidR="00231A34" w:rsidRPr="00B74F63" w:rsidRDefault="001406E3" w:rsidP="00F71115">
      <w:pPr>
        <w:pStyle w:val="SCCNormalDoubleSpacing"/>
        <w:spacing w:line="240" w:lineRule="auto"/>
        <w:ind w:left="540" w:hanging="540"/>
        <w:rPr>
          <w:szCs w:val="24"/>
        </w:rPr>
      </w:pPr>
      <w:r w:rsidRPr="00B74F63">
        <w:rPr>
          <w:szCs w:val="24"/>
        </w:rPr>
        <w:lastRenderedPageBreak/>
        <w:fldChar w:fldCharType="begin"/>
      </w:r>
      <w:r w:rsidR="00231A34" w:rsidRPr="00B74F63">
        <w:rPr>
          <w:szCs w:val="24"/>
        </w:rPr>
        <w:instrText xml:space="preserve"> SEQ CHAPTER \h \r 1</w:instrText>
      </w:r>
      <w:r w:rsidRPr="00B74F63">
        <w:rPr>
          <w:szCs w:val="24"/>
        </w:rPr>
        <w:fldChar w:fldCharType="end"/>
      </w:r>
    </w:p>
    <w:p w:rsidR="00935218" w:rsidRPr="00B74F63" w:rsidRDefault="00231A34" w:rsidP="00F71115">
      <w:pPr>
        <w:pStyle w:val="SCCNormalDoubleSpacing"/>
        <w:spacing w:line="240" w:lineRule="auto"/>
        <w:ind w:left="540" w:hanging="540"/>
        <w:rPr>
          <w:szCs w:val="24"/>
        </w:rPr>
      </w:pPr>
      <w:r w:rsidRPr="00B74F63">
        <w:rPr>
          <w:i/>
          <w:iCs/>
          <w:szCs w:val="24"/>
        </w:rPr>
        <w:t>Food and Drug Regulations</w:t>
      </w:r>
      <w:r w:rsidR="0076149F" w:rsidRPr="00B74F63">
        <w:rPr>
          <w:szCs w:val="24"/>
        </w:rPr>
        <w:t>, C.R.C., c.</w:t>
      </w:r>
      <w:r w:rsidR="00BD5DE2">
        <w:rPr>
          <w:szCs w:val="24"/>
        </w:rPr>
        <w:t xml:space="preserve"> </w:t>
      </w:r>
      <w:r w:rsidRPr="00B74F63">
        <w:rPr>
          <w:szCs w:val="24"/>
        </w:rPr>
        <w:t>870</w:t>
      </w:r>
      <w:r w:rsidR="002D4253" w:rsidRPr="00B74F63">
        <w:rPr>
          <w:szCs w:val="24"/>
        </w:rPr>
        <w:t xml:space="preserve">, </w:t>
      </w:r>
      <w:r w:rsidR="00C67185" w:rsidRPr="00B74F63">
        <w:rPr>
          <w:szCs w:val="24"/>
        </w:rPr>
        <w:t>s</w:t>
      </w:r>
      <w:r w:rsidR="0076149F" w:rsidRPr="00B74F63">
        <w:rPr>
          <w:szCs w:val="24"/>
        </w:rPr>
        <w:t>s.</w:t>
      </w:r>
      <w:r w:rsidR="00BD5DE2">
        <w:rPr>
          <w:szCs w:val="24"/>
        </w:rPr>
        <w:t xml:space="preserve"> </w:t>
      </w:r>
      <w:r w:rsidR="00C67185" w:rsidRPr="00B74F63">
        <w:rPr>
          <w:szCs w:val="24"/>
        </w:rPr>
        <w:t xml:space="preserve">C.08.001, </w:t>
      </w:r>
      <w:proofErr w:type="gramStart"/>
      <w:r w:rsidR="002D4253" w:rsidRPr="00B74F63">
        <w:rPr>
          <w:szCs w:val="24"/>
        </w:rPr>
        <w:t>C.08.002(</w:t>
      </w:r>
      <w:proofErr w:type="gramEnd"/>
      <w:r w:rsidR="002D4253" w:rsidRPr="00B74F63">
        <w:rPr>
          <w:szCs w:val="24"/>
        </w:rPr>
        <w:t>1)</w:t>
      </w:r>
      <w:r w:rsidRPr="00B74F63">
        <w:rPr>
          <w:szCs w:val="24"/>
        </w:rPr>
        <w:t>.</w:t>
      </w:r>
    </w:p>
    <w:p w:rsidR="00ED1F74" w:rsidRPr="00B74F63" w:rsidRDefault="00ED1F74" w:rsidP="00F71115">
      <w:pPr>
        <w:pStyle w:val="SCCNormalDoubleSpacing"/>
        <w:spacing w:line="240" w:lineRule="auto"/>
        <w:ind w:left="540" w:hanging="540"/>
      </w:pPr>
    </w:p>
    <w:p w:rsidR="00ED1F74" w:rsidRPr="00B74F63" w:rsidRDefault="001406E3" w:rsidP="00943F12">
      <w:pPr>
        <w:pStyle w:val="SCCNormalDoubleSpacing"/>
        <w:spacing w:after="720" w:line="240" w:lineRule="auto"/>
        <w:rPr>
          <w:szCs w:val="24"/>
        </w:rPr>
      </w:pPr>
      <w:r w:rsidRPr="00B74F63">
        <w:rPr>
          <w:szCs w:val="24"/>
        </w:rPr>
        <w:fldChar w:fldCharType="begin"/>
      </w:r>
      <w:r w:rsidR="00ED1F74" w:rsidRPr="00B74F63">
        <w:rPr>
          <w:szCs w:val="24"/>
        </w:rPr>
        <w:instrText xml:space="preserve"> SEQ CHAPTER \h \r 1</w:instrText>
      </w:r>
      <w:r w:rsidRPr="00B74F63">
        <w:rPr>
          <w:szCs w:val="24"/>
        </w:rPr>
        <w:fldChar w:fldCharType="end"/>
      </w:r>
      <w:proofErr w:type="gramStart"/>
      <w:r w:rsidR="00ED1F74" w:rsidRPr="00B74F63">
        <w:rPr>
          <w:i/>
          <w:iCs/>
          <w:szCs w:val="24"/>
        </w:rPr>
        <w:t>Patented Medicines (Notice of Compliance) Regulations</w:t>
      </w:r>
      <w:r w:rsidR="00ED1F74" w:rsidRPr="00B74F63">
        <w:rPr>
          <w:iCs/>
          <w:szCs w:val="24"/>
        </w:rPr>
        <w:t xml:space="preserve">, </w:t>
      </w:r>
      <w:r w:rsidR="00ED1F74" w:rsidRPr="00B74F63">
        <w:rPr>
          <w:szCs w:val="24"/>
        </w:rPr>
        <w:t>SOR/93</w:t>
      </w:r>
      <w:r w:rsidR="007E77D0" w:rsidRPr="00B74F63">
        <w:rPr>
          <w:szCs w:val="24"/>
        </w:rPr>
        <w:noBreakHyphen/>
      </w:r>
      <w:r w:rsidR="00ED1F74" w:rsidRPr="00B74F63">
        <w:rPr>
          <w:szCs w:val="24"/>
        </w:rPr>
        <w:t>133</w:t>
      </w:r>
      <w:r w:rsidR="007704DD" w:rsidRPr="00B74F63">
        <w:rPr>
          <w:szCs w:val="24"/>
        </w:rPr>
        <w:t>.</w:t>
      </w:r>
      <w:proofErr w:type="gramEnd"/>
    </w:p>
    <w:p w:rsidR="00762E7D" w:rsidRPr="00B74F63" w:rsidRDefault="009B57B3" w:rsidP="0076149F">
      <w:pPr>
        <w:tabs>
          <w:tab w:val="left" w:pos="1170"/>
        </w:tabs>
        <w:spacing w:line="480" w:lineRule="auto"/>
        <w:jc w:val="both"/>
        <w:rPr>
          <w:szCs w:val="24"/>
          <w:lang w:val="en-US"/>
        </w:rPr>
      </w:pPr>
      <w:r w:rsidRPr="00B74F63">
        <w:tab/>
        <w:t>APPEAL from a judgment of the Federal Court of Appeal</w:t>
      </w:r>
      <w:r w:rsidR="00503A3B" w:rsidRPr="00B74F63">
        <w:t xml:space="preserve"> (</w:t>
      </w:r>
      <w:r w:rsidR="001406E3" w:rsidRPr="00B74F63">
        <w:rPr>
          <w:szCs w:val="24"/>
        </w:rPr>
        <w:fldChar w:fldCharType="begin"/>
      </w:r>
      <w:r w:rsidR="00503A3B" w:rsidRPr="00B74F63">
        <w:rPr>
          <w:szCs w:val="24"/>
        </w:rPr>
        <w:instrText xml:space="preserve"> SEQ CHAPTER \h \r 1</w:instrText>
      </w:r>
      <w:r w:rsidR="001406E3" w:rsidRPr="00B74F63">
        <w:rPr>
          <w:szCs w:val="24"/>
        </w:rPr>
        <w:fldChar w:fldCharType="end"/>
      </w:r>
      <w:r w:rsidR="00503A3B" w:rsidRPr="00B74F63">
        <w:rPr>
          <w:szCs w:val="24"/>
          <w:lang w:val="en-US"/>
        </w:rPr>
        <w:t>Linden, Nadon and Sexton JJ.A.</w:t>
      </w:r>
      <w:r w:rsidR="00503A3B" w:rsidRPr="00B74F63">
        <w:t xml:space="preserve">), </w:t>
      </w:r>
      <w:r w:rsidR="001406E3" w:rsidRPr="00B74F63">
        <w:rPr>
          <w:szCs w:val="24"/>
        </w:rPr>
        <w:fldChar w:fldCharType="begin"/>
      </w:r>
      <w:r w:rsidR="00503A3B" w:rsidRPr="00B74F63">
        <w:rPr>
          <w:szCs w:val="24"/>
        </w:rPr>
        <w:instrText xml:space="preserve"> SEQ CHAPTER \h \r 1</w:instrText>
      </w:r>
      <w:r w:rsidR="001406E3" w:rsidRPr="00B74F63">
        <w:rPr>
          <w:szCs w:val="24"/>
        </w:rPr>
        <w:fldChar w:fldCharType="end"/>
      </w:r>
      <w:r w:rsidR="00503A3B" w:rsidRPr="00B74F63">
        <w:rPr>
          <w:szCs w:val="24"/>
          <w:lang w:val="en-US"/>
        </w:rPr>
        <w:t>2008 FCA 227, 387 N.R. 300, 67 C.P.R. (4th) 175, [2008] F.C.J. No. 1054 (QL), 2008 CarswellNat 2294, a</w:t>
      </w:r>
      <w:r w:rsidR="0076149F" w:rsidRPr="00B74F63">
        <w:rPr>
          <w:szCs w:val="24"/>
          <w:lang w:val="en-US"/>
        </w:rPr>
        <w:t xml:space="preserve">ffirming a decision of </w:t>
      </w:r>
      <w:proofErr w:type="spellStart"/>
      <w:r w:rsidR="0076149F" w:rsidRPr="00B74F63">
        <w:rPr>
          <w:szCs w:val="24"/>
          <w:lang w:val="en-US"/>
        </w:rPr>
        <w:t>Hugessen</w:t>
      </w:r>
      <w:proofErr w:type="spellEnd"/>
      <w:r w:rsidR="00BD5DE2">
        <w:rPr>
          <w:szCs w:val="24"/>
          <w:lang w:val="en-US"/>
        </w:rPr>
        <w:t xml:space="preserve"> </w:t>
      </w:r>
      <w:r w:rsidR="00503A3B" w:rsidRPr="00B74F63">
        <w:rPr>
          <w:szCs w:val="24"/>
          <w:lang w:val="en-US"/>
        </w:rPr>
        <w:t xml:space="preserve">J., </w:t>
      </w:r>
      <w:r w:rsidR="00762E7D" w:rsidRPr="00B74F63">
        <w:rPr>
          <w:szCs w:val="24"/>
          <w:lang w:val="en-US"/>
        </w:rPr>
        <w:t xml:space="preserve">2007 FC 977, </w:t>
      </w:r>
      <w:r w:rsidR="001406E3" w:rsidRPr="00B74F63">
        <w:rPr>
          <w:szCs w:val="24"/>
        </w:rPr>
        <w:fldChar w:fldCharType="begin"/>
      </w:r>
      <w:r w:rsidR="00762E7D" w:rsidRPr="00B74F63">
        <w:rPr>
          <w:szCs w:val="24"/>
        </w:rPr>
        <w:instrText xml:space="preserve"> SEQ CHAPTER \h \r 1</w:instrText>
      </w:r>
      <w:r w:rsidR="001406E3" w:rsidRPr="00B74F63">
        <w:rPr>
          <w:szCs w:val="24"/>
        </w:rPr>
        <w:fldChar w:fldCharType="end"/>
      </w:r>
      <w:r w:rsidR="0076149F" w:rsidRPr="00B74F63">
        <w:rPr>
          <w:szCs w:val="24"/>
          <w:lang w:val="en-US"/>
        </w:rPr>
        <w:t>[2007] F.C.J. No.</w:t>
      </w:r>
      <w:r w:rsidR="00BD5DE2">
        <w:rPr>
          <w:szCs w:val="24"/>
          <w:lang w:val="en-US"/>
        </w:rPr>
        <w:t xml:space="preserve"> </w:t>
      </w:r>
      <w:r w:rsidR="00762E7D" w:rsidRPr="00B74F63">
        <w:rPr>
          <w:szCs w:val="24"/>
          <w:lang w:val="en-US"/>
        </w:rPr>
        <w:t>1273 (QL), 2007 CarswellNat 3146.</w:t>
      </w:r>
      <w:r w:rsidR="00357A42" w:rsidRPr="00B74F63">
        <w:rPr>
          <w:szCs w:val="24"/>
          <w:lang w:val="en-US"/>
        </w:rPr>
        <w:t xml:space="preserve">  Appeal allowed.</w:t>
      </w:r>
    </w:p>
    <w:p w:rsidR="00656313" w:rsidRPr="00B74F63" w:rsidRDefault="00656313" w:rsidP="0076149F">
      <w:pPr>
        <w:pStyle w:val="SCCNormalDoubleSpacing"/>
        <w:tabs>
          <w:tab w:val="left" w:pos="1170"/>
        </w:tabs>
      </w:pPr>
    </w:p>
    <w:p w:rsidR="0070701F" w:rsidRPr="00B74F63" w:rsidRDefault="00D273FC" w:rsidP="0076149F">
      <w:pPr>
        <w:pStyle w:val="SCCNormalDoubleSpacing"/>
        <w:tabs>
          <w:tab w:val="left" w:pos="1170"/>
        </w:tabs>
      </w:pPr>
      <w:r w:rsidRPr="00B74F63">
        <w:rPr>
          <w:rStyle w:val="SCCCounselNameChar"/>
        </w:rPr>
        <w:tab/>
      </w:r>
      <w:proofErr w:type="gramStart"/>
      <w:r w:rsidRPr="00B74F63">
        <w:rPr>
          <w:rStyle w:val="SCCCounselNameChar"/>
        </w:rPr>
        <w:t xml:space="preserve">Andrew </w:t>
      </w:r>
      <w:proofErr w:type="spellStart"/>
      <w:r w:rsidRPr="00B74F63">
        <w:rPr>
          <w:rStyle w:val="SCCCounselNameChar"/>
        </w:rPr>
        <w:t>Brodkin</w:t>
      </w:r>
      <w:proofErr w:type="spellEnd"/>
      <w:r w:rsidRPr="00B74F63">
        <w:rPr>
          <w:rStyle w:val="SCCCounselSeparatorChar"/>
        </w:rPr>
        <w:t xml:space="preserve"> and </w:t>
      </w:r>
      <w:r w:rsidR="00BD5DE2">
        <w:rPr>
          <w:rStyle w:val="SCCCounselNameChar"/>
        </w:rPr>
        <w:t xml:space="preserve">Cynthia </w:t>
      </w:r>
      <w:r w:rsidRPr="00B74F63">
        <w:rPr>
          <w:rStyle w:val="SCCCounselNameChar"/>
        </w:rPr>
        <w:t>L. Tape</w:t>
      </w:r>
      <w:r w:rsidRPr="00B74F63">
        <w:rPr>
          <w:rStyle w:val="SCCCounselPartyRoleChar"/>
        </w:rPr>
        <w:t>, for the appellant.</w:t>
      </w:r>
      <w:proofErr w:type="gramEnd"/>
    </w:p>
    <w:p w:rsidR="0070701F" w:rsidRPr="00B74F63" w:rsidRDefault="0070701F" w:rsidP="0076149F">
      <w:pPr>
        <w:pStyle w:val="SCCNormalDoubleSpacing"/>
        <w:tabs>
          <w:tab w:val="left" w:pos="1170"/>
        </w:tabs>
      </w:pPr>
    </w:p>
    <w:p w:rsidR="0070701F" w:rsidRPr="00B74F63" w:rsidRDefault="00BD5DE2" w:rsidP="0076149F">
      <w:pPr>
        <w:pStyle w:val="SCCNormalDoubleSpacing"/>
        <w:tabs>
          <w:tab w:val="left" w:pos="1170"/>
        </w:tabs>
      </w:pPr>
      <w:r>
        <w:rPr>
          <w:rStyle w:val="SCCCounselNameChar"/>
        </w:rPr>
        <w:tab/>
      </w:r>
      <w:proofErr w:type="gramStart"/>
      <w:r>
        <w:rPr>
          <w:rStyle w:val="SCCCounselNameChar"/>
        </w:rPr>
        <w:t xml:space="preserve">Christopher </w:t>
      </w:r>
      <w:r w:rsidR="00D273FC" w:rsidRPr="00B74F63">
        <w:rPr>
          <w:rStyle w:val="SCCCounselNameChar"/>
        </w:rPr>
        <w:t>M. Rupar</w:t>
      </w:r>
      <w:r w:rsidR="00D273FC" w:rsidRPr="00B74F63">
        <w:rPr>
          <w:rStyle w:val="SCCCounselSeparatorChar"/>
        </w:rPr>
        <w:t xml:space="preserve">, </w:t>
      </w:r>
      <w:r w:rsidR="00D273FC" w:rsidRPr="00B74F63">
        <w:rPr>
          <w:rStyle w:val="SCCCounselNameChar"/>
        </w:rPr>
        <w:t>Alain Préfontaine</w:t>
      </w:r>
      <w:r w:rsidR="00D273FC" w:rsidRPr="00B74F63">
        <w:rPr>
          <w:rStyle w:val="SCCCounselSeparatorChar"/>
        </w:rPr>
        <w:t xml:space="preserve"> and </w:t>
      </w:r>
      <w:r w:rsidR="00D273FC" w:rsidRPr="00B74F63">
        <w:rPr>
          <w:rStyle w:val="SCCCounselNameChar"/>
        </w:rPr>
        <w:t>Bernard Letarte</w:t>
      </w:r>
      <w:r w:rsidR="00D273FC" w:rsidRPr="00B74F63">
        <w:rPr>
          <w:rStyle w:val="SCCCounselPartyRoleChar"/>
        </w:rPr>
        <w:t>, for the respondent</w:t>
      </w:r>
      <w:r w:rsidR="00357A42" w:rsidRPr="00B74F63">
        <w:rPr>
          <w:rStyle w:val="SCCCounselPartyRoleChar"/>
        </w:rPr>
        <w:t>s</w:t>
      </w:r>
      <w:r w:rsidR="00D273FC" w:rsidRPr="00B74F63">
        <w:rPr>
          <w:rStyle w:val="SCCCounselPartyRoleChar"/>
        </w:rPr>
        <w:t>.</w:t>
      </w:r>
      <w:proofErr w:type="gramEnd"/>
    </w:p>
    <w:p w:rsidR="00A20C6E" w:rsidRDefault="00A20C6E" w:rsidP="00A20C6E"/>
    <w:p w:rsidR="00A20C6E" w:rsidRDefault="00D51572" w:rsidP="00D51572">
      <w:r>
        <w:tab/>
        <w:t>The judgment of the Court was delivered by</w:t>
      </w:r>
    </w:p>
    <w:p w:rsidR="00D51572" w:rsidRPr="00763652" w:rsidRDefault="00D51572" w:rsidP="00D51572">
      <w:pPr>
        <w:spacing w:line="480" w:lineRule="auto"/>
      </w:pPr>
    </w:p>
    <w:p w:rsidR="00A20C6E" w:rsidRPr="00763652" w:rsidRDefault="00D51572" w:rsidP="00B06074">
      <w:pPr>
        <w:pStyle w:val="ReasonsNumbering-AltN"/>
      </w:pPr>
      <w:r w:rsidRPr="00763652">
        <w:rPr>
          <w:smallCaps/>
        </w:rPr>
        <w:t>Rothstein J.</w:t>
      </w:r>
      <w:r w:rsidRPr="00763652">
        <w:t xml:space="preserve"> — </w:t>
      </w:r>
      <w:proofErr w:type="gramStart"/>
      <w:r w:rsidR="00A20C6E" w:rsidRPr="00763652">
        <w:t>The</w:t>
      </w:r>
      <w:proofErr w:type="gramEnd"/>
      <w:r w:rsidR="00A20C6E" w:rsidRPr="00763652">
        <w:t xml:space="preserve"> issue in this appeal is whether a plaintiff, who seeks damages for a decision by Health Canada to prohibit the sale of a drug, must first invalidate that decision by way of judicial review in the Federal Court.</w:t>
      </w:r>
    </w:p>
    <w:p w:rsidR="00A20C6E" w:rsidRPr="00763652" w:rsidRDefault="00A20C6E" w:rsidP="00A337EA">
      <w:pPr>
        <w:spacing w:after="480"/>
      </w:pPr>
      <w:r w:rsidRPr="00763652">
        <w:t>I.</w:t>
      </w:r>
      <w:r w:rsidR="00D51572">
        <w:tab/>
      </w:r>
      <w:r w:rsidRPr="00A337EA">
        <w:rPr>
          <w:u w:val="single"/>
        </w:rPr>
        <w:t>Facts</w:t>
      </w:r>
    </w:p>
    <w:p w:rsidR="00A20C6E" w:rsidRPr="00763652" w:rsidRDefault="00A20C6E" w:rsidP="00B06074">
      <w:pPr>
        <w:pStyle w:val="ReasonsNumbering-AltN"/>
      </w:pPr>
      <w:r w:rsidRPr="00763652">
        <w:t>Nu-</w:t>
      </w:r>
      <w:proofErr w:type="spellStart"/>
      <w:r w:rsidRPr="00763652">
        <w:t>Pharm</w:t>
      </w:r>
      <w:proofErr w:type="spellEnd"/>
      <w:r w:rsidRPr="00763652">
        <w:t xml:space="preserve"> is a generic drug manufacturing and distribution company.  It produces the product “Nu-</w:t>
      </w:r>
      <w:proofErr w:type="spellStart"/>
      <w:r w:rsidRPr="00763652">
        <w:t>Enalapril</w:t>
      </w:r>
      <w:proofErr w:type="spellEnd"/>
      <w:r w:rsidRPr="00763652">
        <w:t xml:space="preserve">”, a cardiovascular medication for the treatment of </w:t>
      </w:r>
      <w:r w:rsidRPr="00763652">
        <w:lastRenderedPageBreak/>
        <w:t>hypertension.  In 1997, Nu-</w:t>
      </w:r>
      <w:proofErr w:type="spellStart"/>
      <w:r w:rsidRPr="00763652">
        <w:t>Pharm</w:t>
      </w:r>
      <w:proofErr w:type="spellEnd"/>
      <w:r w:rsidRPr="00763652">
        <w:t xml:space="preserve"> filed an abbreviated new drug submission with Health Canada in order to obtain authorization to sell Nu-</w:t>
      </w:r>
      <w:proofErr w:type="spellStart"/>
      <w:r w:rsidRPr="00763652">
        <w:t>Enalapril</w:t>
      </w:r>
      <w:proofErr w:type="spellEnd"/>
      <w:r w:rsidRPr="00763652">
        <w:t xml:space="preserve"> in Canada.  In the submission, Nu-</w:t>
      </w:r>
      <w:proofErr w:type="spellStart"/>
      <w:r w:rsidRPr="00763652">
        <w:t>Pharm</w:t>
      </w:r>
      <w:proofErr w:type="spellEnd"/>
      <w:r w:rsidRPr="00763652">
        <w:t xml:space="preserve"> relied on a comparison with a generic version of a drug produced by Merck and Co.  Health Canada refused to accept the abbreviated new drug submission because it failed to reference a valid Canadian reference product, a requirement under the </w:t>
      </w:r>
      <w:r w:rsidRPr="00763652">
        <w:rPr>
          <w:i/>
        </w:rPr>
        <w:t xml:space="preserve">Food and Drug </w:t>
      </w:r>
      <w:r w:rsidRPr="00E90EC4">
        <w:rPr>
          <w:i/>
        </w:rPr>
        <w:t>Regulations</w:t>
      </w:r>
      <w:r w:rsidR="00D51572">
        <w:t xml:space="preserve">, </w:t>
      </w:r>
      <w:r w:rsidRPr="00D51572">
        <w:t>C</w:t>
      </w:r>
      <w:r w:rsidRPr="00763652">
        <w:t xml:space="preserve">.R.C., </w:t>
      </w:r>
      <w:proofErr w:type="gramStart"/>
      <w:r w:rsidRPr="00763652">
        <w:t>c</w:t>
      </w:r>
      <w:proofErr w:type="gramEnd"/>
      <w:r w:rsidRPr="00763652">
        <w:t>. 870.  Health Canada’s decision was set aside on judicial review at the Federal Court (</w:t>
      </w:r>
      <w:r w:rsidRPr="00763652">
        <w:rPr>
          <w:i/>
        </w:rPr>
        <w:t>Nu-</w:t>
      </w:r>
      <w:proofErr w:type="spellStart"/>
      <w:r w:rsidRPr="00763652">
        <w:rPr>
          <w:i/>
        </w:rPr>
        <w:t>Pharm</w:t>
      </w:r>
      <w:proofErr w:type="spellEnd"/>
      <w:r w:rsidRPr="00763652">
        <w:rPr>
          <w:i/>
        </w:rPr>
        <w:t xml:space="preserve"> Inc. v. Canada (Attorney General)</w:t>
      </w:r>
      <w:r w:rsidRPr="00763652">
        <w:t>, [1999] 1 F.C. 620).</w:t>
      </w:r>
    </w:p>
    <w:p w:rsidR="00A20C6E" w:rsidRPr="00763652" w:rsidRDefault="00A20C6E" w:rsidP="00B06074">
      <w:pPr>
        <w:pStyle w:val="ReasonsNumbering-AltN"/>
      </w:pPr>
      <w:r w:rsidRPr="00763652">
        <w:t>As a result, Health Canada reviewed the abbreviated new drug submission and issued a notice of compliance for Nu-</w:t>
      </w:r>
      <w:proofErr w:type="spellStart"/>
      <w:r w:rsidRPr="00763652">
        <w:t>Enalapril</w:t>
      </w:r>
      <w:proofErr w:type="spellEnd"/>
      <w:r w:rsidRPr="00763652">
        <w:t>, which is a requirement for the advertisement and sale of the drug (</w:t>
      </w:r>
      <w:r w:rsidRPr="00763652">
        <w:rPr>
          <w:i/>
        </w:rPr>
        <w:t>Food and Drug Regulations</w:t>
      </w:r>
      <w:r w:rsidR="00BD5DE2">
        <w:t xml:space="preserve">, </w:t>
      </w:r>
      <w:r w:rsidRPr="00763652">
        <w:t>s.</w:t>
      </w:r>
      <w:r w:rsidR="00BD5DE2">
        <w:t xml:space="preserve"> </w:t>
      </w:r>
      <w:proofErr w:type="gramStart"/>
      <w:r w:rsidRPr="00763652">
        <w:t>C.08.002(</w:t>
      </w:r>
      <w:proofErr w:type="gramEnd"/>
      <w:r w:rsidRPr="00763652">
        <w:t>1)(</w:t>
      </w:r>
      <w:r w:rsidRPr="00763652">
        <w:rPr>
          <w:i/>
        </w:rPr>
        <w:t>b</w:t>
      </w:r>
      <w:r w:rsidRPr="00763652">
        <w:t>)).   Merck applied for judicial review of the decision to grant the notice of compliance because Nu-</w:t>
      </w:r>
      <w:proofErr w:type="spellStart"/>
      <w:r w:rsidRPr="00763652">
        <w:t>Pharm</w:t>
      </w:r>
      <w:proofErr w:type="spellEnd"/>
      <w:r w:rsidRPr="00763652">
        <w:t xml:space="preserve"> had compared its product to the generic version of Merck’s drug but not the patented version, </w:t>
      </w:r>
      <w:proofErr w:type="spellStart"/>
      <w:r w:rsidRPr="00763652">
        <w:t>V</w:t>
      </w:r>
      <w:r w:rsidR="00D51572">
        <w:t>asotec</w:t>
      </w:r>
      <w:proofErr w:type="spellEnd"/>
      <w:r w:rsidRPr="00763652">
        <w:t xml:space="preserve">.  The application for judicial review was allowed at the Federal Court on the basis that the decision to issue a notice of compliance was in violation of the </w:t>
      </w:r>
      <w:r w:rsidRPr="00763652">
        <w:rPr>
          <w:i/>
        </w:rPr>
        <w:t>Patented Medicines (Notice of Compliance) Regulations</w:t>
      </w:r>
      <w:r w:rsidRPr="00763652">
        <w:t>, SOR/93-133 (</w:t>
      </w:r>
      <w:r w:rsidRPr="00763652">
        <w:rPr>
          <w:i/>
        </w:rPr>
        <w:t xml:space="preserve">Merck &amp; Co. v. Canada (Attorney General) </w:t>
      </w:r>
      <w:r w:rsidRPr="00763652">
        <w:t>(1999), 176 F.T.R. 21).  The decision was upheld at the Federal Court of Appeal (</w:t>
      </w:r>
      <w:r w:rsidRPr="00763652">
        <w:rPr>
          <w:i/>
        </w:rPr>
        <w:t xml:space="preserve">Merck &amp; Co. v. </w:t>
      </w:r>
      <w:r w:rsidR="00D51572">
        <w:rPr>
          <w:i/>
        </w:rPr>
        <w:t>Canada (Attorney General)</w:t>
      </w:r>
      <w:r w:rsidRPr="00763652">
        <w:t xml:space="preserve"> (2000), 254 N.R. 68).   This Court dismissed Nu-</w:t>
      </w:r>
      <w:proofErr w:type="spellStart"/>
      <w:r w:rsidRPr="00763652">
        <w:t>Pharm’s</w:t>
      </w:r>
      <w:proofErr w:type="spellEnd"/>
      <w:r w:rsidRPr="00763652">
        <w:t xml:space="preserve"> leave to appeal application ([2000] 1 S.C.R. xvii).  </w:t>
      </w:r>
    </w:p>
    <w:p w:rsidR="00A20C6E" w:rsidRPr="00763652" w:rsidRDefault="00A20C6E" w:rsidP="00B06074">
      <w:pPr>
        <w:pStyle w:val="ReasonsNumbering-AltN"/>
      </w:pPr>
      <w:r w:rsidRPr="00763652">
        <w:lastRenderedPageBreak/>
        <w:t>As a result of these proceedings, Nu-</w:t>
      </w:r>
      <w:proofErr w:type="spellStart"/>
      <w:r w:rsidRPr="00763652">
        <w:t>Pharm</w:t>
      </w:r>
      <w:proofErr w:type="spellEnd"/>
      <w:r w:rsidRPr="00763652">
        <w:t xml:space="preserve"> no longer had a notice of compliance for the marketing of Nu-</w:t>
      </w:r>
      <w:proofErr w:type="spellStart"/>
      <w:r w:rsidRPr="00763652">
        <w:t>Enalapril</w:t>
      </w:r>
      <w:proofErr w:type="spellEnd"/>
      <w:r w:rsidRPr="00763652">
        <w:t>.  The Director General of the Therapeutic Products Directorate of Health Canada advised the provincial drug benefit managers and Registrars of Pharmacists that the sale or advertisement of Nu-</w:t>
      </w:r>
      <w:proofErr w:type="spellStart"/>
      <w:r w:rsidRPr="00763652">
        <w:t>Enalapril</w:t>
      </w:r>
      <w:proofErr w:type="spellEnd"/>
      <w:r w:rsidRPr="00763652">
        <w:t xml:space="preserve"> was now prohibited:</w:t>
      </w:r>
    </w:p>
    <w:p w:rsidR="00A20C6E" w:rsidRPr="00763652" w:rsidRDefault="00D51572" w:rsidP="00A337EA">
      <w:pPr>
        <w:spacing w:after="480"/>
      </w:pPr>
      <w:r>
        <w:t>1.</w:t>
      </w:r>
      <w:r>
        <w:tab/>
      </w:r>
      <w:r w:rsidR="00A20C6E" w:rsidRPr="00763652">
        <w:t>Letter of March 22, 2000:</w:t>
      </w:r>
    </w:p>
    <w:p w:rsidR="00A20C6E" w:rsidRPr="00763652" w:rsidRDefault="00D51572" w:rsidP="00D51572">
      <w:pPr>
        <w:pStyle w:val="Citation"/>
        <w:tabs>
          <w:tab w:val="left" w:pos="1620"/>
        </w:tabs>
        <w:spacing w:after="360"/>
        <w:ind w:firstLine="4"/>
        <w:contextualSpacing w:val="0"/>
      </w:pPr>
      <w:r>
        <w:tab/>
      </w:r>
      <w:r w:rsidR="00A20C6E" w:rsidRPr="00763652">
        <w:t>A recent judgment from the Federal Court of Appeal has affected the status of the Notice of Compliance (NOC) for Nu-</w:t>
      </w:r>
      <w:proofErr w:type="spellStart"/>
      <w:r w:rsidR="00A20C6E" w:rsidRPr="00763652">
        <w:t>Enalapril</w:t>
      </w:r>
      <w:proofErr w:type="spellEnd"/>
      <w:r w:rsidR="00A20C6E" w:rsidRPr="00763652">
        <w:t xml:space="preserve"> 2.5, 5, 10 and 20 mg tablets, issued on February 25, 1999.</w:t>
      </w:r>
    </w:p>
    <w:p w:rsidR="00A20C6E" w:rsidRPr="00763652" w:rsidRDefault="00D51572" w:rsidP="00D51572">
      <w:pPr>
        <w:pStyle w:val="Citation"/>
        <w:tabs>
          <w:tab w:val="left" w:pos="1620"/>
        </w:tabs>
        <w:spacing w:after="360"/>
        <w:ind w:firstLine="4"/>
        <w:contextualSpacing w:val="0"/>
      </w:pPr>
      <w:r>
        <w:tab/>
      </w:r>
      <w:proofErr w:type="gramStart"/>
      <w:r w:rsidR="00A20C6E" w:rsidRPr="00763652">
        <w:t>On March 13</w:t>
      </w:r>
      <w:r w:rsidR="00A20C6E" w:rsidRPr="00763652">
        <w:rPr>
          <w:vertAlign w:val="superscript"/>
        </w:rPr>
        <w:t>th</w:t>
      </w:r>
      <w:r w:rsidR="00A20C6E" w:rsidRPr="00763652">
        <w:t>, 2000, in Court File No.</w:t>
      </w:r>
      <w:proofErr w:type="gramEnd"/>
      <w:r w:rsidR="00A20C6E" w:rsidRPr="00763652">
        <w:t xml:space="preserve"> A-804-99, a decision was delivered by the Court </w:t>
      </w:r>
      <w:proofErr w:type="gramStart"/>
      <w:r w:rsidR="00A20C6E" w:rsidRPr="00763652">
        <w:t>which</w:t>
      </w:r>
      <w:proofErr w:type="gramEnd"/>
      <w:r w:rsidR="00A20C6E" w:rsidRPr="00763652">
        <w:t xml:space="preserve"> dismissed the appeal sought by Nu-</w:t>
      </w:r>
      <w:proofErr w:type="spellStart"/>
      <w:r w:rsidR="00A20C6E" w:rsidRPr="00763652">
        <w:t>Pharm</w:t>
      </w:r>
      <w:proofErr w:type="spellEnd"/>
      <w:r w:rsidR="00A20C6E" w:rsidRPr="00763652">
        <w:t xml:space="preserve"> of the trial division’s decision in Court File No. </w:t>
      </w:r>
      <w:proofErr w:type="gramStart"/>
      <w:r w:rsidR="00A20C6E" w:rsidRPr="00763652">
        <w:t>T-398-99.</w:t>
      </w:r>
      <w:proofErr w:type="gramEnd"/>
    </w:p>
    <w:p w:rsidR="00A20C6E" w:rsidRPr="00763652" w:rsidRDefault="00D51572" w:rsidP="00D51572">
      <w:pPr>
        <w:pStyle w:val="Citation"/>
        <w:tabs>
          <w:tab w:val="left" w:pos="1620"/>
        </w:tabs>
        <w:spacing w:after="360"/>
        <w:ind w:firstLine="4"/>
        <w:contextualSpacing w:val="0"/>
      </w:pPr>
      <w:r>
        <w:tab/>
      </w:r>
      <w:r w:rsidR="00A20C6E" w:rsidRPr="00763652">
        <w:t>Pursuant to the decision, the NOC for Nu-</w:t>
      </w:r>
      <w:proofErr w:type="spellStart"/>
      <w:r w:rsidR="00A20C6E" w:rsidRPr="00763652">
        <w:t>Enalapril</w:t>
      </w:r>
      <w:proofErr w:type="spellEnd"/>
      <w:r w:rsidR="00A20C6E" w:rsidRPr="00763652">
        <w:t xml:space="preserve"> is no longer valid. Consequently, the Nu-</w:t>
      </w:r>
      <w:proofErr w:type="spellStart"/>
      <w:r w:rsidR="00A20C6E" w:rsidRPr="00763652">
        <w:t>Enalapril</w:t>
      </w:r>
      <w:proofErr w:type="spellEnd"/>
      <w:r w:rsidR="00A20C6E" w:rsidRPr="00763652">
        <w:t xml:space="preserve"> products may no longer be sold or advertised pursuant to the NOC issued on February 25, 1999, subject to any further judicial consideration of the decision.</w:t>
      </w:r>
    </w:p>
    <w:p w:rsidR="00A20C6E" w:rsidRPr="00763652" w:rsidRDefault="00D51572" w:rsidP="00A337EA">
      <w:pPr>
        <w:spacing w:after="480"/>
      </w:pPr>
      <w:r>
        <w:t>2.</w:t>
      </w:r>
      <w:r>
        <w:tab/>
      </w:r>
      <w:r w:rsidR="00A20C6E" w:rsidRPr="00763652">
        <w:t>Letter of March 31, 2000:</w:t>
      </w:r>
    </w:p>
    <w:p w:rsidR="00A20C6E" w:rsidRPr="00763652" w:rsidRDefault="00D51572" w:rsidP="00D51572">
      <w:pPr>
        <w:pStyle w:val="Citation"/>
        <w:tabs>
          <w:tab w:val="left" w:pos="1620"/>
        </w:tabs>
        <w:spacing w:after="360"/>
        <w:ind w:firstLine="4"/>
        <w:contextualSpacing w:val="0"/>
      </w:pPr>
      <w:r>
        <w:tab/>
      </w:r>
      <w:r w:rsidR="00A20C6E" w:rsidRPr="00763652">
        <w:t>Unless a further judicial order is made to the contrary, the NOC for Nu-</w:t>
      </w:r>
      <w:proofErr w:type="spellStart"/>
      <w:r w:rsidR="00A20C6E" w:rsidRPr="00763652">
        <w:t>Enalapril</w:t>
      </w:r>
      <w:proofErr w:type="spellEnd"/>
      <w:r w:rsidR="00A20C6E" w:rsidRPr="00763652">
        <w:t xml:space="preserve"> is invalid from the date of issuance of the Judgment of the Court of Appeal, March 13, 2000. Continued sale or advertisement of Nu-</w:t>
      </w:r>
      <w:proofErr w:type="spellStart"/>
      <w:r w:rsidR="00A20C6E" w:rsidRPr="00763652">
        <w:t>Enalapril</w:t>
      </w:r>
      <w:proofErr w:type="spellEnd"/>
      <w:r w:rsidR="00A20C6E" w:rsidRPr="00763652">
        <w:t xml:space="preserve"> by anyone is contrary to section C.08.002 of the </w:t>
      </w:r>
      <w:r w:rsidR="00A20C6E" w:rsidRPr="00763652">
        <w:rPr>
          <w:i/>
        </w:rPr>
        <w:t>Food &amp; Drug Regulations</w:t>
      </w:r>
      <w:r w:rsidR="00A20C6E" w:rsidRPr="00763652">
        <w:t>. This includes the distributing or dispensing of existing stock of the drug purchased from Nu-</w:t>
      </w:r>
      <w:proofErr w:type="spellStart"/>
      <w:r w:rsidR="00A20C6E" w:rsidRPr="00763652">
        <w:t>Pharm</w:t>
      </w:r>
      <w:proofErr w:type="spellEnd"/>
      <w:r w:rsidR="00A20C6E" w:rsidRPr="00763652">
        <w:t xml:space="preserve"> prior to the Judgment.</w:t>
      </w:r>
    </w:p>
    <w:p w:rsidR="00A20C6E" w:rsidRDefault="00D51572" w:rsidP="00D51572">
      <w:pPr>
        <w:pStyle w:val="Citation"/>
        <w:tabs>
          <w:tab w:val="left" w:pos="1620"/>
        </w:tabs>
        <w:spacing w:after="360"/>
        <w:ind w:firstLine="4"/>
        <w:contextualSpacing w:val="0"/>
      </w:pPr>
      <w:r>
        <w:tab/>
      </w:r>
      <w:r w:rsidR="00A20C6E" w:rsidRPr="00763652">
        <w:t>The TPP has clarified the above interpretation with Nu-Pharm.</w:t>
      </w:r>
    </w:p>
    <w:p w:rsidR="00BD5DE2" w:rsidRPr="00763652" w:rsidRDefault="00BD5DE2" w:rsidP="00D51572">
      <w:pPr>
        <w:pStyle w:val="Citation"/>
        <w:tabs>
          <w:tab w:val="left" w:pos="1620"/>
        </w:tabs>
        <w:spacing w:after="360"/>
        <w:ind w:firstLine="4"/>
        <w:contextualSpacing w:val="0"/>
      </w:pPr>
    </w:p>
    <w:p w:rsidR="00A20C6E" w:rsidRPr="00763652" w:rsidRDefault="00A20C6E" w:rsidP="00B06074">
      <w:pPr>
        <w:pStyle w:val="ReasonsNumbering-AltN"/>
      </w:pPr>
      <w:r w:rsidRPr="00763652">
        <w:lastRenderedPageBreak/>
        <w:t>Nu-</w:t>
      </w:r>
      <w:proofErr w:type="spellStart"/>
      <w:r w:rsidRPr="00763652">
        <w:t>Pharm</w:t>
      </w:r>
      <w:proofErr w:type="spellEnd"/>
      <w:r w:rsidRPr="00763652">
        <w:t xml:space="preserve"> wrote to the Director General advising that it disagreed with the position of Health Canada and the statements in the letters.  Nu-</w:t>
      </w:r>
      <w:proofErr w:type="spellStart"/>
      <w:r w:rsidRPr="00763652">
        <w:t>Pharm</w:t>
      </w:r>
      <w:proofErr w:type="spellEnd"/>
      <w:r w:rsidRPr="00763652">
        <w:t xml:space="preserve"> argued that Nu-</w:t>
      </w:r>
      <w:proofErr w:type="spellStart"/>
      <w:r w:rsidRPr="00763652">
        <w:t>Enalapril</w:t>
      </w:r>
      <w:proofErr w:type="spellEnd"/>
      <w:r w:rsidRPr="00763652">
        <w:t xml:space="preserve"> was not a new drug, as defined in the regulations. Accordingly, a notice of compliance was not necessary for its lawful sale.  In a further letter to the Director General, Nu-</w:t>
      </w:r>
      <w:proofErr w:type="spellStart"/>
      <w:r w:rsidRPr="00763652">
        <w:t>Pharm</w:t>
      </w:r>
      <w:proofErr w:type="spellEnd"/>
      <w:r w:rsidRPr="00763652">
        <w:t xml:space="preserve"> noted that the Therapeutic Products Directorate’s official policy provided that seven years after the initial date of marketing a medicinal substance, a drug containing that medicinal substance would no longer be considered “new”.  Nu-</w:t>
      </w:r>
      <w:proofErr w:type="spellStart"/>
      <w:r w:rsidRPr="00763652">
        <w:t>Pharm</w:t>
      </w:r>
      <w:proofErr w:type="spellEnd"/>
      <w:r w:rsidRPr="00763652">
        <w:t xml:space="preserve"> requested that the Director General agree with its position that Nu-</w:t>
      </w:r>
      <w:proofErr w:type="spellStart"/>
      <w:r w:rsidRPr="00763652">
        <w:t>Enalapril</w:t>
      </w:r>
      <w:proofErr w:type="spellEnd"/>
      <w:r w:rsidRPr="00763652">
        <w:t xml:space="preserve"> was not a “new drug” and lift the prohibition on its sale and marketing.</w:t>
      </w:r>
    </w:p>
    <w:p w:rsidR="00A20C6E" w:rsidRPr="00763652" w:rsidRDefault="00A20C6E" w:rsidP="00B06074">
      <w:pPr>
        <w:pStyle w:val="ReasonsNumbering-AltN"/>
      </w:pPr>
      <w:r w:rsidRPr="00763652">
        <w:t>The Director General responded to Nu-</w:t>
      </w:r>
      <w:proofErr w:type="spellStart"/>
      <w:r w:rsidRPr="00763652">
        <w:t>Pharm’s</w:t>
      </w:r>
      <w:proofErr w:type="spellEnd"/>
      <w:r w:rsidRPr="00763652">
        <w:t xml:space="preserve"> letters and indicated that he did not agree with Nu-</w:t>
      </w:r>
      <w:proofErr w:type="spellStart"/>
      <w:r w:rsidRPr="00763652">
        <w:t>Pharm’s</w:t>
      </w:r>
      <w:proofErr w:type="spellEnd"/>
      <w:r w:rsidRPr="00763652">
        <w:t xml:space="preserve"> position on the necessity of obtaining a notice of compliance for the marketing of Nu-</w:t>
      </w:r>
      <w:proofErr w:type="spellStart"/>
      <w:r w:rsidRPr="00763652">
        <w:t>Enalapril</w:t>
      </w:r>
      <w:proofErr w:type="spellEnd"/>
      <w:r w:rsidRPr="00763652">
        <w:t>.  Nu-</w:t>
      </w:r>
      <w:proofErr w:type="spellStart"/>
      <w:r w:rsidRPr="00763652">
        <w:t>Pharm</w:t>
      </w:r>
      <w:proofErr w:type="spellEnd"/>
      <w:r w:rsidRPr="00763652">
        <w:t xml:space="preserve"> and the Director General exchanged several more letters over the course of several months.  Neither party changed its view on the matter.</w:t>
      </w:r>
    </w:p>
    <w:p w:rsidR="00A20C6E" w:rsidRPr="00763652" w:rsidRDefault="00A20C6E" w:rsidP="00B06074">
      <w:pPr>
        <w:pStyle w:val="ReasonsNumbering-AltN"/>
      </w:pPr>
      <w:r w:rsidRPr="00763652">
        <w:t>On February 22, 2001, Nu-</w:t>
      </w:r>
      <w:proofErr w:type="spellStart"/>
      <w:r w:rsidRPr="00763652">
        <w:t>Pharm</w:t>
      </w:r>
      <w:proofErr w:type="spellEnd"/>
      <w:r w:rsidRPr="00763652">
        <w:t xml:space="preserve"> initiated an application for judicial review, alleging that the Director General was acting unlawfully in requiring Nu-</w:t>
      </w:r>
      <w:proofErr w:type="spellStart"/>
      <w:r w:rsidRPr="00763652">
        <w:t>Pharm</w:t>
      </w:r>
      <w:proofErr w:type="spellEnd"/>
      <w:r w:rsidRPr="00763652">
        <w:t xml:space="preserve"> to obtain a notice of compliance and by prohibiting the sale of Nu-</w:t>
      </w:r>
      <w:proofErr w:type="spellStart"/>
      <w:r w:rsidRPr="00763652">
        <w:t>Enalapril</w:t>
      </w:r>
      <w:proofErr w:type="spellEnd"/>
      <w:r w:rsidRPr="00763652">
        <w:t>.  Nu-</w:t>
      </w:r>
      <w:proofErr w:type="spellStart"/>
      <w:r w:rsidRPr="00763652">
        <w:t>Pharm</w:t>
      </w:r>
      <w:proofErr w:type="spellEnd"/>
      <w:r w:rsidRPr="00763652">
        <w:t xml:space="preserve"> later discontinued this application.</w:t>
      </w:r>
    </w:p>
    <w:p w:rsidR="00A20C6E" w:rsidRPr="00763652" w:rsidRDefault="00A20C6E" w:rsidP="00B06074">
      <w:pPr>
        <w:pStyle w:val="ReasonsNumbering-AltN"/>
      </w:pPr>
      <w:r w:rsidRPr="00763652">
        <w:t>On February 12, 2002, Nu-</w:t>
      </w:r>
      <w:proofErr w:type="spellStart"/>
      <w:r w:rsidRPr="00763652">
        <w:t>Pharm</w:t>
      </w:r>
      <w:proofErr w:type="spellEnd"/>
      <w:r w:rsidRPr="00763652">
        <w:t xml:space="preserve"> filed a statement of claim</w:t>
      </w:r>
      <w:r w:rsidRPr="00763652">
        <w:rPr>
          <w:color w:val="000000"/>
        </w:rPr>
        <w:t xml:space="preserve"> in the Federal Court</w:t>
      </w:r>
      <w:r w:rsidRPr="00763652">
        <w:t xml:space="preserve"> bringing an action against Her Majesty the Queen, the Attorney General of </w:t>
      </w:r>
      <w:r w:rsidRPr="00763652">
        <w:lastRenderedPageBreak/>
        <w:t>Canada and the Director General (collectively, the “Crown”).  The statement initially sought:</w:t>
      </w:r>
    </w:p>
    <w:p w:rsidR="006F03D0" w:rsidRDefault="004775C8" w:rsidP="007539E2">
      <w:pPr>
        <w:pStyle w:val="Citation"/>
        <w:tabs>
          <w:tab w:val="left" w:pos="720"/>
        </w:tabs>
        <w:spacing w:after="0" w:line="480" w:lineRule="auto"/>
        <w:ind w:left="720" w:hanging="720"/>
        <w:contextualSpacing w:val="0"/>
      </w:pPr>
      <w:r>
        <w:t>•</w:t>
      </w:r>
      <w:r>
        <w:tab/>
      </w:r>
      <w:proofErr w:type="gramStart"/>
      <w:r w:rsidR="00A20C6E" w:rsidRPr="00763652">
        <w:t>an</w:t>
      </w:r>
      <w:proofErr w:type="gramEnd"/>
      <w:r w:rsidR="00A20C6E" w:rsidRPr="00763652">
        <w:t xml:space="preserve"> order enjoining the Director General from publishing further statements advising that the sale of Nu-</w:t>
      </w:r>
      <w:proofErr w:type="spellStart"/>
      <w:r w:rsidR="00A20C6E" w:rsidRPr="00763652">
        <w:t>Enalapril</w:t>
      </w:r>
      <w:proofErr w:type="spellEnd"/>
      <w:r w:rsidR="00A20C6E" w:rsidRPr="00763652">
        <w:t xml:space="preserve"> is unlawful;</w:t>
      </w:r>
    </w:p>
    <w:p w:rsidR="006F03D0" w:rsidRPr="00763652" w:rsidRDefault="006F03D0" w:rsidP="007539E2">
      <w:pPr>
        <w:pStyle w:val="Citation"/>
        <w:tabs>
          <w:tab w:val="left" w:pos="720"/>
        </w:tabs>
        <w:spacing w:after="0" w:line="480" w:lineRule="auto"/>
        <w:ind w:left="720" w:hanging="720"/>
        <w:contextualSpacing w:val="0"/>
      </w:pPr>
    </w:p>
    <w:p w:rsidR="00A20C6E" w:rsidRDefault="004775C8" w:rsidP="007539E2">
      <w:pPr>
        <w:pStyle w:val="Citation"/>
        <w:tabs>
          <w:tab w:val="left" w:pos="720"/>
        </w:tabs>
        <w:spacing w:after="0" w:line="480" w:lineRule="auto"/>
        <w:ind w:left="720" w:hanging="720"/>
        <w:contextualSpacing w:val="0"/>
      </w:pPr>
      <w:r>
        <w:t>•</w:t>
      </w:r>
      <w:r>
        <w:tab/>
      </w:r>
      <w:proofErr w:type="gramStart"/>
      <w:r w:rsidR="00A20C6E" w:rsidRPr="00763652">
        <w:t>a</w:t>
      </w:r>
      <w:proofErr w:type="gramEnd"/>
      <w:r w:rsidR="00A20C6E" w:rsidRPr="00763652">
        <w:t xml:space="preserve"> mandatory order requiring the Director General to retract the previous statements to the same effect; and</w:t>
      </w:r>
    </w:p>
    <w:p w:rsidR="006F03D0" w:rsidRPr="00763652" w:rsidRDefault="006F03D0" w:rsidP="007539E2">
      <w:pPr>
        <w:pStyle w:val="Citation"/>
        <w:tabs>
          <w:tab w:val="left" w:pos="720"/>
        </w:tabs>
        <w:spacing w:after="0" w:line="480" w:lineRule="auto"/>
        <w:ind w:left="720" w:hanging="720"/>
        <w:contextualSpacing w:val="0"/>
      </w:pPr>
    </w:p>
    <w:p w:rsidR="00A20C6E" w:rsidRDefault="004775C8" w:rsidP="007539E2">
      <w:pPr>
        <w:pStyle w:val="Citation"/>
        <w:tabs>
          <w:tab w:val="left" w:pos="720"/>
        </w:tabs>
        <w:spacing w:after="0" w:line="480" w:lineRule="auto"/>
        <w:ind w:left="720" w:hanging="720"/>
        <w:contextualSpacing w:val="0"/>
      </w:pPr>
      <w:r>
        <w:t>•</w:t>
      </w:r>
      <w:r>
        <w:tab/>
      </w:r>
      <w:proofErr w:type="gramStart"/>
      <w:r w:rsidR="00A20C6E" w:rsidRPr="00763652">
        <w:t>damages</w:t>
      </w:r>
      <w:proofErr w:type="gramEnd"/>
      <w:r w:rsidR="00A20C6E" w:rsidRPr="00763652">
        <w:t xml:space="preserve"> for misfeasance in public office, abuse of authority, illegal interference with Nu-</w:t>
      </w:r>
      <w:proofErr w:type="spellStart"/>
      <w:r w:rsidR="00A20C6E" w:rsidRPr="00763652">
        <w:t>Pharm’s</w:t>
      </w:r>
      <w:proofErr w:type="spellEnd"/>
      <w:r w:rsidR="00A20C6E" w:rsidRPr="00763652">
        <w:t xml:space="preserve"> economic interests, and gross negligence, or alternatively negligence. </w:t>
      </w:r>
    </w:p>
    <w:p w:rsidR="004775C8" w:rsidRPr="00763652" w:rsidRDefault="004775C8" w:rsidP="007539E2">
      <w:pPr>
        <w:pStyle w:val="Citation"/>
        <w:tabs>
          <w:tab w:val="left" w:pos="720"/>
        </w:tabs>
        <w:spacing w:after="0" w:line="480" w:lineRule="auto"/>
        <w:ind w:left="720" w:hanging="720"/>
        <w:contextualSpacing w:val="0"/>
      </w:pPr>
    </w:p>
    <w:p w:rsidR="00A20C6E" w:rsidRPr="00763652" w:rsidRDefault="00A20C6E" w:rsidP="00A337EA">
      <w:pPr>
        <w:pStyle w:val="SCCNormalDoubleSpacing"/>
        <w:spacing w:after="480"/>
      </w:pPr>
      <w:r w:rsidRPr="00763652">
        <w:t>Nu-</w:t>
      </w:r>
      <w:proofErr w:type="spellStart"/>
      <w:r w:rsidRPr="00763652">
        <w:t>Pharm</w:t>
      </w:r>
      <w:proofErr w:type="spellEnd"/>
      <w:r w:rsidRPr="00763652">
        <w:t xml:space="preserve"> brought this action to mitigate its financial losses resulting from the prohibition on the marketing of its product.</w:t>
      </w:r>
    </w:p>
    <w:p w:rsidR="00A20C6E" w:rsidRPr="00763652" w:rsidRDefault="00A20C6E" w:rsidP="00B06074">
      <w:pPr>
        <w:pStyle w:val="ReasonsNumbering-AltN"/>
      </w:pPr>
      <w:r w:rsidRPr="00763652">
        <w:t>During these proceedings, Nu-</w:t>
      </w:r>
      <w:proofErr w:type="spellStart"/>
      <w:r w:rsidRPr="00763652">
        <w:t>Pharm</w:t>
      </w:r>
      <w:proofErr w:type="spellEnd"/>
      <w:r w:rsidRPr="00763652">
        <w:t xml:space="preserve"> obtained authorization to market Nu-</w:t>
      </w:r>
      <w:proofErr w:type="spellStart"/>
      <w:r w:rsidRPr="00763652">
        <w:t>Enalapril</w:t>
      </w:r>
      <w:proofErr w:type="spellEnd"/>
      <w:r w:rsidRPr="00763652">
        <w:t xml:space="preserve"> in Canada.  Therefore, the injunctive and mandatory orders that it sought are moot and Nu-</w:t>
      </w:r>
      <w:proofErr w:type="spellStart"/>
      <w:r w:rsidRPr="00763652">
        <w:t>Pharm</w:t>
      </w:r>
      <w:proofErr w:type="spellEnd"/>
      <w:r w:rsidRPr="00763652">
        <w:t xml:space="preserve"> no longer pursues these claims.  All that remains of Nu-</w:t>
      </w:r>
      <w:proofErr w:type="spellStart"/>
      <w:r w:rsidRPr="00763652">
        <w:t>Pharm’s</w:t>
      </w:r>
      <w:proofErr w:type="spellEnd"/>
      <w:r w:rsidRPr="00763652">
        <w:t xml:space="preserve"> action against the federal Crown is the claim for damages incurred during the period between the Director General’s first letter and the moment it was able to market its product (approximately from March 2000 to October 2006).</w:t>
      </w:r>
    </w:p>
    <w:p w:rsidR="00A20C6E" w:rsidRPr="00763652" w:rsidRDefault="00A20C6E" w:rsidP="00B06074">
      <w:pPr>
        <w:pStyle w:val="ReasonsNumbering-AltN"/>
      </w:pPr>
      <w:r w:rsidRPr="00763652">
        <w:lastRenderedPageBreak/>
        <w:t>On April 13, 2007, the Crown filed a notice of motion for summary judgment on the ground that “Nu-</w:t>
      </w:r>
      <w:proofErr w:type="spellStart"/>
      <w:r w:rsidRPr="00763652">
        <w:t>Pharm</w:t>
      </w:r>
      <w:proofErr w:type="spellEnd"/>
      <w:r w:rsidRPr="00763652">
        <w:t xml:space="preserve"> is not entitled to seek damages in an action resulting from the decisions of the Director-General without first proceeding by way of judicial review in order to h</w:t>
      </w:r>
      <w:r w:rsidR="00D51572">
        <w:t>ave the decision invalidated” (R</w:t>
      </w:r>
      <w:r w:rsidR="00BD5DE2">
        <w:t>.R.,</w:t>
      </w:r>
      <w:r w:rsidRPr="00763652">
        <w:t xml:space="preserve"> vol. I, at p. 41).</w:t>
      </w:r>
    </w:p>
    <w:p w:rsidR="00A20C6E" w:rsidRPr="00763652" w:rsidRDefault="00A20C6E" w:rsidP="00A337EA">
      <w:pPr>
        <w:spacing w:after="480"/>
      </w:pPr>
      <w:r w:rsidRPr="00763652">
        <w:t>II.</w:t>
      </w:r>
      <w:r w:rsidR="006140A0">
        <w:tab/>
      </w:r>
      <w:r w:rsidRPr="00A337EA">
        <w:rPr>
          <w:u w:val="single"/>
        </w:rPr>
        <w:t>Judicial History</w:t>
      </w:r>
    </w:p>
    <w:p w:rsidR="00A20C6E" w:rsidRPr="00763652" w:rsidRDefault="00AD16E4" w:rsidP="00AD16E4">
      <w:pPr>
        <w:spacing w:after="480"/>
      </w:pPr>
      <w:r w:rsidRPr="00AD16E4">
        <w:t>A.</w:t>
      </w:r>
      <w:r w:rsidRPr="00AD16E4">
        <w:tab/>
      </w:r>
      <w:r w:rsidR="00A20C6E" w:rsidRPr="00AD16E4">
        <w:rPr>
          <w:i/>
        </w:rPr>
        <w:t>Federal Court, 2007 FC 977 (CanLII)</w:t>
      </w:r>
    </w:p>
    <w:p w:rsidR="00A20C6E" w:rsidRPr="00763652" w:rsidRDefault="00A20C6E" w:rsidP="00B06074">
      <w:pPr>
        <w:pStyle w:val="ReasonsNumbering-AltN"/>
      </w:pPr>
      <w:r w:rsidRPr="00763652">
        <w:t xml:space="preserve">Mr. Justice </w:t>
      </w:r>
      <w:proofErr w:type="spellStart"/>
      <w:r w:rsidRPr="00763652">
        <w:t>Hugessen</w:t>
      </w:r>
      <w:proofErr w:type="spellEnd"/>
      <w:r w:rsidRPr="00763652">
        <w:t xml:space="preserve"> allowed the Crown’s motion for summary judgment on the basis of </w:t>
      </w:r>
      <w:r w:rsidRPr="00763652">
        <w:rPr>
          <w:i/>
        </w:rPr>
        <w:t>Canada v.</w:t>
      </w:r>
      <w:r w:rsidRPr="00763652">
        <w:t xml:space="preserve"> </w:t>
      </w:r>
      <w:r w:rsidRPr="00763652">
        <w:rPr>
          <w:i/>
        </w:rPr>
        <w:t>Grenier</w:t>
      </w:r>
      <w:r w:rsidRPr="00763652">
        <w:t>, 2005 FCA 348, [2006] 2 F.C.R. 287.  He concluded that</w:t>
      </w:r>
    </w:p>
    <w:p w:rsidR="00A20C6E" w:rsidRPr="00763652" w:rsidRDefault="00A20C6E" w:rsidP="00A20C6E">
      <w:pPr>
        <w:pStyle w:val="Citation"/>
      </w:pPr>
      <w:r w:rsidRPr="00763652">
        <w:t>the obtaining of the damages claimed in paragraph 1(c) of the amended statement of</w:t>
      </w:r>
      <w:r w:rsidR="00D51572">
        <w:t xml:space="preserve"> claim above is entirely </w:t>
      </w:r>
      <w:proofErr w:type="spellStart"/>
      <w:r w:rsidR="00D51572">
        <w:t>dependa</w:t>
      </w:r>
      <w:r w:rsidRPr="00763652">
        <w:t>nt</w:t>
      </w:r>
      <w:proofErr w:type="spellEnd"/>
      <w:r w:rsidRPr="00763652">
        <w:t xml:space="preserve"> upon the plaintiff showing the unlawful character of the Director-General’s decisions .</w:t>
      </w:r>
      <w:r w:rsidR="00F866C4">
        <w:t xml:space="preserve"> </w:t>
      </w:r>
      <w:r w:rsidRPr="00763652">
        <w:t>.</w:t>
      </w:r>
      <w:r w:rsidR="00F866C4">
        <w:t xml:space="preserve"> </w:t>
      </w:r>
      <w:r w:rsidRPr="00763652">
        <w:t>.</w:t>
      </w:r>
      <w:r w:rsidR="00F866C4">
        <w:t xml:space="preserve"> </w:t>
      </w:r>
      <w:r w:rsidRPr="00763652">
        <w:t>.</w:t>
      </w:r>
      <w:r w:rsidR="00F866C4">
        <w:t xml:space="preserve"> </w:t>
      </w:r>
      <w:r w:rsidRPr="00763652">
        <w:t>The addition of an allegation of negligence, gross or not, in the action cannot be divorced from the allegation that the Director-General acted unlawfully. [para. 16]</w:t>
      </w:r>
    </w:p>
    <w:p w:rsidR="00A20C6E" w:rsidRDefault="00A20C6E" w:rsidP="00B06074">
      <w:pPr>
        <w:pStyle w:val="ReasonsNumbering-AltN"/>
      </w:pPr>
      <w:r w:rsidRPr="00763652">
        <w:t>Having determined that Nu-</w:t>
      </w:r>
      <w:proofErr w:type="spellStart"/>
      <w:r w:rsidRPr="00763652">
        <w:t>Pharm’s</w:t>
      </w:r>
      <w:proofErr w:type="spellEnd"/>
      <w:r w:rsidRPr="00763652">
        <w:t xml:space="preserve"> action was “fatally flawed by its failure to maintain its application for judicial review” (at para. 17), </w:t>
      </w:r>
      <w:proofErr w:type="spellStart"/>
      <w:r w:rsidRPr="00763652">
        <w:t>Hugessen</w:t>
      </w:r>
      <w:proofErr w:type="spellEnd"/>
      <w:r w:rsidRPr="00763652">
        <w:t xml:space="preserve"> J. considered possible alternative remedies.  </w:t>
      </w:r>
      <w:proofErr w:type="spellStart"/>
      <w:r w:rsidRPr="00763652">
        <w:t>Hugessen</w:t>
      </w:r>
      <w:proofErr w:type="spellEnd"/>
      <w:r w:rsidRPr="00763652">
        <w:t xml:space="preserve"> J. ordered a temporary stay of his judgment to allow Nu-</w:t>
      </w:r>
      <w:proofErr w:type="spellStart"/>
      <w:r w:rsidRPr="00763652">
        <w:t>Pharm</w:t>
      </w:r>
      <w:proofErr w:type="spellEnd"/>
      <w:r w:rsidRPr="00763652">
        <w:t xml:space="preserve"> to seek an extension of time to file for judicial review and to pursue that course of action.  If Nu-</w:t>
      </w:r>
      <w:proofErr w:type="spellStart"/>
      <w:r w:rsidRPr="00763652">
        <w:t>Pharm</w:t>
      </w:r>
      <w:proofErr w:type="spellEnd"/>
      <w:r w:rsidRPr="00763652">
        <w:t xml:space="preserve"> was successful on judicial review, </w:t>
      </w:r>
      <w:proofErr w:type="spellStart"/>
      <w:r w:rsidRPr="00763652">
        <w:t>Hugesson</w:t>
      </w:r>
      <w:proofErr w:type="spellEnd"/>
      <w:r w:rsidRPr="00763652">
        <w:t xml:space="preserve"> J.’s judgment could be vacated. If unsuccessful, the judgment would become permanent.</w:t>
      </w:r>
    </w:p>
    <w:p w:rsidR="00A20C6E" w:rsidRPr="00763652" w:rsidRDefault="00AD16E4" w:rsidP="00AD16E4">
      <w:pPr>
        <w:spacing w:after="480"/>
      </w:pPr>
      <w:r>
        <w:lastRenderedPageBreak/>
        <w:t>B.</w:t>
      </w:r>
      <w:r>
        <w:tab/>
      </w:r>
      <w:r w:rsidR="00A20C6E" w:rsidRPr="00A337EA">
        <w:rPr>
          <w:i/>
        </w:rPr>
        <w:t xml:space="preserve">Federal Court of Appeal, 2008 FCA 227, </w:t>
      </w:r>
      <w:proofErr w:type="gramStart"/>
      <w:r w:rsidR="00A20C6E" w:rsidRPr="00A337EA">
        <w:rPr>
          <w:i/>
        </w:rPr>
        <w:t>387 N.R. 300</w:t>
      </w:r>
      <w:proofErr w:type="gramEnd"/>
    </w:p>
    <w:p w:rsidR="00A20C6E" w:rsidRPr="00763652" w:rsidRDefault="00A20C6E" w:rsidP="00B06074">
      <w:pPr>
        <w:pStyle w:val="ReasonsNumbering-AltN"/>
      </w:pPr>
      <w:r w:rsidRPr="00763652">
        <w:t>Nu-</w:t>
      </w:r>
      <w:proofErr w:type="spellStart"/>
      <w:r w:rsidRPr="00763652">
        <w:t>Pharm’s</w:t>
      </w:r>
      <w:proofErr w:type="spellEnd"/>
      <w:r w:rsidRPr="00763652">
        <w:t xml:space="preserve"> appeal was dismissed at the Federal Court of Appeal, again on the basis of </w:t>
      </w:r>
      <w:r w:rsidRPr="00763652">
        <w:rPr>
          <w:i/>
        </w:rPr>
        <w:t>Grenier</w:t>
      </w:r>
      <w:r w:rsidRPr="00763652">
        <w:t>.  Nadon J.A., writing for a unanimous court, concluded that Nu-</w:t>
      </w:r>
      <w:proofErr w:type="spellStart"/>
      <w:r w:rsidRPr="00763652">
        <w:t>Pharm’s</w:t>
      </w:r>
      <w:proofErr w:type="spellEnd"/>
      <w:r w:rsidRPr="00763652">
        <w:t xml:space="preserve"> action constituted a collateral attack on the decisions of the Director General.  As the court had found in </w:t>
      </w:r>
      <w:r w:rsidRPr="00763652">
        <w:rPr>
          <w:i/>
        </w:rPr>
        <w:t>Grenier</w:t>
      </w:r>
      <w:r w:rsidRPr="00763652">
        <w:t>, the decisions could only be challenged by way of judicial review.</w:t>
      </w:r>
    </w:p>
    <w:p w:rsidR="00A20C6E" w:rsidRPr="00763652" w:rsidRDefault="00A20C6E" w:rsidP="00AD16E4">
      <w:pPr>
        <w:spacing w:after="480"/>
      </w:pPr>
      <w:r w:rsidRPr="00763652">
        <w:t>III.</w:t>
      </w:r>
      <w:r w:rsidR="00AD16E4">
        <w:tab/>
      </w:r>
      <w:r w:rsidRPr="00A337EA">
        <w:rPr>
          <w:u w:val="single"/>
        </w:rPr>
        <w:t>Relevant Provisions</w:t>
      </w:r>
    </w:p>
    <w:p w:rsidR="00A20C6E" w:rsidRPr="00763652" w:rsidRDefault="001406E3" w:rsidP="00B06074">
      <w:pPr>
        <w:pStyle w:val="ReasonsNumbering-AltN"/>
      </w:pPr>
      <w:r w:rsidRPr="00763652">
        <w:rPr>
          <w:szCs w:val="24"/>
        </w:rPr>
        <w:fldChar w:fldCharType="begin"/>
      </w:r>
      <w:r w:rsidR="00A20C6E" w:rsidRPr="00763652">
        <w:rPr>
          <w:szCs w:val="24"/>
        </w:rPr>
        <w:instrText xml:space="preserve"> SEQ CHAPTER \h \r 1</w:instrText>
      </w:r>
      <w:r w:rsidRPr="00763652">
        <w:rPr>
          <w:szCs w:val="24"/>
        </w:rPr>
        <w:fldChar w:fldCharType="end"/>
      </w:r>
      <w:r w:rsidR="00A20C6E" w:rsidRPr="00763652">
        <w:rPr>
          <w:i/>
        </w:rPr>
        <w:t xml:space="preserve">Food and Drug </w:t>
      </w:r>
      <w:r w:rsidR="00A20C6E" w:rsidRPr="00A337EA">
        <w:rPr>
          <w:i/>
        </w:rPr>
        <w:t>Regulations</w:t>
      </w:r>
      <w:r w:rsidR="00A20C6E" w:rsidRPr="00763652">
        <w:t>, C.R.C., c. 870</w:t>
      </w:r>
    </w:p>
    <w:p w:rsidR="00A20C6E" w:rsidRPr="00763652" w:rsidRDefault="00D51572" w:rsidP="00D51572">
      <w:pPr>
        <w:pStyle w:val="Citation"/>
        <w:tabs>
          <w:tab w:val="left" w:pos="1620"/>
        </w:tabs>
        <w:spacing w:after="360"/>
        <w:ind w:firstLine="4"/>
        <w:contextualSpacing w:val="0"/>
      </w:pPr>
      <w:r>
        <w:rPr>
          <w:b/>
        </w:rPr>
        <w:tab/>
      </w:r>
      <w:r w:rsidR="00A20C6E" w:rsidRPr="00763652">
        <w:rPr>
          <w:b/>
        </w:rPr>
        <w:t>C.08.001.</w:t>
      </w:r>
      <w:r w:rsidR="00A20C6E" w:rsidRPr="00763652">
        <w:t xml:space="preserve"> For the purposes of the Act and this Division, “new drug” means</w:t>
      </w:r>
    </w:p>
    <w:p w:rsidR="00A20C6E" w:rsidRPr="00763652" w:rsidRDefault="00A20C6E" w:rsidP="00A20C6E">
      <w:pPr>
        <w:pStyle w:val="Citation"/>
        <w:tabs>
          <w:tab w:val="left" w:pos="1620"/>
        </w:tabs>
        <w:spacing w:after="360"/>
        <w:ind w:left="1620" w:hanging="454"/>
        <w:contextualSpacing w:val="0"/>
      </w:pPr>
      <w:r w:rsidRPr="00763652">
        <w:tab/>
        <w:t>(</w:t>
      </w:r>
      <w:r w:rsidRPr="00763652">
        <w:rPr>
          <w:i/>
        </w:rPr>
        <w:t>a</w:t>
      </w:r>
      <w:r w:rsidR="00D51572">
        <w:t>)</w:t>
      </w:r>
      <w:r w:rsidR="00D51572">
        <w:tab/>
      </w:r>
      <w:r w:rsidRPr="00763652">
        <w:t xml:space="preserve">a drug that contains or consists of a substance, whether as an active or inactive ingredient, carrier, coating, </w:t>
      </w:r>
      <w:proofErr w:type="spellStart"/>
      <w:r w:rsidRPr="00763652">
        <w:t>excipient</w:t>
      </w:r>
      <w:proofErr w:type="spellEnd"/>
      <w:r w:rsidRPr="00763652">
        <w:t xml:space="preserve">, </w:t>
      </w:r>
      <w:proofErr w:type="spellStart"/>
      <w:r w:rsidRPr="00763652">
        <w:t>menstruum</w:t>
      </w:r>
      <w:proofErr w:type="spellEnd"/>
      <w:r w:rsidRPr="00763652">
        <w:t xml:space="preserve"> or other component, that has not been sold as a drug in Canada for sufficient time and in sufficient quantity to establish in Canada the safety and effectiveness of that substance for use as a drug;</w:t>
      </w:r>
    </w:p>
    <w:p w:rsidR="00A20C6E" w:rsidRPr="00763652" w:rsidRDefault="00A20C6E" w:rsidP="00A20C6E">
      <w:pPr>
        <w:pStyle w:val="Citation"/>
        <w:tabs>
          <w:tab w:val="left" w:pos="1620"/>
        </w:tabs>
        <w:spacing w:after="360"/>
        <w:ind w:left="1620" w:hanging="454"/>
        <w:contextualSpacing w:val="0"/>
      </w:pPr>
      <w:r w:rsidRPr="00763652">
        <w:tab/>
        <w:t>(</w:t>
      </w:r>
      <w:r w:rsidRPr="00763652">
        <w:rPr>
          <w:i/>
        </w:rPr>
        <w:t>b</w:t>
      </w:r>
      <w:r w:rsidR="00D51572">
        <w:t>)</w:t>
      </w:r>
      <w:r w:rsidR="00D51572">
        <w:tab/>
      </w:r>
      <w:r w:rsidRPr="00763652">
        <w:t>a drug that is a combination of two or more drugs, with or without other ingredients, and that has not been sold in that combination or in the proportion in which those drugs are combined in that drug, for sufficient time and in sufficient quantity to establish in Canada the safety and effectiveness of that combination and proportion for use as a drug; or</w:t>
      </w:r>
    </w:p>
    <w:p w:rsidR="00A20C6E" w:rsidRPr="00763652" w:rsidRDefault="00A20C6E" w:rsidP="00A20C6E">
      <w:pPr>
        <w:pStyle w:val="Citation"/>
        <w:tabs>
          <w:tab w:val="left" w:pos="1620"/>
        </w:tabs>
        <w:spacing w:after="360"/>
        <w:ind w:left="1620" w:hanging="454"/>
        <w:contextualSpacing w:val="0"/>
      </w:pPr>
      <w:r w:rsidRPr="00763652">
        <w:tab/>
        <w:t>(</w:t>
      </w:r>
      <w:r w:rsidRPr="00763652">
        <w:rPr>
          <w:i/>
        </w:rPr>
        <w:t>c</w:t>
      </w:r>
      <w:r w:rsidR="00D51572">
        <w:t>)</w:t>
      </w:r>
      <w:r w:rsidR="00D51572">
        <w:tab/>
      </w:r>
      <w:r w:rsidRPr="00763652">
        <w:t>a drug, with respect to which the manufacturer prescribes, recommends, proposes or claims a use as a drug, or a condition of use as a drug, including dosage, route of administration, or duration of action and that has not been sold for that use or condition of use in Canada, for sufficient time and in sufficient quantity to establish in Canada the safety and effectiveness of that use or condition of use of that drug.</w:t>
      </w:r>
    </w:p>
    <w:p w:rsidR="00A20C6E" w:rsidRPr="00763652" w:rsidRDefault="00A20C6E" w:rsidP="00A20C6E">
      <w:pPr>
        <w:pStyle w:val="Citation"/>
        <w:tabs>
          <w:tab w:val="left" w:pos="1620"/>
        </w:tabs>
        <w:spacing w:after="360"/>
        <w:ind w:left="1620" w:hanging="454"/>
        <w:contextualSpacing w:val="0"/>
        <w:jc w:val="center"/>
      </w:pPr>
      <w:r w:rsidRPr="00763652">
        <w:lastRenderedPageBreak/>
        <w:t>. . .</w:t>
      </w:r>
    </w:p>
    <w:p w:rsidR="00A20C6E" w:rsidRPr="00763652" w:rsidRDefault="00D51572" w:rsidP="00D51572">
      <w:pPr>
        <w:pStyle w:val="Citation"/>
        <w:tabs>
          <w:tab w:val="left" w:pos="1620"/>
        </w:tabs>
        <w:spacing w:after="360"/>
        <w:ind w:left="1620" w:hanging="454"/>
        <w:contextualSpacing w:val="0"/>
      </w:pPr>
      <w:r>
        <w:rPr>
          <w:b/>
        </w:rPr>
        <w:tab/>
      </w:r>
      <w:r w:rsidR="00A20C6E" w:rsidRPr="00763652">
        <w:rPr>
          <w:b/>
        </w:rPr>
        <w:t>C.08.002.</w:t>
      </w:r>
      <w:r w:rsidR="00A20C6E" w:rsidRPr="00763652">
        <w:t xml:space="preserve"> (1) No person shall sell or advertise a new drug unless </w:t>
      </w:r>
    </w:p>
    <w:p w:rsidR="00A20C6E" w:rsidRPr="00763652" w:rsidRDefault="00A20C6E" w:rsidP="00A20C6E">
      <w:pPr>
        <w:pStyle w:val="Citation"/>
        <w:tabs>
          <w:tab w:val="left" w:pos="1620"/>
        </w:tabs>
        <w:spacing w:after="360"/>
        <w:ind w:left="1620" w:hanging="454"/>
        <w:contextualSpacing w:val="0"/>
      </w:pPr>
      <w:r w:rsidRPr="00763652">
        <w:tab/>
        <w:t>(</w:t>
      </w:r>
      <w:r w:rsidRPr="00763652">
        <w:rPr>
          <w:i/>
        </w:rPr>
        <w:t>a</w:t>
      </w:r>
      <w:r w:rsidRPr="00763652">
        <w:t>)</w:t>
      </w:r>
      <w:r w:rsidR="00D51572">
        <w:tab/>
      </w:r>
      <w:proofErr w:type="gramStart"/>
      <w:r w:rsidRPr="00763652">
        <w:t>the</w:t>
      </w:r>
      <w:proofErr w:type="gramEnd"/>
      <w:r w:rsidRPr="00763652">
        <w:t xml:space="preserve"> manufacturer of the new drug has filed with the Minister a new drug submission or an abbreviated new drug submission relating to the new drug that is satisfactory to the Minister; </w:t>
      </w:r>
    </w:p>
    <w:p w:rsidR="00A20C6E" w:rsidRPr="00763652" w:rsidRDefault="00A20C6E" w:rsidP="00A20C6E">
      <w:pPr>
        <w:pStyle w:val="Citation"/>
        <w:tabs>
          <w:tab w:val="left" w:pos="1620"/>
        </w:tabs>
        <w:spacing w:after="360"/>
        <w:ind w:left="1620" w:hanging="454"/>
        <w:contextualSpacing w:val="0"/>
      </w:pPr>
      <w:r w:rsidRPr="00763652">
        <w:tab/>
        <w:t>(</w:t>
      </w:r>
      <w:r w:rsidRPr="00763652">
        <w:rPr>
          <w:i/>
        </w:rPr>
        <w:t>b</w:t>
      </w:r>
      <w:r w:rsidR="00D51572">
        <w:t>)</w:t>
      </w:r>
      <w:r w:rsidR="00D51572">
        <w:tab/>
      </w:r>
      <w:proofErr w:type="gramStart"/>
      <w:r w:rsidRPr="00763652">
        <w:t>the</w:t>
      </w:r>
      <w:proofErr w:type="gramEnd"/>
      <w:r w:rsidRPr="00763652">
        <w:t xml:space="preserve"> Minister has issued, pursuant to section C.08.004, a notice of compliance to the manufacturer of the new drug in respect of the new drug submission or abbreviated new drug submission; </w:t>
      </w:r>
    </w:p>
    <w:p w:rsidR="00A20C6E" w:rsidRPr="00763652" w:rsidRDefault="00A20C6E" w:rsidP="00A20C6E">
      <w:pPr>
        <w:pStyle w:val="Citation"/>
        <w:tabs>
          <w:tab w:val="left" w:pos="1620"/>
        </w:tabs>
        <w:spacing w:after="360"/>
        <w:ind w:left="1620" w:hanging="454"/>
        <w:contextualSpacing w:val="0"/>
      </w:pPr>
      <w:r w:rsidRPr="00763652">
        <w:tab/>
        <w:t>(</w:t>
      </w:r>
      <w:r w:rsidRPr="00763652">
        <w:rPr>
          <w:i/>
        </w:rPr>
        <w:t>c</w:t>
      </w:r>
      <w:r w:rsidR="00D51572">
        <w:t>)</w:t>
      </w:r>
      <w:r w:rsidR="00D51572">
        <w:tab/>
      </w:r>
      <w:proofErr w:type="gramStart"/>
      <w:r w:rsidRPr="00763652">
        <w:t>the</w:t>
      </w:r>
      <w:proofErr w:type="gramEnd"/>
      <w:r w:rsidRPr="00763652">
        <w:t xml:space="preserve"> notice of compliance in respect of the submission has not been suspended pursuant to section C.08.006; and </w:t>
      </w:r>
    </w:p>
    <w:p w:rsidR="00A20C6E" w:rsidRPr="00763652" w:rsidRDefault="00A20C6E" w:rsidP="00A20C6E">
      <w:pPr>
        <w:pStyle w:val="Citation"/>
        <w:tabs>
          <w:tab w:val="left" w:pos="1620"/>
        </w:tabs>
        <w:ind w:left="1627" w:hanging="461"/>
      </w:pPr>
      <w:r w:rsidRPr="00763652">
        <w:tab/>
        <w:t>(</w:t>
      </w:r>
      <w:r w:rsidRPr="00763652">
        <w:rPr>
          <w:i/>
        </w:rPr>
        <w:t>d</w:t>
      </w:r>
      <w:r w:rsidR="00D51572">
        <w:t>)</w:t>
      </w:r>
      <w:r w:rsidR="00D51572">
        <w:tab/>
      </w:r>
      <w:proofErr w:type="gramStart"/>
      <w:r w:rsidRPr="00763652">
        <w:t>the</w:t>
      </w:r>
      <w:proofErr w:type="gramEnd"/>
      <w:r w:rsidRPr="00763652">
        <w:t xml:space="preserve"> manufacturer of the new drug has submitted to the Minister specimens of the final version of any labels, including package inserts, product brochures and file cards, intended for use in connection with that new drug, and a statement setting out the proposed date on which those labels will first be used.</w:t>
      </w:r>
    </w:p>
    <w:p w:rsidR="00A20C6E" w:rsidRPr="00763652" w:rsidRDefault="00A20C6E" w:rsidP="00AD16E4">
      <w:pPr>
        <w:spacing w:after="480"/>
      </w:pPr>
      <w:r w:rsidRPr="00763652">
        <w:t>IV.</w:t>
      </w:r>
      <w:r w:rsidR="00AD16E4">
        <w:tab/>
      </w:r>
      <w:r w:rsidRPr="00A337EA">
        <w:rPr>
          <w:u w:val="single"/>
        </w:rPr>
        <w:t>Analysis</w:t>
      </w:r>
    </w:p>
    <w:p w:rsidR="00A20C6E" w:rsidRPr="00763652" w:rsidRDefault="00A20C6E" w:rsidP="00B06074">
      <w:pPr>
        <w:pStyle w:val="ReasonsNumbering-AltN"/>
      </w:pPr>
      <w:r w:rsidRPr="00763652">
        <w:t>The Crown’s position is that the decisions by the Director General are decisions of a federal board, commission or tribunal, and, as such, any challenge to the lawfulness of these decisions must occur through an application for judicial review in the Federal Court.</w:t>
      </w:r>
    </w:p>
    <w:p w:rsidR="00A20C6E" w:rsidRPr="00763652" w:rsidRDefault="00A20C6E" w:rsidP="00B06074">
      <w:pPr>
        <w:pStyle w:val="ReasonsNumbering-AltN"/>
      </w:pPr>
      <w:r w:rsidRPr="00763652">
        <w:t xml:space="preserve">For the reasons set out by Binnie J. in the companion case of </w:t>
      </w:r>
      <w:r w:rsidRPr="00763652">
        <w:rPr>
          <w:i/>
        </w:rPr>
        <w:t>Canada (Attorney General) v.</w:t>
      </w:r>
      <w:r w:rsidRPr="00763652">
        <w:t xml:space="preserve"> </w:t>
      </w:r>
      <w:r w:rsidRPr="00763652">
        <w:rPr>
          <w:i/>
        </w:rPr>
        <w:t>TeleZone Inc.</w:t>
      </w:r>
      <w:r w:rsidRPr="00763652">
        <w:t xml:space="preserve">, 2010 SCC </w:t>
      </w:r>
      <w:r>
        <w:t>62</w:t>
      </w:r>
      <w:r w:rsidRPr="00763652">
        <w:t>,</w:t>
      </w:r>
      <w:r w:rsidR="00AD16E4">
        <w:t xml:space="preserve"> [2010] 3 S.C.R. </w:t>
      </w:r>
      <w:r w:rsidR="002D3F37">
        <w:t>585</w:t>
      </w:r>
      <w:r w:rsidR="00AD16E4">
        <w:t>,</w:t>
      </w:r>
      <w:r w:rsidRPr="00763652">
        <w:t xml:space="preserve"> the Crown’s argument must fail. </w:t>
      </w:r>
    </w:p>
    <w:p w:rsidR="00A20C6E" w:rsidRPr="00763652" w:rsidRDefault="00A20C6E" w:rsidP="00B06074">
      <w:pPr>
        <w:pStyle w:val="ReasonsNumbering-AltN"/>
      </w:pPr>
      <w:r w:rsidRPr="00763652">
        <w:lastRenderedPageBreak/>
        <w:t xml:space="preserve">Unlike in </w:t>
      </w:r>
      <w:r w:rsidRPr="00763652">
        <w:rPr>
          <w:i/>
        </w:rPr>
        <w:t>TeleZone</w:t>
      </w:r>
      <w:r w:rsidRPr="00763652">
        <w:t>, the Federal Court’s jurisdiction is not at issue in this appeal.  Nu-</w:t>
      </w:r>
      <w:proofErr w:type="spellStart"/>
      <w:r w:rsidRPr="00763652">
        <w:t>Pharm</w:t>
      </w:r>
      <w:proofErr w:type="spellEnd"/>
      <w:r w:rsidRPr="00763652">
        <w:t xml:space="preserve"> brought its action in the Federal Court.  However, the correct procedure — action or application for judicial review — is at issue.  Section 17 of the </w:t>
      </w:r>
      <w:r w:rsidRPr="00763652">
        <w:rPr>
          <w:i/>
        </w:rPr>
        <w:t>Federal Courts Act</w:t>
      </w:r>
      <w:r w:rsidRPr="00763652">
        <w:t xml:space="preserve">, R.S.C. 1985, c. F-7, gives the Federal Court concurrent jurisdiction over claims for damages against the Crown.  Section 18 of the </w:t>
      </w:r>
      <w:r w:rsidRPr="00763652">
        <w:rPr>
          <w:i/>
        </w:rPr>
        <w:t>Federal Courts Act</w:t>
      </w:r>
      <w:r w:rsidRPr="00763652">
        <w:t xml:space="preserve"> does not derogate from this concurrent jurisdiction.  There is nothing in ss. 17 or 18 that requires Nu-</w:t>
      </w:r>
      <w:proofErr w:type="spellStart"/>
      <w:r w:rsidRPr="00763652">
        <w:t>Pharm</w:t>
      </w:r>
      <w:proofErr w:type="spellEnd"/>
      <w:r w:rsidRPr="00763652">
        <w:t xml:space="preserve"> to be successful on judicial review before bringing its claim for damages against the Crown. </w:t>
      </w:r>
    </w:p>
    <w:p w:rsidR="00A20C6E" w:rsidRPr="00763652" w:rsidRDefault="00A20C6E" w:rsidP="00B06074">
      <w:pPr>
        <w:pStyle w:val="ReasonsNumbering-AltN"/>
      </w:pPr>
      <w:r w:rsidRPr="00763652">
        <w:t>Nu-</w:t>
      </w:r>
      <w:proofErr w:type="spellStart"/>
      <w:r w:rsidRPr="00763652">
        <w:t>Pharm</w:t>
      </w:r>
      <w:proofErr w:type="spellEnd"/>
      <w:r w:rsidRPr="00763652">
        <w:t xml:space="preserve"> is now authorized to distribute Nu-</w:t>
      </w:r>
      <w:proofErr w:type="spellStart"/>
      <w:r w:rsidRPr="00763652">
        <w:t>Enalapril</w:t>
      </w:r>
      <w:proofErr w:type="spellEnd"/>
      <w:r w:rsidRPr="00763652">
        <w:t xml:space="preserve"> across the country.  As Nu-</w:t>
      </w:r>
      <w:proofErr w:type="spellStart"/>
      <w:r w:rsidRPr="00763652">
        <w:t>Pharm</w:t>
      </w:r>
      <w:proofErr w:type="spellEnd"/>
      <w:r w:rsidRPr="00763652">
        <w:t xml:space="preserve"> has recognized by discontinuing its claims for injunctive and declaratory relief, there is no longer any practical effect in seeking judicial review.  It now seeks to recover damages for loss that occurred as a result of, what it says, was intentional or negligent conduct on the part of the Director General.  It brings its claim in tort.</w:t>
      </w:r>
    </w:p>
    <w:p w:rsidR="00A20C6E" w:rsidRPr="00763652" w:rsidRDefault="00A20C6E" w:rsidP="00B06074">
      <w:pPr>
        <w:pStyle w:val="ReasonsNumbering-AltN"/>
      </w:pPr>
      <w:r w:rsidRPr="00763652">
        <w:t>It is true that the decisions by the Director General were made pursuant to federal legislation.  Thus, it is expected that in the case on its merits, the Crown will argue the defence of statutory authority.  However, that is an issue that will have to be resolved at trial.</w:t>
      </w:r>
    </w:p>
    <w:p w:rsidR="00A20C6E" w:rsidRPr="00763652" w:rsidRDefault="00A20C6E" w:rsidP="00B06074">
      <w:pPr>
        <w:pStyle w:val="ReasonsNumbering-AltN"/>
      </w:pPr>
      <w:r w:rsidRPr="00763652">
        <w:lastRenderedPageBreak/>
        <w:t xml:space="preserve">For the reasons given in </w:t>
      </w:r>
      <w:r w:rsidRPr="00763652">
        <w:rPr>
          <w:i/>
        </w:rPr>
        <w:t>TeleZone</w:t>
      </w:r>
      <w:r w:rsidRPr="00763652">
        <w:t>, the Federal Court should have decided Nu-</w:t>
      </w:r>
      <w:proofErr w:type="spellStart"/>
      <w:r w:rsidRPr="00763652">
        <w:t>Pharm’s</w:t>
      </w:r>
      <w:proofErr w:type="spellEnd"/>
      <w:r w:rsidRPr="00763652">
        <w:t xml:space="preserve"> claim for damages without requiring it to first be successful on judicial review.</w:t>
      </w:r>
    </w:p>
    <w:p w:rsidR="00A20C6E" w:rsidRPr="00763652" w:rsidRDefault="00A20C6E" w:rsidP="00AD16E4">
      <w:pPr>
        <w:spacing w:after="480"/>
      </w:pPr>
      <w:r w:rsidRPr="00763652">
        <w:t>V.</w:t>
      </w:r>
      <w:r w:rsidR="00AD16E4">
        <w:tab/>
      </w:r>
      <w:r w:rsidRPr="00A337EA">
        <w:rPr>
          <w:u w:val="single"/>
        </w:rPr>
        <w:t>Conclusion</w:t>
      </w:r>
    </w:p>
    <w:p w:rsidR="00A20C6E" w:rsidRPr="00763652" w:rsidRDefault="00A20C6E" w:rsidP="00B06074">
      <w:pPr>
        <w:pStyle w:val="ReasonsNumbering-AltN"/>
      </w:pPr>
      <w:r w:rsidRPr="00763652">
        <w:t xml:space="preserve">I would allow the appeal with costs throughout. </w:t>
      </w:r>
    </w:p>
    <w:p w:rsidR="009B57B3" w:rsidRPr="00B74F63" w:rsidRDefault="009B57B3" w:rsidP="0076149F">
      <w:pPr>
        <w:pStyle w:val="SCCNormalDoubleSpacing"/>
        <w:tabs>
          <w:tab w:val="left" w:pos="1170"/>
        </w:tabs>
      </w:pPr>
      <w:r w:rsidRPr="00B74F63">
        <w:tab/>
      </w:r>
      <w:r w:rsidR="00656313" w:rsidRPr="00B74F63">
        <w:rPr>
          <w:i/>
        </w:rPr>
        <w:t>Appeal</w:t>
      </w:r>
      <w:r w:rsidR="00357A42" w:rsidRPr="00B74F63">
        <w:rPr>
          <w:i/>
        </w:rPr>
        <w:t xml:space="preserve"> allowed with costs.</w:t>
      </w:r>
    </w:p>
    <w:p w:rsidR="00357A42" w:rsidRPr="00B74F63" w:rsidRDefault="00357A42" w:rsidP="0076149F">
      <w:pPr>
        <w:pStyle w:val="SCCNormalDoubleSpacing"/>
        <w:tabs>
          <w:tab w:val="left" w:pos="1170"/>
        </w:tabs>
      </w:pPr>
    </w:p>
    <w:p w:rsidR="00357A42" w:rsidRPr="00B74F63" w:rsidRDefault="00BD5DE2" w:rsidP="0076149F">
      <w:pPr>
        <w:pStyle w:val="SCCLawFirm"/>
        <w:tabs>
          <w:tab w:val="left" w:pos="1170"/>
        </w:tabs>
      </w:pPr>
      <w:r>
        <w:tab/>
        <w:t xml:space="preserve">Solicitors for the appellant: </w:t>
      </w:r>
      <w:proofErr w:type="spellStart"/>
      <w:r w:rsidR="00357A42" w:rsidRPr="00B74F63">
        <w:t>Goodmans</w:t>
      </w:r>
      <w:proofErr w:type="spellEnd"/>
      <w:r w:rsidR="00357A42" w:rsidRPr="00B74F63">
        <w:t>, Toronto.</w:t>
      </w:r>
    </w:p>
    <w:p w:rsidR="00357A42" w:rsidRPr="00B74F63" w:rsidRDefault="00357A42" w:rsidP="0076149F">
      <w:pPr>
        <w:pStyle w:val="SCCLawFirm"/>
        <w:tabs>
          <w:tab w:val="left" w:pos="1170"/>
        </w:tabs>
      </w:pPr>
    </w:p>
    <w:p w:rsidR="00357A42" w:rsidRPr="00B74F63" w:rsidRDefault="0076149F" w:rsidP="0076149F">
      <w:pPr>
        <w:pStyle w:val="SCCLawFirm"/>
        <w:tabs>
          <w:tab w:val="left" w:pos="1170"/>
        </w:tabs>
      </w:pPr>
      <w:r w:rsidRPr="00B74F63">
        <w:tab/>
        <w:t>Solicitor for the respondents:</w:t>
      </w:r>
      <w:r w:rsidR="00BD5DE2">
        <w:t xml:space="preserve"> </w:t>
      </w:r>
      <w:r w:rsidR="00357A42" w:rsidRPr="00B74F63">
        <w:t>Attorney General of Canada, Ottawa.</w:t>
      </w:r>
    </w:p>
    <w:sectPr w:rsidR="00357A42" w:rsidRPr="00B74F63" w:rsidSect="000648CC">
      <w:headerReference w:type="even" r:id="rId10"/>
      <w:headerReference w:type="default" r:id="rId11"/>
      <w:footerReference w:type="even" r:id="rId12"/>
      <w:footerReference w:type="default" r:id="rId13"/>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F7" w:rsidRDefault="00FB30F7">
      <w:r>
        <w:separator/>
      </w:r>
    </w:p>
  </w:endnote>
  <w:endnote w:type="continuationSeparator" w:id="0">
    <w:p w:rsidR="00FB30F7" w:rsidRDefault="00FB3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F7" w:rsidRDefault="00FB30F7">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F7" w:rsidRDefault="00FB30F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F7" w:rsidRDefault="00FB30F7">
      <w:r>
        <w:separator/>
      </w:r>
    </w:p>
  </w:footnote>
  <w:footnote w:type="continuationSeparator" w:id="0">
    <w:p w:rsidR="00FB30F7" w:rsidRDefault="00FB3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F7" w:rsidRDefault="00FB30F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F7" w:rsidRDefault="00FB30F7">
    <w:pPr>
      <w:pStyle w:val="Header"/>
      <w:jc w:val="center"/>
    </w:pPr>
    <w:r>
      <w:t xml:space="preserve">- </w:t>
    </w:r>
    <w:sdt>
      <w:sdtPr>
        <w:id w:val="4489865"/>
        <w:docPartObj>
          <w:docPartGallery w:val="Page Numbers (Top of Page)"/>
          <w:docPartUnique/>
        </w:docPartObj>
      </w:sdtPr>
      <w:sdtContent>
        <w:fldSimple w:instr=" PAGE   \* MERGEFORMAT ">
          <w:r w:rsidR="00165206">
            <w:rPr>
              <w:noProof/>
            </w:rPr>
            <w:t>3</w:t>
          </w:r>
        </w:fldSimple>
        <w:r>
          <w:t xml:space="preserve"> -</w:t>
        </w:r>
      </w:sdtContent>
    </w:sdt>
  </w:p>
  <w:p w:rsidR="00FB30F7" w:rsidRDefault="00FB3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0060CFE"/>
    <w:multiLevelType w:val="hybridMultilevel"/>
    <w:tmpl w:val="1C8EC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6184306"/>
    <w:multiLevelType w:val="hybridMultilevel"/>
    <w:tmpl w:val="A9103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D417E6"/>
    <w:multiLevelType w:val="hybridMultilevel"/>
    <w:tmpl w:val="99DE6B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0"/>
  </w:num>
  <w:num w:numId="3">
    <w:abstractNumId w:val="18"/>
  </w:num>
  <w:num w:numId="4">
    <w:abstractNumId w:val="13"/>
  </w:num>
  <w:num w:numId="5">
    <w:abstractNumId w:val="11"/>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4"/>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rsids>
    <w:rsidRoot w:val="0031414C"/>
    <w:rsid w:val="00000ED4"/>
    <w:rsid w:val="000071AF"/>
    <w:rsid w:val="00025198"/>
    <w:rsid w:val="000261A4"/>
    <w:rsid w:val="000578A3"/>
    <w:rsid w:val="00060BA8"/>
    <w:rsid w:val="000648CC"/>
    <w:rsid w:val="000A32F8"/>
    <w:rsid w:val="000B289B"/>
    <w:rsid w:val="000C59B8"/>
    <w:rsid w:val="00111DE2"/>
    <w:rsid w:val="00116B38"/>
    <w:rsid w:val="00125748"/>
    <w:rsid w:val="00135406"/>
    <w:rsid w:val="00135972"/>
    <w:rsid w:val="001406E3"/>
    <w:rsid w:val="001426A9"/>
    <w:rsid w:val="00154D7C"/>
    <w:rsid w:val="001570B0"/>
    <w:rsid w:val="0015752C"/>
    <w:rsid w:val="00157737"/>
    <w:rsid w:val="00163EB1"/>
    <w:rsid w:val="00165206"/>
    <w:rsid w:val="00165277"/>
    <w:rsid w:val="00170592"/>
    <w:rsid w:val="001971C0"/>
    <w:rsid w:val="001B33E0"/>
    <w:rsid w:val="001B4573"/>
    <w:rsid w:val="001C779F"/>
    <w:rsid w:val="001D2AC1"/>
    <w:rsid w:val="001D4E88"/>
    <w:rsid w:val="001E41C1"/>
    <w:rsid w:val="001F6782"/>
    <w:rsid w:val="00220FC2"/>
    <w:rsid w:val="00224FC0"/>
    <w:rsid w:val="00225EA4"/>
    <w:rsid w:val="00226EAF"/>
    <w:rsid w:val="00231A34"/>
    <w:rsid w:val="00231F3A"/>
    <w:rsid w:val="002406EE"/>
    <w:rsid w:val="00243EC8"/>
    <w:rsid w:val="002745CC"/>
    <w:rsid w:val="00294F23"/>
    <w:rsid w:val="002B7924"/>
    <w:rsid w:val="002D39A4"/>
    <w:rsid w:val="002D3F37"/>
    <w:rsid w:val="002D4253"/>
    <w:rsid w:val="002E6705"/>
    <w:rsid w:val="002E72D0"/>
    <w:rsid w:val="0030329A"/>
    <w:rsid w:val="0031086F"/>
    <w:rsid w:val="0031414C"/>
    <w:rsid w:val="00314E01"/>
    <w:rsid w:val="0032089D"/>
    <w:rsid w:val="003310DE"/>
    <w:rsid w:val="00336C3A"/>
    <w:rsid w:val="003478A0"/>
    <w:rsid w:val="0035169A"/>
    <w:rsid w:val="0035259D"/>
    <w:rsid w:val="00357A42"/>
    <w:rsid w:val="00364B18"/>
    <w:rsid w:val="003871BF"/>
    <w:rsid w:val="003A0A4C"/>
    <w:rsid w:val="003A4C70"/>
    <w:rsid w:val="003B0B30"/>
    <w:rsid w:val="003B215F"/>
    <w:rsid w:val="003C03A5"/>
    <w:rsid w:val="003C195B"/>
    <w:rsid w:val="003C799C"/>
    <w:rsid w:val="003D0399"/>
    <w:rsid w:val="003D5413"/>
    <w:rsid w:val="003E0511"/>
    <w:rsid w:val="003E1C71"/>
    <w:rsid w:val="003F327B"/>
    <w:rsid w:val="00406166"/>
    <w:rsid w:val="0040704B"/>
    <w:rsid w:val="00410A55"/>
    <w:rsid w:val="00411300"/>
    <w:rsid w:val="00415417"/>
    <w:rsid w:val="00424045"/>
    <w:rsid w:val="00426659"/>
    <w:rsid w:val="0042790D"/>
    <w:rsid w:val="00450352"/>
    <w:rsid w:val="00454BDB"/>
    <w:rsid w:val="00465132"/>
    <w:rsid w:val="004775C8"/>
    <w:rsid w:val="00480C90"/>
    <w:rsid w:val="0048396F"/>
    <w:rsid w:val="00493C18"/>
    <w:rsid w:val="004A600C"/>
    <w:rsid w:val="004A6118"/>
    <w:rsid w:val="004C1865"/>
    <w:rsid w:val="004C478D"/>
    <w:rsid w:val="004D03A4"/>
    <w:rsid w:val="004D4F26"/>
    <w:rsid w:val="004E2C26"/>
    <w:rsid w:val="00503A3B"/>
    <w:rsid w:val="00507BD8"/>
    <w:rsid w:val="005125A8"/>
    <w:rsid w:val="00521AE8"/>
    <w:rsid w:val="00527180"/>
    <w:rsid w:val="0053501E"/>
    <w:rsid w:val="00555291"/>
    <w:rsid w:val="00583EDE"/>
    <w:rsid w:val="005E4698"/>
    <w:rsid w:val="00610539"/>
    <w:rsid w:val="00613969"/>
    <w:rsid w:val="006140A0"/>
    <w:rsid w:val="00625C35"/>
    <w:rsid w:val="0063086F"/>
    <w:rsid w:val="00635061"/>
    <w:rsid w:val="0065379D"/>
    <w:rsid w:val="0065524C"/>
    <w:rsid w:val="00656313"/>
    <w:rsid w:val="006565F4"/>
    <w:rsid w:val="0067634E"/>
    <w:rsid w:val="00684EEA"/>
    <w:rsid w:val="00694F17"/>
    <w:rsid w:val="006B43F1"/>
    <w:rsid w:val="006B5FF5"/>
    <w:rsid w:val="006E7951"/>
    <w:rsid w:val="006F03D0"/>
    <w:rsid w:val="00701759"/>
    <w:rsid w:val="0070701F"/>
    <w:rsid w:val="00747288"/>
    <w:rsid w:val="00747DD3"/>
    <w:rsid w:val="007539E2"/>
    <w:rsid w:val="007549C8"/>
    <w:rsid w:val="0076149F"/>
    <w:rsid w:val="00762E7D"/>
    <w:rsid w:val="00766D14"/>
    <w:rsid w:val="00767A0F"/>
    <w:rsid w:val="007704DD"/>
    <w:rsid w:val="00791B53"/>
    <w:rsid w:val="007A05F6"/>
    <w:rsid w:val="007B6F4A"/>
    <w:rsid w:val="007E0AC5"/>
    <w:rsid w:val="007E1C47"/>
    <w:rsid w:val="007E337A"/>
    <w:rsid w:val="007E5C70"/>
    <w:rsid w:val="007E77D0"/>
    <w:rsid w:val="007F038F"/>
    <w:rsid w:val="007F2FF5"/>
    <w:rsid w:val="007F3F08"/>
    <w:rsid w:val="00804CC6"/>
    <w:rsid w:val="00817190"/>
    <w:rsid w:val="008260E2"/>
    <w:rsid w:val="008322BD"/>
    <w:rsid w:val="0083403F"/>
    <w:rsid w:val="00834F73"/>
    <w:rsid w:val="00864CF8"/>
    <w:rsid w:val="00874914"/>
    <w:rsid w:val="00887EEB"/>
    <w:rsid w:val="00891422"/>
    <w:rsid w:val="00892E1A"/>
    <w:rsid w:val="0089323A"/>
    <w:rsid w:val="008C01DA"/>
    <w:rsid w:val="008F78E9"/>
    <w:rsid w:val="009179F9"/>
    <w:rsid w:val="00933E5E"/>
    <w:rsid w:val="00935218"/>
    <w:rsid w:val="009403F3"/>
    <w:rsid w:val="00943F12"/>
    <w:rsid w:val="009555B7"/>
    <w:rsid w:val="009567AA"/>
    <w:rsid w:val="00962D56"/>
    <w:rsid w:val="00967374"/>
    <w:rsid w:val="009B2F23"/>
    <w:rsid w:val="009B488B"/>
    <w:rsid w:val="009B57B3"/>
    <w:rsid w:val="009D2920"/>
    <w:rsid w:val="009D5AEB"/>
    <w:rsid w:val="009E32AD"/>
    <w:rsid w:val="009F0E33"/>
    <w:rsid w:val="00A149DF"/>
    <w:rsid w:val="00A20C6E"/>
    <w:rsid w:val="00A21B90"/>
    <w:rsid w:val="00A337EA"/>
    <w:rsid w:val="00A41805"/>
    <w:rsid w:val="00A548CB"/>
    <w:rsid w:val="00A5521C"/>
    <w:rsid w:val="00A643E7"/>
    <w:rsid w:val="00A73C38"/>
    <w:rsid w:val="00A74FF0"/>
    <w:rsid w:val="00A94886"/>
    <w:rsid w:val="00AC7F91"/>
    <w:rsid w:val="00AD16E4"/>
    <w:rsid w:val="00AF03C5"/>
    <w:rsid w:val="00B000D8"/>
    <w:rsid w:val="00B00F75"/>
    <w:rsid w:val="00B06074"/>
    <w:rsid w:val="00B145B6"/>
    <w:rsid w:val="00B3765E"/>
    <w:rsid w:val="00B46C6A"/>
    <w:rsid w:val="00B46F70"/>
    <w:rsid w:val="00B50C81"/>
    <w:rsid w:val="00B557F8"/>
    <w:rsid w:val="00B74F63"/>
    <w:rsid w:val="00B815FC"/>
    <w:rsid w:val="00B93FBC"/>
    <w:rsid w:val="00BA1F6F"/>
    <w:rsid w:val="00BB19B0"/>
    <w:rsid w:val="00BB2EE4"/>
    <w:rsid w:val="00BC2108"/>
    <w:rsid w:val="00BD0E9E"/>
    <w:rsid w:val="00BD1BEC"/>
    <w:rsid w:val="00BD32FF"/>
    <w:rsid w:val="00BD5DE2"/>
    <w:rsid w:val="00C02092"/>
    <w:rsid w:val="00C12046"/>
    <w:rsid w:val="00C162CF"/>
    <w:rsid w:val="00C24D91"/>
    <w:rsid w:val="00C42F56"/>
    <w:rsid w:val="00C52A6D"/>
    <w:rsid w:val="00C53F14"/>
    <w:rsid w:val="00C600CF"/>
    <w:rsid w:val="00C6084F"/>
    <w:rsid w:val="00C62A66"/>
    <w:rsid w:val="00C67185"/>
    <w:rsid w:val="00C71458"/>
    <w:rsid w:val="00C763D6"/>
    <w:rsid w:val="00C77613"/>
    <w:rsid w:val="00C828E7"/>
    <w:rsid w:val="00C86719"/>
    <w:rsid w:val="00C921DD"/>
    <w:rsid w:val="00CA3AB7"/>
    <w:rsid w:val="00CA6391"/>
    <w:rsid w:val="00CE3171"/>
    <w:rsid w:val="00CF1601"/>
    <w:rsid w:val="00D01481"/>
    <w:rsid w:val="00D0172F"/>
    <w:rsid w:val="00D068A7"/>
    <w:rsid w:val="00D273FC"/>
    <w:rsid w:val="00D32086"/>
    <w:rsid w:val="00D37A3F"/>
    <w:rsid w:val="00D4431D"/>
    <w:rsid w:val="00D4667A"/>
    <w:rsid w:val="00D51572"/>
    <w:rsid w:val="00D7516F"/>
    <w:rsid w:val="00D95F8E"/>
    <w:rsid w:val="00DA0590"/>
    <w:rsid w:val="00DA6177"/>
    <w:rsid w:val="00DC1788"/>
    <w:rsid w:val="00DD795E"/>
    <w:rsid w:val="00DE319C"/>
    <w:rsid w:val="00DF0CA8"/>
    <w:rsid w:val="00DF209E"/>
    <w:rsid w:val="00DF2B48"/>
    <w:rsid w:val="00DF49A7"/>
    <w:rsid w:val="00DF6F3B"/>
    <w:rsid w:val="00E07EE2"/>
    <w:rsid w:val="00E07FD1"/>
    <w:rsid w:val="00E24573"/>
    <w:rsid w:val="00E25E1E"/>
    <w:rsid w:val="00E27EE7"/>
    <w:rsid w:val="00E31463"/>
    <w:rsid w:val="00E35404"/>
    <w:rsid w:val="00E45109"/>
    <w:rsid w:val="00E47B7A"/>
    <w:rsid w:val="00E81A94"/>
    <w:rsid w:val="00E90EC4"/>
    <w:rsid w:val="00E97830"/>
    <w:rsid w:val="00EA0459"/>
    <w:rsid w:val="00ED028E"/>
    <w:rsid w:val="00ED1F74"/>
    <w:rsid w:val="00EE1439"/>
    <w:rsid w:val="00EF0683"/>
    <w:rsid w:val="00EF4ABD"/>
    <w:rsid w:val="00EF55F5"/>
    <w:rsid w:val="00F0070C"/>
    <w:rsid w:val="00F00EB7"/>
    <w:rsid w:val="00F26620"/>
    <w:rsid w:val="00F3351E"/>
    <w:rsid w:val="00F36AB6"/>
    <w:rsid w:val="00F37A09"/>
    <w:rsid w:val="00F409CE"/>
    <w:rsid w:val="00F4379D"/>
    <w:rsid w:val="00F57D9F"/>
    <w:rsid w:val="00F71115"/>
    <w:rsid w:val="00F76F73"/>
    <w:rsid w:val="00F84DF4"/>
    <w:rsid w:val="00F85C97"/>
    <w:rsid w:val="00F866C4"/>
    <w:rsid w:val="00FB30F7"/>
    <w:rsid w:val="00FB37D2"/>
    <w:rsid w:val="00FC239F"/>
    <w:rsid w:val="00FC2A33"/>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81"/>
    <w:rPr>
      <w:sz w:val="24"/>
    </w:rPr>
  </w:style>
  <w:style w:type="paragraph" w:styleId="Heading1">
    <w:name w:val="heading 1"/>
    <w:next w:val="ReasonsNumbering-AltN"/>
    <w:link w:val="Heading1Char"/>
    <w:uiPriority w:val="2"/>
    <w:qFormat/>
    <w:rsid w:val="00D01481"/>
    <w:pPr>
      <w:keepNext/>
      <w:keepLines/>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D014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1481"/>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D01481"/>
    <w:rPr>
      <w:color w:val="808080"/>
    </w:rPr>
  </w:style>
  <w:style w:type="paragraph" w:styleId="BalloonText">
    <w:name w:val="Balloon Text"/>
    <w:basedOn w:val="Normal"/>
    <w:link w:val="BalloonTextChar"/>
    <w:uiPriority w:val="99"/>
    <w:semiHidden/>
    <w:unhideWhenUsed/>
    <w:rsid w:val="00D01481"/>
    <w:rPr>
      <w:rFonts w:cs="Tahoma"/>
      <w:sz w:val="28"/>
      <w:szCs w:val="16"/>
    </w:rPr>
  </w:style>
  <w:style w:type="character" w:customStyle="1" w:styleId="BalloonTextChar">
    <w:name w:val="Balloon Text Char"/>
    <w:basedOn w:val="DefaultParagraphFont"/>
    <w:link w:val="BalloonText"/>
    <w:uiPriority w:val="99"/>
    <w:semiHidden/>
    <w:rsid w:val="00D01481"/>
    <w:rPr>
      <w:rFonts w:cs="Tahoma"/>
      <w:sz w:val="28"/>
      <w:szCs w:val="16"/>
    </w:rPr>
  </w:style>
  <w:style w:type="paragraph" w:styleId="Header">
    <w:name w:val="header"/>
    <w:basedOn w:val="Normal"/>
    <w:link w:val="HeaderChar"/>
    <w:uiPriority w:val="99"/>
    <w:unhideWhenUsed/>
    <w:rsid w:val="00D01481"/>
    <w:pPr>
      <w:tabs>
        <w:tab w:val="center" w:pos="4680"/>
        <w:tab w:val="right" w:pos="9360"/>
      </w:tabs>
    </w:pPr>
  </w:style>
  <w:style w:type="character" w:customStyle="1" w:styleId="HeaderChar">
    <w:name w:val="Header Char"/>
    <w:basedOn w:val="DefaultParagraphFont"/>
    <w:link w:val="Header"/>
    <w:uiPriority w:val="99"/>
    <w:rsid w:val="00D01481"/>
    <w:rPr>
      <w:sz w:val="24"/>
    </w:rPr>
  </w:style>
  <w:style w:type="paragraph" w:styleId="Footer">
    <w:name w:val="footer"/>
    <w:basedOn w:val="Normal"/>
    <w:link w:val="FooterChar"/>
    <w:uiPriority w:val="99"/>
    <w:semiHidden/>
    <w:unhideWhenUsed/>
    <w:rsid w:val="00D01481"/>
    <w:pPr>
      <w:tabs>
        <w:tab w:val="center" w:pos="4680"/>
        <w:tab w:val="right" w:pos="9360"/>
      </w:tabs>
    </w:pPr>
  </w:style>
  <w:style w:type="character" w:customStyle="1" w:styleId="FooterChar">
    <w:name w:val="Footer Char"/>
    <w:basedOn w:val="DefaultParagraphFont"/>
    <w:link w:val="Footer"/>
    <w:uiPriority w:val="99"/>
    <w:semiHidden/>
    <w:rsid w:val="00D01481"/>
    <w:rPr>
      <w:sz w:val="24"/>
    </w:rPr>
  </w:style>
  <w:style w:type="paragraph" w:customStyle="1" w:styleId="SCCLsocParty">
    <w:name w:val="SCC.Lsoc.Party"/>
    <w:basedOn w:val="Normal"/>
    <w:next w:val="Normal"/>
    <w:link w:val="SCCLsocPartyChar"/>
    <w:rsid w:val="00D01481"/>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D01481"/>
    <w:rPr>
      <w:rFonts w:eastAsiaTheme="minorHAnsi" w:cstheme="minorBidi"/>
      <w:sz w:val="24"/>
      <w:szCs w:val="22"/>
      <w:lang w:eastAsia="en-US"/>
    </w:rPr>
  </w:style>
  <w:style w:type="paragraph" w:customStyle="1" w:styleId="SCCLsocVersus">
    <w:name w:val="SCC.Lsoc.Versus"/>
    <w:basedOn w:val="Normal"/>
    <w:next w:val="Normal"/>
    <w:link w:val="SCCLsocVersusChar"/>
    <w:rsid w:val="00D01481"/>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D01481"/>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D01481"/>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D01481"/>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D01481"/>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D01481"/>
    <w:rPr>
      <w:rFonts w:eastAsiaTheme="minorHAnsi" w:cstheme="minorBidi"/>
      <w:sz w:val="24"/>
      <w:szCs w:val="22"/>
      <w:lang w:eastAsia="en-US"/>
    </w:rPr>
  </w:style>
  <w:style w:type="character" w:customStyle="1" w:styleId="Heading1Char">
    <w:name w:val="Heading 1 Char"/>
    <w:basedOn w:val="DefaultParagraphFont"/>
    <w:link w:val="Heading1"/>
    <w:uiPriority w:val="2"/>
    <w:rsid w:val="00D01481"/>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D01481"/>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A20C6E"/>
    <w:pPr>
      <w:ind w:left="720"/>
    </w:pPr>
  </w:style>
  <w:style w:type="paragraph" w:customStyle="1" w:styleId="SCCCoram">
    <w:name w:val="SCC.Coram"/>
    <w:basedOn w:val="Normal"/>
    <w:next w:val="Normal"/>
    <w:link w:val="SCCCoramChar"/>
    <w:rsid w:val="00D0148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01481"/>
    <w:rPr>
      <w:rFonts w:eastAsiaTheme="minorHAnsi" w:cstheme="minorBidi"/>
      <w:sz w:val="24"/>
      <w:szCs w:val="22"/>
      <w:lang w:eastAsia="en-US"/>
    </w:rPr>
  </w:style>
  <w:style w:type="table" w:styleId="TableGrid">
    <w:name w:val="Table Grid"/>
    <w:basedOn w:val="TableNormal"/>
    <w:uiPriority w:val="59"/>
    <w:rsid w:val="00D014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A20C6E"/>
    <w:pPr>
      <w:spacing w:after="720"/>
      <w:ind w:left="1166"/>
      <w:contextualSpacing/>
      <w:jc w:val="both"/>
    </w:pPr>
  </w:style>
  <w:style w:type="paragraph" w:customStyle="1" w:styleId="SCCLsocOtherPartyRoleSeparator">
    <w:name w:val="SCC.Lsoc.OtherPartyRoleSeparator"/>
    <w:basedOn w:val="Normal"/>
    <w:next w:val="Normal"/>
    <w:link w:val="SCCLsocOtherPartyRoleSeparatorChar"/>
    <w:rsid w:val="00D0148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01481"/>
    <w:rPr>
      <w:rFonts w:eastAsiaTheme="minorHAnsi" w:cstheme="minorBidi"/>
      <w:sz w:val="24"/>
      <w:szCs w:val="22"/>
      <w:lang w:eastAsia="en-US"/>
    </w:rPr>
  </w:style>
  <w:style w:type="character" w:customStyle="1" w:styleId="SCCBanSummaryChar">
    <w:name w:val="SCC.BanSummary Char"/>
    <w:basedOn w:val="DefaultParagraphFont"/>
    <w:link w:val="SCCBanSummary"/>
    <w:rsid w:val="00D01481"/>
    <w:rPr>
      <w:rFonts w:eastAsiaTheme="minorEastAsia"/>
      <w:b/>
      <w:sz w:val="24"/>
      <w:szCs w:val="24"/>
    </w:rPr>
  </w:style>
  <w:style w:type="paragraph" w:customStyle="1" w:styleId="ReasonsNumbering-AltN">
    <w:name w:val="Reasons Numbering - Alt N"/>
    <w:qFormat/>
    <w:rsid w:val="00D01481"/>
    <w:pPr>
      <w:numPr>
        <w:numId w:val="7"/>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D01481"/>
    <w:pPr>
      <w:spacing w:after="720"/>
      <w:ind w:left="1166"/>
      <w:contextualSpacing/>
      <w:jc w:val="both"/>
    </w:pPr>
    <w:rPr>
      <w:sz w:val="24"/>
    </w:rPr>
  </w:style>
  <w:style w:type="character" w:styleId="CommentReference">
    <w:name w:val="annotation reference"/>
    <w:basedOn w:val="DefaultParagraphFont"/>
    <w:uiPriority w:val="99"/>
    <w:semiHidden/>
    <w:unhideWhenUsed/>
    <w:rsid w:val="00D01481"/>
    <w:rPr>
      <w:sz w:val="16"/>
      <w:szCs w:val="16"/>
    </w:rPr>
  </w:style>
  <w:style w:type="paragraph" w:styleId="CommentText">
    <w:name w:val="annotation text"/>
    <w:basedOn w:val="Normal"/>
    <w:link w:val="CommentTextChar"/>
    <w:uiPriority w:val="99"/>
    <w:semiHidden/>
    <w:unhideWhenUsed/>
    <w:rsid w:val="00D01481"/>
    <w:rPr>
      <w:sz w:val="20"/>
    </w:rPr>
  </w:style>
  <w:style w:type="character" w:customStyle="1" w:styleId="CommentTextChar">
    <w:name w:val="Comment Text Char"/>
    <w:basedOn w:val="DefaultParagraphFont"/>
    <w:link w:val="CommentText"/>
    <w:uiPriority w:val="99"/>
    <w:semiHidden/>
    <w:rsid w:val="00D01481"/>
  </w:style>
  <w:style w:type="paragraph" w:styleId="CommentSubject">
    <w:name w:val="annotation subject"/>
    <w:basedOn w:val="CommentText"/>
    <w:next w:val="CommentText"/>
    <w:link w:val="CommentSubjectChar"/>
    <w:uiPriority w:val="99"/>
    <w:semiHidden/>
    <w:unhideWhenUsed/>
    <w:rsid w:val="00D01481"/>
    <w:rPr>
      <w:b/>
      <w:bCs/>
    </w:rPr>
  </w:style>
  <w:style w:type="character" w:customStyle="1" w:styleId="CommentSubjectChar">
    <w:name w:val="Comment Subject Char"/>
    <w:basedOn w:val="CommentTextChar"/>
    <w:link w:val="CommentSubject"/>
    <w:uiPriority w:val="99"/>
    <w:semiHidden/>
    <w:rsid w:val="00D01481"/>
    <w:rPr>
      <w:b/>
      <w:bCs/>
    </w:rPr>
  </w:style>
  <w:style w:type="paragraph" w:customStyle="1" w:styleId="ContinueReasonsNo-AltP">
    <w:name w:val="Continue Reasons No # - Alt P"/>
    <w:next w:val="ReasonsNumbering-AltN"/>
    <w:uiPriority w:val="1"/>
    <w:qFormat/>
    <w:rsid w:val="00D01481"/>
    <w:pPr>
      <w:spacing w:before="480" w:after="480" w:line="480" w:lineRule="auto"/>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1BFB-511D-4FA4-A03D-8064BA3B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14</Pages>
  <Words>2709</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2011-02-25T20:23:00Z</dcterms:created>
  <dcterms:modified xsi:type="dcterms:W3CDTF">2011-06-07T15:15:00Z</dcterms:modified>
</cp:coreProperties>
</file>