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62" w:rsidRPr="00075748" w:rsidRDefault="00CA0D62" w:rsidP="00CA0D62">
      <w:pPr>
        <w:tabs>
          <w:tab w:val="center" w:pos="4680"/>
          <w:tab w:val="right" w:pos="9360"/>
        </w:tabs>
        <w:jc w:val="center"/>
        <w:rPr>
          <w:rFonts w:eastAsiaTheme="minorHAnsi" w:cstheme="minorBidi"/>
          <w:color w:val="000000" w:themeColor="text1"/>
          <w:szCs w:val="24"/>
          <w:lang w:eastAsia="en-US"/>
        </w:rPr>
      </w:pPr>
      <w:r w:rsidRPr="00075748">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08787323" r:id="rId8"/>
        </w:object>
      </w:r>
    </w:p>
    <w:p w:rsidR="00CA0D62" w:rsidRPr="00075748" w:rsidRDefault="00CA0D62" w:rsidP="00CA0D62">
      <w:pPr>
        <w:tabs>
          <w:tab w:val="center" w:pos="4680"/>
          <w:tab w:val="right" w:pos="9360"/>
        </w:tabs>
        <w:rPr>
          <w:rFonts w:eastAsiaTheme="minorHAnsi" w:cstheme="minorBidi"/>
          <w:color w:val="000000" w:themeColor="text1"/>
          <w:szCs w:val="24"/>
          <w:lang w:eastAsia="en-US"/>
        </w:rPr>
      </w:pP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SUPREME COURT OF CANADA</w:t>
      </w:r>
    </w:p>
    <w:p w:rsidR="00CA0D62" w:rsidRPr="00075748" w:rsidRDefault="00CA0D62" w:rsidP="00CA0D62">
      <w:pPr>
        <w:rPr>
          <w:rFonts w:eastAsiaTheme="minorHAnsi" w:cstheme="minorBidi"/>
          <w:color w:val="000000" w:themeColor="text1"/>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A0D62" w:rsidRPr="00075748" w:rsidTr="009A71A9">
        <w:trPr>
          <w:cantSplit/>
        </w:trPr>
        <w:tc>
          <w:tcPr>
            <w:tcW w:w="6768" w:type="dxa"/>
          </w:tcPr>
          <w:p w:rsidR="00CA0D62" w:rsidRPr="00075748" w:rsidRDefault="00CA0D62" w:rsidP="009A71A9">
            <w:pPr>
              <w:rPr>
                <w:color w:val="000000" w:themeColor="text1"/>
              </w:rPr>
            </w:pPr>
            <w:r w:rsidRPr="00075748">
              <w:rPr>
                <w:b/>
                <w:smallCaps/>
                <w:color w:val="000000" w:themeColor="text1"/>
              </w:rPr>
              <w:t>Citation:</w:t>
            </w:r>
            <w:r w:rsidRPr="00075748">
              <w:rPr>
                <w:color w:val="000000" w:themeColor="text1"/>
              </w:rPr>
              <w:t xml:space="preserve"> Reference re </w:t>
            </w:r>
            <w:r w:rsidRPr="00075748">
              <w:rPr>
                <w:i/>
                <w:color w:val="000000" w:themeColor="text1"/>
              </w:rPr>
              <w:t>Broadcasting Act</w:t>
            </w:r>
            <w:r w:rsidRPr="00075748">
              <w:rPr>
                <w:color w:val="000000" w:themeColor="text1"/>
              </w:rPr>
              <w:t xml:space="preserve">, </w:t>
            </w:r>
            <w:r>
              <w:t>2012 SCC 4, [2012] 1 S.C.R. 142</w:t>
            </w:r>
          </w:p>
        </w:tc>
        <w:tc>
          <w:tcPr>
            <w:tcW w:w="2808" w:type="dxa"/>
          </w:tcPr>
          <w:p w:rsidR="00CA0D62" w:rsidRPr="00075748" w:rsidRDefault="00CA0D62" w:rsidP="009A71A9">
            <w:pPr>
              <w:rPr>
                <w:color w:val="000000" w:themeColor="text1"/>
              </w:rPr>
            </w:pPr>
            <w:r w:rsidRPr="00075748">
              <w:rPr>
                <w:b/>
                <w:smallCaps/>
                <w:color w:val="000000" w:themeColor="text1"/>
              </w:rPr>
              <w:t>Date:</w:t>
            </w:r>
            <w:r w:rsidRPr="00075748">
              <w:rPr>
                <w:color w:val="000000" w:themeColor="text1"/>
              </w:rPr>
              <w:t xml:space="preserve"> 20120209</w:t>
            </w:r>
          </w:p>
          <w:p w:rsidR="00CA0D62" w:rsidRPr="00075748" w:rsidRDefault="00CA0D62" w:rsidP="009A71A9">
            <w:pPr>
              <w:rPr>
                <w:color w:val="000000" w:themeColor="text1"/>
              </w:rPr>
            </w:pPr>
            <w:r w:rsidRPr="00075748">
              <w:rPr>
                <w:b/>
                <w:smallCaps/>
                <w:color w:val="000000" w:themeColor="text1"/>
              </w:rPr>
              <w:t>Docket:</w:t>
            </w:r>
            <w:r w:rsidRPr="00075748">
              <w:rPr>
                <w:color w:val="000000" w:themeColor="text1"/>
              </w:rPr>
              <w:t xml:space="preserve"> 33884</w:t>
            </w:r>
          </w:p>
        </w:tc>
      </w:tr>
    </w:tbl>
    <w:p w:rsidR="00CA0D62" w:rsidRPr="00075748" w:rsidRDefault="00CA0D62" w:rsidP="00CA0D62">
      <w:pPr>
        <w:jc w:val="center"/>
        <w:rPr>
          <w:rFonts w:eastAsiaTheme="minorHAnsi" w:cstheme="minorBidi"/>
          <w:b/>
          <w:color w:val="000000" w:themeColor="text1"/>
          <w:szCs w:val="24"/>
          <w:lang w:eastAsia="en-US"/>
        </w:rPr>
      </w:pP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 xml:space="preserve">IN THE MATTER OF the </w:t>
      </w:r>
      <w:r w:rsidRPr="00075748">
        <w:rPr>
          <w:rFonts w:eastAsiaTheme="minorHAnsi" w:cstheme="minorBidi"/>
          <w:b/>
          <w:i/>
          <w:color w:val="000000" w:themeColor="text1"/>
          <w:szCs w:val="24"/>
          <w:lang w:eastAsia="en-US"/>
        </w:rPr>
        <w:t>Broadcasting Act</w:t>
      </w:r>
      <w:r w:rsidRPr="00075748">
        <w:rPr>
          <w:rFonts w:eastAsiaTheme="minorHAnsi" w:cstheme="minorBidi"/>
          <w:b/>
          <w:color w:val="000000" w:themeColor="text1"/>
          <w:szCs w:val="24"/>
          <w:lang w:eastAsia="en-US"/>
        </w:rPr>
        <w:t>, S.C. 1991, c. 11;</w:t>
      </w:r>
    </w:p>
    <w:p w:rsidR="00CA0D62" w:rsidRPr="00075748" w:rsidRDefault="00CA0D62" w:rsidP="00CA0D62">
      <w:pPr>
        <w:jc w:val="center"/>
        <w:rPr>
          <w:rFonts w:eastAsiaTheme="minorHAnsi" w:cstheme="minorBidi"/>
          <w:b/>
          <w:color w:val="000000" w:themeColor="text1"/>
          <w:szCs w:val="24"/>
          <w:lang w:eastAsia="en-US"/>
        </w:rPr>
      </w:pP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AND IN THE MATTER OF the Canadian Radio-Television and</w:t>
      </w: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Telecommunications Commission’s Broadcasting Regulatory Policy</w:t>
      </w: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CRTC 2009-329 and Broadcasting Order CRTC 2009-452;</w:t>
      </w:r>
    </w:p>
    <w:p w:rsidR="00CA0D62" w:rsidRPr="00075748" w:rsidRDefault="00CA0D62" w:rsidP="00CA0D62">
      <w:pPr>
        <w:jc w:val="center"/>
        <w:rPr>
          <w:rFonts w:eastAsiaTheme="minorHAnsi" w:cstheme="minorBidi"/>
          <w:b/>
          <w:color w:val="000000" w:themeColor="text1"/>
          <w:szCs w:val="24"/>
          <w:lang w:eastAsia="en-US"/>
        </w:rPr>
      </w:pP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AND IN THE MATTER OF an application by way of a reference to the</w:t>
      </w: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Federal Court of Appeal pursuant to ss. 18.3(1) and 28(2) of the</w:t>
      </w:r>
    </w:p>
    <w:p w:rsidR="00CA0D62" w:rsidRPr="00075748" w:rsidRDefault="00CA0D62" w:rsidP="00CA0D62">
      <w:pPr>
        <w:jc w:val="center"/>
        <w:rPr>
          <w:rFonts w:eastAsiaTheme="minorHAnsi" w:cstheme="minorBidi"/>
          <w:b/>
          <w:color w:val="000000" w:themeColor="text1"/>
          <w:szCs w:val="24"/>
          <w:lang w:eastAsia="en-US"/>
        </w:rPr>
      </w:pPr>
      <w:proofErr w:type="gramStart"/>
      <w:r w:rsidRPr="00075748">
        <w:rPr>
          <w:rFonts w:eastAsiaTheme="minorHAnsi" w:cstheme="minorBidi"/>
          <w:b/>
          <w:i/>
          <w:color w:val="000000" w:themeColor="text1"/>
          <w:szCs w:val="24"/>
          <w:lang w:eastAsia="en-US"/>
        </w:rPr>
        <w:t>Federal Courts Act</w:t>
      </w:r>
      <w:r>
        <w:rPr>
          <w:rFonts w:eastAsiaTheme="minorHAnsi" w:cstheme="minorBidi"/>
          <w:b/>
          <w:color w:val="000000" w:themeColor="text1"/>
          <w:szCs w:val="24"/>
          <w:lang w:eastAsia="en-US"/>
        </w:rPr>
        <w:t>, R.S.C. 1985, c. F-7.</w:t>
      </w:r>
      <w:proofErr w:type="gramEnd"/>
    </w:p>
    <w:p w:rsidR="00CA0D62" w:rsidRPr="00075748" w:rsidRDefault="00CA0D62" w:rsidP="00CA0D62">
      <w:pPr>
        <w:jc w:val="center"/>
        <w:rPr>
          <w:rFonts w:eastAsiaTheme="minorHAnsi" w:cstheme="minorBidi"/>
          <w:b/>
          <w:color w:val="000000" w:themeColor="text1"/>
          <w:szCs w:val="24"/>
          <w:lang w:eastAsia="en-US"/>
        </w:rPr>
      </w:pPr>
    </w:p>
    <w:p w:rsidR="00CA0D62" w:rsidRPr="00075748" w:rsidRDefault="00CA0D62" w:rsidP="00CA0D62">
      <w:pPr>
        <w:jc w:val="center"/>
        <w:rPr>
          <w:rFonts w:eastAsiaTheme="minorHAnsi" w:cstheme="minorBidi"/>
          <w:b/>
          <w:color w:val="000000" w:themeColor="text1"/>
          <w:szCs w:val="24"/>
          <w:lang w:eastAsia="en-US"/>
        </w:rPr>
      </w:pP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 xml:space="preserve">Alliance of Canadian Cinema, Television and Radio Artists, </w:t>
      </w: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 xml:space="preserve">Canadian Media Production Association, </w:t>
      </w: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Directors Guild of Canada and Writers Guild of Canada</w:t>
      </w:r>
    </w:p>
    <w:p w:rsidR="00CA0D62" w:rsidRPr="00075748" w:rsidRDefault="00CA0D62" w:rsidP="00CA0D62">
      <w:pPr>
        <w:jc w:val="center"/>
        <w:rPr>
          <w:rFonts w:eastAsiaTheme="minorHAnsi" w:cstheme="minorBidi"/>
          <w:color w:val="000000" w:themeColor="text1"/>
          <w:szCs w:val="24"/>
          <w:lang w:eastAsia="en-US"/>
        </w:rPr>
      </w:pPr>
      <w:r w:rsidRPr="00075748">
        <w:rPr>
          <w:rFonts w:eastAsiaTheme="minorHAnsi" w:cstheme="minorBidi"/>
          <w:color w:val="000000" w:themeColor="text1"/>
          <w:szCs w:val="24"/>
          <w:lang w:eastAsia="en-US"/>
        </w:rPr>
        <w:t>Appellants</w:t>
      </w:r>
    </w:p>
    <w:p w:rsidR="00CA0D62" w:rsidRPr="00075748" w:rsidRDefault="00CA0D62" w:rsidP="00CA0D62">
      <w:pPr>
        <w:jc w:val="center"/>
        <w:rPr>
          <w:rFonts w:eastAsiaTheme="minorHAnsi" w:cstheme="minorBidi"/>
          <w:color w:val="000000" w:themeColor="text1"/>
          <w:szCs w:val="24"/>
          <w:lang w:eastAsia="en-US"/>
        </w:rPr>
      </w:pPr>
      <w:proofErr w:type="gramStart"/>
      <w:r w:rsidRPr="00075748">
        <w:rPr>
          <w:rFonts w:eastAsiaTheme="minorHAnsi" w:cstheme="minorBidi"/>
          <w:color w:val="000000" w:themeColor="text1"/>
          <w:szCs w:val="24"/>
          <w:lang w:eastAsia="en-US"/>
        </w:rPr>
        <w:t>v</w:t>
      </w:r>
      <w:proofErr w:type="gramEnd"/>
      <w:r w:rsidRPr="00075748">
        <w:rPr>
          <w:rFonts w:eastAsiaTheme="minorHAnsi" w:cstheme="minorBidi"/>
          <w:color w:val="000000" w:themeColor="text1"/>
          <w:szCs w:val="24"/>
          <w:lang w:eastAsia="en-US"/>
        </w:rPr>
        <w:t>.</w:t>
      </w: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 xml:space="preserve">Bell </w:t>
      </w:r>
      <w:proofErr w:type="spellStart"/>
      <w:r w:rsidRPr="00075748">
        <w:rPr>
          <w:rFonts w:eastAsiaTheme="minorHAnsi" w:cstheme="minorBidi"/>
          <w:b/>
          <w:color w:val="000000" w:themeColor="text1"/>
          <w:szCs w:val="24"/>
          <w:lang w:eastAsia="en-US"/>
        </w:rPr>
        <w:t>Aliant</w:t>
      </w:r>
      <w:proofErr w:type="spellEnd"/>
      <w:r w:rsidRPr="00075748">
        <w:rPr>
          <w:rFonts w:eastAsiaTheme="minorHAnsi" w:cstheme="minorBidi"/>
          <w:b/>
          <w:color w:val="000000" w:themeColor="text1"/>
          <w:szCs w:val="24"/>
          <w:lang w:eastAsia="en-US"/>
        </w:rPr>
        <w:t xml:space="preserve"> Regional Communications, LP, Bell Canada, </w:t>
      </w:r>
      <w:proofErr w:type="spellStart"/>
      <w:r w:rsidRPr="00075748">
        <w:rPr>
          <w:rFonts w:eastAsiaTheme="minorHAnsi" w:cstheme="minorBidi"/>
          <w:b/>
          <w:color w:val="000000" w:themeColor="text1"/>
          <w:szCs w:val="24"/>
          <w:lang w:eastAsia="en-US"/>
        </w:rPr>
        <w:t>Cogeco</w:t>
      </w:r>
      <w:proofErr w:type="spellEnd"/>
      <w:r w:rsidRPr="00075748">
        <w:rPr>
          <w:rFonts w:eastAsiaTheme="minorHAnsi" w:cstheme="minorBidi"/>
          <w:b/>
          <w:color w:val="000000" w:themeColor="text1"/>
          <w:szCs w:val="24"/>
          <w:lang w:eastAsia="en-US"/>
        </w:rPr>
        <w:t xml:space="preserve"> Cable Inc.,</w:t>
      </w: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 xml:space="preserve">MTS </w:t>
      </w:r>
      <w:proofErr w:type="spellStart"/>
      <w:r w:rsidRPr="00075748">
        <w:rPr>
          <w:rFonts w:eastAsiaTheme="minorHAnsi" w:cstheme="minorBidi"/>
          <w:b/>
          <w:color w:val="000000" w:themeColor="text1"/>
          <w:szCs w:val="24"/>
          <w:lang w:eastAsia="en-US"/>
        </w:rPr>
        <w:t>Allstream</w:t>
      </w:r>
      <w:proofErr w:type="spellEnd"/>
      <w:r w:rsidRPr="00075748">
        <w:rPr>
          <w:rFonts w:eastAsiaTheme="minorHAnsi" w:cstheme="minorBidi"/>
          <w:b/>
          <w:color w:val="000000" w:themeColor="text1"/>
          <w:szCs w:val="24"/>
          <w:lang w:eastAsia="en-US"/>
        </w:rPr>
        <w:t xml:space="preserve"> Inc., Rogers Communications Inc., </w:t>
      </w: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T</w:t>
      </w:r>
      <w:r>
        <w:rPr>
          <w:rFonts w:eastAsiaTheme="minorHAnsi" w:cstheme="minorBidi"/>
          <w:b/>
          <w:color w:val="000000" w:themeColor="text1"/>
          <w:szCs w:val="24"/>
          <w:lang w:eastAsia="en-US"/>
        </w:rPr>
        <w:t>ELUS</w:t>
      </w:r>
      <w:r w:rsidRPr="00075748">
        <w:rPr>
          <w:rFonts w:eastAsiaTheme="minorHAnsi" w:cstheme="minorBidi"/>
          <w:b/>
          <w:color w:val="000000" w:themeColor="text1"/>
          <w:szCs w:val="24"/>
          <w:lang w:eastAsia="en-US"/>
        </w:rPr>
        <w:t xml:space="preserve"> Communications Company, Videotron Ltd. </w:t>
      </w:r>
    </w:p>
    <w:p w:rsidR="00CA0D62" w:rsidRPr="00075748" w:rsidRDefault="00CA0D62" w:rsidP="00CA0D62">
      <w:pPr>
        <w:jc w:val="center"/>
        <w:rPr>
          <w:rFonts w:eastAsiaTheme="minorHAnsi" w:cstheme="minorBidi"/>
          <w:b/>
          <w:color w:val="000000" w:themeColor="text1"/>
          <w:szCs w:val="24"/>
          <w:lang w:eastAsia="en-US"/>
        </w:rPr>
      </w:pPr>
      <w:proofErr w:type="gramStart"/>
      <w:r w:rsidRPr="00075748">
        <w:rPr>
          <w:rFonts w:eastAsiaTheme="minorHAnsi" w:cstheme="minorBidi"/>
          <w:b/>
          <w:color w:val="000000" w:themeColor="text1"/>
          <w:szCs w:val="24"/>
          <w:lang w:eastAsia="en-US"/>
        </w:rPr>
        <w:t>and</w:t>
      </w:r>
      <w:proofErr w:type="gramEnd"/>
      <w:r w:rsidRPr="00075748">
        <w:rPr>
          <w:rFonts w:eastAsiaTheme="minorHAnsi" w:cstheme="minorBidi"/>
          <w:b/>
          <w:color w:val="000000" w:themeColor="text1"/>
          <w:szCs w:val="24"/>
          <w:lang w:eastAsia="en-US"/>
        </w:rPr>
        <w:t xml:space="preserve"> Shaw Communications Inc.</w:t>
      </w:r>
    </w:p>
    <w:p w:rsidR="00CA0D62" w:rsidRPr="00075748" w:rsidRDefault="00CA0D62" w:rsidP="00CA0D62">
      <w:pPr>
        <w:jc w:val="center"/>
        <w:rPr>
          <w:rFonts w:eastAsiaTheme="minorHAnsi" w:cstheme="minorBidi"/>
          <w:color w:val="000000" w:themeColor="text1"/>
          <w:szCs w:val="24"/>
          <w:lang w:eastAsia="en-US"/>
        </w:rPr>
      </w:pPr>
      <w:r w:rsidRPr="00075748">
        <w:rPr>
          <w:rFonts w:eastAsiaTheme="minorHAnsi" w:cstheme="minorBidi"/>
          <w:color w:val="000000" w:themeColor="text1"/>
          <w:szCs w:val="24"/>
          <w:lang w:eastAsia="en-US"/>
        </w:rPr>
        <w:t>Respondents</w:t>
      </w:r>
    </w:p>
    <w:p w:rsidR="00CA0D62" w:rsidRPr="00075748" w:rsidRDefault="00CA0D62" w:rsidP="00CA0D62">
      <w:pPr>
        <w:jc w:val="center"/>
        <w:rPr>
          <w:rFonts w:eastAsiaTheme="minorHAnsi" w:cstheme="minorBidi"/>
          <w:color w:val="000000" w:themeColor="text1"/>
          <w:szCs w:val="24"/>
          <w:lang w:eastAsia="en-US"/>
        </w:rPr>
      </w:pPr>
      <w:r w:rsidRPr="00075748">
        <w:rPr>
          <w:rFonts w:eastAsiaTheme="minorHAnsi" w:cstheme="minorBidi"/>
          <w:color w:val="000000" w:themeColor="text1"/>
          <w:szCs w:val="24"/>
          <w:lang w:eastAsia="en-US"/>
        </w:rPr>
        <w:t xml:space="preserve">- </w:t>
      </w:r>
      <w:proofErr w:type="gramStart"/>
      <w:r w:rsidRPr="00075748">
        <w:rPr>
          <w:rFonts w:eastAsiaTheme="minorHAnsi" w:cstheme="minorBidi"/>
          <w:color w:val="000000" w:themeColor="text1"/>
          <w:szCs w:val="24"/>
          <w:lang w:eastAsia="en-US"/>
        </w:rPr>
        <w:t>and</w:t>
      </w:r>
      <w:proofErr w:type="gramEnd"/>
      <w:r w:rsidRPr="00075748">
        <w:rPr>
          <w:rFonts w:eastAsiaTheme="minorHAnsi" w:cstheme="minorBidi"/>
          <w:color w:val="000000" w:themeColor="text1"/>
          <w:szCs w:val="24"/>
          <w:lang w:eastAsia="en-US"/>
        </w:rPr>
        <w:t xml:space="preserve"> -</w:t>
      </w:r>
    </w:p>
    <w:p w:rsidR="00CA0D62" w:rsidRPr="00075748" w:rsidRDefault="00CA0D62" w:rsidP="00CA0D62">
      <w:pPr>
        <w:jc w:val="center"/>
        <w:rPr>
          <w:rFonts w:eastAsiaTheme="minorHAnsi" w:cstheme="minorBidi"/>
          <w:b/>
          <w:color w:val="000000" w:themeColor="text1"/>
          <w:szCs w:val="24"/>
          <w:lang w:eastAsia="en-US"/>
        </w:rPr>
      </w:pPr>
      <w:r w:rsidRPr="00075748">
        <w:rPr>
          <w:rFonts w:eastAsiaTheme="minorHAnsi" w:cstheme="minorBidi"/>
          <w:b/>
          <w:color w:val="000000" w:themeColor="text1"/>
          <w:szCs w:val="24"/>
          <w:lang w:eastAsia="en-US"/>
        </w:rPr>
        <w:t>Canadian Radio-Television and Telecommunications Commission</w:t>
      </w:r>
    </w:p>
    <w:p w:rsidR="00CA0D62" w:rsidRPr="00075748" w:rsidRDefault="00CA0D62" w:rsidP="00CA0D62">
      <w:pPr>
        <w:jc w:val="center"/>
        <w:rPr>
          <w:rFonts w:eastAsiaTheme="minorHAnsi" w:cstheme="minorBidi"/>
          <w:color w:val="000000" w:themeColor="text1"/>
          <w:szCs w:val="24"/>
          <w:lang w:eastAsia="en-US"/>
        </w:rPr>
      </w:pPr>
      <w:r w:rsidRPr="00075748">
        <w:rPr>
          <w:rFonts w:eastAsiaTheme="minorHAnsi" w:cstheme="minorBidi"/>
          <w:color w:val="000000" w:themeColor="text1"/>
          <w:szCs w:val="24"/>
          <w:lang w:eastAsia="en-US"/>
        </w:rPr>
        <w:t>Intervener</w:t>
      </w:r>
    </w:p>
    <w:p w:rsidR="00CA0D62" w:rsidRPr="00075748" w:rsidRDefault="00CA0D62" w:rsidP="00CA0D62">
      <w:pPr>
        <w:rPr>
          <w:rFonts w:eastAsiaTheme="minorHAnsi" w:cstheme="minorBidi"/>
          <w:color w:val="000000" w:themeColor="text1"/>
          <w:szCs w:val="24"/>
          <w:lang w:eastAsia="en-US"/>
        </w:rPr>
      </w:pPr>
    </w:p>
    <w:p w:rsidR="00CA0D62" w:rsidRPr="00075748" w:rsidRDefault="00CA0D62" w:rsidP="00CA0D62">
      <w:pPr>
        <w:rPr>
          <w:rFonts w:eastAsiaTheme="minorHAnsi" w:cstheme="minorBidi"/>
          <w:color w:val="000000" w:themeColor="text1"/>
          <w:szCs w:val="24"/>
          <w:lang w:eastAsia="en-US"/>
        </w:rPr>
      </w:pPr>
    </w:p>
    <w:p w:rsidR="00CA0D62" w:rsidRPr="00075748" w:rsidRDefault="00CA0D62" w:rsidP="00CA0D62">
      <w:pPr>
        <w:rPr>
          <w:rFonts w:eastAsiaTheme="minorHAnsi" w:cstheme="minorBidi"/>
          <w:color w:val="000000" w:themeColor="text1"/>
          <w:szCs w:val="24"/>
          <w:lang w:eastAsia="en-US"/>
        </w:rPr>
      </w:pPr>
      <w:r w:rsidRPr="00075748">
        <w:rPr>
          <w:rFonts w:eastAsiaTheme="minorHAnsi" w:cstheme="minorBidi"/>
          <w:b/>
          <w:smallCaps/>
          <w:color w:val="000000" w:themeColor="text1"/>
          <w:szCs w:val="24"/>
          <w:lang w:eastAsia="en-US"/>
        </w:rPr>
        <w:t>Coram:</w:t>
      </w:r>
      <w:r w:rsidRPr="00075748">
        <w:rPr>
          <w:rFonts w:eastAsiaTheme="minorHAnsi" w:cstheme="minorBidi"/>
          <w:color w:val="000000" w:themeColor="text1"/>
          <w:szCs w:val="24"/>
          <w:lang w:eastAsia="en-US"/>
        </w:rPr>
        <w:t xml:space="preserve"> </w:t>
      </w:r>
      <w:proofErr w:type="spellStart"/>
      <w:r w:rsidRPr="00075748">
        <w:rPr>
          <w:rFonts w:eastAsiaTheme="minorHAnsi" w:cstheme="minorBidi"/>
          <w:color w:val="000000" w:themeColor="text1"/>
          <w:szCs w:val="24"/>
          <w:lang w:eastAsia="en-US"/>
        </w:rPr>
        <w:t>McLachlin</w:t>
      </w:r>
      <w:proofErr w:type="spellEnd"/>
      <w:r w:rsidRPr="00075748">
        <w:rPr>
          <w:rFonts w:eastAsiaTheme="minorHAnsi" w:cstheme="minorBidi"/>
          <w:color w:val="000000" w:themeColor="text1"/>
          <w:szCs w:val="24"/>
          <w:lang w:eastAsia="en-US"/>
        </w:rPr>
        <w:t xml:space="preserve"> C.J. and </w:t>
      </w:r>
      <w:proofErr w:type="spellStart"/>
      <w:r w:rsidRPr="00075748">
        <w:rPr>
          <w:rFonts w:eastAsiaTheme="minorHAnsi" w:cstheme="minorBidi"/>
          <w:color w:val="000000" w:themeColor="text1"/>
          <w:szCs w:val="24"/>
          <w:lang w:eastAsia="en-US"/>
        </w:rPr>
        <w:t>LeBel</w:t>
      </w:r>
      <w:proofErr w:type="spellEnd"/>
      <w:r w:rsidRPr="00075748">
        <w:rPr>
          <w:rFonts w:eastAsiaTheme="minorHAnsi" w:cstheme="minorBidi"/>
          <w:color w:val="000000" w:themeColor="text1"/>
          <w:szCs w:val="24"/>
          <w:lang w:eastAsia="en-US"/>
        </w:rPr>
        <w:t xml:space="preserve">, </w:t>
      </w:r>
      <w:proofErr w:type="spellStart"/>
      <w:r w:rsidRPr="00075748">
        <w:rPr>
          <w:rFonts w:eastAsiaTheme="minorHAnsi" w:cstheme="minorBidi"/>
          <w:color w:val="000000" w:themeColor="text1"/>
          <w:szCs w:val="24"/>
          <w:lang w:eastAsia="en-US"/>
        </w:rPr>
        <w:t>Deschamps</w:t>
      </w:r>
      <w:proofErr w:type="spellEnd"/>
      <w:r w:rsidRPr="00075748">
        <w:rPr>
          <w:rFonts w:eastAsiaTheme="minorHAnsi" w:cstheme="minorBidi"/>
          <w:color w:val="000000" w:themeColor="text1"/>
          <w:szCs w:val="24"/>
          <w:lang w:eastAsia="en-US"/>
        </w:rPr>
        <w:t xml:space="preserve">, Fish, </w:t>
      </w:r>
      <w:proofErr w:type="spellStart"/>
      <w:r w:rsidRPr="00075748">
        <w:rPr>
          <w:rFonts w:eastAsiaTheme="minorHAnsi" w:cstheme="minorBidi"/>
          <w:color w:val="000000" w:themeColor="text1"/>
          <w:szCs w:val="24"/>
          <w:lang w:eastAsia="en-US"/>
        </w:rPr>
        <w:t>Abella</w:t>
      </w:r>
      <w:proofErr w:type="spellEnd"/>
      <w:r w:rsidRPr="00075748">
        <w:rPr>
          <w:rFonts w:eastAsiaTheme="minorHAnsi" w:cstheme="minorBidi"/>
          <w:color w:val="000000" w:themeColor="text1"/>
          <w:szCs w:val="24"/>
          <w:lang w:eastAsia="en-US"/>
        </w:rPr>
        <w:t xml:space="preserve">, Rothstein, Cromwell, </w:t>
      </w:r>
      <w:proofErr w:type="spellStart"/>
      <w:r w:rsidRPr="00075748">
        <w:rPr>
          <w:rFonts w:eastAsiaTheme="minorHAnsi" w:cstheme="minorBidi"/>
          <w:color w:val="000000" w:themeColor="text1"/>
          <w:szCs w:val="24"/>
          <w:lang w:eastAsia="en-US"/>
        </w:rPr>
        <w:t>Moldaver</w:t>
      </w:r>
      <w:proofErr w:type="spellEnd"/>
      <w:r w:rsidRPr="00075748">
        <w:rPr>
          <w:rFonts w:eastAsiaTheme="minorHAnsi" w:cstheme="minorBidi"/>
          <w:color w:val="000000" w:themeColor="text1"/>
          <w:szCs w:val="24"/>
          <w:lang w:eastAsia="en-US"/>
        </w:rPr>
        <w:t xml:space="preserve"> and </w:t>
      </w:r>
      <w:proofErr w:type="spellStart"/>
      <w:r w:rsidRPr="00075748">
        <w:rPr>
          <w:rFonts w:eastAsiaTheme="minorHAnsi" w:cstheme="minorBidi"/>
          <w:color w:val="000000" w:themeColor="text1"/>
          <w:szCs w:val="24"/>
          <w:lang w:eastAsia="en-US"/>
        </w:rPr>
        <w:t>Karakatsanis</w:t>
      </w:r>
      <w:proofErr w:type="spellEnd"/>
      <w:r w:rsidRPr="00075748">
        <w:rPr>
          <w:rFonts w:eastAsiaTheme="minorHAnsi" w:cstheme="minorBidi"/>
          <w:color w:val="000000" w:themeColor="text1"/>
          <w:szCs w:val="24"/>
          <w:lang w:eastAsia="en-US"/>
        </w:rPr>
        <w:t> JJ.</w:t>
      </w:r>
    </w:p>
    <w:p w:rsidR="00CA0D62" w:rsidRPr="00075748" w:rsidRDefault="00CA0D62" w:rsidP="00CA0D62">
      <w:pPr>
        <w:rPr>
          <w:rFonts w:eastAsiaTheme="minorHAnsi" w:cstheme="minorBidi"/>
          <w:color w:val="000000" w:themeColor="text1"/>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A0D62" w:rsidRPr="00075748" w:rsidTr="009A71A9">
        <w:trPr>
          <w:cantSplit/>
        </w:trPr>
        <w:tc>
          <w:tcPr>
            <w:tcW w:w="3618" w:type="dxa"/>
          </w:tcPr>
          <w:p w:rsidR="00CA0D62" w:rsidRPr="00075748" w:rsidRDefault="00CA0D62" w:rsidP="009A71A9">
            <w:pPr>
              <w:rPr>
                <w:b/>
                <w:smallCaps/>
                <w:color w:val="000000" w:themeColor="text1"/>
              </w:rPr>
            </w:pPr>
            <w:r w:rsidRPr="00075748">
              <w:rPr>
                <w:b/>
                <w:smallCaps/>
                <w:color w:val="000000" w:themeColor="text1"/>
              </w:rPr>
              <w:t>Reasons for Judgment:</w:t>
            </w:r>
          </w:p>
          <w:p w:rsidR="00CA0D62" w:rsidRPr="00075748" w:rsidRDefault="00CA0D62" w:rsidP="009A71A9">
            <w:pPr>
              <w:rPr>
                <w:color w:val="000000" w:themeColor="text1"/>
              </w:rPr>
            </w:pPr>
            <w:r w:rsidRPr="00075748">
              <w:rPr>
                <w:color w:val="000000" w:themeColor="text1"/>
              </w:rPr>
              <w:t>(</w:t>
            </w:r>
            <w:proofErr w:type="spellStart"/>
            <w:r w:rsidRPr="00075748">
              <w:rPr>
                <w:color w:val="000000" w:themeColor="text1"/>
              </w:rPr>
              <w:t>paras</w:t>
            </w:r>
            <w:proofErr w:type="spellEnd"/>
            <w:r w:rsidRPr="00075748">
              <w:rPr>
                <w:color w:val="000000" w:themeColor="text1"/>
              </w:rPr>
              <w:t>. 1 to 11):</w:t>
            </w:r>
          </w:p>
        </w:tc>
        <w:tc>
          <w:tcPr>
            <w:tcW w:w="5958" w:type="dxa"/>
          </w:tcPr>
          <w:p w:rsidR="00CA0D62" w:rsidRPr="00075748" w:rsidRDefault="00CA0D62" w:rsidP="009A71A9">
            <w:pPr>
              <w:rPr>
                <w:color w:val="000000" w:themeColor="text1"/>
              </w:rPr>
            </w:pPr>
            <w:r w:rsidRPr="00075748">
              <w:rPr>
                <w:color w:val="000000" w:themeColor="text1"/>
              </w:rPr>
              <w:t>The Court</w:t>
            </w:r>
          </w:p>
        </w:tc>
      </w:tr>
    </w:tbl>
    <w:p w:rsidR="00CA0D62" w:rsidRPr="00075748" w:rsidRDefault="00CA0D62" w:rsidP="00CA0D62">
      <w:pPr>
        <w:rPr>
          <w:rFonts w:eastAsiaTheme="minorHAnsi" w:cstheme="minorBidi"/>
          <w:color w:val="000000" w:themeColor="text1"/>
          <w:szCs w:val="24"/>
          <w:lang w:eastAsia="en-US"/>
        </w:rPr>
      </w:pPr>
    </w:p>
    <w:p w:rsidR="00CA0D62" w:rsidRPr="00075748" w:rsidRDefault="00CA0D62" w:rsidP="00CA0D62">
      <w:pPr>
        <w:rPr>
          <w:smallCaps/>
          <w:color w:val="000000" w:themeColor="text1"/>
        </w:rPr>
      </w:pPr>
      <w:r w:rsidRPr="0002738C">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r w:rsidRPr="00075748">
        <w:rPr>
          <w:smallCaps/>
          <w:color w:val="000000" w:themeColor="text1"/>
        </w:rPr>
        <w:br w:type="page"/>
      </w:r>
    </w:p>
    <w:p w:rsidR="00E14DDA" w:rsidRDefault="00E14DDA" w:rsidP="00D814E7">
      <w:pPr>
        <w:spacing w:after="480"/>
        <w:jc w:val="both"/>
      </w:pPr>
      <w:r w:rsidRPr="00E14DDA">
        <w:lastRenderedPageBreak/>
        <w:t xml:space="preserve">Reference re </w:t>
      </w:r>
      <w:r w:rsidRPr="00E14DDA">
        <w:rPr>
          <w:i/>
        </w:rPr>
        <w:t>Broadcasting Act</w:t>
      </w:r>
      <w:r w:rsidRPr="00E14DDA">
        <w:t xml:space="preserve">, </w:t>
      </w:r>
      <w:r>
        <w:t>2012 SCC 4, [2012] 1 S.C.R. 142</w:t>
      </w:r>
    </w:p>
    <w:p w:rsidR="00E14DDA" w:rsidRPr="00E14DDA" w:rsidRDefault="00E14DDA" w:rsidP="00D814E7">
      <w:pPr>
        <w:spacing w:after="480"/>
        <w:jc w:val="both"/>
        <w:rPr>
          <w:smallCaps/>
        </w:rPr>
      </w:pPr>
    </w:p>
    <w:p w:rsidR="00BB3CE2" w:rsidRPr="00802D9A" w:rsidRDefault="00BB3CE2" w:rsidP="00D814E7">
      <w:pPr>
        <w:spacing w:after="480"/>
        <w:jc w:val="both"/>
        <w:rPr>
          <w:b/>
        </w:rPr>
      </w:pPr>
      <w:r w:rsidRPr="00802D9A">
        <w:rPr>
          <w:b/>
        </w:rPr>
        <w:t xml:space="preserve">IN THE MATTER OF the </w:t>
      </w:r>
      <w:r w:rsidRPr="00802D9A">
        <w:rPr>
          <w:b/>
          <w:i/>
        </w:rPr>
        <w:t>Broadcasting Act</w:t>
      </w:r>
      <w:r w:rsidRPr="00802D9A">
        <w:rPr>
          <w:b/>
        </w:rPr>
        <w:t>, S.C. 1991, c. 11;</w:t>
      </w:r>
    </w:p>
    <w:p w:rsidR="00BB3CE2" w:rsidRPr="00802D9A" w:rsidRDefault="00BB3CE2" w:rsidP="009839DA">
      <w:pPr>
        <w:spacing w:after="480"/>
        <w:jc w:val="both"/>
        <w:rPr>
          <w:b/>
        </w:rPr>
      </w:pPr>
      <w:r w:rsidRPr="00802D9A">
        <w:rPr>
          <w:b/>
        </w:rPr>
        <w:t xml:space="preserve">AND IN THE MATTER OF the Canadian </w:t>
      </w:r>
      <w:proofErr w:type="spellStart"/>
      <w:r w:rsidRPr="00802D9A">
        <w:rPr>
          <w:b/>
        </w:rPr>
        <w:t>Radio</w:t>
      </w:r>
      <w:r w:rsidR="00D0326D" w:rsidRPr="00802D9A">
        <w:rPr>
          <w:b/>
        </w:rPr>
        <w:noBreakHyphen/>
      </w:r>
      <w:r w:rsidR="002C0A14" w:rsidRPr="00802D9A">
        <w:rPr>
          <w:b/>
        </w:rPr>
        <w:t>t</w:t>
      </w:r>
      <w:r w:rsidRPr="00802D9A">
        <w:rPr>
          <w:b/>
        </w:rPr>
        <w:t>elevision</w:t>
      </w:r>
      <w:proofErr w:type="spellEnd"/>
      <w:r w:rsidRPr="00802D9A">
        <w:rPr>
          <w:b/>
        </w:rPr>
        <w:t xml:space="preserve"> and Telecommunications Commission’s Broadcasting Regulatory Policy CRTC 2009</w:t>
      </w:r>
      <w:r w:rsidR="00D0326D" w:rsidRPr="00802D9A">
        <w:rPr>
          <w:b/>
        </w:rPr>
        <w:noBreakHyphen/>
      </w:r>
      <w:r w:rsidRPr="00802D9A">
        <w:rPr>
          <w:b/>
        </w:rPr>
        <w:t>329 and Broadcasting Order CRTC 2009</w:t>
      </w:r>
      <w:r w:rsidR="00D0326D" w:rsidRPr="00802D9A">
        <w:rPr>
          <w:b/>
        </w:rPr>
        <w:noBreakHyphen/>
      </w:r>
      <w:r w:rsidRPr="00802D9A">
        <w:rPr>
          <w:b/>
        </w:rPr>
        <w:t>452;</w:t>
      </w:r>
    </w:p>
    <w:p w:rsidR="009017E3" w:rsidRPr="00802D9A" w:rsidRDefault="009017E3" w:rsidP="009839DA">
      <w:pPr>
        <w:spacing w:after="480"/>
        <w:jc w:val="both"/>
        <w:rPr>
          <w:b/>
        </w:rPr>
      </w:pPr>
      <w:r w:rsidRPr="00802D9A">
        <w:rPr>
          <w:b/>
        </w:rPr>
        <w:t xml:space="preserve">AND IN THE MATTER OF </w:t>
      </w:r>
      <w:r w:rsidR="00BD0B03" w:rsidRPr="00802D9A">
        <w:rPr>
          <w:b/>
        </w:rPr>
        <w:t xml:space="preserve">an application by way of a reference to the </w:t>
      </w:r>
      <w:r w:rsidRPr="00802D9A">
        <w:rPr>
          <w:b/>
        </w:rPr>
        <w:t xml:space="preserve">Federal Court </w:t>
      </w:r>
      <w:r w:rsidR="00BD0B03" w:rsidRPr="00802D9A">
        <w:rPr>
          <w:b/>
        </w:rPr>
        <w:t xml:space="preserve">of </w:t>
      </w:r>
      <w:r w:rsidR="00D178A3" w:rsidRPr="00802D9A">
        <w:rPr>
          <w:b/>
        </w:rPr>
        <w:t>A</w:t>
      </w:r>
      <w:r w:rsidR="00BD0B03" w:rsidRPr="00802D9A">
        <w:rPr>
          <w:b/>
        </w:rPr>
        <w:t xml:space="preserve">ppeal pursuant to </w:t>
      </w:r>
      <w:r w:rsidR="00D0326D" w:rsidRPr="00802D9A">
        <w:rPr>
          <w:b/>
        </w:rPr>
        <w:t>ss. </w:t>
      </w:r>
      <w:r w:rsidRPr="00802D9A">
        <w:rPr>
          <w:b/>
        </w:rPr>
        <w:t xml:space="preserve">18.3(1) </w:t>
      </w:r>
      <w:r w:rsidR="00BD0B03" w:rsidRPr="00802D9A">
        <w:rPr>
          <w:b/>
        </w:rPr>
        <w:t xml:space="preserve">and 28(2) of the </w:t>
      </w:r>
      <w:r w:rsidRPr="00802D9A">
        <w:rPr>
          <w:b/>
          <w:i/>
        </w:rPr>
        <w:t>Federal Courts Act</w:t>
      </w:r>
      <w:r w:rsidRPr="00802D9A">
        <w:rPr>
          <w:b/>
        </w:rPr>
        <w:t xml:space="preserve">, </w:t>
      </w:r>
      <w:r w:rsidR="00BF2392" w:rsidRPr="00802D9A">
        <w:rPr>
          <w:b/>
        </w:rPr>
        <w:t>R.S.C. 1985, c</w:t>
      </w:r>
      <w:r w:rsidR="00D814E7" w:rsidRPr="00802D9A">
        <w:rPr>
          <w:b/>
        </w:rPr>
        <w:t>. </w:t>
      </w:r>
      <w:r w:rsidRPr="00802D9A">
        <w:rPr>
          <w:b/>
        </w:rPr>
        <w:t>F</w:t>
      </w:r>
      <w:r w:rsidR="00D0326D" w:rsidRPr="00802D9A">
        <w:rPr>
          <w:b/>
        </w:rPr>
        <w:noBreakHyphen/>
      </w:r>
      <w:r w:rsidRPr="00802D9A">
        <w:rPr>
          <w:b/>
        </w:rPr>
        <w:t>7</w:t>
      </w:r>
    </w:p>
    <w:p w:rsidR="00FB5522" w:rsidRPr="00802D9A" w:rsidRDefault="002E65D6">
      <w:pPr>
        <w:pStyle w:val="SCCLsocParty"/>
      </w:pPr>
      <w:r w:rsidRPr="00802D9A">
        <w:t xml:space="preserve">Alliance </w:t>
      </w:r>
      <w:r w:rsidR="006B7D8A" w:rsidRPr="00802D9A">
        <w:t>of Canadian Cinema, Television and</w:t>
      </w:r>
      <w:r w:rsidRPr="00802D9A">
        <w:t xml:space="preserve"> Radio Artists, </w:t>
      </w:r>
    </w:p>
    <w:p w:rsidR="009625E2" w:rsidRPr="00802D9A" w:rsidRDefault="002E65D6">
      <w:pPr>
        <w:pStyle w:val="SCCLsocParty"/>
      </w:pPr>
      <w:r w:rsidRPr="00802D9A">
        <w:t xml:space="preserve">Canadian Media Production Association, </w:t>
      </w:r>
    </w:p>
    <w:p w:rsidR="009625E2" w:rsidRPr="00802D9A" w:rsidRDefault="002E65D6" w:rsidP="00D814E7">
      <w:pPr>
        <w:pStyle w:val="SCCLsocParty"/>
        <w:tabs>
          <w:tab w:val="right" w:pos="8280"/>
        </w:tabs>
        <w:spacing w:after="480"/>
      </w:pPr>
      <w:r w:rsidRPr="00802D9A">
        <w:t>Directors Guild of Canada and Writers Guild of Canada</w:t>
      </w:r>
      <w:r w:rsidR="009625E2" w:rsidRPr="00802D9A">
        <w:tab/>
      </w:r>
      <w:r w:rsidRPr="00802D9A">
        <w:rPr>
          <w:b w:val="0"/>
          <w:i/>
        </w:rPr>
        <w:t>Appellants</w:t>
      </w:r>
    </w:p>
    <w:p w:rsidR="009625E2" w:rsidRPr="00802D9A" w:rsidRDefault="002E65D6" w:rsidP="00D814E7">
      <w:pPr>
        <w:pStyle w:val="SCCLsocVersus"/>
        <w:spacing w:after="480"/>
      </w:pPr>
      <w:proofErr w:type="gramStart"/>
      <w:r w:rsidRPr="00802D9A">
        <w:t>v</w:t>
      </w:r>
      <w:proofErr w:type="gramEnd"/>
      <w:r w:rsidRPr="00802D9A">
        <w:t>.</w:t>
      </w:r>
    </w:p>
    <w:p w:rsidR="00FB5522" w:rsidRPr="00802D9A" w:rsidRDefault="002E65D6">
      <w:pPr>
        <w:pStyle w:val="SCCLsocParty"/>
      </w:pPr>
      <w:r w:rsidRPr="00802D9A">
        <w:t xml:space="preserve">Bell </w:t>
      </w:r>
      <w:proofErr w:type="spellStart"/>
      <w:r w:rsidRPr="00802D9A">
        <w:t>Aliant</w:t>
      </w:r>
      <w:proofErr w:type="spellEnd"/>
      <w:r w:rsidRPr="00802D9A">
        <w:t xml:space="preserve"> Regional Communications, LP, </w:t>
      </w:r>
    </w:p>
    <w:p w:rsidR="009625E2" w:rsidRPr="00802D9A" w:rsidRDefault="002E65D6">
      <w:pPr>
        <w:pStyle w:val="SCCLsocParty"/>
      </w:pPr>
      <w:r w:rsidRPr="00802D9A">
        <w:t xml:space="preserve">Bell Canada, </w:t>
      </w:r>
      <w:proofErr w:type="spellStart"/>
      <w:r w:rsidRPr="00802D9A">
        <w:t>Cogeco</w:t>
      </w:r>
      <w:proofErr w:type="spellEnd"/>
      <w:r w:rsidRPr="00802D9A">
        <w:t xml:space="preserve"> Cable Inc., MTS </w:t>
      </w:r>
      <w:proofErr w:type="spellStart"/>
      <w:r w:rsidRPr="00802D9A">
        <w:t>Allstream</w:t>
      </w:r>
      <w:proofErr w:type="spellEnd"/>
      <w:r w:rsidRPr="00802D9A">
        <w:t xml:space="preserve"> Inc., </w:t>
      </w:r>
    </w:p>
    <w:p w:rsidR="00966B20" w:rsidRPr="00802D9A" w:rsidRDefault="002E65D6">
      <w:pPr>
        <w:pStyle w:val="SCCLsocParty"/>
        <w:rPr>
          <w:lang w:val="fr-CA"/>
        </w:rPr>
      </w:pPr>
      <w:r w:rsidRPr="00802D9A">
        <w:rPr>
          <w:lang w:val="fr-CA"/>
        </w:rPr>
        <w:t xml:space="preserve">Rogers Communications Inc., </w:t>
      </w:r>
      <w:r w:rsidR="00D00287" w:rsidRPr="00802D9A">
        <w:rPr>
          <w:lang w:val="fr-CA"/>
        </w:rPr>
        <w:t>TELUS</w:t>
      </w:r>
      <w:r w:rsidR="00D260B2" w:rsidRPr="00802D9A">
        <w:rPr>
          <w:lang w:val="fr-CA"/>
        </w:rPr>
        <w:t xml:space="preserve"> Communications </w:t>
      </w:r>
      <w:proofErr w:type="spellStart"/>
      <w:r w:rsidR="00D260B2" w:rsidRPr="00802D9A">
        <w:rPr>
          <w:lang w:val="fr-CA"/>
        </w:rPr>
        <w:t>Company</w:t>
      </w:r>
      <w:proofErr w:type="spellEnd"/>
      <w:r w:rsidR="00D260B2" w:rsidRPr="00802D9A">
        <w:rPr>
          <w:lang w:val="fr-CA"/>
        </w:rPr>
        <w:t xml:space="preserve">, </w:t>
      </w:r>
    </w:p>
    <w:p w:rsidR="009625E2" w:rsidRPr="00802D9A" w:rsidRDefault="002E65D6" w:rsidP="00D814E7">
      <w:pPr>
        <w:pStyle w:val="SCCLsocParty"/>
        <w:tabs>
          <w:tab w:val="right" w:pos="8280"/>
        </w:tabs>
        <w:spacing w:after="480"/>
      </w:pPr>
      <w:r w:rsidRPr="00802D9A">
        <w:t xml:space="preserve">Videotron Ltd. </w:t>
      </w:r>
      <w:r w:rsidR="009E30FA" w:rsidRPr="00802D9A">
        <w:t>a</w:t>
      </w:r>
      <w:r w:rsidR="009625E2" w:rsidRPr="00802D9A">
        <w:t>nd</w:t>
      </w:r>
      <w:r w:rsidR="00D260B2" w:rsidRPr="00802D9A">
        <w:t xml:space="preserve"> </w:t>
      </w:r>
      <w:r w:rsidRPr="00802D9A">
        <w:t>Shaw Communications Inc.</w:t>
      </w:r>
      <w:r w:rsidR="009625E2" w:rsidRPr="00802D9A">
        <w:tab/>
      </w:r>
      <w:r w:rsidRPr="00802D9A">
        <w:rPr>
          <w:b w:val="0"/>
          <w:i/>
        </w:rPr>
        <w:t>Respondents</w:t>
      </w:r>
    </w:p>
    <w:p w:rsidR="009625E2" w:rsidRPr="00802D9A" w:rsidRDefault="009625E2" w:rsidP="00D814E7">
      <w:pPr>
        <w:pStyle w:val="SCCLsocOtherPartySeparator"/>
        <w:spacing w:after="480"/>
      </w:pPr>
      <w:proofErr w:type="gramStart"/>
      <w:r w:rsidRPr="00802D9A">
        <w:t>a</w:t>
      </w:r>
      <w:r w:rsidR="002E65D6" w:rsidRPr="00802D9A">
        <w:t>nd</w:t>
      </w:r>
      <w:proofErr w:type="gramEnd"/>
    </w:p>
    <w:p w:rsidR="00FB5522" w:rsidRPr="00802D9A" w:rsidRDefault="002E65D6" w:rsidP="00D814E7">
      <w:pPr>
        <w:pStyle w:val="SCCLsocParty"/>
        <w:tabs>
          <w:tab w:val="right" w:pos="8280"/>
        </w:tabs>
        <w:spacing w:after="480"/>
      </w:pPr>
      <w:r w:rsidRPr="00802D9A">
        <w:t xml:space="preserve">Canadian </w:t>
      </w:r>
      <w:proofErr w:type="spellStart"/>
      <w:r w:rsidRPr="00802D9A">
        <w:t>Radio</w:t>
      </w:r>
      <w:r w:rsidR="00D0326D" w:rsidRPr="00802D9A">
        <w:noBreakHyphen/>
      </w:r>
      <w:r w:rsidR="002C0A14" w:rsidRPr="00802D9A">
        <w:t>t</w:t>
      </w:r>
      <w:r w:rsidRPr="00802D9A">
        <w:t>elevision</w:t>
      </w:r>
      <w:proofErr w:type="spellEnd"/>
      <w:r w:rsidRPr="00802D9A">
        <w:t xml:space="preserve"> and Telecommunications Commission</w:t>
      </w:r>
      <w:r w:rsidR="009625E2" w:rsidRPr="00802D9A">
        <w:tab/>
      </w:r>
      <w:r w:rsidRPr="00802D9A">
        <w:rPr>
          <w:b w:val="0"/>
          <w:i/>
        </w:rPr>
        <w:t>Intervener</w:t>
      </w:r>
    </w:p>
    <w:p w:rsidR="00426659" w:rsidRPr="00802D9A" w:rsidRDefault="00426659" w:rsidP="00D814E7">
      <w:pPr>
        <w:spacing w:after="480"/>
        <w:jc w:val="both"/>
        <w:rPr>
          <w:b/>
        </w:rPr>
      </w:pPr>
      <w:r w:rsidRPr="00802D9A">
        <w:rPr>
          <w:b/>
        </w:rPr>
        <w:t xml:space="preserve">Indexed as:  </w:t>
      </w:r>
      <w:r w:rsidR="009017E3" w:rsidRPr="00802D9A">
        <w:rPr>
          <w:b/>
        </w:rPr>
        <w:t xml:space="preserve">Reference re </w:t>
      </w:r>
      <w:r w:rsidR="009017E3" w:rsidRPr="00802D9A">
        <w:rPr>
          <w:b/>
          <w:i/>
        </w:rPr>
        <w:t>Broadcasting Act</w:t>
      </w:r>
    </w:p>
    <w:p w:rsidR="00426659" w:rsidRPr="00802D9A" w:rsidRDefault="00566AD1" w:rsidP="00D814E7">
      <w:pPr>
        <w:pStyle w:val="SCCSystemYear"/>
        <w:spacing w:after="480"/>
        <w:jc w:val="both"/>
      </w:pPr>
      <w:r w:rsidRPr="00802D9A">
        <w:t>2012</w:t>
      </w:r>
      <w:r w:rsidR="003D0399" w:rsidRPr="00802D9A">
        <w:t xml:space="preserve"> </w:t>
      </w:r>
      <w:r w:rsidR="00D74C9E" w:rsidRPr="00802D9A">
        <w:t>SCC 4</w:t>
      </w:r>
    </w:p>
    <w:p w:rsidR="008322BD" w:rsidRPr="00802D9A" w:rsidRDefault="009B57B3" w:rsidP="00D814E7">
      <w:pPr>
        <w:spacing w:after="480"/>
        <w:jc w:val="both"/>
      </w:pPr>
      <w:r w:rsidRPr="00802D9A">
        <w:t>File No.:  33884.</w:t>
      </w:r>
    </w:p>
    <w:p w:rsidR="008322BD" w:rsidRPr="00802D9A" w:rsidRDefault="00783CE7" w:rsidP="00D814E7">
      <w:pPr>
        <w:spacing w:after="480"/>
        <w:jc w:val="both"/>
      </w:pPr>
      <w:r w:rsidRPr="00802D9A">
        <w:t>2012:  January </w:t>
      </w:r>
      <w:r w:rsidR="00566AD1" w:rsidRPr="00802D9A">
        <w:t>16</w:t>
      </w:r>
      <w:r w:rsidRPr="00802D9A">
        <w:t>; 2012:  February </w:t>
      </w:r>
      <w:r w:rsidR="00966B20" w:rsidRPr="00802D9A">
        <w:t>9</w:t>
      </w:r>
      <w:r w:rsidR="009B57B3" w:rsidRPr="00802D9A">
        <w:t>.</w:t>
      </w:r>
    </w:p>
    <w:p w:rsidR="008322BD" w:rsidRPr="00802D9A" w:rsidRDefault="009B57B3" w:rsidP="00D814E7">
      <w:pPr>
        <w:spacing w:after="720"/>
        <w:jc w:val="both"/>
      </w:pPr>
      <w:r w:rsidRPr="00802D9A">
        <w:lastRenderedPageBreak/>
        <w:t xml:space="preserve">Present:  </w:t>
      </w:r>
      <w:proofErr w:type="spellStart"/>
      <w:r w:rsidRPr="00802D9A">
        <w:t>McLachlin</w:t>
      </w:r>
      <w:proofErr w:type="spellEnd"/>
      <w:r w:rsidRPr="00802D9A">
        <w:t xml:space="preserve"> C.J. and </w:t>
      </w:r>
      <w:proofErr w:type="spellStart"/>
      <w:r w:rsidRPr="00802D9A">
        <w:t>LeBel</w:t>
      </w:r>
      <w:proofErr w:type="spellEnd"/>
      <w:r w:rsidRPr="00802D9A">
        <w:t xml:space="preserve">, </w:t>
      </w:r>
      <w:proofErr w:type="spellStart"/>
      <w:r w:rsidRPr="00802D9A">
        <w:t>Deschamps</w:t>
      </w:r>
      <w:proofErr w:type="spellEnd"/>
      <w:r w:rsidRPr="00802D9A">
        <w:t xml:space="preserve">, Fish, </w:t>
      </w:r>
      <w:proofErr w:type="spellStart"/>
      <w:r w:rsidRPr="00802D9A">
        <w:t>Abella</w:t>
      </w:r>
      <w:proofErr w:type="spellEnd"/>
      <w:r w:rsidRPr="00802D9A">
        <w:t xml:space="preserve">, Rothstein, Cromwell, </w:t>
      </w:r>
      <w:proofErr w:type="spellStart"/>
      <w:r w:rsidRPr="00802D9A">
        <w:t>Moldaver</w:t>
      </w:r>
      <w:proofErr w:type="spellEnd"/>
      <w:r w:rsidRPr="00802D9A">
        <w:t xml:space="preserve"> and </w:t>
      </w:r>
      <w:proofErr w:type="spellStart"/>
      <w:r w:rsidRPr="00802D9A">
        <w:t>Karakatsanis</w:t>
      </w:r>
      <w:proofErr w:type="spellEnd"/>
      <w:r w:rsidRPr="00802D9A">
        <w:t> JJ.</w:t>
      </w:r>
    </w:p>
    <w:p w:rsidR="008322BD" w:rsidRPr="00802D9A" w:rsidRDefault="00656313" w:rsidP="00D0326D">
      <w:pPr>
        <w:pStyle w:val="SCCLowerCourtNameLowercase"/>
        <w:spacing w:after="720" w:line="240" w:lineRule="auto"/>
      </w:pPr>
      <w:r w:rsidRPr="00802D9A">
        <w:t>o</w:t>
      </w:r>
      <w:r w:rsidR="00170592" w:rsidRPr="00802D9A">
        <w:t>n</w:t>
      </w:r>
      <w:r w:rsidR="00224FC0" w:rsidRPr="00802D9A">
        <w:t xml:space="preserve"> </w:t>
      </w:r>
      <w:r w:rsidRPr="00802D9A">
        <w:t>a</w:t>
      </w:r>
      <w:r w:rsidR="00170592" w:rsidRPr="00802D9A">
        <w:t>ppeal</w:t>
      </w:r>
      <w:r w:rsidR="00224FC0" w:rsidRPr="00802D9A">
        <w:t xml:space="preserve"> </w:t>
      </w:r>
      <w:r w:rsidR="00170592" w:rsidRPr="00802D9A">
        <w:t>from</w:t>
      </w:r>
      <w:r w:rsidR="009567AA" w:rsidRPr="00802D9A">
        <w:t xml:space="preserve"> the</w:t>
      </w:r>
      <w:r w:rsidR="00224FC0" w:rsidRPr="00802D9A">
        <w:t xml:space="preserve"> </w:t>
      </w:r>
      <w:r w:rsidR="009B57B3" w:rsidRPr="00802D9A">
        <w:t>federal court of appeal</w:t>
      </w:r>
    </w:p>
    <w:p w:rsidR="00D260B2" w:rsidRPr="00802D9A" w:rsidRDefault="00D814E7" w:rsidP="00783CE7">
      <w:pPr>
        <w:pStyle w:val="SCCNormalDoubleSpacing"/>
        <w:spacing w:after="480"/>
        <w:rPr>
          <w:i/>
        </w:rPr>
      </w:pPr>
      <w:r w:rsidRPr="00802D9A">
        <w:rPr>
          <w:i/>
        </w:rPr>
        <w:tab/>
      </w:r>
      <w:r w:rsidR="00D260B2" w:rsidRPr="00802D9A">
        <w:rPr>
          <w:rFonts w:eastAsiaTheme="minorHAnsi"/>
          <w:i/>
        </w:rPr>
        <w:t>Communications</w:t>
      </w:r>
      <w:r w:rsidR="00D260B2" w:rsidRPr="00802D9A">
        <w:rPr>
          <w:i/>
        </w:rPr>
        <w:t xml:space="preserve"> law </w:t>
      </w:r>
      <w:r w:rsidR="00D0326D" w:rsidRPr="00802D9A">
        <w:rPr>
          <w:i/>
        </w:rPr>
        <w:t xml:space="preserve">— </w:t>
      </w:r>
      <w:r w:rsidR="00D260B2" w:rsidRPr="00802D9A">
        <w:rPr>
          <w:i/>
        </w:rPr>
        <w:t xml:space="preserve">Broadcasting </w:t>
      </w:r>
      <w:r w:rsidR="00D0326D" w:rsidRPr="00802D9A">
        <w:rPr>
          <w:i/>
        </w:rPr>
        <w:t xml:space="preserve">— </w:t>
      </w:r>
      <w:r w:rsidR="00D260B2" w:rsidRPr="00802D9A">
        <w:rPr>
          <w:i/>
        </w:rPr>
        <w:t xml:space="preserve">Internet </w:t>
      </w:r>
      <w:r w:rsidR="00D0326D" w:rsidRPr="00802D9A">
        <w:rPr>
          <w:i/>
        </w:rPr>
        <w:t xml:space="preserve">— </w:t>
      </w:r>
      <w:r w:rsidR="00D260B2" w:rsidRPr="00802D9A">
        <w:rPr>
          <w:i/>
        </w:rPr>
        <w:t xml:space="preserve">Internet service providers providing </w:t>
      </w:r>
      <w:proofErr w:type="spellStart"/>
      <w:r w:rsidR="00D260B2" w:rsidRPr="00802D9A">
        <w:rPr>
          <w:i/>
        </w:rPr>
        <w:t>end</w:t>
      </w:r>
      <w:r w:rsidR="00D0326D" w:rsidRPr="00802D9A">
        <w:rPr>
          <w:i/>
        </w:rPr>
        <w:noBreakHyphen/>
      </w:r>
      <w:r w:rsidR="00D260B2" w:rsidRPr="00802D9A">
        <w:rPr>
          <w:i/>
        </w:rPr>
        <w:t>users</w:t>
      </w:r>
      <w:proofErr w:type="spellEnd"/>
      <w:r w:rsidR="00D260B2" w:rsidRPr="00802D9A">
        <w:rPr>
          <w:i/>
        </w:rPr>
        <w:t xml:space="preserve"> with access to broadcasting over Internet </w:t>
      </w:r>
      <w:r w:rsidR="00D0326D" w:rsidRPr="00802D9A">
        <w:rPr>
          <w:i/>
        </w:rPr>
        <w:t xml:space="preserve">— </w:t>
      </w:r>
      <w:r w:rsidR="00D260B2" w:rsidRPr="00802D9A">
        <w:rPr>
          <w:i/>
        </w:rPr>
        <w:t xml:space="preserve">Whether Internet service providers are broadcasters when they provide </w:t>
      </w:r>
      <w:proofErr w:type="spellStart"/>
      <w:r w:rsidR="00D260B2" w:rsidRPr="00802D9A">
        <w:rPr>
          <w:i/>
        </w:rPr>
        <w:t>end</w:t>
      </w:r>
      <w:r w:rsidR="00D0326D" w:rsidRPr="00802D9A">
        <w:rPr>
          <w:i/>
        </w:rPr>
        <w:noBreakHyphen/>
      </w:r>
      <w:r w:rsidR="00D260B2" w:rsidRPr="00802D9A">
        <w:rPr>
          <w:i/>
        </w:rPr>
        <w:t>users</w:t>
      </w:r>
      <w:proofErr w:type="spellEnd"/>
      <w:r w:rsidR="00D260B2" w:rsidRPr="00802D9A">
        <w:rPr>
          <w:i/>
        </w:rPr>
        <w:t xml:space="preserve"> with access to broadcasting through Internet</w:t>
      </w:r>
      <w:r w:rsidR="00FA1617" w:rsidRPr="00802D9A">
        <w:rPr>
          <w:i/>
        </w:rPr>
        <w:t xml:space="preserve"> </w:t>
      </w:r>
      <w:r w:rsidR="00D0326D" w:rsidRPr="00802D9A">
        <w:rPr>
          <w:i/>
        </w:rPr>
        <w:t xml:space="preserve">— </w:t>
      </w:r>
      <w:r w:rsidR="00D260B2" w:rsidRPr="00802D9A">
        <w:rPr>
          <w:i/>
        </w:rPr>
        <w:t>Broadcasting Act, S.C. 1991, c.</w:t>
      </w:r>
      <w:r w:rsidRPr="00802D9A">
        <w:rPr>
          <w:i/>
        </w:rPr>
        <w:t xml:space="preserve"> 11, </w:t>
      </w:r>
      <w:r w:rsidR="00D0326D" w:rsidRPr="00802D9A">
        <w:rPr>
          <w:i/>
        </w:rPr>
        <w:t>ss. </w:t>
      </w:r>
      <w:r w:rsidR="00D260B2" w:rsidRPr="00802D9A">
        <w:rPr>
          <w:i/>
        </w:rPr>
        <w:t>2, 3</w:t>
      </w:r>
      <w:r w:rsidR="00FA1617" w:rsidRPr="00802D9A">
        <w:rPr>
          <w:i/>
        </w:rPr>
        <w:t>.</w:t>
      </w:r>
    </w:p>
    <w:p w:rsidR="00D260B2" w:rsidRPr="00802D9A" w:rsidRDefault="00D814E7" w:rsidP="00783CE7">
      <w:pPr>
        <w:pStyle w:val="SCCNormalDoubleSpacing"/>
        <w:spacing w:after="480"/>
      </w:pPr>
      <w:r w:rsidRPr="00802D9A">
        <w:tab/>
      </w:r>
      <w:r w:rsidR="00D260B2" w:rsidRPr="00802D9A">
        <w:t xml:space="preserve">The Canadian </w:t>
      </w:r>
      <w:proofErr w:type="spellStart"/>
      <w:r w:rsidR="00D260B2" w:rsidRPr="00802D9A">
        <w:t>Radio</w:t>
      </w:r>
      <w:r w:rsidR="00D0326D" w:rsidRPr="00802D9A">
        <w:noBreakHyphen/>
      </w:r>
      <w:r w:rsidR="00D260B2" w:rsidRPr="00802D9A">
        <w:t>television</w:t>
      </w:r>
      <w:proofErr w:type="spellEnd"/>
      <w:r w:rsidR="00D260B2" w:rsidRPr="00802D9A">
        <w:t xml:space="preserve"> and Telecommunications Commission referred to the Federal Court of Appeal the quest</w:t>
      </w:r>
      <w:r w:rsidR="002C0A14" w:rsidRPr="00802D9A">
        <w:t>ion of whether retail Internet service p</w:t>
      </w:r>
      <w:r w:rsidR="00D260B2" w:rsidRPr="00802D9A">
        <w:t xml:space="preserve">roviders (“ISPs”) carry on, in whole or in part, “broadcasting undertakings” subject to the </w:t>
      </w:r>
      <w:r w:rsidR="00D260B2" w:rsidRPr="00802D9A">
        <w:rPr>
          <w:i/>
        </w:rPr>
        <w:t>Broadcasting Act</w:t>
      </w:r>
      <w:r w:rsidR="00D260B2" w:rsidRPr="00802D9A">
        <w:t xml:space="preserve"> when, in their role as ISPs, they provide access through the Internet to “broadcasting” requested by </w:t>
      </w:r>
      <w:proofErr w:type="spellStart"/>
      <w:r w:rsidR="00D260B2" w:rsidRPr="00802D9A">
        <w:t>end</w:t>
      </w:r>
      <w:r w:rsidR="00D0326D" w:rsidRPr="00802D9A">
        <w:noBreakHyphen/>
      </w:r>
      <w:r w:rsidR="00D260B2" w:rsidRPr="00802D9A">
        <w:t>users</w:t>
      </w:r>
      <w:proofErr w:type="spellEnd"/>
      <w:r w:rsidR="0069519F" w:rsidRPr="00802D9A">
        <w:t>.</w:t>
      </w:r>
      <w:r w:rsidR="00D260B2" w:rsidRPr="00802D9A">
        <w:t xml:space="preserve"> </w:t>
      </w:r>
      <w:r w:rsidR="00783CE7" w:rsidRPr="00802D9A">
        <w:t xml:space="preserve"> </w:t>
      </w:r>
      <w:r w:rsidR="00D260B2" w:rsidRPr="00802D9A">
        <w:t xml:space="preserve">The court held that they do not.  </w:t>
      </w:r>
    </w:p>
    <w:p w:rsidR="00D260B2" w:rsidRPr="00802D9A" w:rsidRDefault="00D814E7" w:rsidP="00D814E7">
      <w:pPr>
        <w:pStyle w:val="SCCNormalDoubleSpacing"/>
        <w:spacing w:after="480"/>
      </w:pPr>
      <w:r w:rsidRPr="00802D9A">
        <w:rPr>
          <w:i/>
        </w:rPr>
        <w:tab/>
      </w:r>
      <w:r w:rsidR="00D260B2" w:rsidRPr="00802D9A">
        <w:rPr>
          <w:i/>
        </w:rPr>
        <w:t>Held</w:t>
      </w:r>
      <w:r w:rsidR="00D260B2" w:rsidRPr="00802D9A">
        <w:t>:</w:t>
      </w:r>
      <w:r w:rsidR="00783CE7" w:rsidRPr="00802D9A">
        <w:t xml:space="preserve">  </w:t>
      </w:r>
      <w:r w:rsidR="00D260B2" w:rsidRPr="00802D9A">
        <w:t>The appeal should be dismissed</w:t>
      </w:r>
      <w:r w:rsidR="00966B20" w:rsidRPr="00802D9A">
        <w:t>.</w:t>
      </w:r>
    </w:p>
    <w:p w:rsidR="00D260B2" w:rsidRPr="00802D9A" w:rsidRDefault="00D814E7" w:rsidP="00D814E7">
      <w:pPr>
        <w:pStyle w:val="SCCNormalDoubleSpacing"/>
        <w:spacing w:after="480"/>
        <w:rPr>
          <w:rFonts w:cstheme="minorBidi"/>
          <w:lang w:val="en-US"/>
        </w:rPr>
      </w:pPr>
      <w:r w:rsidRPr="00802D9A">
        <w:tab/>
      </w:r>
      <w:r w:rsidR="00D260B2" w:rsidRPr="00802D9A">
        <w:t xml:space="preserve">The terms “broadcasting” and “broadcasting undertaking”, interpreted in the context of the language and purposes of the </w:t>
      </w:r>
      <w:r w:rsidR="00D260B2" w:rsidRPr="00802D9A">
        <w:rPr>
          <w:i/>
        </w:rPr>
        <w:t>Broadcasting Act</w:t>
      </w:r>
      <w:r w:rsidR="00D260B2" w:rsidRPr="00802D9A">
        <w:t>, are not meant to capture entities which merely provide the mode of transmission.</w:t>
      </w:r>
      <w:r w:rsidR="0005680E" w:rsidRPr="00802D9A">
        <w:t xml:space="preserve"> </w:t>
      </w:r>
      <w:r w:rsidR="00D260B2" w:rsidRPr="00802D9A">
        <w:t xml:space="preserve"> The </w:t>
      </w:r>
      <w:r w:rsidR="00D260B2" w:rsidRPr="00802D9A">
        <w:rPr>
          <w:i/>
        </w:rPr>
        <w:t>Broadcasting Act</w:t>
      </w:r>
      <w:r w:rsidR="00D260B2" w:rsidRPr="00802D9A">
        <w:t xml:space="preserve"> makes it clear that “broadcasting undertakings” are assumed to have some measure of control over programming</w:t>
      </w:r>
      <w:r w:rsidR="00C717C4" w:rsidRPr="00802D9A">
        <w:t>.  T</w:t>
      </w:r>
      <w:r w:rsidR="00D260B2" w:rsidRPr="00802D9A">
        <w:t>he policy objectives listed under s. 3(1) of the Act focus on content</w:t>
      </w:r>
      <w:r w:rsidR="0005680E" w:rsidRPr="00802D9A">
        <w:t xml:space="preserve">. </w:t>
      </w:r>
      <w:r w:rsidR="00D260B2" w:rsidRPr="00802D9A">
        <w:t xml:space="preserve"> When providing access to the Internet, which is the</w:t>
      </w:r>
      <w:r w:rsidR="00C717C4" w:rsidRPr="00802D9A">
        <w:t xml:space="preserve"> only </w:t>
      </w:r>
      <w:r w:rsidR="00C717C4" w:rsidRPr="00802D9A">
        <w:lastRenderedPageBreak/>
        <w:t>function</w:t>
      </w:r>
      <w:r w:rsidR="00D260B2" w:rsidRPr="00802D9A">
        <w:t xml:space="preserve"> of </w:t>
      </w:r>
      <w:proofErr w:type="gramStart"/>
      <w:r w:rsidR="00D260B2" w:rsidRPr="00802D9A">
        <w:t>ISPs</w:t>
      </w:r>
      <w:proofErr w:type="gramEnd"/>
      <w:r w:rsidR="00D260B2" w:rsidRPr="00802D9A">
        <w:t xml:space="preserve"> placed in issue by the reference question, they </w:t>
      </w:r>
      <w:r w:rsidR="00C717C4" w:rsidRPr="00802D9A">
        <w:t xml:space="preserve">take no part </w:t>
      </w:r>
      <w:r w:rsidR="00D260B2" w:rsidRPr="00802D9A">
        <w:t xml:space="preserve">in the selection, origination, or packaging of content.  The term “broadcasting undertaking” does not contemplate an entity with no role to play in contributing to the Act’s policy objectives.  Accordingly, ISPs do not carry on “broadcasting undertakings” under the </w:t>
      </w:r>
      <w:r w:rsidR="00D260B2" w:rsidRPr="00802D9A">
        <w:rPr>
          <w:i/>
        </w:rPr>
        <w:t>Broadcasting Act</w:t>
      </w:r>
      <w:r w:rsidR="00D260B2" w:rsidRPr="00802D9A">
        <w:t xml:space="preserve"> when they provide access through the Internet to “broadcasting” requested by </w:t>
      </w:r>
      <w:proofErr w:type="spellStart"/>
      <w:r w:rsidR="00D260B2" w:rsidRPr="00802D9A">
        <w:t>end</w:t>
      </w:r>
      <w:r w:rsidR="00D0326D" w:rsidRPr="00802D9A">
        <w:noBreakHyphen/>
      </w:r>
      <w:r w:rsidR="00D260B2" w:rsidRPr="00802D9A">
        <w:t>users</w:t>
      </w:r>
      <w:proofErr w:type="spellEnd"/>
      <w:r w:rsidR="00D260B2" w:rsidRPr="00802D9A">
        <w:t xml:space="preserve">.  </w:t>
      </w:r>
    </w:p>
    <w:p w:rsidR="007E1C47" w:rsidRPr="00802D9A" w:rsidRDefault="002E6705" w:rsidP="00D814E7">
      <w:pPr>
        <w:pStyle w:val="SCCNormalDoubleSpacing"/>
        <w:keepNext/>
        <w:spacing w:after="720" w:line="240" w:lineRule="auto"/>
        <w:rPr>
          <w:b/>
        </w:rPr>
      </w:pPr>
      <w:r w:rsidRPr="00802D9A">
        <w:rPr>
          <w:b/>
        </w:rPr>
        <w:t>Cases Cited</w:t>
      </w:r>
    </w:p>
    <w:p w:rsidR="004E2C26" w:rsidRPr="00802D9A" w:rsidRDefault="002E6705" w:rsidP="00D814E7">
      <w:pPr>
        <w:pStyle w:val="SCCNormalDoubleSpacing"/>
        <w:spacing w:after="480"/>
      </w:pPr>
      <w:r w:rsidRPr="00802D9A">
        <w:tab/>
      </w:r>
      <w:r w:rsidRPr="00802D9A">
        <w:rPr>
          <w:b/>
        </w:rPr>
        <w:t>Referred to:</w:t>
      </w:r>
      <w:r w:rsidR="00BD0E9E" w:rsidRPr="00802D9A">
        <w:t xml:space="preserve"> </w:t>
      </w:r>
      <w:r w:rsidR="00D814E7" w:rsidRPr="00802D9A">
        <w:t xml:space="preserve"> </w:t>
      </w:r>
      <w:r w:rsidR="006B7D8A" w:rsidRPr="00802D9A">
        <w:rPr>
          <w:rFonts w:eastAsiaTheme="minorHAnsi"/>
          <w:i/>
        </w:rPr>
        <w:t>Electric Despatch Co. of Toronto v. Bell Telephone Co. of Canada</w:t>
      </w:r>
      <w:r w:rsidR="006B7D8A" w:rsidRPr="00802D9A">
        <w:rPr>
          <w:rFonts w:eastAsiaTheme="minorHAnsi"/>
        </w:rPr>
        <w:t xml:space="preserve"> (1891), 20 S.C.R. 83; </w:t>
      </w:r>
      <w:r w:rsidR="006B7D8A" w:rsidRPr="00802D9A">
        <w:rPr>
          <w:rFonts w:eastAsiaTheme="minorHAnsi"/>
          <w:i/>
        </w:rPr>
        <w:t>Society of Composers, Authors and Music Publishers of Canada v. Canadian Assn. of Internet Providers</w:t>
      </w:r>
      <w:r w:rsidR="006B7D8A" w:rsidRPr="00802D9A">
        <w:rPr>
          <w:rFonts w:eastAsiaTheme="minorHAnsi"/>
        </w:rPr>
        <w:t xml:space="preserve">, 2004 SCC 45, [2004] 2 S.C.R. 427; </w:t>
      </w:r>
      <w:r w:rsidR="006B7D8A" w:rsidRPr="00802D9A">
        <w:rPr>
          <w:rFonts w:eastAsiaTheme="minorHAnsi"/>
          <w:i/>
        </w:rPr>
        <w:t>Capital Cities Communications Inc. v. Canadian Radio</w:t>
      </w:r>
      <w:r w:rsidR="00CC342E" w:rsidRPr="00802D9A">
        <w:rPr>
          <w:rFonts w:eastAsiaTheme="minorHAnsi"/>
          <w:i/>
        </w:rPr>
        <w:t>-</w:t>
      </w:r>
      <w:r w:rsidR="006B7D8A" w:rsidRPr="00802D9A">
        <w:rPr>
          <w:rFonts w:eastAsiaTheme="minorHAnsi"/>
          <w:i/>
        </w:rPr>
        <w:t>Television Commission</w:t>
      </w:r>
      <w:r w:rsidR="006B7D8A" w:rsidRPr="00802D9A">
        <w:rPr>
          <w:rFonts w:eastAsiaTheme="minorHAnsi"/>
        </w:rPr>
        <w:t>, [1978] 2 S.C.R. 141.</w:t>
      </w:r>
    </w:p>
    <w:p w:rsidR="003B215F" w:rsidRPr="00802D9A" w:rsidRDefault="002E6705" w:rsidP="00D814E7">
      <w:pPr>
        <w:pStyle w:val="SCCNormalDoubleSpacing"/>
        <w:keepNext/>
        <w:spacing w:after="720" w:line="240" w:lineRule="auto"/>
      </w:pPr>
      <w:r w:rsidRPr="00802D9A">
        <w:rPr>
          <w:b/>
        </w:rPr>
        <w:t>Statutes and Regulations Cite</w:t>
      </w:r>
      <w:r w:rsidR="00A41805" w:rsidRPr="00802D9A">
        <w:rPr>
          <w:b/>
        </w:rPr>
        <w:t>d</w:t>
      </w:r>
    </w:p>
    <w:p w:rsidR="00A149DF" w:rsidRPr="00802D9A" w:rsidRDefault="006B7D8A" w:rsidP="00D814E7">
      <w:pPr>
        <w:pStyle w:val="SCCNormalDoubleSpacing"/>
        <w:spacing w:after="240" w:line="240" w:lineRule="auto"/>
        <w:ind w:left="533" w:hanging="533"/>
      </w:pPr>
      <w:r w:rsidRPr="00802D9A">
        <w:rPr>
          <w:i/>
        </w:rPr>
        <w:t>Broadcasting</w:t>
      </w:r>
      <w:r w:rsidRPr="00802D9A">
        <w:rPr>
          <w:i/>
          <w:lang w:val="en-US"/>
        </w:rPr>
        <w:t xml:space="preserve"> Act</w:t>
      </w:r>
      <w:r w:rsidR="00D814E7" w:rsidRPr="00802D9A">
        <w:rPr>
          <w:lang w:val="en-US"/>
        </w:rPr>
        <w:t>, S.C. 1991, c. </w:t>
      </w:r>
      <w:r w:rsidRPr="00802D9A">
        <w:rPr>
          <w:lang w:val="en-US"/>
        </w:rPr>
        <w:t>11</w:t>
      </w:r>
      <w:r w:rsidR="00D814E7" w:rsidRPr="00802D9A">
        <w:rPr>
          <w:lang w:val="en-US"/>
        </w:rPr>
        <w:t xml:space="preserve">, </w:t>
      </w:r>
      <w:r w:rsidR="00D0326D" w:rsidRPr="00802D9A">
        <w:rPr>
          <w:lang w:val="en-US"/>
        </w:rPr>
        <w:t>ss. </w:t>
      </w:r>
      <w:r w:rsidR="003A7399" w:rsidRPr="00802D9A">
        <w:rPr>
          <w:lang w:val="en-US"/>
        </w:rPr>
        <w:t>2</w:t>
      </w:r>
      <w:r w:rsidR="00892E3B" w:rsidRPr="00802D9A">
        <w:rPr>
          <w:lang w:val="en-US"/>
        </w:rPr>
        <w:t>(1)</w:t>
      </w:r>
      <w:r w:rsidR="003A7399" w:rsidRPr="00802D9A">
        <w:rPr>
          <w:lang w:val="en-US"/>
        </w:rPr>
        <w:t xml:space="preserve"> “broadcasting”</w:t>
      </w:r>
      <w:r w:rsidRPr="00802D9A">
        <w:rPr>
          <w:lang w:val="en-US"/>
        </w:rPr>
        <w:t xml:space="preserve">, </w:t>
      </w:r>
      <w:r w:rsidR="00966B20" w:rsidRPr="00802D9A">
        <w:rPr>
          <w:lang w:val="en-US"/>
        </w:rPr>
        <w:t xml:space="preserve">(3), </w:t>
      </w:r>
      <w:r w:rsidRPr="00802D9A">
        <w:rPr>
          <w:lang w:val="en-US"/>
        </w:rPr>
        <w:t>3(1).</w:t>
      </w:r>
    </w:p>
    <w:p w:rsidR="00935218" w:rsidRPr="00802D9A" w:rsidRDefault="006B7D8A" w:rsidP="00D814E7">
      <w:pPr>
        <w:pStyle w:val="SCCNormalDoubleSpacing"/>
        <w:spacing w:after="720" w:line="240" w:lineRule="auto"/>
        <w:ind w:left="533" w:hanging="533"/>
      </w:pPr>
      <w:r w:rsidRPr="00802D9A">
        <w:rPr>
          <w:i/>
        </w:rPr>
        <w:t>Telecommunications Act</w:t>
      </w:r>
      <w:r w:rsidR="00D814E7" w:rsidRPr="00802D9A">
        <w:t>, S.C. 1993, c. </w:t>
      </w:r>
      <w:r w:rsidRPr="00802D9A">
        <w:t>38</w:t>
      </w:r>
      <w:r w:rsidR="00D814E7" w:rsidRPr="00802D9A">
        <w:t>, s. </w:t>
      </w:r>
      <w:r w:rsidR="003A7399" w:rsidRPr="00802D9A">
        <w:t>2</w:t>
      </w:r>
      <w:r w:rsidR="00892E3B" w:rsidRPr="00802D9A">
        <w:t>(1)</w:t>
      </w:r>
      <w:r w:rsidR="003A7399" w:rsidRPr="00802D9A">
        <w:t xml:space="preserve"> “telecommunications common carrier”</w:t>
      </w:r>
      <w:r w:rsidRPr="00802D9A">
        <w:t>.</w:t>
      </w:r>
    </w:p>
    <w:p w:rsidR="00656313" w:rsidRPr="00802D9A" w:rsidRDefault="003A7399" w:rsidP="00D814E7">
      <w:pPr>
        <w:pStyle w:val="SCCNormalDoubleSpacing"/>
        <w:spacing w:after="480"/>
      </w:pPr>
      <w:r w:rsidRPr="00802D9A">
        <w:tab/>
      </w:r>
      <w:r w:rsidR="009B57B3" w:rsidRPr="00802D9A">
        <w:t>APPEAL from a judgment of the Federal Court of Appeal</w:t>
      </w:r>
      <w:r w:rsidR="00D0326D" w:rsidRPr="00802D9A">
        <w:t xml:space="preserve"> (Noël, </w:t>
      </w:r>
      <w:proofErr w:type="spellStart"/>
      <w:r w:rsidR="00D0326D" w:rsidRPr="00802D9A">
        <w:t>Nadon</w:t>
      </w:r>
      <w:proofErr w:type="spellEnd"/>
      <w:r w:rsidR="00D0326D" w:rsidRPr="00802D9A">
        <w:t xml:space="preserve"> and Dawson </w:t>
      </w:r>
      <w:r w:rsidR="007770DA" w:rsidRPr="00802D9A">
        <w:t>JJ.A.), 2010 FCA 178, 322 D.L.R. (4th) 337,</w:t>
      </w:r>
      <w:r w:rsidR="00966B20" w:rsidRPr="00802D9A">
        <w:t xml:space="preserve"> </w:t>
      </w:r>
      <w:r w:rsidR="007770DA" w:rsidRPr="00802D9A">
        <w:t xml:space="preserve">404 N.R. 305, [2010] F.C.J. </w:t>
      </w:r>
      <w:r w:rsidR="00D0326D" w:rsidRPr="00802D9A">
        <w:t>No. </w:t>
      </w:r>
      <w:r w:rsidR="007770DA" w:rsidRPr="00802D9A">
        <w:t xml:space="preserve">849 (QL), 2010 </w:t>
      </w:r>
      <w:proofErr w:type="spellStart"/>
      <w:r w:rsidR="007770DA" w:rsidRPr="00802D9A">
        <w:t>CarswellNat</w:t>
      </w:r>
      <w:proofErr w:type="spellEnd"/>
      <w:r w:rsidR="007770DA" w:rsidRPr="00802D9A">
        <w:t xml:space="preserve"> 2092, in the matter of a reference brought by </w:t>
      </w:r>
      <w:r w:rsidR="007770DA" w:rsidRPr="00802D9A">
        <w:lastRenderedPageBreak/>
        <w:t xml:space="preserve">the Canadian </w:t>
      </w:r>
      <w:proofErr w:type="spellStart"/>
      <w:r w:rsidR="007770DA" w:rsidRPr="00802D9A">
        <w:t>Radio</w:t>
      </w:r>
      <w:r w:rsidR="00D0326D" w:rsidRPr="00802D9A">
        <w:noBreakHyphen/>
      </w:r>
      <w:r w:rsidR="002C0A14" w:rsidRPr="00802D9A">
        <w:t>t</w:t>
      </w:r>
      <w:r w:rsidR="007770DA" w:rsidRPr="00802D9A">
        <w:t>elevision</w:t>
      </w:r>
      <w:proofErr w:type="spellEnd"/>
      <w:r w:rsidR="007770DA" w:rsidRPr="00802D9A">
        <w:t xml:space="preserve"> an</w:t>
      </w:r>
      <w:r w:rsidR="00D237E1" w:rsidRPr="00802D9A">
        <w:t xml:space="preserve">d Telecommunications Commission regarding the </w:t>
      </w:r>
      <w:r w:rsidR="00D237E1" w:rsidRPr="00802D9A">
        <w:rPr>
          <w:i/>
        </w:rPr>
        <w:t>Broadcasting Act</w:t>
      </w:r>
      <w:r w:rsidR="00D237E1" w:rsidRPr="00802D9A">
        <w:t>.</w:t>
      </w:r>
      <w:r w:rsidR="007770DA" w:rsidRPr="00802D9A">
        <w:t xml:space="preserve">  Appeal </w:t>
      </w:r>
      <w:r w:rsidR="005070FA" w:rsidRPr="00802D9A">
        <w:t>dismissed</w:t>
      </w:r>
      <w:r w:rsidR="007770DA" w:rsidRPr="00802D9A">
        <w:t>.</w:t>
      </w:r>
    </w:p>
    <w:p w:rsidR="00FB5522" w:rsidRPr="00802D9A" w:rsidRDefault="002E65D6" w:rsidP="00D814E7">
      <w:pPr>
        <w:pStyle w:val="SCCNormalDoubleSpacing"/>
        <w:spacing w:after="480"/>
      </w:pPr>
      <w:r w:rsidRPr="00802D9A">
        <w:rPr>
          <w:i/>
        </w:rPr>
        <w:tab/>
      </w:r>
      <w:proofErr w:type="gramStart"/>
      <w:r w:rsidRPr="00802D9A">
        <w:rPr>
          <w:i/>
        </w:rPr>
        <w:t>Thomas</w:t>
      </w:r>
      <w:r w:rsidR="00D814E7" w:rsidRPr="00802D9A">
        <w:rPr>
          <w:i/>
        </w:rPr>
        <w:t> </w:t>
      </w:r>
      <w:r w:rsidRPr="00802D9A">
        <w:rPr>
          <w:i/>
        </w:rPr>
        <w:t xml:space="preserve">G. </w:t>
      </w:r>
      <w:proofErr w:type="spellStart"/>
      <w:r w:rsidRPr="00802D9A">
        <w:rPr>
          <w:i/>
        </w:rPr>
        <w:t>Heintzman</w:t>
      </w:r>
      <w:proofErr w:type="spellEnd"/>
      <w:r w:rsidRPr="00802D9A">
        <w:t xml:space="preserve">, </w:t>
      </w:r>
      <w:r w:rsidRPr="00802D9A">
        <w:rPr>
          <w:i/>
        </w:rPr>
        <w:t>Q.C.</w:t>
      </w:r>
      <w:r w:rsidR="00D237E1" w:rsidRPr="00802D9A">
        <w:t>,</w:t>
      </w:r>
      <w:r w:rsidRPr="00802D9A">
        <w:t xml:space="preserve"> and </w:t>
      </w:r>
      <w:r w:rsidRPr="00802D9A">
        <w:rPr>
          <w:i/>
        </w:rPr>
        <w:t xml:space="preserve">Bram </w:t>
      </w:r>
      <w:r w:rsidR="002C0A14" w:rsidRPr="00802D9A">
        <w:rPr>
          <w:i/>
        </w:rPr>
        <w:t xml:space="preserve">D. </w:t>
      </w:r>
      <w:r w:rsidRPr="00802D9A">
        <w:rPr>
          <w:i/>
        </w:rPr>
        <w:t>Abramson</w:t>
      </w:r>
      <w:r w:rsidRPr="00802D9A">
        <w:t>, for the appellant</w:t>
      </w:r>
      <w:r w:rsidR="00D237E1" w:rsidRPr="00802D9A">
        <w:t>s</w:t>
      </w:r>
      <w:r w:rsidRPr="00802D9A">
        <w:t>.</w:t>
      </w:r>
      <w:proofErr w:type="gramEnd"/>
    </w:p>
    <w:p w:rsidR="00FB5522" w:rsidRPr="00802D9A" w:rsidRDefault="00D814E7" w:rsidP="00D814E7">
      <w:pPr>
        <w:pStyle w:val="SCCNormalDoubleSpacing"/>
        <w:spacing w:after="480"/>
      </w:pPr>
      <w:r w:rsidRPr="00802D9A">
        <w:rPr>
          <w:i/>
        </w:rPr>
        <w:tab/>
      </w:r>
      <w:proofErr w:type="gramStart"/>
      <w:r w:rsidRPr="00802D9A">
        <w:rPr>
          <w:i/>
        </w:rPr>
        <w:t>John </w:t>
      </w:r>
      <w:r w:rsidR="002E65D6" w:rsidRPr="00802D9A">
        <w:rPr>
          <w:i/>
        </w:rPr>
        <w:t xml:space="preserve">B. </w:t>
      </w:r>
      <w:proofErr w:type="spellStart"/>
      <w:r w:rsidR="002E65D6" w:rsidRPr="00802D9A">
        <w:rPr>
          <w:i/>
        </w:rPr>
        <w:t>Laskin</w:t>
      </w:r>
      <w:proofErr w:type="spellEnd"/>
      <w:r w:rsidR="002E65D6" w:rsidRPr="00802D9A">
        <w:t xml:space="preserve">, </w:t>
      </w:r>
      <w:proofErr w:type="spellStart"/>
      <w:r w:rsidR="002E65D6" w:rsidRPr="00802D9A">
        <w:rPr>
          <w:i/>
        </w:rPr>
        <w:t>Yousuf</w:t>
      </w:r>
      <w:proofErr w:type="spellEnd"/>
      <w:r w:rsidR="002E65D6" w:rsidRPr="00802D9A">
        <w:rPr>
          <w:i/>
        </w:rPr>
        <w:t xml:space="preserve"> </w:t>
      </w:r>
      <w:proofErr w:type="spellStart"/>
      <w:r w:rsidR="002E65D6" w:rsidRPr="00802D9A">
        <w:rPr>
          <w:i/>
        </w:rPr>
        <w:t>Aftab</w:t>
      </w:r>
      <w:proofErr w:type="spellEnd"/>
      <w:r w:rsidR="002E65D6" w:rsidRPr="00802D9A">
        <w:t xml:space="preserve"> and </w:t>
      </w:r>
      <w:r w:rsidR="002E65D6" w:rsidRPr="00802D9A">
        <w:rPr>
          <w:i/>
        </w:rPr>
        <w:t xml:space="preserve">Nicole </w:t>
      </w:r>
      <w:proofErr w:type="spellStart"/>
      <w:r w:rsidR="002E65D6" w:rsidRPr="00802D9A">
        <w:rPr>
          <w:i/>
        </w:rPr>
        <w:t>Mantini</w:t>
      </w:r>
      <w:proofErr w:type="spellEnd"/>
      <w:r w:rsidR="002E65D6" w:rsidRPr="00802D9A">
        <w:t>, for the respondent</w:t>
      </w:r>
      <w:r w:rsidR="005070FA" w:rsidRPr="00802D9A">
        <w:t>s</w:t>
      </w:r>
      <w:r w:rsidR="00817BD7" w:rsidRPr="00802D9A">
        <w:t xml:space="preserve"> Bell </w:t>
      </w:r>
      <w:proofErr w:type="spellStart"/>
      <w:r w:rsidR="00817BD7" w:rsidRPr="00802D9A">
        <w:t>Aliant</w:t>
      </w:r>
      <w:proofErr w:type="spellEnd"/>
      <w:r w:rsidR="00817BD7" w:rsidRPr="00802D9A">
        <w:t xml:space="preserve"> Regional Communications et al.</w:t>
      </w:r>
      <w:proofErr w:type="gramEnd"/>
    </w:p>
    <w:p w:rsidR="00FB5522" w:rsidRPr="00802D9A" w:rsidRDefault="002E65D6" w:rsidP="00D814E7">
      <w:pPr>
        <w:pStyle w:val="SCCNormalDoubleSpacing"/>
        <w:spacing w:after="480"/>
      </w:pPr>
      <w:r w:rsidRPr="00802D9A">
        <w:rPr>
          <w:i/>
        </w:rPr>
        <w:tab/>
      </w:r>
      <w:proofErr w:type="gramStart"/>
      <w:r w:rsidRPr="00802D9A">
        <w:rPr>
          <w:i/>
        </w:rPr>
        <w:t xml:space="preserve">Nicholas </w:t>
      </w:r>
      <w:proofErr w:type="spellStart"/>
      <w:r w:rsidRPr="00802D9A">
        <w:rPr>
          <w:i/>
        </w:rPr>
        <w:t>McHaffie</w:t>
      </w:r>
      <w:proofErr w:type="spellEnd"/>
      <w:r w:rsidRPr="00802D9A">
        <w:t xml:space="preserve"> and </w:t>
      </w:r>
      <w:r w:rsidRPr="00802D9A">
        <w:rPr>
          <w:i/>
        </w:rPr>
        <w:t xml:space="preserve">Dean </w:t>
      </w:r>
      <w:proofErr w:type="spellStart"/>
      <w:r w:rsidRPr="00802D9A">
        <w:rPr>
          <w:i/>
        </w:rPr>
        <w:t>Shaikh</w:t>
      </w:r>
      <w:proofErr w:type="spellEnd"/>
      <w:r w:rsidRPr="00802D9A">
        <w:t>, for the respondent</w:t>
      </w:r>
      <w:r w:rsidR="00817BD7" w:rsidRPr="00802D9A">
        <w:t xml:space="preserve"> Shaw Communications Inc</w:t>
      </w:r>
      <w:r w:rsidRPr="00802D9A">
        <w:t>.</w:t>
      </w:r>
      <w:proofErr w:type="gramEnd"/>
    </w:p>
    <w:p w:rsidR="00FB5522" w:rsidRPr="00802D9A" w:rsidRDefault="002E65D6" w:rsidP="00D814E7">
      <w:pPr>
        <w:pStyle w:val="SCCNormalDoubleSpacing"/>
        <w:spacing w:after="480"/>
        <w:rPr>
          <w:lang w:val="en-US"/>
        </w:rPr>
      </w:pPr>
      <w:r w:rsidRPr="00802D9A">
        <w:rPr>
          <w:i/>
        </w:rPr>
        <w:tab/>
      </w:r>
      <w:r w:rsidR="00505043" w:rsidRPr="00802D9A">
        <w:t>No one appeared for</w:t>
      </w:r>
      <w:r w:rsidRPr="00802D9A">
        <w:t xml:space="preserve"> the intervener</w:t>
      </w:r>
      <w:r w:rsidRPr="00802D9A">
        <w:rPr>
          <w:lang w:val="en-US"/>
        </w:rPr>
        <w:t>.</w:t>
      </w:r>
    </w:p>
    <w:p w:rsidR="000010B9" w:rsidRPr="00802D9A" w:rsidRDefault="000010B9" w:rsidP="000010B9">
      <w:pPr>
        <w:pStyle w:val="JudgeJuge"/>
        <w:jc w:val="both"/>
        <w:rPr>
          <w:smallCaps w:val="0"/>
        </w:rPr>
      </w:pPr>
      <w:r w:rsidRPr="00802D9A">
        <w:rPr>
          <w:smallCaps w:val="0"/>
        </w:rPr>
        <w:tab/>
      </w:r>
      <w:r w:rsidR="001B7843" w:rsidRPr="00802D9A">
        <w:rPr>
          <w:smallCaps w:val="0"/>
        </w:rPr>
        <w:t>The following is the judgment delivered by</w:t>
      </w:r>
    </w:p>
    <w:p w:rsidR="000010B9" w:rsidRPr="00802D9A" w:rsidRDefault="001B7843" w:rsidP="000010B9">
      <w:pPr>
        <w:pStyle w:val="ParaNoNdepar-AltN"/>
        <w:rPr>
          <w:rFonts w:cs="Times New Roman"/>
          <w:lang w:val="en-US"/>
        </w:rPr>
      </w:pPr>
      <w:r w:rsidRPr="00802D9A">
        <w:rPr>
          <w:smallCaps/>
        </w:rPr>
        <w:t>The Court</w:t>
      </w:r>
      <w:r w:rsidRPr="00802D9A">
        <w:t xml:space="preserve"> — </w:t>
      </w:r>
      <w:proofErr w:type="gramStart"/>
      <w:r w:rsidR="000010B9" w:rsidRPr="00802D9A">
        <w:rPr>
          <w:rFonts w:cs="Times New Roman"/>
          <w:lang w:val="en-US"/>
        </w:rPr>
        <w:t>In</w:t>
      </w:r>
      <w:proofErr w:type="gramEnd"/>
      <w:r w:rsidR="000010B9" w:rsidRPr="00802D9A">
        <w:rPr>
          <w:rFonts w:cs="Times New Roman"/>
          <w:lang w:val="en-US"/>
        </w:rPr>
        <w:t xml:space="preserve"> a 1999 report, the Canadian Radio-television and Telecommunications Commission (“CRTC”) concluded that the term “broadcasting” in s. 2(1) of the </w:t>
      </w:r>
      <w:r w:rsidR="000010B9" w:rsidRPr="00802D9A">
        <w:rPr>
          <w:rFonts w:cs="Times New Roman"/>
          <w:i/>
          <w:lang w:val="en-US"/>
        </w:rPr>
        <w:t>Broadcasting Act</w:t>
      </w:r>
      <w:r w:rsidR="000010B9" w:rsidRPr="00802D9A">
        <w:rPr>
          <w:rFonts w:cs="Times New Roman"/>
          <w:lang w:val="en-US"/>
        </w:rPr>
        <w:t xml:space="preserve">, S.C. 1991, c. 11, included programs transmitted to end-users over the Internet.  At that time, the CRTC concluded that it was not necessary to regulate broadcasting undertakings that provided broadcasting services through the Internet.  It exempted these “new media broadcasting undertakings” from the requirements of the </w:t>
      </w:r>
      <w:r w:rsidR="000010B9" w:rsidRPr="00802D9A">
        <w:rPr>
          <w:rFonts w:cs="Times New Roman"/>
          <w:i/>
          <w:lang w:val="en-US"/>
        </w:rPr>
        <w:t>Broadcasting Act</w:t>
      </w:r>
      <w:r w:rsidR="000010B9" w:rsidRPr="00802D9A">
        <w:rPr>
          <w:rFonts w:cs="Times New Roman"/>
          <w:lang w:val="en-US"/>
        </w:rPr>
        <w:t>.  In 2008, after public hearings, the CRTC revisited this exemption.  One of the issues raised was whet</w:t>
      </w:r>
      <w:r w:rsidR="002C0A14" w:rsidRPr="00802D9A">
        <w:rPr>
          <w:rFonts w:cs="Times New Roman"/>
          <w:lang w:val="en-US"/>
        </w:rPr>
        <w:t>her Internet service providers — ISPs —</w:t>
      </w:r>
      <w:r w:rsidR="000010B9" w:rsidRPr="00802D9A">
        <w:rPr>
          <w:rFonts w:cs="Times New Roman"/>
          <w:lang w:val="en-US"/>
        </w:rPr>
        <w:t xml:space="preserve"> were subject to the </w:t>
      </w:r>
      <w:r w:rsidR="000010B9" w:rsidRPr="00802D9A">
        <w:rPr>
          <w:rFonts w:cs="Times New Roman"/>
          <w:i/>
          <w:lang w:val="en-US"/>
        </w:rPr>
        <w:t>Broadcasting Act</w:t>
      </w:r>
      <w:r w:rsidR="000010B9" w:rsidRPr="00802D9A">
        <w:rPr>
          <w:rFonts w:cs="Times New Roman"/>
          <w:lang w:val="en-US"/>
        </w:rPr>
        <w:t xml:space="preserve"> when they provided end-</w:t>
      </w:r>
      <w:r w:rsidR="000010B9" w:rsidRPr="00802D9A">
        <w:rPr>
          <w:rFonts w:cs="Times New Roman"/>
          <w:lang w:val="en-US"/>
        </w:rPr>
        <w:lastRenderedPageBreak/>
        <w:t>users with access to broadcasting through the Internet.  The CRTC opted to send this issue to the Federal Court of Appeal for determination on a reference (20</w:t>
      </w:r>
      <w:r w:rsidR="002C0A14" w:rsidRPr="00802D9A">
        <w:rPr>
          <w:rFonts w:cs="Times New Roman"/>
          <w:lang w:val="en-US"/>
        </w:rPr>
        <w:t>10 FCA 178, 322 D.L.R. (4th) 337</w:t>
      </w:r>
      <w:r w:rsidR="000010B9" w:rsidRPr="00802D9A">
        <w:rPr>
          <w:rFonts w:cs="Times New Roman"/>
          <w:lang w:val="en-US"/>
        </w:rPr>
        <w:t>).  The specific reference question was:</w:t>
      </w:r>
    </w:p>
    <w:p w:rsidR="000010B9" w:rsidRPr="00802D9A" w:rsidRDefault="002C0A14" w:rsidP="002C0A14">
      <w:pPr>
        <w:pStyle w:val="QuoteInterior"/>
        <w:tabs>
          <w:tab w:val="left" w:pos="1170"/>
        </w:tabs>
        <w:spacing w:after="720"/>
        <w:ind w:left="1166" w:right="0" w:hanging="1166"/>
        <w:jc w:val="both"/>
        <w:rPr>
          <w:lang w:val="en-US"/>
        </w:rPr>
      </w:pPr>
      <w:r w:rsidRPr="00802D9A">
        <w:rPr>
          <w:lang w:val="en-US"/>
        </w:rPr>
        <w:tab/>
      </w:r>
      <w:r w:rsidR="000010B9" w:rsidRPr="00802D9A">
        <w:rPr>
          <w:lang w:val="en-US"/>
        </w:rPr>
        <w:t>Do reta</w:t>
      </w:r>
      <w:r w:rsidRPr="00802D9A">
        <w:rPr>
          <w:lang w:val="en-US"/>
        </w:rPr>
        <w:t>il Internet service providers (ISPs</w:t>
      </w:r>
      <w:r w:rsidR="000010B9" w:rsidRPr="00802D9A">
        <w:rPr>
          <w:lang w:val="en-US"/>
        </w:rPr>
        <w:t xml:space="preserve">) carry on, in whole or in part, “broadcasting undertakings” subject to the </w:t>
      </w:r>
      <w:r w:rsidR="000010B9" w:rsidRPr="00802D9A">
        <w:rPr>
          <w:i/>
          <w:lang w:val="en-US"/>
        </w:rPr>
        <w:t>Broadcasting Act</w:t>
      </w:r>
      <w:r w:rsidR="000010B9" w:rsidRPr="00802D9A">
        <w:rPr>
          <w:lang w:val="en-US"/>
        </w:rPr>
        <w:t xml:space="preserve"> when, in their role as ISPs, they provide access through the Internet to “broadcasting” requested by end-users? </w:t>
      </w:r>
    </w:p>
    <w:p w:rsidR="000010B9" w:rsidRPr="00802D9A" w:rsidRDefault="000010B9" w:rsidP="000010B9">
      <w:pPr>
        <w:pStyle w:val="ParaNoNdepar-AltN"/>
        <w:rPr>
          <w:rFonts w:cs="Times New Roman"/>
          <w:lang w:val="en-US"/>
        </w:rPr>
      </w:pPr>
      <w:r w:rsidRPr="00802D9A">
        <w:t xml:space="preserve">ISPs provide routers and other infrastructure that enable their subscribers to access content and services made available on the Internet.  This includes access to audio and audiovisual programs developed by content providers.  Content providers depend on the ISPs’ services for Internet delivery of their content to end-users.  The ISPs, acting solely in that capacity, do not select or originate programming or package programming services.  </w:t>
      </w:r>
      <w:r w:rsidRPr="00802D9A">
        <w:rPr>
          <w:rFonts w:cs="Times New Roman"/>
          <w:lang w:val="en-US"/>
        </w:rPr>
        <w:t>Noël J.A. held that ISPs, acting solely in that capacity, do not carry on “broadcasting undertakings”.</w:t>
      </w:r>
    </w:p>
    <w:p w:rsidR="000010B9" w:rsidRPr="00802D9A" w:rsidRDefault="000010B9" w:rsidP="000010B9">
      <w:pPr>
        <w:pStyle w:val="ParaNoNdepar-AltN"/>
        <w:rPr>
          <w:rFonts w:cs="Times New Roman"/>
          <w:lang w:val="en-US"/>
        </w:rPr>
      </w:pPr>
      <w:r w:rsidRPr="00802D9A">
        <w:rPr>
          <w:rFonts w:cs="Times New Roman"/>
          <w:lang w:val="en-US"/>
        </w:rPr>
        <w:t xml:space="preserve">We agree with Noël J.A., for the reasons he gave, that the terms “broadcasting” and “broadcasting undertaking”, interpreted in the context of the language and purposes of the </w:t>
      </w:r>
      <w:r w:rsidRPr="00802D9A">
        <w:rPr>
          <w:rFonts w:cs="Times New Roman"/>
          <w:i/>
          <w:lang w:val="en-US"/>
        </w:rPr>
        <w:t>Broadcasting Act</w:t>
      </w:r>
      <w:r w:rsidRPr="00802D9A">
        <w:rPr>
          <w:rFonts w:cs="Times New Roman"/>
          <w:lang w:val="en-US"/>
        </w:rPr>
        <w:t>, are not meant to capture entities which merely provide the mode of transmission.</w:t>
      </w:r>
    </w:p>
    <w:p w:rsidR="000010B9" w:rsidRPr="00802D9A" w:rsidRDefault="000010B9" w:rsidP="000010B9">
      <w:pPr>
        <w:pStyle w:val="ParaNoNdepar-AltN"/>
        <w:rPr>
          <w:rFonts w:cs="Times New Roman"/>
        </w:rPr>
      </w:pPr>
      <w:r w:rsidRPr="00802D9A">
        <w:rPr>
          <w:rFonts w:cs="Times New Roman"/>
          <w:lang w:val="en-US"/>
        </w:rPr>
        <w:t>Section 2</w:t>
      </w:r>
      <w:r w:rsidR="002C0A14" w:rsidRPr="00802D9A">
        <w:rPr>
          <w:rFonts w:cs="Times New Roman"/>
          <w:lang w:val="en-US"/>
        </w:rPr>
        <w:t>(1)</w:t>
      </w:r>
      <w:r w:rsidRPr="00802D9A">
        <w:rPr>
          <w:rFonts w:cs="Times New Roman"/>
          <w:lang w:val="en-US"/>
        </w:rPr>
        <w:t xml:space="preserve"> of the </w:t>
      </w:r>
      <w:r w:rsidRPr="00802D9A">
        <w:rPr>
          <w:rFonts w:cs="Times New Roman"/>
          <w:i/>
          <w:lang w:val="en-US"/>
        </w:rPr>
        <w:t>Broadcasting Act</w:t>
      </w:r>
      <w:r w:rsidRPr="00802D9A">
        <w:rPr>
          <w:rFonts w:cs="Times New Roman"/>
          <w:lang w:val="en-US"/>
        </w:rPr>
        <w:t xml:space="preserve"> defines “broadcasting” as</w:t>
      </w:r>
      <w:r w:rsidR="002C0A14" w:rsidRPr="00802D9A">
        <w:rPr>
          <w:rFonts w:cs="Times New Roman"/>
          <w:lang w:val="en-US"/>
        </w:rPr>
        <w:t xml:space="preserve"> “any transmission of programs . . .</w:t>
      </w:r>
      <w:r w:rsidRPr="00802D9A">
        <w:rPr>
          <w:rFonts w:cs="Times New Roman"/>
          <w:lang w:val="en-US"/>
        </w:rPr>
        <w:t xml:space="preserve"> by radio waves or other means of telecommunication for reception by the public”.  The Act makes it clear that “broadcasting undertakings” </w:t>
      </w:r>
      <w:r w:rsidRPr="00802D9A">
        <w:rPr>
          <w:rFonts w:cs="Times New Roman"/>
          <w:lang w:val="en-US"/>
        </w:rPr>
        <w:lastRenderedPageBreak/>
        <w:t xml:space="preserve">are assumed to have some measure of control over programming.  Section </w:t>
      </w:r>
      <w:r w:rsidRPr="00802D9A">
        <w:rPr>
          <w:rFonts w:cs="Times New Roman"/>
        </w:rPr>
        <w:t>2(3) states that the Act “shall be construed and applied in a manner that is consistent with the freedom of expression and journalistic, creative and programming independence enjoyed by broadcasting undertakings”.  Further, the policy objectives listed under s. 3(1) of the Act focus on content, such as the cultural enrichment of Canada, the promotion of Canadian content, establishing a high standard for original programming, and ensuring that programming is diverse.</w:t>
      </w:r>
    </w:p>
    <w:p w:rsidR="000010B9" w:rsidRPr="00802D9A" w:rsidRDefault="000010B9" w:rsidP="000010B9">
      <w:pPr>
        <w:pStyle w:val="ParaNoNdepar-AltN"/>
      </w:pPr>
      <w:r w:rsidRPr="00802D9A">
        <w:rPr>
          <w:rFonts w:cs="Times New Roman"/>
        </w:rPr>
        <w:t xml:space="preserve">An ISP does not engage with these policy objectives when it is merely providing the mode of transmission.  </w:t>
      </w:r>
      <w:r w:rsidRPr="00802D9A">
        <w:t xml:space="preserve">ISPs provide Internet access to end-users.  When providing access to the Internet, which is the only function of </w:t>
      </w:r>
      <w:proofErr w:type="gramStart"/>
      <w:r w:rsidRPr="00802D9A">
        <w:t>ISPs</w:t>
      </w:r>
      <w:proofErr w:type="gramEnd"/>
      <w:r w:rsidRPr="00802D9A">
        <w:t xml:space="preserve"> placed in issue by the reference question, they take no part in the selection, origination, or packaging of content.  We agree with Noël J.A. that the term “broadcasting undertaking” does not contemplate an entity with no role to play in contributing to the </w:t>
      </w:r>
      <w:r w:rsidRPr="00802D9A">
        <w:rPr>
          <w:i/>
        </w:rPr>
        <w:t>Broadcasting</w:t>
      </w:r>
      <w:r w:rsidRPr="00802D9A">
        <w:t xml:space="preserve"> </w:t>
      </w:r>
      <w:r w:rsidRPr="00802D9A">
        <w:rPr>
          <w:i/>
        </w:rPr>
        <w:t>Act</w:t>
      </w:r>
      <w:r w:rsidRPr="00802D9A">
        <w:t xml:space="preserve">’s policy objectives. </w:t>
      </w:r>
    </w:p>
    <w:p w:rsidR="000010B9" w:rsidRPr="00802D9A" w:rsidRDefault="000010B9" w:rsidP="000010B9">
      <w:pPr>
        <w:pStyle w:val="ParaNoNdepar-AltN"/>
        <w:rPr>
          <w:rFonts w:eastAsiaTheme="minorHAnsi"/>
        </w:rPr>
      </w:pPr>
      <w:r w:rsidRPr="00802D9A">
        <w:rPr>
          <w:rFonts w:eastAsiaTheme="minorHAnsi"/>
        </w:rPr>
        <w:t xml:space="preserve">This interpretation of “broadcasting undertaking” is consistent with </w:t>
      </w:r>
      <w:r w:rsidRPr="00802D9A">
        <w:rPr>
          <w:rFonts w:eastAsiaTheme="minorHAnsi"/>
          <w:i/>
        </w:rPr>
        <w:t>Electric Despatch Co. of Toronto v. Bell Telephone Co. of Canada</w:t>
      </w:r>
      <w:r w:rsidRPr="00802D9A">
        <w:rPr>
          <w:rFonts w:eastAsiaTheme="minorHAnsi"/>
        </w:rPr>
        <w:t xml:space="preserve"> (1891), 20 S.C.R. 83.  In </w:t>
      </w:r>
      <w:r w:rsidRPr="00802D9A">
        <w:rPr>
          <w:rFonts w:eastAsiaTheme="minorHAnsi"/>
          <w:i/>
        </w:rPr>
        <w:t>Electric Despatch</w:t>
      </w:r>
      <w:r w:rsidRPr="00802D9A">
        <w:rPr>
          <w:rFonts w:eastAsiaTheme="minorHAnsi"/>
        </w:rPr>
        <w:t xml:space="preserve">, the Court had to interpret the term “transmit” in an exclusivity contract relating to messenger orders.  </w:t>
      </w:r>
      <w:r w:rsidRPr="00802D9A">
        <w:t xml:space="preserve">Like the ISPs in this case, Bell Telephone had no knowledge or control over the nature of the communication being passed over its wires.  This Court had to determine whether the term “transmit” implicated an entity who merely provided the mode of transmission.  The Court </w:t>
      </w:r>
      <w:r w:rsidRPr="00802D9A">
        <w:lastRenderedPageBreak/>
        <w:t>concluded that only the actual sender of the message could be said to “transmit” it, at p. 91:</w:t>
      </w:r>
    </w:p>
    <w:p w:rsidR="000010B9" w:rsidRPr="00802D9A" w:rsidRDefault="002C0A14" w:rsidP="002C0A14">
      <w:pPr>
        <w:pStyle w:val="QuoteInterior"/>
        <w:tabs>
          <w:tab w:val="left" w:pos="1170"/>
        </w:tabs>
        <w:spacing w:after="720"/>
        <w:ind w:left="1166" w:right="0" w:hanging="1166"/>
        <w:jc w:val="both"/>
        <w:rPr>
          <w:rFonts w:eastAsiaTheme="minorHAnsi"/>
        </w:rPr>
      </w:pPr>
      <w:r w:rsidRPr="00802D9A">
        <w:tab/>
      </w:r>
      <w:r w:rsidR="000010B9" w:rsidRPr="00802D9A">
        <w:t>It is the person who breathes into the instrument the message which is transmitted along the wires who alone ca</w:t>
      </w:r>
      <w:r w:rsidRPr="00802D9A">
        <w:t>n be said to be the person who “transmits”</w:t>
      </w:r>
      <w:r w:rsidR="000010B9" w:rsidRPr="00802D9A">
        <w:t xml:space="preserve"> the message.  The owners of the telephone wires, who are utterly ignorant of the nature of the message intended to be sent, </w:t>
      </w:r>
      <w:r w:rsidRPr="00802D9A">
        <w:rPr>
          <w:u w:val="single"/>
        </w:rPr>
        <w:t>cannot be said . . .</w:t>
      </w:r>
      <w:r w:rsidR="000010B9" w:rsidRPr="00802D9A">
        <w:rPr>
          <w:u w:val="single"/>
        </w:rPr>
        <w:t xml:space="preserve"> to transmit a message of the purport of which they are ignorant</w:t>
      </w:r>
      <w:r w:rsidR="000010B9" w:rsidRPr="00802D9A">
        <w:t>. [Emphasis added</w:t>
      </w:r>
      <w:r w:rsidRPr="00802D9A">
        <w:t>.</w:t>
      </w:r>
      <w:r w:rsidR="000010B9" w:rsidRPr="00802D9A">
        <w:t>]</w:t>
      </w:r>
    </w:p>
    <w:p w:rsidR="000010B9" w:rsidRPr="00802D9A" w:rsidRDefault="000010B9" w:rsidP="000010B9">
      <w:pPr>
        <w:pStyle w:val="ParaNoNdepar-AltN"/>
      </w:pPr>
      <w:r w:rsidRPr="00802D9A">
        <w:t xml:space="preserve">This Court relied on </w:t>
      </w:r>
      <w:r w:rsidRPr="00802D9A">
        <w:rPr>
          <w:i/>
        </w:rPr>
        <w:t>Electric Despatch</w:t>
      </w:r>
      <w:r w:rsidRPr="00802D9A">
        <w:t xml:space="preserve"> in </w:t>
      </w:r>
      <w:r w:rsidRPr="00802D9A">
        <w:rPr>
          <w:i/>
        </w:rPr>
        <w:t>Society of Composers, Authors and Music Publishers of Canada v. Canadian Assn. of Internet Providers</w:t>
      </w:r>
      <w:r w:rsidRPr="00802D9A">
        <w:t xml:space="preserve">, 2004 SCC 45, [2004] 2 S.C.R. 427, a proceeding under the </w:t>
      </w:r>
      <w:r w:rsidRPr="00802D9A">
        <w:rPr>
          <w:i/>
        </w:rPr>
        <w:t>Copyright Act</w:t>
      </w:r>
      <w:r w:rsidRPr="00802D9A">
        <w:t>, R.S.C. 1985, c. C-42, to conclude that since ISPs merely act as a conduit for information provided by others, they could not themselves be held to communicate the information.</w:t>
      </w:r>
    </w:p>
    <w:p w:rsidR="000010B9" w:rsidRPr="00802D9A" w:rsidRDefault="000010B9" w:rsidP="000010B9">
      <w:pPr>
        <w:pStyle w:val="ParaNoNdepar-AltN"/>
      </w:pPr>
      <w:r w:rsidRPr="00802D9A">
        <w:rPr>
          <w:rFonts w:eastAsiaTheme="minorHAnsi"/>
        </w:rPr>
        <w:t xml:space="preserve">The appellants in this case argued that we should instead follow </w:t>
      </w:r>
      <w:r w:rsidRPr="00802D9A">
        <w:rPr>
          <w:rFonts w:eastAsiaTheme="minorHAnsi"/>
          <w:i/>
        </w:rPr>
        <w:t>Capital Cities Communications Inc. v. Canadian Radio-Television Commission</w:t>
      </w:r>
      <w:r w:rsidRPr="00802D9A">
        <w:rPr>
          <w:rFonts w:eastAsiaTheme="minorHAnsi"/>
        </w:rPr>
        <w:t xml:space="preserve">, [1978] 2 S.C.R. 141.  In </w:t>
      </w:r>
      <w:r w:rsidRPr="00802D9A">
        <w:rPr>
          <w:rFonts w:eastAsiaTheme="minorHAnsi"/>
          <w:i/>
        </w:rPr>
        <w:t>Capital Cities</w:t>
      </w:r>
      <w:r w:rsidRPr="00802D9A">
        <w:rPr>
          <w:rFonts w:eastAsiaTheme="minorHAnsi"/>
        </w:rPr>
        <w:t xml:space="preserve">, decided under a 1968 version of the </w:t>
      </w:r>
      <w:r w:rsidRPr="00802D9A">
        <w:rPr>
          <w:rFonts w:eastAsiaTheme="minorHAnsi"/>
          <w:i/>
        </w:rPr>
        <w:t>Broadcasting Act</w:t>
      </w:r>
      <w:r w:rsidRPr="00802D9A">
        <w:rPr>
          <w:rFonts w:eastAsiaTheme="minorHAnsi"/>
        </w:rPr>
        <w:t xml:space="preserve">, the CRTC had amended Rogers Cable’s licence, allowing Rogers to delete and substitute the television advertisements in the American broadcasts it received before it distributed the broadcast to viewers.  The American broadcasting stations argued that the </w:t>
      </w:r>
      <w:r w:rsidRPr="00802D9A">
        <w:rPr>
          <w:rFonts w:eastAsiaTheme="minorHAnsi"/>
          <w:i/>
        </w:rPr>
        <w:t>Broadcasting Act</w:t>
      </w:r>
      <w:r w:rsidRPr="00802D9A">
        <w:t xml:space="preserve"> was </w:t>
      </w:r>
      <w:r w:rsidRPr="00802D9A">
        <w:rPr>
          <w:i/>
        </w:rPr>
        <w:t xml:space="preserve">ultra </w:t>
      </w:r>
      <w:proofErr w:type="spellStart"/>
      <w:r w:rsidRPr="00802D9A">
        <w:rPr>
          <w:i/>
        </w:rPr>
        <w:t>vires</w:t>
      </w:r>
      <w:proofErr w:type="spellEnd"/>
      <w:r w:rsidRPr="00802D9A">
        <w:rPr>
          <w:i/>
        </w:rPr>
        <w:t xml:space="preserve"> </w:t>
      </w:r>
      <w:r w:rsidRPr="00802D9A">
        <w:t xml:space="preserve">Parliament since it purported to regulate systems situated wholly within provincial boundaries.  As part of this argument, the American stations attempted to sever the function of receiving television signals from the distribution or retransmission of those signals within a particular province.  The </w:t>
      </w:r>
      <w:r w:rsidRPr="00802D9A">
        <w:lastRenderedPageBreak/>
        <w:t xml:space="preserve">Court rejected this severance of reception and distribution, stating that it was a “single system” coming under federal jurisdiction.  The appellants argue before this Court that ISPs similarly form part of a single broadcasting system that is subject to regulation under the </w:t>
      </w:r>
      <w:r w:rsidRPr="00802D9A">
        <w:rPr>
          <w:i/>
        </w:rPr>
        <w:t>Broadcasting Act</w:t>
      </w:r>
      <w:r w:rsidRPr="00802D9A">
        <w:t>.</w:t>
      </w:r>
    </w:p>
    <w:p w:rsidR="000010B9" w:rsidRPr="00802D9A" w:rsidRDefault="000010B9" w:rsidP="000010B9">
      <w:pPr>
        <w:pStyle w:val="ParaNoNdepar-AltN"/>
      </w:pPr>
      <w:r w:rsidRPr="00802D9A">
        <w:rPr>
          <w:rFonts w:eastAsiaTheme="minorHAnsi"/>
        </w:rPr>
        <w:t xml:space="preserve">Like Noël J.A., we are not convinced that </w:t>
      </w:r>
      <w:r w:rsidRPr="00802D9A">
        <w:rPr>
          <w:rFonts w:eastAsiaTheme="minorHAnsi"/>
          <w:i/>
        </w:rPr>
        <w:t xml:space="preserve">Capital Cities </w:t>
      </w:r>
      <w:r w:rsidRPr="00802D9A">
        <w:rPr>
          <w:rFonts w:eastAsiaTheme="minorHAnsi"/>
        </w:rPr>
        <w:t xml:space="preserve">assists the appellants.  </w:t>
      </w:r>
      <w:r w:rsidRPr="00802D9A">
        <w:t xml:space="preserve">The case concerned Rogers Cable’s ability to delete and substitute advertising from American television signals.  </w:t>
      </w:r>
      <w:r w:rsidRPr="00802D9A">
        <w:rPr>
          <w:rFonts w:eastAsiaTheme="minorHAnsi"/>
        </w:rPr>
        <w:t xml:space="preserve">There was no questioning in </w:t>
      </w:r>
      <w:r w:rsidRPr="00802D9A">
        <w:rPr>
          <w:rFonts w:eastAsiaTheme="minorHAnsi"/>
          <w:i/>
        </w:rPr>
        <w:t xml:space="preserve">Capital Cities </w:t>
      </w:r>
      <w:r w:rsidRPr="00802D9A">
        <w:rPr>
          <w:rFonts w:eastAsiaTheme="minorHAnsi"/>
        </w:rPr>
        <w:t xml:space="preserve">of the fact that the </w:t>
      </w:r>
      <w:r w:rsidRPr="00802D9A">
        <w:t xml:space="preserve">cable television companies had control over content.  ISPs have no such ability to control the content of programming over the Internet.  </w:t>
      </w:r>
    </w:p>
    <w:p w:rsidR="000010B9" w:rsidRPr="00802D9A" w:rsidRDefault="000010B9" w:rsidP="000010B9">
      <w:pPr>
        <w:pStyle w:val="ParaNoNdepar-AltN"/>
      </w:pPr>
      <w:r w:rsidRPr="00802D9A">
        <w:t xml:space="preserve">Contrary to the submissions of the appellants, we need not decide whether the fact that ISPs use “routers” prevents them from being characterized as telecommunications common carriers.  Noël J.A. was not asked to decide whether ISPs are a “telecommunications common carrier” under </w:t>
      </w:r>
      <w:r w:rsidR="00F91E4A">
        <w:t xml:space="preserve">s. 2(1) of </w:t>
      </w:r>
      <w:r w:rsidRPr="00802D9A">
        <w:t xml:space="preserve">the </w:t>
      </w:r>
      <w:r w:rsidRPr="00802D9A">
        <w:rPr>
          <w:i/>
          <w:iCs/>
        </w:rPr>
        <w:t>Telecommunications Act</w:t>
      </w:r>
      <w:r w:rsidRPr="00802D9A">
        <w:t>, S.C. 1993, c. 38.   Nor, based on the record before us, do we feel it appropriate for us to do so. </w:t>
      </w:r>
    </w:p>
    <w:p w:rsidR="000010B9" w:rsidRPr="00802D9A" w:rsidRDefault="000010B9" w:rsidP="000010B9">
      <w:pPr>
        <w:pStyle w:val="ParaNoNdepar-AltN"/>
        <w:rPr>
          <w:rFonts w:cs="Times New Roman"/>
          <w:lang w:val="en-US"/>
        </w:rPr>
      </w:pPr>
      <w:r w:rsidRPr="00802D9A">
        <w:rPr>
          <w:rFonts w:cs="Times New Roman"/>
          <w:lang w:val="en-US"/>
        </w:rPr>
        <w:t xml:space="preserve">We therefore agree with Noël J.A.’s answer to the reference question, namely, that ISPs do not carry on “broadcasting undertakings” under the </w:t>
      </w:r>
      <w:r w:rsidRPr="00802D9A">
        <w:rPr>
          <w:rFonts w:cs="Times New Roman"/>
          <w:i/>
          <w:lang w:val="en-US"/>
        </w:rPr>
        <w:t>Broadcasting Act</w:t>
      </w:r>
      <w:r w:rsidRPr="00802D9A">
        <w:rPr>
          <w:rFonts w:cs="Times New Roman"/>
          <w:lang w:val="en-US"/>
        </w:rPr>
        <w:t xml:space="preserve"> when, in their role as ISPs, they provide access through the Internet to “broadcasting” requested by end-users.  We would therefore dismiss the appeal with costs.</w:t>
      </w:r>
    </w:p>
    <w:p w:rsidR="009B57B3" w:rsidRPr="00802D9A" w:rsidRDefault="005070FA" w:rsidP="00D814E7">
      <w:pPr>
        <w:pStyle w:val="SCCNormalDoubleSpacing"/>
        <w:spacing w:after="480"/>
      </w:pPr>
      <w:r w:rsidRPr="00802D9A">
        <w:lastRenderedPageBreak/>
        <w:tab/>
      </w:r>
      <w:r w:rsidR="00656313" w:rsidRPr="00802D9A">
        <w:rPr>
          <w:i/>
        </w:rPr>
        <w:t>Appeal</w:t>
      </w:r>
      <w:r w:rsidRPr="00802D9A">
        <w:rPr>
          <w:i/>
        </w:rPr>
        <w:t xml:space="preserve"> dismissed</w:t>
      </w:r>
      <w:r w:rsidR="002C0A14" w:rsidRPr="00802D9A">
        <w:rPr>
          <w:i/>
        </w:rPr>
        <w:t xml:space="preserve"> with costs</w:t>
      </w:r>
      <w:r w:rsidRPr="00802D9A">
        <w:rPr>
          <w:i/>
        </w:rPr>
        <w:t>.</w:t>
      </w:r>
      <w:r w:rsidRPr="00802D9A">
        <w:t xml:space="preserve"> </w:t>
      </w:r>
    </w:p>
    <w:p w:rsidR="00505043" w:rsidRPr="00802D9A" w:rsidRDefault="00505043" w:rsidP="00D814E7">
      <w:pPr>
        <w:pStyle w:val="SCCLawFirm"/>
        <w:spacing w:after="480"/>
      </w:pPr>
      <w:r w:rsidRPr="00802D9A">
        <w:tab/>
      </w:r>
      <w:r w:rsidR="00D814E7" w:rsidRPr="00802D9A">
        <w:t>Solicitors for the appellants:  </w:t>
      </w:r>
      <w:r w:rsidRPr="00802D9A">
        <w:t xml:space="preserve">McCarthy </w:t>
      </w:r>
      <w:proofErr w:type="spellStart"/>
      <w:r w:rsidRPr="00802D9A">
        <w:t>Tétrault</w:t>
      </w:r>
      <w:proofErr w:type="spellEnd"/>
      <w:r w:rsidRPr="00802D9A">
        <w:t>, Toronto.</w:t>
      </w:r>
    </w:p>
    <w:p w:rsidR="00505043" w:rsidRPr="00802D9A" w:rsidRDefault="00505043" w:rsidP="00D814E7">
      <w:pPr>
        <w:pStyle w:val="SCCLawFirm"/>
        <w:spacing w:after="480"/>
      </w:pPr>
      <w:r w:rsidRPr="00802D9A">
        <w:tab/>
        <w:t>Solicitors for the respondent</w:t>
      </w:r>
      <w:r w:rsidR="00FA1617" w:rsidRPr="00802D9A">
        <w:t>s</w:t>
      </w:r>
      <w:r w:rsidRPr="00802D9A">
        <w:t xml:space="preserve"> Bell </w:t>
      </w:r>
      <w:proofErr w:type="spellStart"/>
      <w:r w:rsidRPr="00802D9A">
        <w:t>Al</w:t>
      </w:r>
      <w:r w:rsidR="002C0A14" w:rsidRPr="00802D9A">
        <w:t>iant</w:t>
      </w:r>
      <w:proofErr w:type="spellEnd"/>
      <w:r w:rsidR="002C0A14" w:rsidRPr="00802D9A">
        <w:t xml:space="preserve"> Regional Communications et </w:t>
      </w:r>
      <w:r w:rsidRPr="00802D9A">
        <w:t>al.</w:t>
      </w:r>
      <w:r w:rsidR="00D814E7" w:rsidRPr="00802D9A">
        <w:t>:  </w:t>
      </w:r>
      <w:proofErr w:type="spellStart"/>
      <w:r w:rsidRPr="00802D9A">
        <w:t>Torys</w:t>
      </w:r>
      <w:proofErr w:type="spellEnd"/>
      <w:r w:rsidRPr="00802D9A">
        <w:t>, Toronto.</w:t>
      </w:r>
    </w:p>
    <w:p w:rsidR="000010B9" w:rsidRPr="00802D9A" w:rsidRDefault="00505043" w:rsidP="000010B9">
      <w:pPr>
        <w:pStyle w:val="SCCNormalDoubleSpacing"/>
        <w:rPr>
          <w:i/>
        </w:rPr>
      </w:pPr>
      <w:r w:rsidRPr="00802D9A">
        <w:tab/>
      </w:r>
      <w:r w:rsidRPr="00802D9A">
        <w:rPr>
          <w:i/>
        </w:rPr>
        <w:t>Solicitors for the respondent Shaw Communications Inc.</w:t>
      </w:r>
      <w:r w:rsidR="00D0326D" w:rsidRPr="00802D9A">
        <w:rPr>
          <w:i/>
        </w:rPr>
        <w:t>:  </w:t>
      </w:r>
      <w:proofErr w:type="spellStart"/>
      <w:r w:rsidRPr="00802D9A">
        <w:rPr>
          <w:i/>
        </w:rPr>
        <w:t>Stikeman</w:t>
      </w:r>
      <w:proofErr w:type="spellEnd"/>
      <w:r w:rsidRPr="00802D9A">
        <w:rPr>
          <w:i/>
        </w:rPr>
        <w:t xml:space="preserve"> Elliott, Ottawa.</w:t>
      </w:r>
    </w:p>
    <w:p w:rsidR="009B57B3" w:rsidRPr="00802D9A" w:rsidRDefault="009B57B3" w:rsidP="000010B9">
      <w:pPr>
        <w:pStyle w:val="SCCNormalDoubleSpacing"/>
        <w:rPr>
          <w:lang w:val="en-US"/>
        </w:rPr>
      </w:pPr>
    </w:p>
    <w:sectPr w:rsidR="009B57B3" w:rsidRPr="00802D9A" w:rsidSect="001B7843">
      <w:headerReference w:type="default" r:id="rId9"/>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C2" w:rsidRDefault="00EB0CC2">
      <w:r>
        <w:separator/>
      </w:r>
    </w:p>
  </w:endnote>
  <w:endnote w:type="continuationSeparator" w:id="0">
    <w:p w:rsidR="00EB0CC2" w:rsidRDefault="00EB0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C2" w:rsidRDefault="00EB0CC2">
      <w:r>
        <w:separator/>
      </w:r>
    </w:p>
  </w:footnote>
  <w:footnote w:type="continuationSeparator" w:id="0">
    <w:p w:rsidR="00EB0CC2" w:rsidRDefault="00EB0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3004"/>
      <w:docPartObj>
        <w:docPartGallery w:val="Page Numbers (Top of Page)"/>
        <w:docPartUnique/>
      </w:docPartObj>
    </w:sdtPr>
    <w:sdtContent>
      <w:p w:rsidR="00EB0CC2" w:rsidRDefault="007A034C">
        <w:pPr>
          <w:pStyle w:val="Header"/>
          <w:jc w:val="center"/>
        </w:pPr>
        <w:fldSimple w:instr=" PAGE   \* MERGEFORMAT ">
          <w:r w:rsidR="00CA0D62">
            <w:rPr>
              <w:noProof/>
            </w:rPr>
            <w:t>- 2 -</w:t>
          </w:r>
        </w:fldSimple>
      </w:p>
    </w:sdtContent>
  </w:sdt>
  <w:p w:rsidR="00EB0CC2" w:rsidRPr="00450352" w:rsidRDefault="00EB0CC2"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rsids>
    <w:rsidRoot w:val="0031414C"/>
    <w:rsid w:val="00000ED4"/>
    <w:rsid w:val="000010B9"/>
    <w:rsid w:val="00025198"/>
    <w:rsid w:val="000403C6"/>
    <w:rsid w:val="0005680E"/>
    <w:rsid w:val="000578A3"/>
    <w:rsid w:val="000648CC"/>
    <w:rsid w:val="000C59B8"/>
    <w:rsid w:val="000F3089"/>
    <w:rsid w:val="00104F33"/>
    <w:rsid w:val="00111DE2"/>
    <w:rsid w:val="00116B38"/>
    <w:rsid w:val="001179CB"/>
    <w:rsid w:val="00135406"/>
    <w:rsid w:val="00135972"/>
    <w:rsid w:val="00140A6E"/>
    <w:rsid w:val="001426A9"/>
    <w:rsid w:val="00154D7C"/>
    <w:rsid w:val="001570B0"/>
    <w:rsid w:val="0015752C"/>
    <w:rsid w:val="00157737"/>
    <w:rsid w:val="00165277"/>
    <w:rsid w:val="00170592"/>
    <w:rsid w:val="001B33E0"/>
    <w:rsid w:val="001B4573"/>
    <w:rsid w:val="001B7843"/>
    <w:rsid w:val="001C0952"/>
    <w:rsid w:val="001C779F"/>
    <w:rsid w:val="001D2AC1"/>
    <w:rsid w:val="001D4E88"/>
    <w:rsid w:val="001E5250"/>
    <w:rsid w:val="00220FC2"/>
    <w:rsid w:val="00221CE3"/>
    <w:rsid w:val="00224FC0"/>
    <w:rsid w:val="00225EA4"/>
    <w:rsid w:val="00226EAF"/>
    <w:rsid w:val="00231F3A"/>
    <w:rsid w:val="002406EE"/>
    <w:rsid w:val="00243EC8"/>
    <w:rsid w:val="002745CC"/>
    <w:rsid w:val="00283C62"/>
    <w:rsid w:val="002B2EFB"/>
    <w:rsid w:val="002B7924"/>
    <w:rsid w:val="002C0A14"/>
    <w:rsid w:val="002D39A4"/>
    <w:rsid w:val="002E65D6"/>
    <w:rsid w:val="002E6705"/>
    <w:rsid w:val="0030329A"/>
    <w:rsid w:val="0031086F"/>
    <w:rsid w:val="0031414C"/>
    <w:rsid w:val="00314E01"/>
    <w:rsid w:val="0032089D"/>
    <w:rsid w:val="003310DE"/>
    <w:rsid w:val="00350148"/>
    <w:rsid w:val="0035169A"/>
    <w:rsid w:val="0035259D"/>
    <w:rsid w:val="00364B18"/>
    <w:rsid w:val="00393ED6"/>
    <w:rsid w:val="003A4C70"/>
    <w:rsid w:val="003A7399"/>
    <w:rsid w:val="003B215F"/>
    <w:rsid w:val="003B3D1C"/>
    <w:rsid w:val="003C799C"/>
    <w:rsid w:val="003D0399"/>
    <w:rsid w:val="003D5749"/>
    <w:rsid w:val="003E11FA"/>
    <w:rsid w:val="003E1C71"/>
    <w:rsid w:val="003F327B"/>
    <w:rsid w:val="00400E39"/>
    <w:rsid w:val="00400F00"/>
    <w:rsid w:val="00406166"/>
    <w:rsid w:val="0040704B"/>
    <w:rsid w:val="00410A55"/>
    <w:rsid w:val="00411300"/>
    <w:rsid w:val="004129AA"/>
    <w:rsid w:val="00415417"/>
    <w:rsid w:val="00426659"/>
    <w:rsid w:val="00434A50"/>
    <w:rsid w:val="00450352"/>
    <w:rsid w:val="00454BDB"/>
    <w:rsid w:val="00465132"/>
    <w:rsid w:val="00480C90"/>
    <w:rsid w:val="0048396F"/>
    <w:rsid w:val="00493C18"/>
    <w:rsid w:val="004A600C"/>
    <w:rsid w:val="004A6118"/>
    <w:rsid w:val="004C42D1"/>
    <w:rsid w:val="004C478D"/>
    <w:rsid w:val="004E2C26"/>
    <w:rsid w:val="004E6A6D"/>
    <w:rsid w:val="00505043"/>
    <w:rsid w:val="005070FA"/>
    <w:rsid w:val="00510B83"/>
    <w:rsid w:val="005125A8"/>
    <w:rsid w:val="00521AE8"/>
    <w:rsid w:val="00527180"/>
    <w:rsid w:val="0053252A"/>
    <w:rsid w:val="00555291"/>
    <w:rsid w:val="00566AD1"/>
    <w:rsid w:val="00583EDE"/>
    <w:rsid w:val="005E4698"/>
    <w:rsid w:val="00610539"/>
    <w:rsid w:val="00613969"/>
    <w:rsid w:val="00625C35"/>
    <w:rsid w:val="00656313"/>
    <w:rsid w:val="006565F4"/>
    <w:rsid w:val="006652F3"/>
    <w:rsid w:val="00684EEA"/>
    <w:rsid w:val="0069519F"/>
    <w:rsid w:val="0069689B"/>
    <w:rsid w:val="006B5FF5"/>
    <w:rsid w:val="006B7D8A"/>
    <w:rsid w:val="006D3AF0"/>
    <w:rsid w:val="006F2E39"/>
    <w:rsid w:val="006F396B"/>
    <w:rsid w:val="00701759"/>
    <w:rsid w:val="00705C15"/>
    <w:rsid w:val="00747288"/>
    <w:rsid w:val="00747DD3"/>
    <w:rsid w:val="007549C8"/>
    <w:rsid w:val="00755448"/>
    <w:rsid w:val="00766D14"/>
    <w:rsid w:val="00767A0F"/>
    <w:rsid w:val="007770DA"/>
    <w:rsid w:val="00783CE7"/>
    <w:rsid w:val="007A034C"/>
    <w:rsid w:val="007A05F6"/>
    <w:rsid w:val="007B6F4A"/>
    <w:rsid w:val="007E1C47"/>
    <w:rsid w:val="007E337A"/>
    <w:rsid w:val="007E5C70"/>
    <w:rsid w:val="007F2FF5"/>
    <w:rsid w:val="007F3F08"/>
    <w:rsid w:val="00802D9A"/>
    <w:rsid w:val="00804CC6"/>
    <w:rsid w:val="0081372C"/>
    <w:rsid w:val="00817190"/>
    <w:rsid w:val="00817BD7"/>
    <w:rsid w:val="008260E2"/>
    <w:rsid w:val="008322BD"/>
    <w:rsid w:val="00834F73"/>
    <w:rsid w:val="00854340"/>
    <w:rsid w:val="00864CF8"/>
    <w:rsid w:val="00874914"/>
    <w:rsid w:val="00891422"/>
    <w:rsid w:val="00892E1A"/>
    <w:rsid w:val="00892E3B"/>
    <w:rsid w:val="008C01DA"/>
    <w:rsid w:val="008D30DF"/>
    <w:rsid w:val="008F78E9"/>
    <w:rsid w:val="009017E3"/>
    <w:rsid w:val="009179F9"/>
    <w:rsid w:val="00933E5E"/>
    <w:rsid w:val="00935218"/>
    <w:rsid w:val="00936BF3"/>
    <w:rsid w:val="009403F3"/>
    <w:rsid w:val="009555B7"/>
    <w:rsid w:val="009567AA"/>
    <w:rsid w:val="009625E2"/>
    <w:rsid w:val="00966B20"/>
    <w:rsid w:val="00967374"/>
    <w:rsid w:val="009839DA"/>
    <w:rsid w:val="009B2F23"/>
    <w:rsid w:val="009B508A"/>
    <w:rsid w:val="009B57B3"/>
    <w:rsid w:val="009D2920"/>
    <w:rsid w:val="009D5AEB"/>
    <w:rsid w:val="009E30FA"/>
    <w:rsid w:val="009F0E33"/>
    <w:rsid w:val="00A00BEB"/>
    <w:rsid w:val="00A149DF"/>
    <w:rsid w:val="00A21B90"/>
    <w:rsid w:val="00A41805"/>
    <w:rsid w:val="00A548CB"/>
    <w:rsid w:val="00A5521C"/>
    <w:rsid w:val="00A643E7"/>
    <w:rsid w:val="00A659F1"/>
    <w:rsid w:val="00A73C38"/>
    <w:rsid w:val="00AB670D"/>
    <w:rsid w:val="00AF03C5"/>
    <w:rsid w:val="00B000D8"/>
    <w:rsid w:val="00B00F75"/>
    <w:rsid w:val="00B145B6"/>
    <w:rsid w:val="00B50C81"/>
    <w:rsid w:val="00B557F8"/>
    <w:rsid w:val="00B56A36"/>
    <w:rsid w:val="00B67F7A"/>
    <w:rsid w:val="00B815FC"/>
    <w:rsid w:val="00B93FBC"/>
    <w:rsid w:val="00BB2EE4"/>
    <w:rsid w:val="00BB3CE2"/>
    <w:rsid w:val="00BC2108"/>
    <w:rsid w:val="00BD0B03"/>
    <w:rsid w:val="00BD0E9E"/>
    <w:rsid w:val="00BD1BEC"/>
    <w:rsid w:val="00BD32FF"/>
    <w:rsid w:val="00BF2392"/>
    <w:rsid w:val="00C02092"/>
    <w:rsid w:val="00C24D91"/>
    <w:rsid w:val="00C53F14"/>
    <w:rsid w:val="00C600CF"/>
    <w:rsid w:val="00C6084F"/>
    <w:rsid w:val="00C62A66"/>
    <w:rsid w:val="00C71458"/>
    <w:rsid w:val="00C717C4"/>
    <w:rsid w:val="00C77613"/>
    <w:rsid w:val="00C828E7"/>
    <w:rsid w:val="00C86719"/>
    <w:rsid w:val="00C921DD"/>
    <w:rsid w:val="00CA0D62"/>
    <w:rsid w:val="00CA6391"/>
    <w:rsid w:val="00CC342E"/>
    <w:rsid w:val="00CE3171"/>
    <w:rsid w:val="00CF1601"/>
    <w:rsid w:val="00D00287"/>
    <w:rsid w:val="00D0172F"/>
    <w:rsid w:val="00D0326D"/>
    <w:rsid w:val="00D068A7"/>
    <w:rsid w:val="00D178A3"/>
    <w:rsid w:val="00D237E1"/>
    <w:rsid w:val="00D260B2"/>
    <w:rsid w:val="00D32086"/>
    <w:rsid w:val="00D37A3F"/>
    <w:rsid w:val="00D4431D"/>
    <w:rsid w:val="00D4667A"/>
    <w:rsid w:val="00D74C9E"/>
    <w:rsid w:val="00D7516F"/>
    <w:rsid w:val="00D814E7"/>
    <w:rsid w:val="00D95F8E"/>
    <w:rsid w:val="00DA0590"/>
    <w:rsid w:val="00DB3E22"/>
    <w:rsid w:val="00DC1788"/>
    <w:rsid w:val="00DE319C"/>
    <w:rsid w:val="00DF0CA8"/>
    <w:rsid w:val="00DF2B48"/>
    <w:rsid w:val="00DF49A7"/>
    <w:rsid w:val="00E07EE2"/>
    <w:rsid w:val="00E07FD1"/>
    <w:rsid w:val="00E14DDA"/>
    <w:rsid w:val="00E24573"/>
    <w:rsid w:val="00E25E1E"/>
    <w:rsid w:val="00E27EE7"/>
    <w:rsid w:val="00E35404"/>
    <w:rsid w:val="00E435C0"/>
    <w:rsid w:val="00E45109"/>
    <w:rsid w:val="00E47B7A"/>
    <w:rsid w:val="00E60269"/>
    <w:rsid w:val="00E94E6A"/>
    <w:rsid w:val="00E97830"/>
    <w:rsid w:val="00EB0CC2"/>
    <w:rsid w:val="00EB6FFA"/>
    <w:rsid w:val="00EF0683"/>
    <w:rsid w:val="00F0070C"/>
    <w:rsid w:val="00F00EB7"/>
    <w:rsid w:val="00F36AB6"/>
    <w:rsid w:val="00F37A09"/>
    <w:rsid w:val="00F409CE"/>
    <w:rsid w:val="00F4379D"/>
    <w:rsid w:val="00F84DF4"/>
    <w:rsid w:val="00F85C97"/>
    <w:rsid w:val="00F91E4A"/>
    <w:rsid w:val="00FA1617"/>
    <w:rsid w:val="00FB37D2"/>
    <w:rsid w:val="00FB5522"/>
    <w:rsid w:val="00FC4EFB"/>
    <w:rsid w:val="00FD068D"/>
    <w:rsid w:val="00FD4F28"/>
    <w:rsid w:val="00FE6784"/>
    <w:rsid w:val="00FF4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ram">
    <w:name w:val="SCC.Coram"/>
    <w:basedOn w:val="Normal"/>
    <w:next w:val="Normal"/>
    <w:link w:val="SCCCoramChar"/>
    <w:rsid w:val="000010B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010B9"/>
    <w:rPr>
      <w:rFonts w:eastAsiaTheme="minorHAnsi" w:cstheme="minorBidi"/>
      <w:sz w:val="24"/>
      <w:szCs w:val="22"/>
      <w:lang w:eastAsia="en-US"/>
    </w:rPr>
  </w:style>
  <w:style w:type="table" w:styleId="TableGrid">
    <w:name w:val="Table Grid"/>
    <w:basedOn w:val="TableNormal"/>
    <w:uiPriority w:val="59"/>
    <w:rsid w:val="000010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0010B9"/>
    <w:pPr>
      <w:tabs>
        <w:tab w:val="left" w:pos="1166"/>
      </w:tabs>
      <w:spacing w:after="480" w:line="480" w:lineRule="auto"/>
    </w:pPr>
    <w:rPr>
      <w:smallCaps/>
      <w:sz w:val="24"/>
    </w:rPr>
  </w:style>
  <w:style w:type="paragraph" w:customStyle="1" w:styleId="ParaNoNdepar-AltN">
    <w:name w:val="Para. No. / Nº de par. - Alt N"/>
    <w:qFormat/>
    <w:rsid w:val="000010B9"/>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QuoteInterior">
    <w:name w:val="Quote (Interior)"/>
    <w:basedOn w:val="Quote"/>
    <w:link w:val="QuoteInteriorChar"/>
    <w:qFormat/>
    <w:rsid w:val="000010B9"/>
    <w:pPr>
      <w:spacing w:before="200" w:after="240"/>
      <w:ind w:left="1440" w:right="1123"/>
    </w:pPr>
    <w:rPr>
      <w:rFonts w:eastAsiaTheme="minorEastAsia" w:cstheme="minorBidi"/>
      <w:i w:val="0"/>
      <w:color w:val="auto"/>
      <w:szCs w:val="22"/>
      <w:lang w:eastAsia="en-US" w:bidi="en-US"/>
    </w:rPr>
  </w:style>
  <w:style w:type="character" w:customStyle="1" w:styleId="QuoteInteriorChar">
    <w:name w:val="Quote (Interior) Char"/>
    <w:basedOn w:val="QuoteChar"/>
    <w:link w:val="QuoteInterior"/>
    <w:rsid w:val="000010B9"/>
    <w:rPr>
      <w:rFonts w:eastAsiaTheme="minorEastAsia" w:cstheme="minorBidi"/>
      <w:szCs w:val="22"/>
      <w:lang w:eastAsia="en-US" w:bidi="en-US"/>
    </w:rPr>
  </w:style>
  <w:style w:type="paragraph" w:styleId="Quote">
    <w:name w:val="Quote"/>
    <w:basedOn w:val="Normal"/>
    <w:next w:val="Normal"/>
    <w:link w:val="QuoteChar"/>
    <w:uiPriority w:val="29"/>
    <w:qFormat/>
    <w:rsid w:val="000010B9"/>
    <w:rPr>
      <w:i/>
      <w:iCs/>
      <w:color w:val="000000" w:themeColor="text1"/>
    </w:rPr>
  </w:style>
  <w:style w:type="character" w:customStyle="1" w:styleId="QuoteChar">
    <w:name w:val="Quote Char"/>
    <w:basedOn w:val="DefaultParagraphFont"/>
    <w:link w:val="Quote"/>
    <w:uiPriority w:val="29"/>
    <w:rsid w:val="000010B9"/>
    <w:rPr>
      <w:i/>
      <w:iCs/>
      <w:color w:val="000000" w:themeColor="text1"/>
      <w:sz w:val="24"/>
    </w:rPr>
  </w:style>
</w:styles>
</file>

<file path=word/webSettings.xml><?xml version="1.0" encoding="utf-8"?>
<w:webSettings xmlns:r="http://schemas.openxmlformats.org/officeDocument/2006/relationships" xmlns:w="http://schemas.openxmlformats.org/wordprocessingml/2006/main">
  <w:divs>
    <w:div w:id="632753437">
      <w:bodyDiv w:val="1"/>
      <w:marLeft w:val="0"/>
      <w:marRight w:val="0"/>
      <w:marTop w:val="0"/>
      <w:marBottom w:val="0"/>
      <w:divBdr>
        <w:top w:val="none" w:sz="0" w:space="0" w:color="auto"/>
        <w:left w:val="none" w:sz="0" w:space="0" w:color="auto"/>
        <w:bottom w:val="none" w:sz="0" w:space="0" w:color="auto"/>
        <w:right w:val="none" w:sz="0" w:space="0" w:color="auto"/>
      </w:divBdr>
      <w:divsChild>
        <w:div w:id="735739170">
          <w:marLeft w:val="0"/>
          <w:marRight w:val="0"/>
          <w:marTop w:val="0"/>
          <w:marBottom w:val="0"/>
          <w:divBdr>
            <w:top w:val="none" w:sz="0" w:space="0" w:color="auto"/>
            <w:left w:val="none" w:sz="0" w:space="0" w:color="auto"/>
            <w:bottom w:val="none" w:sz="0" w:space="0" w:color="auto"/>
            <w:right w:val="none" w:sz="0" w:space="0" w:color="auto"/>
          </w:divBdr>
          <w:divsChild>
            <w:div w:id="12738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0590">
      <w:bodyDiv w:val="1"/>
      <w:marLeft w:val="0"/>
      <w:marRight w:val="0"/>
      <w:marTop w:val="0"/>
      <w:marBottom w:val="0"/>
      <w:divBdr>
        <w:top w:val="none" w:sz="0" w:space="0" w:color="auto"/>
        <w:left w:val="none" w:sz="0" w:space="0" w:color="auto"/>
        <w:bottom w:val="none" w:sz="0" w:space="0" w:color="auto"/>
        <w:right w:val="none" w:sz="0" w:space="0" w:color="auto"/>
      </w:divBdr>
      <w:divsChild>
        <w:div w:id="619459387">
          <w:marLeft w:val="0"/>
          <w:marRight w:val="0"/>
          <w:marTop w:val="0"/>
          <w:marBottom w:val="0"/>
          <w:divBdr>
            <w:top w:val="none" w:sz="0" w:space="0" w:color="auto"/>
            <w:left w:val="none" w:sz="0" w:space="0" w:color="auto"/>
            <w:bottom w:val="none" w:sz="0" w:space="0" w:color="auto"/>
            <w:right w:val="none" w:sz="0" w:space="0" w:color="auto"/>
          </w:divBdr>
          <w:divsChild>
            <w:div w:id="1490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1897</Words>
  <Characters>10673</Characters>
  <Application>Microsoft Office Word</Application>
  <DocSecurity>0</DocSecurity>
  <Lines>88</Lines>
  <Paragraphs>25</Paragraphs>
  <ScaleCrop>false</ScaleCrop>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2012-02-28T19:05:00Z</dcterms:created>
  <dcterms:modified xsi:type="dcterms:W3CDTF">2012-09-10T17:02:00Z</dcterms:modified>
</cp:coreProperties>
</file>