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86" w:rsidRPr="00561D03" w:rsidRDefault="00437486" w:rsidP="00437486">
      <w:pPr>
        <w:tabs>
          <w:tab w:val="center" w:pos="4680"/>
          <w:tab w:val="right" w:pos="9360"/>
        </w:tabs>
        <w:jc w:val="center"/>
        <w:rPr>
          <w:rFonts w:eastAsiaTheme="minorHAnsi" w:cstheme="minorBidi"/>
          <w:szCs w:val="24"/>
          <w:lang w:eastAsia="en-US"/>
        </w:rPr>
      </w:pPr>
      <w:r w:rsidRPr="00561D03">
        <w:rPr>
          <w:rFonts w:eastAsiaTheme="minorHAnsi" w:cstheme="minorBidi"/>
          <w:szCs w:val="24"/>
          <w:lang w:eastAsia="en-US"/>
        </w:rPr>
        <w:object w:dxaOrig="1365" w:dyaOrig="1440">
          <v:shape id="_x0000_i1026" type="#_x0000_t75" style="width:61.2pt;height:64.8pt" o:ole="">
            <v:imagedata r:id="rId7" o:title=""/>
          </v:shape>
          <o:OLEObject Type="Embed" ProgID="Presentations.Drawing.13" ShapeID="_x0000_i1026" DrawAspect="Content" ObjectID="_1426945713" r:id="rId8"/>
        </w:object>
      </w:r>
    </w:p>
    <w:p w:rsidR="00437486" w:rsidRPr="00561D03" w:rsidRDefault="00437486" w:rsidP="00437486">
      <w:pPr>
        <w:tabs>
          <w:tab w:val="center" w:pos="4680"/>
          <w:tab w:val="right" w:pos="9360"/>
        </w:tabs>
        <w:rPr>
          <w:rFonts w:eastAsiaTheme="minorHAnsi" w:cstheme="minorBidi"/>
          <w:szCs w:val="24"/>
          <w:lang w:eastAsia="en-US"/>
        </w:rPr>
      </w:pPr>
    </w:p>
    <w:p w:rsidR="00437486" w:rsidRPr="00561D03" w:rsidRDefault="00437486" w:rsidP="00437486">
      <w:pPr>
        <w:jc w:val="center"/>
        <w:rPr>
          <w:rFonts w:eastAsiaTheme="minorHAnsi" w:cstheme="minorBidi"/>
          <w:b/>
          <w:szCs w:val="24"/>
          <w:lang w:eastAsia="en-US"/>
        </w:rPr>
      </w:pPr>
      <w:r w:rsidRPr="00561D03">
        <w:rPr>
          <w:rFonts w:eastAsiaTheme="minorHAnsi" w:cstheme="minorBidi"/>
          <w:b/>
          <w:szCs w:val="24"/>
          <w:lang w:eastAsia="en-US"/>
        </w:rPr>
        <w:t>COUR SUPRÊME DU CANADA</w:t>
      </w:r>
    </w:p>
    <w:p w:rsidR="00437486" w:rsidRPr="00561D03" w:rsidRDefault="00437486" w:rsidP="0043748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37486" w:rsidRPr="00561D03" w:rsidTr="002F6440">
        <w:trPr>
          <w:cantSplit/>
        </w:trPr>
        <w:tc>
          <w:tcPr>
            <w:tcW w:w="6768" w:type="dxa"/>
          </w:tcPr>
          <w:p w:rsidR="00437486" w:rsidRPr="00561D03" w:rsidRDefault="00437486" w:rsidP="002F6440">
            <w:r w:rsidRPr="00561D03">
              <w:rPr>
                <w:b/>
                <w:smallCaps/>
              </w:rPr>
              <w:t>Référence :</w:t>
            </w:r>
            <w:r w:rsidRPr="00561D03">
              <w:t xml:space="preserve"> Canada </w:t>
            </w:r>
            <w:r w:rsidRPr="00561D03">
              <w:rPr>
                <w:i/>
              </w:rPr>
              <w:t>c.</w:t>
            </w:r>
            <w:r w:rsidRPr="00561D03">
              <w:t xml:space="preserve"> Craig, </w:t>
            </w:r>
            <w:r>
              <w:t>2012 CSC 43, [2012] 2</w:t>
            </w:r>
            <w:r w:rsidRPr="00FB302E">
              <w:t xml:space="preserve"> </w:t>
            </w:r>
            <w:r>
              <w:t>R.C.S. 489</w:t>
            </w:r>
          </w:p>
        </w:tc>
        <w:tc>
          <w:tcPr>
            <w:tcW w:w="2808" w:type="dxa"/>
          </w:tcPr>
          <w:p w:rsidR="00437486" w:rsidRPr="00561D03" w:rsidRDefault="00437486" w:rsidP="002F6440">
            <w:r w:rsidRPr="00561D03">
              <w:rPr>
                <w:b/>
                <w:smallCaps/>
              </w:rPr>
              <w:t>Date :</w:t>
            </w:r>
            <w:r w:rsidRPr="00561D03">
              <w:t xml:space="preserve"> 20120801</w:t>
            </w:r>
          </w:p>
          <w:p w:rsidR="00437486" w:rsidRPr="00561D03" w:rsidRDefault="00437486" w:rsidP="002F6440">
            <w:r w:rsidRPr="00561D03">
              <w:rPr>
                <w:b/>
                <w:smallCaps/>
              </w:rPr>
              <w:t>Dossier :</w:t>
            </w:r>
            <w:r w:rsidRPr="00561D03">
              <w:t xml:space="preserve"> 34144</w:t>
            </w:r>
          </w:p>
        </w:tc>
      </w:tr>
    </w:tbl>
    <w:p w:rsidR="00437486" w:rsidRPr="00561D03" w:rsidRDefault="00437486" w:rsidP="00437486">
      <w:pPr>
        <w:rPr>
          <w:rFonts w:eastAsiaTheme="minorHAnsi" w:cstheme="minorBidi"/>
          <w:szCs w:val="24"/>
          <w:lang w:eastAsia="en-US"/>
        </w:rPr>
      </w:pPr>
    </w:p>
    <w:p w:rsidR="00437486" w:rsidRPr="00561D03" w:rsidRDefault="00437486" w:rsidP="00437486">
      <w:pPr>
        <w:rPr>
          <w:rFonts w:eastAsiaTheme="minorHAnsi" w:cstheme="minorBidi"/>
          <w:b/>
          <w:smallCaps/>
          <w:szCs w:val="24"/>
          <w:lang w:eastAsia="en-US"/>
        </w:rPr>
      </w:pPr>
      <w:r w:rsidRPr="00561D03">
        <w:rPr>
          <w:rFonts w:eastAsiaTheme="minorHAnsi" w:cstheme="minorBidi"/>
          <w:b/>
          <w:smallCaps/>
          <w:szCs w:val="24"/>
          <w:lang w:eastAsia="en-US"/>
        </w:rPr>
        <w:t>Entre :</w:t>
      </w:r>
    </w:p>
    <w:p w:rsidR="00437486" w:rsidRPr="00561D03" w:rsidRDefault="00437486" w:rsidP="00437486">
      <w:pPr>
        <w:jc w:val="center"/>
        <w:rPr>
          <w:rFonts w:eastAsiaTheme="minorHAnsi" w:cstheme="minorBidi"/>
          <w:b/>
          <w:szCs w:val="24"/>
          <w:lang w:eastAsia="en-US"/>
        </w:rPr>
      </w:pPr>
      <w:r w:rsidRPr="00561D03">
        <w:rPr>
          <w:rFonts w:eastAsiaTheme="minorHAnsi" w:cstheme="minorBidi"/>
          <w:b/>
          <w:szCs w:val="24"/>
          <w:lang w:eastAsia="en-US"/>
        </w:rPr>
        <w:t>Sa Majesté la Reine</w:t>
      </w:r>
    </w:p>
    <w:p w:rsidR="00437486" w:rsidRPr="00561D03" w:rsidRDefault="00437486" w:rsidP="00437486">
      <w:pPr>
        <w:jc w:val="center"/>
        <w:rPr>
          <w:rFonts w:eastAsiaTheme="minorHAnsi" w:cstheme="minorBidi"/>
          <w:szCs w:val="24"/>
          <w:lang w:eastAsia="en-US"/>
        </w:rPr>
      </w:pPr>
      <w:r w:rsidRPr="00561D03">
        <w:rPr>
          <w:rFonts w:eastAsiaTheme="minorHAnsi" w:cstheme="minorBidi"/>
          <w:szCs w:val="24"/>
          <w:lang w:eastAsia="en-US"/>
        </w:rPr>
        <w:t>Appelante</w:t>
      </w:r>
    </w:p>
    <w:p w:rsidR="00437486" w:rsidRPr="00561D03" w:rsidRDefault="00437486" w:rsidP="00437486">
      <w:pPr>
        <w:jc w:val="center"/>
        <w:rPr>
          <w:rFonts w:eastAsiaTheme="minorHAnsi" w:cstheme="minorBidi"/>
          <w:szCs w:val="24"/>
          <w:lang w:eastAsia="en-US"/>
        </w:rPr>
      </w:pPr>
      <w:proofErr w:type="gramStart"/>
      <w:r w:rsidRPr="00561D03">
        <w:rPr>
          <w:rFonts w:eastAsiaTheme="minorHAnsi" w:cstheme="minorBidi"/>
          <w:szCs w:val="24"/>
          <w:lang w:eastAsia="en-US"/>
        </w:rPr>
        <w:t>et</w:t>
      </w:r>
      <w:proofErr w:type="gramEnd"/>
    </w:p>
    <w:p w:rsidR="00437486" w:rsidRPr="00561D03" w:rsidRDefault="00437486" w:rsidP="00437486">
      <w:pPr>
        <w:jc w:val="center"/>
        <w:rPr>
          <w:rFonts w:eastAsiaTheme="minorHAnsi" w:cstheme="minorBidi"/>
          <w:b/>
          <w:szCs w:val="24"/>
          <w:lang w:eastAsia="en-US"/>
        </w:rPr>
      </w:pPr>
      <w:r w:rsidRPr="00561D03">
        <w:rPr>
          <w:rFonts w:eastAsiaTheme="minorHAnsi" w:cstheme="minorBidi"/>
          <w:b/>
          <w:szCs w:val="24"/>
          <w:lang w:eastAsia="en-US"/>
        </w:rPr>
        <w:t>John H. Craig</w:t>
      </w:r>
    </w:p>
    <w:p w:rsidR="00437486" w:rsidRPr="00561D03" w:rsidRDefault="00437486" w:rsidP="00437486">
      <w:pPr>
        <w:jc w:val="center"/>
        <w:rPr>
          <w:rFonts w:eastAsiaTheme="minorHAnsi" w:cstheme="minorBidi"/>
          <w:szCs w:val="24"/>
          <w:lang w:eastAsia="en-US"/>
        </w:rPr>
      </w:pPr>
      <w:r w:rsidRPr="00561D03">
        <w:rPr>
          <w:rFonts w:eastAsiaTheme="minorHAnsi" w:cstheme="minorBidi"/>
          <w:szCs w:val="24"/>
          <w:lang w:eastAsia="en-US"/>
        </w:rPr>
        <w:t>Intimé</w:t>
      </w:r>
    </w:p>
    <w:p w:rsidR="00437486" w:rsidRPr="00561D03" w:rsidRDefault="00437486" w:rsidP="00437486">
      <w:pPr>
        <w:rPr>
          <w:rFonts w:eastAsiaTheme="minorHAnsi" w:cstheme="minorBidi"/>
          <w:szCs w:val="24"/>
          <w:lang w:eastAsia="en-US"/>
        </w:rPr>
      </w:pPr>
    </w:p>
    <w:p w:rsidR="00437486" w:rsidRPr="00561D03" w:rsidRDefault="00437486" w:rsidP="00437486">
      <w:pPr>
        <w:rPr>
          <w:rFonts w:eastAsiaTheme="minorHAnsi" w:cstheme="minorBidi"/>
          <w:szCs w:val="24"/>
          <w:lang w:eastAsia="en-US"/>
        </w:rPr>
      </w:pPr>
    </w:p>
    <w:p w:rsidR="00437486" w:rsidRPr="00561D03" w:rsidRDefault="00437486" w:rsidP="00437486">
      <w:pPr>
        <w:jc w:val="center"/>
        <w:rPr>
          <w:rFonts w:eastAsiaTheme="minorHAnsi" w:cstheme="minorBidi"/>
          <w:b/>
          <w:smallCaps/>
          <w:szCs w:val="24"/>
          <w:lang w:eastAsia="en-US"/>
        </w:rPr>
      </w:pPr>
      <w:r w:rsidRPr="00561D03">
        <w:rPr>
          <w:rFonts w:eastAsiaTheme="minorHAnsi" w:cstheme="minorBidi"/>
          <w:b/>
          <w:smallCaps/>
          <w:szCs w:val="24"/>
          <w:lang w:eastAsia="en-US"/>
        </w:rPr>
        <w:t>Traduction française officielle</w:t>
      </w:r>
    </w:p>
    <w:p w:rsidR="00437486" w:rsidRPr="00561D03" w:rsidRDefault="00437486" w:rsidP="00437486">
      <w:pPr>
        <w:rPr>
          <w:rFonts w:eastAsiaTheme="minorHAnsi" w:cstheme="minorBidi"/>
          <w:szCs w:val="24"/>
          <w:lang w:eastAsia="en-US"/>
        </w:rPr>
      </w:pPr>
    </w:p>
    <w:p w:rsidR="00437486" w:rsidRPr="00561D03" w:rsidRDefault="00437486" w:rsidP="00437486">
      <w:pPr>
        <w:rPr>
          <w:rFonts w:eastAsiaTheme="minorHAnsi" w:cstheme="minorBidi"/>
          <w:szCs w:val="24"/>
          <w:lang w:eastAsia="en-US"/>
        </w:rPr>
      </w:pPr>
      <w:r w:rsidRPr="00561D03">
        <w:rPr>
          <w:rFonts w:eastAsiaTheme="minorHAnsi" w:cstheme="minorBidi"/>
          <w:b/>
          <w:smallCaps/>
          <w:szCs w:val="24"/>
          <w:lang w:eastAsia="en-US"/>
        </w:rPr>
        <w:t>Coram :</w:t>
      </w:r>
      <w:r w:rsidRPr="00561D03">
        <w:rPr>
          <w:rFonts w:eastAsiaTheme="minorHAnsi" w:cstheme="minorBidi"/>
          <w:szCs w:val="24"/>
          <w:lang w:eastAsia="en-US"/>
        </w:rPr>
        <w:t xml:space="preserve"> Les juges </w:t>
      </w:r>
      <w:proofErr w:type="spellStart"/>
      <w:r w:rsidRPr="00561D03">
        <w:rPr>
          <w:rFonts w:eastAsiaTheme="minorHAnsi" w:cstheme="minorBidi"/>
          <w:szCs w:val="24"/>
          <w:lang w:eastAsia="en-US"/>
        </w:rPr>
        <w:t>LeBel</w:t>
      </w:r>
      <w:proofErr w:type="spellEnd"/>
      <w:r w:rsidRPr="00561D03">
        <w:rPr>
          <w:rFonts w:eastAsiaTheme="minorHAnsi" w:cstheme="minorBidi"/>
          <w:szCs w:val="24"/>
          <w:lang w:eastAsia="en-US"/>
        </w:rPr>
        <w:t xml:space="preserve">, Deschamps, Abella, </w:t>
      </w:r>
      <w:proofErr w:type="spellStart"/>
      <w:r w:rsidRPr="00561D03">
        <w:rPr>
          <w:rFonts w:eastAsiaTheme="minorHAnsi" w:cstheme="minorBidi"/>
          <w:szCs w:val="24"/>
          <w:lang w:eastAsia="en-US"/>
        </w:rPr>
        <w:t>Rothstein</w:t>
      </w:r>
      <w:proofErr w:type="spellEnd"/>
      <w:r w:rsidRPr="00561D03">
        <w:rPr>
          <w:rFonts w:eastAsiaTheme="minorHAnsi" w:cstheme="minorBidi"/>
          <w:szCs w:val="24"/>
          <w:lang w:eastAsia="en-US"/>
        </w:rPr>
        <w:t xml:space="preserve">, Cromwell, </w:t>
      </w:r>
      <w:proofErr w:type="spellStart"/>
      <w:r w:rsidRPr="00561D03">
        <w:rPr>
          <w:rFonts w:eastAsiaTheme="minorHAnsi" w:cstheme="minorBidi"/>
          <w:szCs w:val="24"/>
          <w:lang w:eastAsia="en-US"/>
        </w:rPr>
        <w:t>Moldaver</w:t>
      </w:r>
      <w:proofErr w:type="spellEnd"/>
      <w:r w:rsidRPr="00561D03">
        <w:rPr>
          <w:rFonts w:eastAsiaTheme="minorHAnsi" w:cstheme="minorBidi"/>
          <w:szCs w:val="24"/>
          <w:lang w:eastAsia="en-US"/>
        </w:rPr>
        <w:t xml:space="preserve"> et </w:t>
      </w:r>
      <w:proofErr w:type="spellStart"/>
      <w:r w:rsidRPr="00561D03">
        <w:rPr>
          <w:rFonts w:eastAsiaTheme="minorHAnsi" w:cstheme="minorBidi"/>
          <w:szCs w:val="24"/>
          <w:lang w:eastAsia="en-US"/>
        </w:rPr>
        <w:t>Karakatsanis</w:t>
      </w:r>
      <w:proofErr w:type="spellEnd"/>
    </w:p>
    <w:p w:rsidR="00437486" w:rsidRPr="00561D03" w:rsidRDefault="00437486" w:rsidP="0043748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37486" w:rsidRPr="00561D03" w:rsidTr="002F6440">
        <w:trPr>
          <w:cantSplit/>
        </w:trPr>
        <w:tc>
          <w:tcPr>
            <w:tcW w:w="3618" w:type="dxa"/>
          </w:tcPr>
          <w:p w:rsidR="00437486" w:rsidRPr="00561D03" w:rsidRDefault="00437486" w:rsidP="002F6440">
            <w:pPr>
              <w:rPr>
                <w:b/>
                <w:smallCaps/>
              </w:rPr>
            </w:pPr>
            <w:r w:rsidRPr="00561D03">
              <w:rPr>
                <w:b/>
                <w:smallCaps/>
              </w:rPr>
              <w:t>Motifs de jugement :</w:t>
            </w:r>
          </w:p>
          <w:p w:rsidR="00437486" w:rsidRPr="00561D03" w:rsidRDefault="00437486" w:rsidP="002F6440">
            <w:r w:rsidRPr="00561D03">
              <w:t>(par. 1 à 48)</w:t>
            </w:r>
          </w:p>
        </w:tc>
        <w:tc>
          <w:tcPr>
            <w:tcW w:w="5958" w:type="dxa"/>
          </w:tcPr>
          <w:p w:rsidR="00437486" w:rsidRPr="00561D03" w:rsidRDefault="00437486" w:rsidP="002F6440">
            <w:r w:rsidRPr="00561D03">
              <w:t xml:space="preserve">Le juge </w:t>
            </w:r>
            <w:proofErr w:type="spellStart"/>
            <w:r w:rsidRPr="00561D03">
              <w:t>Rothstein</w:t>
            </w:r>
            <w:proofErr w:type="spellEnd"/>
            <w:r w:rsidRPr="00561D03">
              <w:t xml:space="preserve"> (avec l’accord des juges </w:t>
            </w:r>
            <w:proofErr w:type="spellStart"/>
            <w:r w:rsidRPr="00561D03">
              <w:t>LeBel</w:t>
            </w:r>
            <w:proofErr w:type="spellEnd"/>
            <w:r w:rsidRPr="00561D03">
              <w:t xml:space="preserve">, Deschamps, Abella, Cromwell, </w:t>
            </w:r>
            <w:proofErr w:type="spellStart"/>
            <w:r w:rsidRPr="00561D03">
              <w:t>Moldaver</w:t>
            </w:r>
            <w:proofErr w:type="spellEnd"/>
            <w:r w:rsidRPr="00561D03">
              <w:t xml:space="preserve"> et </w:t>
            </w:r>
            <w:proofErr w:type="spellStart"/>
            <w:r w:rsidRPr="00561D03">
              <w:t>Karakatsanis</w:t>
            </w:r>
            <w:proofErr w:type="spellEnd"/>
            <w:r w:rsidRPr="00561D03">
              <w:t>)</w:t>
            </w:r>
          </w:p>
        </w:tc>
      </w:tr>
    </w:tbl>
    <w:p w:rsidR="00437486" w:rsidRPr="00561D03" w:rsidRDefault="00437486" w:rsidP="00437486">
      <w:pPr>
        <w:rPr>
          <w:rFonts w:eastAsiaTheme="minorHAnsi" w:cstheme="minorBidi"/>
          <w:szCs w:val="24"/>
          <w:lang w:eastAsia="en-US"/>
        </w:rPr>
      </w:pPr>
    </w:p>
    <w:p w:rsidR="00437486" w:rsidRPr="00561D03" w:rsidRDefault="00437486" w:rsidP="00437486">
      <w:pPr>
        <w:rPr>
          <w:rFonts w:eastAsiaTheme="minorHAnsi" w:cstheme="minorBidi"/>
          <w:szCs w:val="24"/>
          <w:lang w:eastAsia="en-US"/>
        </w:rPr>
      </w:pPr>
    </w:p>
    <w:p w:rsidR="00437486" w:rsidRPr="00561D03" w:rsidRDefault="00437486" w:rsidP="0043748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437486" w:rsidRPr="00561D03" w:rsidRDefault="00437486" w:rsidP="00437486">
      <w:pPr>
        <w:rPr>
          <w:smallCaps/>
          <w:szCs w:val="24"/>
        </w:rPr>
      </w:pPr>
      <w:r w:rsidRPr="00561D03">
        <w:rPr>
          <w:smallCaps/>
          <w:szCs w:val="24"/>
        </w:rPr>
        <w:br w:type="page"/>
      </w:r>
    </w:p>
    <w:p w:rsidR="00FB302E" w:rsidRPr="00FB302E" w:rsidRDefault="00FB302E" w:rsidP="00A01F9E">
      <w:pPr>
        <w:pStyle w:val="SCCLsocParty"/>
        <w:tabs>
          <w:tab w:val="right" w:pos="8222"/>
        </w:tabs>
        <w:spacing w:after="720"/>
        <w:rPr>
          <w:b w:val="0"/>
          <w:szCs w:val="24"/>
        </w:rPr>
      </w:pPr>
      <w:r w:rsidRPr="00FB302E">
        <w:rPr>
          <w:b w:val="0"/>
          <w:szCs w:val="24"/>
        </w:rPr>
        <w:lastRenderedPageBreak/>
        <w:t xml:space="preserve">Canada </w:t>
      </w:r>
      <w:r w:rsidRPr="00FB302E">
        <w:rPr>
          <w:b w:val="0"/>
          <w:i/>
          <w:szCs w:val="24"/>
        </w:rPr>
        <w:t>c.</w:t>
      </w:r>
      <w:r w:rsidRPr="00FB302E">
        <w:rPr>
          <w:b w:val="0"/>
          <w:szCs w:val="24"/>
        </w:rPr>
        <w:t xml:space="preserve"> Craig, </w:t>
      </w:r>
      <w:r>
        <w:rPr>
          <w:b w:val="0"/>
          <w:szCs w:val="24"/>
        </w:rPr>
        <w:t>2012 CSC 43, [2012] 2</w:t>
      </w:r>
      <w:r w:rsidRPr="00FB302E">
        <w:rPr>
          <w:b w:val="0"/>
          <w:szCs w:val="24"/>
        </w:rPr>
        <w:t xml:space="preserve"> </w:t>
      </w:r>
      <w:r>
        <w:rPr>
          <w:b w:val="0"/>
          <w:szCs w:val="24"/>
        </w:rPr>
        <w:t>R.C.S. 489</w:t>
      </w:r>
    </w:p>
    <w:p w:rsidR="00FB302E" w:rsidRDefault="00FB302E" w:rsidP="00A01F9E">
      <w:pPr>
        <w:pStyle w:val="SCCLsocParty"/>
        <w:tabs>
          <w:tab w:val="right" w:pos="8222"/>
        </w:tabs>
        <w:spacing w:after="720"/>
        <w:rPr>
          <w:szCs w:val="24"/>
        </w:rPr>
      </w:pPr>
    </w:p>
    <w:p w:rsidR="00D83277" w:rsidRPr="00446A3C" w:rsidRDefault="00A2213F" w:rsidP="00A01F9E">
      <w:pPr>
        <w:pStyle w:val="SCCLsocParty"/>
        <w:tabs>
          <w:tab w:val="right" w:pos="8222"/>
        </w:tabs>
        <w:spacing w:after="720"/>
        <w:rPr>
          <w:szCs w:val="24"/>
        </w:rPr>
      </w:pPr>
      <w:r w:rsidRPr="00446A3C">
        <w:rPr>
          <w:szCs w:val="24"/>
        </w:rPr>
        <w:t>Sa Majesté la Reine</w:t>
      </w:r>
      <w:r w:rsidR="00A01F9E" w:rsidRPr="00446A3C">
        <w:rPr>
          <w:szCs w:val="24"/>
        </w:rPr>
        <w:t xml:space="preserve"> </w:t>
      </w:r>
      <w:r w:rsidR="00A01F9E" w:rsidRPr="00446A3C">
        <w:rPr>
          <w:szCs w:val="24"/>
        </w:rPr>
        <w:tab/>
      </w:r>
      <w:r w:rsidR="00A01F9E" w:rsidRPr="00446A3C">
        <w:rPr>
          <w:b w:val="0"/>
          <w:i/>
          <w:szCs w:val="24"/>
        </w:rPr>
        <w:t>Appelante</w:t>
      </w:r>
    </w:p>
    <w:p w:rsidR="00A01F9E" w:rsidRPr="00446A3C" w:rsidRDefault="00A2213F" w:rsidP="00A01F9E">
      <w:pPr>
        <w:pStyle w:val="SCCLsocVersus"/>
        <w:spacing w:after="720"/>
        <w:rPr>
          <w:szCs w:val="24"/>
        </w:rPr>
      </w:pPr>
      <w:proofErr w:type="gramStart"/>
      <w:r w:rsidRPr="00446A3C">
        <w:rPr>
          <w:szCs w:val="24"/>
        </w:rPr>
        <w:t>c</w:t>
      </w:r>
      <w:proofErr w:type="gramEnd"/>
      <w:r w:rsidRPr="00446A3C">
        <w:rPr>
          <w:szCs w:val="24"/>
        </w:rPr>
        <w:t>.</w:t>
      </w:r>
    </w:p>
    <w:p w:rsidR="00D83277" w:rsidRPr="00446A3C" w:rsidRDefault="00BD79A1" w:rsidP="00A01F9E">
      <w:pPr>
        <w:pStyle w:val="SCCLsocParty"/>
        <w:tabs>
          <w:tab w:val="right" w:pos="8222"/>
        </w:tabs>
        <w:spacing w:after="720"/>
        <w:rPr>
          <w:szCs w:val="24"/>
        </w:rPr>
      </w:pPr>
      <w:r>
        <w:rPr>
          <w:szCs w:val="24"/>
        </w:rPr>
        <w:t>John </w:t>
      </w:r>
      <w:r w:rsidR="00A2213F" w:rsidRPr="00446A3C">
        <w:rPr>
          <w:szCs w:val="24"/>
        </w:rPr>
        <w:t>H. Craig</w:t>
      </w:r>
      <w:r w:rsidR="00A01F9E" w:rsidRPr="00446A3C">
        <w:rPr>
          <w:szCs w:val="24"/>
        </w:rPr>
        <w:t xml:space="preserve"> </w:t>
      </w:r>
      <w:r w:rsidR="00A01F9E" w:rsidRPr="00446A3C">
        <w:rPr>
          <w:szCs w:val="24"/>
        </w:rPr>
        <w:tab/>
      </w:r>
      <w:r w:rsidR="00A01F9E" w:rsidRPr="00446A3C">
        <w:rPr>
          <w:b w:val="0"/>
          <w:i/>
          <w:szCs w:val="24"/>
        </w:rPr>
        <w:t>Intimé</w:t>
      </w:r>
    </w:p>
    <w:p w:rsidR="00426659" w:rsidRPr="00446A3C" w:rsidRDefault="0043088E" w:rsidP="00A01F9E">
      <w:pPr>
        <w:spacing w:after="720"/>
        <w:jc w:val="both"/>
        <w:rPr>
          <w:b/>
          <w:szCs w:val="24"/>
        </w:rPr>
      </w:pPr>
      <w:r w:rsidRPr="00446A3C">
        <w:rPr>
          <w:b/>
          <w:szCs w:val="24"/>
        </w:rPr>
        <w:t>Répertorié</w:t>
      </w:r>
      <w:r w:rsidR="00A448E1" w:rsidRPr="00446A3C">
        <w:rPr>
          <w:b/>
          <w:szCs w:val="24"/>
        </w:rPr>
        <w:t> :</w:t>
      </w:r>
      <w:r w:rsidR="00C67CA5" w:rsidRPr="00446A3C">
        <w:rPr>
          <w:b/>
          <w:szCs w:val="24"/>
        </w:rPr>
        <w:t> </w:t>
      </w:r>
      <w:r w:rsidR="004B0DF0" w:rsidRPr="00446A3C">
        <w:rPr>
          <w:b/>
          <w:szCs w:val="24"/>
        </w:rPr>
        <w:t>Canada</w:t>
      </w:r>
      <w:r w:rsidR="00426659" w:rsidRPr="00446A3C">
        <w:rPr>
          <w:b/>
          <w:szCs w:val="24"/>
        </w:rPr>
        <w:t xml:space="preserve"> </w:t>
      </w:r>
      <w:r w:rsidR="00645057" w:rsidRPr="00446A3C">
        <w:rPr>
          <w:b/>
          <w:i/>
          <w:szCs w:val="24"/>
        </w:rPr>
        <w:t>c</w:t>
      </w:r>
      <w:r w:rsidR="00426659" w:rsidRPr="00446A3C">
        <w:rPr>
          <w:b/>
          <w:i/>
          <w:szCs w:val="24"/>
        </w:rPr>
        <w:t>.</w:t>
      </w:r>
      <w:r w:rsidR="00426659" w:rsidRPr="00446A3C">
        <w:rPr>
          <w:b/>
          <w:szCs w:val="24"/>
        </w:rPr>
        <w:t xml:space="preserve"> </w:t>
      </w:r>
      <w:r w:rsidRPr="00EB7FBA">
        <w:rPr>
          <w:b/>
          <w:szCs w:val="24"/>
        </w:rPr>
        <w:t>Craig</w:t>
      </w:r>
    </w:p>
    <w:p w:rsidR="00426659" w:rsidRPr="00446A3C" w:rsidRDefault="00C0663B" w:rsidP="00A01F9E">
      <w:pPr>
        <w:pStyle w:val="SCCSystemYear"/>
        <w:spacing w:after="720"/>
        <w:jc w:val="both"/>
        <w:rPr>
          <w:szCs w:val="24"/>
        </w:rPr>
      </w:pPr>
      <w:r w:rsidRPr="00446A3C">
        <w:rPr>
          <w:szCs w:val="24"/>
        </w:rPr>
        <w:t>2012</w:t>
      </w:r>
      <w:r w:rsidR="00EE0FAF" w:rsidRPr="00446A3C">
        <w:rPr>
          <w:szCs w:val="24"/>
        </w:rPr>
        <w:t xml:space="preserve"> </w:t>
      </w:r>
      <w:r w:rsidR="00C71F58" w:rsidRPr="00446A3C">
        <w:rPr>
          <w:szCs w:val="24"/>
        </w:rPr>
        <w:t>C</w:t>
      </w:r>
      <w:r w:rsidR="00426659" w:rsidRPr="00446A3C">
        <w:rPr>
          <w:szCs w:val="24"/>
        </w:rPr>
        <w:t>SC </w:t>
      </w:r>
      <w:r w:rsidR="00034555" w:rsidRPr="00446A3C">
        <w:rPr>
          <w:szCs w:val="24"/>
        </w:rPr>
        <w:t>43</w:t>
      </w:r>
    </w:p>
    <w:p w:rsidR="008322BD" w:rsidRPr="00446A3C" w:rsidRDefault="009B57B3" w:rsidP="00A01F9E">
      <w:pPr>
        <w:spacing w:after="720"/>
        <w:jc w:val="both"/>
        <w:rPr>
          <w:szCs w:val="24"/>
        </w:rPr>
      </w:pPr>
      <w:r w:rsidRPr="00446A3C">
        <w:rPr>
          <w:szCs w:val="24"/>
        </w:rPr>
        <w:t>N</w:t>
      </w:r>
      <w:r w:rsidRPr="00446A3C">
        <w:rPr>
          <w:szCs w:val="24"/>
          <w:vertAlign w:val="superscript"/>
        </w:rPr>
        <w:t>o</w:t>
      </w:r>
      <w:r w:rsidR="0043088E" w:rsidRPr="00446A3C">
        <w:rPr>
          <w:szCs w:val="24"/>
        </w:rPr>
        <w:t xml:space="preserve"> du greffe</w:t>
      </w:r>
      <w:r w:rsidR="00A448E1" w:rsidRPr="00446A3C">
        <w:rPr>
          <w:szCs w:val="24"/>
        </w:rPr>
        <w:t> :</w:t>
      </w:r>
      <w:r w:rsidR="00C67CA5" w:rsidRPr="00446A3C">
        <w:rPr>
          <w:szCs w:val="24"/>
        </w:rPr>
        <w:t> </w:t>
      </w:r>
      <w:r w:rsidRPr="00446A3C">
        <w:rPr>
          <w:szCs w:val="24"/>
        </w:rPr>
        <w:t>34144.</w:t>
      </w:r>
    </w:p>
    <w:p w:rsidR="008322BD" w:rsidRPr="00446A3C" w:rsidRDefault="00C0663B" w:rsidP="00A01F9E">
      <w:pPr>
        <w:spacing w:after="720"/>
        <w:jc w:val="both"/>
        <w:rPr>
          <w:szCs w:val="24"/>
        </w:rPr>
      </w:pPr>
      <w:r w:rsidRPr="00446A3C">
        <w:rPr>
          <w:szCs w:val="24"/>
        </w:rPr>
        <w:t>2012</w:t>
      </w:r>
      <w:r w:rsidR="00A448E1" w:rsidRPr="00446A3C">
        <w:rPr>
          <w:szCs w:val="24"/>
        </w:rPr>
        <w:t> :</w:t>
      </w:r>
      <w:r w:rsidR="00944149" w:rsidRPr="00446A3C">
        <w:rPr>
          <w:szCs w:val="24"/>
        </w:rPr>
        <w:t> </w:t>
      </w:r>
      <w:r w:rsidR="00BD79A1">
        <w:rPr>
          <w:szCs w:val="24"/>
        </w:rPr>
        <w:t>23 </w:t>
      </w:r>
      <w:r w:rsidRPr="00446A3C">
        <w:rPr>
          <w:szCs w:val="24"/>
        </w:rPr>
        <w:t>mars</w:t>
      </w:r>
      <w:r w:rsidR="009B57B3" w:rsidRPr="00446A3C">
        <w:rPr>
          <w:szCs w:val="24"/>
        </w:rPr>
        <w:t xml:space="preserve">; </w:t>
      </w:r>
      <w:r w:rsidR="006B087B" w:rsidRPr="00446A3C">
        <w:rPr>
          <w:szCs w:val="24"/>
        </w:rPr>
        <w:t>2012</w:t>
      </w:r>
      <w:r w:rsidR="00A448E1" w:rsidRPr="00446A3C">
        <w:rPr>
          <w:szCs w:val="24"/>
        </w:rPr>
        <w:t> :</w:t>
      </w:r>
      <w:r w:rsidR="006B087B" w:rsidRPr="00446A3C">
        <w:rPr>
          <w:szCs w:val="24"/>
        </w:rPr>
        <w:t> </w:t>
      </w:r>
      <w:r w:rsidR="00EB25A6" w:rsidRPr="00446A3C">
        <w:rPr>
          <w:szCs w:val="24"/>
        </w:rPr>
        <w:t>1</w:t>
      </w:r>
      <w:r w:rsidR="00EB25A6" w:rsidRPr="00446A3C">
        <w:rPr>
          <w:szCs w:val="24"/>
          <w:vertAlign w:val="superscript"/>
        </w:rPr>
        <w:t>er</w:t>
      </w:r>
      <w:r w:rsidR="00BD79A1">
        <w:rPr>
          <w:szCs w:val="24"/>
        </w:rPr>
        <w:t> </w:t>
      </w:r>
      <w:r w:rsidR="00EB25A6" w:rsidRPr="00446A3C">
        <w:rPr>
          <w:szCs w:val="24"/>
        </w:rPr>
        <w:t>août</w:t>
      </w:r>
      <w:r w:rsidR="009B57B3" w:rsidRPr="00446A3C">
        <w:rPr>
          <w:szCs w:val="24"/>
        </w:rPr>
        <w:t>.</w:t>
      </w:r>
    </w:p>
    <w:p w:rsidR="008322BD" w:rsidRPr="00446A3C" w:rsidRDefault="009B57B3" w:rsidP="00A01F9E">
      <w:pPr>
        <w:spacing w:after="720"/>
        <w:jc w:val="both"/>
        <w:rPr>
          <w:szCs w:val="24"/>
        </w:rPr>
      </w:pPr>
      <w:r w:rsidRPr="00446A3C">
        <w:rPr>
          <w:szCs w:val="24"/>
        </w:rPr>
        <w:t>Pr</w:t>
      </w:r>
      <w:r w:rsidR="0043088E" w:rsidRPr="00446A3C">
        <w:rPr>
          <w:szCs w:val="24"/>
        </w:rPr>
        <w:t>é</w:t>
      </w:r>
      <w:r w:rsidRPr="00446A3C">
        <w:rPr>
          <w:szCs w:val="24"/>
        </w:rPr>
        <w:t>sent</w:t>
      </w:r>
      <w:r w:rsidR="008A6558" w:rsidRPr="00446A3C">
        <w:rPr>
          <w:szCs w:val="24"/>
        </w:rPr>
        <w:t>s</w:t>
      </w:r>
      <w:r w:rsidR="00A448E1" w:rsidRPr="00446A3C">
        <w:rPr>
          <w:szCs w:val="24"/>
        </w:rPr>
        <w:t> :</w:t>
      </w:r>
      <w:r w:rsidR="00C67CA5" w:rsidRPr="00446A3C">
        <w:rPr>
          <w:szCs w:val="24"/>
        </w:rPr>
        <w:t> </w:t>
      </w:r>
      <w:r w:rsidRPr="00446A3C">
        <w:rPr>
          <w:szCs w:val="24"/>
        </w:rPr>
        <w:t xml:space="preserve">Les juges </w:t>
      </w:r>
      <w:proofErr w:type="spellStart"/>
      <w:r w:rsidRPr="00446A3C">
        <w:rPr>
          <w:szCs w:val="24"/>
        </w:rPr>
        <w:t>LeBel</w:t>
      </w:r>
      <w:proofErr w:type="spellEnd"/>
      <w:r w:rsidRPr="00446A3C">
        <w:rPr>
          <w:szCs w:val="24"/>
        </w:rPr>
        <w:t xml:space="preserve">, Deschamps, Abella, </w:t>
      </w:r>
      <w:proofErr w:type="spellStart"/>
      <w:r w:rsidRPr="00446A3C">
        <w:rPr>
          <w:szCs w:val="24"/>
        </w:rPr>
        <w:t>Rothstein</w:t>
      </w:r>
      <w:proofErr w:type="spellEnd"/>
      <w:r w:rsidRPr="00446A3C">
        <w:rPr>
          <w:szCs w:val="24"/>
        </w:rPr>
        <w:t xml:space="preserve">, Cromwell, </w:t>
      </w:r>
      <w:proofErr w:type="spellStart"/>
      <w:r w:rsidRPr="00446A3C">
        <w:rPr>
          <w:szCs w:val="24"/>
        </w:rPr>
        <w:t>Moldaver</w:t>
      </w:r>
      <w:proofErr w:type="spellEnd"/>
      <w:r w:rsidRPr="00446A3C">
        <w:rPr>
          <w:szCs w:val="24"/>
        </w:rPr>
        <w:t xml:space="preserve"> et </w:t>
      </w:r>
      <w:proofErr w:type="spellStart"/>
      <w:r w:rsidRPr="00446A3C">
        <w:rPr>
          <w:szCs w:val="24"/>
        </w:rPr>
        <w:t>Karakatsanis</w:t>
      </w:r>
      <w:proofErr w:type="spellEnd"/>
      <w:r w:rsidRPr="00446A3C">
        <w:rPr>
          <w:szCs w:val="24"/>
        </w:rPr>
        <w:t>.</w:t>
      </w:r>
    </w:p>
    <w:p w:rsidR="008322BD" w:rsidRPr="00446A3C" w:rsidRDefault="00AC7437" w:rsidP="00A01F9E">
      <w:pPr>
        <w:pStyle w:val="SCCLowerCourtNameLowercase"/>
        <w:spacing w:after="720" w:line="240" w:lineRule="auto"/>
        <w:rPr>
          <w:szCs w:val="24"/>
        </w:rPr>
      </w:pPr>
      <w:r w:rsidRPr="00446A3C">
        <w:rPr>
          <w:szCs w:val="24"/>
        </w:rPr>
        <w:t>e</w:t>
      </w:r>
      <w:r w:rsidR="00855307" w:rsidRPr="00446A3C">
        <w:rPr>
          <w:szCs w:val="24"/>
        </w:rPr>
        <w:t>n</w:t>
      </w:r>
      <w:r w:rsidR="00224FC0" w:rsidRPr="00446A3C">
        <w:rPr>
          <w:szCs w:val="24"/>
        </w:rPr>
        <w:t xml:space="preserve"> </w:t>
      </w:r>
      <w:r w:rsidR="00855307" w:rsidRPr="00446A3C">
        <w:rPr>
          <w:szCs w:val="24"/>
        </w:rPr>
        <w:t>appel</w:t>
      </w:r>
      <w:r w:rsidR="00224FC0" w:rsidRPr="00446A3C">
        <w:rPr>
          <w:szCs w:val="24"/>
        </w:rPr>
        <w:t xml:space="preserve"> </w:t>
      </w:r>
      <w:r w:rsidR="00855307" w:rsidRPr="00446A3C">
        <w:rPr>
          <w:szCs w:val="24"/>
        </w:rPr>
        <w:t>de</w:t>
      </w:r>
      <w:r w:rsidR="0043088E" w:rsidRPr="00446A3C">
        <w:rPr>
          <w:szCs w:val="24"/>
        </w:rPr>
        <w:t xml:space="preserve"> </w:t>
      </w:r>
      <w:r w:rsidR="00855307" w:rsidRPr="00446A3C">
        <w:rPr>
          <w:szCs w:val="24"/>
        </w:rPr>
        <w:t>la</w:t>
      </w:r>
      <w:r w:rsidR="00224FC0" w:rsidRPr="00446A3C">
        <w:rPr>
          <w:szCs w:val="24"/>
        </w:rPr>
        <w:t xml:space="preserve"> </w:t>
      </w:r>
      <w:r w:rsidR="009B57B3" w:rsidRPr="00446A3C">
        <w:rPr>
          <w:szCs w:val="24"/>
        </w:rPr>
        <w:t>cour d</w:t>
      </w:r>
      <w:r w:rsidR="00096C17">
        <w:rPr>
          <w:szCs w:val="24"/>
        </w:rPr>
        <w:t>’</w:t>
      </w:r>
      <w:r w:rsidR="009B57B3" w:rsidRPr="00446A3C">
        <w:rPr>
          <w:szCs w:val="24"/>
        </w:rPr>
        <w:t>appel fédérale</w:t>
      </w:r>
    </w:p>
    <w:p w:rsidR="008322BD" w:rsidRPr="00446A3C" w:rsidRDefault="009B57B3" w:rsidP="003A5F1F">
      <w:pPr>
        <w:pStyle w:val="SCCNormalDoubleSpacing"/>
        <w:spacing w:after="480"/>
        <w:rPr>
          <w:szCs w:val="24"/>
          <w:lang w:val="fr-FR"/>
        </w:rPr>
      </w:pPr>
      <w:r w:rsidRPr="00446A3C">
        <w:rPr>
          <w:szCs w:val="24"/>
        </w:rPr>
        <w:tab/>
      </w:r>
      <w:r w:rsidR="00E41187" w:rsidRPr="00446A3C">
        <w:rPr>
          <w:i/>
          <w:szCs w:val="24"/>
        </w:rPr>
        <w:t xml:space="preserve">Droit fiscal — Impôt sur le revenu — </w:t>
      </w:r>
      <w:r w:rsidR="008A0091" w:rsidRPr="00446A3C">
        <w:rPr>
          <w:i/>
          <w:szCs w:val="24"/>
        </w:rPr>
        <w:t>Déduction des</w:t>
      </w:r>
      <w:r w:rsidR="00E80253" w:rsidRPr="00446A3C">
        <w:rPr>
          <w:i/>
          <w:szCs w:val="24"/>
        </w:rPr>
        <w:t xml:space="preserve"> pertes agricoles</w:t>
      </w:r>
      <w:r w:rsidR="00E41187" w:rsidRPr="00446A3C">
        <w:rPr>
          <w:i/>
          <w:szCs w:val="24"/>
        </w:rPr>
        <w:t xml:space="preserve"> — </w:t>
      </w:r>
      <w:r w:rsidR="00E80253" w:rsidRPr="00446A3C">
        <w:rPr>
          <w:i/>
          <w:szCs w:val="24"/>
        </w:rPr>
        <w:t xml:space="preserve">Revenu tiré par </w:t>
      </w:r>
      <w:r w:rsidR="00EB25A6" w:rsidRPr="00446A3C">
        <w:rPr>
          <w:i/>
          <w:szCs w:val="24"/>
        </w:rPr>
        <w:t>le</w:t>
      </w:r>
      <w:r w:rsidR="00E80253" w:rsidRPr="00446A3C">
        <w:rPr>
          <w:i/>
          <w:szCs w:val="24"/>
        </w:rPr>
        <w:t xml:space="preserve"> contribuable de l</w:t>
      </w:r>
      <w:r w:rsidR="00096C17">
        <w:rPr>
          <w:i/>
          <w:szCs w:val="24"/>
        </w:rPr>
        <w:t>’</w:t>
      </w:r>
      <w:r w:rsidR="00E80253" w:rsidRPr="00446A3C">
        <w:rPr>
          <w:i/>
          <w:szCs w:val="24"/>
        </w:rPr>
        <w:t>agriculture et d</w:t>
      </w:r>
      <w:r w:rsidR="00096C17">
        <w:rPr>
          <w:i/>
          <w:szCs w:val="24"/>
        </w:rPr>
        <w:t>’</w:t>
      </w:r>
      <w:r w:rsidR="00E80253" w:rsidRPr="00446A3C">
        <w:rPr>
          <w:i/>
          <w:szCs w:val="24"/>
        </w:rPr>
        <w:t>autres sources</w:t>
      </w:r>
      <w:r w:rsidR="00E41187" w:rsidRPr="00446A3C">
        <w:rPr>
          <w:i/>
          <w:szCs w:val="24"/>
        </w:rPr>
        <w:t xml:space="preserve"> — </w:t>
      </w:r>
      <w:r w:rsidR="00E80253" w:rsidRPr="00446A3C">
        <w:rPr>
          <w:i/>
          <w:szCs w:val="24"/>
        </w:rPr>
        <w:t xml:space="preserve">Pertes </w:t>
      </w:r>
      <w:r w:rsidR="00E80253" w:rsidRPr="00446A3C">
        <w:rPr>
          <w:i/>
          <w:szCs w:val="24"/>
        </w:rPr>
        <w:lastRenderedPageBreak/>
        <w:t xml:space="preserve">agricoles déduites par </w:t>
      </w:r>
      <w:r w:rsidR="00EB25A6" w:rsidRPr="00446A3C">
        <w:rPr>
          <w:i/>
          <w:szCs w:val="24"/>
        </w:rPr>
        <w:t>le</w:t>
      </w:r>
      <w:r w:rsidR="00E80253" w:rsidRPr="00446A3C">
        <w:rPr>
          <w:i/>
          <w:szCs w:val="24"/>
        </w:rPr>
        <w:t xml:space="preserve"> contribuable de son revenu total</w:t>
      </w:r>
      <w:r w:rsidR="00E41187" w:rsidRPr="00446A3C">
        <w:rPr>
          <w:i/>
          <w:szCs w:val="24"/>
        </w:rPr>
        <w:t xml:space="preserve"> — </w:t>
      </w:r>
      <w:r w:rsidR="00444125" w:rsidRPr="00446A3C">
        <w:rPr>
          <w:i/>
          <w:szCs w:val="24"/>
        </w:rPr>
        <w:t>La combinaison du revenu agricole et d</w:t>
      </w:r>
      <w:r w:rsidR="00096C17">
        <w:rPr>
          <w:i/>
          <w:szCs w:val="24"/>
        </w:rPr>
        <w:t>’</w:t>
      </w:r>
      <w:r w:rsidR="00444125" w:rsidRPr="00446A3C">
        <w:rPr>
          <w:i/>
          <w:szCs w:val="24"/>
        </w:rPr>
        <w:t xml:space="preserve">un autre revenu </w:t>
      </w:r>
      <w:proofErr w:type="spellStart"/>
      <w:r w:rsidR="00444125" w:rsidRPr="00446A3C">
        <w:rPr>
          <w:i/>
          <w:szCs w:val="24"/>
        </w:rPr>
        <w:t>constitue</w:t>
      </w:r>
      <w:r w:rsidR="00A448E1" w:rsidRPr="00446A3C">
        <w:rPr>
          <w:i/>
          <w:szCs w:val="24"/>
        </w:rPr>
        <w:noBreakHyphen/>
      </w:r>
      <w:r w:rsidR="00444125" w:rsidRPr="00446A3C">
        <w:rPr>
          <w:i/>
          <w:szCs w:val="24"/>
        </w:rPr>
        <w:t>t</w:t>
      </w:r>
      <w:r w:rsidR="00A448E1" w:rsidRPr="00446A3C">
        <w:rPr>
          <w:i/>
          <w:szCs w:val="24"/>
        </w:rPr>
        <w:noBreakHyphen/>
      </w:r>
      <w:r w:rsidR="00444125" w:rsidRPr="00446A3C">
        <w:rPr>
          <w:i/>
          <w:szCs w:val="24"/>
        </w:rPr>
        <w:t>elle</w:t>
      </w:r>
      <w:proofErr w:type="spellEnd"/>
      <w:r w:rsidR="00444125" w:rsidRPr="00446A3C">
        <w:rPr>
          <w:i/>
          <w:szCs w:val="24"/>
        </w:rPr>
        <w:t xml:space="preserve"> la principale source de revenu? </w:t>
      </w:r>
      <w:r w:rsidR="00E41187" w:rsidRPr="00446A3C">
        <w:rPr>
          <w:i/>
          <w:szCs w:val="24"/>
          <w:lang w:val="fr-FR"/>
        </w:rPr>
        <w:t xml:space="preserve">— </w:t>
      </w:r>
      <w:r w:rsidR="00EB25A6" w:rsidRPr="00446A3C">
        <w:rPr>
          <w:i/>
          <w:szCs w:val="24"/>
          <w:lang w:val="fr-FR"/>
        </w:rPr>
        <w:t xml:space="preserve">La totalité des pertes agricoles </w:t>
      </w:r>
      <w:proofErr w:type="spellStart"/>
      <w:r w:rsidR="00EB25A6" w:rsidRPr="00446A3C">
        <w:rPr>
          <w:i/>
          <w:szCs w:val="24"/>
          <w:lang w:val="fr-FR"/>
        </w:rPr>
        <w:t>est</w:t>
      </w:r>
      <w:r w:rsidR="00A448E1" w:rsidRPr="00446A3C">
        <w:rPr>
          <w:i/>
          <w:szCs w:val="24"/>
          <w:lang w:val="fr-FR"/>
        </w:rPr>
        <w:noBreakHyphen/>
      </w:r>
      <w:r w:rsidR="00EB25A6" w:rsidRPr="00446A3C">
        <w:rPr>
          <w:i/>
          <w:szCs w:val="24"/>
          <w:lang w:val="fr-FR"/>
        </w:rPr>
        <w:t>elle</w:t>
      </w:r>
      <w:proofErr w:type="spellEnd"/>
      <w:r w:rsidR="00EB25A6" w:rsidRPr="00446A3C">
        <w:rPr>
          <w:i/>
          <w:szCs w:val="24"/>
          <w:lang w:val="fr-FR"/>
        </w:rPr>
        <w:t xml:space="preserve"> </w:t>
      </w:r>
      <w:r w:rsidR="00444125" w:rsidRPr="00446A3C">
        <w:rPr>
          <w:i/>
          <w:szCs w:val="24"/>
          <w:lang w:val="fr-FR"/>
        </w:rPr>
        <w:t>dédu</w:t>
      </w:r>
      <w:r w:rsidR="00EB25A6" w:rsidRPr="00446A3C">
        <w:rPr>
          <w:i/>
          <w:szCs w:val="24"/>
          <w:lang w:val="fr-FR"/>
        </w:rPr>
        <w:t>ct</w:t>
      </w:r>
      <w:r w:rsidR="00444125" w:rsidRPr="00446A3C">
        <w:rPr>
          <w:i/>
          <w:szCs w:val="24"/>
          <w:lang w:val="fr-FR"/>
        </w:rPr>
        <w:t>i</w:t>
      </w:r>
      <w:r w:rsidR="00EB25A6" w:rsidRPr="00446A3C">
        <w:rPr>
          <w:i/>
          <w:szCs w:val="24"/>
          <w:lang w:val="fr-FR"/>
        </w:rPr>
        <w:t>bl</w:t>
      </w:r>
      <w:r w:rsidR="00444125" w:rsidRPr="00446A3C">
        <w:rPr>
          <w:i/>
          <w:szCs w:val="24"/>
          <w:lang w:val="fr-FR"/>
        </w:rPr>
        <w:t xml:space="preserve">e du revenu? </w:t>
      </w:r>
      <w:r w:rsidR="00A448E1" w:rsidRPr="00446A3C">
        <w:rPr>
          <w:i/>
          <w:szCs w:val="24"/>
        </w:rPr>
        <w:t>—</w:t>
      </w:r>
      <w:r w:rsidR="00E41187" w:rsidRPr="00446A3C">
        <w:rPr>
          <w:i/>
          <w:szCs w:val="24"/>
          <w:lang w:val="fr-FR"/>
        </w:rPr>
        <w:t xml:space="preserve"> </w:t>
      </w:r>
      <w:r w:rsidR="00E80253" w:rsidRPr="00446A3C">
        <w:rPr>
          <w:i/>
          <w:szCs w:val="24"/>
          <w:lang w:val="fr-FR"/>
        </w:rPr>
        <w:t>Loi de l</w:t>
      </w:r>
      <w:r w:rsidR="00096C17">
        <w:rPr>
          <w:i/>
          <w:szCs w:val="24"/>
          <w:lang w:val="fr-FR"/>
        </w:rPr>
        <w:t>’</w:t>
      </w:r>
      <w:r w:rsidR="00E80253" w:rsidRPr="00446A3C">
        <w:rPr>
          <w:i/>
          <w:szCs w:val="24"/>
          <w:lang w:val="fr-FR"/>
        </w:rPr>
        <w:t>impôt sur le revenu</w:t>
      </w:r>
      <w:r w:rsidR="00E41187" w:rsidRPr="00446A3C">
        <w:rPr>
          <w:i/>
          <w:iCs/>
          <w:szCs w:val="24"/>
          <w:lang w:val="fr-FR"/>
        </w:rPr>
        <w:t xml:space="preserve">, </w:t>
      </w:r>
      <w:r w:rsidR="00E80253" w:rsidRPr="00446A3C">
        <w:rPr>
          <w:i/>
          <w:iCs/>
          <w:szCs w:val="24"/>
          <w:lang w:val="fr-FR"/>
        </w:rPr>
        <w:t>L</w:t>
      </w:r>
      <w:r w:rsidR="00E41187" w:rsidRPr="00446A3C">
        <w:rPr>
          <w:i/>
          <w:iCs/>
          <w:szCs w:val="24"/>
          <w:lang w:val="fr-FR"/>
        </w:rPr>
        <w:t>.</w:t>
      </w:r>
      <w:r w:rsidR="00E80253" w:rsidRPr="00446A3C">
        <w:rPr>
          <w:i/>
          <w:iCs/>
          <w:szCs w:val="24"/>
          <w:lang w:val="fr-FR"/>
        </w:rPr>
        <w:t>R</w:t>
      </w:r>
      <w:r w:rsidR="00E41187" w:rsidRPr="00446A3C">
        <w:rPr>
          <w:i/>
          <w:iCs/>
          <w:szCs w:val="24"/>
          <w:lang w:val="fr-FR"/>
        </w:rPr>
        <w:t xml:space="preserve">.C. 1985, </w:t>
      </w:r>
      <w:r w:rsidR="00A448E1" w:rsidRPr="00446A3C">
        <w:rPr>
          <w:i/>
          <w:iCs/>
          <w:szCs w:val="24"/>
          <w:lang w:val="fr-FR"/>
        </w:rPr>
        <w:t>ch. </w:t>
      </w:r>
      <w:r w:rsidR="00E41187" w:rsidRPr="00446A3C">
        <w:rPr>
          <w:i/>
          <w:iCs/>
          <w:szCs w:val="24"/>
          <w:lang w:val="fr-FR"/>
        </w:rPr>
        <w:t>1 (5</w:t>
      </w:r>
      <w:r w:rsidR="003F437B" w:rsidRPr="00446A3C">
        <w:rPr>
          <w:i/>
          <w:iCs/>
          <w:szCs w:val="24"/>
          <w:vertAlign w:val="superscript"/>
          <w:lang w:val="fr-FR"/>
        </w:rPr>
        <w:t>e</w:t>
      </w:r>
      <w:r w:rsidR="003F437B" w:rsidRPr="00446A3C">
        <w:rPr>
          <w:i/>
          <w:iCs/>
          <w:szCs w:val="24"/>
          <w:lang w:val="fr-FR"/>
        </w:rPr>
        <w:t xml:space="preserve"> suppl</w:t>
      </w:r>
      <w:r w:rsidR="00E41187" w:rsidRPr="00446A3C">
        <w:rPr>
          <w:i/>
          <w:iCs/>
          <w:szCs w:val="24"/>
          <w:lang w:val="fr-FR"/>
        </w:rPr>
        <w:t xml:space="preserve">.), </w:t>
      </w:r>
      <w:r w:rsidR="00A448E1" w:rsidRPr="00446A3C">
        <w:rPr>
          <w:i/>
          <w:iCs/>
          <w:szCs w:val="24"/>
          <w:lang w:val="fr-FR"/>
        </w:rPr>
        <w:t>art. </w:t>
      </w:r>
      <w:r w:rsidR="00E41187" w:rsidRPr="00446A3C">
        <w:rPr>
          <w:i/>
          <w:iCs/>
          <w:szCs w:val="24"/>
          <w:lang w:val="fr-FR"/>
        </w:rPr>
        <w:t>31(1)a).</w:t>
      </w:r>
      <w:r w:rsidR="00E41187" w:rsidRPr="00446A3C">
        <w:rPr>
          <w:szCs w:val="24"/>
          <w:lang w:val="fr-FR"/>
        </w:rPr>
        <w:t xml:space="preserve"> </w:t>
      </w:r>
    </w:p>
    <w:p w:rsidR="00116487" w:rsidRPr="00446A3C" w:rsidRDefault="00116487" w:rsidP="003A5F1F">
      <w:pPr>
        <w:pStyle w:val="SCCNormalDoubleSpacing"/>
        <w:spacing w:after="480"/>
        <w:rPr>
          <w:szCs w:val="24"/>
          <w:lang w:val="fr-FR"/>
        </w:rPr>
      </w:pPr>
      <w:r w:rsidRPr="00446A3C">
        <w:rPr>
          <w:i/>
          <w:szCs w:val="24"/>
          <w:lang w:val="fr-FR"/>
        </w:rPr>
        <w:tab/>
      </w:r>
      <w:r w:rsidR="009F5A00" w:rsidRPr="00446A3C">
        <w:rPr>
          <w:i/>
          <w:szCs w:val="24"/>
          <w:lang w:val="fr-FR"/>
        </w:rPr>
        <w:t>Tribunaux</w:t>
      </w:r>
      <w:r w:rsidRPr="00446A3C">
        <w:rPr>
          <w:i/>
          <w:szCs w:val="24"/>
          <w:lang w:val="fr-FR"/>
        </w:rPr>
        <w:t xml:space="preserve"> — </w:t>
      </w:r>
      <w:r w:rsidR="009F5A00" w:rsidRPr="00446A3C">
        <w:rPr>
          <w:i/>
          <w:szCs w:val="24"/>
          <w:lang w:val="fr-FR"/>
        </w:rPr>
        <w:t>Décisions</w:t>
      </w:r>
      <w:r w:rsidRPr="00446A3C">
        <w:rPr>
          <w:i/>
          <w:szCs w:val="24"/>
          <w:lang w:val="fr-FR"/>
        </w:rPr>
        <w:t xml:space="preserve"> — </w:t>
      </w:r>
      <w:proofErr w:type="spellStart"/>
      <w:r w:rsidRPr="00446A3C">
        <w:rPr>
          <w:i/>
          <w:szCs w:val="24"/>
          <w:lang w:val="fr-FR"/>
        </w:rPr>
        <w:t>Stare</w:t>
      </w:r>
      <w:proofErr w:type="spellEnd"/>
      <w:r w:rsidRPr="00446A3C">
        <w:rPr>
          <w:i/>
          <w:szCs w:val="24"/>
          <w:lang w:val="fr-FR"/>
        </w:rPr>
        <w:t xml:space="preserve"> </w:t>
      </w:r>
      <w:proofErr w:type="spellStart"/>
      <w:r w:rsidRPr="00446A3C">
        <w:rPr>
          <w:i/>
          <w:szCs w:val="24"/>
          <w:lang w:val="fr-FR"/>
        </w:rPr>
        <w:t>decisis</w:t>
      </w:r>
      <w:proofErr w:type="spellEnd"/>
      <w:r w:rsidRPr="00446A3C">
        <w:rPr>
          <w:i/>
          <w:szCs w:val="24"/>
          <w:lang w:val="fr-FR"/>
        </w:rPr>
        <w:t xml:space="preserve"> — </w:t>
      </w:r>
      <w:r w:rsidR="009F5A00" w:rsidRPr="00446A3C">
        <w:rPr>
          <w:i/>
          <w:szCs w:val="24"/>
          <w:lang w:val="fr-FR"/>
        </w:rPr>
        <w:t xml:space="preserve">Les cours inférieures </w:t>
      </w:r>
      <w:proofErr w:type="spellStart"/>
      <w:r w:rsidR="009F5A00" w:rsidRPr="00446A3C">
        <w:rPr>
          <w:i/>
          <w:szCs w:val="24"/>
          <w:lang w:val="fr-FR"/>
        </w:rPr>
        <w:t>peuvent</w:t>
      </w:r>
      <w:r w:rsidR="00A448E1" w:rsidRPr="00446A3C">
        <w:rPr>
          <w:i/>
          <w:szCs w:val="24"/>
          <w:lang w:val="fr-FR"/>
        </w:rPr>
        <w:noBreakHyphen/>
      </w:r>
      <w:r w:rsidR="009F5A00" w:rsidRPr="00446A3C">
        <w:rPr>
          <w:i/>
          <w:szCs w:val="24"/>
          <w:lang w:val="fr-FR"/>
        </w:rPr>
        <w:t>elles</w:t>
      </w:r>
      <w:proofErr w:type="spellEnd"/>
      <w:r w:rsidR="009F5A00" w:rsidRPr="00446A3C">
        <w:rPr>
          <w:i/>
          <w:szCs w:val="24"/>
          <w:lang w:val="fr-FR"/>
        </w:rPr>
        <w:t xml:space="preserve"> écarter un précédent établi par une cour supérieure? </w:t>
      </w:r>
      <w:r w:rsidRPr="00446A3C">
        <w:rPr>
          <w:i/>
          <w:szCs w:val="24"/>
          <w:lang w:val="fr-FR"/>
        </w:rPr>
        <w:t xml:space="preserve">— </w:t>
      </w:r>
      <w:r w:rsidR="009F5A00" w:rsidRPr="00446A3C">
        <w:rPr>
          <w:i/>
          <w:szCs w:val="24"/>
          <w:lang w:val="fr-FR"/>
        </w:rPr>
        <w:t>Circonstances dans lesquelles les arrêts antérieurs de la Cour suprême sont réexaminés ou révisés</w:t>
      </w:r>
      <w:r w:rsidRPr="00446A3C">
        <w:rPr>
          <w:i/>
          <w:szCs w:val="24"/>
          <w:lang w:val="fr-FR"/>
        </w:rPr>
        <w:t>.</w:t>
      </w:r>
    </w:p>
    <w:p w:rsidR="00DC3E45" w:rsidRPr="00446A3C" w:rsidRDefault="009B57B3" w:rsidP="00E576B4">
      <w:pPr>
        <w:pStyle w:val="SCCNormalDoubleSpacing"/>
        <w:spacing w:after="480"/>
        <w:rPr>
          <w:lang w:val="fr-FR"/>
        </w:rPr>
      </w:pPr>
      <w:r w:rsidRPr="00446A3C">
        <w:rPr>
          <w:lang w:val="fr-FR"/>
        </w:rPr>
        <w:tab/>
      </w:r>
      <w:r w:rsidR="00DC3E45" w:rsidRPr="00446A3C">
        <w:rPr>
          <w:lang w:val="fr-FR"/>
        </w:rPr>
        <w:t>Le paragraphe</w:t>
      </w:r>
      <w:r w:rsidR="00A448E1" w:rsidRPr="00446A3C">
        <w:rPr>
          <w:lang w:val="fr-FR"/>
        </w:rPr>
        <w:t> </w:t>
      </w:r>
      <w:r w:rsidR="00DC3E45" w:rsidRPr="00446A3C">
        <w:rPr>
          <w:lang w:val="fr-FR"/>
        </w:rPr>
        <w:t xml:space="preserve">31(1) de la </w:t>
      </w:r>
      <w:r w:rsidR="00DC3E45" w:rsidRPr="00446A3C">
        <w:rPr>
          <w:i/>
          <w:lang w:val="fr-FR"/>
        </w:rPr>
        <w:t>Loi de l</w:t>
      </w:r>
      <w:r w:rsidR="00096C17">
        <w:rPr>
          <w:i/>
          <w:lang w:val="fr-FR"/>
        </w:rPr>
        <w:t>’</w:t>
      </w:r>
      <w:r w:rsidR="00DC3E45" w:rsidRPr="00446A3C">
        <w:rPr>
          <w:i/>
          <w:lang w:val="fr-FR"/>
        </w:rPr>
        <w:t xml:space="preserve">impôt sur le revenu </w:t>
      </w:r>
      <w:r w:rsidR="00206678" w:rsidRPr="00446A3C">
        <w:rPr>
          <w:lang w:val="fr-FR"/>
        </w:rPr>
        <w:t>limite l</w:t>
      </w:r>
      <w:r w:rsidR="006E55F6" w:rsidRPr="00446A3C">
        <w:rPr>
          <w:lang w:val="fr-FR"/>
        </w:rPr>
        <w:t>a déductibilité d</w:t>
      </w:r>
      <w:r w:rsidR="00206678" w:rsidRPr="00446A3C">
        <w:rPr>
          <w:lang w:val="fr-FR"/>
        </w:rPr>
        <w:t>es pertes « </w:t>
      </w:r>
      <w:r w:rsidR="00DC3E45" w:rsidRPr="00446A3C">
        <w:rPr>
          <w:lang w:val="fr-FR"/>
        </w:rPr>
        <w:t>[</w:t>
      </w:r>
      <w:r w:rsidR="00DE7669" w:rsidRPr="00446A3C">
        <w:rPr>
          <w:lang w:val="fr-FR"/>
        </w:rPr>
        <w:t>l</w:t>
      </w:r>
      <w:r w:rsidR="00DC3E45" w:rsidRPr="00446A3C">
        <w:rPr>
          <w:lang w:val="fr-FR"/>
        </w:rPr>
        <w:t>]</w:t>
      </w:r>
      <w:proofErr w:type="spellStart"/>
      <w:r w:rsidR="00DE7669" w:rsidRPr="00446A3C">
        <w:rPr>
          <w:lang w:val="fr-FR"/>
        </w:rPr>
        <w:t>orsque</w:t>
      </w:r>
      <w:proofErr w:type="spellEnd"/>
      <w:r w:rsidR="00DE7669" w:rsidRPr="00446A3C">
        <w:rPr>
          <w:lang w:val="fr-FR"/>
        </w:rPr>
        <w:t xml:space="preserve"> </w:t>
      </w:r>
      <w:r w:rsidR="00DE7669" w:rsidRPr="00446A3C">
        <w:t>le revenu d</w:t>
      </w:r>
      <w:r w:rsidR="00096C17">
        <w:t>’</w:t>
      </w:r>
      <w:r w:rsidR="00DE7669" w:rsidRPr="00446A3C">
        <w:t>un contribuable, pour une année d</w:t>
      </w:r>
      <w:r w:rsidR="00096C17">
        <w:t>’</w:t>
      </w:r>
      <w:r w:rsidR="00DE7669" w:rsidRPr="00446A3C">
        <w:t>imposition, ne provient principalement ni de l</w:t>
      </w:r>
      <w:r w:rsidR="00096C17">
        <w:t>’</w:t>
      </w:r>
      <w:r w:rsidR="00DE7669" w:rsidRPr="00446A3C">
        <w:t>agriculture ni d</w:t>
      </w:r>
      <w:r w:rsidR="00096C17">
        <w:t>’</w:t>
      </w:r>
      <w:r w:rsidR="00DE7669" w:rsidRPr="00446A3C">
        <w:t>une combinaison de l</w:t>
      </w:r>
      <w:r w:rsidR="00096C17">
        <w:t>’</w:t>
      </w:r>
      <w:r w:rsidR="00DE7669" w:rsidRPr="00446A3C">
        <w:t>agriculture et de quelque autre source</w:t>
      </w:r>
      <w:r w:rsidR="00DE7669" w:rsidRPr="00446A3C">
        <w:rPr>
          <w:lang w:val="fr-FR"/>
        </w:rPr>
        <w:t xml:space="preserve"> ». </w:t>
      </w:r>
      <w:r w:rsidR="00EB25A6" w:rsidRPr="00446A3C">
        <w:rPr>
          <w:lang w:val="fr-FR"/>
        </w:rPr>
        <w:t xml:space="preserve"> </w:t>
      </w:r>
      <w:r w:rsidR="00916544" w:rsidRPr="00446A3C">
        <w:rPr>
          <w:lang w:val="fr-FR"/>
        </w:rPr>
        <w:t>Notre Cour a conclu d</w:t>
      </w:r>
      <w:r w:rsidR="00DE7669" w:rsidRPr="00446A3C">
        <w:rPr>
          <w:lang w:val="fr-FR"/>
        </w:rPr>
        <w:t xml:space="preserve">ans </w:t>
      </w:r>
      <w:proofErr w:type="spellStart"/>
      <w:r w:rsidR="00DE7669" w:rsidRPr="00446A3C">
        <w:rPr>
          <w:i/>
          <w:lang w:val="fr-FR"/>
        </w:rPr>
        <w:t>Moldowan</w:t>
      </w:r>
      <w:proofErr w:type="spellEnd"/>
      <w:r w:rsidR="00DE7669" w:rsidRPr="00446A3C">
        <w:rPr>
          <w:lang w:val="fr-FR"/>
        </w:rPr>
        <w:t xml:space="preserve"> </w:t>
      </w:r>
      <w:r w:rsidR="00DE7669" w:rsidRPr="00446A3C">
        <w:rPr>
          <w:i/>
          <w:lang w:val="fr-FR"/>
        </w:rPr>
        <w:t>c. La Reine</w:t>
      </w:r>
      <w:r w:rsidR="00DE7669" w:rsidRPr="00446A3C">
        <w:rPr>
          <w:lang w:val="fr-FR"/>
        </w:rPr>
        <w:t xml:space="preserve">, [1978] 1 R.C.S. 480, </w:t>
      </w:r>
      <w:r w:rsidR="009C651C" w:rsidRPr="00446A3C">
        <w:rPr>
          <w:lang w:val="fr-FR"/>
        </w:rPr>
        <w:t>qu</w:t>
      </w:r>
      <w:r w:rsidR="00096C17">
        <w:rPr>
          <w:lang w:val="fr-FR"/>
        </w:rPr>
        <w:t>’</w:t>
      </w:r>
      <w:r w:rsidR="009C651C" w:rsidRPr="00446A3C">
        <w:rPr>
          <w:lang w:val="fr-FR"/>
        </w:rPr>
        <w:t xml:space="preserve">une version antérieure du </w:t>
      </w:r>
      <w:r w:rsidR="00A448E1" w:rsidRPr="00446A3C">
        <w:rPr>
          <w:lang w:val="fr-FR"/>
        </w:rPr>
        <w:t>par. </w:t>
      </w:r>
      <w:r w:rsidR="00DC3E45" w:rsidRPr="00446A3C">
        <w:rPr>
          <w:lang w:val="fr-FR"/>
        </w:rPr>
        <w:t xml:space="preserve">31(1) </w:t>
      </w:r>
      <w:r w:rsidR="009C651C" w:rsidRPr="00446A3C">
        <w:rPr>
          <w:lang w:val="fr-FR"/>
        </w:rPr>
        <w:t xml:space="preserve">envisageait trois catégories de contribuables agriculteurs. </w:t>
      </w:r>
      <w:r w:rsidR="00EB25A6" w:rsidRPr="00446A3C">
        <w:rPr>
          <w:lang w:val="fr-FR"/>
        </w:rPr>
        <w:t xml:space="preserve"> </w:t>
      </w:r>
      <w:r w:rsidR="009C651C" w:rsidRPr="00446A3C">
        <w:rPr>
          <w:lang w:val="fr-FR"/>
        </w:rPr>
        <w:t>La première catégorie regroupe les contribuables qui tirent la plus grande partie de leur revenu de l</w:t>
      </w:r>
      <w:r w:rsidR="00096C17">
        <w:rPr>
          <w:lang w:val="fr-FR"/>
        </w:rPr>
        <w:t>’</w:t>
      </w:r>
      <w:r w:rsidR="009C651C" w:rsidRPr="00446A3C">
        <w:rPr>
          <w:lang w:val="fr-FR"/>
        </w:rPr>
        <w:t>agriculture ou pour qui l</w:t>
      </w:r>
      <w:r w:rsidR="00096C17">
        <w:rPr>
          <w:lang w:val="fr-FR"/>
        </w:rPr>
        <w:t>’</w:t>
      </w:r>
      <w:r w:rsidR="009C651C" w:rsidRPr="00446A3C">
        <w:rPr>
          <w:lang w:val="fr-FR"/>
        </w:rPr>
        <w:t xml:space="preserve">agriculture constitue le centre de leur travail habituel. </w:t>
      </w:r>
      <w:r w:rsidR="00EB25A6" w:rsidRPr="00446A3C">
        <w:rPr>
          <w:lang w:val="fr-FR"/>
        </w:rPr>
        <w:t xml:space="preserve"> </w:t>
      </w:r>
      <w:r w:rsidR="009C651C" w:rsidRPr="00446A3C">
        <w:rPr>
          <w:lang w:val="fr-FR"/>
        </w:rPr>
        <w:t>Cette catégorie n</w:t>
      </w:r>
      <w:r w:rsidR="00096C17">
        <w:rPr>
          <w:lang w:val="fr-FR"/>
        </w:rPr>
        <w:t>’</w:t>
      </w:r>
      <w:r w:rsidR="009C651C" w:rsidRPr="00446A3C">
        <w:rPr>
          <w:lang w:val="fr-FR"/>
        </w:rPr>
        <w:t>est assujettie à aucune limite pour ce qui est des pertes déductibles</w:t>
      </w:r>
      <w:r w:rsidR="00DC3E45" w:rsidRPr="00446A3C">
        <w:rPr>
          <w:lang w:val="fr-FR"/>
        </w:rPr>
        <w:t xml:space="preserve">. </w:t>
      </w:r>
      <w:r w:rsidR="00EB25A6" w:rsidRPr="00446A3C">
        <w:rPr>
          <w:lang w:val="fr-FR"/>
        </w:rPr>
        <w:t xml:space="preserve"> </w:t>
      </w:r>
      <w:r w:rsidR="009C651C" w:rsidRPr="00446A3C">
        <w:rPr>
          <w:lang w:val="fr-FR"/>
        </w:rPr>
        <w:t xml:space="preserve">La deuxième catégorie est formée des contribuables </w:t>
      </w:r>
      <w:r w:rsidR="007A48F4" w:rsidRPr="00446A3C">
        <w:t>qui ne considèrent pas l</w:t>
      </w:r>
      <w:r w:rsidR="00096C17">
        <w:t>’</w:t>
      </w:r>
      <w:r w:rsidR="007A48F4" w:rsidRPr="00446A3C">
        <w:t>agriculture, ou l</w:t>
      </w:r>
      <w:r w:rsidR="00096C17">
        <w:t>’</w:t>
      </w:r>
      <w:r w:rsidR="007A48F4" w:rsidRPr="00446A3C">
        <w:t xml:space="preserve">agriculture et une source secondaire de revenu, comme leur </w:t>
      </w:r>
      <w:proofErr w:type="spellStart"/>
      <w:r w:rsidR="007A48F4" w:rsidRPr="00446A3C">
        <w:t>gagne</w:t>
      </w:r>
      <w:r w:rsidR="00A448E1" w:rsidRPr="00446A3C">
        <w:noBreakHyphen/>
      </w:r>
      <w:r w:rsidR="007A48F4" w:rsidRPr="00446A3C">
        <w:t>pain</w:t>
      </w:r>
      <w:proofErr w:type="spellEnd"/>
      <w:r w:rsidR="007A48F4" w:rsidRPr="00446A3C">
        <w:t xml:space="preserve"> mais pour qui l</w:t>
      </w:r>
      <w:r w:rsidR="00096C17">
        <w:t>’</w:t>
      </w:r>
      <w:r w:rsidR="007A48F4" w:rsidRPr="00446A3C">
        <w:t>exploitation</w:t>
      </w:r>
      <w:r w:rsidR="007A48F4" w:rsidRPr="00446A3C">
        <w:rPr>
          <w:lang w:val="fr-FR"/>
        </w:rPr>
        <w:t xml:space="preserve"> d</w:t>
      </w:r>
      <w:r w:rsidR="00096C17">
        <w:rPr>
          <w:lang w:val="fr-FR"/>
        </w:rPr>
        <w:t>’</w:t>
      </w:r>
      <w:r w:rsidR="007A48F4" w:rsidRPr="00446A3C">
        <w:rPr>
          <w:lang w:val="fr-FR"/>
        </w:rPr>
        <w:t xml:space="preserve">une ferme est une entreprise secondaire. </w:t>
      </w:r>
      <w:r w:rsidR="00EB25A6" w:rsidRPr="00446A3C">
        <w:rPr>
          <w:lang w:val="fr-FR"/>
        </w:rPr>
        <w:t xml:space="preserve"> </w:t>
      </w:r>
      <w:r w:rsidR="007A48F4" w:rsidRPr="00446A3C">
        <w:rPr>
          <w:lang w:val="fr-FR"/>
        </w:rPr>
        <w:t xml:space="preserve">Le </w:t>
      </w:r>
      <w:r w:rsidR="0016192D">
        <w:rPr>
          <w:lang w:val="fr-FR"/>
        </w:rPr>
        <w:t>paragraphe</w:t>
      </w:r>
      <w:r w:rsidR="00A448E1" w:rsidRPr="00446A3C">
        <w:rPr>
          <w:lang w:val="fr-FR"/>
        </w:rPr>
        <w:t> </w:t>
      </w:r>
      <w:r w:rsidR="00DC3E45" w:rsidRPr="00446A3C">
        <w:rPr>
          <w:lang w:val="fr-FR"/>
        </w:rPr>
        <w:t>31(1)</w:t>
      </w:r>
      <w:r w:rsidR="007A48F4" w:rsidRPr="00446A3C">
        <w:rPr>
          <w:lang w:val="fr-FR"/>
        </w:rPr>
        <w:t xml:space="preserve"> limite les pertes que </w:t>
      </w:r>
      <w:r w:rsidR="00A72874" w:rsidRPr="00446A3C">
        <w:rPr>
          <w:lang w:val="fr-FR"/>
        </w:rPr>
        <w:t xml:space="preserve">peuvent déduire </w:t>
      </w:r>
      <w:r w:rsidR="007A48F4" w:rsidRPr="00446A3C">
        <w:rPr>
          <w:lang w:val="fr-FR"/>
        </w:rPr>
        <w:t>les contribuables de cette catégorie</w:t>
      </w:r>
      <w:r w:rsidR="00DC3E45" w:rsidRPr="00446A3C">
        <w:rPr>
          <w:lang w:val="fr-FR"/>
        </w:rPr>
        <w:t xml:space="preserve">. </w:t>
      </w:r>
      <w:r w:rsidR="00EB25A6" w:rsidRPr="00446A3C">
        <w:rPr>
          <w:lang w:val="fr-FR"/>
        </w:rPr>
        <w:t xml:space="preserve"> </w:t>
      </w:r>
      <w:r w:rsidR="007A48F4" w:rsidRPr="00446A3C">
        <w:rPr>
          <w:lang w:val="fr-FR"/>
        </w:rPr>
        <w:t xml:space="preserve">La troisième catégorie se compose des contribuables qui poursuivent certaines activités </w:t>
      </w:r>
      <w:r w:rsidR="007A48F4" w:rsidRPr="00446A3C">
        <w:rPr>
          <w:lang w:val="fr-FR"/>
        </w:rPr>
        <w:lastRenderedPageBreak/>
        <w:t xml:space="preserve">agricoles comme </w:t>
      </w:r>
      <w:proofErr w:type="spellStart"/>
      <w:r w:rsidR="007A48F4" w:rsidRPr="00446A3C">
        <w:rPr>
          <w:lang w:val="fr-FR"/>
        </w:rPr>
        <w:t>passe</w:t>
      </w:r>
      <w:r w:rsidR="00A448E1" w:rsidRPr="00446A3C">
        <w:rPr>
          <w:lang w:val="fr-FR"/>
        </w:rPr>
        <w:noBreakHyphen/>
      </w:r>
      <w:r w:rsidR="007A48F4" w:rsidRPr="00446A3C">
        <w:rPr>
          <w:lang w:val="fr-FR"/>
        </w:rPr>
        <w:t>temps</w:t>
      </w:r>
      <w:proofErr w:type="spellEnd"/>
      <w:r w:rsidR="007A48F4" w:rsidRPr="00446A3C">
        <w:rPr>
          <w:lang w:val="fr-FR"/>
        </w:rPr>
        <w:t xml:space="preserve">, et non comme entreprise, et dont les pertes ne sont pas déductibles, </w:t>
      </w:r>
      <w:r w:rsidR="00112F5D" w:rsidRPr="00446A3C">
        <w:rPr>
          <w:lang w:val="fr-FR"/>
        </w:rPr>
        <w:t>quel qu</w:t>
      </w:r>
      <w:r w:rsidR="00096C17">
        <w:rPr>
          <w:lang w:val="fr-FR"/>
        </w:rPr>
        <w:t>’</w:t>
      </w:r>
      <w:r w:rsidR="00112F5D" w:rsidRPr="00446A3C">
        <w:rPr>
          <w:lang w:val="fr-FR"/>
        </w:rPr>
        <w:t xml:space="preserve">en soit </w:t>
      </w:r>
      <w:r w:rsidR="007A48F4" w:rsidRPr="00446A3C">
        <w:rPr>
          <w:lang w:val="fr-FR"/>
        </w:rPr>
        <w:t>le montant</w:t>
      </w:r>
      <w:r w:rsidR="00DC3E45" w:rsidRPr="00446A3C">
        <w:rPr>
          <w:lang w:val="fr-FR"/>
        </w:rPr>
        <w:t>.</w:t>
      </w:r>
    </w:p>
    <w:p w:rsidR="002562A8" w:rsidRPr="00446A3C" w:rsidRDefault="002562A8" w:rsidP="00E576B4">
      <w:pPr>
        <w:pStyle w:val="SCCNormalDoubleSpacing"/>
        <w:spacing w:after="480"/>
        <w:rPr>
          <w:szCs w:val="24"/>
          <w:lang w:val="fr-FR"/>
        </w:rPr>
      </w:pPr>
      <w:r w:rsidRPr="00446A3C">
        <w:rPr>
          <w:szCs w:val="24"/>
          <w:lang w:val="fr-FR"/>
        </w:rPr>
        <w:tab/>
      </w:r>
      <w:r w:rsidRPr="00E576B4">
        <w:rPr>
          <w:lang w:val="fr-FR"/>
        </w:rPr>
        <w:t>Dans</w:t>
      </w:r>
      <w:r w:rsidRPr="00446A3C">
        <w:rPr>
          <w:szCs w:val="24"/>
          <w:lang w:val="fr-FR"/>
        </w:rPr>
        <w:t xml:space="preserve"> </w:t>
      </w:r>
      <w:r w:rsidRPr="00446A3C">
        <w:rPr>
          <w:i/>
          <w:szCs w:val="24"/>
          <w:lang w:val="fr-FR"/>
        </w:rPr>
        <w:t>Gunn c. Canada</w:t>
      </w:r>
      <w:r w:rsidRPr="00446A3C">
        <w:rPr>
          <w:szCs w:val="24"/>
          <w:lang w:val="fr-FR"/>
        </w:rPr>
        <w:t>, 2006 CAF 281, [2007] 3 R.C.F. 5</w:t>
      </w:r>
      <w:r w:rsidR="00EB25A6" w:rsidRPr="00446A3C">
        <w:rPr>
          <w:szCs w:val="24"/>
          <w:lang w:val="fr-FR"/>
        </w:rPr>
        <w:t>7, la Cour d</w:t>
      </w:r>
      <w:r w:rsidR="00096C17">
        <w:rPr>
          <w:szCs w:val="24"/>
          <w:lang w:val="fr-FR"/>
        </w:rPr>
        <w:t>’</w:t>
      </w:r>
      <w:r w:rsidR="00EB25A6" w:rsidRPr="00446A3C">
        <w:rPr>
          <w:szCs w:val="24"/>
          <w:lang w:val="fr-FR"/>
        </w:rPr>
        <w:t>appel fédérale</w:t>
      </w:r>
      <w:r w:rsidR="0068639C" w:rsidRPr="00446A3C">
        <w:rPr>
          <w:szCs w:val="24"/>
          <w:lang w:val="fr-FR"/>
        </w:rPr>
        <w:t xml:space="preserve"> a adopté une interprétation plus libérale de ce qui pourrait constituer une combinaison d</w:t>
      </w:r>
      <w:r w:rsidR="00EB25A6" w:rsidRPr="00446A3C">
        <w:rPr>
          <w:szCs w:val="24"/>
          <w:lang w:val="fr-FR"/>
        </w:rPr>
        <w:t>e l</w:t>
      </w:r>
      <w:r w:rsidR="00096C17">
        <w:rPr>
          <w:szCs w:val="24"/>
          <w:lang w:val="fr-FR"/>
        </w:rPr>
        <w:t>’</w:t>
      </w:r>
      <w:r w:rsidR="0068639C" w:rsidRPr="00446A3C">
        <w:rPr>
          <w:szCs w:val="24"/>
          <w:lang w:val="fr-FR"/>
        </w:rPr>
        <w:t>agriculture et d</w:t>
      </w:r>
      <w:r w:rsidR="00096C17">
        <w:rPr>
          <w:szCs w:val="24"/>
          <w:lang w:val="fr-FR"/>
        </w:rPr>
        <w:t>’</w:t>
      </w:r>
      <w:r w:rsidR="0068639C" w:rsidRPr="00446A3C">
        <w:rPr>
          <w:szCs w:val="24"/>
          <w:lang w:val="fr-FR"/>
        </w:rPr>
        <w:t xml:space="preserve">une autre source de revenu. </w:t>
      </w:r>
    </w:p>
    <w:p w:rsidR="0068639C" w:rsidRPr="00446A3C" w:rsidRDefault="00034555" w:rsidP="00E576B4">
      <w:pPr>
        <w:pStyle w:val="SCCNormalDoubleSpacing"/>
        <w:spacing w:after="480"/>
        <w:rPr>
          <w:szCs w:val="24"/>
          <w:lang w:val="fr-FR"/>
        </w:rPr>
      </w:pPr>
      <w:r w:rsidRPr="00446A3C">
        <w:rPr>
          <w:szCs w:val="24"/>
          <w:lang w:val="fr-FR"/>
        </w:rPr>
        <w:tab/>
      </w:r>
      <w:r w:rsidR="0068639C" w:rsidRPr="00446A3C">
        <w:rPr>
          <w:szCs w:val="24"/>
          <w:lang w:val="fr-FR"/>
        </w:rPr>
        <w:t xml:space="preserve">En </w:t>
      </w:r>
      <w:r w:rsidR="0068639C" w:rsidRPr="00E576B4">
        <w:rPr>
          <w:lang w:val="fr-FR"/>
        </w:rPr>
        <w:t>l</w:t>
      </w:r>
      <w:r w:rsidR="00096C17" w:rsidRPr="00E576B4">
        <w:rPr>
          <w:lang w:val="fr-FR"/>
        </w:rPr>
        <w:t>’</w:t>
      </w:r>
      <w:r w:rsidR="0068639C" w:rsidRPr="00E576B4">
        <w:rPr>
          <w:lang w:val="fr-FR"/>
        </w:rPr>
        <w:t>espèce</w:t>
      </w:r>
      <w:r w:rsidR="0068639C" w:rsidRPr="00446A3C">
        <w:rPr>
          <w:szCs w:val="24"/>
          <w:lang w:val="fr-FR"/>
        </w:rPr>
        <w:t>, l</w:t>
      </w:r>
      <w:r w:rsidR="00096C17">
        <w:rPr>
          <w:szCs w:val="24"/>
          <w:lang w:val="fr-FR"/>
        </w:rPr>
        <w:t>’</w:t>
      </w:r>
      <w:r w:rsidR="0068639C" w:rsidRPr="00446A3C">
        <w:rPr>
          <w:szCs w:val="24"/>
          <w:lang w:val="fr-FR"/>
        </w:rPr>
        <w:t>exercice de la profession d</w:t>
      </w:r>
      <w:r w:rsidR="00096C17">
        <w:rPr>
          <w:szCs w:val="24"/>
          <w:lang w:val="fr-FR"/>
        </w:rPr>
        <w:t>’</w:t>
      </w:r>
      <w:r w:rsidR="0068639C" w:rsidRPr="00446A3C">
        <w:rPr>
          <w:szCs w:val="24"/>
          <w:lang w:val="fr-FR"/>
        </w:rPr>
        <w:t xml:space="preserve">avocat était la principale source de </w:t>
      </w:r>
      <w:r w:rsidR="00EB25A6" w:rsidRPr="00446A3C">
        <w:rPr>
          <w:szCs w:val="24"/>
          <w:lang w:val="fr-FR"/>
        </w:rPr>
        <w:t xml:space="preserve">revenu de </w:t>
      </w:r>
      <w:r w:rsidR="0068639C" w:rsidRPr="00446A3C">
        <w:rPr>
          <w:szCs w:val="24"/>
          <w:lang w:val="fr-FR"/>
        </w:rPr>
        <w:t xml:space="preserve">C. </w:t>
      </w:r>
      <w:r w:rsidR="00EB25A6" w:rsidRPr="00446A3C">
        <w:rPr>
          <w:szCs w:val="24"/>
          <w:lang w:val="fr-FR"/>
        </w:rPr>
        <w:t xml:space="preserve"> </w:t>
      </w:r>
      <w:r w:rsidR="0068639C" w:rsidRPr="00446A3C">
        <w:rPr>
          <w:szCs w:val="24"/>
          <w:lang w:val="fr-FR"/>
        </w:rPr>
        <w:t xml:space="preserve">Il </w:t>
      </w:r>
      <w:r w:rsidR="0068639C" w:rsidRPr="00446A3C">
        <w:rPr>
          <w:szCs w:val="24"/>
        </w:rPr>
        <w:t>avait en outre des revenus de placements, avait réalisé des gains en exerçant des options d</w:t>
      </w:r>
      <w:r w:rsidR="00096C17">
        <w:rPr>
          <w:szCs w:val="24"/>
        </w:rPr>
        <w:t>’</w:t>
      </w:r>
      <w:r w:rsidR="0068639C" w:rsidRPr="00446A3C">
        <w:rPr>
          <w:szCs w:val="24"/>
        </w:rPr>
        <w:t>achat d</w:t>
      </w:r>
      <w:r w:rsidR="00096C17">
        <w:rPr>
          <w:szCs w:val="24"/>
        </w:rPr>
        <w:t>’</w:t>
      </w:r>
      <w:r w:rsidR="0068639C" w:rsidRPr="00446A3C">
        <w:rPr>
          <w:szCs w:val="24"/>
        </w:rPr>
        <w:t xml:space="preserve">actions et </w:t>
      </w:r>
      <w:r w:rsidR="00AC233B" w:rsidRPr="00446A3C">
        <w:rPr>
          <w:szCs w:val="24"/>
        </w:rPr>
        <w:t xml:space="preserve">tirait un revenu de </w:t>
      </w:r>
      <w:r w:rsidR="0068639C" w:rsidRPr="00446A3C">
        <w:rPr>
          <w:szCs w:val="24"/>
        </w:rPr>
        <w:t>l</w:t>
      </w:r>
      <w:r w:rsidR="00096C17">
        <w:rPr>
          <w:szCs w:val="24"/>
        </w:rPr>
        <w:t>’</w:t>
      </w:r>
      <w:r w:rsidR="0068639C" w:rsidRPr="00446A3C">
        <w:rPr>
          <w:szCs w:val="24"/>
        </w:rPr>
        <w:t>agriculture (vente, achat, entraînement et entretien de chevaux de course).  Il a déduit les pertes de l</w:t>
      </w:r>
      <w:r w:rsidR="00096C17">
        <w:rPr>
          <w:szCs w:val="24"/>
        </w:rPr>
        <w:t>’</w:t>
      </w:r>
      <w:r w:rsidR="0068639C" w:rsidRPr="00446A3C">
        <w:rPr>
          <w:szCs w:val="24"/>
        </w:rPr>
        <w:t xml:space="preserve">entreprise de chevaux de course de ses autres revenus en </w:t>
      </w:r>
      <w:r w:rsidR="009605FD" w:rsidRPr="00446A3C">
        <w:rPr>
          <w:szCs w:val="24"/>
        </w:rPr>
        <w:t xml:space="preserve">2000 et en 2001. </w:t>
      </w:r>
      <w:r w:rsidR="00A448E1" w:rsidRPr="00446A3C">
        <w:rPr>
          <w:szCs w:val="24"/>
        </w:rPr>
        <w:t xml:space="preserve"> </w:t>
      </w:r>
      <w:r w:rsidR="009605FD" w:rsidRPr="00446A3C">
        <w:rPr>
          <w:szCs w:val="24"/>
        </w:rPr>
        <w:t xml:space="preserve">Se fondant sur </w:t>
      </w:r>
      <w:proofErr w:type="spellStart"/>
      <w:r w:rsidR="0068639C" w:rsidRPr="00446A3C">
        <w:rPr>
          <w:i/>
          <w:szCs w:val="24"/>
        </w:rPr>
        <w:t>Moldowan</w:t>
      </w:r>
      <w:proofErr w:type="spellEnd"/>
      <w:r w:rsidR="0068639C" w:rsidRPr="00446A3C">
        <w:rPr>
          <w:szCs w:val="24"/>
        </w:rPr>
        <w:t>,</w:t>
      </w:r>
      <w:r w:rsidR="009605FD" w:rsidRPr="00446A3C">
        <w:rPr>
          <w:szCs w:val="24"/>
        </w:rPr>
        <w:t xml:space="preserve"> le ministre</w:t>
      </w:r>
      <w:r w:rsidR="007028C4" w:rsidRPr="00446A3C">
        <w:rPr>
          <w:szCs w:val="24"/>
        </w:rPr>
        <w:t xml:space="preserve"> a établi un nouvel avis de </w:t>
      </w:r>
      <w:r w:rsidR="009605FD" w:rsidRPr="00446A3C">
        <w:rPr>
          <w:szCs w:val="24"/>
        </w:rPr>
        <w:t>cotisation et limité les pertes déductibles parce que la combinaison de l</w:t>
      </w:r>
      <w:r w:rsidR="00096C17">
        <w:rPr>
          <w:szCs w:val="24"/>
        </w:rPr>
        <w:t>’</w:t>
      </w:r>
      <w:r w:rsidR="009605FD" w:rsidRPr="00446A3C">
        <w:rPr>
          <w:szCs w:val="24"/>
        </w:rPr>
        <w:t>exercice du droit et de l</w:t>
      </w:r>
      <w:r w:rsidR="00096C17">
        <w:rPr>
          <w:szCs w:val="24"/>
        </w:rPr>
        <w:t>’</w:t>
      </w:r>
      <w:r w:rsidR="009605FD" w:rsidRPr="00446A3C">
        <w:rPr>
          <w:szCs w:val="24"/>
        </w:rPr>
        <w:t xml:space="preserve">entreprise de chevaux de course </w:t>
      </w:r>
      <w:r w:rsidR="00192448" w:rsidRPr="00446A3C">
        <w:rPr>
          <w:szCs w:val="24"/>
        </w:rPr>
        <w:t xml:space="preserve">ne constituait pas la principale source de revenu de C. </w:t>
      </w:r>
      <w:r w:rsidR="0068639C" w:rsidRPr="00446A3C">
        <w:rPr>
          <w:szCs w:val="24"/>
          <w:lang w:val="fr-FR"/>
        </w:rPr>
        <w:t xml:space="preserve"> </w:t>
      </w:r>
      <w:r w:rsidR="00853F11" w:rsidRPr="00446A3C">
        <w:rPr>
          <w:szCs w:val="24"/>
          <w:lang w:val="fr-FR"/>
        </w:rPr>
        <w:t>L</w:t>
      </w:r>
      <w:r w:rsidR="00E308C3" w:rsidRPr="00446A3C">
        <w:rPr>
          <w:szCs w:val="24"/>
          <w:lang w:val="fr-FR"/>
        </w:rPr>
        <w:t xml:space="preserve">e juge de première instance </w:t>
      </w:r>
      <w:r w:rsidR="00853F11" w:rsidRPr="00446A3C">
        <w:rPr>
          <w:szCs w:val="24"/>
          <w:lang w:val="fr-FR"/>
        </w:rPr>
        <w:t xml:space="preserve">a appliqué </w:t>
      </w:r>
      <w:r w:rsidR="00853F11" w:rsidRPr="00446A3C">
        <w:rPr>
          <w:i/>
          <w:szCs w:val="24"/>
          <w:lang w:val="fr-FR"/>
        </w:rPr>
        <w:t>Gunn</w:t>
      </w:r>
      <w:r w:rsidR="00853F11" w:rsidRPr="00446A3C">
        <w:rPr>
          <w:szCs w:val="24"/>
          <w:lang w:val="fr-FR"/>
        </w:rPr>
        <w:t xml:space="preserve"> et </w:t>
      </w:r>
      <w:r w:rsidR="00E308C3" w:rsidRPr="00446A3C">
        <w:rPr>
          <w:szCs w:val="24"/>
          <w:lang w:val="fr-FR"/>
        </w:rPr>
        <w:t>accueilli l</w:t>
      </w:r>
      <w:r w:rsidR="00096C17">
        <w:rPr>
          <w:szCs w:val="24"/>
          <w:lang w:val="fr-FR"/>
        </w:rPr>
        <w:t>’</w:t>
      </w:r>
      <w:r w:rsidR="00E308C3" w:rsidRPr="00446A3C">
        <w:rPr>
          <w:szCs w:val="24"/>
          <w:lang w:val="fr-FR"/>
        </w:rPr>
        <w:t xml:space="preserve">appel </w:t>
      </w:r>
      <w:r w:rsidR="00853F11" w:rsidRPr="00446A3C">
        <w:rPr>
          <w:szCs w:val="24"/>
          <w:lang w:val="fr-FR"/>
        </w:rPr>
        <w:t xml:space="preserve">de </w:t>
      </w:r>
      <w:r w:rsidR="00E308C3" w:rsidRPr="00446A3C">
        <w:rPr>
          <w:szCs w:val="24"/>
          <w:lang w:val="fr-FR"/>
        </w:rPr>
        <w:t xml:space="preserve">C, </w:t>
      </w:r>
      <w:r w:rsidR="00853F11" w:rsidRPr="00446A3C">
        <w:rPr>
          <w:szCs w:val="24"/>
          <w:lang w:val="fr-FR"/>
        </w:rPr>
        <w:t xml:space="preserve">concluant </w:t>
      </w:r>
      <w:r w:rsidR="00853F11" w:rsidRPr="00446A3C">
        <w:rPr>
          <w:szCs w:val="24"/>
        </w:rPr>
        <w:t>qu</w:t>
      </w:r>
      <w:r w:rsidR="00096C17">
        <w:rPr>
          <w:szCs w:val="24"/>
        </w:rPr>
        <w:t>’</w:t>
      </w:r>
      <w:r w:rsidR="00853F11" w:rsidRPr="00446A3C">
        <w:rPr>
          <w:szCs w:val="24"/>
        </w:rPr>
        <w:t>il n</w:t>
      </w:r>
      <w:r w:rsidR="00096C17">
        <w:rPr>
          <w:szCs w:val="24"/>
        </w:rPr>
        <w:t>’</w:t>
      </w:r>
      <w:r w:rsidR="00853F11" w:rsidRPr="00446A3C">
        <w:rPr>
          <w:szCs w:val="24"/>
        </w:rPr>
        <w:t xml:space="preserve">y avait pas lieu de limiter la déductibilité des pertes agricoles sous le régime du </w:t>
      </w:r>
      <w:r w:rsidR="00A448E1" w:rsidRPr="00446A3C">
        <w:rPr>
          <w:szCs w:val="24"/>
        </w:rPr>
        <w:t>par. </w:t>
      </w:r>
      <w:r w:rsidR="00853F11" w:rsidRPr="00446A3C">
        <w:rPr>
          <w:szCs w:val="24"/>
        </w:rPr>
        <w:t>31(1).</w:t>
      </w:r>
      <w:r w:rsidR="0068639C" w:rsidRPr="00446A3C">
        <w:rPr>
          <w:szCs w:val="24"/>
          <w:lang w:val="fr-FR"/>
        </w:rPr>
        <w:t xml:space="preserve"> </w:t>
      </w:r>
      <w:r w:rsidR="00EB25A6" w:rsidRPr="00446A3C">
        <w:rPr>
          <w:szCs w:val="24"/>
          <w:lang w:val="fr-FR"/>
        </w:rPr>
        <w:t xml:space="preserve"> </w:t>
      </w:r>
      <w:r w:rsidR="00853F11" w:rsidRPr="00446A3C">
        <w:rPr>
          <w:szCs w:val="24"/>
          <w:lang w:val="fr-FR"/>
        </w:rPr>
        <w:t>La Cour d</w:t>
      </w:r>
      <w:r w:rsidR="00096C17">
        <w:rPr>
          <w:szCs w:val="24"/>
          <w:lang w:val="fr-FR"/>
        </w:rPr>
        <w:t>’</w:t>
      </w:r>
      <w:r w:rsidR="00853F11" w:rsidRPr="00446A3C">
        <w:rPr>
          <w:szCs w:val="24"/>
          <w:lang w:val="fr-FR"/>
        </w:rPr>
        <w:t>appel fédérale a rejeté l</w:t>
      </w:r>
      <w:r w:rsidR="00096C17">
        <w:rPr>
          <w:szCs w:val="24"/>
          <w:lang w:val="fr-FR"/>
        </w:rPr>
        <w:t>’</w:t>
      </w:r>
      <w:r w:rsidR="00853F11" w:rsidRPr="00446A3C">
        <w:rPr>
          <w:szCs w:val="24"/>
          <w:lang w:val="fr-FR"/>
        </w:rPr>
        <w:t>appel du ministre</w:t>
      </w:r>
      <w:r w:rsidR="0068639C" w:rsidRPr="00446A3C">
        <w:rPr>
          <w:szCs w:val="24"/>
          <w:lang w:val="fr-FR"/>
        </w:rPr>
        <w:t xml:space="preserve">, </w:t>
      </w:r>
      <w:r w:rsidR="00853F11" w:rsidRPr="00446A3C">
        <w:rPr>
          <w:szCs w:val="24"/>
        </w:rPr>
        <w:t>jugeant qu</w:t>
      </w:r>
      <w:r w:rsidR="00096C17">
        <w:rPr>
          <w:szCs w:val="24"/>
        </w:rPr>
        <w:t>’</w:t>
      </w:r>
      <w:r w:rsidR="00853F11" w:rsidRPr="00446A3C">
        <w:rPr>
          <w:szCs w:val="24"/>
        </w:rPr>
        <w:t>elle était tenue de suivre la décision qu</w:t>
      </w:r>
      <w:r w:rsidR="00096C17">
        <w:rPr>
          <w:szCs w:val="24"/>
        </w:rPr>
        <w:t>’</w:t>
      </w:r>
      <w:r w:rsidR="00853F11" w:rsidRPr="00446A3C">
        <w:rPr>
          <w:szCs w:val="24"/>
        </w:rPr>
        <w:t xml:space="preserve">elle avait rendue dans </w:t>
      </w:r>
      <w:r w:rsidR="00853F11" w:rsidRPr="00446A3C">
        <w:rPr>
          <w:i/>
          <w:szCs w:val="24"/>
        </w:rPr>
        <w:t>Gunn</w:t>
      </w:r>
      <w:r w:rsidR="0068639C" w:rsidRPr="00446A3C">
        <w:rPr>
          <w:szCs w:val="24"/>
          <w:lang w:val="fr-FR"/>
        </w:rPr>
        <w:t>.</w:t>
      </w:r>
    </w:p>
    <w:p w:rsidR="008322BD" w:rsidRPr="00446A3C" w:rsidRDefault="009B57B3" w:rsidP="00E576B4">
      <w:pPr>
        <w:pStyle w:val="SCCNormalDoubleSpacing"/>
        <w:spacing w:after="480"/>
        <w:rPr>
          <w:szCs w:val="24"/>
        </w:rPr>
      </w:pPr>
      <w:r w:rsidRPr="00446A3C">
        <w:rPr>
          <w:szCs w:val="24"/>
          <w:lang w:val="fr-FR"/>
        </w:rPr>
        <w:tab/>
      </w:r>
      <w:r w:rsidR="0043088E" w:rsidRPr="00446A3C">
        <w:rPr>
          <w:i/>
          <w:szCs w:val="24"/>
        </w:rPr>
        <w:t>Arrêt</w:t>
      </w:r>
      <w:r w:rsidR="00A448E1" w:rsidRPr="00446A3C">
        <w:rPr>
          <w:szCs w:val="24"/>
        </w:rPr>
        <w:t> :</w:t>
      </w:r>
      <w:r w:rsidRPr="00446A3C">
        <w:rPr>
          <w:szCs w:val="24"/>
        </w:rPr>
        <w:t xml:space="preserve"> </w:t>
      </w:r>
      <w:r w:rsidR="0043088E" w:rsidRPr="00446A3C">
        <w:rPr>
          <w:szCs w:val="24"/>
        </w:rPr>
        <w:t>Le pourvoi est</w:t>
      </w:r>
      <w:r w:rsidR="002562A8" w:rsidRPr="00446A3C">
        <w:rPr>
          <w:szCs w:val="24"/>
        </w:rPr>
        <w:t xml:space="preserve"> rejeté.</w:t>
      </w:r>
    </w:p>
    <w:p w:rsidR="00916544" w:rsidRPr="00446A3C" w:rsidRDefault="009B57B3" w:rsidP="00E576B4">
      <w:pPr>
        <w:pStyle w:val="SCCNormalDoubleSpacing"/>
        <w:spacing w:after="480"/>
        <w:rPr>
          <w:szCs w:val="24"/>
          <w:u w:val="single"/>
          <w:lang w:val="fr-FR"/>
        </w:rPr>
      </w:pPr>
      <w:r w:rsidRPr="00446A3C">
        <w:rPr>
          <w:szCs w:val="24"/>
        </w:rPr>
        <w:lastRenderedPageBreak/>
        <w:tab/>
      </w:r>
      <w:proofErr w:type="spellStart"/>
      <w:r w:rsidR="00916544" w:rsidRPr="00446A3C">
        <w:rPr>
          <w:i/>
          <w:szCs w:val="24"/>
          <w:lang w:val="fr-FR"/>
        </w:rPr>
        <w:t>Moldowan</w:t>
      </w:r>
      <w:proofErr w:type="spellEnd"/>
      <w:r w:rsidR="00916544" w:rsidRPr="00446A3C">
        <w:rPr>
          <w:szCs w:val="24"/>
          <w:lang w:val="fr-FR"/>
        </w:rPr>
        <w:t xml:space="preserve"> </w:t>
      </w:r>
      <w:r w:rsidR="006E15D1" w:rsidRPr="00446A3C">
        <w:rPr>
          <w:szCs w:val="24"/>
          <w:lang w:val="fr-FR"/>
        </w:rPr>
        <w:t xml:space="preserve">était un </w:t>
      </w:r>
      <w:r w:rsidR="006E15D1" w:rsidRPr="00E576B4">
        <w:rPr>
          <w:lang w:val="fr-FR"/>
        </w:rPr>
        <w:t>précédent</w:t>
      </w:r>
      <w:r w:rsidR="006E15D1" w:rsidRPr="00446A3C">
        <w:rPr>
          <w:szCs w:val="24"/>
          <w:lang w:val="fr-FR"/>
        </w:rPr>
        <w:t xml:space="preserve"> ayant force obligatoire et les juridictions inférieures</w:t>
      </w:r>
      <w:r w:rsidR="001F5E91" w:rsidRPr="00446A3C">
        <w:rPr>
          <w:szCs w:val="24"/>
          <w:lang w:val="fr-FR"/>
        </w:rPr>
        <w:t xml:space="preserve"> </w:t>
      </w:r>
      <w:r w:rsidR="006E15D1" w:rsidRPr="00446A3C">
        <w:rPr>
          <w:szCs w:val="24"/>
          <w:lang w:val="fr-FR"/>
        </w:rPr>
        <w:t xml:space="preserve">auraient dû se contenter </w:t>
      </w:r>
      <w:r w:rsidR="00463CD4" w:rsidRPr="00446A3C">
        <w:rPr>
          <w:szCs w:val="24"/>
        </w:rPr>
        <w:t>d</w:t>
      </w:r>
      <w:r w:rsidR="00096C17">
        <w:rPr>
          <w:szCs w:val="24"/>
        </w:rPr>
        <w:t>’</w:t>
      </w:r>
      <w:r w:rsidR="00463CD4" w:rsidRPr="00446A3C">
        <w:rPr>
          <w:szCs w:val="24"/>
        </w:rPr>
        <w:t>exposer dans leurs motifs ce qu</w:t>
      </w:r>
      <w:r w:rsidR="00096C17">
        <w:rPr>
          <w:szCs w:val="24"/>
        </w:rPr>
        <w:t>’</w:t>
      </w:r>
      <w:r w:rsidR="00463CD4" w:rsidRPr="00446A3C">
        <w:rPr>
          <w:szCs w:val="24"/>
        </w:rPr>
        <w:t xml:space="preserve">elles considéraient problématique dans </w:t>
      </w:r>
      <w:r w:rsidR="006E15D1" w:rsidRPr="00446A3C">
        <w:rPr>
          <w:szCs w:val="24"/>
          <w:lang w:val="fr-FR"/>
        </w:rPr>
        <w:t>cet arrêt</w:t>
      </w:r>
      <w:r w:rsidR="00FD12FD" w:rsidRPr="00446A3C">
        <w:rPr>
          <w:szCs w:val="24"/>
          <w:lang w:val="fr-FR"/>
        </w:rPr>
        <w:t xml:space="preserve"> au lieu de l</w:t>
      </w:r>
      <w:r w:rsidR="00096C17">
        <w:rPr>
          <w:szCs w:val="24"/>
          <w:lang w:val="fr-FR"/>
        </w:rPr>
        <w:t>’</w:t>
      </w:r>
      <w:r w:rsidR="00FD12FD" w:rsidRPr="00446A3C">
        <w:rPr>
          <w:szCs w:val="24"/>
          <w:lang w:val="fr-FR"/>
        </w:rPr>
        <w:t>écarter</w:t>
      </w:r>
      <w:r w:rsidR="006E15D1" w:rsidRPr="00446A3C">
        <w:rPr>
          <w:szCs w:val="24"/>
          <w:lang w:val="fr-FR"/>
        </w:rPr>
        <w:t>.</w:t>
      </w:r>
      <w:r w:rsidR="00FD12FD" w:rsidRPr="00446A3C">
        <w:rPr>
          <w:szCs w:val="24"/>
          <w:lang w:val="fr-FR"/>
        </w:rPr>
        <w:t xml:space="preserve">  Notre Cour peut cependant écarter ses propres décisions.  S</w:t>
      </w:r>
      <w:r w:rsidR="00096C17">
        <w:rPr>
          <w:szCs w:val="24"/>
          <w:lang w:val="fr-FR"/>
        </w:rPr>
        <w:t>’</w:t>
      </w:r>
      <w:r w:rsidR="00463CD4" w:rsidRPr="00446A3C">
        <w:rPr>
          <w:szCs w:val="24"/>
          <w:lang w:val="fr-FR"/>
        </w:rPr>
        <w:t>il ne convient pas d</w:t>
      </w:r>
      <w:r w:rsidR="00096C17">
        <w:rPr>
          <w:szCs w:val="24"/>
          <w:lang w:val="fr-FR"/>
        </w:rPr>
        <w:t>’</w:t>
      </w:r>
      <w:r w:rsidR="00463CD4" w:rsidRPr="00446A3C">
        <w:rPr>
          <w:szCs w:val="24"/>
          <w:lang w:val="fr-FR"/>
        </w:rPr>
        <w:t>écarter un précédent de notre Cour à la légère</w:t>
      </w:r>
      <w:r w:rsidR="00916544" w:rsidRPr="00446A3C">
        <w:rPr>
          <w:szCs w:val="24"/>
          <w:lang w:val="fr-FR"/>
        </w:rPr>
        <w:t xml:space="preserve">, </w:t>
      </w:r>
      <w:r w:rsidR="00463CD4" w:rsidRPr="00446A3C">
        <w:rPr>
          <w:szCs w:val="24"/>
        </w:rPr>
        <w:t>la démarche relative à la question de la combinaison suivie dans l</w:t>
      </w:r>
      <w:r w:rsidR="00096C17">
        <w:rPr>
          <w:szCs w:val="24"/>
        </w:rPr>
        <w:t>’</w:t>
      </w:r>
      <w:r w:rsidR="00463CD4" w:rsidRPr="00446A3C">
        <w:rPr>
          <w:szCs w:val="24"/>
        </w:rPr>
        <w:t xml:space="preserve">arrêt </w:t>
      </w:r>
      <w:proofErr w:type="spellStart"/>
      <w:r w:rsidR="00463CD4" w:rsidRPr="00446A3C">
        <w:rPr>
          <w:i/>
          <w:szCs w:val="24"/>
        </w:rPr>
        <w:t>Moldowan</w:t>
      </w:r>
      <w:proofErr w:type="spellEnd"/>
      <w:r w:rsidR="00463CD4" w:rsidRPr="00446A3C">
        <w:rPr>
          <w:szCs w:val="24"/>
        </w:rPr>
        <w:t xml:space="preserve"> est </w:t>
      </w:r>
      <w:proofErr w:type="gramStart"/>
      <w:r w:rsidR="00463CD4" w:rsidRPr="00446A3C">
        <w:rPr>
          <w:szCs w:val="24"/>
        </w:rPr>
        <w:t>incorrecte</w:t>
      </w:r>
      <w:proofErr w:type="gramEnd"/>
      <w:r w:rsidR="00463CD4" w:rsidRPr="00446A3C">
        <w:rPr>
          <w:szCs w:val="24"/>
        </w:rPr>
        <w:t xml:space="preserve"> et il convient que notre Cour réexamine l</w:t>
      </w:r>
      <w:r w:rsidR="00096C17">
        <w:rPr>
          <w:szCs w:val="24"/>
        </w:rPr>
        <w:t>’</w:t>
      </w:r>
      <w:r w:rsidR="00463CD4" w:rsidRPr="00446A3C">
        <w:rPr>
          <w:szCs w:val="24"/>
        </w:rPr>
        <w:t>interprétation de l</w:t>
      </w:r>
      <w:r w:rsidR="00096C17">
        <w:rPr>
          <w:szCs w:val="24"/>
        </w:rPr>
        <w:t>’</w:t>
      </w:r>
      <w:r w:rsidR="00A448E1" w:rsidRPr="00446A3C">
        <w:rPr>
          <w:szCs w:val="24"/>
        </w:rPr>
        <w:t>art. </w:t>
      </w:r>
      <w:r w:rsidR="00463CD4" w:rsidRPr="00446A3C">
        <w:rPr>
          <w:szCs w:val="24"/>
        </w:rPr>
        <w:t xml:space="preserve">31. </w:t>
      </w:r>
      <w:r w:rsidR="00916544" w:rsidRPr="00446A3C">
        <w:rPr>
          <w:szCs w:val="24"/>
          <w:lang w:val="fr-FR"/>
        </w:rPr>
        <w:t xml:space="preserve"> </w:t>
      </w:r>
      <w:r w:rsidR="00A448E1" w:rsidRPr="00446A3C">
        <w:rPr>
          <w:szCs w:val="24"/>
          <w:lang w:val="fr-FR"/>
        </w:rPr>
        <w:t>Le paragraphe </w:t>
      </w:r>
      <w:r w:rsidR="00916544" w:rsidRPr="00446A3C">
        <w:rPr>
          <w:szCs w:val="24"/>
          <w:lang w:val="fr-FR"/>
        </w:rPr>
        <w:t xml:space="preserve">31(1) </w:t>
      </w:r>
      <w:r w:rsidR="00FD12FD" w:rsidRPr="00446A3C">
        <w:rPr>
          <w:szCs w:val="24"/>
          <w:lang w:val="fr-FR"/>
        </w:rPr>
        <w:t xml:space="preserve">prévoit </w:t>
      </w:r>
      <w:r w:rsidR="00463CD4" w:rsidRPr="00446A3C">
        <w:rPr>
          <w:szCs w:val="24"/>
        </w:rPr>
        <w:t>deux exceptions distinctes à la déductibilité limitée des pertes agricoles.</w:t>
      </w:r>
      <w:r w:rsidR="00A448E1" w:rsidRPr="00446A3C">
        <w:rPr>
          <w:szCs w:val="24"/>
        </w:rPr>
        <w:t xml:space="preserve"> </w:t>
      </w:r>
      <w:r w:rsidR="00463CD4" w:rsidRPr="00446A3C">
        <w:rPr>
          <w:szCs w:val="24"/>
        </w:rPr>
        <w:t xml:space="preserve"> </w:t>
      </w:r>
      <w:r w:rsidR="00463CD4" w:rsidRPr="00446A3C">
        <w:rPr>
          <w:szCs w:val="24"/>
          <w:lang w:val="fr-FR"/>
        </w:rPr>
        <w:t xml:space="preserve">Une règle jurisprudentielle excluant du </w:t>
      </w:r>
      <w:r w:rsidR="00A448E1" w:rsidRPr="00446A3C">
        <w:rPr>
          <w:szCs w:val="24"/>
          <w:lang w:val="fr-FR"/>
        </w:rPr>
        <w:t>par. </w:t>
      </w:r>
      <w:r w:rsidR="00463CD4" w:rsidRPr="00446A3C">
        <w:rPr>
          <w:szCs w:val="24"/>
          <w:lang w:val="fr-FR"/>
        </w:rPr>
        <w:t>31(1) l</w:t>
      </w:r>
      <w:r w:rsidR="00096C17">
        <w:rPr>
          <w:szCs w:val="24"/>
          <w:lang w:val="fr-FR"/>
        </w:rPr>
        <w:t>’</w:t>
      </w:r>
      <w:r w:rsidR="00463CD4" w:rsidRPr="00446A3C">
        <w:rPr>
          <w:szCs w:val="24"/>
          <w:lang w:val="fr-FR"/>
        </w:rPr>
        <w:t>une des exceptions ne peut être maintenue</w:t>
      </w:r>
      <w:r w:rsidR="00916544" w:rsidRPr="00446A3C">
        <w:rPr>
          <w:szCs w:val="24"/>
          <w:lang w:val="fr-FR"/>
        </w:rPr>
        <w:t xml:space="preserve">. </w:t>
      </w:r>
    </w:p>
    <w:p w:rsidR="00916544" w:rsidRPr="00446A3C" w:rsidRDefault="00916544" w:rsidP="00E576B4">
      <w:pPr>
        <w:pStyle w:val="SCCNormalDoubleSpacing"/>
        <w:spacing w:after="480"/>
        <w:rPr>
          <w:szCs w:val="24"/>
          <w:lang w:val="fr-FR"/>
        </w:rPr>
      </w:pPr>
      <w:r w:rsidRPr="00446A3C">
        <w:rPr>
          <w:szCs w:val="24"/>
          <w:lang w:val="fr-FR"/>
        </w:rPr>
        <w:tab/>
      </w:r>
      <w:r w:rsidR="00421968" w:rsidRPr="00446A3C">
        <w:rPr>
          <w:szCs w:val="24"/>
        </w:rPr>
        <w:t xml:space="preserve">Les </w:t>
      </w:r>
      <w:r w:rsidR="00421968" w:rsidRPr="00E576B4">
        <w:rPr>
          <w:lang w:val="fr-FR"/>
        </w:rPr>
        <w:t>facteurs</w:t>
      </w:r>
      <w:r w:rsidR="00421968" w:rsidRPr="00446A3C">
        <w:rPr>
          <w:szCs w:val="24"/>
        </w:rPr>
        <w:t xml:space="preserve"> à prendre en compte dans l</w:t>
      </w:r>
      <w:r w:rsidR="00096C17">
        <w:rPr>
          <w:szCs w:val="24"/>
        </w:rPr>
        <w:t>’</w:t>
      </w:r>
      <w:r w:rsidR="00421968" w:rsidRPr="00446A3C">
        <w:rPr>
          <w:szCs w:val="24"/>
        </w:rPr>
        <w:t>analyse contextuelle sont le capital investi dans l</w:t>
      </w:r>
      <w:r w:rsidR="00096C17">
        <w:rPr>
          <w:szCs w:val="24"/>
        </w:rPr>
        <w:t>’</w:t>
      </w:r>
      <w:r w:rsidR="00421968" w:rsidRPr="00446A3C">
        <w:rPr>
          <w:szCs w:val="24"/>
        </w:rPr>
        <w:t>entreprise agricole et dans la deuxième source de revenu, le revenu tiré de chacune des deux sources, le temps consacré aux deux sources de revenu et le mode de vie ordinaire du contribuable, son expérience de l</w:t>
      </w:r>
      <w:r w:rsidR="00096C17">
        <w:rPr>
          <w:szCs w:val="24"/>
        </w:rPr>
        <w:t>’</w:t>
      </w:r>
      <w:r w:rsidR="00421968" w:rsidRPr="00446A3C">
        <w:rPr>
          <w:szCs w:val="24"/>
        </w:rPr>
        <w:t>agriculture et ses intentions et attentes.</w:t>
      </w:r>
      <w:r w:rsidRPr="00446A3C">
        <w:rPr>
          <w:szCs w:val="24"/>
          <w:lang w:val="fr-FR"/>
        </w:rPr>
        <w:t xml:space="preserve">  </w:t>
      </w:r>
      <w:r w:rsidR="001F5E91" w:rsidRPr="00446A3C">
        <w:rPr>
          <w:szCs w:val="24"/>
        </w:rPr>
        <w:t>Si ces facteurs tendent à démontrer que le contribuable accorde une importance considérable tant à son entreprise agricole qu</w:t>
      </w:r>
      <w:r w:rsidR="00096C17">
        <w:rPr>
          <w:szCs w:val="24"/>
        </w:rPr>
        <w:t>’</w:t>
      </w:r>
      <w:r w:rsidR="00787E61" w:rsidRPr="00446A3C">
        <w:rPr>
          <w:szCs w:val="24"/>
        </w:rPr>
        <w:t>aux sources de revenu non agricoles</w:t>
      </w:r>
      <w:r w:rsidR="001F5E91" w:rsidRPr="00446A3C">
        <w:rPr>
          <w:szCs w:val="24"/>
        </w:rPr>
        <w:t>, il n</w:t>
      </w:r>
      <w:r w:rsidR="00096C17">
        <w:rPr>
          <w:szCs w:val="24"/>
        </w:rPr>
        <w:t>’</w:t>
      </w:r>
      <w:r w:rsidR="001F5E91" w:rsidRPr="00446A3C">
        <w:rPr>
          <w:szCs w:val="24"/>
        </w:rPr>
        <w:t>y a pas de raison de considérer qu</w:t>
      </w:r>
      <w:r w:rsidR="00096C17">
        <w:rPr>
          <w:szCs w:val="24"/>
        </w:rPr>
        <w:t>’</w:t>
      </w:r>
      <w:r w:rsidR="001F5E91" w:rsidRPr="00446A3C">
        <w:rPr>
          <w:szCs w:val="24"/>
        </w:rPr>
        <w:t>une telle combinaison ne constitue pas une source principale de revenu permettant d</w:t>
      </w:r>
      <w:r w:rsidR="00096C17">
        <w:rPr>
          <w:szCs w:val="24"/>
        </w:rPr>
        <w:t>’</w:t>
      </w:r>
      <w:r w:rsidR="001F5E91" w:rsidRPr="00446A3C">
        <w:rPr>
          <w:szCs w:val="24"/>
        </w:rPr>
        <w:t xml:space="preserve">échapper à la déductibilité limitée des pertes agricoles prévue au </w:t>
      </w:r>
      <w:r w:rsidR="00A448E1" w:rsidRPr="00446A3C">
        <w:rPr>
          <w:szCs w:val="24"/>
        </w:rPr>
        <w:t>par. </w:t>
      </w:r>
      <w:r w:rsidR="001F5E91" w:rsidRPr="00446A3C">
        <w:rPr>
          <w:szCs w:val="24"/>
        </w:rPr>
        <w:t>31(1).</w:t>
      </w:r>
      <w:r w:rsidR="00386D71" w:rsidRPr="00446A3C">
        <w:rPr>
          <w:szCs w:val="24"/>
        </w:rPr>
        <w:t xml:space="preserve"> </w:t>
      </w:r>
      <w:r w:rsidRPr="00446A3C">
        <w:rPr>
          <w:szCs w:val="24"/>
        </w:rPr>
        <w:t xml:space="preserve"> </w:t>
      </w:r>
      <w:r w:rsidR="00386D71" w:rsidRPr="00446A3C">
        <w:rPr>
          <w:szCs w:val="24"/>
        </w:rPr>
        <w:t>Ces deux activités doivent constituer des activités importantes du contribuable</w:t>
      </w:r>
      <w:r w:rsidRPr="00446A3C">
        <w:rPr>
          <w:szCs w:val="24"/>
        </w:rPr>
        <w:t>,</w:t>
      </w:r>
      <w:r w:rsidR="00386D71" w:rsidRPr="00446A3C">
        <w:rPr>
          <w:szCs w:val="24"/>
        </w:rPr>
        <w:t xml:space="preserve"> mais elles n</w:t>
      </w:r>
      <w:r w:rsidR="00096C17">
        <w:rPr>
          <w:szCs w:val="24"/>
        </w:rPr>
        <w:t>’</w:t>
      </w:r>
      <w:r w:rsidR="00386D71" w:rsidRPr="00446A3C">
        <w:rPr>
          <w:szCs w:val="24"/>
        </w:rPr>
        <w:t>ont pas à être reliées entre elles</w:t>
      </w:r>
      <w:r w:rsidR="00787E61" w:rsidRPr="00446A3C">
        <w:rPr>
          <w:szCs w:val="24"/>
        </w:rPr>
        <w:t>,</w:t>
      </w:r>
      <w:r w:rsidRPr="00446A3C">
        <w:rPr>
          <w:szCs w:val="24"/>
        </w:rPr>
        <w:t xml:space="preserve"> </w:t>
      </w:r>
      <w:r w:rsidR="00386D71" w:rsidRPr="00446A3C">
        <w:rPr>
          <w:szCs w:val="24"/>
        </w:rPr>
        <w:t>et il n</w:t>
      </w:r>
      <w:r w:rsidR="00096C17">
        <w:rPr>
          <w:szCs w:val="24"/>
        </w:rPr>
        <w:t>’</w:t>
      </w:r>
      <w:r w:rsidR="00386D71" w:rsidRPr="00446A3C">
        <w:rPr>
          <w:szCs w:val="24"/>
        </w:rPr>
        <w:t>est pas nécessaire que l</w:t>
      </w:r>
      <w:r w:rsidR="00096C17">
        <w:rPr>
          <w:szCs w:val="24"/>
        </w:rPr>
        <w:t>’</w:t>
      </w:r>
      <w:r w:rsidR="00386D71" w:rsidRPr="00446A3C">
        <w:rPr>
          <w:szCs w:val="24"/>
        </w:rPr>
        <w:t>agriculture soit la principale source de revenu</w:t>
      </w:r>
      <w:r w:rsidR="00787E61" w:rsidRPr="00446A3C">
        <w:rPr>
          <w:szCs w:val="24"/>
        </w:rPr>
        <w:t xml:space="preserve">. </w:t>
      </w:r>
      <w:r w:rsidRPr="00446A3C">
        <w:rPr>
          <w:szCs w:val="24"/>
        </w:rPr>
        <w:t xml:space="preserve"> </w:t>
      </w:r>
      <w:r w:rsidR="00386D71" w:rsidRPr="00446A3C">
        <w:rPr>
          <w:szCs w:val="24"/>
        </w:rPr>
        <w:t>Il s</w:t>
      </w:r>
      <w:r w:rsidR="00096C17">
        <w:rPr>
          <w:szCs w:val="24"/>
        </w:rPr>
        <w:t>’</w:t>
      </w:r>
      <w:r w:rsidR="00386D71" w:rsidRPr="00446A3C">
        <w:rPr>
          <w:szCs w:val="24"/>
        </w:rPr>
        <w:t>agit d</w:t>
      </w:r>
      <w:r w:rsidR="00096C17">
        <w:rPr>
          <w:szCs w:val="24"/>
        </w:rPr>
        <w:t>’</w:t>
      </w:r>
      <w:r w:rsidR="00386D71" w:rsidRPr="00446A3C">
        <w:rPr>
          <w:szCs w:val="24"/>
        </w:rPr>
        <w:t xml:space="preserve">une appréciation factuelle relevant du juge de première instance. </w:t>
      </w:r>
      <w:r w:rsidRPr="00446A3C">
        <w:rPr>
          <w:szCs w:val="24"/>
          <w:lang w:val="fr-FR"/>
        </w:rPr>
        <w:t xml:space="preserve"> </w:t>
      </w:r>
      <w:r w:rsidR="008451A7" w:rsidRPr="00446A3C">
        <w:rPr>
          <w:szCs w:val="24"/>
        </w:rPr>
        <w:t xml:space="preserve">La démarche doit rester souple et reconnaître que certains facteurs peuvent ne pas être </w:t>
      </w:r>
      <w:r w:rsidR="008451A7" w:rsidRPr="00446A3C">
        <w:rPr>
          <w:szCs w:val="24"/>
        </w:rPr>
        <w:lastRenderedPageBreak/>
        <w:t xml:space="preserve">importants. </w:t>
      </w:r>
      <w:r w:rsidR="00787E61" w:rsidRPr="00446A3C">
        <w:rPr>
          <w:szCs w:val="24"/>
        </w:rPr>
        <w:t xml:space="preserve"> </w:t>
      </w:r>
      <w:r w:rsidR="008451A7" w:rsidRPr="00446A3C">
        <w:rPr>
          <w:szCs w:val="24"/>
        </w:rPr>
        <w:t>L</w:t>
      </w:r>
      <w:r w:rsidR="00096C17">
        <w:rPr>
          <w:szCs w:val="24"/>
        </w:rPr>
        <w:t>’</w:t>
      </w:r>
      <w:r w:rsidR="008451A7" w:rsidRPr="00446A3C">
        <w:rPr>
          <w:szCs w:val="24"/>
        </w:rPr>
        <w:t>examen de l</w:t>
      </w:r>
      <w:r w:rsidR="00096C17">
        <w:rPr>
          <w:szCs w:val="24"/>
        </w:rPr>
        <w:t>’</w:t>
      </w:r>
      <w:r w:rsidR="008451A7" w:rsidRPr="00446A3C">
        <w:rPr>
          <w:szCs w:val="24"/>
        </w:rPr>
        <w:t>ensemble de ces facteurs permettra de déterminer si le contribuable accorde une importance significative à l</w:t>
      </w:r>
      <w:r w:rsidR="00096C17">
        <w:rPr>
          <w:szCs w:val="24"/>
        </w:rPr>
        <w:t>’</w:t>
      </w:r>
      <w:r w:rsidR="008451A7" w:rsidRPr="00446A3C">
        <w:rPr>
          <w:szCs w:val="24"/>
        </w:rPr>
        <w:t>entreprise agricole et à l</w:t>
      </w:r>
      <w:r w:rsidR="00096C17">
        <w:rPr>
          <w:szCs w:val="24"/>
        </w:rPr>
        <w:t>’</w:t>
      </w:r>
      <w:r w:rsidR="008451A7" w:rsidRPr="00446A3C">
        <w:rPr>
          <w:szCs w:val="24"/>
        </w:rPr>
        <w:t>autre activité lucrative; si c</w:t>
      </w:r>
      <w:r w:rsidR="00096C17">
        <w:rPr>
          <w:szCs w:val="24"/>
        </w:rPr>
        <w:t>’</w:t>
      </w:r>
      <w:r w:rsidR="008451A7" w:rsidRPr="00446A3C">
        <w:rPr>
          <w:szCs w:val="24"/>
        </w:rPr>
        <w:t xml:space="preserve">est le cas, son revenu proviendra principalement de la combinaison de ces activités </w:t>
      </w:r>
      <w:r w:rsidR="00787E61" w:rsidRPr="00446A3C">
        <w:rPr>
          <w:szCs w:val="24"/>
        </w:rPr>
        <w:t>et</w:t>
      </w:r>
      <w:r w:rsidR="008451A7" w:rsidRPr="00446A3C">
        <w:rPr>
          <w:szCs w:val="24"/>
        </w:rPr>
        <w:t xml:space="preserve"> la déductibilité des pertes agricoles ne sera pas limitée en application du </w:t>
      </w:r>
      <w:r w:rsidR="00A448E1" w:rsidRPr="00446A3C">
        <w:rPr>
          <w:szCs w:val="24"/>
        </w:rPr>
        <w:t>par. </w:t>
      </w:r>
      <w:r w:rsidR="008451A7" w:rsidRPr="00446A3C">
        <w:rPr>
          <w:szCs w:val="24"/>
        </w:rPr>
        <w:t xml:space="preserve">31(1). </w:t>
      </w:r>
      <w:r w:rsidRPr="00446A3C">
        <w:rPr>
          <w:szCs w:val="24"/>
          <w:lang w:val="fr-FR"/>
        </w:rPr>
        <w:t xml:space="preserve"> </w:t>
      </w:r>
      <w:r w:rsidR="008E6288" w:rsidRPr="00446A3C">
        <w:rPr>
          <w:szCs w:val="24"/>
        </w:rPr>
        <w:t>Cette interprétation est conforme à l</w:t>
      </w:r>
      <w:r w:rsidR="00096C17">
        <w:rPr>
          <w:szCs w:val="24"/>
        </w:rPr>
        <w:t>’</w:t>
      </w:r>
      <w:r w:rsidR="00E7246F" w:rsidRPr="00446A3C">
        <w:rPr>
          <w:szCs w:val="24"/>
        </w:rPr>
        <w:t xml:space="preserve">économie </w:t>
      </w:r>
      <w:r w:rsidR="008E6288" w:rsidRPr="00446A3C">
        <w:rPr>
          <w:szCs w:val="24"/>
        </w:rPr>
        <w:t xml:space="preserve">générale de la </w:t>
      </w:r>
      <w:r w:rsidR="008E6288" w:rsidRPr="00446A3C">
        <w:rPr>
          <w:i/>
          <w:szCs w:val="24"/>
        </w:rPr>
        <w:t>Loi de l</w:t>
      </w:r>
      <w:r w:rsidR="00096C17">
        <w:rPr>
          <w:i/>
          <w:szCs w:val="24"/>
        </w:rPr>
        <w:t>’</w:t>
      </w:r>
      <w:r w:rsidR="008E6288" w:rsidRPr="00446A3C">
        <w:rPr>
          <w:i/>
          <w:szCs w:val="24"/>
        </w:rPr>
        <w:t>impôt sur le revenu</w:t>
      </w:r>
      <w:r w:rsidR="008E6288" w:rsidRPr="00446A3C">
        <w:rPr>
          <w:szCs w:val="24"/>
        </w:rPr>
        <w:t xml:space="preserve"> suivant laquelle, sous réserve de certaines exceptions précises, le contribuable peut déduire </w:t>
      </w:r>
      <w:r w:rsidR="00787E61" w:rsidRPr="00446A3C">
        <w:rPr>
          <w:szCs w:val="24"/>
        </w:rPr>
        <w:t xml:space="preserve">en totalité </w:t>
      </w:r>
      <w:r w:rsidR="008E6288" w:rsidRPr="00446A3C">
        <w:rPr>
          <w:szCs w:val="24"/>
        </w:rPr>
        <w:t>les pertes afférentes à une entreprise ou à une source de revenu des profits tirés d</w:t>
      </w:r>
      <w:r w:rsidR="00096C17">
        <w:rPr>
          <w:szCs w:val="24"/>
        </w:rPr>
        <w:t>’</w:t>
      </w:r>
      <w:r w:rsidR="008E6288" w:rsidRPr="00446A3C">
        <w:rPr>
          <w:szCs w:val="24"/>
        </w:rPr>
        <w:t>une autre entreprise ou source de revenu</w:t>
      </w:r>
      <w:r w:rsidRPr="00446A3C">
        <w:rPr>
          <w:szCs w:val="24"/>
          <w:lang w:val="fr-FR"/>
        </w:rPr>
        <w:t>.</w:t>
      </w:r>
    </w:p>
    <w:p w:rsidR="008E6288" w:rsidRPr="00446A3C" w:rsidRDefault="008E6288" w:rsidP="00E576B4">
      <w:pPr>
        <w:pStyle w:val="SCCNormalDoubleSpacing"/>
        <w:spacing w:after="480"/>
        <w:rPr>
          <w:szCs w:val="24"/>
          <w:lang w:val="fr-FR"/>
        </w:rPr>
      </w:pPr>
      <w:r w:rsidRPr="00446A3C">
        <w:rPr>
          <w:szCs w:val="24"/>
          <w:lang w:val="fr-FR"/>
        </w:rPr>
        <w:tab/>
      </w:r>
      <w:r w:rsidRPr="00E576B4">
        <w:rPr>
          <w:lang w:val="fr-FR"/>
        </w:rPr>
        <w:t>Rien</w:t>
      </w:r>
      <w:r w:rsidRPr="00446A3C">
        <w:rPr>
          <w:szCs w:val="24"/>
          <w:lang w:val="fr-FR"/>
        </w:rPr>
        <w:t xml:space="preserve"> ne justifie que notre Cour modifie les conclusions que </w:t>
      </w:r>
      <w:r w:rsidRPr="00446A3C">
        <w:rPr>
          <w:szCs w:val="24"/>
        </w:rPr>
        <w:t>le revenu de C provenait principalement de la combinaison de l</w:t>
      </w:r>
      <w:r w:rsidR="00096C17">
        <w:rPr>
          <w:szCs w:val="24"/>
        </w:rPr>
        <w:t>’</w:t>
      </w:r>
      <w:r w:rsidRPr="00446A3C">
        <w:rPr>
          <w:szCs w:val="24"/>
        </w:rPr>
        <w:t xml:space="preserve">agriculture et de </w:t>
      </w:r>
      <w:r w:rsidR="00787E61" w:rsidRPr="00446A3C">
        <w:rPr>
          <w:szCs w:val="24"/>
        </w:rPr>
        <w:t>l</w:t>
      </w:r>
      <w:r w:rsidR="00096C17">
        <w:rPr>
          <w:szCs w:val="24"/>
        </w:rPr>
        <w:t>’</w:t>
      </w:r>
      <w:r w:rsidR="00787E61" w:rsidRPr="00446A3C">
        <w:rPr>
          <w:szCs w:val="24"/>
        </w:rPr>
        <w:t>exercice du droit</w:t>
      </w:r>
      <w:r w:rsidRPr="00446A3C">
        <w:rPr>
          <w:szCs w:val="24"/>
        </w:rPr>
        <w:t xml:space="preserve"> et que la limitation de la déductibilité des pertes agricoles opérée par le </w:t>
      </w:r>
      <w:r w:rsidR="00A448E1" w:rsidRPr="00446A3C">
        <w:rPr>
          <w:szCs w:val="24"/>
        </w:rPr>
        <w:t>par. </w:t>
      </w:r>
      <w:r w:rsidRPr="00446A3C">
        <w:rPr>
          <w:szCs w:val="24"/>
        </w:rPr>
        <w:t>31(1) ne s</w:t>
      </w:r>
      <w:r w:rsidR="00096C17">
        <w:rPr>
          <w:szCs w:val="24"/>
        </w:rPr>
        <w:t>’</w:t>
      </w:r>
      <w:r w:rsidRPr="00446A3C">
        <w:rPr>
          <w:szCs w:val="24"/>
        </w:rPr>
        <w:t>appliquait pas compte tenu des faits</w:t>
      </w:r>
      <w:r w:rsidRPr="00446A3C">
        <w:rPr>
          <w:szCs w:val="24"/>
          <w:lang w:val="fr-FR"/>
        </w:rPr>
        <w:t xml:space="preserve">.  Le ministère public a reconnu que </w:t>
      </w:r>
      <w:r w:rsidRPr="00446A3C">
        <w:rPr>
          <w:szCs w:val="24"/>
        </w:rPr>
        <w:t>l</w:t>
      </w:r>
      <w:r w:rsidR="00096C17">
        <w:rPr>
          <w:szCs w:val="24"/>
        </w:rPr>
        <w:t>’</w:t>
      </w:r>
      <w:r w:rsidRPr="00446A3C">
        <w:rPr>
          <w:szCs w:val="24"/>
        </w:rPr>
        <w:t>exploitation de chevaux de course constituait une entreprise et non une activité personnelle</w:t>
      </w:r>
      <w:r w:rsidRPr="00446A3C">
        <w:rPr>
          <w:szCs w:val="24"/>
          <w:lang w:val="fr-FR"/>
        </w:rPr>
        <w:t>, et les facteurs pertinents</w:t>
      </w:r>
      <w:r w:rsidR="00127626" w:rsidRPr="00446A3C">
        <w:rPr>
          <w:szCs w:val="24"/>
          <w:lang w:val="fr-FR"/>
        </w:rPr>
        <w:t xml:space="preserve"> </w:t>
      </w:r>
      <w:r w:rsidR="00127626" w:rsidRPr="00446A3C">
        <w:rPr>
          <w:szCs w:val="24"/>
        </w:rPr>
        <w:t>autres que celui de la rentabilité établie indiquaient clairement qu</w:t>
      </w:r>
      <w:r w:rsidR="00787E61" w:rsidRPr="00446A3C">
        <w:rPr>
          <w:szCs w:val="24"/>
        </w:rPr>
        <w:t>e l</w:t>
      </w:r>
      <w:r w:rsidR="00096C17">
        <w:rPr>
          <w:szCs w:val="24"/>
        </w:rPr>
        <w:t>’</w:t>
      </w:r>
      <w:r w:rsidR="00787E61" w:rsidRPr="00446A3C">
        <w:rPr>
          <w:szCs w:val="24"/>
        </w:rPr>
        <w:t xml:space="preserve">entreprise agricole était plus </w:t>
      </w:r>
      <w:r w:rsidR="006755D4" w:rsidRPr="00446A3C">
        <w:rPr>
          <w:szCs w:val="24"/>
        </w:rPr>
        <w:t>qu</w:t>
      </w:r>
      <w:r w:rsidR="00096C17">
        <w:rPr>
          <w:szCs w:val="24"/>
        </w:rPr>
        <w:t>’</w:t>
      </w:r>
      <w:r w:rsidR="00787E61" w:rsidRPr="00446A3C">
        <w:rPr>
          <w:szCs w:val="24"/>
        </w:rPr>
        <w:t>un</w:t>
      </w:r>
      <w:r w:rsidR="006755D4" w:rsidRPr="00446A3C">
        <w:rPr>
          <w:szCs w:val="24"/>
        </w:rPr>
        <w:t xml:space="preserve">e </w:t>
      </w:r>
      <w:r w:rsidR="00127626" w:rsidRPr="00446A3C">
        <w:rPr>
          <w:szCs w:val="24"/>
        </w:rPr>
        <w:t>entreprise secondaire</w:t>
      </w:r>
      <w:r w:rsidRPr="00446A3C">
        <w:rPr>
          <w:szCs w:val="24"/>
          <w:lang w:val="fr-FR"/>
        </w:rPr>
        <w:t xml:space="preserve">. </w:t>
      </w:r>
      <w:r w:rsidR="00787E61" w:rsidRPr="00446A3C">
        <w:rPr>
          <w:szCs w:val="24"/>
          <w:lang w:val="fr-FR"/>
        </w:rPr>
        <w:t xml:space="preserve"> </w:t>
      </w:r>
      <w:r w:rsidRPr="00446A3C">
        <w:rPr>
          <w:szCs w:val="24"/>
          <w:lang w:val="fr-FR"/>
        </w:rPr>
        <w:t xml:space="preserve">C </w:t>
      </w:r>
      <w:r w:rsidR="006755D4" w:rsidRPr="00446A3C">
        <w:rPr>
          <w:szCs w:val="24"/>
          <w:lang w:val="fr-FR"/>
        </w:rPr>
        <w:t>investissait des capitaux importants dans cette entreprise et une grande partie de son travail quotidien y passait</w:t>
      </w:r>
      <w:r w:rsidR="00787E61" w:rsidRPr="00446A3C">
        <w:rPr>
          <w:szCs w:val="24"/>
          <w:lang w:val="fr-FR"/>
        </w:rPr>
        <w:t>;</w:t>
      </w:r>
      <w:r w:rsidR="006755D4" w:rsidRPr="00446A3C">
        <w:rPr>
          <w:szCs w:val="24"/>
          <w:lang w:val="fr-FR"/>
        </w:rPr>
        <w:t xml:space="preserve"> il </w:t>
      </w:r>
      <w:r w:rsidR="006755D4" w:rsidRPr="00446A3C">
        <w:rPr>
          <w:szCs w:val="24"/>
        </w:rPr>
        <w:t xml:space="preserve">était un membre actif du monde des courses de chevaux </w:t>
      </w:r>
      <w:proofErr w:type="spellStart"/>
      <w:r w:rsidR="006755D4" w:rsidRPr="00446A3C">
        <w:rPr>
          <w:szCs w:val="24"/>
        </w:rPr>
        <w:t>standardbred</w:t>
      </w:r>
      <w:proofErr w:type="spellEnd"/>
      <w:r w:rsidR="006755D4" w:rsidRPr="00446A3C">
        <w:rPr>
          <w:szCs w:val="24"/>
        </w:rPr>
        <w:t xml:space="preserve"> et y apportait sa contribution</w:t>
      </w:r>
      <w:r w:rsidRPr="00446A3C">
        <w:rPr>
          <w:szCs w:val="24"/>
          <w:lang w:val="fr-FR"/>
        </w:rPr>
        <w:t>.</w:t>
      </w:r>
    </w:p>
    <w:p w:rsidR="007E1C47" w:rsidRPr="00446A3C" w:rsidRDefault="0043088E" w:rsidP="003A5F1F">
      <w:pPr>
        <w:pStyle w:val="SCCNormalDoubleSpacing"/>
        <w:keepNext/>
        <w:spacing w:after="720" w:line="240" w:lineRule="auto"/>
        <w:rPr>
          <w:b/>
          <w:szCs w:val="24"/>
        </w:rPr>
      </w:pPr>
      <w:r w:rsidRPr="00446A3C">
        <w:rPr>
          <w:b/>
          <w:szCs w:val="24"/>
        </w:rPr>
        <w:lastRenderedPageBreak/>
        <w:t>Jurisprudence</w:t>
      </w:r>
    </w:p>
    <w:p w:rsidR="00CC2169" w:rsidRPr="00446A3C" w:rsidRDefault="002E6705" w:rsidP="007500BE">
      <w:pPr>
        <w:pStyle w:val="SCCNormalDoubleSpacing"/>
        <w:widowControl w:val="0"/>
        <w:spacing w:after="480"/>
        <w:rPr>
          <w:szCs w:val="24"/>
        </w:rPr>
      </w:pPr>
      <w:r w:rsidRPr="00446A3C">
        <w:rPr>
          <w:szCs w:val="24"/>
        </w:rPr>
        <w:tab/>
      </w:r>
      <w:r w:rsidR="00124518" w:rsidRPr="00446A3C">
        <w:rPr>
          <w:b/>
          <w:szCs w:val="24"/>
        </w:rPr>
        <w:t xml:space="preserve">Arrêt </w:t>
      </w:r>
      <w:r w:rsidR="001C3425">
        <w:rPr>
          <w:b/>
          <w:szCs w:val="24"/>
        </w:rPr>
        <w:t>renversé</w:t>
      </w:r>
      <w:r w:rsidR="00A448E1" w:rsidRPr="00446A3C">
        <w:rPr>
          <w:b/>
          <w:szCs w:val="24"/>
        </w:rPr>
        <w:t> :</w:t>
      </w:r>
      <w:r w:rsidR="00124518" w:rsidRPr="00446A3C">
        <w:rPr>
          <w:szCs w:val="24"/>
        </w:rPr>
        <w:t xml:space="preserve"> </w:t>
      </w:r>
      <w:proofErr w:type="spellStart"/>
      <w:r w:rsidR="00124518" w:rsidRPr="00446A3C">
        <w:rPr>
          <w:i/>
          <w:szCs w:val="24"/>
        </w:rPr>
        <w:t>Moldowan</w:t>
      </w:r>
      <w:proofErr w:type="spellEnd"/>
      <w:r w:rsidR="00124518" w:rsidRPr="00446A3C">
        <w:rPr>
          <w:i/>
          <w:szCs w:val="24"/>
        </w:rPr>
        <w:t xml:space="preserve"> c. La Reine</w:t>
      </w:r>
      <w:r w:rsidR="00124518" w:rsidRPr="00446A3C">
        <w:rPr>
          <w:szCs w:val="24"/>
        </w:rPr>
        <w:t xml:space="preserve">, [1978] 1 R.C.S. 480; </w:t>
      </w:r>
      <w:r w:rsidR="00124518" w:rsidRPr="00446A3C">
        <w:rPr>
          <w:b/>
          <w:szCs w:val="24"/>
        </w:rPr>
        <w:t xml:space="preserve">arrêt </w:t>
      </w:r>
      <w:r w:rsidR="00124518" w:rsidRPr="00446A3C">
        <w:rPr>
          <w:b/>
          <w:szCs w:val="24"/>
          <w:lang w:val="fr-FR"/>
        </w:rPr>
        <w:t>analysé</w:t>
      </w:r>
      <w:r w:rsidR="00A448E1" w:rsidRPr="00446A3C">
        <w:rPr>
          <w:b/>
          <w:szCs w:val="24"/>
          <w:lang w:val="fr-FR"/>
        </w:rPr>
        <w:t> :</w:t>
      </w:r>
      <w:r w:rsidR="00124518" w:rsidRPr="00446A3C">
        <w:rPr>
          <w:szCs w:val="24"/>
        </w:rPr>
        <w:t xml:space="preserve"> </w:t>
      </w:r>
      <w:r w:rsidR="00124518" w:rsidRPr="00446A3C">
        <w:rPr>
          <w:i/>
          <w:szCs w:val="24"/>
        </w:rPr>
        <w:t>Gunn c. Canada</w:t>
      </w:r>
      <w:r w:rsidR="00124518" w:rsidRPr="00446A3C">
        <w:rPr>
          <w:szCs w:val="24"/>
        </w:rPr>
        <w:t xml:space="preserve">, 2006 CAF 281, [2007] 3 R.C.F. 57; </w:t>
      </w:r>
      <w:r w:rsidR="00124518" w:rsidRPr="00446A3C">
        <w:rPr>
          <w:b/>
          <w:szCs w:val="24"/>
        </w:rPr>
        <w:t>a</w:t>
      </w:r>
      <w:r w:rsidR="0043088E" w:rsidRPr="00446A3C">
        <w:rPr>
          <w:b/>
          <w:szCs w:val="24"/>
        </w:rPr>
        <w:t>rrêts mentionnés</w:t>
      </w:r>
      <w:r w:rsidR="00A448E1" w:rsidRPr="00446A3C">
        <w:rPr>
          <w:b/>
          <w:szCs w:val="24"/>
        </w:rPr>
        <w:t> :</w:t>
      </w:r>
      <w:r w:rsidR="00124518" w:rsidRPr="00446A3C">
        <w:rPr>
          <w:szCs w:val="24"/>
        </w:rPr>
        <w:t xml:space="preserve"> </w:t>
      </w:r>
      <w:proofErr w:type="spellStart"/>
      <w:r w:rsidR="00CC2169" w:rsidRPr="00446A3C">
        <w:rPr>
          <w:i/>
          <w:szCs w:val="24"/>
        </w:rPr>
        <w:t>Hover</w:t>
      </w:r>
      <w:proofErr w:type="spellEnd"/>
      <w:r w:rsidR="00CC2169" w:rsidRPr="00446A3C">
        <w:rPr>
          <w:i/>
          <w:szCs w:val="24"/>
        </w:rPr>
        <w:t xml:space="preserve"> </w:t>
      </w:r>
      <w:r w:rsidR="00FE7516" w:rsidRPr="00446A3C">
        <w:rPr>
          <w:i/>
          <w:szCs w:val="24"/>
        </w:rPr>
        <w:t>c</w:t>
      </w:r>
      <w:r w:rsidR="00CC2169" w:rsidRPr="00446A3C">
        <w:rPr>
          <w:i/>
          <w:szCs w:val="24"/>
        </w:rPr>
        <w:t xml:space="preserve">. </w:t>
      </w:r>
      <w:r w:rsidR="00AB2857">
        <w:rPr>
          <w:i/>
          <w:szCs w:val="24"/>
        </w:rPr>
        <w:t>Canada (ministre du Revenu national – M.R.N.)</w:t>
      </w:r>
      <w:r w:rsidR="00CC2169" w:rsidRPr="00446A3C">
        <w:rPr>
          <w:szCs w:val="24"/>
        </w:rPr>
        <w:t xml:space="preserve">, </w:t>
      </w:r>
      <w:r w:rsidR="00D20167" w:rsidRPr="00446A3C">
        <w:rPr>
          <w:szCs w:val="24"/>
        </w:rPr>
        <w:t>[199</w:t>
      </w:r>
      <w:r w:rsidR="00AB2857">
        <w:rPr>
          <w:szCs w:val="24"/>
        </w:rPr>
        <w:t>2</w:t>
      </w:r>
      <w:r w:rsidR="00D20167" w:rsidRPr="00446A3C">
        <w:rPr>
          <w:szCs w:val="24"/>
        </w:rPr>
        <w:t xml:space="preserve">] </w:t>
      </w:r>
      <w:r w:rsidR="00AB2857">
        <w:rPr>
          <w:szCs w:val="24"/>
        </w:rPr>
        <w:t>A.C.I. n</w:t>
      </w:r>
      <w:r w:rsidR="00AB2857" w:rsidRPr="00AB2857">
        <w:rPr>
          <w:szCs w:val="24"/>
          <w:vertAlign w:val="superscript"/>
        </w:rPr>
        <w:t>o</w:t>
      </w:r>
      <w:r w:rsidR="00AB2857">
        <w:rPr>
          <w:szCs w:val="24"/>
        </w:rPr>
        <w:t xml:space="preserve"> 735 (QL)</w:t>
      </w:r>
      <w:r w:rsidR="00CC2169" w:rsidRPr="00446A3C">
        <w:rPr>
          <w:szCs w:val="24"/>
        </w:rPr>
        <w:t xml:space="preserve">; </w:t>
      </w:r>
      <w:r w:rsidR="00CC2169" w:rsidRPr="00446A3C">
        <w:rPr>
          <w:i/>
          <w:szCs w:val="24"/>
        </w:rPr>
        <w:t xml:space="preserve">Hadley </w:t>
      </w:r>
      <w:r w:rsidR="00FE7516" w:rsidRPr="00446A3C">
        <w:rPr>
          <w:i/>
          <w:szCs w:val="24"/>
        </w:rPr>
        <w:t>c</w:t>
      </w:r>
      <w:r w:rsidR="00CC2169" w:rsidRPr="00446A3C">
        <w:rPr>
          <w:i/>
          <w:szCs w:val="24"/>
        </w:rPr>
        <w:t xml:space="preserve">. The </w:t>
      </w:r>
      <w:proofErr w:type="spellStart"/>
      <w:r w:rsidR="00CC2169" w:rsidRPr="00446A3C">
        <w:rPr>
          <w:i/>
          <w:szCs w:val="24"/>
        </w:rPr>
        <w:t>Queen</w:t>
      </w:r>
      <w:proofErr w:type="spellEnd"/>
      <w:r w:rsidR="00CC2169" w:rsidRPr="00446A3C">
        <w:rPr>
          <w:szCs w:val="24"/>
        </w:rPr>
        <w:t xml:space="preserve">, [1985] 1 C.T.C. 62; </w:t>
      </w:r>
      <w:r w:rsidR="00CC2169" w:rsidRPr="00446A3C">
        <w:rPr>
          <w:i/>
          <w:szCs w:val="24"/>
        </w:rPr>
        <w:t xml:space="preserve">The </w:t>
      </w:r>
      <w:proofErr w:type="spellStart"/>
      <w:r w:rsidR="00CC2169" w:rsidRPr="00446A3C">
        <w:rPr>
          <w:i/>
          <w:szCs w:val="24"/>
        </w:rPr>
        <w:t>Queen</w:t>
      </w:r>
      <w:proofErr w:type="spellEnd"/>
      <w:r w:rsidR="00CC2169" w:rsidRPr="00446A3C">
        <w:rPr>
          <w:i/>
          <w:szCs w:val="24"/>
        </w:rPr>
        <w:t xml:space="preserve"> </w:t>
      </w:r>
      <w:r w:rsidR="00FE7516" w:rsidRPr="00446A3C">
        <w:rPr>
          <w:i/>
          <w:szCs w:val="24"/>
        </w:rPr>
        <w:t>c</w:t>
      </w:r>
      <w:r w:rsidR="00CC2169" w:rsidRPr="00446A3C">
        <w:rPr>
          <w:i/>
          <w:szCs w:val="24"/>
        </w:rPr>
        <w:t>. Graham</w:t>
      </w:r>
      <w:r w:rsidR="00CC2169" w:rsidRPr="00446A3C">
        <w:rPr>
          <w:szCs w:val="24"/>
        </w:rPr>
        <w:t xml:space="preserve"> (1985), 85 D.T.C. 5256; </w:t>
      </w:r>
      <w:proofErr w:type="spellStart"/>
      <w:r w:rsidR="00CC2169" w:rsidRPr="00446A3C">
        <w:rPr>
          <w:i/>
          <w:szCs w:val="24"/>
        </w:rPr>
        <w:t>Morrissey</w:t>
      </w:r>
      <w:proofErr w:type="spellEnd"/>
      <w:r w:rsidR="00CC2169" w:rsidRPr="00446A3C">
        <w:rPr>
          <w:i/>
          <w:szCs w:val="24"/>
        </w:rPr>
        <w:t xml:space="preserve"> </w:t>
      </w:r>
      <w:r w:rsidR="00FE7516" w:rsidRPr="00446A3C">
        <w:rPr>
          <w:i/>
          <w:szCs w:val="24"/>
        </w:rPr>
        <w:t>c</w:t>
      </w:r>
      <w:r w:rsidR="00CC2169" w:rsidRPr="00446A3C">
        <w:rPr>
          <w:i/>
          <w:szCs w:val="24"/>
        </w:rPr>
        <w:t>. Canada</w:t>
      </w:r>
      <w:r w:rsidR="00CC2169" w:rsidRPr="00446A3C">
        <w:rPr>
          <w:szCs w:val="24"/>
        </w:rPr>
        <w:t xml:space="preserve">, [1989] 2 </w:t>
      </w:r>
      <w:r w:rsidR="00FE7516" w:rsidRPr="00446A3C">
        <w:rPr>
          <w:szCs w:val="24"/>
        </w:rPr>
        <w:t>C.</w:t>
      </w:r>
      <w:r w:rsidR="00CC2169" w:rsidRPr="00446A3C">
        <w:rPr>
          <w:szCs w:val="24"/>
        </w:rPr>
        <w:t xml:space="preserve">F. 418; </w:t>
      </w:r>
      <w:r w:rsidR="00CC2169" w:rsidRPr="00446A3C">
        <w:rPr>
          <w:i/>
          <w:szCs w:val="24"/>
        </w:rPr>
        <w:t xml:space="preserve">Poirier (in </w:t>
      </w:r>
      <w:proofErr w:type="spellStart"/>
      <w:r w:rsidR="00CC2169" w:rsidRPr="00446A3C">
        <w:rPr>
          <w:i/>
          <w:szCs w:val="24"/>
        </w:rPr>
        <w:t>bankruptcy</w:t>
      </w:r>
      <w:proofErr w:type="spellEnd"/>
      <w:r w:rsidR="00CC2169" w:rsidRPr="00446A3C">
        <w:rPr>
          <w:i/>
          <w:szCs w:val="24"/>
        </w:rPr>
        <w:t xml:space="preserve">) </w:t>
      </w:r>
      <w:r w:rsidR="000D184A" w:rsidRPr="00446A3C">
        <w:rPr>
          <w:i/>
          <w:szCs w:val="24"/>
        </w:rPr>
        <w:t>c</w:t>
      </w:r>
      <w:r w:rsidR="00CC2169" w:rsidRPr="00446A3C">
        <w:rPr>
          <w:i/>
          <w:szCs w:val="24"/>
        </w:rPr>
        <w:t xml:space="preserve">. </w:t>
      </w:r>
      <w:proofErr w:type="spellStart"/>
      <w:r w:rsidR="00CC2169" w:rsidRPr="00446A3C">
        <w:rPr>
          <w:i/>
          <w:szCs w:val="24"/>
        </w:rPr>
        <w:t>Minister</w:t>
      </w:r>
      <w:proofErr w:type="spellEnd"/>
      <w:r w:rsidR="00CC2169" w:rsidRPr="00446A3C">
        <w:rPr>
          <w:i/>
          <w:szCs w:val="24"/>
        </w:rPr>
        <w:t xml:space="preserve"> of National Revenue</w:t>
      </w:r>
      <w:r w:rsidR="00CC2169" w:rsidRPr="00446A3C">
        <w:rPr>
          <w:szCs w:val="24"/>
        </w:rPr>
        <w:t xml:space="preserve"> (1986), 2 F.T.R. 11; </w:t>
      </w:r>
      <w:r w:rsidR="00CC2169" w:rsidRPr="00446A3C">
        <w:rPr>
          <w:i/>
          <w:szCs w:val="24"/>
        </w:rPr>
        <w:t xml:space="preserve">Watt </w:t>
      </w:r>
      <w:r w:rsidR="000D184A" w:rsidRPr="00446A3C">
        <w:rPr>
          <w:i/>
          <w:szCs w:val="24"/>
        </w:rPr>
        <w:t>c</w:t>
      </w:r>
      <w:r w:rsidR="00CC2169" w:rsidRPr="00446A3C">
        <w:rPr>
          <w:i/>
          <w:szCs w:val="24"/>
        </w:rPr>
        <w:t xml:space="preserve">. </w:t>
      </w:r>
      <w:r w:rsidR="00D20167" w:rsidRPr="00446A3C">
        <w:rPr>
          <w:i/>
          <w:szCs w:val="24"/>
        </w:rPr>
        <w:t>Canada</w:t>
      </w:r>
      <w:r w:rsidR="00CC2169" w:rsidRPr="00446A3C">
        <w:rPr>
          <w:szCs w:val="24"/>
        </w:rPr>
        <w:t>, 2001 CA</w:t>
      </w:r>
      <w:r w:rsidR="000D184A" w:rsidRPr="00446A3C">
        <w:rPr>
          <w:szCs w:val="24"/>
        </w:rPr>
        <w:t>F</w:t>
      </w:r>
      <w:r w:rsidR="00CC2169" w:rsidRPr="00446A3C">
        <w:rPr>
          <w:szCs w:val="24"/>
        </w:rPr>
        <w:t xml:space="preserve"> 72</w:t>
      </w:r>
      <w:r w:rsidR="00D20167" w:rsidRPr="00446A3C">
        <w:rPr>
          <w:szCs w:val="24"/>
        </w:rPr>
        <w:t xml:space="preserve"> (</w:t>
      </w:r>
      <w:proofErr w:type="spellStart"/>
      <w:r w:rsidR="00D20167" w:rsidRPr="00446A3C">
        <w:rPr>
          <w:szCs w:val="24"/>
        </w:rPr>
        <w:t>CanLII</w:t>
      </w:r>
      <w:proofErr w:type="spellEnd"/>
      <w:r w:rsidR="00D20167" w:rsidRPr="00446A3C">
        <w:rPr>
          <w:szCs w:val="24"/>
        </w:rPr>
        <w:t>)</w:t>
      </w:r>
      <w:r w:rsidR="00CC2169" w:rsidRPr="00446A3C">
        <w:rPr>
          <w:szCs w:val="24"/>
        </w:rPr>
        <w:t xml:space="preserve">; </w:t>
      </w:r>
      <w:r w:rsidR="00CC2169" w:rsidRPr="00446A3C">
        <w:rPr>
          <w:i/>
          <w:szCs w:val="24"/>
        </w:rPr>
        <w:t xml:space="preserve">Shell Canada </w:t>
      </w:r>
      <w:proofErr w:type="spellStart"/>
      <w:r w:rsidR="00CC2169" w:rsidRPr="00446A3C">
        <w:rPr>
          <w:i/>
          <w:szCs w:val="24"/>
        </w:rPr>
        <w:t>Lt</w:t>
      </w:r>
      <w:r w:rsidR="000D184A" w:rsidRPr="00446A3C">
        <w:rPr>
          <w:i/>
          <w:szCs w:val="24"/>
        </w:rPr>
        <w:t>ée</w:t>
      </w:r>
      <w:proofErr w:type="spellEnd"/>
      <w:r w:rsidR="00CC2169" w:rsidRPr="00446A3C">
        <w:rPr>
          <w:i/>
          <w:szCs w:val="24"/>
        </w:rPr>
        <w:t xml:space="preserve"> </w:t>
      </w:r>
      <w:r w:rsidR="000D184A" w:rsidRPr="00446A3C">
        <w:rPr>
          <w:i/>
          <w:szCs w:val="24"/>
        </w:rPr>
        <w:t>c</w:t>
      </w:r>
      <w:r w:rsidR="00CC2169" w:rsidRPr="00446A3C">
        <w:rPr>
          <w:i/>
          <w:szCs w:val="24"/>
        </w:rPr>
        <w:t>. Canada</w:t>
      </w:r>
      <w:r w:rsidR="00CC2169" w:rsidRPr="00446A3C">
        <w:rPr>
          <w:szCs w:val="24"/>
        </w:rPr>
        <w:t xml:space="preserve">, [1999] 3 </w:t>
      </w:r>
      <w:r w:rsidR="000D184A" w:rsidRPr="00446A3C">
        <w:rPr>
          <w:szCs w:val="24"/>
        </w:rPr>
        <w:t>R.C.</w:t>
      </w:r>
      <w:r w:rsidR="00CC2169" w:rsidRPr="00446A3C">
        <w:rPr>
          <w:szCs w:val="24"/>
        </w:rPr>
        <w:t xml:space="preserve">S. 622; </w:t>
      </w:r>
      <w:proofErr w:type="spellStart"/>
      <w:r w:rsidR="00CC2169" w:rsidRPr="00446A3C">
        <w:rPr>
          <w:i/>
          <w:szCs w:val="24"/>
        </w:rPr>
        <w:t>Stackhouse</w:t>
      </w:r>
      <w:proofErr w:type="spellEnd"/>
      <w:r w:rsidR="00CC2169" w:rsidRPr="00446A3C">
        <w:rPr>
          <w:i/>
          <w:szCs w:val="24"/>
        </w:rPr>
        <w:t xml:space="preserve"> </w:t>
      </w:r>
      <w:r w:rsidR="000D184A" w:rsidRPr="00446A3C">
        <w:rPr>
          <w:i/>
          <w:szCs w:val="24"/>
        </w:rPr>
        <w:t>c</w:t>
      </w:r>
      <w:r w:rsidR="00CC2169" w:rsidRPr="00446A3C">
        <w:rPr>
          <w:i/>
          <w:szCs w:val="24"/>
        </w:rPr>
        <w:t xml:space="preserve">. </w:t>
      </w:r>
      <w:r w:rsidR="00D20167" w:rsidRPr="00446A3C">
        <w:rPr>
          <w:i/>
          <w:szCs w:val="24"/>
        </w:rPr>
        <w:t>La Reine</w:t>
      </w:r>
      <w:r w:rsidR="00CC2169" w:rsidRPr="00446A3C">
        <w:rPr>
          <w:szCs w:val="24"/>
        </w:rPr>
        <w:t>, 2007 CC</w:t>
      </w:r>
      <w:r w:rsidR="00D20167" w:rsidRPr="00446A3C">
        <w:rPr>
          <w:szCs w:val="24"/>
        </w:rPr>
        <w:t>I</w:t>
      </w:r>
      <w:r w:rsidR="00CC2169" w:rsidRPr="00446A3C">
        <w:rPr>
          <w:szCs w:val="24"/>
        </w:rPr>
        <w:t xml:space="preserve"> 146</w:t>
      </w:r>
      <w:r w:rsidR="00D20167" w:rsidRPr="00446A3C">
        <w:rPr>
          <w:szCs w:val="24"/>
        </w:rPr>
        <w:t xml:space="preserve"> (</w:t>
      </w:r>
      <w:proofErr w:type="spellStart"/>
      <w:r w:rsidR="00D20167" w:rsidRPr="00446A3C">
        <w:rPr>
          <w:szCs w:val="24"/>
        </w:rPr>
        <w:t>CanLII</w:t>
      </w:r>
      <w:proofErr w:type="spellEnd"/>
      <w:r w:rsidR="00D20167" w:rsidRPr="00446A3C">
        <w:rPr>
          <w:szCs w:val="24"/>
        </w:rPr>
        <w:t>)</w:t>
      </w:r>
      <w:r w:rsidR="00CC2169" w:rsidRPr="00446A3C">
        <w:rPr>
          <w:szCs w:val="24"/>
        </w:rPr>
        <w:t xml:space="preserve">; </w:t>
      </w:r>
      <w:proofErr w:type="spellStart"/>
      <w:r w:rsidR="00CC2169" w:rsidRPr="00446A3C">
        <w:rPr>
          <w:i/>
          <w:szCs w:val="24"/>
        </w:rPr>
        <w:t>Falkener</w:t>
      </w:r>
      <w:proofErr w:type="spellEnd"/>
      <w:r w:rsidR="00CC2169" w:rsidRPr="00446A3C">
        <w:rPr>
          <w:i/>
          <w:szCs w:val="24"/>
        </w:rPr>
        <w:t xml:space="preserve"> </w:t>
      </w:r>
      <w:r w:rsidR="000D184A" w:rsidRPr="00446A3C">
        <w:rPr>
          <w:i/>
          <w:szCs w:val="24"/>
        </w:rPr>
        <w:t>c</w:t>
      </w:r>
      <w:r w:rsidR="00CC2169" w:rsidRPr="00446A3C">
        <w:rPr>
          <w:i/>
          <w:szCs w:val="24"/>
        </w:rPr>
        <w:t xml:space="preserve">. </w:t>
      </w:r>
      <w:r w:rsidR="00457554">
        <w:rPr>
          <w:i/>
          <w:szCs w:val="24"/>
        </w:rPr>
        <w:t>La Reine</w:t>
      </w:r>
      <w:r w:rsidR="00D20167" w:rsidRPr="00446A3C">
        <w:rPr>
          <w:szCs w:val="24"/>
        </w:rPr>
        <w:t xml:space="preserve">, 2007 </w:t>
      </w:r>
      <w:r w:rsidR="00CC2169" w:rsidRPr="00446A3C">
        <w:rPr>
          <w:szCs w:val="24"/>
        </w:rPr>
        <w:t>CC</w:t>
      </w:r>
      <w:r w:rsidR="00D20167" w:rsidRPr="00446A3C">
        <w:rPr>
          <w:szCs w:val="24"/>
        </w:rPr>
        <w:t>I</w:t>
      </w:r>
      <w:r w:rsidR="00CC2169" w:rsidRPr="00446A3C">
        <w:rPr>
          <w:szCs w:val="24"/>
        </w:rPr>
        <w:t xml:space="preserve"> 514</w:t>
      </w:r>
      <w:r w:rsidR="00457554">
        <w:rPr>
          <w:szCs w:val="24"/>
        </w:rPr>
        <w:t xml:space="preserve"> (</w:t>
      </w:r>
      <w:proofErr w:type="spellStart"/>
      <w:r w:rsidR="00457554">
        <w:rPr>
          <w:szCs w:val="24"/>
        </w:rPr>
        <w:t>CanLII</w:t>
      </w:r>
      <w:proofErr w:type="spellEnd"/>
      <w:r w:rsidR="00457554">
        <w:rPr>
          <w:szCs w:val="24"/>
        </w:rPr>
        <w:t>)</w:t>
      </w:r>
      <w:r w:rsidR="00CC2169" w:rsidRPr="00446A3C">
        <w:rPr>
          <w:szCs w:val="24"/>
        </w:rPr>
        <w:t xml:space="preserve">; </w:t>
      </w:r>
      <w:proofErr w:type="spellStart"/>
      <w:r w:rsidR="00CC2169" w:rsidRPr="00446A3C">
        <w:rPr>
          <w:i/>
          <w:szCs w:val="24"/>
        </w:rPr>
        <w:t>Loyens</w:t>
      </w:r>
      <w:proofErr w:type="spellEnd"/>
      <w:r w:rsidR="00CC2169" w:rsidRPr="00446A3C">
        <w:rPr>
          <w:i/>
          <w:szCs w:val="24"/>
        </w:rPr>
        <w:t xml:space="preserve"> </w:t>
      </w:r>
      <w:r w:rsidR="000D184A" w:rsidRPr="00446A3C">
        <w:rPr>
          <w:i/>
          <w:szCs w:val="24"/>
        </w:rPr>
        <w:t>c</w:t>
      </w:r>
      <w:r w:rsidR="00CC2169" w:rsidRPr="00446A3C">
        <w:rPr>
          <w:i/>
          <w:szCs w:val="24"/>
        </w:rPr>
        <w:t xml:space="preserve">. </w:t>
      </w:r>
      <w:r w:rsidR="00D20167" w:rsidRPr="00446A3C">
        <w:rPr>
          <w:i/>
          <w:szCs w:val="24"/>
        </w:rPr>
        <w:t>La Reine</w:t>
      </w:r>
      <w:r w:rsidR="00D20167" w:rsidRPr="00446A3C">
        <w:rPr>
          <w:szCs w:val="24"/>
        </w:rPr>
        <w:t xml:space="preserve">, 2008 </w:t>
      </w:r>
      <w:r w:rsidR="00CC2169" w:rsidRPr="00446A3C">
        <w:rPr>
          <w:szCs w:val="24"/>
        </w:rPr>
        <w:t>CC</w:t>
      </w:r>
      <w:r w:rsidR="00D20167" w:rsidRPr="00446A3C">
        <w:rPr>
          <w:szCs w:val="24"/>
        </w:rPr>
        <w:t>I</w:t>
      </w:r>
      <w:r w:rsidR="00CC2169" w:rsidRPr="00446A3C">
        <w:rPr>
          <w:szCs w:val="24"/>
        </w:rPr>
        <w:t xml:space="preserve"> 486</w:t>
      </w:r>
      <w:r w:rsidR="00D20167" w:rsidRPr="00446A3C">
        <w:rPr>
          <w:szCs w:val="24"/>
        </w:rPr>
        <w:t xml:space="preserve"> (</w:t>
      </w:r>
      <w:proofErr w:type="spellStart"/>
      <w:r w:rsidR="00D20167" w:rsidRPr="00446A3C">
        <w:rPr>
          <w:szCs w:val="24"/>
        </w:rPr>
        <w:t>CanLII</w:t>
      </w:r>
      <w:proofErr w:type="spellEnd"/>
      <w:r w:rsidR="00D20167" w:rsidRPr="00446A3C">
        <w:rPr>
          <w:szCs w:val="24"/>
        </w:rPr>
        <w:t>)</w:t>
      </w:r>
      <w:r w:rsidR="00CC2169" w:rsidRPr="00446A3C">
        <w:rPr>
          <w:szCs w:val="24"/>
        </w:rPr>
        <w:t xml:space="preserve">; </w:t>
      </w:r>
      <w:r w:rsidR="00CC2169" w:rsidRPr="00446A3C">
        <w:rPr>
          <w:i/>
          <w:szCs w:val="24"/>
        </w:rPr>
        <w:t xml:space="preserve">Johnson </w:t>
      </w:r>
      <w:r w:rsidR="000D184A" w:rsidRPr="00446A3C">
        <w:rPr>
          <w:i/>
          <w:szCs w:val="24"/>
        </w:rPr>
        <w:t>c</w:t>
      </w:r>
      <w:r w:rsidR="00CC2169" w:rsidRPr="00446A3C">
        <w:rPr>
          <w:i/>
          <w:szCs w:val="24"/>
        </w:rPr>
        <w:t xml:space="preserve">. </w:t>
      </w:r>
      <w:r w:rsidR="00D214B1">
        <w:rPr>
          <w:i/>
          <w:szCs w:val="24"/>
        </w:rPr>
        <w:t>La Reine</w:t>
      </w:r>
      <w:r w:rsidR="00D20167" w:rsidRPr="00446A3C">
        <w:rPr>
          <w:szCs w:val="24"/>
        </w:rPr>
        <w:t xml:space="preserve">, 2009 </w:t>
      </w:r>
      <w:r w:rsidR="00CC2169" w:rsidRPr="00446A3C">
        <w:rPr>
          <w:szCs w:val="24"/>
        </w:rPr>
        <w:t>CC</w:t>
      </w:r>
      <w:r w:rsidR="00D20167" w:rsidRPr="00446A3C">
        <w:rPr>
          <w:szCs w:val="24"/>
        </w:rPr>
        <w:t>I</w:t>
      </w:r>
      <w:r w:rsidR="00CC2169" w:rsidRPr="00446A3C">
        <w:rPr>
          <w:szCs w:val="24"/>
        </w:rPr>
        <w:t xml:space="preserve"> 383</w:t>
      </w:r>
      <w:r w:rsidR="00D214B1">
        <w:rPr>
          <w:szCs w:val="24"/>
        </w:rPr>
        <w:t xml:space="preserve"> (</w:t>
      </w:r>
      <w:proofErr w:type="spellStart"/>
      <w:r w:rsidR="00D214B1">
        <w:rPr>
          <w:szCs w:val="24"/>
        </w:rPr>
        <w:t>CanLII</w:t>
      </w:r>
      <w:proofErr w:type="spellEnd"/>
      <w:r w:rsidR="00D214B1">
        <w:rPr>
          <w:szCs w:val="24"/>
        </w:rPr>
        <w:t>)</w:t>
      </w:r>
      <w:r w:rsidR="00CC2169" w:rsidRPr="00446A3C">
        <w:rPr>
          <w:szCs w:val="24"/>
        </w:rPr>
        <w:t xml:space="preserve">; </w:t>
      </w:r>
      <w:proofErr w:type="spellStart"/>
      <w:r w:rsidR="00CC2169" w:rsidRPr="00446A3C">
        <w:rPr>
          <w:i/>
          <w:szCs w:val="24"/>
        </w:rPr>
        <w:t>Scharfe</w:t>
      </w:r>
      <w:proofErr w:type="spellEnd"/>
      <w:r w:rsidR="00CC2169" w:rsidRPr="00446A3C">
        <w:rPr>
          <w:i/>
          <w:szCs w:val="24"/>
        </w:rPr>
        <w:t xml:space="preserve"> </w:t>
      </w:r>
      <w:r w:rsidR="000D184A" w:rsidRPr="00446A3C">
        <w:rPr>
          <w:i/>
          <w:szCs w:val="24"/>
        </w:rPr>
        <w:t>c</w:t>
      </w:r>
      <w:r w:rsidR="00CC2169" w:rsidRPr="00446A3C">
        <w:rPr>
          <w:i/>
          <w:szCs w:val="24"/>
        </w:rPr>
        <w:t>.</w:t>
      </w:r>
      <w:r w:rsidR="00272F2D">
        <w:rPr>
          <w:i/>
          <w:szCs w:val="24"/>
        </w:rPr>
        <w:t xml:space="preserve"> La Reine</w:t>
      </w:r>
      <w:r w:rsidR="00D20167" w:rsidRPr="00446A3C">
        <w:rPr>
          <w:szCs w:val="24"/>
        </w:rPr>
        <w:t xml:space="preserve">, 2010 </w:t>
      </w:r>
      <w:r w:rsidR="00D214B1">
        <w:rPr>
          <w:szCs w:val="24"/>
        </w:rPr>
        <w:t>CC</w:t>
      </w:r>
      <w:r w:rsidR="008D1D6C">
        <w:rPr>
          <w:szCs w:val="24"/>
        </w:rPr>
        <w:t>I</w:t>
      </w:r>
      <w:r w:rsidR="00CC2169" w:rsidRPr="00446A3C">
        <w:rPr>
          <w:szCs w:val="24"/>
        </w:rPr>
        <w:t xml:space="preserve"> 39</w:t>
      </w:r>
      <w:r w:rsidR="00272F2D">
        <w:rPr>
          <w:szCs w:val="24"/>
        </w:rPr>
        <w:t xml:space="preserve"> (</w:t>
      </w:r>
      <w:proofErr w:type="spellStart"/>
      <w:r w:rsidR="00272F2D">
        <w:rPr>
          <w:szCs w:val="24"/>
        </w:rPr>
        <w:t>CanLII</w:t>
      </w:r>
      <w:proofErr w:type="spellEnd"/>
      <w:r w:rsidR="00272F2D">
        <w:rPr>
          <w:szCs w:val="24"/>
        </w:rPr>
        <w:t>)</w:t>
      </w:r>
      <w:r w:rsidR="00CC2169" w:rsidRPr="00446A3C">
        <w:rPr>
          <w:szCs w:val="24"/>
        </w:rPr>
        <w:t xml:space="preserve">; </w:t>
      </w:r>
      <w:r w:rsidR="00CC2169" w:rsidRPr="00446A3C">
        <w:rPr>
          <w:i/>
          <w:szCs w:val="24"/>
        </w:rPr>
        <w:t>Turbide</w:t>
      </w:r>
      <w:r w:rsidR="0063348A" w:rsidRPr="00446A3C">
        <w:rPr>
          <w:i/>
          <w:szCs w:val="24"/>
        </w:rPr>
        <w:t xml:space="preserve"> c. </w:t>
      </w:r>
      <w:r w:rsidR="00C22206">
        <w:rPr>
          <w:i/>
          <w:szCs w:val="24"/>
        </w:rPr>
        <w:t>La Reine</w:t>
      </w:r>
      <w:r w:rsidR="00CC2169" w:rsidRPr="00446A3C">
        <w:rPr>
          <w:szCs w:val="24"/>
        </w:rPr>
        <w:t xml:space="preserve">, 2011 </w:t>
      </w:r>
      <w:r w:rsidR="0063348A" w:rsidRPr="00446A3C">
        <w:rPr>
          <w:szCs w:val="24"/>
        </w:rPr>
        <w:t>C</w:t>
      </w:r>
      <w:r w:rsidR="00CC2169" w:rsidRPr="00446A3C">
        <w:rPr>
          <w:szCs w:val="24"/>
        </w:rPr>
        <w:t>C</w:t>
      </w:r>
      <w:r w:rsidR="0063348A" w:rsidRPr="00446A3C">
        <w:rPr>
          <w:szCs w:val="24"/>
        </w:rPr>
        <w:t>I</w:t>
      </w:r>
      <w:r w:rsidR="00CC2169" w:rsidRPr="00446A3C">
        <w:rPr>
          <w:szCs w:val="24"/>
        </w:rPr>
        <w:t xml:space="preserve"> 3</w:t>
      </w:r>
      <w:r w:rsidR="0063348A" w:rsidRPr="00446A3C">
        <w:rPr>
          <w:szCs w:val="24"/>
        </w:rPr>
        <w:t>71</w:t>
      </w:r>
      <w:r w:rsidR="004A1868">
        <w:rPr>
          <w:szCs w:val="24"/>
        </w:rPr>
        <w:t xml:space="preserve"> (</w:t>
      </w:r>
      <w:proofErr w:type="spellStart"/>
      <w:r w:rsidR="004A1868">
        <w:rPr>
          <w:szCs w:val="24"/>
        </w:rPr>
        <w:t>CanLII</w:t>
      </w:r>
      <w:proofErr w:type="spellEnd"/>
      <w:r w:rsidR="004A1868">
        <w:rPr>
          <w:szCs w:val="24"/>
        </w:rPr>
        <w:t>)</w:t>
      </w:r>
      <w:r w:rsidR="00CC2169" w:rsidRPr="00446A3C">
        <w:rPr>
          <w:szCs w:val="24"/>
        </w:rPr>
        <w:t xml:space="preserve">; </w:t>
      </w:r>
      <w:r w:rsidR="00CC2169" w:rsidRPr="00446A3C">
        <w:rPr>
          <w:i/>
          <w:szCs w:val="24"/>
        </w:rPr>
        <w:t xml:space="preserve">Miller </w:t>
      </w:r>
      <w:r w:rsidR="000D184A" w:rsidRPr="00446A3C">
        <w:rPr>
          <w:i/>
          <w:szCs w:val="24"/>
        </w:rPr>
        <w:t>c</w:t>
      </w:r>
      <w:r w:rsidR="00CC2169" w:rsidRPr="00446A3C">
        <w:rPr>
          <w:i/>
          <w:szCs w:val="24"/>
        </w:rPr>
        <w:t>. Canada (</w:t>
      </w:r>
      <w:r w:rsidR="00D20167" w:rsidRPr="00446A3C">
        <w:rPr>
          <w:i/>
          <w:szCs w:val="24"/>
        </w:rPr>
        <w:t>Procureur géné</w:t>
      </w:r>
      <w:r w:rsidR="00CC2169" w:rsidRPr="00446A3C">
        <w:rPr>
          <w:i/>
          <w:szCs w:val="24"/>
        </w:rPr>
        <w:t>ral)</w:t>
      </w:r>
      <w:r w:rsidR="00CC2169" w:rsidRPr="00446A3C">
        <w:rPr>
          <w:szCs w:val="24"/>
        </w:rPr>
        <w:t>, 2002 CA</w:t>
      </w:r>
      <w:r w:rsidR="00D20167" w:rsidRPr="00446A3C">
        <w:rPr>
          <w:szCs w:val="24"/>
        </w:rPr>
        <w:t>F</w:t>
      </w:r>
      <w:r w:rsidR="00CC2169" w:rsidRPr="00446A3C">
        <w:rPr>
          <w:szCs w:val="24"/>
        </w:rPr>
        <w:t xml:space="preserve"> 370</w:t>
      </w:r>
      <w:r w:rsidR="00D20167" w:rsidRPr="00446A3C">
        <w:rPr>
          <w:szCs w:val="24"/>
        </w:rPr>
        <w:t xml:space="preserve"> (</w:t>
      </w:r>
      <w:proofErr w:type="spellStart"/>
      <w:r w:rsidR="00D20167" w:rsidRPr="00446A3C">
        <w:rPr>
          <w:szCs w:val="24"/>
        </w:rPr>
        <w:t>CanLII</w:t>
      </w:r>
      <w:proofErr w:type="spellEnd"/>
      <w:r w:rsidR="00D20167" w:rsidRPr="00446A3C">
        <w:rPr>
          <w:szCs w:val="24"/>
        </w:rPr>
        <w:t>)</w:t>
      </w:r>
      <w:r w:rsidR="00CC2169" w:rsidRPr="00446A3C">
        <w:rPr>
          <w:szCs w:val="24"/>
        </w:rPr>
        <w:t xml:space="preserve">; </w:t>
      </w:r>
      <w:r w:rsidR="00CC2169" w:rsidRPr="00446A3C">
        <w:rPr>
          <w:i/>
          <w:szCs w:val="24"/>
        </w:rPr>
        <w:t>Ontario (</w:t>
      </w:r>
      <w:r w:rsidR="000D184A" w:rsidRPr="00446A3C">
        <w:rPr>
          <w:i/>
          <w:szCs w:val="24"/>
        </w:rPr>
        <w:t>Procureur géné</w:t>
      </w:r>
      <w:r w:rsidR="00CC2169" w:rsidRPr="00446A3C">
        <w:rPr>
          <w:i/>
          <w:szCs w:val="24"/>
        </w:rPr>
        <w:t xml:space="preserve">ral) </w:t>
      </w:r>
      <w:r w:rsidR="000D184A" w:rsidRPr="00446A3C">
        <w:rPr>
          <w:i/>
          <w:szCs w:val="24"/>
        </w:rPr>
        <w:t>c</w:t>
      </w:r>
      <w:r w:rsidR="00CC2169" w:rsidRPr="00446A3C">
        <w:rPr>
          <w:i/>
          <w:szCs w:val="24"/>
        </w:rPr>
        <w:t>. Fraser</w:t>
      </w:r>
      <w:r w:rsidR="00CC2169" w:rsidRPr="00446A3C">
        <w:rPr>
          <w:szCs w:val="24"/>
        </w:rPr>
        <w:t xml:space="preserve">, 2011 </w:t>
      </w:r>
      <w:r w:rsidR="000D184A" w:rsidRPr="00446A3C">
        <w:rPr>
          <w:szCs w:val="24"/>
        </w:rPr>
        <w:t>C</w:t>
      </w:r>
      <w:r w:rsidR="00CC2169" w:rsidRPr="00446A3C">
        <w:rPr>
          <w:szCs w:val="24"/>
        </w:rPr>
        <w:t xml:space="preserve">SC 20, [2011] 2 </w:t>
      </w:r>
      <w:r w:rsidR="000D184A" w:rsidRPr="00446A3C">
        <w:rPr>
          <w:szCs w:val="24"/>
        </w:rPr>
        <w:t>R.C.</w:t>
      </w:r>
      <w:r w:rsidR="00CC2169" w:rsidRPr="00446A3C">
        <w:rPr>
          <w:szCs w:val="24"/>
        </w:rPr>
        <w:t xml:space="preserve">S. 3; </w:t>
      </w:r>
      <w:r w:rsidR="00CC2169" w:rsidRPr="00446A3C">
        <w:rPr>
          <w:i/>
          <w:szCs w:val="24"/>
        </w:rPr>
        <w:t xml:space="preserve">R. </w:t>
      </w:r>
      <w:r w:rsidR="000D184A" w:rsidRPr="00446A3C">
        <w:rPr>
          <w:i/>
          <w:szCs w:val="24"/>
        </w:rPr>
        <w:t>c</w:t>
      </w:r>
      <w:r w:rsidR="00CC2169" w:rsidRPr="00446A3C">
        <w:rPr>
          <w:i/>
          <w:szCs w:val="24"/>
        </w:rPr>
        <w:t xml:space="preserve">. </w:t>
      </w:r>
      <w:proofErr w:type="spellStart"/>
      <w:r w:rsidR="00CC2169" w:rsidRPr="00446A3C">
        <w:rPr>
          <w:i/>
          <w:szCs w:val="24"/>
        </w:rPr>
        <w:t>Chaulk</w:t>
      </w:r>
      <w:proofErr w:type="spellEnd"/>
      <w:r w:rsidR="00CC2169" w:rsidRPr="00446A3C">
        <w:rPr>
          <w:szCs w:val="24"/>
        </w:rPr>
        <w:t xml:space="preserve">, [1990] 3 </w:t>
      </w:r>
      <w:r w:rsidR="000D184A" w:rsidRPr="00446A3C">
        <w:rPr>
          <w:szCs w:val="24"/>
        </w:rPr>
        <w:t>R.C.</w:t>
      </w:r>
      <w:r w:rsidR="00CC2169" w:rsidRPr="00446A3C">
        <w:rPr>
          <w:szCs w:val="24"/>
        </w:rPr>
        <w:t xml:space="preserve">S. 1303; </w:t>
      </w:r>
      <w:r w:rsidR="00CC2169" w:rsidRPr="00446A3C">
        <w:rPr>
          <w:i/>
          <w:szCs w:val="24"/>
        </w:rPr>
        <w:t xml:space="preserve">R. </w:t>
      </w:r>
      <w:r w:rsidR="000D184A" w:rsidRPr="00446A3C">
        <w:rPr>
          <w:i/>
          <w:szCs w:val="24"/>
        </w:rPr>
        <w:t>c</w:t>
      </w:r>
      <w:r w:rsidR="00CC2169" w:rsidRPr="00446A3C">
        <w:rPr>
          <w:i/>
          <w:szCs w:val="24"/>
        </w:rPr>
        <w:t>. B. (K.G.)</w:t>
      </w:r>
      <w:r w:rsidR="00CC2169" w:rsidRPr="00446A3C">
        <w:rPr>
          <w:szCs w:val="24"/>
        </w:rPr>
        <w:t xml:space="preserve">, [1993] 1 </w:t>
      </w:r>
      <w:r w:rsidR="000D184A" w:rsidRPr="00446A3C">
        <w:rPr>
          <w:szCs w:val="24"/>
        </w:rPr>
        <w:t>R.C.</w:t>
      </w:r>
      <w:r w:rsidR="00CC2169" w:rsidRPr="00446A3C">
        <w:rPr>
          <w:szCs w:val="24"/>
        </w:rPr>
        <w:t xml:space="preserve">S. 740; </w:t>
      </w:r>
      <w:r w:rsidR="00CC2169" w:rsidRPr="00446A3C">
        <w:rPr>
          <w:i/>
          <w:szCs w:val="24"/>
        </w:rPr>
        <w:t xml:space="preserve">R. </w:t>
      </w:r>
      <w:r w:rsidR="000D184A" w:rsidRPr="00446A3C">
        <w:rPr>
          <w:i/>
          <w:szCs w:val="24"/>
        </w:rPr>
        <w:t>c</w:t>
      </w:r>
      <w:r w:rsidR="00CC2169" w:rsidRPr="00446A3C">
        <w:rPr>
          <w:i/>
          <w:szCs w:val="24"/>
        </w:rPr>
        <w:t>. Robinson</w:t>
      </w:r>
      <w:r w:rsidR="00CC2169" w:rsidRPr="00446A3C">
        <w:rPr>
          <w:szCs w:val="24"/>
        </w:rPr>
        <w:t xml:space="preserve">, [1996] 1 </w:t>
      </w:r>
      <w:r w:rsidR="000D184A" w:rsidRPr="00446A3C">
        <w:rPr>
          <w:szCs w:val="24"/>
        </w:rPr>
        <w:t>R.C.</w:t>
      </w:r>
      <w:r w:rsidR="00CC2169" w:rsidRPr="00446A3C">
        <w:rPr>
          <w:szCs w:val="24"/>
        </w:rPr>
        <w:t xml:space="preserve">S. 683; </w:t>
      </w:r>
      <w:r w:rsidR="00CC2169" w:rsidRPr="00446A3C">
        <w:rPr>
          <w:i/>
          <w:szCs w:val="24"/>
        </w:rPr>
        <w:t xml:space="preserve">R. </w:t>
      </w:r>
      <w:r w:rsidR="000D184A" w:rsidRPr="00446A3C">
        <w:rPr>
          <w:i/>
          <w:szCs w:val="24"/>
        </w:rPr>
        <w:t>c</w:t>
      </w:r>
      <w:r w:rsidR="00CC2169" w:rsidRPr="00446A3C">
        <w:rPr>
          <w:i/>
          <w:szCs w:val="24"/>
        </w:rPr>
        <w:t xml:space="preserve">. </w:t>
      </w:r>
      <w:proofErr w:type="spellStart"/>
      <w:r w:rsidR="00CC2169" w:rsidRPr="00446A3C">
        <w:rPr>
          <w:i/>
          <w:szCs w:val="24"/>
        </w:rPr>
        <w:t>Salituro</w:t>
      </w:r>
      <w:proofErr w:type="spellEnd"/>
      <w:r w:rsidR="00CC2169" w:rsidRPr="00446A3C">
        <w:rPr>
          <w:szCs w:val="24"/>
        </w:rPr>
        <w:t xml:space="preserve">, [1991] 3 </w:t>
      </w:r>
      <w:r w:rsidR="000D184A" w:rsidRPr="00446A3C">
        <w:rPr>
          <w:szCs w:val="24"/>
        </w:rPr>
        <w:t>R.C.</w:t>
      </w:r>
      <w:r w:rsidR="00CC2169" w:rsidRPr="00446A3C">
        <w:rPr>
          <w:szCs w:val="24"/>
        </w:rPr>
        <w:t>S. 654;</w:t>
      </w:r>
      <w:r w:rsidR="00C7346A" w:rsidRPr="00446A3C">
        <w:rPr>
          <w:szCs w:val="24"/>
        </w:rPr>
        <w:t xml:space="preserve"> </w:t>
      </w:r>
      <w:r w:rsidR="00C7346A" w:rsidRPr="00446A3C">
        <w:rPr>
          <w:i/>
          <w:szCs w:val="24"/>
        </w:rPr>
        <w:t xml:space="preserve">Ministre des Affaires indiennes et du Nord canadien c. </w:t>
      </w:r>
      <w:proofErr w:type="spellStart"/>
      <w:r w:rsidR="00C7346A" w:rsidRPr="00446A3C">
        <w:rPr>
          <w:i/>
          <w:szCs w:val="24"/>
        </w:rPr>
        <w:t>Ranville</w:t>
      </w:r>
      <w:proofErr w:type="spellEnd"/>
      <w:r w:rsidR="00C7346A" w:rsidRPr="00446A3C">
        <w:rPr>
          <w:szCs w:val="24"/>
        </w:rPr>
        <w:t xml:space="preserve">, [1982] 2 R.C.S. 518; </w:t>
      </w:r>
      <w:proofErr w:type="spellStart"/>
      <w:r w:rsidR="00CC2169" w:rsidRPr="00446A3C">
        <w:rPr>
          <w:i/>
          <w:szCs w:val="24"/>
        </w:rPr>
        <w:t>Hamstra</w:t>
      </w:r>
      <w:proofErr w:type="spellEnd"/>
      <w:r w:rsidR="00CC2169" w:rsidRPr="00446A3C">
        <w:rPr>
          <w:i/>
          <w:szCs w:val="24"/>
        </w:rPr>
        <w:t xml:space="preserve"> (</w:t>
      </w:r>
      <w:r w:rsidR="000D184A" w:rsidRPr="00446A3C">
        <w:rPr>
          <w:i/>
          <w:szCs w:val="24"/>
        </w:rPr>
        <w:t>Tuteur à l</w:t>
      </w:r>
      <w:r w:rsidR="00096C17">
        <w:rPr>
          <w:i/>
          <w:szCs w:val="24"/>
        </w:rPr>
        <w:t>’</w:t>
      </w:r>
      <w:r w:rsidR="000D184A" w:rsidRPr="00446A3C">
        <w:rPr>
          <w:i/>
          <w:szCs w:val="24"/>
        </w:rPr>
        <w:t>instance de</w:t>
      </w:r>
      <w:r w:rsidR="00CC2169" w:rsidRPr="00446A3C">
        <w:rPr>
          <w:i/>
          <w:szCs w:val="24"/>
        </w:rPr>
        <w:t xml:space="preserve">) </w:t>
      </w:r>
      <w:r w:rsidR="000D184A" w:rsidRPr="00446A3C">
        <w:rPr>
          <w:i/>
          <w:szCs w:val="24"/>
        </w:rPr>
        <w:t>c</w:t>
      </w:r>
      <w:r w:rsidR="00CC2169" w:rsidRPr="00446A3C">
        <w:rPr>
          <w:i/>
          <w:szCs w:val="24"/>
        </w:rPr>
        <w:t>. British Columbia Rugby Union</w:t>
      </w:r>
      <w:r w:rsidR="00CC2169" w:rsidRPr="00446A3C">
        <w:rPr>
          <w:szCs w:val="24"/>
        </w:rPr>
        <w:t xml:space="preserve">, [1997] 1 </w:t>
      </w:r>
      <w:r w:rsidR="000D184A" w:rsidRPr="00446A3C">
        <w:rPr>
          <w:szCs w:val="24"/>
        </w:rPr>
        <w:t>R.C.</w:t>
      </w:r>
      <w:r w:rsidR="00CC2169" w:rsidRPr="00446A3C">
        <w:rPr>
          <w:szCs w:val="24"/>
        </w:rPr>
        <w:t xml:space="preserve">S. 1092; </w:t>
      </w:r>
      <w:r w:rsidR="00CC2169" w:rsidRPr="00446A3C">
        <w:rPr>
          <w:i/>
          <w:szCs w:val="24"/>
        </w:rPr>
        <w:t xml:space="preserve">R. </w:t>
      </w:r>
      <w:r w:rsidR="000D184A" w:rsidRPr="00446A3C">
        <w:rPr>
          <w:i/>
          <w:szCs w:val="24"/>
        </w:rPr>
        <w:t>c</w:t>
      </w:r>
      <w:r w:rsidR="00CC2169" w:rsidRPr="00446A3C">
        <w:rPr>
          <w:i/>
          <w:szCs w:val="24"/>
        </w:rPr>
        <w:t>. Henry</w:t>
      </w:r>
      <w:r w:rsidR="00CC2169" w:rsidRPr="00446A3C">
        <w:rPr>
          <w:szCs w:val="24"/>
        </w:rPr>
        <w:t xml:space="preserve">, 2005 </w:t>
      </w:r>
      <w:r w:rsidR="000D184A" w:rsidRPr="00446A3C">
        <w:rPr>
          <w:szCs w:val="24"/>
        </w:rPr>
        <w:t>C</w:t>
      </w:r>
      <w:r w:rsidR="00CC2169" w:rsidRPr="00446A3C">
        <w:rPr>
          <w:szCs w:val="24"/>
        </w:rPr>
        <w:t xml:space="preserve">SC 76, [2005] 3 </w:t>
      </w:r>
      <w:r w:rsidR="000D184A" w:rsidRPr="00446A3C">
        <w:rPr>
          <w:szCs w:val="24"/>
        </w:rPr>
        <w:t>R.C.</w:t>
      </w:r>
      <w:r w:rsidR="00CC2169" w:rsidRPr="00446A3C">
        <w:rPr>
          <w:szCs w:val="24"/>
        </w:rPr>
        <w:t xml:space="preserve">S. 609; </w:t>
      </w:r>
      <w:r w:rsidR="00CC2169" w:rsidRPr="00446A3C">
        <w:rPr>
          <w:i/>
          <w:szCs w:val="24"/>
        </w:rPr>
        <w:t xml:space="preserve">Queensland </w:t>
      </w:r>
      <w:r w:rsidR="000D184A" w:rsidRPr="00446A3C">
        <w:rPr>
          <w:i/>
          <w:szCs w:val="24"/>
        </w:rPr>
        <w:t>c</w:t>
      </w:r>
      <w:r w:rsidR="00CC2169" w:rsidRPr="00446A3C">
        <w:rPr>
          <w:i/>
          <w:szCs w:val="24"/>
        </w:rPr>
        <w:t>. Commonwealth</w:t>
      </w:r>
      <w:r w:rsidR="00CC2169" w:rsidRPr="00446A3C">
        <w:rPr>
          <w:szCs w:val="24"/>
        </w:rPr>
        <w:t xml:space="preserve"> (1977), 139 C.L.R. 585; </w:t>
      </w:r>
      <w:r w:rsidR="00C7346A" w:rsidRPr="00446A3C">
        <w:rPr>
          <w:i/>
          <w:szCs w:val="24"/>
        </w:rPr>
        <w:t>R. c. Bernard</w:t>
      </w:r>
      <w:r w:rsidR="00C7346A" w:rsidRPr="00446A3C">
        <w:rPr>
          <w:szCs w:val="24"/>
        </w:rPr>
        <w:t xml:space="preserve">, [1988] 2 R.C.S. 833; </w:t>
      </w:r>
      <w:r w:rsidR="008B28DA" w:rsidRPr="00446A3C">
        <w:rPr>
          <w:i/>
          <w:szCs w:val="24"/>
        </w:rPr>
        <w:t xml:space="preserve">Hypothèques </w:t>
      </w:r>
      <w:proofErr w:type="spellStart"/>
      <w:r w:rsidR="00CC2169" w:rsidRPr="00446A3C">
        <w:rPr>
          <w:i/>
          <w:szCs w:val="24"/>
        </w:rPr>
        <w:t>Trustco</w:t>
      </w:r>
      <w:proofErr w:type="spellEnd"/>
      <w:r w:rsidR="00CC2169" w:rsidRPr="00446A3C">
        <w:rPr>
          <w:i/>
          <w:szCs w:val="24"/>
        </w:rPr>
        <w:t xml:space="preserve"> </w:t>
      </w:r>
      <w:r w:rsidR="008B28DA" w:rsidRPr="00446A3C">
        <w:rPr>
          <w:i/>
          <w:szCs w:val="24"/>
        </w:rPr>
        <w:t>Canada c</w:t>
      </w:r>
      <w:r w:rsidR="00CC2169" w:rsidRPr="00446A3C">
        <w:rPr>
          <w:i/>
          <w:szCs w:val="24"/>
        </w:rPr>
        <w:t>. Canada</w:t>
      </w:r>
      <w:r w:rsidR="00CC2169" w:rsidRPr="00446A3C">
        <w:rPr>
          <w:szCs w:val="24"/>
        </w:rPr>
        <w:t xml:space="preserve">, 2005 </w:t>
      </w:r>
      <w:r w:rsidR="008B28DA" w:rsidRPr="00446A3C">
        <w:rPr>
          <w:szCs w:val="24"/>
        </w:rPr>
        <w:t>C</w:t>
      </w:r>
      <w:r w:rsidR="00CC2169" w:rsidRPr="00446A3C">
        <w:rPr>
          <w:szCs w:val="24"/>
        </w:rPr>
        <w:t xml:space="preserve">SC 54, [2005] 2 </w:t>
      </w:r>
      <w:r w:rsidR="008B28DA" w:rsidRPr="00446A3C">
        <w:rPr>
          <w:szCs w:val="24"/>
        </w:rPr>
        <w:t>R.C.</w:t>
      </w:r>
      <w:r w:rsidR="00CC2169" w:rsidRPr="00446A3C">
        <w:rPr>
          <w:szCs w:val="24"/>
        </w:rPr>
        <w:t xml:space="preserve">S. 601; </w:t>
      </w:r>
      <w:r w:rsidR="00CC2169" w:rsidRPr="00446A3C">
        <w:rPr>
          <w:i/>
          <w:szCs w:val="24"/>
        </w:rPr>
        <w:t xml:space="preserve">Stewart </w:t>
      </w:r>
      <w:r w:rsidR="008B28DA" w:rsidRPr="00446A3C">
        <w:rPr>
          <w:i/>
          <w:szCs w:val="24"/>
        </w:rPr>
        <w:t>c</w:t>
      </w:r>
      <w:r w:rsidR="00CC2169" w:rsidRPr="00446A3C">
        <w:rPr>
          <w:i/>
          <w:szCs w:val="24"/>
        </w:rPr>
        <w:t>. Canada</w:t>
      </w:r>
      <w:r w:rsidR="00CC2169" w:rsidRPr="00446A3C">
        <w:rPr>
          <w:szCs w:val="24"/>
        </w:rPr>
        <w:t xml:space="preserve">, 2002 </w:t>
      </w:r>
      <w:r w:rsidR="008B28DA" w:rsidRPr="00446A3C">
        <w:rPr>
          <w:szCs w:val="24"/>
        </w:rPr>
        <w:t>C</w:t>
      </w:r>
      <w:r w:rsidR="00CC2169" w:rsidRPr="00446A3C">
        <w:rPr>
          <w:szCs w:val="24"/>
        </w:rPr>
        <w:t xml:space="preserve">SC 46, [2002] 2 </w:t>
      </w:r>
      <w:r w:rsidR="008B28DA" w:rsidRPr="00446A3C">
        <w:rPr>
          <w:szCs w:val="24"/>
        </w:rPr>
        <w:t>R.C.</w:t>
      </w:r>
      <w:r w:rsidR="00CC2169" w:rsidRPr="00446A3C">
        <w:rPr>
          <w:szCs w:val="24"/>
        </w:rPr>
        <w:t xml:space="preserve">S. 645; </w:t>
      </w:r>
      <w:proofErr w:type="spellStart"/>
      <w:r w:rsidR="00CC2169" w:rsidRPr="00446A3C">
        <w:rPr>
          <w:i/>
          <w:szCs w:val="24"/>
        </w:rPr>
        <w:t>Canderel</w:t>
      </w:r>
      <w:proofErr w:type="spellEnd"/>
      <w:r w:rsidR="00CC2169" w:rsidRPr="00446A3C">
        <w:rPr>
          <w:i/>
          <w:szCs w:val="24"/>
        </w:rPr>
        <w:t xml:space="preserve"> </w:t>
      </w:r>
      <w:proofErr w:type="spellStart"/>
      <w:r w:rsidR="00CC2169" w:rsidRPr="00446A3C">
        <w:rPr>
          <w:i/>
          <w:szCs w:val="24"/>
        </w:rPr>
        <w:t>Lt</w:t>
      </w:r>
      <w:r w:rsidR="008B28DA" w:rsidRPr="00446A3C">
        <w:rPr>
          <w:i/>
          <w:szCs w:val="24"/>
        </w:rPr>
        <w:t>ée</w:t>
      </w:r>
      <w:proofErr w:type="spellEnd"/>
      <w:r w:rsidR="00CC2169" w:rsidRPr="00446A3C">
        <w:rPr>
          <w:i/>
          <w:szCs w:val="24"/>
        </w:rPr>
        <w:t xml:space="preserve"> </w:t>
      </w:r>
      <w:r w:rsidR="008B28DA" w:rsidRPr="00446A3C">
        <w:rPr>
          <w:i/>
          <w:szCs w:val="24"/>
        </w:rPr>
        <w:t>c</w:t>
      </w:r>
      <w:r w:rsidR="00CC2169" w:rsidRPr="00446A3C">
        <w:rPr>
          <w:i/>
          <w:szCs w:val="24"/>
        </w:rPr>
        <w:t>. Canada</w:t>
      </w:r>
      <w:r w:rsidR="00CC2169" w:rsidRPr="00446A3C">
        <w:rPr>
          <w:szCs w:val="24"/>
        </w:rPr>
        <w:t xml:space="preserve">, [1998] 1 </w:t>
      </w:r>
      <w:r w:rsidR="008B28DA" w:rsidRPr="00446A3C">
        <w:rPr>
          <w:szCs w:val="24"/>
        </w:rPr>
        <w:t>R.C.</w:t>
      </w:r>
      <w:r w:rsidR="00CC2169" w:rsidRPr="00446A3C">
        <w:rPr>
          <w:szCs w:val="24"/>
        </w:rPr>
        <w:t>S. 147.</w:t>
      </w:r>
    </w:p>
    <w:p w:rsidR="00231F3A" w:rsidRPr="00446A3C" w:rsidRDefault="0043088E" w:rsidP="003A5F1F">
      <w:pPr>
        <w:pStyle w:val="SCCNormalDoubleSpacing"/>
        <w:keepNext/>
        <w:spacing w:after="720" w:line="240" w:lineRule="auto"/>
        <w:rPr>
          <w:b/>
          <w:szCs w:val="24"/>
        </w:rPr>
      </w:pPr>
      <w:r w:rsidRPr="00446A3C">
        <w:rPr>
          <w:b/>
          <w:szCs w:val="24"/>
        </w:rPr>
        <w:lastRenderedPageBreak/>
        <w:t>Lois</w:t>
      </w:r>
      <w:r w:rsidR="002E6705" w:rsidRPr="00446A3C">
        <w:rPr>
          <w:b/>
          <w:szCs w:val="24"/>
        </w:rPr>
        <w:t xml:space="preserve"> </w:t>
      </w:r>
      <w:r w:rsidR="008A6558" w:rsidRPr="00446A3C">
        <w:rPr>
          <w:b/>
          <w:szCs w:val="24"/>
        </w:rPr>
        <w:t>et</w:t>
      </w:r>
      <w:r w:rsidR="002E6705" w:rsidRPr="00446A3C">
        <w:rPr>
          <w:b/>
          <w:szCs w:val="24"/>
        </w:rPr>
        <w:t xml:space="preserve"> </w:t>
      </w:r>
      <w:r w:rsidRPr="00446A3C">
        <w:rPr>
          <w:b/>
          <w:szCs w:val="24"/>
        </w:rPr>
        <w:t>rè</w:t>
      </w:r>
      <w:r w:rsidR="002E6705" w:rsidRPr="00446A3C">
        <w:rPr>
          <w:b/>
          <w:szCs w:val="24"/>
        </w:rPr>
        <w:t>gl</w:t>
      </w:r>
      <w:r w:rsidRPr="00446A3C">
        <w:rPr>
          <w:b/>
          <w:szCs w:val="24"/>
        </w:rPr>
        <w:t>ements</w:t>
      </w:r>
      <w:r w:rsidR="002E6705" w:rsidRPr="00446A3C">
        <w:rPr>
          <w:b/>
          <w:szCs w:val="24"/>
        </w:rPr>
        <w:t xml:space="preserve"> </w:t>
      </w:r>
      <w:r w:rsidRPr="00446A3C">
        <w:rPr>
          <w:b/>
          <w:szCs w:val="24"/>
        </w:rPr>
        <w:t>c</w:t>
      </w:r>
      <w:r w:rsidR="002E6705" w:rsidRPr="00446A3C">
        <w:rPr>
          <w:b/>
          <w:szCs w:val="24"/>
        </w:rPr>
        <w:t>it</w:t>
      </w:r>
      <w:r w:rsidRPr="00446A3C">
        <w:rPr>
          <w:b/>
          <w:szCs w:val="24"/>
        </w:rPr>
        <w:t>és</w:t>
      </w:r>
    </w:p>
    <w:p w:rsidR="000A5321" w:rsidRPr="00446A3C" w:rsidRDefault="009E6646" w:rsidP="00034555">
      <w:pPr>
        <w:pStyle w:val="SCCNormalDoubleSpacing"/>
        <w:spacing w:after="240" w:line="240" w:lineRule="auto"/>
        <w:ind w:left="533" w:hanging="533"/>
        <w:rPr>
          <w:szCs w:val="24"/>
        </w:rPr>
      </w:pPr>
      <w:r w:rsidRPr="00446A3C">
        <w:rPr>
          <w:i/>
          <w:szCs w:val="24"/>
        </w:rPr>
        <w:t>Loi de l</w:t>
      </w:r>
      <w:r w:rsidR="00096C17">
        <w:rPr>
          <w:i/>
          <w:szCs w:val="24"/>
        </w:rPr>
        <w:t>’</w:t>
      </w:r>
      <w:r w:rsidRPr="00446A3C">
        <w:rPr>
          <w:i/>
          <w:szCs w:val="24"/>
        </w:rPr>
        <w:t>impôt sur le revenu</w:t>
      </w:r>
      <w:r w:rsidR="00D108A8" w:rsidRPr="00446A3C">
        <w:rPr>
          <w:szCs w:val="24"/>
        </w:rPr>
        <w:t xml:space="preserve">, L.R.C. 1985, </w:t>
      </w:r>
      <w:r w:rsidR="00A448E1" w:rsidRPr="00446A3C">
        <w:rPr>
          <w:szCs w:val="24"/>
        </w:rPr>
        <w:t>ch. </w:t>
      </w:r>
      <w:r w:rsidRPr="00446A3C">
        <w:rPr>
          <w:szCs w:val="24"/>
        </w:rPr>
        <w:t>1 (5</w:t>
      </w:r>
      <w:r w:rsidRPr="00446A3C">
        <w:rPr>
          <w:szCs w:val="24"/>
          <w:vertAlign w:val="superscript"/>
        </w:rPr>
        <w:t>e</w:t>
      </w:r>
      <w:r w:rsidRPr="00446A3C">
        <w:rPr>
          <w:szCs w:val="24"/>
        </w:rPr>
        <w:t xml:space="preserve"> suppl.), </w:t>
      </w:r>
      <w:r w:rsidR="00A448E1" w:rsidRPr="00446A3C">
        <w:rPr>
          <w:szCs w:val="24"/>
        </w:rPr>
        <w:t>art. </w:t>
      </w:r>
      <w:r w:rsidRPr="00446A3C">
        <w:rPr>
          <w:szCs w:val="24"/>
        </w:rPr>
        <w:t>31, 248(1).</w:t>
      </w:r>
    </w:p>
    <w:p w:rsidR="005B2741" w:rsidRDefault="005B2741" w:rsidP="003A5F1F">
      <w:pPr>
        <w:pStyle w:val="SCCNormalDoubleSpacing"/>
        <w:keepNext/>
        <w:spacing w:after="720" w:line="240" w:lineRule="auto"/>
        <w:rPr>
          <w:b/>
          <w:szCs w:val="24"/>
        </w:rPr>
      </w:pPr>
    </w:p>
    <w:p w:rsidR="002E6705" w:rsidRPr="00446A3C" w:rsidRDefault="0043088E" w:rsidP="003A5F1F">
      <w:pPr>
        <w:pStyle w:val="SCCNormalDoubleSpacing"/>
        <w:keepNext/>
        <w:spacing w:after="720" w:line="240" w:lineRule="auto"/>
        <w:rPr>
          <w:b/>
          <w:szCs w:val="24"/>
        </w:rPr>
      </w:pPr>
      <w:r w:rsidRPr="00446A3C">
        <w:rPr>
          <w:b/>
          <w:szCs w:val="24"/>
        </w:rPr>
        <w:t>Doctrine</w:t>
      </w:r>
      <w:r w:rsidR="002E6705" w:rsidRPr="00446A3C">
        <w:rPr>
          <w:b/>
          <w:szCs w:val="24"/>
        </w:rPr>
        <w:t xml:space="preserve"> </w:t>
      </w:r>
      <w:r w:rsidR="009E6646" w:rsidRPr="00446A3C">
        <w:rPr>
          <w:b/>
          <w:szCs w:val="24"/>
        </w:rPr>
        <w:t xml:space="preserve">et autres documents </w:t>
      </w:r>
      <w:r w:rsidRPr="00446A3C">
        <w:rPr>
          <w:b/>
          <w:szCs w:val="24"/>
        </w:rPr>
        <w:t>c</w:t>
      </w:r>
      <w:r w:rsidR="002E6705" w:rsidRPr="00446A3C">
        <w:rPr>
          <w:b/>
          <w:szCs w:val="24"/>
        </w:rPr>
        <w:t>it</w:t>
      </w:r>
      <w:r w:rsidRPr="00446A3C">
        <w:rPr>
          <w:b/>
          <w:szCs w:val="24"/>
        </w:rPr>
        <w:t>é</w:t>
      </w:r>
      <w:r w:rsidR="009E6646" w:rsidRPr="00446A3C">
        <w:rPr>
          <w:b/>
          <w:szCs w:val="24"/>
        </w:rPr>
        <w:t>s</w:t>
      </w:r>
    </w:p>
    <w:p w:rsidR="00B21BF2" w:rsidRPr="00446A3C" w:rsidRDefault="007500BE" w:rsidP="003A5F1F">
      <w:pPr>
        <w:pStyle w:val="SCCNormalDoubleSpacing"/>
        <w:spacing w:after="240" w:line="240" w:lineRule="auto"/>
        <w:ind w:left="539" w:hanging="539"/>
        <w:rPr>
          <w:szCs w:val="24"/>
          <w:lang w:val="en-US"/>
        </w:rPr>
      </w:pPr>
      <w:proofErr w:type="spellStart"/>
      <w:r w:rsidRPr="00446A3C">
        <w:rPr>
          <w:szCs w:val="24"/>
          <w:lang w:val="en-US"/>
        </w:rPr>
        <w:t>Felesky</w:t>
      </w:r>
      <w:proofErr w:type="spellEnd"/>
      <w:r w:rsidRPr="00446A3C">
        <w:rPr>
          <w:szCs w:val="24"/>
          <w:lang w:val="en-US"/>
        </w:rPr>
        <w:t>, Brian </w:t>
      </w:r>
      <w:r w:rsidR="00B21BF2" w:rsidRPr="00446A3C">
        <w:rPr>
          <w:szCs w:val="24"/>
          <w:lang w:val="en-US"/>
        </w:rPr>
        <w:t xml:space="preserve">A.  </w:t>
      </w:r>
      <w:proofErr w:type="gramStart"/>
      <w:r w:rsidR="00B21BF2" w:rsidRPr="00446A3C">
        <w:rPr>
          <w:szCs w:val="24"/>
          <w:lang w:val="en-US"/>
        </w:rPr>
        <w:t xml:space="preserve">« “Hobby” Farm Losses », in </w:t>
      </w:r>
      <w:r w:rsidR="00B21BF2" w:rsidRPr="00446A3C">
        <w:rPr>
          <w:i/>
          <w:szCs w:val="24"/>
          <w:lang w:val="en-US"/>
        </w:rPr>
        <w:t>Report of Proceedings of the Twenty</w:t>
      </w:r>
      <w:r w:rsidR="00A448E1" w:rsidRPr="00446A3C">
        <w:rPr>
          <w:i/>
          <w:szCs w:val="24"/>
          <w:lang w:val="en-US"/>
        </w:rPr>
        <w:noBreakHyphen/>
      </w:r>
      <w:proofErr w:type="spellStart"/>
      <w:r w:rsidR="00B21BF2" w:rsidRPr="00446A3C">
        <w:rPr>
          <w:i/>
          <w:szCs w:val="24"/>
          <w:lang w:val="en-US"/>
        </w:rPr>
        <w:t>Sixth</w:t>
      </w:r>
      <w:proofErr w:type="spellEnd"/>
      <w:r w:rsidR="00B21BF2" w:rsidRPr="00446A3C">
        <w:rPr>
          <w:i/>
          <w:szCs w:val="24"/>
          <w:lang w:val="en-US"/>
        </w:rPr>
        <w:t xml:space="preserve"> Tax Conference</w:t>
      </w:r>
      <w:r w:rsidR="00B21BF2" w:rsidRPr="00446A3C">
        <w:rPr>
          <w:szCs w:val="24"/>
          <w:lang w:val="en-US"/>
        </w:rPr>
        <w:t>.</w:t>
      </w:r>
      <w:proofErr w:type="gramEnd"/>
      <w:r w:rsidR="00B21BF2" w:rsidRPr="00446A3C">
        <w:rPr>
          <w:szCs w:val="24"/>
          <w:lang w:val="en-US"/>
        </w:rPr>
        <w:t xml:space="preserve">  </w:t>
      </w:r>
      <w:proofErr w:type="gramStart"/>
      <w:r w:rsidR="00B21BF2" w:rsidRPr="00446A3C">
        <w:rPr>
          <w:szCs w:val="24"/>
          <w:lang w:val="en-US"/>
        </w:rPr>
        <w:t>Toronto</w:t>
      </w:r>
      <w:r w:rsidR="00A448E1" w:rsidRPr="00446A3C">
        <w:rPr>
          <w:szCs w:val="24"/>
          <w:lang w:val="en-US"/>
        </w:rPr>
        <w:t> :</w:t>
      </w:r>
      <w:proofErr w:type="gramEnd"/>
      <w:r w:rsidR="008B5243">
        <w:rPr>
          <w:szCs w:val="24"/>
          <w:lang w:val="en-US"/>
        </w:rPr>
        <w:t xml:space="preserve"> Canadian Tax Foundation, 1974</w:t>
      </w:r>
      <w:r w:rsidR="00B21BF2" w:rsidRPr="00446A3C">
        <w:rPr>
          <w:szCs w:val="24"/>
          <w:lang w:val="en-US"/>
        </w:rPr>
        <w:t>, 625.</w:t>
      </w:r>
    </w:p>
    <w:p w:rsidR="00A2213F" w:rsidRPr="00446A3C" w:rsidRDefault="00A2213F" w:rsidP="003A5F1F">
      <w:pPr>
        <w:pStyle w:val="SCCNormalDoubleSpacing"/>
        <w:spacing w:after="240" w:line="240" w:lineRule="auto"/>
        <w:ind w:left="539" w:hanging="539"/>
        <w:rPr>
          <w:szCs w:val="24"/>
          <w:lang w:val="en-US"/>
        </w:rPr>
      </w:pPr>
      <w:r w:rsidRPr="00446A3C">
        <w:rPr>
          <w:szCs w:val="24"/>
          <w:lang w:val="en-US"/>
        </w:rPr>
        <w:t xml:space="preserve">McNair, D. K.  </w:t>
      </w:r>
      <w:proofErr w:type="gramStart"/>
      <w:r w:rsidRPr="00446A3C">
        <w:rPr>
          <w:i/>
          <w:szCs w:val="24"/>
          <w:lang w:val="en-US"/>
        </w:rPr>
        <w:t>Taxation of Farmers and Fishermen</w:t>
      </w:r>
      <w:r w:rsidRPr="00446A3C">
        <w:rPr>
          <w:szCs w:val="24"/>
          <w:lang w:val="en-US"/>
        </w:rPr>
        <w:t>.</w:t>
      </w:r>
      <w:proofErr w:type="gramEnd"/>
      <w:r w:rsidRPr="00446A3C">
        <w:rPr>
          <w:szCs w:val="24"/>
          <w:lang w:val="en-US"/>
        </w:rPr>
        <w:t xml:space="preserve">  </w:t>
      </w:r>
      <w:proofErr w:type="gramStart"/>
      <w:r w:rsidRPr="00446A3C">
        <w:rPr>
          <w:szCs w:val="24"/>
          <w:lang w:val="en-US"/>
        </w:rPr>
        <w:t>Toronto</w:t>
      </w:r>
      <w:r w:rsidR="00A448E1" w:rsidRPr="00446A3C">
        <w:rPr>
          <w:szCs w:val="24"/>
          <w:lang w:val="en-US"/>
        </w:rPr>
        <w:t> :</w:t>
      </w:r>
      <w:proofErr w:type="gramEnd"/>
      <w:r w:rsidRPr="00446A3C">
        <w:rPr>
          <w:szCs w:val="24"/>
          <w:lang w:val="en-US"/>
        </w:rPr>
        <w:t xml:space="preserve"> Richard De Boo, 1980.</w:t>
      </w:r>
    </w:p>
    <w:p w:rsidR="00A2213F" w:rsidRPr="00437486" w:rsidRDefault="00A2213F" w:rsidP="003A5F1F">
      <w:pPr>
        <w:pStyle w:val="SCCNormalDoubleSpacing"/>
        <w:spacing w:after="720" w:line="240" w:lineRule="auto"/>
        <w:ind w:left="539" w:hanging="539"/>
        <w:rPr>
          <w:szCs w:val="24"/>
          <w:lang w:val="en-US"/>
        </w:rPr>
      </w:pPr>
      <w:r w:rsidRPr="00446A3C">
        <w:rPr>
          <w:szCs w:val="24"/>
          <w:lang w:val="en-US"/>
        </w:rPr>
        <w:t>Thomas, Richard</w:t>
      </w:r>
      <w:r w:rsidR="007500BE" w:rsidRPr="00446A3C">
        <w:rPr>
          <w:szCs w:val="24"/>
          <w:lang w:val="en-US"/>
        </w:rPr>
        <w:t> </w:t>
      </w:r>
      <w:r w:rsidRPr="00446A3C">
        <w:rPr>
          <w:szCs w:val="24"/>
          <w:lang w:val="en-US"/>
        </w:rPr>
        <w:t xml:space="preserve">B.  « A Farm Loss with a Difference — The Farmer is Successful! » </w:t>
      </w:r>
      <w:proofErr w:type="gramStart"/>
      <w:r w:rsidRPr="00437486">
        <w:rPr>
          <w:szCs w:val="24"/>
          <w:lang w:val="en-US"/>
        </w:rPr>
        <w:t xml:space="preserve">(1993), 41 </w:t>
      </w:r>
      <w:r w:rsidRPr="00437486">
        <w:rPr>
          <w:i/>
          <w:szCs w:val="24"/>
          <w:lang w:val="en-US"/>
        </w:rPr>
        <w:t xml:space="preserve">Rev. </w:t>
      </w:r>
      <w:proofErr w:type="spellStart"/>
      <w:r w:rsidRPr="00437486">
        <w:rPr>
          <w:i/>
          <w:szCs w:val="24"/>
          <w:lang w:val="en-US"/>
        </w:rPr>
        <w:t>fisc</w:t>
      </w:r>
      <w:proofErr w:type="spellEnd"/>
      <w:r w:rsidR="005B2741" w:rsidRPr="00437486">
        <w:rPr>
          <w:i/>
          <w:szCs w:val="24"/>
          <w:lang w:val="en-US"/>
        </w:rPr>
        <w:t>.</w:t>
      </w:r>
      <w:proofErr w:type="gramEnd"/>
      <w:r w:rsidRPr="00437486">
        <w:rPr>
          <w:i/>
          <w:szCs w:val="24"/>
          <w:lang w:val="en-US"/>
        </w:rPr>
        <w:t xml:space="preserve"> </w:t>
      </w:r>
      <w:proofErr w:type="gramStart"/>
      <w:r w:rsidRPr="00437486">
        <w:rPr>
          <w:i/>
          <w:szCs w:val="24"/>
          <w:lang w:val="en-US"/>
        </w:rPr>
        <w:t>can</w:t>
      </w:r>
      <w:proofErr w:type="gramEnd"/>
      <w:r w:rsidRPr="00437486">
        <w:rPr>
          <w:i/>
          <w:szCs w:val="24"/>
          <w:lang w:val="en-US"/>
        </w:rPr>
        <w:t>.</w:t>
      </w:r>
      <w:r w:rsidRPr="00437486">
        <w:rPr>
          <w:szCs w:val="24"/>
          <w:lang w:val="en-US"/>
        </w:rPr>
        <w:t xml:space="preserve"> 513.</w:t>
      </w:r>
    </w:p>
    <w:p w:rsidR="00D5435D" w:rsidRPr="00446A3C" w:rsidRDefault="00944149" w:rsidP="003A5F1F">
      <w:pPr>
        <w:pStyle w:val="SCCNormalDoubleSpacing"/>
        <w:spacing w:after="480"/>
        <w:rPr>
          <w:szCs w:val="24"/>
        </w:rPr>
      </w:pPr>
      <w:r w:rsidRPr="00437486">
        <w:rPr>
          <w:szCs w:val="24"/>
          <w:lang w:val="en-US"/>
        </w:rPr>
        <w:tab/>
      </w:r>
      <w:r w:rsidR="009B57B3" w:rsidRPr="00437486">
        <w:rPr>
          <w:szCs w:val="24"/>
          <w:lang w:val="en-US"/>
        </w:rPr>
        <w:t>P</w:t>
      </w:r>
      <w:r w:rsidR="0043088E" w:rsidRPr="00437486">
        <w:rPr>
          <w:szCs w:val="24"/>
          <w:lang w:val="en-US"/>
        </w:rPr>
        <w:t xml:space="preserve">OURVOI </w:t>
      </w:r>
      <w:proofErr w:type="spellStart"/>
      <w:r w:rsidR="0043088E" w:rsidRPr="00437486">
        <w:rPr>
          <w:szCs w:val="24"/>
          <w:lang w:val="en-US"/>
        </w:rPr>
        <w:t>contre</w:t>
      </w:r>
      <w:proofErr w:type="spellEnd"/>
      <w:r w:rsidR="0043088E" w:rsidRPr="00437486">
        <w:rPr>
          <w:szCs w:val="24"/>
          <w:lang w:val="en-US"/>
        </w:rPr>
        <w:t xml:space="preserve"> un </w:t>
      </w:r>
      <w:proofErr w:type="spellStart"/>
      <w:r w:rsidR="0043088E" w:rsidRPr="00437486">
        <w:rPr>
          <w:szCs w:val="24"/>
          <w:lang w:val="en-US"/>
        </w:rPr>
        <w:t>arrêt</w:t>
      </w:r>
      <w:proofErr w:type="spellEnd"/>
      <w:r w:rsidR="0043088E" w:rsidRPr="00437486">
        <w:rPr>
          <w:szCs w:val="24"/>
          <w:lang w:val="en-US"/>
        </w:rPr>
        <w:t xml:space="preserve"> de la</w:t>
      </w:r>
      <w:r w:rsidR="009B57B3" w:rsidRPr="00437486">
        <w:rPr>
          <w:szCs w:val="24"/>
          <w:lang w:val="en-US"/>
        </w:rPr>
        <w:t xml:space="preserve"> </w:t>
      </w:r>
      <w:proofErr w:type="spellStart"/>
      <w:r w:rsidR="009B57B3" w:rsidRPr="00437486">
        <w:rPr>
          <w:szCs w:val="24"/>
          <w:lang w:val="en-US"/>
        </w:rPr>
        <w:t>Cour</w:t>
      </w:r>
      <w:proofErr w:type="spellEnd"/>
      <w:r w:rsidR="009B57B3" w:rsidRPr="00437486">
        <w:rPr>
          <w:szCs w:val="24"/>
          <w:lang w:val="en-US"/>
        </w:rPr>
        <w:t xml:space="preserve"> </w:t>
      </w:r>
      <w:proofErr w:type="spellStart"/>
      <w:r w:rsidR="009B57B3" w:rsidRPr="00437486">
        <w:rPr>
          <w:szCs w:val="24"/>
          <w:lang w:val="en-US"/>
        </w:rPr>
        <w:t>d</w:t>
      </w:r>
      <w:r w:rsidR="00096C17" w:rsidRPr="00437486">
        <w:rPr>
          <w:szCs w:val="24"/>
          <w:lang w:val="en-US"/>
        </w:rPr>
        <w:t>’</w:t>
      </w:r>
      <w:r w:rsidR="009B57B3" w:rsidRPr="00437486">
        <w:rPr>
          <w:szCs w:val="24"/>
          <w:lang w:val="en-US"/>
        </w:rPr>
        <w:t>appel</w:t>
      </w:r>
      <w:proofErr w:type="spellEnd"/>
      <w:r w:rsidR="009B57B3" w:rsidRPr="00437486">
        <w:rPr>
          <w:szCs w:val="24"/>
          <w:lang w:val="en-US"/>
        </w:rPr>
        <w:t xml:space="preserve"> </w:t>
      </w:r>
      <w:proofErr w:type="spellStart"/>
      <w:r w:rsidR="009B57B3" w:rsidRPr="00437486">
        <w:rPr>
          <w:szCs w:val="24"/>
          <w:lang w:val="en-US"/>
        </w:rPr>
        <w:t>fédérale</w:t>
      </w:r>
      <w:proofErr w:type="spellEnd"/>
      <w:r w:rsidR="00952FC1" w:rsidRPr="00437486">
        <w:rPr>
          <w:szCs w:val="24"/>
          <w:lang w:val="en-US"/>
        </w:rPr>
        <w:t xml:space="preserve"> (les </w:t>
      </w:r>
      <w:proofErr w:type="spellStart"/>
      <w:r w:rsidR="00952FC1" w:rsidRPr="00437486">
        <w:rPr>
          <w:szCs w:val="24"/>
          <w:lang w:val="en-US"/>
        </w:rPr>
        <w:t>juges</w:t>
      </w:r>
      <w:proofErr w:type="spellEnd"/>
      <w:r w:rsidR="00952FC1" w:rsidRPr="00437486">
        <w:rPr>
          <w:szCs w:val="24"/>
          <w:lang w:val="en-US"/>
        </w:rPr>
        <w:t xml:space="preserve"> Evans, Dawson et </w:t>
      </w:r>
      <w:proofErr w:type="spellStart"/>
      <w:r w:rsidR="00952FC1" w:rsidRPr="00437486">
        <w:rPr>
          <w:szCs w:val="24"/>
          <w:lang w:val="en-US"/>
        </w:rPr>
        <w:t>Stratas</w:t>
      </w:r>
      <w:proofErr w:type="spellEnd"/>
      <w:r w:rsidR="00952FC1" w:rsidRPr="00437486">
        <w:rPr>
          <w:szCs w:val="24"/>
          <w:lang w:val="en-US"/>
        </w:rPr>
        <w:t>), 2011 CAF 22, [2011] 2 R.C.F. 436, 414 N.R. 396, [2011] 3 C.T.C. 189, 2011 D.T.C. 5047, [2011] A.C.F. n</w:t>
      </w:r>
      <w:r w:rsidR="00952FC1" w:rsidRPr="00437486">
        <w:rPr>
          <w:szCs w:val="24"/>
          <w:vertAlign w:val="superscript"/>
          <w:lang w:val="en-US"/>
        </w:rPr>
        <w:t>o</w:t>
      </w:r>
      <w:r w:rsidR="00AB5E25" w:rsidRPr="00437486">
        <w:rPr>
          <w:szCs w:val="24"/>
          <w:lang w:val="en-US"/>
        </w:rPr>
        <w:t> </w:t>
      </w:r>
      <w:r w:rsidR="00952FC1" w:rsidRPr="00437486">
        <w:rPr>
          <w:szCs w:val="24"/>
          <w:lang w:val="en-US"/>
        </w:rPr>
        <w:t xml:space="preserve">435 (QL), 2011 </w:t>
      </w:r>
      <w:proofErr w:type="spellStart"/>
      <w:r w:rsidR="00952FC1" w:rsidRPr="00437486">
        <w:rPr>
          <w:szCs w:val="24"/>
          <w:lang w:val="en-US"/>
        </w:rPr>
        <w:t>CarswellNat</w:t>
      </w:r>
      <w:proofErr w:type="spellEnd"/>
      <w:r w:rsidR="00952FC1" w:rsidRPr="00437486">
        <w:rPr>
          <w:szCs w:val="24"/>
          <w:lang w:val="en-US"/>
        </w:rPr>
        <w:t xml:space="preserve"> 1578, </w:t>
      </w:r>
      <w:r w:rsidR="0021578B" w:rsidRPr="00437486">
        <w:rPr>
          <w:szCs w:val="24"/>
          <w:lang w:val="en-US"/>
        </w:rPr>
        <w:t xml:space="preserve">qui a </w:t>
      </w:r>
      <w:proofErr w:type="spellStart"/>
      <w:r w:rsidR="0021578B" w:rsidRPr="00437486">
        <w:rPr>
          <w:szCs w:val="24"/>
          <w:lang w:val="en-US"/>
        </w:rPr>
        <w:t>confirmé</w:t>
      </w:r>
      <w:proofErr w:type="spellEnd"/>
      <w:r w:rsidR="00952FC1" w:rsidRPr="00437486">
        <w:rPr>
          <w:szCs w:val="24"/>
          <w:lang w:val="en-US"/>
        </w:rPr>
        <w:t xml:space="preserve"> </w:t>
      </w:r>
      <w:proofErr w:type="spellStart"/>
      <w:r w:rsidR="00952FC1" w:rsidRPr="00437486">
        <w:rPr>
          <w:szCs w:val="24"/>
          <w:lang w:val="en-US"/>
        </w:rPr>
        <w:t>une</w:t>
      </w:r>
      <w:proofErr w:type="spellEnd"/>
      <w:r w:rsidR="00952FC1" w:rsidRPr="00437486">
        <w:rPr>
          <w:szCs w:val="24"/>
          <w:lang w:val="en-US"/>
        </w:rPr>
        <w:t xml:space="preserve"> </w:t>
      </w:r>
      <w:proofErr w:type="spellStart"/>
      <w:r w:rsidR="00952FC1" w:rsidRPr="00437486">
        <w:rPr>
          <w:szCs w:val="24"/>
          <w:lang w:val="en-US"/>
        </w:rPr>
        <w:t>décision</w:t>
      </w:r>
      <w:proofErr w:type="spellEnd"/>
      <w:r w:rsidR="00952FC1" w:rsidRPr="00437486">
        <w:rPr>
          <w:szCs w:val="24"/>
          <w:lang w:val="en-US"/>
        </w:rPr>
        <w:t xml:space="preserve"> du </w:t>
      </w:r>
      <w:proofErr w:type="spellStart"/>
      <w:r w:rsidR="00952FC1" w:rsidRPr="00437486">
        <w:rPr>
          <w:szCs w:val="24"/>
          <w:lang w:val="en-US"/>
        </w:rPr>
        <w:t>juge</w:t>
      </w:r>
      <w:proofErr w:type="spellEnd"/>
      <w:r w:rsidR="00952FC1" w:rsidRPr="00437486">
        <w:rPr>
          <w:szCs w:val="24"/>
          <w:lang w:val="en-US"/>
        </w:rPr>
        <w:t xml:space="preserve"> </w:t>
      </w:r>
      <w:proofErr w:type="spellStart"/>
      <w:r w:rsidR="00952FC1" w:rsidRPr="00437486">
        <w:rPr>
          <w:szCs w:val="24"/>
          <w:lang w:val="en-US"/>
        </w:rPr>
        <w:t>Hershfield</w:t>
      </w:r>
      <w:proofErr w:type="spellEnd"/>
      <w:r w:rsidR="00952FC1" w:rsidRPr="00437486">
        <w:rPr>
          <w:szCs w:val="24"/>
          <w:lang w:val="en-US"/>
        </w:rPr>
        <w:t>, 2009 CCI 617, [2010] 3 C.T.C. 2341, 2010 D.T.C. 1032, [2009] A.C.I. n</w:t>
      </w:r>
      <w:r w:rsidR="00952FC1" w:rsidRPr="00437486">
        <w:rPr>
          <w:szCs w:val="24"/>
          <w:vertAlign w:val="superscript"/>
          <w:lang w:val="en-US"/>
        </w:rPr>
        <w:t>o</w:t>
      </w:r>
      <w:r w:rsidR="00AB5E25" w:rsidRPr="00437486">
        <w:rPr>
          <w:szCs w:val="24"/>
          <w:lang w:val="en-US"/>
        </w:rPr>
        <w:t> </w:t>
      </w:r>
      <w:r w:rsidR="00952FC1" w:rsidRPr="00437486">
        <w:rPr>
          <w:szCs w:val="24"/>
          <w:lang w:val="en-US"/>
        </w:rPr>
        <w:t xml:space="preserve">505 (QL), 2009 </w:t>
      </w:r>
      <w:proofErr w:type="spellStart"/>
      <w:r w:rsidR="00952FC1" w:rsidRPr="00437486">
        <w:rPr>
          <w:szCs w:val="24"/>
          <w:lang w:val="en-US"/>
        </w:rPr>
        <w:t>CarswellNat</w:t>
      </w:r>
      <w:proofErr w:type="spellEnd"/>
      <w:r w:rsidR="00952FC1" w:rsidRPr="00437486">
        <w:rPr>
          <w:szCs w:val="24"/>
          <w:lang w:val="en-US"/>
        </w:rPr>
        <w:t xml:space="preserve"> 5749.  </w:t>
      </w:r>
      <w:r w:rsidR="00952FC1" w:rsidRPr="00446A3C">
        <w:rPr>
          <w:szCs w:val="24"/>
        </w:rPr>
        <w:t xml:space="preserve">Pourvoi </w:t>
      </w:r>
      <w:r w:rsidR="00197281" w:rsidRPr="00446A3C">
        <w:rPr>
          <w:szCs w:val="24"/>
        </w:rPr>
        <w:t>rejeté</w:t>
      </w:r>
      <w:r w:rsidR="00952FC1" w:rsidRPr="00446A3C">
        <w:rPr>
          <w:szCs w:val="24"/>
        </w:rPr>
        <w:t>.</w:t>
      </w:r>
    </w:p>
    <w:p w:rsidR="00D83277" w:rsidRPr="00446A3C" w:rsidRDefault="00A2213F" w:rsidP="003A5F1F">
      <w:pPr>
        <w:pStyle w:val="SCCNormalDoubleSpacing"/>
        <w:spacing w:after="480"/>
        <w:rPr>
          <w:szCs w:val="24"/>
        </w:rPr>
      </w:pPr>
      <w:r w:rsidRPr="00EB7FBA">
        <w:rPr>
          <w:i/>
          <w:szCs w:val="24"/>
        </w:rPr>
        <w:tab/>
        <w:t xml:space="preserve">Simon </w:t>
      </w:r>
      <w:proofErr w:type="spellStart"/>
      <w:r w:rsidRPr="00EB7FBA">
        <w:rPr>
          <w:i/>
          <w:szCs w:val="24"/>
        </w:rPr>
        <w:t>Fothergill</w:t>
      </w:r>
      <w:proofErr w:type="spellEnd"/>
      <w:r w:rsidRPr="00446A3C">
        <w:rPr>
          <w:szCs w:val="24"/>
        </w:rPr>
        <w:t xml:space="preserve"> </w:t>
      </w:r>
      <w:r w:rsidR="00944149" w:rsidRPr="00446A3C">
        <w:rPr>
          <w:szCs w:val="24"/>
        </w:rPr>
        <w:t xml:space="preserve">et </w:t>
      </w:r>
      <w:r w:rsidRPr="00EB7FBA">
        <w:rPr>
          <w:i/>
          <w:szCs w:val="24"/>
        </w:rPr>
        <w:t>Daniel Bourgeois</w:t>
      </w:r>
      <w:r w:rsidRPr="00446A3C">
        <w:rPr>
          <w:szCs w:val="24"/>
        </w:rPr>
        <w:t>, pour l</w:t>
      </w:r>
      <w:r w:rsidR="00096C17">
        <w:rPr>
          <w:szCs w:val="24"/>
        </w:rPr>
        <w:t>’</w:t>
      </w:r>
      <w:r w:rsidRPr="00446A3C">
        <w:rPr>
          <w:szCs w:val="24"/>
        </w:rPr>
        <w:t>appelante.</w:t>
      </w:r>
    </w:p>
    <w:p w:rsidR="00063F98" w:rsidRPr="00583BBA" w:rsidRDefault="00A2213F" w:rsidP="00583BBA">
      <w:pPr>
        <w:pStyle w:val="SCCNormalDoubleSpacing"/>
        <w:spacing w:after="480"/>
        <w:rPr>
          <w:szCs w:val="24"/>
        </w:rPr>
      </w:pPr>
      <w:r w:rsidRPr="00EB7FBA">
        <w:rPr>
          <w:i/>
          <w:szCs w:val="24"/>
        </w:rPr>
        <w:tab/>
        <w:t>Glenn Ernst</w:t>
      </w:r>
      <w:r w:rsidRPr="00446A3C">
        <w:rPr>
          <w:szCs w:val="24"/>
        </w:rPr>
        <w:t xml:space="preserve"> </w:t>
      </w:r>
      <w:r w:rsidR="00944149" w:rsidRPr="00446A3C">
        <w:rPr>
          <w:szCs w:val="24"/>
        </w:rPr>
        <w:t xml:space="preserve">et </w:t>
      </w:r>
      <w:proofErr w:type="spellStart"/>
      <w:r w:rsidRPr="00EB7FBA">
        <w:rPr>
          <w:i/>
          <w:szCs w:val="24"/>
        </w:rPr>
        <w:t>Sandon</w:t>
      </w:r>
      <w:proofErr w:type="spellEnd"/>
      <w:r w:rsidRPr="00EB7FBA">
        <w:rPr>
          <w:i/>
          <w:szCs w:val="24"/>
        </w:rPr>
        <w:t xml:space="preserve"> </w:t>
      </w:r>
      <w:proofErr w:type="spellStart"/>
      <w:r w:rsidRPr="00EB7FBA">
        <w:rPr>
          <w:i/>
          <w:szCs w:val="24"/>
        </w:rPr>
        <w:t>Shogilev</w:t>
      </w:r>
      <w:proofErr w:type="spellEnd"/>
      <w:r w:rsidRPr="00446A3C">
        <w:rPr>
          <w:szCs w:val="24"/>
        </w:rPr>
        <w:t>, pour l</w:t>
      </w:r>
      <w:r w:rsidR="00096C17">
        <w:rPr>
          <w:szCs w:val="24"/>
        </w:rPr>
        <w:t>’</w:t>
      </w:r>
      <w:r w:rsidRPr="00446A3C">
        <w:rPr>
          <w:szCs w:val="24"/>
        </w:rPr>
        <w:t>intimé.</w:t>
      </w:r>
    </w:p>
    <w:p w:rsidR="00063F98" w:rsidRPr="00583BBA" w:rsidRDefault="00583BBA" w:rsidP="00063F98">
      <w:pPr>
        <w:pStyle w:val="JudgeJuge"/>
        <w:spacing w:before="480"/>
        <w:rPr>
          <w:smallCaps w:val="0"/>
          <w:lang w:val="fr-CA"/>
        </w:rPr>
      </w:pPr>
      <w:r>
        <w:rPr>
          <w:lang w:val="fr-CA"/>
        </w:rPr>
        <w:lastRenderedPageBreak/>
        <w:tab/>
      </w:r>
      <w:r>
        <w:rPr>
          <w:smallCaps w:val="0"/>
          <w:lang w:val="fr-CA"/>
        </w:rPr>
        <w:t>Version française du jugement de la Cour rendu par</w:t>
      </w:r>
    </w:p>
    <w:p w:rsidR="00063F98" w:rsidRPr="00557493" w:rsidRDefault="00063F98" w:rsidP="00063F98">
      <w:pPr>
        <w:pStyle w:val="JudgeJuge"/>
        <w:spacing w:before="480"/>
        <w:rPr>
          <w:lang w:val="fr-CA"/>
        </w:rPr>
      </w:pPr>
      <w:r w:rsidRPr="00557493">
        <w:rPr>
          <w:lang w:val="fr-CA"/>
        </w:rPr>
        <w:tab/>
        <w:t xml:space="preserve">Le juge </w:t>
      </w:r>
      <w:proofErr w:type="spellStart"/>
      <w:r w:rsidRPr="00557493">
        <w:rPr>
          <w:lang w:val="fr-CA"/>
        </w:rPr>
        <w:t>Rothstein</w:t>
      </w:r>
      <w:proofErr w:type="spellEnd"/>
      <w:r w:rsidRPr="00557493">
        <w:rPr>
          <w:lang w:val="fr-CA"/>
        </w:rPr>
        <w:t xml:space="preserve"> — </w:t>
      </w:r>
    </w:p>
    <w:p w:rsidR="00063F98" w:rsidRPr="00557493" w:rsidRDefault="00063F98" w:rsidP="00063F98">
      <w:pPr>
        <w:pStyle w:val="TitleTitre-AltT"/>
        <w:rPr>
          <w:lang w:val="fr-CA"/>
        </w:rPr>
      </w:pPr>
      <w:r w:rsidRPr="00557493">
        <w:rPr>
          <w:lang w:val="fr-CA"/>
        </w:rPr>
        <w:t>I.</w:t>
      </w:r>
      <w:r w:rsidRPr="00557493">
        <w:rPr>
          <w:lang w:val="fr-CA"/>
        </w:rPr>
        <w:tab/>
      </w:r>
      <w:r w:rsidRPr="00557493">
        <w:rPr>
          <w:u w:val="single"/>
          <w:lang w:val="fr-CA"/>
        </w:rPr>
        <w:t>Introduction</w:t>
      </w:r>
    </w:p>
    <w:p w:rsidR="00063F98" w:rsidRPr="00557493" w:rsidRDefault="00063F98" w:rsidP="00063F98">
      <w:pPr>
        <w:pStyle w:val="ParaNoNdepar-AltN"/>
        <w:rPr>
          <w:lang w:val="fr-CA"/>
        </w:rPr>
      </w:pPr>
      <w:r w:rsidRPr="00557493">
        <w:rPr>
          <w:lang w:val="fr-CA"/>
        </w:rPr>
        <w:t xml:space="preserve">La présente affaire porte sur les pertes agricoles.  Lorsqu’un contribuable tire un revenu de l’agriculture, il est possible que l’art. 31 de la </w:t>
      </w:r>
      <w:r w:rsidRPr="00557493">
        <w:rPr>
          <w:i/>
          <w:lang w:val="fr-CA"/>
        </w:rPr>
        <w:t>Loi de l’impôt sur le revenu</w:t>
      </w:r>
      <w:r w:rsidRPr="00557493">
        <w:rPr>
          <w:lang w:val="fr-CA"/>
        </w:rPr>
        <w:t>, L.R.C. 1985, ch. 1 (5</w:t>
      </w:r>
      <w:r w:rsidRPr="00557493">
        <w:rPr>
          <w:vertAlign w:val="superscript"/>
          <w:lang w:val="fr-CA"/>
        </w:rPr>
        <w:t>e</w:t>
      </w:r>
      <w:r w:rsidRPr="00557493">
        <w:rPr>
          <w:lang w:val="fr-CA"/>
        </w:rPr>
        <w:t xml:space="preserve"> suppl.), limite le montant de la perte agricole qui peut être déduit de ses autres sources de revenu.  Aux termes de l’al. 31(1)</w:t>
      </w:r>
      <w:r w:rsidRPr="00557493">
        <w:rPr>
          <w:i/>
          <w:lang w:val="fr-CA"/>
        </w:rPr>
        <w:t>a</w:t>
      </w:r>
      <w:r w:rsidRPr="00557493">
        <w:rPr>
          <w:lang w:val="fr-CA"/>
        </w:rPr>
        <w:t xml:space="preserve">), lorsque le revenu d’un contribuable ne provient principalement ni de l’agriculture ni d’une combinaison de l’agriculture et de quelque autre source, les pertes agricoles déductibles se limitent à 8 750 $ par année.  </w:t>
      </w:r>
    </w:p>
    <w:p w:rsidR="00063F98" w:rsidRPr="00557493" w:rsidRDefault="00063F98" w:rsidP="00063F98">
      <w:pPr>
        <w:pStyle w:val="ParaNoNdepar-AltN"/>
        <w:rPr>
          <w:lang w:val="fr-CA"/>
        </w:rPr>
      </w:pPr>
      <w:r w:rsidRPr="00557493">
        <w:rPr>
          <w:lang w:val="fr-CA"/>
        </w:rPr>
        <w:t xml:space="preserve">La principale question en l’espèce concerne l’interprétation de l’art. 31 de la </w:t>
      </w:r>
      <w:r w:rsidRPr="00557493">
        <w:rPr>
          <w:i/>
          <w:lang w:val="fr-CA"/>
        </w:rPr>
        <w:t>Loi de l’impôt sur le revenu</w:t>
      </w:r>
      <w:r w:rsidRPr="00557493">
        <w:rPr>
          <w:lang w:val="fr-CA"/>
        </w:rPr>
        <w:t xml:space="preserve">.  Il s’agit de déterminer dans quelles circonstances la combinaison de l’agriculture et d’une autre source de revenu constitue la « principale source de revenu » d’un contribuable et lui évite l’assujettissement à la limite des pertes agricoles déductibles établie à l’art. 31. </w:t>
      </w:r>
    </w:p>
    <w:p w:rsidR="00063F98" w:rsidRPr="00557493" w:rsidRDefault="00063F98" w:rsidP="00063F98">
      <w:pPr>
        <w:pStyle w:val="ParaNoNdepar-AltN"/>
        <w:rPr>
          <w:lang w:val="fr-CA"/>
        </w:rPr>
      </w:pPr>
      <w:r w:rsidRPr="00557493">
        <w:rPr>
          <w:lang w:val="fr-CA"/>
        </w:rPr>
        <w:t xml:space="preserve">Il se pose toutefois une question préliminaire, à savoir si la Cour d’appel fédérale pouvait écarter le précédent établi par notre Cour dans </w:t>
      </w:r>
      <w:proofErr w:type="spellStart"/>
      <w:r w:rsidRPr="00557493">
        <w:rPr>
          <w:i/>
          <w:lang w:val="fr-CA"/>
        </w:rPr>
        <w:t>Moldowan</w:t>
      </w:r>
      <w:proofErr w:type="spellEnd"/>
      <w:r w:rsidRPr="00557493">
        <w:rPr>
          <w:lang w:val="fr-CA"/>
        </w:rPr>
        <w:t xml:space="preserve"> </w:t>
      </w:r>
      <w:r w:rsidRPr="00557493">
        <w:rPr>
          <w:i/>
          <w:lang w:val="fr-CA"/>
        </w:rPr>
        <w:t>c. La Reine</w:t>
      </w:r>
      <w:r w:rsidRPr="00557493">
        <w:rPr>
          <w:lang w:val="fr-CA"/>
        </w:rPr>
        <w:t xml:space="preserve">, [1978] 1 R.C.S. 480. </w:t>
      </w:r>
    </w:p>
    <w:p w:rsidR="00063F98" w:rsidRPr="00557493" w:rsidRDefault="00063F98" w:rsidP="00063F98">
      <w:pPr>
        <w:pStyle w:val="TitleTitre-AltT"/>
        <w:tabs>
          <w:tab w:val="clear" w:pos="360"/>
          <w:tab w:val="left" w:pos="540"/>
        </w:tabs>
        <w:ind w:left="540" w:hanging="540"/>
        <w:rPr>
          <w:u w:val="single"/>
          <w:lang w:val="fr-CA"/>
        </w:rPr>
      </w:pPr>
      <w:r w:rsidRPr="00557493">
        <w:rPr>
          <w:lang w:val="fr-CA"/>
        </w:rPr>
        <w:lastRenderedPageBreak/>
        <w:t>II.</w:t>
      </w:r>
      <w:r w:rsidRPr="00557493">
        <w:rPr>
          <w:lang w:val="fr-CA"/>
        </w:rPr>
        <w:tab/>
      </w:r>
      <w:r w:rsidRPr="00557493">
        <w:rPr>
          <w:u w:val="single"/>
          <w:lang w:val="fr-CA"/>
        </w:rPr>
        <w:t>Les faits</w:t>
      </w:r>
    </w:p>
    <w:p w:rsidR="00063F98" w:rsidRPr="00557493" w:rsidRDefault="00063F98" w:rsidP="00063F98">
      <w:pPr>
        <w:pStyle w:val="ParaNoNdepar-AltN"/>
        <w:rPr>
          <w:lang w:val="fr-CA"/>
        </w:rPr>
      </w:pPr>
      <w:r w:rsidRPr="00557493">
        <w:rPr>
          <w:lang w:val="fr-CA"/>
        </w:rPr>
        <w:t xml:space="preserve">L’exercice de la profession d’avocat était la principale source de revenu de M. John Craig et était voulu tel.  </w:t>
      </w:r>
      <w:proofErr w:type="spellStart"/>
      <w:r w:rsidRPr="00557493">
        <w:rPr>
          <w:lang w:val="fr-CA"/>
        </w:rPr>
        <w:t>Celui</w:t>
      </w:r>
      <w:r w:rsidRPr="00557493">
        <w:rPr>
          <w:lang w:val="fr-CA"/>
        </w:rPr>
        <w:noBreakHyphen/>
        <w:t>ci</w:t>
      </w:r>
      <w:proofErr w:type="spellEnd"/>
      <w:r w:rsidRPr="00557493">
        <w:rPr>
          <w:lang w:val="fr-CA"/>
        </w:rPr>
        <w:t xml:space="preserve"> avait en outre des revenus de placements, et il avait réalisé des gains en exerçant des options d’achat d’actions.  M. Craig exploitait aussi une entreprise d’achat, de vente, d’entraînement et d’entretien de chevaux de course. </w:t>
      </w:r>
    </w:p>
    <w:p w:rsidR="00063F98" w:rsidRPr="00557493" w:rsidRDefault="00063F98" w:rsidP="00063F98">
      <w:pPr>
        <w:pStyle w:val="ParaNoNdepar-AltN"/>
        <w:rPr>
          <w:lang w:val="fr-CA"/>
        </w:rPr>
      </w:pPr>
      <w:r w:rsidRPr="00557493">
        <w:rPr>
          <w:lang w:val="fr-CA"/>
        </w:rPr>
        <w:t xml:space="preserve">Bien que l’entreprise de chevaux de course ait connu de bonnes années, elle a subi des pertes de 222 642 $ en 2000 et de 205 655 $ en 2001.  M. Craig a déduit ces pertes de ses autres revenus.  Le ministre a établi un nouvel avis de cotisation limitant les pertes déductibles à 8 750 $ par année, en application de l’art. 31 de la </w:t>
      </w:r>
      <w:r w:rsidRPr="00557493">
        <w:rPr>
          <w:i/>
          <w:lang w:val="fr-CA"/>
        </w:rPr>
        <w:t>Loi de l’impôt sur le revenu</w:t>
      </w:r>
      <w:r w:rsidRPr="00557493">
        <w:rPr>
          <w:lang w:val="fr-CA"/>
        </w:rPr>
        <w:t xml:space="preserve"> tel qu’il avait été interprété par le juge Dickson (plus tard Juge en chef) dans </w:t>
      </w:r>
      <w:proofErr w:type="spellStart"/>
      <w:r w:rsidRPr="00557493">
        <w:rPr>
          <w:i/>
          <w:lang w:val="fr-CA"/>
        </w:rPr>
        <w:t>Moldowan</w:t>
      </w:r>
      <w:proofErr w:type="spellEnd"/>
      <w:r w:rsidRPr="00557493">
        <w:rPr>
          <w:lang w:val="fr-CA"/>
        </w:rPr>
        <w:t>, parce que, l’entreprise de chevaux de course étant secondaire, la combinaison de cette entreprise et de l’exercice du droit ne constituait pas la principale source de revenu du contribuable.</w:t>
      </w:r>
    </w:p>
    <w:p w:rsidR="00063F98" w:rsidRPr="00557493" w:rsidRDefault="00063F98" w:rsidP="00063F98">
      <w:pPr>
        <w:pStyle w:val="ParaNoNdepar-AltN"/>
        <w:rPr>
          <w:lang w:val="fr-CA"/>
        </w:rPr>
      </w:pPr>
      <w:r w:rsidRPr="00557493">
        <w:rPr>
          <w:lang w:val="fr-CA"/>
        </w:rPr>
        <w:t xml:space="preserve">En s’appuyant sur l’arrêt </w:t>
      </w:r>
      <w:r w:rsidRPr="00557493">
        <w:rPr>
          <w:i/>
          <w:lang w:val="fr-CA"/>
        </w:rPr>
        <w:t>Gunn c. Canada</w:t>
      </w:r>
      <w:r w:rsidRPr="00557493">
        <w:rPr>
          <w:lang w:val="fr-CA"/>
        </w:rPr>
        <w:t xml:space="preserve">, 2006 CAF 281, [2007] 3 R.C.F. 57, de la Cour d’appel fédérale, qui n’avait pas suivi l’arrêt </w:t>
      </w:r>
      <w:proofErr w:type="spellStart"/>
      <w:r w:rsidRPr="00557493">
        <w:rPr>
          <w:i/>
          <w:lang w:val="fr-CA"/>
        </w:rPr>
        <w:t>Moldowan</w:t>
      </w:r>
      <w:proofErr w:type="spellEnd"/>
      <w:r w:rsidRPr="00557493">
        <w:rPr>
          <w:lang w:val="fr-CA"/>
        </w:rPr>
        <w:t>,</w:t>
      </w:r>
      <w:r w:rsidRPr="00557493">
        <w:rPr>
          <w:i/>
          <w:lang w:val="fr-CA"/>
        </w:rPr>
        <w:t xml:space="preserve"> </w:t>
      </w:r>
      <w:r w:rsidRPr="00557493">
        <w:rPr>
          <w:lang w:val="fr-CA"/>
        </w:rPr>
        <w:t xml:space="preserve">le juge </w:t>
      </w:r>
      <w:proofErr w:type="spellStart"/>
      <w:r w:rsidRPr="00557493">
        <w:rPr>
          <w:lang w:val="fr-CA"/>
        </w:rPr>
        <w:t>Hershfield</w:t>
      </w:r>
      <w:proofErr w:type="spellEnd"/>
      <w:r w:rsidRPr="00557493">
        <w:rPr>
          <w:lang w:val="fr-CA"/>
        </w:rPr>
        <w:t xml:space="preserve"> de la Cour canadienne de l’impôt a conclu que la combinaison de l’entreprise de chevaux de course et l’exercice du droit constituait la principale source de revenu de M.</w:t>
      </w:r>
      <w:r>
        <w:rPr>
          <w:lang w:val="fr-CA"/>
        </w:rPr>
        <w:t> </w:t>
      </w:r>
      <w:r w:rsidR="00047C6E">
        <w:rPr>
          <w:lang w:val="fr-CA"/>
        </w:rPr>
        <w:t>Craig (2009 CCI 617 (</w:t>
      </w:r>
      <w:proofErr w:type="spellStart"/>
      <w:r w:rsidR="00047C6E">
        <w:rPr>
          <w:lang w:val="fr-CA"/>
        </w:rPr>
        <w:t>CanLII</w:t>
      </w:r>
      <w:proofErr w:type="spellEnd"/>
      <w:r w:rsidR="00047C6E">
        <w:rPr>
          <w:lang w:val="fr-CA"/>
        </w:rPr>
        <w:t>)</w:t>
      </w:r>
      <w:r w:rsidRPr="00557493">
        <w:rPr>
          <w:lang w:val="fr-CA"/>
        </w:rPr>
        <w:t xml:space="preserve">).  La Cour d’appel fédérale a elle </w:t>
      </w:r>
      <w:r w:rsidRPr="00557493">
        <w:rPr>
          <w:lang w:val="fr-CA"/>
        </w:rPr>
        <w:lastRenderedPageBreak/>
        <w:t xml:space="preserve">aussi donné raison au contribuable, jugeant qu’elle était tenue de suivre la décision qu’elle avait rendue dans </w:t>
      </w:r>
      <w:r w:rsidRPr="00557493">
        <w:rPr>
          <w:i/>
          <w:lang w:val="fr-CA"/>
        </w:rPr>
        <w:t xml:space="preserve">Gunn </w:t>
      </w:r>
      <w:r w:rsidRPr="00557493">
        <w:rPr>
          <w:lang w:val="fr-CA"/>
        </w:rPr>
        <w:t xml:space="preserve">(2011 CAF 22, [2011] 2 R.C.F. 436). </w:t>
      </w:r>
    </w:p>
    <w:p w:rsidR="00063F98" w:rsidRPr="00557493" w:rsidRDefault="00063F98" w:rsidP="00063F98">
      <w:pPr>
        <w:pStyle w:val="ParaNoNdepar-AltN"/>
        <w:rPr>
          <w:lang w:val="fr-CA"/>
        </w:rPr>
      </w:pPr>
      <w:r w:rsidRPr="00557493">
        <w:rPr>
          <w:lang w:val="fr-CA"/>
        </w:rPr>
        <w:t xml:space="preserve">Le ministre se pourvoit à présent devant notre Cour. </w:t>
      </w:r>
    </w:p>
    <w:p w:rsidR="00063F98" w:rsidRPr="00557493" w:rsidRDefault="00063F98" w:rsidP="00063F98">
      <w:pPr>
        <w:pStyle w:val="TitleTitre-AltT"/>
        <w:tabs>
          <w:tab w:val="clear" w:pos="360"/>
          <w:tab w:val="left" w:pos="540"/>
        </w:tabs>
        <w:ind w:left="540" w:hanging="540"/>
        <w:rPr>
          <w:lang w:val="fr-CA"/>
        </w:rPr>
      </w:pPr>
      <w:r w:rsidRPr="00557493">
        <w:rPr>
          <w:lang w:val="fr-CA"/>
        </w:rPr>
        <w:t>III.</w:t>
      </w:r>
      <w:r w:rsidRPr="00557493">
        <w:rPr>
          <w:lang w:val="fr-CA"/>
        </w:rPr>
        <w:tab/>
      </w:r>
      <w:r w:rsidRPr="00557493">
        <w:rPr>
          <w:u w:val="single"/>
          <w:lang w:val="fr-CA"/>
        </w:rPr>
        <w:t>Les dispositions législatives en cause</w:t>
      </w:r>
    </w:p>
    <w:p w:rsidR="00063F98" w:rsidRPr="00557493" w:rsidRDefault="00063F98" w:rsidP="00063F98">
      <w:pPr>
        <w:pStyle w:val="ParaNoNdepar-AltN"/>
        <w:rPr>
          <w:lang w:val="fr-CA"/>
        </w:rPr>
      </w:pPr>
      <w:r w:rsidRPr="00557493">
        <w:rPr>
          <w:lang w:val="fr-CA"/>
        </w:rPr>
        <w:t xml:space="preserve">Voici le passage pertinent du par. 31(1) de la </w:t>
      </w:r>
      <w:r w:rsidRPr="00557493">
        <w:rPr>
          <w:i/>
          <w:lang w:val="fr-CA"/>
        </w:rPr>
        <w:t>Loi de l’impôt sur le revenu</w:t>
      </w:r>
      <w:r w:rsidRPr="00557493">
        <w:rPr>
          <w:lang w:val="fr-CA"/>
        </w:rPr>
        <w:t> :</w:t>
      </w:r>
    </w:p>
    <w:p w:rsidR="00063F98" w:rsidRPr="00557493" w:rsidRDefault="00063F98" w:rsidP="006B508C">
      <w:pPr>
        <w:pStyle w:val="Citation-AltC"/>
        <w:tabs>
          <w:tab w:val="left" w:pos="1710"/>
        </w:tabs>
        <w:spacing w:after="240"/>
        <w:ind w:hanging="1166"/>
        <w:contextualSpacing w:val="0"/>
        <w:rPr>
          <w:szCs w:val="24"/>
          <w:lang w:val="fr-FR"/>
        </w:rPr>
      </w:pPr>
      <w:r w:rsidRPr="00557493">
        <w:rPr>
          <w:lang w:val="fr-CA"/>
        </w:rPr>
        <w:tab/>
      </w:r>
      <w:r w:rsidRPr="00557493">
        <w:rPr>
          <w:lang w:val="fr-CA"/>
        </w:rPr>
        <w:tab/>
      </w:r>
      <w:r w:rsidRPr="00557493">
        <w:rPr>
          <w:b/>
          <w:lang w:val="fr-CA"/>
        </w:rPr>
        <w:t>31.</w:t>
      </w:r>
      <w:r w:rsidRPr="00557493">
        <w:rPr>
          <w:lang w:val="fr-CA"/>
        </w:rPr>
        <w:t xml:space="preserve"> (1)  Lorsque le revenu d’un contribuable, pour une année d’imposition, ne provient principalement ni de l’agriculture ni d’une combinaison de l’agriculture et de quelque autre source, [. . .] ses pertes pour l’année, provenant de toutes les entreprises agricoles exploitées par lui, sont réputées </w:t>
      </w:r>
      <w:r w:rsidRPr="00557493">
        <w:rPr>
          <w:szCs w:val="24"/>
          <w:lang w:val="fr-FR"/>
        </w:rPr>
        <w:t>être le total des montants suivants :</w:t>
      </w:r>
    </w:p>
    <w:p w:rsidR="00063F98" w:rsidRPr="00557493" w:rsidRDefault="006B508C" w:rsidP="006B508C">
      <w:pPr>
        <w:pStyle w:val="Citation-AltC"/>
        <w:tabs>
          <w:tab w:val="left" w:pos="1710"/>
          <w:tab w:val="left" w:pos="2160"/>
        </w:tabs>
        <w:spacing w:after="240"/>
        <w:ind w:left="1710" w:hanging="1710"/>
        <w:contextualSpacing w:val="0"/>
        <w:jc w:val="left"/>
        <w:rPr>
          <w:szCs w:val="24"/>
          <w:lang w:val="fr-FR"/>
        </w:rPr>
      </w:pPr>
      <w:r>
        <w:rPr>
          <w:lang w:val="fr-FR"/>
        </w:rPr>
        <w:tab/>
      </w:r>
      <w:r w:rsidR="00063F98" w:rsidRPr="00557493">
        <w:rPr>
          <w:i/>
          <w:szCs w:val="24"/>
          <w:lang w:val="fr-FR"/>
        </w:rPr>
        <w:t>a</w:t>
      </w:r>
      <w:r w:rsidR="00063F98" w:rsidRPr="00557493">
        <w:rPr>
          <w:szCs w:val="24"/>
          <w:lang w:val="fr-FR"/>
        </w:rPr>
        <w:t>)</w:t>
      </w:r>
      <w:r w:rsidR="00063F98" w:rsidRPr="00557493">
        <w:rPr>
          <w:szCs w:val="24"/>
          <w:lang w:val="fr-FR"/>
        </w:rPr>
        <w:tab/>
        <w:t>la moins élevée des sommes suivantes :</w:t>
      </w:r>
    </w:p>
    <w:p w:rsidR="00063F98" w:rsidRPr="00557493" w:rsidRDefault="006B508C" w:rsidP="006B508C">
      <w:pPr>
        <w:pStyle w:val="Citation-AltC"/>
        <w:tabs>
          <w:tab w:val="left" w:pos="2610"/>
        </w:tabs>
        <w:spacing w:after="240"/>
        <w:ind w:left="2160" w:hanging="2070"/>
        <w:contextualSpacing w:val="0"/>
        <w:rPr>
          <w:szCs w:val="24"/>
          <w:lang w:val="fr-FR"/>
        </w:rPr>
      </w:pPr>
      <w:r>
        <w:rPr>
          <w:szCs w:val="24"/>
          <w:lang w:val="fr-FR"/>
        </w:rPr>
        <w:tab/>
        <w:t>(i)</w:t>
      </w:r>
      <w:r>
        <w:rPr>
          <w:szCs w:val="24"/>
          <w:lang w:val="fr-FR"/>
        </w:rPr>
        <w:tab/>
      </w:r>
      <w:r w:rsidR="00063F98" w:rsidRPr="00557493">
        <w:rPr>
          <w:szCs w:val="24"/>
          <w:lang w:val="fr-FR"/>
        </w:rPr>
        <w:t>l’excédent du total de ses pertes pour l’année, déterminées compte non tenu du présent article et avant toute déduction prévue aux articles 37 ou 37.1 et provenant de toutes les entreprises agricoles exploitées par lui, sur le total des revenus, ainsi déterminés, qu’il a tirés pour l’année de ces entreprises,</w:t>
      </w:r>
    </w:p>
    <w:p w:rsidR="00063F98" w:rsidRPr="00557493" w:rsidRDefault="006B508C" w:rsidP="006B508C">
      <w:pPr>
        <w:pStyle w:val="Citation-AltC"/>
        <w:tabs>
          <w:tab w:val="left" w:pos="2610"/>
        </w:tabs>
        <w:spacing w:after="240"/>
        <w:ind w:left="2160" w:hanging="2070"/>
        <w:contextualSpacing w:val="0"/>
        <w:rPr>
          <w:szCs w:val="24"/>
          <w:lang w:val="fr-FR"/>
        </w:rPr>
      </w:pPr>
      <w:r>
        <w:rPr>
          <w:szCs w:val="24"/>
          <w:lang w:val="fr-FR"/>
        </w:rPr>
        <w:tab/>
        <w:t>(ii)</w:t>
      </w:r>
      <w:r>
        <w:rPr>
          <w:szCs w:val="24"/>
          <w:lang w:val="fr-FR"/>
        </w:rPr>
        <w:tab/>
      </w:r>
      <w:r w:rsidR="00063F98" w:rsidRPr="00557493">
        <w:rPr>
          <w:szCs w:val="24"/>
          <w:lang w:val="fr-FR"/>
        </w:rPr>
        <w:t>2 500$ plus la moins élevée des sommes suivantes :</w:t>
      </w:r>
    </w:p>
    <w:p w:rsidR="00063F98" w:rsidRPr="00557493" w:rsidRDefault="006B508C" w:rsidP="006B508C">
      <w:pPr>
        <w:pStyle w:val="Citation-AltC"/>
        <w:tabs>
          <w:tab w:val="left" w:pos="3240"/>
        </w:tabs>
        <w:spacing w:after="240"/>
        <w:ind w:left="2610" w:hanging="2610"/>
        <w:contextualSpacing w:val="0"/>
        <w:rPr>
          <w:szCs w:val="24"/>
          <w:lang w:val="fr-FR"/>
        </w:rPr>
      </w:pPr>
      <w:r>
        <w:rPr>
          <w:szCs w:val="24"/>
          <w:lang w:val="fr-FR"/>
        </w:rPr>
        <w:tab/>
        <w:t>(A)</w:t>
      </w:r>
      <w:r>
        <w:rPr>
          <w:szCs w:val="24"/>
          <w:lang w:val="fr-FR"/>
        </w:rPr>
        <w:tab/>
      </w:r>
      <w:r w:rsidR="00063F98" w:rsidRPr="00557493">
        <w:rPr>
          <w:szCs w:val="24"/>
          <w:lang w:val="fr-FR"/>
        </w:rPr>
        <w:t xml:space="preserve">1/2 de </w:t>
      </w:r>
      <w:r w:rsidR="00063F98" w:rsidRPr="006B508C">
        <w:rPr>
          <w:lang w:val="fr-CA"/>
        </w:rPr>
        <w:t>l’excédent</w:t>
      </w:r>
      <w:r w:rsidR="00063F98" w:rsidRPr="00557493">
        <w:rPr>
          <w:szCs w:val="24"/>
          <w:lang w:val="fr-FR"/>
        </w:rPr>
        <w:t xml:space="preserve"> du montant visé</w:t>
      </w:r>
      <w:r w:rsidR="005B2741">
        <w:rPr>
          <w:szCs w:val="24"/>
          <w:lang w:val="fr-FR"/>
        </w:rPr>
        <w:t xml:space="preserve"> au sous-alinéa (i) sur 2 500$,</w:t>
      </w:r>
    </w:p>
    <w:p w:rsidR="00063F98" w:rsidRPr="00557493" w:rsidRDefault="006B508C" w:rsidP="006B508C">
      <w:pPr>
        <w:pStyle w:val="Citation-AltC"/>
        <w:tabs>
          <w:tab w:val="left" w:pos="3240"/>
        </w:tabs>
        <w:spacing w:after="240"/>
        <w:ind w:left="2610" w:hanging="2610"/>
        <w:contextualSpacing w:val="0"/>
        <w:rPr>
          <w:szCs w:val="24"/>
          <w:lang w:val="fr-FR"/>
        </w:rPr>
      </w:pPr>
      <w:r>
        <w:rPr>
          <w:szCs w:val="24"/>
          <w:lang w:val="fr-FR"/>
        </w:rPr>
        <w:tab/>
        <w:t>(B)</w:t>
      </w:r>
      <w:r>
        <w:rPr>
          <w:szCs w:val="24"/>
          <w:lang w:val="fr-FR"/>
        </w:rPr>
        <w:tab/>
      </w:r>
      <w:r w:rsidR="00063F98" w:rsidRPr="00557493">
        <w:rPr>
          <w:szCs w:val="24"/>
          <w:lang w:val="fr-FR"/>
        </w:rPr>
        <w:t>6 </w:t>
      </w:r>
      <w:r w:rsidR="00063F98" w:rsidRPr="00780FDA">
        <w:rPr>
          <w:lang w:val="fr-CA"/>
        </w:rPr>
        <w:t>250</w:t>
      </w:r>
      <w:r w:rsidR="005B2741">
        <w:rPr>
          <w:szCs w:val="24"/>
          <w:lang w:val="fr-FR"/>
        </w:rPr>
        <w:t>$</w:t>
      </w:r>
      <w:r w:rsidR="00063F98" w:rsidRPr="00557493">
        <w:rPr>
          <w:szCs w:val="24"/>
          <w:lang w:val="fr-FR"/>
        </w:rPr>
        <w:t>;</w:t>
      </w:r>
    </w:p>
    <w:p w:rsidR="00063F98" w:rsidRPr="00557493" w:rsidRDefault="00063F98" w:rsidP="006B508C">
      <w:pPr>
        <w:pStyle w:val="Citation-AltC"/>
        <w:tabs>
          <w:tab w:val="left" w:pos="1710"/>
          <w:tab w:val="left" w:pos="2160"/>
        </w:tabs>
        <w:ind w:left="1714" w:hanging="1714"/>
        <w:contextualSpacing w:val="0"/>
        <w:jc w:val="left"/>
        <w:rPr>
          <w:szCs w:val="24"/>
          <w:lang w:val="fr-FR"/>
        </w:rPr>
      </w:pPr>
      <w:r w:rsidRPr="00557493">
        <w:rPr>
          <w:szCs w:val="24"/>
          <w:lang w:val="fr-FR"/>
        </w:rPr>
        <w:tab/>
      </w:r>
      <w:r w:rsidRPr="00557493">
        <w:rPr>
          <w:i/>
          <w:szCs w:val="24"/>
          <w:lang w:val="fr-FR"/>
        </w:rPr>
        <w:t>b</w:t>
      </w:r>
      <w:r w:rsidRPr="00557493">
        <w:rPr>
          <w:szCs w:val="24"/>
          <w:lang w:val="fr-FR"/>
        </w:rPr>
        <w:t>)</w:t>
      </w:r>
      <w:r w:rsidRPr="00557493">
        <w:rPr>
          <w:szCs w:val="24"/>
          <w:lang w:val="fr-FR"/>
        </w:rPr>
        <w:tab/>
        <w:t>[un montant additionnel non pertinent en l’espèce].</w:t>
      </w:r>
    </w:p>
    <w:p w:rsidR="00063F98" w:rsidRPr="00557493" w:rsidRDefault="00063F98" w:rsidP="00063F98">
      <w:pPr>
        <w:pStyle w:val="Citation-AltC"/>
        <w:tabs>
          <w:tab w:val="left" w:pos="1170"/>
          <w:tab w:val="left" w:pos="1620"/>
        </w:tabs>
        <w:spacing w:line="480" w:lineRule="auto"/>
        <w:ind w:left="0"/>
        <w:rPr>
          <w:szCs w:val="24"/>
          <w:lang w:val="fr-FR"/>
        </w:rPr>
      </w:pPr>
      <w:r w:rsidRPr="00557493">
        <w:rPr>
          <w:szCs w:val="24"/>
          <w:lang w:val="fr-FR"/>
        </w:rPr>
        <w:lastRenderedPageBreak/>
        <w:t>Aux termes de l’al. 31(1)</w:t>
      </w:r>
      <w:r w:rsidRPr="00557493">
        <w:rPr>
          <w:i/>
          <w:szCs w:val="24"/>
          <w:lang w:val="fr-FR"/>
        </w:rPr>
        <w:t>a</w:t>
      </w:r>
      <w:r w:rsidRPr="00557493">
        <w:rPr>
          <w:szCs w:val="24"/>
          <w:lang w:val="fr-FR"/>
        </w:rPr>
        <w:t>), la déduction maximale permise est de 8 750</w:t>
      </w:r>
      <w:r w:rsidR="000A5BF3">
        <w:rPr>
          <w:szCs w:val="24"/>
          <w:lang w:val="fr-FR"/>
        </w:rPr>
        <w:t xml:space="preserve"> </w:t>
      </w:r>
      <w:r w:rsidRPr="00557493">
        <w:rPr>
          <w:szCs w:val="24"/>
          <w:lang w:val="fr-FR"/>
        </w:rPr>
        <w:t>$, et elle a été accordée à M. Craig</w:t>
      </w:r>
      <w:r w:rsidR="00E916BD">
        <w:rPr>
          <w:szCs w:val="24"/>
          <w:lang w:val="fr-FR"/>
        </w:rPr>
        <w:t>.</w:t>
      </w:r>
    </w:p>
    <w:p w:rsidR="00063F98" w:rsidRPr="00557493" w:rsidRDefault="00063F98" w:rsidP="00063F98">
      <w:pPr>
        <w:pStyle w:val="ParaNoNdepar-AltN"/>
        <w:rPr>
          <w:lang w:val="fr-CA"/>
        </w:rPr>
      </w:pPr>
      <w:r w:rsidRPr="00557493">
        <w:rPr>
          <w:lang w:val="fr-CA"/>
        </w:rPr>
        <w:t>Le paragraphe 248(1) prévoit ce qui suit :</w:t>
      </w:r>
    </w:p>
    <w:p w:rsidR="003A5D9D" w:rsidRDefault="003A5D9D" w:rsidP="003A5D9D">
      <w:pPr>
        <w:pStyle w:val="Citation-AltC"/>
        <w:jc w:val="center"/>
        <w:rPr>
          <w:lang w:val="fr-CA"/>
        </w:rPr>
      </w:pPr>
      <w:r>
        <w:rPr>
          <w:lang w:val="fr-CA"/>
        </w:rPr>
        <w:t>. . .</w:t>
      </w:r>
    </w:p>
    <w:p w:rsidR="00063F98" w:rsidRPr="00557493" w:rsidRDefault="006B508C" w:rsidP="006B508C">
      <w:pPr>
        <w:pStyle w:val="Citation-AltC"/>
        <w:tabs>
          <w:tab w:val="left" w:pos="1170"/>
        </w:tabs>
        <w:ind w:hanging="1166"/>
        <w:rPr>
          <w:lang w:val="fr-CA"/>
        </w:rPr>
      </w:pPr>
      <w:r>
        <w:rPr>
          <w:lang w:val="fr-CA"/>
        </w:rPr>
        <w:tab/>
      </w:r>
      <w:r w:rsidR="00063F98" w:rsidRPr="00557493">
        <w:rPr>
          <w:lang w:val="fr-CA"/>
        </w:rPr>
        <w:t xml:space="preserve">« agriculture » Sont </w:t>
      </w:r>
      <w:r w:rsidR="00063F98" w:rsidRPr="006B508C">
        <w:rPr>
          <w:lang w:val="fr-CA"/>
        </w:rPr>
        <w:t>compris</w:t>
      </w:r>
      <w:r w:rsidR="00063F98" w:rsidRPr="00557493">
        <w:rPr>
          <w:lang w:val="fr-CA"/>
        </w:rPr>
        <w:t xml:space="preserve"> dans l’agriculture [. . .] l</w:t>
      </w:r>
      <w:r w:rsidR="00170A65">
        <w:rPr>
          <w:lang w:val="fr-CA"/>
        </w:rPr>
        <w:t xml:space="preserve">’entretien de chevaux de </w:t>
      </w:r>
      <w:proofErr w:type="gramStart"/>
      <w:r w:rsidR="00170A65">
        <w:rPr>
          <w:lang w:val="fr-CA"/>
        </w:rPr>
        <w:t>course .</w:t>
      </w:r>
      <w:proofErr w:type="gramEnd"/>
      <w:r w:rsidR="00170A65">
        <w:rPr>
          <w:lang w:val="fr-CA"/>
        </w:rPr>
        <w:t> . .</w:t>
      </w:r>
    </w:p>
    <w:p w:rsidR="00063F98" w:rsidRPr="00557493" w:rsidRDefault="00063F98" w:rsidP="00063F98">
      <w:pPr>
        <w:pStyle w:val="TitleTitre-AltT"/>
        <w:tabs>
          <w:tab w:val="clear" w:pos="360"/>
          <w:tab w:val="left" w:pos="540"/>
        </w:tabs>
        <w:ind w:left="540" w:hanging="540"/>
        <w:rPr>
          <w:i/>
          <w:lang w:val="fr-CA"/>
        </w:rPr>
      </w:pPr>
      <w:r w:rsidRPr="00557493">
        <w:rPr>
          <w:lang w:val="fr-CA"/>
        </w:rPr>
        <w:t>IV.</w:t>
      </w:r>
      <w:r w:rsidRPr="00557493">
        <w:rPr>
          <w:lang w:val="fr-CA"/>
        </w:rPr>
        <w:tab/>
      </w:r>
      <w:r w:rsidRPr="00557493">
        <w:rPr>
          <w:u w:val="single"/>
          <w:lang w:val="fr-CA"/>
        </w:rPr>
        <w:t xml:space="preserve">L’arrêt </w:t>
      </w:r>
      <w:proofErr w:type="spellStart"/>
      <w:r w:rsidRPr="00557493">
        <w:rPr>
          <w:i/>
          <w:u w:val="single"/>
          <w:lang w:val="fr-CA"/>
        </w:rPr>
        <w:t>Moldowan</w:t>
      </w:r>
      <w:proofErr w:type="spellEnd"/>
    </w:p>
    <w:p w:rsidR="00063F98" w:rsidRPr="00557493" w:rsidRDefault="00063F98" w:rsidP="00063F98">
      <w:pPr>
        <w:pStyle w:val="ParaNoNdepar-AltN"/>
        <w:rPr>
          <w:lang w:val="fr-CA"/>
        </w:rPr>
      </w:pPr>
      <w:r w:rsidRPr="00557493">
        <w:rPr>
          <w:lang w:val="fr-CA"/>
        </w:rPr>
        <w:t xml:space="preserve">Comme dans la présente espèce, le contribuable en cause dans l’affaire </w:t>
      </w:r>
      <w:proofErr w:type="spellStart"/>
      <w:r w:rsidRPr="00557493">
        <w:rPr>
          <w:i/>
          <w:lang w:val="fr-CA"/>
        </w:rPr>
        <w:t>Moldowan</w:t>
      </w:r>
      <w:proofErr w:type="spellEnd"/>
      <w:r w:rsidRPr="00557493">
        <w:rPr>
          <w:lang w:val="fr-CA"/>
        </w:rPr>
        <w:t xml:space="preserve"> avait, en plus de ses autres sources de revenu, une entreprise agricole qui consistait à acheter, vendre et entretenir des chevaux de course.  Il avait voulu déduire les pertes de l’entreprise agricole de ses autres revenus.  Par application du par. 13(1) de la Loi (le présent par. 31(1)), le ministre avait limité à 5 000 $ (la limite alors prévue) les pertes pouvant être déduites de ses autres sources de revenu.  Notre Cour a maintenu cette </w:t>
      </w:r>
      <w:r w:rsidR="00FF0619">
        <w:rPr>
          <w:lang w:val="fr-CA"/>
        </w:rPr>
        <w:t>limite.  Selon le juge Dickson (plus tard Juge en chef)</w:t>
      </w:r>
      <w:r w:rsidRPr="00557493">
        <w:rPr>
          <w:lang w:val="fr-CA"/>
        </w:rPr>
        <w:t xml:space="preserve"> le par. 13(1) envisageait trois catégories de contribuables agriculteurs :</w:t>
      </w:r>
    </w:p>
    <w:p w:rsidR="00063F98" w:rsidRPr="00557493" w:rsidRDefault="00063F98" w:rsidP="00063F98">
      <w:pPr>
        <w:pStyle w:val="Citation-AltC"/>
        <w:tabs>
          <w:tab w:val="left" w:pos="1800"/>
          <w:tab w:val="left" w:pos="2340"/>
        </w:tabs>
        <w:spacing w:after="240"/>
        <w:ind w:left="1440" w:hanging="1440"/>
        <w:contextualSpacing w:val="0"/>
        <w:rPr>
          <w:lang w:val="fr-CA"/>
        </w:rPr>
      </w:pPr>
      <w:r w:rsidRPr="00557493">
        <w:rPr>
          <w:lang w:val="fr-CA"/>
        </w:rPr>
        <w:tab/>
      </w:r>
      <w:r w:rsidRPr="00557493">
        <w:rPr>
          <w:lang w:val="fr-CA"/>
        </w:rPr>
        <w:tab/>
        <w:t>(1)</w:t>
      </w:r>
      <w:r w:rsidRPr="00557493">
        <w:rPr>
          <w:lang w:val="fr-CA"/>
        </w:rPr>
        <w:tab/>
        <w:t xml:space="preserve">le contribuable qui peut raisonnablement s’attendre à tirer de l’agriculture la plus grande partie de son revenu ou à ce que ce soit le centre de son travail habituel.  Ce contribuable, dont l’agriculture est le </w:t>
      </w:r>
      <w:proofErr w:type="spellStart"/>
      <w:r w:rsidRPr="00557493">
        <w:rPr>
          <w:lang w:val="fr-CA"/>
        </w:rPr>
        <w:t>gagne</w:t>
      </w:r>
      <w:r w:rsidRPr="00557493">
        <w:rPr>
          <w:lang w:val="fr-CA"/>
        </w:rPr>
        <w:noBreakHyphen/>
        <w:t>pain</w:t>
      </w:r>
      <w:proofErr w:type="spellEnd"/>
      <w:r w:rsidRPr="00557493">
        <w:rPr>
          <w:lang w:val="fr-CA"/>
        </w:rPr>
        <w:t>, est exempté de la limite imposée par le par. 13(1) pour les années où il subit des pertes provenant de son exploitation agricole;</w:t>
      </w:r>
    </w:p>
    <w:p w:rsidR="00063F98" w:rsidRPr="00557493" w:rsidRDefault="00063F98" w:rsidP="00063F98">
      <w:pPr>
        <w:pStyle w:val="Citation-AltC"/>
        <w:tabs>
          <w:tab w:val="left" w:pos="1800"/>
          <w:tab w:val="left" w:pos="2340"/>
        </w:tabs>
        <w:spacing w:after="240"/>
        <w:ind w:left="1440" w:hanging="1440"/>
        <w:contextualSpacing w:val="0"/>
        <w:rPr>
          <w:lang w:val="fr-CA"/>
        </w:rPr>
      </w:pPr>
      <w:r w:rsidRPr="00557493">
        <w:rPr>
          <w:lang w:val="fr-CA"/>
        </w:rPr>
        <w:tab/>
      </w:r>
      <w:r w:rsidRPr="00557493">
        <w:rPr>
          <w:lang w:val="fr-CA"/>
        </w:rPr>
        <w:tab/>
        <w:t>(2)</w:t>
      </w:r>
      <w:r w:rsidRPr="00557493">
        <w:rPr>
          <w:lang w:val="fr-CA"/>
        </w:rPr>
        <w:tab/>
        <w:t xml:space="preserve">le contribuable qui ne considère pas l’agriculture, ou l’agriculture et une source secondaire de revenu, comme son </w:t>
      </w:r>
      <w:proofErr w:type="spellStart"/>
      <w:r w:rsidRPr="00557493">
        <w:rPr>
          <w:lang w:val="fr-CA"/>
        </w:rPr>
        <w:lastRenderedPageBreak/>
        <w:t>gagne</w:t>
      </w:r>
      <w:r w:rsidRPr="00557493">
        <w:rPr>
          <w:lang w:val="fr-CA"/>
        </w:rPr>
        <w:noBreakHyphen/>
        <w:t>pain</w:t>
      </w:r>
      <w:proofErr w:type="spellEnd"/>
      <w:r w:rsidRPr="00557493">
        <w:rPr>
          <w:lang w:val="fr-CA"/>
        </w:rPr>
        <w:t xml:space="preserve"> mais pour qui l’exploitation</w:t>
      </w:r>
      <w:r w:rsidRPr="00557493">
        <w:rPr>
          <w:lang w:val="fr-FR"/>
        </w:rPr>
        <w:t xml:space="preserve"> d’une ferme est une entreprise secondaire.  Ce contribuable a droit aux déductions prévues au </w:t>
      </w:r>
      <w:r w:rsidRPr="00557493">
        <w:rPr>
          <w:rStyle w:val="reflex2-link"/>
          <w:lang w:val="fr-FR"/>
        </w:rPr>
        <w:t>par. 13(1)</w:t>
      </w:r>
      <w:r w:rsidRPr="00557493">
        <w:rPr>
          <w:lang w:val="fr-FR"/>
        </w:rPr>
        <w:t xml:space="preserve"> au titre des pertes provenant d’une exploitation agricole;</w:t>
      </w:r>
    </w:p>
    <w:p w:rsidR="00063F98" w:rsidRPr="00557493" w:rsidRDefault="00063F98" w:rsidP="00063F98">
      <w:pPr>
        <w:pStyle w:val="Citation-AltC"/>
        <w:tabs>
          <w:tab w:val="left" w:pos="1800"/>
          <w:tab w:val="left" w:pos="2340"/>
        </w:tabs>
        <w:ind w:left="1440" w:hanging="1440"/>
        <w:contextualSpacing w:val="0"/>
        <w:rPr>
          <w:lang w:val="fr-CA"/>
        </w:rPr>
      </w:pPr>
      <w:r w:rsidRPr="00557493">
        <w:rPr>
          <w:lang w:val="fr-CA"/>
        </w:rPr>
        <w:tab/>
      </w:r>
      <w:r w:rsidRPr="00557493">
        <w:rPr>
          <w:lang w:val="fr-CA"/>
        </w:rPr>
        <w:tab/>
        <w:t>(3)</w:t>
      </w:r>
      <w:r w:rsidRPr="00557493">
        <w:rPr>
          <w:lang w:val="fr-CA"/>
        </w:rPr>
        <w:tab/>
        <w:t xml:space="preserve">le contribuable qui ne considère pas l’agriculture, ou l’agriculture et une source secondaire de revenu, comme son </w:t>
      </w:r>
      <w:proofErr w:type="spellStart"/>
      <w:r w:rsidRPr="00557493">
        <w:rPr>
          <w:lang w:val="fr-CA"/>
        </w:rPr>
        <w:t>gagne</w:t>
      </w:r>
      <w:r w:rsidRPr="00557493">
        <w:rPr>
          <w:lang w:val="fr-CA"/>
        </w:rPr>
        <w:noBreakHyphen/>
        <w:t>pain</w:t>
      </w:r>
      <w:proofErr w:type="spellEnd"/>
      <w:r w:rsidRPr="00557493">
        <w:rPr>
          <w:lang w:val="fr-CA"/>
        </w:rPr>
        <w:t xml:space="preserve"> et qui poursuit une activité agricole comme </w:t>
      </w:r>
      <w:proofErr w:type="spellStart"/>
      <w:r w:rsidRPr="00557493">
        <w:rPr>
          <w:lang w:val="fr-CA"/>
        </w:rPr>
        <w:t>passe</w:t>
      </w:r>
      <w:r w:rsidRPr="00557493">
        <w:rPr>
          <w:lang w:val="fr-CA"/>
        </w:rPr>
        <w:noBreakHyphen/>
        <w:t>temps</w:t>
      </w:r>
      <w:proofErr w:type="spellEnd"/>
      <w:r w:rsidRPr="00557493">
        <w:rPr>
          <w:lang w:val="fr-CA"/>
        </w:rPr>
        <w:t>.  Les pertes de ce contribuable provenant de son exploitation agricole qui ne constitue pas une entreprise, ne sont pas déductibles.  [p. 487</w:t>
      </w:r>
      <w:r w:rsidRPr="00557493">
        <w:rPr>
          <w:lang w:val="fr-CA"/>
        </w:rPr>
        <w:noBreakHyphen/>
        <w:t>488]</w:t>
      </w:r>
    </w:p>
    <w:p w:rsidR="00063F98" w:rsidRPr="00557493" w:rsidRDefault="00063F98" w:rsidP="00063F98">
      <w:pPr>
        <w:pStyle w:val="ContinueParaSuitedupar-AltP"/>
        <w:rPr>
          <w:lang w:val="fr-CA"/>
        </w:rPr>
      </w:pPr>
      <w:r w:rsidRPr="00557493">
        <w:rPr>
          <w:lang w:val="fr-CA"/>
        </w:rPr>
        <w:t>Puisque son entreprise agricole était une source secondaire de revenu par rapport aux autres sources de revenu, M. </w:t>
      </w:r>
      <w:proofErr w:type="spellStart"/>
      <w:r w:rsidRPr="00557493">
        <w:rPr>
          <w:lang w:val="fr-CA"/>
        </w:rPr>
        <w:t>Moldowan</w:t>
      </w:r>
      <w:proofErr w:type="spellEnd"/>
      <w:r w:rsidRPr="00557493">
        <w:rPr>
          <w:lang w:val="fr-CA"/>
        </w:rPr>
        <w:t xml:space="preserve"> appartenait à la deuxième catégorie de contribuables et la déduction pour pertes agricoles était assujettie à la limite prévue.</w:t>
      </w:r>
    </w:p>
    <w:p w:rsidR="00063F98" w:rsidRPr="00557493" w:rsidRDefault="00063F98" w:rsidP="00063F98">
      <w:pPr>
        <w:pStyle w:val="TitleTitre-AltT"/>
        <w:tabs>
          <w:tab w:val="clear" w:pos="360"/>
          <w:tab w:val="left" w:pos="540"/>
        </w:tabs>
        <w:ind w:left="540" w:hanging="540"/>
        <w:rPr>
          <w:lang w:val="fr-CA"/>
        </w:rPr>
      </w:pPr>
      <w:r w:rsidRPr="00557493">
        <w:rPr>
          <w:lang w:val="fr-CA"/>
        </w:rPr>
        <w:t>V.</w:t>
      </w:r>
      <w:r w:rsidRPr="00557493">
        <w:rPr>
          <w:lang w:val="fr-CA"/>
        </w:rPr>
        <w:tab/>
      </w:r>
      <w:r w:rsidRPr="00557493">
        <w:rPr>
          <w:u w:val="single"/>
          <w:lang w:val="fr-CA"/>
        </w:rPr>
        <w:t xml:space="preserve">L’arrêt </w:t>
      </w:r>
      <w:r w:rsidRPr="00557493">
        <w:rPr>
          <w:i/>
          <w:u w:val="single"/>
          <w:lang w:val="fr-CA"/>
        </w:rPr>
        <w:t>Gunn</w:t>
      </w:r>
    </w:p>
    <w:p w:rsidR="00063F98" w:rsidRPr="00557493" w:rsidRDefault="00063F98" w:rsidP="00063F98">
      <w:pPr>
        <w:pStyle w:val="ParaNoNdepar-AltN"/>
        <w:tabs>
          <w:tab w:val="clear" w:pos="1152"/>
          <w:tab w:val="left" w:pos="1166"/>
        </w:tabs>
        <w:rPr>
          <w:lang w:val="fr-CA"/>
        </w:rPr>
      </w:pPr>
      <w:r w:rsidRPr="00557493">
        <w:rPr>
          <w:lang w:val="fr-CA"/>
        </w:rPr>
        <w:t xml:space="preserve">L’arrêt </w:t>
      </w:r>
      <w:proofErr w:type="spellStart"/>
      <w:r w:rsidRPr="00557493">
        <w:rPr>
          <w:i/>
          <w:lang w:val="fr-CA"/>
        </w:rPr>
        <w:t>Moldowan</w:t>
      </w:r>
      <w:proofErr w:type="spellEnd"/>
      <w:r w:rsidRPr="00557493">
        <w:rPr>
          <w:lang w:val="fr-CA"/>
        </w:rPr>
        <w:t xml:space="preserve"> donne des précisions sur l’interprétation du par. 31(1).  Toutefois, au cours des trois décennies qui ont suivi cet arrêt, la définition que le juge Dickson a formulée de la deuxième catégorie de contribuables </w:t>
      </w:r>
      <w:r w:rsidR="006131D9">
        <w:rPr>
          <w:lang w:val="fr-CA"/>
        </w:rPr>
        <w:t>—</w:t>
      </w:r>
      <w:r w:rsidRPr="00557493">
        <w:rPr>
          <w:lang w:val="fr-CA"/>
        </w:rPr>
        <w:t xml:space="preserve"> pour laquelle la déduction pour pertes a</w:t>
      </w:r>
      <w:r w:rsidR="006131D9">
        <w:rPr>
          <w:lang w:val="fr-CA"/>
        </w:rPr>
        <w:t>gricoles est limitée à 8 750 $ —</w:t>
      </w:r>
      <w:r w:rsidRPr="00557493">
        <w:rPr>
          <w:lang w:val="fr-CA"/>
        </w:rPr>
        <w:t xml:space="preserve"> a suscité des critiques de la part de la magistrature, du milieu doctrinal et de la profession juridique.  </w:t>
      </w:r>
      <w:r w:rsidRPr="00557493">
        <w:rPr>
          <w:lang w:val="en-US"/>
        </w:rPr>
        <w:t>(</w:t>
      </w:r>
      <w:proofErr w:type="spellStart"/>
      <w:r w:rsidRPr="00557493">
        <w:rPr>
          <w:lang w:val="en-US"/>
        </w:rPr>
        <w:t>Voir</w:t>
      </w:r>
      <w:proofErr w:type="spellEnd"/>
      <w:r w:rsidRPr="00557493">
        <w:rPr>
          <w:lang w:val="en-US"/>
        </w:rPr>
        <w:t xml:space="preserve">, </w:t>
      </w:r>
      <w:proofErr w:type="spellStart"/>
      <w:r w:rsidRPr="00557493">
        <w:rPr>
          <w:lang w:val="en-US"/>
        </w:rPr>
        <w:t>notamment</w:t>
      </w:r>
      <w:proofErr w:type="spellEnd"/>
      <w:r w:rsidRPr="00557493">
        <w:rPr>
          <w:lang w:val="en-US"/>
        </w:rPr>
        <w:t xml:space="preserve">, D. K. McNair, </w:t>
      </w:r>
      <w:r w:rsidRPr="00557493">
        <w:rPr>
          <w:i/>
          <w:lang w:val="en-US"/>
        </w:rPr>
        <w:t xml:space="preserve">Taxation of Farmers and Fishermen </w:t>
      </w:r>
      <w:r w:rsidRPr="00557493">
        <w:rPr>
          <w:lang w:val="en-US"/>
        </w:rPr>
        <w:t>(1980)</w:t>
      </w:r>
      <w:r w:rsidR="002C118E">
        <w:rPr>
          <w:lang w:val="en-US"/>
        </w:rPr>
        <w:t>,</w:t>
      </w:r>
      <w:r w:rsidRPr="00557493">
        <w:rPr>
          <w:lang w:val="en-US"/>
        </w:rPr>
        <w:t xml:space="preserve"> p. 135; R. B. Thomas, « A Farm Loss with a Difference </w:t>
      </w:r>
      <w:r w:rsidR="00FC1CCA">
        <w:rPr>
          <w:lang w:val="en-US"/>
        </w:rPr>
        <w:t>— T</w:t>
      </w:r>
      <w:r w:rsidRPr="00557493">
        <w:rPr>
          <w:lang w:val="en-US"/>
        </w:rPr>
        <w:t xml:space="preserve">he Farmer is Successful! » </w:t>
      </w:r>
      <w:r w:rsidRPr="00557493">
        <w:rPr>
          <w:lang w:val="fr-CA"/>
        </w:rPr>
        <w:t xml:space="preserve">(1993), 41 </w:t>
      </w:r>
      <w:proofErr w:type="spellStart"/>
      <w:r w:rsidRPr="00557493">
        <w:rPr>
          <w:i/>
          <w:lang w:val="fr-CA"/>
        </w:rPr>
        <w:t>Rev</w:t>
      </w:r>
      <w:proofErr w:type="spellEnd"/>
      <w:r w:rsidRPr="00557493">
        <w:rPr>
          <w:i/>
          <w:lang w:val="fr-CA"/>
        </w:rPr>
        <w:t xml:space="preserve">. </w:t>
      </w:r>
      <w:r w:rsidR="005F744E">
        <w:rPr>
          <w:i/>
          <w:lang w:val="fr-CA"/>
        </w:rPr>
        <w:t xml:space="preserve">fisc. </w:t>
      </w:r>
      <w:proofErr w:type="spellStart"/>
      <w:r w:rsidR="005F744E">
        <w:rPr>
          <w:i/>
          <w:lang w:val="fr-CA"/>
        </w:rPr>
        <w:t>c</w:t>
      </w:r>
      <w:r w:rsidRPr="00557493">
        <w:rPr>
          <w:i/>
          <w:lang w:val="fr-CA"/>
        </w:rPr>
        <w:t>an</w:t>
      </w:r>
      <w:proofErr w:type="spellEnd"/>
      <w:r w:rsidRPr="00557493">
        <w:rPr>
          <w:i/>
          <w:lang w:val="fr-CA"/>
        </w:rPr>
        <w:t>.</w:t>
      </w:r>
      <w:r w:rsidRPr="00557493">
        <w:rPr>
          <w:lang w:val="fr-CA"/>
        </w:rPr>
        <w:t xml:space="preserve"> 513, p. 514</w:t>
      </w:r>
      <w:r w:rsidRPr="00557493">
        <w:rPr>
          <w:lang w:val="fr-CA"/>
        </w:rPr>
        <w:noBreakHyphen/>
        <w:t xml:space="preserve">515; </w:t>
      </w:r>
      <w:proofErr w:type="spellStart"/>
      <w:r w:rsidRPr="00557493">
        <w:rPr>
          <w:i/>
          <w:lang w:val="fr-CA"/>
        </w:rPr>
        <w:t>Hover</w:t>
      </w:r>
      <w:proofErr w:type="spellEnd"/>
      <w:r w:rsidRPr="00557493">
        <w:rPr>
          <w:i/>
          <w:lang w:val="fr-CA"/>
        </w:rPr>
        <w:t xml:space="preserve"> c. </w:t>
      </w:r>
      <w:r w:rsidR="00246EB9">
        <w:rPr>
          <w:i/>
          <w:lang w:val="fr-CA"/>
        </w:rPr>
        <w:t>Canada (ministre du Revenu national – M.R.N.)</w:t>
      </w:r>
      <w:r w:rsidRPr="00557493">
        <w:rPr>
          <w:lang w:val="fr-CA"/>
        </w:rPr>
        <w:t>,</w:t>
      </w:r>
      <w:r w:rsidRPr="00557493">
        <w:rPr>
          <w:i/>
          <w:lang w:val="fr-CA"/>
        </w:rPr>
        <w:t xml:space="preserve"> </w:t>
      </w:r>
      <w:r w:rsidRPr="00557493">
        <w:rPr>
          <w:lang w:val="fr-CA"/>
        </w:rPr>
        <w:t>[199</w:t>
      </w:r>
      <w:r w:rsidR="00D11EE0">
        <w:rPr>
          <w:lang w:val="fr-CA"/>
        </w:rPr>
        <w:t>2</w:t>
      </w:r>
      <w:r w:rsidRPr="00557493">
        <w:rPr>
          <w:lang w:val="fr-CA"/>
        </w:rPr>
        <w:t xml:space="preserve">] </w:t>
      </w:r>
      <w:r w:rsidR="00D11EE0">
        <w:rPr>
          <w:lang w:val="fr-CA"/>
        </w:rPr>
        <w:t>A.C.I. n</w:t>
      </w:r>
      <w:r w:rsidR="00D11EE0" w:rsidRPr="00D11EE0">
        <w:rPr>
          <w:vertAlign w:val="superscript"/>
          <w:lang w:val="fr-CA"/>
        </w:rPr>
        <w:t>o</w:t>
      </w:r>
      <w:r w:rsidR="00D11EE0">
        <w:rPr>
          <w:lang w:val="fr-CA"/>
        </w:rPr>
        <w:t xml:space="preserve"> 735</w:t>
      </w:r>
      <w:r w:rsidR="00AE6FB9">
        <w:rPr>
          <w:lang w:val="fr-CA"/>
        </w:rPr>
        <w:t xml:space="preserve"> (QL)</w:t>
      </w:r>
      <w:r w:rsidRPr="00557493">
        <w:rPr>
          <w:lang w:val="fr-CA"/>
        </w:rPr>
        <w:t>, par. 59</w:t>
      </w:r>
      <w:r w:rsidRPr="00557493">
        <w:rPr>
          <w:lang w:val="fr-CA"/>
        </w:rPr>
        <w:noBreakHyphen/>
        <w:t>64, le juge Bowman (plus tard Juge en chef de la C</w:t>
      </w:r>
      <w:r w:rsidR="008D2CF6">
        <w:rPr>
          <w:lang w:val="fr-CA"/>
        </w:rPr>
        <w:t>.</w:t>
      </w:r>
      <w:r w:rsidRPr="00557493">
        <w:rPr>
          <w:lang w:val="fr-CA"/>
        </w:rPr>
        <w:t>C</w:t>
      </w:r>
      <w:r w:rsidR="008D2CF6">
        <w:rPr>
          <w:lang w:val="fr-CA"/>
        </w:rPr>
        <w:t>.</w:t>
      </w:r>
      <w:r w:rsidRPr="00557493">
        <w:rPr>
          <w:lang w:val="fr-CA"/>
        </w:rPr>
        <w:t>I</w:t>
      </w:r>
      <w:r w:rsidR="008D2CF6">
        <w:rPr>
          <w:lang w:val="fr-CA"/>
        </w:rPr>
        <w:t>.</w:t>
      </w:r>
      <w:r w:rsidRPr="00557493">
        <w:rPr>
          <w:lang w:val="fr-CA"/>
        </w:rPr>
        <w:t xml:space="preserve">); </w:t>
      </w:r>
      <w:r w:rsidRPr="00557493">
        <w:rPr>
          <w:i/>
          <w:lang w:val="fr-CA"/>
        </w:rPr>
        <w:t xml:space="preserve">Hadley c. </w:t>
      </w:r>
      <w:r w:rsidR="005A7621">
        <w:rPr>
          <w:i/>
          <w:lang w:val="fr-CA"/>
        </w:rPr>
        <w:t xml:space="preserve">The </w:t>
      </w:r>
      <w:proofErr w:type="spellStart"/>
      <w:r w:rsidR="005A7621">
        <w:rPr>
          <w:i/>
          <w:lang w:val="fr-CA"/>
        </w:rPr>
        <w:t>Queen</w:t>
      </w:r>
      <w:proofErr w:type="spellEnd"/>
      <w:r w:rsidRPr="00557493">
        <w:rPr>
          <w:lang w:val="fr-CA"/>
        </w:rPr>
        <w:t>,</w:t>
      </w:r>
      <w:r w:rsidRPr="00557493">
        <w:rPr>
          <w:i/>
          <w:lang w:val="fr-CA"/>
        </w:rPr>
        <w:t xml:space="preserve"> </w:t>
      </w:r>
      <w:r w:rsidRPr="00557493">
        <w:rPr>
          <w:lang w:val="fr-CA"/>
        </w:rPr>
        <w:t>[1985] 1 C.T.C. 62 (C.F. 1</w:t>
      </w:r>
      <w:r w:rsidRPr="00557493">
        <w:rPr>
          <w:vertAlign w:val="superscript"/>
          <w:lang w:val="fr-CA"/>
        </w:rPr>
        <w:t>re</w:t>
      </w:r>
      <w:r w:rsidRPr="00557493">
        <w:rPr>
          <w:lang w:val="fr-CA"/>
        </w:rPr>
        <w:t> </w:t>
      </w:r>
      <w:proofErr w:type="spellStart"/>
      <w:r w:rsidRPr="00557493">
        <w:rPr>
          <w:lang w:val="fr-CA"/>
        </w:rPr>
        <w:t>inst</w:t>
      </w:r>
      <w:proofErr w:type="spellEnd"/>
      <w:r w:rsidRPr="00557493">
        <w:rPr>
          <w:lang w:val="fr-CA"/>
        </w:rPr>
        <w:t xml:space="preserve">.); </w:t>
      </w:r>
      <w:r w:rsidR="0030258A">
        <w:rPr>
          <w:i/>
          <w:lang w:val="fr-CA"/>
        </w:rPr>
        <w:t xml:space="preserve">The </w:t>
      </w:r>
      <w:proofErr w:type="spellStart"/>
      <w:r w:rsidR="0030258A">
        <w:rPr>
          <w:i/>
          <w:lang w:val="fr-CA"/>
        </w:rPr>
        <w:t>Queen</w:t>
      </w:r>
      <w:proofErr w:type="spellEnd"/>
      <w:r w:rsidRPr="00557493">
        <w:rPr>
          <w:i/>
          <w:lang w:val="fr-CA"/>
        </w:rPr>
        <w:t xml:space="preserve"> c. Graham </w:t>
      </w:r>
      <w:r w:rsidRPr="00557493">
        <w:rPr>
          <w:lang w:val="fr-CA"/>
        </w:rPr>
        <w:t xml:space="preserve">(1985), 85 D.T.C. 5256 (C.A.F.), le juge Marceau, dissident; </w:t>
      </w:r>
      <w:proofErr w:type="spellStart"/>
      <w:r w:rsidRPr="00557493">
        <w:rPr>
          <w:i/>
          <w:lang w:val="fr-CA"/>
        </w:rPr>
        <w:lastRenderedPageBreak/>
        <w:t>Morrissey</w:t>
      </w:r>
      <w:proofErr w:type="spellEnd"/>
      <w:r w:rsidRPr="00557493">
        <w:rPr>
          <w:i/>
          <w:lang w:val="fr-CA"/>
        </w:rPr>
        <w:t xml:space="preserve"> c. Canada</w:t>
      </w:r>
      <w:r w:rsidRPr="00557493">
        <w:rPr>
          <w:lang w:val="fr-CA"/>
        </w:rPr>
        <w:t>, [1989] 2 C.F. 418</w:t>
      </w:r>
      <w:r w:rsidR="00164F93">
        <w:rPr>
          <w:lang w:val="fr-CA"/>
        </w:rPr>
        <w:t xml:space="preserve"> </w:t>
      </w:r>
      <w:r w:rsidR="00164F93" w:rsidRPr="0057466E">
        <w:rPr>
          <w:lang w:val="fr-CA"/>
        </w:rPr>
        <w:t>(C.A</w:t>
      </w:r>
      <w:r w:rsidR="00164F93">
        <w:rPr>
          <w:lang w:val="fr-CA"/>
        </w:rPr>
        <w:t>.</w:t>
      </w:r>
      <w:r w:rsidR="00164F93" w:rsidRPr="0057466E">
        <w:rPr>
          <w:lang w:val="fr-CA"/>
        </w:rPr>
        <w:t>)</w:t>
      </w:r>
      <w:r w:rsidRPr="00557493">
        <w:rPr>
          <w:lang w:val="fr-CA"/>
        </w:rPr>
        <w:t xml:space="preserve">, le juge </w:t>
      </w:r>
      <w:proofErr w:type="spellStart"/>
      <w:r w:rsidRPr="00557493">
        <w:rPr>
          <w:lang w:val="fr-CA"/>
        </w:rPr>
        <w:t>Mahoney</w:t>
      </w:r>
      <w:proofErr w:type="spellEnd"/>
      <w:r w:rsidRPr="00557493">
        <w:rPr>
          <w:lang w:val="fr-CA"/>
        </w:rPr>
        <w:t xml:space="preserve">; </w:t>
      </w:r>
      <w:r w:rsidRPr="00557493">
        <w:rPr>
          <w:i/>
          <w:lang w:val="fr-CA"/>
        </w:rPr>
        <w:t xml:space="preserve">Poirier (in </w:t>
      </w:r>
      <w:proofErr w:type="spellStart"/>
      <w:r w:rsidRPr="00557493">
        <w:rPr>
          <w:i/>
          <w:lang w:val="fr-CA"/>
        </w:rPr>
        <w:t>bankruptcy</w:t>
      </w:r>
      <w:proofErr w:type="spellEnd"/>
      <w:r w:rsidRPr="00557493">
        <w:rPr>
          <w:i/>
          <w:lang w:val="fr-CA"/>
        </w:rPr>
        <w:t xml:space="preserve">) c. </w:t>
      </w:r>
      <w:proofErr w:type="spellStart"/>
      <w:r w:rsidRPr="00557493">
        <w:rPr>
          <w:i/>
          <w:lang w:val="fr-CA"/>
        </w:rPr>
        <w:t>Minister</w:t>
      </w:r>
      <w:proofErr w:type="spellEnd"/>
      <w:r w:rsidRPr="00557493">
        <w:rPr>
          <w:i/>
          <w:lang w:val="fr-CA"/>
        </w:rPr>
        <w:t xml:space="preserve"> of National Revenue </w:t>
      </w:r>
      <w:r w:rsidRPr="00557493">
        <w:rPr>
          <w:lang w:val="fr-CA"/>
        </w:rPr>
        <w:t xml:space="preserve">(1986), 2 F.T.R. 11, le juge en chef adjoint </w:t>
      </w:r>
      <w:proofErr w:type="spellStart"/>
      <w:r w:rsidRPr="00557493">
        <w:rPr>
          <w:lang w:val="fr-CA"/>
        </w:rPr>
        <w:t>Jerome</w:t>
      </w:r>
      <w:proofErr w:type="spellEnd"/>
      <w:r w:rsidRPr="00557493">
        <w:rPr>
          <w:lang w:val="fr-CA"/>
        </w:rPr>
        <w:t xml:space="preserve">; </w:t>
      </w:r>
      <w:r w:rsidRPr="00557493">
        <w:rPr>
          <w:i/>
          <w:lang w:val="fr-CA"/>
        </w:rPr>
        <w:t>Watt c. Canada</w:t>
      </w:r>
      <w:r w:rsidRPr="00557493">
        <w:rPr>
          <w:lang w:val="fr-CA"/>
        </w:rPr>
        <w:t>, 2001 CAF 72</w:t>
      </w:r>
      <w:r w:rsidR="0056155F">
        <w:rPr>
          <w:lang w:val="fr-CA"/>
        </w:rPr>
        <w:t xml:space="preserve"> (</w:t>
      </w:r>
      <w:proofErr w:type="spellStart"/>
      <w:r w:rsidR="0056155F">
        <w:rPr>
          <w:lang w:val="fr-CA"/>
        </w:rPr>
        <w:t>CanLII</w:t>
      </w:r>
      <w:proofErr w:type="spellEnd"/>
      <w:r w:rsidR="0056155F">
        <w:rPr>
          <w:lang w:val="fr-CA"/>
        </w:rPr>
        <w:t>),</w:t>
      </w:r>
      <w:r w:rsidRPr="00557493">
        <w:rPr>
          <w:lang w:val="fr-CA"/>
        </w:rPr>
        <w:t xml:space="preserve"> le juge </w:t>
      </w:r>
      <w:proofErr w:type="spellStart"/>
      <w:r w:rsidRPr="00557493">
        <w:rPr>
          <w:lang w:val="fr-CA"/>
        </w:rPr>
        <w:t>Sexton</w:t>
      </w:r>
      <w:proofErr w:type="spellEnd"/>
      <w:r w:rsidRPr="00557493">
        <w:rPr>
          <w:lang w:val="fr-CA"/>
        </w:rPr>
        <w:t xml:space="preserve">.) </w:t>
      </w:r>
    </w:p>
    <w:p w:rsidR="00063F98" w:rsidRPr="00557493" w:rsidRDefault="00063F98" w:rsidP="00063F98">
      <w:pPr>
        <w:pStyle w:val="ParaNoNdepar-AltN"/>
        <w:tabs>
          <w:tab w:val="clear" w:pos="1152"/>
          <w:tab w:val="left" w:pos="1166"/>
        </w:tabs>
        <w:rPr>
          <w:lang w:val="fr-CA"/>
        </w:rPr>
      </w:pPr>
      <w:r w:rsidRPr="00557493">
        <w:rPr>
          <w:lang w:val="fr-CA"/>
        </w:rPr>
        <w:t xml:space="preserve">Selon les critiques, cette définition de la deuxième catégorie de contribuables fait en sorte que, pour que la déductibilité des pertes agricoles ne soit pas limitée en application du par. 31(1), la principale source de revenu du contribuable doit être l’agriculture, comme pour la première catégorie.  Autrement dit, l’arrêt </w:t>
      </w:r>
      <w:proofErr w:type="spellStart"/>
      <w:r w:rsidRPr="00557493">
        <w:rPr>
          <w:i/>
          <w:lang w:val="fr-CA"/>
        </w:rPr>
        <w:t>Moldowan</w:t>
      </w:r>
      <w:proofErr w:type="spellEnd"/>
      <w:r w:rsidRPr="00557493">
        <w:rPr>
          <w:lang w:val="fr-CA"/>
        </w:rPr>
        <w:t xml:space="preserve"> établit que si l’agriculture est une source secondaire de revenu par rapport aux autres sources du revenu du contribuable, la déduction sera limitée.  Il s’ensuit nécessairement que, pour que la limite ne s’applique pas, l’agriculture doit être la principale source de revenu, tout comme pour les contribuables de la première catégorie établie dans </w:t>
      </w:r>
      <w:proofErr w:type="spellStart"/>
      <w:r w:rsidRPr="00557493">
        <w:rPr>
          <w:i/>
          <w:lang w:val="fr-CA"/>
        </w:rPr>
        <w:t>Moldowan</w:t>
      </w:r>
      <w:proofErr w:type="spellEnd"/>
      <w:r w:rsidRPr="00557493">
        <w:rPr>
          <w:lang w:val="fr-CA"/>
        </w:rPr>
        <w:t xml:space="preserve">.  Rien dans le texte ou le contexte du par. 31(1) ne permet d’inférer que, pour faire obstacle à la limitation de la déduction pour pertes agricoles, il faut que l’agriculture soit une source de revenu prédominante par rapport aux autres sources de revenu du contribuable et qu’elle ne peut être une source subsidiaire. </w:t>
      </w:r>
    </w:p>
    <w:p w:rsidR="00063F98" w:rsidRPr="00557493" w:rsidRDefault="00063F98" w:rsidP="00063F98">
      <w:pPr>
        <w:pStyle w:val="ParaNoNdepar-AltN"/>
        <w:rPr>
          <w:lang w:val="fr-CA"/>
        </w:rPr>
      </w:pPr>
      <w:r w:rsidRPr="00557493">
        <w:rPr>
          <w:lang w:val="fr-CA"/>
        </w:rPr>
        <w:t xml:space="preserve">En 2006, dans </w:t>
      </w:r>
      <w:r w:rsidRPr="00557493">
        <w:rPr>
          <w:i/>
          <w:lang w:val="fr-CA"/>
        </w:rPr>
        <w:t>Gunn</w:t>
      </w:r>
      <w:r w:rsidRPr="00557493">
        <w:rPr>
          <w:lang w:val="fr-CA"/>
        </w:rPr>
        <w:t xml:space="preserve">, la juge </w:t>
      </w:r>
      <w:proofErr w:type="spellStart"/>
      <w:r w:rsidRPr="00557493">
        <w:rPr>
          <w:lang w:val="fr-CA"/>
        </w:rPr>
        <w:t>Sharlow</w:t>
      </w:r>
      <w:proofErr w:type="spellEnd"/>
      <w:r w:rsidRPr="00557493">
        <w:rPr>
          <w:lang w:val="fr-CA"/>
        </w:rPr>
        <w:t xml:space="preserve"> a analysé en profondeur l’arrêt </w:t>
      </w:r>
      <w:proofErr w:type="spellStart"/>
      <w:r w:rsidRPr="00557493">
        <w:rPr>
          <w:i/>
          <w:lang w:val="fr-CA"/>
        </w:rPr>
        <w:t>Moldowan</w:t>
      </w:r>
      <w:proofErr w:type="spellEnd"/>
      <w:r w:rsidRPr="00557493">
        <w:rPr>
          <w:i/>
          <w:lang w:val="fr-CA"/>
        </w:rPr>
        <w:t xml:space="preserve"> </w:t>
      </w:r>
      <w:r w:rsidRPr="00557493">
        <w:rPr>
          <w:lang w:val="fr-CA"/>
        </w:rPr>
        <w:t>et l’historique législatif du par. 31(1).  Bien qu’elle ait adhéré dans l’ensemble au raisonnement du juge Dickson, elle n’a pas souscrit à la partie de son analyse qui est en cause en l’espèce et qui a suscité des critiques.  Elle indique ce qui suit au par. 71 :</w:t>
      </w:r>
    </w:p>
    <w:p w:rsidR="00063F98" w:rsidRPr="00557493" w:rsidRDefault="00063F98" w:rsidP="00063F98">
      <w:pPr>
        <w:pStyle w:val="Citation-AltC"/>
        <w:tabs>
          <w:tab w:val="left" w:pos="1170"/>
        </w:tabs>
        <w:ind w:left="1170" w:hanging="1170"/>
        <w:rPr>
          <w:lang w:val="fr-CA"/>
        </w:rPr>
      </w:pPr>
      <w:r w:rsidRPr="00557493">
        <w:rPr>
          <w:lang w:val="fr-CA"/>
        </w:rPr>
        <w:lastRenderedPageBreak/>
        <w:tab/>
        <w:t>Selon l’approche du juge Dickson quant à la question de la combinaison, cette personne ne peut pas échapper à l’application de l’article 31, sauf s’il [</w:t>
      </w:r>
      <w:r w:rsidRPr="00557493">
        <w:rPr>
          <w:i/>
          <w:lang w:val="fr-CA"/>
        </w:rPr>
        <w:t>sic</w:t>
      </w:r>
      <w:r w:rsidRPr="00557493">
        <w:rPr>
          <w:lang w:val="fr-CA"/>
        </w:rPr>
        <w:t xml:space="preserve">] établit que son autre source de revenu est accessoire à l’agriculture. </w:t>
      </w:r>
      <w:r>
        <w:rPr>
          <w:lang w:val="fr-CA"/>
        </w:rPr>
        <w:t xml:space="preserve"> </w:t>
      </w:r>
      <w:r w:rsidRPr="00557493">
        <w:rPr>
          <w:lang w:val="fr-CA"/>
        </w:rPr>
        <w:t>Mais, si elle peut établir cela, elle est probablement en mesure d’établir que l’agriculture est sa principale source de revenu.</w:t>
      </w:r>
    </w:p>
    <w:p w:rsidR="00063F98" w:rsidRPr="00557493" w:rsidRDefault="00063F98" w:rsidP="00063F98">
      <w:pPr>
        <w:pStyle w:val="ParaNoNdepar-AltN"/>
        <w:rPr>
          <w:lang w:val="fr-CA"/>
        </w:rPr>
      </w:pPr>
      <w:r w:rsidRPr="00557493">
        <w:rPr>
          <w:lang w:val="fr-CA"/>
        </w:rPr>
        <w:t xml:space="preserve">Selon la juge </w:t>
      </w:r>
      <w:proofErr w:type="spellStart"/>
      <w:r w:rsidRPr="00557493">
        <w:rPr>
          <w:lang w:val="fr-CA"/>
        </w:rPr>
        <w:t>Sharlow</w:t>
      </w:r>
      <w:proofErr w:type="spellEnd"/>
      <w:r w:rsidRPr="00557493">
        <w:rPr>
          <w:lang w:val="fr-CA"/>
        </w:rPr>
        <w:t xml:space="preserve">, la règle jurisprudentielle formulée par le juge Dickson ne cadrait pas avec la méthode moderne d’interprétation de la </w:t>
      </w:r>
      <w:r w:rsidRPr="00557493">
        <w:rPr>
          <w:i/>
          <w:lang w:val="fr-CA"/>
        </w:rPr>
        <w:t>Loi de l’impôt sur le revenu</w:t>
      </w:r>
      <w:r w:rsidRPr="00557493">
        <w:rPr>
          <w:lang w:val="fr-CA"/>
        </w:rPr>
        <w:t xml:space="preserve"> appliquée par notre Cour.  Au par</w:t>
      </w:r>
      <w:r w:rsidR="00DF08B6">
        <w:rPr>
          <w:lang w:val="fr-CA"/>
        </w:rPr>
        <w:t>agraphe</w:t>
      </w:r>
      <w:r w:rsidRPr="00557493">
        <w:rPr>
          <w:lang w:val="fr-CA"/>
        </w:rPr>
        <w:t xml:space="preserve"> 75, la juge a cité le passage suivant de l’arrêt </w:t>
      </w:r>
      <w:r w:rsidRPr="00557493">
        <w:rPr>
          <w:i/>
          <w:lang w:val="fr-CA"/>
        </w:rPr>
        <w:t xml:space="preserve">Shell Canada </w:t>
      </w:r>
      <w:proofErr w:type="spellStart"/>
      <w:r w:rsidRPr="00557493">
        <w:rPr>
          <w:i/>
          <w:lang w:val="fr-CA"/>
        </w:rPr>
        <w:t>Ltée</w:t>
      </w:r>
      <w:proofErr w:type="spellEnd"/>
      <w:r w:rsidRPr="00557493">
        <w:rPr>
          <w:i/>
          <w:lang w:val="fr-CA"/>
        </w:rPr>
        <w:t xml:space="preserve"> c. Canada</w:t>
      </w:r>
      <w:r w:rsidRPr="00557493">
        <w:rPr>
          <w:lang w:val="fr-CA"/>
        </w:rPr>
        <w:t>, [1999] 3 R.C.S. 622, par. 43 :</w:t>
      </w:r>
    </w:p>
    <w:p w:rsidR="00063F98" w:rsidRPr="00557493" w:rsidRDefault="00063F98" w:rsidP="00063F98">
      <w:pPr>
        <w:pStyle w:val="Citation-AltC"/>
        <w:tabs>
          <w:tab w:val="left" w:pos="1170"/>
        </w:tabs>
        <w:ind w:left="1170" w:hanging="1170"/>
        <w:rPr>
          <w:lang w:val="fr-CA"/>
        </w:rPr>
      </w:pPr>
      <w:r w:rsidRPr="00557493">
        <w:rPr>
          <w:lang w:val="fr-CA"/>
        </w:rPr>
        <w:tab/>
        <w:t>La jurisprudence de notre Cour est constante : les tribunaux doivent par conséquent faire preuve de prudence lorsqu’il s’agit d’attribuer au législateur, à l’égard d’une disposition claire de la Loi, une intention non explicite [. . .]</w:t>
      </w:r>
      <w:r w:rsidR="005B2741">
        <w:rPr>
          <w:lang w:val="fr-CA"/>
        </w:rPr>
        <w:t xml:space="preserve"> </w:t>
      </w:r>
      <w:r w:rsidRPr="00557493">
        <w:rPr>
          <w:lang w:val="fr-CA"/>
        </w:rPr>
        <w:t xml:space="preserve"> En concluant à l’existence d’une intention non exprimée par le législateur sous couvert d’une interprétation fondée sur l’objet, l’on risque de rompre l’équilibre que le législateur a tenté d’établir dans la Loi.</w:t>
      </w:r>
    </w:p>
    <w:p w:rsidR="00063F98" w:rsidRPr="00557493" w:rsidRDefault="00063F98" w:rsidP="00063F98">
      <w:pPr>
        <w:pStyle w:val="ParaNoNdepar-AltN"/>
        <w:rPr>
          <w:lang w:val="fr-CA"/>
        </w:rPr>
      </w:pPr>
      <w:r w:rsidRPr="00557493">
        <w:rPr>
          <w:lang w:val="fr-CA"/>
        </w:rPr>
        <w:t xml:space="preserve">Concernant la question de la « combinaison », la juge </w:t>
      </w:r>
      <w:proofErr w:type="spellStart"/>
      <w:r w:rsidRPr="00557493">
        <w:rPr>
          <w:lang w:val="fr-CA"/>
        </w:rPr>
        <w:t>Sharlow</w:t>
      </w:r>
      <w:proofErr w:type="spellEnd"/>
      <w:r w:rsidRPr="00557493">
        <w:rPr>
          <w:lang w:val="fr-CA"/>
        </w:rPr>
        <w:t xml:space="preserve"> a souligné l’intelligibilité du sens grammatical ordinaire du mot qui, dans la langue courante, évoque une « addition » ou un « agrégat ».  Après avoir ainsi interprété le mot « combinaison », elle a conclu comme suit au par. 83 :</w:t>
      </w:r>
    </w:p>
    <w:p w:rsidR="00063F98" w:rsidRPr="00557493" w:rsidRDefault="00063F98" w:rsidP="00063F98">
      <w:pPr>
        <w:pStyle w:val="Citation-AltC"/>
        <w:tabs>
          <w:tab w:val="left" w:pos="1170"/>
          <w:tab w:val="left" w:pos="1620"/>
        </w:tabs>
        <w:ind w:left="1170" w:hanging="1170"/>
        <w:rPr>
          <w:lang w:val="fr-CA"/>
        </w:rPr>
      </w:pPr>
      <w:r w:rsidRPr="00557493">
        <w:rPr>
          <w:lang w:val="fr-CA"/>
        </w:rPr>
        <w:tab/>
      </w:r>
      <w:r w:rsidRPr="00557493">
        <w:rPr>
          <w:lang w:val="fr-CA"/>
        </w:rPr>
        <w:tab/>
        <w:t>À mon avis, la question de la combinaison doit être interprétée de manière à n’exiger qu’un examen de l’effet cumulatif du total du capital investi dans l’agriculture et dans une deuxième source de revenu, du total du revenu tiré de l’agriculture et d’une deuxième source de revenu, et du total du temps consacré à l’agriculture et à la seconde source de revenu, compte tenu du mode de vie ordinaire du contribuable, de son expérience de l’agriculture, enfin de ses intentions et de ses attentes.</w:t>
      </w:r>
    </w:p>
    <w:p w:rsidR="00063F98" w:rsidRPr="00557493" w:rsidRDefault="00063F98" w:rsidP="00063F98">
      <w:pPr>
        <w:pStyle w:val="ContinueParaSuitedupar-AltP"/>
        <w:rPr>
          <w:lang w:val="fr-CA"/>
        </w:rPr>
      </w:pPr>
      <w:r w:rsidRPr="00557493">
        <w:rPr>
          <w:lang w:val="fr-CA"/>
        </w:rPr>
        <w:lastRenderedPageBreak/>
        <w:t>Appliquant son interprétation du critère relatif à la combinaison, la juge </w:t>
      </w:r>
      <w:proofErr w:type="spellStart"/>
      <w:r w:rsidRPr="00557493">
        <w:rPr>
          <w:lang w:val="fr-CA"/>
        </w:rPr>
        <w:t>Sharlow</w:t>
      </w:r>
      <w:proofErr w:type="spellEnd"/>
      <w:r w:rsidRPr="00557493">
        <w:rPr>
          <w:lang w:val="fr-CA"/>
        </w:rPr>
        <w:t xml:space="preserve"> a conclu que la principale source de revenu de M. Gunn était constituée de la combinaison de l’agriculture et de l’exercice de sa profession juridique.  Elle s’est exprimée en ces termes au par. 92 :</w:t>
      </w:r>
    </w:p>
    <w:p w:rsidR="00063F98" w:rsidRPr="00557493" w:rsidRDefault="00063F98" w:rsidP="00063F98">
      <w:pPr>
        <w:pStyle w:val="Citation-AltC"/>
        <w:tabs>
          <w:tab w:val="left" w:pos="1170"/>
          <w:tab w:val="left" w:pos="1620"/>
        </w:tabs>
        <w:ind w:left="1170" w:hanging="1170"/>
        <w:rPr>
          <w:lang w:val="fr-CA"/>
        </w:rPr>
      </w:pPr>
      <w:r w:rsidRPr="00557493">
        <w:rPr>
          <w:lang w:val="fr-CA"/>
        </w:rPr>
        <w:tab/>
        <w:t xml:space="preserve">Pour les motifs donnés dans mon analyse </w:t>
      </w:r>
      <w:proofErr w:type="spellStart"/>
      <w:r w:rsidRPr="00557493">
        <w:rPr>
          <w:lang w:val="fr-CA"/>
        </w:rPr>
        <w:t>ci</w:t>
      </w:r>
      <w:r w:rsidRPr="00557493">
        <w:rPr>
          <w:lang w:val="fr-CA"/>
        </w:rPr>
        <w:noBreakHyphen/>
        <w:t>dessus</w:t>
      </w:r>
      <w:proofErr w:type="spellEnd"/>
      <w:r w:rsidRPr="00557493">
        <w:rPr>
          <w:lang w:val="fr-CA"/>
        </w:rPr>
        <w:t>, j’aurais adopté une interprétation plus libérale de la question de la combinaison dont parle l’article 31, une interprétation qui commande d’agréger les divers facteurs économiques pertinents (capital, revenu et temps), et donc conclu que la principale source de revenu de M. Gunn est une combinaison de ses activités agricoles et juridiques.</w:t>
      </w:r>
    </w:p>
    <w:p w:rsidR="00063F98" w:rsidRPr="00557493" w:rsidRDefault="00063F98" w:rsidP="00063F98">
      <w:pPr>
        <w:pStyle w:val="ParaNoNdepar-AltN"/>
        <w:rPr>
          <w:lang w:val="fr-CA"/>
        </w:rPr>
      </w:pPr>
      <w:r w:rsidRPr="00557493">
        <w:rPr>
          <w:lang w:val="fr-CA"/>
        </w:rPr>
        <w:t>En l’espèce, le juge </w:t>
      </w:r>
      <w:proofErr w:type="spellStart"/>
      <w:r w:rsidRPr="00557493">
        <w:rPr>
          <w:lang w:val="fr-CA"/>
        </w:rPr>
        <w:t>Hershfield</w:t>
      </w:r>
      <w:proofErr w:type="spellEnd"/>
      <w:r w:rsidRPr="00557493">
        <w:rPr>
          <w:lang w:val="fr-CA"/>
        </w:rPr>
        <w:t xml:space="preserve"> de la C.C.I. a appliqué l’arrêt </w:t>
      </w:r>
      <w:r w:rsidRPr="00557493">
        <w:rPr>
          <w:i/>
          <w:lang w:val="fr-CA"/>
        </w:rPr>
        <w:t>Gunn</w:t>
      </w:r>
      <w:r w:rsidRPr="00557493">
        <w:rPr>
          <w:lang w:val="fr-CA"/>
        </w:rPr>
        <w:t>, accueilli l’appel de M. Craig et établi qu’il n’y avait pas lieu de limiter la déductibilité des pertes agricoles sous le régime du par. 31(1).  La Cour d’appel fédérale a rejeté l’appel du ministre.</w:t>
      </w:r>
    </w:p>
    <w:p w:rsidR="00063F98" w:rsidRPr="00557493" w:rsidRDefault="00063F98" w:rsidP="00063F98">
      <w:pPr>
        <w:pStyle w:val="TitleTitre-AltT"/>
        <w:tabs>
          <w:tab w:val="clear" w:pos="360"/>
          <w:tab w:val="left" w:pos="540"/>
        </w:tabs>
        <w:ind w:left="540" w:hanging="540"/>
        <w:rPr>
          <w:lang w:val="fr-CA"/>
        </w:rPr>
      </w:pPr>
      <w:r w:rsidRPr="00557493">
        <w:rPr>
          <w:lang w:val="fr-CA"/>
        </w:rPr>
        <w:t>VI.</w:t>
      </w:r>
      <w:r w:rsidRPr="00557493">
        <w:rPr>
          <w:lang w:val="fr-CA"/>
        </w:rPr>
        <w:tab/>
      </w:r>
      <w:r w:rsidRPr="00557493">
        <w:rPr>
          <w:u w:val="single"/>
          <w:lang w:val="fr-CA"/>
        </w:rPr>
        <w:t>Les questions en litige</w:t>
      </w:r>
    </w:p>
    <w:p w:rsidR="00063F98" w:rsidRPr="00557493" w:rsidRDefault="00063F98" w:rsidP="00063F98">
      <w:pPr>
        <w:pStyle w:val="ParaNoNdepar-AltN"/>
        <w:rPr>
          <w:lang w:val="fr-CA"/>
        </w:rPr>
      </w:pPr>
      <w:r w:rsidRPr="00557493">
        <w:rPr>
          <w:lang w:val="fr-CA"/>
        </w:rPr>
        <w:t xml:space="preserve">La principale question en litige en l’espèce est de savoir si notre Cour devrait écarter l’arrêt </w:t>
      </w:r>
      <w:proofErr w:type="spellStart"/>
      <w:r w:rsidRPr="00557493">
        <w:rPr>
          <w:i/>
          <w:lang w:val="fr-CA"/>
        </w:rPr>
        <w:t>Moldowan</w:t>
      </w:r>
      <w:proofErr w:type="spellEnd"/>
      <w:r w:rsidRPr="00557493">
        <w:rPr>
          <w:lang w:val="fr-CA"/>
        </w:rPr>
        <w:t>.  Avant d’examiner cette question cependant, il est nécessaire d’aborder une question préliminaire soulevée par le représentant du ministère public.</w:t>
      </w:r>
    </w:p>
    <w:p w:rsidR="00063F98" w:rsidRPr="00557493" w:rsidRDefault="00063F98" w:rsidP="00063F98">
      <w:pPr>
        <w:pStyle w:val="TitleTitre-AltT"/>
        <w:tabs>
          <w:tab w:val="clear" w:pos="360"/>
          <w:tab w:val="left" w:pos="540"/>
        </w:tabs>
        <w:ind w:left="540" w:hanging="540"/>
        <w:rPr>
          <w:lang w:val="fr-CA"/>
        </w:rPr>
      </w:pPr>
      <w:r w:rsidRPr="00557493">
        <w:rPr>
          <w:lang w:val="fr-CA"/>
        </w:rPr>
        <w:lastRenderedPageBreak/>
        <w:t>VII.</w:t>
      </w:r>
      <w:r w:rsidRPr="00557493">
        <w:rPr>
          <w:lang w:val="fr-CA"/>
        </w:rPr>
        <w:tab/>
      </w:r>
      <w:r w:rsidRPr="00557493">
        <w:rPr>
          <w:u w:val="single"/>
          <w:lang w:val="fr-CA"/>
        </w:rPr>
        <w:t>Analyse</w:t>
      </w:r>
    </w:p>
    <w:p w:rsidR="00063F98" w:rsidRPr="00557493" w:rsidRDefault="00063F98" w:rsidP="00063F98">
      <w:pPr>
        <w:pStyle w:val="TitleTitre-AltT"/>
        <w:tabs>
          <w:tab w:val="clear" w:pos="360"/>
          <w:tab w:val="left" w:pos="540"/>
        </w:tabs>
        <w:ind w:left="540" w:hanging="540"/>
        <w:rPr>
          <w:lang w:val="fr-CA"/>
        </w:rPr>
      </w:pPr>
      <w:r w:rsidRPr="00557493">
        <w:rPr>
          <w:lang w:val="fr-CA"/>
        </w:rPr>
        <w:t>A.</w:t>
      </w:r>
      <w:r w:rsidRPr="00557493">
        <w:rPr>
          <w:lang w:val="fr-CA"/>
        </w:rPr>
        <w:tab/>
      </w:r>
      <w:proofErr w:type="spellStart"/>
      <w:r w:rsidRPr="00557493">
        <w:rPr>
          <w:i/>
          <w:lang w:val="fr-CA"/>
        </w:rPr>
        <w:t>Fallait</w:t>
      </w:r>
      <w:r w:rsidRPr="00557493">
        <w:rPr>
          <w:i/>
          <w:lang w:val="fr-CA"/>
        </w:rPr>
        <w:noBreakHyphen/>
        <w:t>il</w:t>
      </w:r>
      <w:proofErr w:type="spellEnd"/>
      <w:r w:rsidRPr="00557493">
        <w:rPr>
          <w:i/>
          <w:lang w:val="fr-CA"/>
        </w:rPr>
        <w:t xml:space="preserve"> que la Cour canadienne de l’impôt et la Cour d’appel fédérale suivent l’arrêt </w:t>
      </w:r>
      <w:proofErr w:type="spellStart"/>
      <w:r w:rsidRPr="00557493">
        <w:rPr>
          <w:i/>
          <w:lang w:val="fr-CA"/>
        </w:rPr>
        <w:t>Moldowan</w:t>
      </w:r>
      <w:proofErr w:type="spellEnd"/>
      <w:r w:rsidRPr="00557493">
        <w:rPr>
          <w:i/>
          <w:lang w:val="fr-CA"/>
        </w:rPr>
        <w:t xml:space="preserve"> ou qu’elles suivent l’arrêt Gunn?</w:t>
      </w:r>
    </w:p>
    <w:p w:rsidR="00063F98" w:rsidRPr="00557493" w:rsidRDefault="00063F98" w:rsidP="00063F98">
      <w:pPr>
        <w:pStyle w:val="ParaNoNdepar-AltN"/>
        <w:rPr>
          <w:lang w:val="fr-CA"/>
        </w:rPr>
      </w:pPr>
      <w:r w:rsidRPr="00557493">
        <w:rPr>
          <w:lang w:val="fr-CA"/>
        </w:rPr>
        <w:t xml:space="preserve">Il ne fait aucun doute que l’interprétation du par. 13(1) faite par le juge Dickson dans </w:t>
      </w:r>
      <w:proofErr w:type="spellStart"/>
      <w:r w:rsidRPr="00557493">
        <w:rPr>
          <w:i/>
          <w:lang w:val="fr-CA"/>
        </w:rPr>
        <w:t>Moldowan</w:t>
      </w:r>
      <w:proofErr w:type="spellEnd"/>
      <w:r w:rsidRPr="00557493">
        <w:rPr>
          <w:lang w:val="fr-CA"/>
        </w:rPr>
        <w:t xml:space="preserve"> est un précédent ayant force obligatoire pour la Cour d’appel fédérale et la Cour canadienne de l’impôt.  Bien que dans </w:t>
      </w:r>
      <w:r w:rsidRPr="00557493">
        <w:rPr>
          <w:i/>
          <w:lang w:val="fr-CA"/>
        </w:rPr>
        <w:t>Gunn</w:t>
      </w:r>
      <w:r w:rsidRPr="00557493">
        <w:rPr>
          <w:lang w:val="fr-CA"/>
        </w:rPr>
        <w:t xml:space="preserve"> la Cour d’appel fédérale ait souscrit dans une large mesure aux motifs du juge Dickson dans l’arrêt </w:t>
      </w:r>
      <w:proofErr w:type="spellStart"/>
      <w:r w:rsidRPr="00557493">
        <w:rPr>
          <w:i/>
          <w:lang w:val="fr-CA"/>
        </w:rPr>
        <w:t>Moldowan</w:t>
      </w:r>
      <w:proofErr w:type="spellEnd"/>
      <w:r w:rsidRPr="00557493">
        <w:rPr>
          <w:lang w:val="fr-CA"/>
        </w:rPr>
        <w:t>, précédent qui la liait, elle s’en est écartée sur la question capitale de savoir si des activités agricoles constituant une source de revenu secondaire permettent d’échapper à la limitation de la déductibilité des pertes opérée par le par. 31(1).</w:t>
      </w:r>
    </w:p>
    <w:p w:rsidR="00063F98" w:rsidRPr="00557493" w:rsidRDefault="00063F98" w:rsidP="00063F98">
      <w:pPr>
        <w:pStyle w:val="ParaNoNdepar-AltN"/>
        <w:rPr>
          <w:szCs w:val="24"/>
          <w:lang w:val="fr-CA"/>
        </w:rPr>
      </w:pPr>
      <w:r w:rsidRPr="00557493">
        <w:rPr>
          <w:lang w:val="fr-CA"/>
        </w:rPr>
        <w:t xml:space="preserve">D’ailleurs, l’arrêt </w:t>
      </w:r>
      <w:r w:rsidRPr="00557493">
        <w:rPr>
          <w:i/>
          <w:lang w:val="fr-CA"/>
        </w:rPr>
        <w:t>Gunn</w:t>
      </w:r>
      <w:r w:rsidRPr="00557493">
        <w:rPr>
          <w:lang w:val="fr-CA"/>
        </w:rPr>
        <w:t xml:space="preserve"> a notamment eu comme conséquence de poser à la Cour canadienne de l’impôt et à la Cour d’appel fédérale </w:t>
      </w:r>
      <w:proofErr w:type="spellStart"/>
      <w:r w:rsidRPr="00557493">
        <w:rPr>
          <w:lang w:val="fr-CA"/>
        </w:rPr>
        <w:t>elle</w:t>
      </w:r>
      <w:r w:rsidRPr="00557493">
        <w:rPr>
          <w:lang w:val="fr-CA"/>
        </w:rPr>
        <w:noBreakHyphen/>
        <w:t>même</w:t>
      </w:r>
      <w:proofErr w:type="spellEnd"/>
      <w:r w:rsidRPr="00557493">
        <w:rPr>
          <w:lang w:val="fr-CA"/>
        </w:rPr>
        <w:t xml:space="preserve"> l’épineux problème d’avoir à choisir entre deux précédents contradictoires.  On peut voir à l’</w:t>
      </w:r>
      <w:r w:rsidRPr="00557493">
        <w:rPr>
          <w:rFonts w:cs="Times New Roman"/>
          <w:lang w:val="fr-CA"/>
        </w:rPr>
        <w:t>œ</w:t>
      </w:r>
      <w:r w:rsidRPr="00557493">
        <w:rPr>
          <w:lang w:val="fr-CA"/>
        </w:rPr>
        <w:t xml:space="preserve">uvre, dans les décisions postérieures à </w:t>
      </w:r>
      <w:r w:rsidRPr="00557493">
        <w:rPr>
          <w:i/>
          <w:lang w:val="fr-CA"/>
        </w:rPr>
        <w:t>Gunn</w:t>
      </w:r>
      <w:r w:rsidRPr="00557493">
        <w:rPr>
          <w:lang w:val="fr-CA"/>
        </w:rPr>
        <w:t xml:space="preserve">, l’incertitude que l’application du précédent vise à éviter; la Cour canadienne de l’impôt a reconnu que l’arrêt </w:t>
      </w:r>
      <w:proofErr w:type="spellStart"/>
      <w:r w:rsidRPr="00557493">
        <w:rPr>
          <w:i/>
          <w:lang w:val="fr-CA"/>
        </w:rPr>
        <w:t>Moldowan</w:t>
      </w:r>
      <w:proofErr w:type="spellEnd"/>
      <w:r w:rsidRPr="00557493">
        <w:rPr>
          <w:lang w:val="fr-CA"/>
        </w:rPr>
        <w:t xml:space="preserve"> fait autorité, mais s’est sentie tenue de suivre </w:t>
      </w:r>
      <w:r w:rsidRPr="00557493">
        <w:rPr>
          <w:i/>
          <w:lang w:val="fr-CA"/>
        </w:rPr>
        <w:t>Gunn</w:t>
      </w:r>
      <w:r w:rsidRPr="00557493">
        <w:rPr>
          <w:lang w:val="fr-CA"/>
        </w:rPr>
        <w:t xml:space="preserve"> : </w:t>
      </w:r>
      <w:proofErr w:type="spellStart"/>
      <w:r w:rsidRPr="00557493">
        <w:rPr>
          <w:i/>
          <w:lang w:val="fr-CA"/>
        </w:rPr>
        <w:t>Stackhouse</w:t>
      </w:r>
      <w:proofErr w:type="spellEnd"/>
      <w:r w:rsidRPr="00557493">
        <w:rPr>
          <w:lang w:val="fr-CA"/>
        </w:rPr>
        <w:t xml:space="preserve"> </w:t>
      </w:r>
      <w:r w:rsidRPr="00557493">
        <w:rPr>
          <w:i/>
          <w:lang w:val="fr-CA"/>
        </w:rPr>
        <w:t>c. La Reine</w:t>
      </w:r>
      <w:r w:rsidRPr="00557493">
        <w:rPr>
          <w:lang w:val="fr-CA"/>
        </w:rPr>
        <w:t>,</w:t>
      </w:r>
      <w:r w:rsidRPr="00557493">
        <w:rPr>
          <w:i/>
          <w:lang w:val="fr-CA"/>
        </w:rPr>
        <w:t xml:space="preserve"> </w:t>
      </w:r>
      <w:r w:rsidR="00AA1866">
        <w:rPr>
          <w:lang w:val="fr-CA"/>
        </w:rPr>
        <w:t>2007 CCI 146 (</w:t>
      </w:r>
      <w:proofErr w:type="spellStart"/>
      <w:r w:rsidR="00AA1866">
        <w:rPr>
          <w:lang w:val="fr-CA"/>
        </w:rPr>
        <w:t>CanLII</w:t>
      </w:r>
      <w:proofErr w:type="spellEnd"/>
      <w:r w:rsidR="00AA1866">
        <w:rPr>
          <w:lang w:val="fr-CA"/>
        </w:rPr>
        <w:t>);</w:t>
      </w:r>
      <w:r w:rsidRPr="00557493">
        <w:rPr>
          <w:lang w:val="fr-CA"/>
        </w:rPr>
        <w:t xml:space="preserve"> </w:t>
      </w:r>
      <w:proofErr w:type="spellStart"/>
      <w:r w:rsidRPr="00557493">
        <w:rPr>
          <w:i/>
          <w:lang w:val="fr-CA"/>
        </w:rPr>
        <w:t>Falkener</w:t>
      </w:r>
      <w:proofErr w:type="spellEnd"/>
      <w:r w:rsidRPr="00557493">
        <w:rPr>
          <w:i/>
          <w:lang w:val="fr-CA"/>
        </w:rPr>
        <w:t xml:space="preserve"> c. </w:t>
      </w:r>
      <w:r w:rsidR="00AA1866">
        <w:rPr>
          <w:i/>
          <w:lang w:val="fr-CA"/>
        </w:rPr>
        <w:t>La Reine</w:t>
      </w:r>
      <w:r w:rsidRPr="00557493">
        <w:rPr>
          <w:lang w:val="fr-CA"/>
        </w:rPr>
        <w:t>,</w:t>
      </w:r>
      <w:r w:rsidRPr="00557493">
        <w:rPr>
          <w:i/>
          <w:lang w:val="fr-CA"/>
        </w:rPr>
        <w:t xml:space="preserve"> </w:t>
      </w:r>
      <w:r w:rsidRPr="00557493">
        <w:rPr>
          <w:lang w:val="fr-CA"/>
        </w:rPr>
        <w:t>2007 CCI 514</w:t>
      </w:r>
      <w:r w:rsidR="00192447">
        <w:rPr>
          <w:lang w:val="fr-CA"/>
        </w:rPr>
        <w:t xml:space="preserve"> (</w:t>
      </w:r>
      <w:proofErr w:type="spellStart"/>
      <w:r w:rsidR="00192447">
        <w:rPr>
          <w:lang w:val="fr-CA"/>
        </w:rPr>
        <w:t>CanLII</w:t>
      </w:r>
      <w:proofErr w:type="spellEnd"/>
      <w:r w:rsidR="00192447">
        <w:rPr>
          <w:lang w:val="fr-CA"/>
        </w:rPr>
        <w:t>)</w:t>
      </w:r>
      <w:r w:rsidR="00C93CB9">
        <w:rPr>
          <w:lang w:val="fr-CA"/>
        </w:rPr>
        <w:t>;</w:t>
      </w:r>
      <w:r w:rsidRPr="00557493">
        <w:rPr>
          <w:lang w:val="fr-CA"/>
        </w:rPr>
        <w:t xml:space="preserve"> </w:t>
      </w:r>
      <w:proofErr w:type="spellStart"/>
      <w:r w:rsidRPr="00557493">
        <w:rPr>
          <w:i/>
          <w:lang w:val="fr-CA"/>
        </w:rPr>
        <w:t>Loyens</w:t>
      </w:r>
      <w:proofErr w:type="spellEnd"/>
      <w:r w:rsidRPr="00557493">
        <w:rPr>
          <w:i/>
          <w:lang w:val="fr-CA"/>
        </w:rPr>
        <w:t xml:space="preserve"> c. La Reine</w:t>
      </w:r>
      <w:r w:rsidRPr="00557493">
        <w:rPr>
          <w:lang w:val="fr-CA"/>
        </w:rPr>
        <w:t>,</w:t>
      </w:r>
      <w:r w:rsidRPr="00557493">
        <w:rPr>
          <w:i/>
          <w:lang w:val="fr-CA"/>
        </w:rPr>
        <w:t xml:space="preserve"> </w:t>
      </w:r>
      <w:r w:rsidR="006A4DB6">
        <w:rPr>
          <w:lang w:val="fr-CA"/>
        </w:rPr>
        <w:t>2008 CCI 486</w:t>
      </w:r>
      <w:r w:rsidRPr="00557493">
        <w:rPr>
          <w:lang w:val="fr-CA"/>
        </w:rPr>
        <w:t xml:space="preserve"> </w:t>
      </w:r>
      <w:r w:rsidR="006A4DB6">
        <w:rPr>
          <w:lang w:val="fr-CA"/>
        </w:rPr>
        <w:t>(</w:t>
      </w:r>
      <w:proofErr w:type="spellStart"/>
      <w:r w:rsidR="006A4DB6">
        <w:rPr>
          <w:lang w:val="fr-CA"/>
        </w:rPr>
        <w:t>CanLII</w:t>
      </w:r>
      <w:proofErr w:type="spellEnd"/>
      <w:r w:rsidR="006A4DB6">
        <w:rPr>
          <w:lang w:val="fr-CA"/>
        </w:rPr>
        <w:t>)</w:t>
      </w:r>
      <w:r w:rsidR="00243AC3">
        <w:rPr>
          <w:lang w:val="fr-CA"/>
        </w:rPr>
        <w:t>;</w:t>
      </w:r>
      <w:r w:rsidRPr="00557493">
        <w:rPr>
          <w:lang w:val="fr-CA"/>
        </w:rPr>
        <w:t xml:space="preserve"> </w:t>
      </w:r>
      <w:r w:rsidRPr="00557493">
        <w:rPr>
          <w:i/>
          <w:lang w:val="fr-CA"/>
        </w:rPr>
        <w:t>Johnson c. La Reine</w:t>
      </w:r>
      <w:r w:rsidRPr="00557493">
        <w:rPr>
          <w:lang w:val="fr-CA"/>
        </w:rPr>
        <w:t>,</w:t>
      </w:r>
      <w:r w:rsidRPr="00557493">
        <w:rPr>
          <w:i/>
          <w:lang w:val="fr-CA"/>
        </w:rPr>
        <w:t xml:space="preserve"> </w:t>
      </w:r>
      <w:r w:rsidRPr="00557493">
        <w:rPr>
          <w:lang w:val="fr-CA"/>
        </w:rPr>
        <w:t>2009 CCI 383</w:t>
      </w:r>
      <w:r w:rsidR="0086236E">
        <w:rPr>
          <w:lang w:val="fr-CA"/>
        </w:rPr>
        <w:t xml:space="preserve"> (</w:t>
      </w:r>
      <w:proofErr w:type="spellStart"/>
      <w:r w:rsidR="0086236E">
        <w:rPr>
          <w:lang w:val="fr-CA"/>
        </w:rPr>
        <w:t>CanLII</w:t>
      </w:r>
      <w:proofErr w:type="spellEnd"/>
      <w:r w:rsidR="0086236E">
        <w:rPr>
          <w:lang w:val="fr-CA"/>
        </w:rPr>
        <w:t>)</w:t>
      </w:r>
      <w:r w:rsidR="00B5456A">
        <w:rPr>
          <w:lang w:val="fr-CA"/>
        </w:rPr>
        <w:t>;</w:t>
      </w:r>
      <w:r w:rsidRPr="00557493">
        <w:rPr>
          <w:lang w:val="fr-CA"/>
        </w:rPr>
        <w:t xml:space="preserve"> </w:t>
      </w:r>
      <w:proofErr w:type="spellStart"/>
      <w:r w:rsidRPr="00557493">
        <w:rPr>
          <w:i/>
          <w:lang w:val="fr-CA"/>
        </w:rPr>
        <w:t>Scharfe</w:t>
      </w:r>
      <w:proofErr w:type="spellEnd"/>
      <w:r w:rsidRPr="00557493">
        <w:rPr>
          <w:i/>
          <w:lang w:val="fr-CA"/>
        </w:rPr>
        <w:t xml:space="preserve"> c. </w:t>
      </w:r>
      <w:r w:rsidR="005B2741">
        <w:rPr>
          <w:i/>
          <w:lang w:val="fr-CA"/>
        </w:rPr>
        <w:t>La Reine</w:t>
      </w:r>
      <w:r w:rsidRPr="00557493">
        <w:rPr>
          <w:lang w:val="fr-CA"/>
        </w:rPr>
        <w:t>,</w:t>
      </w:r>
      <w:r w:rsidRPr="00557493">
        <w:rPr>
          <w:i/>
          <w:lang w:val="fr-CA"/>
        </w:rPr>
        <w:t xml:space="preserve"> </w:t>
      </w:r>
      <w:r w:rsidRPr="00557493">
        <w:rPr>
          <w:lang w:val="fr-CA"/>
        </w:rPr>
        <w:t xml:space="preserve">2010 </w:t>
      </w:r>
      <w:r w:rsidR="005B2741">
        <w:rPr>
          <w:lang w:val="fr-CA"/>
        </w:rPr>
        <w:t xml:space="preserve">CCI </w:t>
      </w:r>
      <w:r w:rsidR="00800592">
        <w:rPr>
          <w:lang w:val="fr-CA"/>
        </w:rPr>
        <w:t>39</w:t>
      </w:r>
      <w:r w:rsidR="005B2741">
        <w:rPr>
          <w:lang w:val="fr-CA"/>
        </w:rPr>
        <w:t xml:space="preserve"> (</w:t>
      </w:r>
      <w:proofErr w:type="spellStart"/>
      <w:r w:rsidR="005B2741">
        <w:rPr>
          <w:lang w:val="fr-CA"/>
        </w:rPr>
        <w:t>CanLII</w:t>
      </w:r>
      <w:proofErr w:type="spellEnd"/>
      <w:r w:rsidR="005B2741">
        <w:rPr>
          <w:lang w:val="fr-CA"/>
        </w:rPr>
        <w:t>)</w:t>
      </w:r>
      <w:r w:rsidR="00800592">
        <w:rPr>
          <w:lang w:val="fr-CA"/>
        </w:rPr>
        <w:t>;</w:t>
      </w:r>
      <w:r w:rsidRPr="00557493">
        <w:rPr>
          <w:lang w:val="fr-CA"/>
        </w:rPr>
        <w:t xml:space="preserve"> et </w:t>
      </w:r>
      <w:r w:rsidRPr="00557493">
        <w:rPr>
          <w:i/>
          <w:lang w:val="fr-CA"/>
        </w:rPr>
        <w:t>Turbide c. La Reine</w:t>
      </w:r>
      <w:r w:rsidRPr="00557493">
        <w:rPr>
          <w:lang w:val="fr-CA"/>
        </w:rPr>
        <w:t>, 2011 CCI 371</w:t>
      </w:r>
      <w:r w:rsidR="006E51A2">
        <w:rPr>
          <w:lang w:val="fr-CA"/>
        </w:rPr>
        <w:t xml:space="preserve"> (</w:t>
      </w:r>
      <w:proofErr w:type="spellStart"/>
      <w:r w:rsidR="006E51A2">
        <w:rPr>
          <w:lang w:val="fr-CA"/>
        </w:rPr>
        <w:t>CanLII</w:t>
      </w:r>
      <w:proofErr w:type="spellEnd"/>
      <w:r w:rsidR="006E51A2">
        <w:rPr>
          <w:lang w:val="fr-CA"/>
        </w:rPr>
        <w:t>)</w:t>
      </w:r>
      <w:r w:rsidRPr="00557493">
        <w:rPr>
          <w:lang w:val="fr-CA"/>
        </w:rPr>
        <w:t xml:space="preserve">.  Et, bien sûr, la Cour d’appel fédéral a suivi </w:t>
      </w:r>
      <w:r w:rsidRPr="00557493">
        <w:rPr>
          <w:i/>
          <w:lang w:val="fr-CA"/>
        </w:rPr>
        <w:t>Gunn</w:t>
      </w:r>
      <w:r w:rsidRPr="00557493">
        <w:rPr>
          <w:lang w:val="fr-CA"/>
        </w:rPr>
        <w:t xml:space="preserve"> dans la présente affaire. </w:t>
      </w:r>
    </w:p>
    <w:p w:rsidR="00063F98" w:rsidRPr="00557493" w:rsidRDefault="00063F98" w:rsidP="00063F98">
      <w:pPr>
        <w:pStyle w:val="ParaNoNdepar-AltN"/>
        <w:rPr>
          <w:lang w:val="fr-CA"/>
        </w:rPr>
      </w:pPr>
      <w:r w:rsidRPr="00557493">
        <w:rPr>
          <w:szCs w:val="24"/>
          <w:lang w:val="fr-CA"/>
        </w:rPr>
        <w:lastRenderedPageBreak/>
        <w:t xml:space="preserve">C’est peut-être en raison des nombreuses critiques suscitées par l’arrêt </w:t>
      </w:r>
      <w:proofErr w:type="spellStart"/>
      <w:r w:rsidRPr="00557493">
        <w:rPr>
          <w:i/>
          <w:szCs w:val="24"/>
          <w:lang w:val="fr-CA"/>
        </w:rPr>
        <w:t>Moldowan</w:t>
      </w:r>
      <w:proofErr w:type="spellEnd"/>
      <w:r w:rsidRPr="00557493">
        <w:rPr>
          <w:szCs w:val="24"/>
          <w:lang w:val="fr-CA"/>
        </w:rPr>
        <w:t xml:space="preserve"> que l’arrêt </w:t>
      </w:r>
      <w:r w:rsidRPr="00557493">
        <w:rPr>
          <w:i/>
          <w:szCs w:val="24"/>
          <w:lang w:val="fr-CA"/>
        </w:rPr>
        <w:t>Gunn</w:t>
      </w:r>
      <w:r w:rsidRPr="00557493">
        <w:rPr>
          <w:szCs w:val="24"/>
          <w:lang w:val="fr-CA"/>
        </w:rPr>
        <w:t xml:space="preserve"> s’en est écarté.  </w:t>
      </w:r>
      <w:r w:rsidRPr="00557493">
        <w:rPr>
          <w:lang w:val="fr-CA"/>
        </w:rPr>
        <w:t xml:space="preserve">Du reste, le juge Dickson </w:t>
      </w:r>
      <w:proofErr w:type="spellStart"/>
      <w:r w:rsidRPr="00557493">
        <w:rPr>
          <w:lang w:val="fr-CA"/>
        </w:rPr>
        <w:t>lui</w:t>
      </w:r>
      <w:r w:rsidRPr="00557493">
        <w:rPr>
          <w:lang w:val="fr-CA"/>
        </w:rPr>
        <w:noBreakHyphen/>
        <w:t>même</w:t>
      </w:r>
      <w:proofErr w:type="spellEnd"/>
      <w:r w:rsidRPr="00557493">
        <w:rPr>
          <w:lang w:val="fr-CA"/>
        </w:rPr>
        <w:t xml:space="preserve"> a reconnu que la disposition en cause était « un paragraphe difficile, mal formulé et très controversé » (p. 482).  En outre, cette disposition n’a pas été soumise à l’examen de notre Cour pendant les trois décennies qui ont suivi </w:t>
      </w:r>
      <w:proofErr w:type="spellStart"/>
      <w:r w:rsidRPr="00557493">
        <w:rPr>
          <w:i/>
          <w:lang w:val="fr-CA"/>
        </w:rPr>
        <w:t>Moldowan</w:t>
      </w:r>
      <w:proofErr w:type="spellEnd"/>
      <w:r w:rsidRPr="00557493">
        <w:rPr>
          <w:lang w:val="fr-CA"/>
        </w:rPr>
        <w:t xml:space="preserve">.  </w:t>
      </w:r>
    </w:p>
    <w:p w:rsidR="00063F98" w:rsidRPr="00557493" w:rsidRDefault="00063F98" w:rsidP="00063F98">
      <w:pPr>
        <w:pStyle w:val="ParaNoNdepar-AltN"/>
        <w:rPr>
          <w:lang w:val="fr-CA"/>
        </w:rPr>
      </w:pPr>
      <w:r w:rsidRPr="00557493">
        <w:rPr>
          <w:szCs w:val="24"/>
          <w:lang w:val="fr-CA"/>
        </w:rPr>
        <w:t xml:space="preserve">Mais peu importe l’explication fournie, la cour d’appel en l’espèce se devait d’exposer </w:t>
      </w:r>
      <w:r w:rsidRPr="00557493">
        <w:rPr>
          <w:lang w:val="fr-CA"/>
        </w:rPr>
        <w:t xml:space="preserve">dans ses motifs ce qu’elle considérait problématique dans </w:t>
      </w:r>
      <w:proofErr w:type="spellStart"/>
      <w:r w:rsidRPr="00557493">
        <w:rPr>
          <w:i/>
          <w:lang w:val="fr-CA"/>
        </w:rPr>
        <w:t>Moldowan</w:t>
      </w:r>
      <w:proofErr w:type="spellEnd"/>
      <w:r w:rsidRPr="00557493">
        <w:rPr>
          <w:lang w:val="fr-CA"/>
        </w:rPr>
        <w:t xml:space="preserve">, comme elle l’avait fait dans </w:t>
      </w:r>
      <w:r w:rsidRPr="00557493">
        <w:rPr>
          <w:i/>
          <w:lang w:val="fr-CA"/>
        </w:rPr>
        <w:t>Gunn</w:t>
      </w:r>
      <w:r w:rsidRPr="00557493">
        <w:rPr>
          <w:lang w:val="fr-CA"/>
        </w:rPr>
        <w:t xml:space="preserve">, au lieu de l’écarter. </w:t>
      </w:r>
    </w:p>
    <w:p w:rsidR="00063F98" w:rsidRPr="00557493" w:rsidRDefault="00063F98" w:rsidP="00063F98">
      <w:pPr>
        <w:pStyle w:val="ParaNoNdepar-AltN"/>
        <w:rPr>
          <w:lang w:val="fr-CA"/>
        </w:rPr>
      </w:pPr>
      <w:r w:rsidRPr="00557493">
        <w:rPr>
          <w:lang w:val="fr-CA"/>
        </w:rPr>
        <w:t xml:space="preserve">Sur le fondement de son arrêt </w:t>
      </w:r>
      <w:r w:rsidRPr="00557493">
        <w:rPr>
          <w:bCs/>
          <w:i/>
          <w:lang w:val="fr-CA"/>
        </w:rPr>
        <w:t>Miller c</w:t>
      </w:r>
      <w:r w:rsidRPr="00557493">
        <w:rPr>
          <w:i/>
          <w:lang w:val="fr-CA"/>
        </w:rPr>
        <w:t xml:space="preserve">. </w:t>
      </w:r>
      <w:r w:rsidRPr="00557493">
        <w:rPr>
          <w:bCs/>
          <w:i/>
          <w:lang w:val="fr-CA"/>
        </w:rPr>
        <w:t>Canada</w:t>
      </w:r>
      <w:r w:rsidRPr="00557493">
        <w:rPr>
          <w:i/>
          <w:lang w:val="fr-CA"/>
        </w:rPr>
        <w:t xml:space="preserve"> (Procureur général)</w:t>
      </w:r>
      <w:r w:rsidRPr="00557493">
        <w:rPr>
          <w:lang w:val="fr-CA"/>
        </w:rPr>
        <w:t xml:space="preserve">, </w:t>
      </w:r>
      <w:r w:rsidRPr="00557493">
        <w:rPr>
          <w:bCs/>
          <w:lang w:val="fr-CA"/>
        </w:rPr>
        <w:t>2002 CAF 370</w:t>
      </w:r>
      <w:r w:rsidR="007E2D35">
        <w:rPr>
          <w:lang w:val="fr-CA"/>
        </w:rPr>
        <w:t xml:space="preserve"> (</w:t>
      </w:r>
      <w:proofErr w:type="spellStart"/>
      <w:r w:rsidR="007E2D35">
        <w:rPr>
          <w:lang w:val="fr-CA"/>
        </w:rPr>
        <w:t>CanLII</w:t>
      </w:r>
      <w:proofErr w:type="spellEnd"/>
      <w:r w:rsidR="007E2D35">
        <w:rPr>
          <w:lang w:val="fr-CA"/>
        </w:rPr>
        <w:t>)</w:t>
      </w:r>
      <w:r w:rsidRPr="00557493">
        <w:rPr>
          <w:rFonts w:cs="Times New Roman"/>
          <w:lang w:val="fr-CA"/>
        </w:rPr>
        <w:t>, dans lequel elle a confirmé la règle portant qu’elle est normalement liée par ses propres décisions</w:t>
      </w:r>
      <w:r w:rsidRPr="00557493">
        <w:rPr>
          <w:lang w:val="fr-CA"/>
        </w:rPr>
        <w:t xml:space="preserve">, la Cour d’appel fédérale a suivi </w:t>
      </w:r>
      <w:r w:rsidRPr="00557493">
        <w:rPr>
          <w:i/>
          <w:lang w:val="fr-CA"/>
        </w:rPr>
        <w:t xml:space="preserve">Gunn </w:t>
      </w:r>
      <w:r w:rsidRPr="00557493">
        <w:rPr>
          <w:lang w:val="fr-CA"/>
        </w:rPr>
        <w:t xml:space="preserve">et non </w:t>
      </w:r>
      <w:proofErr w:type="spellStart"/>
      <w:r w:rsidRPr="00557493">
        <w:rPr>
          <w:i/>
          <w:lang w:val="fr-CA"/>
        </w:rPr>
        <w:t>Moldowan</w:t>
      </w:r>
      <w:proofErr w:type="spellEnd"/>
      <w:r w:rsidRPr="00557493">
        <w:rPr>
          <w:lang w:val="fr-CA"/>
        </w:rPr>
        <w:t xml:space="preserve">.  La question de savoir si la Cour d’appel fédérale devait appliquer l’arrêt </w:t>
      </w:r>
      <w:r w:rsidRPr="00557493">
        <w:rPr>
          <w:i/>
          <w:lang w:val="fr-CA"/>
        </w:rPr>
        <w:t>Miller</w:t>
      </w:r>
      <w:r w:rsidRPr="00557493">
        <w:rPr>
          <w:lang w:val="fr-CA"/>
        </w:rPr>
        <w:t xml:space="preserve"> et suivre </w:t>
      </w:r>
      <w:r w:rsidRPr="00557493">
        <w:rPr>
          <w:i/>
          <w:lang w:val="fr-CA"/>
        </w:rPr>
        <w:t>Gunn</w:t>
      </w:r>
      <w:r w:rsidRPr="00557493">
        <w:rPr>
          <w:lang w:val="fr-CA"/>
        </w:rPr>
        <w:t xml:space="preserve"> ne se posait tout simplement pas, compte tenu du précédent établi par la Cour suprême dans </w:t>
      </w:r>
      <w:proofErr w:type="spellStart"/>
      <w:r w:rsidRPr="00557493">
        <w:rPr>
          <w:i/>
          <w:lang w:val="fr-CA"/>
        </w:rPr>
        <w:t>Moldowan</w:t>
      </w:r>
      <w:proofErr w:type="spellEnd"/>
      <w:r w:rsidRPr="00557493">
        <w:rPr>
          <w:lang w:val="fr-CA"/>
        </w:rPr>
        <w:t xml:space="preserve">. </w:t>
      </w:r>
    </w:p>
    <w:p w:rsidR="00063F98" w:rsidRPr="00557493" w:rsidRDefault="00063F98" w:rsidP="00063F98">
      <w:pPr>
        <w:pStyle w:val="ParaNoNdepar-AltN"/>
        <w:rPr>
          <w:lang w:val="fr-CA"/>
        </w:rPr>
      </w:pPr>
      <w:r w:rsidRPr="00557493">
        <w:rPr>
          <w:lang w:val="fr-CA"/>
        </w:rPr>
        <w:t xml:space="preserve">La décision de la Cour d’appel fédérale d’écarter l’arrêt </w:t>
      </w:r>
      <w:proofErr w:type="spellStart"/>
      <w:r w:rsidRPr="00557493">
        <w:rPr>
          <w:i/>
          <w:lang w:val="fr-CA"/>
        </w:rPr>
        <w:t>Moldowan</w:t>
      </w:r>
      <w:proofErr w:type="spellEnd"/>
      <w:r w:rsidRPr="00557493">
        <w:rPr>
          <w:lang w:val="fr-CA"/>
        </w:rPr>
        <w:t xml:space="preserve"> ne touche toutefois en rien le </w:t>
      </w:r>
      <w:proofErr w:type="spellStart"/>
      <w:r w:rsidRPr="00557493">
        <w:rPr>
          <w:lang w:val="fr-CA"/>
        </w:rPr>
        <w:t>bien</w:t>
      </w:r>
      <w:r w:rsidRPr="00557493">
        <w:rPr>
          <w:lang w:val="fr-CA"/>
        </w:rPr>
        <w:noBreakHyphen/>
        <w:t>fondé</w:t>
      </w:r>
      <w:proofErr w:type="spellEnd"/>
      <w:r w:rsidRPr="00557493">
        <w:rPr>
          <w:lang w:val="fr-CA"/>
        </w:rPr>
        <w:t xml:space="preserve"> du pourvoi ni la question principale de savoir si l’arrêt </w:t>
      </w:r>
      <w:proofErr w:type="spellStart"/>
      <w:r w:rsidRPr="00557493">
        <w:rPr>
          <w:i/>
          <w:lang w:val="fr-CA"/>
        </w:rPr>
        <w:t>Moldowan</w:t>
      </w:r>
      <w:proofErr w:type="spellEnd"/>
      <w:r w:rsidRPr="00557493">
        <w:rPr>
          <w:lang w:val="fr-CA"/>
        </w:rPr>
        <w:t xml:space="preserve"> doit effectivement être écarté.</w:t>
      </w:r>
    </w:p>
    <w:p w:rsidR="00063F98" w:rsidRPr="00557493" w:rsidRDefault="00063F98" w:rsidP="00063F98">
      <w:pPr>
        <w:pStyle w:val="TitleTitre-AltT"/>
        <w:tabs>
          <w:tab w:val="clear" w:pos="360"/>
          <w:tab w:val="left" w:pos="540"/>
        </w:tabs>
        <w:ind w:left="540" w:hanging="540"/>
        <w:rPr>
          <w:lang w:val="fr-CA"/>
        </w:rPr>
      </w:pPr>
      <w:r w:rsidRPr="00557493">
        <w:rPr>
          <w:lang w:val="fr-CA"/>
        </w:rPr>
        <w:lastRenderedPageBreak/>
        <w:t>B.</w:t>
      </w:r>
      <w:r w:rsidRPr="00557493">
        <w:rPr>
          <w:lang w:val="fr-CA"/>
        </w:rPr>
        <w:tab/>
      </w:r>
      <w:r w:rsidRPr="00557493">
        <w:rPr>
          <w:i/>
          <w:lang w:val="fr-CA"/>
        </w:rPr>
        <w:t xml:space="preserve">Notre Cour </w:t>
      </w:r>
      <w:proofErr w:type="spellStart"/>
      <w:r w:rsidRPr="00557493">
        <w:rPr>
          <w:i/>
          <w:lang w:val="fr-CA"/>
        </w:rPr>
        <w:t>devrait</w:t>
      </w:r>
      <w:r w:rsidRPr="00557493">
        <w:rPr>
          <w:i/>
          <w:lang w:val="fr-CA"/>
        </w:rPr>
        <w:noBreakHyphen/>
        <w:t>elle</w:t>
      </w:r>
      <w:proofErr w:type="spellEnd"/>
      <w:r w:rsidRPr="00557493">
        <w:rPr>
          <w:i/>
          <w:lang w:val="fr-CA"/>
        </w:rPr>
        <w:t xml:space="preserve"> </w:t>
      </w:r>
      <w:proofErr w:type="gramStart"/>
      <w:r w:rsidRPr="00557493">
        <w:rPr>
          <w:i/>
          <w:lang w:val="fr-CA"/>
        </w:rPr>
        <w:t>écarter</w:t>
      </w:r>
      <w:proofErr w:type="gramEnd"/>
      <w:r w:rsidRPr="00557493">
        <w:rPr>
          <w:i/>
          <w:lang w:val="fr-CA"/>
        </w:rPr>
        <w:t xml:space="preserve"> l’arrêt </w:t>
      </w:r>
      <w:proofErr w:type="spellStart"/>
      <w:r w:rsidRPr="00557493">
        <w:rPr>
          <w:i/>
          <w:lang w:val="fr-CA"/>
        </w:rPr>
        <w:t>Moldowan</w:t>
      </w:r>
      <w:proofErr w:type="spellEnd"/>
      <w:r w:rsidRPr="003048B8">
        <w:rPr>
          <w:i/>
          <w:lang w:val="fr-CA"/>
        </w:rPr>
        <w:t>?</w:t>
      </w:r>
    </w:p>
    <w:p w:rsidR="00063F98" w:rsidRPr="00557493" w:rsidRDefault="00063F98" w:rsidP="00063F98">
      <w:pPr>
        <w:pStyle w:val="ParaNoNdepar-AltN"/>
        <w:rPr>
          <w:lang w:val="fr-CA"/>
        </w:rPr>
      </w:pPr>
      <w:r w:rsidRPr="00557493">
        <w:rPr>
          <w:lang w:val="fr-CA"/>
        </w:rPr>
        <w:t xml:space="preserve">Notre Cour a récemment examiné, dans </w:t>
      </w:r>
      <w:r w:rsidRPr="00557493">
        <w:rPr>
          <w:i/>
          <w:lang w:val="fr-CA"/>
        </w:rPr>
        <w:t>Ontario (Procureur général) c. Fraser</w:t>
      </w:r>
      <w:r w:rsidRPr="00557493">
        <w:rPr>
          <w:lang w:val="fr-CA"/>
        </w:rPr>
        <w:t>,</w:t>
      </w:r>
      <w:r w:rsidRPr="00557493">
        <w:rPr>
          <w:i/>
          <w:lang w:val="fr-CA"/>
        </w:rPr>
        <w:t xml:space="preserve"> </w:t>
      </w:r>
      <w:r w:rsidRPr="00557493">
        <w:rPr>
          <w:lang w:val="fr-CA"/>
        </w:rPr>
        <w:t xml:space="preserve">2011 CSC 20, [2011] 2 R.C.S. 3, si elle devait écarter l’une de ses propres décisions.  Au paragraphe 56, la juge en chef </w:t>
      </w:r>
      <w:proofErr w:type="spellStart"/>
      <w:r w:rsidRPr="00557493">
        <w:rPr>
          <w:lang w:val="fr-CA"/>
        </w:rPr>
        <w:t>McLachlin</w:t>
      </w:r>
      <w:proofErr w:type="spellEnd"/>
      <w:r w:rsidRPr="00557493">
        <w:rPr>
          <w:lang w:val="fr-CA"/>
        </w:rPr>
        <w:t xml:space="preserve"> et le juge LeBel soulignent, dans leurs motifs conjoints pour la majorité, qu’il ne convient pas d’écarter un précédent à la légère.  C’est particulièrement vrai lorsque le précédent exprime l’avis réfléchi de majorités claires (par. 57).</w:t>
      </w:r>
    </w:p>
    <w:p w:rsidR="00063F98" w:rsidRPr="00557493" w:rsidRDefault="00063F98" w:rsidP="00063F98">
      <w:pPr>
        <w:pStyle w:val="ParaNoNdepar-AltN"/>
        <w:rPr>
          <w:lang w:val="fr-CA"/>
        </w:rPr>
      </w:pPr>
      <w:r w:rsidRPr="00557493">
        <w:rPr>
          <w:lang w:val="fr-CA"/>
        </w:rPr>
        <w:t xml:space="preserve">Il est malgré tout arrivé à plusieurs reprises que la Cour écarte ses propres décisions.  (Voir </w:t>
      </w:r>
      <w:r w:rsidRPr="00557493">
        <w:rPr>
          <w:i/>
          <w:lang w:val="fr-CA"/>
        </w:rPr>
        <w:t xml:space="preserve">R. c. </w:t>
      </w:r>
      <w:proofErr w:type="spellStart"/>
      <w:r w:rsidRPr="00557493">
        <w:rPr>
          <w:i/>
          <w:lang w:val="fr-CA"/>
        </w:rPr>
        <w:t>Chaulk</w:t>
      </w:r>
      <w:proofErr w:type="spellEnd"/>
      <w:r w:rsidRPr="00557493">
        <w:rPr>
          <w:lang w:val="fr-CA"/>
        </w:rPr>
        <w:t xml:space="preserve">, [1990] 3 R.C.S. 1303, p. 1353, </w:t>
      </w:r>
      <w:r w:rsidR="006C65FC">
        <w:rPr>
          <w:lang w:val="fr-CA"/>
        </w:rPr>
        <w:t xml:space="preserve">le </w:t>
      </w:r>
      <w:r w:rsidRPr="00557493">
        <w:rPr>
          <w:lang w:val="fr-CA"/>
        </w:rPr>
        <w:t xml:space="preserve">juge en chef Lamer pour la majorité; </w:t>
      </w:r>
      <w:r w:rsidRPr="00557493">
        <w:rPr>
          <w:i/>
          <w:lang w:val="fr-CA"/>
        </w:rPr>
        <w:t>R. c. B. (K.G.)</w:t>
      </w:r>
      <w:r w:rsidRPr="00557493">
        <w:rPr>
          <w:lang w:val="fr-CA"/>
        </w:rPr>
        <w:t xml:space="preserve">, [1993] 1 R.C.S. 740; </w:t>
      </w:r>
      <w:r w:rsidRPr="00557493">
        <w:rPr>
          <w:i/>
          <w:lang w:val="fr-CA"/>
        </w:rPr>
        <w:t>R. c. Robinson</w:t>
      </w:r>
      <w:r w:rsidRPr="00557493">
        <w:rPr>
          <w:lang w:val="fr-CA"/>
        </w:rPr>
        <w:t xml:space="preserve">, [1996] 1 R.C.S. 683.)  Il lui faut toutefois être </w:t>
      </w:r>
      <w:proofErr w:type="gramStart"/>
      <w:r w:rsidRPr="00557493">
        <w:rPr>
          <w:lang w:val="fr-CA"/>
        </w:rPr>
        <w:t>convaincue</w:t>
      </w:r>
      <w:proofErr w:type="gramEnd"/>
      <w:r w:rsidRPr="00557493">
        <w:rPr>
          <w:lang w:val="fr-CA"/>
        </w:rPr>
        <w:t xml:space="preserve">, pour des raisons impérieuses, que la décision est erronée et qu’elle devrait être écartée.  (Voir </w:t>
      </w:r>
      <w:r w:rsidRPr="00557493">
        <w:rPr>
          <w:i/>
          <w:lang w:val="fr-CA"/>
        </w:rPr>
        <w:t xml:space="preserve">R. c. </w:t>
      </w:r>
      <w:proofErr w:type="spellStart"/>
      <w:r w:rsidRPr="00557493">
        <w:rPr>
          <w:i/>
          <w:lang w:val="fr-CA"/>
        </w:rPr>
        <w:t>Salituro</w:t>
      </w:r>
      <w:proofErr w:type="spellEnd"/>
      <w:r w:rsidRPr="00557493">
        <w:rPr>
          <w:lang w:val="fr-CA"/>
        </w:rPr>
        <w:t xml:space="preserve">, [1991] 3 R.C.S. 654, p. 665; </w:t>
      </w:r>
      <w:r w:rsidRPr="00557493">
        <w:rPr>
          <w:i/>
          <w:lang w:val="fr-CA"/>
        </w:rPr>
        <w:t xml:space="preserve">Ministre des Affaires indiennes et du Nord canadien c. </w:t>
      </w:r>
      <w:proofErr w:type="spellStart"/>
      <w:r w:rsidRPr="00557493">
        <w:rPr>
          <w:i/>
          <w:lang w:val="fr-CA"/>
        </w:rPr>
        <w:t>Ranville</w:t>
      </w:r>
      <w:proofErr w:type="spellEnd"/>
      <w:r w:rsidRPr="00557493">
        <w:rPr>
          <w:lang w:val="fr-CA"/>
        </w:rPr>
        <w:t xml:space="preserve">, [1982] 2 R.C.S. 518, p. 527; </w:t>
      </w:r>
      <w:proofErr w:type="spellStart"/>
      <w:r w:rsidRPr="00557493">
        <w:rPr>
          <w:i/>
          <w:lang w:val="fr-CA"/>
        </w:rPr>
        <w:t>Hamstra</w:t>
      </w:r>
      <w:proofErr w:type="spellEnd"/>
      <w:r w:rsidRPr="00557493">
        <w:rPr>
          <w:i/>
          <w:lang w:val="fr-CA"/>
        </w:rPr>
        <w:t xml:space="preserve"> (Tuteur à l’instance de) c. British Columbia Rugby Union</w:t>
      </w:r>
      <w:r w:rsidRPr="00557493">
        <w:rPr>
          <w:lang w:val="fr-CA"/>
        </w:rPr>
        <w:t>, [1997] 1 R.C.S. 1092, par. 18</w:t>
      </w:r>
      <w:r w:rsidRPr="00557493">
        <w:rPr>
          <w:lang w:val="fr-CA"/>
        </w:rPr>
        <w:noBreakHyphen/>
        <w:t xml:space="preserve">19; </w:t>
      </w:r>
      <w:r w:rsidRPr="00557493">
        <w:rPr>
          <w:i/>
          <w:lang w:val="fr-CA"/>
        </w:rPr>
        <w:t>R. c. Henry</w:t>
      </w:r>
      <w:r w:rsidRPr="00557493">
        <w:rPr>
          <w:lang w:val="fr-CA"/>
        </w:rPr>
        <w:t>, 2005 CSC 76, [2005] 3 R.C.S. 609, par. 44.)</w:t>
      </w:r>
    </w:p>
    <w:p w:rsidR="00063F98" w:rsidRPr="00557493" w:rsidRDefault="00063F98" w:rsidP="00063F98">
      <w:pPr>
        <w:pStyle w:val="ParaNoNdepar-AltN"/>
        <w:rPr>
          <w:lang w:val="fr-CA"/>
        </w:rPr>
      </w:pPr>
      <w:r w:rsidRPr="00557493">
        <w:rPr>
          <w:lang w:val="fr-CA"/>
        </w:rPr>
        <w:t xml:space="preserve">La prudence est de mise lorsqu’il s’agit de décider de rompre avec une décision antérieure.  Dans </w:t>
      </w:r>
      <w:r w:rsidRPr="00557493">
        <w:rPr>
          <w:i/>
          <w:lang w:val="fr-CA"/>
        </w:rPr>
        <w:t>Queensland c. Commonwealth</w:t>
      </w:r>
      <w:r w:rsidRPr="00557493">
        <w:rPr>
          <w:lang w:val="fr-CA"/>
        </w:rPr>
        <w:t xml:space="preserve"> (1977), 139 C.L.R. 585 (H.C.A.), p. 599, le juge Gibbs a articulé de façon concise l’approche qui s’impose:</w:t>
      </w:r>
    </w:p>
    <w:p w:rsidR="00063F98" w:rsidRPr="00557493" w:rsidRDefault="00063F98" w:rsidP="00063F98">
      <w:pPr>
        <w:pStyle w:val="Citation-AltC"/>
        <w:tabs>
          <w:tab w:val="left" w:pos="1170"/>
        </w:tabs>
        <w:ind w:hanging="1166"/>
        <w:rPr>
          <w:lang w:val="fr-CA"/>
        </w:rPr>
      </w:pPr>
      <w:r w:rsidRPr="00557493">
        <w:rPr>
          <w:lang w:val="fr-CA"/>
        </w:rPr>
        <w:lastRenderedPageBreak/>
        <w:tab/>
        <w:t>[</w:t>
      </w:r>
      <w:r w:rsidRPr="00557493">
        <w:rPr>
          <w:smallCaps/>
          <w:lang w:val="fr-CA"/>
        </w:rPr>
        <w:t>traduction</w:t>
      </w:r>
      <w:r w:rsidRPr="00557493">
        <w:rPr>
          <w:lang w:val="fr-CA"/>
        </w:rPr>
        <w:t>]  Nul juge ne peut ignorer les décisions et le raisonnement de ses prédécesseurs et arriver à ses propres conclusions comme si la jurisprudence n’existait pas, ou qu’une décision cessait d’être opposable dès l’ajournement d’une session.  Contrairement au législateur, le juge ne peut entreprendre une réforme qui réduit à néant les décisions antérieures et les principes établis précédemment.  Ce n’est qu’après avoir examiné la décision antérieure de la cour le plus attentivement et le plus respectueusement possible, et après avoir dûment considéré toutes les circonstances, que le juge peut faire primer sa propre opinion sur elle.</w:t>
      </w:r>
    </w:p>
    <w:p w:rsidR="00063F98" w:rsidRPr="00557493" w:rsidRDefault="00063F98" w:rsidP="00063F98">
      <w:pPr>
        <w:pStyle w:val="ParaNoNdepar-AltN"/>
        <w:rPr>
          <w:b/>
          <w:lang w:val="fr-CA"/>
        </w:rPr>
      </w:pPr>
      <w:r w:rsidRPr="00557493">
        <w:rPr>
          <w:lang w:val="fr-CA"/>
        </w:rPr>
        <w:t xml:space="preserve">Lorsque la Cour suprême examine s’il y a lieu d’écarter l’une de ses propres décisions, ce n’est pas la convention verticale du précédent qui est en jeu.  La Cour cherche plutôt alors à mettre en balance deux valeurs importantes, celles de la justesse et de la certitude.  Elle doit déterminer s’il faut privilégier la certitude et maintenir un précédent erroné ou s’il faut rectifier l’erreur.  Et, parce que cela suppose l’exercice d’un pouvoir discrétionnaire, une multitude de critères ont été établis par les tribunaux ou proposés par les auteurs pour la résolution de cette alternative.  (Voir </w:t>
      </w:r>
      <w:r w:rsidRPr="00557493">
        <w:rPr>
          <w:i/>
          <w:lang w:val="fr-CA"/>
        </w:rPr>
        <w:t>R. c. Bernard</w:t>
      </w:r>
      <w:r w:rsidRPr="00557493">
        <w:rPr>
          <w:lang w:val="fr-CA"/>
        </w:rPr>
        <w:t xml:space="preserve">, </w:t>
      </w:r>
      <w:r w:rsidR="00901038">
        <w:rPr>
          <w:lang w:val="fr-CA"/>
        </w:rPr>
        <w:t>[1988] 2 R.C.S. 833, p. 850</w:t>
      </w:r>
      <w:r w:rsidR="00901038">
        <w:rPr>
          <w:lang w:val="fr-CA"/>
        </w:rPr>
        <w:noBreakHyphen/>
        <w:t>861;</w:t>
      </w:r>
      <w:r w:rsidRPr="00557493">
        <w:rPr>
          <w:lang w:val="fr-CA"/>
        </w:rPr>
        <w:t xml:space="preserve"> </w:t>
      </w:r>
      <w:proofErr w:type="spellStart"/>
      <w:r w:rsidRPr="00557493">
        <w:rPr>
          <w:i/>
          <w:lang w:val="fr-CA"/>
        </w:rPr>
        <w:t>Chaulk</w:t>
      </w:r>
      <w:proofErr w:type="spellEnd"/>
      <w:r w:rsidR="00901038">
        <w:rPr>
          <w:lang w:val="fr-CA"/>
        </w:rPr>
        <w:t>, p. 1353;</w:t>
      </w:r>
      <w:r w:rsidRPr="00557493">
        <w:rPr>
          <w:lang w:val="fr-CA"/>
        </w:rPr>
        <w:t xml:space="preserve"> </w:t>
      </w:r>
      <w:r w:rsidRPr="00557493">
        <w:rPr>
          <w:i/>
          <w:lang w:val="fr-CA"/>
        </w:rPr>
        <w:t>Henry</w:t>
      </w:r>
      <w:r w:rsidRPr="00557493">
        <w:rPr>
          <w:lang w:val="fr-CA"/>
        </w:rPr>
        <w:t>, par. 45</w:t>
      </w:r>
      <w:r w:rsidRPr="00557493">
        <w:rPr>
          <w:lang w:val="fr-CA"/>
        </w:rPr>
        <w:noBreakHyphen/>
        <w:t xml:space="preserve">46.) </w:t>
      </w:r>
    </w:p>
    <w:p w:rsidR="00063F98" w:rsidRPr="00557493" w:rsidRDefault="00063F98" w:rsidP="00063F98">
      <w:pPr>
        <w:pStyle w:val="ParaNoNdepar-AltN"/>
        <w:rPr>
          <w:lang w:val="fr-CA"/>
        </w:rPr>
      </w:pPr>
      <w:r w:rsidRPr="00557493">
        <w:rPr>
          <w:lang w:val="fr-CA"/>
        </w:rPr>
        <w:t xml:space="preserve">J’estime que les facteurs applicables en l’espèce justifient d’écarter l’arrêt </w:t>
      </w:r>
      <w:proofErr w:type="spellStart"/>
      <w:r w:rsidRPr="00557493">
        <w:rPr>
          <w:i/>
          <w:lang w:val="fr-CA"/>
        </w:rPr>
        <w:t>Moldowan</w:t>
      </w:r>
      <w:proofErr w:type="spellEnd"/>
      <w:r w:rsidRPr="00557493">
        <w:rPr>
          <w:lang w:val="fr-CA"/>
        </w:rPr>
        <w:t xml:space="preserve">.  Premièrement, </w:t>
      </w:r>
      <w:proofErr w:type="spellStart"/>
      <w:r w:rsidRPr="00557493">
        <w:rPr>
          <w:i/>
          <w:lang w:val="fr-CA"/>
        </w:rPr>
        <w:t>Moldowan</w:t>
      </w:r>
      <w:proofErr w:type="spellEnd"/>
      <w:r w:rsidRPr="00557493">
        <w:rPr>
          <w:lang w:val="fr-CA"/>
        </w:rPr>
        <w:t xml:space="preserve"> a essentiellement eu pour effet d’exclure du par</w:t>
      </w:r>
      <w:r w:rsidR="00941AB0">
        <w:rPr>
          <w:lang w:val="fr-CA"/>
        </w:rPr>
        <w:t>.</w:t>
      </w:r>
      <w:r w:rsidRPr="00557493">
        <w:rPr>
          <w:lang w:val="fr-CA"/>
        </w:rPr>
        <w:t xml:space="preserve"> 31(1) le critère de la combinaison.  Puisqu’il a établi que les contribuables de la deuxième catégorie sont assujettis à la limitation de la déductibilité des pertes agricoles lorsque l’agriculture est une entreprise ou une source de revenu secondaire, il faut nécessairement inférer que l’agriculture doit être la principale source de revenu du contribuable.  La disposition législative prévoit pourtant deux exceptions distinctes </w:t>
      </w:r>
      <w:r w:rsidRPr="00557493">
        <w:rPr>
          <w:lang w:val="fr-CA"/>
        </w:rPr>
        <w:lastRenderedPageBreak/>
        <w:t xml:space="preserve">à la limitation de la déduction pour pertes agricoles.  L’une s’applique lorsque l’agriculture est la principale source de revenu du contribuable, et l’autre, lorsque l’agriculture, en combinaison avec une autre source de revenu, forme la principale source de revenu.  En exigeant que la seconde exception ne s’applique que lorsque l’autre source de revenu est secondaire par rapport à l’agriculture, </w:t>
      </w:r>
      <w:proofErr w:type="spellStart"/>
      <w:r w:rsidRPr="00557493">
        <w:rPr>
          <w:i/>
          <w:lang w:val="fr-CA"/>
        </w:rPr>
        <w:t>Moldowan</w:t>
      </w:r>
      <w:proofErr w:type="spellEnd"/>
      <w:r w:rsidRPr="00557493">
        <w:rPr>
          <w:lang w:val="fr-CA"/>
        </w:rPr>
        <w:t xml:space="preserve"> l’a amalgamée à la première.  Or, la disposition, telle qu’elle est formulée, crée deux exceptions distinctes à la limitation de la déductibilité des pertes agricoles, et il faut donner un sens à chacune d’elles. </w:t>
      </w:r>
    </w:p>
    <w:p w:rsidR="00063F98" w:rsidRPr="00557493" w:rsidRDefault="00063F98" w:rsidP="00063F98">
      <w:pPr>
        <w:pStyle w:val="ParaNoNdepar-AltN"/>
        <w:rPr>
          <w:lang w:val="fr-CA"/>
        </w:rPr>
      </w:pPr>
      <w:r w:rsidRPr="00557493">
        <w:rPr>
          <w:lang w:val="fr-CA"/>
        </w:rPr>
        <w:t xml:space="preserve">Deuxièmement, d’importantes critiques, notamment judiciaires et doctrinales, ont été formulées au sujet de l’arrêt </w:t>
      </w:r>
      <w:proofErr w:type="spellStart"/>
      <w:r w:rsidRPr="00557493">
        <w:rPr>
          <w:i/>
          <w:lang w:val="fr-CA"/>
        </w:rPr>
        <w:t>Moldowan</w:t>
      </w:r>
      <w:proofErr w:type="spellEnd"/>
      <w:r w:rsidRPr="00557493">
        <w:rPr>
          <w:lang w:val="fr-CA"/>
        </w:rPr>
        <w:t xml:space="preserve"> depuis qu’il a été rendu en 1977.  Il convient que notre Cour prenne en considération les problèmes relevés en rapport avec l’interprétation du par. 31(1) formulée dans cet arrêt.</w:t>
      </w:r>
    </w:p>
    <w:p w:rsidR="00063F98" w:rsidRPr="00557493" w:rsidRDefault="00063F98" w:rsidP="00063F98">
      <w:pPr>
        <w:pStyle w:val="ParaNoNdepar-AltN"/>
        <w:rPr>
          <w:lang w:val="fr-CA"/>
        </w:rPr>
      </w:pPr>
      <w:r w:rsidRPr="00557493">
        <w:rPr>
          <w:lang w:val="fr-CA"/>
        </w:rPr>
        <w:t xml:space="preserve">Troisièmement, depuis </w:t>
      </w:r>
      <w:proofErr w:type="spellStart"/>
      <w:r w:rsidRPr="00557493">
        <w:rPr>
          <w:i/>
          <w:lang w:val="fr-CA"/>
        </w:rPr>
        <w:t>Moldowan</w:t>
      </w:r>
      <w:proofErr w:type="spellEnd"/>
      <w:r w:rsidRPr="00557493">
        <w:rPr>
          <w:lang w:val="fr-CA"/>
        </w:rPr>
        <w:t>, notre Cour a affirmé plus d’une fois qu’il fallait éviter de conclure à l’existence d’une intention non exprimée par le législateur sous couvert d’une interprétation téléologique (</w:t>
      </w:r>
      <w:r w:rsidRPr="00557493">
        <w:rPr>
          <w:i/>
          <w:lang w:val="fr-CA"/>
        </w:rPr>
        <w:t>Shell</w:t>
      </w:r>
      <w:r w:rsidRPr="00557493">
        <w:rPr>
          <w:lang w:val="fr-CA"/>
        </w:rPr>
        <w:t xml:space="preserve">, par. 43).  Certes, le par. 31(1) est difficile, mal formulé et très controversé, comme le juge Dickson l’a reconnu.  Mais l’article établit clairement l’existence de deux exceptions distinctes à la déductibilité limitée des pertes agricoles.  Une règle jurisprudentielle excluant du par. 31(1) l’une des exceptions n’est pas conforme au libellé employé par le législateur. </w:t>
      </w:r>
    </w:p>
    <w:p w:rsidR="00063F98" w:rsidRPr="00557493" w:rsidRDefault="00063F98" w:rsidP="00063F98">
      <w:pPr>
        <w:pStyle w:val="ParaNoNdepar-AltN"/>
        <w:rPr>
          <w:lang w:val="fr-CA"/>
        </w:rPr>
      </w:pPr>
      <w:r w:rsidRPr="00557493">
        <w:rPr>
          <w:lang w:val="fr-CA"/>
        </w:rPr>
        <w:lastRenderedPageBreak/>
        <w:t xml:space="preserve">Pour ces motifs, j’estime respectueusement que la démarche relative à la question de la combinaison suivie dans l’arrêt </w:t>
      </w:r>
      <w:proofErr w:type="spellStart"/>
      <w:r w:rsidRPr="00557493">
        <w:rPr>
          <w:i/>
          <w:lang w:val="fr-CA"/>
        </w:rPr>
        <w:t>Moldowan</w:t>
      </w:r>
      <w:proofErr w:type="spellEnd"/>
      <w:r w:rsidRPr="00557493">
        <w:rPr>
          <w:lang w:val="fr-CA"/>
        </w:rPr>
        <w:t xml:space="preserve"> est incorrecte et qu’il convient que notre Cour réexamine l’interprétation de l’art. 31.</w:t>
      </w:r>
    </w:p>
    <w:p w:rsidR="00063F98" w:rsidRPr="00557493" w:rsidRDefault="00063F98" w:rsidP="00063F98">
      <w:pPr>
        <w:pStyle w:val="TitleTitre-AltT"/>
        <w:tabs>
          <w:tab w:val="clear" w:pos="360"/>
          <w:tab w:val="left" w:pos="540"/>
        </w:tabs>
        <w:ind w:left="540" w:hanging="540"/>
        <w:rPr>
          <w:lang w:val="fr-CA"/>
        </w:rPr>
      </w:pPr>
      <w:r w:rsidRPr="00557493">
        <w:rPr>
          <w:lang w:val="fr-CA"/>
        </w:rPr>
        <w:t>C.</w:t>
      </w:r>
      <w:r w:rsidRPr="00557493">
        <w:rPr>
          <w:lang w:val="fr-CA"/>
        </w:rPr>
        <w:tab/>
      </w:r>
      <w:r w:rsidRPr="00557493">
        <w:rPr>
          <w:i/>
          <w:lang w:val="fr-CA"/>
        </w:rPr>
        <w:t>L’interprétation du par. 31(1)</w:t>
      </w:r>
    </w:p>
    <w:p w:rsidR="00063F98" w:rsidRPr="00557493" w:rsidRDefault="00063F98" w:rsidP="00063F98">
      <w:pPr>
        <w:pStyle w:val="ParaNoNdepar-AltN"/>
        <w:rPr>
          <w:lang w:val="fr-CA"/>
        </w:rPr>
      </w:pPr>
      <w:r w:rsidRPr="00557493">
        <w:rPr>
          <w:lang w:val="fr-CA"/>
        </w:rPr>
        <w:t xml:space="preserve">J’ai expliqué pourquoi je pense que l’interprétation du par. 31(1) faite dans </w:t>
      </w:r>
      <w:proofErr w:type="spellStart"/>
      <w:r w:rsidRPr="00557493">
        <w:rPr>
          <w:i/>
          <w:lang w:val="fr-CA"/>
        </w:rPr>
        <w:t>Moldowan</w:t>
      </w:r>
      <w:proofErr w:type="spellEnd"/>
      <w:r w:rsidRPr="00557493">
        <w:rPr>
          <w:lang w:val="fr-CA"/>
        </w:rPr>
        <w:t xml:space="preserve"> ne peut être maintenue.  Il faut donc à présent que la Cour la reprenne du début. </w:t>
      </w:r>
    </w:p>
    <w:p w:rsidR="00063F98" w:rsidRPr="00557493" w:rsidRDefault="00063F98" w:rsidP="00063F98">
      <w:pPr>
        <w:pStyle w:val="ParaNoNdepar-AltN"/>
        <w:rPr>
          <w:lang w:val="fr-CA"/>
        </w:rPr>
      </w:pPr>
      <w:r w:rsidRPr="00557493">
        <w:rPr>
          <w:lang w:val="fr-CA"/>
        </w:rPr>
        <w:t xml:space="preserve">Bien que l’interprétation établie dans l’arrêt </w:t>
      </w:r>
      <w:proofErr w:type="spellStart"/>
      <w:r w:rsidRPr="00557493">
        <w:rPr>
          <w:i/>
          <w:lang w:val="fr-CA"/>
        </w:rPr>
        <w:t>Moldowan</w:t>
      </w:r>
      <w:proofErr w:type="spellEnd"/>
      <w:r w:rsidRPr="00557493">
        <w:rPr>
          <w:lang w:val="fr-CA"/>
        </w:rPr>
        <w:t xml:space="preserve"> doive être écartée, il faut garder à l’esprit que la formulation d’un nouveau critère relatif à la combinaison ne doit pas faire en sorte qu’il soit impossible d’appliquer le par. 31(1).  Le juge Dickson avait conscience que la simple addition de deux sources de revenus produirait un tel résultat.  Il a expliqué ce qui suit dans l’arrêt </w:t>
      </w:r>
      <w:proofErr w:type="spellStart"/>
      <w:r w:rsidRPr="00557493">
        <w:rPr>
          <w:i/>
          <w:lang w:val="fr-CA"/>
        </w:rPr>
        <w:t>Moldowan</w:t>
      </w:r>
      <w:proofErr w:type="spellEnd"/>
      <w:r w:rsidR="00817015">
        <w:rPr>
          <w:lang w:val="fr-CA"/>
        </w:rPr>
        <w:t>,</w:t>
      </w:r>
      <w:r w:rsidRPr="00557493">
        <w:rPr>
          <w:lang w:val="fr-CA"/>
        </w:rPr>
        <w:t xml:space="preserve"> p. 487 :</w:t>
      </w:r>
    </w:p>
    <w:p w:rsidR="00063F98" w:rsidRPr="00557493" w:rsidRDefault="00063F98" w:rsidP="00063F98">
      <w:pPr>
        <w:pStyle w:val="Citation-AltC"/>
        <w:tabs>
          <w:tab w:val="left" w:pos="1620"/>
        </w:tabs>
        <w:ind w:hanging="1166"/>
        <w:rPr>
          <w:lang w:val="fr-CA"/>
        </w:rPr>
      </w:pPr>
      <w:r w:rsidRPr="00557493">
        <w:rPr>
          <w:lang w:val="fr-FR"/>
        </w:rPr>
        <w:tab/>
      </w:r>
      <w:r w:rsidRPr="00557493">
        <w:rPr>
          <w:lang w:val="fr-FR"/>
        </w:rPr>
        <w:tab/>
        <w:t>Il est clair que le mot «</w:t>
      </w:r>
      <w:r w:rsidR="004A063D">
        <w:rPr>
          <w:lang w:val="fr-FR"/>
        </w:rPr>
        <w:t> </w:t>
      </w:r>
      <w:r w:rsidRPr="00557493">
        <w:rPr>
          <w:lang w:val="fr-FR"/>
        </w:rPr>
        <w:t>combinaison</w:t>
      </w:r>
      <w:r w:rsidR="004A063D">
        <w:rPr>
          <w:lang w:val="fr-FR"/>
        </w:rPr>
        <w:t> </w:t>
      </w:r>
      <w:r w:rsidRPr="00557493">
        <w:rPr>
          <w:lang w:val="fr-FR"/>
        </w:rPr>
        <w:t>» utilisé à l’</w:t>
      </w:r>
      <w:r w:rsidRPr="00557493">
        <w:rPr>
          <w:rStyle w:val="reflex2-link"/>
          <w:lang w:val="fr-FR"/>
        </w:rPr>
        <w:t>art. 13</w:t>
      </w:r>
      <w:r w:rsidRPr="00557493">
        <w:rPr>
          <w:lang w:val="fr-FR"/>
        </w:rPr>
        <w:t xml:space="preserve"> ne vise pas la simple addition des deux sources de revenu d’un contribuable. </w:t>
      </w:r>
      <w:r>
        <w:rPr>
          <w:lang w:val="fr-FR"/>
        </w:rPr>
        <w:t xml:space="preserve"> </w:t>
      </w:r>
      <w:r w:rsidRPr="00557493">
        <w:rPr>
          <w:lang w:val="fr-FR"/>
        </w:rPr>
        <w:t xml:space="preserve">En ce cas en effet, un contribuable pourrait combiner les pertes provenant de son exploitation agricole et sa plus importante source de revenu, constituant de ce fait sa principale source. </w:t>
      </w:r>
      <w:r>
        <w:rPr>
          <w:lang w:val="fr-FR"/>
        </w:rPr>
        <w:t xml:space="preserve"> </w:t>
      </w:r>
      <w:r w:rsidRPr="00557493">
        <w:rPr>
          <w:lang w:val="fr-FR"/>
        </w:rPr>
        <w:t xml:space="preserve">Je ne pense pas que ce soit la bonne interprétation du </w:t>
      </w:r>
      <w:r w:rsidRPr="00557493">
        <w:rPr>
          <w:rStyle w:val="reflex2-link"/>
          <w:lang w:val="fr-FR"/>
        </w:rPr>
        <w:t>par. 13(1)</w:t>
      </w:r>
      <w:r w:rsidRPr="00557493">
        <w:rPr>
          <w:lang w:val="fr-FR"/>
        </w:rPr>
        <w:t xml:space="preserve">. </w:t>
      </w:r>
      <w:r>
        <w:rPr>
          <w:lang w:val="fr-FR"/>
        </w:rPr>
        <w:t xml:space="preserve"> </w:t>
      </w:r>
      <w:r w:rsidRPr="00557493">
        <w:rPr>
          <w:lang w:val="fr-FR"/>
        </w:rPr>
        <w:t>En réalité, cela signifierait que la limite prévue à cet article ne serait jamais applicable et que, dans chaque cas, le contribuable pourrait déduire l’intégralité des pertes provenant de son exploitation agricole</w:t>
      </w:r>
      <w:r w:rsidRPr="00557493">
        <w:rPr>
          <w:lang w:val="fr-CA"/>
        </w:rPr>
        <w:t>.</w:t>
      </w:r>
    </w:p>
    <w:p w:rsidR="00063F98" w:rsidRPr="00557493" w:rsidRDefault="00063F98" w:rsidP="00063F98">
      <w:pPr>
        <w:pStyle w:val="ParaNoNdepar-AltN"/>
        <w:rPr>
          <w:lang w:val="fr-CA"/>
        </w:rPr>
      </w:pPr>
      <w:r w:rsidRPr="00557493">
        <w:rPr>
          <w:lang w:val="fr-CA"/>
        </w:rPr>
        <w:lastRenderedPageBreak/>
        <w:t xml:space="preserve">En 1974, avant même que l’arrêt </w:t>
      </w:r>
      <w:proofErr w:type="spellStart"/>
      <w:r w:rsidRPr="00557493">
        <w:rPr>
          <w:i/>
          <w:lang w:val="fr-CA"/>
        </w:rPr>
        <w:t>Moldowan</w:t>
      </w:r>
      <w:proofErr w:type="spellEnd"/>
      <w:r w:rsidRPr="00557493">
        <w:rPr>
          <w:lang w:val="fr-CA"/>
        </w:rPr>
        <w:t xml:space="preserve"> soit rendu, l’avocat fiscaliste Brian </w:t>
      </w:r>
      <w:proofErr w:type="spellStart"/>
      <w:r w:rsidRPr="00557493">
        <w:rPr>
          <w:lang w:val="fr-CA"/>
        </w:rPr>
        <w:t>Felesky</w:t>
      </w:r>
      <w:proofErr w:type="spellEnd"/>
      <w:r w:rsidRPr="00557493">
        <w:rPr>
          <w:lang w:val="fr-CA"/>
        </w:rPr>
        <w:t xml:space="preserve"> s’était attaqué à la question précise qui se pose en l’espèce, et avait résumé les tentatives d’interprétation jurisprudentielle du par. 31(1) qui </w:t>
      </w:r>
      <w:proofErr w:type="gramStart"/>
      <w:r w:rsidRPr="00557493">
        <w:rPr>
          <w:lang w:val="fr-CA"/>
        </w:rPr>
        <w:t>s’étaient</w:t>
      </w:r>
      <w:proofErr w:type="gramEnd"/>
      <w:r w:rsidRPr="00557493">
        <w:rPr>
          <w:lang w:val="fr-CA"/>
        </w:rPr>
        <w:t xml:space="preserve"> succédées (</w:t>
      </w:r>
      <w:r w:rsidR="00155E46">
        <w:rPr>
          <w:lang w:val="fr-CA"/>
        </w:rPr>
        <w:t xml:space="preserve">« Hobby </w:t>
      </w:r>
      <w:proofErr w:type="spellStart"/>
      <w:r w:rsidR="00155E46">
        <w:rPr>
          <w:lang w:val="fr-CA"/>
        </w:rPr>
        <w:t>Farm</w:t>
      </w:r>
      <w:proofErr w:type="spellEnd"/>
      <w:r w:rsidR="00155E46">
        <w:rPr>
          <w:lang w:val="fr-CA"/>
        </w:rPr>
        <w:t xml:space="preserve"> </w:t>
      </w:r>
      <w:proofErr w:type="spellStart"/>
      <w:r w:rsidR="00155E46">
        <w:rPr>
          <w:lang w:val="fr-CA"/>
        </w:rPr>
        <w:t>Losses</w:t>
      </w:r>
      <w:proofErr w:type="spellEnd"/>
      <w:r w:rsidR="00155E46">
        <w:rPr>
          <w:lang w:val="fr-CA"/>
        </w:rPr>
        <w:t xml:space="preserve"> » dans </w:t>
      </w:r>
      <w:r w:rsidRPr="00557493">
        <w:rPr>
          <w:i/>
          <w:lang w:val="fr-CA"/>
        </w:rPr>
        <w:t xml:space="preserve">Report of </w:t>
      </w:r>
      <w:proofErr w:type="spellStart"/>
      <w:r w:rsidRPr="00557493">
        <w:rPr>
          <w:i/>
          <w:lang w:val="fr-CA"/>
        </w:rPr>
        <w:t>Proceedings</w:t>
      </w:r>
      <w:proofErr w:type="spellEnd"/>
      <w:r w:rsidRPr="00557493">
        <w:rPr>
          <w:i/>
          <w:lang w:val="fr-CA"/>
        </w:rPr>
        <w:t xml:space="preserve"> of the </w:t>
      </w:r>
      <w:proofErr w:type="spellStart"/>
      <w:r w:rsidRPr="00557493">
        <w:rPr>
          <w:i/>
          <w:lang w:val="fr-CA"/>
        </w:rPr>
        <w:t>Twenty</w:t>
      </w:r>
      <w:r w:rsidRPr="00557493">
        <w:rPr>
          <w:i/>
          <w:lang w:val="fr-CA"/>
        </w:rPr>
        <w:noBreakHyphen/>
        <w:t>Sixth</w:t>
      </w:r>
      <w:proofErr w:type="spellEnd"/>
      <w:r w:rsidRPr="00557493">
        <w:rPr>
          <w:i/>
          <w:lang w:val="fr-CA"/>
        </w:rPr>
        <w:t xml:space="preserve"> </w:t>
      </w:r>
      <w:proofErr w:type="spellStart"/>
      <w:r w:rsidRPr="00557493">
        <w:rPr>
          <w:i/>
          <w:lang w:val="fr-CA"/>
        </w:rPr>
        <w:t>Tax</w:t>
      </w:r>
      <w:proofErr w:type="spellEnd"/>
      <w:r w:rsidRPr="00557493">
        <w:rPr>
          <w:i/>
          <w:lang w:val="fr-CA"/>
        </w:rPr>
        <w:t xml:space="preserve"> </w:t>
      </w:r>
      <w:proofErr w:type="spellStart"/>
      <w:r w:rsidRPr="00557493">
        <w:rPr>
          <w:i/>
          <w:lang w:val="fr-CA"/>
        </w:rPr>
        <w:t>Conference</w:t>
      </w:r>
      <w:proofErr w:type="spellEnd"/>
      <w:r w:rsidRPr="00557493">
        <w:rPr>
          <w:lang w:val="fr-CA"/>
        </w:rPr>
        <w:t xml:space="preserve"> (1974), 625).  Il a conclu que les tribunaux devaient, pour l’interprétation du par. 31(1), recourir à un cadre d’analyse s’apparentant à un [</w:t>
      </w:r>
      <w:r w:rsidRPr="00557493">
        <w:rPr>
          <w:smallCaps/>
          <w:lang w:val="fr-CA"/>
        </w:rPr>
        <w:t>traduction</w:t>
      </w:r>
      <w:r w:rsidRPr="00557493">
        <w:rPr>
          <w:lang w:val="fr-CA"/>
        </w:rPr>
        <w:t xml:space="preserve">] « critère de l’activité professionnelle ».  Suivant un tel critère, le capital, le temps et les efforts qu’un contribuable a consacrés à une source de revenu ainsi que l’intérêt et l’importance générale qu’il y a attachés seraient indicatifs d’une source principale de revenu.  Comme il l’a expliqué, la </w:t>
      </w:r>
      <w:r w:rsidRPr="00557493">
        <w:rPr>
          <w:i/>
          <w:lang w:val="fr-CA"/>
        </w:rPr>
        <w:t>Loi de l’impôt sur le revenu</w:t>
      </w:r>
      <w:r w:rsidRPr="00557493">
        <w:rPr>
          <w:lang w:val="fr-CA"/>
        </w:rPr>
        <w:t xml:space="preserve"> établit qu’une « source de revenu » est un bien, une entreprise ou un emploi, mais la « principale source » s’entend du bien, de l’entreprise ou de l’emploi dont le contribuable s’attend raisonnablement à tirer la plus grande partie de son revenu. </w:t>
      </w:r>
    </w:p>
    <w:p w:rsidR="00063F98" w:rsidRPr="00557493" w:rsidRDefault="00063F98" w:rsidP="00063F98">
      <w:pPr>
        <w:pStyle w:val="ParaNoNdepar-AltN"/>
        <w:rPr>
          <w:lang w:val="fr-CA"/>
        </w:rPr>
      </w:pPr>
      <w:r w:rsidRPr="00557493">
        <w:rPr>
          <w:lang w:val="fr-CA"/>
        </w:rPr>
        <w:t xml:space="preserve">Le juge Dickson a tenu un raisonnement assez semblable dans </w:t>
      </w:r>
      <w:proofErr w:type="spellStart"/>
      <w:r w:rsidRPr="00557493">
        <w:rPr>
          <w:i/>
          <w:lang w:val="fr-CA"/>
        </w:rPr>
        <w:t>Moldowan</w:t>
      </w:r>
      <w:proofErr w:type="spellEnd"/>
      <w:r w:rsidRPr="00557493">
        <w:rPr>
          <w:lang w:val="fr-CA"/>
        </w:rPr>
        <w:t>, prenant en compte les facteurs que sont le temps que le contribuable a consacré, les capitaux qu’il a engagés et la rentabilité future.  Il a indiqué ce qui suit</w:t>
      </w:r>
      <w:r w:rsidR="00CF2761">
        <w:rPr>
          <w:lang w:val="fr-CA"/>
        </w:rPr>
        <w:t>,</w:t>
      </w:r>
      <w:r w:rsidRPr="00557493">
        <w:rPr>
          <w:lang w:val="fr-CA"/>
        </w:rPr>
        <w:t xml:space="preserve"> p. 486 :</w:t>
      </w:r>
    </w:p>
    <w:p w:rsidR="00063F98" w:rsidRPr="00557493" w:rsidRDefault="00063F98" w:rsidP="00063F98">
      <w:pPr>
        <w:pStyle w:val="Citation-AltC"/>
        <w:tabs>
          <w:tab w:val="left" w:pos="1170"/>
          <w:tab w:val="left" w:pos="1620"/>
        </w:tabs>
        <w:ind w:hanging="1166"/>
        <w:rPr>
          <w:lang w:val="fr-CA"/>
        </w:rPr>
      </w:pPr>
      <w:r w:rsidRPr="00557493">
        <w:rPr>
          <w:lang w:val="fr-FR"/>
        </w:rPr>
        <w:tab/>
      </w:r>
      <w:r w:rsidRPr="00557493">
        <w:rPr>
          <w:lang w:val="fr-FR"/>
        </w:rPr>
        <w:tab/>
        <w:t>Ce qui distingue la principale «</w:t>
      </w:r>
      <w:r w:rsidR="00D70B8A">
        <w:rPr>
          <w:lang w:val="fr-FR"/>
        </w:rPr>
        <w:t> </w:t>
      </w:r>
      <w:r w:rsidRPr="00557493">
        <w:rPr>
          <w:lang w:val="fr-FR"/>
        </w:rPr>
        <w:t>source</w:t>
      </w:r>
      <w:r w:rsidR="00D70B8A">
        <w:rPr>
          <w:lang w:val="fr-FR"/>
        </w:rPr>
        <w:t> </w:t>
      </w:r>
      <w:r w:rsidRPr="00557493">
        <w:rPr>
          <w:lang w:val="fr-FR"/>
        </w:rPr>
        <w:t xml:space="preserve">» de revenu du contribuable, c’est l’expectative raisonnable de revenu en provenance des diverses sources, ainsi que ses habitudes et sa façon coutumière de travailler. </w:t>
      </w:r>
      <w:r>
        <w:rPr>
          <w:lang w:val="fr-FR"/>
        </w:rPr>
        <w:t xml:space="preserve"> </w:t>
      </w:r>
      <w:r w:rsidRPr="00557493">
        <w:rPr>
          <w:lang w:val="fr-FR"/>
        </w:rPr>
        <w:t xml:space="preserve">On peut analyser ces éléments, notamment à l’égard de chaque source de revenu, en examinant le temps consacré à </w:t>
      </w:r>
      <w:proofErr w:type="spellStart"/>
      <w:r w:rsidRPr="00557493">
        <w:rPr>
          <w:lang w:val="fr-FR"/>
        </w:rPr>
        <w:t>celle</w:t>
      </w:r>
      <w:r w:rsidRPr="00557493">
        <w:rPr>
          <w:lang w:val="fr-FR"/>
        </w:rPr>
        <w:noBreakHyphen/>
        <w:t>ci</w:t>
      </w:r>
      <w:proofErr w:type="spellEnd"/>
      <w:r w:rsidRPr="00557493">
        <w:rPr>
          <w:lang w:val="fr-FR"/>
        </w:rPr>
        <w:t>, les capitaux engagés et la rentabilité présente et future.</w:t>
      </w:r>
      <w:r w:rsidRPr="00557493">
        <w:rPr>
          <w:lang w:val="fr-CA"/>
        </w:rPr>
        <w:t xml:space="preserve"> </w:t>
      </w:r>
    </w:p>
    <w:p w:rsidR="00063F98" w:rsidRPr="00557493" w:rsidRDefault="00063F98" w:rsidP="00063F98">
      <w:pPr>
        <w:pStyle w:val="ParaNoNdepar-AltN"/>
        <w:rPr>
          <w:lang w:val="fr-CA"/>
        </w:rPr>
      </w:pPr>
      <w:r w:rsidRPr="00557493">
        <w:rPr>
          <w:lang w:val="fr-CA"/>
        </w:rPr>
        <w:lastRenderedPageBreak/>
        <w:t xml:space="preserve">Dans </w:t>
      </w:r>
      <w:r w:rsidRPr="00557493">
        <w:rPr>
          <w:i/>
          <w:lang w:val="fr-CA"/>
        </w:rPr>
        <w:t>Gunn</w:t>
      </w:r>
      <w:r w:rsidRPr="00557493">
        <w:rPr>
          <w:lang w:val="fr-CA"/>
        </w:rPr>
        <w:t xml:space="preserve">, la juge </w:t>
      </w:r>
      <w:proofErr w:type="spellStart"/>
      <w:r w:rsidRPr="00557493">
        <w:rPr>
          <w:lang w:val="fr-CA"/>
        </w:rPr>
        <w:t>Sharlow</w:t>
      </w:r>
      <w:proofErr w:type="spellEnd"/>
      <w:r w:rsidRPr="00557493">
        <w:rPr>
          <w:lang w:val="fr-CA"/>
        </w:rPr>
        <w:t>, qui avait elle aussi exercé en droit fiscal avant d’accéder à la magistrature, a tenu le même raisonnement général que M. </w:t>
      </w:r>
      <w:proofErr w:type="spellStart"/>
      <w:r w:rsidRPr="00557493">
        <w:rPr>
          <w:lang w:val="fr-CA"/>
        </w:rPr>
        <w:t>Felesky</w:t>
      </w:r>
      <w:proofErr w:type="spellEnd"/>
      <w:r w:rsidRPr="00557493">
        <w:rPr>
          <w:lang w:val="fr-CA"/>
        </w:rPr>
        <w:t>, mais sans lui donner le nom de « critère de l’activité professionnelle ».  Tel qu’indiqué précédemment, elle explique :</w:t>
      </w:r>
    </w:p>
    <w:p w:rsidR="00063F98" w:rsidRPr="00557493" w:rsidRDefault="00063F98" w:rsidP="00063F98">
      <w:pPr>
        <w:pStyle w:val="Citation-AltC"/>
        <w:tabs>
          <w:tab w:val="left" w:pos="1170"/>
          <w:tab w:val="left" w:pos="1620"/>
        </w:tabs>
        <w:ind w:hanging="1166"/>
        <w:rPr>
          <w:szCs w:val="24"/>
          <w:lang w:val="fr-CA"/>
        </w:rPr>
      </w:pPr>
      <w:r w:rsidRPr="00557493">
        <w:rPr>
          <w:szCs w:val="24"/>
          <w:lang w:val="fr-CA"/>
        </w:rPr>
        <w:tab/>
      </w:r>
      <w:r w:rsidRPr="00557493">
        <w:rPr>
          <w:szCs w:val="24"/>
          <w:lang w:val="fr-CA"/>
        </w:rPr>
        <w:tab/>
      </w:r>
      <w:r w:rsidRPr="00557493">
        <w:rPr>
          <w:szCs w:val="24"/>
          <w:lang w:val="fr-CA"/>
        </w:rPr>
        <w:tab/>
        <w:t xml:space="preserve">À mon </w:t>
      </w:r>
      <w:r w:rsidRPr="00557493">
        <w:rPr>
          <w:lang w:val="fr-FR"/>
        </w:rPr>
        <w:t>avis</w:t>
      </w:r>
      <w:r w:rsidRPr="00557493">
        <w:rPr>
          <w:szCs w:val="24"/>
          <w:lang w:val="fr-CA"/>
        </w:rPr>
        <w:t>, la question de la combinaison doit être interprétée de manière à n’exiger qu’un examen de l’effet cumulatif du total du capital investi dans l’agriculture et dans une deuxième source de revenu, du total du revenu tiré de l’agriculture et d’une deuxième source de revenu, et du total du temps consacré à l’agriculture et à la seconde source de revenu, compte tenu du mode de vie ordinaire du contribuable, de son expérience de l’agriculture, enfin de ses intentions et de ses attentes.</w:t>
      </w:r>
      <w:r>
        <w:rPr>
          <w:szCs w:val="24"/>
          <w:lang w:val="fr-CA"/>
        </w:rPr>
        <w:t xml:space="preserve"> </w:t>
      </w:r>
      <w:r w:rsidRPr="00557493">
        <w:rPr>
          <w:szCs w:val="24"/>
          <w:lang w:val="fr-CA"/>
        </w:rPr>
        <w:t xml:space="preserve"> On évitera ainsi d’appliquer le critère jurisprudentiel selon lequel l’agriculture doit être l’élément prédominant de la combinaison de l’agriculture et de la seconde source de revenu, un critère qui à mon avis a été mis à mal par la jurisprudence ultérieure.  Il y aurait une réponse positive à la question de la combinaison si, par exemple, le contribuable a investi une somme appréciable dans une entreprise agricole, s’il consacre la </w:t>
      </w:r>
      <w:proofErr w:type="spellStart"/>
      <w:r w:rsidRPr="00557493">
        <w:rPr>
          <w:szCs w:val="24"/>
          <w:lang w:val="fr-CA"/>
        </w:rPr>
        <w:t>quasi</w:t>
      </w:r>
      <w:r w:rsidRPr="00557493">
        <w:rPr>
          <w:szCs w:val="24"/>
          <w:lang w:val="fr-CA"/>
        </w:rPr>
        <w:noBreakHyphen/>
        <w:t>totalité</w:t>
      </w:r>
      <w:proofErr w:type="spellEnd"/>
      <w:r w:rsidRPr="00557493">
        <w:rPr>
          <w:szCs w:val="24"/>
          <w:lang w:val="fr-CA"/>
        </w:rPr>
        <w:t xml:space="preserve"> de son temps de travail à la fois à l’agriculture et à l’autre activité principale lucrative, et si ses activités quotidiennes combinent l’agriculture et l’autre activité lucrative, le temps consacré à chacune étant important.</w:t>
      </w:r>
      <w:r w:rsidR="008F236B">
        <w:rPr>
          <w:szCs w:val="24"/>
          <w:lang w:val="fr-CA"/>
        </w:rPr>
        <w:t xml:space="preserve"> [</w:t>
      </w:r>
      <w:proofErr w:type="gramStart"/>
      <w:r w:rsidR="008F236B">
        <w:rPr>
          <w:szCs w:val="24"/>
          <w:lang w:val="fr-CA"/>
        </w:rPr>
        <w:t>par</w:t>
      </w:r>
      <w:proofErr w:type="gramEnd"/>
      <w:r w:rsidR="008F236B">
        <w:rPr>
          <w:szCs w:val="24"/>
          <w:lang w:val="fr-CA"/>
        </w:rPr>
        <w:t>. 83]</w:t>
      </w:r>
    </w:p>
    <w:p w:rsidR="00063F98" w:rsidRPr="00557493" w:rsidRDefault="00063F98" w:rsidP="00063F98">
      <w:pPr>
        <w:pStyle w:val="ParaNoNdepar-AltN"/>
        <w:rPr>
          <w:lang w:val="fr-CA"/>
        </w:rPr>
      </w:pPr>
      <w:r w:rsidRPr="00557493">
        <w:rPr>
          <w:lang w:val="fr-CA"/>
        </w:rPr>
        <w:t xml:space="preserve">Toutes sources doctrinales et jurisprudentielles étayent l’idée que le par. 31(1) n’envisage pas simplement l’addition de deux sources de revenu mais exige un examen plus étendu du capital, du temps, des efforts que le contribuable a </w:t>
      </w:r>
      <w:proofErr w:type="gramStart"/>
      <w:r w:rsidRPr="00557493">
        <w:rPr>
          <w:lang w:val="fr-CA"/>
        </w:rPr>
        <w:t>consacré</w:t>
      </w:r>
      <w:proofErr w:type="gramEnd"/>
      <w:r w:rsidRPr="00557493">
        <w:rPr>
          <w:lang w:val="fr-CA"/>
        </w:rPr>
        <w:t xml:space="preserve"> à ses sources de revenu ainsi que de l’intérêt et d</w:t>
      </w:r>
      <w:r>
        <w:rPr>
          <w:lang w:val="fr-CA"/>
        </w:rPr>
        <w:t xml:space="preserve">e l’importance qu’il y attache. </w:t>
      </w:r>
      <w:r w:rsidRPr="00557493">
        <w:rPr>
          <w:lang w:val="fr-CA"/>
        </w:rPr>
        <w:t xml:space="preserve"> Le respect du critère de la combinaison n’exige pas que les deux sources de revenu soient reliées entre elles.</w:t>
      </w:r>
    </w:p>
    <w:p w:rsidR="00063F98" w:rsidRPr="00557493" w:rsidRDefault="00063F98" w:rsidP="00063F98">
      <w:pPr>
        <w:pStyle w:val="ParaNoNdepar-AltN"/>
        <w:rPr>
          <w:lang w:val="fr-CA"/>
        </w:rPr>
      </w:pPr>
      <w:r w:rsidRPr="00557493">
        <w:rPr>
          <w:lang w:val="fr-CA"/>
        </w:rPr>
        <w:t xml:space="preserve">Avant d’aller plus loin, cependant, deux observations s’imposent.  Premièrement, la disposition doit s’interpréter en fonction de son texte, de son </w:t>
      </w:r>
      <w:r w:rsidRPr="00557493">
        <w:rPr>
          <w:lang w:val="fr-CA"/>
        </w:rPr>
        <w:lastRenderedPageBreak/>
        <w:t>contexte et de son objet (</w:t>
      </w:r>
      <w:r w:rsidRPr="00557493">
        <w:rPr>
          <w:i/>
          <w:lang w:val="fr-CA"/>
        </w:rPr>
        <w:t xml:space="preserve">Hypothèques </w:t>
      </w:r>
      <w:proofErr w:type="spellStart"/>
      <w:r w:rsidRPr="00557493">
        <w:rPr>
          <w:i/>
          <w:lang w:val="fr-CA"/>
        </w:rPr>
        <w:t>Trustco</w:t>
      </w:r>
      <w:proofErr w:type="spellEnd"/>
      <w:r w:rsidRPr="00557493">
        <w:rPr>
          <w:i/>
          <w:lang w:val="fr-CA"/>
        </w:rPr>
        <w:t xml:space="preserve"> Canada c. Canada</w:t>
      </w:r>
      <w:r w:rsidRPr="00557493">
        <w:rPr>
          <w:lang w:val="fr-CA"/>
        </w:rPr>
        <w:t xml:space="preserve">, 2005 CSC 54, [2005] 2 R.C.S. 601, par. 55).  L’interprétation téléologique ne saurait toutefois justifier de conclure à l’existence d’intentions législatives non exprimées.  (Voir </w:t>
      </w:r>
      <w:r w:rsidRPr="00557493">
        <w:rPr>
          <w:i/>
          <w:lang w:val="fr-CA"/>
        </w:rPr>
        <w:t>Shell</w:t>
      </w:r>
      <w:r w:rsidRPr="00557493">
        <w:rPr>
          <w:lang w:val="fr-CA"/>
        </w:rPr>
        <w:t xml:space="preserve">, par. 43.)  Deuxièmement, la question de savoir si la combinaison de l’agriculture et d’une autre source de revenu constitue la principale source de revenu d’un contribuable est tranchée en fonction des faits. </w:t>
      </w:r>
    </w:p>
    <w:p w:rsidR="00063F98" w:rsidRPr="00557493" w:rsidRDefault="00063F98" w:rsidP="00063F98">
      <w:pPr>
        <w:pStyle w:val="ParaNoNdepar-AltN"/>
        <w:rPr>
          <w:lang w:val="fr-CA"/>
        </w:rPr>
      </w:pPr>
      <w:r w:rsidRPr="00557493">
        <w:rPr>
          <w:lang w:val="fr-CA"/>
        </w:rPr>
        <w:t>Rien dans le libellé ou le contexte du par. 31(1) ne permet selon moi d’affirmer que, pour que la déductibilité des pertes agricoles ne soit pas limitée, il faut que, dans la combinaison avec une autre source de revenu, l’agriculture prédomine.  Il n’est pas non plus possible de restreindre l’application du par. 31(1) aux contribuables pour qui l’agriculture n’est qu’un « </w:t>
      </w:r>
      <w:proofErr w:type="spellStart"/>
      <w:r w:rsidRPr="00557493">
        <w:rPr>
          <w:lang w:val="fr-CA"/>
        </w:rPr>
        <w:t>passe</w:t>
      </w:r>
      <w:r w:rsidRPr="00557493">
        <w:rPr>
          <w:lang w:val="fr-CA"/>
        </w:rPr>
        <w:noBreakHyphen/>
        <w:t>temps</w:t>
      </w:r>
      <w:proofErr w:type="spellEnd"/>
      <w:r w:rsidRPr="00557493">
        <w:rPr>
          <w:lang w:val="fr-CA"/>
        </w:rPr>
        <w:t> » ou un « loisir », parce que, pour qu’une perte agricole soit déductible, il faut d’abord que l’agriculture soit une source de revenu.  Or, du point de vue fiscal, elle n’est pas une source de revenu si les activités agricoles du contribuable ne sont pas commerciales, ne génèrent pas de profit ou ne visent pas la réalisation d’un profit, de sorte qu’il ne peut y avoir perte agricole, limitée ou non (</w:t>
      </w:r>
      <w:r w:rsidRPr="00557493">
        <w:rPr>
          <w:i/>
          <w:lang w:val="fr-CA"/>
        </w:rPr>
        <w:t>Stewart c. Canada</w:t>
      </w:r>
      <w:r w:rsidRPr="00557493">
        <w:rPr>
          <w:lang w:val="fr-CA"/>
        </w:rPr>
        <w:t>, 2002 CSC 46, [2002] 2 R.C.S. 645, par. 51</w:t>
      </w:r>
      <w:r w:rsidRPr="00557493">
        <w:rPr>
          <w:lang w:val="fr-CA"/>
        </w:rPr>
        <w:noBreakHyphen/>
        <w:t>54).</w:t>
      </w:r>
    </w:p>
    <w:p w:rsidR="00063F98" w:rsidRPr="00557493" w:rsidRDefault="00063F98" w:rsidP="00063F98">
      <w:pPr>
        <w:pStyle w:val="ParaNoNdepar-AltN"/>
        <w:rPr>
          <w:lang w:val="fr-CA"/>
        </w:rPr>
      </w:pPr>
      <w:r w:rsidRPr="00557493">
        <w:rPr>
          <w:lang w:val="fr-CA"/>
        </w:rPr>
        <w:t xml:space="preserve">La disposition concerne les pertes d’entreprises agricoles.  Leur déductibilité n’est pas limitée lorsque l’agriculture est la principale source de revenu du contribuable; cela suppose que </w:t>
      </w:r>
      <w:proofErr w:type="spellStart"/>
      <w:r w:rsidRPr="00557493">
        <w:rPr>
          <w:lang w:val="fr-CA"/>
        </w:rPr>
        <w:t>celui</w:t>
      </w:r>
      <w:r w:rsidRPr="00557493">
        <w:rPr>
          <w:lang w:val="fr-CA"/>
        </w:rPr>
        <w:noBreakHyphen/>
        <w:t>ci</w:t>
      </w:r>
      <w:proofErr w:type="spellEnd"/>
      <w:r w:rsidRPr="00557493">
        <w:rPr>
          <w:lang w:val="fr-CA"/>
        </w:rPr>
        <w:t xml:space="preserve"> y consacre des capitaux substantiels et </w:t>
      </w:r>
      <w:r w:rsidRPr="00557493">
        <w:rPr>
          <w:lang w:val="fr-CA"/>
        </w:rPr>
        <w:lastRenderedPageBreak/>
        <w:t xml:space="preserve">beaucoup de temps, car il est difficile, autrement, de considérer une telle entreprise comme une source principale de revenu. </w:t>
      </w:r>
    </w:p>
    <w:p w:rsidR="00063F98" w:rsidRPr="00557493" w:rsidRDefault="00063F98" w:rsidP="00063F98">
      <w:pPr>
        <w:pStyle w:val="ParaNoNdepar-AltN"/>
        <w:rPr>
          <w:lang w:val="fr-CA"/>
        </w:rPr>
      </w:pPr>
      <w:r w:rsidRPr="00557493">
        <w:rPr>
          <w:lang w:val="fr-CA"/>
        </w:rPr>
        <w:t xml:space="preserve">Je ne crois pas que le critère de la combinaison modifie cette définition de l’activité agricole.  On voit encore dans la disposition que le contribuable doit consacrer beaucoup de temps et de ressources à l’entreprise agricole, même s’il doit également consacrer un temps appréciable et, </w:t>
      </w:r>
      <w:proofErr w:type="spellStart"/>
      <w:r w:rsidRPr="00557493">
        <w:rPr>
          <w:lang w:val="fr-CA"/>
        </w:rPr>
        <w:t>peut</w:t>
      </w:r>
      <w:r w:rsidRPr="00557493">
        <w:rPr>
          <w:lang w:val="fr-CA"/>
        </w:rPr>
        <w:noBreakHyphen/>
        <w:t>être</w:t>
      </w:r>
      <w:proofErr w:type="spellEnd"/>
      <w:r w:rsidRPr="00557493">
        <w:rPr>
          <w:lang w:val="fr-CA"/>
        </w:rPr>
        <w:t>, des ressources substantielles à une autre entreprise ou un emploi.  Dès lors que le contribuable consacre beaucoup de temps et de ressources à l’entreprise agricole, le fait qu’une autre source de revenu soit plus lucrative ne signifie pas, il me semble, que le revenu du contribuable ne provient pas principalement d’une telle combinaison</w:t>
      </w:r>
      <w:r w:rsidR="00B53608">
        <w:rPr>
          <w:lang w:val="fr-CA"/>
        </w:rPr>
        <w:t>.</w:t>
      </w:r>
    </w:p>
    <w:p w:rsidR="00063F98" w:rsidRPr="00557493" w:rsidRDefault="00063F98" w:rsidP="00063F98">
      <w:pPr>
        <w:pStyle w:val="ParaNoNdepar-AltN"/>
        <w:rPr>
          <w:lang w:val="fr-CA"/>
        </w:rPr>
      </w:pPr>
      <w:r w:rsidRPr="00557493">
        <w:rPr>
          <w:lang w:val="fr-CA"/>
        </w:rPr>
        <w:t>Cette conception de la combinaison exposée par M.</w:t>
      </w:r>
      <w:r>
        <w:rPr>
          <w:lang w:val="fr-CA"/>
        </w:rPr>
        <w:t> </w:t>
      </w:r>
      <w:proofErr w:type="spellStart"/>
      <w:r w:rsidRPr="00557493">
        <w:rPr>
          <w:lang w:val="fr-CA"/>
        </w:rPr>
        <w:t>Felesky</w:t>
      </w:r>
      <w:proofErr w:type="spellEnd"/>
      <w:r w:rsidRPr="00557493">
        <w:rPr>
          <w:lang w:val="fr-CA"/>
        </w:rPr>
        <w:t xml:space="preserve"> et par les juges Dickson et </w:t>
      </w:r>
      <w:proofErr w:type="spellStart"/>
      <w:r w:rsidRPr="00557493">
        <w:rPr>
          <w:lang w:val="fr-CA"/>
        </w:rPr>
        <w:t>Sharlow</w:t>
      </w:r>
      <w:proofErr w:type="spellEnd"/>
      <w:r w:rsidRPr="00557493">
        <w:rPr>
          <w:lang w:val="fr-CA"/>
        </w:rPr>
        <w:t xml:space="preserve"> est logique.  Elle est fondée sur le texte du par. 31(1), qui ne limite les pertes d’un contribuable « provenant de toutes les entreprises agricoles » que lorsque son revenu pour une année d’imposition ne provient principalement ni de l’agriculture ni d’une combinaison de l’agriculture et de quelque autre source.  Relativement à la combinaison, la disposition n’a pu l’envisager comme la simple addition de revenus provenant de deux sources, de sorte que d’autres facteurs que les deux sources doivent aussi entrer en ligne de compte.  Ceux qu’a énumérés la juge </w:t>
      </w:r>
      <w:proofErr w:type="spellStart"/>
      <w:r w:rsidRPr="00557493">
        <w:rPr>
          <w:lang w:val="fr-CA"/>
        </w:rPr>
        <w:t>Sharlow</w:t>
      </w:r>
      <w:proofErr w:type="spellEnd"/>
      <w:r w:rsidRPr="00557493">
        <w:rPr>
          <w:lang w:val="fr-CA"/>
        </w:rPr>
        <w:t xml:space="preserve">, à savoir le capital investi dans l’agriculture et dans la deuxième source de revenu, le revenu tiré de chacune de ces sources de revenu, le temps consacré aux deux sources de revenu et le mode de vie ordinaire du contribuable, son expérience de </w:t>
      </w:r>
      <w:r w:rsidRPr="00557493">
        <w:rPr>
          <w:lang w:val="fr-CA"/>
        </w:rPr>
        <w:lastRenderedPageBreak/>
        <w:t>l’agriculture et ses intentions et attentes, sont tous des facteurs que l’on retrouve lorsqu’un contribuable exploite une entreprise agricole en ayant une autre source de revenu.  Si ces facteurs tendent à démontrer que le contribuable accorde une importance considérable tant à son entreprise agricole qu’aux sources de revenu non agricoles, il n’y a pas de raison de considérer qu’une telle combinaison ne constitue pas une source principale de revenu permettant d’échapper à la déductibilité limitée des pertes agricoles prévue au par. 31(1).  Il s’agit d’une appréciation factuelle relevant du juge de première instance.</w:t>
      </w:r>
    </w:p>
    <w:p w:rsidR="00063F98" w:rsidRPr="00557493" w:rsidRDefault="00063F98" w:rsidP="00063F98">
      <w:pPr>
        <w:pStyle w:val="ParaNoNdepar-AltN"/>
        <w:rPr>
          <w:b/>
          <w:lang w:val="fr-CA"/>
        </w:rPr>
      </w:pPr>
      <w:r w:rsidRPr="00557493">
        <w:rPr>
          <w:lang w:val="fr-CA"/>
        </w:rPr>
        <w:t xml:space="preserve">Cette interprétation est conforme à l’économie générale de la </w:t>
      </w:r>
      <w:r w:rsidRPr="00557493">
        <w:rPr>
          <w:i/>
          <w:lang w:val="fr-CA"/>
        </w:rPr>
        <w:t>Loi de l’impôt sur le revenu</w:t>
      </w:r>
      <w:r w:rsidRPr="00557493">
        <w:rPr>
          <w:lang w:val="fr-CA"/>
        </w:rPr>
        <w:t xml:space="preserve"> suivant laquelle, sous réserve de certaines exceptions précises, le contribuable peut déduire les pertes afférentes à une entreprise ou à une source de revenu des profits tirés d’une autre entreprise ou source de revenu (</w:t>
      </w:r>
      <w:r w:rsidRPr="00557493">
        <w:rPr>
          <w:i/>
          <w:lang w:val="fr-CA"/>
        </w:rPr>
        <w:t>Gunn</w:t>
      </w:r>
      <w:r w:rsidRPr="00557493">
        <w:rPr>
          <w:lang w:val="fr-CA"/>
        </w:rPr>
        <w:t xml:space="preserve">, par. 20, renvoyant à </w:t>
      </w:r>
      <w:proofErr w:type="spellStart"/>
      <w:r w:rsidRPr="00557493">
        <w:rPr>
          <w:i/>
          <w:lang w:val="fr-CA"/>
        </w:rPr>
        <w:t>Canderel</w:t>
      </w:r>
      <w:proofErr w:type="spellEnd"/>
      <w:r w:rsidRPr="00557493">
        <w:rPr>
          <w:i/>
          <w:lang w:val="fr-CA"/>
        </w:rPr>
        <w:t xml:space="preserve"> </w:t>
      </w:r>
      <w:proofErr w:type="spellStart"/>
      <w:r w:rsidRPr="00557493">
        <w:rPr>
          <w:i/>
          <w:lang w:val="fr-CA"/>
        </w:rPr>
        <w:t>Ltée</w:t>
      </w:r>
      <w:proofErr w:type="spellEnd"/>
      <w:r w:rsidRPr="00557493">
        <w:rPr>
          <w:i/>
          <w:lang w:val="fr-CA"/>
        </w:rPr>
        <w:t xml:space="preserve"> c. Canada</w:t>
      </w:r>
      <w:r w:rsidRPr="00557493">
        <w:rPr>
          <w:lang w:val="fr-CA"/>
        </w:rPr>
        <w:t xml:space="preserve">, [1998] 1 R.C.S. 147, par. 53).  En cas de pertes agricoles, la seule restriction est que le revenu du contribuable provienne principalement de la combinaison.  Cela ne veut pas dire que l’une ou l’autre source de revenu doive prédominer, mais cela suppose qu’elles doivent constituer des activités importantes du contribuable. </w:t>
      </w:r>
    </w:p>
    <w:p w:rsidR="00063F98" w:rsidRPr="00557493" w:rsidRDefault="00063F98" w:rsidP="00063F98">
      <w:pPr>
        <w:pStyle w:val="TitleTitre-AltT"/>
        <w:rPr>
          <w:lang w:val="fr-CA"/>
        </w:rPr>
      </w:pPr>
      <w:r w:rsidRPr="00557493">
        <w:rPr>
          <w:lang w:val="fr-CA"/>
        </w:rPr>
        <w:t>VIII.</w:t>
      </w:r>
      <w:r w:rsidRPr="00557493">
        <w:rPr>
          <w:lang w:val="fr-CA"/>
        </w:rPr>
        <w:tab/>
      </w:r>
      <w:r w:rsidRPr="00557493">
        <w:rPr>
          <w:u w:val="single"/>
          <w:lang w:val="fr-CA"/>
        </w:rPr>
        <w:t>Application</w:t>
      </w:r>
      <w:r w:rsidRPr="00557493">
        <w:rPr>
          <w:lang w:val="fr-CA"/>
        </w:rPr>
        <w:t xml:space="preserve"> </w:t>
      </w:r>
    </w:p>
    <w:p w:rsidR="00063F98" w:rsidRPr="00557493" w:rsidRDefault="00063F98" w:rsidP="00063F98">
      <w:pPr>
        <w:pStyle w:val="ParaNoNdepar-AltN"/>
        <w:rPr>
          <w:lang w:val="fr-CA"/>
        </w:rPr>
      </w:pPr>
      <w:r w:rsidRPr="00557493">
        <w:rPr>
          <w:lang w:val="fr-CA"/>
        </w:rPr>
        <w:t xml:space="preserve">Pour que l’art. 31 s’applique et pour qu’une perte agricole soit déductible, il faut d’abord que l’agriculture soit une source de revenu.  En première instance, le </w:t>
      </w:r>
      <w:r w:rsidRPr="00557493">
        <w:rPr>
          <w:lang w:val="fr-CA"/>
        </w:rPr>
        <w:lastRenderedPageBreak/>
        <w:t xml:space="preserve">ministère public a reconnu que, compte tenu du critère formulé dans </w:t>
      </w:r>
      <w:r w:rsidRPr="00557493">
        <w:rPr>
          <w:i/>
          <w:lang w:val="fr-CA"/>
        </w:rPr>
        <w:t>Stewart</w:t>
      </w:r>
      <w:r w:rsidRPr="00557493">
        <w:rPr>
          <w:lang w:val="fr-CA"/>
        </w:rPr>
        <w:t xml:space="preserve">, l’exploitation de chevaux de course constituait une entreprise et non une activité personnelle.  Le juge n’avait donc pas à effectuer l’analyse des faits requise par </w:t>
      </w:r>
      <w:r w:rsidRPr="00557493">
        <w:rPr>
          <w:i/>
          <w:lang w:val="fr-CA"/>
        </w:rPr>
        <w:t>Stewart</w:t>
      </w:r>
      <w:r w:rsidRPr="00557493">
        <w:rPr>
          <w:lang w:val="fr-CA"/>
        </w:rPr>
        <w:t xml:space="preserve"> pour déterminer si cette exploitation constituait une source de revenu, et il a reconnu qu’elle constituait une entreprise et non pas une activité personnelle (par. 41</w:t>
      </w:r>
      <w:r w:rsidRPr="00557493">
        <w:rPr>
          <w:lang w:val="fr-CA"/>
        </w:rPr>
        <w:noBreakHyphen/>
        <w:t xml:space="preserve">42).  Je ne vois nulle raison de modifier cette conclusion. </w:t>
      </w:r>
    </w:p>
    <w:p w:rsidR="00063F98" w:rsidRPr="00557493" w:rsidRDefault="00063F98" w:rsidP="00063F98">
      <w:pPr>
        <w:pStyle w:val="ParaNoNdepar-AltN"/>
        <w:rPr>
          <w:lang w:val="fr-CA"/>
        </w:rPr>
      </w:pPr>
      <w:r w:rsidRPr="00557493">
        <w:rPr>
          <w:lang w:val="fr-CA"/>
        </w:rPr>
        <w:t>Puisque les activités relatives aux courses de chevaux constituaient une source de revenu, il reste à déterminer s’il y a lieu d’appliquer le par. 31(1) et de limiter la déductibilité des pertes agricoles.  Les facteurs à prendre en compte dans l’analyse contextuelle de la question de la combinaison sont le capital investi dans l’entreprise agricole et dans la deuxième source de revenu, le revenu tiré de chacune des deux sources, le temps consacré aux deux sources de revenu et le mode de vie ordinaire du contribuable, son expérience de l’agriculture et ses intentions et attentes.  La démarche doit rester souple et reconnaître que certains facteurs peuvent ne pas être importants.</w:t>
      </w:r>
      <w:r>
        <w:rPr>
          <w:lang w:val="fr-CA"/>
        </w:rPr>
        <w:t xml:space="preserve"> </w:t>
      </w:r>
      <w:r w:rsidRPr="00557493">
        <w:rPr>
          <w:lang w:val="fr-CA"/>
        </w:rPr>
        <w:t xml:space="preserve"> L’examen de l’ensemble de ces facteurs permettra au juge de déterminer si le contribuable accorde une importance significative à l’entreprise agricole et à l’autre activité lucrative; si c’est le cas, son revenu proviendra principalement de la combinaison de ces activités de sorte que la déductibilité des pertes agricoles ne sera pas limitée en application du par. 31(1).</w:t>
      </w:r>
    </w:p>
    <w:p w:rsidR="00063F98" w:rsidRPr="00557493" w:rsidRDefault="00063F98" w:rsidP="00063F98">
      <w:pPr>
        <w:pStyle w:val="ParaNoNdepar-AltN"/>
        <w:rPr>
          <w:lang w:val="fr-CA"/>
        </w:rPr>
      </w:pPr>
      <w:r w:rsidRPr="00557493">
        <w:rPr>
          <w:rFonts w:cs="Times New Roman"/>
          <w:szCs w:val="24"/>
          <w:lang w:val="fr-CA"/>
        </w:rPr>
        <w:t xml:space="preserve">Le juge </w:t>
      </w:r>
      <w:proofErr w:type="spellStart"/>
      <w:r w:rsidRPr="00557493">
        <w:rPr>
          <w:rFonts w:cs="Times New Roman"/>
          <w:szCs w:val="24"/>
          <w:lang w:val="fr-CA"/>
        </w:rPr>
        <w:t>Hershfield</w:t>
      </w:r>
      <w:proofErr w:type="spellEnd"/>
      <w:r w:rsidRPr="00557493">
        <w:rPr>
          <w:rFonts w:cs="Times New Roman"/>
          <w:szCs w:val="24"/>
          <w:lang w:val="fr-CA"/>
        </w:rPr>
        <w:t xml:space="preserve"> de la C.C.I. a conclu que les facteurs pertinents autres que celui de la rentabilité établie indiquaient clairement que l’entreprise agricole de </w:t>
      </w:r>
      <w:r w:rsidRPr="00557493">
        <w:rPr>
          <w:rFonts w:cs="Times New Roman"/>
          <w:szCs w:val="24"/>
          <w:lang w:val="fr-CA"/>
        </w:rPr>
        <w:lastRenderedPageBreak/>
        <w:t>M. Craig était plus qu’une entreprise secondaire (par. 76).  Même si la principale source de revenu de M.</w:t>
      </w:r>
      <w:r>
        <w:rPr>
          <w:rFonts w:cs="Times New Roman"/>
          <w:szCs w:val="24"/>
          <w:lang w:val="fr-CA"/>
        </w:rPr>
        <w:t> </w:t>
      </w:r>
      <w:r w:rsidRPr="00557493">
        <w:rPr>
          <w:rFonts w:cs="Times New Roman"/>
          <w:szCs w:val="24"/>
          <w:lang w:val="fr-CA"/>
        </w:rPr>
        <w:t xml:space="preserve">Craig provenait de l’exercice du droit et que le nombre d’heures total qu’il y consacrait était supérieur au temps consacré à son entreprise agricole, il investissait des capitaux importants dans cette entreprise et une grande partie de son travail quotidien y passait (par. 76).  Le juge </w:t>
      </w:r>
      <w:proofErr w:type="spellStart"/>
      <w:r w:rsidRPr="00557493">
        <w:rPr>
          <w:rFonts w:cs="Times New Roman"/>
          <w:szCs w:val="24"/>
          <w:lang w:val="fr-CA"/>
        </w:rPr>
        <w:t>Hershfield</w:t>
      </w:r>
      <w:proofErr w:type="spellEnd"/>
      <w:r w:rsidRPr="00557493">
        <w:rPr>
          <w:rFonts w:cs="Times New Roman"/>
          <w:szCs w:val="24"/>
          <w:lang w:val="fr-CA"/>
        </w:rPr>
        <w:t xml:space="preserve"> a conclu que l’entreprise de course de chevaux était une préoccupation majeure sur le plan des affaires; M.</w:t>
      </w:r>
      <w:r>
        <w:rPr>
          <w:rFonts w:cs="Times New Roman"/>
          <w:szCs w:val="24"/>
          <w:lang w:val="fr-CA"/>
        </w:rPr>
        <w:t> </w:t>
      </w:r>
      <w:r w:rsidRPr="00557493">
        <w:rPr>
          <w:rFonts w:cs="Times New Roman"/>
          <w:szCs w:val="24"/>
          <w:lang w:val="fr-CA"/>
        </w:rPr>
        <w:t xml:space="preserve">Craig passait ses matinées, soirées et fins de semaine à chercher à en accroître la rentabilité future.  L’entreprise n’était pas qu’un exutoire à son mode de vie normal, ni un divertissement ou un sport (par. 76).  En outre, l’intérêt que portait M. Craig à son entreprise agricole ne se limitait pas à l’écurie et aux pistes de course.  Le juge </w:t>
      </w:r>
      <w:proofErr w:type="spellStart"/>
      <w:r w:rsidRPr="00557493">
        <w:rPr>
          <w:rFonts w:cs="Times New Roman"/>
          <w:szCs w:val="24"/>
          <w:lang w:val="fr-CA"/>
        </w:rPr>
        <w:t>Hershfield</w:t>
      </w:r>
      <w:proofErr w:type="spellEnd"/>
      <w:r w:rsidRPr="00557493">
        <w:rPr>
          <w:rFonts w:cs="Times New Roman"/>
          <w:szCs w:val="24"/>
          <w:lang w:val="fr-CA"/>
        </w:rPr>
        <w:t xml:space="preserve"> a pris en compte le fait que </w:t>
      </w:r>
      <w:r>
        <w:rPr>
          <w:rFonts w:cs="Times New Roman"/>
          <w:szCs w:val="24"/>
          <w:lang w:val="fr-CA"/>
        </w:rPr>
        <w:t>M. </w:t>
      </w:r>
      <w:r w:rsidRPr="00557493">
        <w:rPr>
          <w:rFonts w:cs="Times New Roman"/>
          <w:szCs w:val="24"/>
          <w:lang w:val="fr-CA"/>
        </w:rPr>
        <w:t xml:space="preserve">Craig était un membre actif du monde des courses de chevaux </w:t>
      </w:r>
      <w:proofErr w:type="spellStart"/>
      <w:r w:rsidRPr="00557493">
        <w:rPr>
          <w:rFonts w:cs="Times New Roman"/>
          <w:szCs w:val="24"/>
          <w:lang w:val="fr-CA"/>
        </w:rPr>
        <w:t>standardbred</w:t>
      </w:r>
      <w:proofErr w:type="spellEnd"/>
      <w:r w:rsidRPr="00557493">
        <w:rPr>
          <w:rFonts w:cs="Times New Roman"/>
          <w:szCs w:val="24"/>
          <w:lang w:val="fr-CA"/>
        </w:rPr>
        <w:t xml:space="preserve"> et y apportait sa contribution (par. 77).  Il cherchait à améliorer l’intégrité de ces courses afin d’accroître la rentabilité future de ses activités.  Sa connaissance des compétitions importantes pour la rentabilité était suffisante pour lui permettre de devenir président de la commission d’appel de l’industrie (par. 77).  Pour ces motifs, le juge </w:t>
      </w:r>
      <w:proofErr w:type="spellStart"/>
      <w:r w:rsidRPr="00557493">
        <w:rPr>
          <w:rFonts w:cs="Times New Roman"/>
          <w:szCs w:val="24"/>
          <w:lang w:val="fr-CA"/>
        </w:rPr>
        <w:t>Hershfield</w:t>
      </w:r>
      <w:proofErr w:type="spellEnd"/>
      <w:r w:rsidRPr="00557493">
        <w:rPr>
          <w:rFonts w:cs="Times New Roman"/>
          <w:szCs w:val="24"/>
          <w:lang w:val="fr-CA"/>
        </w:rPr>
        <w:t xml:space="preserve"> a estimé que les activités liées aux courses de chevaux constituaient, en fonction du critère de la combinaison prévu au par. 31(1), une source principale de revenu du contribuable.</w:t>
      </w:r>
    </w:p>
    <w:p w:rsidR="00063F98" w:rsidRPr="00557493" w:rsidRDefault="00063F98" w:rsidP="00063F98">
      <w:pPr>
        <w:pStyle w:val="ParaNoNdepar-AltN"/>
        <w:rPr>
          <w:lang w:val="fr-CA"/>
        </w:rPr>
      </w:pPr>
      <w:r w:rsidRPr="00557493">
        <w:rPr>
          <w:rFonts w:cs="Times New Roman"/>
          <w:szCs w:val="24"/>
          <w:lang w:val="fr-CA"/>
        </w:rPr>
        <w:t xml:space="preserve">Après examen des facteurs pertinents, le juge </w:t>
      </w:r>
      <w:proofErr w:type="spellStart"/>
      <w:r w:rsidRPr="00557493">
        <w:rPr>
          <w:rFonts w:cs="Times New Roman"/>
          <w:szCs w:val="24"/>
          <w:lang w:val="fr-CA"/>
        </w:rPr>
        <w:t>Hershfield</w:t>
      </w:r>
      <w:proofErr w:type="spellEnd"/>
      <w:r w:rsidRPr="00557493">
        <w:rPr>
          <w:rFonts w:cs="Times New Roman"/>
          <w:szCs w:val="24"/>
          <w:lang w:val="fr-CA"/>
        </w:rPr>
        <w:t xml:space="preserve"> de la C.C.I. a conclu que le revenu de M. Craig provenait principalement de la combinaison de l’agriculture et de sa profession juridique et que la limitation de la déductibilité des pertes agricoles opérée par le par. 31(1) ne s’appliquait pas compte tenu des faits.  </w:t>
      </w:r>
      <w:r w:rsidRPr="00557493">
        <w:rPr>
          <w:rFonts w:cs="Times New Roman"/>
          <w:szCs w:val="24"/>
          <w:lang w:val="fr-CA"/>
        </w:rPr>
        <w:lastRenderedPageBreak/>
        <w:t xml:space="preserve">Rien ne justifie que notre Cour modifie la conclusion factuelle tirée par le juge </w:t>
      </w:r>
      <w:proofErr w:type="spellStart"/>
      <w:r w:rsidRPr="00557493">
        <w:rPr>
          <w:rFonts w:cs="Times New Roman"/>
          <w:szCs w:val="24"/>
          <w:lang w:val="fr-CA"/>
        </w:rPr>
        <w:t>Hershfield</w:t>
      </w:r>
      <w:proofErr w:type="spellEnd"/>
      <w:r w:rsidRPr="00557493">
        <w:rPr>
          <w:rFonts w:cs="Times New Roman"/>
          <w:szCs w:val="24"/>
          <w:lang w:val="fr-CA"/>
        </w:rPr>
        <w:t xml:space="preserve"> ni sa conclusion que la disposition limitant les pertes agricoles déductibles n’était pas applicable.</w:t>
      </w:r>
    </w:p>
    <w:p w:rsidR="00063F98" w:rsidRPr="00557493" w:rsidRDefault="00063F98" w:rsidP="00063F98">
      <w:pPr>
        <w:pStyle w:val="TitleTitre-AltT"/>
        <w:tabs>
          <w:tab w:val="clear" w:pos="360"/>
          <w:tab w:val="left" w:pos="540"/>
        </w:tabs>
        <w:ind w:left="540" w:hanging="540"/>
        <w:rPr>
          <w:lang w:val="fr-CA"/>
        </w:rPr>
      </w:pPr>
      <w:r w:rsidRPr="00557493">
        <w:rPr>
          <w:lang w:val="fr-CA"/>
        </w:rPr>
        <w:t>IX.</w:t>
      </w:r>
      <w:r w:rsidRPr="00557493">
        <w:rPr>
          <w:lang w:val="fr-CA"/>
        </w:rPr>
        <w:tab/>
      </w:r>
      <w:r w:rsidRPr="00557493">
        <w:rPr>
          <w:u w:val="single"/>
          <w:lang w:val="fr-CA"/>
        </w:rPr>
        <w:t>Conclusion</w:t>
      </w:r>
      <w:r w:rsidRPr="00557493">
        <w:rPr>
          <w:lang w:val="fr-CA"/>
        </w:rPr>
        <w:t xml:space="preserve"> </w:t>
      </w:r>
    </w:p>
    <w:p w:rsidR="00063F98" w:rsidRPr="00557493" w:rsidRDefault="00063F98" w:rsidP="00063F98">
      <w:pPr>
        <w:pStyle w:val="ParaNoNdepar-AltN"/>
        <w:rPr>
          <w:lang w:val="fr-CA"/>
        </w:rPr>
      </w:pPr>
      <w:r w:rsidRPr="00557493">
        <w:rPr>
          <w:lang w:val="fr-CA"/>
        </w:rPr>
        <w:t>Je suis d’avis de rejeter le pourvoi avec dépens.</w:t>
      </w:r>
    </w:p>
    <w:p w:rsidR="0033393C" w:rsidRPr="00446A3C" w:rsidRDefault="0033393C" w:rsidP="003A5F1F">
      <w:pPr>
        <w:pStyle w:val="SCCNormalDoubleSpacing"/>
        <w:spacing w:after="480"/>
        <w:rPr>
          <w:szCs w:val="24"/>
        </w:rPr>
      </w:pPr>
      <w:r w:rsidRPr="00446A3C">
        <w:rPr>
          <w:szCs w:val="24"/>
        </w:rPr>
        <w:tab/>
      </w:r>
      <w:r w:rsidR="00944149" w:rsidRPr="00446A3C">
        <w:rPr>
          <w:i/>
          <w:szCs w:val="24"/>
        </w:rPr>
        <w:t xml:space="preserve">Pourvoi </w:t>
      </w:r>
      <w:r w:rsidR="00197281" w:rsidRPr="00446A3C">
        <w:rPr>
          <w:i/>
          <w:szCs w:val="24"/>
        </w:rPr>
        <w:t>rejeté avec dépens</w:t>
      </w:r>
      <w:r w:rsidR="00944149" w:rsidRPr="00446A3C">
        <w:rPr>
          <w:i/>
          <w:szCs w:val="24"/>
        </w:rPr>
        <w:t>.</w:t>
      </w:r>
    </w:p>
    <w:p w:rsidR="00944149" w:rsidRPr="00446A3C" w:rsidRDefault="00914964" w:rsidP="003A5F1F">
      <w:pPr>
        <w:pStyle w:val="SCCLawFirm"/>
        <w:spacing w:after="480"/>
        <w:rPr>
          <w:szCs w:val="24"/>
        </w:rPr>
      </w:pPr>
      <w:r w:rsidRPr="00446A3C">
        <w:rPr>
          <w:szCs w:val="24"/>
        </w:rPr>
        <w:tab/>
        <w:t>Procureur de l</w:t>
      </w:r>
      <w:r w:rsidR="00096C17">
        <w:rPr>
          <w:szCs w:val="24"/>
        </w:rPr>
        <w:t>’</w:t>
      </w:r>
      <w:r w:rsidRPr="00446A3C">
        <w:rPr>
          <w:szCs w:val="24"/>
        </w:rPr>
        <w:t>appelante</w:t>
      </w:r>
      <w:r w:rsidR="00A448E1" w:rsidRPr="00446A3C">
        <w:rPr>
          <w:szCs w:val="24"/>
        </w:rPr>
        <w:t> :</w:t>
      </w:r>
      <w:r w:rsidRPr="00446A3C">
        <w:rPr>
          <w:szCs w:val="24"/>
        </w:rPr>
        <w:t> </w:t>
      </w:r>
      <w:r w:rsidR="00944149" w:rsidRPr="00446A3C">
        <w:rPr>
          <w:szCs w:val="24"/>
        </w:rPr>
        <w:t>Procureur général du Canada, Ottawa.</w:t>
      </w:r>
    </w:p>
    <w:p w:rsidR="0043088E" w:rsidRDefault="00944149" w:rsidP="00D36FE5">
      <w:pPr>
        <w:pStyle w:val="SCCLawFirm"/>
        <w:rPr>
          <w:b/>
          <w:i w:val="0"/>
          <w:szCs w:val="24"/>
        </w:rPr>
      </w:pPr>
      <w:r w:rsidRPr="00446A3C">
        <w:rPr>
          <w:szCs w:val="24"/>
        </w:rPr>
        <w:tab/>
        <w:t xml:space="preserve">Procureurs de </w:t>
      </w:r>
      <w:r w:rsidR="00914964" w:rsidRPr="00446A3C">
        <w:rPr>
          <w:szCs w:val="24"/>
        </w:rPr>
        <w:t>l</w:t>
      </w:r>
      <w:r w:rsidR="00096C17">
        <w:rPr>
          <w:szCs w:val="24"/>
        </w:rPr>
        <w:t>’</w:t>
      </w:r>
      <w:r w:rsidR="00914964" w:rsidRPr="00446A3C">
        <w:rPr>
          <w:szCs w:val="24"/>
        </w:rPr>
        <w:t>intimé</w:t>
      </w:r>
      <w:r w:rsidR="00A448E1" w:rsidRPr="00446A3C">
        <w:rPr>
          <w:szCs w:val="24"/>
        </w:rPr>
        <w:t> :</w:t>
      </w:r>
      <w:r w:rsidR="00914964" w:rsidRPr="00446A3C">
        <w:rPr>
          <w:szCs w:val="24"/>
        </w:rPr>
        <w:t> </w:t>
      </w:r>
      <w:proofErr w:type="spellStart"/>
      <w:r w:rsidRPr="00446A3C">
        <w:rPr>
          <w:szCs w:val="24"/>
        </w:rPr>
        <w:t>Goodmans</w:t>
      </w:r>
      <w:proofErr w:type="spellEnd"/>
      <w:r w:rsidRPr="00446A3C">
        <w:rPr>
          <w:szCs w:val="24"/>
        </w:rPr>
        <w:t>, Toronto.</w:t>
      </w:r>
    </w:p>
    <w:p w:rsidR="00D36FE5" w:rsidRDefault="00D36FE5" w:rsidP="00D36FE5">
      <w:pPr>
        <w:pStyle w:val="SCCNormalDoubleSpacing"/>
      </w:pPr>
    </w:p>
    <w:p w:rsidR="00D36FE5" w:rsidRPr="00D36FE5" w:rsidRDefault="00D36FE5" w:rsidP="00D36FE5">
      <w:pPr>
        <w:pStyle w:val="SCCNormalDoubleSpacing"/>
      </w:pPr>
    </w:p>
    <w:sectPr w:rsidR="00D36FE5" w:rsidRPr="00D36FE5" w:rsidSect="0016192D">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2E" w:rsidRDefault="00FB302E">
      <w:r>
        <w:separator/>
      </w:r>
    </w:p>
  </w:endnote>
  <w:endnote w:type="continuationSeparator" w:id="0">
    <w:p w:rsidR="00FB302E" w:rsidRDefault="00FB3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2E" w:rsidRDefault="00FB302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2E" w:rsidRDefault="00FB302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2E" w:rsidRDefault="00FB302E">
      <w:r>
        <w:separator/>
      </w:r>
    </w:p>
  </w:footnote>
  <w:footnote w:type="continuationSeparator" w:id="0">
    <w:p w:rsidR="00FB302E" w:rsidRDefault="00FB3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2E" w:rsidRDefault="00FB302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1360"/>
      <w:docPartObj>
        <w:docPartGallery w:val="Page Numbers (Top of Page)"/>
        <w:docPartUnique/>
      </w:docPartObj>
    </w:sdtPr>
    <w:sdtContent>
      <w:p w:rsidR="00FB302E" w:rsidRDefault="00402C99">
        <w:pPr>
          <w:pStyle w:val="Header"/>
          <w:jc w:val="center"/>
        </w:pPr>
        <w:fldSimple w:instr=" PAGE   \* MERGEFORMAT ">
          <w:r w:rsidR="00437486">
            <w:rPr>
              <w:noProof/>
            </w:rPr>
            <w:t>- 2 -</w:t>
          </w:r>
        </w:fldSimple>
      </w:p>
    </w:sdtContent>
  </w:sdt>
  <w:p w:rsidR="00FB302E" w:rsidRDefault="00FB302E"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4A1BB7"/>
    <w:multiLevelType w:val="multilevel"/>
    <w:tmpl w:val="D3421F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510B9"/>
    <w:multiLevelType w:val="hybridMultilevel"/>
    <w:tmpl w:val="93CEBD6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4B2068"/>
    <w:multiLevelType w:val="hybridMultilevel"/>
    <w:tmpl w:val="5FE09284"/>
    <w:lvl w:ilvl="0" w:tplc="0F1637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4283EE8"/>
    <w:multiLevelType w:val="multilevel"/>
    <w:tmpl w:val="42D0B2A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1177E"/>
    <w:rsid w:val="00025198"/>
    <w:rsid w:val="00034555"/>
    <w:rsid w:val="00046AE3"/>
    <w:rsid w:val="00047C6E"/>
    <w:rsid w:val="00055A36"/>
    <w:rsid w:val="000578A3"/>
    <w:rsid w:val="00063F98"/>
    <w:rsid w:val="00064563"/>
    <w:rsid w:val="000648CC"/>
    <w:rsid w:val="0009308B"/>
    <w:rsid w:val="00094DE0"/>
    <w:rsid w:val="00096C17"/>
    <w:rsid w:val="000A5321"/>
    <w:rsid w:val="000A5BF3"/>
    <w:rsid w:val="000B03E1"/>
    <w:rsid w:val="000C59B8"/>
    <w:rsid w:val="000D184A"/>
    <w:rsid w:val="00107AEA"/>
    <w:rsid w:val="00111DE2"/>
    <w:rsid w:val="00112F5D"/>
    <w:rsid w:val="00116487"/>
    <w:rsid w:val="00116B38"/>
    <w:rsid w:val="00116F9A"/>
    <w:rsid w:val="00124518"/>
    <w:rsid w:val="00127626"/>
    <w:rsid w:val="0013109F"/>
    <w:rsid w:val="00135406"/>
    <w:rsid w:val="00135972"/>
    <w:rsid w:val="00140667"/>
    <w:rsid w:val="001426A9"/>
    <w:rsid w:val="00154D7C"/>
    <w:rsid w:val="00155E46"/>
    <w:rsid w:val="001570B0"/>
    <w:rsid w:val="0016192D"/>
    <w:rsid w:val="00162C22"/>
    <w:rsid w:val="00164F93"/>
    <w:rsid w:val="00170A65"/>
    <w:rsid w:val="00172A04"/>
    <w:rsid w:val="00172A83"/>
    <w:rsid w:val="00175A97"/>
    <w:rsid w:val="00185394"/>
    <w:rsid w:val="00185E8D"/>
    <w:rsid w:val="001861B7"/>
    <w:rsid w:val="00192447"/>
    <w:rsid w:val="00192448"/>
    <w:rsid w:val="00197281"/>
    <w:rsid w:val="001A451D"/>
    <w:rsid w:val="001B33E0"/>
    <w:rsid w:val="001B3AAD"/>
    <w:rsid w:val="001B4573"/>
    <w:rsid w:val="001C3425"/>
    <w:rsid w:val="001C3CDC"/>
    <w:rsid w:val="001C779F"/>
    <w:rsid w:val="001D2AC1"/>
    <w:rsid w:val="001F5E91"/>
    <w:rsid w:val="001F7673"/>
    <w:rsid w:val="00206678"/>
    <w:rsid w:val="0021578B"/>
    <w:rsid w:val="00220FC2"/>
    <w:rsid w:val="00224FC0"/>
    <w:rsid w:val="00225EA4"/>
    <w:rsid w:val="00226EAF"/>
    <w:rsid w:val="00231F3A"/>
    <w:rsid w:val="002406EE"/>
    <w:rsid w:val="00243AC3"/>
    <w:rsid w:val="00246EB9"/>
    <w:rsid w:val="002562A8"/>
    <w:rsid w:val="00272F2D"/>
    <w:rsid w:val="002745CC"/>
    <w:rsid w:val="002802D4"/>
    <w:rsid w:val="002C118E"/>
    <w:rsid w:val="002C1BC8"/>
    <w:rsid w:val="002D39A4"/>
    <w:rsid w:val="002E1578"/>
    <w:rsid w:val="002E6705"/>
    <w:rsid w:val="002E6B29"/>
    <w:rsid w:val="002E765F"/>
    <w:rsid w:val="002F696C"/>
    <w:rsid w:val="00300A57"/>
    <w:rsid w:val="0030258A"/>
    <w:rsid w:val="0030329A"/>
    <w:rsid w:val="003048B8"/>
    <w:rsid w:val="00307AFD"/>
    <w:rsid w:val="0031086F"/>
    <w:rsid w:val="00310E05"/>
    <w:rsid w:val="0031414C"/>
    <w:rsid w:val="00314E01"/>
    <w:rsid w:val="0032089D"/>
    <w:rsid w:val="00325C69"/>
    <w:rsid w:val="00327B7C"/>
    <w:rsid w:val="0033393C"/>
    <w:rsid w:val="0034770C"/>
    <w:rsid w:val="0035259D"/>
    <w:rsid w:val="00352EC6"/>
    <w:rsid w:val="00376AE5"/>
    <w:rsid w:val="00380243"/>
    <w:rsid w:val="003866EC"/>
    <w:rsid w:val="00386D71"/>
    <w:rsid w:val="00394476"/>
    <w:rsid w:val="003A4C70"/>
    <w:rsid w:val="003A4E15"/>
    <w:rsid w:val="003A5D9D"/>
    <w:rsid w:val="003A5F1F"/>
    <w:rsid w:val="003C799C"/>
    <w:rsid w:val="003D6021"/>
    <w:rsid w:val="003E1C71"/>
    <w:rsid w:val="003E3FF8"/>
    <w:rsid w:val="003F327B"/>
    <w:rsid w:val="003F437B"/>
    <w:rsid w:val="00402C99"/>
    <w:rsid w:val="004059A7"/>
    <w:rsid w:val="00406166"/>
    <w:rsid w:val="00411300"/>
    <w:rsid w:val="00421968"/>
    <w:rsid w:val="004238A8"/>
    <w:rsid w:val="00426659"/>
    <w:rsid w:val="0043088E"/>
    <w:rsid w:val="00437486"/>
    <w:rsid w:val="004439D8"/>
    <w:rsid w:val="00444125"/>
    <w:rsid w:val="00444B20"/>
    <w:rsid w:val="00446A3C"/>
    <w:rsid w:val="00447B63"/>
    <w:rsid w:val="00457554"/>
    <w:rsid w:val="00463CD4"/>
    <w:rsid w:val="00465132"/>
    <w:rsid w:val="00480C90"/>
    <w:rsid w:val="0048396F"/>
    <w:rsid w:val="00493C18"/>
    <w:rsid w:val="00494CDC"/>
    <w:rsid w:val="004A063D"/>
    <w:rsid w:val="004A1868"/>
    <w:rsid w:val="004A600C"/>
    <w:rsid w:val="004B0DF0"/>
    <w:rsid w:val="004C478D"/>
    <w:rsid w:val="004E6A2C"/>
    <w:rsid w:val="00521AE8"/>
    <w:rsid w:val="00527180"/>
    <w:rsid w:val="00536719"/>
    <w:rsid w:val="005526F8"/>
    <w:rsid w:val="00552801"/>
    <w:rsid w:val="00554AEB"/>
    <w:rsid w:val="005564A7"/>
    <w:rsid w:val="0056155F"/>
    <w:rsid w:val="0057466E"/>
    <w:rsid w:val="00583BBA"/>
    <w:rsid w:val="005A7621"/>
    <w:rsid w:val="005B2741"/>
    <w:rsid w:val="005C0CD4"/>
    <w:rsid w:val="005E4698"/>
    <w:rsid w:val="005F667B"/>
    <w:rsid w:val="005F744E"/>
    <w:rsid w:val="006131D9"/>
    <w:rsid w:val="00625C35"/>
    <w:rsid w:val="0063348A"/>
    <w:rsid w:val="00634E1B"/>
    <w:rsid w:val="006418F0"/>
    <w:rsid w:val="00645057"/>
    <w:rsid w:val="00654858"/>
    <w:rsid w:val="006565F4"/>
    <w:rsid w:val="006755D4"/>
    <w:rsid w:val="00681AD1"/>
    <w:rsid w:val="0068639C"/>
    <w:rsid w:val="00693623"/>
    <w:rsid w:val="006A4DB6"/>
    <w:rsid w:val="006A56F1"/>
    <w:rsid w:val="006B087B"/>
    <w:rsid w:val="006B3C02"/>
    <w:rsid w:val="006B508C"/>
    <w:rsid w:val="006B5FF5"/>
    <w:rsid w:val="006C5661"/>
    <w:rsid w:val="006C65FC"/>
    <w:rsid w:val="006D1BA6"/>
    <w:rsid w:val="006D4790"/>
    <w:rsid w:val="006E15D1"/>
    <w:rsid w:val="006E4396"/>
    <w:rsid w:val="006E51A2"/>
    <w:rsid w:val="006E55F6"/>
    <w:rsid w:val="006F5BC7"/>
    <w:rsid w:val="00701759"/>
    <w:rsid w:val="007028C4"/>
    <w:rsid w:val="00702C6F"/>
    <w:rsid w:val="00744B2B"/>
    <w:rsid w:val="00747288"/>
    <w:rsid w:val="00747DD3"/>
    <w:rsid w:val="007500BE"/>
    <w:rsid w:val="00752F4E"/>
    <w:rsid w:val="00753C85"/>
    <w:rsid w:val="007549C8"/>
    <w:rsid w:val="00757053"/>
    <w:rsid w:val="00762D30"/>
    <w:rsid w:val="00763377"/>
    <w:rsid w:val="00765173"/>
    <w:rsid w:val="00766D14"/>
    <w:rsid w:val="00767A0F"/>
    <w:rsid w:val="007750A8"/>
    <w:rsid w:val="00780FDA"/>
    <w:rsid w:val="007834A8"/>
    <w:rsid w:val="00787E61"/>
    <w:rsid w:val="007A05F6"/>
    <w:rsid w:val="007A48F4"/>
    <w:rsid w:val="007B6F4A"/>
    <w:rsid w:val="007E1C47"/>
    <w:rsid w:val="007E2D35"/>
    <w:rsid w:val="007E337A"/>
    <w:rsid w:val="007E438E"/>
    <w:rsid w:val="007E5C70"/>
    <w:rsid w:val="007F2155"/>
    <w:rsid w:val="007F2FF5"/>
    <w:rsid w:val="00800592"/>
    <w:rsid w:val="00817015"/>
    <w:rsid w:val="00817190"/>
    <w:rsid w:val="00824939"/>
    <w:rsid w:val="00830206"/>
    <w:rsid w:val="008322BD"/>
    <w:rsid w:val="008451A7"/>
    <w:rsid w:val="008537DA"/>
    <w:rsid w:val="00853F11"/>
    <w:rsid w:val="00855307"/>
    <w:rsid w:val="0086236E"/>
    <w:rsid w:val="00862CF3"/>
    <w:rsid w:val="00864CF8"/>
    <w:rsid w:val="00874914"/>
    <w:rsid w:val="00877087"/>
    <w:rsid w:val="00892E1A"/>
    <w:rsid w:val="008958F5"/>
    <w:rsid w:val="008A0091"/>
    <w:rsid w:val="008A6558"/>
    <w:rsid w:val="008A727C"/>
    <w:rsid w:val="008B28DA"/>
    <w:rsid w:val="008B5243"/>
    <w:rsid w:val="008C01DA"/>
    <w:rsid w:val="008C0EF2"/>
    <w:rsid w:val="008D12A4"/>
    <w:rsid w:val="008D1D6C"/>
    <w:rsid w:val="008D2CF6"/>
    <w:rsid w:val="008E1090"/>
    <w:rsid w:val="008E6288"/>
    <w:rsid w:val="008F16D9"/>
    <w:rsid w:val="008F236B"/>
    <w:rsid w:val="008F487E"/>
    <w:rsid w:val="008F78E9"/>
    <w:rsid w:val="00901038"/>
    <w:rsid w:val="00902462"/>
    <w:rsid w:val="00914964"/>
    <w:rsid w:val="00916544"/>
    <w:rsid w:val="009403F3"/>
    <w:rsid w:val="00941AB0"/>
    <w:rsid w:val="00944149"/>
    <w:rsid w:val="00952FC1"/>
    <w:rsid w:val="00957FA2"/>
    <w:rsid w:val="009605FD"/>
    <w:rsid w:val="00966913"/>
    <w:rsid w:val="00967374"/>
    <w:rsid w:val="0097543E"/>
    <w:rsid w:val="00980D5E"/>
    <w:rsid w:val="00983F3F"/>
    <w:rsid w:val="00985C69"/>
    <w:rsid w:val="0099079B"/>
    <w:rsid w:val="009B2F23"/>
    <w:rsid w:val="009B53E2"/>
    <w:rsid w:val="009B57B3"/>
    <w:rsid w:val="009C62FF"/>
    <w:rsid w:val="009C651C"/>
    <w:rsid w:val="009D5AEB"/>
    <w:rsid w:val="009E6646"/>
    <w:rsid w:val="009F383F"/>
    <w:rsid w:val="009F5A00"/>
    <w:rsid w:val="00A01F9E"/>
    <w:rsid w:val="00A03A54"/>
    <w:rsid w:val="00A05F0E"/>
    <w:rsid w:val="00A21107"/>
    <w:rsid w:val="00A21B90"/>
    <w:rsid w:val="00A2213F"/>
    <w:rsid w:val="00A24E15"/>
    <w:rsid w:val="00A36F50"/>
    <w:rsid w:val="00A448E1"/>
    <w:rsid w:val="00A548CB"/>
    <w:rsid w:val="00A6242E"/>
    <w:rsid w:val="00A643E7"/>
    <w:rsid w:val="00A72874"/>
    <w:rsid w:val="00A73C38"/>
    <w:rsid w:val="00AA1866"/>
    <w:rsid w:val="00AB2857"/>
    <w:rsid w:val="00AB5E25"/>
    <w:rsid w:val="00AC233B"/>
    <w:rsid w:val="00AC6322"/>
    <w:rsid w:val="00AC7437"/>
    <w:rsid w:val="00AC7A44"/>
    <w:rsid w:val="00AE6FB9"/>
    <w:rsid w:val="00AF03C5"/>
    <w:rsid w:val="00B000D8"/>
    <w:rsid w:val="00B00F75"/>
    <w:rsid w:val="00B07B67"/>
    <w:rsid w:val="00B145B6"/>
    <w:rsid w:val="00B21BF2"/>
    <w:rsid w:val="00B27897"/>
    <w:rsid w:val="00B307AC"/>
    <w:rsid w:val="00B50C81"/>
    <w:rsid w:val="00B53608"/>
    <w:rsid w:val="00B5456A"/>
    <w:rsid w:val="00B557F8"/>
    <w:rsid w:val="00B638CA"/>
    <w:rsid w:val="00B64972"/>
    <w:rsid w:val="00B66DD8"/>
    <w:rsid w:val="00B8145D"/>
    <w:rsid w:val="00B815FC"/>
    <w:rsid w:val="00B93FBC"/>
    <w:rsid w:val="00BA4D4A"/>
    <w:rsid w:val="00BC7967"/>
    <w:rsid w:val="00BD683F"/>
    <w:rsid w:val="00BD79A1"/>
    <w:rsid w:val="00C02092"/>
    <w:rsid w:val="00C057F7"/>
    <w:rsid w:val="00C0663B"/>
    <w:rsid w:val="00C22206"/>
    <w:rsid w:val="00C24C8C"/>
    <w:rsid w:val="00C24D91"/>
    <w:rsid w:val="00C2522B"/>
    <w:rsid w:val="00C52195"/>
    <w:rsid w:val="00C52532"/>
    <w:rsid w:val="00C53F14"/>
    <w:rsid w:val="00C55C2E"/>
    <w:rsid w:val="00C600CF"/>
    <w:rsid w:val="00C6084F"/>
    <w:rsid w:val="00C62A66"/>
    <w:rsid w:val="00C62A6F"/>
    <w:rsid w:val="00C67CA5"/>
    <w:rsid w:val="00C71458"/>
    <w:rsid w:val="00C71F58"/>
    <w:rsid w:val="00C7346A"/>
    <w:rsid w:val="00C77613"/>
    <w:rsid w:val="00C828E7"/>
    <w:rsid w:val="00C83165"/>
    <w:rsid w:val="00C921DD"/>
    <w:rsid w:val="00C93CB9"/>
    <w:rsid w:val="00CA0839"/>
    <w:rsid w:val="00CA362B"/>
    <w:rsid w:val="00CA4D82"/>
    <w:rsid w:val="00CA6391"/>
    <w:rsid w:val="00CC0EAF"/>
    <w:rsid w:val="00CC1EB9"/>
    <w:rsid w:val="00CC2169"/>
    <w:rsid w:val="00CE3171"/>
    <w:rsid w:val="00CF1601"/>
    <w:rsid w:val="00CF23D4"/>
    <w:rsid w:val="00CF2761"/>
    <w:rsid w:val="00D108A8"/>
    <w:rsid w:val="00D11EE0"/>
    <w:rsid w:val="00D20167"/>
    <w:rsid w:val="00D214B1"/>
    <w:rsid w:val="00D214E8"/>
    <w:rsid w:val="00D30DE2"/>
    <w:rsid w:val="00D32086"/>
    <w:rsid w:val="00D36FE5"/>
    <w:rsid w:val="00D37A3F"/>
    <w:rsid w:val="00D45FCF"/>
    <w:rsid w:val="00D4667A"/>
    <w:rsid w:val="00D510BB"/>
    <w:rsid w:val="00D5435D"/>
    <w:rsid w:val="00D60A7B"/>
    <w:rsid w:val="00D70B8A"/>
    <w:rsid w:val="00D7412F"/>
    <w:rsid w:val="00D74F2E"/>
    <w:rsid w:val="00D83277"/>
    <w:rsid w:val="00DA0590"/>
    <w:rsid w:val="00DC1788"/>
    <w:rsid w:val="00DC3E45"/>
    <w:rsid w:val="00DE7669"/>
    <w:rsid w:val="00DF08B6"/>
    <w:rsid w:val="00DF0CA8"/>
    <w:rsid w:val="00DF49A7"/>
    <w:rsid w:val="00DF6E42"/>
    <w:rsid w:val="00E01106"/>
    <w:rsid w:val="00E07EE2"/>
    <w:rsid w:val="00E24573"/>
    <w:rsid w:val="00E308C3"/>
    <w:rsid w:val="00E36AD9"/>
    <w:rsid w:val="00E377A1"/>
    <w:rsid w:val="00E41187"/>
    <w:rsid w:val="00E45109"/>
    <w:rsid w:val="00E5306F"/>
    <w:rsid w:val="00E54B02"/>
    <w:rsid w:val="00E576B4"/>
    <w:rsid w:val="00E7246F"/>
    <w:rsid w:val="00E80253"/>
    <w:rsid w:val="00E916BD"/>
    <w:rsid w:val="00E97830"/>
    <w:rsid w:val="00EA03E5"/>
    <w:rsid w:val="00EA25E1"/>
    <w:rsid w:val="00EB25A6"/>
    <w:rsid w:val="00EB7FBA"/>
    <w:rsid w:val="00EC4E54"/>
    <w:rsid w:val="00ED51CF"/>
    <w:rsid w:val="00EE0FAF"/>
    <w:rsid w:val="00EE3376"/>
    <w:rsid w:val="00F00EB7"/>
    <w:rsid w:val="00F21368"/>
    <w:rsid w:val="00F2258E"/>
    <w:rsid w:val="00F33658"/>
    <w:rsid w:val="00F36AB6"/>
    <w:rsid w:val="00F409CE"/>
    <w:rsid w:val="00F61CA0"/>
    <w:rsid w:val="00F84DF4"/>
    <w:rsid w:val="00F853FB"/>
    <w:rsid w:val="00F85C97"/>
    <w:rsid w:val="00FA2FE1"/>
    <w:rsid w:val="00FB302E"/>
    <w:rsid w:val="00FC1CCA"/>
    <w:rsid w:val="00FC606D"/>
    <w:rsid w:val="00FD068D"/>
    <w:rsid w:val="00FD12FD"/>
    <w:rsid w:val="00FD4F28"/>
    <w:rsid w:val="00FE1257"/>
    <w:rsid w:val="00FE4B4D"/>
    <w:rsid w:val="00FE6784"/>
    <w:rsid w:val="00FE7516"/>
    <w:rsid w:val="00FF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uiPriority w:val="99"/>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DC3E4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63F98"/>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063F98"/>
    <w:rPr>
      <w:rFonts w:eastAsiaTheme="minorHAnsi" w:cstheme="minorBidi"/>
      <w:sz w:val="24"/>
      <w:szCs w:val="22"/>
      <w:lang w:eastAsia="en-US"/>
    </w:rPr>
  </w:style>
  <w:style w:type="character" w:customStyle="1" w:styleId="SCCBanSummaryChar">
    <w:name w:val="SCC.BanSummary Char"/>
    <w:basedOn w:val="DefaultParagraphFont"/>
    <w:link w:val="SCCBanSummary"/>
    <w:rsid w:val="00063F98"/>
    <w:rPr>
      <w:b/>
      <w:sz w:val="24"/>
      <w:lang w:val="fr-CA"/>
    </w:rPr>
  </w:style>
  <w:style w:type="table" w:styleId="TableGrid">
    <w:name w:val="Table Grid"/>
    <w:basedOn w:val="TableNormal"/>
    <w:uiPriority w:val="59"/>
    <w:rsid w:val="00063F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63F9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63F9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63F98"/>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63F98"/>
    <w:pPr>
      <w:keepNext/>
      <w:tabs>
        <w:tab w:val="left" w:pos="360"/>
      </w:tabs>
      <w:spacing w:after="720"/>
      <w:ind w:left="357" w:hanging="357"/>
      <w:jc w:val="both"/>
    </w:pPr>
    <w:rPr>
      <w:rFonts w:eastAsiaTheme="minorHAnsi" w:cstheme="minorBidi"/>
      <w:sz w:val="24"/>
      <w:szCs w:val="22"/>
      <w:lang w:eastAsia="en-US"/>
    </w:rPr>
  </w:style>
  <w:style w:type="character" w:customStyle="1" w:styleId="reflex2-link">
    <w:name w:val="reflex2-link"/>
    <w:basedOn w:val="DefaultParagraphFont"/>
    <w:rsid w:val="00063F98"/>
  </w:style>
  <w:style w:type="paragraph" w:customStyle="1" w:styleId="subparagraph">
    <w:name w:val="subparagraph"/>
    <w:basedOn w:val="Normal"/>
    <w:rsid w:val="00063F98"/>
    <w:pPr>
      <w:spacing w:before="168" w:after="120"/>
      <w:ind w:left="720"/>
    </w:pPr>
    <w:rPr>
      <w:szCs w:val="24"/>
      <w:lang w:val="en-US" w:eastAsia="en-US"/>
    </w:rPr>
  </w:style>
  <w:style w:type="paragraph" w:styleId="ListParagraph">
    <w:name w:val="List Paragraph"/>
    <w:basedOn w:val="Normal"/>
    <w:uiPriority w:val="34"/>
    <w:rsid w:val="00063F98"/>
    <w:pPr>
      <w:ind w:left="720"/>
      <w:contextualSpacing/>
    </w:pPr>
    <w:rPr>
      <w:lang w:val="en-CA"/>
    </w:rPr>
  </w:style>
  <w:style w:type="table" w:customStyle="1" w:styleId="TableGrid1">
    <w:name w:val="Table Grid1"/>
    <w:basedOn w:val="TableNormal"/>
    <w:next w:val="TableGrid"/>
    <w:uiPriority w:val="59"/>
    <w:rsid w:val="0043748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6937</Words>
  <Characters>36232</Characters>
  <Application>Microsoft Office Word</Application>
  <DocSecurity>0</DocSecurity>
  <Lines>301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2012-08-02T12:52:00Z</dcterms:created>
  <dcterms:modified xsi:type="dcterms:W3CDTF">2013-04-08T21:00:00Z</dcterms:modified>
</cp:coreProperties>
</file>