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C87" w:rsidRPr="00363F63" w:rsidRDefault="00844C87" w:rsidP="00844C87">
      <w:pPr>
        <w:tabs>
          <w:tab w:val="center" w:pos="4680"/>
          <w:tab w:val="right" w:pos="9360"/>
        </w:tabs>
        <w:jc w:val="center"/>
        <w:rPr>
          <w:rFonts w:eastAsiaTheme="minorHAnsi" w:cstheme="minorBidi"/>
          <w:color w:val="000000" w:themeColor="text1"/>
          <w:szCs w:val="24"/>
          <w:lang w:eastAsia="en-US"/>
        </w:rPr>
      </w:pPr>
      <w:r w:rsidRPr="00363F63">
        <w:rPr>
          <w:rFonts w:eastAsiaTheme="minorHAnsi" w:cstheme="minorBidi"/>
          <w:color w:val="000000" w:themeColor="text1"/>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64.8pt" o:ole="">
            <v:imagedata r:id="rId7" o:title=""/>
          </v:shape>
          <o:OLEObject Type="Embed" ProgID="Presentations.Drawing.13" ShapeID="_x0000_i1025" DrawAspect="Content" ObjectID="_1426945796" r:id="rId8"/>
        </w:object>
      </w:r>
    </w:p>
    <w:p w:rsidR="00844C87" w:rsidRPr="00363F63" w:rsidRDefault="00844C87" w:rsidP="00844C87">
      <w:pPr>
        <w:tabs>
          <w:tab w:val="center" w:pos="4680"/>
          <w:tab w:val="right" w:pos="9360"/>
        </w:tabs>
        <w:rPr>
          <w:rFonts w:eastAsiaTheme="minorHAnsi" w:cstheme="minorBidi"/>
          <w:color w:val="000000" w:themeColor="text1"/>
          <w:szCs w:val="24"/>
          <w:lang w:eastAsia="en-US"/>
        </w:rPr>
      </w:pPr>
    </w:p>
    <w:p w:rsidR="00844C87" w:rsidRPr="00363F63" w:rsidRDefault="00844C87" w:rsidP="00844C87">
      <w:pPr>
        <w:jc w:val="center"/>
        <w:rPr>
          <w:rFonts w:eastAsiaTheme="minorHAnsi" w:cstheme="minorBidi"/>
          <w:b/>
          <w:color w:val="000000" w:themeColor="text1"/>
          <w:szCs w:val="24"/>
          <w:lang w:eastAsia="en-US"/>
        </w:rPr>
      </w:pPr>
      <w:r w:rsidRPr="00363F63">
        <w:rPr>
          <w:rFonts w:eastAsiaTheme="minorHAnsi" w:cstheme="minorBidi"/>
          <w:b/>
          <w:color w:val="000000" w:themeColor="text1"/>
          <w:szCs w:val="24"/>
          <w:lang w:eastAsia="en-US"/>
        </w:rPr>
        <w:t>COUR SUPRÊME DU CANADA</w:t>
      </w:r>
    </w:p>
    <w:p w:rsidR="00844C87" w:rsidRPr="00363F63" w:rsidRDefault="00844C87" w:rsidP="00844C87">
      <w:pPr>
        <w:rPr>
          <w:rFonts w:eastAsiaTheme="minorHAnsi" w:cstheme="minorBidi"/>
          <w:color w:val="000000" w:themeColor="text1"/>
          <w:szCs w:val="24"/>
          <w:lang w:eastAsia="en-US"/>
        </w:rPr>
      </w:pPr>
    </w:p>
    <w:tbl>
      <w:tblPr>
        <w:tblStyle w:val="TableGrid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844C87" w:rsidRPr="00363F63" w:rsidTr="002F6440">
        <w:trPr>
          <w:cantSplit/>
        </w:trPr>
        <w:tc>
          <w:tcPr>
            <w:tcW w:w="6768" w:type="dxa"/>
          </w:tcPr>
          <w:p w:rsidR="00844C87" w:rsidRPr="00363F63" w:rsidRDefault="00844C87" w:rsidP="002F6440">
            <w:pPr>
              <w:rPr>
                <w:color w:val="000000" w:themeColor="text1"/>
              </w:rPr>
            </w:pPr>
            <w:r w:rsidRPr="00363F63">
              <w:rPr>
                <w:b/>
                <w:smallCaps/>
                <w:color w:val="000000" w:themeColor="text1"/>
              </w:rPr>
              <w:t>Référence :</w:t>
            </w:r>
            <w:r w:rsidRPr="00363F63">
              <w:rPr>
                <w:color w:val="000000" w:themeColor="text1"/>
              </w:rPr>
              <w:t xml:space="preserve"> R. </w:t>
            </w:r>
            <w:r w:rsidRPr="00363F63">
              <w:rPr>
                <w:i/>
                <w:color w:val="000000" w:themeColor="text1"/>
              </w:rPr>
              <w:t>c.</w:t>
            </w:r>
            <w:r w:rsidRPr="00363F63">
              <w:rPr>
                <w:color w:val="000000" w:themeColor="text1"/>
              </w:rPr>
              <w:t xml:space="preserve"> D.C., </w:t>
            </w:r>
            <w:r>
              <w:t>2012 CSC 48, [2012] 2 R.C.S. 626</w:t>
            </w:r>
          </w:p>
        </w:tc>
        <w:tc>
          <w:tcPr>
            <w:tcW w:w="2808" w:type="dxa"/>
          </w:tcPr>
          <w:p w:rsidR="00844C87" w:rsidRPr="00363F63" w:rsidRDefault="00844C87" w:rsidP="002F6440">
            <w:pPr>
              <w:rPr>
                <w:color w:val="000000" w:themeColor="text1"/>
              </w:rPr>
            </w:pPr>
            <w:r w:rsidRPr="00363F63">
              <w:rPr>
                <w:b/>
                <w:smallCaps/>
                <w:color w:val="000000" w:themeColor="text1"/>
              </w:rPr>
              <w:t>Date :</w:t>
            </w:r>
            <w:r w:rsidRPr="00363F63">
              <w:rPr>
                <w:color w:val="000000" w:themeColor="text1"/>
              </w:rPr>
              <w:t xml:space="preserve"> 20121005</w:t>
            </w:r>
          </w:p>
          <w:p w:rsidR="00844C87" w:rsidRPr="00363F63" w:rsidRDefault="00844C87" w:rsidP="002F6440">
            <w:pPr>
              <w:rPr>
                <w:color w:val="000000" w:themeColor="text1"/>
              </w:rPr>
            </w:pPr>
            <w:r w:rsidRPr="00363F63">
              <w:rPr>
                <w:b/>
                <w:smallCaps/>
                <w:color w:val="000000" w:themeColor="text1"/>
              </w:rPr>
              <w:t>Dossier :</w:t>
            </w:r>
            <w:r w:rsidRPr="00363F63">
              <w:rPr>
                <w:color w:val="000000" w:themeColor="text1"/>
              </w:rPr>
              <w:t xml:space="preserve"> 34094</w:t>
            </w:r>
          </w:p>
        </w:tc>
      </w:tr>
    </w:tbl>
    <w:p w:rsidR="00844C87" w:rsidRPr="00363F63" w:rsidRDefault="00844C87" w:rsidP="00844C87">
      <w:pPr>
        <w:rPr>
          <w:rFonts w:eastAsiaTheme="minorHAnsi" w:cstheme="minorBidi"/>
          <w:color w:val="000000" w:themeColor="text1"/>
          <w:szCs w:val="24"/>
          <w:lang w:eastAsia="en-US"/>
        </w:rPr>
      </w:pPr>
    </w:p>
    <w:p w:rsidR="00844C87" w:rsidRPr="00363F63" w:rsidRDefault="00844C87" w:rsidP="00844C87">
      <w:pPr>
        <w:rPr>
          <w:rFonts w:eastAsiaTheme="minorHAnsi" w:cstheme="minorBidi"/>
          <w:b/>
          <w:smallCaps/>
          <w:color w:val="000000" w:themeColor="text1"/>
          <w:szCs w:val="24"/>
          <w:lang w:eastAsia="en-US"/>
        </w:rPr>
      </w:pPr>
      <w:r w:rsidRPr="00363F63">
        <w:rPr>
          <w:rFonts w:eastAsiaTheme="minorHAnsi" w:cstheme="minorBidi"/>
          <w:b/>
          <w:smallCaps/>
          <w:color w:val="000000" w:themeColor="text1"/>
          <w:szCs w:val="24"/>
          <w:lang w:eastAsia="en-US"/>
        </w:rPr>
        <w:t>Entre :</w:t>
      </w:r>
    </w:p>
    <w:p w:rsidR="00844C87" w:rsidRPr="00363F63" w:rsidRDefault="00844C87" w:rsidP="00844C87">
      <w:pPr>
        <w:jc w:val="center"/>
        <w:rPr>
          <w:rFonts w:eastAsiaTheme="minorHAnsi" w:cstheme="minorBidi"/>
          <w:b/>
          <w:color w:val="000000" w:themeColor="text1"/>
          <w:szCs w:val="24"/>
          <w:lang w:eastAsia="en-US"/>
        </w:rPr>
      </w:pPr>
      <w:r w:rsidRPr="00363F63">
        <w:rPr>
          <w:rFonts w:eastAsiaTheme="minorHAnsi" w:cstheme="minorBidi"/>
          <w:b/>
          <w:color w:val="000000" w:themeColor="text1"/>
          <w:szCs w:val="24"/>
          <w:lang w:eastAsia="en-US"/>
        </w:rPr>
        <w:t>Sa Majesté la Reine</w:t>
      </w:r>
    </w:p>
    <w:p w:rsidR="00844C87" w:rsidRPr="00363F63" w:rsidRDefault="00844C87" w:rsidP="00844C87">
      <w:pPr>
        <w:jc w:val="center"/>
        <w:rPr>
          <w:rFonts w:eastAsiaTheme="minorHAnsi" w:cstheme="minorBidi"/>
          <w:color w:val="000000" w:themeColor="text1"/>
          <w:szCs w:val="24"/>
          <w:lang w:eastAsia="en-US"/>
        </w:rPr>
      </w:pPr>
      <w:r w:rsidRPr="00363F63">
        <w:rPr>
          <w:rFonts w:eastAsiaTheme="minorHAnsi" w:cstheme="minorBidi"/>
          <w:color w:val="000000" w:themeColor="text1"/>
          <w:szCs w:val="24"/>
          <w:lang w:eastAsia="en-US"/>
        </w:rPr>
        <w:t>Appelante</w:t>
      </w:r>
    </w:p>
    <w:p w:rsidR="00844C87" w:rsidRPr="00363F63" w:rsidRDefault="00844C87" w:rsidP="00844C87">
      <w:pPr>
        <w:jc w:val="center"/>
        <w:rPr>
          <w:rFonts w:eastAsiaTheme="minorHAnsi" w:cstheme="minorBidi"/>
          <w:color w:val="000000" w:themeColor="text1"/>
          <w:szCs w:val="24"/>
          <w:lang w:eastAsia="en-US"/>
        </w:rPr>
      </w:pPr>
      <w:proofErr w:type="gramStart"/>
      <w:r w:rsidRPr="00363F63">
        <w:rPr>
          <w:rFonts w:eastAsiaTheme="minorHAnsi" w:cstheme="minorBidi"/>
          <w:color w:val="000000" w:themeColor="text1"/>
          <w:szCs w:val="24"/>
          <w:lang w:eastAsia="en-US"/>
        </w:rPr>
        <w:t>et</w:t>
      </w:r>
      <w:proofErr w:type="gramEnd"/>
    </w:p>
    <w:p w:rsidR="00844C87" w:rsidRPr="00363F63" w:rsidRDefault="00844C87" w:rsidP="00844C87">
      <w:pPr>
        <w:jc w:val="center"/>
        <w:rPr>
          <w:rFonts w:eastAsiaTheme="minorHAnsi" w:cstheme="minorBidi"/>
          <w:b/>
          <w:color w:val="000000" w:themeColor="text1"/>
          <w:szCs w:val="24"/>
          <w:lang w:eastAsia="en-US"/>
        </w:rPr>
      </w:pPr>
      <w:r w:rsidRPr="00363F63">
        <w:rPr>
          <w:rFonts w:eastAsiaTheme="minorHAnsi" w:cstheme="minorBidi"/>
          <w:b/>
          <w:color w:val="000000" w:themeColor="text1"/>
          <w:szCs w:val="24"/>
          <w:lang w:eastAsia="en-US"/>
        </w:rPr>
        <w:t>D.C.</w:t>
      </w:r>
    </w:p>
    <w:p w:rsidR="00844C87" w:rsidRPr="00363F63" w:rsidRDefault="00844C87" w:rsidP="00844C87">
      <w:pPr>
        <w:jc w:val="center"/>
        <w:rPr>
          <w:rFonts w:eastAsiaTheme="minorHAnsi" w:cstheme="minorBidi"/>
          <w:color w:val="000000" w:themeColor="text1"/>
          <w:szCs w:val="24"/>
          <w:lang w:eastAsia="en-US"/>
        </w:rPr>
      </w:pPr>
      <w:r w:rsidRPr="00363F63">
        <w:rPr>
          <w:rFonts w:eastAsiaTheme="minorHAnsi" w:cstheme="minorBidi"/>
          <w:color w:val="000000" w:themeColor="text1"/>
          <w:szCs w:val="24"/>
          <w:lang w:eastAsia="en-US"/>
        </w:rPr>
        <w:t>Intimée</w:t>
      </w:r>
    </w:p>
    <w:p w:rsidR="00844C87" w:rsidRPr="00363F63" w:rsidRDefault="00844C87" w:rsidP="00844C87">
      <w:pPr>
        <w:jc w:val="center"/>
        <w:rPr>
          <w:rFonts w:eastAsiaTheme="minorHAnsi" w:cstheme="minorBidi"/>
          <w:color w:val="000000" w:themeColor="text1"/>
          <w:szCs w:val="24"/>
          <w:lang w:eastAsia="en-US"/>
        </w:rPr>
      </w:pPr>
      <w:r w:rsidRPr="00363F63">
        <w:rPr>
          <w:rFonts w:eastAsiaTheme="minorHAnsi" w:cstheme="minorBidi"/>
          <w:color w:val="000000" w:themeColor="text1"/>
          <w:szCs w:val="24"/>
          <w:lang w:eastAsia="en-US"/>
        </w:rPr>
        <w:t>- et -</w:t>
      </w:r>
    </w:p>
    <w:p w:rsidR="00844C87" w:rsidRPr="00363F63" w:rsidRDefault="00844C87" w:rsidP="00844C87">
      <w:pPr>
        <w:jc w:val="center"/>
        <w:rPr>
          <w:rFonts w:eastAsiaTheme="minorHAnsi" w:cstheme="minorBidi"/>
          <w:b/>
          <w:color w:val="000000" w:themeColor="text1"/>
          <w:szCs w:val="24"/>
          <w:lang w:eastAsia="en-US"/>
        </w:rPr>
      </w:pPr>
      <w:r w:rsidRPr="00363F63">
        <w:rPr>
          <w:rFonts w:eastAsiaTheme="minorHAnsi" w:cstheme="minorBidi"/>
          <w:b/>
          <w:color w:val="000000" w:themeColor="text1"/>
          <w:szCs w:val="24"/>
          <w:lang w:eastAsia="en-US"/>
        </w:rPr>
        <w:t xml:space="preserve">Procureur général de l’Alberta, Réseau juridique canadien VIH/sida, HIV &amp; AIDS </w:t>
      </w:r>
      <w:proofErr w:type="spellStart"/>
      <w:r w:rsidRPr="00363F63">
        <w:rPr>
          <w:rFonts w:eastAsiaTheme="minorHAnsi" w:cstheme="minorBidi"/>
          <w:b/>
          <w:color w:val="000000" w:themeColor="text1"/>
          <w:szCs w:val="24"/>
          <w:lang w:eastAsia="en-US"/>
        </w:rPr>
        <w:t>Legal</w:t>
      </w:r>
      <w:proofErr w:type="spellEnd"/>
      <w:r w:rsidRPr="00363F63">
        <w:rPr>
          <w:rFonts w:eastAsiaTheme="minorHAnsi" w:cstheme="minorBidi"/>
          <w:b/>
          <w:color w:val="000000" w:themeColor="text1"/>
          <w:szCs w:val="24"/>
          <w:lang w:eastAsia="en-US"/>
        </w:rPr>
        <w:t xml:space="preserve"> </w:t>
      </w:r>
      <w:proofErr w:type="spellStart"/>
      <w:r w:rsidRPr="00363F63">
        <w:rPr>
          <w:rFonts w:eastAsiaTheme="minorHAnsi" w:cstheme="minorBidi"/>
          <w:b/>
          <w:color w:val="000000" w:themeColor="text1"/>
          <w:szCs w:val="24"/>
          <w:lang w:eastAsia="en-US"/>
        </w:rPr>
        <w:t>Clinic</w:t>
      </w:r>
      <w:proofErr w:type="spellEnd"/>
      <w:r w:rsidRPr="00363F63">
        <w:rPr>
          <w:rFonts w:eastAsiaTheme="minorHAnsi" w:cstheme="minorBidi"/>
          <w:b/>
          <w:color w:val="000000" w:themeColor="text1"/>
          <w:szCs w:val="24"/>
          <w:lang w:eastAsia="en-US"/>
        </w:rPr>
        <w:t xml:space="preserve"> Ontario, Coalition des organismes communautaires québécois de lutte contre le sida, Positive Living Society of British Columbia, Société canadienne du sida, Toronto People </w:t>
      </w:r>
      <w:proofErr w:type="spellStart"/>
      <w:r w:rsidRPr="00363F63">
        <w:rPr>
          <w:rFonts w:eastAsiaTheme="minorHAnsi" w:cstheme="minorBidi"/>
          <w:b/>
          <w:color w:val="000000" w:themeColor="text1"/>
          <w:szCs w:val="24"/>
          <w:lang w:eastAsia="en-US"/>
        </w:rPr>
        <w:t>With</w:t>
      </w:r>
      <w:proofErr w:type="spellEnd"/>
      <w:r w:rsidRPr="00363F63">
        <w:rPr>
          <w:rFonts w:eastAsiaTheme="minorHAnsi" w:cstheme="minorBidi"/>
          <w:b/>
          <w:color w:val="000000" w:themeColor="text1"/>
          <w:szCs w:val="24"/>
          <w:lang w:eastAsia="en-US"/>
        </w:rPr>
        <w:t xml:space="preserve"> AIDS </w:t>
      </w:r>
      <w:proofErr w:type="spellStart"/>
      <w:r w:rsidRPr="00363F63">
        <w:rPr>
          <w:rFonts w:eastAsiaTheme="minorHAnsi" w:cstheme="minorBidi"/>
          <w:b/>
          <w:color w:val="000000" w:themeColor="text1"/>
          <w:szCs w:val="24"/>
          <w:lang w:eastAsia="en-US"/>
        </w:rPr>
        <w:t>Foundation</w:t>
      </w:r>
      <w:proofErr w:type="spellEnd"/>
      <w:r w:rsidRPr="00363F63">
        <w:rPr>
          <w:rFonts w:eastAsiaTheme="minorHAnsi" w:cstheme="minorBidi"/>
          <w:b/>
          <w:color w:val="000000" w:themeColor="text1"/>
          <w:szCs w:val="24"/>
          <w:lang w:eastAsia="en-US"/>
        </w:rPr>
        <w:t xml:space="preserve">, Black Coalition for AIDS </w:t>
      </w:r>
      <w:proofErr w:type="spellStart"/>
      <w:r w:rsidRPr="00363F63">
        <w:rPr>
          <w:rFonts w:eastAsiaTheme="minorHAnsi" w:cstheme="minorBidi"/>
          <w:b/>
          <w:color w:val="000000" w:themeColor="text1"/>
          <w:szCs w:val="24"/>
          <w:lang w:eastAsia="en-US"/>
        </w:rPr>
        <w:t>Prevention</w:t>
      </w:r>
      <w:proofErr w:type="spellEnd"/>
      <w:r w:rsidRPr="00363F63">
        <w:rPr>
          <w:rFonts w:eastAsiaTheme="minorHAnsi" w:cstheme="minorBidi"/>
          <w:b/>
          <w:color w:val="000000" w:themeColor="text1"/>
          <w:szCs w:val="24"/>
          <w:lang w:eastAsia="en-US"/>
        </w:rPr>
        <w:t xml:space="preserve">, Réseau canadien autochtone du sida, </w:t>
      </w:r>
      <w:proofErr w:type="spellStart"/>
      <w:r w:rsidRPr="00363F63">
        <w:rPr>
          <w:rFonts w:eastAsiaTheme="minorHAnsi" w:cstheme="minorBidi"/>
          <w:b/>
          <w:color w:val="000000" w:themeColor="text1"/>
          <w:szCs w:val="24"/>
          <w:lang w:eastAsia="en-US"/>
        </w:rPr>
        <w:t>Criminal</w:t>
      </w:r>
      <w:proofErr w:type="spellEnd"/>
      <w:r w:rsidRPr="00363F63">
        <w:rPr>
          <w:rFonts w:eastAsiaTheme="minorHAnsi" w:cstheme="minorBidi"/>
          <w:b/>
          <w:color w:val="000000" w:themeColor="text1"/>
          <w:szCs w:val="24"/>
          <w:lang w:eastAsia="en-US"/>
        </w:rPr>
        <w:t xml:space="preserve"> </w:t>
      </w:r>
      <w:proofErr w:type="spellStart"/>
      <w:r w:rsidRPr="00363F63">
        <w:rPr>
          <w:rFonts w:eastAsiaTheme="minorHAnsi" w:cstheme="minorBidi"/>
          <w:b/>
          <w:color w:val="000000" w:themeColor="text1"/>
          <w:szCs w:val="24"/>
          <w:lang w:eastAsia="en-US"/>
        </w:rPr>
        <w:t>Lawyers</w:t>
      </w:r>
      <w:proofErr w:type="spellEnd"/>
      <w:r w:rsidRPr="00363F63">
        <w:rPr>
          <w:rFonts w:eastAsiaTheme="minorHAnsi" w:cstheme="minorBidi"/>
          <w:b/>
          <w:color w:val="000000" w:themeColor="text1"/>
          <w:szCs w:val="24"/>
          <w:lang w:eastAsia="en-US"/>
        </w:rPr>
        <w:t xml:space="preserve">’ Association of Ontario, Association des libertés civiles de la </w:t>
      </w:r>
      <w:proofErr w:type="spellStart"/>
      <w:r w:rsidRPr="00363F63">
        <w:rPr>
          <w:rFonts w:eastAsiaTheme="minorHAnsi" w:cstheme="minorBidi"/>
          <w:b/>
          <w:color w:val="000000" w:themeColor="text1"/>
          <w:szCs w:val="24"/>
          <w:lang w:eastAsia="en-US"/>
        </w:rPr>
        <w:t>Colombie</w:t>
      </w:r>
      <w:r w:rsidRPr="00363F63">
        <w:rPr>
          <w:rFonts w:eastAsiaTheme="minorHAnsi" w:cstheme="minorBidi"/>
          <w:b/>
          <w:color w:val="000000" w:themeColor="text1"/>
          <w:szCs w:val="24"/>
          <w:lang w:eastAsia="en-US"/>
        </w:rPr>
        <w:noBreakHyphen/>
        <w:t>Britannique</w:t>
      </w:r>
      <w:proofErr w:type="spellEnd"/>
      <w:r w:rsidRPr="00363F63">
        <w:rPr>
          <w:rFonts w:eastAsiaTheme="minorHAnsi" w:cstheme="minorBidi"/>
          <w:b/>
          <w:color w:val="000000" w:themeColor="text1"/>
          <w:szCs w:val="24"/>
          <w:lang w:eastAsia="en-US"/>
        </w:rPr>
        <w:t>, Association des avocats de la défense de Montréal et Institut national de santé publique du Québec</w:t>
      </w:r>
    </w:p>
    <w:p w:rsidR="00844C87" w:rsidRPr="00363F63" w:rsidRDefault="00844C87" w:rsidP="00844C87">
      <w:pPr>
        <w:jc w:val="center"/>
        <w:rPr>
          <w:rFonts w:eastAsiaTheme="minorHAnsi" w:cstheme="minorBidi"/>
          <w:color w:val="000000" w:themeColor="text1"/>
          <w:szCs w:val="24"/>
          <w:lang w:eastAsia="en-US"/>
        </w:rPr>
      </w:pPr>
      <w:r w:rsidRPr="00363F63">
        <w:rPr>
          <w:rFonts w:eastAsiaTheme="minorHAnsi" w:cstheme="minorBidi"/>
          <w:color w:val="000000" w:themeColor="text1"/>
          <w:szCs w:val="24"/>
          <w:lang w:eastAsia="en-US"/>
        </w:rPr>
        <w:t>Intervenants</w:t>
      </w:r>
    </w:p>
    <w:p w:rsidR="00844C87" w:rsidRPr="00363F63" w:rsidRDefault="00844C87" w:rsidP="00844C87">
      <w:pPr>
        <w:rPr>
          <w:rFonts w:eastAsiaTheme="minorHAnsi" w:cstheme="minorBidi"/>
          <w:color w:val="000000" w:themeColor="text1"/>
          <w:szCs w:val="24"/>
          <w:lang w:eastAsia="en-US"/>
        </w:rPr>
      </w:pPr>
    </w:p>
    <w:p w:rsidR="00844C87" w:rsidRPr="00363F63" w:rsidRDefault="00844C87" w:rsidP="00844C87">
      <w:pPr>
        <w:rPr>
          <w:rFonts w:eastAsiaTheme="minorHAnsi" w:cstheme="minorBidi"/>
          <w:color w:val="000000" w:themeColor="text1"/>
          <w:szCs w:val="24"/>
          <w:lang w:eastAsia="en-US"/>
        </w:rPr>
      </w:pPr>
    </w:p>
    <w:p w:rsidR="00844C87" w:rsidRPr="00363F63" w:rsidRDefault="00844C87" w:rsidP="00844C87">
      <w:pPr>
        <w:rPr>
          <w:rFonts w:eastAsiaTheme="minorHAnsi" w:cstheme="minorBidi"/>
          <w:color w:val="000000" w:themeColor="text1"/>
          <w:szCs w:val="24"/>
          <w:lang w:eastAsia="en-US"/>
        </w:rPr>
      </w:pPr>
    </w:p>
    <w:p w:rsidR="00844C87" w:rsidRPr="00363F63" w:rsidRDefault="00844C87" w:rsidP="00844C87">
      <w:pPr>
        <w:jc w:val="center"/>
        <w:rPr>
          <w:rFonts w:eastAsiaTheme="minorHAnsi" w:cstheme="minorBidi"/>
          <w:b/>
          <w:smallCaps/>
          <w:color w:val="000000" w:themeColor="text1"/>
          <w:szCs w:val="24"/>
          <w:lang w:eastAsia="en-US"/>
        </w:rPr>
      </w:pPr>
      <w:r w:rsidRPr="00363F63">
        <w:rPr>
          <w:rFonts w:eastAsiaTheme="minorHAnsi" w:cstheme="minorBidi"/>
          <w:b/>
          <w:smallCaps/>
          <w:color w:val="000000" w:themeColor="text1"/>
          <w:szCs w:val="24"/>
          <w:lang w:eastAsia="en-US"/>
        </w:rPr>
        <w:t>Traduction française officielle</w:t>
      </w:r>
    </w:p>
    <w:p w:rsidR="00844C87" w:rsidRPr="00363F63" w:rsidRDefault="00844C87" w:rsidP="00844C87">
      <w:pPr>
        <w:rPr>
          <w:rFonts w:eastAsiaTheme="minorHAnsi" w:cstheme="minorBidi"/>
          <w:color w:val="000000" w:themeColor="text1"/>
          <w:szCs w:val="24"/>
          <w:lang w:eastAsia="en-US"/>
        </w:rPr>
      </w:pPr>
    </w:p>
    <w:p w:rsidR="00844C87" w:rsidRPr="00363F63" w:rsidRDefault="00844C87" w:rsidP="00844C87">
      <w:pPr>
        <w:rPr>
          <w:rFonts w:eastAsiaTheme="minorHAnsi" w:cstheme="minorBidi"/>
          <w:color w:val="000000" w:themeColor="text1"/>
          <w:szCs w:val="24"/>
          <w:lang w:eastAsia="en-US"/>
        </w:rPr>
      </w:pPr>
      <w:r w:rsidRPr="00363F63">
        <w:rPr>
          <w:rFonts w:eastAsiaTheme="minorHAnsi" w:cstheme="minorBidi"/>
          <w:b/>
          <w:smallCaps/>
          <w:color w:val="000000" w:themeColor="text1"/>
          <w:szCs w:val="24"/>
          <w:lang w:eastAsia="en-US"/>
        </w:rPr>
        <w:t>Coram :</w:t>
      </w:r>
      <w:r w:rsidRPr="00363F63">
        <w:rPr>
          <w:rFonts w:eastAsiaTheme="minorHAnsi" w:cstheme="minorBidi"/>
          <w:color w:val="000000" w:themeColor="text1"/>
          <w:szCs w:val="24"/>
          <w:lang w:eastAsia="en-US"/>
        </w:rPr>
        <w:t xml:space="preserve"> La juge en chef </w:t>
      </w:r>
      <w:proofErr w:type="spellStart"/>
      <w:r w:rsidRPr="00363F63">
        <w:rPr>
          <w:rFonts w:eastAsiaTheme="minorHAnsi" w:cstheme="minorBidi"/>
          <w:color w:val="000000" w:themeColor="text1"/>
          <w:szCs w:val="24"/>
          <w:lang w:eastAsia="en-US"/>
        </w:rPr>
        <w:t>McLachlin</w:t>
      </w:r>
      <w:proofErr w:type="spellEnd"/>
      <w:r w:rsidRPr="00363F63">
        <w:rPr>
          <w:rFonts w:eastAsiaTheme="minorHAnsi" w:cstheme="minorBidi"/>
          <w:color w:val="000000" w:themeColor="text1"/>
          <w:szCs w:val="24"/>
          <w:lang w:eastAsia="en-US"/>
        </w:rPr>
        <w:t xml:space="preserve"> et les juges </w:t>
      </w:r>
      <w:proofErr w:type="spellStart"/>
      <w:r w:rsidRPr="00363F63">
        <w:rPr>
          <w:rFonts w:eastAsiaTheme="minorHAnsi" w:cstheme="minorBidi"/>
          <w:color w:val="000000" w:themeColor="text1"/>
          <w:szCs w:val="24"/>
          <w:lang w:eastAsia="en-US"/>
        </w:rPr>
        <w:t>LeBel</w:t>
      </w:r>
      <w:proofErr w:type="spellEnd"/>
      <w:r w:rsidRPr="00363F63">
        <w:rPr>
          <w:rFonts w:eastAsiaTheme="minorHAnsi" w:cstheme="minorBidi"/>
          <w:color w:val="000000" w:themeColor="text1"/>
          <w:szCs w:val="24"/>
          <w:lang w:eastAsia="en-US"/>
        </w:rPr>
        <w:t xml:space="preserve">, Deschamps, Fish, Abella, </w:t>
      </w:r>
      <w:proofErr w:type="spellStart"/>
      <w:r w:rsidRPr="00363F63">
        <w:rPr>
          <w:rFonts w:eastAsiaTheme="minorHAnsi" w:cstheme="minorBidi"/>
          <w:color w:val="000000" w:themeColor="text1"/>
          <w:szCs w:val="24"/>
          <w:lang w:eastAsia="en-US"/>
        </w:rPr>
        <w:t>Rothstein</w:t>
      </w:r>
      <w:proofErr w:type="spellEnd"/>
      <w:r w:rsidRPr="00363F63">
        <w:rPr>
          <w:rFonts w:eastAsiaTheme="minorHAnsi" w:cstheme="minorBidi"/>
          <w:color w:val="000000" w:themeColor="text1"/>
          <w:szCs w:val="24"/>
          <w:lang w:eastAsia="en-US"/>
        </w:rPr>
        <w:t xml:space="preserve">, Cromwell, </w:t>
      </w:r>
      <w:proofErr w:type="spellStart"/>
      <w:r w:rsidRPr="00363F63">
        <w:rPr>
          <w:rFonts w:eastAsiaTheme="minorHAnsi" w:cstheme="minorBidi"/>
          <w:color w:val="000000" w:themeColor="text1"/>
          <w:szCs w:val="24"/>
          <w:lang w:eastAsia="en-US"/>
        </w:rPr>
        <w:t>Moldaver</w:t>
      </w:r>
      <w:proofErr w:type="spellEnd"/>
      <w:r w:rsidRPr="00363F63">
        <w:rPr>
          <w:rFonts w:eastAsiaTheme="minorHAnsi" w:cstheme="minorBidi"/>
          <w:color w:val="000000" w:themeColor="text1"/>
          <w:szCs w:val="24"/>
          <w:lang w:eastAsia="en-US"/>
        </w:rPr>
        <w:t xml:space="preserve"> et </w:t>
      </w:r>
      <w:proofErr w:type="spellStart"/>
      <w:r w:rsidRPr="00363F63">
        <w:rPr>
          <w:rFonts w:eastAsiaTheme="minorHAnsi" w:cstheme="minorBidi"/>
          <w:color w:val="000000" w:themeColor="text1"/>
          <w:szCs w:val="24"/>
          <w:lang w:eastAsia="en-US"/>
        </w:rPr>
        <w:t>Karakatsanis</w:t>
      </w:r>
      <w:proofErr w:type="spellEnd"/>
    </w:p>
    <w:p w:rsidR="00844C87" w:rsidRPr="00363F63" w:rsidRDefault="00844C87" w:rsidP="00844C87">
      <w:pPr>
        <w:rPr>
          <w:rFonts w:eastAsiaTheme="minorHAnsi" w:cstheme="minorBidi"/>
          <w:color w:val="000000" w:themeColor="text1"/>
          <w:szCs w:val="24"/>
          <w:lang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844C87" w:rsidRPr="00363F63" w:rsidTr="002F6440">
        <w:trPr>
          <w:cantSplit/>
        </w:trPr>
        <w:tc>
          <w:tcPr>
            <w:tcW w:w="3618" w:type="dxa"/>
          </w:tcPr>
          <w:p w:rsidR="00844C87" w:rsidRPr="00363F63" w:rsidRDefault="00844C87" w:rsidP="002F6440">
            <w:pPr>
              <w:rPr>
                <w:b/>
                <w:smallCaps/>
                <w:color w:val="000000" w:themeColor="text1"/>
              </w:rPr>
            </w:pPr>
            <w:r w:rsidRPr="00363F63">
              <w:rPr>
                <w:b/>
                <w:smallCaps/>
                <w:color w:val="000000" w:themeColor="text1"/>
              </w:rPr>
              <w:t>Motifs de jugement :</w:t>
            </w:r>
          </w:p>
          <w:p w:rsidR="00844C87" w:rsidRPr="00363F63" w:rsidRDefault="00844C87" w:rsidP="002F6440">
            <w:pPr>
              <w:rPr>
                <w:color w:val="000000" w:themeColor="text1"/>
              </w:rPr>
            </w:pPr>
            <w:r w:rsidRPr="00363F63">
              <w:rPr>
                <w:color w:val="000000" w:themeColor="text1"/>
              </w:rPr>
              <w:t>(par. 1 à 31)</w:t>
            </w:r>
          </w:p>
        </w:tc>
        <w:tc>
          <w:tcPr>
            <w:tcW w:w="5958" w:type="dxa"/>
          </w:tcPr>
          <w:p w:rsidR="00844C87" w:rsidRPr="00363F63" w:rsidRDefault="00844C87" w:rsidP="002F6440">
            <w:pPr>
              <w:rPr>
                <w:color w:val="000000" w:themeColor="text1"/>
              </w:rPr>
            </w:pPr>
            <w:r w:rsidRPr="00363F63">
              <w:rPr>
                <w:color w:val="000000" w:themeColor="text1"/>
              </w:rPr>
              <w:t xml:space="preserve">La juge en chef </w:t>
            </w:r>
            <w:proofErr w:type="spellStart"/>
            <w:r w:rsidRPr="00363F63">
              <w:rPr>
                <w:color w:val="000000" w:themeColor="text1"/>
              </w:rPr>
              <w:t>McLachlin</w:t>
            </w:r>
            <w:proofErr w:type="spellEnd"/>
            <w:r w:rsidRPr="00363F63">
              <w:rPr>
                <w:color w:val="000000" w:themeColor="text1"/>
              </w:rPr>
              <w:t xml:space="preserve"> (avec l’accord des juges </w:t>
            </w:r>
            <w:proofErr w:type="spellStart"/>
            <w:r w:rsidRPr="00363F63">
              <w:rPr>
                <w:color w:val="000000" w:themeColor="text1"/>
              </w:rPr>
              <w:t>LeBel</w:t>
            </w:r>
            <w:proofErr w:type="spellEnd"/>
            <w:r w:rsidRPr="00363F63">
              <w:rPr>
                <w:color w:val="000000" w:themeColor="text1"/>
              </w:rPr>
              <w:t xml:space="preserve">, Deschamps, Fish, Abella, </w:t>
            </w:r>
            <w:proofErr w:type="spellStart"/>
            <w:r w:rsidRPr="00363F63">
              <w:rPr>
                <w:color w:val="000000" w:themeColor="text1"/>
              </w:rPr>
              <w:t>Rothstein</w:t>
            </w:r>
            <w:proofErr w:type="spellEnd"/>
            <w:r w:rsidRPr="00363F63">
              <w:rPr>
                <w:color w:val="000000" w:themeColor="text1"/>
              </w:rPr>
              <w:t xml:space="preserve">, Cromwell, </w:t>
            </w:r>
            <w:proofErr w:type="spellStart"/>
            <w:r w:rsidRPr="00363F63">
              <w:rPr>
                <w:color w:val="000000" w:themeColor="text1"/>
              </w:rPr>
              <w:t>Moldaver</w:t>
            </w:r>
            <w:proofErr w:type="spellEnd"/>
            <w:r w:rsidRPr="00363F63">
              <w:rPr>
                <w:color w:val="000000" w:themeColor="text1"/>
              </w:rPr>
              <w:t xml:space="preserve"> et </w:t>
            </w:r>
            <w:proofErr w:type="spellStart"/>
            <w:r w:rsidRPr="00363F63">
              <w:rPr>
                <w:color w:val="000000" w:themeColor="text1"/>
              </w:rPr>
              <w:t>Karakatsanis</w:t>
            </w:r>
            <w:proofErr w:type="spellEnd"/>
            <w:r w:rsidRPr="00363F63">
              <w:rPr>
                <w:color w:val="000000" w:themeColor="text1"/>
              </w:rPr>
              <w:t>)</w:t>
            </w:r>
          </w:p>
        </w:tc>
      </w:tr>
    </w:tbl>
    <w:p w:rsidR="00844C87" w:rsidRPr="00363F63" w:rsidRDefault="00844C87" w:rsidP="00844C87">
      <w:pPr>
        <w:rPr>
          <w:rFonts w:eastAsiaTheme="minorHAnsi" w:cstheme="minorBidi"/>
          <w:color w:val="000000" w:themeColor="text1"/>
          <w:szCs w:val="24"/>
          <w:lang w:eastAsia="en-US"/>
        </w:rPr>
      </w:pPr>
    </w:p>
    <w:p w:rsidR="00844C87" w:rsidRPr="00363F63" w:rsidRDefault="00844C87" w:rsidP="00844C87">
      <w:pPr>
        <w:rPr>
          <w:rFonts w:eastAsiaTheme="minorHAnsi" w:cstheme="minorBidi"/>
          <w:color w:val="000000" w:themeColor="text1"/>
          <w:szCs w:val="24"/>
          <w:lang w:eastAsia="en-US"/>
        </w:rPr>
      </w:pPr>
    </w:p>
    <w:p w:rsidR="00844C87" w:rsidRPr="00363F63" w:rsidRDefault="00844C87" w:rsidP="00844C87">
      <w:pPr>
        <w:rPr>
          <w:rFonts w:eastAsiaTheme="minorHAnsi" w:cstheme="minorBidi"/>
          <w:color w:val="000000" w:themeColor="text1"/>
          <w:szCs w:val="24"/>
          <w:lang w:eastAsia="en-US"/>
        </w:rPr>
      </w:pPr>
      <w:r>
        <w:rPr>
          <w:rFonts w:eastAsiaTheme="minorHAnsi" w:cstheme="minorBidi"/>
          <w:noProof/>
          <w:color w:val="000000" w:themeColor="text1"/>
          <w:szCs w:val="24"/>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844C87" w:rsidRPr="00C96456" w:rsidRDefault="00844C87" w:rsidP="00844C87">
      <w:pPr>
        <w:rPr>
          <w:smallCaps/>
          <w:color w:val="000000" w:themeColor="text1"/>
        </w:rPr>
      </w:pPr>
      <w:r w:rsidRPr="00C96456">
        <w:rPr>
          <w:smallCaps/>
          <w:color w:val="000000" w:themeColor="text1"/>
        </w:rPr>
        <w:br w:type="page"/>
      </w:r>
    </w:p>
    <w:p w:rsidR="008322BD" w:rsidRDefault="00AF551F" w:rsidP="00AF551F">
      <w:pPr>
        <w:spacing w:after="720"/>
        <w:jc w:val="both"/>
      </w:pPr>
      <w:r w:rsidRPr="00AF551F">
        <w:lastRenderedPageBreak/>
        <w:t xml:space="preserve">R. </w:t>
      </w:r>
      <w:r w:rsidRPr="00AF551F">
        <w:rPr>
          <w:i/>
        </w:rPr>
        <w:t>c.</w:t>
      </w:r>
      <w:r w:rsidRPr="00AF551F">
        <w:t xml:space="preserve"> D.C.</w:t>
      </w:r>
      <w:r>
        <w:t>, 2012 CSC 48, [2012] 2 R.C.S. 626</w:t>
      </w:r>
    </w:p>
    <w:p w:rsidR="00AF551F" w:rsidRPr="00C74BEB" w:rsidRDefault="00AF551F" w:rsidP="00AF551F">
      <w:pPr>
        <w:spacing w:after="720"/>
        <w:jc w:val="both"/>
      </w:pPr>
    </w:p>
    <w:p w:rsidR="00093DBE" w:rsidRPr="00C74BEB" w:rsidRDefault="00154A72" w:rsidP="005257A5">
      <w:pPr>
        <w:pStyle w:val="SCCLsocParty"/>
        <w:tabs>
          <w:tab w:val="right" w:pos="8222"/>
        </w:tabs>
        <w:spacing w:after="720"/>
      </w:pPr>
      <w:r w:rsidRPr="00C74BEB">
        <w:t>Sa Majesté la Reine</w:t>
      </w:r>
      <w:r w:rsidR="005257A5" w:rsidRPr="00C74BEB">
        <w:tab/>
      </w:r>
      <w:r w:rsidR="005257A5" w:rsidRPr="00C74BEB">
        <w:rPr>
          <w:b w:val="0"/>
          <w:i/>
        </w:rPr>
        <w:t>Appelante</w:t>
      </w:r>
    </w:p>
    <w:p w:rsidR="005257A5" w:rsidRPr="00C74BEB" w:rsidRDefault="00154A72" w:rsidP="005257A5">
      <w:pPr>
        <w:pStyle w:val="SCCLsocVersus"/>
        <w:spacing w:after="720"/>
      </w:pPr>
      <w:proofErr w:type="gramStart"/>
      <w:r w:rsidRPr="00C74BEB">
        <w:t>c</w:t>
      </w:r>
      <w:proofErr w:type="gramEnd"/>
      <w:r w:rsidRPr="00C74BEB">
        <w:t>.</w:t>
      </w:r>
    </w:p>
    <w:p w:rsidR="00093DBE" w:rsidRPr="00C74BEB" w:rsidRDefault="00154A72" w:rsidP="005257A5">
      <w:pPr>
        <w:pStyle w:val="SCCLsocParty"/>
        <w:tabs>
          <w:tab w:val="right" w:pos="8222"/>
        </w:tabs>
        <w:spacing w:after="720"/>
        <w:rPr>
          <w:b w:val="0"/>
          <w:i/>
        </w:rPr>
      </w:pPr>
      <w:r w:rsidRPr="00C74BEB">
        <w:t>D.C.</w:t>
      </w:r>
      <w:r w:rsidR="005257A5" w:rsidRPr="00C74BEB">
        <w:t xml:space="preserve"> </w:t>
      </w:r>
      <w:r w:rsidR="005257A5" w:rsidRPr="00C74BEB">
        <w:tab/>
      </w:r>
      <w:r w:rsidR="005257A5" w:rsidRPr="00C74BEB">
        <w:rPr>
          <w:b w:val="0"/>
          <w:i/>
        </w:rPr>
        <w:t>Intimée</w:t>
      </w:r>
    </w:p>
    <w:p w:rsidR="005257A5" w:rsidRPr="00C74BEB" w:rsidRDefault="005257A5" w:rsidP="005257A5">
      <w:pPr>
        <w:pStyle w:val="SCCLsocOtherPartySeparator"/>
        <w:spacing w:after="720"/>
      </w:pPr>
      <w:proofErr w:type="gramStart"/>
      <w:r w:rsidRPr="00C74BEB">
        <w:t>e</w:t>
      </w:r>
      <w:r w:rsidR="00154A72" w:rsidRPr="00C74BEB">
        <w:t>t</w:t>
      </w:r>
      <w:proofErr w:type="gramEnd"/>
    </w:p>
    <w:p w:rsidR="00154A72" w:rsidRPr="00C74BEB" w:rsidRDefault="00154A72" w:rsidP="00154A72">
      <w:pPr>
        <w:pStyle w:val="SCCLsocParty"/>
      </w:pPr>
      <w:r w:rsidRPr="00C74BEB">
        <w:t>Procureur général de l’Alberta,</w:t>
      </w:r>
    </w:p>
    <w:p w:rsidR="00093DBE" w:rsidRPr="00C74BEB" w:rsidRDefault="00154A72">
      <w:pPr>
        <w:pStyle w:val="SCCLsocParty"/>
      </w:pPr>
      <w:r w:rsidRPr="00C74BEB">
        <w:t xml:space="preserve">Réseau juridique canadien VIH/sida, </w:t>
      </w:r>
    </w:p>
    <w:p w:rsidR="00093DBE" w:rsidRPr="00C74BEB" w:rsidRDefault="00154A72">
      <w:pPr>
        <w:pStyle w:val="SCCLsocParty"/>
      </w:pPr>
      <w:r w:rsidRPr="00C74BEB">
        <w:t xml:space="preserve">HIV &amp; AIDS </w:t>
      </w:r>
      <w:proofErr w:type="spellStart"/>
      <w:r w:rsidRPr="00C74BEB">
        <w:t>Legal</w:t>
      </w:r>
      <w:proofErr w:type="spellEnd"/>
      <w:r w:rsidRPr="00C74BEB">
        <w:t xml:space="preserve"> </w:t>
      </w:r>
      <w:proofErr w:type="spellStart"/>
      <w:r w:rsidRPr="00C74BEB">
        <w:t>Clinic</w:t>
      </w:r>
      <w:proofErr w:type="spellEnd"/>
      <w:r w:rsidRPr="00C74BEB">
        <w:t xml:space="preserve"> Ontario, Coalition des organismes communautaires québécois de lutte contre le sida, Positive Living Society of British Columbia, Société canadienne du sida, Toronto People </w:t>
      </w:r>
      <w:proofErr w:type="spellStart"/>
      <w:r w:rsidRPr="00C74BEB">
        <w:t>With</w:t>
      </w:r>
      <w:proofErr w:type="spellEnd"/>
      <w:r w:rsidRPr="00C74BEB">
        <w:t xml:space="preserve"> AIDS </w:t>
      </w:r>
      <w:proofErr w:type="spellStart"/>
      <w:r w:rsidRPr="00C74BEB">
        <w:t>Foundation</w:t>
      </w:r>
      <w:proofErr w:type="spellEnd"/>
      <w:r w:rsidRPr="00C74BEB">
        <w:t xml:space="preserve">, </w:t>
      </w:r>
    </w:p>
    <w:p w:rsidR="00093DBE" w:rsidRPr="00C74BEB" w:rsidRDefault="00154A72">
      <w:pPr>
        <w:pStyle w:val="SCCLsocParty"/>
      </w:pPr>
      <w:r w:rsidRPr="00C74BEB">
        <w:t xml:space="preserve">Black Coalition for AIDS </w:t>
      </w:r>
      <w:proofErr w:type="spellStart"/>
      <w:r w:rsidRPr="00C74BEB">
        <w:t>Prevention</w:t>
      </w:r>
      <w:proofErr w:type="spellEnd"/>
      <w:r w:rsidRPr="00C74BEB">
        <w:t xml:space="preserve">, </w:t>
      </w:r>
      <w:r w:rsidR="00E90C87" w:rsidRPr="00C74BEB">
        <w:t>Réseau canadien autochtone du sida</w:t>
      </w:r>
      <w:r w:rsidRPr="00C74BEB">
        <w:t xml:space="preserve">, </w:t>
      </w:r>
    </w:p>
    <w:p w:rsidR="00093DBE" w:rsidRPr="00C74BEB" w:rsidRDefault="00154A72">
      <w:pPr>
        <w:pStyle w:val="SCCLsocParty"/>
        <w:rPr>
          <w:lang w:val="en-US"/>
        </w:rPr>
      </w:pPr>
      <w:r w:rsidRPr="00C74BEB">
        <w:rPr>
          <w:lang w:val="en-US"/>
        </w:rPr>
        <w:t>Criminal Lawyers</w:t>
      </w:r>
      <w:r w:rsidR="00151D06" w:rsidRPr="00C74BEB">
        <w:rPr>
          <w:lang w:val="en-US"/>
        </w:rPr>
        <w:t>’</w:t>
      </w:r>
      <w:r w:rsidRPr="00C74BEB">
        <w:rPr>
          <w:lang w:val="en-US"/>
        </w:rPr>
        <w:t xml:space="preserve"> Association of Ontario, </w:t>
      </w:r>
    </w:p>
    <w:p w:rsidR="00093DBE" w:rsidRPr="00C74BEB" w:rsidRDefault="00BE01CB" w:rsidP="00BE01CB">
      <w:r w:rsidRPr="00C74BEB">
        <w:rPr>
          <w:b/>
        </w:rPr>
        <w:t xml:space="preserve">Association des libertés civiles de la </w:t>
      </w:r>
      <w:proofErr w:type="spellStart"/>
      <w:r w:rsidRPr="00C74BEB">
        <w:rPr>
          <w:b/>
        </w:rPr>
        <w:t>Colombie</w:t>
      </w:r>
      <w:r w:rsidR="00732601" w:rsidRPr="00C74BEB">
        <w:rPr>
          <w:b/>
        </w:rPr>
        <w:noBreakHyphen/>
      </w:r>
      <w:r w:rsidRPr="00C74BEB">
        <w:rPr>
          <w:b/>
        </w:rPr>
        <w:t>Britannique</w:t>
      </w:r>
      <w:proofErr w:type="spellEnd"/>
      <w:r w:rsidR="00154A72" w:rsidRPr="00C74BEB">
        <w:t xml:space="preserve">, </w:t>
      </w:r>
    </w:p>
    <w:p w:rsidR="00093DBE" w:rsidRPr="00C74BEB" w:rsidRDefault="00154A72">
      <w:pPr>
        <w:pStyle w:val="SCCLsocParty"/>
      </w:pPr>
      <w:r w:rsidRPr="00C74BEB">
        <w:t xml:space="preserve">Association des </w:t>
      </w:r>
      <w:r w:rsidR="00B933E3" w:rsidRPr="00C74BEB">
        <w:t>a</w:t>
      </w:r>
      <w:r w:rsidRPr="00C74BEB">
        <w:t xml:space="preserve">vocats de la </w:t>
      </w:r>
      <w:r w:rsidR="00B933E3" w:rsidRPr="00C74BEB">
        <w:t>d</w:t>
      </w:r>
      <w:r w:rsidRPr="00C74BEB">
        <w:t xml:space="preserve">éfense de Montréal et </w:t>
      </w:r>
    </w:p>
    <w:p w:rsidR="00093DBE" w:rsidRPr="00C74BEB" w:rsidRDefault="00B933E3" w:rsidP="005257A5">
      <w:pPr>
        <w:pStyle w:val="SCCLsocParty"/>
        <w:tabs>
          <w:tab w:val="right" w:pos="8222"/>
        </w:tabs>
        <w:spacing w:after="720"/>
      </w:pPr>
      <w:r w:rsidRPr="00C74BEB">
        <w:t>I</w:t>
      </w:r>
      <w:r w:rsidR="00154A72" w:rsidRPr="00C74BEB">
        <w:t>nstitut national de santé publique du Québec</w:t>
      </w:r>
      <w:r w:rsidR="005257A5" w:rsidRPr="00C74BEB">
        <w:t xml:space="preserve"> </w:t>
      </w:r>
      <w:r w:rsidR="005257A5" w:rsidRPr="00C74BEB">
        <w:tab/>
      </w:r>
      <w:r w:rsidR="005257A5" w:rsidRPr="00C74BEB">
        <w:rPr>
          <w:b w:val="0"/>
          <w:i/>
        </w:rPr>
        <w:t>Intervenants</w:t>
      </w:r>
    </w:p>
    <w:p w:rsidR="00426659" w:rsidRPr="00C74BEB" w:rsidRDefault="0043088E" w:rsidP="005257A5">
      <w:pPr>
        <w:spacing w:after="720"/>
        <w:jc w:val="both"/>
        <w:rPr>
          <w:b/>
        </w:rPr>
      </w:pPr>
      <w:r w:rsidRPr="00C74BEB">
        <w:rPr>
          <w:b/>
        </w:rPr>
        <w:t>Répertorié</w:t>
      </w:r>
      <w:r w:rsidR="00732601" w:rsidRPr="00C74BEB">
        <w:rPr>
          <w:b/>
        </w:rPr>
        <w:t> :</w:t>
      </w:r>
      <w:r w:rsidR="00C67CA5" w:rsidRPr="00C74BEB">
        <w:rPr>
          <w:b/>
        </w:rPr>
        <w:t> </w:t>
      </w:r>
      <w:r w:rsidRPr="00C74BEB">
        <w:rPr>
          <w:b/>
        </w:rPr>
        <w:t>R.</w:t>
      </w:r>
      <w:r w:rsidR="00426659" w:rsidRPr="00C74BEB">
        <w:rPr>
          <w:b/>
        </w:rPr>
        <w:t xml:space="preserve"> </w:t>
      </w:r>
      <w:r w:rsidR="00645057" w:rsidRPr="00C74BEB">
        <w:rPr>
          <w:b/>
          <w:i/>
        </w:rPr>
        <w:t>c</w:t>
      </w:r>
      <w:r w:rsidR="00426659" w:rsidRPr="00C74BEB">
        <w:rPr>
          <w:b/>
          <w:i/>
        </w:rPr>
        <w:t>.</w:t>
      </w:r>
      <w:r w:rsidR="00426659" w:rsidRPr="00C74BEB">
        <w:rPr>
          <w:b/>
        </w:rPr>
        <w:t xml:space="preserve"> </w:t>
      </w:r>
      <w:r w:rsidRPr="00C74BEB">
        <w:rPr>
          <w:b/>
        </w:rPr>
        <w:t>D.C.</w:t>
      </w:r>
    </w:p>
    <w:p w:rsidR="00426659" w:rsidRPr="00C74BEB" w:rsidRDefault="00C0663B" w:rsidP="005257A5">
      <w:pPr>
        <w:pStyle w:val="SCCSystemYear"/>
        <w:spacing w:after="720"/>
        <w:jc w:val="both"/>
      </w:pPr>
      <w:r w:rsidRPr="00C74BEB">
        <w:t>2012</w:t>
      </w:r>
      <w:r w:rsidR="00EE0FAF" w:rsidRPr="00C74BEB">
        <w:t xml:space="preserve"> </w:t>
      </w:r>
      <w:r w:rsidR="00C71F58" w:rsidRPr="00C74BEB">
        <w:t>C</w:t>
      </w:r>
      <w:r w:rsidR="00890390" w:rsidRPr="00C74BEB">
        <w:t>SC 48</w:t>
      </w:r>
    </w:p>
    <w:p w:rsidR="008322BD" w:rsidRPr="00C74BEB" w:rsidRDefault="009B57B3" w:rsidP="005257A5">
      <w:pPr>
        <w:spacing w:after="720"/>
        <w:jc w:val="both"/>
      </w:pPr>
      <w:r w:rsidRPr="00C74BEB">
        <w:t>N</w:t>
      </w:r>
      <w:r w:rsidRPr="00C74BEB">
        <w:rPr>
          <w:vertAlign w:val="superscript"/>
        </w:rPr>
        <w:t>o</w:t>
      </w:r>
      <w:r w:rsidR="0043088E" w:rsidRPr="00C74BEB">
        <w:t xml:space="preserve"> du greffe</w:t>
      </w:r>
      <w:r w:rsidR="00732601" w:rsidRPr="00C74BEB">
        <w:t> :</w:t>
      </w:r>
      <w:r w:rsidR="00C67CA5" w:rsidRPr="00C74BEB">
        <w:t> </w:t>
      </w:r>
      <w:r w:rsidRPr="00C74BEB">
        <w:t>34094.</w:t>
      </w:r>
    </w:p>
    <w:p w:rsidR="008322BD" w:rsidRPr="00C74BEB" w:rsidRDefault="00F8251D" w:rsidP="005257A5">
      <w:pPr>
        <w:spacing w:after="720"/>
        <w:jc w:val="both"/>
      </w:pPr>
      <w:r w:rsidRPr="00C74BEB">
        <w:lastRenderedPageBreak/>
        <w:t>2012</w:t>
      </w:r>
      <w:r w:rsidR="00732601" w:rsidRPr="00C74BEB">
        <w:t> :</w:t>
      </w:r>
      <w:r w:rsidRPr="00C74BEB">
        <w:t> 8 </w:t>
      </w:r>
      <w:r w:rsidR="00C0663B" w:rsidRPr="00C74BEB">
        <w:t>février</w:t>
      </w:r>
      <w:r w:rsidR="00B41C26" w:rsidRPr="00C74BEB">
        <w:t>; 2012</w:t>
      </w:r>
      <w:r w:rsidR="00732601" w:rsidRPr="00C74BEB">
        <w:t> :</w:t>
      </w:r>
      <w:r w:rsidR="00B41C26" w:rsidRPr="00C74BEB">
        <w:t> 5 octobre</w:t>
      </w:r>
      <w:r w:rsidR="009B57B3" w:rsidRPr="00C74BEB">
        <w:t>.</w:t>
      </w:r>
    </w:p>
    <w:p w:rsidR="008322BD" w:rsidRPr="00C74BEB" w:rsidRDefault="009B57B3" w:rsidP="005257A5">
      <w:pPr>
        <w:spacing w:after="720"/>
        <w:jc w:val="both"/>
      </w:pPr>
      <w:r w:rsidRPr="00C74BEB">
        <w:t>Pr</w:t>
      </w:r>
      <w:r w:rsidR="0043088E" w:rsidRPr="00C74BEB">
        <w:t>é</w:t>
      </w:r>
      <w:r w:rsidRPr="00C74BEB">
        <w:t>sent</w:t>
      </w:r>
      <w:r w:rsidR="008A6558" w:rsidRPr="00C74BEB">
        <w:t>s</w:t>
      </w:r>
      <w:r w:rsidR="00732601" w:rsidRPr="00C74BEB">
        <w:t> :</w:t>
      </w:r>
      <w:r w:rsidR="00C67CA5" w:rsidRPr="00C74BEB">
        <w:t> </w:t>
      </w:r>
      <w:r w:rsidRPr="00C74BEB">
        <w:t xml:space="preserve">La juge en chef </w:t>
      </w:r>
      <w:proofErr w:type="spellStart"/>
      <w:r w:rsidRPr="00C74BEB">
        <w:t>McLachlin</w:t>
      </w:r>
      <w:proofErr w:type="spellEnd"/>
      <w:r w:rsidRPr="00C74BEB">
        <w:t xml:space="preserve"> et les juges LeBel, Deschamps, Fish, Abella, </w:t>
      </w:r>
      <w:proofErr w:type="spellStart"/>
      <w:r w:rsidRPr="00C74BEB">
        <w:t>Rothstein</w:t>
      </w:r>
      <w:proofErr w:type="spellEnd"/>
      <w:r w:rsidRPr="00C74BEB">
        <w:t xml:space="preserve">, Cromwell, </w:t>
      </w:r>
      <w:proofErr w:type="spellStart"/>
      <w:r w:rsidRPr="00C74BEB">
        <w:t>Moldaver</w:t>
      </w:r>
      <w:proofErr w:type="spellEnd"/>
      <w:r w:rsidRPr="00C74BEB">
        <w:t xml:space="preserve"> et </w:t>
      </w:r>
      <w:proofErr w:type="spellStart"/>
      <w:r w:rsidRPr="00C74BEB">
        <w:t>Karakatsanis</w:t>
      </w:r>
      <w:proofErr w:type="spellEnd"/>
      <w:r w:rsidRPr="00C74BEB">
        <w:t>.</w:t>
      </w:r>
    </w:p>
    <w:p w:rsidR="008322BD" w:rsidRPr="00C74BEB" w:rsidRDefault="00AC7437" w:rsidP="005257A5">
      <w:pPr>
        <w:pStyle w:val="SCCLowerCourtNameLowercase"/>
        <w:spacing w:after="720" w:line="240" w:lineRule="auto"/>
      </w:pPr>
      <w:r w:rsidRPr="00C74BEB">
        <w:t>e</w:t>
      </w:r>
      <w:r w:rsidR="00855307" w:rsidRPr="00C74BEB">
        <w:t>n</w:t>
      </w:r>
      <w:r w:rsidR="00224FC0" w:rsidRPr="00C74BEB">
        <w:t xml:space="preserve"> </w:t>
      </w:r>
      <w:r w:rsidR="00855307" w:rsidRPr="00C74BEB">
        <w:t>appel</w:t>
      </w:r>
      <w:r w:rsidR="00224FC0" w:rsidRPr="00C74BEB">
        <w:t xml:space="preserve"> </w:t>
      </w:r>
      <w:r w:rsidR="00855307" w:rsidRPr="00C74BEB">
        <w:t>de</w:t>
      </w:r>
      <w:r w:rsidR="0043088E" w:rsidRPr="00C74BEB">
        <w:t xml:space="preserve"> </w:t>
      </w:r>
      <w:r w:rsidR="00855307" w:rsidRPr="00C74BEB">
        <w:t>la</w:t>
      </w:r>
      <w:r w:rsidR="00224FC0" w:rsidRPr="00C74BEB">
        <w:t xml:space="preserve"> </w:t>
      </w:r>
      <w:r w:rsidR="009B57B3" w:rsidRPr="00C74BEB">
        <w:t xml:space="preserve">cour d’appel du </w:t>
      </w:r>
      <w:proofErr w:type="spellStart"/>
      <w:r w:rsidR="009B57B3" w:rsidRPr="00C74BEB">
        <w:t>québec</w:t>
      </w:r>
      <w:proofErr w:type="spellEnd"/>
    </w:p>
    <w:p w:rsidR="00FB12EA" w:rsidRPr="00C74BEB" w:rsidRDefault="009B57B3" w:rsidP="00FB12EA">
      <w:pPr>
        <w:pStyle w:val="SCCNormalDoubleSpacing"/>
        <w:spacing w:after="480"/>
        <w:rPr>
          <w:i/>
        </w:rPr>
      </w:pPr>
      <w:r w:rsidRPr="00C74BEB">
        <w:tab/>
      </w:r>
      <w:r w:rsidR="00FB12EA" w:rsidRPr="00C74BEB">
        <w:rPr>
          <w:i/>
        </w:rPr>
        <w:t xml:space="preserve">Droit criminel — Preuve — Crédibilité — Agression sexuelle et voies de fait graves — Omission de révéler la séropositivité — Preuve d’une possibilité réaliste de transmission du VIH — Le juge du procès </w:t>
      </w:r>
      <w:proofErr w:type="spellStart"/>
      <w:r w:rsidR="00FB12EA" w:rsidRPr="00C74BEB">
        <w:rPr>
          <w:i/>
        </w:rPr>
        <w:t>p</w:t>
      </w:r>
      <w:r w:rsidR="00AA4BD1" w:rsidRPr="00C74BEB">
        <w:rPr>
          <w:i/>
        </w:rPr>
        <w:t>ouvai</w:t>
      </w:r>
      <w:r w:rsidR="00FB12EA" w:rsidRPr="00C74BEB">
        <w:rPr>
          <w:i/>
        </w:rPr>
        <w:t>t</w:t>
      </w:r>
      <w:r w:rsidR="00732601" w:rsidRPr="00C74BEB">
        <w:rPr>
          <w:i/>
        </w:rPr>
        <w:noBreakHyphen/>
      </w:r>
      <w:r w:rsidR="00FB12EA" w:rsidRPr="00C74BEB">
        <w:rPr>
          <w:i/>
        </w:rPr>
        <w:t>il</w:t>
      </w:r>
      <w:proofErr w:type="spellEnd"/>
      <w:r w:rsidR="00FB12EA" w:rsidRPr="00C74BEB">
        <w:rPr>
          <w:i/>
        </w:rPr>
        <w:t xml:space="preserve"> </w:t>
      </w:r>
      <w:r w:rsidR="003A3841" w:rsidRPr="00C74BEB">
        <w:rPr>
          <w:i/>
        </w:rPr>
        <w:t>considér</w:t>
      </w:r>
      <w:r w:rsidR="00FB12EA" w:rsidRPr="00C74BEB">
        <w:rPr>
          <w:i/>
        </w:rPr>
        <w:t xml:space="preserve">er </w:t>
      </w:r>
      <w:r w:rsidR="003A3841" w:rsidRPr="00C74BEB">
        <w:rPr>
          <w:i/>
        </w:rPr>
        <w:t>la</w:t>
      </w:r>
      <w:r w:rsidR="00FB12EA" w:rsidRPr="00C74BEB">
        <w:rPr>
          <w:i/>
        </w:rPr>
        <w:t xml:space="preserve"> note d</w:t>
      </w:r>
      <w:r w:rsidR="003A3841" w:rsidRPr="00C74BEB">
        <w:rPr>
          <w:i/>
        </w:rPr>
        <w:t>’un</w:t>
      </w:r>
      <w:r w:rsidR="00FB12EA" w:rsidRPr="00C74BEB">
        <w:rPr>
          <w:i/>
        </w:rPr>
        <w:t xml:space="preserve"> médecin </w:t>
      </w:r>
      <w:r w:rsidR="003A3841" w:rsidRPr="00C74BEB">
        <w:rPr>
          <w:i/>
        </w:rPr>
        <w:t>comme un élément de</w:t>
      </w:r>
      <w:r w:rsidR="00FB12EA" w:rsidRPr="00C74BEB">
        <w:rPr>
          <w:i/>
        </w:rPr>
        <w:t xml:space="preserve"> preuve corroborant le témoignage du plaignant concernant l’inutilisation d’un condom? — </w:t>
      </w:r>
      <w:r w:rsidR="00AA4BD1" w:rsidRPr="00C74BEB">
        <w:rPr>
          <w:i/>
        </w:rPr>
        <w:t>A-t-</w:t>
      </w:r>
      <w:r w:rsidR="00FB12EA" w:rsidRPr="00C74BEB">
        <w:rPr>
          <w:i/>
        </w:rPr>
        <w:t xml:space="preserve">il commis une erreur de droit? — Code criminel, L.R.C. 1985, </w:t>
      </w:r>
      <w:r w:rsidR="00732601" w:rsidRPr="00C74BEB">
        <w:rPr>
          <w:i/>
        </w:rPr>
        <w:t>ch. </w:t>
      </w:r>
      <w:r w:rsidR="00FB12EA" w:rsidRPr="00C74BEB">
        <w:rPr>
          <w:i/>
        </w:rPr>
        <w:t>C</w:t>
      </w:r>
      <w:r w:rsidR="00732601" w:rsidRPr="00C74BEB">
        <w:rPr>
          <w:i/>
        </w:rPr>
        <w:noBreakHyphen/>
      </w:r>
      <w:r w:rsidR="00FB12EA" w:rsidRPr="00C74BEB">
        <w:rPr>
          <w:i/>
        </w:rPr>
        <w:t xml:space="preserve">46, </w:t>
      </w:r>
      <w:r w:rsidR="00732601" w:rsidRPr="00C74BEB">
        <w:rPr>
          <w:i/>
        </w:rPr>
        <w:t>art. </w:t>
      </w:r>
      <w:r w:rsidR="00FB12EA" w:rsidRPr="00C74BEB">
        <w:rPr>
          <w:i/>
        </w:rPr>
        <w:t>265(3)c), 268, 271, 686(1)a)(ii).</w:t>
      </w:r>
    </w:p>
    <w:p w:rsidR="00FB12EA" w:rsidRPr="00C74BEB" w:rsidRDefault="00FB12EA" w:rsidP="00FB12EA">
      <w:pPr>
        <w:pStyle w:val="SCCNormalDoubleSpacing"/>
        <w:spacing w:after="480"/>
      </w:pPr>
      <w:r w:rsidRPr="00C74BEB">
        <w:tab/>
        <w:t xml:space="preserve">D.C. a été inculpée d’agression sexuelle et de voies de fait graves.  Lors de sa première relation sexuelle vaginale avec le plaignant, elle ne lui avait pas révélé sa séropositivité. </w:t>
      </w:r>
      <w:r w:rsidR="003A3841" w:rsidRPr="00C74BEB">
        <w:t>S</w:t>
      </w:r>
      <w:r w:rsidRPr="00C74BEB">
        <w:t xml:space="preserve">a charge virale était </w:t>
      </w:r>
      <w:r w:rsidR="003A3841" w:rsidRPr="00C74BEB">
        <w:t xml:space="preserve">alors </w:t>
      </w:r>
      <w:r w:rsidRPr="00C74BEB">
        <w:t>indétectable.</w:t>
      </w:r>
      <w:r w:rsidR="00732601" w:rsidRPr="00C74BEB">
        <w:t xml:space="preserve"> </w:t>
      </w:r>
      <w:r w:rsidRPr="00C74BEB">
        <w:t xml:space="preserve"> </w:t>
      </w:r>
      <w:r w:rsidR="00AA4BD1" w:rsidRPr="00C74BEB">
        <w:t>A</w:t>
      </w:r>
      <w:r w:rsidRPr="00C74BEB">
        <w:rPr>
          <w:szCs w:val="24"/>
        </w:rPr>
        <w:t>u procès, la question cruciale était celle de savoir si u</w:t>
      </w:r>
      <w:r w:rsidR="003A3841" w:rsidRPr="00C74BEB">
        <w:rPr>
          <w:szCs w:val="24"/>
        </w:rPr>
        <w:t>n</w:t>
      </w:r>
      <w:r w:rsidRPr="00C74BEB">
        <w:rPr>
          <w:szCs w:val="24"/>
        </w:rPr>
        <w:t xml:space="preserve"> condom</w:t>
      </w:r>
      <w:r w:rsidR="003A3841" w:rsidRPr="00C74BEB">
        <w:rPr>
          <w:szCs w:val="24"/>
        </w:rPr>
        <w:t xml:space="preserve"> avait été utilisé</w:t>
      </w:r>
      <w:r w:rsidRPr="00C74BEB">
        <w:t xml:space="preserve">. </w:t>
      </w:r>
      <w:r w:rsidR="00732601" w:rsidRPr="00C74BEB">
        <w:t xml:space="preserve"> </w:t>
      </w:r>
      <w:r w:rsidRPr="00C74BEB">
        <w:rPr>
          <w:szCs w:val="24"/>
        </w:rPr>
        <w:t xml:space="preserve">Les seuls témoignages entendus sur ce point </w:t>
      </w:r>
      <w:r w:rsidR="003A3841" w:rsidRPr="00C74BEB">
        <w:rPr>
          <w:szCs w:val="24"/>
        </w:rPr>
        <w:t>o</w:t>
      </w:r>
      <w:r w:rsidRPr="00C74BEB">
        <w:rPr>
          <w:szCs w:val="24"/>
        </w:rPr>
        <w:t xml:space="preserve">nt </w:t>
      </w:r>
      <w:r w:rsidR="003A3841" w:rsidRPr="00C74BEB">
        <w:rPr>
          <w:szCs w:val="24"/>
        </w:rPr>
        <w:t xml:space="preserve">été </w:t>
      </w:r>
      <w:r w:rsidRPr="00C74BEB">
        <w:rPr>
          <w:szCs w:val="24"/>
        </w:rPr>
        <w:t xml:space="preserve">ceux du plaignant et de D.C.  Le premier a </w:t>
      </w:r>
      <w:r w:rsidR="0022302D" w:rsidRPr="00C74BEB">
        <w:rPr>
          <w:szCs w:val="24"/>
        </w:rPr>
        <w:t>témoigné</w:t>
      </w:r>
      <w:r w:rsidRPr="00C74BEB">
        <w:rPr>
          <w:szCs w:val="24"/>
        </w:rPr>
        <w:t xml:space="preserve"> qu’ils n’avaient pas utilisé de condom</w:t>
      </w:r>
      <w:r w:rsidR="00824417" w:rsidRPr="00C74BEB">
        <w:rPr>
          <w:szCs w:val="24"/>
        </w:rPr>
        <w:t>;</w:t>
      </w:r>
      <w:r w:rsidRPr="00C74BEB">
        <w:rPr>
          <w:szCs w:val="24"/>
        </w:rPr>
        <w:t xml:space="preserve"> la seconde a affirmé le contraire.  Selon le juge du procès, ni l’un ni l’autre n’étaient crédibles.</w:t>
      </w:r>
      <w:r w:rsidRPr="00C74BEB">
        <w:t xml:space="preserve"> </w:t>
      </w:r>
      <w:r w:rsidR="00732601" w:rsidRPr="00C74BEB">
        <w:t xml:space="preserve"> </w:t>
      </w:r>
      <w:r w:rsidRPr="00C74BEB">
        <w:rPr>
          <w:szCs w:val="24"/>
        </w:rPr>
        <w:t xml:space="preserve">Cependant, </w:t>
      </w:r>
      <w:r w:rsidR="003A3841" w:rsidRPr="00C74BEB">
        <w:rPr>
          <w:szCs w:val="24"/>
        </w:rPr>
        <w:t xml:space="preserve">il </w:t>
      </w:r>
      <w:r w:rsidRPr="00C74BEB">
        <w:rPr>
          <w:szCs w:val="24"/>
        </w:rPr>
        <w:t>a conclu sur la foi d’une note du médecin de D.C., rédigée sept ans auparavant et faisant mention d’une rupture de condom, que D.C. avait menti à son médecin</w:t>
      </w:r>
      <w:r w:rsidR="00CE4BB7" w:rsidRPr="00C74BEB">
        <w:rPr>
          <w:szCs w:val="24"/>
        </w:rPr>
        <w:t>.</w:t>
      </w:r>
      <w:r w:rsidRPr="00C74BEB">
        <w:rPr>
          <w:szCs w:val="24"/>
        </w:rPr>
        <w:t xml:space="preserve"> </w:t>
      </w:r>
      <w:r w:rsidR="00CE4BB7" w:rsidRPr="00C74BEB">
        <w:rPr>
          <w:szCs w:val="24"/>
        </w:rPr>
        <w:t>I</w:t>
      </w:r>
      <w:r w:rsidR="003A3841" w:rsidRPr="00C74BEB">
        <w:rPr>
          <w:szCs w:val="24"/>
        </w:rPr>
        <w:t xml:space="preserve">l </w:t>
      </w:r>
      <w:r w:rsidRPr="00C74BEB">
        <w:rPr>
          <w:szCs w:val="24"/>
        </w:rPr>
        <w:t>en a inféré que la relation n’avait pas été protégée</w:t>
      </w:r>
      <w:r w:rsidR="00CE4BB7" w:rsidRPr="00C74BEB">
        <w:rPr>
          <w:szCs w:val="24"/>
        </w:rPr>
        <w:t xml:space="preserve"> et i</w:t>
      </w:r>
      <w:r w:rsidRPr="00C74BEB">
        <w:t xml:space="preserve">l a déclaré D.C. coupable. </w:t>
      </w:r>
      <w:r w:rsidR="00732601" w:rsidRPr="00C74BEB">
        <w:t xml:space="preserve"> </w:t>
      </w:r>
      <w:r w:rsidRPr="00C74BEB">
        <w:t xml:space="preserve">La Cour d’appel a </w:t>
      </w:r>
      <w:r w:rsidRPr="00C74BEB">
        <w:rPr>
          <w:szCs w:val="24"/>
        </w:rPr>
        <w:t xml:space="preserve">conclu que </w:t>
      </w:r>
      <w:r w:rsidRPr="00C74BEB">
        <w:rPr>
          <w:szCs w:val="24"/>
        </w:rPr>
        <w:lastRenderedPageBreak/>
        <w:t>le raisonnement du juge du procès sur l</w:t>
      </w:r>
      <w:r w:rsidR="003A3841" w:rsidRPr="00C74BEB">
        <w:rPr>
          <w:szCs w:val="24"/>
        </w:rPr>
        <w:t>’utilisation d’</w:t>
      </w:r>
      <w:r w:rsidRPr="00C74BEB">
        <w:rPr>
          <w:szCs w:val="24"/>
        </w:rPr>
        <w:t>un condom particip</w:t>
      </w:r>
      <w:r w:rsidR="003A3841" w:rsidRPr="00C74BEB">
        <w:rPr>
          <w:szCs w:val="24"/>
        </w:rPr>
        <w:t>ait</w:t>
      </w:r>
      <w:r w:rsidRPr="00C74BEB">
        <w:rPr>
          <w:szCs w:val="24"/>
        </w:rPr>
        <w:t xml:space="preserve"> d’une inférence qu’il pouvait raisonnablement tirer, mais </w:t>
      </w:r>
      <w:r w:rsidR="003A3841" w:rsidRPr="00C74BEB">
        <w:rPr>
          <w:szCs w:val="24"/>
        </w:rPr>
        <w:t xml:space="preserve">elle </w:t>
      </w:r>
      <w:r w:rsidRPr="00C74BEB">
        <w:rPr>
          <w:szCs w:val="24"/>
        </w:rPr>
        <w:t xml:space="preserve">a annulé les déclarations de culpabilité au motif que, même si </w:t>
      </w:r>
      <w:r w:rsidR="003A3841" w:rsidRPr="00C74BEB">
        <w:rPr>
          <w:szCs w:val="24"/>
        </w:rPr>
        <w:t>un</w:t>
      </w:r>
      <w:r w:rsidRPr="00C74BEB">
        <w:rPr>
          <w:szCs w:val="24"/>
        </w:rPr>
        <w:t xml:space="preserve"> condom n’avait pas été utilisé, l’exigence jurisprudentielle d’un risque important de lésions corporelles graves n’était pas remplie vu l’absence de copie détectable du VIH dans le sang de D.C. </w:t>
      </w:r>
    </w:p>
    <w:p w:rsidR="00FB12EA" w:rsidRPr="00C74BEB" w:rsidRDefault="00FB12EA" w:rsidP="00FB12EA">
      <w:pPr>
        <w:pStyle w:val="SCCNormalDoubleSpacing"/>
        <w:spacing w:after="480"/>
      </w:pPr>
      <w:r w:rsidRPr="00C74BEB">
        <w:tab/>
      </w:r>
      <w:r w:rsidRPr="00C74BEB">
        <w:rPr>
          <w:i/>
        </w:rPr>
        <w:t>Arrêt</w:t>
      </w:r>
      <w:r w:rsidR="00732601" w:rsidRPr="005A15D0">
        <w:t> :</w:t>
      </w:r>
      <w:r w:rsidRPr="00C74BEB">
        <w:t xml:space="preserve"> Le pourvoi est rejeté.</w:t>
      </w:r>
    </w:p>
    <w:p w:rsidR="00FB12EA" w:rsidRPr="00C74BEB" w:rsidRDefault="00FB12EA" w:rsidP="00FB12EA">
      <w:pPr>
        <w:pStyle w:val="SCCNormalDoubleSpacing"/>
        <w:spacing w:after="480"/>
      </w:pPr>
      <w:r w:rsidRPr="00C74BEB">
        <w:tab/>
        <w:t xml:space="preserve">Comme il est </w:t>
      </w:r>
      <w:r w:rsidR="003A3841" w:rsidRPr="00C74BEB">
        <w:t>précis</w:t>
      </w:r>
      <w:r w:rsidRPr="00C74BEB">
        <w:t xml:space="preserve">é dans l’arrêt </w:t>
      </w:r>
      <w:r w:rsidRPr="00C74BEB">
        <w:rPr>
          <w:i/>
        </w:rPr>
        <w:t xml:space="preserve">R. c. </w:t>
      </w:r>
      <w:proofErr w:type="spellStart"/>
      <w:r w:rsidRPr="00C74BEB">
        <w:rPr>
          <w:i/>
        </w:rPr>
        <w:t>Mabior</w:t>
      </w:r>
      <w:proofErr w:type="spellEnd"/>
      <w:r w:rsidRPr="00C74BEB">
        <w:t>, 2012 CSC 47,</w:t>
      </w:r>
      <w:r w:rsidR="00772C58">
        <w:t xml:space="preserve"> [2012] 2 R.C.S. </w:t>
      </w:r>
      <w:r w:rsidR="00D346C1">
        <w:t>584</w:t>
      </w:r>
      <w:r w:rsidR="00772C58">
        <w:t>,</w:t>
      </w:r>
      <w:r w:rsidRPr="00C74BEB">
        <w:t xml:space="preserve"> </w:t>
      </w:r>
      <w:r w:rsidR="00707E6F" w:rsidRPr="00C74BEB">
        <w:t xml:space="preserve">dans le cas du VIH, </w:t>
      </w:r>
      <w:r w:rsidRPr="00C74BEB">
        <w:rPr>
          <w:szCs w:val="24"/>
        </w:rPr>
        <w:t>la possibilité réaliste de transm</w:t>
      </w:r>
      <w:r w:rsidR="00707E6F" w:rsidRPr="00C74BEB">
        <w:rPr>
          <w:szCs w:val="24"/>
        </w:rPr>
        <w:t>ission</w:t>
      </w:r>
      <w:r w:rsidRPr="00C74BEB">
        <w:rPr>
          <w:szCs w:val="24"/>
        </w:rPr>
        <w:t xml:space="preserve"> crée un risque important de lésions corporelles graves. </w:t>
      </w:r>
      <w:r w:rsidR="00732601" w:rsidRPr="00C74BEB">
        <w:rPr>
          <w:szCs w:val="24"/>
        </w:rPr>
        <w:t xml:space="preserve"> </w:t>
      </w:r>
      <w:r w:rsidRPr="00C74BEB">
        <w:rPr>
          <w:iCs/>
          <w:szCs w:val="24"/>
        </w:rPr>
        <w:t>Au vu des faits de l’espèce, il y avait obligation d’utiliser le condom pour exclure la possibilité réaliste de transmission du VIH.</w:t>
      </w:r>
      <w:r w:rsidRPr="00C74BEB">
        <w:rPr>
          <w:szCs w:val="24"/>
        </w:rPr>
        <w:t xml:space="preserve"> </w:t>
      </w:r>
      <w:r w:rsidR="00732601" w:rsidRPr="00C74BEB">
        <w:rPr>
          <w:szCs w:val="24"/>
        </w:rPr>
        <w:t xml:space="preserve"> </w:t>
      </w:r>
      <w:r w:rsidR="00173F08" w:rsidRPr="00C74BEB">
        <w:rPr>
          <w:szCs w:val="24"/>
        </w:rPr>
        <w:t>Étant donné</w:t>
      </w:r>
      <w:r w:rsidRPr="00C74BEB">
        <w:rPr>
          <w:szCs w:val="24"/>
        </w:rPr>
        <w:t xml:space="preserve"> l’absence de crédibilité du plaignant, le juge du procès ne pouvait </w:t>
      </w:r>
      <w:r w:rsidR="00707E6F" w:rsidRPr="00C74BEB">
        <w:rPr>
          <w:szCs w:val="24"/>
        </w:rPr>
        <w:t>prononcer une déclaration</w:t>
      </w:r>
      <w:r w:rsidRPr="00C74BEB">
        <w:rPr>
          <w:szCs w:val="24"/>
        </w:rPr>
        <w:t xml:space="preserve"> de culpabilité que s</w:t>
      </w:r>
      <w:r w:rsidR="003A3841" w:rsidRPr="00C74BEB">
        <w:rPr>
          <w:szCs w:val="24"/>
        </w:rPr>
        <w:t>i</w:t>
      </w:r>
      <w:r w:rsidRPr="00C74BEB">
        <w:rPr>
          <w:szCs w:val="24"/>
        </w:rPr>
        <w:t xml:space="preserve"> l’inutilisation du condom</w:t>
      </w:r>
      <w:r w:rsidR="003A3841" w:rsidRPr="00C74BEB">
        <w:rPr>
          <w:szCs w:val="24"/>
        </w:rPr>
        <w:t xml:space="preserve"> était établie par ailleurs</w:t>
      </w:r>
      <w:r w:rsidRPr="00C74BEB">
        <w:rPr>
          <w:iCs/>
          <w:szCs w:val="24"/>
        </w:rPr>
        <w:t xml:space="preserve">.  En l’espèce, il </w:t>
      </w:r>
      <w:r w:rsidRPr="00C74BEB">
        <w:rPr>
          <w:szCs w:val="24"/>
        </w:rPr>
        <w:t xml:space="preserve">a commis une erreur de droit en se fondant sur </w:t>
      </w:r>
      <w:r w:rsidR="00BB3CC6" w:rsidRPr="00C74BEB">
        <w:rPr>
          <w:szCs w:val="24"/>
        </w:rPr>
        <w:t>une</w:t>
      </w:r>
      <w:r w:rsidRPr="00C74BEB">
        <w:rPr>
          <w:szCs w:val="24"/>
        </w:rPr>
        <w:t xml:space="preserve"> </w:t>
      </w:r>
      <w:r w:rsidR="003A3841" w:rsidRPr="00C74BEB">
        <w:rPr>
          <w:szCs w:val="24"/>
        </w:rPr>
        <w:t>conjectur</w:t>
      </w:r>
      <w:r w:rsidRPr="00C74BEB">
        <w:rPr>
          <w:szCs w:val="24"/>
        </w:rPr>
        <w:t>e comme s’il s’agissait d’</w:t>
      </w:r>
      <w:r w:rsidR="00BB3CC6" w:rsidRPr="00C74BEB">
        <w:rPr>
          <w:szCs w:val="24"/>
        </w:rPr>
        <w:t xml:space="preserve">un </w:t>
      </w:r>
      <w:r w:rsidRPr="00C74BEB">
        <w:rPr>
          <w:szCs w:val="24"/>
        </w:rPr>
        <w:t xml:space="preserve">élément de preuve corroborant le témoignage du plaignant selon </w:t>
      </w:r>
      <w:r w:rsidR="003A3841" w:rsidRPr="00C74BEB">
        <w:rPr>
          <w:szCs w:val="24"/>
        </w:rPr>
        <w:t>le</w:t>
      </w:r>
      <w:r w:rsidRPr="00C74BEB">
        <w:rPr>
          <w:szCs w:val="24"/>
        </w:rPr>
        <w:t>qu</w:t>
      </w:r>
      <w:r w:rsidR="003A3841" w:rsidRPr="00C74BEB">
        <w:rPr>
          <w:szCs w:val="24"/>
        </w:rPr>
        <w:t>el</w:t>
      </w:r>
      <w:r w:rsidRPr="00C74BEB">
        <w:rPr>
          <w:szCs w:val="24"/>
        </w:rPr>
        <w:t xml:space="preserve"> aucun condom n’avait été utilisé.</w:t>
      </w:r>
      <w:r w:rsidRPr="00C74BEB">
        <w:rPr>
          <w:iCs/>
          <w:szCs w:val="24"/>
        </w:rPr>
        <w:t xml:space="preserve"> </w:t>
      </w:r>
      <w:r w:rsidR="00732601" w:rsidRPr="00C74BEB">
        <w:rPr>
          <w:iCs/>
          <w:szCs w:val="24"/>
        </w:rPr>
        <w:t xml:space="preserve"> </w:t>
      </w:r>
      <w:r w:rsidRPr="00C74BEB">
        <w:rPr>
          <w:iCs/>
          <w:szCs w:val="24"/>
        </w:rPr>
        <w:t xml:space="preserve">Il ne lui était pas loisible de </w:t>
      </w:r>
      <w:r w:rsidR="004735FA" w:rsidRPr="00C74BEB">
        <w:rPr>
          <w:iCs/>
          <w:szCs w:val="24"/>
        </w:rPr>
        <w:t>s’appuy</w:t>
      </w:r>
      <w:r w:rsidRPr="00C74BEB">
        <w:rPr>
          <w:iCs/>
          <w:szCs w:val="24"/>
        </w:rPr>
        <w:t xml:space="preserve">er sur </w:t>
      </w:r>
      <w:r w:rsidRPr="00C74BEB">
        <w:rPr>
          <w:szCs w:val="24"/>
        </w:rPr>
        <w:t>une série de conclusions conjecturales concernant un prétendu mensonge et ce qui l’a</w:t>
      </w:r>
      <w:r w:rsidR="00BB3CC6" w:rsidRPr="00C74BEB">
        <w:rPr>
          <w:szCs w:val="24"/>
        </w:rPr>
        <w:t>v</w:t>
      </w:r>
      <w:r w:rsidRPr="00C74BEB">
        <w:rPr>
          <w:szCs w:val="24"/>
        </w:rPr>
        <w:t xml:space="preserve">ait motivé, </w:t>
      </w:r>
      <w:r w:rsidR="00CE4BB7" w:rsidRPr="00C74BEB">
        <w:rPr>
          <w:szCs w:val="24"/>
        </w:rPr>
        <w:t xml:space="preserve">des conclusions </w:t>
      </w:r>
      <w:r w:rsidRPr="00C74BEB">
        <w:rPr>
          <w:szCs w:val="24"/>
        </w:rPr>
        <w:t>tirées à partir d’une note rédigée sept ans auparavant qui ne constitu</w:t>
      </w:r>
      <w:r w:rsidR="003A3841" w:rsidRPr="00C74BEB">
        <w:rPr>
          <w:szCs w:val="24"/>
        </w:rPr>
        <w:t>ait</w:t>
      </w:r>
      <w:r w:rsidRPr="00C74BEB">
        <w:rPr>
          <w:szCs w:val="24"/>
        </w:rPr>
        <w:t xml:space="preserve"> pas une preuve indépendante. </w:t>
      </w:r>
      <w:r w:rsidR="00732601" w:rsidRPr="00C74BEB">
        <w:rPr>
          <w:szCs w:val="24"/>
        </w:rPr>
        <w:t xml:space="preserve"> </w:t>
      </w:r>
      <w:r w:rsidR="003A3841" w:rsidRPr="00C74BEB">
        <w:rPr>
          <w:szCs w:val="24"/>
        </w:rPr>
        <w:t>L</w:t>
      </w:r>
      <w:r w:rsidRPr="00C74BEB">
        <w:rPr>
          <w:szCs w:val="24"/>
        </w:rPr>
        <w:t xml:space="preserve">a poursuite n’a </w:t>
      </w:r>
      <w:r w:rsidR="003A3841" w:rsidRPr="00C74BEB">
        <w:rPr>
          <w:szCs w:val="24"/>
        </w:rPr>
        <w:t xml:space="preserve">donc </w:t>
      </w:r>
      <w:r w:rsidRPr="00C74BEB">
        <w:rPr>
          <w:szCs w:val="24"/>
        </w:rPr>
        <w:t>pas établi hors de tout doute raisonnable la culpabilité de D.C. à l’égard des accusations qui pesaient contre elle</w:t>
      </w:r>
      <w:r w:rsidRPr="00C74BEB">
        <w:rPr>
          <w:iCs/>
          <w:szCs w:val="24"/>
        </w:rPr>
        <w:t>.</w:t>
      </w:r>
    </w:p>
    <w:p w:rsidR="007E1C47" w:rsidRPr="00C74BEB" w:rsidRDefault="0043088E" w:rsidP="00732601">
      <w:pPr>
        <w:pStyle w:val="SCCNormalDoubleSpacing"/>
        <w:keepNext/>
        <w:spacing w:after="480"/>
        <w:rPr>
          <w:b/>
        </w:rPr>
      </w:pPr>
      <w:r w:rsidRPr="00C74BEB">
        <w:rPr>
          <w:b/>
        </w:rPr>
        <w:lastRenderedPageBreak/>
        <w:t>Jurisprudence</w:t>
      </w:r>
    </w:p>
    <w:p w:rsidR="002E6705" w:rsidRPr="00C74BEB" w:rsidRDefault="002E6705" w:rsidP="005A15D0">
      <w:pPr>
        <w:pStyle w:val="SCCNormalDoubleSpacing"/>
        <w:widowControl w:val="0"/>
        <w:spacing w:after="720"/>
        <w:rPr>
          <w:b/>
        </w:rPr>
      </w:pPr>
      <w:r w:rsidRPr="00C74BEB">
        <w:tab/>
      </w:r>
      <w:r w:rsidR="006B5BCE" w:rsidRPr="00C74BEB">
        <w:rPr>
          <w:b/>
        </w:rPr>
        <w:t>A</w:t>
      </w:r>
      <w:r w:rsidR="006B5BCE" w:rsidRPr="00C74BEB">
        <w:rPr>
          <w:b/>
          <w:szCs w:val="24"/>
        </w:rPr>
        <w:t>rrêt appliqué :</w:t>
      </w:r>
      <w:r w:rsidR="006B5BCE" w:rsidRPr="00C74BEB">
        <w:rPr>
          <w:szCs w:val="24"/>
        </w:rPr>
        <w:t xml:space="preserve"> </w:t>
      </w:r>
      <w:r w:rsidR="006B5BCE" w:rsidRPr="00C74BEB">
        <w:rPr>
          <w:i/>
        </w:rPr>
        <w:t xml:space="preserve">R. c. </w:t>
      </w:r>
      <w:proofErr w:type="spellStart"/>
      <w:r w:rsidR="006B5BCE" w:rsidRPr="00C74BEB">
        <w:rPr>
          <w:i/>
        </w:rPr>
        <w:t>Mabior</w:t>
      </w:r>
      <w:proofErr w:type="spellEnd"/>
      <w:r w:rsidR="006B5BCE" w:rsidRPr="00C74BEB">
        <w:t>, 2012 CSC 47</w:t>
      </w:r>
      <w:r w:rsidR="00772C58">
        <w:t xml:space="preserve">, [2012] 2 R.C.S. </w:t>
      </w:r>
      <w:r w:rsidR="00AB0078">
        <w:t>584</w:t>
      </w:r>
      <w:r w:rsidR="006B5BCE" w:rsidRPr="00C74BEB">
        <w:t>;</w:t>
      </w:r>
      <w:r w:rsidR="006B5BCE" w:rsidRPr="00C74BEB">
        <w:rPr>
          <w:szCs w:val="24"/>
        </w:rPr>
        <w:t xml:space="preserve"> </w:t>
      </w:r>
      <w:r w:rsidR="006B5BCE" w:rsidRPr="00C74BEB">
        <w:rPr>
          <w:b/>
        </w:rPr>
        <w:t>a</w:t>
      </w:r>
      <w:r w:rsidR="0043088E" w:rsidRPr="00C74BEB">
        <w:rPr>
          <w:b/>
        </w:rPr>
        <w:t>rrêt</w:t>
      </w:r>
      <w:r w:rsidR="006B5BCE" w:rsidRPr="00C74BEB">
        <w:rPr>
          <w:b/>
        </w:rPr>
        <w:t xml:space="preserve"> mentionné</w:t>
      </w:r>
      <w:r w:rsidR="00732601" w:rsidRPr="00C74BEB">
        <w:rPr>
          <w:b/>
        </w:rPr>
        <w:t> :</w:t>
      </w:r>
      <w:r w:rsidR="00172A04" w:rsidRPr="00C74BEB">
        <w:t xml:space="preserve"> </w:t>
      </w:r>
      <w:r w:rsidR="001C6B9C" w:rsidRPr="00C74BEB">
        <w:rPr>
          <w:i/>
        </w:rPr>
        <w:t>R. c. Cuerrier</w:t>
      </w:r>
      <w:r w:rsidR="001C6B9C" w:rsidRPr="00C74BEB">
        <w:t>, [1998] 2 R.C.S. 371.</w:t>
      </w:r>
    </w:p>
    <w:p w:rsidR="00231F3A" w:rsidRPr="00C74BEB" w:rsidRDefault="0043088E" w:rsidP="005257A5">
      <w:pPr>
        <w:pStyle w:val="SCCNormalDoubleSpacing"/>
        <w:keepNext/>
        <w:spacing w:after="480"/>
        <w:rPr>
          <w:b/>
        </w:rPr>
      </w:pPr>
      <w:r w:rsidRPr="00C74BEB">
        <w:rPr>
          <w:b/>
        </w:rPr>
        <w:t>Lois</w:t>
      </w:r>
      <w:r w:rsidR="002E6705" w:rsidRPr="00C74BEB">
        <w:rPr>
          <w:b/>
        </w:rPr>
        <w:t xml:space="preserve"> </w:t>
      </w:r>
      <w:r w:rsidR="008A6558" w:rsidRPr="00C74BEB">
        <w:rPr>
          <w:b/>
        </w:rPr>
        <w:t>et</w:t>
      </w:r>
      <w:r w:rsidR="002E6705" w:rsidRPr="00C74BEB">
        <w:rPr>
          <w:b/>
        </w:rPr>
        <w:t xml:space="preserve"> </w:t>
      </w:r>
      <w:r w:rsidRPr="00C74BEB">
        <w:rPr>
          <w:b/>
        </w:rPr>
        <w:t>rè</w:t>
      </w:r>
      <w:r w:rsidR="002E6705" w:rsidRPr="00C74BEB">
        <w:rPr>
          <w:b/>
        </w:rPr>
        <w:t>gl</w:t>
      </w:r>
      <w:r w:rsidRPr="00C74BEB">
        <w:rPr>
          <w:b/>
        </w:rPr>
        <w:t>ements</w:t>
      </w:r>
      <w:r w:rsidR="002E6705" w:rsidRPr="00C74BEB">
        <w:rPr>
          <w:b/>
        </w:rPr>
        <w:t xml:space="preserve"> </w:t>
      </w:r>
      <w:r w:rsidRPr="00C74BEB">
        <w:rPr>
          <w:b/>
        </w:rPr>
        <w:t>c</w:t>
      </w:r>
      <w:r w:rsidR="002E6705" w:rsidRPr="00C74BEB">
        <w:rPr>
          <w:b/>
        </w:rPr>
        <w:t>it</w:t>
      </w:r>
      <w:r w:rsidRPr="00C74BEB">
        <w:rPr>
          <w:b/>
        </w:rPr>
        <w:t>és</w:t>
      </w:r>
    </w:p>
    <w:p w:rsidR="001C6B9C" w:rsidRPr="00C74BEB" w:rsidRDefault="001C6B9C" w:rsidP="005257A5">
      <w:pPr>
        <w:pStyle w:val="SCCNormalDoubleSpacing"/>
        <w:spacing w:after="720" w:line="240" w:lineRule="auto"/>
        <w:ind w:left="540" w:hanging="540"/>
      </w:pPr>
      <w:r w:rsidRPr="00C74BEB">
        <w:rPr>
          <w:i/>
        </w:rPr>
        <w:t>Code criminel</w:t>
      </w:r>
      <w:r w:rsidRPr="00C74BEB">
        <w:t xml:space="preserve">, L.R.C. 1985, </w:t>
      </w:r>
      <w:r w:rsidR="00732601" w:rsidRPr="00C74BEB">
        <w:t>ch. </w:t>
      </w:r>
      <w:r w:rsidRPr="00C74BEB">
        <w:t>C</w:t>
      </w:r>
      <w:r w:rsidR="00732601" w:rsidRPr="00C74BEB">
        <w:noBreakHyphen/>
      </w:r>
      <w:r w:rsidRPr="00C74BEB">
        <w:t xml:space="preserve">46, </w:t>
      </w:r>
      <w:r w:rsidR="00732601" w:rsidRPr="00C74BEB">
        <w:t>art. </w:t>
      </w:r>
      <w:r w:rsidRPr="00C74BEB">
        <w:t>265(3)</w:t>
      </w:r>
      <w:r w:rsidRPr="00C74BEB">
        <w:rPr>
          <w:i/>
        </w:rPr>
        <w:t>c</w:t>
      </w:r>
      <w:r w:rsidRPr="00C74BEB">
        <w:t>), 686(1)</w:t>
      </w:r>
      <w:r w:rsidRPr="00C74BEB">
        <w:rPr>
          <w:i/>
        </w:rPr>
        <w:t>a</w:t>
      </w:r>
      <w:r w:rsidRPr="00C74BEB">
        <w:t>)(ii).</w:t>
      </w:r>
    </w:p>
    <w:p w:rsidR="00D5435D" w:rsidRPr="00C74BEB" w:rsidRDefault="00151D06" w:rsidP="005257A5">
      <w:pPr>
        <w:pStyle w:val="SCCNormalDoubleSpacing"/>
        <w:spacing w:after="480"/>
      </w:pPr>
      <w:r w:rsidRPr="00C74BEB">
        <w:tab/>
      </w:r>
      <w:r w:rsidR="009B57B3" w:rsidRPr="00C74BEB">
        <w:t>P</w:t>
      </w:r>
      <w:r w:rsidR="0043088E" w:rsidRPr="00C74BEB">
        <w:t>OURVOI contre un arrêt de la</w:t>
      </w:r>
      <w:r w:rsidR="009B57B3" w:rsidRPr="00C74BEB">
        <w:t xml:space="preserve"> Cour d’appel du Québec</w:t>
      </w:r>
      <w:r w:rsidR="00DE7F06" w:rsidRPr="00C74BEB">
        <w:t xml:space="preserve"> (les juges Chamberland, Léger et Gagnon), 2010 QCCA 2289, [2011] R.J.Q. 18, 270 C.C.C. (3d) 50, 81 C.R. (6th) 336, [2010] J.Q. n</w:t>
      </w:r>
      <w:r w:rsidR="00DE7F06" w:rsidRPr="00C74BEB">
        <w:rPr>
          <w:vertAlign w:val="superscript"/>
        </w:rPr>
        <w:t>o</w:t>
      </w:r>
      <w:r w:rsidR="00732601" w:rsidRPr="00C74BEB">
        <w:t> </w:t>
      </w:r>
      <w:r w:rsidR="00DE7F06" w:rsidRPr="00C74BEB">
        <w:t xml:space="preserve">13599 (QL), 2010 </w:t>
      </w:r>
      <w:proofErr w:type="spellStart"/>
      <w:r w:rsidR="00DE7F06" w:rsidRPr="00C74BEB">
        <w:t>CarswellQue</w:t>
      </w:r>
      <w:proofErr w:type="spellEnd"/>
      <w:r w:rsidR="00DE7F06" w:rsidRPr="00C74BEB">
        <w:t xml:space="preserve"> 13482, </w:t>
      </w:r>
      <w:r w:rsidR="007C7616" w:rsidRPr="00C74BEB">
        <w:t xml:space="preserve">SOQUIJ AZ-50700564, </w:t>
      </w:r>
      <w:r w:rsidR="00DE7F06" w:rsidRPr="00C74BEB">
        <w:t xml:space="preserve">qui a annulé les déclarations de culpabilité </w:t>
      </w:r>
      <w:r w:rsidR="00717CCE" w:rsidRPr="00C74BEB">
        <w:t>d’</w:t>
      </w:r>
      <w:r w:rsidR="006B5BCE" w:rsidRPr="00C74BEB">
        <w:t xml:space="preserve">agression sexuelle et </w:t>
      </w:r>
      <w:r w:rsidR="00717CCE" w:rsidRPr="00C74BEB">
        <w:t xml:space="preserve">de </w:t>
      </w:r>
      <w:r w:rsidR="006B5BCE" w:rsidRPr="00C74BEB">
        <w:t xml:space="preserve">voies de fait graves </w:t>
      </w:r>
      <w:r w:rsidR="003148A1" w:rsidRPr="00C74BEB">
        <w:t>inscrites</w:t>
      </w:r>
      <w:r w:rsidR="00DE7F06" w:rsidRPr="00C74BEB">
        <w:t xml:space="preserve"> par le juge Bisson, 2008 QCCQ 629, [2008] J.Q. n</w:t>
      </w:r>
      <w:r w:rsidR="00DE7F06" w:rsidRPr="00C74BEB">
        <w:rPr>
          <w:vertAlign w:val="superscript"/>
        </w:rPr>
        <w:t>o</w:t>
      </w:r>
      <w:r w:rsidR="00732601" w:rsidRPr="00C74BEB">
        <w:t> </w:t>
      </w:r>
      <w:r w:rsidR="00DE7F06" w:rsidRPr="00C74BEB">
        <w:t xml:space="preserve">994 (QL), 2008 </w:t>
      </w:r>
      <w:proofErr w:type="spellStart"/>
      <w:r w:rsidR="00DE7F06" w:rsidRPr="00C74BEB">
        <w:t>CarswellQue</w:t>
      </w:r>
      <w:proofErr w:type="spellEnd"/>
      <w:r w:rsidR="00DE7F06" w:rsidRPr="00C74BEB">
        <w:t xml:space="preserve"> 986</w:t>
      </w:r>
      <w:r w:rsidR="00577B04" w:rsidRPr="00C74BEB">
        <w:t>, SOQUIJ AZ-50473926</w:t>
      </w:r>
      <w:r w:rsidR="00DE7F06" w:rsidRPr="00C74BEB">
        <w:t xml:space="preserve">.  Pourvoi </w:t>
      </w:r>
      <w:r w:rsidR="00B41C26" w:rsidRPr="00C74BEB">
        <w:t>rejeté</w:t>
      </w:r>
      <w:r w:rsidR="00DE7F06" w:rsidRPr="00C74BEB">
        <w:t>.</w:t>
      </w:r>
    </w:p>
    <w:p w:rsidR="00093DBE" w:rsidRPr="00C74BEB" w:rsidRDefault="00154A72" w:rsidP="005257A5">
      <w:pPr>
        <w:pStyle w:val="SCCNormalDoubleSpacing"/>
        <w:spacing w:after="480"/>
      </w:pPr>
      <w:r w:rsidRPr="00C74BEB">
        <w:rPr>
          <w:i/>
        </w:rPr>
        <w:tab/>
      </w:r>
      <w:r w:rsidR="000C5D5F" w:rsidRPr="00C74BEB">
        <w:rPr>
          <w:i/>
        </w:rPr>
        <w:t xml:space="preserve">Caroline Fontaine </w:t>
      </w:r>
      <w:r w:rsidR="000C5D5F" w:rsidRPr="00C74BEB">
        <w:t>et</w:t>
      </w:r>
      <w:r w:rsidR="000C5D5F" w:rsidRPr="00C74BEB">
        <w:rPr>
          <w:i/>
        </w:rPr>
        <w:t xml:space="preserve"> </w:t>
      </w:r>
      <w:r w:rsidRPr="00C74BEB">
        <w:rPr>
          <w:i/>
        </w:rPr>
        <w:t>Magalie Cimon</w:t>
      </w:r>
      <w:r w:rsidR="00151D06" w:rsidRPr="00C74BEB">
        <w:t>, pour l’</w:t>
      </w:r>
      <w:r w:rsidRPr="00C74BEB">
        <w:t>appelante.</w:t>
      </w:r>
    </w:p>
    <w:p w:rsidR="00093DBE" w:rsidRPr="00C74BEB" w:rsidRDefault="00154A72" w:rsidP="005257A5">
      <w:pPr>
        <w:pStyle w:val="SCCNormalDoubleSpacing"/>
        <w:spacing w:after="480"/>
      </w:pPr>
      <w:r w:rsidRPr="00C74BEB">
        <w:rPr>
          <w:i/>
        </w:rPr>
        <w:tab/>
        <w:t>Christian Desrosiers</w:t>
      </w:r>
      <w:r w:rsidR="00151D06" w:rsidRPr="00C74BEB">
        <w:t>, pour l’intimée</w:t>
      </w:r>
      <w:r w:rsidRPr="00C74BEB">
        <w:t>.</w:t>
      </w:r>
    </w:p>
    <w:p w:rsidR="00B933E3" w:rsidRPr="00C74BEB" w:rsidRDefault="00B933E3" w:rsidP="005257A5">
      <w:pPr>
        <w:pStyle w:val="SCCNormalDoubleSpacing"/>
        <w:spacing w:after="480"/>
      </w:pPr>
      <w:r w:rsidRPr="00C74BEB">
        <w:rPr>
          <w:i/>
        </w:rPr>
        <w:tab/>
        <w:t xml:space="preserve">Christine </w:t>
      </w:r>
      <w:proofErr w:type="spellStart"/>
      <w:r w:rsidRPr="00C74BEB">
        <w:rPr>
          <w:i/>
        </w:rPr>
        <w:t>Rideout</w:t>
      </w:r>
      <w:proofErr w:type="spellEnd"/>
      <w:r w:rsidRPr="00C74BEB">
        <w:t>, pour l’intervenant le procureur général de l’Alberta.</w:t>
      </w:r>
    </w:p>
    <w:p w:rsidR="00093DBE" w:rsidRPr="00C74BEB" w:rsidRDefault="00154A72" w:rsidP="005257A5">
      <w:pPr>
        <w:pStyle w:val="SCCNormalDoubleSpacing"/>
        <w:spacing w:after="480"/>
      </w:pPr>
      <w:r w:rsidRPr="00C74BEB">
        <w:rPr>
          <w:i/>
        </w:rPr>
        <w:lastRenderedPageBreak/>
        <w:tab/>
        <w:t xml:space="preserve">Jonathan </w:t>
      </w:r>
      <w:proofErr w:type="spellStart"/>
      <w:r w:rsidRPr="00C74BEB">
        <w:rPr>
          <w:i/>
        </w:rPr>
        <w:t>Shime</w:t>
      </w:r>
      <w:proofErr w:type="spellEnd"/>
      <w:r w:rsidRPr="00C74BEB">
        <w:t xml:space="preserve">, </w:t>
      </w:r>
      <w:r w:rsidRPr="00C74BEB">
        <w:rPr>
          <w:i/>
        </w:rPr>
        <w:t>Corie Langdon</w:t>
      </w:r>
      <w:r w:rsidRPr="00E73C80">
        <w:t>,</w:t>
      </w:r>
      <w:r w:rsidRPr="00C74BEB">
        <w:rPr>
          <w:i/>
        </w:rPr>
        <w:t xml:space="preserve"> Richard Elliott </w:t>
      </w:r>
      <w:r w:rsidR="00B933E3" w:rsidRPr="00C74BEB">
        <w:t xml:space="preserve">et </w:t>
      </w:r>
      <w:r w:rsidRPr="00C74BEB">
        <w:rPr>
          <w:i/>
        </w:rPr>
        <w:t>Ryan Peck</w:t>
      </w:r>
      <w:r w:rsidRPr="00C74BEB">
        <w:t>, pour l</w:t>
      </w:r>
      <w:r w:rsidR="00B933E3" w:rsidRPr="00C74BEB">
        <w:t xml:space="preserve">es </w:t>
      </w:r>
      <w:r w:rsidRPr="00C74BEB">
        <w:t>intervenant</w:t>
      </w:r>
      <w:r w:rsidR="00B933E3" w:rsidRPr="00C74BEB">
        <w:t>s</w:t>
      </w:r>
      <w:r w:rsidRPr="00C74BEB">
        <w:t xml:space="preserve"> </w:t>
      </w:r>
      <w:r w:rsidR="00B933E3" w:rsidRPr="00C74BEB">
        <w:t xml:space="preserve">le </w:t>
      </w:r>
      <w:r w:rsidRPr="00C74BEB">
        <w:t>Réseau juridique canadien VIH/sida</w:t>
      </w:r>
      <w:r w:rsidR="00B933E3" w:rsidRPr="00C74BEB">
        <w:t xml:space="preserve">, HIV &amp; AIDS </w:t>
      </w:r>
      <w:proofErr w:type="spellStart"/>
      <w:r w:rsidR="00B933E3" w:rsidRPr="00C74BEB">
        <w:t>Legal</w:t>
      </w:r>
      <w:proofErr w:type="spellEnd"/>
      <w:r w:rsidR="00B933E3" w:rsidRPr="00C74BEB">
        <w:t xml:space="preserve"> </w:t>
      </w:r>
      <w:proofErr w:type="spellStart"/>
      <w:r w:rsidR="00B933E3" w:rsidRPr="00C74BEB">
        <w:t>Clinic</w:t>
      </w:r>
      <w:proofErr w:type="spellEnd"/>
      <w:r w:rsidR="00B933E3" w:rsidRPr="00C74BEB">
        <w:t xml:space="preserve"> Ontario, la Coalition des organismes communautaires québécois de lutte contre le sida, Positive Living Society of British Columbia, la Société canadienne du sida, Toronto People </w:t>
      </w:r>
      <w:proofErr w:type="spellStart"/>
      <w:r w:rsidR="00B933E3" w:rsidRPr="00C74BEB">
        <w:t>With</w:t>
      </w:r>
      <w:proofErr w:type="spellEnd"/>
      <w:r w:rsidR="00B933E3" w:rsidRPr="00C74BEB">
        <w:t xml:space="preserve"> AIDS </w:t>
      </w:r>
      <w:proofErr w:type="spellStart"/>
      <w:r w:rsidR="00B933E3" w:rsidRPr="00C74BEB">
        <w:t>Foundation</w:t>
      </w:r>
      <w:proofErr w:type="spellEnd"/>
      <w:r w:rsidR="00B933E3" w:rsidRPr="00C74BEB">
        <w:t xml:space="preserve">, Black Coalition for AIDS </w:t>
      </w:r>
      <w:proofErr w:type="spellStart"/>
      <w:r w:rsidR="00B933E3" w:rsidRPr="00C74BEB">
        <w:t>Prevention</w:t>
      </w:r>
      <w:proofErr w:type="spellEnd"/>
      <w:r w:rsidR="000C5D5F" w:rsidRPr="00C74BEB">
        <w:t xml:space="preserve"> et</w:t>
      </w:r>
      <w:r w:rsidR="00B933E3" w:rsidRPr="00C74BEB">
        <w:t xml:space="preserve"> </w:t>
      </w:r>
      <w:r w:rsidR="00E90C87" w:rsidRPr="00C74BEB">
        <w:t>le Réseau canadien autochtone du sida</w:t>
      </w:r>
      <w:r w:rsidRPr="00C74BEB">
        <w:t>.</w:t>
      </w:r>
    </w:p>
    <w:p w:rsidR="00093DBE" w:rsidRPr="00C74BEB" w:rsidRDefault="005257A5" w:rsidP="005257A5">
      <w:pPr>
        <w:pStyle w:val="SCCNormalDoubleSpacing"/>
        <w:spacing w:after="480"/>
      </w:pPr>
      <w:r w:rsidRPr="00C74BEB">
        <w:rPr>
          <w:i/>
        </w:rPr>
        <w:tab/>
      </w:r>
      <w:r w:rsidR="00732601" w:rsidRPr="00C74BEB">
        <w:rPr>
          <w:i/>
        </w:rPr>
        <w:t>P. </w:t>
      </w:r>
      <w:proofErr w:type="spellStart"/>
      <w:r w:rsidR="00154A72" w:rsidRPr="00C74BEB">
        <w:rPr>
          <w:i/>
        </w:rPr>
        <w:t>Andras</w:t>
      </w:r>
      <w:proofErr w:type="spellEnd"/>
      <w:r w:rsidR="00154A72" w:rsidRPr="00C74BEB">
        <w:rPr>
          <w:i/>
        </w:rPr>
        <w:t xml:space="preserve"> </w:t>
      </w:r>
      <w:proofErr w:type="spellStart"/>
      <w:r w:rsidR="00154A72" w:rsidRPr="00C74BEB">
        <w:rPr>
          <w:i/>
        </w:rPr>
        <w:t>Schreck</w:t>
      </w:r>
      <w:proofErr w:type="spellEnd"/>
      <w:r w:rsidR="00154A72" w:rsidRPr="00C74BEB">
        <w:t xml:space="preserve"> et </w:t>
      </w:r>
      <w:r w:rsidR="00154A72" w:rsidRPr="00C74BEB">
        <w:rPr>
          <w:i/>
        </w:rPr>
        <w:t>Candice Suter</w:t>
      </w:r>
      <w:r w:rsidR="00154A72" w:rsidRPr="00C74BEB">
        <w:t>, pour l</w:t>
      </w:r>
      <w:r w:rsidR="00B933E3" w:rsidRPr="00C74BEB">
        <w:t>’</w:t>
      </w:r>
      <w:r w:rsidR="00154A72" w:rsidRPr="00C74BEB">
        <w:t xml:space="preserve">intervenante </w:t>
      </w:r>
      <w:proofErr w:type="spellStart"/>
      <w:r w:rsidR="00154A72" w:rsidRPr="00C74BEB">
        <w:t>Criminal</w:t>
      </w:r>
      <w:proofErr w:type="spellEnd"/>
      <w:r w:rsidR="00154A72" w:rsidRPr="00C74BEB">
        <w:t xml:space="preserve"> </w:t>
      </w:r>
      <w:proofErr w:type="spellStart"/>
      <w:r w:rsidR="00154A72" w:rsidRPr="00C74BEB">
        <w:t>Lawyers</w:t>
      </w:r>
      <w:proofErr w:type="spellEnd"/>
      <w:r w:rsidR="00B933E3" w:rsidRPr="00C74BEB">
        <w:t>’</w:t>
      </w:r>
      <w:r w:rsidR="00154A72" w:rsidRPr="00C74BEB">
        <w:t xml:space="preserve"> Association of Ontario.</w:t>
      </w:r>
    </w:p>
    <w:p w:rsidR="00093DBE" w:rsidRPr="00C74BEB" w:rsidRDefault="005257A5" w:rsidP="005257A5">
      <w:pPr>
        <w:pStyle w:val="SCCNormalDoubleSpacing"/>
        <w:spacing w:after="480"/>
      </w:pPr>
      <w:r w:rsidRPr="00C74BEB">
        <w:rPr>
          <w:i/>
        </w:rPr>
        <w:tab/>
        <w:t>Michael </w:t>
      </w:r>
      <w:r w:rsidR="00154A72" w:rsidRPr="00C74BEB">
        <w:rPr>
          <w:i/>
        </w:rPr>
        <w:t xml:space="preserve">A. </w:t>
      </w:r>
      <w:proofErr w:type="spellStart"/>
      <w:r w:rsidR="00154A72" w:rsidRPr="00C74BEB">
        <w:rPr>
          <w:i/>
        </w:rPr>
        <w:t>Feder</w:t>
      </w:r>
      <w:proofErr w:type="spellEnd"/>
      <w:r w:rsidR="00154A72" w:rsidRPr="00C74BEB">
        <w:t xml:space="preserve"> et </w:t>
      </w:r>
      <w:r w:rsidR="00732601" w:rsidRPr="00C74BEB">
        <w:rPr>
          <w:i/>
        </w:rPr>
        <w:t>Angela </w:t>
      </w:r>
      <w:r w:rsidR="00154A72" w:rsidRPr="00C74BEB">
        <w:rPr>
          <w:i/>
        </w:rPr>
        <w:t>M. Juba</w:t>
      </w:r>
      <w:r w:rsidR="00154A72" w:rsidRPr="00C74BEB">
        <w:t>, pour l</w:t>
      </w:r>
      <w:r w:rsidR="00B933E3" w:rsidRPr="00C74BEB">
        <w:t>’</w:t>
      </w:r>
      <w:r w:rsidR="00154A72" w:rsidRPr="00C74BEB">
        <w:t xml:space="preserve">intervenante </w:t>
      </w:r>
      <w:r w:rsidR="00B933E3" w:rsidRPr="00C74BEB">
        <w:t xml:space="preserve">l’Association des libertés civiles de la </w:t>
      </w:r>
      <w:proofErr w:type="spellStart"/>
      <w:r w:rsidR="00B933E3" w:rsidRPr="00C74BEB">
        <w:t>Colombie</w:t>
      </w:r>
      <w:r w:rsidR="00732601" w:rsidRPr="00C74BEB">
        <w:noBreakHyphen/>
      </w:r>
      <w:r w:rsidR="00B933E3" w:rsidRPr="00C74BEB">
        <w:t>Britannique</w:t>
      </w:r>
      <w:proofErr w:type="spellEnd"/>
      <w:r w:rsidR="00154A72" w:rsidRPr="00C74BEB">
        <w:t>.</w:t>
      </w:r>
    </w:p>
    <w:p w:rsidR="00093DBE" w:rsidRPr="00C74BEB" w:rsidRDefault="00154A72" w:rsidP="005257A5">
      <w:pPr>
        <w:pStyle w:val="SCCNormalDoubleSpacing"/>
        <w:spacing w:after="480"/>
      </w:pPr>
      <w:r w:rsidRPr="00C74BEB">
        <w:rPr>
          <w:i/>
        </w:rPr>
        <w:tab/>
        <w:t>François Dadour</w:t>
      </w:r>
      <w:r w:rsidRPr="00C74BEB">
        <w:t>, pour l</w:t>
      </w:r>
      <w:r w:rsidR="00B933E3" w:rsidRPr="00C74BEB">
        <w:t>’</w:t>
      </w:r>
      <w:r w:rsidRPr="00C74BEB">
        <w:t xml:space="preserve">intervenante </w:t>
      </w:r>
      <w:r w:rsidR="00B933E3" w:rsidRPr="00C74BEB">
        <w:t>l’</w:t>
      </w:r>
      <w:r w:rsidRPr="00C74BEB">
        <w:t xml:space="preserve">Association des </w:t>
      </w:r>
      <w:r w:rsidR="00B933E3" w:rsidRPr="00C74BEB">
        <w:t>a</w:t>
      </w:r>
      <w:r w:rsidRPr="00C74BEB">
        <w:t xml:space="preserve">vocats de la </w:t>
      </w:r>
      <w:r w:rsidR="00B933E3" w:rsidRPr="00C74BEB">
        <w:t>d</w:t>
      </w:r>
      <w:r w:rsidRPr="00C74BEB">
        <w:t>éfense de Montréal.</w:t>
      </w:r>
    </w:p>
    <w:p w:rsidR="00093DBE" w:rsidRDefault="00154A72" w:rsidP="005257A5">
      <w:pPr>
        <w:pStyle w:val="SCCNormalDoubleSpacing"/>
        <w:spacing w:after="480"/>
      </w:pPr>
      <w:r w:rsidRPr="00C74BEB">
        <w:rPr>
          <w:i/>
        </w:rPr>
        <w:tab/>
        <w:t>Lucie Joncas</w:t>
      </w:r>
      <w:r w:rsidR="00B933E3" w:rsidRPr="005A15D0">
        <w:t xml:space="preserve"> et</w:t>
      </w:r>
      <w:r w:rsidR="00B933E3" w:rsidRPr="00C74BEB">
        <w:rPr>
          <w:i/>
        </w:rPr>
        <w:t xml:space="preserve"> François Côté</w:t>
      </w:r>
      <w:r w:rsidRPr="00C74BEB">
        <w:t>, pour l</w:t>
      </w:r>
      <w:r w:rsidR="00B933E3" w:rsidRPr="00C74BEB">
        <w:t>’</w:t>
      </w:r>
      <w:r w:rsidRPr="00C74BEB">
        <w:t xml:space="preserve">intervenant </w:t>
      </w:r>
      <w:r w:rsidR="00B933E3" w:rsidRPr="00C74BEB">
        <w:t>l’I</w:t>
      </w:r>
      <w:r w:rsidRPr="00C74BEB">
        <w:t>nstitut national de santé publique du Québec.</w:t>
      </w:r>
    </w:p>
    <w:p w:rsidR="00721B35" w:rsidRPr="005A15D0" w:rsidRDefault="005A15D0" w:rsidP="00721B35">
      <w:pPr>
        <w:pStyle w:val="JudgeJuge"/>
        <w:spacing w:before="480"/>
        <w:rPr>
          <w:smallCaps w:val="0"/>
          <w:szCs w:val="24"/>
          <w:lang w:val="fr-CA"/>
        </w:rPr>
      </w:pPr>
      <w:r>
        <w:rPr>
          <w:szCs w:val="24"/>
          <w:lang w:val="fr-CA"/>
        </w:rPr>
        <w:tab/>
      </w:r>
      <w:r w:rsidRPr="005A15D0">
        <w:rPr>
          <w:smallCaps w:val="0"/>
          <w:szCs w:val="24"/>
          <w:lang w:val="fr-CA"/>
        </w:rPr>
        <w:t>Version fr</w:t>
      </w:r>
      <w:r>
        <w:rPr>
          <w:smallCaps w:val="0"/>
          <w:szCs w:val="24"/>
          <w:lang w:val="fr-CA"/>
        </w:rPr>
        <w:t>ançaise du jugement de la Cour rendu par</w:t>
      </w:r>
    </w:p>
    <w:p w:rsidR="00721B35" w:rsidRPr="00116202" w:rsidRDefault="005A15D0" w:rsidP="00721B35">
      <w:pPr>
        <w:pStyle w:val="JudgeJuge"/>
        <w:spacing w:before="480"/>
        <w:rPr>
          <w:szCs w:val="24"/>
          <w:lang w:val="fr-CA"/>
        </w:rPr>
      </w:pPr>
      <w:r>
        <w:rPr>
          <w:szCs w:val="24"/>
          <w:lang w:val="fr-CA"/>
        </w:rPr>
        <w:tab/>
        <w:t>La J</w:t>
      </w:r>
      <w:r w:rsidR="00721B35" w:rsidRPr="00116202">
        <w:rPr>
          <w:szCs w:val="24"/>
          <w:lang w:val="fr-CA"/>
        </w:rPr>
        <w:t>uge en chef —</w:t>
      </w:r>
    </w:p>
    <w:p w:rsidR="00721B35" w:rsidRPr="00116202" w:rsidRDefault="00721B35" w:rsidP="005A15D0">
      <w:pPr>
        <w:pStyle w:val="TitleTitre-AltT"/>
        <w:tabs>
          <w:tab w:val="clear" w:pos="360"/>
          <w:tab w:val="left" w:pos="540"/>
        </w:tabs>
        <w:ind w:left="540" w:hanging="540"/>
        <w:rPr>
          <w:rFonts w:cs="Times New Roman"/>
          <w:szCs w:val="24"/>
          <w:lang w:val="fr-CA"/>
        </w:rPr>
      </w:pPr>
      <w:r w:rsidRPr="00116202">
        <w:rPr>
          <w:rFonts w:cs="Times New Roman"/>
          <w:szCs w:val="24"/>
          <w:lang w:val="fr-CA"/>
        </w:rPr>
        <w:lastRenderedPageBreak/>
        <w:t>I.</w:t>
      </w:r>
      <w:r w:rsidRPr="00116202">
        <w:rPr>
          <w:rFonts w:cs="Times New Roman"/>
          <w:szCs w:val="24"/>
          <w:lang w:val="fr-CA"/>
        </w:rPr>
        <w:tab/>
      </w:r>
      <w:r w:rsidRPr="00116202">
        <w:rPr>
          <w:rFonts w:cs="Times New Roman"/>
          <w:szCs w:val="24"/>
          <w:u w:val="single"/>
          <w:lang w:val="fr-CA"/>
        </w:rPr>
        <w:t>Introduction</w:t>
      </w:r>
    </w:p>
    <w:p w:rsidR="00721B35" w:rsidRPr="00116202" w:rsidRDefault="00721B35" w:rsidP="00721B35">
      <w:pPr>
        <w:pStyle w:val="ParaNoNdepar-AltN"/>
        <w:rPr>
          <w:rFonts w:cs="Times New Roman"/>
          <w:szCs w:val="24"/>
          <w:lang w:val="fr-CA"/>
        </w:rPr>
      </w:pPr>
      <w:r w:rsidRPr="00116202">
        <w:rPr>
          <w:rFonts w:cs="Times New Roman"/>
          <w:szCs w:val="24"/>
          <w:lang w:val="fr-CA"/>
        </w:rPr>
        <w:t xml:space="preserve">À l’instar du pourvoi connexe </w:t>
      </w:r>
      <w:r w:rsidRPr="00116202">
        <w:rPr>
          <w:rFonts w:cs="Times New Roman"/>
          <w:i/>
          <w:iCs/>
          <w:szCs w:val="24"/>
          <w:lang w:val="fr-CA"/>
        </w:rPr>
        <w:t xml:space="preserve">R. c. </w:t>
      </w:r>
      <w:proofErr w:type="spellStart"/>
      <w:r w:rsidRPr="00116202">
        <w:rPr>
          <w:rFonts w:cs="Times New Roman"/>
          <w:i/>
          <w:iCs/>
          <w:szCs w:val="24"/>
          <w:lang w:val="fr-CA"/>
        </w:rPr>
        <w:t>Mabior</w:t>
      </w:r>
      <w:proofErr w:type="spellEnd"/>
      <w:r w:rsidRPr="00116202">
        <w:rPr>
          <w:rFonts w:cs="Times New Roman"/>
          <w:szCs w:val="24"/>
          <w:lang w:val="fr-CA"/>
        </w:rPr>
        <w:t>, 2012 CS</w:t>
      </w:r>
      <w:r w:rsidR="005A15D0">
        <w:rPr>
          <w:rFonts w:cs="Times New Roman"/>
          <w:szCs w:val="24"/>
          <w:lang w:val="fr-CA"/>
        </w:rPr>
        <w:t>C</w:t>
      </w:r>
      <w:r w:rsidRPr="00116202">
        <w:rPr>
          <w:rFonts w:cs="Times New Roman"/>
          <w:szCs w:val="24"/>
          <w:lang w:val="fr-CA"/>
        </w:rPr>
        <w:t xml:space="preserve"> 47, </w:t>
      </w:r>
      <w:r w:rsidR="005A15D0">
        <w:rPr>
          <w:rFonts w:cs="Times New Roman"/>
          <w:szCs w:val="24"/>
          <w:lang w:val="fr-CA"/>
        </w:rPr>
        <w:t xml:space="preserve">[2012] 2 R.C.S. </w:t>
      </w:r>
      <w:r w:rsidR="00506CF8">
        <w:rPr>
          <w:rFonts w:cs="Times New Roman"/>
          <w:szCs w:val="24"/>
          <w:lang w:val="fr-CA"/>
        </w:rPr>
        <w:t>584</w:t>
      </w:r>
      <w:r w:rsidR="005A15D0">
        <w:rPr>
          <w:rFonts w:cs="Times New Roman"/>
          <w:szCs w:val="24"/>
          <w:lang w:val="fr-CA"/>
        </w:rPr>
        <w:t xml:space="preserve">, </w:t>
      </w:r>
      <w:r w:rsidRPr="00116202">
        <w:rPr>
          <w:rFonts w:cs="Times New Roman"/>
          <w:szCs w:val="24"/>
          <w:lang w:val="fr-CA"/>
        </w:rPr>
        <w:t>le présent pourvoi soulève la question de savoir dans quels cas l’omission d’une personne atteinte du SIDA de dévoiler sa séropositivité à un partenaire sexuel équivaut à une fraude viciant le consentement suivant l’al. 265(3)</w:t>
      </w:r>
      <w:r w:rsidRPr="00116202">
        <w:rPr>
          <w:rFonts w:cs="Times New Roman"/>
          <w:i/>
          <w:szCs w:val="24"/>
          <w:lang w:val="fr-CA"/>
        </w:rPr>
        <w:t>c</w:t>
      </w:r>
      <w:r w:rsidRPr="00116202">
        <w:rPr>
          <w:rFonts w:cs="Times New Roman"/>
          <w:szCs w:val="24"/>
          <w:lang w:val="fr-CA"/>
        </w:rPr>
        <w:t xml:space="preserve">) du </w:t>
      </w:r>
      <w:r w:rsidRPr="00116202">
        <w:rPr>
          <w:rFonts w:cs="Times New Roman"/>
          <w:i/>
          <w:iCs/>
          <w:szCs w:val="24"/>
          <w:lang w:val="fr-CA"/>
        </w:rPr>
        <w:t>Code criminel</w:t>
      </w:r>
      <w:r w:rsidRPr="00116202">
        <w:rPr>
          <w:rFonts w:cs="Times New Roman"/>
          <w:iCs/>
          <w:szCs w:val="24"/>
          <w:lang w:val="fr-CA"/>
        </w:rPr>
        <w:t>, L.R.C. 1985, ch. C</w:t>
      </w:r>
      <w:r w:rsidRPr="00116202">
        <w:rPr>
          <w:rFonts w:cs="Times New Roman"/>
          <w:iCs/>
          <w:szCs w:val="24"/>
          <w:lang w:val="fr-CA"/>
        </w:rPr>
        <w:noBreakHyphen/>
        <w:t xml:space="preserve">46, de sorte que l’acte sexuel constitue une agression sexuelle grave. </w:t>
      </w:r>
      <w:r w:rsidRPr="00116202">
        <w:rPr>
          <w:rFonts w:cs="Times New Roman"/>
          <w:szCs w:val="24"/>
          <w:lang w:val="fr-CA"/>
        </w:rPr>
        <w:t xml:space="preserve"> Dans l’arrêt </w:t>
      </w:r>
      <w:proofErr w:type="spellStart"/>
      <w:r w:rsidRPr="00116202">
        <w:rPr>
          <w:rFonts w:cs="Times New Roman"/>
          <w:i/>
          <w:szCs w:val="24"/>
          <w:lang w:val="fr-CA"/>
        </w:rPr>
        <w:t>Mabior</w:t>
      </w:r>
      <w:proofErr w:type="spellEnd"/>
      <w:r w:rsidRPr="00116202">
        <w:rPr>
          <w:rFonts w:cs="Times New Roman"/>
          <w:szCs w:val="24"/>
          <w:lang w:val="fr-CA"/>
        </w:rPr>
        <w:t>, je conclus qu’il y a obligation de révéler la possibilité réaliste de transmission du VIH et que l’omission de s’y conformer constitue une fraude.</w:t>
      </w:r>
    </w:p>
    <w:p w:rsidR="00721B35" w:rsidRPr="00116202" w:rsidRDefault="00721B35" w:rsidP="00721B35">
      <w:pPr>
        <w:pStyle w:val="ParaNoNdepar-AltN"/>
        <w:rPr>
          <w:rFonts w:cs="Times New Roman"/>
          <w:szCs w:val="24"/>
          <w:lang w:val="fr-CA"/>
        </w:rPr>
      </w:pPr>
      <w:r w:rsidRPr="00116202">
        <w:rPr>
          <w:rFonts w:cs="Times New Roman"/>
          <w:szCs w:val="24"/>
          <w:lang w:val="fr-CA"/>
        </w:rPr>
        <w:t>Dans la présente affaire, la charge virale était indétectable, et le juge du procès a conclu que D.C. avait eu une relation sexuelle non protégée à une occasion avec le plaignant avant de l’informer de son état de santé (2008 QCCQ 629 (</w:t>
      </w:r>
      <w:proofErr w:type="spellStart"/>
      <w:r w:rsidRPr="00116202">
        <w:rPr>
          <w:rFonts w:cs="Times New Roman"/>
          <w:szCs w:val="24"/>
          <w:lang w:val="fr-CA"/>
        </w:rPr>
        <w:t>CanLII</w:t>
      </w:r>
      <w:proofErr w:type="spellEnd"/>
      <w:r w:rsidRPr="00116202">
        <w:rPr>
          <w:rFonts w:cs="Times New Roman"/>
          <w:szCs w:val="24"/>
          <w:lang w:val="fr-CA"/>
        </w:rPr>
        <w:t>)).  La Cour d’appel a annulé les déclarations de culpabilité au motif que, même si le condom n’avait pas été utilisé, l’exigence jurisprudentielle d’un risque important de lésions corporelles graves  n’était pas remplie vu l’absence de copie détectable du VIH dans le sang de D.C. (2010 QCCA 2289</w:t>
      </w:r>
      <w:r w:rsidR="00AE3B2C">
        <w:rPr>
          <w:rFonts w:cs="Times New Roman"/>
          <w:szCs w:val="24"/>
          <w:lang w:val="fr-CA"/>
        </w:rPr>
        <w:t>, [2011] R.J.Q. 18</w:t>
      </w:r>
      <w:r w:rsidRPr="00116202">
        <w:rPr>
          <w:rFonts w:cs="Times New Roman"/>
          <w:szCs w:val="24"/>
          <w:lang w:val="fr-CA"/>
        </w:rPr>
        <w:t xml:space="preserve">).  Ce raisonnement va à l’encontre de la norme désormais préconisée dans l’arrêt </w:t>
      </w:r>
      <w:proofErr w:type="spellStart"/>
      <w:r w:rsidRPr="00116202">
        <w:rPr>
          <w:rFonts w:cs="Times New Roman"/>
          <w:i/>
          <w:iCs/>
          <w:szCs w:val="24"/>
          <w:lang w:val="fr-CA"/>
        </w:rPr>
        <w:t>Mabior</w:t>
      </w:r>
      <w:proofErr w:type="spellEnd"/>
      <w:r w:rsidRPr="00116202">
        <w:rPr>
          <w:rFonts w:cs="Times New Roman"/>
          <w:iCs/>
          <w:szCs w:val="24"/>
          <w:lang w:val="fr-CA"/>
        </w:rPr>
        <w:t>.</w:t>
      </w:r>
      <w:r w:rsidRPr="00116202">
        <w:rPr>
          <w:rFonts w:cs="Times New Roman"/>
          <w:i/>
          <w:iCs/>
          <w:szCs w:val="24"/>
          <w:lang w:val="fr-CA"/>
        </w:rPr>
        <w:t xml:space="preserve">  </w:t>
      </w:r>
      <w:r w:rsidRPr="00116202">
        <w:rPr>
          <w:rFonts w:cs="Times New Roman"/>
          <w:iCs/>
          <w:szCs w:val="24"/>
          <w:lang w:val="fr-CA"/>
        </w:rPr>
        <w:t>Au vu des faits de l’espèce, il y avait obligation d’utiliser le condom pour exclure la possibilité réaliste de transmission du VIH.</w:t>
      </w:r>
      <w:r w:rsidRPr="00116202">
        <w:rPr>
          <w:rFonts w:cs="Times New Roman"/>
          <w:i/>
          <w:iCs/>
          <w:szCs w:val="24"/>
          <w:lang w:val="fr-CA"/>
        </w:rPr>
        <w:t xml:space="preserve"> </w:t>
      </w:r>
    </w:p>
    <w:p w:rsidR="00721B35" w:rsidRPr="00116202" w:rsidRDefault="00721B35" w:rsidP="00721B35">
      <w:pPr>
        <w:pStyle w:val="ParaNoNdepar-AltN"/>
        <w:rPr>
          <w:rFonts w:cs="Times New Roman"/>
          <w:szCs w:val="24"/>
          <w:lang w:val="fr-CA"/>
        </w:rPr>
      </w:pPr>
      <w:r w:rsidRPr="00116202">
        <w:rPr>
          <w:rFonts w:cs="Times New Roman"/>
          <w:szCs w:val="24"/>
          <w:lang w:val="fr-CA"/>
        </w:rPr>
        <w:lastRenderedPageBreak/>
        <w:t>Cependant, je suis d’avis de rejeter le pourvoi et d’annuler l</w:t>
      </w:r>
      <w:r>
        <w:rPr>
          <w:rFonts w:cs="Times New Roman"/>
          <w:szCs w:val="24"/>
          <w:lang w:val="fr-CA"/>
        </w:rPr>
        <w:t>es</w:t>
      </w:r>
      <w:r w:rsidRPr="00116202">
        <w:rPr>
          <w:rFonts w:cs="Times New Roman"/>
          <w:szCs w:val="24"/>
          <w:lang w:val="fr-CA"/>
        </w:rPr>
        <w:t xml:space="preserve"> déclaration</w:t>
      </w:r>
      <w:r>
        <w:rPr>
          <w:rFonts w:cs="Times New Roman"/>
          <w:szCs w:val="24"/>
          <w:lang w:val="fr-CA"/>
        </w:rPr>
        <w:t>s</w:t>
      </w:r>
      <w:r w:rsidRPr="00116202">
        <w:rPr>
          <w:rFonts w:cs="Times New Roman"/>
          <w:szCs w:val="24"/>
          <w:lang w:val="fr-CA"/>
        </w:rPr>
        <w:t xml:space="preserve"> de culpabilité, mais pour le motif que le juge du procès a commis une erreur de droit en se fondant sur des hypothèses comme s’il s’agissait d’éléments de preuve </w:t>
      </w:r>
      <w:proofErr w:type="spellStart"/>
      <w:r w:rsidRPr="00116202">
        <w:rPr>
          <w:rFonts w:cs="Times New Roman"/>
          <w:szCs w:val="24"/>
          <w:lang w:val="fr-CA"/>
        </w:rPr>
        <w:t>corroborants</w:t>
      </w:r>
      <w:proofErr w:type="spellEnd"/>
      <w:r w:rsidRPr="00116202">
        <w:rPr>
          <w:rFonts w:cs="Times New Roman"/>
          <w:szCs w:val="24"/>
          <w:lang w:val="fr-CA"/>
        </w:rPr>
        <w:t xml:space="preserve"> pour déclarer l’accusée coupable.  N’eût été cette erreur, le juge du procès aurait acquitté D.C.  Par conséquent, l</w:t>
      </w:r>
      <w:r>
        <w:rPr>
          <w:rFonts w:cs="Times New Roman"/>
          <w:szCs w:val="24"/>
          <w:lang w:val="fr-CA"/>
        </w:rPr>
        <w:t>es</w:t>
      </w:r>
      <w:r w:rsidRPr="00116202">
        <w:rPr>
          <w:rFonts w:cs="Times New Roman"/>
          <w:szCs w:val="24"/>
          <w:lang w:val="fr-CA"/>
        </w:rPr>
        <w:t xml:space="preserve"> déclaration</w:t>
      </w:r>
      <w:r>
        <w:rPr>
          <w:rFonts w:cs="Times New Roman"/>
          <w:szCs w:val="24"/>
          <w:lang w:val="fr-CA"/>
        </w:rPr>
        <w:t>s</w:t>
      </w:r>
      <w:r w:rsidRPr="00116202">
        <w:rPr>
          <w:rFonts w:cs="Times New Roman"/>
          <w:szCs w:val="24"/>
          <w:lang w:val="fr-CA"/>
        </w:rPr>
        <w:t xml:space="preserve"> de culpabilité ne saurai</w:t>
      </w:r>
      <w:r>
        <w:rPr>
          <w:rFonts w:cs="Times New Roman"/>
          <w:szCs w:val="24"/>
          <w:lang w:val="fr-CA"/>
        </w:rPr>
        <w:t>en</w:t>
      </w:r>
      <w:r w:rsidRPr="00116202">
        <w:rPr>
          <w:rFonts w:cs="Times New Roman"/>
          <w:szCs w:val="24"/>
          <w:lang w:val="fr-CA"/>
        </w:rPr>
        <w:t>t être confirmée</w:t>
      </w:r>
      <w:r>
        <w:rPr>
          <w:rFonts w:cs="Times New Roman"/>
          <w:szCs w:val="24"/>
          <w:lang w:val="fr-CA"/>
        </w:rPr>
        <w:t>s</w:t>
      </w:r>
      <w:r w:rsidR="0039220F">
        <w:rPr>
          <w:rFonts w:cs="Times New Roman"/>
          <w:szCs w:val="24"/>
          <w:lang w:val="fr-CA"/>
        </w:rPr>
        <w:t xml:space="preserve"> : </w:t>
      </w:r>
      <w:proofErr w:type="spellStart"/>
      <w:r w:rsidRPr="00116202">
        <w:rPr>
          <w:rFonts w:cs="Times New Roman"/>
          <w:szCs w:val="24"/>
          <w:lang w:val="fr-CA"/>
        </w:rPr>
        <w:t>sous</w:t>
      </w:r>
      <w:r w:rsidRPr="00116202">
        <w:rPr>
          <w:rFonts w:cs="Times New Roman"/>
          <w:szCs w:val="24"/>
          <w:lang w:val="fr-CA"/>
        </w:rPr>
        <w:noBreakHyphen/>
        <w:t>al</w:t>
      </w:r>
      <w:proofErr w:type="spellEnd"/>
      <w:r w:rsidRPr="00116202">
        <w:rPr>
          <w:rFonts w:cs="Times New Roman"/>
          <w:szCs w:val="24"/>
          <w:lang w:val="fr-CA"/>
        </w:rPr>
        <w:t>. 686(1)</w:t>
      </w:r>
      <w:r w:rsidRPr="00116202">
        <w:rPr>
          <w:rFonts w:cs="Times New Roman"/>
          <w:i/>
          <w:szCs w:val="24"/>
          <w:lang w:val="fr-CA"/>
        </w:rPr>
        <w:t>a</w:t>
      </w:r>
      <w:r w:rsidRPr="00116202">
        <w:rPr>
          <w:rFonts w:cs="Times New Roman"/>
          <w:szCs w:val="24"/>
          <w:lang w:val="fr-CA"/>
        </w:rPr>
        <w:t xml:space="preserve">)(ii) du </w:t>
      </w:r>
      <w:r w:rsidRPr="00116202">
        <w:rPr>
          <w:rFonts w:cs="Times New Roman"/>
          <w:i/>
          <w:szCs w:val="24"/>
          <w:lang w:val="fr-CA"/>
        </w:rPr>
        <w:t>Code criminel</w:t>
      </w:r>
      <w:r w:rsidRPr="00116202">
        <w:rPr>
          <w:rFonts w:cs="Times New Roman"/>
          <w:szCs w:val="24"/>
          <w:lang w:val="fr-CA"/>
        </w:rPr>
        <w:t>.</w:t>
      </w:r>
    </w:p>
    <w:p w:rsidR="00721B35" w:rsidRPr="00116202" w:rsidRDefault="00721B35" w:rsidP="00FC7B81">
      <w:pPr>
        <w:pStyle w:val="TitleTitre-AltT"/>
        <w:tabs>
          <w:tab w:val="clear" w:pos="360"/>
          <w:tab w:val="left" w:pos="540"/>
        </w:tabs>
        <w:ind w:left="540" w:hanging="540"/>
        <w:rPr>
          <w:rFonts w:cs="Times New Roman"/>
          <w:szCs w:val="24"/>
          <w:lang w:val="fr-CA"/>
        </w:rPr>
      </w:pPr>
      <w:r w:rsidRPr="00116202">
        <w:rPr>
          <w:rFonts w:cs="Times New Roman"/>
          <w:szCs w:val="24"/>
          <w:lang w:val="fr-CA"/>
        </w:rPr>
        <w:t>II.</w:t>
      </w:r>
      <w:r w:rsidRPr="00116202">
        <w:rPr>
          <w:rFonts w:cs="Times New Roman"/>
          <w:szCs w:val="24"/>
          <w:lang w:val="fr-CA"/>
        </w:rPr>
        <w:tab/>
      </w:r>
      <w:r w:rsidRPr="00116202">
        <w:rPr>
          <w:rFonts w:cs="Times New Roman"/>
          <w:szCs w:val="24"/>
          <w:u w:val="single"/>
          <w:lang w:val="fr-CA"/>
        </w:rPr>
        <w:t>Les faits</w:t>
      </w:r>
      <w:r w:rsidRPr="00116202">
        <w:rPr>
          <w:rFonts w:cs="Times New Roman"/>
          <w:szCs w:val="24"/>
          <w:lang w:val="fr-CA"/>
        </w:rPr>
        <w:t xml:space="preserve"> </w:t>
      </w:r>
    </w:p>
    <w:p w:rsidR="00721B35" w:rsidRPr="00116202" w:rsidRDefault="00721B35" w:rsidP="00721B35">
      <w:pPr>
        <w:pStyle w:val="ParaNoNdepar-AltN"/>
        <w:rPr>
          <w:rFonts w:cs="Times New Roman"/>
          <w:szCs w:val="24"/>
          <w:lang w:val="fr-CA"/>
        </w:rPr>
      </w:pPr>
      <w:r w:rsidRPr="00116202">
        <w:rPr>
          <w:rFonts w:cs="Times New Roman"/>
          <w:szCs w:val="24"/>
          <w:lang w:val="fr-CA"/>
        </w:rPr>
        <w:t xml:space="preserve">En 1991, après le décès de son conjoint, D.C. a appris qu’elle était atteinte du sida.  Elle a suivi un traitement aux antirétroviraux, ce qui a rendu sa charge virale indétectable.  En juillet 2000, elle a rencontré le plaignant lors d’un match de soccer auquel leurs fils participaient.  Avec le temps, leur relation est devenue intime.  Ils ont eu une ou plusieurs relations sexuelles avant que D.C. ne révèle sa séropositivité au plaignant, selon que l’on ajoute foi à la version des faits de l’un ou de l’autre.  Il y a alors eu ou non usage du condom, toujours selon la version à laquelle on prête foi : le plaignant soutient que la ou les relations n’ont pas été protégées, et D.C. affirme le contraire.  </w:t>
      </w:r>
    </w:p>
    <w:p w:rsidR="00721B35" w:rsidRPr="00116202" w:rsidRDefault="00721B35" w:rsidP="00721B35">
      <w:pPr>
        <w:pStyle w:val="ParaNoNdepar-AltN"/>
        <w:rPr>
          <w:rFonts w:cs="Times New Roman"/>
          <w:szCs w:val="24"/>
          <w:lang w:val="fr-CA"/>
        </w:rPr>
      </w:pPr>
      <w:r w:rsidRPr="00116202">
        <w:rPr>
          <w:rFonts w:cs="Times New Roman"/>
          <w:szCs w:val="24"/>
          <w:lang w:val="fr-CA"/>
        </w:rPr>
        <w:t xml:space="preserve">Après avoir appris que D.C. était séropositive, le plaignant l’a quittée, mais il a renoué avec elle de sa propre initiative quelques semaines plus tard.  Ils ont emménagé ensemble, puis mené une vie de famille pendant quatre ans.  Pendant cette </w:t>
      </w:r>
      <w:r w:rsidRPr="00116202">
        <w:rPr>
          <w:rFonts w:cs="Times New Roman"/>
          <w:szCs w:val="24"/>
          <w:lang w:val="fr-CA"/>
        </w:rPr>
        <w:lastRenderedPageBreak/>
        <w:t>période, leurs relations sexuelles ont parfois été protégées, parfois non.  Le plaignant n’a jamais contracté le VIH.</w:t>
      </w:r>
    </w:p>
    <w:p w:rsidR="00721B35" w:rsidRPr="00116202" w:rsidRDefault="00721B35" w:rsidP="00721B35">
      <w:pPr>
        <w:pStyle w:val="ParaNoNdepar-AltN"/>
        <w:rPr>
          <w:rFonts w:cs="Times New Roman"/>
          <w:szCs w:val="24"/>
          <w:lang w:val="fr-CA"/>
        </w:rPr>
      </w:pPr>
      <w:r w:rsidRPr="00116202">
        <w:rPr>
          <w:rFonts w:cs="Times New Roman"/>
          <w:szCs w:val="24"/>
          <w:lang w:val="fr-CA"/>
        </w:rPr>
        <w:t xml:space="preserve">En décembre 2004, après avoir été brièvement hospitalisée, D.C. a décidé de mettre fin à la relation.  Elle a demandé au plaignant de quitter le domicile, mais il a refusé.  Quelques jours plus tard, D.C. s’est rendue au domicile familial en compagnie de son fils pour prendre ses effets personnels.  La rencontre a pris une tournure violente.  Le plaignant a agressé D.C. et son fils.  Inculpé de voies de fait, il a été déclaré coupable de l’infraction. </w:t>
      </w:r>
    </w:p>
    <w:p w:rsidR="00721B35" w:rsidRPr="00116202" w:rsidRDefault="00721B35" w:rsidP="00721B35">
      <w:pPr>
        <w:pStyle w:val="ParaNoNdepar-AltN"/>
        <w:rPr>
          <w:rFonts w:cs="Times New Roman"/>
          <w:szCs w:val="24"/>
          <w:lang w:val="fr-CA"/>
        </w:rPr>
      </w:pPr>
      <w:r w:rsidRPr="00116202">
        <w:rPr>
          <w:rFonts w:cs="Times New Roman"/>
          <w:szCs w:val="24"/>
          <w:lang w:val="fr-CA"/>
        </w:rPr>
        <w:t xml:space="preserve">Le 11 février 2005, le plaignant a porté plainte à la police.  Le ministère public a inculpé D.C. d’agression sexuelle et de voies de fait graves au motif que, lors de sa première relation sexuelle avec le plaignant quatre ans plus tôt, elle ne lui avait </w:t>
      </w:r>
      <w:r w:rsidR="00FC7B81">
        <w:rPr>
          <w:rFonts w:cs="Times New Roman"/>
          <w:szCs w:val="24"/>
          <w:lang w:val="fr-CA"/>
        </w:rPr>
        <w:t xml:space="preserve">pas révélé sa séropositivité. </w:t>
      </w:r>
    </w:p>
    <w:p w:rsidR="00721B35" w:rsidRPr="00116202" w:rsidRDefault="00721B35" w:rsidP="00FC7B81">
      <w:pPr>
        <w:pStyle w:val="TitleTitre-AltT"/>
        <w:tabs>
          <w:tab w:val="clear" w:pos="360"/>
          <w:tab w:val="left" w:pos="540"/>
        </w:tabs>
        <w:ind w:left="540" w:hanging="540"/>
        <w:rPr>
          <w:rFonts w:cs="Times New Roman"/>
          <w:szCs w:val="24"/>
          <w:lang w:val="fr-CA"/>
        </w:rPr>
      </w:pPr>
      <w:r w:rsidRPr="00116202">
        <w:rPr>
          <w:rFonts w:cs="Times New Roman"/>
          <w:szCs w:val="24"/>
          <w:lang w:val="fr-CA"/>
        </w:rPr>
        <w:t>III.</w:t>
      </w:r>
      <w:r w:rsidRPr="00116202">
        <w:rPr>
          <w:rFonts w:cs="Times New Roman"/>
          <w:szCs w:val="24"/>
          <w:lang w:val="fr-CA"/>
        </w:rPr>
        <w:tab/>
      </w:r>
      <w:r w:rsidRPr="00116202">
        <w:rPr>
          <w:rFonts w:cs="Times New Roman"/>
          <w:szCs w:val="24"/>
          <w:u w:val="single"/>
          <w:lang w:val="fr-CA"/>
        </w:rPr>
        <w:t>Le jugement de première instance</w:t>
      </w:r>
      <w:r w:rsidR="00FC7B81">
        <w:rPr>
          <w:rFonts w:cs="Times New Roman"/>
          <w:szCs w:val="24"/>
          <w:u w:val="single"/>
          <w:lang w:val="fr-CA"/>
        </w:rPr>
        <w:t>, 2008 QCCQ 629 (</w:t>
      </w:r>
      <w:proofErr w:type="spellStart"/>
      <w:r w:rsidR="00FC7B81">
        <w:rPr>
          <w:rFonts w:cs="Times New Roman"/>
          <w:szCs w:val="24"/>
          <w:u w:val="single"/>
          <w:lang w:val="fr-CA"/>
        </w:rPr>
        <w:t>CanLII</w:t>
      </w:r>
      <w:proofErr w:type="spellEnd"/>
      <w:r w:rsidR="00287C34">
        <w:rPr>
          <w:rFonts w:cs="Times New Roman"/>
          <w:szCs w:val="24"/>
          <w:u w:val="single"/>
          <w:lang w:val="fr-CA"/>
        </w:rPr>
        <w:t>)</w:t>
      </w:r>
      <w:r w:rsidRPr="00116202">
        <w:rPr>
          <w:rFonts w:cs="Times New Roman"/>
          <w:szCs w:val="24"/>
          <w:lang w:val="fr-CA"/>
        </w:rPr>
        <w:t xml:space="preserve"> </w:t>
      </w:r>
    </w:p>
    <w:p w:rsidR="00721B35" w:rsidRPr="00116202" w:rsidRDefault="00721B35" w:rsidP="00721B35">
      <w:pPr>
        <w:pStyle w:val="ParaNoNdepar-AltN"/>
        <w:rPr>
          <w:rFonts w:cs="Times New Roman"/>
          <w:szCs w:val="24"/>
          <w:lang w:val="fr-CA"/>
        </w:rPr>
      </w:pPr>
      <w:r w:rsidRPr="00116202">
        <w:rPr>
          <w:rFonts w:cs="Times New Roman"/>
          <w:szCs w:val="24"/>
          <w:lang w:val="fr-CA"/>
        </w:rPr>
        <w:t xml:space="preserve"> À l’issue d’un examen long et détaillé de la preuve, le juge du procès conclut que ni le plaignant ni D.C. ne sont des témoins crédibles. </w:t>
      </w:r>
    </w:p>
    <w:p w:rsidR="00721B35" w:rsidRPr="00116202" w:rsidRDefault="00721B35" w:rsidP="00721B35">
      <w:pPr>
        <w:pStyle w:val="ParaNoNdepar-AltN"/>
        <w:rPr>
          <w:rFonts w:cs="Times New Roman"/>
          <w:szCs w:val="24"/>
          <w:lang w:val="fr-CA"/>
        </w:rPr>
      </w:pPr>
      <w:r w:rsidRPr="00116202">
        <w:rPr>
          <w:rFonts w:cs="Times New Roman"/>
          <w:szCs w:val="24"/>
          <w:lang w:val="fr-CA"/>
        </w:rPr>
        <w:t xml:space="preserve">Il arrive à la conclusion qu’il n’y a eu qu’une seule relation sexuelle avant que D.C. ne dévoile sa séropositivité, préférant le témoignage de D.C. sur ce point à celui du plaignant.  </w:t>
      </w:r>
    </w:p>
    <w:p w:rsidR="00721B35" w:rsidRPr="00116202" w:rsidRDefault="00721B35" w:rsidP="00721B35">
      <w:pPr>
        <w:pStyle w:val="ParaNoNdepar-AltN"/>
        <w:rPr>
          <w:rFonts w:cs="Times New Roman"/>
          <w:szCs w:val="24"/>
          <w:lang w:val="fr-CA"/>
        </w:rPr>
      </w:pPr>
      <w:r w:rsidRPr="00116202">
        <w:rPr>
          <w:rFonts w:cs="Times New Roman"/>
          <w:szCs w:val="24"/>
          <w:lang w:val="fr-CA"/>
        </w:rPr>
        <w:lastRenderedPageBreak/>
        <w:t xml:space="preserve">Il se penche ensuite sur l’exigence — établie par notre Cour dans l’arrêt </w:t>
      </w:r>
      <w:r w:rsidRPr="00116202">
        <w:rPr>
          <w:rFonts w:cs="Times New Roman"/>
          <w:i/>
          <w:iCs/>
          <w:szCs w:val="24"/>
          <w:lang w:val="fr-CA"/>
        </w:rPr>
        <w:t>R. c. Cuerrier</w:t>
      </w:r>
      <w:r w:rsidRPr="00116202">
        <w:rPr>
          <w:rFonts w:cs="Times New Roman"/>
          <w:iCs/>
          <w:szCs w:val="24"/>
          <w:lang w:val="fr-CA"/>
        </w:rPr>
        <w:t xml:space="preserve">, [1998] 2 R.C.S. 371 </w:t>
      </w:r>
      <w:r w:rsidRPr="00116202">
        <w:rPr>
          <w:rFonts w:cs="Times New Roman"/>
          <w:szCs w:val="24"/>
          <w:lang w:val="fr-CA"/>
        </w:rPr>
        <w:t>—</w:t>
      </w:r>
      <w:r w:rsidRPr="00116202">
        <w:rPr>
          <w:rFonts w:cs="Times New Roman"/>
          <w:iCs/>
          <w:szCs w:val="24"/>
          <w:lang w:val="fr-CA"/>
        </w:rPr>
        <w:t xml:space="preserve"> </w:t>
      </w:r>
      <w:r w:rsidRPr="00116202">
        <w:rPr>
          <w:rFonts w:cs="Times New Roman"/>
          <w:szCs w:val="24"/>
          <w:lang w:val="fr-CA"/>
        </w:rPr>
        <w:t xml:space="preserve">d’un « risque important de lésions corporelles graves » pour qu’il y ait perpétration d’une agression sexuelle du fait de l’omission de révéler sa séropositivité.  Selon la preuve, la relation sexuelle vaginale non protégée présente un risque de transmission de 0,1 %, un risque de base qui s’apparente à celui en cause dans l’affaire </w:t>
      </w:r>
      <w:proofErr w:type="spellStart"/>
      <w:r w:rsidRPr="00116202">
        <w:rPr>
          <w:rFonts w:cs="Times New Roman"/>
          <w:i/>
          <w:szCs w:val="24"/>
          <w:lang w:val="fr-CA"/>
        </w:rPr>
        <w:t>Mabior</w:t>
      </w:r>
      <w:proofErr w:type="spellEnd"/>
      <w:r w:rsidRPr="00116202">
        <w:rPr>
          <w:rFonts w:cs="Times New Roman"/>
          <w:szCs w:val="24"/>
          <w:lang w:val="fr-CA"/>
        </w:rPr>
        <w:t xml:space="preserve">, au dire des experts médicaux (par. 179).  Le juge du procès conclut à juste titre que deux éléments sont pertinents pour déterminer s’il y a une possibilité réaliste de transmission : (1) la charge virale indétectable de D.C. et (2) l’utilisation ou l’inutilisation du condom. </w:t>
      </w:r>
    </w:p>
    <w:p w:rsidR="00721B35" w:rsidRPr="00116202" w:rsidRDefault="00721B35" w:rsidP="00721B35">
      <w:pPr>
        <w:pStyle w:val="ParaNoNdepar-AltN"/>
        <w:rPr>
          <w:rFonts w:cs="Times New Roman"/>
          <w:szCs w:val="24"/>
          <w:lang w:val="fr-CA"/>
        </w:rPr>
      </w:pPr>
      <w:r w:rsidRPr="00116202">
        <w:rPr>
          <w:rFonts w:cs="Times New Roman"/>
          <w:szCs w:val="24"/>
          <w:lang w:val="fr-CA"/>
        </w:rPr>
        <w:t xml:space="preserve">Lors du procès, la question cruciale était celle de savoir si les parties avaient eu recours au condom lors de la seule relation sexuelle qu’ils avaient eue avant que D.C. n’informe le plaignant de sa séropositivité.  La preuve sur ce point était contradictoire.  Appelé à témoigner pour le compte de la poursuite, le plaignant a dit que la relation n’avait pas été protégée; D.C. a affirmé le contraire.  </w:t>
      </w:r>
    </w:p>
    <w:p w:rsidR="00721B35" w:rsidRPr="00116202" w:rsidRDefault="00721B35" w:rsidP="00721B35">
      <w:pPr>
        <w:pStyle w:val="ParaNoNdepar-AltN"/>
        <w:rPr>
          <w:rFonts w:cs="Times New Roman"/>
          <w:szCs w:val="24"/>
          <w:lang w:val="fr-CA"/>
        </w:rPr>
      </w:pPr>
      <w:r w:rsidRPr="00116202">
        <w:rPr>
          <w:rFonts w:cs="Times New Roman"/>
          <w:szCs w:val="24"/>
          <w:lang w:val="fr-CA"/>
        </w:rPr>
        <w:t>Le seul témoignage présenté par la poursuite quant à savoir s’il y avait eu ou non usage du condom lors de la relation sexuelle antérieure au dévoilement de la séropositivité de D.C. était celui du plaignant.  Le juge du procès dit ne pas pouvoir ajouter foi au témoignage du plaignant en général.  Il conclut plus particulièrement que ce témoignage ne suffit pas, à lui seul, pour établir l’omission d’utiliser le condom lors de la relation sexuelle en cause.  Selon lui, la crédibilité du plaignant est minée par ce qui suit :</w:t>
      </w:r>
    </w:p>
    <w:p w:rsidR="00721B35" w:rsidRPr="00116202" w:rsidRDefault="00721B35" w:rsidP="00DB4678">
      <w:pPr>
        <w:pStyle w:val="Citation-AltC"/>
        <w:tabs>
          <w:tab w:val="left" w:pos="1170"/>
        </w:tabs>
        <w:spacing w:after="480" w:line="480" w:lineRule="auto"/>
        <w:ind w:left="1170" w:hanging="1170"/>
        <w:contextualSpacing w:val="0"/>
        <w:rPr>
          <w:szCs w:val="24"/>
          <w:lang w:val="fr-CA"/>
        </w:rPr>
      </w:pPr>
      <w:r w:rsidRPr="00116202">
        <w:rPr>
          <w:szCs w:val="24"/>
          <w:lang w:val="fr-CA"/>
        </w:rPr>
        <w:lastRenderedPageBreak/>
        <w:t>•</w:t>
      </w:r>
      <w:r w:rsidRPr="00116202">
        <w:rPr>
          <w:szCs w:val="24"/>
          <w:lang w:val="fr-CA"/>
        </w:rPr>
        <w:tab/>
        <w:t xml:space="preserve">son comportement pendant la longue période qui a suivi la première relation sexuelle, notamment son activité sexuelle avec D.C. lors des quatre ans de cohabitation (et ce, en connaissant très bien son état de santé), les quatre années écoulées avant qu’il ne porte plainte, de même que l’esprit de vengeance qui l’animait (par. 152-154); </w:t>
      </w:r>
    </w:p>
    <w:p w:rsidR="00721B35" w:rsidRPr="00116202" w:rsidRDefault="00721B35" w:rsidP="00DB4678">
      <w:pPr>
        <w:pStyle w:val="Citation-AltC"/>
        <w:tabs>
          <w:tab w:val="left" w:pos="1170"/>
        </w:tabs>
        <w:spacing w:after="480" w:line="480" w:lineRule="auto"/>
        <w:ind w:left="1170" w:hanging="1170"/>
        <w:contextualSpacing w:val="0"/>
        <w:rPr>
          <w:szCs w:val="24"/>
          <w:lang w:val="fr-CA"/>
        </w:rPr>
      </w:pPr>
      <w:r w:rsidRPr="00116202">
        <w:rPr>
          <w:szCs w:val="24"/>
          <w:lang w:val="fr-CA"/>
        </w:rPr>
        <w:t>•</w:t>
      </w:r>
      <w:r w:rsidRPr="00116202">
        <w:rPr>
          <w:szCs w:val="24"/>
          <w:lang w:val="fr-CA"/>
        </w:rPr>
        <w:tab/>
        <w:t xml:space="preserve">la manière dont il a témoigné (par. 152); </w:t>
      </w:r>
    </w:p>
    <w:p w:rsidR="00721B35" w:rsidRPr="00116202" w:rsidRDefault="00721B35" w:rsidP="00DB4678">
      <w:pPr>
        <w:pStyle w:val="Citation-AltC"/>
        <w:tabs>
          <w:tab w:val="left" w:pos="1170"/>
        </w:tabs>
        <w:spacing w:after="480" w:line="480" w:lineRule="auto"/>
        <w:ind w:left="1170" w:hanging="1170"/>
        <w:contextualSpacing w:val="0"/>
        <w:rPr>
          <w:szCs w:val="24"/>
          <w:lang w:val="fr-CA"/>
        </w:rPr>
      </w:pPr>
      <w:r w:rsidRPr="00116202">
        <w:rPr>
          <w:szCs w:val="24"/>
          <w:lang w:val="fr-CA"/>
        </w:rPr>
        <w:t>•</w:t>
      </w:r>
      <w:r w:rsidRPr="00116202">
        <w:rPr>
          <w:szCs w:val="24"/>
          <w:lang w:val="fr-CA"/>
        </w:rPr>
        <w:tab/>
        <w:t xml:space="preserve">le fait qu’il s’est trompé sur l’endroit où il aurait eu une ou plusieurs relations sexuelles avec D.C. avant qu’elle ne lui révèle sa séropositivité (par. 155); </w:t>
      </w:r>
    </w:p>
    <w:p w:rsidR="00721B35" w:rsidRPr="00116202" w:rsidRDefault="00721B35" w:rsidP="00DB4678">
      <w:pPr>
        <w:pStyle w:val="Citation-AltC"/>
        <w:tabs>
          <w:tab w:val="left" w:pos="1170"/>
        </w:tabs>
        <w:spacing w:after="480" w:line="480" w:lineRule="auto"/>
        <w:ind w:left="1170" w:hanging="1170"/>
        <w:contextualSpacing w:val="0"/>
        <w:rPr>
          <w:szCs w:val="24"/>
          <w:lang w:val="fr-CA"/>
        </w:rPr>
      </w:pPr>
      <w:r w:rsidRPr="00116202">
        <w:rPr>
          <w:szCs w:val="24"/>
          <w:lang w:val="fr-CA"/>
        </w:rPr>
        <w:t>•</w:t>
      </w:r>
      <w:r w:rsidRPr="00116202">
        <w:rPr>
          <w:szCs w:val="24"/>
          <w:lang w:val="fr-CA"/>
        </w:rPr>
        <w:tab/>
        <w:t xml:space="preserve">l’imprécision du nombre de relations sexuelles qu’il a prétendu avoir eues avec D.C. avant qu’elle ne l’informe de son état de santé (par. 155); </w:t>
      </w:r>
    </w:p>
    <w:p w:rsidR="00721B35" w:rsidRPr="00116202" w:rsidRDefault="00721B35" w:rsidP="00DB4678">
      <w:pPr>
        <w:pStyle w:val="Citation-AltC"/>
        <w:tabs>
          <w:tab w:val="left" w:pos="1170"/>
        </w:tabs>
        <w:spacing w:after="480" w:line="480" w:lineRule="auto"/>
        <w:ind w:left="1170" w:hanging="1170"/>
        <w:contextualSpacing w:val="0"/>
        <w:rPr>
          <w:szCs w:val="24"/>
          <w:lang w:val="fr-CA"/>
        </w:rPr>
      </w:pPr>
      <w:r w:rsidRPr="00116202">
        <w:rPr>
          <w:szCs w:val="24"/>
          <w:lang w:val="fr-CA"/>
        </w:rPr>
        <w:t>•</w:t>
      </w:r>
      <w:r w:rsidRPr="00116202">
        <w:rPr>
          <w:szCs w:val="24"/>
          <w:lang w:val="fr-CA"/>
        </w:rPr>
        <w:tab/>
        <w:t xml:space="preserve">l’incompatibilité de son témoignage avec celui de la </w:t>
      </w:r>
      <w:proofErr w:type="spellStart"/>
      <w:r w:rsidRPr="00116202">
        <w:rPr>
          <w:szCs w:val="24"/>
          <w:lang w:val="fr-CA"/>
        </w:rPr>
        <w:t>D</w:t>
      </w:r>
      <w:r w:rsidRPr="00116202">
        <w:rPr>
          <w:szCs w:val="24"/>
          <w:vertAlign w:val="superscript"/>
          <w:lang w:val="fr-CA"/>
        </w:rPr>
        <w:t>re</w:t>
      </w:r>
      <w:proofErr w:type="spellEnd"/>
      <w:r w:rsidRPr="00116202">
        <w:rPr>
          <w:szCs w:val="24"/>
          <w:lang w:val="fr-CA"/>
        </w:rPr>
        <w:t> Klein, le médecin de D.C. : il a dit avoir discuté avec elle de ses relations sexuelles non protégées avec D.C., alors qu’elle n’en avait aucun souvenir et ne l’avait pas inscrit à son dossier (le juge en conclut que les échanges allégué</w:t>
      </w:r>
      <w:r w:rsidR="00E73C80">
        <w:rPr>
          <w:szCs w:val="24"/>
          <w:lang w:val="fr-CA"/>
        </w:rPr>
        <w:t>s n’ont pas eu lieu) (par. 156)</w:t>
      </w:r>
      <w:r w:rsidRPr="00116202">
        <w:rPr>
          <w:szCs w:val="24"/>
          <w:lang w:val="fr-CA"/>
        </w:rPr>
        <w:t xml:space="preserve">; </w:t>
      </w:r>
    </w:p>
    <w:p w:rsidR="00721B35" w:rsidRPr="00116202" w:rsidRDefault="00721B35" w:rsidP="00DB4678">
      <w:pPr>
        <w:pStyle w:val="Citation-AltC"/>
        <w:tabs>
          <w:tab w:val="left" w:pos="1170"/>
        </w:tabs>
        <w:spacing w:after="480" w:line="480" w:lineRule="auto"/>
        <w:ind w:left="1170" w:hanging="1170"/>
        <w:contextualSpacing w:val="0"/>
        <w:rPr>
          <w:szCs w:val="24"/>
          <w:lang w:val="fr-CA"/>
        </w:rPr>
      </w:pPr>
      <w:r w:rsidRPr="00116202">
        <w:rPr>
          <w:szCs w:val="24"/>
          <w:lang w:val="fr-CA"/>
        </w:rPr>
        <w:t>•</w:t>
      </w:r>
      <w:r w:rsidRPr="00116202">
        <w:rPr>
          <w:szCs w:val="24"/>
          <w:lang w:val="fr-CA"/>
        </w:rPr>
        <w:tab/>
        <w:t xml:space="preserve">le fait qu’il a dit avoir rencontré la </w:t>
      </w:r>
      <w:proofErr w:type="spellStart"/>
      <w:r w:rsidRPr="00116202">
        <w:rPr>
          <w:szCs w:val="24"/>
          <w:lang w:val="fr-CA"/>
        </w:rPr>
        <w:t>D</w:t>
      </w:r>
      <w:r w:rsidRPr="00116202">
        <w:rPr>
          <w:szCs w:val="24"/>
          <w:vertAlign w:val="superscript"/>
          <w:lang w:val="fr-CA"/>
        </w:rPr>
        <w:t>re</w:t>
      </w:r>
      <w:proofErr w:type="spellEnd"/>
      <w:r w:rsidRPr="00116202">
        <w:rPr>
          <w:szCs w:val="24"/>
          <w:lang w:val="fr-CA"/>
        </w:rPr>
        <w:t xml:space="preserve"> Klein à tous les </w:t>
      </w:r>
      <w:proofErr w:type="spellStart"/>
      <w:r w:rsidRPr="00116202">
        <w:rPr>
          <w:szCs w:val="24"/>
          <w:lang w:val="fr-CA"/>
        </w:rPr>
        <w:t>rendez</w:t>
      </w:r>
      <w:r w:rsidRPr="00116202">
        <w:rPr>
          <w:szCs w:val="24"/>
          <w:lang w:val="fr-CA"/>
        </w:rPr>
        <w:noBreakHyphen/>
        <w:t>vous</w:t>
      </w:r>
      <w:proofErr w:type="spellEnd"/>
      <w:r w:rsidRPr="00116202">
        <w:rPr>
          <w:szCs w:val="24"/>
          <w:lang w:val="fr-CA"/>
        </w:rPr>
        <w:t xml:space="preserve">, alors que la </w:t>
      </w:r>
      <w:proofErr w:type="spellStart"/>
      <w:r w:rsidRPr="00116202">
        <w:rPr>
          <w:szCs w:val="24"/>
          <w:lang w:val="fr-CA"/>
        </w:rPr>
        <w:t>D</w:t>
      </w:r>
      <w:r w:rsidRPr="00116202">
        <w:rPr>
          <w:szCs w:val="24"/>
          <w:vertAlign w:val="superscript"/>
          <w:lang w:val="fr-CA"/>
        </w:rPr>
        <w:t>re</w:t>
      </w:r>
      <w:proofErr w:type="spellEnd"/>
      <w:r w:rsidRPr="00116202">
        <w:rPr>
          <w:szCs w:val="24"/>
          <w:lang w:val="fr-CA"/>
        </w:rPr>
        <w:t xml:space="preserve"> Klein n’en a pas fait mention dans son témoignage (par. 157); </w:t>
      </w:r>
    </w:p>
    <w:p w:rsidR="00721B35" w:rsidRPr="00116202" w:rsidRDefault="00721B35" w:rsidP="00DB4678">
      <w:pPr>
        <w:pStyle w:val="Citation-AltC"/>
        <w:tabs>
          <w:tab w:val="left" w:pos="1170"/>
        </w:tabs>
        <w:spacing w:after="480" w:line="480" w:lineRule="auto"/>
        <w:ind w:left="1170" w:hanging="1170"/>
        <w:contextualSpacing w:val="0"/>
        <w:rPr>
          <w:szCs w:val="24"/>
          <w:lang w:val="fr-CA"/>
        </w:rPr>
      </w:pPr>
      <w:r w:rsidRPr="00116202">
        <w:rPr>
          <w:szCs w:val="24"/>
          <w:lang w:val="fr-CA"/>
        </w:rPr>
        <w:lastRenderedPageBreak/>
        <w:t>•</w:t>
      </w:r>
      <w:r w:rsidRPr="00116202">
        <w:rPr>
          <w:szCs w:val="24"/>
          <w:lang w:val="fr-CA"/>
        </w:rPr>
        <w:tab/>
        <w:t xml:space="preserve">son refus de reconnaître avoir dit au policier (1) que sa conjointe était porteuse du VIH et qu’elle le lui avait transmis, (2) qu’il n’utilisait pas de condom parce qu’il n’aimait pas ça et (3) qu’il avait continué à avoir des relations sexuelles non protégées avec D.C. après qu’elle lui eut révélé son état de santé (le juge dit n’avoir aucun motif de rejeter le témoignage du policier sur ces points) (par. 158). </w:t>
      </w:r>
    </w:p>
    <w:p w:rsidR="00721B35" w:rsidRPr="00116202" w:rsidRDefault="00721B35" w:rsidP="00721B35">
      <w:pPr>
        <w:pStyle w:val="ParaNoNdepar-AltN"/>
        <w:rPr>
          <w:rFonts w:cs="Times New Roman"/>
          <w:szCs w:val="24"/>
          <w:lang w:val="fr-CA"/>
        </w:rPr>
      </w:pPr>
      <w:r w:rsidRPr="00116202">
        <w:rPr>
          <w:rFonts w:cs="Times New Roman"/>
          <w:szCs w:val="24"/>
          <w:lang w:val="fr-CA"/>
        </w:rPr>
        <w:t xml:space="preserve">Le juge du procès ajoute que même si ces considérations minent la crédibilité du plaignant, un élément de preuve indépendant lui permet d’inférer l’absence de protection au moyen d’un condom.  Il estime que cet élément de preuve corrobore le témoignage du plaignant selon lequel le condom n’a pas été utilisé lors de la seule relation sexuelle antérieure à la révélation de sa séropositivité par D.C. (par. 159). </w:t>
      </w:r>
    </w:p>
    <w:p w:rsidR="00721B35" w:rsidRPr="00116202" w:rsidRDefault="00721B35" w:rsidP="00721B35">
      <w:pPr>
        <w:pStyle w:val="ParaNoNdepar-AltN"/>
        <w:rPr>
          <w:rFonts w:cs="Times New Roman"/>
          <w:szCs w:val="24"/>
          <w:lang w:val="fr-CA"/>
        </w:rPr>
      </w:pPr>
      <w:r w:rsidRPr="00116202">
        <w:rPr>
          <w:rFonts w:cs="Times New Roman"/>
          <w:szCs w:val="24"/>
          <w:lang w:val="fr-CA"/>
        </w:rPr>
        <w:t xml:space="preserve">De l’avis du juge du procès, la note de la </w:t>
      </w:r>
      <w:proofErr w:type="spellStart"/>
      <w:r w:rsidRPr="00116202">
        <w:rPr>
          <w:rFonts w:cs="Times New Roman"/>
          <w:szCs w:val="24"/>
          <w:lang w:val="fr-CA"/>
        </w:rPr>
        <w:t>D</w:t>
      </w:r>
      <w:r w:rsidRPr="00116202">
        <w:rPr>
          <w:rFonts w:cs="Times New Roman"/>
          <w:szCs w:val="24"/>
          <w:vertAlign w:val="superscript"/>
          <w:lang w:val="fr-CA"/>
        </w:rPr>
        <w:t>re</w:t>
      </w:r>
      <w:proofErr w:type="spellEnd"/>
      <w:r w:rsidRPr="00116202">
        <w:rPr>
          <w:rFonts w:cs="Times New Roman"/>
          <w:szCs w:val="24"/>
          <w:lang w:val="fr-CA"/>
        </w:rPr>
        <w:t xml:space="preserve"> Klein et les inférences qu’il en tire forment un « élément de preuve indépendant » qui confirme le témoignage du plaignant voulant qu’il y ait eu des rapports sexuels non protégés (par. 159).  La </w:t>
      </w:r>
      <w:proofErr w:type="spellStart"/>
      <w:r w:rsidRPr="00116202">
        <w:rPr>
          <w:rFonts w:cs="Times New Roman"/>
          <w:szCs w:val="24"/>
          <w:lang w:val="fr-CA"/>
        </w:rPr>
        <w:t>D</w:t>
      </w:r>
      <w:r w:rsidRPr="00116202">
        <w:rPr>
          <w:rFonts w:cs="Times New Roman"/>
          <w:szCs w:val="24"/>
          <w:vertAlign w:val="superscript"/>
          <w:lang w:val="fr-CA"/>
        </w:rPr>
        <w:t>re</w:t>
      </w:r>
      <w:proofErr w:type="spellEnd"/>
      <w:r w:rsidRPr="00116202">
        <w:rPr>
          <w:rFonts w:cs="Times New Roman"/>
          <w:szCs w:val="24"/>
          <w:lang w:val="fr-CA"/>
        </w:rPr>
        <w:t> Klein n’avait aucun souvenir personnel de sa conversation avec D.C.; elle n’a pu faire état que du contenu de sa note au dossier : [</w:t>
      </w:r>
      <w:r w:rsidRPr="00116202">
        <w:rPr>
          <w:rFonts w:cs="Times New Roman"/>
          <w:smallCaps/>
          <w:szCs w:val="24"/>
          <w:lang w:val="fr-CA"/>
        </w:rPr>
        <w:t>traduction</w:t>
      </w:r>
      <w:r w:rsidRPr="00116202">
        <w:rPr>
          <w:rFonts w:cs="Times New Roman"/>
          <w:szCs w:val="24"/>
          <w:lang w:val="fr-CA"/>
        </w:rPr>
        <w:t xml:space="preserve">] « Rapp. </w:t>
      </w:r>
      <w:proofErr w:type="spellStart"/>
      <w:r w:rsidRPr="00116202">
        <w:rPr>
          <w:rFonts w:cs="Times New Roman"/>
          <w:szCs w:val="24"/>
          <w:lang w:val="fr-CA"/>
        </w:rPr>
        <w:t>sex</w:t>
      </w:r>
      <w:proofErr w:type="spellEnd"/>
      <w:r w:rsidRPr="00116202">
        <w:rPr>
          <w:rFonts w:cs="Times New Roman"/>
          <w:szCs w:val="24"/>
          <w:lang w:val="fr-CA"/>
        </w:rPr>
        <w:t xml:space="preserve">. avec </w:t>
      </w:r>
      <w:proofErr w:type="spellStart"/>
      <w:r w:rsidRPr="00116202">
        <w:rPr>
          <w:rFonts w:cs="Times New Roman"/>
          <w:szCs w:val="24"/>
          <w:lang w:val="fr-CA"/>
        </w:rPr>
        <w:t>nouv</w:t>
      </w:r>
      <w:proofErr w:type="spellEnd"/>
      <w:r w:rsidRPr="00116202">
        <w:rPr>
          <w:rFonts w:cs="Times New Roman"/>
          <w:szCs w:val="24"/>
          <w:lang w:val="fr-CA"/>
        </w:rPr>
        <w:t xml:space="preserve">. partenaire — rupture de condom — </w:t>
      </w:r>
      <w:proofErr w:type="spellStart"/>
      <w:r w:rsidRPr="00116202">
        <w:rPr>
          <w:rFonts w:cs="Times New Roman"/>
          <w:szCs w:val="24"/>
          <w:lang w:val="fr-CA"/>
        </w:rPr>
        <w:t>recomm</w:t>
      </w:r>
      <w:proofErr w:type="spellEnd"/>
      <w:r w:rsidRPr="00116202">
        <w:rPr>
          <w:rFonts w:cs="Times New Roman"/>
          <w:szCs w:val="24"/>
          <w:lang w:val="fr-CA"/>
        </w:rPr>
        <w:t>. de révéler ».</w:t>
      </w:r>
    </w:p>
    <w:p w:rsidR="00721B35" w:rsidRPr="00116202" w:rsidRDefault="00721B35" w:rsidP="00721B35">
      <w:pPr>
        <w:pStyle w:val="ParaNoNdepar-AltN"/>
        <w:rPr>
          <w:rFonts w:cs="Times New Roman"/>
          <w:szCs w:val="24"/>
          <w:lang w:val="fr-CA"/>
        </w:rPr>
      </w:pPr>
      <w:r w:rsidRPr="00116202">
        <w:rPr>
          <w:rFonts w:cs="Times New Roman"/>
          <w:szCs w:val="24"/>
          <w:lang w:val="fr-CA"/>
        </w:rPr>
        <w:t xml:space="preserve">Le juge du procès tire dès lors une série d’inférences.  Il tient pour acquis que D.C. a dit à la </w:t>
      </w:r>
      <w:proofErr w:type="spellStart"/>
      <w:r w:rsidRPr="00116202">
        <w:rPr>
          <w:rFonts w:cs="Times New Roman"/>
          <w:szCs w:val="24"/>
          <w:lang w:val="fr-CA"/>
        </w:rPr>
        <w:t>D</w:t>
      </w:r>
      <w:r w:rsidRPr="00116202">
        <w:rPr>
          <w:rFonts w:cs="Times New Roman"/>
          <w:szCs w:val="24"/>
          <w:vertAlign w:val="superscript"/>
          <w:lang w:val="fr-CA"/>
        </w:rPr>
        <w:t>re</w:t>
      </w:r>
      <w:proofErr w:type="spellEnd"/>
      <w:r w:rsidRPr="00116202">
        <w:rPr>
          <w:rFonts w:cs="Times New Roman"/>
          <w:szCs w:val="24"/>
          <w:lang w:val="fr-CA"/>
        </w:rPr>
        <w:t xml:space="preserve"> Klein qu’un condom avait été utilisé, mais qu’il s’était rompu </w:t>
      </w:r>
      <w:r w:rsidRPr="00116202">
        <w:rPr>
          <w:rFonts w:cs="Times New Roman"/>
          <w:szCs w:val="24"/>
          <w:lang w:val="fr-CA"/>
        </w:rPr>
        <w:lastRenderedPageBreak/>
        <w:t xml:space="preserve">(par. 160).  Il tire une inférence de cette prétendue affirmation de D.C., à savoir qu’elle a menti au sujet de l’utilisation du condom afin de dissimuler son imprudence à son médecin (par. 168).  De cette inférence, le juge tire une inférence supplémentaire, à savoir qu’aucun condom n’a été utilisé.  Cette inférence confirme le témoignage du plaignant concernant l’inutilisation d’un condom (par. 171).  Le juge arrive ainsi à la conclusion que la poursuite a démontré hors de tout doute raisonnable que D.C. était coupable d’agression sexuelle et de voies de fait graves. </w:t>
      </w:r>
    </w:p>
    <w:p w:rsidR="00721B35" w:rsidRPr="00116202" w:rsidRDefault="00721B35" w:rsidP="00DB4678">
      <w:pPr>
        <w:pStyle w:val="TitleTitre-AltT"/>
        <w:tabs>
          <w:tab w:val="clear" w:pos="360"/>
          <w:tab w:val="left" w:pos="540"/>
        </w:tabs>
        <w:ind w:left="540" w:hanging="540"/>
        <w:rPr>
          <w:rFonts w:cs="Times New Roman"/>
          <w:szCs w:val="24"/>
          <w:lang w:val="fr-CA"/>
        </w:rPr>
      </w:pPr>
      <w:r w:rsidRPr="00116202">
        <w:rPr>
          <w:rFonts w:cs="Times New Roman"/>
          <w:szCs w:val="24"/>
          <w:lang w:val="fr-CA"/>
        </w:rPr>
        <w:t>IV.</w:t>
      </w:r>
      <w:r w:rsidRPr="00116202">
        <w:rPr>
          <w:rFonts w:cs="Times New Roman"/>
          <w:szCs w:val="24"/>
          <w:lang w:val="fr-CA"/>
        </w:rPr>
        <w:tab/>
      </w:r>
      <w:r w:rsidRPr="00116202">
        <w:rPr>
          <w:rFonts w:cs="Times New Roman"/>
          <w:szCs w:val="24"/>
          <w:u w:val="single"/>
          <w:lang w:val="fr-CA"/>
        </w:rPr>
        <w:t>La Cour d’appe</w:t>
      </w:r>
      <w:r w:rsidR="00DB4678">
        <w:rPr>
          <w:rFonts w:cs="Times New Roman"/>
          <w:szCs w:val="24"/>
          <w:u w:val="single"/>
          <w:lang w:val="fr-CA"/>
        </w:rPr>
        <w:t>l, 2010 QCCA 2289, [2011] R.J.Q. 18</w:t>
      </w:r>
      <w:r w:rsidRPr="00116202">
        <w:rPr>
          <w:rFonts w:cs="Times New Roman"/>
          <w:szCs w:val="24"/>
          <w:u w:val="single"/>
          <w:lang w:val="fr-CA"/>
        </w:rPr>
        <w:t>l</w:t>
      </w:r>
      <w:r w:rsidRPr="00116202">
        <w:rPr>
          <w:rFonts w:cs="Times New Roman"/>
          <w:szCs w:val="24"/>
          <w:lang w:val="fr-CA"/>
        </w:rPr>
        <w:t xml:space="preserve"> </w:t>
      </w:r>
    </w:p>
    <w:p w:rsidR="00721B35" w:rsidRPr="00116202" w:rsidRDefault="00721B35" w:rsidP="00721B35">
      <w:pPr>
        <w:pStyle w:val="ParaNoNdepar-AltN"/>
        <w:rPr>
          <w:rFonts w:cs="Times New Roman"/>
          <w:szCs w:val="24"/>
          <w:lang w:val="fr-CA"/>
        </w:rPr>
      </w:pPr>
      <w:r w:rsidRPr="00116202">
        <w:rPr>
          <w:rFonts w:cs="Times New Roman"/>
          <w:szCs w:val="24"/>
          <w:lang w:val="fr-CA"/>
        </w:rPr>
        <w:t xml:space="preserve">En appel, D.C. a notamment fait valoir que le juge du procès avait eu tort de conclure à l’inutilisation du condom sur la foi du témoignage de la </w:t>
      </w:r>
      <w:proofErr w:type="spellStart"/>
      <w:r w:rsidRPr="00116202">
        <w:rPr>
          <w:rFonts w:cs="Times New Roman"/>
          <w:szCs w:val="24"/>
          <w:lang w:val="fr-CA"/>
        </w:rPr>
        <w:t>D</w:t>
      </w:r>
      <w:r w:rsidRPr="00116202">
        <w:rPr>
          <w:rFonts w:cs="Times New Roman"/>
          <w:szCs w:val="24"/>
          <w:vertAlign w:val="superscript"/>
          <w:lang w:val="fr-CA"/>
        </w:rPr>
        <w:t>re</w:t>
      </w:r>
      <w:proofErr w:type="spellEnd"/>
      <w:r w:rsidR="00D60C9D">
        <w:rPr>
          <w:rFonts w:cs="Times New Roman"/>
          <w:szCs w:val="24"/>
          <w:lang w:val="fr-CA"/>
        </w:rPr>
        <w:t xml:space="preserve"> Klein, car </w:t>
      </w:r>
      <w:r w:rsidRPr="00116202">
        <w:rPr>
          <w:rFonts w:cs="Times New Roman"/>
          <w:szCs w:val="24"/>
          <w:lang w:val="fr-CA"/>
        </w:rPr>
        <w:t>a) il s’agissait d’un élément de preuve visé par le pr</w:t>
      </w:r>
      <w:r w:rsidR="00D60C9D">
        <w:rPr>
          <w:rFonts w:cs="Times New Roman"/>
          <w:szCs w:val="24"/>
          <w:lang w:val="fr-CA"/>
        </w:rPr>
        <w:t xml:space="preserve">ivilège de la confidentialité, </w:t>
      </w:r>
      <w:r w:rsidRPr="00116202">
        <w:rPr>
          <w:rFonts w:cs="Times New Roman"/>
          <w:szCs w:val="24"/>
          <w:lang w:val="fr-CA"/>
        </w:rPr>
        <w:t xml:space="preserve">b) D.C. avait été </w:t>
      </w:r>
      <w:proofErr w:type="spellStart"/>
      <w:r w:rsidRPr="00116202">
        <w:rPr>
          <w:rFonts w:cs="Times New Roman"/>
          <w:szCs w:val="24"/>
          <w:lang w:val="fr-CA"/>
        </w:rPr>
        <w:t>contre</w:t>
      </w:r>
      <w:r w:rsidRPr="00116202">
        <w:rPr>
          <w:rFonts w:cs="Times New Roman"/>
          <w:szCs w:val="24"/>
          <w:lang w:val="fr-CA"/>
        </w:rPr>
        <w:noBreakHyphen/>
        <w:t>interrogée</w:t>
      </w:r>
      <w:proofErr w:type="spellEnd"/>
      <w:r w:rsidRPr="00116202">
        <w:rPr>
          <w:rFonts w:cs="Times New Roman"/>
          <w:szCs w:val="24"/>
          <w:lang w:val="fr-CA"/>
        </w:rPr>
        <w:t xml:space="preserve"> de manière irrégulière relati</w:t>
      </w:r>
      <w:r w:rsidR="00D60C9D">
        <w:rPr>
          <w:rFonts w:cs="Times New Roman"/>
          <w:szCs w:val="24"/>
          <w:lang w:val="fr-CA"/>
        </w:rPr>
        <w:t xml:space="preserve">vement à la note du médecin et </w:t>
      </w:r>
      <w:r w:rsidRPr="00116202">
        <w:rPr>
          <w:rFonts w:cs="Times New Roman"/>
          <w:szCs w:val="24"/>
          <w:lang w:val="fr-CA"/>
        </w:rPr>
        <w:t xml:space="preserve">c) le juge avait conclu à tort qu’un « élément de preuve indépendant » établissait l’inutilisation du condom, et les inférences qu’il en avaient tirées relevaient de la conjecture.  </w:t>
      </w:r>
    </w:p>
    <w:p w:rsidR="00721B35" w:rsidRPr="00116202" w:rsidRDefault="00721B35" w:rsidP="00721B35">
      <w:pPr>
        <w:pStyle w:val="ParaNoNdepar-AltN"/>
        <w:rPr>
          <w:rFonts w:cs="Times New Roman"/>
          <w:szCs w:val="24"/>
          <w:lang w:val="fr-CA"/>
        </w:rPr>
      </w:pPr>
      <w:r w:rsidRPr="00116202">
        <w:rPr>
          <w:rFonts w:cs="Times New Roman"/>
          <w:szCs w:val="24"/>
          <w:lang w:val="fr-CA"/>
        </w:rPr>
        <w:t xml:space="preserve">Je conviens avec la Cour d’appel que les deux premières prétentions formulées dans le cadre de ce moyen d’appel sont sans fondement.  Mais, en tout respect, je ne puis souscrire à son avis qu’il faut également rejeter la troisième prétention. </w:t>
      </w:r>
    </w:p>
    <w:p w:rsidR="00721B35" w:rsidRPr="00116202" w:rsidRDefault="00721B35" w:rsidP="00721B35">
      <w:pPr>
        <w:pStyle w:val="ParaNoNdepar-AltN"/>
        <w:rPr>
          <w:rFonts w:cs="Times New Roman"/>
          <w:szCs w:val="24"/>
          <w:lang w:val="fr-CA"/>
        </w:rPr>
      </w:pPr>
      <w:r w:rsidRPr="00116202">
        <w:rPr>
          <w:rFonts w:cs="Times New Roman"/>
          <w:szCs w:val="24"/>
          <w:lang w:val="fr-CA"/>
        </w:rPr>
        <w:lastRenderedPageBreak/>
        <w:t xml:space="preserve">En ce qui concerne cette troisième prétention, la Cour d’appel conclut à bon droit que la note de la </w:t>
      </w:r>
      <w:proofErr w:type="spellStart"/>
      <w:r w:rsidRPr="00116202">
        <w:rPr>
          <w:rFonts w:cs="Times New Roman"/>
          <w:szCs w:val="24"/>
          <w:lang w:val="fr-CA"/>
        </w:rPr>
        <w:t>D</w:t>
      </w:r>
      <w:r w:rsidRPr="00116202">
        <w:rPr>
          <w:rFonts w:cs="Times New Roman"/>
          <w:szCs w:val="24"/>
          <w:vertAlign w:val="superscript"/>
          <w:lang w:val="fr-CA"/>
        </w:rPr>
        <w:t>re</w:t>
      </w:r>
      <w:proofErr w:type="spellEnd"/>
      <w:r w:rsidRPr="00116202">
        <w:rPr>
          <w:rFonts w:cs="Times New Roman"/>
          <w:szCs w:val="24"/>
          <w:lang w:val="fr-CA"/>
        </w:rPr>
        <w:t xml:space="preserve"> Klein faisant état de la rupture de condom signalée par D.C. ne constitue pas un élément de preuve indépendant, et que le juge du procès a eu tort de la considérer comme tel.  Voici ce que dit la Cour d’appel à ce sujet : </w:t>
      </w:r>
    </w:p>
    <w:p w:rsidR="00721B35" w:rsidRPr="00116202" w:rsidRDefault="00721B35" w:rsidP="00721B35">
      <w:pPr>
        <w:pStyle w:val="Citation-AltC"/>
        <w:ind w:hanging="1166"/>
        <w:rPr>
          <w:szCs w:val="24"/>
          <w:lang w:val="fr-CA"/>
        </w:rPr>
      </w:pPr>
      <w:r w:rsidRPr="00116202">
        <w:rPr>
          <w:szCs w:val="24"/>
          <w:lang w:val="fr-CA"/>
        </w:rPr>
        <w:tab/>
      </w:r>
      <w:r w:rsidR="00D60C9D">
        <w:rPr>
          <w:szCs w:val="24"/>
          <w:lang w:val="fr-CA"/>
        </w:rPr>
        <w:tab/>
      </w:r>
      <w:r w:rsidRPr="00116202">
        <w:rPr>
          <w:szCs w:val="24"/>
          <w:lang w:val="fr-CA"/>
        </w:rPr>
        <w:t xml:space="preserve">Concernant la visite médicale du 31 août 2000, la </w:t>
      </w:r>
      <w:proofErr w:type="spellStart"/>
      <w:r w:rsidRPr="00116202">
        <w:rPr>
          <w:szCs w:val="24"/>
          <w:lang w:val="fr-CA"/>
        </w:rPr>
        <w:t>D</w:t>
      </w:r>
      <w:r w:rsidRPr="00116202">
        <w:rPr>
          <w:szCs w:val="24"/>
          <w:vertAlign w:val="superscript"/>
          <w:lang w:val="fr-CA"/>
        </w:rPr>
        <w:t>re</w:t>
      </w:r>
      <w:proofErr w:type="spellEnd"/>
      <w:r w:rsidRPr="00116202">
        <w:rPr>
          <w:szCs w:val="24"/>
          <w:lang w:val="fr-CA"/>
        </w:rPr>
        <w:t> Klein témoigne à partir du dossier de sa patiente.  Elle n’a aucun souvenir des propos tenus par [D.C.].  Il ne s’agit pas, selon moi, d’une preuve indépendante.  Les notes consignées au dossier médical ne font que traduire, en forme très abrégée, les propos tenus par [D.C.] le 31 août 2000, sept ans avant le procès et quatre ans avant les accusations.  [</w:t>
      </w:r>
      <w:proofErr w:type="gramStart"/>
      <w:r w:rsidRPr="00116202">
        <w:rPr>
          <w:szCs w:val="24"/>
          <w:lang w:val="fr-CA"/>
        </w:rPr>
        <w:t>par</w:t>
      </w:r>
      <w:proofErr w:type="gramEnd"/>
      <w:r w:rsidRPr="00116202">
        <w:rPr>
          <w:szCs w:val="24"/>
          <w:lang w:val="fr-CA"/>
        </w:rPr>
        <w:t xml:space="preserve">. 52, le juge Chamberland] </w:t>
      </w:r>
    </w:p>
    <w:p w:rsidR="00721B35" w:rsidRPr="00116202" w:rsidRDefault="00721B35" w:rsidP="00721B35">
      <w:pPr>
        <w:pStyle w:val="ParaNoNdepar-AltN"/>
        <w:rPr>
          <w:rFonts w:cs="Times New Roman"/>
          <w:szCs w:val="24"/>
          <w:lang w:val="fr-CA"/>
        </w:rPr>
      </w:pPr>
      <w:r w:rsidRPr="00116202">
        <w:rPr>
          <w:rFonts w:cs="Times New Roman"/>
          <w:szCs w:val="24"/>
          <w:lang w:val="fr-CA"/>
        </w:rPr>
        <w:t xml:space="preserve">Cependant, après avoir conclu que le témoignage de la </w:t>
      </w:r>
      <w:proofErr w:type="spellStart"/>
      <w:r w:rsidRPr="00116202">
        <w:rPr>
          <w:rFonts w:cs="Times New Roman"/>
          <w:szCs w:val="24"/>
          <w:lang w:val="fr-CA"/>
        </w:rPr>
        <w:t>D</w:t>
      </w:r>
      <w:r w:rsidRPr="00116202">
        <w:rPr>
          <w:rFonts w:cs="Times New Roman"/>
          <w:szCs w:val="24"/>
          <w:vertAlign w:val="superscript"/>
          <w:lang w:val="fr-CA"/>
        </w:rPr>
        <w:t>re</w:t>
      </w:r>
      <w:proofErr w:type="spellEnd"/>
      <w:r w:rsidRPr="00116202">
        <w:rPr>
          <w:rFonts w:cs="Times New Roman"/>
          <w:szCs w:val="24"/>
          <w:lang w:val="fr-CA"/>
        </w:rPr>
        <w:t xml:space="preserve"> Klein n’équivalait pas à une preuve indépendante, elle ajoute : </w:t>
      </w:r>
    </w:p>
    <w:p w:rsidR="00721B35" w:rsidRPr="00116202" w:rsidRDefault="00721B35" w:rsidP="00721B35">
      <w:pPr>
        <w:pStyle w:val="Citation-AltC"/>
        <w:ind w:hanging="1166"/>
        <w:rPr>
          <w:szCs w:val="24"/>
          <w:lang w:val="fr-CA"/>
        </w:rPr>
      </w:pPr>
      <w:r w:rsidRPr="00116202">
        <w:rPr>
          <w:szCs w:val="24"/>
          <w:lang w:val="fr-CA"/>
        </w:rPr>
        <w:tab/>
      </w:r>
      <w:r w:rsidR="00B969BB">
        <w:rPr>
          <w:szCs w:val="24"/>
          <w:lang w:val="fr-CA"/>
        </w:rPr>
        <w:tab/>
      </w:r>
      <w:r w:rsidRPr="00116202">
        <w:rPr>
          <w:szCs w:val="24"/>
          <w:lang w:val="fr-CA"/>
        </w:rPr>
        <w:t>Mais peu importe la qualification exacte de cette preuve, le juge tire du mensonge qu’il impute à [D.C.] la conclusion que sa première relation sexuelle avec le plaignant était non protégée, ce qui confirme ce que disait le plaignant.  [</w:t>
      </w:r>
      <w:proofErr w:type="gramStart"/>
      <w:r w:rsidRPr="00116202">
        <w:rPr>
          <w:szCs w:val="24"/>
          <w:lang w:val="fr-CA"/>
        </w:rPr>
        <w:t>par</w:t>
      </w:r>
      <w:proofErr w:type="gramEnd"/>
      <w:r w:rsidRPr="00116202">
        <w:rPr>
          <w:szCs w:val="24"/>
          <w:lang w:val="fr-CA"/>
        </w:rPr>
        <w:t xml:space="preserve">. 53] </w:t>
      </w:r>
    </w:p>
    <w:p w:rsidR="00721B35" w:rsidRPr="00116202" w:rsidRDefault="00721B35" w:rsidP="00721B35">
      <w:pPr>
        <w:pStyle w:val="ContinueParaSuitedupar-AltP"/>
        <w:rPr>
          <w:rFonts w:cs="Times New Roman"/>
          <w:szCs w:val="24"/>
          <w:lang w:val="fr-CA"/>
        </w:rPr>
      </w:pPr>
      <w:r w:rsidRPr="00116202">
        <w:rPr>
          <w:rFonts w:cs="Times New Roman"/>
          <w:szCs w:val="24"/>
          <w:lang w:val="fr-CA"/>
        </w:rPr>
        <w:t>Selon la Cour d’appel, la question est celle de savoir s’il s’agit d’une inférence raisonnable ou d’une simple conjecture.  Elle conclut que le raisonnement du juge du procès participe d’une inférence qu’il pouvait raisonnablement tirer de « ce qu’il considère être le mensonge de [D.C.] à son médecin ».</w:t>
      </w:r>
    </w:p>
    <w:p w:rsidR="00721B35" w:rsidRPr="00116202" w:rsidRDefault="00721B35" w:rsidP="00721B35">
      <w:pPr>
        <w:pStyle w:val="Citation-AltC"/>
        <w:ind w:hanging="1166"/>
        <w:rPr>
          <w:szCs w:val="24"/>
          <w:lang w:val="fr-CA"/>
        </w:rPr>
      </w:pPr>
      <w:r w:rsidRPr="00116202">
        <w:rPr>
          <w:szCs w:val="24"/>
          <w:lang w:val="fr-CA"/>
        </w:rPr>
        <w:tab/>
        <w:t xml:space="preserve">À partir du moment où le juge conclut que [D.C.] — dont il a eu le loisir d’entendre et d’apprécier le témoignage concernant cette visite à la </w:t>
      </w:r>
      <w:proofErr w:type="spellStart"/>
      <w:r w:rsidRPr="00116202">
        <w:rPr>
          <w:szCs w:val="24"/>
          <w:lang w:val="fr-CA"/>
        </w:rPr>
        <w:t>D</w:t>
      </w:r>
      <w:r w:rsidRPr="00116202">
        <w:rPr>
          <w:szCs w:val="24"/>
          <w:vertAlign w:val="superscript"/>
          <w:lang w:val="fr-CA"/>
        </w:rPr>
        <w:t>re</w:t>
      </w:r>
      <w:proofErr w:type="spellEnd"/>
      <w:r w:rsidRPr="00116202">
        <w:rPr>
          <w:szCs w:val="24"/>
          <w:lang w:val="fr-CA"/>
        </w:rPr>
        <w:t> Klein — mentait quant à l’utilisation du condom, il lui était tout à fait loisible d’inférer qu’il n’y avait pas eu utilisation du condom.  [</w:t>
      </w:r>
      <w:proofErr w:type="gramStart"/>
      <w:r w:rsidRPr="00116202">
        <w:rPr>
          <w:szCs w:val="24"/>
          <w:lang w:val="fr-CA"/>
        </w:rPr>
        <w:t>par</w:t>
      </w:r>
      <w:proofErr w:type="gramEnd"/>
      <w:r w:rsidRPr="00116202">
        <w:rPr>
          <w:szCs w:val="24"/>
          <w:lang w:val="fr-CA"/>
        </w:rPr>
        <w:t xml:space="preserve">. 56] </w:t>
      </w:r>
    </w:p>
    <w:p w:rsidR="00721B35" w:rsidRPr="00116202" w:rsidRDefault="00721B35" w:rsidP="00721B35">
      <w:pPr>
        <w:pStyle w:val="ContinueParaSuitedupar-AltP"/>
        <w:rPr>
          <w:rFonts w:cs="Times New Roman"/>
          <w:szCs w:val="24"/>
          <w:lang w:val="fr-CA"/>
        </w:rPr>
      </w:pPr>
      <w:r w:rsidRPr="00116202">
        <w:rPr>
          <w:rFonts w:cs="Times New Roman"/>
          <w:szCs w:val="24"/>
          <w:lang w:val="fr-CA"/>
        </w:rPr>
        <w:lastRenderedPageBreak/>
        <w:t xml:space="preserve">Il s’agit selon elle d’une inférence factuelle, non d’une conjecture. </w:t>
      </w:r>
    </w:p>
    <w:p w:rsidR="00721B35" w:rsidRPr="00116202" w:rsidRDefault="00721B35" w:rsidP="00721B35">
      <w:pPr>
        <w:pStyle w:val="ParaNoNdepar-AltN"/>
        <w:rPr>
          <w:rFonts w:cs="Times New Roman"/>
          <w:szCs w:val="24"/>
          <w:lang w:val="fr-CA"/>
        </w:rPr>
      </w:pPr>
      <w:r w:rsidRPr="00116202">
        <w:rPr>
          <w:rFonts w:cs="Times New Roman"/>
          <w:szCs w:val="24"/>
          <w:lang w:val="fr-CA"/>
        </w:rPr>
        <w:t>La Cour d’appel ajoute toutefois que le juge recourt à une conjecture pour expliquer le mensonge de D.C. à son médecin : elle aurait voulu dissimuler son omission en rassurant son médecin.</w:t>
      </w:r>
    </w:p>
    <w:p w:rsidR="00721B35" w:rsidRPr="00116202" w:rsidRDefault="00721B35" w:rsidP="00721B35">
      <w:pPr>
        <w:pStyle w:val="Citation-AltC"/>
        <w:ind w:hanging="1166"/>
        <w:rPr>
          <w:szCs w:val="24"/>
          <w:lang w:val="fr-CA"/>
        </w:rPr>
      </w:pPr>
      <w:r w:rsidRPr="00116202">
        <w:rPr>
          <w:szCs w:val="24"/>
          <w:lang w:val="fr-CA"/>
        </w:rPr>
        <w:tab/>
        <w:t>Les gens mentent pour toutes sortes de raisons.  Pourquoi retenir cette explication plutôt qu’une autre?  Ici, je crois que le juge spécule.  Mais le fait que ce volet du raisonnement du juge de première instance constitue une spéculation n’affecte en rien la validité de l’inférence factuelle qu’il tir[e] du mensonge de [D.C.] à son médecin concernant l’utilisation du condom.  [</w:t>
      </w:r>
      <w:proofErr w:type="gramStart"/>
      <w:r w:rsidRPr="00116202">
        <w:rPr>
          <w:szCs w:val="24"/>
          <w:lang w:val="fr-CA"/>
        </w:rPr>
        <w:t>par</w:t>
      </w:r>
      <w:proofErr w:type="gramEnd"/>
      <w:r w:rsidRPr="00116202">
        <w:rPr>
          <w:szCs w:val="24"/>
          <w:lang w:val="fr-CA"/>
        </w:rPr>
        <w:t xml:space="preserve">. 60] </w:t>
      </w:r>
    </w:p>
    <w:p w:rsidR="00721B35" w:rsidRPr="00116202" w:rsidRDefault="00721B35" w:rsidP="00B969BB">
      <w:pPr>
        <w:pStyle w:val="TitleTitre-AltT"/>
        <w:tabs>
          <w:tab w:val="clear" w:pos="360"/>
          <w:tab w:val="left" w:pos="540"/>
        </w:tabs>
        <w:ind w:left="540" w:hanging="540"/>
        <w:rPr>
          <w:rFonts w:cs="Times New Roman"/>
          <w:szCs w:val="24"/>
          <w:u w:val="single"/>
          <w:lang w:val="fr-CA"/>
        </w:rPr>
      </w:pPr>
      <w:r w:rsidRPr="00116202">
        <w:rPr>
          <w:rFonts w:cs="Times New Roman"/>
          <w:szCs w:val="24"/>
          <w:lang w:val="fr-CA"/>
        </w:rPr>
        <w:t>V.</w:t>
      </w:r>
      <w:r w:rsidRPr="00116202">
        <w:rPr>
          <w:rFonts w:cs="Times New Roman"/>
          <w:szCs w:val="24"/>
          <w:lang w:val="fr-CA"/>
        </w:rPr>
        <w:tab/>
      </w:r>
      <w:r w:rsidRPr="00116202">
        <w:rPr>
          <w:rFonts w:cs="Times New Roman"/>
          <w:szCs w:val="24"/>
          <w:u w:val="single"/>
          <w:lang w:val="fr-CA"/>
        </w:rPr>
        <w:t>L’erreur du juge du procès</w:t>
      </w:r>
    </w:p>
    <w:p w:rsidR="00721B35" w:rsidRPr="00116202" w:rsidRDefault="00721B35" w:rsidP="00721B35">
      <w:pPr>
        <w:pStyle w:val="ParaNoNdepar-AltN"/>
        <w:rPr>
          <w:rFonts w:cs="Times New Roman"/>
          <w:szCs w:val="24"/>
          <w:lang w:val="fr-CA"/>
        </w:rPr>
      </w:pPr>
      <w:r w:rsidRPr="00116202">
        <w:rPr>
          <w:rFonts w:cs="Times New Roman"/>
          <w:szCs w:val="24"/>
          <w:lang w:val="fr-CA"/>
        </w:rPr>
        <w:t xml:space="preserve">Même s’il estime que le plaignant et D.C. manquent tous deux de crédibilité, le juge du procès déclare cette dernière coupable au motif qu’un élément de preuve indépendant confirme le témoignage du plaignant selon lequel il n’a pas enfilé de condom lors de la relation sexuelle antérieure à la révélation de la séropositivité de D.C.  Comme je l’explique </w:t>
      </w:r>
      <w:proofErr w:type="spellStart"/>
      <w:r w:rsidRPr="00116202">
        <w:rPr>
          <w:rFonts w:cs="Times New Roman"/>
          <w:szCs w:val="24"/>
          <w:lang w:val="fr-CA"/>
        </w:rPr>
        <w:t>ci</w:t>
      </w:r>
      <w:r w:rsidRPr="00116202">
        <w:rPr>
          <w:rFonts w:cs="Times New Roman"/>
          <w:szCs w:val="24"/>
          <w:lang w:val="fr-CA"/>
        </w:rPr>
        <w:noBreakHyphen/>
        <w:t>après</w:t>
      </w:r>
      <w:proofErr w:type="spellEnd"/>
      <w:r w:rsidRPr="00116202">
        <w:rPr>
          <w:rFonts w:cs="Times New Roman"/>
          <w:szCs w:val="24"/>
          <w:lang w:val="fr-CA"/>
        </w:rPr>
        <w:t>, l’erreur fondamentale du juge du procès tient à ce qu’aucune preuve indépendante ni aucune autre preuve n’est susceptible de corroborer la prétention du plaignant, à savoir que la première relation sexuelle n’a pas été protégée.</w:t>
      </w:r>
    </w:p>
    <w:p w:rsidR="00721B35" w:rsidRPr="00116202" w:rsidRDefault="00721B35" w:rsidP="00721B35">
      <w:pPr>
        <w:pStyle w:val="ParaNoNdepar-AltN"/>
        <w:rPr>
          <w:rFonts w:cs="Times New Roman"/>
          <w:szCs w:val="24"/>
          <w:lang w:val="fr-CA"/>
        </w:rPr>
      </w:pPr>
      <w:r w:rsidRPr="00116202">
        <w:rPr>
          <w:rFonts w:cs="Times New Roman"/>
          <w:szCs w:val="24"/>
          <w:lang w:val="fr-CA"/>
        </w:rPr>
        <w:t xml:space="preserve">Selon le juge du procès, une série d’inférences tirées d’une note versée au dossier du médecin de D.C. confirme l’inutilisation du condom.  Pour les motifs qui </w:t>
      </w:r>
      <w:r w:rsidRPr="00116202">
        <w:rPr>
          <w:rFonts w:cs="Times New Roman"/>
          <w:szCs w:val="24"/>
          <w:lang w:val="fr-CA"/>
        </w:rPr>
        <w:lastRenderedPageBreak/>
        <w:t xml:space="preserve">suivent, je conclus que ni cette note ni ces inférences ne sont des éléments de preuve de nature à confirmer le témoignage par ailleurs non convaincant du plaignant.  Le verdict doit donc être annulé.  </w:t>
      </w:r>
    </w:p>
    <w:p w:rsidR="00721B35" w:rsidRPr="00116202" w:rsidRDefault="00721B35" w:rsidP="00721B35">
      <w:pPr>
        <w:pStyle w:val="ParaNoNdepar-AltN"/>
        <w:rPr>
          <w:rFonts w:cs="Times New Roman"/>
          <w:szCs w:val="24"/>
          <w:lang w:val="fr-CA"/>
        </w:rPr>
      </w:pPr>
      <w:r w:rsidRPr="00116202">
        <w:rPr>
          <w:rFonts w:cs="Times New Roman"/>
          <w:szCs w:val="24"/>
          <w:lang w:val="fr-CA"/>
        </w:rPr>
        <w:t xml:space="preserve">Premièrement, je le répète, la note ne confirme pas l’inutilisation du condom lors de la relation sexuelle en cause.  Elle dit plutôt qu’un condom a été utilisé, mais qu’il s’est rompu.  </w:t>
      </w:r>
    </w:p>
    <w:p w:rsidR="00721B35" w:rsidRPr="00116202" w:rsidRDefault="00721B35" w:rsidP="00721B35">
      <w:pPr>
        <w:pStyle w:val="ParaNoNdepar-AltN"/>
        <w:rPr>
          <w:rFonts w:cs="Times New Roman"/>
          <w:szCs w:val="24"/>
          <w:lang w:val="fr-CA"/>
        </w:rPr>
      </w:pPr>
      <w:r w:rsidRPr="00116202">
        <w:rPr>
          <w:rFonts w:cs="Times New Roman"/>
          <w:szCs w:val="24"/>
          <w:lang w:val="fr-CA"/>
        </w:rPr>
        <w:t xml:space="preserve">Deuxièmement, la valeur probante de la note est douteuse.  Elle a été rédigée sept ans auparavant lors d’un entretien avec une patiente.  La </w:t>
      </w:r>
      <w:proofErr w:type="spellStart"/>
      <w:r w:rsidRPr="00116202">
        <w:rPr>
          <w:rFonts w:cs="Times New Roman"/>
          <w:szCs w:val="24"/>
          <w:lang w:val="fr-CA"/>
        </w:rPr>
        <w:t>D</w:t>
      </w:r>
      <w:r w:rsidRPr="00116202">
        <w:rPr>
          <w:rFonts w:cs="Times New Roman"/>
          <w:szCs w:val="24"/>
          <w:vertAlign w:val="superscript"/>
          <w:lang w:val="fr-CA"/>
        </w:rPr>
        <w:t>re</w:t>
      </w:r>
      <w:proofErr w:type="spellEnd"/>
      <w:r w:rsidRPr="00116202">
        <w:rPr>
          <w:rFonts w:cs="Times New Roman"/>
          <w:szCs w:val="24"/>
          <w:vertAlign w:val="superscript"/>
          <w:lang w:val="fr-CA"/>
        </w:rPr>
        <w:t> </w:t>
      </w:r>
      <w:r w:rsidRPr="00116202">
        <w:rPr>
          <w:rFonts w:cs="Times New Roman"/>
          <w:szCs w:val="24"/>
          <w:lang w:val="fr-CA"/>
        </w:rPr>
        <w:t>Klein n’a pas de souvenir personnel de son contenu.  La note est succincte : [</w:t>
      </w:r>
      <w:r w:rsidRPr="00116202">
        <w:rPr>
          <w:rFonts w:cs="Times New Roman"/>
          <w:smallCaps/>
          <w:szCs w:val="24"/>
          <w:lang w:val="fr-CA"/>
        </w:rPr>
        <w:t>traduction</w:t>
      </w:r>
      <w:r w:rsidRPr="00116202">
        <w:rPr>
          <w:rFonts w:cs="Times New Roman"/>
          <w:szCs w:val="24"/>
          <w:lang w:val="fr-CA"/>
        </w:rPr>
        <w:t xml:space="preserve">] « Rapp. </w:t>
      </w:r>
      <w:proofErr w:type="spellStart"/>
      <w:r w:rsidRPr="00116202">
        <w:rPr>
          <w:rFonts w:cs="Times New Roman"/>
          <w:szCs w:val="24"/>
          <w:lang w:val="fr-CA"/>
        </w:rPr>
        <w:t>sex</w:t>
      </w:r>
      <w:proofErr w:type="spellEnd"/>
      <w:r w:rsidRPr="00116202">
        <w:rPr>
          <w:rFonts w:cs="Times New Roman"/>
          <w:szCs w:val="24"/>
          <w:lang w:val="fr-CA"/>
        </w:rPr>
        <w:t xml:space="preserve">. avec </w:t>
      </w:r>
      <w:proofErr w:type="spellStart"/>
      <w:r w:rsidRPr="00116202">
        <w:rPr>
          <w:rFonts w:cs="Times New Roman"/>
          <w:szCs w:val="24"/>
          <w:lang w:val="fr-CA"/>
        </w:rPr>
        <w:t>nouv</w:t>
      </w:r>
      <w:proofErr w:type="spellEnd"/>
      <w:r w:rsidRPr="00116202">
        <w:rPr>
          <w:rFonts w:cs="Times New Roman"/>
          <w:szCs w:val="24"/>
          <w:lang w:val="fr-CA"/>
        </w:rPr>
        <w:t xml:space="preserve">. partenaire — rupture de condom — </w:t>
      </w:r>
      <w:proofErr w:type="spellStart"/>
      <w:r w:rsidRPr="00116202">
        <w:rPr>
          <w:rFonts w:cs="Times New Roman"/>
          <w:szCs w:val="24"/>
          <w:lang w:val="fr-CA"/>
        </w:rPr>
        <w:t>recomm</w:t>
      </w:r>
      <w:proofErr w:type="spellEnd"/>
      <w:r w:rsidRPr="00116202">
        <w:rPr>
          <w:rFonts w:cs="Times New Roman"/>
          <w:szCs w:val="24"/>
          <w:lang w:val="fr-CA"/>
        </w:rPr>
        <w:t xml:space="preserve">. de révéler ».  On ne peut écarter la possibilité d’un malentendu ou d’une transcription inexacte.  (La consultation s’est déroulée en français, mais la langue première de la </w:t>
      </w:r>
      <w:proofErr w:type="spellStart"/>
      <w:r w:rsidRPr="00116202">
        <w:rPr>
          <w:rFonts w:cs="Times New Roman"/>
          <w:szCs w:val="24"/>
          <w:lang w:val="fr-CA"/>
        </w:rPr>
        <w:t>D</w:t>
      </w:r>
      <w:r w:rsidRPr="00116202">
        <w:rPr>
          <w:rFonts w:cs="Times New Roman"/>
          <w:szCs w:val="24"/>
          <w:vertAlign w:val="superscript"/>
          <w:lang w:val="fr-CA"/>
        </w:rPr>
        <w:t>re</w:t>
      </w:r>
      <w:proofErr w:type="spellEnd"/>
      <w:r w:rsidRPr="00116202">
        <w:rPr>
          <w:rFonts w:cs="Times New Roman"/>
          <w:szCs w:val="24"/>
          <w:lang w:val="fr-CA"/>
        </w:rPr>
        <w:t> Klein est l’anglais.)</w:t>
      </w:r>
    </w:p>
    <w:p w:rsidR="00721B35" w:rsidRPr="00116202" w:rsidRDefault="00721B35" w:rsidP="00721B35">
      <w:pPr>
        <w:pStyle w:val="ParaNoNdepar-AltN"/>
        <w:rPr>
          <w:rFonts w:cs="Times New Roman"/>
          <w:szCs w:val="24"/>
          <w:lang w:val="fr-CA"/>
        </w:rPr>
      </w:pPr>
      <w:r w:rsidRPr="00116202">
        <w:rPr>
          <w:rFonts w:cs="Times New Roman"/>
          <w:szCs w:val="24"/>
          <w:lang w:val="fr-CA"/>
        </w:rPr>
        <w:t xml:space="preserve">Troisièmement, l’inférence selon laquelle </w:t>
      </w:r>
      <w:r w:rsidRPr="00116202">
        <w:rPr>
          <w:rFonts w:cs="Times New Roman"/>
          <w:i/>
          <w:szCs w:val="24"/>
          <w:lang w:val="fr-CA"/>
        </w:rPr>
        <w:t>D.C. a menti à son médecin</w:t>
      </w:r>
      <w:r w:rsidRPr="00116202">
        <w:rPr>
          <w:rFonts w:cs="Times New Roman"/>
          <w:szCs w:val="24"/>
          <w:lang w:val="fr-CA"/>
        </w:rPr>
        <w:t xml:space="preserve"> relève de la conjecture.  Le juge du procès tient pour avéré que D.C. a dit à la </w:t>
      </w:r>
      <w:proofErr w:type="spellStart"/>
      <w:r w:rsidRPr="00116202">
        <w:rPr>
          <w:rFonts w:cs="Times New Roman"/>
          <w:szCs w:val="24"/>
          <w:lang w:val="fr-CA"/>
        </w:rPr>
        <w:t>D</w:t>
      </w:r>
      <w:r w:rsidRPr="00116202">
        <w:rPr>
          <w:rFonts w:cs="Times New Roman"/>
          <w:szCs w:val="24"/>
          <w:vertAlign w:val="superscript"/>
          <w:lang w:val="fr-CA"/>
        </w:rPr>
        <w:t>re</w:t>
      </w:r>
      <w:proofErr w:type="spellEnd"/>
      <w:r w:rsidRPr="00116202">
        <w:rPr>
          <w:rFonts w:cs="Times New Roman"/>
          <w:szCs w:val="24"/>
          <w:vertAlign w:val="superscript"/>
          <w:lang w:val="fr-CA"/>
        </w:rPr>
        <w:t> </w:t>
      </w:r>
      <w:r w:rsidRPr="00116202">
        <w:rPr>
          <w:rFonts w:cs="Times New Roman"/>
          <w:szCs w:val="24"/>
          <w:lang w:val="fr-CA"/>
        </w:rPr>
        <w:t xml:space="preserve">Klein qu’un condom avait été utilisé, mais qu’il s’était rompu.  D.C. a dit avoir fait part à la </w:t>
      </w:r>
      <w:proofErr w:type="spellStart"/>
      <w:r w:rsidRPr="00116202">
        <w:rPr>
          <w:rFonts w:cs="Times New Roman"/>
          <w:szCs w:val="24"/>
          <w:lang w:val="fr-CA"/>
        </w:rPr>
        <w:t>D</w:t>
      </w:r>
      <w:r w:rsidRPr="00116202">
        <w:rPr>
          <w:rFonts w:cs="Times New Roman"/>
          <w:szCs w:val="24"/>
          <w:vertAlign w:val="superscript"/>
          <w:lang w:val="fr-CA"/>
        </w:rPr>
        <w:t>re</w:t>
      </w:r>
      <w:proofErr w:type="spellEnd"/>
      <w:r w:rsidRPr="00116202">
        <w:rPr>
          <w:rFonts w:cs="Times New Roman"/>
          <w:szCs w:val="24"/>
          <w:vertAlign w:val="superscript"/>
          <w:lang w:val="fr-CA"/>
        </w:rPr>
        <w:t> </w:t>
      </w:r>
      <w:r w:rsidRPr="00116202">
        <w:rPr>
          <w:rFonts w:cs="Times New Roman"/>
          <w:szCs w:val="24"/>
          <w:lang w:val="fr-CA"/>
        </w:rPr>
        <w:t>Klein de sa crainte qu’il n’y ait eu rupture du condom.  Le juge du procès rejette son explication de la mention [</w:t>
      </w:r>
      <w:r w:rsidRPr="00116202">
        <w:rPr>
          <w:rFonts w:cs="Times New Roman"/>
          <w:smallCaps/>
          <w:szCs w:val="24"/>
          <w:lang w:val="fr-CA"/>
        </w:rPr>
        <w:t>traduction</w:t>
      </w:r>
      <w:r w:rsidRPr="00116202">
        <w:rPr>
          <w:rFonts w:cs="Times New Roman"/>
          <w:szCs w:val="24"/>
          <w:lang w:val="fr-CA"/>
        </w:rPr>
        <w:t xml:space="preserve">] « rupture de condom » dans la note, car il la juge insatisfaisante.  Or, cela ne prouve pas que D.C. a aussi menti à la </w:t>
      </w:r>
      <w:proofErr w:type="spellStart"/>
      <w:r w:rsidRPr="00116202">
        <w:rPr>
          <w:rFonts w:cs="Times New Roman"/>
          <w:szCs w:val="24"/>
          <w:lang w:val="fr-CA"/>
        </w:rPr>
        <w:t>D</w:t>
      </w:r>
      <w:r w:rsidRPr="00116202">
        <w:rPr>
          <w:rFonts w:cs="Times New Roman"/>
          <w:szCs w:val="24"/>
          <w:vertAlign w:val="superscript"/>
          <w:lang w:val="fr-CA"/>
        </w:rPr>
        <w:t>re</w:t>
      </w:r>
      <w:proofErr w:type="spellEnd"/>
      <w:r w:rsidRPr="00116202">
        <w:rPr>
          <w:rFonts w:cs="Times New Roman"/>
          <w:szCs w:val="24"/>
          <w:vertAlign w:val="superscript"/>
          <w:lang w:val="fr-CA"/>
        </w:rPr>
        <w:t> </w:t>
      </w:r>
      <w:r w:rsidRPr="00116202">
        <w:rPr>
          <w:rFonts w:cs="Times New Roman"/>
          <w:szCs w:val="24"/>
          <w:lang w:val="fr-CA"/>
        </w:rPr>
        <w:t xml:space="preserve">Klein en ce qui concerne l’utilisation d’un condom, point sur lequel il y </w:t>
      </w:r>
      <w:r w:rsidRPr="00116202">
        <w:rPr>
          <w:rFonts w:cs="Times New Roman"/>
          <w:szCs w:val="24"/>
          <w:lang w:val="fr-CA"/>
        </w:rPr>
        <w:lastRenderedPageBreak/>
        <w:t xml:space="preserve">a concordance entre son témoignage et la note du médecin.  La conclusion du juge du procès voulant que D.C. ait menti à la </w:t>
      </w:r>
      <w:proofErr w:type="spellStart"/>
      <w:r w:rsidRPr="00116202">
        <w:rPr>
          <w:rFonts w:cs="Times New Roman"/>
          <w:szCs w:val="24"/>
          <w:lang w:val="fr-CA"/>
        </w:rPr>
        <w:t>D</w:t>
      </w:r>
      <w:r w:rsidRPr="00116202">
        <w:rPr>
          <w:rFonts w:cs="Times New Roman"/>
          <w:szCs w:val="24"/>
          <w:vertAlign w:val="superscript"/>
          <w:lang w:val="fr-CA"/>
        </w:rPr>
        <w:t>re</w:t>
      </w:r>
      <w:proofErr w:type="spellEnd"/>
      <w:r w:rsidRPr="00116202">
        <w:rPr>
          <w:rFonts w:cs="Times New Roman"/>
          <w:szCs w:val="24"/>
          <w:vertAlign w:val="superscript"/>
          <w:lang w:val="fr-CA"/>
        </w:rPr>
        <w:t> </w:t>
      </w:r>
      <w:r w:rsidRPr="00116202">
        <w:rPr>
          <w:rFonts w:cs="Times New Roman"/>
          <w:szCs w:val="24"/>
          <w:lang w:val="fr-CA"/>
        </w:rPr>
        <w:t xml:space="preserve">Klein au sujet de l’utilisation du condom n’est pas étayée par la preuve et tient donc de la conjecture. </w:t>
      </w:r>
    </w:p>
    <w:p w:rsidR="00721B35" w:rsidRPr="00116202" w:rsidRDefault="00721B35" w:rsidP="00721B35">
      <w:pPr>
        <w:pStyle w:val="ParaNoNdepar-AltN"/>
        <w:rPr>
          <w:rFonts w:cs="Times New Roman"/>
          <w:szCs w:val="24"/>
          <w:lang w:val="fr-CA"/>
        </w:rPr>
      </w:pPr>
      <w:r w:rsidRPr="00116202">
        <w:rPr>
          <w:rFonts w:cs="Times New Roman"/>
          <w:szCs w:val="24"/>
          <w:lang w:val="fr-CA"/>
        </w:rPr>
        <w:t xml:space="preserve">Quatrièmement, l’autre inférence du juge du procès — à savoir que D.C. a « menti » </w:t>
      </w:r>
      <w:r w:rsidRPr="00116202">
        <w:rPr>
          <w:rFonts w:cs="Times New Roman"/>
          <w:i/>
          <w:szCs w:val="24"/>
          <w:lang w:val="fr-CA"/>
        </w:rPr>
        <w:t>à son médecin</w:t>
      </w:r>
      <w:r w:rsidRPr="00116202">
        <w:rPr>
          <w:rFonts w:cs="Times New Roman"/>
          <w:szCs w:val="24"/>
          <w:lang w:val="fr-CA"/>
        </w:rPr>
        <w:t xml:space="preserve"> </w:t>
      </w:r>
      <w:r w:rsidRPr="00116202">
        <w:rPr>
          <w:rFonts w:cs="Times New Roman"/>
          <w:i/>
          <w:szCs w:val="24"/>
          <w:lang w:val="fr-CA"/>
        </w:rPr>
        <w:t xml:space="preserve">pour lui cacher le fait qu’elle avait eu une relation sexuelle non protégée </w:t>
      </w:r>
      <w:r w:rsidRPr="00116202">
        <w:rPr>
          <w:rFonts w:cs="Times New Roman"/>
          <w:szCs w:val="24"/>
          <w:lang w:val="fr-CA"/>
        </w:rPr>
        <w:t>—</w:t>
      </w:r>
      <w:r w:rsidRPr="00116202">
        <w:rPr>
          <w:rFonts w:cs="Times New Roman"/>
          <w:i/>
          <w:szCs w:val="24"/>
          <w:lang w:val="fr-CA"/>
        </w:rPr>
        <w:t xml:space="preserve"> </w:t>
      </w:r>
      <w:r w:rsidRPr="00116202">
        <w:rPr>
          <w:rFonts w:cs="Times New Roman"/>
          <w:szCs w:val="24"/>
          <w:lang w:val="fr-CA"/>
        </w:rPr>
        <w:t>relève de la conjecture.  Après avoir conclu que D.C. avait ainsi menti, il demande : « Pourquoi ne pas dire la vérité à son médecin? »  Ce à quoi il répond : « La seule inférence qu’il est possible de tirer est qu’elle a voulu cacher à son médecin son incurie d’avoir eu une relation sexuelle non protégée avec son nouveau partenaire, le plaignant » (par. 167</w:t>
      </w:r>
      <w:r w:rsidR="00B969BB">
        <w:rPr>
          <w:rFonts w:cs="Times New Roman"/>
          <w:szCs w:val="24"/>
          <w:lang w:val="fr-CA"/>
        </w:rPr>
        <w:t>-</w:t>
      </w:r>
      <w:r w:rsidRPr="00116202">
        <w:rPr>
          <w:rFonts w:cs="Times New Roman"/>
          <w:szCs w:val="24"/>
          <w:lang w:val="fr-CA"/>
        </w:rPr>
        <w:t xml:space="preserve">168).  Comme le souligne la Cour d’appel, les gens mentent pour toutes sortes de raisons.  C’est conjecturer que de retenir une possibilité plutôt qu’une autre. </w:t>
      </w:r>
    </w:p>
    <w:p w:rsidR="00721B35" w:rsidRPr="00116202" w:rsidRDefault="00721B35" w:rsidP="00721B35">
      <w:pPr>
        <w:pStyle w:val="ParaNoNdepar-AltN"/>
        <w:rPr>
          <w:rFonts w:cs="Times New Roman"/>
          <w:szCs w:val="24"/>
          <w:lang w:val="fr-CA"/>
        </w:rPr>
      </w:pPr>
      <w:r w:rsidRPr="00116202">
        <w:rPr>
          <w:rFonts w:cs="Times New Roman"/>
          <w:szCs w:val="24"/>
          <w:lang w:val="fr-CA"/>
        </w:rPr>
        <w:t xml:space="preserve">Selon la Cour d’appel, la nature conjecturale de la conclusion du juge du procès selon laquelle D.C. a menti à son médecin pour dissimuler le fait qu’elle avait eu une relation sexuelle non protégée avec le plaignant importe peu.  Elle affirme ce qui suit au par. 60 de ses motifs : « Mais le fait que ce volet du raisonnement du juge de première instance constitue une spéculation n’affecte en rien la validité de l’inférence factuelle qu’il tir[e] du mensonge de [D.C.] à son médecin concernant l’utilisation du condom ».  En tout respect, la nature conjecturale de cette conclusion importe, car il faut distinguer entre conjecture et preuve. </w:t>
      </w:r>
    </w:p>
    <w:p w:rsidR="00721B35" w:rsidRPr="00116202" w:rsidRDefault="00721B35" w:rsidP="00721B35">
      <w:pPr>
        <w:pStyle w:val="ParaNoNdepar-AltN"/>
        <w:rPr>
          <w:rFonts w:cs="Times New Roman"/>
          <w:szCs w:val="24"/>
          <w:lang w:val="fr-CA"/>
        </w:rPr>
      </w:pPr>
      <w:r w:rsidRPr="00116202">
        <w:rPr>
          <w:rFonts w:cs="Times New Roman"/>
          <w:szCs w:val="24"/>
          <w:lang w:val="fr-CA"/>
        </w:rPr>
        <w:lastRenderedPageBreak/>
        <w:t>En résumé, vu l’absence de crédibilité du plaignant, le juge du procès ne pouvait rendre un verdict de culpabilité que s’il disposait d’une preuve confirmant l’inutilisation du condom.  Il a tenté d’ériger en élément de preuve son inférence suivant laquelle D.C. a menti à son médecin pour dissimuler son omission d’utiliser un condom.  Mais une fois son raisonnement décortiqué, il en ressort non pas une preuve, mais une série de conclusions conjecturales concernant un prétendu mensonge et ce qui l’aurait motivé.  Ces conclusions sont tirées à partir d’une note rédigée sept ans auparavant qui ne constitue pas une preuve indépendante.  L’échafaudage de conjectures sur lequel se fonde le juge du procès n’équivaut pas à un élément de preuve indépendant qui corrobore le témoignage du plaignant.  Sans ces conjectures, le juge du procès aurait rejeté ce témoignage.</w:t>
      </w:r>
    </w:p>
    <w:p w:rsidR="00721B35" w:rsidRPr="00116202" w:rsidRDefault="00721B35" w:rsidP="00287C34">
      <w:pPr>
        <w:pStyle w:val="TitleTitre-AltT"/>
        <w:tabs>
          <w:tab w:val="clear" w:pos="360"/>
          <w:tab w:val="left" w:pos="540"/>
        </w:tabs>
        <w:ind w:left="540" w:hanging="540"/>
        <w:rPr>
          <w:rFonts w:cs="Times New Roman"/>
          <w:szCs w:val="24"/>
          <w:lang w:val="fr-CA"/>
        </w:rPr>
      </w:pPr>
      <w:r w:rsidRPr="00116202">
        <w:rPr>
          <w:rFonts w:cs="Times New Roman"/>
          <w:szCs w:val="24"/>
          <w:lang w:val="fr-CA"/>
        </w:rPr>
        <w:t>VI.</w:t>
      </w:r>
      <w:r w:rsidRPr="00116202">
        <w:rPr>
          <w:rFonts w:cs="Times New Roman"/>
          <w:szCs w:val="24"/>
          <w:lang w:val="fr-CA"/>
        </w:rPr>
        <w:tab/>
      </w:r>
      <w:r w:rsidRPr="00116202">
        <w:rPr>
          <w:rFonts w:cs="Times New Roman"/>
          <w:szCs w:val="24"/>
          <w:u w:val="single"/>
          <w:lang w:val="fr-CA"/>
        </w:rPr>
        <w:t>Dispositif</w:t>
      </w:r>
      <w:r w:rsidRPr="00116202">
        <w:rPr>
          <w:rFonts w:cs="Times New Roman"/>
          <w:szCs w:val="24"/>
          <w:lang w:val="fr-CA"/>
        </w:rPr>
        <w:t xml:space="preserve"> </w:t>
      </w:r>
    </w:p>
    <w:p w:rsidR="00721B35" w:rsidRPr="00116202" w:rsidRDefault="00721B35" w:rsidP="00721B35">
      <w:pPr>
        <w:pStyle w:val="ParaNoNdepar-AltN"/>
        <w:rPr>
          <w:rFonts w:cs="Times New Roman"/>
          <w:szCs w:val="24"/>
          <w:lang w:val="fr-CA"/>
        </w:rPr>
      </w:pPr>
      <w:r w:rsidRPr="00116202">
        <w:rPr>
          <w:rFonts w:cs="Times New Roman"/>
          <w:szCs w:val="24"/>
          <w:lang w:val="fr-CA"/>
        </w:rPr>
        <w:t xml:space="preserve">Pour qu’il y ait déclaration de culpabilité, il fallait établir hors de tout doute raisonnable que D.C. n’avait pas informé le plaignant de sa séropositivité alors qu’elle lui faisait courir un risque important de lésions corporelles graves.  Comme nous le précisons dans l’arrêt </w:t>
      </w:r>
      <w:proofErr w:type="spellStart"/>
      <w:r w:rsidRPr="00116202">
        <w:rPr>
          <w:rFonts w:cs="Times New Roman"/>
          <w:i/>
          <w:szCs w:val="24"/>
          <w:lang w:val="fr-CA"/>
        </w:rPr>
        <w:t>Mabior</w:t>
      </w:r>
      <w:proofErr w:type="spellEnd"/>
      <w:r w:rsidRPr="00116202">
        <w:rPr>
          <w:rFonts w:cs="Times New Roman"/>
          <w:szCs w:val="24"/>
          <w:lang w:val="fr-CA"/>
        </w:rPr>
        <w:t xml:space="preserve">, la possibilité réaliste de transmettre le VIH crée un risque important de lésions corporelles graves.  Ce risque est écarté à la fois par une faible charge virale et par l’usage du condom.  Une charge virale faible — voire indétectable — a été établie en l’espèce.  La question cruciale qui se posait au procès était donc celle de savoir si le plaignant et D.C. avaient utilisé un condom lors de </w:t>
      </w:r>
      <w:r w:rsidRPr="00116202">
        <w:rPr>
          <w:rFonts w:cs="Times New Roman"/>
          <w:szCs w:val="24"/>
          <w:lang w:val="fr-CA"/>
        </w:rPr>
        <w:lastRenderedPageBreak/>
        <w:t xml:space="preserve">l’unique relation sexuelle qu’ils avaient eue avant que D.C. n’informe le plaignant de sa séropositivité. </w:t>
      </w:r>
    </w:p>
    <w:p w:rsidR="00721B35" w:rsidRPr="00116202" w:rsidRDefault="00721B35" w:rsidP="00721B35">
      <w:pPr>
        <w:pStyle w:val="ParaNoNdepar-AltN"/>
        <w:rPr>
          <w:rFonts w:cs="Times New Roman"/>
          <w:szCs w:val="24"/>
          <w:lang w:val="fr-CA"/>
        </w:rPr>
      </w:pPr>
      <w:r w:rsidRPr="00116202">
        <w:rPr>
          <w:rFonts w:cs="Times New Roman"/>
          <w:szCs w:val="24"/>
          <w:lang w:val="fr-CA"/>
        </w:rPr>
        <w:t xml:space="preserve">Les seuls témoignages entendus sur ce point sont ceux du plaignant et de D.C.  Le premier a prétendu qu’ils n’avaient pas utilisé de condom, tandis que la seconde a affirmé le contraire.  Le juge du procès a conclu que ni l’un ni l’autre n’étaient crédibles.  Si les choses en étaient restées là, D.C. aurait été acquittée, car il incombait à la poursuite d’établir sa culpabilité hors de tout doute raisonnable.  Cependant, je le rappelle, le juge du procès a ensuite vu dans la note du médecin de D.C. faisant mention d’une rupture de condom un élément de preuve indépendant qui confirmait le témoignage du plaignant selon lequel la relation n’avait pas été protégée.  Il en a conclu que D.C. avait menti à son médecin, inférant en outre de ce « mensonge » l’inutilisation du condom.  Les conjectures que le juge du procès échafaude à partir d’une seule note qui constitue du </w:t>
      </w:r>
      <w:proofErr w:type="spellStart"/>
      <w:r w:rsidRPr="00116202">
        <w:rPr>
          <w:rFonts w:cs="Times New Roman"/>
          <w:szCs w:val="24"/>
          <w:lang w:val="fr-CA"/>
        </w:rPr>
        <w:t>ouï</w:t>
      </w:r>
      <w:r w:rsidRPr="00116202">
        <w:rPr>
          <w:rFonts w:cs="Times New Roman"/>
          <w:szCs w:val="24"/>
          <w:lang w:val="fr-CA"/>
        </w:rPr>
        <w:noBreakHyphen/>
        <w:t>dire</w:t>
      </w:r>
      <w:proofErr w:type="spellEnd"/>
      <w:r w:rsidRPr="00116202">
        <w:rPr>
          <w:rFonts w:cs="Times New Roman"/>
          <w:szCs w:val="24"/>
          <w:lang w:val="fr-CA"/>
        </w:rPr>
        <w:t xml:space="preserve"> et qui a été rédigée sept ans plus tôt ne prouvent pas l’inutilisation du condom.  Au vu de l’analyse du juge du procès, la poursuite n’a donc pas établi hors de tout doute raisonnable la culpabilité de D.C. à l’égard des accusations qui pesaient contre elle.  Par conséquent, le verdict doit être annulé.</w:t>
      </w:r>
    </w:p>
    <w:p w:rsidR="00721B35" w:rsidRPr="00116202" w:rsidRDefault="00721B35" w:rsidP="00721B35">
      <w:pPr>
        <w:pStyle w:val="ParaNoNdepar-AltN"/>
        <w:rPr>
          <w:rFonts w:cs="Times New Roman"/>
          <w:szCs w:val="24"/>
          <w:lang w:val="fr-CA"/>
        </w:rPr>
      </w:pPr>
      <w:r w:rsidRPr="00116202">
        <w:rPr>
          <w:rFonts w:cs="Times New Roman"/>
          <w:szCs w:val="24"/>
          <w:lang w:val="fr-CA"/>
        </w:rPr>
        <w:t>Je suis donc d’avis de rejeter le pourvoi.</w:t>
      </w:r>
    </w:p>
    <w:p w:rsidR="0033393C" w:rsidRPr="00C74BEB" w:rsidRDefault="0033393C" w:rsidP="005257A5">
      <w:pPr>
        <w:pStyle w:val="SCCNormalDoubleSpacing"/>
        <w:spacing w:after="480"/>
        <w:rPr>
          <w:i/>
        </w:rPr>
      </w:pPr>
      <w:r w:rsidRPr="00C74BEB">
        <w:rPr>
          <w:i/>
        </w:rPr>
        <w:tab/>
      </w:r>
      <w:r w:rsidR="000C5D5F" w:rsidRPr="00C74BEB">
        <w:rPr>
          <w:i/>
        </w:rPr>
        <w:t xml:space="preserve">Pourvoi </w:t>
      </w:r>
      <w:r w:rsidR="00B41C26" w:rsidRPr="00C74BEB">
        <w:rPr>
          <w:i/>
        </w:rPr>
        <w:t>rejeté</w:t>
      </w:r>
      <w:r w:rsidR="000C5D5F" w:rsidRPr="00C74BEB">
        <w:rPr>
          <w:i/>
        </w:rPr>
        <w:t>.</w:t>
      </w:r>
    </w:p>
    <w:p w:rsidR="000C5D5F" w:rsidRPr="00C74BEB" w:rsidRDefault="005257A5" w:rsidP="00AA6255">
      <w:pPr>
        <w:pStyle w:val="SCCNormalDoubleSpacing"/>
        <w:spacing w:after="480"/>
        <w:rPr>
          <w:i/>
        </w:rPr>
      </w:pPr>
      <w:r w:rsidRPr="00C74BEB">
        <w:rPr>
          <w:i/>
        </w:rPr>
        <w:lastRenderedPageBreak/>
        <w:tab/>
        <w:t>Procureur de l’appelante</w:t>
      </w:r>
      <w:r w:rsidR="00732601" w:rsidRPr="00C74BEB">
        <w:rPr>
          <w:i/>
        </w:rPr>
        <w:t> :</w:t>
      </w:r>
      <w:r w:rsidRPr="00C74BEB">
        <w:rPr>
          <w:i/>
        </w:rPr>
        <w:t> </w:t>
      </w:r>
      <w:r w:rsidR="000C5D5F" w:rsidRPr="00C74BEB">
        <w:rPr>
          <w:i/>
        </w:rPr>
        <w:t>Poursuites criminelles et pénales du Québec, Longueuil.</w:t>
      </w:r>
    </w:p>
    <w:p w:rsidR="000C5D5F" w:rsidRPr="00C74BEB" w:rsidRDefault="005257A5" w:rsidP="00AA6255">
      <w:pPr>
        <w:pStyle w:val="SCCNormalDoubleSpacing"/>
        <w:spacing w:after="480"/>
        <w:rPr>
          <w:i/>
        </w:rPr>
      </w:pPr>
      <w:r w:rsidRPr="00C74BEB">
        <w:rPr>
          <w:i/>
        </w:rPr>
        <w:tab/>
        <w:t>Procureurs de l’intimée</w:t>
      </w:r>
      <w:r w:rsidR="00732601" w:rsidRPr="00C74BEB">
        <w:rPr>
          <w:i/>
        </w:rPr>
        <w:t> :</w:t>
      </w:r>
      <w:r w:rsidRPr="00C74BEB">
        <w:rPr>
          <w:i/>
        </w:rPr>
        <w:t> </w:t>
      </w:r>
      <w:r w:rsidR="000C5D5F" w:rsidRPr="00C74BEB">
        <w:rPr>
          <w:i/>
        </w:rPr>
        <w:t xml:space="preserve">Desrosiers, </w:t>
      </w:r>
      <w:proofErr w:type="spellStart"/>
      <w:r w:rsidR="000C5D5F" w:rsidRPr="00C74BEB">
        <w:rPr>
          <w:i/>
        </w:rPr>
        <w:t>Joncas</w:t>
      </w:r>
      <w:proofErr w:type="spellEnd"/>
      <w:r w:rsidR="000C5D5F" w:rsidRPr="00C74BEB">
        <w:rPr>
          <w:i/>
        </w:rPr>
        <w:t xml:space="preserve">, </w:t>
      </w:r>
      <w:proofErr w:type="spellStart"/>
      <w:r w:rsidR="000C5D5F" w:rsidRPr="00C74BEB">
        <w:rPr>
          <w:i/>
        </w:rPr>
        <w:t>Massicotte</w:t>
      </w:r>
      <w:proofErr w:type="spellEnd"/>
      <w:r w:rsidR="000C5D5F" w:rsidRPr="00C74BEB">
        <w:rPr>
          <w:i/>
        </w:rPr>
        <w:t>, Montréal.</w:t>
      </w:r>
    </w:p>
    <w:p w:rsidR="000C5D5F" w:rsidRPr="00C74BEB" w:rsidRDefault="000C5D5F" w:rsidP="00AA6255">
      <w:pPr>
        <w:pStyle w:val="SCCNormalDoubleSpacing"/>
        <w:spacing w:after="480"/>
        <w:rPr>
          <w:i/>
        </w:rPr>
      </w:pPr>
      <w:r w:rsidRPr="00C74BEB">
        <w:rPr>
          <w:i/>
        </w:rPr>
        <w:tab/>
        <w:t>Procureur de l’intervenant le p</w:t>
      </w:r>
      <w:r w:rsidR="005257A5" w:rsidRPr="00C74BEB">
        <w:rPr>
          <w:i/>
        </w:rPr>
        <w:t>rocureur général de l’Alberta</w:t>
      </w:r>
      <w:r w:rsidR="00732601" w:rsidRPr="00C74BEB">
        <w:rPr>
          <w:i/>
        </w:rPr>
        <w:t> :</w:t>
      </w:r>
      <w:r w:rsidR="005257A5" w:rsidRPr="00C74BEB">
        <w:rPr>
          <w:i/>
        </w:rPr>
        <w:t> </w:t>
      </w:r>
      <w:r w:rsidRPr="00C74BEB">
        <w:rPr>
          <w:i/>
        </w:rPr>
        <w:t>Procureur général de l’Alberta, Calgary.</w:t>
      </w:r>
    </w:p>
    <w:p w:rsidR="000C5D5F" w:rsidRPr="00C74BEB" w:rsidRDefault="000C5D5F" w:rsidP="00AA6255">
      <w:pPr>
        <w:pStyle w:val="SCCNormalDoubleSpacing"/>
        <w:spacing w:after="480"/>
        <w:rPr>
          <w:i/>
        </w:rPr>
      </w:pPr>
      <w:r w:rsidRPr="00C74BEB">
        <w:rPr>
          <w:i/>
        </w:rPr>
        <w:tab/>
        <w:t xml:space="preserve">Procureurs des intervenants le Réseau juridique canadien VIH/sida, HIV &amp; AIDS </w:t>
      </w:r>
      <w:proofErr w:type="spellStart"/>
      <w:r w:rsidRPr="00C74BEB">
        <w:rPr>
          <w:i/>
        </w:rPr>
        <w:t>Legal</w:t>
      </w:r>
      <w:proofErr w:type="spellEnd"/>
      <w:r w:rsidRPr="00C74BEB">
        <w:rPr>
          <w:i/>
        </w:rPr>
        <w:t xml:space="preserve"> </w:t>
      </w:r>
      <w:proofErr w:type="spellStart"/>
      <w:r w:rsidRPr="00C74BEB">
        <w:rPr>
          <w:i/>
        </w:rPr>
        <w:t>Clinic</w:t>
      </w:r>
      <w:proofErr w:type="spellEnd"/>
      <w:r w:rsidRPr="00C74BEB">
        <w:rPr>
          <w:i/>
        </w:rPr>
        <w:t xml:space="preserve"> Ontario, la Coalition des organismes communautaires québécois de lutte contre le sida, Positive Living Society of British Columbia, la Société canadienne du sida, Toronto People </w:t>
      </w:r>
      <w:proofErr w:type="spellStart"/>
      <w:r w:rsidRPr="00C74BEB">
        <w:rPr>
          <w:i/>
        </w:rPr>
        <w:t>With</w:t>
      </w:r>
      <w:proofErr w:type="spellEnd"/>
      <w:r w:rsidRPr="00C74BEB">
        <w:rPr>
          <w:i/>
        </w:rPr>
        <w:t xml:space="preserve"> AIDS </w:t>
      </w:r>
      <w:proofErr w:type="spellStart"/>
      <w:r w:rsidRPr="00C74BEB">
        <w:rPr>
          <w:i/>
        </w:rPr>
        <w:t>Foundation</w:t>
      </w:r>
      <w:proofErr w:type="spellEnd"/>
      <w:r w:rsidRPr="00C74BEB">
        <w:rPr>
          <w:i/>
        </w:rPr>
        <w:t xml:space="preserve">, Black Coalition for AIDS </w:t>
      </w:r>
      <w:proofErr w:type="spellStart"/>
      <w:r w:rsidRPr="00C74BEB">
        <w:rPr>
          <w:i/>
        </w:rPr>
        <w:t>Prevention</w:t>
      </w:r>
      <w:proofErr w:type="spellEnd"/>
      <w:r w:rsidRPr="00C74BEB">
        <w:rPr>
          <w:i/>
        </w:rPr>
        <w:t xml:space="preserve"> et </w:t>
      </w:r>
      <w:r w:rsidR="00E90C87" w:rsidRPr="00C74BEB">
        <w:rPr>
          <w:i/>
        </w:rPr>
        <w:t>le Réseau canadien autochtone du sida</w:t>
      </w:r>
      <w:r w:rsidR="00732601" w:rsidRPr="00C74BEB">
        <w:rPr>
          <w:i/>
        </w:rPr>
        <w:t> :</w:t>
      </w:r>
      <w:r w:rsidR="005257A5" w:rsidRPr="00C74BEB">
        <w:rPr>
          <w:i/>
        </w:rPr>
        <w:t> </w:t>
      </w:r>
      <w:r w:rsidRPr="00C74BEB">
        <w:rPr>
          <w:i/>
        </w:rPr>
        <w:t xml:space="preserve">Cooper &amp; </w:t>
      </w:r>
      <w:proofErr w:type="spellStart"/>
      <w:r w:rsidRPr="00C74BEB">
        <w:rPr>
          <w:i/>
        </w:rPr>
        <w:t>Sandler</w:t>
      </w:r>
      <w:proofErr w:type="spellEnd"/>
      <w:r w:rsidRPr="00C74BEB">
        <w:rPr>
          <w:i/>
        </w:rPr>
        <w:t>, Toronto.</w:t>
      </w:r>
    </w:p>
    <w:p w:rsidR="000C5D5F" w:rsidRPr="00C74BEB" w:rsidRDefault="000C5D5F" w:rsidP="00AA6255">
      <w:pPr>
        <w:pStyle w:val="SCCNormalDoubleSpacing"/>
        <w:spacing w:after="480"/>
        <w:rPr>
          <w:i/>
        </w:rPr>
      </w:pPr>
      <w:r w:rsidRPr="00C74BEB">
        <w:rPr>
          <w:i/>
        </w:rPr>
        <w:tab/>
        <w:t xml:space="preserve">Procureurs de l’intervenante </w:t>
      </w:r>
      <w:proofErr w:type="spellStart"/>
      <w:r w:rsidRPr="00C74BEB">
        <w:rPr>
          <w:i/>
        </w:rPr>
        <w:t>Criminal</w:t>
      </w:r>
      <w:proofErr w:type="spellEnd"/>
      <w:r w:rsidRPr="00C74BEB">
        <w:rPr>
          <w:i/>
        </w:rPr>
        <w:t xml:space="preserve"> </w:t>
      </w:r>
      <w:proofErr w:type="spellStart"/>
      <w:r w:rsidRPr="00C74BEB">
        <w:rPr>
          <w:i/>
        </w:rPr>
        <w:t>La</w:t>
      </w:r>
      <w:r w:rsidR="005257A5" w:rsidRPr="00C74BEB">
        <w:rPr>
          <w:i/>
        </w:rPr>
        <w:t>wyers</w:t>
      </w:r>
      <w:proofErr w:type="spellEnd"/>
      <w:r w:rsidR="005257A5" w:rsidRPr="00C74BEB">
        <w:rPr>
          <w:i/>
        </w:rPr>
        <w:t>’ Association of Ontario</w:t>
      </w:r>
      <w:r w:rsidR="00732601" w:rsidRPr="00C74BEB">
        <w:rPr>
          <w:i/>
        </w:rPr>
        <w:t> :</w:t>
      </w:r>
      <w:r w:rsidR="005257A5" w:rsidRPr="00C74BEB">
        <w:rPr>
          <w:i/>
        </w:rPr>
        <w:t> </w:t>
      </w:r>
      <w:proofErr w:type="spellStart"/>
      <w:r w:rsidRPr="00C74BEB">
        <w:rPr>
          <w:i/>
        </w:rPr>
        <w:t>Schreck</w:t>
      </w:r>
      <w:proofErr w:type="spellEnd"/>
      <w:r w:rsidRPr="00C74BEB">
        <w:rPr>
          <w:i/>
        </w:rPr>
        <w:t xml:space="preserve"> Presser, Toronto.</w:t>
      </w:r>
    </w:p>
    <w:p w:rsidR="000C5D5F" w:rsidRPr="00C74BEB" w:rsidRDefault="000C5D5F" w:rsidP="005257A5">
      <w:pPr>
        <w:pStyle w:val="SCCLawFirm"/>
        <w:spacing w:after="480"/>
      </w:pPr>
      <w:r w:rsidRPr="00C74BEB">
        <w:tab/>
        <w:t xml:space="preserve">Procureurs de l’intervenante l’Association des libertés civiles de la </w:t>
      </w:r>
      <w:proofErr w:type="spellStart"/>
      <w:r w:rsidRPr="00C74BEB">
        <w:t>Colombie</w:t>
      </w:r>
      <w:r w:rsidR="00732601" w:rsidRPr="00C74BEB">
        <w:noBreakHyphen/>
      </w:r>
      <w:r w:rsidRPr="00C74BEB">
        <w:t>Britannique</w:t>
      </w:r>
      <w:proofErr w:type="spellEnd"/>
      <w:r w:rsidR="00732601" w:rsidRPr="00C74BEB">
        <w:t> :</w:t>
      </w:r>
      <w:r w:rsidR="005257A5" w:rsidRPr="00C74BEB">
        <w:t> </w:t>
      </w:r>
      <w:r w:rsidRPr="00C74BEB">
        <w:t xml:space="preserve">McCarthy </w:t>
      </w:r>
      <w:proofErr w:type="spellStart"/>
      <w:r w:rsidRPr="00C74BEB">
        <w:t>Tétrault</w:t>
      </w:r>
      <w:proofErr w:type="spellEnd"/>
      <w:r w:rsidRPr="00C74BEB">
        <w:t>, Vancouver.</w:t>
      </w:r>
    </w:p>
    <w:p w:rsidR="000C5D5F" w:rsidRPr="00C74BEB" w:rsidRDefault="000C5D5F" w:rsidP="00AA6255">
      <w:pPr>
        <w:pStyle w:val="SCCNormalDoubleSpacing"/>
        <w:spacing w:after="480"/>
        <w:rPr>
          <w:i/>
        </w:rPr>
      </w:pPr>
      <w:r w:rsidRPr="00C74BEB">
        <w:rPr>
          <w:i/>
        </w:rPr>
        <w:tab/>
        <w:t>Procureurs de l’intervenante l’Association des avoc</w:t>
      </w:r>
      <w:r w:rsidR="005257A5" w:rsidRPr="00C74BEB">
        <w:rPr>
          <w:i/>
        </w:rPr>
        <w:t>ats de la défense de Montréal</w:t>
      </w:r>
      <w:r w:rsidR="00732601" w:rsidRPr="00C74BEB">
        <w:rPr>
          <w:i/>
        </w:rPr>
        <w:t> :</w:t>
      </w:r>
      <w:r w:rsidR="005257A5" w:rsidRPr="00C74BEB">
        <w:rPr>
          <w:i/>
        </w:rPr>
        <w:t> </w:t>
      </w:r>
      <w:r w:rsidRPr="00C74BEB">
        <w:rPr>
          <w:i/>
        </w:rPr>
        <w:t>Poupart, Dadour, Touma et Associés, Montréal.</w:t>
      </w:r>
    </w:p>
    <w:p w:rsidR="00721B35" w:rsidRDefault="000C5D5F" w:rsidP="00721B35">
      <w:pPr>
        <w:pStyle w:val="SCCNormalDoubleSpacing"/>
        <w:spacing w:after="480"/>
        <w:rPr>
          <w:b/>
        </w:rPr>
      </w:pPr>
      <w:r w:rsidRPr="00C74BEB">
        <w:rPr>
          <w:i/>
        </w:rPr>
        <w:lastRenderedPageBreak/>
        <w:tab/>
        <w:t>Procureurs de l’intervenant l’Institut nationa</w:t>
      </w:r>
      <w:r w:rsidR="005257A5" w:rsidRPr="00C74BEB">
        <w:rPr>
          <w:i/>
        </w:rPr>
        <w:t>l de santé publique du Québec</w:t>
      </w:r>
      <w:r w:rsidR="00732601" w:rsidRPr="00C74BEB">
        <w:rPr>
          <w:i/>
        </w:rPr>
        <w:t> :</w:t>
      </w:r>
      <w:r w:rsidR="005257A5" w:rsidRPr="00C74BEB">
        <w:rPr>
          <w:i/>
        </w:rPr>
        <w:t> </w:t>
      </w:r>
      <w:r w:rsidRPr="00C74BEB">
        <w:rPr>
          <w:i/>
        </w:rPr>
        <w:t xml:space="preserve">Desrosiers, </w:t>
      </w:r>
      <w:proofErr w:type="spellStart"/>
      <w:r w:rsidRPr="00C74BEB">
        <w:rPr>
          <w:i/>
        </w:rPr>
        <w:t>Joncas</w:t>
      </w:r>
      <w:proofErr w:type="spellEnd"/>
      <w:r w:rsidRPr="00C74BEB">
        <w:rPr>
          <w:i/>
        </w:rPr>
        <w:t xml:space="preserve">, </w:t>
      </w:r>
      <w:proofErr w:type="spellStart"/>
      <w:r w:rsidRPr="00C74BEB">
        <w:rPr>
          <w:i/>
        </w:rPr>
        <w:t>Massicotte</w:t>
      </w:r>
      <w:proofErr w:type="spellEnd"/>
      <w:r w:rsidRPr="00C74BEB">
        <w:rPr>
          <w:i/>
        </w:rPr>
        <w:t>, Montréal.</w:t>
      </w:r>
    </w:p>
    <w:p w:rsidR="00721B35" w:rsidRPr="005A15D0" w:rsidRDefault="00721B35" w:rsidP="00721B35">
      <w:pPr>
        <w:pStyle w:val="SCCNormalDoubleSpacing"/>
        <w:spacing w:after="480"/>
      </w:pPr>
    </w:p>
    <w:sectPr w:rsidR="00721B35" w:rsidRPr="005A15D0" w:rsidSect="00FA302D">
      <w:headerReference w:type="even" r:id="rId9"/>
      <w:headerReference w:type="default" r:id="rId10"/>
      <w:footerReference w:type="even" r:id="rId11"/>
      <w:footerReference w:type="default" r:id="rId12"/>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68A2" w:rsidRDefault="005468A2">
      <w:r>
        <w:separator/>
      </w:r>
    </w:p>
  </w:endnote>
  <w:endnote w:type="continuationSeparator" w:id="0">
    <w:p w:rsidR="005468A2" w:rsidRDefault="005468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8A2" w:rsidRDefault="005468A2">
    <w:pPr>
      <w:tabs>
        <w:tab w:val="left" w:pos="-1440"/>
        <w:tab w:val="left" w:pos="-720"/>
        <w:tab w:val="left" w:pos="0"/>
        <w:tab w:val="left" w:pos="1152"/>
        <w:tab w:val="left" w:pos="1570"/>
        <w:tab w:val="left" w:pos="1843"/>
        <w:tab w:val="left" w:pos="2261"/>
        <w:tab w:val="left" w:pos="648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8A2" w:rsidRDefault="005468A2">
    <w:pPr>
      <w:tabs>
        <w:tab w:val="left" w:pos="-1440"/>
        <w:tab w:val="left" w:pos="-720"/>
        <w:tab w:val="left" w:pos="0"/>
        <w:tab w:val="left" w:pos="1152"/>
        <w:tab w:val="left" w:pos="1570"/>
        <w:tab w:val="left" w:pos="1843"/>
        <w:tab w:val="left" w:pos="2261"/>
        <w:tab w:val="left" w:pos="6480"/>
      </w:tabs>
      <w:spacing w:line="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68A2" w:rsidRDefault="005468A2">
      <w:r>
        <w:separator/>
      </w:r>
    </w:p>
  </w:footnote>
  <w:footnote w:type="continuationSeparator" w:id="0">
    <w:p w:rsidR="005468A2" w:rsidRDefault="005468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8A2" w:rsidRDefault="005468A2">
    <w:pPr>
      <w:tabs>
        <w:tab w:val="left" w:pos="-1440"/>
        <w:tab w:val="left" w:pos="-720"/>
        <w:tab w:val="left" w:pos="0"/>
        <w:tab w:val="left" w:pos="1152"/>
        <w:tab w:val="left" w:pos="1570"/>
        <w:tab w:val="left" w:pos="1843"/>
        <w:tab w:val="left" w:pos="2261"/>
        <w:tab w:val="left" w:pos="648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9817"/>
      <w:docPartObj>
        <w:docPartGallery w:val="Page Numbers (Top of Page)"/>
        <w:docPartUnique/>
      </w:docPartObj>
    </w:sdtPr>
    <w:sdtContent>
      <w:p w:rsidR="005468A2" w:rsidRDefault="005468A2">
        <w:pPr>
          <w:pStyle w:val="Header"/>
          <w:jc w:val="center"/>
        </w:pPr>
        <w:r>
          <w:t xml:space="preserve">- </w:t>
        </w:r>
        <w:fldSimple w:instr=" PAGE   \* MERGEFORMAT ">
          <w:r w:rsidR="00844C87">
            <w:rPr>
              <w:noProof/>
            </w:rPr>
            <w:t>2</w:t>
          </w:r>
        </w:fldSimple>
        <w:r>
          <w:t xml:space="preserve"> -</w:t>
        </w:r>
      </w:p>
    </w:sdtContent>
  </w:sdt>
  <w:p w:rsidR="005468A2" w:rsidRDefault="005468A2" w:rsidP="000C59B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2EBE5BC9"/>
    <w:multiLevelType w:val="hybridMultilevel"/>
    <w:tmpl w:val="3CDAF7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4">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3"/>
  </w:num>
  <w:num w:numId="5">
    <w:abstractNumId w:val="4"/>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95233"/>
  </w:hdrShapeDefaults>
  <w:footnotePr>
    <w:footnote w:id="-1"/>
    <w:footnote w:id="0"/>
  </w:footnotePr>
  <w:endnotePr>
    <w:endnote w:id="-1"/>
    <w:endnote w:id="0"/>
  </w:endnotePr>
  <w:compat/>
  <w:rsids>
    <w:rsidRoot w:val="0031414C"/>
    <w:rsid w:val="00025198"/>
    <w:rsid w:val="00031D85"/>
    <w:rsid w:val="00055A36"/>
    <w:rsid w:val="000578A3"/>
    <w:rsid w:val="00064563"/>
    <w:rsid w:val="000648CC"/>
    <w:rsid w:val="000708BD"/>
    <w:rsid w:val="00093DBE"/>
    <w:rsid w:val="00094DE0"/>
    <w:rsid w:val="000A5321"/>
    <w:rsid w:val="000C59B8"/>
    <w:rsid w:val="000C5D5F"/>
    <w:rsid w:val="00107E12"/>
    <w:rsid w:val="00111DE2"/>
    <w:rsid w:val="00116B38"/>
    <w:rsid w:val="0013109F"/>
    <w:rsid w:val="00135406"/>
    <w:rsid w:val="00135972"/>
    <w:rsid w:val="00140667"/>
    <w:rsid w:val="001426A9"/>
    <w:rsid w:val="00151D06"/>
    <w:rsid w:val="00154A72"/>
    <w:rsid w:val="00154D7C"/>
    <w:rsid w:val="001570B0"/>
    <w:rsid w:val="001602E0"/>
    <w:rsid w:val="00172A04"/>
    <w:rsid w:val="00173F08"/>
    <w:rsid w:val="00175A97"/>
    <w:rsid w:val="00185394"/>
    <w:rsid w:val="001A451D"/>
    <w:rsid w:val="001B33E0"/>
    <w:rsid w:val="001B4573"/>
    <w:rsid w:val="001C6B9C"/>
    <w:rsid w:val="001C779F"/>
    <w:rsid w:val="001D0648"/>
    <w:rsid w:val="001D2AC1"/>
    <w:rsid w:val="001E442E"/>
    <w:rsid w:val="001F7673"/>
    <w:rsid w:val="0021283E"/>
    <w:rsid w:val="00220FC2"/>
    <w:rsid w:val="0022302D"/>
    <w:rsid w:val="00224FC0"/>
    <w:rsid w:val="00225EA4"/>
    <w:rsid w:val="00226EAF"/>
    <w:rsid w:val="00231F3A"/>
    <w:rsid w:val="00234913"/>
    <w:rsid w:val="002406EE"/>
    <w:rsid w:val="0025297D"/>
    <w:rsid w:val="002745CC"/>
    <w:rsid w:val="00287C34"/>
    <w:rsid w:val="002B3C8B"/>
    <w:rsid w:val="002D20A9"/>
    <w:rsid w:val="002D39A4"/>
    <w:rsid w:val="002E0133"/>
    <w:rsid w:val="002E6705"/>
    <w:rsid w:val="002F5274"/>
    <w:rsid w:val="002F696C"/>
    <w:rsid w:val="0030329A"/>
    <w:rsid w:val="00307AFD"/>
    <w:rsid w:val="0031086F"/>
    <w:rsid w:val="00310E05"/>
    <w:rsid w:val="0031414C"/>
    <w:rsid w:val="003148A1"/>
    <w:rsid w:val="00314E01"/>
    <w:rsid w:val="0032089D"/>
    <w:rsid w:val="0033393C"/>
    <w:rsid w:val="0034770C"/>
    <w:rsid w:val="0035259D"/>
    <w:rsid w:val="003866EC"/>
    <w:rsid w:val="0039220F"/>
    <w:rsid w:val="00394476"/>
    <w:rsid w:val="003A3841"/>
    <w:rsid w:val="003A4C70"/>
    <w:rsid w:val="003A4E15"/>
    <w:rsid w:val="003C799C"/>
    <w:rsid w:val="003E1C71"/>
    <w:rsid w:val="003F327B"/>
    <w:rsid w:val="004059A7"/>
    <w:rsid w:val="00406166"/>
    <w:rsid w:val="00411300"/>
    <w:rsid w:val="00426659"/>
    <w:rsid w:val="0043088E"/>
    <w:rsid w:val="004439D8"/>
    <w:rsid w:val="00465132"/>
    <w:rsid w:val="004735FA"/>
    <w:rsid w:val="00480C90"/>
    <w:rsid w:val="0048396F"/>
    <w:rsid w:val="00493C18"/>
    <w:rsid w:val="00494CDC"/>
    <w:rsid w:val="004A600C"/>
    <w:rsid w:val="004C478D"/>
    <w:rsid w:val="004E4985"/>
    <w:rsid w:val="004E6A2C"/>
    <w:rsid w:val="00506CF8"/>
    <w:rsid w:val="00513AB4"/>
    <w:rsid w:val="00521AE8"/>
    <w:rsid w:val="005257A5"/>
    <w:rsid w:val="00527180"/>
    <w:rsid w:val="00536719"/>
    <w:rsid w:val="005468A2"/>
    <w:rsid w:val="005564A7"/>
    <w:rsid w:val="00577B04"/>
    <w:rsid w:val="005A15D0"/>
    <w:rsid w:val="005E4698"/>
    <w:rsid w:val="00625C35"/>
    <w:rsid w:val="00634E1B"/>
    <w:rsid w:val="00645057"/>
    <w:rsid w:val="00654858"/>
    <w:rsid w:val="006565F4"/>
    <w:rsid w:val="00681AD1"/>
    <w:rsid w:val="006A56F1"/>
    <w:rsid w:val="006B5BCE"/>
    <w:rsid w:val="006B5FF5"/>
    <w:rsid w:val="006C5661"/>
    <w:rsid w:val="006D18A9"/>
    <w:rsid w:val="006D4790"/>
    <w:rsid w:val="00701759"/>
    <w:rsid w:val="00702C6F"/>
    <w:rsid w:val="007043C2"/>
    <w:rsid w:val="00707E6F"/>
    <w:rsid w:val="00717CCE"/>
    <w:rsid w:val="00721B35"/>
    <w:rsid w:val="00732601"/>
    <w:rsid w:val="00747288"/>
    <w:rsid w:val="00747DD3"/>
    <w:rsid w:val="00752F4E"/>
    <w:rsid w:val="007549C8"/>
    <w:rsid w:val="00762D30"/>
    <w:rsid w:val="00763377"/>
    <w:rsid w:val="00766D14"/>
    <w:rsid w:val="00767A0F"/>
    <w:rsid w:val="00772C58"/>
    <w:rsid w:val="007834A8"/>
    <w:rsid w:val="007A05F6"/>
    <w:rsid w:val="007B6F4A"/>
    <w:rsid w:val="007C7616"/>
    <w:rsid w:val="007E1C47"/>
    <w:rsid w:val="007E337A"/>
    <w:rsid w:val="007E5C70"/>
    <w:rsid w:val="007F2FF5"/>
    <w:rsid w:val="00817190"/>
    <w:rsid w:val="00824417"/>
    <w:rsid w:val="008322BD"/>
    <w:rsid w:val="00844C87"/>
    <w:rsid w:val="00850DE8"/>
    <w:rsid w:val="00855307"/>
    <w:rsid w:val="00862CF3"/>
    <w:rsid w:val="00864CF8"/>
    <w:rsid w:val="00874914"/>
    <w:rsid w:val="00890390"/>
    <w:rsid w:val="00892E1A"/>
    <w:rsid w:val="008958F5"/>
    <w:rsid w:val="008A6558"/>
    <w:rsid w:val="008A727C"/>
    <w:rsid w:val="008C01DA"/>
    <w:rsid w:val="008F16D9"/>
    <w:rsid w:val="008F78E9"/>
    <w:rsid w:val="00902462"/>
    <w:rsid w:val="009403F3"/>
    <w:rsid w:val="00956006"/>
    <w:rsid w:val="00957FA2"/>
    <w:rsid w:val="00966913"/>
    <w:rsid w:val="00967374"/>
    <w:rsid w:val="0097543E"/>
    <w:rsid w:val="00983F3F"/>
    <w:rsid w:val="00985C69"/>
    <w:rsid w:val="0099079B"/>
    <w:rsid w:val="009B2F23"/>
    <w:rsid w:val="009B53E2"/>
    <w:rsid w:val="009B57B3"/>
    <w:rsid w:val="009D5AEB"/>
    <w:rsid w:val="009F0BB0"/>
    <w:rsid w:val="009F383F"/>
    <w:rsid w:val="00A05F0E"/>
    <w:rsid w:val="00A21107"/>
    <w:rsid w:val="00A21B90"/>
    <w:rsid w:val="00A24E15"/>
    <w:rsid w:val="00A33B51"/>
    <w:rsid w:val="00A450F5"/>
    <w:rsid w:val="00A548CB"/>
    <w:rsid w:val="00A6242E"/>
    <w:rsid w:val="00A643E7"/>
    <w:rsid w:val="00A73C38"/>
    <w:rsid w:val="00AA4BD1"/>
    <w:rsid w:val="00AA6255"/>
    <w:rsid w:val="00AB0078"/>
    <w:rsid w:val="00AC0932"/>
    <w:rsid w:val="00AC6322"/>
    <w:rsid w:val="00AC7437"/>
    <w:rsid w:val="00AC7A44"/>
    <w:rsid w:val="00AE3B2C"/>
    <w:rsid w:val="00AF03C5"/>
    <w:rsid w:val="00AF551F"/>
    <w:rsid w:val="00B000D8"/>
    <w:rsid w:val="00B00F75"/>
    <w:rsid w:val="00B145B6"/>
    <w:rsid w:val="00B41C26"/>
    <w:rsid w:val="00B50C81"/>
    <w:rsid w:val="00B557F8"/>
    <w:rsid w:val="00B64972"/>
    <w:rsid w:val="00B66DD8"/>
    <w:rsid w:val="00B8145D"/>
    <w:rsid w:val="00B815FC"/>
    <w:rsid w:val="00B8238D"/>
    <w:rsid w:val="00B933E3"/>
    <w:rsid w:val="00B93FBC"/>
    <w:rsid w:val="00B969BB"/>
    <w:rsid w:val="00BB3CC6"/>
    <w:rsid w:val="00BE01CB"/>
    <w:rsid w:val="00BE02EC"/>
    <w:rsid w:val="00BF7483"/>
    <w:rsid w:val="00C02092"/>
    <w:rsid w:val="00C057F7"/>
    <w:rsid w:val="00C0663B"/>
    <w:rsid w:val="00C24C8C"/>
    <w:rsid w:val="00C24D91"/>
    <w:rsid w:val="00C52532"/>
    <w:rsid w:val="00C53F14"/>
    <w:rsid w:val="00C55C2E"/>
    <w:rsid w:val="00C600CF"/>
    <w:rsid w:val="00C6084F"/>
    <w:rsid w:val="00C62A66"/>
    <w:rsid w:val="00C62A6F"/>
    <w:rsid w:val="00C67CA5"/>
    <w:rsid w:val="00C71458"/>
    <w:rsid w:val="00C71F58"/>
    <w:rsid w:val="00C74BEB"/>
    <w:rsid w:val="00C77613"/>
    <w:rsid w:val="00C828E7"/>
    <w:rsid w:val="00C921DD"/>
    <w:rsid w:val="00CA4D82"/>
    <w:rsid w:val="00CA6391"/>
    <w:rsid w:val="00CE3171"/>
    <w:rsid w:val="00CE4BB7"/>
    <w:rsid w:val="00CF1601"/>
    <w:rsid w:val="00D22EB8"/>
    <w:rsid w:val="00D246E6"/>
    <w:rsid w:val="00D32086"/>
    <w:rsid w:val="00D346C1"/>
    <w:rsid w:val="00D37A3F"/>
    <w:rsid w:val="00D45FCF"/>
    <w:rsid w:val="00D4667A"/>
    <w:rsid w:val="00D510BB"/>
    <w:rsid w:val="00D5435D"/>
    <w:rsid w:val="00D54863"/>
    <w:rsid w:val="00D60C9D"/>
    <w:rsid w:val="00D74F2E"/>
    <w:rsid w:val="00D77300"/>
    <w:rsid w:val="00DA0590"/>
    <w:rsid w:val="00DB4678"/>
    <w:rsid w:val="00DB6E56"/>
    <w:rsid w:val="00DC1788"/>
    <w:rsid w:val="00DE7F06"/>
    <w:rsid w:val="00DF0CA8"/>
    <w:rsid w:val="00DF49A7"/>
    <w:rsid w:val="00E01106"/>
    <w:rsid w:val="00E07EE2"/>
    <w:rsid w:val="00E24573"/>
    <w:rsid w:val="00E377A1"/>
    <w:rsid w:val="00E45109"/>
    <w:rsid w:val="00E54B02"/>
    <w:rsid w:val="00E73C80"/>
    <w:rsid w:val="00E90C87"/>
    <w:rsid w:val="00E95D3A"/>
    <w:rsid w:val="00E97830"/>
    <w:rsid w:val="00EA03E5"/>
    <w:rsid w:val="00EE0FAF"/>
    <w:rsid w:val="00F00EB7"/>
    <w:rsid w:val="00F2258E"/>
    <w:rsid w:val="00F33658"/>
    <w:rsid w:val="00F36AB6"/>
    <w:rsid w:val="00F409CE"/>
    <w:rsid w:val="00F8251D"/>
    <w:rsid w:val="00F84DF4"/>
    <w:rsid w:val="00F853FB"/>
    <w:rsid w:val="00F85C97"/>
    <w:rsid w:val="00FA2FE1"/>
    <w:rsid w:val="00FA302D"/>
    <w:rsid w:val="00FB12EA"/>
    <w:rsid w:val="00FC606D"/>
    <w:rsid w:val="00FC7B81"/>
    <w:rsid w:val="00FD068D"/>
    <w:rsid w:val="00FD4F28"/>
    <w:rsid w:val="00FE4B4D"/>
    <w:rsid w:val="00FE67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3"/>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F0E"/>
    <w:rPr>
      <w:sz w:val="24"/>
      <w:lang w:val="fr-CA"/>
    </w:rPr>
  </w:style>
  <w:style w:type="paragraph" w:styleId="Heading1">
    <w:name w:val="heading 1"/>
    <w:basedOn w:val="Normal"/>
    <w:next w:val="Normal"/>
    <w:link w:val="Heading1Char"/>
    <w:uiPriority w:val="9"/>
    <w:qFormat/>
    <w:rsid w:val="004266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AC6322"/>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AC6322"/>
    <w:rPr>
      <w:sz w:val="24"/>
      <w:lang w:val="fr-CA"/>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32089D"/>
    <w:pPr>
      <w:jc w:val="both"/>
    </w:pPr>
    <w:rPr>
      <w:b/>
    </w:rPr>
  </w:style>
  <w:style w:type="character" w:customStyle="1" w:styleId="SCCLsocPartyChar">
    <w:name w:val="SCC.Lsoc.Party Char"/>
    <w:basedOn w:val="DefaultParagraphFont"/>
    <w:link w:val="SCCLsocParty"/>
    <w:rsid w:val="0032089D"/>
    <w:rPr>
      <w:b/>
      <w:sz w:val="24"/>
    </w:rPr>
  </w:style>
  <w:style w:type="paragraph" w:customStyle="1" w:styleId="SCCLsocVersus">
    <w:name w:val="SCC.Lsoc.Versus"/>
    <w:basedOn w:val="Normal"/>
    <w:next w:val="Normal"/>
    <w:link w:val="SCCLsocVersusChar"/>
    <w:rsid w:val="0030329A"/>
    <w:rPr>
      <w:i/>
    </w:rPr>
  </w:style>
  <w:style w:type="character" w:customStyle="1" w:styleId="SCCLsocVersusChar">
    <w:name w:val="SCC.Lsoc.Versus Char"/>
    <w:basedOn w:val="DefaultParagraphFont"/>
    <w:link w:val="SCCLsocVersus"/>
    <w:rsid w:val="0030329A"/>
    <w:rPr>
      <w:i/>
      <w:sz w:val="24"/>
    </w:rPr>
  </w:style>
  <w:style w:type="paragraph" w:customStyle="1" w:styleId="SCCLsocPartyRole">
    <w:name w:val="SCC.Lsoc.PartyRole"/>
    <w:basedOn w:val="Normal"/>
    <w:next w:val="Normal"/>
    <w:link w:val="SCCLsocPartyRoleChar"/>
    <w:rsid w:val="00225EA4"/>
    <w:pPr>
      <w:jc w:val="right"/>
    </w:pPr>
    <w:rPr>
      <w:i/>
    </w:rPr>
  </w:style>
  <w:style w:type="character" w:customStyle="1" w:styleId="SCCLsocPartyRoleChar">
    <w:name w:val="SCC.Lsoc.PartyRole Char"/>
    <w:basedOn w:val="DefaultParagraphFont"/>
    <w:link w:val="SCCLsocPartyRole"/>
    <w:rsid w:val="00225EA4"/>
    <w:rPr>
      <w:i/>
      <w:sz w:val="24"/>
    </w:rPr>
  </w:style>
  <w:style w:type="paragraph" w:customStyle="1" w:styleId="SCCLsocSubfileSeparator">
    <w:name w:val="SCC.Lsoc.SubfileSeparator"/>
    <w:basedOn w:val="Normal"/>
    <w:next w:val="Normal"/>
    <w:link w:val="SCCLsocSubfileSeparatorChar"/>
    <w:rsid w:val="00527180"/>
  </w:style>
  <w:style w:type="character" w:customStyle="1" w:styleId="SCCLsocSubfileSeparatorChar">
    <w:name w:val="SCC.Lsoc.SubfileSeparator Char"/>
    <w:basedOn w:val="DefaultParagraphFont"/>
    <w:link w:val="SCCLsocSubfileSeparator"/>
    <w:rsid w:val="00527180"/>
    <w:rPr>
      <w:sz w:val="24"/>
    </w:rPr>
  </w:style>
  <w:style w:type="paragraph" w:customStyle="1" w:styleId="SCCLsocOtherPartySeparator">
    <w:name w:val="SCC.Lsoc.OtherPartySeparator"/>
    <w:basedOn w:val="Normal"/>
    <w:next w:val="Normal"/>
    <w:link w:val="SCCLsocOtherPartySeparatorChar"/>
    <w:rsid w:val="00527180"/>
  </w:style>
  <w:style w:type="character" w:customStyle="1" w:styleId="SCCLsocOtherPartySeparatorChar">
    <w:name w:val="SCC.Lsoc.OtherPartySeparator Char"/>
    <w:basedOn w:val="DefaultParagraphFont"/>
    <w:link w:val="SCCLsocOtherPartySeparator"/>
    <w:rsid w:val="00527180"/>
    <w:rPr>
      <w:sz w:val="24"/>
    </w:rPr>
  </w:style>
  <w:style w:type="character" w:customStyle="1" w:styleId="Heading1Char">
    <w:name w:val="Heading 1 Char"/>
    <w:basedOn w:val="DefaultParagraphFont"/>
    <w:link w:val="Heading1"/>
    <w:uiPriority w:val="9"/>
    <w:rsid w:val="00426659"/>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C62A6F"/>
    <w:rPr>
      <w:i/>
    </w:rPr>
  </w:style>
  <w:style w:type="character" w:customStyle="1" w:styleId="SCCLawFirmChar">
    <w:name w:val="SCC.LawFirm Char"/>
    <w:basedOn w:val="SCCNormalDoubleSpacingChar"/>
    <w:link w:val="SCCLawFirm"/>
    <w:rsid w:val="00C62A6F"/>
    <w:rPr>
      <w:i/>
      <w:lang w:val="fr-CA"/>
    </w:rPr>
  </w:style>
  <w:style w:type="paragraph" w:customStyle="1" w:styleId="SCCLsocOtherPartyRoleSeparator">
    <w:name w:val="SCC.Lsoc.OtherPartyRoleSeparator"/>
    <w:basedOn w:val="Normal"/>
    <w:next w:val="Normal"/>
    <w:link w:val="SCCLsocOtherPartyRoleSeparatorChar"/>
    <w:rsid w:val="00721B35"/>
    <w:pPr>
      <w:spacing w:after="480"/>
    </w:pPr>
    <w:rPr>
      <w:rFonts w:eastAsiaTheme="minorHAnsi" w:cstheme="minorBidi"/>
      <w:szCs w:val="22"/>
      <w:lang w:val="en-CA" w:eastAsia="en-US"/>
    </w:rPr>
  </w:style>
  <w:style w:type="character" w:customStyle="1" w:styleId="SCCLsocOtherPartyRoleSeparatorChar">
    <w:name w:val="SCC.Lsoc.OtherPartyRoleSeparator Char"/>
    <w:basedOn w:val="DefaultParagraphFont"/>
    <w:link w:val="SCCLsocOtherPartyRoleSeparator"/>
    <w:rsid w:val="00721B35"/>
    <w:rPr>
      <w:rFonts w:eastAsiaTheme="minorHAnsi" w:cstheme="minorBidi"/>
      <w:sz w:val="24"/>
      <w:szCs w:val="22"/>
      <w:lang w:eastAsia="en-US"/>
    </w:rPr>
  </w:style>
  <w:style w:type="character" w:customStyle="1" w:styleId="SCCBanSummaryChar">
    <w:name w:val="SCC.BanSummary Char"/>
    <w:basedOn w:val="DefaultParagraphFont"/>
    <w:link w:val="SCCBanSummary"/>
    <w:rsid w:val="00721B35"/>
    <w:rPr>
      <w:b/>
      <w:sz w:val="24"/>
      <w:lang w:val="fr-CA"/>
    </w:rPr>
  </w:style>
  <w:style w:type="table" w:styleId="TableGrid">
    <w:name w:val="Table Grid"/>
    <w:basedOn w:val="TableNormal"/>
    <w:uiPriority w:val="59"/>
    <w:rsid w:val="00721B3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721B35"/>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721B35"/>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721B35"/>
    <w:pPr>
      <w:tabs>
        <w:tab w:val="left" w:pos="1166"/>
      </w:tabs>
      <w:spacing w:after="480" w:line="480" w:lineRule="auto"/>
    </w:pPr>
    <w:rPr>
      <w:smallCaps/>
      <w:sz w:val="24"/>
    </w:rPr>
  </w:style>
  <w:style w:type="paragraph" w:customStyle="1" w:styleId="ParaNoNdepar-AltN">
    <w:name w:val="Para. No. / Nº de par. - Alt N"/>
    <w:qFormat/>
    <w:rsid w:val="00721B35"/>
    <w:pPr>
      <w:numPr>
        <w:numId w:val="6"/>
      </w:numPr>
      <w:tabs>
        <w:tab w:val="clear" w:pos="1152"/>
        <w:tab w:val="left" w:pos="1166"/>
      </w:tabs>
      <w:spacing w:before="480" w:after="480" w:line="480" w:lineRule="auto"/>
      <w:jc w:val="both"/>
    </w:pPr>
    <w:rPr>
      <w:rFonts w:eastAsiaTheme="minorEastAsia" w:cstheme="minorBidi"/>
      <w:sz w:val="24"/>
      <w:szCs w:val="22"/>
      <w:lang w:eastAsia="en-US"/>
    </w:rPr>
  </w:style>
  <w:style w:type="paragraph" w:customStyle="1" w:styleId="TitleTitre-AltT">
    <w:name w:val="Title / Titre - Alt T"/>
    <w:next w:val="ParaNoNdepar-AltN"/>
    <w:uiPriority w:val="3"/>
    <w:qFormat/>
    <w:rsid w:val="00721B35"/>
    <w:pPr>
      <w:keepNext/>
      <w:tabs>
        <w:tab w:val="left" w:pos="360"/>
      </w:tabs>
      <w:spacing w:after="720"/>
      <w:ind w:left="357" w:hanging="357"/>
      <w:jc w:val="both"/>
    </w:pPr>
    <w:rPr>
      <w:rFonts w:eastAsiaTheme="minorHAnsi" w:cstheme="minorBidi"/>
      <w:sz w:val="24"/>
      <w:szCs w:val="22"/>
      <w:lang w:eastAsia="en-US"/>
    </w:rPr>
  </w:style>
  <w:style w:type="paragraph" w:customStyle="1" w:styleId="Default">
    <w:name w:val="Default"/>
    <w:rsid w:val="00721B35"/>
    <w:pPr>
      <w:autoSpaceDE w:val="0"/>
      <w:autoSpaceDN w:val="0"/>
      <w:adjustRightInd w:val="0"/>
    </w:pPr>
    <w:rPr>
      <w:color w:val="000000"/>
      <w:sz w:val="24"/>
      <w:szCs w:val="24"/>
      <w:lang w:val="en-US"/>
    </w:rPr>
  </w:style>
  <w:style w:type="paragraph" w:styleId="ListParagraph">
    <w:name w:val="List Paragraph"/>
    <w:basedOn w:val="Normal"/>
    <w:uiPriority w:val="34"/>
    <w:rsid w:val="00721B35"/>
    <w:pPr>
      <w:ind w:left="720"/>
      <w:contextualSpacing/>
    </w:pPr>
    <w:rPr>
      <w:lang w:val="en-CA"/>
    </w:rPr>
  </w:style>
  <w:style w:type="paragraph" w:customStyle="1" w:styleId="paragraphe1">
    <w:name w:val="paragraphe1"/>
    <w:basedOn w:val="Normal"/>
    <w:rsid w:val="00721B35"/>
    <w:pPr>
      <w:spacing w:before="120" w:after="120"/>
      <w:jc w:val="both"/>
    </w:pPr>
    <w:rPr>
      <w:rFonts w:ascii="Arial" w:hAnsi="Arial" w:cs="Arial"/>
      <w:szCs w:val="24"/>
      <w:lang w:val="fr-FR" w:eastAsia="fr-FR"/>
    </w:rPr>
  </w:style>
  <w:style w:type="table" w:customStyle="1" w:styleId="TableGrid1">
    <w:name w:val="Table Grid1"/>
    <w:basedOn w:val="TableNormal"/>
    <w:next w:val="TableGrid"/>
    <w:uiPriority w:val="59"/>
    <w:rsid w:val="00844C87"/>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4392</Words>
  <Characters>22405</Characters>
  <Application>Microsoft Office Word</Application>
  <DocSecurity>0</DocSecurity>
  <Lines>186</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2012-10-10T14:00:00Z</dcterms:created>
  <dcterms:modified xsi:type="dcterms:W3CDTF">2013-04-08T21:01:00Z</dcterms:modified>
</cp:coreProperties>
</file>