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06D" w:rsidRPr="00BF39F1" w:rsidRDefault="0040706D" w:rsidP="0040706D">
      <w:pPr>
        <w:tabs>
          <w:tab w:val="center" w:pos="4680"/>
          <w:tab w:val="right" w:pos="9360"/>
        </w:tabs>
        <w:jc w:val="center"/>
        <w:rPr>
          <w:rFonts w:eastAsiaTheme="minorHAnsi" w:cstheme="minorBidi"/>
          <w:szCs w:val="24"/>
          <w:lang w:eastAsia="en-US"/>
        </w:rPr>
      </w:pPr>
      <w:r w:rsidRPr="00BF39F1">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26946732" r:id="rId9"/>
        </w:object>
      </w:r>
    </w:p>
    <w:p w:rsidR="0040706D" w:rsidRPr="00BF39F1" w:rsidRDefault="0040706D" w:rsidP="0040706D">
      <w:pPr>
        <w:tabs>
          <w:tab w:val="center" w:pos="4680"/>
          <w:tab w:val="right" w:pos="9360"/>
        </w:tabs>
        <w:rPr>
          <w:rFonts w:eastAsiaTheme="minorHAnsi" w:cstheme="minorBidi"/>
          <w:szCs w:val="24"/>
          <w:lang w:eastAsia="en-US"/>
        </w:rPr>
      </w:pPr>
    </w:p>
    <w:p w:rsidR="0040706D" w:rsidRPr="00BF39F1" w:rsidRDefault="0040706D" w:rsidP="0040706D">
      <w:pPr>
        <w:jc w:val="center"/>
        <w:rPr>
          <w:rFonts w:eastAsiaTheme="minorHAnsi" w:cstheme="minorBidi"/>
          <w:b/>
          <w:szCs w:val="24"/>
          <w:lang w:eastAsia="en-US"/>
        </w:rPr>
      </w:pPr>
      <w:r w:rsidRPr="00BF39F1">
        <w:rPr>
          <w:rFonts w:eastAsiaTheme="minorHAnsi" w:cstheme="minorBidi"/>
          <w:b/>
          <w:szCs w:val="24"/>
          <w:lang w:eastAsia="en-US"/>
        </w:rPr>
        <w:t>COUR SUPRÊME DU CANADA</w:t>
      </w:r>
    </w:p>
    <w:p w:rsidR="0040706D" w:rsidRPr="00BF39F1" w:rsidRDefault="0040706D" w:rsidP="0040706D">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40706D" w:rsidRPr="00BF39F1" w:rsidTr="002F6440">
        <w:trPr>
          <w:cantSplit/>
        </w:trPr>
        <w:tc>
          <w:tcPr>
            <w:tcW w:w="6768" w:type="dxa"/>
          </w:tcPr>
          <w:p w:rsidR="0040706D" w:rsidRPr="0040706D" w:rsidRDefault="0040706D" w:rsidP="0040706D">
            <w:pPr>
              <w:spacing w:after="720"/>
              <w:jc w:val="both"/>
              <w:rPr>
                <w:smallCaps/>
                <w:lang w:val="en-US"/>
              </w:rPr>
            </w:pPr>
            <w:r w:rsidRPr="00BF39F1">
              <w:rPr>
                <w:b/>
                <w:smallCaps/>
                <w:lang w:val="en-US"/>
              </w:rPr>
              <w:t>Référence :</w:t>
            </w:r>
            <w:r w:rsidRPr="00BF39F1">
              <w:rPr>
                <w:lang w:val="en-US"/>
              </w:rPr>
              <w:t xml:space="preserve"> </w:t>
            </w:r>
            <w:r w:rsidRPr="00BF39F1">
              <w:rPr>
                <w:lang w:val="en-CA"/>
              </w:rPr>
              <w:t>Southcott Estates Inc.</w:t>
            </w:r>
            <w:r w:rsidRPr="00BF39F1">
              <w:rPr>
                <w:iCs/>
                <w:lang w:val="en-CA"/>
              </w:rPr>
              <w:t xml:space="preserve"> </w:t>
            </w:r>
            <w:r w:rsidRPr="00BF39F1">
              <w:rPr>
                <w:i/>
                <w:iCs/>
                <w:lang w:val="en-CA"/>
              </w:rPr>
              <w:t>c.</w:t>
            </w:r>
            <w:r w:rsidRPr="00BF39F1">
              <w:rPr>
                <w:iCs/>
                <w:lang w:val="en-CA"/>
              </w:rPr>
              <w:t xml:space="preserve"> </w:t>
            </w:r>
            <w:r w:rsidRPr="00BF39F1">
              <w:rPr>
                <w:lang w:val="en-CA"/>
              </w:rPr>
              <w:t>Toronto Catholic District School Board</w:t>
            </w:r>
            <w:r w:rsidRPr="00BF39F1">
              <w:rPr>
                <w:iCs/>
                <w:lang w:val="en-CA"/>
              </w:rPr>
              <w:t>,</w:t>
            </w:r>
            <w:r w:rsidRPr="00BF39F1">
              <w:rPr>
                <w:i/>
                <w:lang w:val="en-US"/>
              </w:rPr>
              <w:t xml:space="preserve"> </w:t>
            </w:r>
            <w:r w:rsidRPr="0040706D">
              <w:rPr>
                <w:smallCaps/>
                <w:lang w:val="en-US"/>
              </w:rPr>
              <w:t>2012 CSC 51, [2012] 2 R.C.S. 675</w:t>
            </w:r>
          </w:p>
          <w:p w:rsidR="0040706D" w:rsidRPr="00BF39F1" w:rsidRDefault="0040706D" w:rsidP="002F6440">
            <w:pPr>
              <w:rPr>
                <w:lang w:val="en-US"/>
              </w:rPr>
            </w:pPr>
          </w:p>
        </w:tc>
        <w:tc>
          <w:tcPr>
            <w:tcW w:w="2808" w:type="dxa"/>
          </w:tcPr>
          <w:p w:rsidR="0040706D" w:rsidRPr="00BF39F1" w:rsidRDefault="0040706D" w:rsidP="002F6440">
            <w:r w:rsidRPr="00BF39F1">
              <w:rPr>
                <w:b/>
                <w:smallCaps/>
              </w:rPr>
              <w:t>Date :</w:t>
            </w:r>
            <w:r w:rsidRPr="00BF39F1">
              <w:t xml:space="preserve"> 20121017</w:t>
            </w:r>
          </w:p>
          <w:p w:rsidR="0040706D" w:rsidRPr="00BF39F1" w:rsidRDefault="0040706D" w:rsidP="002F6440">
            <w:r w:rsidRPr="00BF39F1">
              <w:rPr>
                <w:b/>
                <w:smallCaps/>
              </w:rPr>
              <w:t>Dossier :</w:t>
            </w:r>
            <w:r w:rsidRPr="00BF39F1">
              <w:t xml:space="preserve"> 33778</w:t>
            </w:r>
          </w:p>
        </w:tc>
      </w:tr>
    </w:tbl>
    <w:p w:rsidR="0040706D" w:rsidRPr="00BF39F1" w:rsidRDefault="0040706D" w:rsidP="0040706D">
      <w:pPr>
        <w:rPr>
          <w:rFonts w:eastAsiaTheme="minorHAnsi" w:cstheme="minorBidi"/>
          <w:szCs w:val="24"/>
          <w:lang w:eastAsia="en-US"/>
        </w:rPr>
      </w:pPr>
    </w:p>
    <w:p w:rsidR="0040706D" w:rsidRPr="00BF39F1" w:rsidRDefault="0040706D" w:rsidP="0040706D">
      <w:pPr>
        <w:rPr>
          <w:rFonts w:eastAsiaTheme="minorHAnsi" w:cstheme="minorBidi"/>
          <w:b/>
          <w:smallCaps/>
          <w:szCs w:val="24"/>
          <w:lang w:eastAsia="en-US"/>
        </w:rPr>
      </w:pPr>
      <w:r w:rsidRPr="00BF39F1">
        <w:rPr>
          <w:rFonts w:eastAsiaTheme="minorHAnsi" w:cstheme="minorBidi"/>
          <w:b/>
          <w:smallCaps/>
          <w:szCs w:val="24"/>
          <w:lang w:eastAsia="en-US"/>
        </w:rPr>
        <w:t>Entre :</w:t>
      </w:r>
    </w:p>
    <w:p w:rsidR="0040706D" w:rsidRPr="00BF39F1" w:rsidRDefault="0040706D" w:rsidP="0040706D">
      <w:pPr>
        <w:jc w:val="center"/>
        <w:rPr>
          <w:rFonts w:eastAsiaTheme="minorHAnsi" w:cstheme="minorBidi"/>
          <w:b/>
          <w:szCs w:val="24"/>
          <w:lang w:eastAsia="en-US"/>
        </w:rPr>
      </w:pPr>
      <w:proofErr w:type="spellStart"/>
      <w:r w:rsidRPr="00BF39F1">
        <w:rPr>
          <w:rFonts w:eastAsiaTheme="minorHAnsi" w:cstheme="minorBidi"/>
          <w:b/>
          <w:szCs w:val="24"/>
          <w:lang w:eastAsia="en-US"/>
        </w:rPr>
        <w:t>Southcott</w:t>
      </w:r>
      <w:proofErr w:type="spellEnd"/>
      <w:r w:rsidRPr="00BF39F1">
        <w:rPr>
          <w:rFonts w:eastAsiaTheme="minorHAnsi" w:cstheme="minorBidi"/>
          <w:b/>
          <w:szCs w:val="24"/>
          <w:lang w:eastAsia="en-US"/>
        </w:rPr>
        <w:t xml:space="preserve"> </w:t>
      </w:r>
      <w:proofErr w:type="spellStart"/>
      <w:r w:rsidRPr="00BF39F1">
        <w:rPr>
          <w:rFonts w:eastAsiaTheme="minorHAnsi" w:cstheme="minorBidi"/>
          <w:b/>
          <w:szCs w:val="24"/>
          <w:lang w:eastAsia="en-US"/>
        </w:rPr>
        <w:t>Estates</w:t>
      </w:r>
      <w:proofErr w:type="spellEnd"/>
      <w:r w:rsidRPr="00BF39F1">
        <w:rPr>
          <w:rFonts w:eastAsiaTheme="minorHAnsi" w:cstheme="minorBidi"/>
          <w:b/>
          <w:szCs w:val="24"/>
          <w:lang w:eastAsia="en-US"/>
        </w:rPr>
        <w:t xml:space="preserve"> Inc.</w:t>
      </w:r>
    </w:p>
    <w:p w:rsidR="0040706D" w:rsidRPr="00BF39F1" w:rsidRDefault="0040706D" w:rsidP="0040706D">
      <w:pPr>
        <w:jc w:val="center"/>
        <w:rPr>
          <w:rFonts w:eastAsiaTheme="minorHAnsi" w:cstheme="minorBidi"/>
          <w:szCs w:val="24"/>
          <w:lang w:eastAsia="en-US"/>
        </w:rPr>
      </w:pPr>
      <w:r w:rsidRPr="00BF39F1">
        <w:rPr>
          <w:rFonts w:eastAsiaTheme="minorHAnsi" w:cstheme="minorBidi"/>
          <w:szCs w:val="24"/>
          <w:lang w:eastAsia="en-US"/>
        </w:rPr>
        <w:t>Appelante / Intimée au pourvoi incident</w:t>
      </w:r>
    </w:p>
    <w:p w:rsidR="0040706D" w:rsidRPr="00BF39F1" w:rsidRDefault="0040706D" w:rsidP="0040706D">
      <w:pPr>
        <w:jc w:val="center"/>
        <w:rPr>
          <w:rFonts w:eastAsiaTheme="minorHAnsi" w:cstheme="minorBidi"/>
          <w:szCs w:val="24"/>
          <w:lang w:eastAsia="en-US"/>
        </w:rPr>
      </w:pPr>
      <w:proofErr w:type="gramStart"/>
      <w:r w:rsidRPr="00BF39F1">
        <w:rPr>
          <w:rFonts w:eastAsiaTheme="minorHAnsi" w:cstheme="minorBidi"/>
          <w:szCs w:val="24"/>
          <w:lang w:eastAsia="en-US"/>
        </w:rPr>
        <w:t>et</w:t>
      </w:r>
      <w:proofErr w:type="gramEnd"/>
    </w:p>
    <w:p w:rsidR="0040706D" w:rsidRPr="00BF39F1" w:rsidRDefault="0040706D" w:rsidP="0040706D">
      <w:pPr>
        <w:jc w:val="center"/>
        <w:rPr>
          <w:rFonts w:eastAsiaTheme="minorHAnsi" w:cstheme="minorBidi"/>
          <w:b/>
          <w:szCs w:val="24"/>
          <w:lang w:eastAsia="en-US"/>
        </w:rPr>
      </w:pPr>
      <w:r w:rsidRPr="00BF39F1">
        <w:rPr>
          <w:rFonts w:eastAsiaTheme="minorHAnsi" w:cstheme="minorBidi"/>
          <w:b/>
          <w:szCs w:val="24"/>
          <w:lang w:eastAsia="en-US"/>
        </w:rPr>
        <w:t xml:space="preserve">Toronto </w:t>
      </w:r>
      <w:proofErr w:type="spellStart"/>
      <w:r w:rsidRPr="00BF39F1">
        <w:rPr>
          <w:rFonts w:eastAsiaTheme="minorHAnsi" w:cstheme="minorBidi"/>
          <w:b/>
          <w:szCs w:val="24"/>
          <w:lang w:eastAsia="en-US"/>
        </w:rPr>
        <w:t>Catholic</w:t>
      </w:r>
      <w:proofErr w:type="spellEnd"/>
      <w:r w:rsidRPr="00BF39F1">
        <w:rPr>
          <w:rFonts w:eastAsiaTheme="minorHAnsi" w:cstheme="minorBidi"/>
          <w:b/>
          <w:szCs w:val="24"/>
          <w:lang w:eastAsia="en-US"/>
        </w:rPr>
        <w:t xml:space="preserve"> District </w:t>
      </w:r>
      <w:proofErr w:type="spellStart"/>
      <w:r w:rsidRPr="00BF39F1">
        <w:rPr>
          <w:rFonts w:eastAsiaTheme="minorHAnsi" w:cstheme="minorBidi"/>
          <w:b/>
          <w:szCs w:val="24"/>
          <w:lang w:eastAsia="en-US"/>
        </w:rPr>
        <w:t>School</w:t>
      </w:r>
      <w:proofErr w:type="spellEnd"/>
      <w:r w:rsidRPr="00BF39F1">
        <w:rPr>
          <w:rFonts w:eastAsiaTheme="minorHAnsi" w:cstheme="minorBidi"/>
          <w:b/>
          <w:szCs w:val="24"/>
          <w:lang w:eastAsia="en-US"/>
        </w:rPr>
        <w:t xml:space="preserve"> </w:t>
      </w:r>
      <w:proofErr w:type="spellStart"/>
      <w:r w:rsidRPr="00BF39F1">
        <w:rPr>
          <w:rFonts w:eastAsiaTheme="minorHAnsi" w:cstheme="minorBidi"/>
          <w:b/>
          <w:szCs w:val="24"/>
          <w:lang w:eastAsia="en-US"/>
        </w:rPr>
        <w:t>Board</w:t>
      </w:r>
      <w:proofErr w:type="spellEnd"/>
    </w:p>
    <w:p w:rsidR="0040706D" w:rsidRPr="00BF39F1" w:rsidRDefault="0040706D" w:rsidP="0040706D">
      <w:pPr>
        <w:jc w:val="center"/>
        <w:rPr>
          <w:rFonts w:eastAsiaTheme="minorHAnsi" w:cstheme="minorBidi"/>
          <w:szCs w:val="24"/>
          <w:lang w:eastAsia="en-US"/>
        </w:rPr>
      </w:pPr>
      <w:r w:rsidRPr="00BF39F1">
        <w:rPr>
          <w:rFonts w:eastAsiaTheme="minorHAnsi" w:cstheme="minorBidi"/>
          <w:szCs w:val="24"/>
          <w:lang w:eastAsia="en-US"/>
        </w:rPr>
        <w:t>Intimé / Appelant au pourvoi incident</w:t>
      </w:r>
    </w:p>
    <w:p w:rsidR="0040706D" w:rsidRPr="00BF39F1" w:rsidRDefault="0040706D" w:rsidP="0040706D">
      <w:pPr>
        <w:rPr>
          <w:rFonts w:eastAsiaTheme="minorHAnsi" w:cstheme="minorBidi"/>
          <w:szCs w:val="24"/>
          <w:lang w:eastAsia="en-US"/>
        </w:rPr>
      </w:pPr>
    </w:p>
    <w:p w:rsidR="0040706D" w:rsidRPr="00BF39F1" w:rsidRDefault="0040706D" w:rsidP="0040706D">
      <w:pPr>
        <w:jc w:val="center"/>
        <w:rPr>
          <w:rFonts w:eastAsiaTheme="minorHAnsi" w:cstheme="minorBidi"/>
          <w:b/>
          <w:smallCaps/>
          <w:szCs w:val="24"/>
          <w:lang w:eastAsia="en-US"/>
        </w:rPr>
      </w:pPr>
      <w:r w:rsidRPr="00BF39F1">
        <w:rPr>
          <w:rFonts w:eastAsiaTheme="minorHAnsi" w:cstheme="minorBidi"/>
          <w:b/>
          <w:smallCaps/>
          <w:szCs w:val="24"/>
          <w:lang w:eastAsia="en-US"/>
        </w:rPr>
        <w:t>Traduction française officielle</w:t>
      </w:r>
    </w:p>
    <w:p w:rsidR="0040706D" w:rsidRPr="00BF39F1" w:rsidRDefault="0040706D" w:rsidP="0040706D">
      <w:pPr>
        <w:rPr>
          <w:rFonts w:eastAsiaTheme="minorHAnsi" w:cstheme="minorBidi"/>
          <w:szCs w:val="24"/>
          <w:lang w:eastAsia="en-US"/>
        </w:rPr>
      </w:pPr>
    </w:p>
    <w:p w:rsidR="0040706D" w:rsidRPr="00BF39F1" w:rsidRDefault="0040706D" w:rsidP="0040706D">
      <w:pPr>
        <w:rPr>
          <w:rFonts w:eastAsiaTheme="minorHAnsi" w:cstheme="minorBidi"/>
          <w:szCs w:val="24"/>
          <w:lang w:eastAsia="en-US"/>
        </w:rPr>
      </w:pPr>
      <w:r w:rsidRPr="00BF39F1">
        <w:rPr>
          <w:rFonts w:eastAsiaTheme="minorHAnsi" w:cstheme="minorBidi"/>
          <w:b/>
          <w:smallCaps/>
          <w:szCs w:val="24"/>
          <w:lang w:eastAsia="en-US"/>
        </w:rPr>
        <w:t>Coram :</w:t>
      </w:r>
      <w:r w:rsidRPr="00BF39F1">
        <w:rPr>
          <w:rFonts w:eastAsiaTheme="minorHAnsi" w:cstheme="minorBidi"/>
          <w:szCs w:val="24"/>
          <w:lang w:eastAsia="en-US"/>
        </w:rPr>
        <w:t xml:space="preserve"> La juge en chef </w:t>
      </w:r>
      <w:proofErr w:type="spellStart"/>
      <w:r w:rsidRPr="00BF39F1">
        <w:rPr>
          <w:rFonts w:eastAsiaTheme="minorHAnsi" w:cstheme="minorBidi"/>
          <w:szCs w:val="24"/>
          <w:lang w:eastAsia="en-US"/>
        </w:rPr>
        <w:t>McLachlin</w:t>
      </w:r>
      <w:proofErr w:type="spellEnd"/>
      <w:r w:rsidRPr="00BF39F1">
        <w:rPr>
          <w:rFonts w:eastAsiaTheme="minorHAnsi" w:cstheme="minorBidi"/>
          <w:szCs w:val="24"/>
          <w:lang w:eastAsia="en-US"/>
        </w:rPr>
        <w:t xml:space="preserve"> et les juges </w:t>
      </w:r>
      <w:proofErr w:type="spellStart"/>
      <w:r w:rsidRPr="00BF39F1">
        <w:rPr>
          <w:rFonts w:eastAsiaTheme="minorHAnsi" w:cstheme="minorBidi"/>
          <w:szCs w:val="24"/>
          <w:lang w:eastAsia="en-US"/>
        </w:rPr>
        <w:t>LeBel</w:t>
      </w:r>
      <w:proofErr w:type="spellEnd"/>
      <w:r w:rsidRPr="00BF39F1">
        <w:rPr>
          <w:rFonts w:eastAsiaTheme="minorHAnsi" w:cstheme="minorBidi"/>
          <w:szCs w:val="24"/>
          <w:lang w:eastAsia="en-US"/>
        </w:rPr>
        <w:t xml:space="preserve">, Deschamps, Abella, </w:t>
      </w:r>
      <w:proofErr w:type="spellStart"/>
      <w:r w:rsidRPr="00BF39F1">
        <w:rPr>
          <w:rFonts w:eastAsiaTheme="minorHAnsi" w:cstheme="minorBidi"/>
          <w:szCs w:val="24"/>
          <w:lang w:eastAsia="en-US"/>
        </w:rPr>
        <w:t>Rothstein</w:t>
      </w:r>
      <w:proofErr w:type="spellEnd"/>
      <w:r w:rsidRPr="00BF39F1">
        <w:rPr>
          <w:rFonts w:eastAsiaTheme="minorHAnsi" w:cstheme="minorBidi"/>
          <w:szCs w:val="24"/>
          <w:lang w:eastAsia="en-US"/>
        </w:rPr>
        <w:t xml:space="preserve">, Cromwell et </w:t>
      </w:r>
      <w:proofErr w:type="spellStart"/>
      <w:r w:rsidRPr="00BF39F1">
        <w:rPr>
          <w:rFonts w:eastAsiaTheme="minorHAnsi" w:cstheme="minorBidi"/>
          <w:szCs w:val="24"/>
          <w:lang w:eastAsia="en-US"/>
        </w:rPr>
        <w:t>Karakatsanis</w:t>
      </w:r>
      <w:proofErr w:type="spellEnd"/>
    </w:p>
    <w:p w:rsidR="0040706D" w:rsidRPr="00BF39F1" w:rsidRDefault="0040706D" w:rsidP="0040706D">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40706D" w:rsidRPr="00BF39F1" w:rsidTr="002F6440">
        <w:trPr>
          <w:cantSplit/>
        </w:trPr>
        <w:tc>
          <w:tcPr>
            <w:tcW w:w="3618" w:type="dxa"/>
          </w:tcPr>
          <w:p w:rsidR="0040706D" w:rsidRPr="00BF39F1" w:rsidRDefault="0040706D" w:rsidP="002F6440">
            <w:pPr>
              <w:rPr>
                <w:b/>
                <w:smallCaps/>
              </w:rPr>
            </w:pPr>
            <w:r w:rsidRPr="00BF39F1">
              <w:rPr>
                <w:b/>
                <w:smallCaps/>
              </w:rPr>
              <w:t>Motifs de jugement :</w:t>
            </w:r>
          </w:p>
          <w:p w:rsidR="0040706D" w:rsidRPr="00BF39F1" w:rsidRDefault="0040706D" w:rsidP="002F6440">
            <w:r w:rsidRPr="00BF39F1">
              <w:t>(par. 1 à 63)</w:t>
            </w:r>
          </w:p>
          <w:p w:rsidR="0040706D" w:rsidRPr="00BF39F1" w:rsidRDefault="0040706D" w:rsidP="002F6440"/>
          <w:p w:rsidR="0040706D" w:rsidRPr="00BF39F1" w:rsidRDefault="0040706D" w:rsidP="002F6440">
            <w:pPr>
              <w:rPr>
                <w:b/>
                <w:smallCaps/>
              </w:rPr>
            </w:pPr>
            <w:r w:rsidRPr="00BF39F1">
              <w:rPr>
                <w:b/>
                <w:smallCaps/>
              </w:rPr>
              <w:t>Motifs dissidents :</w:t>
            </w:r>
          </w:p>
          <w:p w:rsidR="0040706D" w:rsidRPr="00BF39F1" w:rsidRDefault="0040706D" w:rsidP="002F6440">
            <w:r w:rsidRPr="00BF39F1">
              <w:t>(par. 64 à 99)</w:t>
            </w:r>
          </w:p>
        </w:tc>
        <w:tc>
          <w:tcPr>
            <w:tcW w:w="5958" w:type="dxa"/>
          </w:tcPr>
          <w:p w:rsidR="0040706D" w:rsidRPr="00BF39F1" w:rsidRDefault="0040706D" w:rsidP="002F6440">
            <w:r w:rsidRPr="00BF39F1">
              <w:t xml:space="preserve">La juge </w:t>
            </w:r>
            <w:proofErr w:type="spellStart"/>
            <w:r w:rsidRPr="00BF39F1">
              <w:t>Karakatsanis</w:t>
            </w:r>
            <w:proofErr w:type="spellEnd"/>
            <w:r w:rsidRPr="00BF39F1">
              <w:t xml:space="preserve"> (avec l’accord des juges </w:t>
            </w:r>
            <w:proofErr w:type="spellStart"/>
            <w:r w:rsidRPr="00BF39F1">
              <w:t>LeBel</w:t>
            </w:r>
            <w:proofErr w:type="spellEnd"/>
            <w:r w:rsidRPr="00BF39F1">
              <w:t xml:space="preserve">, Deschamps, Abella, </w:t>
            </w:r>
            <w:proofErr w:type="spellStart"/>
            <w:r w:rsidRPr="00BF39F1">
              <w:t>Rothstein</w:t>
            </w:r>
            <w:proofErr w:type="spellEnd"/>
            <w:r w:rsidRPr="00BF39F1">
              <w:t xml:space="preserve"> et Cromwell)</w:t>
            </w:r>
          </w:p>
          <w:p w:rsidR="0040706D" w:rsidRPr="00BF39F1" w:rsidRDefault="0040706D" w:rsidP="002F6440"/>
          <w:p w:rsidR="0040706D" w:rsidRPr="00BF39F1" w:rsidRDefault="0040706D" w:rsidP="002F6440">
            <w:r w:rsidRPr="00BF39F1">
              <w:t xml:space="preserve">La juge en chef </w:t>
            </w:r>
            <w:proofErr w:type="spellStart"/>
            <w:r w:rsidRPr="00BF39F1">
              <w:t>McLachlin</w:t>
            </w:r>
            <w:proofErr w:type="spellEnd"/>
          </w:p>
        </w:tc>
      </w:tr>
    </w:tbl>
    <w:p w:rsidR="0040706D" w:rsidRPr="00BF39F1" w:rsidRDefault="0040706D" w:rsidP="0040706D">
      <w:pPr>
        <w:rPr>
          <w:rFonts w:eastAsiaTheme="minorHAnsi" w:cstheme="minorBidi"/>
          <w:szCs w:val="24"/>
          <w:lang w:eastAsia="en-US"/>
        </w:rPr>
      </w:pPr>
    </w:p>
    <w:p w:rsidR="0040706D" w:rsidRPr="00BF39F1" w:rsidRDefault="0040706D" w:rsidP="0040706D">
      <w:pPr>
        <w:rPr>
          <w:rFonts w:eastAsiaTheme="minorHAnsi" w:cstheme="minorBidi"/>
          <w:szCs w:val="24"/>
          <w:lang w:eastAsia="en-US"/>
        </w:rPr>
      </w:pPr>
    </w:p>
    <w:p w:rsidR="0040706D" w:rsidRPr="00BF39F1" w:rsidRDefault="0040706D" w:rsidP="0040706D">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40706D" w:rsidRPr="00BF39F1" w:rsidRDefault="0040706D" w:rsidP="0040706D">
      <w:pPr>
        <w:rPr>
          <w:smallCaps/>
          <w:szCs w:val="24"/>
        </w:rPr>
      </w:pPr>
      <w:r w:rsidRPr="00BF39F1">
        <w:rPr>
          <w:smallCaps/>
          <w:szCs w:val="24"/>
        </w:rPr>
        <w:br w:type="page"/>
      </w:r>
    </w:p>
    <w:p w:rsidR="008322BD" w:rsidRPr="0040706D" w:rsidRDefault="002B0832" w:rsidP="002C51DA">
      <w:pPr>
        <w:spacing w:after="720"/>
        <w:jc w:val="both"/>
        <w:rPr>
          <w:smallCaps/>
          <w:szCs w:val="24"/>
          <w:lang w:val="en-US"/>
        </w:rPr>
      </w:pPr>
      <w:r w:rsidRPr="002B0832">
        <w:rPr>
          <w:szCs w:val="24"/>
          <w:lang w:val="en-US"/>
        </w:rPr>
        <w:lastRenderedPageBreak/>
        <w:t xml:space="preserve">Southcott Estates Inc. </w:t>
      </w:r>
      <w:r w:rsidRPr="002B0832">
        <w:rPr>
          <w:i/>
          <w:szCs w:val="24"/>
          <w:lang w:val="en-US"/>
        </w:rPr>
        <w:t>c.</w:t>
      </w:r>
      <w:r w:rsidRPr="002B0832">
        <w:rPr>
          <w:szCs w:val="24"/>
          <w:lang w:val="en-US"/>
        </w:rPr>
        <w:t xml:space="preserve"> Toronto Catholic District School Board, </w:t>
      </w:r>
      <w:r w:rsidRPr="0040706D">
        <w:rPr>
          <w:smallCaps/>
          <w:szCs w:val="24"/>
          <w:lang w:val="en-US"/>
        </w:rPr>
        <w:t>2012 CSC 51, [2012] 2 R.C.S. 675</w:t>
      </w:r>
    </w:p>
    <w:p w:rsidR="002B0832" w:rsidRPr="00C84904" w:rsidRDefault="002B0832" w:rsidP="002C51DA">
      <w:pPr>
        <w:spacing w:after="720"/>
        <w:jc w:val="both"/>
        <w:rPr>
          <w:szCs w:val="24"/>
          <w:lang w:val="en-US"/>
        </w:rPr>
      </w:pPr>
    </w:p>
    <w:p w:rsidR="002C51DA" w:rsidRPr="00C84904" w:rsidRDefault="00EF19B4" w:rsidP="002C51DA">
      <w:pPr>
        <w:pStyle w:val="SCCLsocParty"/>
        <w:tabs>
          <w:tab w:val="right" w:pos="8280"/>
        </w:tabs>
        <w:spacing w:after="720"/>
        <w:rPr>
          <w:b w:val="0"/>
          <w:i/>
          <w:szCs w:val="24"/>
        </w:rPr>
      </w:pPr>
      <w:proofErr w:type="spellStart"/>
      <w:r w:rsidRPr="00C84904">
        <w:rPr>
          <w:szCs w:val="24"/>
        </w:rPr>
        <w:t>Southcott</w:t>
      </w:r>
      <w:proofErr w:type="spellEnd"/>
      <w:r w:rsidRPr="00C84904">
        <w:rPr>
          <w:szCs w:val="24"/>
        </w:rPr>
        <w:t xml:space="preserve"> </w:t>
      </w:r>
      <w:proofErr w:type="spellStart"/>
      <w:r w:rsidRPr="00C84904">
        <w:rPr>
          <w:szCs w:val="24"/>
        </w:rPr>
        <w:t>Estates</w:t>
      </w:r>
      <w:proofErr w:type="spellEnd"/>
      <w:r w:rsidRPr="00C84904">
        <w:rPr>
          <w:szCs w:val="24"/>
        </w:rPr>
        <w:t xml:space="preserve"> I</w:t>
      </w:r>
      <w:r w:rsidR="00EE38D1" w:rsidRPr="00C84904">
        <w:rPr>
          <w:szCs w:val="24"/>
        </w:rPr>
        <w:t>nc.</w:t>
      </w:r>
      <w:r w:rsidR="00FE70E1" w:rsidRPr="00C84904">
        <w:rPr>
          <w:szCs w:val="24"/>
        </w:rPr>
        <w:tab/>
      </w:r>
      <w:r w:rsidR="00EE38D1" w:rsidRPr="00C84904">
        <w:rPr>
          <w:b w:val="0"/>
          <w:i/>
          <w:szCs w:val="24"/>
        </w:rPr>
        <w:t>Appelante/</w:t>
      </w:r>
      <w:r w:rsidRPr="00C84904">
        <w:rPr>
          <w:b w:val="0"/>
          <w:i/>
          <w:szCs w:val="24"/>
        </w:rPr>
        <w:t>i</w:t>
      </w:r>
      <w:r w:rsidR="00EE38D1" w:rsidRPr="00C84904">
        <w:rPr>
          <w:b w:val="0"/>
          <w:i/>
          <w:szCs w:val="24"/>
        </w:rPr>
        <w:t xml:space="preserve">ntimée </w:t>
      </w:r>
      <w:r w:rsidRPr="00C84904">
        <w:rPr>
          <w:b w:val="0"/>
          <w:i/>
          <w:szCs w:val="24"/>
        </w:rPr>
        <w:t>au pourvoi</w:t>
      </w:r>
      <w:r w:rsidR="00EE38D1" w:rsidRPr="00C84904">
        <w:rPr>
          <w:b w:val="0"/>
          <w:i/>
          <w:szCs w:val="24"/>
        </w:rPr>
        <w:t xml:space="preserve"> incident</w:t>
      </w:r>
    </w:p>
    <w:p w:rsidR="002C51DA" w:rsidRPr="00C84904" w:rsidRDefault="00EE38D1" w:rsidP="002C51DA">
      <w:pPr>
        <w:pStyle w:val="SCCLsocVersus"/>
        <w:spacing w:after="720"/>
        <w:rPr>
          <w:szCs w:val="24"/>
          <w:lang w:val="en-US"/>
        </w:rPr>
      </w:pPr>
      <w:proofErr w:type="gramStart"/>
      <w:r w:rsidRPr="00C84904">
        <w:rPr>
          <w:szCs w:val="24"/>
          <w:lang w:val="en-US"/>
        </w:rPr>
        <w:t>c</w:t>
      </w:r>
      <w:proofErr w:type="gramEnd"/>
      <w:r w:rsidRPr="00C84904">
        <w:rPr>
          <w:szCs w:val="24"/>
          <w:lang w:val="en-US"/>
        </w:rPr>
        <w:t>.</w:t>
      </w:r>
    </w:p>
    <w:p w:rsidR="003E680E" w:rsidRPr="00C84904" w:rsidRDefault="00EE38D1" w:rsidP="002C51DA">
      <w:pPr>
        <w:pStyle w:val="SCCLsocParty"/>
        <w:tabs>
          <w:tab w:val="right" w:pos="8280"/>
        </w:tabs>
        <w:spacing w:after="720"/>
        <w:rPr>
          <w:b w:val="0"/>
          <w:i/>
          <w:szCs w:val="24"/>
          <w:lang w:val="en-US"/>
        </w:rPr>
      </w:pPr>
      <w:r w:rsidRPr="00C84904">
        <w:rPr>
          <w:szCs w:val="24"/>
          <w:lang w:val="en-US"/>
        </w:rPr>
        <w:t>Toronto Catholic District School Board</w:t>
      </w:r>
      <w:r w:rsidR="00FE70E1" w:rsidRPr="00C84904">
        <w:rPr>
          <w:szCs w:val="24"/>
          <w:lang w:val="en-US"/>
        </w:rPr>
        <w:tab/>
      </w:r>
      <w:proofErr w:type="spellStart"/>
      <w:r w:rsidRPr="00C84904">
        <w:rPr>
          <w:b w:val="0"/>
          <w:i/>
          <w:szCs w:val="24"/>
          <w:lang w:val="en-US"/>
        </w:rPr>
        <w:t>Intimé</w:t>
      </w:r>
      <w:proofErr w:type="spellEnd"/>
      <w:r w:rsidRPr="00C84904">
        <w:rPr>
          <w:b w:val="0"/>
          <w:i/>
          <w:szCs w:val="24"/>
          <w:lang w:val="en-US"/>
        </w:rPr>
        <w:t>/</w:t>
      </w:r>
      <w:proofErr w:type="spellStart"/>
      <w:r w:rsidR="00EF19B4" w:rsidRPr="00C84904">
        <w:rPr>
          <w:b w:val="0"/>
          <w:i/>
          <w:szCs w:val="24"/>
          <w:lang w:val="en-US"/>
        </w:rPr>
        <w:t>a</w:t>
      </w:r>
      <w:r w:rsidRPr="00C84904">
        <w:rPr>
          <w:b w:val="0"/>
          <w:i/>
          <w:szCs w:val="24"/>
          <w:lang w:val="en-US"/>
        </w:rPr>
        <w:t>ppelant</w:t>
      </w:r>
      <w:proofErr w:type="spellEnd"/>
      <w:r w:rsidRPr="00C84904">
        <w:rPr>
          <w:b w:val="0"/>
          <w:i/>
          <w:szCs w:val="24"/>
          <w:lang w:val="en-US"/>
        </w:rPr>
        <w:t xml:space="preserve"> </w:t>
      </w:r>
      <w:r w:rsidR="00EF19B4" w:rsidRPr="00C84904">
        <w:rPr>
          <w:b w:val="0"/>
          <w:i/>
          <w:szCs w:val="24"/>
          <w:lang w:val="en-US"/>
        </w:rPr>
        <w:t xml:space="preserve">au </w:t>
      </w:r>
      <w:proofErr w:type="spellStart"/>
      <w:r w:rsidR="00EF19B4" w:rsidRPr="00C84904">
        <w:rPr>
          <w:b w:val="0"/>
          <w:i/>
          <w:szCs w:val="24"/>
          <w:lang w:val="en-US"/>
        </w:rPr>
        <w:t>pourvoi</w:t>
      </w:r>
      <w:proofErr w:type="spellEnd"/>
      <w:r w:rsidRPr="00C84904">
        <w:rPr>
          <w:b w:val="0"/>
          <w:i/>
          <w:szCs w:val="24"/>
          <w:lang w:val="en-US"/>
        </w:rPr>
        <w:t xml:space="preserve"> incident</w:t>
      </w:r>
    </w:p>
    <w:p w:rsidR="00426659" w:rsidRPr="00C84904" w:rsidRDefault="0043088E" w:rsidP="002C51DA">
      <w:pPr>
        <w:spacing w:after="720"/>
        <w:jc w:val="both"/>
        <w:rPr>
          <w:b/>
          <w:szCs w:val="24"/>
          <w:lang w:val="en-US"/>
        </w:rPr>
      </w:pPr>
      <w:proofErr w:type="spellStart"/>
      <w:proofErr w:type="gramStart"/>
      <w:r w:rsidRPr="00C84904">
        <w:rPr>
          <w:b/>
          <w:szCs w:val="24"/>
          <w:lang w:val="en-US"/>
        </w:rPr>
        <w:t>Répertorié</w:t>
      </w:r>
      <w:proofErr w:type="spellEnd"/>
      <w:r w:rsidR="002C51DA" w:rsidRPr="00C84904">
        <w:rPr>
          <w:b/>
          <w:szCs w:val="24"/>
          <w:lang w:val="en-US"/>
        </w:rPr>
        <w:t> :</w:t>
      </w:r>
      <w:proofErr w:type="gramEnd"/>
      <w:r w:rsidR="00C67CA5" w:rsidRPr="00C84904">
        <w:rPr>
          <w:b/>
          <w:szCs w:val="24"/>
          <w:lang w:val="en-US"/>
        </w:rPr>
        <w:t> </w:t>
      </w:r>
      <w:r w:rsidRPr="002E06F0">
        <w:rPr>
          <w:b/>
          <w:szCs w:val="24"/>
          <w:lang w:val="en-US"/>
        </w:rPr>
        <w:t xml:space="preserve">Southcott Estates </w:t>
      </w:r>
      <w:r w:rsidR="00EF19B4" w:rsidRPr="002E06F0">
        <w:rPr>
          <w:b/>
          <w:szCs w:val="24"/>
          <w:lang w:val="en-US"/>
        </w:rPr>
        <w:t>I</w:t>
      </w:r>
      <w:r w:rsidRPr="002E06F0">
        <w:rPr>
          <w:b/>
          <w:szCs w:val="24"/>
          <w:lang w:val="en-US"/>
        </w:rPr>
        <w:t>nc.</w:t>
      </w:r>
      <w:r w:rsidR="00426659" w:rsidRPr="00C84904">
        <w:rPr>
          <w:b/>
          <w:szCs w:val="24"/>
          <w:lang w:val="en-US"/>
        </w:rPr>
        <w:t xml:space="preserve"> </w:t>
      </w:r>
      <w:r w:rsidR="00645057" w:rsidRPr="00C84904">
        <w:rPr>
          <w:b/>
          <w:i/>
          <w:szCs w:val="24"/>
          <w:lang w:val="en-US"/>
        </w:rPr>
        <w:t>c</w:t>
      </w:r>
      <w:r w:rsidR="00426659" w:rsidRPr="00C84904">
        <w:rPr>
          <w:b/>
          <w:i/>
          <w:szCs w:val="24"/>
          <w:lang w:val="en-US"/>
        </w:rPr>
        <w:t>.</w:t>
      </w:r>
      <w:r w:rsidR="00426659" w:rsidRPr="00C84904">
        <w:rPr>
          <w:b/>
          <w:szCs w:val="24"/>
          <w:lang w:val="en-US"/>
        </w:rPr>
        <w:t xml:space="preserve"> </w:t>
      </w:r>
      <w:r w:rsidRPr="002E06F0">
        <w:rPr>
          <w:b/>
          <w:szCs w:val="24"/>
          <w:lang w:val="en-US"/>
        </w:rPr>
        <w:t>Toronto Catholic District Schoo</w:t>
      </w:r>
      <w:r w:rsidR="00EF19B4" w:rsidRPr="002E06F0">
        <w:rPr>
          <w:b/>
          <w:szCs w:val="24"/>
          <w:lang w:val="en-US"/>
        </w:rPr>
        <w:t>l Board</w:t>
      </w:r>
    </w:p>
    <w:p w:rsidR="00426659" w:rsidRPr="00C84904" w:rsidRDefault="00C0663B" w:rsidP="002C51DA">
      <w:pPr>
        <w:pStyle w:val="SCCSystemYear"/>
        <w:spacing w:after="720"/>
        <w:jc w:val="both"/>
        <w:rPr>
          <w:szCs w:val="24"/>
        </w:rPr>
      </w:pPr>
      <w:r w:rsidRPr="00C84904">
        <w:rPr>
          <w:szCs w:val="24"/>
        </w:rPr>
        <w:t>2012</w:t>
      </w:r>
      <w:r w:rsidR="00EE0FAF" w:rsidRPr="00C84904">
        <w:rPr>
          <w:szCs w:val="24"/>
        </w:rPr>
        <w:t xml:space="preserve"> </w:t>
      </w:r>
      <w:r w:rsidR="00C71F58" w:rsidRPr="00C84904">
        <w:rPr>
          <w:szCs w:val="24"/>
        </w:rPr>
        <w:t>C</w:t>
      </w:r>
      <w:r w:rsidR="00426659" w:rsidRPr="00C84904">
        <w:rPr>
          <w:szCs w:val="24"/>
        </w:rPr>
        <w:t>SC </w:t>
      </w:r>
      <w:r w:rsidR="008B169D">
        <w:rPr>
          <w:szCs w:val="24"/>
        </w:rPr>
        <w:t>51</w:t>
      </w:r>
    </w:p>
    <w:p w:rsidR="008322BD" w:rsidRPr="00C84904" w:rsidRDefault="009B57B3" w:rsidP="002C51DA">
      <w:pPr>
        <w:spacing w:after="720"/>
        <w:jc w:val="both"/>
        <w:rPr>
          <w:szCs w:val="24"/>
        </w:rPr>
      </w:pPr>
      <w:r w:rsidRPr="00C84904">
        <w:rPr>
          <w:szCs w:val="24"/>
        </w:rPr>
        <w:t>N</w:t>
      </w:r>
      <w:r w:rsidRPr="00C84904">
        <w:rPr>
          <w:szCs w:val="24"/>
          <w:vertAlign w:val="superscript"/>
        </w:rPr>
        <w:t>o</w:t>
      </w:r>
      <w:r w:rsidR="0043088E" w:rsidRPr="00C84904">
        <w:rPr>
          <w:szCs w:val="24"/>
        </w:rPr>
        <w:t xml:space="preserve"> du greffe</w:t>
      </w:r>
      <w:r w:rsidR="002C51DA" w:rsidRPr="00C84904">
        <w:rPr>
          <w:szCs w:val="24"/>
        </w:rPr>
        <w:t> :</w:t>
      </w:r>
      <w:r w:rsidR="00C67CA5" w:rsidRPr="00C84904">
        <w:rPr>
          <w:szCs w:val="24"/>
        </w:rPr>
        <w:t> </w:t>
      </w:r>
      <w:r w:rsidRPr="00C84904">
        <w:rPr>
          <w:szCs w:val="24"/>
        </w:rPr>
        <w:t>33778.</w:t>
      </w:r>
    </w:p>
    <w:p w:rsidR="008322BD" w:rsidRPr="00C84904" w:rsidRDefault="00C0663B" w:rsidP="002C51DA">
      <w:pPr>
        <w:spacing w:after="720"/>
        <w:jc w:val="both"/>
        <w:rPr>
          <w:szCs w:val="24"/>
        </w:rPr>
      </w:pPr>
      <w:r w:rsidRPr="00C84904">
        <w:rPr>
          <w:szCs w:val="24"/>
        </w:rPr>
        <w:t>2012</w:t>
      </w:r>
      <w:r w:rsidR="002C51DA" w:rsidRPr="00C84904">
        <w:rPr>
          <w:szCs w:val="24"/>
        </w:rPr>
        <w:t> :</w:t>
      </w:r>
      <w:r w:rsidR="00EF19B4" w:rsidRPr="00C84904">
        <w:rPr>
          <w:szCs w:val="24"/>
        </w:rPr>
        <w:t> </w:t>
      </w:r>
      <w:r w:rsidR="00F1609D" w:rsidRPr="00C84904">
        <w:rPr>
          <w:szCs w:val="24"/>
        </w:rPr>
        <w:t>20 </w:t>
      </w:r>
      <w:r w:rsidRPr="00C84904">
        <w:rPr>
          <w:szCs w:val="24"/>
        </w:rPr>
        <w:t>mars</w:t>
      </w:r>
      <w:r w:rsidR="009B57B3" w:rsidRPr="00C84904">
        <w:rPr>
          <w:szCs w:val="24"/>
        </w:rPr>
        <w:t xml:space="preserve">; </w:t>
      </w:r>
      <w:r w:rsidR="00F1609D" w:rsidRPr="00C84904">
        <w:rPr>
          <w:szCs w:val="24"/>
        </w:rPr>
        <w:t>2012 : 17 </w:t>
      </w:r>
      <w:r w:rsidR="00DD1EAF" w:rsidRPr="00C84904">
        <w:rPr>
          <w:szCs w:val="24"/>
        </w:rPr>
        <w:t>octobre</w:t>
      </w:r>
      <w:r w:rsidR="009B57B3" w:rsidRPr="00C84904">
        <w:rPr>
          <w:szCs w:val="24"/>
        </w:rPr>
        <w:t>.</w:t>
      </w:r>
    </w:p>
    <w:p w:rsidR="008322BD" w:rsidRPr="00C84904" w:rsidRDefault="009B57B3" w:rsidP="002C51DA">
      <w:pPr>
        <w:spacing w:after="720"/>
        <w:jc w:val="both"/>
        <w:rPr>
          <w:szCs w:val="24"/>
        </w:rPr>
      </w:pPr>
      <w:r w:rsidRPr="00C84904">
        <w:rPr>
          <w:szCs w:val="24"/>
        </w:rPr>
        <w:t>Pr</w:t>
      </w:r>
      <w:r w:rsidR="0043088E" w:rsidRPr="00C84904">
        <w:rPr>
          <w:szCs w:val="24"/>
        </w:rPr>
        <w:t>é</w:t>
      </w:r>
      <w:r w:rsidRPr="00C84904">
        <w:rPr>
          <w:szCs w:val="24"/>
        </w:rPr>
        <w:t>sent</w:t>
      </w:r>
      <w:r w:rsidR="008A6558" w:rsidRPr="00C84904">
        <w:rPr>
          <w:szCs w:val="24"/>
        </w:rPr>
        <w:t>s</w:t>
      </w:r>
      <w:r w:rsidR="002C51DA" w:rsidRPr="00C84904">
        <w:rPr>
          <w:szCs w:val="24"/>
        </w:rPr>
        <w:t> :</w:t>
      </w:r>
      <w:r w:rsidR="00C67CA5" w:rsidRPr="00C84904">
        <w:rPr>
          <w:szCs w:val="24"/>
        </w:rPr>
        <w:t> </w:t>
      </w:r>
      <w:r w:rsidRPr="00C84904">
        <w:rPr>
          <w:szCs w:val="24"/>
        </w:rPr>
        <w:t xml:space="preserve">La juge en chef </w:t>
      </w:r>
      <w:proofErr w:type="spellStart"/>
      <w:r w:rsidRPr="00C84904">
        <w:rPr>
          <w:szCs w:val="24"/>
        </w:rPr>
        <w:t>McLachlin</w:t>
      </w:r>
      <w:proofErr w:type="spellEnd"/>
      <w:r w:rsidRPr="00C84904">
        <w:rPr>
          <w:szCs w:val="24"/>
        </w:rPr>
        <w:t xml:space="preserve"> et les juges </w:t>
      </w:r>
      <w:proofErr w:type="spellStart"/>
      <w:r w:rsidRPr="00C84904">
        <w:rPr>
          <w:szCs w:val="24"/>
        </w:rPr>
        <w:t>LeBel</w:t>
      </w:r>
      <w:proofErr w:type="spellEnd"/>
      <w:r w:rsidRPr="00C84904">
        <w:rPr>
          <w:szCs w:val="24"/>
        </w:rPr>
        <w:t xml:space="preserve">, Deschamps, Abella, </w:t>
      </w:r>
      <w:proofErr w:type="spellStart"/>
      <w:r w:rsidRPr="00C84904">
        <w:rPr>
          <w:szCs w:val="24"/>
        </w:rPr>
        <w:t>Rothstein</w:t>
      </w:r>
      <w:proofErr w:type="spellEnd"/>
      <w:r w:rsidRPr="00C84904">
        <w:rPr>
          <w:szCs w:val="24"/>
        </w:rPr>
        <w:t xml:space="preserve">, Cromwell et </w:t>
      </w:r>
      <w:proofErr w:type="spellStart"/>
      <w:r w:rsidRPr="00C84904">
        <w:rPr>
          <w:szCs w:val="24"/>
        </w:rPr>
        <w:t>Karakatsanis</w:t>
      </w:r>
      <w:proofErr w:type="spellEnd"/>
      <w:r w:rsidRPr="00C84904">
        <w:rPr>
          <w:szCs w:val="24"/>
        </w:rPr>
        <w:t>.</w:t>
      </w:r>
    </w:p>
    <w:p w:rsidR="008322BD" w:rsidRPr="00C84904" w:rsidRDefault="00AC7437" w:rsidP="002C51DA">
      <w:pPr>
        <w:pStyle w:val="SCCLowerCourtNameLowercase"/>
        <w:spacing w:after="720" w:line="240" w:lineRule="auto"/>
        <w:rPr>
          <w:szCs w:val="24"/>
        </w:rPr>
      </w:pPr>
      <w:r w:rsidRPr="00C84904">
        <w:rPr>
          <w:szCs w:val="24"/>
        </w:rPr>
        <w:t>e</w:t>
      </w:r>
      <w:r w:rsidR="00855307" w:rsidRPr="00C84904">
        <w:rPr>
          <w:szCs w:val="24"/>
        </w:rPr>
        <w:t>n</w:t>
      </w:r>
      <w:r w:rsidR="00224FC0" w:rsidRPr="00C84904">
        <w:rPr>
          <w:szCs w:val="24"/>
        </w:rPr>
        <w:t xml:space="preserve"> </w:t>
      </w:r>
      <w:r w:rsidR="00855307" w:rsidRPr="00C84904">
        <w:rPr>
          <w:szCs w:val="24"/>
        </w:rPr>
        <w:t>appel</w:t>
      </w:r>
      <w:r w:rsidR="00224FC0" w:rsidRPr="00C84904">
        <w:rPr>
          <w:szCs w:val="24"/>
        </w:rPr>
        <w:t xml:space="preserve"> </w:t>
      </w:r>
      <w:r w:rsidR="00855307" w:rsidRPr="00C84904">
        <w:rPr>
          <w:szCs w:val="24"/>
        </w:rPr>
        <w:t>de</w:t>
      </w:r>
      <w:r w:rsidR="0043088E" w:rsidRPr="00C84904">
        <w:rPr>
          <w:szCs w:val="24"/>
        </w:rPr>
        <w:t xml:space="preserve"> </w:t>
      </w:r>
      <w:r w:rsidR="00855307" w:rsidRPr="00C84904">
        <w:rPr>
          <w:szCs w:val="24"/>
        </w:rPr>
        <w:t>la</w:t>
      </w:r>
      <w:r w:rsidR="00224FC0" w:rsidRPr="00C84904">
        <w:rPr>
          <w:szCs w:val="24"/>
        </w:rPr>
        <w:t xml:space="preserve"> </w:t>
      </w:r>
      <w:r w:rsidR="009B57B3" w:rsidRPr="00C84904">
        <w:rPr>
          <w:szCs w:val="24"/>
        </w:rPr>
        <w:t>cour d’appel de l’</w:t>
      </w:r>
      <w:proofErr w:type="spellStart"/>
      <w:r w:rsidR="009B57B3" w:rsidRPr="00C84904">
        <w:rPr>
          <w:szCs w:val="24"/>
        </w:rPr>
        <w:t>ontario</w:t>
      </w:r>
      <w:proofErr w:type="spellEnd"/>
    </w:p>
    <w:p w:rsidR="00B545F0" w:rsidRPr="00C84904" w:rsidRDefault="009B57B3" w:rsidP="002C51DA">
      <w:pPr>
        <w:pStyle w:val="SCCNormalDoubleSpacing"/>
        <w:spacing w:after="480"/>
        <w:rPr>
          <w:i/>
          <w:szCs w:val="24"/>
        </w:rPr>
      </w:pPr>
      <w:r w:rsidRPr="00C84904">
        <w:rPr>
          <w:szCs w:val="24"/>
        </w:rPr>
        <w:tab/>
      </w:r>
      <w:r w:rsidR="00C02B40" w:rsidRPr="00C84904">
        <w:rPr>
          <w:i/>
          <w:szCs w:val="24"/>
        </w:rPr>
        <w:t xml:space="preserve">Contrats </w:t>
      </w:r>
      <w:r w:rsidR="00F1609D" w:rsidRPr="00C84904">
        <w:rPr>
          <w:i/>
          <w:szCs w:val="24"/>
        </w:rPr>
        <w:t>—</w:t>
      </w:r>
      <w:r w:rsidR="00C02B40" w:rsidRPr="00C84904">
        <w:rPr>
          <w:i/>
          <w:szCs w:val="24"/>
        </w:rPr>
        <w:t xml:space="preserve"> Contrats commerciaux </w:t>
      </w:r>
      <w:r w:rsidR="00F1609D" w:rsidRPr="00C84904">
        <w:rPr>
          <w:i/>
          <w:szCs w:val="24"/>
        </w:rPr>
        <w:t>—</w:t>
      </w:r>
      <w:r w:rsidR="00C02B40" w:rsidRPr="00C84904">
        <w:rPr>
          <w:i/>
          <w:szCs w:val="24"/>
        </w:rPr>
        <w:t xml:space="preserve"> Recours </w:t>
      </w:r>
      <w:r w:rsidR="00F1609D" w:rsidRPr="00C84904">
        <w:rPr>
          <w:i/>
          <w:szCs w:val="24"/>
        </w:rPr>
        <w:t>—</w:t>
      </w:r>
      <w:r w:rsidR="00C02B40" w:rsidRPr="00C84904">
        <w:rPr>
          <w:i/>
          <w:szCs w:val="24"/>
        </w:rPr>
        <w:t xml:space="preserve"> Exécution intégrale </w:t>
      </w:r>
      <w:r w:rsidR="00F1609D" w:rsidRPr="00C84904">
        <w:rPr>
          <w:i/>
          <w:szCs w:val="24"/>
        </w:rPr>
        <w:t>—</w:t>
      </w:r>
      <w:r w:rsidR="00C02B40" w:rsidRPr="00C84904">
        <w:rPr>
          <w:i/>
          <w:szCs w:val="24"/>
        </w:rPr>
        <w:t xml:space="preserve"> Obligation de mitiger le préjudice</w:t>
      </w:r>
      <w:r w:rsidR="00127060" w:rsidRPr="00C84904">
        <w:rPr>
          <w:i/>
          <w:szCs w:val="24"/>
        </w:rPr>
        <w:t xml:space="preserve"> —</w:t>
      </w:r>
      <w:r w:rsidR="00C02B40" w:rsidRPr="00C84904">
        <w:rPr>
          <w:i/>
          <w:szCs w:val="24"/>
        </w:rPr>
        <w:t xml:space="preserve"> Promesse d’achat d’un terrain par une société à </w:t>
      </w:r>
      <w:r w:rsidR="00C02B40" w:rsidRPr="00C84904">
        <w:rPr>
          <w:i/>
          <w:szCs w:val="24"/>
        </w:rPr>
        <w:lastRenderedPageBreak/>
        <w:t xml:space="preserve">but unique </w:t>
      </w:r>
      <w:r w:rsidR="00F1609D" w:rsidRPr="00C84904">
        <w:rPr>
          <w:i/>
          <w:szCs w:val="24"/>
        </w:rPr>
        <w:t>—</w:t>
      </w:r>
      <w:r w:rsidR="00C02B40" w:rsidRPr="00C84904">
        <w:rPr>
          <w:i/>
          <w:szCs w:val="24"/>
        </w:rPr>
        <w:t xml:space="preserve"> Inexécution de la promesse de vente par le </w:t>
      </w:r>
      <w:proofErr w:type="spellStart"/>
      <w:r w:rsidR="00C02B40" w:rsidRPr="00C84904">
        <w:rPr>
          <w:i/>
          <w:szCs w:val="24"/>
        </w:rPr>
        <w:t>promettant</w:t>
      </w:r>
      <w:r w:rsidR="00C02B40" w:rsidRPr="00C84904">
        <w:rPr>
          <w:i/>
          <w:szCs w:val="24"/>
        </w:rPr>
        <w:noBreakHyphen/>
        <w:t>vendeur</w:t>
      </w:r>
      <w:proofErr w:type="spellEnd"/>
      <w:r w:rsidR="00C02B40" w:rsidRPr="00C84904">
        <w:rPr>
          <w:i/>
          <w:szCs w:val="24"/>
        </w:rPr>
        <w:t xml:space="preserve"> </w:t>
      </w:r>
      <w:r w:rsidR="00F1609D" w:rsidRPr="00C84904">
        <w:rPr>
          <w:i/>
          <w:szCs w:val="24"/>
        </w:rPr>
        <w:t>—</w:t>
      </w:r>
      <w:r w:rsidR="00C02B40" w:rsidRPr="00C84904">
        <w:rPr>
          <w:i/>
          <w:szCs w:val="24"/>
        </w:rPr>
        <w:t xml:space="preserve"> Demande d’exécution intégrale par la société</w:t>
      </w:r>
      <w:r w:rsidR="00B545F0" w:rsidRPr="00C84904">
        <w:rPr>
          <w:i/>
          <w:szCs w:val="24"/>
        </w:rPr>
        <w:t xml:space="preserve"> </w:t>
      </w:r>
      <w:r w:rsidR="00F1609D" w:rsidRPr="00C84904">
        <w:rPr>
          <w:i/>
          <w:szCs w:val="24"/>
        </w:rPr>
        <w:t>—</w:t>
      </w:r>
      <w:r w:rsidR="00B545F0" w:rsidRPr="00C84904">
        <w:rPr>
          <w:i/>
          <w:szCs w:val="24"/>
        </w:rPr>
        <w:t xml:space="preserve"> </w:t>
      </w:r>
      <w:r w:rsidR="00DD1EAF" w:rsidRPr="00C84904">
        <w:rPr>
          <w:i/>
          <w:szCs w:val="24"/>
        </w:rPr>
        <w:t>Une</w:t>
      </w:r>
      <w:r w:rsidR="00B545F0" w:rsidRPr="00C84904">
        <w:rPr>
          <w:i/>
          <w:szCs w:val="24"/>
        </w:rPr>
        <w:t xml:space="preserve"> société à but unique </w:t>
      </w:r>
      <w:proofErr w:type="spellStart"/>
      <w:r w:rsidR="00B545F0" w:rsidRPr="00C84904">
        <w:rPr>
          <w:i/>
          <w:szCs w:val="24"/>
        </w:rPr>
        <w:t>doit</w:t>
      </w:r>
      <w:r w:rsidR="00B545F0" w:rsidRPr="00C84904">
        <w:rPr>
          <w:i/>
          <w:szCs w:val="24"/>
        </w:rPr>
        <w:noBreakHyphen/>
        <w:t>elle</w:t>
      </w:r>
      <w:proofErr w:type="spellEnd"/>
      <w:r w:rsidR="00B545F0" w:rsidRPr="00C84904">
        <w:rPr>
          <w:i/>
          <w:szCs w:val="24"/>
        </w:rPr>
        <w:t xml:space="preserve"> mitiger s</w:t>
      </w:r>
      <w:r w:rsidR="00DD1EAF" w:rsidRPr="00C84904">
        <w:rPr>
          <w:i/>
          <w:szCs w:val="24"/>
        </w:rPr>
        <w:t>es pertes</w:t>
      </w:r>
      <w:r w:rsidR="0049639A">
        <w:rPr>
          <w:i/>
          <w:szCs w:val="24"/>
        </w:rPr>
        <w:t xml:space="preserve">? </w:t>
      </w:r>
      <w:r w:rsidR="00F1609D" w:rsidRPr="00C84904">
        <w:rPr>
          <w:i/>
          <w:szCs w:val="24"/>
        </w:rPr>
        <w:t>—</w:t>
      </w:r>
      <w:r w:rsidR="00B545F0" w:rsidRPr="00C84904">
        <w:rPr>
          <w:i/>
          <w:szCs w:val="24"/>
        </w:rPr>
        <w:t xml:space="preserve"> La demanderesse qui cherche à obtenir l’exécution intégrale </w:t>
      </w:r>
      <w:proofErr w:type="spellStart"/>
      <w:r w:rsidR="00B545F0" w:rsidRPr="00C84904">
        <w:rPr>
          <w:i/>
          <w:szCs w:val="24"/>
        </w:rPr>
        <w:t>a</w:t>
      </w:r>
      <w:r w:rsidR="00B545F0" w:rsidRPr="00C84904">
        <w:rPr>
          <w:i/>
          <w:szCs w:val="24"/>
        </w:rPr>
        <w:noBreakHyphen/>
        <w:t>t</w:t>
      </w:r>
      <w:r w:rsidR="00B545F0" w:rsidRPr="00C84904">
        <w:rPr>
          <w:i/>
          <w:szCs w:val="24"/>
        </w:rPr>
        <w:noBreakHyphen/>
        <w:t>elle</w:t>
      </w:r>
      <w:proofErr w:type="spellEnd"/>
      <w:r w:rsidR="00B545F0" w:rsidRPr="00C84904">
        <w:rPr>
          <w:i/>
          <w:szCs w:val="24"/>
        </w:rPr>
        <w:t xml:space="preserve"> l’obligation de mitiger s</w:t>
      </w:r>
      <w:r w:rsidR="00DD1EAF" w:rsidRPr="00C84904">
        <w:rPr>
          <w:i/>
          <w:szCs w:val="24"/>
        </w:rPr>
        <w:t>es pertes</w:t>
      </w:r>
      <w:r w:rsidR="00B545F0" w:rsidRPr="00C84904">
        <w:rPr>
          <w:i/>
          <w:szCs w:val="24"/>
        </w:rPr>
        <w:t>?</w:t>
      </w:r>
      <w:r w:rsidR="007E11E4" w:rsidRPr="00C84904">
        <w:rPr>
          <w:i/>
          <w:szCs w:val="24"/>
        </w:rPr>
        <w:t xml:space="preserve"> </w:t>
      </w:r>
      <w:r w:rsidR="00B545F0" w:rsidRPr="00C84904">
        <w:rPr>
          <w:i/>
          <w:szCs w:val="24"/>
        </w:rPr>
        <w:t xml:space="preserve"> </w:t>
      </w:r>
      <w:r w:rsidR="00F1609D" w:rsidRPr="00C84904">
        <w:rPr>
          <w:i/>
          <w:szCs w:val="24"/>
        </w:rPr>
        <w:t>—</w:t>
      </w:r>
      <w:r w:rsidR="00B545F0" w:rsidRPr="00C84904">
        <w:rPr>
          <w:i/>
          <w:szCs w:val="24"/>
        </w:rPr>
        <w:t xml:space="preserve"> Le juge de première instance </w:t>
      </w:r>
      <w:proofErr w:type="spellStart"/>
      <w:r w:rsidR="00B545F0" w:rsidRPr="00C84904">
        <w:rPr>
          <w:i/>
          <w:szCs w:val="24"/>
        </w:rPr>
        <w:t>a</w:t>
      </w:r>
      <w:r w:rsidR="00B545F0" w:rsidRPr="00C84904">
        <w:rPr>
          <w:i/>
          <w:szCs w:val="24"/>
        </w:rPr>
        <w:noBreakHyphen/>
        <w:t>t</w:t>
      </w:r>
      <w:r w:rsidR="00B545F0" w:rsidRPr="00C84904">
        <w:rPr>
          <w:i/>
          <w:szCs w:val="24"/>
        </w:rPr>
        <w:noBreakHyphen/>
        <w:t>il</w:t>
      </w:r>
      <w:proofErr w:type="spellEnd"/>
      <w:r w:rsidR="00B545F0" w:rsidRPr="00C84904">
        <w:rPr>
          <w:i/>
          <w:szCs w:val="24"/>
        </w:rPr>
        <w:t xml:space="preserve"> eu tort de conclure qu’aucun immeuble comparable n’aurait pu servir à mitiger le préjudice?</w:t>
      </w:r>
    </w:p>
    <w:p w:rsidR="008322BD" w:rsidRPr="00C84904" w:rsidRDefault="00B02BDA" w:rsidP="002C51DA">
      <w:pPr>
        <w:pStyle w:val="SCCNormalDoubleSpacing"/>
        <w:spacing w:after="480"/>
        <w:rPr>
          <w:szCs w:val="24"/>
        </w:rPr>
      </w:pPr>
      <w:r w:rsidRPr="00C84904">
        <w:rPr>
          <w:szCs w:val="24"/>
        </w:rPr>
        <w:tab/>
        <w:t xml:space="preserve">L’appelante S est une société à but unique </w:t>
      </w:r>
      <w:r w:rsidR="007C0582" w:rsidRPr="00C84904">
        <w:rPr>
          <w:szCs w:val="24"/>
        </w:rPr>
        <w:t>constituée dans le seul but</w:t>
      </w:r>
      <w:r w:rsidR="00B545F0" w:rsidRPr="00C84904">
        <w:rPr>
          <w:szCs w:val="24"/>
        </w:rPr>
        <w:t xml:space="preserve"> </w:t>
      </w:r>
      <w:r w:rsidR="007C0582" w:rsidRPr="00C84904">
        <w:rPr>
          <w:szCs w:val="24"/>
        </w:rPr>
        <w:t xml:space="preserve">d’acheter un terrain en particulier.  Elle n’a pas d’actifs autres que l’argent avancé par sa société mère pour le dépôt à verser en vue de </w:t>
      </w:r>
      <w:r w:rsidR="00DD1EAF" w:rsidRPr="00C84904">
        <w:rPr>
          <w:szCs w:val="24"/>
        </w:rPr>
        <w:t xml:space="preserve">cet </w:t>
      </w:r>
      <w:r w:rsidR="007C0582" w:rsidRPr="00C84904">
        <w:rPr>
          <w:szCs w:val="24"/>
        </w:rPr>
        <w:t xml:space="preserve">achat.  </w:t>
      </w:r>
      <w:r w:rsidR="00DD1EAF" w:rsidRPr="00C84904">
        <w:rPr>
          <w:szCs w:val="24"/>
        </w:rPr>
        <w:t>S</w:t>
      </w:r>
      <w:r w:rsidR="007C0582" w:rsidRPr="00C84904">
        <w:rPr>
          <w:szCs w:val="24"/>
        </w:rPr>
        <w:t xml:space="preserve"> a conclu avec l’intimé une promesse d’achat et de vente du terrain en cause.  Lorsque l’intimé </w:t>
      </w:r>
      <w:r w:rsidR="00356CAE" w:rsidRPr="00C84904">
        <w:rPr>
          <w:szCs w:val="24"/>
        </w:rPr>
        <w:t>a fait défaut de satisfaire à une des conditions de l’entente et a refusé de proroger la date de clôture, S a réclamé l’exécution intégrale du contrat.  Cette dernière a plaidé qu’elle n’était pas tenue de mitiger ses pertes.  Le juge de première instance a refusé d’ordonner l’exécution intégrale du contrat mais a accordé à S la somme de 1 935 500 $ à t</w:t>
      </w:r>
      <w:r w:rsidR="0049639A">
        <w:rPr>
          <w:szCs w:val="24"/>
        </w:rPr>
        <w:t xml:space="preserve">itre de </w:t>
      </w:r>
      <w:proofErr w:type="spellStart"/>
      <w:r w:rsidR="0049639A">
        <w:rPr>
          <w:szCs w:val="24"/>
        </w:rPr>
        <w:t>dommages</w:t>
      </w:r>
      <w:r w:rsidR="0049639A">
        <w:rPr>
          <w:szCs w:val="24"/>
        </w:rPr>
        <w:noBreakHyphen/>
        <w:t>intérêts</w:t>
      </w:r>
      <w:proofErr w:type="spellEnd"/>
      <w:r w:rsidR="0049639A">
        <w:rPr>
          <w:szCs w:val="24"/>
        </w:rPr>
        <w:t>.  La C</w:t>
      </w:r>
      <w:r w:rsidR="00356CAE" w:rsidRPr="00C84904">
        <w:rPr>
          <w:szCs w:val="24"/>
        </w:rPr>
        <w:t xml:space="preserve">our d’appel a conclu que l’intimé </w:t>
      </w:r>
      <w:r w:rsidR="00A26ED6" w:rsidRPr="00C84904">
        <w:rPr>
          <w:szCs w:val="24"/>
        </w:rPr>
        <w:t>n’</w:t>
      </w:r>
      <w:r w:rsidR="00356CAE" w:rsidRPr="00C84904">
        <w:rPr>
          <w:szCs w:val="24"/>
        </w:rPr>
        <w:t xml:space="preserve">avait </w:t>
      </w:r>
      <w:r w:rsidR="00A26ED6" w:rsidRPr="00C84904">
        <w:rPr>
          <w:szCs w:val="24"/>
        </w:rPr>
        <w:t xml:space="preserve">pas respecté le contrat mais que S avait omis de prendre les mesures appropriées pour mitiger ses pertes.  Elle a ramené à une somme symbolique le montant accordé à titre de </w:t>
      </w:r>
      <w:proofErr w:type="spellStart"/>
      <w:r w:rsidR="00A26ED6" w:rsidRPr="00C84904">
        <w:rPr>
          <w:szCs w:val="24"/>
        </w:rPr>
        <w:t>dommages</w:t>
      </w:r>
      <w:r w:rsidR="00A26ED6" w:rsidRPr="00C84904">
        <w:rPr>
          <w:szCs w:val="24"/>
        </w:rPr>
        <w:noBreakHyphen/>
        <w:t>intérêts</w:t>
      </w:r>
      <w:proofErr w:type="spellEnd"/>
      <w:r w:rsidR="00A26ED6" w:rsidRPr="00C84904">
        <w:rPr>
          <w:szCs w:val="24"/>
        </w:rPr>
        <w:t>.</w:t>
      </w:r>
    </w:p>
    <w:p w:rsidR="008322BD" w:rsidRPr="00C84904" w:rsidRDefault="00A26ED6" w:rsidP="002C51DA">
      <w:pPr>
        <w:pStyle w:val="SCCNormalDoubleSpacing"/>
        <w:spacing w:after="480"/>
        <w:rPr>
          <w:szCs w:val="24"/>
        </w:rPr>
      </w:pPr>
      <w:r w:rsidRPr="00C84904">
        <w:rPr>
          <w:szCs w:val="24"/>
        </w:rPr>
        <w:tab/>
      </w:r>
      <w:r w:rsidR="0043088E" w:rsidRPr="00C84904">
        <w:rPr>
          <w:i/>
          <w:szCs w:val="24"/>
        </w:rPr>
        <w:t>Arrêt</w:t>
      </w:r>
      <w:r w:rsidR="002C51DA" w:rsidRPr="00C84904">
        <w:rPr>
          <w:szCs w:val="24"/>
        </w:rPr>
        <w:t> </w:t>
      </w:r>
      <w:r w:rsidR="0049639A">
        <w:rPr>
          <w:szCs w:val="24"/>
        </w:rPr>
        <w:t>(</w:t>
      </w:r>
      <w:r w:rsidR="0049639A" w:rsidRPr="00C84904">
        <w:rPr>
          <w:szCs w:val="24"/>
        </w:rPr>
        <w:t xml:space="preserve">la juge en chef </w:t>
      </w:r>
      <w:proofErr w:type="spellStart"/>
      <w:r w:rsidR="0049639A" w:rsidRPr="00C84904">
        <w:rPr>
          <w:szCs w:val="24"/>
        </w:rPr>
        <w:t>McLachlin</w:t>
      </w:r>
      <w:proofErr w:type="spellEnd"/>
      <w:r w:rsidR="0049639A" w:rsidRPr="00C84904">
        <w:rPr>
          <w:szCs w:val="24"/>
        </w:rPr>
        <w:t xml:space="preserve"> est dissidente)</w:t>
      </w:r>
      <w:r w:rsidR="0049639A">
        <w:rPr>
          <w:szCs w:val="24"/>
        </w:rPr>
        <w:t> :</w:t>
      </w:r>
      <w:r w:rsidR="009B57B3" w:rsidRPr="00C84904">
        <w:rPr>
          <w:szCs w:val="24"/>
        </w:rPr>
        <w:t xml:space="preserve"> </w:t>
      </w:r>
      <w:r w:rsidR="0043088E" w:rsidRPr="00C84904">
        <w:rPr>
          <w:szCs w:val="24"/>
        </w:rPr>
        <w:t xml:space="preserve">Le pourvoi </w:t>
      </w:r>
      <w:r w:rsidRPr="00C84904">
        <w:rPr>
          <w:szCs w:val="24"/>
        </w:rPr>
        <w:t>et le pourvoi incident sont rejetés.</w:t>
      </w:r>
    </w:p>
    <w:p w:rsidR="006C5661" w:rsidRPr="00C84904" w:rsidRDefault="00DD1EAF" w:rsidP="002C51DA">
      <w:pPr>
        <w:pStyle w:val="SCCNormalDoubleSpacing"/>
        <w:spacing w:after="480"/>
        <w:rPr>
          <w:szCs w:val="24"/>
        </w:rPr>
      </w:pPr>
      <w:r w:rsidRPr="00C84904">
        <w:rPr>
          <w:i/>
          <w:szCs w:val="24"/>
        </w:rPr>
        <w:lastRenderedPageBreak/>
        <w:tab/>
      </w:r>
      <w:r w:rsidR="00A26ED6" w:rsidRPr="00C84904">
        <w:rPr>
          <w:i/>
          <w:szCs w:val="24"/>
        </w:rPr>
        <w:t>Les</w:t>
      </w:r>
      <w:r w:rsidR="00A26ED6" w:rsidRPr="00C84904">
        <w:rPr>
          <w:szCs w:val="24"/>
        </w:rPr>
        <w:t xml:space="preserve"> juges </w:t>
      </w:r>
      <w:proofErr w:type="spellStart"/>
      <w:r w:rsidR="00A26ED6" w:rsidRPr="00C84904">
        <w:rPr>
          <w:szCs w:val="24"/>
        </w:rPr>
        <w:t>LeBel</w:t>
      </w:r>
      <w:proofErr w:type="spellEnd"/>
      <w:r w:rsidR="00A26ED6" w:rsidRPr="00C84904">
        <w:rPr>
          <w:szCs w:val="24"/>
        </w:rPr>
        <w:t xml:space="preserve">, Deschamps, Abella, </w:t>
      </w:r>
      <w:proofErr w:type="spellStart"/>
      <w:r w:rsidR="00A26ED6" w:rsidRPr="00C84904">
        <w:rPr>
          <w:szCs w:val="24"/>
        </w:rPr>
        <w:t>Rothstein</w:t>
      </w:r>
      <w:proofErr w:type="spellEnd"/>
      <w:r w:rsidR="00A26ED6" w:rsidRPr="00C84904">
        <w:rPr>
          <w:szCs w:val="24"/>
        </w:rPr>
        <w:t xml:space="preserve">, Cromwell et </w:t>
      </w:r>
      <w:proofErr w:type="spellStart"/>
      <w:r w:rsidR="00A26ED6" w:rsidRPr="0049639A">
        <w:rPr>
          <w:szCs w:val="24"/>
        </w:rPr>
        <w:t>Karakatsanis</w:t>
      </w:r>
      <w:proofErr w:type="spellEnd"/>
      <w:r w:rsidR="00097635" w:rsidRPr="0049639A">
        <w:rPr>
          <w:szCs w:val="24"/>
        </w:rPr>
        <w:t>.</w:t>
      </w:r>
      <w:r w:rsidR="0049639A" w:rsidRPr="0049639A">
        <w:rPr>
          <w:szCs w:val="24"/>
        </w:rPr>
        <w:t>:</w:t>
      </w:r>
      <w:r w:rsidR="00097635" w:rsidRPr="0049639A">
        <w:rPr>
          <w:szCs w:val="24"/>
        </w:rPr>
        <w:t xml:space="preserve"> </w:t>
      </w:r>
      <w:r w:rsidR="00165B52" w:rsidRPr="00C84904">
        <w:rPr>
          <w:szCs w:val="24"/>
        </w:rPr>
        <w:t xml:space="preserve">La notion de mitigation du préjudice repose sur l’équité et le bon sens et vise à assurer la justice entre les parties en fonction des circonstances propres à l’espèce.  En principe, un demandeur ne peut se faire indemniser d’une perte qu’il aurait pu éviter par des précautions raisonnables.  </w:t>
      </w:r>
    </w:p>
    <w:p w:rsidR="00165B52" w:rsidRPr="00C84904" w:rsidRDefault="00DD1EAF" w:rsidP="002C51DA">
      <w:pPr>
        <w:pStyle w:val="SCCNormalDoubleSpacing"/>
        <w:spacing w:after="480"/>
        <w:rPr>
          <w:szCs w:val="24"/>
        </w:rPr>
      </w:pPr>
      <w:r w:rsidRPr="00C84904">
        <w:rPr>
          <w:szCs w:val="24"/>
        </w:rPr>
        <w:tab/>
      </w:r>
      <w:r w:rsidR="00165B52" w:rsidRPr="00C84904">
        <w:rPr>
          <w:szCs w:val="24"/>
        </w:rPr>
        <w:t xml:space="preserve">La principale question en litige est de savoir si S, une société à but unique, était relevée de son obligation de mitiger ses pertes lorsque le </w:t>
      </w:r>
      <w:proofErr w:type="spellStart"/>
      <w:r w:rsidRPr="00C84904">
        <w:rPr>
          <w:szCs w:val="24"/>
        </w:rPr>
        <w:t>promettant</w:t>
      </w:r>
      <w:r w:rsidRPr="00C84904">
        <w:rPr>
          <w:szCs w:val="24"/>
        </w:rPr>
        <w:noBreakHyphen/>
      </w:r>
      <w:r w:rsidR="00165B52" w:rsidRPr="00C84904">
        <w:rPr>
          <w:szCs w:val="24"/>
        </w:rPr>
        <w:t>vendeur</w:t>
      </w:r>
      <w:proofErr w:type="spellEnd"/>
      <w:r w:rsidR="00165B52" w:rsidRPr="00C84904">
        <w:rPr>
          <w:szCs w:val="24"/>
        </w:rPr>
        <w:t xml:space="preserve"> n’a pas respecté la promesse d’achat et de vente</w:t>
      </w:r>
      <w:r w:rsidR="0047614C" w:rsidRPr="00C84904">
        <w:rPr>
          <w:szCs w:val="24"/>
        </w:rPr>
        <w:t xml:space="preserve">, en particulier lorsqu’elle a rapidement intenté une action en exécution intégrale.  En tant qu’entité juridique distincte, S était tenue de mitiger ses pertes en faisant diligence pour trouver une autre propriété.  Quiconque choisit de bénéficier des avantages de la constitution en société doit en supporter les inconvénients.  La société a notamment la responsabilité de prendre des mesures pour mitiger ses pertes.  Un demandeur ne peut se faire indemniser des pertes qu’il pouvait raisonnablement éviter.  S réclamait l’exécution intégrale; elle était donc prête à parfaire l’achat.  </w:t>
      </w:r>
      <w:r w:rsidR="00071876" w:rsidRPr="00C84904">
        <w:rPr>
          <w:szCs w:val="24"/>
        </w:rPr>
        <w:t>S</w:t>
      </w:r>
      <w:r w:rsidR="0047614C" w:rsidRPr="00C84904">
        <w:rPr>
          <w:szCs w:val="24"/>
        </w:rPr>
        <w:t xml:space="preserve">a demande subsidiaire de </w:t>
      </w:r>
      <w:proofErr w:type="spellStart"/>
      <w:r w:rsidR="0047614C" w:rsidRPr="00C84904">
        <w:rPr>
          <w:szCs w:val="24"/>
        </w:rPr>
        <w:t>dommages</w:t>
      </w:r>
      <w:r w:rsidR="0047614C" w:rsidRPr="00C84904">
        <w:rPr>
          <w:szCs w:val="24"/>
        </w:rPr>
        <w:noBreakHyphen/>
        <w:t>intérêts</w:t>
      </w:r>
      <w:proofErr w:type="spellEnd"/>
      <w:r w:rsidR="0047614C" w:rsidRPr="00C84904">
        <w:rPr>
          <w:szCs w:val="24"/>
        </w:rPr>
        <w:t xml:space="preserve"> pour préjudice indirect dépendait de l’obtention, pour elle, de capitaux lui permettant de parfaire la vente.  En fait, les deux demandes étaient fondées sur la possibilité d’obtenir des ressources qui n’étaient pas bloquées par suite de l’inexécution reprochée.  S ne peut guère prétendre que les mêmes fonds n’auraient pas pu servir à mitiger le préjudice.</w:t>
      </w:r>
      <w:r w:rsidR="00071876" w:rsidRPr="00C84904">
        <w:rPr>
          <w:szCs w:val="24"/>
        </w:rPr>
        <w:t xml:space="preserve">  À défaut d’éléments de preuve concrets démontrant le manque de ressources, le fait de conclure que les pertes ne peuvent raisonnablement être évitées du simple fait qu’il s’agit d’une société à but </w:t>
      </w:r>
      <w:r w:rsidR="00071876" w:rsidRPr="00C84904">
        <w:rPr>
          <w:szCs w:val="24"/>
        </w:rPr>
        <w:lastRenderedPageBreak/>
        <w:t xml:space="preserve">unique membre d’un consortium de sociétés aurait pour effet de conférer à ces sociétés un avantage injustifié.  Si les sociétés à but unique n’étaient pas tenues de mitiger leurs pertes, les défendeurs qui signent des contrats avec elles seraient susceptibles d’être condamnés à des </w:t>
      </w:r>
      <w:proofErr w:type="spellStart"/>
      <w:r w:rsidR="00071876" w:rsidRPr="00C84904">
        <w:rPr>
          <w:szCs w:val="24"/>
        </w:rPr>
        <w:t>dommages</w:t>
      </w:r>
      <w:r w:rsidR="00071876" w:rsidRPr="00C84904">
        <w:rPr>
          <w:szCs w:val="24"/>
        </w:rPr>
        <w:noBreakHyphen/>
        <w:t>intérêts</w:t>
      </w:r>
      <w:proofErr w:type="spellEnd"/>
      <w:r w:rsidR="00071876" w:rsidRPr="00C84904">
        <w:rPr>
          <w:szCs w:val="24"/>
        </w:rPr>
        <w:t xml:space="preserve"> plus élevés.</w:t>
      </w:r>
    </w:p>
    <w:p w:rsidR="00071876" w:rsidRPr="00C84904" w:rsidRDefault="00DD1EAF" w:rsidP="002C51DA">
      <w:pPr>
        <w:pStyle w:val="SCCNormalDoubleSpacing"/>
        <w:spacing w:after="480"/>
        <w:rPr>
          <w:szCs w:val="24"/>
        </w:rPr>
      </w:pPr>
      <w:r w:rsidRPr="00C84904">
        <w:rPr>
          <w:szCs w:val="24"/>
        </w:rPr>
        <w:tab/>
      </w:r>
      <w:r w:rsidR="005F5497" w:rsidRPr="00C84904">
        <w:rPr>
          <w:szCs w:val="24"/>
        </w:rPr>
        <w:t xml:space="preserve">Notre Cour a reconnu que dans certains cas, l’inaction du demandeur peut se justifier malgré le fait qu’il n’a pas réussi à obtenir l’exécution intégrale.  Si le demandeur réclame l’exécution intégrale en se fondant sur des « motifs équitables, réels et importants » ou un « intérêt important et légitime », son refus d’acheter un autre bien peut être justifié, compte tenu des circonstances de l’espèce.  </w:t>
      </w:r>
      <w:r w:rsidR="005E1C93" w:rsidRPr="00C84904">
        <w:rPr>
          <w:szCs w:val="24"/>
        </w:rPr>
        <w:t xml:space="preserve">Un demandeur privé d’un immeuble de placement ne peut exiger l’exécution intégrale en invoquant des « motifs équitables, réels et importants » ou un « intérêt important et légitime » que s’il peut démontrer que l’octroi d’une somme d’argent ne constituerait </w:t>
      </w:r>
      <w:r w:rsidR="005E1C93" w:rsidRPr="00C84904">
        <w:rPr>
          <w:spacing w:val="-3"/>
          <w:szCs w:val="24"/>
        </w:rPr>
        <w:t xml:space="preserve">pas une réparation complète parce que cet immeuble a « une valeur particulière » pour lui. </w:t>
      </w:r>
      <w:r w:rsidR="005E1C93" w:rsidRPr="00C84904">
        <w:rPr>
          <w:szCs w:val="24"/>
        </w:rPr>
        <w:t xml:space="preserve"> S n’a pas démontré que tel était le cas et elle ne peut donc justifier son inaction.  Elle avait entrepris cette opération commerciale dans le but de réaliser un profit.  Les caractéristiques particulières de l’immeuble tenaient seulement à sa valeur du fait qu’il pouvait s’avérer rentable, et les </w:t>
      </w:r>
      <w:proofErr w:type="spellStart"/>
      <w:r w:rsidR="005E1C93" w:rsidRPr="00C84904">
        <w:rPr>
          <w:szCs w:val="24"/>
        </w:rPr>
        <w:t>dommages</w:t>
      </w:r>
      <w:r w:rsidR="005E1C93" w:rsidRPr="00C84904">
        <w:rPr>
          <w:szCs w:val="24"/>
        </w:rPr>
        <w:noBreakHyphen/>
        <w:t>intérêts</w:t>
      </w:r>
      <w:proofErr w:type="spellEnd"/>
      <w:r w:rsidR="005E1C93" w:rsidRPr="00C84904">
        <w:rPr>
          <w:szCs w:val="24"/>
        </w:rPr>
        <w:t xml:space="preserve"> constituaient une réparation adéquate. </w:t>
      </w:r>
    </w:p>
    <w:p w:rsidR="005E1C93" w:rsidRPr="00C84904" w:rsidRDefault="00DD1EAF" w:rsidP="002C51DA">
      <w:pPr>
        <w:pStyle w:val="SCCNormalDoubleSpacing"/>
        <w:spacing w:after="480"/>
        <w:rPr>
          <w:szCs w:val="24"/>
        </w:rPr>
      </w:pPr>
      <w:r w:rsidRPr="00C84904">
        <w:rPr>
          <w:szCs w:val="24"/>
        </w:rPr>
        <w:tab/>
      </w:r>
      <w:r w:rsidR="00AB4CD9" w:rsidRPr="00C84904">
        <w:rPr>
          <w:szCs w:val="24"/>
        </w:rPr>
        <w:t>Lorsqu’il est allégué que le demandeur n’a pas mitigé le préjudice, il incombe au défendeur de démontrer que le demandeur n’a pas pris toutes les mesures raisonnables pour mitiger le préjudice et qu</w:t>
      </w:r>
      <w:r w:rsidRPr="00C84904">
        <w:rPr>
          <w:szCs w:val="24"/>
        </w:rPr>
        <w:t xml:space="preserve">e </w:t>
      </w:r>
      <w:r w:rsidR="00AB4CD9" w:rsidRPr="00C84904">
        <w:rPr>
          <w:szCs w:val="24"/>
        </w:rPr>
        <w:t>l</w:t>
      </w:r>
      <w:r w:rsidRPr="00C84904">
        <w:rPr>
          <w:szCs w:val="24"/>
        </w:rPr>
        <w:t>a</w:t>
      </w:r>
      <w:r w:rsidR="00AB4CD9" w:rsidRPr="00C84904">
        <w:rPr>
          <w:szCs w:val="24"/>
        </w:rPr>
        <w:t xml:space="preserve"> </w:t>
      </w:r>
      <w:r w:rsidRPr="00C84904">
        <w:rPr>
          <w:szCs w:val="24"/>
        </w:rPr>
        <w:t>mitigation était possible</w:t>
      </w:r>
      <w:r w:rsidR="00AB4CD9" w:rsidRPr="00C84904">
        <w:rPr>
          <w:szCs w:val="24"/>
        </w:rPr>
        <w:t xml:space="preserve">.  La question </w:t>
      </w:r>
      <w:r w:rsidR="00AB4CD9" w:rsidRPr="00C84904">
        <w:rPr>
          <w:szCs w:val="24"/>
        </w:rPr>
        <w:lastRenderedPageBreak/>
        <w:t xml:space="preserve">de savoir s’il existait des immeubles comparables et s’ils étaient rentables est une question de fait.  Le juge de première instance a commis une erreur manifeste et dominante en affirmant qu’il n’y avait pas de possibilités de mitiger le préjudice.  </w:t>
      </w:r>
      <w:r w:rsidRPr="00C84904">
        <w:rPr>
          <w:szCs w:val="24"/>
        </w:rPr>
        <w:t>Il</w:t>
      </w:r>
      <w:r w:rsidR="00967A08" w:rsidRPr="00C84904">
        <w:rPr>
          <w:szCs w:val="24"/>
        </w:rPr>
        <w:t xml:space="preserve"> n’a pas considéré les inférences raisonnables que lui présentaient le témoignage de l’expert relativement </w:t>
      </w:r>
      <w:r w:rsidRPr="00C84904">
        <w:rPr>
          <w:szCs w:val="24"/>
        </w:rPr>
        <w:t>à d’</w:t>
      </w:r>
      <w:r w:rsidR="00967A08" w:rsidRPr="00C84904">
        <w:rPr>
          <w:szCs w:val="24"/>
        </w:rPr>
        <w:t xml:space="preserve">autres terrains susceptibles de mise en valeur vendus dans la région, les immeubles de placement acquis par la société mère de S ainsi que l’absence de preuve contraire.  L’intimé s’est acquitté du fardeau de </w:t>
      </w:r>
      <w:r w:rsidR="002E4B42" w:rsidRPr="00C84904">
        <w:rPr>
          <w:szCs w:val="24"/>
        </w:rPr>
        <w:t>démontrer qu’il existait, au cours de la période en cause, d’autres immeubles de placement comparables qui auraient pu servir à mitiger les pertes.</w:t>
      </w:r>
    </w:p>
    <w:p w:rsidR="002E4B42" w:rsidRPr="00C84904" w:rsidRDefault="00DD1EAF" w:rsidP="002C51DA">
      <w:pPr>
        <w:pStyle w:val="SCCNormalDoubleSpacing"/>
        <w:spacing w:after="480"/>
        <w:rPr>
          <w:szCs w:val="24"/>
        </w:rPr>
      </w:pPr>
      <w:r w:rsidRPr="00C84904">
        <w:rPr>
          <w:i/>
          <w:szCs w:val="24"/>
        </w:rPr>
        <w:tab/>
      </w:r>
      <w:r w:rsidR="002E4B42" w:rsidRPr="00C84904">
        <w:rPr>
          <w:i/>
          <w:szCs w:val="24"/>
        </w:rPr>
        <w:t>La</w:t>
      </w:r>
      <w:r w:rsidR="002E4B42" w:rsidRPr="00C84904">
        <w:rPr>
          <w:szCs w:val="24"/>
        </w:rPr>
        <w:t xml:space="preserve"> juge en chef </w:t>
      </w:r>
      <w:proofErr w:type="spellStart"/>
      <w:r w:rsidR="002E4B42" w:rsidRPr="00C84904">
        <w:rPr>
          <w:szCs w:val="24"/>
        </w:rPr>
        <w:t>McLachlin</w:t>
      </w:r>
      <w:proofErr w:type="spellEnd"/>
      <w:r w:rsidR="002E4B42" w:rsidRPr="00C84904">
        <w:rPr>
          <w:szCs w:val="24"/>
        </w:rPr>
        <w:t xml:space="preserve"> (dissidente) : Il incombe au conseil scolaire, qui n’a pas respecté le contrat, de prouver que le défaut de S de mitiger sa perte n’était pas justifié.  Cela signifie qu’il doit établir, suivant la prépondérance des probabilités, </w:t>
      </w:r>
      <w:r w:rsidR="00684C92" w:rsidRPr="00C84904">
        <w:rPr>
          <w:szCs w:val="24"/>
        </w:rPr>
        <w:t>(1) </w:t>
      </w:r>
      <w:r w:rsidR="002E4B42" w:rsidRPr="00C84904">
        <w:rPr>
          <w:szCs w:val="24"/>
        </w:rPr>
        <w:t xml:space="preserve">que S avait eu une possibilité de mitiger la perte </w:t>
      </w:r>
      <w:r w:rsidR="00684C92" w:rsidRPr="00C84904">
        <w:rPr>
          <w:szCs w:val="24"/>
        </w:rPr>
        <w:t>et (2) </w:t>
      </w:r>
      <w:r w:rsidR="002E4B42" w:rsidRPr="00C84904">
        <w:rPr>
          <w:szCs w:val="24"/>
        </w:rPr>
        <w:t>que le défaut de S de se</w:t>
      </w:r>
      <w:r w:rsidR="0049639A">
        <w:rPr>
          <w:szCs w:val="24"/>
        </w:rPr>
        <w:t xml:space="preserve"> prévaloir de cette possibilité</w:t>
      </w:r>
      <w:r w:rsidR="002E4B42" w:rsidRPr="00C84904">
        <w:rPr>
          <w:szCs w:val="24"/>
        </w:rPr>
        <w:t xml:space="preserve"> n’était pas justifié.</w:t>
      </w:r>
      <w:r w:rsidR="00BC7D29" w:rsidRPr="00C84904">
        <w:rPr>
          <w:szCs w:val="24"/>
        </w:rPr>
        <w:t xml:space="preserve">  La conclusion du juge de première instance selon laquelle le conseil scolaire n’a pas établi que S avait eu </w:t>
      </w:r>
      <w:r w:rsidRPr="00C84904">
        <w:rPr>
          <w:szCs w:val="24"/>
        </w:rPr>
        <w:t>une</w:t>
      </w:r>
      <w:r w:rsidR="00BC7D29" w:rsidRPr="00C84904">
        <w:rPr>
          <w:szCs w:val="24"/>
        </w:rPr>
        <w:t xml:space="preserve"> possibilité de mitiger sa perte suffit pour disposer du pourvoi.  La preuve appuyait cette conclusion qui n’était entachée d’aucune une erreur manifeste et dominante.  Le conseil scolaire n’a pas prouvé qu’il se </w:t>
      </w:r>
      <w:proofErr w:type="gramStart"/>
      <w:r w:rsidR="00BC7D29" w:rsidRPr="00C84904">
        <w:rPr>
          <w:szCs w:val="24"/>
        </w:rPr>
        <w:t>trouvait</w:t>
      </w:r>
      <w:proofErr w:type="gramEnd"/>
      <w:r w:rsidR="00BC7D29" w:rsidRPr="00C84904">
        <w:rPr>
          <w:szCs w:val="24"/>
        </w:rPr>
        <w:t xml:space="preserve"> sur le marché une propriété comparable à celle que S avait tenté d’acquérir.  </w:t>
      </w:r>
      <w:r w:rsidRPr="00C84904">
        <w:rPr>
          <w:szCs w:val="24"/>
        </w:rPr>
        <w:t>Ni le témoignage de l’e</w:t>
      </w:r>
      <w:r w:rsidR="001B0890" w:rsidRPr="00C84904">
        <w:rPr>
          <w:szCs w:val="24"/>
        </w:rPr>
        <w:t>x</w:t>
      </w:r>
      <w:r w:rsidRPr="00C84904">
        <w:rPr>
          <w:szCs w:val="24"/>
        </w:rPr>
        <w:t xml:space="preserve">pert cité par l’intimé ni la preuve des acquisitions faites par d’autres filiales de la société mère de S n’ont établi que S pouvait </w:t>
      </w:r>
      <w:r w:rsidR="001B0890" w:rsidRPr="00C84904">
        <w:rPr>
          <w:szCs w:val="24"/>
        </w:rPr>
        <w:t>trouver</w:t>
      </w:r>
      <w:r w:rsidRPr="00C84904">
        <w:rPr>
          <w:szCs w:val="24"/>
        </w:rPr>
        <w:t xml:space="preserve"> une propriété comparable.</w:t>
      </w:r>
    </w:p>
    <w:p w:rsidR="00C90EB2" w:rsidRPr="00C84904" w:rsidRDefault="001B0890" w:rsidP="002C51DA">
      <w:pPr>
        <w:pStyle w:val="SCCNormalDoubleSpacing"/>
        <w:spacing w:after="480"/>
        <w:rPr>
          <w:szCs w:val="24"/>
        </w:rPr>
      </w:pPr>
      <w:r w:rsidRPr="00C84904">
        <w:rPr>
          <w:szCs w:val="24"/>
        </w:rPr>
        <w:lastRenderedPageBreak/>
        <w:tab/>
      </w:r>
      <w:r w:rsidR="00C90EB2" w:rsidRPr="00C84904">
        <w:rPr>
          <w:szCs w:val="24"/>
        </w:rPr>
        <w:t xml:space="preserve">De plus, S ne pouvait agir de façon injustifiée en faisant défaut de mitiger sa perte </w:t>
      </w:r>
      <w:r w:rsidR="001B55C2" w:rsidRPr="00C84904">
        <w:rPr>
          <w:szCs w:val="24"/>
        </w:rPr>
        <w:t>parce qu’</w:t>
      </w:r>
      <w:r w:rsidRPr="00C84904">
        <w:rPr>
          <w:szCs w:val="24"/>
        </w:rPr>
        <w:t>elle</w:t>
      </w:r>
      <w:r w:rsidR="001B55C2" w:rsidRPr="00C84904">
        <w:rPr>
          <w:szCs w:val="24"/>
        </w:rPr>
        <w:t xml:space="preserve"> était justifié</w:t>
      </w:r>
      <w:r w:rsidRPr="00C84904">
        <w:rPr>
          <w:szCs w:val="24"/>
        </w:rPr>
        <w:t>e</w:t>
      </w:r>
      <w:r w:rsidR="001B55C2" w:rsidRPr="00C84904">
        <w:rPr>
          <w:szCs w:val="24"/>
        </w:rPr>
        <w:t xml:space="preserve"> de maintenir son action en exécution intégrale.  Le dépôt d’une demande d’exécution intégrale n’est pas compatible avec l’acquisition d’un bien de substitution.  Le demandeur qui agit raisonnablement ne peut réclamer l’exécution intégrale du contrat et en même temps mitiger </w:t>
      </w:r>
      <w:r w:rsidRPr="00C84904">
        <w:rPr>
          <w:szCs w:val="24"/>
        </w:rPr>
        <w:t>sa perte éventuelle</w:t>
      </w:r>
      <w:r w:rsidR="001B55C2" w:rsidRPr="00C84904">
        <w:rPr>
          <w:szCs w:val="24"/>
        </w:rPr>
        <w:t xml:space="preserve">.  Rien ne permet de conclure que S n’était pas justifiée de maintenir sa demande en justice pour exécution intégrale au lieu de mitiger sa perte.  S avait des « motifs équitables, réels et importants » de réclamer l’exécution intégrale du contrat.  </w:t>
      </w:r>
      <w:r w:rsidR="00E15043" w:rsidRPr="00C84904">
        <w:rPr>
          <w:szCs w:val="24"/>
        </w:rPr>
        <w:t>La propriété se prêtait particulièrement bien aux besoins de S pour la construction d’un complexe résidentiel unifamilial dans la ville de Toronto.  La preuve appuyait la prétention selon laquelle aucun terrain de substitution comparable n’était disponible.</w:t>
      </w:r>
    </w:p>
    <w:p w:rsidR="00E15043" w:rsidRPr="00C84904" w:rsidRDefault="001B0890" w:rsidP="002C51DA">
      <w:pPr>
        <w:pStyle w:val="SCCNormalDoubleSpacing"/>
        <w:spacing w:after="480"/>
        <w:rPr>
          <w:szCs w:val="24"/>
        </w:rPr>
      </w:pPr>
      <w:r w:rsidRPr="00C84904">
        <w:rPr>
          <w:szCs w:val="24"/>
        </w:rPr>
        <w:tab/>
      </w:r>
      <w:r w:rsidR="00E15043" w:rsidRPr="00C84904">
        <w:rPr>
          <w:szCs w:val="24"/>
        </w:rPr>
        <w:t xml:space="preserve">En outre, </w:t>
      </w:r>
      <w:r w:rsidR="001A2089" w:rsidRPr="00C84904">
        <w:rPr>
          <w:szCs w:val="24"/>
        </w:rPr>
        <w:t xml:space="preserve">il est difficile de conclure que </w:t>
      </w:r>
      <w:r w:rsidRPr="00C84904">
        <w:rPr>
          <w:szCs w:val="24"/>
        </w:rPr>
        <w:t xml:space="preserve">le défaut de </w:t>
      </w:r>
      <w:r w:rsidR="001A2089" w:rsidRPr="00C84904">
        <w:rPr>
          <w:szCs w:val="24"/>
        </w:rPr>
        <w:t xml:space="preserve">S </w:t>
      </w:r>
      <w:r w:rsidRPr="00C84904">
        <w:rPr>
          <w:szCs w:val="24"/>
        </w:rPr>
        <w:t xml:space="preserve">de mitiger sa perte était </w:t>
      </w:r>
      <w:r w:rsidR="001A2089" w:rsidRPr="00C84904">
        <w:rPr>
          <w:szCs w:val="24"/>
        </w:rPr>
        <w:t>injustifié étant donné qu’elle n’avait pas la capacité financière d’acheter sur le marché un terrain de substitution.</w:t>
      </w:r>
    </w:p>
    <w:p w:rsidR="007E1C47" w:rsidRPr="00C84904" w:rsidRDefault="0043088E" w:rsidP="002C51DA">
      <w:pPr>
        <w:pStyle w:val="SCCNormalDoubleSpacing"/>
        <w:keepNext/>
        <w:spacing w:after="720" w:line="240" w:lineRule="auto"/>
        <w:rPr>
          <w:b/>
          <w:szCs w:val="24"/>
        </w:rPr>
      </w:pPr>
      <w:r w:rsidRPr="00C84904">
        <w:rPr>
          <w:b/>
          <w:szCs w:val="24"/>
        </w:rPr>
        <w:t>Jurisprudence</w:t>
      </w:r>
    </w:p>
    <w:p w:rsidR="00757930" w:rsidRPr="00C84904" w:rsidRDefault="00757930" w:rsidP="002C51DA">
      <w:pPr>
        <w:pStyle w:val="SCCNormalDoubleSpacing"/>
        <w:widowControl w:val="0"/>
        <w:spacing w:after="720" w:line="240" w:lineRule="auto"/>
        <w:rPr>
          <w:szCs w:val="24"/>
        </w:rPr>
      </w:pPr>
      <w:r w:rsidRPr="00C84904">
        <w:rPr>
          <w:szCs w:val="24"/>
        </w:rPr>
        <w:t xml:space="preserve">Citée par la juge </w:t>
      </w:r>
      <w:proofErr w:type="spellStart"/>
      <w:r w:rsidRPr="00C84904">
        <w:rPr>
          <w:szCs w:val="24"/>
        </w:rPr>
        <w:t>Karakatsanis</w:t>
      </w:r>
      <w:proofErr w:type="spellEnd"/>
    </w:p>
    <w:p w:rsidR="00903396" w:rsidRPr="00C84904" w:rsidRDefault="002E6705" w:rsidP="002C51DA">
      <w:pPr>
        <w:pStyle w:val="SCCNormalDoubleSpacing"/>
        <w:widowControl w:val="0"/>
        <w:spacing w:after="480"/>
        <w:rPr>
          <w:szCs w:val="24"/>
          <w:lang w:val="en-US"/>
        </w:rPr>
      </w:pPr>
      <w:r w:rsidRPr="00C84904">
        <w:rPr>
          <w:szCs w:val="24"/>
        </w:rPr>
        <w:tab/>
      </w:r>
      <w:proofErr w:type="spellStart"/>
      <w:r w:rsidR="0043088E" w:rsidRPr="00C84904">
        <w:rPr>
          <w:b/>
          <w:szCs w:val="24"/>
          <w:lang w:val="en-US"/>
        </w:rPr>
        <w:t>Arrêts</w:t>
      </w:r>
      <w:proofErr w:type="spellEnd"/>
      <w:r w:rsidR="0043088E" w:rsidRPr="00C84904">
        <w:rPr>
          <w:b/>
          <w:szCs w:val="24"/>
          <w:lang w:val="en-US"/>
        </w:rPr>
        <w:t xml:space="preserve"> </w:t>
      </w:r>
      <w:proofErr w:type="spellStart"/>
      <w:r w:rsidR="0043088E" w:rsidRPr="00C84904">
        <w:rPr>
          <w:b/>
          <w:szCs w:val="24"/>
          <w:lang w:val="en-US"/>
        </w:rPr>
        <w:t>mentionnés</w:t>
      </w:r>
      <w:proofErr w:type="spellEnd"/>
      <w:r w:rsidR="002C51DA" w:rsidRPr="00C84904">
        <w:rPr>
          <w:b/>
          <w:szCs w:val="24"/>
          <w:lang w:val="en-US"/>
        </w:rPr>
        <w:t> :</w:t>
      </w:r>
      <w:r w:rsidR="00172A04" w:rsidRPr="00C84904">
        <w:rPr>
          <w:szCs w:val="24"/>
          <w:lang w:val="en-US"/>
        </w:rPr>
        <w:t xml:space="preserve"> </w:t>
      </w:r>
      <w:proofErr w:type="spellStart"/>
      <w:r w:rsidR="00903396" w:rsidRPr="00C84904">
        <w:rPr>
          <w:i/>
          <w:szCs w:val="24"/>
          <w:lang w:val="en-US"/>
        </w:rPr>
        <w:t>Asamera</w:t>
      </w:r>
      <w:proofErr w:type="spellEnd"/>
      <w:r w:rsidR="00903396" w:rsidRPr="00C84904">
        <w:rPr>
          <w:i/>
          <w:szCs w:val="24"/>
          <w:lang w:val="en-US"/>
        </w:rPr>
        <w:t xml:space="preserve"> Oil Cor</w:t>
      </w:r>
      <w:r w:rsidR="002C51DA" w:rsidRPr="00C84904">
        <w:rPr>
          <w:i/>
          <w:szCs w:val="24"/>
          <w:lang w:val="en-US"/>
        </w:rPr>
        <w:t>p. </w:t>
      </w:r>
      <w:r w:rsidR="00903396" w:rsidRPr="00C84904">
        <w:rPr>
          <w:i/>
          <w:szCs w:val="24"/>
          <w:lang w:val="en-US"/>
        </w:rPr>
        <w:t>c. Seal Oil &amp; General Corp.</w:t>
      </w:r>
      <w:r w:rsidR="00903396" w:rsidRPr="00C84904">
        <w:rPr>
          <w:szCs w:val="24"/>
          <w:lang w:val="en-US"/>
        </w:rPr>
        <w:t>,</w:t>
      </w:r>
      <w:r w:rsidR="00903396" w:rsidRPr="00C84904">
        <w:rPr>
          <w:i/>
          <w:szCs w:val="24"/>
          <w:lang w:val="en-US"/>
        </w:rPr>
        <w:t xml:space="preserve"> </w:t>
      </w:r>
      <w:r w:rsidR="00903396" w:rsidRPr="00C84904">
        <w:rPr>
          <w:szCs w:val="24"/>
          <w:lang w:val="en-US"/>
        </w:rPr>
        <w:t xml:space="preserve">[1979] 1 R.C.S. 633; </w:t>
      </w:r>
      <w:r w:rsidR="00903396" w:rsidRPr="00C84904">
        <w:rPr>
          <w:i/>
          <w:szCs w:val="24"/>
          <w:lang w:val="en-US"/>
        </w:rPr>
        <w:t>British Westinghouse Electric and Manufacturing Co. c. Underground Electric Railways Company of London, Ltd.</w:t>
      </w:r>
      <w:r w:rsidR="00903396" w:rsidRPr="00C84904">
        <w:rPr>
          <w:szCs w:val="24"/>
          <w:lang w:val="en-US"/>
        </w:rPr>
        <w:t>, [1912] A.C. 673</w:t>
      </w:r>
      <w:r w:rsidR="00530B63" w:rsidRPr="00C84904">
        <w:rPr>
          <w:szCs w:val="24"/>
          <w:lang w:val="en-US"/>
        </w:rPr>
        <w:t xml:space="preserve">; </w:t>
      </w:r>
      <w:proofErr w:type="spellStart"/>
      <w:r w:rsidR="00530B63" w:rsidRPr="00C84904">
        <w:rPr>
          <w:i/>
          <w:szCs w:val="24"/>
          <w:lang w:val="en-US"/>
        </w:rPr>
        <w:lastRenderedPageBreak/>
        <w:t>Colombie</w:t>
      </w:r>
      <w:r w:rsidR="0049639A">
        <w:rPr>
          <w:i/>
          <w:szCs w:val="24"/>
          <w:lang w:val="en-US"/>
        </w:rPr>
        <w:t>-</w:t>
      </w:r>
      <w:r w:rsidR="00530B63" w:rsidRPr="00C84904">
        <w:rPr>
          <w:i/>
          <w:szCs w:val="24"/>
          <w:lang w:val="en-US"/>
        </w:rPr>
        <w:t>Britannique</w:t>
      </w:r>
      <w:proofErr w:type="spellEnd"/>
      <w:r w:rsidR="00530B63" w:rsidRPr="00C84904">
        <w:rPr>
          <w:i/>
          <w:szCs w:val="24"/>
          <w:lang w:val="en-US"/>
        </w:rPr>
        <w:t xml:space="preserve"> c. Canadian Forest Products Ltd</w:t>
      </w:r>
      <w:r w:rsidR="00530B63" w:rsidRPr="00C84904">
        <w:rPr>
          <w:szCs w:val="24"/>
          <w:lang w:val="en-US"/>
        </w:rPr>
        <w:t xml:space="preserve">., 2004 CSC 38, [2004] 2 R.C.S. 74; </w:t>
      </w:r>
      <w:r w:rsidR="00530B63" w:rsidRPr="00C84904">
        <w:rPr>
          <w:i/>
          <w:szCs w:val="24"/>
          <w:lang w:val="en-US"/>
        </w:rPr>
        <w:t>Red Deer College c. Michaels</w:t>
      </w:r>
      <w:r w:rsidR="00530B63" w:rsidRPr="00C84904">
        <w:rPr>
          <w:szCs w:val="24"/>
          <w:lang w:val="en-US"/>
        </w:rPr>
        <w:t xml:space="preserve">, [1976] 2 R.C.S. 324; </w:t>
      </w:r>
      <w:r w:rsidR="00530B63" w:rsidRPr="00C84904">
        <w:rPr>
          <w:i/>
          <w:szCs w:val="24"/>
          <w:lang w:val="en-US"/>
        </w:rPr>
        <w:t xml:space="preserve">Evans c. Teamsters Local Union </w:t>
      </w:r>
      <w:r w:rsidR="002C51DA" w:rsidRPr="00C84904">
        <w:rPr>
          <w:i/>
          <w:szCs w:val="24"/>
          <w:lang w:val="en-US"/>
        </w:rPr>
        <w:t>No. </w:t>
      </w:r>
      <w:r w:rsidR="00530B63" w:rsidRPr="00C84904">
        <w:rPr>
          <w:i/>
          <w:szCs w:val="24"/>
          <w:lang w:val="en-US"/>
        </w:rPr>
        <w:t>31</w:t>
      </w:r>
      <w:r w:rsidR="00530B63" w:rsidRPr="00C84904">
        <w:rPr>
          <w:szCs w:val="24"/>
          <w:lang w:val="en-US"/>
        </w:rPr>
        <w:t>, 2008 CSC 20, [2008] 1 R.C.S. 661</w:t>
      </w:r>
      <w:r w:rsidR="00844765" w:rsidRPr="00C84904">
        <w:rPr>
          <w:szCs w:val="24"/>
          <w:lang w:val="en-US"/>
        </w:rPr>
        <w:t xml:space="preserve">; </w:t>
      </w:r>
      <w:proofErr w:type="spellStart"/>
      <w:r w:rsidR="00844765" w:rsidRPr="00C84904">
        <w:rPr>
          <w:i/>
          <w:iCs/>
          <w:szCs w:val="24"/>
          <w:lang w:val="en-US"/>
        </w:rPr>
        <w:t>Redpath</w:t>
      </w:r>
      <w:proofErr w:type="spellEnd"/>
      <w:r w:rsidR="00844765" w:rsidRPr="00C84904">
        <w:rPr>
          <w:i/>
          <w:iCs/>
          <w:szCs w:val="24"/>
          <w:lang w:val="en-US"/>
        </w:rPr>
        <w:t xml:space="preserve"> Industries Ltd. c. Cisco (Le)</w:t>
      </w:r>
      <w:r w:rsidR="00844765" w:rsidRPr="00C84904">
        <w:rPr>
          <w:szCs w:val="24"/>
          <w:lang w:val="en-US"/>
        </w:rPr>
        <w:t>, [1994] 2 C.F. 279</w:t>
      </w:r>
      <w:r w:rsidR="000323F7" w:rsidRPr="00C84904">
        <w:rPr>
          <w:szCs w:val="24"/>
          <w:lang w:val="en-US"/>
        </w:rPr>
        <w:t xml:space="preserve">; </w:t>
      </w:r>
      <w:proofErr w:type="spellStart"/>
      <w:r w:rsidR="000323F7" w:rsidRPr="00C84904">
        <w:rPr>
          <w:i/>
          <w:szCs w:val="24"/>
          <w:lang w:val="en-US"/>
        </w:rPr>
        <w:t>Kosmopoulos</w:t>
      </w:r>
      <w:proofErr w:type="spellEnd"/>
      <w:r w:rsidR="000323F7" w:rsidRPr="00C84904">
        <w:rPr>
          <w:i/>
          <w:szCs w:val="24"/>
          <w:lang w:val="en-US"/>
        </w:rPr>
        <w:t xml:space="preserve"> c. Constitution Insurance Co.</w:t>
      </w:r>
      <w:r w:rsidR="000323F7" w:rsidRPr="00C84904">
        <w:rPr>
          <w:szCs w:val="24"/>
          <w:lang w:val="en-US"/>
        </w:rPr>
        <w:t>, [1987] 1 R.C.S. 2</w:t>
      </w:r>
      <w:r w:rsidR="00237869" w:rsidRPr="00C84904">
        <w:rPr>
          <w:szCs w:val="24"/>
          <w:lang w:val="en-US"/>
        </w:rPr>
        <w:t xml:space="preserve">; </w:t>
      </w:r>
      <w:proofErr w:type="spellStart"/>
      <w:r w:rsidR="00237869" w:rsidRPr="00C84904">
        <w:rPr>
          <w:i/>
          <w:szCs w:val="24"/>
          <w:lang w:val="en-US"/>
        </w:rPr>
        <w:t>Semelhago</w:t>
      </w:r>
      <w:proofErr w:type="spellEnd"/>
      <w:r w:rsidR="00237869" w:rsidRPr="00C84904">
        <w:rPr>
          <w:i/>
          <w:szCs w:val="24"/>
          <w:lang w:val="en-US"/>
        </w:rPr>
        <w:t xml:space="preserve"> c. </w:t>
      </w:r>
      <w:proofErr w:type="spellStart"/>
      <w:r w:rsidR="00237869" w:rsidRPr="00C84904">
        <w:rPr>
          <w:i/>
          <w:szCs w:val="24"/>
          <w:lang w:val="en-US"/>
        </w:rPr>
        <w:t>Paramadevan</w:t>
      </w:r>
      <w:proofErr w:type="spellEnd"/>
      <w:r w:rsidR="00237869" w:rsidRPr="00C84904">
        <w:rPr>
          <w:szCs w:val="24"/>
          <w:lang w:val="en-US"/>
        </w:rPr>
        <w:t>, [1996] 2 R.C.S. 415</w:t>
      </w:r>
      <w:r w:rsidR="007A12FB" w:rsidRPr="00C84904">
        <w:rPr>
          <w:szCs w:val="24"/>
          <w:lang w:val="en-US"/>
        </w:rPr>
        <w:t xml:space="preserve">; </w:t>
      </w:r>
      <w:proofErr w:type="spellStart"/>
      <w:r w:rsidR="007A12FB" w:rsidRPr="00C84904">
        <w:rPr>
          <w:i/>
          <w:szCs w:val="24"/>
          <w:lang w:val="en-US"/>
        </w:rPr>
        <w:t>Adderley</w:t>
      </w:r>
      <w:proofErr w:type="spellEnd"/>
      <w:r w:rsidR="007A12FB" w:rsidRPr="00C84904">
        <w:rPr>
          <w:i/>
          <w:szCs w:val="24"/>
          <w:lang w:val="en-US"/>
        </w:rPr>
        <w:t xml:space="preserve"> c. Dixon </w:t>
      </w:r>
      <w:r w:rsidR="007A12FB" w:rsidRPr="00C84904">
        <w:rPr>
          <w:szCs w:val="24"/>
          <w:lang w:val="en-US"/>
        </w:rPr>
        <w:t xml:space="preserve">(1824), 1 </w:t>
      </w:r>
      <w:proofErr w:type="spellStart"/>
      <w:r w:rsidR="007A12FB" w:rsidRPr="00C84904">
        <w:rPr>
          <w:szCs w:val="24"/>
          <w:lang w:val="en-US"/>
        </w:rPr>
        <w:t>Sim</w:t>
      </w:r>
      <w:proofErr w:type="spellEnd"/>
      <w:r w:rsidR="007A12FB" w:rsidRPr="00C84904">
        <w:rPr>
          <w:szCs w:val="24"/>
          <w:lang w:val="en-US"/>
        </w:rPr>
        <w:t xml:space="preserve">. </w:t>
      </w:r>
      <w:proofErr w:type="gramStart"/>
      <w:r w:rsidR="007A12FB" w:rsidRPr="00C84904">
        <w:rPr>
          <w:szCs w:val="24"/>
          <w:lang w:val="en-US"/>
        </w:rPr>
        <w:t>&amp; St. 607, 57 E.R. 239</w:t>
      </w:r>
      <w:r w:rsidR="001B21F6" w:rsidRPr="00C84904">
        <w:rPr>
          <w:szCs w:val="24"/>
          <w:lang w:val="en-US"/>
        </w:rPr>
        <w:t xml:space="preserve">; </w:t>
      </w:r>
      <w:r w:rsidR="001B21F6" w:rsidRPr="00C84904">
        <w:rPr>
          <w:i/>
          <w:szCs w:val="24"/>
          <w:lang w:val="en-US"/>
        </w:rPr>
        <w:t>Housen c. Nikolaisen</w:t>
      </w:r>
      <w:r w:rsidR="001B21F6" w:rsidRPr="00C84904">
        <w:rPr>
          <w:szCs w:val="24"/>
          <w:lang w:val="en-US"/>
        </w:rPr>
        <w:t>, 2002 CSC 33, [2002] 2 R.C.S. 235</w:t>
      </w:r>
      <w:r w:rsidR="00903396" w:rsidRPr="00C84904">
        <w:rPr>
          <w:szCs w:val="24"/>
          <w:lang w:val="en-US"/>
        </w:rPr>
        <w:t>.</w:t>
      </w:r>
      <w:proofErr w:type="gramEnd"/>
    </w:p>
    <w:p w:rsidR="00757930" w:rsidRPr="00C84904" w:rsidRDefault="00757930" w:rsidP="007A3C7F">
      <w:pPr>
        <w:pStyle w:val="SCCNormalDoubleSpacing"/>
        <w:keepNext/>
        <w:spacing w:after="720" w:line="240" w:lineRule="auto"/>
        <w:rPr>
          <w:szCs w:val="24"/>
        </w:rPr>
      </w:pPr>
      <w:r w:rsidRPr="00C84904">
        <w:rPr>
          <w:szCs w:val="24"/>
        </w:rPr>
        <w:t xml:space="preserve">Citée par la juge en chef </w:t>
      </w:r>
      <w:proofErr w:type="spellStart"/>
      <w:r w:rsidRPr="00C84904">
        <w:rPr>
          <w:szCs w:val="24"/>
        </w:rPr>
        <w:t>McLachlin</w:t>
      </w:r>
      <w:proofErr w:type="spellEnd"/>
      <w:r w:rsidRPr="00C84904">
        <w:rPr>
          <w:szCs w:val="24"/>
        </w:rPr>
        <w:t xml:space="preserve"> (dissidente)</w:t>
      </w:r>
    </w:p>
    <w:p w:rsidR="007834A8" w:rsidRPr="00C84904" w:rsidRDefault="00757930" w:rsidP="002C51DA">
      <w:pPr>
        <w:pStyle w:val="SCCNormalDoubleSpacing"/>
        <w:spacing w:after="480"/>
        <w:rPr>
          <w:szCs w:val="24"/>
          <w:lang w:val="en-US"/>
        </w:rPr>
      </w:pPr>
      <w:r w:rsidRPr="00C84904">
        <w:rPr>
          <w:szCs w:val="24"/>
        </w:rPr>
        <w:tab/>
      </w:r>
      <w:proofErr w:type="spellStart"/>
      <w:r w:rsidRPr="00C84904">
        <w:rPr>
          <w:i/>
          <w:szCs w:val="24"/>
          <w:lang w:val="en-US"/>
        </w:rPr>
        <w:t>Asamera</w:t>
      </w:r>
      <w:proofErr w:type="spellEnd"/>
      <w:r w:rsidRPr="00C84904">
        <w:rPr>
          <w:i/>
          <w:szCs w:val="24"/>
          <w:lang w:val="en-US"/>
        </w:rPr>
        <w:t xml:space="preserve"> Oil Cor</w:t>
      </w:r>
      <w:r w:rsidR="007A3C7F" w:rsidRPr="00C84904">
        <w:rPr>
          <w:i/>
          <w:szCs w:val="24"/>
          <w:lang w:val="en-US"/>
        </w:rPr>
        <w:t xml:space="preserve">p. </w:t>
      </w:r>
      <w:r w:rsidRPr="00C84904">
        <w:rPr>
          <w:i/>
          <w:szCs w:val="24"/>
          <w:lang w:val="en-US"/>
        </w:rPr>
        <w:t>c. Seal Oil &amp; General Corp.</w:t>
      </w:r>
      <w:r w:rsidRPr="00C84904">
        <w:rPr>
          <w:szCs w:val="24"/>
          <w:lang w:val="en-US"/>
        </w:rPr>
        <w:t>,</w:t>
      </w:r>
      <w:r w:rsidRPr="00C84904">
        <w:rPr>
          <w:i/>
          <w:szCs w:val="24"/>
          <w:lang w:val="en-US"/>
        </w:rPr>
        <w:t xml:space="preserve"> </w:t>
      </w:r>
      <w:r w:rsidRPr="00C84904">
        <w:rPr>
          <w:szCs w:val="24"/>
          <w:lang w:val="en-US"/>
        </w:rPr>
        <w:t>[1979] 1 R.C.S. 633</w:t>
      </w:r>
      <w:r w:rsidR="00034C1A" w:rsidRPr="00C84904">
        <w:rPr>
          <w:szCs w:val="24"/>
          <w:lang w:val="en-US"/>
        </w:rPr>
        <w:t xml:space="preserve">; </w:t>
      </w:r>
      <w:r w:rsidR="00034C1A" w:rsidRPr="00C84904">
        <w:rPr>
          <w:i/>
          <w:szCs w:val="24"/>
          <w:lang w:val="en-US"/>
        </w:rPr>
        <w:t>British Westinghouse Electric and Manufacturing Co. c. Underground Electric Railways Company of London, Ltd.</w:t>
      </w:r>
      <w:r w:rsidR="00034C1A" w:rsidRPr="00C84904">
        <w:rPr>
          <w:szCs w:val="24"/>
          <w:lang w:val="en-US"/>
        </w:rPr>
        <w:t>, [1912] A.C. 673</w:t>
      </w:r>
      <w:r w:rsidR="0041128E" w:rsidRPr="00C84904">
        <w:rPr>
          <w:szCs w:val="24"/>
          <w:lang w:val="en-US"/>
        </w:rPr>
        <w:t xml:space="preserve">; </w:t>
      </w:r>
      <w:r w:rsidR="0041128E" w:rsidRPr="00C84904">
        <w:rPr>
          <w:i/>
          <w:szCs w:val="24"/>
          <w:lang w:val="en-US"/>
        </w:rPr>
        <w:t xml:space="preserve">Dunkirk Colliery Co. c. Lever </w:t>
      </w:r>
      <w:r w:rsidR="0041128E" w:rsidRPr="00C84904">
        <w:rPr>
          <w:szCs w:val="24"/>
          <w:lang w:val="en-US"/>
        </w:rPr>
        <w:t xml:space="preserve">(1878), 9 </w:t>
      </w:r>
      <w:r w:rsidR="002C51DA" w:rsidRPr="00C84904">
        <w:rPr>
          <w:szCs w:val="24"/>
          <w:lang w:val="en-US"/>
        </w:rPr>
        <w:t>Ch. </w:t>
      </w:r>
      <w:r w:rsidR="0041128E" w:rsidRPr="00C84904">
        <w:rPr>
          <w:szCs w:val="24"/>
          <w:lang w:val="en-US"/>
        </w:rPr>
        <w:t>D. 20</w:t>
      </w:r>
      <w:r w:rsidR="00C40DA9" w:rsidRPr="00C84904">
        <w:rPr>
          <w:szCs w:val="24"/>
          <w:lang w:val="en-US"/>
        </w:rPr>
        <w:t xml:space="preserve">; </w:t>
      </w:r>
      <w:proofErr w:type="spellStart"/>
      <w:r w:rsidR="00C40DA9" w:rsidRPr="00C84904">
        <w:rPr>
          <w:i/>
          <w:szCs w:val="24"/>
          <w:lang w:val="en-US"/>
        </w:rPr>
        <w:t>Janiak</w:t>
      </w:r>
      <w:proofErr w:type="spellEnd"/>
      <w:r w:rsidR="00C40DA9" w:rsidRPr="00C84904">
        <w:rPr>
          <w:i/>
          <w:szCs w:val="24"/>
          <w:lang w:val="en-US"/>
        </w:rPr>
        <w:t xml:space="preserve"> c. </w:t>
      </w:r>
      <w:proofErr w:type="spellStart"/>
      <w:r w:rsidR="00C40DA9" w:rsidRPr="00C84904">
        <w:rPr>
          <w:i/>
          <w:szCs w:val="24"/>
          <w:lang w:val="en-US"/>
        </w:rPr>
        <w:t>Ippolito</w:t>
      </w:r>
      <w:proofErr w:type="spellEnd"/>
      <w:r w:rsidR="00C40DA9" w:rsidRPr="00C84904">
        <w:rPr>
          <w:szCs w:val="24"/>
          <w:lang w:val="en-US"/>
        </w:rPr>
        <w:t xml:space="preserve">, [1985] 1 R.C.S. 146; </w:t>
      </w:r>
      <w:r w:rsidR="00C40DA9" w:rsidRPr="00C84904">
        <w:rPr>
          <w:i/>
          <w:szCs w:val="24"/>
          <w:lang w:val="en-US"/>
        </w:rPr>
        <w:t>Darbishire c. Warran</w:t>
      </w:r>
      <w:r w:rsidR="00C40DA9" w:rsidRPr="00C84904">
        <w:rPr>
          <w:szCs w:val="24"/>
          <w:lang w:val="en-US"/>
        </w:rPr>
        <w:t>, [1963] 1 W.L.R. 1067;</w:t>
      </w:r>
      <w:r w:rsidR="00B96538" w:rsidRPr="00C84904">
        <w:rPr>
          <w:szCs w:val="24"/>
          <w:lang w:val="en-US"/>
        </w:rPr>
        <w:t xml:space="preserve"> </w:t>
      </w:r>
      <w:r w:rsidR="00B96538" w:rsidRPr="00C84904">
        <w:rPr>
          <w:i/>
          <w:szCs w:val="24"/>
          <w:lang w:val="en-US"/>
        </w:rPr>
        <w:t>Red Deer College c. Michaels</w:t>
      </w:r>
      <w:r w:rsidR="00B96538" w:rsidRPr="00C84904">
        <w:rPr>
          <w:szCs w:val="24"/>
          <w:lang w:val="en-US"/>
        </w:rPr>
        <w:t>, [1976] 2 R.C.S. 324</w:t>
      </w:r>
      <w:r w:rsidR="006328E4" w:rsidRPr="00C84904">
        <w:rPr>
          <w:szCs w:val="24"/>
          <w:lang w:val="en-US"/>
        </w:rPr>
        <w:t>;</w:t>
      </w:r>
      <w:r w:rsidR="006328E4" w:rsidRPr="00C84904">
        <w:rPr>
          <w:i/>
          <w:szCs w:val="24"/>
          <w:lang w:val="en-US"/>
        </w:rPr>
        <w:t xml:space="preserve"> Roper c. Johnson</w:t>
      </w:r>
      <w:r w:rsidR="006328E4" w:rsidRPr="00C84904">
        <w:rPr>
          <w:szCs w:val="24"/>
          <w:lang w:val="en-US"/>
        </w:rPr>
        <w:t xml:space="preserve"> (1873), L.R. 8 C.</w:t>
      </w:r>
      <w:r w:rsidR="007A3C7F" w:rsidRPr="00C84904">
        <w:rPr>
          <w:szCs w:val="24"/>
          <w:lang w:val="en-US"/>
        </w:rPr>
        <w:t xml:space="preserve">P. </w:t>
      </w:r>
      <w:r w:rsidR="006328E4" w:rsidRPr="00C84904">
        <w:rPr>
          <w:szCs w:val="24"/>
          <w:lang w:val="en-US"/>
        </w:rPr>
        <w:t>167</w:t>
      </w:r>
      <w:r w:rsidR="006165D3" w:rsidRPr="00C84904">
        <w:rPr>
          <w:szCs w:val="24"/>
          <w:lang w:val="en-US"/>
        </w:rPr>
        <w:t xml:space="preserve">; </w:t>
      </w:r>
      <w:proofErr w:type="spellStart"/>
      <w:r w:rsidR="006165D3" w:rsidRPr="00C84904">
        <w:rPr>
          <w:i/>
          <w:szCs w:val="24"/>
          <w:lang w:val="en-US"/>
        </w:rPr>
        <w:t>Lagden</w:t>
      </w:r>
      <w:proofErr w:type="spellEnd"/>
      <w:r w:rsidR="006165D3" w:rsidRPr="00C84904">
        <w:rPr>
          <w:i/>
          <w:szCs w:val="24"/>
          <w:lang w:val="en-US"/>
        </w:rPr>
        <w:t xml:space="preserve"> c. O’Connor</w:t>
      </w:r>
      <w:r w:rsidR="006165D3" w:rsidRPr="00C84904">
        <w:rPr>
          <w:szCs w:val="24"/>
          <w:lang w:val="en-US"/>
        </w:rPr>
        <w:t>, [200</w:t>
      </w:r>
      <w:r w:rsidR="0049639A">
        <w:rPr>
          <w:szCs w:val="24"/>
          <w:lang w:val="en-US"/>
        </w:rPr>
        <w:t>3</w:t>
      </w:r>
      <w:r w:rsidR="006165D3" w:rsidRPr="00C84904">
        <w:rPr>
          <w:szCs w:val="24"/>
          <w:lang w:val="en-US"/>
        </w:rPr>
        <w:t xml:space="preserve">] UKHL 64, [2004] 1 All E.R. 277; </w:t>
      </w:r>
      <w:r w:rsidR="006165D3" w:rsidRPr="00C84904">
        <w:rPr>
          <w:i/>
          <w:szCs w:val="24"/>
          <w:lang w:val="en-US"/>
        </w:rPr>
        <w:t>General Securities Ltd. c. Don Ingram Ltd.</w:t>
      </w:r>
      <w:r w:rsidR="006165D3" w:rsidRPr="00C84904">
        <w:rPr>
          <w:szCs w:val="24"/>
          <w:lang w:val="en-US"/>
        </w:rPr>
        <w:t>, [1940] R.C.S. 670</w:t>
      </w:r>
      <w:r w:rsidR="008C6FEC" w:rsidRPr="00C84904">
        <w:rPr>
          <w:szCs w:val="24"/>
          <w:lang w:val="en-US"/>
        </w:rPr>
        <w:t xml:space="preserve">; </w:t>
      </w:r>
      <w:r w:rsidR="008C6FEC" w:rsidRPr="00C84904">
        <w:rPr>
          <w:i/>
          <w:szCs w:val="24"/>
          <w:lang w:val="en-US"/>
        </w:rPr>
        <w:t>Andros Springs c. World Beauty</w:t>
      </w:r>
      <w:r w:rsidR="008C6FEC" w:rsidRPr="00C84904">
        <w:rPr>
          <w:szCs w:val="24"/>
          <w:lang w:val="en-US"/>
        </w:rPr>
        <w:t>, [1970] P. 144</w:t>
      </w:r>
      <w:r w:rsidR="004E6445" w:rsidRPr="00C84904">
        <w:rPr>
          <w:szCs w:val="24"/>
          <w:lang w:val="en-US"/>
        </w:rPr>
        <w:t xml:space="preserve">; </w:t>
      </w:r>
      <w:r w:rsidR="004E6445" w:rsidRPr="00C84904">
        <w:rPr>
          <w:i/>
          <w:szCs w:val="24"/>
          <w:lang w:val="en-US"/>
        </w:rPr>
        <w:t>Housen c. Nikolaisen</w:t>
      </w:r>
      <w:r w:rsidR="004E6445" w:rsidRPr="00C84904">
        <w:rPr>
          <w:szCs w:val="24"/>
          <w:lang w:val="en-US"/>
        </w:rPr>
        <w:t>, 2002 CSC 33, [2002] 2 R.C.S. 235</w:t>
      </w:r>
      <w:r w:rsidR="00052886" w:rsidRPr="00C84904">
        <w:rPr>
          <w:szCs w:val="24"/>
          <w:lang w:val="en-US"/>
        </w:rPr>
        <w:t xml:space="preserve">; </w:t>
      </w:r>
      <w:proofErr w:type="spellStart"/>
      <w:r w:rsidR="00052886" w:rsidRPr="00C84904">
        <w:rPr>
          <w:i/>
          <w:szCs w:val="24"/>
          <w:lang w:val="en-US"/>
        </w:rPr>
        <w:t>Apeco</w:t>
      </w:r>
      <w:proofErr w:type="spellEnd"/>
      <w:r w:rsidR="00052886" w:rsidRPr="00C84904">
        <w:rPr>
          <w:i/>
          <w:szCs w:val="24"/>
          <w:lang w:val="en-US"/>
        </w:rPr>
        <w:t xml:space="preserve"> of Canada, Ltd. c. Windmill Place</w:t>
      </w:r>
      <w:r w:rsidR="00052886" w:rsidRPr="00C84904">
        <w:rPr>
          <w:szCs w:val="24"/>
          <w:lang w:val="en-US"/>
        </w:rPr>
        <w:t>, [1978] 2 R.C.S. 385</w:t>
      </w:r>
      <w:r w:rsidR="004B557B" w:rsidRPr="00C84904">
        <w:rPr>
          <w:szCs w:val="24"/>
          <w:lang w:val="en-US"/>
        </w:rPr>
        <w:t xml:space="preserve">; </w:t>
      </w:r>
      <w:proofErr w:type="spellStart"/>
      <w:r w:rsidR="004B557B" w:rsidRPr="00C84904">
        <w:rPr>
          <w:i/>
          <w:szCs w:val="24"/>
          <w:lang w:val="en-US"/>
        </w:rPr>
        <w:t>Semelhago</w:t>
      </w:r>
      <w:proofErr w:type="spellEnd"/>
      <w:r w:rsidR="004B557B" w:rsidRPr="00C84904">
        <w:rPr>
          <w:i/>
          <w:szCs w:val="24"/>
          <w:lang w:val="en-US"/>
        </w:rPr>
        <w:t xml:space="preserve"> c. </w:t>
      </w:r>
      <w:proofErr w:type="spellStart"/>
      <w:r w:rsidR="004B557B" w:rsidRPr="00C84904">
        <w:rPr>
          <w:i/>
          <w:szCs w:val="24"/>
          <w:lang w:val="en-US"/>
        </w:rPr>
        <w:t>Paramadevan</w:t>
      </w:r>
      <w:proofErr w:type="spellEnd"/>
      <w:r w:rsidR="004B557B" w:rsidRPr="00C84904">
        <w:rPr>
          <w:szCs w:val="24"/>
          <w:lang w:val="en-US"/>
        </w:rPr>
        <w:t>, [1996] 2 R.C.S. 415</w:t>
      </w:r>
      <w:r w:rsidRPr="00C84904">
        <w:rPr>
          <w:szCs w:val="24"/>
          <w:lang w:val="en-US"/>
        </w:rPr>
        <w:t>.</w:t>
      </w:r>
    </w:p>
    <w:p w:rsidR="00231F3A" w:rsidRPr="00C84904" w:rsidRDefault="0043088E" w:rsidP="002C51DA">
      <w:pPr>
        <w:pStyle w:val="SCCNormalDoubleSpacing"/>
        <w:keepNext/>
        <w:spacing w:after="720" w:line="240" w:lineRule="auto"/>
        <w:rPr>
          <w:b/>
          <w:szCs w:val="24"/>
        </w:rPr>
      </w:pPr>
      <w:r w:rsidRPr="00C84904">
        <w:rPr>
          <w:b/>
          <w:szCs w:val="24"/>
        </w:rPr>
        <w:lastRenderedPageBreak/>
        <w:t>Lois</w:t>
      </w:r>
      <w:r w:rsidR="002E6705" w:rsidRPr="00C84904">
        <w:rPr>
          <w:b/>
          <w:szCs w:val="24"/>
        </w:rPr>
        <w:t xml:space="preserve"> </w:t>
      </w:r>
      <w:r w:rsidR="008A6558" w:rsidRPr="00C84904">
        <w:rPr>
          <w:b/>
          <w:szCs w:val="24"/>
        </w:rPr>
        <w:t>et</w:t>
      </w:r>
      <w:r w:rsidR="002E6705" w:rsidRPr="00C84904">
        <w:rPr>
          <w:b/>
          <w:szCs w:val="24"/>
        </w:rPr>
        <w:t xml:space="preserve"> </w:t>
      </w:r>
      <w:r w:rsidRPr="00C84904">
        <w:rPr>
          <w:b/>
          <w:szCs w:val="24"/>
        </w:rPr>
        <w:t>rè</w:t>
      </w:r>
      <w:r w:rsidR="002E6705" w:rsidRPr="00C84904">
        <w:rPr>
          <w:b/>
          <w:szCs w:val="24"/>
        </w:rPr>
        <w:t>gl</w:t>
      </w:r>
      <w:r w:rsidRPr="00C84904">
        <w:rPr>
          <w:b/>
          <w:szCs w:val="24"/>
        </w:rPr>
        <w:t>ements</w:t>
      </w:r>
      <w:r w:rsidR="002E6705" w:rsidRPr="00C84904">
        <w:rPr>
          <w:b/>
          <w:szCs w:val="24"/>
        </w:rPr>
        <w:t xml:space="preserve"> </w:t>
      </w:r>
      <w:r w:rsidRPr="00C84904">
        <w:rPr>
          <w:b/>
          <w:szCs w:val="24"/>
        </w:rPr>
        <w:t>c</w:t>
      </w:r>
      <w:r w:rsidR="002E6705" w:rsidRPr="00C84904">
        <w:rPr>
          <w:b/>
          <w:szCs w:val="24"/>
        </w:rPr>
        <w:t>it</w:t>
      </w:r>
      <w:r w:rsidRPr="00C84904">
        <w:rPr>
          <w:b/>
          <w:szCs w:val="24"/>
        </w:rPr>
        <w:t>és</w:t>
      </w:r>
    </w:p>
    <w:p w:rsidR="002663FD" w:rsidRPr="00C84904" w:rsidRDefault="002663FD" w:rsidP="002C51DA">
      <w:pPr>
        <w:pStyle w:val="SCCNormalDoubleSpacing"/>
        <w:spacing w:after="720" w:line="240" w:lineRule="auto"/>
        <w:ind w:left="540" w:hanging="540"/>
        <w:rPr>
          <w:szCs w:val="24"/>
        </w:rPr>
      </w:pPr>
      <w:r w:rsidRPr="00C84904">
        <w:rPr>
          <w:i/>
          <w:szCs w:val="24"/>
        </w:rPr>
        <w:t>Loi sur l’éducation</w:t>
      </w:r>
      <w:r w:rsidRPr="00C84904">
        <w:rPr>
          <w:szCs w:val="24"/>
        </w:rPr>
        <w:t xml:space="preserve">, L.R.O. 1990, </w:t>
      </w:r>
      <w:r w:rsidR="002C51DA" w:rsidRPr="00C84904">
        <w:rPr>
          <w:szCs w:val="24"/>
        </w:rPr>
        <w:t>ch. </w:t>
      </w:r>
      <w:r w:rsidRPr="00C84904">
        <w:rPr>
          <w:szCs w:val="24"/>
        </w:rPr>
        <w:t>E.2.</w:t>
      </w:r>
    </w:p>
    <w:p w:rsidR="002E6705" w:rsidRPr="00C84904" w:rsidRDefault="0043088E" w:rsidP="002C51DA">
      <w:pPr>
        <w:pStyle w:val="SCCNormalDoubleSpacing"/>
        <w:keepNext/>
        <w:spacing w:after="720" w:line="240" w:lineRule="auto"/>
        <w:rPr>
          <w:b/>
          <w:szCs w:val="24"/>
        </w:rPr>
      </w:pPr>
      <w:r w:rsidRPr="00C84904">
        <w:rPr>
          <w:b/>
          <w:szCs w:val="24"/>
        </w:rPr>
        <w:t>Doctrine</w:t>
      </w:r>
      <w:r w:rsidR="002E6705" w:rsidRPr="00C84904">
        <w:rPr>
          <w:b/>
          <w:szCs w:val="24"/>
        </w:rPr>
        <w:t xml:space="preserve"> </w:t>
      </w:r>
      <w:r w:rsidR="00B46018" w:rsidRPr="00C84904">
        <w:rPr>
          <w:b/>
          <w:szCs w:val="24"/>
        </w:rPr>
        <w:t xml:space="preserve">et autres documents </w:t>
      </w:r>
      <w:r w:rsidRPr="00C84904">
        <w:rPr>
          <w:b/>
          <w:szCs w:val="24"/>
        </w:rPr>
        <w:t>c</w:t>
      </w:r>
      <w:r w:rsidR="002E6705" w:rsidRPr="00C84904">
        <w:rPr>
          <w:b/>
          <w:szCs w:val="24"/>
        </w:rPr>
        <w:t>it</w:t>
      </w:r>
      <w:r w:rsidRPr="00C84904">
        <w:rPr>
          <w:b/>
          <w:szCs w:val="24"/>
        </w:rPr>
        <w:t>é</w:t>
      </w:r>
      <w:r w:rsidR="00B46018" w:rsidRPr="00C84904">
        <w:rPr>
          <w:b/>
          <w:szCs w:val="24"/>
        </w:rPr>
        <w:t>s</w:t>
      </w:r>
    </w:p>
    <w:p w:rsidR="009342B9" w:rsidRPr="00C84904" w:rsidRDefault="00162517" w:rsidP="009342B9">
      <w:pPr>
        <w:pStyle w:val="SCCNormalDoubleSpacing"/>
        <w:spacing w:after="240" w:line="240" w:lineRule="auto"/>
        <w:ind w:left="539" w:hanging="539"/>
        <w:rPr>
          <w:szCs w:val="24"/>
          <w:lang w:val="en-US"/>
        </w:rPr>
      </w:pPr>
      <w:r w:rsidRPr="00C84904">
        <w:rPr>
          <w:szCs w:val="24"/>
          <w:lang w:val="en-US"/>
        </w:rPr>
        <w:t xml:space="preserve">Bates, Paul.  « Mitigation of </w:t>
      </w:r>
      <w:proofErr w:type="gramStart"/>
      <w:r w:rsidRPr="00C84904">
        <w:rPr>
          <w:szCs w:val="24"/>
          <w:lang w:val="en-US"/>
        </w:rPr>
        <w:t>Damages</w:t>
      </w:r>
      <w:r w:rsidR="002C51DA" w:rsidRPr="00C84904">
        <w:rPr>
          <w:szCs w:val="24"/>
          <w:lang w:val="en-US"/>
        </w:rPr>
        <w:t> :</w:t>
      </w:r>
      <w:proofErr w:type="gramEnd"/>
      <w:r w:rsidRPr="00C84904">
        <w:rPr>
          <w:szCs w:val="24"/>
          <w:lang w:val="en-US"/>
        </w:rPr>
        <w:t xml:space="preserve"> A Matter of Commercial Common Sense » (1992), 13 </w:t>
      </w:r>
      <w:r w:rsidRPr="00C84904">
        <w:rPr>
          <w:i/>
          <w:szCs w:val="24"/>
          <w:lang w:val="en-US"/>
        </w:rPr>
        <w:t xml:space="preserve">Advocates’ Q. </w:t>
      </w:r>
      <w:r w:rsidRPr="00C84904">
        <w:rPr>
          <w:szCs w:val="24"/>
          <w:lang w:val="en-US"/>
        </w:rPr>
        <w:t>273.</w:t>
      </w:r>
      <w:r w:rsidR="009342B9" w:rsidRPr="00C84904">
        <w:rPr>
          <w:szCs w:val="24"/>
          <w:lang w:val="en-US"/>
        </w:rPr>
        <w:t xml:space="preserve"> </w:t>
      </w:r>
    </w:p>
    <w:p w:rsidR="009342B9" w:rsidRPr="00C84904" w:rsidRDefault="009342B9" w:rsidP="009342B9">
      <w:pPr>
        <w:pStyle w:val="SCCNormalDoubleSpacing"/>
        <w:spacing w:after="240" w:line="240" w:lineRule="auto"/>
        <w:ind w:left="539" w:hanging="539"/>
        <w:rPr>
          <w:szCs w:val="24"/>
          <w:lang w:val="en-US"/>
        </w:rPr>
      </w:pPr>
      <w:r w:rsidRPr="00C84904">
        <w:rPr>
          <w:szCs w:val="24"/>
          <w:lang w:val="en-US"/>
        </w:rPr>
        <w:t xml:space="preserve">McGregor, Harvey.  </w:t>
      </w:r>
      <w:r w:rsidRPr="00C84904">
        <w:rPr>
          <w:i/>
          <w:szCs w:val="24"/>
          <w:lang w:val="en-US"/>
        </w:rPr>
        <w:t>McGregor on Damages</w:t>
      </w:r>
      <w:r w:rsidRPr="00C84904">
        <w:rPr>
          <w:szCs w:val="24"/>
          <w:lang w:val="en-US"/>
        </w:rPr>
        <w:t xml:space="preserve">, 18th </w:t>
      </w:r>
      <w:proofErr w:type="gramStart"/>
      <w:r w:rsidRPr="00C84904">
        <w:rPr>
          <w:szCs w:val="24"/>
          <w:lang w:val="en-US"/>
        </w:rPr>
        <w:t>ed</w:t>
      </w:r>
      <w:proofErr w:type="gramEnd"/>
      <w:r w:rsidRPr="00C84904">
        <w:rPr>
          <w:szCs w:val="24"/>
          <w:lang w:val="en-US"/>
        </w:rPr>
        <w:t xml:space="preserve">.  </w:t>
      </w:r>
      <w:proofErr w:type="gramStart"/>
      <w:r w:rsidRPr="00C84904">
        <w:rPr>
          <w:szCs w:val="24"/>
          <w:lang w:val="en-US"/>
        </w:rPr>
        <w:t>London :</w:t>
      </w:r>
      <w:proofErr w:type="gramEnd"/>
      <w:r w:rsidRPr="00C84904">
        <w:rPr>
          <w:szCs w:val="24"/>
          <w:lang w:val="en-US"/>
        </w:rPr>
        <w:t xml:space="preserve"> Sweet &amp; Maxwell/Thomson Reuters, 2009.</w:t>
      </w:r>
    </w:p>
    <w:p w:rsidR="00C6127C" w:rsidRPr="00C84904" w:rsidRDefault="00C6127C" w:rsidP="002C51DA">
      <w:pPr>
        <w:pStyle w:val="SCCNormalDoubleSpacing"/>
        <w:spacing w:after="240" w:line="240" w:lineRule="auto"/>
        <w:ind w:left="539" w:hanging="539"/>
        <w:rPr>
          <w:szCs w:val="24"/>
          <w:lang w:val="en-US"/>
        </w:rPr>
      </w:pPr>
      <w:proofErr w:type="spellStart"/>
      <w:r w:rsidRPr="00C84904">
        <w:rPr>
          <w:szCs w:val="24"/>
          <w:lang w:val="en-US"/>
        </w:rPr>
        <w:t>Siebrasse</w:t>
      </w:r>
      <w:proofErr w:type="spellEnd"/>
      <w:r w:rsidRPr="00C84904">
        <w:rPr>
          <w:szCs w:val="24"/>
          <w:lang w:val="en-US"/>
        </w:rPr>
        <w:t xml:space="preserve">, Norman. </w:t>
      </w:r>
      <w:r w:rsidRPr="00C84904">
        <w:rPr>
          <w:i/>
          <w:szCs w:val="24"/>
          <w:lang w:val="en-US"/>
        </w:rPr>
        <w:t xml:space="preserve"> </w:t>
      </w:r>
      <w:r w:rsidRPr="00C84904">
        <w:rPr>
          <w:szCs w:val="24"/>
          <w:lang w:val="en-US"/>
        </w:rPr>
        <w:t xml:space="preserve">« Damages in Lieu of Specific </w:t>
      </w:r>
      <w:proofErr w:type="gramStart"/>
      <w:r w:rsidRPr="00C84904">
        <w:rPr>
          <w:szCs w:val="24"/>
          <w:lang w:val="en-US"/>
        </w:rPr>
        <w:t>Performance</w:t>
      </w:r>
      <w:r w:rsidR="007A3C7F" w:rsidRPr="00C84904">
        <w:rPr>
          <w:szCs w:val="24"/>
          <w:lang w:val="en-US"/>
        </w:rPr>
        <w:t> </w:t>
      </w:r>
      <w:r w:rsidRPr="00C84904">
        <w:rPr>
          <w:szCs w:val="24"/>
          <w:lang w:val="en-US"/>
        </w:rPr>
        <w:t>:</w:t>
      </w:r>
      <w:proofErr w:type="gramEnd"/>
      <w:r w:rsidRPr="00C84904">
        <w:rPr>
          <w:szCs w:val="24"/>
          <w:lang w:val="en-US"/>
        </w:rPr>
        <w:t xml:space="preserve"> </w:t>
      </w:r>
      <w:proofErr w:type="spellStart"/>
      <w:r w:rsidRPr="00C84904">
        <w:rPr>
          <w:i/>
          <w:szCs w:val="24"/>
          <w:lang w:val="en-US"/>
        </w:rPr>
        <w:t>Semelhago</w:t>
      </w:r>
      <w:proofErr w:type="spellEnd"/>
      <w:r w:rsidRPr="00C84904">
        <w:rPr>
          <w:i/>
          <w:szCs w:val="24"/>
          <w:lang w:val="en-US"/>
        </w:rPr>
        <w:t xml:space="preserve"> v. </w:t>
      </w:r>
      <w:proofErr w:type="spellStart"/>
      <w:r w:rsidRPr="00C84904">
        <w:rPr>
          <w:i/>
          <w:szCs w:val="24"/>
          <w:lang w:val="en-US"/>
        </w:rPr>
        <w:t>Paramadevan</w:t>
      </w:r>
      <w:proofErr w:type="spellEnd"/>
      <w:r w:rsidRPr="00C84904">
        <w:rPr>
          <w:szCs w:val="24"/>
          <w:lang w:val="en-US"/>
        </w:rPr>
        <w:t> » (199</w:t>
      </w:r>
      <w:r w:rsidR="00963FB3" w:rsidRPr="00C84904">
        <w:rPr>
          <w:szCs w:val="24"/>
          <w:lang w:val="en-US"/>
        </w:rPr>
        <w:t>7</w:t>
      </w:r>
      <w:r w:rsidRPr="00C84904">
        <w:rPr>
          <w:szCs w:val="24"/>
          <w:lang w:val="en-US"/>
        </w:rPr>
        <w:t>), 76</w:t>
      </w:r>
      <w:r w:rsidRPr="00C84904">
        <w:rPr>
          <w:i/>
          <w:szCs w:val="24"/>
          <w:lang w:val="en-US"/>
        </w:rPr>
        <w:t xml:space="preserve"> R. du B. can. </w:t>
      </w:r>
      <w:r w:rsidRPr="00C84904">
        <w:rPr>
          <w:szCs w:val="24"/>
          <w:lang w:val="en-US"/>
        </w:rPr>
        <w:t>551.</w:t>
      </w:r>
    </w:p>
    <w:p w:rsidR="00BA41A7" w:rsidRPr="00C84904" w:rsidRDefault="00BA41A7" w:rsidP="002C51DA">
      <w:pPr>
        <w:pStyle w:val="SCCNormalDoubleSpacing"/>
        <w:spacing w:after="720" w:line="240" w:lineRule="auto"/>
        <w:ind w:left="540" w:hanging="540"/>
        <w:rPr>
          <w:szCs w:val="24"/>
          <w:lang w:val="en-US"/>
        </w:rPr>
      </w:pPr>
      <w:proofErr w:type="spellStart"/>
      <w:r w:rsidRPr="00C84904">
        <w:rPr>
          <w:szCs w:val="24"/>
          <w:lang w:val="en-US"/>
        </w:rPr>
        <w:t>Yorio</w:t>
      </w:r>
      <w:proofErr w:type="spellEnd"/>
      <w:r w:rsidRPr="00C84904">
        <w:rPr>
          <w:szCs w:val="24"/>
          <w:lang w:val="en-US"/>
        </w:rPr>
        <w:t xml:space="preserve">, Edward.  « A Defense of Equitable Defenses » (1990), </w:t>
      </w:r>
      <w:proofErr w:type="gramStart"/>
      <w:r w:rsidRPr="00C84904">
        <w:rPr>
          <w:szCs w:val="24"/>
          <w:lang w:val="en-US"/>
        </w:rPr>
        <w:t xml:space="preserve">51 </w:t>
      </w:r>
      <w:r w:rsidRPr="00C84904">
        <w:rPr>
          <w:i/>
          <w:szCs w:val="24"/>
          <w:lang w:val="en-US"/>
        </w:rPr>
        <w:t>Ohio St. L.J.</w:t>
      </w:r>
      <w:r w:rsidRPr="00C84904">
        <w:rPr>
          <w:szCs w:val="24"/>
          <w:lang w:val="en-US"/>
        </w:rPr>
        <w:t xml:space="preserve"> 1201</w:t>
      </w:r>
      <w:proofErr w:type="gramEnd"/>
      <w:r w:rsidRPr="00C84904">
        <w:rPr>
          <w:szCs w:val="24"/>
          <w:lang w:val="en-US"/>
        </w:rPr>
        <w:t>.</w:t>
      </w:r>
    </w:p>
    <w:p w:rsidR="00D5435D" w:rsidRPr="00C84904" w:rsidRDefault="00EF19B4" w:rsidP="002C51DA">
      <w:pPr>
        <w:pStyle w:val="SCCNormalDoubleSpacing"/>
        <w:spacing w:after="480"/>
        <w:rPr>
          <w:szCs w:val="24"/>
        </w:rPr>
      </w:pPr>
      <w:r w:rsidRPr="00C84904">
        <w:rPr>
          <w:szCs w:val="24"/>
          <w:lang w:val="en-US"/>
        </w:rPr>
        <w:tab/>
      </w:r>
      <w:r w:rsidR="009B57B3" w:rsidRPr="00C84904">
        <w:rPr>
          <w:szCs w:val="24"/>
        </w:rPr>
        <w:t>P</w:t>
      </w:r>
      <w:r w:rsidR="0043088E" w:rsidRPr="00C84904">
        <w:rPr>
          <w:szCs w:val="24"/>
        </w:rPr>
        <w:t xml:space="preserve">OURVOI </w:t>
      </w:r>
      <w:r w:rsidR="00983DED" w:rsidRPr="00C84904">
        <w:rPr>
          <w:szCs w:val="24"/>
        </w:rPr>
        <w:t xml:space="preserve">et POURVOI INCIDENT </w:t>
      </w:r>
      <w:r w:rsidR="0043088E" w:rsidRPr="00C84904">
        <w:rPr>
          <w:szCs w:val="24"/>
        </w:rPr>
        <w:t>contre un arrêt de la</w:t>
      </w:r>
      <w:r w:rsidR="009B57B3" w:rsidRPr="00C84904">
        <w:rPr>
          <w:szCs w:val="24"/>
        </w:rPr>
        <w:t xml:space="preserve"> Cour d’appel de l’Ontario</w:t>
      </w:r>
      <w:r w:rsidRPr="00C84904">
        <w:rPr>
          <w:szCs w:val="24"/>
        </w:rPr>
        <w:t xml:space="preserve"> (les juges Sharpe, Blair et </w:t>
      </w:r>
      <w:proofErr w:type="spellStart"/>
      <w:r w:rsidRPr="00C84904">
        <w:rPr>
          <w:szCs w:val="24"/>
        </w:rPr>
        <w:t>MacFarland</w:t>
      </w:r>
      <w:proofErr w:type="spellEnd"/>
      <w:r w:rsidRPr="00C84904">
        <w:rPr>
          <w:szCs w:val="24"/>
        </w:rPr>
        <w:t xml:space="preserve">), 2010 ONCA 310, 104 O.R. (3d) 784, 261 O.A.C. 108, 319 D.L.R. (4th) 349, 93 R.P.R. (4th) 159, 71 B.L.R. (4th) 196, [2010] O.J. </w:t>
      </w:r>
      <w:r w:rsidR="002C51DA" w:rsidRPr="00C84904">
        <w:rPr>
          <w:szCs w:val="24"/>
        </w:rPr>
        <w:t>No. </w:t>
      </w:r>
      <w:r w:rsidRPr="00C84904">
        <w:rPr>
          <w:szCs w:val="24"/>
        </w:rPr>
        <w:t xml:space="preserve">1772 (QL), 2010 </w:t>
      </w:r>
      <w:proofErr w:type="spellStart"/>
      <w:r w:rsidRPr="00C84904">
        <w:rPr>
          <w:szCs w:val="24"/>
        </w:rPr>
        <w:t>CarswellOnt</w:t>
      </w:r>
      <w:proofErr w:type="spellEnd"/>
      <w:r w:rsidRPr="00C84904">
        <w:rPr>
          <w:szCs w:val="24"/>
        </w:rPr>
        <w:t xml:space="preserve"> 2602, qui a infirmé une décision </w:t>
      </w:r>
      <w:r w:rsidR="00FE70E1" w:rsidRPr="00C84904">
        <w:rPr>
          <w:szCs w:val="24"/>
        </w:rPr>
        <w:t>d</w:t>
      </w:r>
      <w:r w:rsidR="00522D61" w:rsidRPr="00C84904">
        <w:rPr>
          <w:szCs w:val="24"/>
        </w:rPr>
        <w:t>u</w:t>
      </w:r>
      <w:r w:rsidR="002652D6" w:rsidRPr="00C84904">
        <w:rPr>
          <w:szCs w:val="24"/>
        </w:rPr>
        <w:t xml:space="preserve"> juge</w:t>
      </w:r>
      <w:r w:rsidRPr="00C84904">
        <w:rPr>
          <w:szCs w:val="24"/>
        </w:rPr>
        <w:t xml:space="preserve"> Spiegel (2009), 78 R.P.R. (4th) 285, [2009] O.J. </w:t>
      </w:r>
      <w:r w:rsidR="002C51DA" w:rsidRPr="00C84904">
        <w:rPr>
          <w:szCs w:val="24"/>
        </w:rPr>
        <w:t>No. </w:t>
      </w:r>
      <w:r w:rsidRPr="00C84904">
        <w:rPr>
          <w:szCs w:val="24"/>
        </w:rPr>
        <w:t>428 (QL)</w:t>
      </w:r>
      <w:r w:rsidR="00750254" w:rsidRPr="00C84904">
        <w:rPr>
          <w:szCs w:val="24"/>
        </w:rPr>
        <w:t xml:space="preserve">, 2009 </w:t>
      </w:r>
      <w:proofErr w:type="spellStart"/>
      <w:r w:rsidR="00750254" w:rsidRPr="00C84904">
        <w:rPr>
          <w:szCs w:val="24"/>
        </w:rPr>
        <w:t>CanLII</w:t>
      </w:r>
      <w:proofErr w:type="spellEnd"/>
      <w:r w:rsidR="00750254" w:rsidRPr="00C84904">
        <w:rPr>
          <w:szCs w:val="24"/>
        </w:rPr>
        <w:t xml:space="preserve"> 3567</w:t>
      </w:r>
      <w:r w:rsidRPr="00C84904">
        <w:rPr>
          <w:szCs w:val="24"/>
        </w:rPr>
        <w:t xml:space="preserve">, 2009 </w:t>
      </w:r>
      <w:proofErr w:type="spellStart"/>
      <w:r w:rsidRPr="00C84904">
        <w:rPr>
          <w:szCs w:val="24"/>
        </w:rPr>
        <w:t>CarswellOnt</w:t>
      </w:r>
      <w:proofErr w:type="spellEnd"/>
      <w:r w:rsidRPr="00C84904">
        <w:rPr>
          <w:szCs w:val="24"/>
        </w:rPr>
        <w:t xml:space="preserve"> 494.  Pourvoi </w:t>
      </w:r>
      <w:r w:rsidR="00FE70E1" w:rsidRPr="00C84904">
        <w:rPr>
          <w:szCs w:val="24"/>
        </w:rPr>
        <w:t xml:space="preserve">et pourvoi incident </w:t>
      </w:r>
      <w:r w:rsidR="00FB655E" w:rsidRPr="00C84904">
        <w:rPr>
          <w:szCs w:val="24"/>
        </w:rPr>
        <w:t>rejetés,</w:t>
      </w:r>
      <w:r w:rsidR="00757930" w:rsidRPr="00C84904">
        <w:rPr>
          <w:szCs w:val="24"/>
        </w:rPr>
        <w:t xml:space="preserve"> la juge en chef </w:t>
      </w:r>
      <w:proofErr w:type="spellStart"/>
      <w:r w:rsidR="00757930" w:rsidRPr="00C84904">
        <w:rPr>
          <w:szCs w:val="24"/>
        </w:rPr>
        <w:t>McLachlin</w:t>
      </w:r>
      <w:proofErr w:type="spellEnd"/>
      <w:r w:rsidR="00757930" w:rsidRPr="00C84904">
        <w:rPr>
          <w:szCs w:val="24"/>
        </w:rPr>
        <w:t xml:space="preserve"> est dissidente.</w:t>
      </w:r>
    </w:p>
    <w:p w:rsidR="003E680E" w:rsidRPr="00C84904" w:rsidRDefault="002C51DA" w:rsidP="002C51DA">
      <w:pPr>
        <w:pStyle w:val="SCCNormalDoubleSpacing"/>
        <w:spacing w:after="480"/>
        <w:rPr>
          <w:szCs w:val="24"/>
        </w:rPr>
      </w:pPr>
      <w:r w:rsidRPr="002E06F0">
        <w:rPr>
          <w:i/>
          <w:szCs w:val="24"/>
        </w:rPr>
        <w:tab/>
        <w:t>J. </w:t>
      </w:r>
      <w:r w:rsidR="00EE38D1" w:rsidRPr="002E06F0">
        <w:rPr>
          <w:i/>
          <w:szCs w:val="24"/>
        </w:rPr>
        <w:t>Thomas Curry</w:t>
      </w:r>
      <w:r w:rsidR="00EE38D1" w:rsidRPr="00C84904">
        <w:rPr>
          <w:szCs w:val="24"/>
        </w:rPr>
        <w:t xml:space="preserve">, </w:t>
      </w:r>
      <w:r w:rsidRPr="002E06F0">
        <w:rPr>
          <w:i/>
          <w:szCs w:val="24"/>
        </w:rPr>
        <w:t>Milton </w:t>
      </w:r>
      <w:r w:rsidR="00EE38D1" w:rsidRPr="002E06F0">
        <w:rPr>
          <w:i/>
          <w:szCs w:val="24"/>
        </w:rPr>
        <w:t>A. Davis</w:t>
      </w:r>
      <w:r w:rsidR="00EE38D1" w:rsidRPr="00C84904">
        <w:rPr>
          <w:szCs w:val="24"/>
        </w:rPr>
        <w:t xml:space="preserve"> et </w:t>
      </w:r>
      <w:proofErr w:type="spellStart"/>
      <w:r w:rsidR="00EE38D1" w:rsidRPr="002E06F0">
        <w:rPr>
          <w:i/>
          <w:szCs w:val="24"/>
        </w:rPr>
        <w:t>Paul</w:t>
      </w:r>
      <w:r w:rsidRPr="002E06F0">
        <w:rPr>
          <w:i/>
          <w:szCs w:val="24"/>
        </w:rPr>
        <w:noBreakHyphen/>
      </w:r>
      <w:r w:rsidR="00EE38D1" w:rsidRPr="002E06F0">
        <w:rPr>
          <w:i/>
          <w:szCs w:val="24"/>
        </w:rPr>
        <w:t>Erik</w:t>
      </w:r>
      <w:proofErr w:type="spellEnd"/>
      <w:r w:rsidR="00EE38D1" w:rsidRPr="002E06F0">
        <w:rPr>
          <w:i/>
          <w:szCs w:val="24"/>
        </w:rPr>
        <w:t xml:space="preserve"> </w:t>
      </w:r>
      <w:proofErr w:type="spellStart"/>
      <w:r w:rsidR="00EE38D1" w:rsidRPr="002E06F0">
        <w:rPr>
          <w:i/>
          <w:szCs w:val="24"/>
        </w:rPr>
        <w:t>Veel</w:t>
      </w:r>
      <w:proofErr w:type="spellEnd"/>
      <w:r w:rsidR="002652D6" w:rsidRPr="00C84904">
        <w:rPr>
          <w:szCs w:val="24"/>
        </w:rPr>
        <w:t>, pour l’</w:t>
      </w:r>
      <w:r w:rsidR="00EE38D1" w:rsidRPr="00C84904">
        <w:rPr>
          <w:szCs w:val="24"/>
        </w:rPr>
        <w:t>appelante/intimée</w:t>
      </w:r>
      <w:r w:rsidR="002652D6" w:rsidRPr="00C84904">
        <w:rPr>
          <w:szCs w:val="24"/>
        </w:rPr>
        <w:t xml:space="preserve"> au pourvoi</w:t>
      </w:r>
      <w:r w:rsidR="00EE38D1" w:rsidRPr="00C84904">
        <w:rPr>
          <w:szCs w:val="24"/>
        </w:rPr>
        <w:t xml:space="preserve"> incident.</w:t>
      </w:r>
    </w:p>
    <w:p w:rsidR="003E680E" w:rsidRPr="00C84904" w:rsidRDefault="002C51DA" w:rsidP="002C51DA">
      <w:pPr>
        <w:pStyle w:val="SCCNormalDoubleSpacing"/>
        <w:spacing w:after="480"/>
        <w:rPr>
          <w:szCs w:val="24"/>
        </w:rPr>
      </w:pPr>
      <w:r w:rsidRPr="002E06F0">
        <w:rPr>
          <w:i/>
          <w:szCs w:val="24"/>
        </w:rPr>
        <w:lastRenderedPageBreak/>
        <w:tab/>
        <w:t>Andrew </w:t>
      </w:r>
      <w:r w:rsidR="00EE38D1" w:rsidRPr="002E06F0">
        <w:rPr>
          <w:i/>
          <w:szCs w:val="24"/>
        </w:rPr>
        <w:t>M. Robinson</w:t>
      </w:r>
      <w:r w:rsidR="00EE38D1" w:rsidRPr="00C84904">
        <w:rPr>
          <w:szCs w:val="24"/>
        </w:rPr>
        <w:t xml:space="preserve">, </w:t>
      </w:r>
      <w:r w:rsidRPr="002E06F0">
        <w:rPr>
          <w:i/>
          <w:szCs w:val="24"/>
        </w:rPr>
        <w:t>Elizabeth </w:t>
      </w:r>
      <w:r w:rsidR="002652D6" w:rsidRPr="002E06F0">
        <w:rPr>
          <w:i/>
          <w:szCs w:val="24"/>
        </w:rPr>
        <w:t>K.</w:t>
      </w:r>
      <w:r w:rsidR="00EE38D1" w:rsidRPr="002E06F0">
        <w:rPr>
          <w:i/>
          <w:szCs w:val="24"/>
        </w:rPr>
        <w:t xml:space="preserve"> </w:t>
      </w:r>
      <w:proofErr w:type="spellStart"/>
      <w:r w:rsidR="00EE38D1" w:rsidRPr="002E06F0">
        <w:rPr>
          <w:i/>
          <w:szCs w:val="24"/>
        </w:rPr>
        <w:t>Ackman</w:t>
      </w:r>
      <w:proofErr w:type="spellEnd"/>
      <w:r w:rsidR="00EE38D1" w:rsidRPr="00C84904">
        <w:rPr>
          <w:szCs w:val="24"/>
        </w:rPr>
        <w:t xml:space="preserve"> et </w:t>
      </w:r>
      <w:r w:rsidR="00EE38D1" w:rsidRPr="002E06F0">
        <w:rPr>
          <w:i/>
          <w:szCs w:val="24"/>
        </w:rPr>
        <w:t xml:space="preserve">Andrea </w:t>
      </w:r>
      <w:proofErr w:type="spellStart"/>
      <w:r w:rsidR="00EE38D1" w:rsidRPr="002E06F0">
        <w:rPr>
          <w:i/>
          <w:szCs w:val="24"/>
        </w:rPr>
        <w:t>Farkouh</w:t>
      </w:r>
      <w:proofErr w:type="spellEnd"/>
      <w:r w:rsidR="00EE38D1" w:rsidRPr="00C84904">
        <w:rPr>
          <w:szCs w:val="24"/>
        </w:rPr>
        <w:t>, pour l</w:t>
      </w:r>
      <w:r w:rsidR="002652D6" w:rsidRPr="00C84904">
        <w:rPr>
          <w:szCs w:val="24"/>
        </w:rPr>
        <w:t>’</w:t>
      </w:r>
      <w:r w:rsidR="00EE38D1" w:rsidRPr="00C84904">
        <w:rPr>
          <w:szCs w:val="24"/>
        </w:rPr>
        <w:t xml:space="preserve">intimé/appelant </w:t>
      </w:r>
      <w:r w:rsidR="002652D6" w:rsidRPr="00C84904">
        <w:rPr>
          <w:szCs w:val="24"/>
        </w:rPr>
        <w:t>au pourvoi</w:t>
      </w:r>
      <w:r w:rsidR="00EE38D1" w:rsidRPr="00C84904">
        <w:rPr>
          <w:szCs w:val="24"/>
        </w:rPr>
        <w:t xml:space="preserve"> incident.</w:t>
      </w:r>
    </w:p>
    <w:p w:rsidR="0071502D" w:rsidRPr="0049639A" w:rsidRDefault="0049639A" w:rsidP="00C82AEC">
      <w:pPr>
        <w:pStyle w:val="JudgeJuge"/>
        <w:spacing w:before="480"/>
        <w:jc w:val="both"/>
        <w:rPr>
          <w:smallCaps w:val="0"/>
          <w:lang w:val="fr-CA"/>
        </w:rPr>
      </w:pPr>
      <w:r>
        <w:rPr>
          <w:lang w:val="fr-CA"/>
        </w:rPr>
        <w:tab/>
      </w:r>
      <w:r w:rsidRPr="0049639A">
        <w:rPr>
          <w:smallCaps w:val="0"/>
          <w:lang w:val="fr-CA"/>
        </w:rPr>
        <w:t>Versio</w:t>
      </w:r>
      <w:r>
        <w:rPr>
          <w:smallCaps w:val="0"/>
          <w:lang w:val="fr-CA"/>
        </w:rPr>
        <w:t xml:space="preserve">n française du jugement des juges </w:t>
      </w:r>
      <w:proofErr w:type="spellStart"/>
      <w:r>
        <w:rPr>
          <w:smallCaps w:val="0"/>
          <w:lang w:val="fr-CA"/>
        </w:rPr>
        <w:t>LeBel</w:t>
      </w:r>
      <w:proofErr w:type="spellEnd"/>
      <w:r>
        <w:rPr>
          <w:smallCaps w:val="0"/>
          <w:lang w:val="fr-CA"/>
        </w:rPr>
        <w:t xml:space="preserve">, Deschamps, Abella, </w:t>
      </w:r>
      <w:proofErr w:type="spellStart"/>
      <w:r>
        <w:rPr>
          <w:smallCaps w:val="0"/>
          <w:lang w:val="fr-CA"/>
        </w:rPr>
        <w:t>Rothstein</w:t>
      </w:r>
      <w:proofErr w:type="spellEnd"/>
      <w:r>
        <w:rPr>
          <w:smallCaps w:val="0"/>
          <w:lang w:val="fr-CA"/>
        </w:rPr>
        <w:t xml:space="preserve">, Cromwell et </w:t>
      </w:r>
      <w:proofErr w:type="spellStart"/>
      <w:r>
        <w:rPr>
          <w:smallCaps w:val="0"/>
          <w:lang w:val="fr-CA"/>
        </w:rPr>
        <w:t>Karakatsanis</w:t>
      </w:r>
      <w:proofErr w:type="spellEnd"/>
      <w:r>
        <w:rPr>
          <w:smallCaps w:val="0"/>
          <w:lang w:val="fr-CA"/>
        </w:rPr>
        <w:t xml:space="preserve"> rendu par</w:t>
      </w:r>
    </w:p>
    <w:p w:rsidR="0071502D" w:rsidRPr="009677B6" w:rsidRDefault="0071502D" w:rsidP="0071502D">
      <w:pPr>
        <w:pStyle w:val="JudgeJuge"/>
        <w:spacing w:before="480"/>
        <w:rPr>
          <w:lang w:val="fr-CA"/>
        </w:rPr>
      </w:pPr>
      <w:r w:rsidRPr="009677B6">
        <w:rPr>
          <w:lang w:val="fr-CA"/>
        </w:rPr>
        <w:tab/>
      </w:r>
      <w:r>
        <w:rPr>
          <w:lang w:val="fr-CA"/>
        </w:rPr>
        <w:t>La</w:t>
      </w:r>
      <w:r w:rsidRPr="009677B6">
        <w:rPr>
          <w:lang w:val="fr-CA"/>
        </w:rPr>
        <w:t xml:space="preserve"> juge </w:t>
      </w:r>
      <w:proofErr w:type="spellStart"/>
      <w:r w:rsidRPr="009677B6">
        <w:rPr>
          <w:lang w:val="fr-CA"/>
        </w:rPr>
        <w:t>Karakatsanis</w:t>
      </w:r>
      <w:proofErr w:type="spellEnd"/>
      <w:r w:rsidRPr="009677B6">
        <w:rPr>
          <w:lang w:val="fr-CA"/>
        </w:rPr>
        <w:t xml:space="preserve"> — </w:t>
      </w:r>
    </w:p>
    <w:p w:rsidR="0071502D" w:rsidRPr="009677B6" w:rsidRDefault="0071502D" w:rsidP="0071502D">
      <w:pPr>
        <w:pStyle w:val="TitleTitre-AltT"/>
        <w:rPr>
          <w:lang w:val="fr-CA"/>
        </w:rPr>
      </w:pPr>
      <w:r w:rsidRPr="009677B6">
        <w:rPr>
          <w:lang w:val="fr-CA"/>
        </w:rPr>
        <w:t>I.</w:t>
      </w:r>
      <w:r w:rsidRPr="009677B6">
        <w:rPr>
          <w:lang w:val="fr-CA"/>
        </w:rPr>
        <w:tab/>
      </w:r>
      <w:r w:rsidRPr="009677B6">
        <w:rPr>
          <w:u w:val="single"/>
          <w:lang w:val="fr-CA"/>
        </w:rPr>
        <w:t>Introduction</w:t>
      </w:r>
    </w:p>
    <w:p w:rsidR="0071502D" w:rsidRPr="009677B6" w:rsidRDefault="0071502D" w:rsidP="0071502D">
      <w:pPr>
        <w:pStyle w:val="ParaNoNdepar-AltN"/>
        <w:rPr>
          <w:lang w:val="fr-CA"/>
        </w:rPr>
      </w:pPr>
      <w:r>
        <w:rPr>
          <w:lang w:val="fr-CA"/>
        </w:rPr>
        <w:t xml:space="preserve">Des </w:t>
      </w:r>
      <w:r w:rsidRPr="009677B6">
        <w:rPr>
          <w:lang w:val="fr-CA"/>
        </w:rPr>
        <w:t xml:space="preserve">promoteurs immobiliers créent </w:t>
      </w:r>
      <w:r>
        <w:rPr>
          <w:lang w:val="fr-CA"/>
        </w:rPr>
        <w:t xml:space="preserve">fréquemment </w:t>
      </w:r>
      <w:r w:rsidRPr="009677B6">
        <w:rPr>
          <w:lang w:val="fr-CA"/>
        </w:rPr>
        <w:t xml:space="preserve">des sociétés à but unique dans le seul </w:t>
      </w:r>
      <w:r>
        <w:rPr>
          <w:lang w:val="fr-CA"/>
        </w:rPr>
        <w:t xml:space="preserve">objectif </w:t>
      </w:r>
      <w:r w:rsidRPr="009677B6">
        <w:rPr>
          <w:lang w:val="fr-CA"/>
        </w:rPr>
        <w:t>d</w:t>
      </w:r>
      <w:r>
        <w:rPr>
          <w:lang w:val="fr-CA"/>
        </w:rPr>
        <w:t>’</w:t>
      </w:r>
      <w:r w:rsidRPr="009677B6">
        <w:rPr>
          <w:lang w:val="fr-CA"/>
        </w:rPr>
        <w:t xml:space="preserve">acquérir des immeubles et de les mettre en valeur pour réaliser un profit. </w:t>
      </w:r>
      <w:r>
        <w:rPr>
          <w:lang w:val="fr-CA"/>
        </w:rPr>
        <w:t xml:space="preserve"> Les </w:t>
      </w:r>
      <w:r w:rsidRPr="009677B6">
        <w:rPr>
          <w:lang w:val="fr-CA"/>
        </w:rPr>
        <w:t xml:space="preserve">sociétés </w:t>
      </w:r>
      <w:r>
        <w:rPr>
          <w:lang w:val="fr-CA"/>
        </w:rPr>
        <w:t xml:space="preserve">à but unique sont des sociétés à </w:t>
      </w:r>
      <w:r w:rsidRPr="009677B6">
        <w:rPr>
          <w:lang w:val="fr-CA"/>
        </w:rPr>
        <w:t xml:space="preserve">responsabilité limitée </w:t>
      </w:r>
      <w:r>
        <w:rPr>
          <w:lang w:val="fr-CA"/>
        </w:rPr>
        <w:t xml:space="preserve">qui </w:t>
      </w:r>
      <w:r w:rsidRPr="009677B6">
        <w:rPr>
          <w:lang w:val="fr-CA"/>
        </w:rPr>
        <w:t>ne possèdent comme actifs que ceux découlant du placement immobilier qu</w:t>
      </w:r>
      <w:r>
        <w:rPr>
          <w:lang w:val="fr-CA"/>
        </w:rPr>
        <w:t>’</w:t>
      </w:r>
      <w:r w:rsidRPr="009677B6">
        <w:rPr>
          <w:lang w:val="fr-CA"/>
        </w:rPr>
        <w:t xml:space="preserve">elles font. </w:t>
      </w:r>
      <w:r>
        <w:rPr>
          <w:lang w:val="fr-CA"/>
        </w:rPr>
        <w:t xml:space="preserve"> Dans ce </w:t>
      </w:r>
      <w:r w:rsidRPr="009677B6">
        <w:rPr>
          <w:lang w:val="fr-CA"/>
        </w:rPr>
        <w:t>pourvoi</w:t>
      </w:r>
      <w:r>
        <w:rPr>
          <w:lang w:val="fr-CA"/>
        </w:rPr>
        <w:t>,</w:t>
      </w:r>
      <w:r w:rsidRPr="009677B6">
        <w:rPr>
          <w:lang w:val="fr-CA"/>
        </w:rPr>
        <w:t xml:space="preserve"> </w:t>
      </w:r>
      <w:r>
        <w:rPr>
          <w:lang w:val="fr-CA"/>
        </w:rPr>
        <w:t>l</w:t>
      </w:r>
      <w:r w:rsidRPr="009677B6">
        <w:rPr>
          <w:lang w:val="fr-CA"/>
        </w:rPr>
        <w:t xml:space="preserve">a question est de savoir si une </w:t>
      </w:r>
      <w:r>
        <w:rPr>
          <w:lang w:val="fr-CA"/>
        </w:rPr>
        <w:t xml:space="preserve">telle </w:t>
      </w:r>
      <w:r w:rsidRPr="009677B6">
        <w:rPr>
          <w:lang w:val="fr-CA"/>
        </w:rPr>
        <w:t xml:space="preserve">société à but unique est dispensée de </w:t>
      </w:r>
      <w:r w:rsidRPr="00CE41B4">
        <w:rPr>
          <w:lang w:val="fr-CA"/>
        </w:rPr>
        <w:t>mitiger</w:t>
      </w:r>
      <w:r>
        <w:rPr>
          <w:lang w:val="fr-CA"/>
        </w:rPr>
        <w:t xml:space="preserve"> s</w:t>
      </w:r>
      <w:r w:rsidRPr="009677B6">
        <w:rPr>
          <w:lang w:val="fr-CA"/>
        </w:rPr>
        <w:t>e</w:t>
      </w:r>
      <w:r>
        <w:rPr>
          <w:lang w:val="fr-CA"/>
        </w:rPr>
        <w:t>s</w:t>
      </w:r>
      <w:r w:rsidRPr="009677B6">
        <w:rPr>
          <w:lang w:val="fr-CA"/>
        </w:rPr>
        <w:t xml:space="preserve"> p</w:t>
      </w:r>
      <w:r>
        <w:rPr>
          <w:lang w:val="fr-CA"/>
        </w:rPr>
        <w:t>ertes</w:t>
      </w:r>
      <w:r w:rsidRPr="009677B6">
        <w:rPr>
          <w:lang w:val="fr-CA"/>
        </w:rPr>
        <w:t xml:space="preserve"> </w:t>
      </w:r>
      <w:r>
        <w:rPr>
          <w:lang w:val="fr-CA"/>
        </w:rPr>
        <w:t xml:space="preserve">en cas d’inexécution de la promesse de vente par </w:t>
      </w:r>
      <w:r w:rsidRPr="009677B6">
        <w:rPr>
          <w:lang w:val="fr-CA"/>
        </w:rPr>
        <w:t xml:space="preserve">le </w:t>
      </w:r>
      <w:proofErr w:type="spellStart"/>
      <w:r w:rsidRPr="009677B6">
        <w:rPr>
          <w:lang w:val="fr-CA"/>
        </w:rPr>
        <w:t>promett</w:t>
      </w:r>
      <w:r>
        <w:rPr>
          <w:lang w:val="fr-CA"/>
        </w:rPr>
        <w:t>ant</w:t>
      </w:r>
      <w:r>
        <w:rPr>
          <w:lang w:val="fr-CA"/>
        </w:rPr>
        <w:noBreakHyphen/>
      </w:r>
      <w:r w:rsidRPr="009677B6">
        <w:rPr>
          <w:lang w:val="fr-CA"/>
        </w:rPr>
        <w:t>vendeur</w:t>
      </w:r>
      <w:proofErr w:type="spellEnd"/>
      <w:r w:rsidRPr="009677B6">
        <w:rPr>
          <w:lang w:val="fr-CA"/>
        </w:rPr>
        <w:t xml:space="preserve">, en particulier lorsque la société a </w:t>
      </w:r>
      <w:r>
        <w:rPr>
          <w:lang w:val="fr-CA"/>
        </w:rPr>
        <w:t>fait</w:t>
      </w:r>
      <w:r w:rsidRPr="009677B6">
        <w:rPr>
          <w:lang w:val="fr-CA"/>
        </w:rPr>
        <w:t xml:space="preserve"> dilige</w:t>
      </w:r>
      <w:r>
        <w:rPr>
          <w:lang w:val="fr-CA"/>
        </w:rPr>
        <w:t>nce</w:t>
      </w:r>
      <w:r w:rsidRPr="009677B6">
        <w:rPr>
          <w:lang w:val="fr-CA"/>
        </w:rPr>
        <w:t xml:space="preserve"> </w:t>
      </w:r>
      <w:r>
        <w:rPr>
          <w:lang w:val="fr-CA"/>
        </w:rPr>
        <w:t xml:space="preserve">pour intenter une </w:t>
      </w:r>
      <w:r w:rsidRPr="009677B6">
        <w:rPr>
          <w:lang w:val="fr-CA"/>
        </w:rPr>
        <w:t>action en exécution</w:t>
      </w:r>
      <w:r>
        <w:rPr>
          <w:lang w:val="fr-CA"/>
        </w:rPr>
        <w:t xml:space="preserve"> intégrale</w:t>
      </w:r>
      <w:r w:rsidRPr="009677B6">
        <w:rPr>
          <w:lang w:val="fr-CA"/>
        </w:rPr>
        <w:t>.</w:t>
      </w:r>
      <w:r>
        <w:rPr>
          <w:lang w:val="fr-CA"/>
        </w:rPr>
        <w:t xml:space="preserve"> </w:t>
      </w:r>
      <w:r w:rsidRPr="009677B6">
        <w:rPr>
          <w:lang w:val="fr-CA"/>
        </w:rPr>
        <w:t xml:space="preserve"> L</w:t>
      </w:r>
      <w:r>
        <w:rPr>
          <w:lang w:val="fr-CA"/>
        </w:rPr>
        <w:t>’</w:t>
      </w:r>
      <w:r w:rsidRPr="009677B6">
        <w:rPr>
          <w:lang w:val="fr-CA"/>
        </w:rPr>
        <w:t xml:space="preserve">autre question </w:t>
      </w:r>
      <w:r>
        <w:rPr>
          <w:lang w:val="fr-CA"/>
        </w:rPr>
        <w:t xml:space="preserve">est de savoir si le juge de première instance a eu tort de conclure qu’il n’existait pas </w:t>
      </w:r>
      <w:r w:rsidRPr="009677B6">
        <w:rPr>
          <w:lang w:val="fr-CA"/>
        </w:rPr>
        <w:t>d</w:t>
      </w:r>
      <w:r>
        <w:rPr>
          <w:lang w:val="fr-CA"/>
        </w:rPr>
        <w:t>’</w:t>
      </w:r>
      <w:r w:rsidRPr="009677B6">
        <w:rPr>
          <w:lang w:val="fr-CA"/>
        </w:rPr>
        <w:t>autres immeubles « comparables » p</w:t>
      </w:r>
      <w:r>
        <w:rPr>
          <w:lang w:val="fr-CA"/>
        </w:rPr>
        <w:t>ouvant</w:t>
      </w:r>
      <w:r w:rsidRPr="009677B6">
        <w:rPr>
          <w:lang w:val="fr-CA"/>
        </w:rPr>
        <w:t xml:space="preserve"> servir à </w:t>
      </w:r>
      <w:r w:rsidRPr="00CE41B4">
        <w:rPr>
          <w:lang w:val="fr-CA"/>
        </w:rPr>
        <w:t>mitiger</w:t>
      </w:r>
      <w:r w:rsidRPr="009677B6">
        <w:rPr>
          <w:lang w:val="fr-CA"/>
        </w:rPr>
        <w:t xml:space="preserve"> l</w:t>
      </w:r>
      <w:r>
        <w:rPr>
          <w:lang w:val="fr-CA"/>
        </w:rPr>
        <w:t>a</w:t>
      </w:r>
      <w:r w:rsidRPr="009677B6">
        <w:rPr>
          <w:lang w:val="fr-CA"/>
        </w:rPr>
        <w:t xml:space="preserve"> perte.</w:t>
      </w:r>
    </w:p>
    <w:p w:rsidR="0071502D" w:rsidRPr="009677B6" w:rsidRDefault="0071502D" w:rsidP="0071502D">
      <w:pPr>
        <w:pStyle w:val="ParaNoNdepar-AltN"/>
        <w:rPr>
          <w:lang w:val="fr-CA"/>
        </w:rPr>
      </w:pPr>
      <w:r w:rsidRPr="009677B6">
        <w:rPr>
          <w:lang w:val="fr-CA"/>
        </w:rPr>
        <w:t>L</w:t>
      </w:r>
      <w:r>
        <w:rPr>
          <w:lang w:val="fr-CA"/>
        </w:rPr>
        <w:t>’</w:t>
      </w:r>
      <w:r w:rsidRPr="009677B6">
        <w:rPr>
          <w:lang w:val="fr-CA"/>
        </w:rPr>
        <w:t xml:space="preserve">appelante, </w:t>
      </w:r>
      <w:proofErr w:type="spellStart"/>
      <w:r w:rsidRPr="009677B6">
        <w:rPr>
          <w:lang w:val="fr-CA"/>
        </w:rPr>
        <w:t>Southcott</w:t>
      </w:r>
      <w:proofErr w:type="spellEnd"/>
      <w:r w:rsidRPr="009677B6">
        <w:rPr>
          <w:lang w:val="fr-CA"/>
        </w:rPr>
        <w:t xml:space="preserve"> </w:t>
      </w:r>
      <w:proofErr w:type="spellStart"/>
      <w:r w:rsidRPr="009677B6">
        <w:rPr>
          <w:lang w:val="fr-CA"/>
        </w:rPr>
        <w:t>Estates</w:t>
      </w:r>
      <w:proofErr w:type="spellEnd"/>
      <w:r w:rsidRPr="009677B6">
        <w:rPr>
          <w:lang w:val="fr-CA"/>
        </w:rPr>
        <w:t xml:space="preserve"> Inc., </w:t>
      </w:r>
      <w:r>
        <w:rPr>
          <w:lang w:val="fr-CA"/>
        </w:rPr>
        <w:t xml:space="preserve">fait partie du groupe </w:t>
      </w:r>
      <w:proofErr w:type="spellStart"/>
      <w:r>
        <w:rPr>
          <w:lang w:val="fr-CA"/>
        </w:rPr>
        <w:t>Ballantry</w:t>
      </w:r>
      <w:proofErr w:type="spellEnd"/>
      <w:r>
        <w:rPr>
          <w:lang w:val="fr-CA"/>
        </w:rPr>
        <w:t xml:space="preserve"> de sociétés associées qui achètent et mettent en valeur des terrains dans la région </w:t>
      </w:r>
      <w:r>
        <w:rPr>
          <w:lang w:val="fr-CA"/>
        </w:rPr>
        <w:lastRenderedPageBreak/>
        <w:t>métropolitaine de Toronto.  Il s’agit d’</w:t>
      </w:r>
      <w:r w:rsidRPr="009677B6">
        <w:rPr>
          <w:lang w:val="fr-CA"/>
        </w:rPr>
        <w:t xml:space="preserve">une société à but unique </w:t>
      </w:r>
      <w:r>
        <w:rPr>
          <w:lang w:val="fr-CA"/>
        </w:rPr>
        <w:t xml:space="preserve">sans actif </w:t>
      </w:r>
      <w:r w:rsidRPr="009677B6">
        <w:rPr>
          <w:lang w:val="fr-CA"/>
        </w:rPr>
        <w:t>qui a été constituée dans le seul but de mettre en valeur l</w:t>
      </w:r>
      <w:r>
        <w:rPr>
          <w:lang w:val="fr-CA"/>
        </w:rPr>
        <w:t>’</w:t>
      </w:r>
      <w:r w:rsidRPr="009677B6">
        <w:rPr>
          <w:lang w:val="fr-CA"/>
        </w:rPr>
        <w:t>immeuble faisant l</w:t>
      </w:r>
      <w:r>
        <w:rPr>
          <w:lang w:val="fr-CA"/>
        </w:rPr>
        <w:t>’</w:t>
      </w:r>
      <w:r w:rsidRPr="009677B6">
        <w:rPr>
          <w:lang w:val="fr-CA"/>
        </w:rPr>
        <w:t>objet de la présente action</w:t>
      </w:r>
      <w:r>
        <w:rPr>
          <w:lang w:val="fr-CA"/>
        </w:rPr>
        <w:t xml:space="preserve">.  Lorsque le </w:t>
      </w:r>
      <w:proofErr w:type="spellStart"/>
      <w:r w:rsidRPr="009677B6">
        <w:rPr>
          <w:lang w:val="fr-CA"/>
        </w:rPr>
        <w:t>promettant</w:t>
      </w:r>
      <w:r>
        <w:rPr>
          <w:lang w:val="fr-CA"/>
        </w:rPr>
        <w:noBreakHyphen/>
      </w:r>
      <w:r w:rsidRPr="009677B6">
        <w:rPr>
          <w:lang w:val="fr-CA"/>
        </w:rPr>
        <w:t>vendeur</w:t>
      </w:r>
      <w:proofErr w:type="spellEnd"/>
      <w:r w:rsidRPr="009677B6">
        <w:rPr>
          <w:lang w:val="fr-CA"/>
        </w:rPr>
        <w:t xml:space="preserve">, le Toronto </w:t>
      </w:r>
      <w:proofErr w:type="spellStart"/>
      <w:r w:rsidRPr="009677B6">
        <w:rPr>
          <w:lang w:val="fr-CA"/>
        </w:rPr>
        <w:t>Catholic</w:t>
      </w:r>
      <w:proofErr w:type="spellEnd"/>
      <w:r w:rsidRPr="009677B6">
        <w:rPr>
          <w:lang w:val="fr-CA"/>
        </w:rPr>
        <w:t xml:space="preserve"> District </w:t>
      </w:r>
      <w:proofErr w:type="spellStart"/>
      <w:r w:rsidRPr="009677B6">
        <w:rPr>
          <w:lang w:val="fr-CA"/>
        </w:rPr>
        <w:t>School</w:t>
      </w:r>
      <w:proofErr w:type="spellEnd"/>
      <w:r w:rsidRPr="009677B6">
        <w:rPr>
          <w:lang w:val="fr-CA"/>
        </w:rPr>
        <w:t xml:space="preserve"> </w:t>
      </w:r>
      <w:proofErr w:type="spellStart"/>
      <w:r w:rsidRPr="009677B6">
        <w:rPr>
          <w:lang w:val="fr-CA"/>
        </w:rPr>
        <w:t>Board</w:t>
      </w:r>
      <w:proofErr w:type="spellEnd"/>
      <w:r w:rsidRPr="009677B6">
        <w:rPr>
          <w:lang w:val="fr-CA"/>
        </w:rPr>
        <w:t xml:space="preserve"> (le </w:t>
      </w:r>
      <w:r>
        <w:rPr>
          <w:lang w:val="fr-CA"/>
        </w:rPr>
        <w:t>« </w:t>
      </w:r>
      <w:r w:rsidRPr="009677B6">
        <w:rPr>
          <w:lang w:val="fr-CA"/>
        </w:rPr>
        <w:t>conseil scolaire</w:t>
      </w:r>
      <w:r>
        <w:rPr>
          <w:lang w:val="fr-CA"/>
        </w:rPr>
        <w:t> »</w:t>
      </w:r>
      <w:r w:rsidRPr="009677B6">
        <w:rPr>
          <w:lang w:val="fr-CA"/>
        </w:rPr>
        <w:t xml:space="preserve">), </w:t>
      </w:r>
      <w:r>
        <w:rPr>
          <w:lang w:val="fr-CA"/>
        </w:rPr>
        <w:t xml:space="preserve">a fait défaut </w:t>
      </w:r>
      <w:r w:rsidRPr="009677B6">
        <w:rPr>
          <w:lang w:val="fr-CA"/>
        </w:rPr>
        <w:t xml:space="preserve">de satisfaire à une </w:t>
      </w:r>
      <w:r>
        <w:rPr>
          <w:lang w:val="fr-CA"/>
        </w:rPr>
        <w:t xml:space="preserve">des </w:t>
      </w:r>
      <w:r w:rsidRPr="009677B6">
        <w:rPr>
          <w:lang w:val="fr-CA"/>
        </w:rPr>
        <w:t>condition</w:t>
      </w:r>
      <w:r>
        <w:rPr>
          <w:lang w:val="fr-CA"/>
        </w:rPr>
        <w:t>s</w:t>
      </w:r>
      <w:r w:rsidRPr="009677B6">
        <w:rPr>
          <w:lang w:val="fr-CA"/>
        </w:rPr>
        <w:t xml:space="preserve"> </w:t>
      </w:r>
      <w:r>
        <w:rPr>
          <w:lang w:val="fr-CA"/>
        </w:rPr>
        <w:t xml:space="preserve">de l’entente </w:t>
      </w:r>
      <w:r w:rsidRPr="009677B6">
        <w:rPr>
          <w:lang w:val="fr-CA"/>
        </w:rPr>
        <w:t xml:space="preserve">et </w:t>
      </w:r>
      <w:r>
        <w:rPr>
          <w:lang w:val="fr-CA"/>
        </w:rPr>
        <w:t xml:space="preserve">a refusé </w:t>
      </w:r>
      <w:r w:rsidRPr="009677B6">
        <w:rPr>
          <w:lang w:val="fr-CA"/>
        </w:rPr>
        <w:t xml:space="preserve">de proroger la date de clôture, </w:t>
      </w:r>
      <w:proofErr w:type="spellStart"/>
      <w:r w:rsidRPr="009677B6">
        <w:rPr>
          <w:lang w:val="fr-CA"/>
        </w:rPr>
        <w:t>Southcott</w:t>
      </w:r>
      <w:proofErr w:type="spellEnd"/>
      <w:r w:rsidRPr="009677B6">
        <w:rPr>
          <w:lang w:val="fr-CA"/>
        </w:rPr>
        <w:t xml:space="preserve"> a réclamé l</w:t>
      </w:r>
      <w:r>
        <w:rPr>
          <w:lang w:val="fr-CA"/>
        </w:rPr>
        <w:t>’</w:t>
      </w:r>
      <w:r w:rsidRPr="009677B6">
        <w:rPr>
          <w:lang w:val="fr-CA"/>
        </w:rPr>
        <w:t>exécution intégrale du contrat</w:t>
      </w:r>
      <w:r>
        <w:rPr>
          <w:lang w:val="fr-CA"/>
        </w:rPr>
        <w:t>.  Cette dernière plaide</w:t>
      </w:r>
      <w:r w:rsidRPr="009677B6">
        <w:rPr>
          <w:lang w:val="fr-CA"/>
        </w:rPr>
        <w:t xml:space="preserve"> qu</w:t>
      </w:r>
      <w:r>
        <w:rPr>
          <w:lang w:val="fr-CA"/>
        </w:rPr>
        <w:t>’</w:t>
      </w:r>
      <w:r w:rsidRPr="009677B6">
        <w:rPr>
          <w:lang w:val="fr-CA"/>
        </w:rPr>
        <w:t>elle n</w:t>
      </w:r>
      <w:r>
        <w:rPr>
          <w:lang w:val="fr-CA"/>
        </w:rPr>
        <w:t>’ét</w:t>
      </w:r>
      <w:r w:rsidRPr="009677B6">
        <w:rPr>
          <w:lang w:val="fr-CA"/>
        </w:rPr>
        <w:t xml:space="preserve">ait </w:t>
      </w:r>
      <w:r>
        <w:rPr>
          <w:lang w:val="fr-CA"/>
        </w:rPr>
        <w:t>pas tenue</w:t>
      </w:r>
      <w:r w:rsidRPr="009677B6">
        <w:rPr>
          <w:lang w:val="fr-CA"/>
        </w:rPr>
        <w:t xml:space="preserve"> de </w:t>
      </w:r>
      <w:r w:rsidRPr="00CE41B4">
        <w:rPr>
          <w:lang w:val="fr-CA"/>
        </w:rPr>
        <w:t>mitiger</w:t>
      </w:r>
      <w:r w:rsidRPr="009677B6">
        <w:rPr>
          <w:lang w:val="fr-CA"/>
        </w:rPr>
        <w:t xml:space="preserve"> </w:t>
      </w:r>
      <w:r>
        <w:rPr>
          <w:lang w:val="fr-CA"/>
        </w:rPr>
        <w:t>ses pertes</w:t>
      </w:r>
      <w:r w:rsidRPr="009677B6">
        <w:rPr>
          <w:lang w:val="fr-CA"/>
        </w:rPr>
        <w:t>.</w:t>
      </w:r>
    </w:p>
    <w:p w:rsidR="0071502D" w:rsidRPr="009677B6" w:rsidRDefault="0071502D" w:rsidP="0071502D">
      <w:pPr>
        <w:pStyle w:val="ParaNoNdepar-AltN"/>
        <w:rPr>
          <w:lang w:val="fr-CA"/>
        </w:rPr>
      </w:pPr>
      <w:r w:rsidRPr="009677B6">
        <w:rPr>
          <w:lang w:val="fr-CA"/>
        </w:rPr>
        <w:t>Le juge de première instance</w:t>
      </w:r>
      <w:r>
        <w:rPr>
          <w:lang w:val="fr-CA"/>
        </w:rPr>
        <w:t xml:space="preserve"> ((2009), 78 R.P.R. (4th) 285</w:t>
      </w:r>
      <w:r w:rsidRPr="009677B6">
        <w:rPr>
          <w:lang w:val="fr-CA"/>
        </w:rPr>
        <w:t xml:space="preserve">) a conclu que le conseil scolaire avait </w:t>
      </w:r>
      <w:r>
        <w:rPr>
          <w:lang w:val="fr-CA"/>
        </w:rPr>
        <w:t xml:space="preserve">violé la promesse de </w:t>
      </w:r>
      <w:r w:rsidRPr="009677B6">
        <w:rPr>
          <w:lang w:val="fr-CA"/>
        </w:rPr>
        <w:t>vente et qu</w:t>
      </w:r>
      <w:r>
        <w:rPr>
          <w:lang w:val="fr-CA"/>
        </w:rPr>
        <w:t>’</w:t>
      </w:r>
      <w:r w:rsidRPr="009677B6">
        <w:rPr>
          <w:lang w:val="fr-CA"/>
        </w:rPr>
        <w:t>il n</w:t>
      </w:r>
      <w:r>
        <w:rPr>
          <w:lang w:val="fr-CA"/>
        </w:rPr>
        <w:t>’</w:t>
      </w:r>
      <w:r w:rsidRPr="009677B6">
        <w:rPr>
          <w:lang w:val="fr-CA"/>
        </w:rPr>
        <w:t xml:space="preserve">avait pas démontré que </w:t>
      </w:r>
      <w:proofErr w:type="spellStart"/>
      <w:r w:rsidRPr="009677B6">
        <w:rPr>
          <w:lang w:val="fr-CA"/>
        </w:rPr>
        <w:t>Southcott</w:t>
      </w:r>
      <w:proofErr w:type="spellEnd"/>
      <w:r w:rsidRPr="009677B6">
        <w:rPr>
          <w:lang w:val="fr-CA"/>
        </w:rPr>
        <w:t xml:space="preserve"> aurait pu </w:t>
      </w:r>
      <w:r w:rsidRPr="00CE41B4">
        <w:rPr>
          <w:lang w:val="fr-CA"/>
        </w:rPr>
        <w:t>mitiger</w:t>
      </w:r>
      <w:r w:rsidRPr="009677B6">
        <w:rPr>
          <w:lang w:val="fr-CA"/>
        </w:rPr>
        <w:t xml:space="preserve"> ses dommages</w:t>
      </w:r>
      <w:r>
        <w:rPr>
          <w:lang w:val="fr-CA"/>
        </w:rPr>
        <w:t xml:space="preserve">.  </w:t>
      </w:r>
      <w:r w:rsidRPr="009677B6">
        <w:rPr>
          <w:lang w:val="fr-CA"/>
        </w:rPr>
        <w:t xml:space="preserve">Il a condamné le conseil scolaire à </w:t>
      </w:r>
      <w:r>
        <w:rPr>
          <w:lang w:val="fr-CA"/>
        </w:rPr>
        <w:t xml:space="preserve">verser </w:t>
      </w:r>
      <w:r w:rsidRPr="009677B6">
        <w:rPr>
          <w:lang w:val="fr-CA"/>
        </w:rPr>
        <w:t xml:space="preserve">des </w:t>
      </w:r>
      <w:proofErr w:type="spellStart"/>
      <w:r w:rsidRPr="009677B6">
        <w:rPr>
          <w:lang w:val="fr-CA"/>
        </w:rPr>
        <w:t>dommages</w:t>
      </w:r>
      <w:r>
        <w:rPr>
          <w:lang w:val="fr-CA"/>
        </w:rPr>
        <w:noBreakHyphen/>
      </w:r>
      <w:r w:rsidRPr="009677B6">
        <w:rPr>
          <w:lang w:val="fr-CA"/>
        </w:rPr>
        <w:t>intérêts</w:t>
      </w:r>
      <w:proofErr w:type="spellEnd"/>
      <w:r w:rsidRPr="009677B6">
        <w:rPr>
          <w:lang w:val="fr-CA"/>
        </w:rPr>
        <w:t xml:space="preserve"> </w:t>
      </w:r>
      <w:r>
        <w:rPr>
          <w:lang w:val="fr-CA"/>
        </w:rPr>
        <w:t xml:space="preserve">à </w:t>
      </w:r>
      <w:proofErr w:type="spellStart"/>
      <w:r>
        <w:rPr>
          <w:lang w:val="fr-CA"/>
        </w:rPr>
        <w:t>Southcott</w:t>
      </w:r>
      <w:proofErr w:type="spellEnd"/>
      <w:r>
        <w:rPr>
          <w:lang w:val="fr-CA"/>
        </w:rPr>
        <w:t xml:space="preserve"> </w:t>
      </w:r>
      <w:r w:rsidRPr="009677B6">
        <w:rPr>
          <w:lang w:val="fr-CA"/>
        </w:rPr>
        <w:t xml:space="preserve">pour </w:t>
      </w:r>
      <w:r>
        <w:rPr>
          <w:lang w:val="fr-CA"/>
        </w:rPr>
        <w:t xml:space="preserve">l’indemniser de la </w:t>
      </w:r>
      <w:r w:rsidRPr="009677B6">
        <w:rPr>
          <w:lang w:val="fr-CA"/>
        </w:rPr>
        <w:t>perte de possibilité de réaliser un profit</w:t>
      </w:r>
      <w:r>
        <w:rPr>
          <w:lang w:val="fr-CA"/>
        </w:rPr>
        <w:t>.  Il a refusé d’ordonner l’</w:t>
      </w:r>
      <w:r w:rsidRPr="009677B6">
        <w:rPr>
          <w:lang w:val="fr-CA"/>
        </w:rPr>
        <w:t>exécution intégrale</w:t>
      </w:r>
      <w:r>
        <w:rPr>
          <w:lang w:val="fr-CA"/>
        </w:rPr>
        <w:t xml:space="preserve"> du contrat</w:t>
      </w:r>
      <w:r w:rsidRPr="009677B6">
        <w:rPr>
          <w:lang w:val="fr-CA"/>
        </w:rPr>
        <w:t>, estimant que l</w:t>
      </w:r>
      <w:r>
        <w:rPr>
          <w:lang w:val="fr-CA"/>
        </w:rPr>
        <w:t>’</w:t>
      </w:r>
      <w:r w:rsidRPr="009677B6">
        <w:rPr>
          <w:lang w:val="fr-CA"/>
        </w:rPr>
        <w:t>immeuble n</w:t>
      </w:r>
      <w:r>
        <w:rPr>
          <w:lang w:val="fr-CA"/>
        </w:rPr>
        <w:t>’</w:t>
      </w:r>
      <w:r w:rsidRPr="009677B6">
        <w:rPr>
          <w:lang w:val="fr-CA"/>
        </w:rPr>
        <w:t>était pas « unique »</w:t>
      </w:r>
      <w:r>
        <w:rPr>
          <w:lang w:val="fr-CA"/>
        </w:rPr>
        <w:t xml:space="preserve"> et que les </w:t>
      </w:r>
      <w:proofErr w:type="spellStart"/>
      <w:r>
        <w:rPr>
          <w:lang w:val="fr-CA"/>
        </w:rPr>
        <w:t>dommages</w:t>
      </w:r>
      <w:r>
        <w:rPr>
          <w:lang w:val="fr-CA"/>
        </w:rPr>
        <w:noBreakHyphen/>
        <w:t>intérêts</w:t>
      </w:r>
      <w:proofErr w:type="spellEnd"/>
      <w:r>
        <w:rPr>
          <w:lang w:val="fr-CA"/>
        </w:rPr>
        <w:t xml:space="preserve"> constituaient une réparation adéquate.</w:t>
      </w:r>
    </w:p>
    <w:p w:rsidR="0071502D" w:rsidRPr="009677B6" w:rsidRDefault="0071502D" w:rsidP="0071502D">
      <w:pPr>
        <w:pStyle w:val="ParaNoNdepar-AltN"/>
        <w:rPr>
          <w:lang w:val="fr-CA"/>
        </w:rPr>
      </w:pPr>
      <w:r w:rsidRPr="009677B6">
        <w:rPr>
          <w:lang w:val="fr-CA"/>
        </w:rPr>
        <w:t>La Cour d</w:t>
      </w:r>
      <w:r>
        <w:rPr>
          <w:lang w:val="fr-CA"/>
        </w:rPr>
        <w:t>’</w:t>
      </w:r>
      <w:r w:rsidRPr="009677B6">
        <w:rPr>
          <w:lang w:val="fr-CA"/>
        </w:rPr>
        <w:t>appel de l</w:t>
      </w:r>
      <w:r>
        <w:rPr>
          <w:lang w:val="fr-CA"/>
        </w:rPr>
        <w:t>’</w:t>
      </w:r>
      <w:r w:rsidRPr="009677B6">
        <w:rPr>
          <w:lang w:val="fr-CA"/>
        </w:rPr>
        <w:t xml:space="preserve">Ontario (2010 ONCA </w:t>
      </w:r>
      <w:r>
        <w:rPr>
          <w:lang w:val="fr-CA"/>
        </w:rPr>
        <w:t>310, 104 O.R. (3d) 784</w:t>
      </w:r>
      <w:r w:rsidRPr="009677B6">
        <w:rPr>
          <w:lang w:val="fr-CA"/>
        </w:rPr>
        <w:t xml:space="preserve">) a </w:t>
      </w:r>
      <w:r>
        <w:rPr>
          <w:lang w:val="fr-CA"/>
        </w:rPr>
        <w:t xml:space="preserve">statué </w:t>
      </w:r>
      <w:r w:rsidRPr="009677B6">
        <w:rPr>
          <w:lang w:val="fr-CA"/>
        </w:rPr>
        <w:t xml:space="preserve">que, </w:t>
      </w:r>
      <w:r>
        <w:rPr>
          <w:lang w:val="fr-CA"/>
        </w:rPr>
        <w:t>bien que</w:t>
      </w:r>
      <w:r w:rsidRPr="009677B6">
        <w:rPr>
          <w:lang w:val="fr-CA"/>
        </w:rPr>
        <w:t xml:space="preserve"> le juge de première instance </w:t>
      </w:r>
      <w:r>
        <w:rPr>
          <w:lang w:val="fr-CA"/>
        </w:rPr>
        <w:t xml:space="preserve">ait eu raison de conclure </w:t>
      </w:r>
      <w:r w:rsidRPr="009677B6">
        <w:rPr>
          <w:lang w:val="fr-CA"/>
        </w:rPr>
        <w:t xml:space="preserve">que le conseil scolaire </w:t>
      </w:r>
      <w:r>
        <w:rPr>
          <w:lang w:val="fr-CA"/>
        </w:rPr>
        <w:t>n’</w:t>
      </w:r>
      <w:r w:rsidRPr="009677B6">
        <w:rPr>
          <w:lang w:val="fr-CA"/>
        </w:rPr>
        <w:t xml:space="preserve">avait </w:t>
      </w:r>
      <w:r>
        <w:rPr>
          <w:lang w:val="fr-CA"/>
        </w:rPr>
        <w:t xml:space="preserve">pas respecté </w:t>
      </w:r>
      <w:r w:rsidRPr="009677B6">
        <w:rPr>
          <w:lang w:val="fr-CA"/>
        </w:rPr>
        <w:t xml:space="preserve">ses obligations contractuelles, </w:t>
      </w:r>
      <w:r>
        <w:rPr>
          <w:lang w:val="fr-CA"/>
        </w:rPr>
        <w:t xml:space="preserve">il </w:t>
      </w:r>
      <w:r w:rsidRPr="009677B6">
        <w:rPr>
          <w:lang w:val="fr-CA"/>
        </w:rPr>
        <w:t>avait commis une erreur dans sa façon d</w:t>
      </w:r>
      <w:r>
        <w:rPr>
          <w:lang w:val="fr-CA"/>
        </w:rPr>
        <w:t>’</w:t>
      </w:r>
      <w:r w:rsidRPr="009677B6">
        <w:rPr>
          <w:lang w:val="fr-CA"/>
        </w:rPr>
        <w:t xml:space="preserve">aborder la question de la </w:t>
      </w:r>
      <w:r w:rsidRPr="00CE41B4">
        <w:rPr>
          <w:lang w:val="fr-CA"/>
        </w:rPr>
        <w:t>mitigation</w:t>
      </w:r>
      <w:r w:rsidRPr="009677B6">
        <w:rPr>
          <w:lang w:val="fr-CA"/>
        </w:rPr>
        <w:t xml:space="preserve"> du préjudice</w:t>
      </w:r>
      <w:r>
        <w:rPr>
          <w:lang w:val="fr-CA"/>
        </w:rPr>
        <w:t>.  La c</w:t>
      </w:r>
      <w:r w:rsidRPr="009677B6">
        <w:rPr>
          <w:lang w:val="fr-CA"/>
        </w:rPr>
        <w:t xml:space="preserve">our a conclu que </w:t>
      </w:r>
      <w:proofErr w:type="spellStart"/>
      <w:r w:rsidRPr="009677B6">
        <w:rPr>
          <w:lang w:val="fr-CA"/>
        </w:rPr>
        <w:t>Southcott</w:t>
      </w:r>
      <w:proofErr w:type="spellEnd"/>
      <w:r w:rsidRPr="009677B6">
        <w:rPr>
          <w:lang w:val="fr-CA"/>
        </w:rPr>
        <w:t xml:space="preserve"> avait, sans raison valable, </w:t>
      </w:r>
      <w:r>
        <w:rPr>
          <w:lang w:val="fr-CA"/>
        </w:rPr>
        <w:t>omis</w:t>
      </w:r>
      <w:r w:rsidRPr="009677B6">
        <w:rPr>
          <w:lang w:val="fr-CA"/>
        </w:rPr>
        <w:t xml:space="preserve"> de prendre les mesures appropriées pour </w:t>
      </w:r>
      <w:r w:rsidRPr="00CE41B4">
        <w:rPr>
          <w:lang w:val="fr-CA"/>
        </w:rPr>
        <w:t>mitiger</w:t>
      </w:r>
      <w:r w:rsidRPr="009677B6">
        <w:rPr>
          <w:lang w:val="fr-CA"/>
        </w:rPr>
        <w:t xml:space="preserve"> ses pertes</w:t>
      </w:r>
      <w:r>
        <w:rPr>
          <w:lang w:val="fr-CA"/>
        </w:rPr>
        <w:t xml:space="preserve"> et </w:t>
      </w:r>
      <w:r w:rsidRPr="009677B6">
        <w:rPr>
          <w:lang w:val="fr-CA"/>
        </w:rPr>
        <w:t xml:space="preserve">a ramené à une somme symbolique le montant accordé en première instance à titre de </w:t>
      </w:r>
      <w:proofErr w:type="spellStart"/>
      <w:r w:rsidRPr="009677B6">
        <w:rPr>
          <w:lang w:val="fr-CA"/>
        </w:rPr>
        <w:t>dommages</w:t>
      </w:r>
      <w:r>
        <w:rPr>
          <w:lang w:val="fr-CA"/>
        </w:rPr>
        <w:noBreakHyphen/>
      </w:r>
      <w:r w:rsidRPr="009677B6">
        <w:rPr>
          <w:lang w:val="fr-CA"/>
        </w:rPr>
        <w:t>intérêts</w:t>
      </w:r>
      <w:proofErr w:type="spellEnd"/>
      <w:r w:rsidRPr="009677B6">
        <w:rPr>
          <w:lang w:val="fr-CA"/>
        </w:rPr>
        <w:t>.</w:t>
      </w:r>
    </w:p>
    <w:p w:rsidR="0071502D" w:rsidRPr="009677B6" w:rsidRDefault="0071502D" w:rsidP="0071502D">
      <w:pPr>
        <w:pStyle w:val="ParaNoNdepar-AltN"/>
        <w:rPr>
          <w:lang w:val="fr-CA"/>
        </w:rPr>
      </w:pPr>
      <w:proofErr w:type="spellStart"/>
      <w:r>
        <w:rPr>
          <w:lang w:val="fr-CA"/>
        </w:rPr>
        <w:lastRenderedPageBreak/>
        <w:t>Southcott</w:t>
      </w:r>
      <w:proofErr w:type="spellEnd"/>
      <w:r>
        <w:rPr>
          <w:lang w:val="fr-CA"/>
        </w:rPr>
        <w:t xml:space="preserve"> n’a pas fait appel du refus du juge de première instance d’ordonner l’exécution intégrale.  Elle soutient toutefois que ses pertes étaient inévitables.  L</w:t>
      </w:r>
      <w:r w:rsidRPr="009677B6">
        <w:rPr>
          <w:lang w:val="fr-CA"/>
        </w:rPr>
        <w:t xml:space="preserve">e présent pourvoi </w:t>
      </w:r>
      <w:r>
        <w:rPr>
          <w:lang w:val="fr-CA"/>
        </w:rPr>
        <w:t xml:space="preserve">soulève </w:t>
      </w:r>
      <w:r w:rsidRPr="009677B6">
        <w:rPr>
          <w:lang w:val="fr-CA"/>
        </w:rPr>
        <w:t>les questions suivantes</w:t>
      </w:r>
      <w:r>
        <w:rPr>
          <w:lang w:val="fr-CA"/>
        </w:rPr>
        <w:t> :</w:t>
      </w:r>
    </w:p>
    <w:p w:rsidR="0071502D" w:rsidRPr="009677B6" w:rsidRDefault="0071502D" w:rsidP="006A757B">
      <w:pPr>
        <w:pStyle w:val="Citation-AltC"/>
        <w:spacing w:after="480" w:line="480" w:lineRule="auto"/>
        <w:ind w:hanging="1166"/>
        <w:contextualSpacing w:val="0"/>
        <w:rPr>
          <w:lang w:val="fr-CA"/>
        </w:rPr>
      </w:pPr>
      <w:r w:rsidRPr="009677B6">
        <w:rPr>
          <w:lang w:val="fr-CA"/>
        </w:rPr>
        <w:t>1.</w:t>
      </w:r>
      <w:r w:rsidRPr="009677B6">
        <w:rPr>
          <w:lang w:val="fr-CA"/>
        </w:rPr>
        <w:tab/>
      </w:r>
      <w:r>
        <w:rPr>
          <w:lang w:val="fr-CA"/>
        </w:rPr>
        <w:t>U</w:t>
      </w:r>
      <w:r w:rsidRPr="009677B6">
        <w:rPr>
          <w:lang w:val="fr-CA"/>
        </w:rPr>
        <w:t xml:space="preserve">ne société à but unique </w:t>
      </w:r>
      <w:r>
        <w:rPr>
          <w:lang w:val="fr-CA"/>
        </w:rPr>
        <w:t xml:space="preserve">devrait-elle </w:t>
      </w:r>
      <w:r w:rsidRPr="00CE41B4">
        <w:rPr>
          <w:lang w:val="fr-CA"/>
        </w:rPr>
        <w:t>mitiger</w:t>
      </w:r>
      <w:r w:rsidRPr="009677B6">
        <w:rPr>
          <w:lang w:val="fr-CA"/>
        </w:rPr>
        <w:t xml:space="preserve"> </w:t>
      </w:r>
      <w:r>
        <w:rPr>
          <w:lang w:val="fr-CA"/>
        </w:rPr>
        <w:t>ses pertes</w:t>
      </w:r>
      <w:r w:rsidRPr="009677B6">
        <w:rPr>
          <w:lang w:val="fr-CA"/>
        </w:rPr>
        <w:t>?</w:t>
      </w:r>
    </w:p>
    <w:p w:rsidR="0071502D" w:rsidRPr="009677B6" w:rsidRDefault="0071502D" w:rsidP="006A757B">
      <w:pPr>
        <w:pStyle w:val="Citation-AltC"/>
        <w:spacing w:after="480" w:line="480" w:lineRule="auto"/>
        <w:ind w:hanging="1166"/>
        <w:contextualSpacing w:val="0"/>
        <w:rPr>
          <w:lang w:val="fr-CA"/>
        </w:rPr>
      </w:pPr>
      <w:r w:rsidRPr="009677B6">
        <w:rPr>
          <w:lang w:val="fr-CA"/>
        </w:rPr>
        <w:t>2.</w:t>
      </w:r>
      <w:r w:rsidRPr="009677B6">
        <w:rPr>
          <w:lang w:val="fr-CA"/>
        </w:rPr>
        <w:tab/>
      </w:r>
      <w:r>
        <w:rPr>
          <w:lang w:val="fr-CA"/>
        </w:rPr>
        <w:t>Dans q</w:t>
      </w:r>
      <w:r w:rsidRPr="009677B6">
        <w:rPr>
          <w:lang w:val="fr-CA"/>
        </w:rPr>
        <w:t xml:space="preserve">uelle </w:t>
      </w:r>
      <w:r>
        <w:rPr>
          <w:lang w:val="fr-CA"/>
        </w:rPr>
        <w:t xml:space="preserve">mesure un demandeur doit-il </w:t>
      </w:r>
      <w:r w:rsidRPr="00CE41B4">
        <w:rPr>
          <w:lang w:val="fr-CA"/>
        </w:rPr>
        <w:t>mitiger</w:t>
      </w:r>
      <w:r>
        <w:rPr>
          <w:lang w:val="fr-CA"/>
        </w:rPr>
        <w:t xml:space="preserve"> ses pertes lorsqu’il a réclamé </w:t>
      </w:r>
      <w:r w:rsidRPr="009677B6">
        <w:rPr>
          <w:lang w:val="fr-CA"/>
        </w:rPr>
        <w:t>l</w:t>
      </w:r>
      <w:r>
        <w:rPr>
          <w:lang w:val="fr-CA"/>
        </w:rPr>
        <w:t>’</w:t>
      </w:r>
      <w:r w:rsidRPr="009677B6">
        <w:rPr>
          <w:lang w:val="fr-CA"/>
        </w:rPr>
        <w:t>exécution intégrale du contrat?</w:t>
      </w:r>
    </w:p>
    <w:p w:rsidR="0071502D" w:rsidRPr="009677B6" w:rsidRDefault="0071502D" w:rsidP="006A757B">
      <w:pPr>
        <w:pStyle w:val="Citation-AltC"/>
        <w:spacing w:after="480" w:line="480" w:lineRule="auto"/>
        <w:ind w:hanging="1166"/>
        <w:contextualSpacing w:val="0"/>
        <w:rPr>
          <w:lang w:val="fr-CA"/>
        </w:rPr>
      </w:pPr>
      <w:r w:rsidRPr="009677B6">
        <w:rPr>
          <w:lang w:val="fr-CA"/>
        </w:rPr>
        <w:t>3.</w:t>
      </w:r>
      <w:r w:rsidRPr="009677B6">
        <w:rPr>
          <w:lang w:val="fr-CA"/>
        </w:rPr>
        <w:tab/>
        <w:t xml:space="preserve">Le juge de première instance </w:t>
      </w:r>
      <w:proofErr w:type="spellStart"/>
      <w:r w:rsidRPr="009677B6">
        <w:rPr>
          <w:lang w:val="fr-CA"/>
        </w:rPr>
        <w:t>a</w:t>
      </w:r>
      <w:r>
        <w:rPr>
          <w:lang w:val="fr-CA"/>
        </w:rPr>
        <w:noBreakHyphen/>
      </w:r>
      <w:r w:rsidRPr="009677B6">
        <w:rPr>
          <w:lang w:val="fr-CA"/>
        </w:rPr>
        <w:t>t</w:t>
      </w:r>
      <w:r>
        <w:rPr>
          <w:lang w:val="fr-CA"/>
        </w:rPr>
        <w:noBreakHyphen/>
      </w:r>
      <w:r w:rsidRPr="009677B6">
        <w:rPr>
          <w:lang w:val="fr-CA"/>
        </w:rPr>
        <w:t>il</w:t>
      </w:r>
      <w:proofErr w:type="spellEnd"/>
      <w:r w:rsidRPr="009677B6">
        <w:rPr>
          <w:lang w:val="fr-CA"/>
        </w:rPr>
        <w:t xml:space="preserve"> </w:t>
      </w:r>
      <w:r>
        <w:rPr>
          <w:lang w:val="fr-CA"/>
        </w:rPr>
        <w:t xml:space="preserve">eu tort de </w:t>
      </w:r>
      <w:r w:rsidRPr="009677B6">
        <w:rPr>
          <w:lang w:val="fr-CA"/>
        </w:rPr>
        <w:t>conclu</w:t>
      </w:r>
      <w:r>
        <w:rPr>
          <w:lang w:val="fr-CA"/>
        </w:rPr>
        <w:t>re</w:t>
      </w:r>
      <w:r w:rsidRPr="009677B6">
        <w:rPr>
          <w:lang w:val="fr-CA"/>
        </w:rPr>
        <w:t xml:space="preserve"> qu</w:t>
      </w:r>
      <w:r>
        <w:rPr>
          <w:lang w:val="fr-CA"/>
        </w:rPr>
        <w:t xml:space="preserve">’aucun </w:t>
      </w:r>
      <w:r w:rsidRPr="009677B6">
        <w:rPr>
          <w:lang w:val="fr-CA"/>
        </w:rPr>
        <w:t xml:space="preserve">élément de preuve </w:t>
      </w:r>
      <w:r>
        <w:rPr>
          <w:lang w:val="fr-CA"/>
        </w:rPr>
        <w:t>ne démontrait l’existence d’</w:t>
      </w:r>
      <w:r w:rsidRPr="009677B6">
        <w:rPr>
          <w:lang w:val="fr-CA"/>
        </w:rPr>
        <w:t xml:space="preserve">immeubles </w:t>
      </w:r>
      <w:r>
        <w:rPr>
          <w:lang w:val="fr-CA"/>
        </w:rPr>
        <w:t xml:space="preserve">rentables </w:t>
      </w:r>
      <w:r w:rsidRPr="009677B6">
        <w:rPr>
          <w:lang w:val="fr-CA"/>
        </w:rPr>
        <w:t xml:space="preserve">comparables qui auraient pu servir à </w:t>
      </w:r>
      <w:r w:rsidRPr="00CE41B4">
        <w:rPr>
          <w:lang w:val="fr-CA"/>
        </w:rPr>
        <w:t>mitiger</w:t>
      </w:r>
      <w:r w:rsidRPr="009677B6">
        <w:rPr>
          <w:lang w:val="fr-CA"/>
        </w:rPr>
        <w:t xml:space="preserve"> le préjudice?</w:t>
      </w:r>
    </w:p>
    <w:p w:rsidR="0071502D" w:rsidRPr="009677B6" w:rsidRDefault="0071502D" w:rsidP="0071502D">
      <w:pPr>
        <w:pStyle w:val="ParaNoNdepar-AltN"/>
        <w:rPr>
          <w:lang w:val="fr-CA"/>
        </w:rPr>
      </w:pPr>
      <w:r w:rsidRPr="009677B6">
        <w:rPr>
          <w:lang w:val="fr-CA"/>
        </w:rPr>
        <w:t xml:space="preserve">Pour les motifs qui suivent, je conclus que </w:t>
      </w:r>
      <w:proofErr w:type="spellStart"/>
      <w:r w:rsidRPr="009677B6">
        <w:rPr>
          <w:lang w:val="fr-CA"/>
        </w:rPr>
        <w:t>Southcott</w:t>
      </w:r>
      <w:proofErr w:type="spellEnd"/>
      <w:r w:rsidRPr="009677B6">
        <w:rPr>
          <w:lang w:val="fr-CA"/>
        </w:rPr>
        <w:t xml:space="preserve"> </w:t>
      </w:r>
      <w:r>
        <w:rPr>
          <w:lang w:val="fr-CA"/>
        </w:rPr>
        <w:t xml:space="preserve">ne peut recouvrer les pertes qu’elle aurait </w:t>
      </w:r>
      <w:r w:rsidRPr="00CE41B4">
        <w:rPr>
          <w:lang w:val="fr-CA"/>
        </w:rPr>
        <w:t>raisonnablement</w:t>
      </w:r>
      <w:r>
        <w:rPr>
          <w:lang w:val="fr-CA"/>
        </w:rPr>
        <w:t xml:space="preserve"> pu éviter.  </w:t>
      </w:r>
      <w:r w:rsidRPr="009677B6">
        <w:rPr>
          <w:lang w:val="fr-CA"/>
        </w:rPr>
        <w:t>Je suis d</w:t>
      </w:r>
      <w:r>
        <w:rPr>
          <w:lang w:val="fr-CA"/>
        </w:rPr>
        <w:t>’</w:t>
      </w:r>
      <w:r w:rsidRPr="009677B6">
        <w:rPr>
          <w:lang w:val="fr-CA"/>
        </w:rPr>
        <w:t xml:space="preserve">accord avec la </w:t>
      </w:r>
      <w:r>
        <w:rPr>
          <w:lang w:val="fr-CA"/>
        </w:rPr>
        <w:t>c</w:t>
      </w:r>
      <w:r w:rsidRPr="009677B6">
        <w:rPr>
          <w:lang w:val="fr-CA"/>
        </w:rPr>
        <w:t>our d</w:t>
      </w:r>
      <w:r>
        <w:rPr>
          <w:lang w:val="fr-CA"/>
        </w:rPr>
        <w:t>’</w:t>
      </w:r>
      <w:r w:rsidRPr="009677B6">
        <w:rPr>
          <w:lang w:val="fr-CA"/>
        </w:rPr>
        <w:t xml:space="preserve">appel pour dire que le juge de première instance a </w:t>
      </w:r>
      <w:r>
        <w:rPr>
          <w:lang w:val="fr-CA"/>
        </w:rPr>
        <w:t xml:space="preserve">eu tort de conclure qu’aucun élément de preuve n’indiquait l’existence </w:t>
      </w:r>
      <w:r w:rsidRPr="009677B6">
        <w:rPr>
          <w:lang w:val="fr-CA"/>
        </w:rPr>
        <w:t>d</w:t>
      </w:r>
      <w:r>
        <w:rPr>
          <w:lang w:val="fr-CA"/>
        </w:rPr>
        <w:t>’</w:t>
      </w:r>
      <w:r w:rsidRPr="009677B6">
        <w:rPr>
          <w:lang w:val="fr-CA"/>
        </w:rPr>
        <w:t>autres immeubles susceptibles d</w:t>
      </w:r>
      <w:r>
        <w:rPr>
          <w:lang w:val="fr-CA"/>
        </w:rPr>
        <w:t>’</w:t>
      </w:r>
      <w:r w:rsidRPr="009677B6">
        <w:rPr>
          <w:lang w:val="fr-CA"/>
        </w:rPr>
        <w:t xml:space="preserve">être mis en valeur que </w:t>
      </w:r>
      <w:proofErr w:type="spellStart"/>
      <w:r w:rsidRPr="009677B6">
        <w:rPr>
          <w:lang w:val="fr-CA"/>
        </w:rPr>
        <w:t>Southcott</w:t>
      </w:r>
      <w:proofErr w:type="spellEnd"/>
      <w:r w:rsidRPr="009677B6">
        <w:rPr>
          <w:lang w:val="fr-CA"/>
        </w:rPr>
        <w:t xml:space="preserve"> aurait pu acheter pour </w:t>
      </w:r>
      <w:r w:rsidRPr="00CE41B4">
        <w:rPr>
          <w:lang w:val="fr-CA"/>
        </w:rPr>
        <w:t>mitiger</w:t>
      </w:r>
      <w:r w:rsidRPr="009677B6">
        <w:rPr>
          <w:lang w:val="fr-CA"/>
        </w:rPr>
        <w:t xml:space="preserve"> son préjudice</w:t>
      </w:r>
      <w:r>
        <w:rPr>
          <w:lang w:val="fr-CA"/>
        </w:rPr>
        <w:t xml:space="preserve">.  </w:t>
      </w:r>
      <w:r w:rsidRPr="009677B6">
        <w:rPr>
          <w:lang w:val="fr-CA"/>
        </w:rPr>
        <w:t>Je suis d</w:t>
      </w:r>
      <w:r>
        <w:rPr>
          <w:lang w:val="fr-CA"/>
        </w:rPr>
        <w:t>’</w:t>
      </w:r>
      <w:r w:rsidRPr="009677B6">
        <w:rPr>
          <w:lang w:val="fr-CA"/>
        </w:rPr>
        <w:t>avis de rejeter le pourvoi</w:t>
      </w:r>
      <w:r>
        <w:rPr>
          <w:lang w:val="fr-CA"/>
        </w:rPr>
        <w:t xml:space="preserve">.  </w:t>
      </w:r>
    </w:p>
    <w:p w:rsidR="0071502D" w:rsidRPr="009677B6" w:rsidRDefault="0071502D" w:rsidP="006A757B">
      <w:pPr>
        <w:pStyle w:val="TitleTitre-AltT"/>
        <w:tabs>
          <w:tab w:val="clear" w:pos="360"/>
          <w:tab w:val="left" w:pos="540"/>
        </w:tabs>
        <w:ind w:left="540" w:hanging="540"/>
        <w:rPr>
          <w:lang w:val="fr-CA"/>
        </w:rPr>
      </w:pPr>
      <w:r w:rsidRPr="009677B6">
        <w:rPr>
          <w:lang w:val="fr-CA"/>
        </w:rPr>
        <w:lastRenderedPageBreak/>
        <w:t>II.</w:t>
      </w:r>
      <w:r w:rsidRPr="009677B6">
        <w:rPr>
          <w:lang w:val="fr-CA"/>
        </w:rPr>
        <w:tab/>
      </w:r>
      <w:r w:rsidRPr="009677B6">
        <w:rPr>
          <w:u w:val="single"/>
          <w:lang w:val="fr-CA"/>
        </w:rPr>
        <w:t>Les faits</w:t>
      </w:r>
    </w:p>
    <w:p w:rsidR="0071502D" w:rsidRPr="009677B6" w:rsidRDefault="0071502D" w:rsidP="0071502D">
      <w:pPr>
        <w:pStyle w:val="ParaNoNdepar-AltN"/>
        <w:rPr>
          <w:lang w:val="fr-CA"/>
        </w:rPr>
      </w:pPr>
      <w:proofErr w:type="spellStart"/>
      <w:r w:rsidRPr="009677B6">
        <w:rPr>
          <w:lang w:val="fr-CA"/>
        </w:rPr>
        <w:t>Southcott</w:t>
      </w:r>
      <w:proofErr w:type="spellEnd"/>
      <w:r w:rsidRPr="009677B6">
        <w:rPr>
          <w:lang w:val="fr-CA"/>
        </w:rPr>
        <w:t xml:space="preserve"> est une filiale à cent pour cent de </w:t>
      </w:r>
      <w:proofErr w:type="spellStart"/>
      <w:r w:rsidRPr="009677B6">
        <w:rPr>
          <w:lang w:val="fr-CA"/>
        </w:rPr>
        <w:t>Ballantry</w:t>
      </w:r>
      <w:proofErr w:type="spellEnd"/>
      <w:r w:rsidRPr="009677B6">
        <w:rPr>
          <w:lang w:val="fr-CA"/>
        </w:rPr>
        <w:t xml:space="preserve"> Homes Inc</w:t>
      </w:r>
      <w:r>
        <w:rPr>
          <w:lang w:val="fr-CA"/>
        </w:rPr>
        <w:t>.  Elle est membre</w:t>
      </w:r>
      <w:r w:rsidRPr="009677B6">
        <w:rPr>
          <w:lang w:val="fr-CA"/>
        </w:rPr>
        <w:t xml:space="preserve"> d</w:t>
      </w:r>
      <w:r>
        <w:rPr>
          <w:lang w:val="fr-CA"/>
        </w:rPr>
        <w:t>’</w:t>
      </w:r>
      <w:r w:rsidRPr="009677B6">
        <w:rPr>
          <w:lang w:val="fr-CA"/>
        </w:rPr>
        <w:t xml:space="preserve">un consortium de </w:t>
      </w:r>
      <w:r>
        <w:rPr>
          <w:lang w:val="fr-CA"/>
        </w:rPr>
        <w:t>sociétés</w:t>
      </w:r>
      <w:r w:rsidRPr="009677B6">
        <w:rPr>
          <w:lang w:val="fr-CA"/>
        </w:rPr>
        <w:t xml:space="preserve"> appelé </w:t>
      </w:r>
      <w:proofErr w:type="spellStart"/>
      <w:r w:rsidRPr="009677B6">
        <w:rPr>
          <w:lang w:val="fr-CA"/>
        </w:rPr>
        <w:t>Ballantry</w:t>
      </w:r>
      <w:proofErr w:type="spellEnd"/>
      <w:r w:rsidRPr="009677B6">
        <w:rPr>
          <w:lang w:val="fr-CA"/>
        </w:rPr>
        <w:t xml:space="preserve"> Group of </w:t>
      </w:r>
      <w:proofErr w:type="spellStart"/>
      <w:r w:rsidRPr="009677B6">
        <w:rPr>
          <w:lang w:val="fr-CA"/>
        </w:rPr>
        <w:t>Companies</w:t>
      </w:r>
      <w:proofErr w:type="spellEnd"/>
      <w:r w:rsidRPr="009677B6">
        <w:rPr>
          <w:lang w:val="fr-CA"/>
        </w:rPr>
        <w:t xml:space="preserve"> (</w:t>
      </w:r>
      <w:r>
        <w:rPr>
          <w:lang w:val="fr-CA"/>
        </w:rPr>
        <w:t>« </w:t>
      </w:r>
      <w:proofErr w:type="spellStart"/>
      <w:r w:rsidRPr="009677B6">
        <w:rPr>
          <w:lang w:val="fr-CA"/>
        </w:rPr>
        <w:t>Ballantry</w:t>
      </w:r>
      <w:proofErr w:type="spellEnd"/>
      <w:r w:rsidR="006A757B">
        <w:rPr>
          <w:lang w:val="fr-CA"/>
        </w:rPr>
        <w:t> »</w:t>
      </w:r>
      <w:r w:rsidRPr="009677B6">
        <w:rPr>
          <w:lang w:val="fr-CA"/>
        </w:rPr>
        <w:t xml:space="preserve"> ou le </w:t>
      </w:r>
      <w:r w:rsidR="006A757B">
        <w:rPr>
          <w:lang w:val="fr-CA"/>
        </w:rPr>
        <w:t>« </w:t>
      </w:r>
      <w:r w:rsidRPr="009677B6">
        <w:rPr>
          <w:lang w:val="fr-CA"/>
        </w:rPr>
        <w:t xml:space="preserve">groupe </w:t>
      </w:r>
      <w:proofErr w:type="spellStart"/>
      <w:r w:rsidRPr="009677B6">
        <w:rPr>
          <w:lang w:val="fr-CA"/>
        </w:rPr>
        <w:t>Ballantry</w:t>
      </w:r>
      <w:proofErr w:type="spellEnd"/>
      <w:r>
        <w:rPr>
          <w:lang w:val="fr-CA"/>
        </w:rPr>
        <w:t> »</w:t>
      </w:r>
      <w:r w:rsidRPr="009677B6">
        <w:rPr>
          <w:lang w:val="fr-CA"/>
        </w:rPr>
        <w:t>)</w:t>
      </w:r>
      <w:r>
        <w:rPr>
          <w:lang w:val="fr-CA"/>
        </w:rPr>
        <w:t xml:space="preserve">.  </w:t>
      </w:r>
      <w:r w:rsidRPr="009677B6">
        <w:rPr>
          <w:lang w:val="fr-CA"/>
        </w:rPr>
        <w:t xml:space="preserve">Le conseil scolaire a été créé sous le régime de la </w:t>
      </w:r>
      <w:r w:rsidRPr="009677B6">
        <w:rPr>
          <w:i/>
          <w:lang w:val="fr-CA"/>
        </w:rPr>
        <w:t>Loi sur l</w:t>
      </w:r>
      <w:r>
        <w:rPr>
          <w:i/>
          <w:lang w:val="fr-CA"/>
        </w:rPr>
        <w:t>’</w:t>
      </w:r>
      <w:r w:rsidRPr="009677B6">
        <w:rPr>
          <w:i/>
          <w:lang w:val="fr-CA"/>
        </w:rPr>
        <w:t>éducation</w:t>
      </w:r>
      <w:r w:rsidRPr="009677B6">
        <w:rPr>
          <w:lang w:val="fr-CA"/>
        </w:rPr>
        <w:t>, L.R.</w:t>
      </w:r>
      <w:r>
        <w:rPr>
          <w:lang w:val="fr-CA"/>
        </w:rPr>
        <w:t>O. 1990, ch. </w:t>
      </w:r>
      <w:r w:rsidRPr="009677B6">
        <w:rPr>
          <w:lang w:val="fr-CA"/>
        </w:rPr>
        <w:t>E.2</w:t>
      </w:r>
      <w:r>
        <w:rPr>
          <w:lang w:val="fr-CA"/>
        </w:rPr>
        <w:t xml:space="preserve">.  </w:t>
      </w:r>
      <w:r w:rsidRPr="009677B6">
        <w:rPr>
          <w:lang w:val="fr-CA"/>
        </w:rPr>
        <w:t>Il est dirigé par une assemblée de conseillers scolaires élus par la population.</w:t>
      </w:r>
    </w:p>
    <w:p w:rsidR="0071502D" w:rsidRPr="009677B6" w:rsidRDefault="0071502D" w:rsidP="0071502D">
      <w:pPr>
        <w:pStyle w:val="ParaNoNdepar-AltN"/>
        <w:rPr>
          <w:lang w:val="fr-CA"/>
        </w:rPr>
      </w:pPr>
      <w:r w:rsidRPr="009677B6">
        <w:rPr>
          <w:lang w:val="fr-CA"/>
        </w:rPr>
        <w:t>Après avoir constaté qu</w:t>
      </w:r>
      <w:r>
        <w:rPr>
          <w:lang w:val="fr-CA"/>
        </w:rPr>
        <w:t>’</w:t>
      </w:r>
      <w:r w:rsidRPr="009677B6">
        <w:rPr>
          <w:lang w:val="fr-CA"/>
        </w:rPr>
        <w:t>il n</w:t>
      </w:r>
      <w:r>
        <w:rPr>
          <w:lang w:val="fr-CA"/>
        </w:rPr>
        <w:t>’</w:t>
      </w:r>
      <w:r w:rsidRPr="009677B6">
        <w:rPr>
          <w:lang w:val="fr-CA"/>
        </w:rPr>
        <w:t>en avait pas besoin, le conseil scolaire a décidé de mettre en vente une parcelle du terrain d</w:t>
      </w:r>
      <w:r>
        <w:rPr>
          <w:lang w:val="fr-CA"/>
        </w:rPr>
        <w:t>’</w:t>
      </w:r>
      <w:r w:rsidRPr="009677B6">
        <w:rPr>
          <w:lang w:val="fr-CA"/>
        </w:rPr>
        <w:t>une école</w:t>
      </w:r>
      <w:r>
        <w:rPr>
          <w:lang w:val="fr-CA"/>
        </w:rPr>
        <w:t xml:space="preserve">.  </w:t>
      </w:r>
      <w:r w:rsidRPr="009677B6">
        <w:rPr>
          <w:lang w:val="fr-CA"/>
        </w:rPr>
        <w:t xml:space="preserve">Entendant se servir de ce terrain pour y ériger un complexe domiciliaire, </w:t>
      </w:r>
      <w:proofErr w:type="spellStart"/>
      <w:r w:rsidRPr="009677B6">
        <w:rPr>
          <w:lang w:val="fr-CA"/>
        </w:rPr>
        <w:t>Southcott</w:t>
      </w:r>
      <w:proofErr w:type="spellEnd"/>
      <w:r w:rsidRPr="009677B6">
        <w:rPr>
          <w:lang w:val="fr-CA"/>
        </w:rPr>
        <w:t xml:space="preserve"> a convenu d</w:t>
      </w:r>
      <w:r>
        <w:rPr>
          <w:lang w:val="fr-CA"/>
        </w:rPr>
        <w:t>’</w:t>
      </w:r>
      <w:r w:rsidRPr="009677B6">
        <w:rPr>
          <w:lang w:val="fr-CA"/>
        </w:rPr>
        <w:t>acheter les 4,</w:t>
      </w:r>
      <w:r>
        <w:rPr>
          <w:lang w:val="fr-CA"/>
        </w:rPr>
        <w:t>78 </w:t>
      </w:r>
      <w:r w:rsidRPr="009677B6">
        <w:rPr>
          <w:lang w:val="fr-CA"/>
        </w:rPr>
        <w:t>acres de terrain en question pour 3,</w:t>
      </w:r>
      <w:r>
        <w:rPr>
          <w:lang w:val="fr-CA"/>
        </w:rPr>
        <w:t>44 </w:t>
      </w:r>
      <w:r w:rsidRPr="009677B6">
        <w:rPr>
          <w:lang w:val="fr-CA"/>
        </w:rPr>
        <w:t>millions de dollars</w:t>
      </w:r>
      <w:r>
        <w:rPr>
          <w:lang w:val="fr-CA"/>
        </w:rPr>
        <w:t xml:space="preserve">.  </w:t>
      </w:r>
      <w:r w:rsidRPr="009677B6">
        <w:rPr>
          <w:lang w:val="fr-CA"/>
        </w:rPr>
        <w:t xml:space="preserve">Elle a versé </w:t>
      </w:r>
      <w:r>
        <w:rPr>
          <w:lang w:val="fr-CA"/>
        </w:rPr>
        <w:t>en dépôt une somme correspondant</w:t>
      </w:r>
      <w:r w:rsidRPr="009677B6">
        <w:rPr>
          <w:lang w:val="fr-CA"/>
        </w:rPr>
        <w:t xml:space="preserve"> à 10</w:t>
      </w:r>
      <w:r>
        <w:rPr>
          <w:lang w:val="fr-CA"/>
        </w:rPr>
        <w:t> p. </w:t>
      </w:r>
      <w:r w:rsidRPr="009677B6">
        <w:rPr>
          <w:lang w:val="fr-CA"/>
        </w:rPr>
        <w:t>100 du prix d</w:t>
      </w:r>
      <w:r>
        <w:rPr>
          <w:lang w:val="fr-CA"/>
        </w:rPr>
        <w:t>’</w:t>
      </w:r>
      <w:r w:rsidRPr="009677B6">
        <w:rPr>
          <w:lang w:val="fr-CA"/>
        </w:rPr>
        <w:t xml:space="preserve">achat et les parties ont arrêté </w:t>
      </w:r>
      <w:r>
        <w:rPr>
          <w:lang w:val="fr-CA"/>
        </w:rPr>
        <w:t xml:space="preserve">le 31 août </w:t>
      </w:r>
      <w:r w:rsidRPr="009677B6">
        <w:rPr>
          <w:lang w:val="fr-CA"/>
        </w:rPr>
        <w:t>2004 comme date de clôture</w:t>
      </w:r>
      <w:r>
        <w:rPr>
          <w:lang w:val="fr-CA"/>
        </w:rPr>
        <w:t xml:space="preserve">.  </w:t>
      </w:r>
      <w:r w:rsidRPr="009677B6">
        <w:rPr>
          <w:lang w:val="fr-CA"/>
        </w:rPr>
        <w:t>Une condition de l</w:t>
      </w:r>
      <w:r>
        <w:rPr>
          <w:lang w:val="fr-CA"/>
        </w:rPr>
        <w:t>’</w:t>
      </w:r>
      <w:r w:rsidRPr="009677B6">
        <w:rPr>
          <w:lang w:val="fr-CA"/>
        </w:rPr>
        <w:t xml:space="preserve">entente </w:t>
      </w:r>
      <w:r>
        <w:rPr>
          <w:lang w:val="fr-CA"/>
        </w:rPr>
        <w:t xml:space="preserve">prévoyait </w:t>
      </w:r>
      <w:r w:rsidRPr="009677B6">
        <w:rPr>
          <w:lang w:val="fr-CA"/>
        </w:rPr>
        <w:t>que le conseil scolaire obtienne une disjonction du comité des dérogations au plus tard à la date de clôture</w:t>
      </w:r>
      <w:r>
        <w:rPr>
          <w:lang w:val="fr-CA"/>
        </w:rPr>
        <w:t xml:space="preserve">.  Le 30 août </w:t>
      </w:r>
      <w:r w:rsidRPr="009677B6">
        <w:rPr>
          <w:lang w:val="fr-CA"/>
        </w:rPr>
        <w:t xml:space="preserve">2004, les parties </w:t>
      </w:r>
      <w:r>
        <w:rPr>
          <w:lang w:val="fr-CA"/>
        </w:rPr>
        <w:t>s</w:t>
      </w:r>
      <w:r w:rsidRPr="009677B6">
        <w:rPr>
          <w:lang w:val="fr-CA"/>
        </w:rPr>
        <w:t>ont convenu</w:t>
      </w:r>
      <w:r>
        <w:rPr>
          <w:lang w:val="fr-CA"/>
        </w:rPr>
        <w:t>es</w:t>
      </w:r>
      <w:r w:rsidRPr="009677B6">
        <w:rPr>
          <w:lang w:val="fr-CA"/>
        </w:rPr>
        <w:t xml:space="preserve"> de proroger la date de clôture </w:t>
      </w:r>
      <w:r>
        <w:rPr>
          <w:lang w:val="fr-CA"/>
        </w:rPr>
        <w:t xml:space="preserve">au 31 janvier </w:t>
      </w:r>
      <w:r w:rsidRPr="009677B6">
        <w:rPr>
          <w:lang w:val="fr-CA"/>
        </w:rPr>
        <w:t>2005.</w:t>
      </w:r>
    </w:p>
    <w:p w:rsidR="0071502D" w:rsidRPr="009677B6" w:rsidRDefault="0071502D" w:rsidP="0071502D">
      <w:pPr>
        <w:pStyle w:val="ParaNoNdepar-AltN"/>
        <w:rPr>
          <w:lang w:val="fr-CA"/>
        </w:rPr>
      </w:pPr>
      <w:r w:rsidRPr="009677B6">
        <w:rPr>
          <w:lang w:val="fr-CA"/>
        </w:rPr>
        <w:t>Le conseil scolaire a présenté sa demande de disjonction en novembre</w:t>
      </w:r>
      <w:r>
        <w:rPr>
          <w:lang w:val="fr-CA"/>
        </w:rPr>
        <w:t xml:space="preserve">.  </w:t>
      </w:r>
      <w:r w:rsidRPr="009677B6">
        <w:rPr>
          <w:lang w:val="fr-CA"/>
        </w:rPr>
        <w:t>On l</w:t>
      </w:r>
      <w:r>
        <w:rPr>
          <w:lang w:val="fr-CA"/>
        </w:rPr>
        <w:t>’</w:t>
      </w:r>
      <w:r w:rsidRPr="009677B6">
        <w:rPr>
          <w:lang w:val="fr-CA"/>
        </w:rPr>
        <w:t>a informé qu</w:t>
      </w:r>
      <w:r>
        <w:rPr>
          <w:lang w:val="fr-CA"/>
        </w:rPr>
        <w:t xml:space="preserve">’il devait joindre </w:t>
      </w:r>
      <w:r w:rsidRPr="009677B6">
        <w:rPr>
          <w:lang w:val="fr-CA"/>
        </w:rPr>
        <w:t>un plan d</w:t>
      </w:r>
      <w:r>
        <w:rPr>
          <w:lang w:val="fr-CA"/>
        </w:rPr>
        <w:t>’</w:t>
      </w:r>
      <w:r w:rsidRPr="009677B6">
        <w:rPr>
          <w:lang w:val="fr-CA"/>
        </w:rPr>
        <w:t xml:space="preserve">aménagement </w:t>
      </w:r>
      <w:r>
        <w:rPr>
          <w:lang w:val="fr-CA"/>
        </w:rPr>
        <w:t>à sa demande</w:t>
      </w:r>
      <w:r w:rsidRPr="009677B6">
        <w:rPr>
          <w:lang w:val="fr-CA"/>
        </w:rPr>
        <w:t xml:space="preserve">, mais </w:t>
      </w:r>
      <w:r>
        <w:rPr>
          <w:lang w:val="fr-CA"/>
        </w:rPr>
        <w:t xml:space="preserve">il </w:t>
      </w:r>
      <w:r w:rsidRPr="009677B6">
        <w:rPr>
          <w:lang w:val="fr-CA"/>
        </w:rPr>
        <w:t>a choisi de poursuivre ses démarches sans plan d</w:t>
      </w:r>
      <w:r>
        <w:rPr>
          <w:lang w:val="fr-CA"/>
        </w:rPr>
        <w:t>’</w:t>
      </w:r>
      <w:r w:rsidRPr="009677B6">
        <w:rPr>
          <w:lang w:val="fr-CA"/>
        </w:rPr>
        <w:t>aménagement</w:t>
      </w:r>
      <w:r>
        <w:rPr>
          <w:lang w:val="fr-CA"/>
        </w:rPr>
        <w:t xml:space="preserve">.  </w:t>
      </w:r>
      <w:r w:rsidRPr="009677B6">
        <w:rPr>
          <w:lang w:val="fr-CA"/>
        </w:rPr>
        <w:t>Le 16 décembre 2004, à la demande de la municipalité, le comité des dérogations a reporté l</w:t>
      </w:r>
      <w:r>
        <w:rPr>
          <w:lang w:val="fr-CA"/>
        </w:rPr>
        <w:t>’</w:t>
      </w:r>
      <w:r w:rsidRPr="009677B6">
        <w:rPr>
          <w:lang w:val="fr-CA"/>
        </w:rPr>
        <w:t>examen de la demande de disjonction</w:t>
      </w:r>
      <w:r>
        <w:rPr>
          <w:lang w:val="fr-CA"/>
        </w:rPr>
        <w:t xml:space="preserve">, estimant </w:t>
      </w:r>
      <w:r w:rsidRPr="009677B6">
        <w:rPr>
          <w:lang w:val="fr-CA"/>
        </w:rPr>
        <w:t>qu</w:t>
      </w:r>
      <w:r>
        <w:rPr>
          <w:lang w:val="fr-CA"/>
        </w:rPr>
        <w:t>’</w:t>
      </w:r>
      <w:r w:rsidRPr="009677B6">
        <w:rPr>
          <w:lang w:val="fr-CA"/>
        </w:rPr>
        <w:t>elle était prématurée parce qu</w:t>
      </w:r>
      <w:r>
        <w:rPr>
          <w:lang w:val="fr-CA"/>
        </w:rPr>
        <w:t>’</w:t>
      </w:r>
      <w:r w:rsidRPr="009677B6">
        <w:rPr>
          <w:lang w:val="fr-CA"/>
        </w:rPr>
        <w:t>elle n</w:t>
      </w:r>
      <w:r>
        <w:rPr>
          <w:lang w:val="fr-CA"/>
        </w:rPr>
        <w:t>’</w:t>
      </w:r>
      <w:r w:rsidRPr="009677B6">
        <w:rPr>
          <w:lang w:val="fr-CA"/>
        </w:rPr>
        <w:t xml:space="preserve">était pas </w:t>
      </w:r>
      <w:r w:rsidRPr="009677B6">
        <w:rPr>
          <w:lang w:val="fr-CA"/>
        </w:rPr>
        <w:lastRenderedPageBreak/>
        <w:t>accompagnée d</w:t>
      </w:r>
      <w:r>
        <w:rPr>
          <w:lang w:val="fr-CA"/>
        </w:rPr>
        <w:t>’</w:t>
      </w:r>
      <w:r w:rsidRPr="009677B6">
        <w:rPr>
          <w:lang w:val="fr-CA"/>
        </w:rPr>
        <w:t>un plan d</w:t>
      </w:r>
      <w:r>
        <w:rPr>
          <w:lang w:val="fr-CA"/>
        </w:rPr>
        <w:t>’</w:t>
      </w:r>
      <w:r w:rsidRPr="009677B6">
        <w:rPr>
          <w:lang w:val="fr-CA"/>
        </w:rPr>
        <w:t>aménagement</w:t>
      </w:r>
      <w:r>
        <w:rPr>
          <w:lang w:val="fr-CA"/>
        </w:rPr>
        <w:t xml:space="preserve">.  </w:t>
      </w:r>
      <w:r w:rsidRPr="009677B6">
        <w:rPr>
          <w:lang w:val="fr-CA"/>
        </w:rPr>
        <w:t xml:space="preserve">À </w:t>
      </w:r>
      <w:r>
        <w:rPr>
          <w:lang w:val="fr-CA"/>
        </w:rPr>
        <w:t>ce moment,</w:t>
      </w:r>
      <w:r w:rsidRPr="009677B6">
        <w:rPr>
          <w:lang w:val="fr-CA"/>
        </w:rPr>
        <w:t xml:space="preserve"> </w:t>
      </w:r>
      <w:r>
        <w:rPr>
          <w:lang w:val="fr-CA"/>
        </w:rPr>
        <w:t xml:space="preserve">il est devenu évident pour </w:t>
      </w:r>
      <w:proofErr w:type="spellStart"/>
      <w:r w:rsidRPr="009677B6">
        <w:rPr>
          <w:lang w:val="fr-CA"/>
        </w:rPr>
        <w:t>Southcott</w:t>
      </w:r>
      <w:proofErr w:type="spellEnd"/>
      <w:r w:rsidRPr="009677B6">
        <w:rPr>
          <w:lang w:val="fr-CA"/>
        </w:rPr>
        <w:t xml:space="preserve"> et le conseil scolaire qu</w:t>
      </w:r>
      <w:r>
        <w:rPr>
          <w:lang w:val="fr-CA"/>
        </w:rPr>
        <w:t>’ils ne pourraient parfaire</w:t>
      </w:r>
      <w:r w:rsidRPr="009677B6">
        <w:rPr>
          <w:lang w:val="fr-CA"/>
        </w:rPr>
        <w:t xml:space="preserve"> l</w:t>
      </w:r>
      <w:r>
        <w:rPr>
          <w:lang w:val="fr-CA"/>
        </w:rPr>
        <w:t>’</w:t>
      </w:r>
      <w:r w:rsidRPr="009677B6">
        <w:rPr>
          <w:lang w:val="fr-CA"/>
        </w:rPr>
        <w:t xml:space="preserve">opération avant la date de clôture du </w:t>
      </w:r>
      <w:r>
        <w:rPr>
          <w:lang w:val="fr-CA"/>
        </w:rPr>
        <w:t>31 </w:t>
      </w:r>
      <w:r w:rsidRPr="009677B6">
        <w:rPr>
          <w:lang w:val="fr-CA"/>
        </w:rPr>
        <w:t>janvier 2005</w:t>
      </w:r>
      <w:r>
        <w:rPr>
          <w:lang w:val="fr-CA"/>
        </w:rPr>
        <w:t xml:space="preserve">.  </w:t>
      </w:r>
      <w:r w:rsidRPr="009677B6">
        <w:rPr>
          <w:lang w:val="fr-CA"/>
        </w:rPr>
        <w:t xml:space="preserve">Le conseil scolaire a refusé la demande </w:t>
      </w:r>
      <w:r>
        <w:rPr>
          <w:lang w:val="fr-CA"/>
        </w:rPr>
        <w:t>d</w:t>
      </w:r>
      <w:r w:rsidRPr="009677B6">
        <w:rPr>
          <w:lang w:val="fr-CA"/>
        </w:rPr>
        <w:t xml:space="preserve">e </w:t>
      </w:r>
      <w:proofErr w:type="spellStart"/>
      <w:r w:rsidRPr="009677B6">
        <w:rPr>
          <w:lang w:val="fr-CA"/>
        </w:rPr>
        <w:t>Southcott</w:t>
      </w:r>
      <w:proofErr w:type="spellEnd"/>
      <w:r w:rsidRPr="009677B6">
        <w:rPr>
          <w:lang w:val="fr-CA"/>
        </w:rPr>
        <w:t xml:space="preserve"> de prorog</w:t>
      </w:r>
      <w:r>
        <w:rPr>
          <w:lang w:val="fr-CA"/>
        </w:rPr>
        <w:t>er</w:t>
      </w:r>
      <w:r w:rsidRPr="009677B6">
        <w:rPr>
          <w:lang w:val="fr-CA"/>
        </w:rPr>
        <w:t xml:space="preserve"> la date de clôture, a déclaré l</w:t>
      </w:r>
      <w:r>
        <w:rPr>
          <w:lang w:val="fr-CA"/>
        </w:rPr>
        <w:t>’</w:t>
      </w:r>
      <w:r w:rsidRPr="009677B6">
        <w:rPr>
          <w:lang w:val="fr-CA"/>
        </w:rPr>
        <w:t>opération caduque et a rem</w:t>
      </w:r>
      <w:r>
        <w:rPr>
          <w:lang w:val="fr-CA"/>
        </w:rPr>
        <w:t xml:space="preserve">is </w:t>
      </w:r>
      <w:r w:rsidRPr="009677B6">
        <w:rPr>
          <w:lang w:val="fr-CA"/>
        </w:rPr>
        <w:t xml:space="preserve">à </w:t>
      </w:r>
      <w:proofErr w:type="spellStart"/>
      <w:r w:rsidRPr="009677B6">
        <w:rPr>
          <w:lang w:val="fr-CA"/>
        </w:rPr>
        <w:t>Southcott</w:t>
      </w:r>
      <w:proofErr w:type="spellEnd"/>
      <w:r>
        <w:rPr>
          <w:lang w:val="fr-CA"/>
        </w:rPr>
        <w:t xml:space="preserve"> la somme versée en dépôt</w:t>
      </w:r>
      <w:r w:rsidRPr="009677B6">
        <w:rPr>
          <w:lang w:val="fr-CA"/>
        </w:rPr>
        <w:t>.</w:t>
      </w:r>
    </w:p>
    <w:p w:rsidR="0071502D" w:rsidRPr="009677B6" w:rsidRDefault="0071502D" w:rsidP="0071502D">
      <w:pPr>
        <w:pStyle w:val="ParaNoNdepar-AltN"/>
        <w:rPr>
          <w:lang w:val="fr-CA"/>
        </w:rPr>
      </w:pPr>
      <w:r w:rsidRPr="00CE41B4">
        <w:rPr>
          <w:lang w:val="fr-CA"/>
        </w:rPr>
        <w:t>En faisant valoir</w:t>
      </w:r>
      <w:r w:rsidRPr="009677B6">
        <w:rPr>
          <w:lang w:val="fr-CA"/>
        </w:rPr>
        <w:t xml:space="preserve"> que le conseil scolaire avait </w:t>
      </w:r>
      <w:r>
        <w:rPr>
          <w:lang w:val="fr-CA"/>
        </w:rPr>
        <w:t xml:space="preserve">manqué à </w:t>
      </w:r>
      <w:r w:rsidRPr="009677B6">
        <w:rPr>
          <w:lang w:val="fr-CA"/>
        </w:rPr>
        <w:t xml:space="preserve">son obligation de tout mettre en </w:t>
      </w:r>
      <w:r>
        <w:rPr>
          <w:lang w:val="fr-CA"/>
        </w:rPr>
        <w:t xml:space="preserve">œuvre </w:t>
      </w:r>
      <w:r w:rsidRPr="009677B6">
        <w:rPr>
          <w:lang w:val="fr-CA"/>
        </w:rPr>
        <w:t xml:space="preserve">pour obtenir la disjonction, </w:t>
      </w:r>
      <w:proofErr w:type="spellStart"/>
      <w:r w:rsidRPr="009677B6">
        <w:rPr>
          <w:lang w:val="fr-CA"/>
        </w:rPr>
        <w:t>Southcott</w:t>
      </w:r>
      <w:proofErr w:type="spellEnd"/>
      <w:r w:rsidRPr="009677B6">
        <w:rPr>
          <w:lang w:val="fr-CA"/>
        </w:rPr>
        <w:t xml:space="preserve"> a introduit une action </w:t>
      </w:r>
      <w:r>
        <w:rPr>
          <w:lang w:val="fr-CA"/>
        </w:rPr>
        <w:t>en vue d’obtenir l’</w:t>
      </w:r>
      <w:r w:rsidRPr="009677B6">
        <w:rPr>
          <w:lang w:val="fr-CA"/>
        </w:rPr>
        <w:t xml:space="preserve">exécution intégrale </w:t>
      </w:r>
      <w:r>
        <w:rPr>
          <w:lang w:val="fr-CA"/>
        </w:rPr>
        <w:t xml:space="preserve">du contrat </w:t>
      </w:r>
      <w:r w:rsidRPr="009677B6">
        <w:rPr>
          <w:lang w:val="fr-CA"/>
        </w:rPr>
        <w:t xml:space="preserve">ou, à titre subsidiaire, des </w:t>
      </w:r>
      <w:proofErr w:type="spellStart"/>
      <w:r w:rsidRPr="009677B6">
        <w:rPr>
          <w:lang w:val="fr-CA"/>
        </w:rPr>
        <w:t>dommages</w:t>
      </w:r>
      <w:r>
        <w:rPr>
          <w:lang w:val="fr-CA"/>
        </w:rPr>
        <w:noBreakHyphen/>
      </w:r>
      <w:r w:rsidRPr="009677B6">
        <w:rPr>
          <w:lang w:val="fr-CA"/>
        </w:rPr>
        <w:t>intérêts</w:t>
      </w:r>
      <w:proofErr w:type="spellEnd"/>
      <w:r w:rsidRPr="009677B6">
        <w:rPr>
          <w:lang w:val="fr-CA"/>
        </w:rPr>
        <w:t>.</w:t>
      </w:r>
    </w:p>
    <w:p w:rsidR="0071502D" w:rsidRPr="009677B6" w:rsidRDefault="0071502D" w:rsidP="0071502D">
      <w:pPr>
        <w:pStyle w:val="ParaNoNdepar-AltN"/>
        <w:rPr>
          <w:lang w:val="fr-CA"/>
        </w:rPr>
      </w:pPr>
      <w:proofErr w:type="spellStart"/>
      <w:r w:rsidRPr="009677B6">
        <w:rPr>
          <w:lang w:val="fr-CA"/>
        </w:rPr>
        <w:t>Southcott</w:t>
      </w:r>
      <w:proofErr w:type="spellEnd"/>
      <w:r w:rsidRPr="009677B6">
        <w:rPr>
          <w:lang w:val="fr-CA"/>
        </w:rPr>
        <w:t xml:space="preserve"> a admis qu</w:t>
      </w:r>
      <w:r>
        <w:rPr>
          <w:lang w:val="fr-CA"/>
        </w:rPr>
        <w:t>’</w:t>
      </w:r>
      <w:r w:rsidRPr="009677B6">
        <w:rPr>
          <w:lang w:val="fr-CA"/>
        </w:rPr>
        <w:t>elle n</w:t>
      </w:r>
      <w:r>
        <w:rPr>
          <w:lang w:val="fr-CA"/>
        </w:rPr>
        <w:t>’</w:t>
      </w:r>
      <w:r w:rsidRPr="009677B6">
        <w:rPr>
          <w:lang w:val="fr-CA"/>
        </w:rPr>
        <w:t>avait jamais eu l</w:t>
      </w:r>
      <w:r>
        <w:rPr>
          <w:lang w:val="fr-CA"/>
        </w:rPr>
        <w:t>’</w:t>
      </w:r>
      <w:r w:rsidRPr="009677B6">
        <w:rPr>
          <w:lang w:val="fr-CA"/>
        </w:rPr>
        <w:t>intention d</w:t>
      </w:r>
      <w:r>
        <w:rPr>
          <w:lang w:val="fr-CA"/>
        </w:rPr>
        <w:t xml:space="preserve">e </w:t>
      </w:r>
      <w:r w:rsidRPr="00CE41B4">
        <w:rPr>
          <w:lang w:val="fr-CA"/>
        </w:rPr>
        <w:t>mitiger</w:t>
      </w:r>
      <w:r>
        <w:rPr>
          <w:lang w:val="fr-CA"/>
        </w:rPr>
        <w:t xml:space="preserve"> </w:t>
      </w:r>
      <w:r w:rsidRPr="009677B6">
        <w:rPr>
          <w:lang w:val="fr-CA"/>
        </w:rPr>
        <w:t>s</w:t>
      </w:r>
      <w:r>
        <w:rPr>
          <w:lang w:val="fr-CA"/>
        </w:rPr>
        <w:t>a</w:t>
      </w:r>
      <w:r w:rsidRPr="009677B6">
        <w:rPr>
          <w:lang w:val="fr-CA"/>
        </w:rPr>
        <w:t xml:space="preserve"> perte et qu</w:t>
      </w:r>
      <w:r>
        <w:rPr>
          <w:lang w:val="fr-CA"/>
        </w:rPr>
        <w:t>’</w:t>
      </w:r>
      <w:r w:rsidRPr="009677B6">
        <w:rPr>
          <w:lang w:val="fr-CA"/>
        </w:rPr>
        <w:t>en réalité, elle n</w:t>
      </w:r>
      <w:r>
        <w:rPr>
          <w:lang w:val="fr-CA"/>
        </w:rPr>
        <w:t>’</w:t>
      </w:r>
      <w:r w:rsidRPr="009677B6">
        <w:rPr>
          <w:lang w:val="fr-CA"/>
        </w:rPr>
        <w:t xml:space="preserve">avait jamais </w:t>
      </w:r>
      <w:r>
        <w:rPr>
          <w:lang w:val="fr-CA"/>
        </w:rPr>
        <w:t xml:space="preserve">essayé </w:t>
      </w:r>
      <w:r w:rsidRPr="009677B6">
        <w:rPr>
          <w:lang w:val="fr-CA"/>
        </w:rPr>
        <w:t>de l</w:t>
      </w:r>
      <w:r>
        <w:rPr>
          <w:lang w:val="fr-CA"/>
        </w:rPr>
        <w:t>a</w:t>
      </w:r>
      <w:r w:rsidRPr="009677B6">
        <w:rPr>
          <w:lang w:val="fr-CA"/>
        </w:rPr>
        <w:t xml:space="preserve"> </w:t>
      </w:r>
      <w:r w:rsidRPr="00CE41B4">
        <w:rPr>
          <w:lang w:val="fr-CA"/>
        </w:rPr>
        <w:t>mitiger</w:t>
      </w:r>
      <w:r w:rsidRPr="009677B6">
        <w:rPr>
          <w:lang w:val="fr-CA"/>
        </w:rPr>
        <w:t xml:space="preserve"> (</w:t>
      </w:r>
      <w:r>
        <w:rPr>
          <w:lang w:val="fr-CA"/>
        </w:rPr>
        <w:t>par. </w:t>
      </w:r>
      <w:r w:rsidRPr="009677B6">
        <w:rPr>
          <w:lang w:val="fr-CA"/>
        </w:rPr>
        <w:t>137 de la décision du juge de première instance)</w:t>
      </w:r>
      <w:r>
        <w:rPr>
          <w:lang w:val="fr-CA"/>
        </w:rPr>
        <w:t xml:space="preserve">.  </w:t>
      </w:r>
      <w:proofErr w:type="spellStart"/>
      <w:r w:rsidRPr="009677B6">
        <w:rPr>
          <w:lang w:val="fr-CA"/>
        </w:rPr>
        <w:t>Southcott</w:t>
      </w:r>
      <w:proofErr w:type="spellEnd"/>
      <w:r w:rsidRPr="009677B6">
        <w:rPr>
          <w:lang w:val="fr-CA"/>
        </w:rPr>
        <w:t xml:space="preserve"> était une société à but unique constituée </w:t>
      </w:r>
      <w:r>
        <w:rPr>
          <w:lang w:val="fr-CA"/>
        </w:rPr>
        <w:t>excl</w:t>
      </w:r>
      <w:r w:rsidRPr="009677B6">
        <w:rPr>
          <w:lang w:val="fr-CA"/>
        </w:rPr>
        <w:t>u</w:t>
      </w:r>
      <w:r>
        <w:rPr>
          <w:lang w:val="fr-CA"/>
        </w:rPr>
        <w:t>s</w:t>
      </w:r>
      <w:r w:rsidRPr="009677B6">
        <w:rPr>
          <w:lang w:val="fr-CA"/>
        </w:rPr>
        <w:t>i</w:t>
      </w:r>
      <w:r>
        <w:rPr>
          <w:lang w:val="fr-CA"/>
        </w:rPr>
        <w:t>v</w:t>
      </w:r>
      <w:r w:rsidRPr="009677B6">
        <w:rPr>
          <w:lang w:val="fr-CA"/>
        </w:rPr>
        <w:t>ement en vue de ce projet d</w:t>
      </w:r>
      <w:r>
        <w:rPr>
          <w:lang w:val="fr-CA"/>
        </w:rPr>
        <w:t>’</w:t>
      </w:r>
      <w:r w:rsidRPr="009677B6">
        <w:rPr>
          <w:lang w:val="fr-CA"/>
        </w:rPr>
        <w:t>aménagement et n</w:t>
      </w:r>
      <w:r>
        <w:rPr>
          <w:lang w:val="fr-CA"/>
        </w:rPr>
        <w:t>’</w:t>
      </w:r>
      <w:r w:rsidRPr="009677B6">
        <w:rPr>
          <w:lang w:val="fr-CA"/>
        </w:rPr>
        <w:t xml:space="preserve">avait </w:t>
      </w:r>
      <w:r>
        <w:rPr>
          <w:lang w:val="fr-CA"/>
        </w:rPr>
        <w:t xml:space="preserve">comme </w:t>
      </w:r>
      <w:r w:rsidRPr="009677B6">
        <w:rPr>
          <w:lang w:val="fr-CA"/>
        </w:rPr>
        <w:t xml:space="preserve">actif </w:t>
      </w:r>
      <w:r>
        <w:rPr>
          <w:lang w:val="fr-CA"/>
        </w:rPr>
        <w:t xml:space="preserve">que </w:t>
      </w:r>
      <w:r w:rsidRPr="009677B6">
        <w:rPr>
          <w:lang w:val="fr-CA"/>
        </w:rPr>
        <w:t>l</w:t>
      </w:r>
      <w:r>
        <w:rPr>
          <w:lang w:val="fr-CA"/>
        </w:rPr>
        <w:t>’</w:t>
      </w:r>
      <w:r w:rsidRPr="009677B6">
        <w:rPr>
          <w:lang w:val="fr-CA"/>
        </w:rPr>
        <w:t xml:space="preserve">argent avancé </w:t>
      </w:r>
      <w:r>
        <w:rPr>
          <w:lang w:val="fr-CA"/>
        </w:rPr>
        <w:t>par</w:t>
      </w:r>
      <w:r w:rsidRPr="009677B6">
        <w:rPr>
          <w:lang w:val="fr-CA"/>
        </w:rPr>
        <w:t xml:space="preserve"> </w:t>
      </w:r>
      <w:proofErr w:type="spellStart"/>
      <w:r w:rsidRPr="009677B6">
        <w:rPr>
          <w:lang w:val="fr-CA"/>
        </w:rPr>
        <w:t>Ballantry</w:t>
      </w:r>
      <w:proofErr w:type="spellEnd"/>
      <w:r w:rsidRPr="009677B6">
        <w:rPr>
          <w:lang w:val="fr-CA"/>
        </w:rPr>
        <w:t xml:space="preserve"> pour verser </w:t>
      </w:r>
      <w:r>
        <w:rPr>
          <w:lang w:val="fr-CA"/>
        </w:rPr>
        <w:t xml:space="preserve">le dépôt.  </w:t>
      </w:r>
      <w:r w:rsidRPr="009677B6">
        <w:rPr>
          <w:lang w:val="fr-CA"/>
        </w:rPr>
        <w:t>Elle n</w:t>
      </w:r>
      <w:r>
        <w:rPr>
          <w:lang w:val="fr-CA"/>
        </w:rPr>
        <w:t>’</w:t>
      </w:r>
      <w:r w:rsidRPr="009677B6">
        <w:rPr>
          <w:lang w:val="fr-CA"/>
        </w:rPr>
        <w:t>avait jamais eu l</w:t>
      </w:r>
      <w:r>
        <w:rPr>
          <w:lang w:val="fr-CA"/>
        </w:rPr>
        <w:t>’</w:t>
      </w:r>
      <w:r w:rsidRPr="009677B6">
        <w:rPr>
          <w:lang w:val="fr-CA"/>
        </w:rPr>
        <w:t>intention d</w:t>
      </w:r>
      <w:r>
        <w:rPr>
          <w:lang w:val="fr-CA"/>
        </w:rPr>
        <w:t>’</w:t>
      </w:r>
      <w:r w:rsidRPr="009677B6">
        <w:rPr>
          <w:lang w:val="fr-CA"/>
        </w:rPr>
        <w:t xml:space="preserve">acquérir </w:t>
      </w:r>
      <w:r>
        <w:rPr>
          <w:lang w:val="fr-CA"/>
        </w:rPr>
        <w:t xml:space="preserve">un </w:t>
      </w:r>
      <w:r w:rsidRPr="009677B6">
        <w:rPr>
          <w:lang w:val="fr-CA"/>
        </w:rPr>
        <w:t xml:space="preserve">autre </w:t>
      </w:r>
      <w:r>
        <w:rPr>
          <w:lang w:val="fr-CA"/>
        </w:rPr>
        <w:t xml:space="preserve">terrain.  </w:t>
      </w:r>
      <w:r w:rsidRPr="009677B6">
        <w:rPr>
          <w:lang w:val="fr-CA"/>
        </w:rPr>
        <w:t xml:space="preserve">En fait, le directeur de </w:t>
      </w:r>
      <w:proofErr w:type="spellStart"/>
      <w:r w:rsidRPr="009677B6">
        <w:rPr>
          <w:lang w:val="fr-CA"/>
        </w:rPr>
        <w:t>Southcott</w:t>
      </w:r>
      <w:proofErr w:type="spellEnd"/>
      <w:r w:rsidRPr="009677B6">
        <w:rPr>
          <w:lang w:val="fr-CA"/>
        </w:rPr>
        <w:t xml:space="preserve"> a expliqué au procès qu</w:t>
      </w:r>
      <w:r>
        <w:rPr>
          <w:lang w:val="fr-CA"/>
        </w:rPr>
        <w:t>’</w:t>
      </w:r>
      <w:r w:rsidRPr="009677B6">
        <w:rPr>
          <w:lang w:val="fr-CA"/>
        </w:rPr>
        <w:t>il n</w:t>
      </w:r>
      <w:r>
        <w:rPr>
          <w:lang w:val="fr-CA"/>
        </w:rPr>
        <w:t>’</w:t>
      </w:r>
      <w:r w:rsidRPr="009677B6">
        <w:rPr>
          <w:lang w:val="fr-CA"/>
        </w:rPr>
        <w:t xml:space="preserve">était pas question que </w:t>
      </w:r>
      <w:proofErr w:type="spellStart"/>
      <w:r w:rsidRPr="009677B6">
        <w:rPr>
          <w:lang w:val="fr-CA"/>
        </w:rPr>
        <w:t>Southcott</w:t>
      </w:r>
      <w:proofErr w:type="spellEnd"/>
      <w:r w:rsidRPr="009677B6">
        <w:rPr>
          <w:lang w:val="fr-CA"/>
        </w:rPr>
        <w:t xml:space="preserve"> acquière </w:t>
      </w:r>
      <w:r>
        <w:rPr>
          <w:lang w:val="fr-CA"/>
        </w:rPr>
        <w:t xml:space="preserve">un </w:t>
      </w:r>
      <w:r w:rsidRPr="009677B6">
        <w:rPr>
          <w:lang w:val="fr-CA"/>
        </w:rPr>
        <w:t xml:space="preserve">autre terrain </w:t>
      </w:r>
      <w:r>
        <w:rPr>
          <w:lang w:val="fr-CA"/>
        </w:rPr>
        <w:t xml:space="preserve">puisqu’elle était </w:t>
      </w:r>
      <w:r w:rsidRPr="009677B6">
        <w:rPr>
          <w:lang w:val="fr-CA"/>
        </w:rPr>
        <w:t>en cause dans le présent litige (</w:t>
      </w:r>
      <w:r>
        <w:rPr>
          <w:lang w:val="fr-CA"/>
        </w:rPr>
        <w:t>par. </w:t>
      </w:r>
      <w:r w:rsidRPr="009677B6">
        <w:rPr>
          <w:lang w:val="fr-CA"/>
        </w:rPr>
        <w:t xml:space="preserve">18 de la décision de la </w:t>
      </w:r>
      <w:r w:rsidR="00A37A29">
        <w:rPr>
          <w:lang w:val="fr-CA"/>
        </w:rPr>
        <w:t>C</w:t>
      </w:r>
      <w:r w:rsidRPr="009677B6">
        <w:rPr>
          <w:lang w:val="fr-CA"/>
        </w:rPr>
        <w:t>our d</w:t>
      </w:r>
      <w:r>
        <w:rPr>
          <w:lang w:val="fr-CA"/>
        </w:rPr>
        <w:t>’</w:t>
      </w:r>
      <w:r w:rsidRPr="009677B6">
        <w:rPr>
          <w:lang w:val="fr-CA"/>
        </w:rPr>
        <w:t>appel).</w:t>
      </w:r>
    </w:p>
    <w:p w:rsidR="0071502D" w:rsidRPr="009677B6" w:rsidRDefault="0071502D" w:rsidP="0071502D">
      <w:pPr>
        <w:pStyle w:val="ParaNoNdepar-AltN"/>
        <w:rPr>
          <w:lang w:val="fr-CA"/>
        </w:rPr>
      </w:pPr>
      <w:r w:rsidRPr="009677B6">
        <w:rPr>
          <w:lang w:val="fr-CA"/>
        </w:rPr>
        <w:t xml:space="preserve">Le conseil scolaire a </w:t>
      </w:r>
      <w:r>
        <w:rPr>
          <w:lang w:val="fr-CA"/>
        </w:rPr>
        <w:t xml:space="preserve">établi par </w:t>
      </w:r>
      <w:r w:rsidRPr="009677B6">
        <w:rPr>
          <w:lang w:val="fr-CA"/>
        </w:rPr>
        <w:t>expert que 81 terrains vagues susceptibles d</w:t>
      </w:r>
      <w:r>
        <w:rPr>
          <w:lang w:val="fr-CA"/>
        </w:rPr>
        <w:t>’</w:t>
      </w:r>
      <w:r w:rsidRPr="009677B6">
        <w:rPr>
          <w:lang w:val="fr-CA"/>
        </w:rPr>
        <w:t xml:space="preserve">être mis en valeur avaient été vendus </w:t>
      </w:r>
      <w:r>
        <w:rPr>
          <w:lang w:val="fr-CA"/>
        </w:rPr>
        <w:t xml:space="preserve">dans </w:t>
      </w:r>
      <w:r w:rsidRPr="009677B6">
        <w:rPr>
          <w:lang w:val="fr-CA"/>
        </w:rPr>
        <w:t xml:space="preserve">la région métropolitaine de Toronto entre la date </w:t>
      </w:r>
      <w:r>
        <w:rPr>
          <w:lang w:val="fr-CA"/>
        </w:rPr>
        <w:t xml:space="preserve">du manquement </w:t>
      </w:r>
      <w:r w:rsidRPr="009677B6">
        <w:rPr>
          <w:lang w:val="fr-CA"/>
        </w:rPr>
        <w:t>et celle du procès</w:t>
      </w:r>
      <w:r>
        <w:rPr>
          <w:lang w:val="fr-CA"/>
        </w:rPr>
        <w:t xml:space="preserve">.  </w:t>
      </w:r>
      <w:r w:rsidRPr="009677B6">
        <w:rPr>
          <w:lang w:val="fr-CA"/>
        </w:rPr>
        <w:t>Le</w:t>
      </w:r>
      <w:r>
        <w:rPr>
          <w:lang w:val="fr-CA"/>
        </w:rPr>
        <w:t xml:space="preserve"> terrain en question se prêtai</w:t>
      </w:r>
      <w:r w:rsidRPr="009677B6">
        <w:rPr>
          <w:lang w:val="fr-CA"/>
        </w:rPr>
        <w:t xml:space="preserve">t à </w:t>
      </w:r>
      <w:r w:rsidRPr="009677B6">
        <w:rPr>
          <w:lang w:val="fr-CA"/>
        </w:rPr>
        <w:lastRenderedPageBreak/>
        <w:t>l</w:t>
      </w:r>
      <w:r>
        <w:rPr>
          <w:lang w:val="fr-CA"/>
        </w:rPr>
        <w:t>’aménagement</w:t>
      </w:r>
      <w:r w:rsidRPr="009677B6">
        <w:rPr>
          <w:lang w:val="fr-CA"/>
        </w:rPr>
        <w:t xml:space="preserve"> d</w:t>
      </w:r>
      <w:r>
        <w:rPr>
          <w:lang w:val="fr-CA"/>
        </w:rPr>
        <w:t>’</w:t>
      </w:r>
      <w:r w:rsidRPr="009677B6">
        <w:rPr>
          <w:lang w:val="fr-CA"/>
        </w:rPr>
        <w:t xml:space="preserve">un complexe </w:t>
      </w:r>
      <w:r>
        <w:rPr>
          <w:lang w:val="fr-CA"/>
        </w:rPr>
        <w:t>résidentiel</w:t>
      </w:r>
      <w:r w:rsidRPr="009677B6">
        <w:rPr>
          <w:lang w:val="fr-CA"/>
        </w:rPr>
        <w:t xml:space="preserve"> </w:t>
      </w:r>
      <w:r>
        <w:rPr>
          <w:lang w:val="fr-CA"/>
        </w:rPr>
        <w:t>et équivalai</w:t>
      </w:r>
      <w:r w:rsidRPr="009677B6">
        <w:rPr>
          <w:lang w:val="fr-CA"/>
        </w:rPr>
        <w:t xml:space="preserve">t en gros, sur le plan de la superficie et du prix, aux autres terrains achetés par le groupe </w:t>
      </w:r>
      <w:proofErr w:type="spellStart"/>
      <w:r w:rsidRPr="009677B6">
        <w:rPr>
          <w:lang w:val="fr-CA"/>
        </w:rPr>
        <w:t>Ballantry</w:t>
      </w:r>
      <w:proofErr w:type="spellEnd"/>
      <w:r w:rsidRPr="009677B6">
        <w:rPr>
          <w:lang w:val="fr-CA"/>
        </w:rPr>
        <w:t xml:space="preserve">. </w:t>
      </w:r>
    </w:p>
    <w:p w:rsidR="0071502D" w:rsidRPr="009677B6" w:rsidRDefault="0071502D" w:rsidP="0071502D">
      <w:pPr>
        <w:pStyle w:val="ParaNoNdepar-AltN"/>
        <w:rPr>
          <w:lang w:val="fr-CA"/>
        </w:rPr>
      </w:pPr>
      <w:r w:rsidRPr="009677B6">
        <w:rPr>
          <w:lang w:val="fr-CA"/>
        </w:rPr>
        <w:t xml:space="preserve">Au cours de la même période, des sociétés du groupe </w:t>
      </w:r>
      <w:proofErr w:type="spellStart"/>
      <w:r w:rsidRPr="009677B6">
        <w:rPr>
          <w:lang w:val="fr-CA"/>
        </w:rPr>
        <w:t>Ballantry</w:t>
      </w:r>
      <w:proofErr w:type="spellEnd"/>
      <w:r w:rsidRPr="009677B6">
        <w:rPr>
          <w:lang w:val="fr-CA"/>
        </w:rPr>
        <w:t xml:space="preserve"> ont acheté sept parcelles de terrain en vue de les aménager</w:t>
      </w:r>
      <w:r>
        <w:rPr>
          <w:lang w:val="fr-CA"/>
        </w:rPr>
        <w:t xml:space="preserve">.  </w:t>
      </w:r>
      <w:r w:rsidRPr="009677B6">
        <w:rPr>
          <w:lang w:val="fr-CA"/>
        </w:rPr>
        <w:t xml:space="preserve">Le directeur de </w:t>
      </w:r>
      <w:proofErr w:type="spellStart"/>
      <w:r w:rsidRPr="009677B6">
        <w:rPr>
          <w:lang w:val="fr-CA"/>
        </w:rPr>
        <w:t>Ballantry</w:t>
      </w:r>
      <w:proofErr w:type="spellEnd"/>
      <w:r w:rsidRPr="009677B6">
        <w:rPr>
          <w:lang w:val="fr-CA"/>
        </w:rPr>
        <w:t xml:space="preserve"> a expliqué que ce</w:t>
      </w:r>
      <w:r>
        <w:rPr>
          <w:lang w:val="fr-CA"/>
        </w:rPr>
        <w:t xml:space="preserve"> groupe</w:t>
      </w:r>
      <w:r w:rsidRPr="009677B6">
        <w:rPr>
          <w:lang w:val="fr-CA"/>
        </w:rPr>
        <w:t xml:space="preserve"> était toujours à la recherche de nouveaux terrains, qu</w:t>
      </w:r>
      <w:r>
        <w:rPr>
          <w:lang w:val="fr-CA"/>
        </w:rPr>
        <w:t>’i</w:t>
      </w:r>
      <w:r w:rsidRPr="009677B6">
        <w:rPr>
          <w:lang w:val="fr-CA"/>
        </w:rPr>
        <w:t>l disposait des moyens financiers nécessaires pour en acquérir et qu</w:t>
      </w:r>
      <w:r>
        <w:rPr>
          <w:lang w:val="fr-CA"/>
        </w:rPr>
        <w:t>’i</w:t>
      </w:r>
      <w:r w:rsidRPr="009677B6">
        <w:rPr>
          <w:lang w:val="fr-CA"/>
        </w:rPr>
        <w:t xml:space="preserve">l aurait </w:t>
      </w:r>
      <w:r>
        <w:rPr>
          <w:lang w:val="fr-CA"/>
        </w:rPr>
        <w:t>acquis ces terrains</w:t>
      </w:r>
      <w:r w:rsidRPr="009677B6">
        <w:rPr>
          <w:lang w:val="fr-CA"/>
        </w:rPr>
        <w:t xml:space="preserve"> même si </w:t>
      </w:r>
      <w:proofErr w:type="spellStart"/>
      <w:r w:rsidRPr="009677B6">
        <w:rPr>
          <w:lang w:val="fr-CA"/>
        </w:rPr>
        <w:t>Southcott</w:t>
      </w:r>
      <w:proofErr w:type="spellEnd"/>
      <w:r w:rsidRPr="009677B6">
        <w:rPr>
          <w:lang w:val="fr-CA"/>
        </w:rPr>
        <w:t xml:space="preserve"> avait </w:t>
      </w:r>
      <w:r>
        <w:rPr>
          <w:lang w:val="fr-CA"/>
        </w:rPr>
        <w:t>réussi à ache</w:t>
      </w:r>
      <w:r w:rsidRPr="009677B6">
        <w:rPr>
          <w:lang w:val="fr-CA"/>
        </w:rPr>
        <w:t>t</w:t>
      </w:r>
      <w:r>
        <w:rPr>
          <w:lang w:val="fr-CA"/>
        </w:rPr>
        <w:t>er le terrain d</w:t>
      </w:r>
      <w:r w:rsidRPr="009677B6">
        <w:rPr>
          <w:lang w:val="fr-CA"/>
        </w:rPr>
        <w:t>u conseil scolaire (</w:t>
      </w:r>
      <w:r>
        <w:rPr>
          <w:lang w:val="fr-CA"/>
        </w:rPr>
        <w:t>par. </w:t>
      </w:r>
      <w:r w:rsidRPr="009677B6">
        <w:rPr>
          <w:lang w:val="fr-CA"/>
        </w:rPr>
        <w:t>13</w:t>
      </w:r>
      <w:r>
        <w:rPr>
          <w:lang w:val="fr-CA"/>
        </w:rPr>
        <w:t>8</w:t>
      </w:r>
      <w:r w:rsidRPr="009677B6">
        <w:rPr>
          <w:lang w:val="fr-CA"/>
        </w:rPr>
        <w:t xml:space="preserve"> de la décision du juge de première instance).</w:t>
      </w:r>
    </w:p>
    <w:p w:rsidR="0071502D" w:rsidRPr="009677B6" w:rsidRDefault="0071502D" w:rsidP="00A37A29">
      <w:pPr>
        <w:pStyle w:val="TitleTitre-AltT"/>
        <w:tabs>
          <w:tab w:val="clear" w:pos="360"/>
          <w:tab w:val="left" w:pos="540"/>
        </w:tabs>
        <w:ind w:left="540" w:hanging="540"/>
        <w:rPr>
          <w:lang w:val="fr-CA"/>
        </w:rPr>
      </w:pPr>
      <w:r w:rsidRPr="009677B6">
        <w:rPr>
          <w:lang w:val="fr-CA"/>
        </w:rPr>
        <w:t>III.</w:t>
      </w:r>
      <w:r w:rsidRPr="009677B6">
        <w:rPr>
          <w:lang w:val="fr-CA"/>
        </w:rPr>
        <w:tab/>
      </w:r>
      <w:r w:rsidRPr="009677B6">
        <w:rPr>
          <w:u w:val="single"/>
          <w:lang w:val="fr-CA"/>
        </w:rPr>
        <w:t>Décision</w:t>
      </w:r>
      <w:r>
        <w:rPr>
          <w:u w:val="single"/>
          <w:lang w:val="fr-CA"/>
        </w:rPr>
        <w:t>s</w:t>
      </w:r>
      <w:r w:rsidRPr="009677B6">
        <w:rPr>
          <w:u w:val="single"/>
          <w:lang w:val="fr-CA"/>
        </w:rPr>
        <w:t xml:space="preserve"> des juridictions inférieures</w:t>
      </w:r>
    </w:p>
    <w:p w:rsidR="0071502D" w:rsidRPr="009677B6" w:rsidRDefault="0071502D" w:rsidP="0071502D">
      <w:pPr>
        <w:pStyle w:val="ParaNoNdepar-AltN"/>
        <w:rPr>
          <w:lang w:val="fr-CA"/>
        </w:rPr>
      </w:pPr>
      <w:r w:rsidRPr="009677B6">
        <w:rPr>
          <w:lang w:val="fr-CA"/>
        </w:rPr>
        <w:t>Au procès, le juge Spiegel a conclu que le conseil scolaire n</w:t>
      </w:r>
      <w:r>
        <w:rPr>
          <w:lang w:val="fr-CA"/>
        </w:rPr>
        <w:t>’</w:t>
      </w:r>
      <w:r w:rsidRPr="009677B6">
        <w:rPr>
          <w:lang w:val="fr-CA"/>
        </w:rPr>
        <w:t>avait pas pris toutes les mesures raisonnables pour satisfaire à la condition relative à la disjonction</w:t>
      </w:r>
      <w:r>
        <w:rPr>
          <w:lang w:val="fr-CA"/>
        </w:rPr>
        <w:t>.  S</w:t>
      </w:r>
      <w:r w:rsidRPr="009677B6">
        <w:rPr>
          <w:lang w:val="fr-CA"/>
        </w:rPr>
        <w:t xml:space="preserve">elon lui, </w:t>
      </w:r>
      <w:r>
        <w:rPr>
          <w:lang w:val="fr-CA"/>
        </w:rPr>
        <w:t>l</w:t>
      </w:r>
      <w:r w:rsidRPr="009677B6">
        <w:rPr>
          <w:lang w:val="fr-CA"/>
        </w:rPr>
        <w:t>e conseil scolaire avait manqué à son obligation de déployer les efforts nécessaires en ne communiquant pas avec le</w:t>
      </w:r>
      <w:r>
        <w:rPr>
          <w:lang w:val="fr-CA"/>
        </w:rPr>
        <w:t>s</w:t>
      </w:r>
      <w:r w:rsidRPr="009677B6">
        <w:rPr>
          <w:lang w:val="fr-CA"/>
        </w:rPr>
        <w:t xml:space="preserve"> </w:t>
      </w:r>
      <w:r>
        <w:rPr>
          <w:lang w:val="fr-CA"/>
        </w:rPr>
        <w:t xml:space="preserve">employés </w:t>
      </w:r>
      <w:r w:rsidRPr="009677B6">
        <w:rPr>
          <w:lang w:val="fr-CA"/>
        </w:rPr>
        <w:t>municipa</w:t>
      </w:r>
      <w:r>
        <w:rPr>
          <w:lang w:val="fr-CA"/>
        </w:rPr>
        <w:t>ux</w:t>
      </w:r>
      <w:r w:rsidRPr="009677B6">
        <w:rPr>
          <w:lang w:val="fr-CA"/>
        </w:rPr>
        <w:t xml:space="preserve"> co</w:t>
      </w:r>
      <w:r>
        <w:rPr>
          <w:lang w:val="fr-CA"/>
        </w:rPr>
        <w:t>mpétents</w:t>
      </w:r>
      <w:r w:rsidRPr="009677B6">
        <w:rPr>
          <w:lang w:val="fr-CA"/>
        </w:rPr>
        <w:t xml:space="preserve">, en retardant le traitement de la demande de disjonction, en ne joignant pas </w:t>
      </w:r>
      <w:r>
        <w:rPr>
          <w:lang w:val="fr-CA"/>
        </w:rPr>
        <w:t>à s</w:t>
      </w:r>
      <w:r w:rsidRPr="009677B6">
        <w:rPr>
          <w:lang w:val="fr-CA"/>
        </w:rPr>
        <w:t>a demande de disjonction l</w:t>
      </w:r>
      <w:r>
        <w:rPr>
          <w:lang w:val="fr-CA"/>
        </w:rPr>
        <w:t xml:space="preserve">e plan d’aménagement proposé, en soumettant un levé </w:t>
      </w:r>
      <w:r w:rsidRPr="009677B6">
        <w:rPr>
          <w:lang w:val="fr-CA"/>
        </w:rPr>
        <w:t>incorrect, en ne cherchant pas à obtenir des conseils éclairés, en ne tenant pas compte de l</w:t>
      </w:r>
      <w:r>
        <w:rPr>
          <w:lang w:val="fr-CA"/>
        </w:rPr>
        <w:t>’</w:t>
      </w:r>
      <w:r w:rsidRPr="009677B6">
        <w:rPr>
          <w:lang w:val="fr-CA"/>
        </w:rPr>
        <w:t xml:space="preserve">avis du comité des dérogations, en </w:t>
      </w:r>
      <w:r>
        <w:rPr>
          <w:lang w:val="fr-CA"/>
        </w:rPr>
        <w:t xml:space="preserve">poursuivant sa </w:t>
      </w:r>
      <w:r w:rsidRPr="009677B6">
        <w:rPr>
          <w:lang w:val="fr-CA"/>
        </w:rPr>
        <w:t xml:space="preserve">demande de disjonction </w:t>
      </w:r>
      <w:r>
        <w:rPr>
          <w:lang w:val="fr-CA"/>
        </w:rPr>
        <w:t xml:space="preserve">même </w:t>
      </w:r>
      <w:r w:rsidRPr="009677B6">
        <w:rPr>
          <w:lang w:val="fr-CA"/>
        </w:rPr>
        <w:t>après avoir été avisé qu</w:t>
      </w:r>
      <w:r>
        <w:rPr>
          <w:lang w:val="fr-CA"/>
        </w:rPr>
        <w:t>’</w:t>
      </w:r>
      <w:r w:rsidRPr="009677B6">
        <w:rPr>
          <w:lang w:val="fr-CA"/>
        </w:rPr>
        <w:t xml:space="preserve">elle était incomplète et en ne tenant pas </w:t>
      </w:r>
      <w:proofErr w:type="spellStart"/>
      <w:r w:rsidRPr="009677B6">
        <w:rPr>
          <w:lang w:val="fr-CA"/>
        </w:rPr>
        <w:t>Southcott</w:t>
      </w:r>
      <w:proofErr w:type="spellEnd"/>
      <w:r w:rsidRPr="009677B6">
        <w:rPr>
          <w:lang w:val="fr-CA"/>
        </w:rPr>
        <w:t xml:space="preserve"> au courant (</w:t>
      </w:r>
      <w:r>
        <w:rPr>
          <w:lang w:val="fr-CA"/>
        </w:rPr>
        <w:t>par. </w:t>
      </w:r>
      <w:r w:rsidRPr="009677B6">
        <w:rPr>
          <w:lang w:val="fr-CA"/>
        </w:rPr>
        <w:t>71</w:t>
      </w:r>
      <w:r w:rsidR="00A37A29">
        <w:rPr>
          <w:lang w:val="fr-CA"/>
        </w:rPr>
        <w:t>-</w:t>
      </w:r>
      <w:r w:rsidRPr="009677B6">
        <w:rPr>
          <w:lang w:val="fr-CA"/>
        </w:rPr>
        <w:t>87).</w:t>
      </w:r>
    </w:p>
    <w:p w:rsidR="0071502D" w:rsidRPr="009677B6" w:rsidRDefault="0071502D" w:rsidP="0071502D">
      <w:pPr>
        <w:pStyle w:val="ParaNoNdepar-AltN"/>
        <w:rPr>
          <w:lang w:val="fr-CA"/>
        </w:rPr>
      </w:pPr>
      <w:r w:rsidRPr="009677B6">
        <w:rPr>
          <w:lang w:val="fr-CA"/>
        </w:rPr>
        <w:lastRenderedPageBreak/>
        <w:t xml:space="preserve">Le juge de première instance a estimé que, si le conseil scolaire </w:t>
      </w:r>
      <w:r>
        <w:rPr>
          <w:lang w:val="fr-CA"/>
        </w:rPr>
        <w:t>avait déployé</w:t>
      </w:r>
      <w:r w:rsidRPr="009677B6">
        <w:rPr>
          <w:lang w:val="fr-CA"/>
        </w:rPr>
        <w:t xml:space="preserve"> les efforts nécessaires, la disjonction aurait probablement été accordée et l</w:t>
      </w:r>
      <w:r>
        <w:rPr>
          <w:lang w:val="fr-CA"/>
        </w:rPr>
        <w:t>’</w:t>
      </w:r>
      <w:r w:rsidRPr="009677B6">
        <w:rPr>
          <w:lang w:val="fr-CA"/>
        </w:rPr>
        <w:t xml:space="preserve">opération </w:t>
      </w:r>
      <w:r>
        <w:rPr>
          <w:lang w:val="fr-CA"/>
        </w:rPr>
        <w:t xml:space="preserve">se serait concrétisée </w:t>
      </w:r>
      <w:r w:rsidRPr="009677B6">
        <w:rPr>
          <w:lang w:val="fr-CA"/>
        </w:rPr>
        <w:t>avant la date de clôture</w:t>
      </w:r>
      <w:r>
        <w:rPr>
          <w:lang w:val="fr-CA"/>
        </w:rPr>
        <w:t xml:space="preserve">.  </w:t>
      </w:r>
      <w:r w:rsidRPr="009677B6">
        <w:rPr>
          <w:lang w:val="fr-CA"/>
        </w:rPr>
        <w:t>Le juge de première instance s</w:t>
      </w:r>
      <w:r>
        <w:rPr>
          <w:lang w:val="fr-CA"/>
        </w:rPr>
        <w:t>’</w:t>
      </w:r>
      <w:r w:rsidRPr="009677B6">
        <w:rPr>
          <w:lang w:val="fr-CA"/>
        </w:rPr>
        <w:t xml:space="preserve">est dit convaincu que les pertes subies par </w:t>
      </w:r>
      <w:proofErr w:type="spellStart"/>
      <w:r w:rsidRPr="009677B6">
        <w:rPr>
          <w:lang w:val="fr-CA"/>
        </w:rPr>
        <w:t>Sout</w:t>
      </w:r>
      <w:r w:rsidR="00A37A29">
        <w:rPr>
          <w:lang w:val="fr-CA"/>
        </w:rPr>
        <w:t>h</w:t>
      </w:r>
      <w:r w:rsidRPr="009677B6">
        <w:rPr>
          <w:lang w:val="fr-CA"/>
        </w:rPr>
        <w:t>cott</w:t>
      </w:r>
      <w:proofErr w:type="spellEnd"/>
      <w:r w:rsidRPr="009677B6">
        <w:rPr>
          <w:lang w:val="fr-CA"/>
        </w:rPr>
        <w:t xml:space="preserve"> étaient attribuables </w:t>
      </w:r>
      <w:r>
        <w:rPr>
          <w:lang w:val="fr-CA"/>
        </w:rPr>
        <w:t xml:space="preserve">à l’inexécution du contrat par le </w:t>
      </w:r>
      <w:r w:rsidRPr="009677B6">
        <w:rPr>
          <w:lang w:val="fr-CA"/>
        </w:rPr>
        <w:t>conseil scolaire (</w:t>
      </w:r>
      <w:r>
        <w:rPr>
          <w:lang w:val="fr-CA"/>
        </w:rPr>
        <w:t>par. </w:t>
      </w:r>
      <w:r w:rsidRPr="009677B6">
        <w:rPr>
          <w:lang w:val="fr-CA"/>
        </w:rPr>
        <w:t>93</w:t>
      </w:r>
      <w:r w:rsidR="00A37A29">
        <w:rPr>
          <w:lang w:val="fr-CA"/>
        </w:rPr>
        <w:t>-</w:t>
      </w:r>
      <w:r w:rsidRPr="009677B6">
        <w:rPr>
          <w:lang w:val="fr-CA"/>
        </w:rPr>
        <w:t>116).</w:t>
      </w:r>
    </w:p>
    <w:p w:rsidR="0071502D" w:rsidRPr="009677B6" w:rsidRDefault="0071502D" w:rsidP="0071502D">
      <w:pPr>
        <w:pStyle w:val="ParaNoNdepar-AltN"/>
        <w:rPr>
          <w:lang w:val="fr-CA"/>
        </w:rPr>
      </w:pPr>
      <w:r w:rsidRPr="009677B6">
        <w:rPr>
          <w:lang w:val="fr-CA"/>
        </w:rPr>
        <w:t>En ce qui concerne la réparation, le juge Spiegel a conc</w:t>
      </w:r>
      <w:r>
        <w:rPr>
          <w:lang w:val="fr-CA"/>
        </w:rPr>
        <w:t>lu</w:t>
      </w:r>
      <w:r w:rsidRPr="009677B6">
        <w:rPr>
          <w:lang w:val="fr-CA"/>
        </w:rPr>
        <w:t xml:space="preserve"> que l</w:t>
      </w:r>
      <w:r>
        <w:rPr>
          <w:lang w:val="fr-CA"/>
        </w:rPr>
        <w:t>’</w:t>
      </w:r>
      <w:r w:rsidRPr="009677B6">
        <w:rPr>
          <w:lang w:val="fr-CA"/>
        </w:rPr>
        <w:t xml:space="preserve">exécution intégrale ne constituait </w:t>
      </w:r>
      <w:r>
        <w:rPr>
          <w:lang w:val="fr-CA"/>
        </w:rPr>
        <w:t xml:space="preserve">pas </w:t>
      </w:r>
      <w:r w:rsidRPr="009677B6">
        <w:rPr>
          <w:lang w:val="fr-CA"/>
        </w:rPr>
        <w:t xml:space="preserve">une réparation appropriée étant donné que le </w:t>
      </w:r>
      <w:proofErr w:type="spellStart"/>
      <w:r w:rsidRPr="009677B6">
        <w:rPr>
          <w:lang w:val="fr-CA"/>
        </w:rPr>
        <w:t>bien</w:t>
      </w:r>
      <w:r>
        <w:rPr>
          <w:lang w:val="fr-CA"/>
        </w:rPr>
        <w:noBreakHyphen/>
      </w:r>
      <w:r w:rsidRPr="009677B6">
        <w:rPr>
          <w:lang w:val="fr-CA"/>
        </w:rPr>
        <w:t>fonds</w:t>
      </w:r>
      <w:proofErr w:type="spellEnd"/>
      <w:r w:rsidRPr="009677B6">
        <w:rPr>
          <w:lang w:val="fr-CA"/>
        </w:rPr>
        <w:t xml:space="preserve"> en question ne possédait pas les </w:t>
      </w:r>
      <w:r>
        <w:rPr>
          <w:lang w:val="fr-CA"/>
        </w:rPr>
        <w:t>caractéristiques nécessaires pour être considéré comme unique (par. 128</w:t>
      </w:r>
      <w:r>
        <w:rPr>
          <w:lang w:val="fr-CA"/>
        </w:rPr>
        <w:noBreakHyphen/>
        <w:t>133)</w:t>
      </w:r>
      <w:r w:rsidRPr="009677B6">
        <w:rPr>
          <w:lang w:val="fr-CA"/>
        </w:rPr>
        <w:t>.</w:t>
      </w:r>
    </w:p>
    <w:p w:rsidR="0071502D" w:rsidRPr="009677B6" w:rsidRDefault="0071502D" w:rsidP="0071502D">
      <w:pPr>
        <w:pStyle w:val="ParaNoNdepar-AltN"/>
        <w:rPr>
          <w:lang w:val="fr-CA"/>
        </w:rPr>
      </w:pPr>
      <w:r w:rsidRPr="009677B6">
        <w:rPr>
          <w:lang w:val="fr-CA"/>
        </w:rPr>
        <w:t xml:space="preserve">Il a toutefois conclu que </w:t>
      </w:r>
      <w:proofErr w:type="spellStart"/>
      <w:r w:rsidRPr="009677B6">
        <w:rPr>
          <w:lang w:val="fr-CA"/>
        </w:rPr>
        <w:t>Southcott</w:t>
      </w:r>
      <w:proofErr w:type="spellEnd"/>
      <w:r w:rsidRPr="009677B6">
        <w:rPr>
          <w:lang w:val="fr-CA"/>
        </w:rPr>
        <w:t xml:space="preserve"> avait droit à des </w:t>
      </w:r>
      <w:proofErr w:type="spellStart"/>
      <w:r w:rsidRPr="009677B6">
        <w:rPr>
          <w:lang w:val="fr-CA"/>
        </w:rPr>
        <w:t>dommages</w:t>
      </w:r>
      <w:r>
        <w:rPr>
          <w:lang w:val="fr-CA"/>
        </w:rPr>
        <w:noBreakHyphen/>
      </w:r>
      <w:r w:rsidRPr="009677B6">
        <w:rPr>
          <w:lang w:val="fr-CA"/>
        </w:rPr>
        <w:t>intérêts</w:t>
      </w:r>
      <w:proofErr w:type="spellEnd"/>
      <w:r>
        <w:rPr>
          <w:lang w:val="fr-CA"/>
        </w:rPr>
        <w:t xml:space="preserve">.  </w:t>
      </w:r>
      <w:r w:rsidRPr="009677B6">
        <w:rPr>
          <w:lang w:val="fr-CA"/>
        </w:rPr>
        <w:t>Il a rejeté l</w:t>
      </w:r>
      <w:r>
        <w:rPr>
          <w:lang w:val="fr-CA"/>
        </w:rPr>
        <w:t>’</w:t>
      </w:r>
      <w:r w:rsidRPr="009677B6">
        <w:rPr>
          <w:lang w:val="fr-CA"/>
        </w:rPr>
        <w:t xml:space="preserve">argument du conseil scolaire </w:t>
      </w:r>
      <w:r>
        <w:rPr>
          <w:lang w:val="fr-CA"/>
        </w:rPr>
        <w:t xml:space="preserve">suivant lequel </w:t>
      </w:r>
      <w:proofErr w:type="spellStart"/>
      <w:r w:rsidRPr="009677B6">
        <w:rPr>
          <w:lang w:val="fr-CA"/>
        </w:rPr>
        <w:t>Southcott</w:t>
      </w:r>
      <w:proofErr w:type="spellEnd"/>
      <w:r w:rsidRPr="009677B6">
        <w:rPr>
          <w:lang w:val="fr-CA"/>
        </w:rPr>
        <w:t xml:space="preserve"> </w:t>
      </w:r>
      <w:r>
        <w:rPr>
          <w:lang w:val="fr-CA"/>
        </w:rPr>
        <w:t xml:space="preserve">avait effectivement </w:t>
      </w:r>
      <w:r w:rsidRPr="00CE41B4">
        <w:rPr>
          <w:lang w:val="fr-CA"/>
        </w:rPr>
        <w:t>mitigé</w:t>
      </w:r>
      <w:r w:rsidRPr="009677B6">
        <w:rPr>
          <w:lang w:val="fr-CA"/>
        </w:rPr>
        <w:t xml:space="preserve"> le préjudice étant donné que le groupe </w:t>
      </w:r>
      <w:proofErr w:type="spellStart"/>
      <w:r w:rsidRPr="009677B6">
        <w:rPr>
          <w:lang w:val="fr-CA"/>
        </w:rPr>
        <w:t>Ballantry</w:t>
      </w:r>
      <w:proofErr w:type="spellEnd"/>
      <w:r w:rsidRPr="009677B6">
        <w:rPr>
          <w:lang w:val="fr-CA"/>
        </w:rPr>
        <w:t xml:space="preserve"> avait </w:t>
      </w:r>
      <w:r>
        <w:rPr>
          <w:lang w:val="fr-CA"/>
        </w:rPr>
        <w:t xml:space="preserve">acheté </w:t>
      </w:r>
      <w:r w:rsidRPr="009677B6">
        <w:rPr>
          <w:lang w:val="fr-CA"/>
        </w:rPr>
        <w:t xml:space="preserve">plusieurs </w:t>
      </w:r>
      <w:r>
        <w:rPr>
          <w:lang w:val="fr-CA"/>
        </w:rPr>
        <w:t>autres terrains après l’inexécution du contrat :</w:t>
      </w:r>
    </w:p>
    <w:p w:rsidR="0071502D" w:rsidRPr="009677B6" w:rsidRDefault="0071502D" w:rsidP="0071502D">
      <w:pPr>
        <w:pStyle w:val="Citation-AltC"/>
        <w:ind w:left="1170" w:hanging="1170"/>
        <w:rPr>
          <w:lang w:val="fr-CA"/>
        </w:rPr>
      </w:pPr>
      <w:r>
        <w:rPr>
          <w:smallCaps/>
          <w:lang w:val="fr-CA"/>
        </w:rPr>
        <w:tab/>
      </w:r>
      <w:r w:rsidRPr="009677B6">
        <w:rPr>
          <w:smallCaps/>
          <w:lang w:val="fr-CA"/>
        </w:rPr>
        <w:t>[traduction]</w:t>
      </w:r>
      <w:r>
        <w:rPr>
          <w:smallCaps/>
          <w:lang w:val="fr-CA"/>
        </w:rPr>
        <w:t xml:space="preserve">  </w:t>
      </w:r>
      <w:r w:rsidRPr="009677B6">
        <w:rPr>
          <w:lang w:val="fr-CA"/>
        </w:rPr>
        <w:t>J</w:t>
      </w:r>
      <w:r>
        <w:rPr>
          <w:lang w:val="fr-CA"/>
        </w:rPr>
        <w:t>’</w:t>
      </w:r>
      <w:r w:rsidRPr="009677B6">
        <w:rPr>
          <w:lang w:val="fr-CA"/>
        </w:rPr>
        <w:t xml:space="preserve">estime que ces acquisitions ultérieures étaient des opérations accessoires et distinctes qui </w:t>
      </w:r>
      <w:r>
        <w:rPr>
          <w:lang w:val="fr-CA"/>
        </w:rPr>
        <w:t xml:space="preserve">étaient sans rapport avec l’inexécution.  </w:t>
      </w:r>
      <w:r w:rsidRPr="009677B6">
        <w:rPr>
          <w:lang w:val="fr-CA"/>
        </w:rPr>
        <w:t>Compte tenu de l</w:t>
      </w:r>
      <w:r>
        <w:rPr>
          <w:lang w:val="fr-CA"/>
        </w:rPr>
        <w:t>’</w:t>
      </w:r>
      <w:r w:rsidRPr="009677B6">
        <w:rPr>
          <w:lang w:val="fr-CA"/>
        </w:rPr>
        <w:t>ensemble des circonstances, je suis d</w:t>
      </w:r>
      <w:r>
        <w:rPr>
          <w:lang w:val="fr-CA"/>
        </w:rPr>
        <w:t>’</w:t>
      </w:r>
      <w:r w:rsidRPr="009677B6">
        <w:rPr>
          <w:lang w:val="fr-CA"/>
        </w:rPr>
        <w:t>avis qu</w:t>
      </w:r>
      <w:r>
        <w:rPr>
          <w:lang w:val="fr-CA"/>
        </w:rPr>
        <w:t>’</w:t>
      </w:r>
      <w:r w:rsidRPr="009677B6">
        <w:rPr>
          <w:lang w:val="fr-CA"/>
        </w:rPr>
        <w:t xml:space="preserve">aucune de ces opérations ne </w:t>
      </w:r>
      <w:r>
        <w:rPr>
          <w:lang w:val="fr-CA"/>
        </w:rPr>
        <w:t xml:space="preserve">pouvait </w:t>
      </w:r>
      <w:r w:rsidRPr="009677B6">
        <w:rPr>
          <w:lang w:val="fr-CA"/>
        </w:rPr>
        <w:t xml:space="preserve">servir à </w:t>
      </w:r>
      <w:r w:rsidRPr="00CE41B4">
        <w:rPr>
          <w:lang w:val="fr-CA"/>
        </w:rPr>
        <w:t>mitiger</w:t>
      </w:r>
      <w:r w:rsidRPr="009677B6">
        <w:rPr>
          <w:lang w:val="fr-CA"/>
        </w:rPr>
        <w:t xml:space="preserve"> le préjudice</w:t>
      </w:r>
      <w:r>
        <w:rPr>
          <w:lang w:val="fr-CA"/>
        </w:rPr>
        <w:t>.  [</w:t>
      </w:r>
      <w:proofErr w:type="gramStart"/>
      <w:r>
        <w:rPr>
          <w:lang w:val="fr-CA"/>
        </w:rPr>
        <w:t>par</w:t>
      </w:r>
      <w:proofErr w:type="gramEnd"/>
      <w:r>
        <w:rPr>
          <w:lang w:val="fr-CA"/>
        </w:rPr>
        <w:t>. </w:t>
      </w:r>
      <w:r w:rsidRPr="009677B6">
        <w:rPr>
          <w:lang w:val="fr-CA"/>
        </w:rPr>
        <w:t>143</w:t>
      </w:r>
      <w:r>
        <w:rPr>
          <w:lang w:val="fr-CA"/>
        </w:rPr>
        <w:t>]</w:t>
      </w:r>
    </w:p>
    <w:p w:rsidR="0071502D" w:rsidRPr="009677B6" w:rsidRDefault="0071502D" w:rsidP="0071502D">
      <w:pPr>
        <w:pStyle w:val="ParaNoNdepar-AltN"/>
        <w:rPr>
          <w:lang w:val="fr-CA"/>
        </w:rPr>
      </w:pPr>
      <w:r w:rsidRPr="009677B6">
        <w:rPr>
          <w:lang w:val="fr-CA"/>
        </w:rPr>
        <w:t>Le juge de première instance a estimé que le conseil scolaire ne s</w:t>
      </w:r>
      <w:r>
        <w:rPr>
          <w:lang w:val="fr-CA"/>
        </w:rPr>
        <w:t>’</w:t>
      </w:r>
      <w:r w:rsidRPr="009677B6">
        <w:rPr>
          <w:lang w:val="fr-CA"/>
        </w:rPr>
        <w:t xml:space="preserve">était pas acquitté du fardeau de démontrer que </w:t>
      </w:r>
      <w:proofErr w:type="spellStart"/>
      <w:r w:rsidRPr="009677B6">
        <w:rPr>
          <w:lang w:val="fr-CA"/>
        </w:rPr>
        <w:t>Southcott</w:t>
      </w:r>
      <w:proofErr w:type="spellEnd"/>
      <w:r w:rsidRPr="009677B6">
        <w:rPr>
          <w:lang w:val="fr-CA"/>
        </w:rPr>
        <w:t xml:space="preserve"> ne s</w:t>
      </w:r>
      <w:r>
        <w:rPr>
          <w:lang w:val="fr-CA"/>
        </w:rPr>
        <w:t>’</w:t>
      </w:r>
      <w:r w:rsidRPr="009677B6">
        <w:rPr>
          <w:lang w:val="fr-CA"/>
        </w:rPr>
        <w:t>était pas prévalue des possibilités raisonnables qui s</w:t>
      </w:r>
      <w:r>
        <w:rPr>
          <w:lang w:val="fr-CA"/>
        </w:rPr>
        <w:t>’</w:t>
      </w:r>
      <w:r w:rsidRPr="009677B6">
        <w:rPr>
          <w:lang w:val="fr-CA"/>
        </w:rPr>
        <w:t xml:space="preserve">offraient à elle </w:t>
      </w:r>
      <w:r>
        <w:rPr>
          <w:lang w:val="fr-CA"/>
        </w:rPr>
        <w:t xml:space="preserve">de </w:t>
      </w:r>
      <w:r w:rsidRPr="00CE41B4">
        <w:rPr>
          <w:lang w:val="fr-CA"/>
        </w:rPr>
        <w:t>mitiger</w:t>
      </w:r>
      <w:r w:rsidRPr="009677B6">
        <w:rPr>
          <w:lang w:val="fr-CA"/>
        </w:rPr>
        <w:t xml:space="preserve"> ses pertes</w:t>
      </w:r>
      <w:r>
        <w:rPr>
          <w:lang w:val="fr-CA"/>
        </w:rPr>
        <w:t xml:space="preserve">.  </w:t>
      </w:r>
      <w:r w:rsidRPr="009677B6">
        <w:rPr>
          <w:lang w:val="fr-CA"/>
        </w:rPr>
        <w:t xml:space="preserve">Il a estimé que rien </w:t>
      </w:r>
      <w:r>
        <w:rPr>
          <w:lang w:val="fr-CA"/>
        </w:rPr>
        <w:lastRenderedPageBreak/>
        <w:t xml:space="preserve">n’établissait </w:t>
      </w:r>
      <w:r w:rsidRPr="009677B6">
        <w:rPr>
          <w:lang w:val="fr-CA"/>
        </w:rPr>
        <w:t>que l</w:t>
      </w:r>
      <w:r>
        <w:rPr>
          <w:lang w:val="fr-CA"/>
        </w:rPr>
        <w:t>’</w:t>
      </w:r>
      <w:r w:rsidRPr="009677B6">
        <w:rPr>
          <w:lang w:val="fr-CA"/>
        </w:rPr>
        <w:t>une quelconque des propriétés disponi</w:t>
      </w:r>
      <w:r>
        <w:rPr>
          <w:lang w:val="fr-CA"/>
        </w:rPr>
        <w:t>bles avait été effectivement offert</w:t>
      </w:r>
      <w:r w:rsidRPr="009677B6">
        <w:rPr>
          <w:lang w:val="fr-CA"/>
        </w:rPr>
        <w:t>e en vente ou aurait pu être mise en valeur de façon rentable, ajoutant qu</w:t>
      </w:r>
      <w:r>
        <w:rPr>
          <w:lang w:val="fr-CA"/>
        </w:rPr>
        <w:t>’</w:t>
      </w:r>
      <w:r w:rsidRPr="009677B6">
        <w:rPr>
          <w:lang w:val="fr-CA"/>
        </w:rPr>
        <w:t>il n</w:t>
      </w:r>
      <w:r>
        <w:rPr>
          <w:lang w:val="fr-CA"/>
        </w:rPr>
        <w:t>’</w:t>
      </w:r>
      <w:r w:rsidRPr="009677B6">
        <w:rPr>
          <w:lang w:val="fr-CA"/>
        </w:rPr>
        <w:t>était pas convaincu que les immeubles étaient comparables</w:t>
      </w:r>
      <w:r>
        <w:rPr>
          <w:lang w:val="fr-CA"/>
        </w:rPr>
        <w:t xml:space="preserve"> (par. 144</w:t>
      </w:r>
      <w:r>
        <w:rPr>
          <w:lang w:val="fr-CA"/>
        </w:rPr>
        <w:noBreakHyphen/>
        <w:t xml:space="preserve">146).  </w:t>
      </w:r>
      <w:r w:rsidRPr="009677B6">
        <w:rPr>
          <w:lang w:val="fr-CA"/>
        </w:rPr>
        <w:t xml:space="preserve">Il a par conséquent accordé à </w:t>
      </w:r>
      <w:proofErr w:type="spellStart"/>
      <w:r w:rsidRPr="009677B6">
        <w:rPr>
          <w:lang w:val="fr-CA"/>
        </w:rPr>
        <w:t>Southcott</w:t>
      </w:r>
      <w:proofErr w:type="spellEnd"/>
      <w:r w:rsidRPr="009677B6">
        <w:rPr>
          <w:lang w:val="fr-CA"/>
        </w:rPr>
        <w:t xml:space="preserve"> la somme de 1 935 500</w:t>
      </w:r>
      <w:r>
        <w:rPr>
          <w:lang w:val="fr-CA"/>
        </w:rPr>
        <w:t> $</w:t>
      </w:r>
      <w:r w:rsidRPr="009677B6">
        <w:rPr>
          <w:lang w:val="fr-CA"/>
        </w:rPr>
        <w:t xml:space="preserve"> à titre de </w:t>
      </w:r>
      <w:proofErr w:type="spellStart"/>
      <w:r w:rsidRPr="009677B6">
        <w:rPr>
          <w:lang w:val="fr-CA"/>
        </w:rPr>
        <w:t>dommages</w:t>
      </w:r>
      <w:r>
        <w:rPr>
          <w:lang w:val="fr-CA"/>
        </w:rPr>
        <w:noBreakHyphen/>
      </w:r>
      <w:r w:rsidRPr="009677B6">
        <w:rPr>
          <w:lang w:val="fr-CA"/>
        </w:rPr>
        <w:t>intérêts</w:t>
      </w:r>
      <w:proofErr w:type="spellEnd"/>
      <w:r w:rsidRPr="009677B6">
        <w:rPr>
          <w:lang w:val="fr-CA"/>
        </w:rPr>
        <w:t>, ce qui correspondait à la perte d</w:t>
      </w:r>
      <w:r>
        <w:rPr>
          <w:lang w:val="fr-CA"/>
        </w:rPr>
        <w:t>’</w:t>
      </w:r>
      <w:r w:rsidRPr="009677B6">
        <w:rPr>
          <w:lang w:val="fr-CA"/>
        </w:rPr>
        <w:t>une possibilité de 60 </w:t>
      </w:r>
      <w:r>
        <w:rPr>
          <w:lang w:val="fr-CA"/>
        </w:rPr>
        <w:t>p. 100 de réaliser un</w:t>
      </w:r>
      <w:r w:rsidRPr="009677B6">
        <w:rPr>
          <w:lang w:val="fr-CA"/>
        </w:rPr>
        <w:t xml:space="preserve"> profit </w:t>
      </w:r>
      <w:r>
        <w:rPr>
          <w:lang w:val="fr-CA"/>
        </w:rPr>
        <w:t>de</w:t>
      </w:r>
      <w:r w:rsidRPr="009677B6">
        <w:rPr>
          <w:lang w:val="fr-CA"/>
        </w:rPr>
        <w:t xml:space="preserve"> 3 225 827</w:t>
      </w:r>
      <w:r>
        <w:rPr>
          <w:lang w:val="fr-CA"/>
        </w:rPr>
        <w:t> $</w:t>
      </w:r>
      <w:r w:rsidRPr="009677B6">
        <w:rPr>
          <w:lang w:val="fr-CA"/>
        </w:rPr>
        <w:t>.</w:t>
      </w:r>
    </w:p>
    <w:p w:rsidR="0071502D" w:rsidRPr="009677B6" w:rsidRDefault="0071502D" w:rsidP="0071502D">
      <w:pPr>
        <w:pStyle w:val="ParaNoNdepar-AltN"/>
        <w:rPr>
          <w:lang w:val="fr-CA"/>
        </w:rPr>
      </w:pPr>
      <w:r w:rsidRPr="009677B6">
        <w:rPr>
          <w:lang w:val="fr-CA"/>
        </w:rPr>
        <w:t>En appel, le conseil scolaire n</w:t>
      </w:r>
      <w:r>
        <w:rPr>
          <w:lang w:val="fr-CA"/>
        </w:rPr>
        <w:t>’</w:t>
      </w:r>
      <w:r w:rsidRPr="009677B6">
        <w:rPr>
          <w:lang w:val="fr-CA"/>
        </w:rPr>
        <w:t>a pas contesté l</w:t>
      </w:r>
      <w:r>
        <w:rPr>
          <w:lang w:val="fr-CA"/>
        </w:rPr>
        <w:t>a</w:t>
      </w:r>
      <w:r w:rsidRPr="009677B6">
        <w:rPr>
          <w:lang w:val="fr-CA"/>
        </w:rPr>
        <w:t xml:space="preserve"> conclusion suivant l</w:t>
      </w:r>
      <w:r>
        <w:rPr>
          <w:lang w:val="fr-CA"/>
        </w:rPr>
        <w:t>a</w:t>
      </w:r>
      <w:r w:rsidRPr="009677B6">
        <w:rPr>
          <w:lang w:val="fr-CA"/>
        </w:rPr>
        <w:t xml:space="preserve">quelle il avait manqué à son obligation de tout mettre en </w:t>
      </w:r>
      <w:r>
        <w:rPr>
          <w:lang w:val="fr-CA"/>
        </w:rPr>
        <w:t xml:space="preserve">œuvre </w:t>
      </w:r>
      <w:r w:rsidRPr="009677B6">
        <w:rPr>
          <w:lang w:val="fr-CA"/>
        </w:rPr>
        <w:t xml:space="preserve">pour obtenir la disjonction exigée pour </w:t>
      </w:r>
      <w:r>
        <w:rPr>
          <w:lang w:val="fr-CA"/>
        </w:rPr>
        <w:t xml:space="preserve">parfaire </w:t>
      </w:r>
      <w:r w:rsidRPr="009677B6">
        <w:rPr>
          <w:lang w:val="fr-CA"/>
        </w:rPr>
        <w:t>la vente</w:t>
      </w:r>
      <w:r>
        <w:rPr>
          <w:lang w:val="fr-CA"/>
        </w:rPr>
        <w:t xml:space="preserve">.  </w:t>
      </w:r>
      <w:r w:rsidRPr="009677B6">
        <w:rPr>
          <w:lang w:val="fr-CA"/>
        </w:rPr>
        <w:t xml:space="preserve">Il a contesté les conclusions relatives à la causalité et à la </w:t>
      </w:r>
      <w:r w:rsidRPr="00CE41B4">
        <w:rPr>
          <w:lang w:val="fr-CA"/>
        </w:rPr>
        <w:t>mitigation</w:t>
      </w:r>
      <w:r w:rsidRPr="009677B6">
        <w:rPr>
          <w:lang w:val="fr-CA"/>
        </w:rPr>
        <w:t xml:space="preserve"> du préjudice.</w:t>
      </w:r>
    </w:p>
    <w:p w:rsidR="0071502D" w:rsidRPr="009677B6" w:rsidRDefault="0071502D" w:rsidP="0071502D">
      <w:pPr>
        <w:pStyle w:val="ParaNoNdepar-AltN"/>
        <w:rPr>
          <w:lang w:val="fr-CA"/>
        </w:rPr>
      </w:pPr>
      <w:r w:rsidRPr="009677B6">
        <w:rPr>
          <w:lang w:val="fr-CA"/>
        </w:rPr>
        <w:t>S</w:t>
      </w:r>
      <w:r w:rsidR="00A37A29">
        <w:rPr>
          <w:lang w:val="fr-CA"/>
        </w:rPr>
        <w:t>’exprimant au nom de la C</w:t>
      </w:r>
      <w:r w:rsidRPr="009677B6">
        <w:rPr>
          <w:lang w:val="fr-CA"/>
        </w:rPr>
        <w:t>our d</w:t>
      </w:r>
      <w:r>
        <w:rPr>
          <w:lang w:val="fr-CA"/>
        </w:rPr>
        <w:t>’</w:t>
      </w:r>
      <w:r w:rsidRPr="009677B6">
        <w:rPr>
          <w:lang w:val="fr-CA"/>
        </w:rPr>
        <w:t>appel, le juge Sharpe a rejeté le premier moyen d</w:t>
      </w:r>
      <w:r>
        <w:rPr>
          <w:lang w:val="fr-CA"/>
        </w:rPr>
        <w:t>’</w:t>
      </w:r>
      <w:r w:rsidRPr="009677B6">
        <w:rPr>
          <w:lang w:val="fr-CA"/>
        </w:rPr>
        <w:t>appel invoqué par le conseil scolaire suivant lequel le juge de première instance avait commis une erreur en concluant que le fait que l</w:t>
      </w:r>
      <w:r>
        <w:rPr>
          <w:lang w:val="fr-CA"/>
        </w:rPr>
        <w:t>’</w:t>
      </w:r>
      <w:r w:rsidRPr="009677B6">
        <w:rPr>
          <w:lang w:val="fr-CA"/>
        </w:rPr>
        <w:t>on n</w:t>
      </w:r>
      <w:r>
        <w:rPr>
          <w:lang w:val="fr-CA"/>
        </w:rPr>
        <w:t>’</w:t>
      </w:r>
      <w:r w:rsidRPr="009677B6">
        <w:rPr>
          <w:lang w:val="fr-CA"/>
        </w:rPr>
        <w:t>avait pas obten</w:t>
      </w:r>
      <w:r>
        <w:rPr>
          <w:lang w:val="fr-CA"/>
        </w:rPr>
        <w:t>u</w:t>
      </w:r>
      <w:r w:rsidRPr="009677B6">
        <w:rPr>
          <w:lang w:val="fr-CA"/>
        </w:rPr>
        <w:t xml:space="preserve"> la disjonction avant la date de clôture était attribuable </w:t>
      </w:r>
      <w:r>
        <w:rPr>
          <w:lang w:val="fr-CA"/>
        </w:rPr>
        <w:t xml:space="preserve">à l’inexécution du contrat par le </w:t>
      </w:r>
      <w:r w:rsidRPr="009677B6">
        <w:rPr>
          <w:lang w:val="fr-CA"/>
        </w:rPr>
        <w:t>conseil scolaire</w:t>
      </w:r>
      <w:r>
        <w:rPr>
          <w:lang w:val="fr-CA"/>
        </w:rPr>
        <w:t xml:space="preserve"> (par. 11</w:t>
      </w:r>
      <w:r>
        <w:rPr>
          <w:lang w:val="fr-CA"/>
        </w:rPr>
        <w:noBreakHyphen/>
        <w:t>14)</w:t>
      </w:r>
      <w:r w:rsidRPr="009677B6">
        <w:rPr>
          <w:lang w:val="fr-CA"/>
        </w:rPr>
        <w:t>.</w:t>
      </w:r>
    </w:p>
    <w:p w:rsidR="0071502D" w:rsidRPr="009677B6" w:rsidRDefault="0071502D" w:rsidP="0071502D">
      <w:pPr>
        <w:pStyle w:val="ParaNoNdepar-AltN"/>
        <w:rPr>
          <w:lang w:val="fr-CA"/>
        </w:rPr>
      </w:pPr>
      <w:r w:rsidRPr="009677B6">
        <w:rPr>
          <w:lang w:val="fr-CA"/>
        </w:rPr>
        <w:t xml:space="preserve">En ce qui concerne </w:t>
      </w:r>
      <w:r>
        <w:rPr>
          <w:lang w:val="fr-CA"/>
        </w:rPr>
        <w:t>la question de savoir si les pertes auraient pu être évitées</w:t>
      </w:r>
      <w:r w:rsidRPr="009677B6">
        <w:rPr>
          <w:lang w:val="fr-CA"/>
        </w:rPr>
        <w:t xml:space="preserve"> toutefois, la </w:t>
      </w:r>
      <w:r w:rsidR="00A37A29">
        <w:rPr>
          <w:lang w:val="fr-CA"/>
        </w:rPr>
        <w:t>C</w:t>
      </w:r>
      <w:r w:rsidRPr="009677B6">
        <w:rPr>
          <w:lang w:val="fr-CA"/>
        </w:rPr>
        <w:t xml:space="preserve">our </w:t>
      </w:r>
      <w:r>
        <w:rPr>
          <w:lang w:val="fr-CA"/>
        </w:rPr>
        <w:t xml:space="preserve">d’appel </w:t>
      </w:r>
      <w:r w:rsidRPr="009677B6">
        <w:rPr>
          <w:lang w:val="fr-CA"/>
        </w:rPr>
        <w:t>a conclu que le juge de première instance avait commis une erreur de droit en concluant que le conseil scolaire n</w:t>
      </w:r>
      <w:r>
        <w:rPr>
          <w:lang w:val="fr-CA"/>
        </w:rPr>
        <w:t>’</w:t>
      </w:r>
      <w:r w:rsidRPr="009677B6">
        <w:rPr>
          <w:lang w:val="fr-CA"/>
        </w:rPr>
        <w:t xml:space="preserve">avait pas démontré que </w:t>
      </w:r>
      <w:proofErr w:type="spellStart"/>
      <w:r w:rsidRPr="009677B6">
        <w:rPr>
          <w:lang w:val="fr-CA"/>
        </w:rPr>
        <w:t>Southcott</w:t>
      </w:r>
      <w:proofErr w:type="spellEnd"/>
      <w:r w:rsidRPr="009677B6">
        <w:rPr>
          <w:lang w:val="fr-CA"/>
        </w:rPr>
        <w:t xml:space="preserve"> aurait pu </w:t>
      </w:r>
      <w:r w:rsidRPr="00CE41B4">
        <w:rPr>
          <w:lang w:val="fr-CA"/>
        </w:rPr>
        <w:t>mitiger</w:t>
      </w:r>
      <w:r w:rsidRPr="009677B6">
        <w:rPr>
          <w:lang w:val="fr-CA"/>
        </w:rPr>
        <w:t xml:space="preserve"> ses pertes</w:t>
      </w:r>
      <w:r>
        <w:rPr>
          <w:lang w:val="fr-CA"/>
        </w:rPr>
        <w:t xml:space="preserve">.  </w:t>
      </w:r>
      <w:r w:rsidRPr="009677B6">
        <w:rPr>
          <w:lang w:val="fr-CA"/>
        </w:rPr>
        <w:t>Tout d</w:t>
      </w:r>
      <w:r>
        <w:rPr>
          <w:lang w:val="fr-CA"/>
        </w:rPr>
        <w:t>’</w:t>
      </w:r>
      <w:r w:rsidRPr="009677B6">
        <w:rPr>
          <w:lang w:val="fr-CA"/>
        </w:rPr>
        <w:t xml:space="preserve">abord, le fait que </w:t>
      </w:r>
      <w:proofErr w:type="spellStart"/>
      <w:r w:rsidRPr="009677B6">
        <w:rPr>
          <w:lang w:val="fr-CA"/>
        </w:rPr>
        <w:t>Southcott</w:t>
      </w:r>
      <w:proofErr w:type="spellEnd"/>
      <w:r>
        <w:rPr>
          <w:lang w:val="fr-CA"/>
        </w:rPr>
        <w:t xml:space="preserve"> avait admis </w:t>
      </w:r>
      <w:r w:rsidRPr="009677B6">
        <w:rPr>
          <w:lang w:val="fr-CA"/>
        </w:rPr>
        <w:t>n</w:t>
      </w:r>
      <w:r>
        <w:rPr>
          <w:lang w:val="fr-CA"/>
        </w:rPr>
        <w:t>’</w:t>
      </w:r>
      <w:r w:rsidRPr="009677B6">
        <w:rPr>
          <w:lang w:val="fr-CA"/>
        </w:rPr>
        <w:t>av</w:t>
      </w:r>
      <w:r>
        <w:rPr>
          <w:lang w:val="fr-CA"/>
        </w:rPr>
        <w:t>oir eu</w:t>
      </w:r>
      <w:r w:rsidRPr="009677B6">
        <w:rPr>
          <w:lang w:val="fr-CA"/>
        </w:rPr>
        <w:t xml:space="preserve"> nulle</w:t>
      </w:r>
      <w:r>
        <w:rPr>
          <w:lang w:val="fr-CA"/>
        </w:rPr>
        <w:t>ment</w:t>
      </w:r>
      <w:r w:rsidRPr="009677B6">
        <w:rPr>
          <w:lang w:val="fr-CA"/>
        </w:rPr>
        <w:t xml:space="preserve"> </w:t>
      </w:r>
      <w:r>
        <w:rPr>
          <w:lang w:val="fr-CA"/>
        </w:rPr>
        <w:t>l’</w:t>
      </w:r>
      <w:r w:rsidRPr="009677B6">
        <w:rPr>
          <w:lang w:val="fr-CA"/>
        </w:rPr>
        <w:t xml:space="preserve">intention de </w:t>
      </w:r>
      <w:r>
        <w:rPr>
          <w:lang w:val="fr-CA"/>
        </w:rPr>
        <w:t xml:space="preserve">prendre quelque mesure </w:t>
      </w:r>
      <w:r w:rsidRPr="009677B6">
        <w:rPr>
          <w:lang w:val="fr-CA"/>
        </w:rPr>
        <w:t xml:space="preserve">que ce soit pour </w:t>
      </w:r>
      <w:r w:rsidRPr="00CE41B4">
        <w:rPr>
          <w:lang w:val="fr-CA"/>
        </w:rPr>
        <w:lastRenderedPageBreak/>
        <w:t>mitiger</w:t>
      </w:r>
      <w:r w:rsidRPr="009677B6">
        <w:rPr>
          <w:lang w:val="fr-CA"/>
        </w:rPr>
        <w:t xml:space="preserve"> ses pertes suffisait pour </w:t>
      </w:r>
      <w:r>
        <w:rPr>
          <w:lang w:val="fr-CA"/>
        </w:rPr>
        <w:t>per</w:t>
      </w:r>
      <w:r w:rsidRPr="009677B6">
        <w:rPr>
          <w:lang w:val="fr-CA"/>
        </w:rPr>
        <w:t>m</w:t>
      </w:r>
      <w:r>
        <w:rPr>
          <w:lang w:val="fr-CA"/>
        </w:rPr>
        <w:t>e</w:t>
      </w:r>
      <w:r w:rsidRPr="009677B6">
        <w:rPr>
          <w:lang w:val="fr-CA"/>
        </w:rPr>
        <w:t xml:space="preserve">ttre au conseil scolaire de se décharger du fardeau de preuve qui reposait sur lui et pour déplacer ce fardeau sur </w:t>
      </w:r>
      <w:proofErr w:type="spellStart"/>
      <w:r w:rsidRPr="009677B6">
        <w:rPr>
          <w:lang w:val="fr-CA"/>
        </w:rPr>
        <w:t>Southcott</w:t>
      </w:r>
      <w:proofErr w:type="spellEnd"/>
      <w:r w:rsidRPr="009677B6">
        <w:rPr>
          <w:lang w:val="fr-CA"/>
        </w:rPr>
        <w:t xml:space="preserve">, qui devait alors démontrer que, même si elle avait </w:t>
      </w:r>
      <w:r>
        <w:rPr>
          <w:lang w:val="fr-CA"/>
        </w:rPr>
        <w:t xml:space="preserve">tenté de </w:t>
      </w:r>
      <w:r w:rsidRPr="00CE41B4">
        <w:rPr>
          <w:lang w:val="fr-CA"/>
        </w:rPr>
        <w:t>mitiger</w:t>
      </w:r>
      <w:r w:rsidRPr="009677B6">
        <w:rPr>
          <w:lang w:val="fr-CA"/>
        </w:rPr>
        <w:t xml:space="preserve"> ses pertes, elle n</w:t>
      </w:r>
      <w:r>
        <w:rPr>
          <w:lang w:val="fr-CA"/>
        </w:rPr>
        <w:t>’</w:t>
      </w:r>
      <w:r w:rsidRPr="009677B6">
        <w:rPr>
          <w:lang w:val="fr-CA"/>
        </w:rPr>
        <w:t>aurait pas pu le faire</w:t>
      </w:r>
      <w:r>
        <w:rPr>
          <w:lang w:val="fr-CA"/>
        </w:rPr>
        <w:t xml:space="preserve">.  </w:t>
      </w:r>
      <w:r w:rsidRPr="009677B6">
        <w:rPr>
          <w:lang w:val="fr-CA"/>
        </w:rPr>
        <w:t xml:space="preserve">Deuxièmement, la </w:t>
      </w:r>
      <w:r>
        <w:rPr>
          <w:lang w:val="fr-CA"/>
        </w:rPr>
        <w:t>c</w:t>
      </w:r>
      <w:r w:rsidRPr="009677B6">
        <w:rPr>
          <w:lang w:val="fr-CA"/>
        </w:rPr>
        <w:t>our a jugé que le juge de première instance avait commis une erreur dans la façon dont il avait traité les éléments de preuve présentés par le conseil scolaire au sujet des terrains qui étaient disponibles</w:t>
      </w:r>
      <w:r>
        <w:rPr>
          <w:lang w:val="fr-CA"/>
        </w:rPr>
        <w:t> :</w:t>
      </w:r>
      <w:r w:rsidRPr="009677B6">
        <w:rPr>
          <w:lang w:val="fr-CA"/>
        </w:rPr>
        <w:t xml:space="preserve"> [</w:t>
      </w:r>
      <w:r w:rsidRPr="009677B6">
        <w:rPr>
          <w:smallCaps/>
          <w:lang w:val="fr-CA"/>
        </w:rPr>
        <w:t>traduction</w:t>
      </w:r>
      <w:r w:rsidRPr="009677B6">
        <w:rPr>
          <w:lang w:val="fr-CA"/>
        </w:rPr>
        <w:t>] « </w:t>
      </w:r>
      <w:r w:rsidR="00D25329">
        <w:rPr>
          <w:lang w:val="fr-CA"/>
        </w:rPr>
        <w:t>E</w:t>
      </w:r>
      <w:r w:rsidRPr="009677B6">
        <w:rPr>
          <w:lang w:val="fr-CA"/>
        </w:rPr>
        <w:t xml:space="preserve">n </w:t>
      </w:r>
      <w:r>
        <w:rPr>
          <w:lang w:val="fr-CA"/>
        </w:rPr>
        <w:t>l’</w:t>
      </w:r>
      <w:r w:rsidRPr="009677B6">
        <w:rPr>
          <w:lang w:val="fr-CA"/>
        </w:rPr>
        <w:t>obligeant à démontrer</w:t>
      </w:r>
      <w:r w:rsidR="00D25329">
        <w:rPr>
          <w:lang w:val="fr-CA"/>
        </w:rPr>
        <w:t xml:space="preserve"> [. . .]</w:t>
      </w:r>
      <w:r w:rsidRPr="009677B6">
        <w:rPr>
          <w:lang w:val="fr-CA"/>
        </w:rPr>
        <w:t xml:space="preserve"> la rentabilité de diverses parcelles, le juge de première instance a imposé au conseil </w:t>
      </w:r>
      <w:r>
        <w:rPr>
          <w:lang w:val="fr-CA"/>
        </w:rPr>
        <w:t xml:space="preserve">scolaire </w:t>
      </w:r>
      <w:r w:rsidRPr="009677B6">
        <w:rPr>
          <w:lang w:val="fr-CA"/>
        </w:rPr>
        <w:t>un crit</w:t>
      </w:r>
      <w:r>
        <w:rPr>
          <w:lang w:val="fr-CA"/>
        </w:rPr>
        <w:t xml:space="preserve">ère tellement exigeant qu’il </w:t>
      </w:r>
      <w:r w:rsidRPr="009677B6">
        <w:rPr>
          <w:lang w:val="fr-CA"/>
        </w:rPr>
        <w:t>ne pouvait s</w:t>
      </w:r>
      <w:r>
        <w:rPr>
          <w:lang w:val="fr-CA"/>
        </w:rPr>
        <w:t>’</w:t>
      </w:r>
      <w:r w:rsidRPr="009677B6">
        <w:rPr>
          <w:lang w:val="fr-CA"/>
        </w:rPr>
        <w:t>atte</w:t>
      </w:r>
      <w:r>
        <w:rPr>
          <w:lang w:val="fr-CA"/>
        </w:rPr>
        <w:t xml:space="preserve">ndre de façon réaliste à ce qu’il </w:t>
      </w:r>
      <w:r w:rsidRPr="009677B6">
        <w:rPr>
          <w:lang w:val="fr-CA"/>
        </w:rPr>
        <w:t>puisse y satisfaire »</w:t>
      </w:r>
      <w:r>
        <w:rPr>
          <w:lang w:val="fr-CA"/>
        </w:rPr>
        <w:t xml:space="preserve"> (par. 25).  </w:t>
      </w:r>
      <w:r w:rsidRPr="009677B6">
        <w:rPr>
          <w:lang w:val="fr-CA"/>
        </w:rPr>
        <w:t>Enfin, le juge de première instance n</w:t>
      </w:r>
      <w:r>
        <w:rPr>
          <w:lang w:val="fr-CA"/>
        </w:rPr>
        <w:t>’</w:t>
      </w:r>
      <w:r w:rsidRPr="009677B6">
        <w:rPr>
          <w:lang w:val="fr-CA"/>
        </w:rPr>
        <w:t>avait pas tenu compte du fait que les achats d</w:t>
      </w:r>
      <w:r>
        <w:rPr>
          <w:lang w:val="fr-CA"/>
        </w:rPr>
        <w:t>’</w:t>
      </w:r>
      <w:r w:rsidRPr="009677B6">
        <w:rPr>
          <w:lang w:val="fr-CA"/>
        </w:rPr>
        <w:t xml:space="preserve">autres terrains effectués par </w:t>
      </w:r>
      <w:proofErr w:type="spellStart"/>
      <w:r w:rsidRPr="009677B6">
        <w:rPr>
          <w:lang w:val="fr-CA"/>
        </w:rPr>
        <w:t>Ballantry</w:t>
      </w:r>
      <w:proofErr w:type="spellEnd"/>
      <w:r w:rsidRPr="009677B6">
        <w:rPr>
          <w:lang w:val="fr-CA"/>
        </w:rPr>
        <w:t xml:space="preserve"> </w:t>
      </w:r>
      <w:r>
        <w:rPr>
          <w:lang w:val="fr-CA"/>
        </w:rPr>
        <w:t>démontraient</w:t>
      </w:r>
      <w:r w:rsidRPr="009677B6">
        <w:rPr>
          <w:lang w:val="fr-CA"/>
        </w:rPr>
        <w:t xml:space="preserve"> de façon évidente que </w:t>
      </w:r>
      <w:r>
        <w:rPr>
          <w:lang w:val="fr-CA"/>
        </w:rPr>
        <w:t xml:space="preserve">le </w:t>
      </w:r>
      <w:r w:rsidRPr="009677B6">
        <w:rPr>
          <w:lang w:val="fr-CA"/>
        </w:rPr>
        <w:t xml:space="preserve">dirigeant de </w:t>
      </w:r>
      <w:proofErr w:type="spellStart"/>
      <w:r w:rsidRPr="009677B6">
        <w:rPr>
          <w:lang w:val="fr-CA"/>
        </w:rPr>
        <w:t>Southcott</w:t>
      </w:r>
      <w:proofErr w:type="spellEnd"/>
      <w:r w:rsidRPr="009677B6">
        <w:rPr>
          <w:lang w:val="fr-CA"/>
        </w:rPr>
        <w:t xml:space="preserve"> </w:t>
      </w:r>
      <w:r>
        <w:rPr>
          <w:lang w:val="fr-CA"/>
        </w:rPr>
        <w:t xml:space="preserve">savait </w:t>
      </w:r>
      <w:r w:rsidRPr="009677B6">
        <w:rPr>
          <w:lang w:val="fr-CA"/>
        </w:rPr>
        <w:t>que des terr</w:t>
      </w:r>
      <w:r>
        <w:rPr>
          <w:lang w:val="fr-CA"/>
        </w:rPr>
        <w:t>ain</w:t>
      </w:r>
      <w:r w:rsidRPr="009677B6">
        <w:rPr>
          <w:lang w:val="fr-CA"/>
        </w:rPr>
        <w:t xml:space="preserve">s de placement de qualité qui se prêtaient bien à une mise en valeur rentable étaient </w:t>
      </w:r>
      <w:r>
        <w:rPr>
          <w:lang w:val="fr-CA"/>
        </w:rPr>
        <w:t xml:space="preserve">disponibles </w:t>
      </w:r>
      <w:r w:rsidRPr="009677B6">
        <w:rPr>
          <w:lang w:val="fr-CA"/>
        </w:rPr>
        <w:t>sur le marché</w:t>
      </w:r>
      <w:r>
        <w:rPr>
          <w:lang w:val="fr-CA"/>
        </w:rPr>
        <w:t xml:space="preserve">.  </w:t>
      </w:r>
      <w:r w:rsidRPr="009677B6">
        <w:rPr>
          <w:lang w:val="fr-CA"/>
        </w:rPr>
        <w:t xml:space="preserve">La </w:t>
      </w:r>
      <w:r w:rsidR="00A37A29">
        <w:rPr>
          <w:lang w:val="fr-CA"/>
        </w:rPr>
        <w:t>C</w:t>
      </w:r>
      <w:r w:rsidRPr="009677B6">
        <w:rPr>
          <w:lang w:val="fr-CA"/>
        </w:rPr>
        <w:t xml:space="preserve">our </w:t>
      </w:r>
      <w:r>
        <w:rPr>
          <w:lang w:val="fr-CA"/>
        </w:rPr>
        <w:t xml:space="preserve">d’appel </w:t>
      </w:r>
      <w:r w:rsidRPr="009677B6">
        <w:rPr>
          <w:lang w:val="fr-CA"/>
        </w:rPr>
        <w:t xml:space="preserve">a </w:t>
      </w:r>
      <w:r>
        <w:rPr>
          <w:lang w:val="fr-CA"/>
        </w:rPr>
        <w:t>affirmé</w:t>
      </w:r>
      <w:r w:rsidRPr="009677B6">
        <w:rPr>
          <w:lang w:val="fr-CA"/>
        </w:rPr>
        <w:t xml:space="preserve"> que </w:t>
      </w:r>
      <w:proofErr w:type="spellStart"/>
      <w:r w:rsidRPr="009677B6">
        <w:rPr>
          <w:lang w:val="fr-CA"/>
        </w:rPr>
        <w:t>Southcott</w:t>
      </w:r>
      <w:proofErr w:type="spellEnd"/>
      <w:r w:rsidRPr="009677B6">
        <w:rPr>
          <w:lang w:val="fr-CA"/>
        </w:rPr>
        <w:t xml:space="preserve"> était une entité juridique distincte qui ne pouvait </w:t>
      </w:r>
      <w:r>
        <w:rPr>
          <w:lang w:val="fr-CA"/>
        </w:rPr>
        <w:t xml:space="preserve">éviter de </w:t>
      </w:r>
      <w:r w:rsidRPr="00CE41B4">
        <w:rPr>
          <w:lang w:val="fr-CA"/>
        </w:rPr>
        <w:t>mitiger</w:t>
      </w:r>
      <w:r>
        <w:rPr>
          <w:lang w:val="fr-CA"/>
        </w:rPr>
        <w:t xml:space="preserve"> sa perte </w:t>
      </w:r>
      <w:r w:rsidRPr="009677B6">
        <w:rPr>
          <w:lang w:val="fr-CA"/>
        </w:rPr>
        <w:t xml:space="preserve">en </w:t>
      </w:r>
      <w:r>
        <w:rPr>
          <w:lang w:val="fr-CA"/>
        </w:rPr>
        <w:t>plaid</w:t>
      </w:r>
      <w:r w:rsidRPr="009677B6">
        <w:rPr>
          <w:lang w:val="fr-CA"/>
        </w:rPr>
        <w:t>ant qu</w:t>
      </w:r>
      <w:r>
        <w:rPr>
          <w:lang w:val="fr-CA"/>
        </w:rPr>
        <w:t>’</w:t>
      </w:r>
      <w:r w:rsidRPr="009677B6">
        <w:rPr>
          <w:lang w:val="fr-CA"/>
        </w:rPr>
        <w:t>elle faisait partie d</w:t>
      </w:r>
      <w:r>
        <w:rPr>
          <w:lang w:val="fr-CA"/>
        </w:rPr>
        <w:t>u group</w:t>
      </w:r>
      <w:r w:rsidRPr="009677B6">
        <w:rPr>
          <w:lang w:val="fr-CA"/>
        </w:rPr>
        <w:t xml:space="preserve">e </w:t>
      </w:r>
      <w:proofErr w:type="spellStart"/>
      <w:r w:rsidRPr="009677B6">
        <w:rPr>
          <w:lang w:val="fr-CA"/>
        </w:rPr>
        <w:t>Ballantry</w:t>
      </w:r>
      <w:proofErr w:type="spellEnd"/>
      <w:r>
        <w:rPr>
          <w:lang w:val="fr-CA"/>
        </w:rPr>
        <w:t> :</w:t>
      </w:r>
      <w:r w:rsidRPr="009677B6">
        <w:rPr>
          <w:lang w:val="fr-CA"/>
        </w:rPr>
        <w:t xml:space="preserve"> </w:t>
      </w:r>
      <w:proofErr w:type="spellStart"/>
      <w:r w:rsidRPr="009677B6">
        <w:rPr>
          <w:lang w:val="fr-CA"/>
        </w:rPr>
        <w:t>Southcott</w:t>
      </w:r>
      <w:proofErr w:type="spellEnd"/>
      <w:r w:rsidRPr="009677B6">
        <w:rPr>
          <w:lang w:val="fr-CA"/>
        </w:rPr>
        <w:t xml:space="preserve"> </w:t>
      </w:r>
      <w:r>
        <w:rPr>
          <w:lang w:val="fr-CA"/>
        </w:rPr>
        <w:t xml:space="preserve">conservait l’obligation </w:t>
      </w:r>
      <w:r w:rsidRPr="009677B6">
        <w:rPr>
          <w:lang w:val="fr-CA"/>
        </w:rPr>
        <w:t xml:space="preserve">de </w:t>
      </w:r>
      <w:r w:rsidRPr="00CE41B4">
        <w:rPr>
          <w:lang w:val="fr-CA"/>
        </w:rPr>
        <w:t>mitiger</w:t>
      </w:r>
      <w:r w:rsidRPr="009677B6">
        <w:rPr>
          <w:lang w:val="fr-CA"/>
        </w:rPr>
        <w:t xml:space="preserve"> </w:t>
      </w:r>
      <w:r>
        <w:rPr>
          <w:lang w:val="fr-CA"/>
        </w:rPr>
        <w:t>son</w:t>
      </w:r>
      <w:r w:rsidRPr="009677B6">
        <w:rPr>
          <w:lang w:val="fr-CA"/>
        </w:rPr>
        <w:t xml:space="preserve"> préjudice</w:t>
      </w:r>
      <w:r>
        <w:rPr>
          <w:lang w:val="fr-CA"/>
        </w:rPr>
        <w:t xml:space="preserve"> (par. 24</w:t>
      </w:r>
      <w:r>
        <w:rPr>
          <w:lang w:val="fr-CA"/>
        </w:rPr>
        <w:noBreakHyphen/>
        <w:t>27)</w:t>
      </w:r>
      <w:r w:rsidRPr="009677B6">
        <w:rPr>
          <w:lang w:val="fr-CA"/>
        </w:rPr>
        <w:t>.</w:t>
      </w:r>
    </w:p>
    <w:p w:rsidR="0071502D" w:rsidRPr="009677B6" w:rsidRDefault="0071502D" w:rsidP="0071502D">
      <w:pPr>
        <w:pStyle w:val="ParaNoNdepar-AltN"/>
        <w:rPr>
          <w:lang w:val="fr-CA"/>
        </w:rPr>
      </w:pPr>
      <w:r w:rsidRPr="009677B6">
        <w:rPr>
          <w:lang w:val="fr-CA"/>
        </w:rPr>
        <w:t xml:space="preserve">La </w:t>
      </w:r>
      <w:r w:rsidR="00A37A29">
        <w:rPr>
          <w:lang w:val="fr-CA"/>
        </w:rPr>
        <w:t>C</w:t>
      </w:r>
      <w:r w:rsidRPr="009677B6">
        <w:rPr>
          <w:lang w:val="fr-CA"/>
        </w:rPr>
        <w:t>our d</w:t>
      </w:r>
      <w:r>
        <w:rPr>
          <w:lang w:val="fr-CA"/>
        </w:rPr>
        <w:t>’</w:t>
      </w:r>
      <w:r w:rsidRPr="009677B6">
        <w:rPr>
          <w:lang w:val="fr-CA"/>
        </w:rPr>
        <w:t xml:space="preserve">appel a conclu que, même si elle avait démontré le </w:t>
      </w:r>
      <w:proofErr w:type="spellStart"/>
      <w:r w:rsidRPr="009677B6">
        <w:rPr>
          <w:lang w:val="fr-CA"/>
        </w:rPr>
        <w:t>bien</w:t>
      </w:r>
      <w:r>
        <w:rPr>
          <w:lang w:val="fr-CA"/>
        </w:rPr>
        <w:noBreakHyphen/>
      </w:r>
      <w:r w:rsidRPr="009677B6">
        <w:rPr>
          <w:lang w:val="fr-CA"/>
        </w:rPr>
        <w:t>fondé</w:t>
      </w:r>
      <w:proofErr w:type="spellEnd"/>
      <w:r w:rsidRPr="009677B6">
        <w:rPr>
          <w:lang w:val="fr-CA"/>
        </w:rPr>
        <w:t xml:space="preserve"> de ses arguments en ce qui concerne la rupture du contrat, </w:t>
      </w:r>
      <w:proofErr w:type="spellStart"/>
      <w:r w:rsidRPr="009677B6">
        <w:rPr>
          <w:lang w:val="fr-CA"/>
        </w:rPr>
        <w:t>Southcott</w:t>
      </w:r>
      <w:proofErr w:type="spellEnd"/>
      <w:r w:rsidRPr="009677B6">
        <w:rPr>
          <w:lang w:val="fr-CA"/>
        </w:rPr>
        <w:t xml:space="preserve"> n</w:t>
      </w:r>
      <w:r>
        <w:rPr>
          <w:lang w:val="fr-CA"/>
        </w:rPr>
        <w:t>’</w:t>
      </w:r>
      <w:r w:rsidRPr="009677B6">
        <w:rPr>
          <w:lang w:val="fr-CA"/>
        </w:rPr>
        <w:t>avait pas réussi à démontrer qu</w:t>
      </w:r>
      <w:r>
        <w:rPr>
          <w:lang w:val="fr-CA"/>
        </w:rPr>
        <w:t>’</w:t>
      </w:r>
      <w:r w:rsidRPr="009677B6">
        <w:rPr>
          <w:lang w:val="fr-CA"/>
        </w:rPr>
        <w:t xml:space="preserve">elle pouvait réclamer une exécution intégrale ou des </w:t>
      </w:r>
      <w:proofErr w:type="spellStart"/>
      <w:r w:rsidRPr="009677B6">
        <w:rPr>
          <w:lang w:val="fr-CA"/>
        </w:rPr>
        <w:t>dommages</w:t>
      </w:r>
      <w:r>
        <w:rPr>
          <w:lang w:val="fr-CA"/>
        </w:rPr>
        <w:noBreakHyphen/>
      </w:r>
      <w:r w:rsidRPr="009677B6">
        <w:rPr>
          <w:lang w:val="fr-CA"/>
        </w:rPr>
        <w:t>intérêts</w:t>
      </w:r>
      <w:proofErr w:type="spellEnd"/>
      <w:r>
        <w:rPr>
          <w:lang w:val="fr-CA"/>
        </w:rPr>
        <w:t xml:space="preserve">.  </w:t>
      </w:r>
      <w:r w:rsidRPr="009677B6">
        <w:rPr>
          <w:lang w:val="fr-CA"/>
        </w:rPr>
        <w:t xml:space="preserve">La </w:t>
      </w:r>
      <w:r>
        <w:rPr>
          <w:lang w:val="fr-CA"/>
        </w:rPr>
        <w:t>c</w:t>
      </w:r>
      <w:r w:rsidRPr="009677B6">
        <w:rPr>
          <w:lang w:val="fr-CA"/>
        </w:rPr>
        <w:t>our a estimé qu</w:t>
      </w:r>
      <w:r>
        <w:rPr>
          <w:lang w:val="fr-CA"/>
        </w:rPr>
        <w:t>’</w:t>
      </w:r>
      <w:r w:rsidRPr="009677B6">
        <w:rPr>
          <w:lang w:val="fr-CA"/>
        </w:rPr>
        <w:t>il convenait d</w:t>
      </w:r>
      <w:r>
        <w:rPr>
          <w:lang w:val="fr-CA"/>
        </w:rPr>
        <w:t>’</w:t>
      </w:r>
      <w:r w:rsidRPr="009677B6">
        <w:rPr>
          <w:lang w:val="fr-CA"/>
        </w:rPr>
        <w:t>accorder la somme d</w:t>
      </w:r>
      <w:r>
        <w:rPr>
          <w:lang w:val="fr-CA"/>
        </w:rPr>
        <w:t>’</w:t>
      </w:r>
      <w:r w:rsidRPr="009677B6">
        <w:rPr>
          <w:lang w:val="fr-CA"/>
        </w:rPr>
        <w:t xml:space="preserve">un dollar à titre de </w:t>
      </w:r>
      <w:proofErr w:type="spellStart"/>
      <w:r w:rsidRPr="009677B6">
        <w:rPr>
          <w:lang w:val="fr-CA"/>
        </w:rPr>
        <w:t>dommages</w:t>
      </w:r>
      <w:r>
        <w:rPr>
          <w:lang w:val="fr-CA"/>
        </w:rPr>
        <w:noBreakHyphen/>
      </w:r>
      <w:r w:rsidRPr="009677B6">
        <w:rPr>
          <w:lang w:val="fr-CA"/>
        </w:rPr>
        <w:t>intérêts</w:t>
      </w:r>
      <w:proofErr w:type="spellEnd"/>
      <w:r w:rsidRPr="009677B6">
        <w:rPr>
          <w:lang w:val="fr-CA"/>
        </w:rPr>
        <w:t xml:space="preserve"> symboliques.</w:t>
      </w:r>
    </w:p>
    <w:p w:rsidR="0071502D" w:rsidRPr="009677B6" w:rsidRDefault="0071502D" w:rsidP="00A37A29">
      <w:pPr>
        <w:pStyle w:val="TitleTitre-AltT"/>
        <w:tabs>
          <w:tab w:val="clear" w:pos="360"/>
          <w:tab w:val="left" w:pos="540"/>
        </w:tabs>
        <w:ind w:left="540" w:hanging="540"/>
        <w:rPr>
          <w:lang w:val="fr-CA"/>
        </w:rPr>
      </w:pPr>
      <w:r w:rsidRPr="009677B6">
        <w:rPr>
          <w:lang w:val="fr-CA"/>
        </w:rPr>
        <w:lastRenderedPageBreak/>
        <w:t>IV.</w:t>
      </w:r>
      <w:r w:rsidRPr="009677B6">
        <w:rPr>
          <w:lang w:val="fr-CA"/>
        </w:rPr>
        <w:tab/>
      </w:r>
      <w:r w:rsidRPr="00CE41B4">
        <w:rPr>
          <w:u w:val="single"/>
          <w:lang w:val="fr-CA"/>
        </w:rPr>
        <w:t>Mitigation</w:t>
      </w:r>
      <w:r>
        <w:rPr>
          <w:u w:val="single"/>
          <w:lang w:val="fr-CA"/>
        </w:rPr>
        <w:t xml:space="preserve"> du préjudice </w:t>
      </w:r>
      <w:r w:rsidRPr="009677B6">
        <w:rPr>
          <w:rFonts w:cs="Times New Roman"/>
          <w:u w:val="single"/>
          <w:lang w:val="fr-CA"/>
        </w:rPr>
        <w:t>―</w:t>
      </w:r>
      <w:r w:rsidRPr="009677B6">
        <w:rPr>
          <w:u w:val="single"/>
          <w:lang w:val="fr-CA"/>
        </w:rPr>
        <w:t xml:space="preserve"> Principes généraux</w:t>
      </w:r>
    </w:p>
    <w:p w:rsidR="0071502D" w:rsidRPr="001E4C13" w:rsidRDefault="0071502D" w:rsidP="0071502D">
      <w:pPr>
        <w:pStyle w:val="ParaNoNdepar-AltN"/>
        <w:rPr>
          <w:lang w:val="en-US"/>
        </w:rPr>
      </w:pPr>
      <w:proofErr w:type="spellStart"/>
      <w:r w:rsidRPr="001E4C13">
        <w:rPr>
          <w:lang w:val="en-US"/>
        </w:rPr>
        <w:t>Dans</w:t>
      </w:r>
      <w:proofErr w:type="spellEnd"/>
      <w:r w:rsidRPr="001E4C13">
        <w:rPr>
          <w:lang w:val="en-US"/>
        </w:rPr>
        <w:t xml:space="preserve"> </w:t>
      </w:r>
      <w:proofErr w:type="spellStart"/>
      <w:r w:rsidRPr="001E4C13">
        <w:rPr>
          <w:lang w:val="en-US"/>
        </w:rPr>
        <w:t>l</w:t>
      </w:r>
      <w:r>
        <w:rPr>
          <w:lang w:val="en-US"/>
        </w:rPr>
        <w:t>’</w:t>
      </w:r>
      <w:r w:rsidRPr="001E4C13">
        <w:rPr>
          <w:lang w:val="en-US"/>
        </w:rPr>
        <w:t>arrêt</w:t>
      </w:r>
      <w:proofErr w:type="spellEnd"/>
      <w:r w:rsidRPr="001E4C13">
        <w:rPr>
          <w:lang w:val="en-US"/>
        </w:rPr>
        <w:t xml:space="preserve"> </w:t>
      </w:r>
      <w:proofErr w:type="spellStart"/>
      <w:r w:rsidRPr="001E4C13">
        <w:rPr>
          <w:i/>
          <w:lang w:val="en-US"/>
        </w:rPr>
        <w:t>Asamera</w:t>
      </w:r>
      <w:proofErr w:type="spellEnd"/>
      <w:r w:rsidRPr="001E4C13">
        <w:rPr>
          <w:i/>
          <w:lang w:val="en-US"/>
        </w:rPr>
        <w:t xml:space="preserve"> Oil Corp. c. Seal Oil </w:t>
      </w:r>
      <w:r>
        <w:rPr>
          <w:i/>
          <w:lang w:val="en-US"/>
        </w:rPr>
        <w:t>&amp;</w:t>
      </w:r>
      <w:r w:rsidRPr="001E4C13">
        <w:rPr>
          <w:i/>
          <w:lang w:val="en-US"/>
        </w:rPr>
        <w:t xml:space="preserve"> General Corp.</w:t>
      </w:r>
      <w:r w:rsidRPr="001E4C13">
        <w:rPr>
          <w:lang w:val="en-US"/>
        </w:rPr>
        <w:t>,</w:t>
      </w:r>
      <w:r w:rsidRPr="001E4C13">
        <w:rPr>
          <w:i/>
          <w:lang w:val="en-US"/>
        </w:rPr>
        <w:t xml:space="preserve"> </w:t>
      </w:r>
      <w:r w:rsidRPr="001E4C13">
        <w:rPr>
          <w:lang w:val="en-US"/>
        </w:rPr>
        <w:t xml:space="preserve">[1979] 1 R.C.S. 633, </w:t>
      </w:r>
      <w:proofErr w:type="spellStart"/>
      <w:r w:rsidRPr="001E4C13">
        <w:rPr>
          <w:lang w:val="en-US"/>
        </w:rPr>
        <w:t>notre</w:t>
      </w:r>
      <w:proofErr w:type="spellEnd"/>
      <w:r w:rsidRPr="001E4C13">
        <w:rPr>
          <w:lang w:val="en-US"/>
        </w:rPr>
        <w:t xml:space="preserve"> </w:t>
      </w:r>
      <w:proofErr w:type="spellStart"/>
      <w:r w:rsidRPr="001E4C13">
        <w:rPr>
          <w:lang w:val="en-US"/>
        </w:rPr>
        <w:t>Cour</w:t>
      </w:r>
      <w:proofErr w:type="spellEnd"/>
      <w:r w:rsidRPr="001E4C13">
        <w:rPr>
          <w:lang w:val="en-US"/>
        </w:rPr>
        <w:t xml:space="preserve"> a </w:t>
      </w:r>
      <w:proofErr w:type="spellStart"/>
      <w:r w:rsidRPr="001E4C13">
        <w:rPr>
          <w:lang w:val="en-US"/>
        </w:rPr>
        <w:t>cité</w:t>
      </w:r>
      <w:proofErr w:type="spellEnd"/>
      <w:r w:rsidRPr="001E4C13">
        <w:rPr>
          <w:lang w:val="en-US"/>
        </w:rPr>
        <w:t xml:space="preserve"> </w:t>
      </w:r>
      <w:r>
        <w:rPr>
          <w:lang w:val="en-US"/>
        </w:rPr>
        <w:t>(aux p. 660</w:t>
      </w:r>
      <w:r>
        <w:rPr>
          <w:lang w:val="en-US"/>
        </w:rPr>
        <w:noBreakHyphen/>
        <w:t xml:space="preserve">661) </w:t>
      </w:r>
      <w:r w:rsidRPr="001E4C13">
        <w:rPr>
          <w:lang w:val="en-US"/>
        </w:rPr>
        <w:t xml:space="preserve">et </w:t>
      </w:r>
      <w:proofErr w:type="spellStart"/>
      <w:r w:rsidRPr="001E4C13">
        <w:rPr>
          <w:lang w:val="en-US"/>
        </w:rPr>
        <w:t>approuvé</w:t>
      </w:r>
      <w:proofErr w:type="spellEnd"/>
      <w:r w:rsidRPr="001E4C13">
        <w:rPr>
          <w:lang w:val="en-US"/>
        </w:rPr>
        <w:t xml:space="preserve"> </w:t>
      </w:r>
      <w:proofErr w:type="spellStart"/>
      <w:r w:rsidRPr="001E4C13">
        <w:rPr>
          <w:lang w:val="en-US"/>
        </w:rPr>
        <w:t>l</w:t>
      </w:r>
      <w:r>
        <w:rPr>
          <w:lang w:val="en-US"/>
        </w:rPr>
        <w:t>’</w:t>
      </w:r>
      <w:r w:rsidRPr="001E4C13">
        <w:rPr>
          <w:lang w:val="en-US"/>
        </w:rPr>
        <w:t>énoncé</w:t>
      </w:r>
      <w:proofErr w:type="spellEnd"/>
      <w:r w:rsidRPr="001E4C13">
        <w:rPr>
          <w:lang w:val="en-US"/>
        </w:rPr>
        <w:t xml:space="preserve"> </w:t>
      </w:r>
      <w:proofErr w:type="spellStart"/>
      <w:r w:rsidRPr="001E4C13">
        <w:rPr>
          <w:lang w:val="en-US"/>
        </w:rPr>
        <w:t>suivant</w:t>
      </w:r>
      <w:proofErr w:type="spellEnd"/>
      <w:r w:rsidRPr="001E4C13">
        <w:rPr>
          <w:lang w:val="en-US"/>
        </w:rPr>
        <w:t xml:space="preserve"> </w:t>
      </w:r>
      <w:proofErr w:type="spellStart"/>
      <w:r w:rsidRPr="001E4C13">
        <w:rPr>
          <w:lang w:val="en-US"/>
        </w:rPr>
        <w:t>formulé</w:t>
      </w:r>
      <w:proofErr w:type="spellEnd"/>
      <w:r w:rsidRPr="001E4C13">
        <w:rPr>
          <w:lang w:val="en-US"/>
        </w:rPr>
        <w:t xml:space="preserve"> par le </w:t>
      </w:r>
      <w:proofErr w:type="spellStart"/>
      <w:r w:rsidRPr="001E4C13">
        <w:rPr>
          <w:lang w:val="en-US"/>
        </w:rPr>
        <w:t>vicomte</w:t>
      </w:r>
      <w:proofErr w:type="spellEnd"/>
      <w:r w:rsidRPr="001E4C13">
        <w:rPr>
          <w:lang w:val="en-US"/>
        </w:rPr>
        <w:t xml:space="preserve"> Haldane, </w:t>
      </w:r>
      <w:r w:rsidR="00A37A29">
        <w:rPr>
          <w:lang w:val="en-US"/>
        </w:rPr>
        <w:t xml:space="preserve">lord </w:t>
      </w:r>
      <w:proofErr w:type="spellStart"/>
      <w:r w:rsidR="00A37A29">
        <w:rPr>
          <w:lang w:val="en-US"/>
        </w:rPr>
        <w:t>chancelier</w:t>
      </w:r>
      <w:proofErr w:type="spellEnd"/>
      <w:r w:rsidRPr="001E4C13">
        <w:rPr>
          <w:lang w:val="en-US"/>
        </w:rPr>
        <w:t xml:space="preserve">, </w:t>
      </w:r>
      <w:proofErr w:type="spellStart"/>
      <w:r w:rsidRPr="001E4C13">
        <w:rPr>
          <w:lang w:val="en-US"/>
        </w:rPr>
        <w:t>dans</w:t>
      </w:r>
      <w:proofErr w:type="spellEnd"/>
      <w:r w:rsidRPr="001E4C13">
        <w:rPr>
          <w:lang w:val="en-US"/>
        </w:rPr>
        <w:t xml:space="preserve"> </w:t>
      </w:r>
      <w:proofErr w:type="spellStart"/>
      <w:r w:rsidRPr="001E4C13">
        <w:rPr>
          <w:lang w:val="en-US"/>
        </w:rPr>
        <w:t>l</w:t>
      </w:r>
      <w:r>
        <w:rPr>
          <w:lang w:val="en-US"/>
        </w:rPr>
        <w:t>’</w:t>
      </w:r>
      <w:r w:rsidRPr="001E4C13">
        <w:rPr>
          <w:lang w:val="en-US"/>
        </w:rPr>
        <w:t>arrêt</w:t>
      </w:r>
      <w:proofErr w:type="spellEnd"/>
      <w:r w:rsidRPr="001E4C13">
        <w:rPr>
          <w:lang w:val="en-US"/>
        </w:rPr>
        <w:t xml:space="preserve"> </w:t>
      </w:r>
      <w:r w:rsidRPr="001E4C13">
        <w:rPr>
          <w:i/>
          <w:lang w:val="en-US"/>
        </w:rPr>
        <w:t>British Westinghouse Electric and Manufacturing Co</w:t>
      </w:r>
      <w:r>
        <w:rPr>
          <w:i/>
          <w:lang w:val="en-US"/>
        </w:rPr>
        <w:t>.</w:t>
      </w:r>
      <w:r w:rsidRPr="001E4C13">
        <w:rPr>
          <w:i/>
          <w:lang w:val="en-US"/>
        </w:rPr>
        <w:t xml:space="preserve"> c. Underground Electric Railways Company of London, Ltd.</w:t>
      </w:r>
      <w:r w:rsidRPr="001E4C13">
        <w:rPr>
          <w:lang w:val="en-US"/>
        </w:rPr>
        <w:t>, [1912] A.C. 673, p. 689 :</w:t>
      </w:r>
    </w:p>
    <w:p w:rsidR="0071502D" w:rsidRPr="009677B6" w:rsidRDefault="0071502D" w:rsidP="001F6758">
      <w:pPr>
        <w:pStyle w:val="Citation-AltC"/>
        <w:tabs>
          <w:tab w:val="left" w:pos="1620"/>
        </w:tabs>
        <w:ind w:hanging="1166"/>
        <w:rPr>
          <w:lang w:val="fr-CA"/>
        </w:rPr>
      </w:pPr>
      <w:r w:rsidRPr="001E4C13">
        <w:rPr>
          <w:lang w:val="en-US"/>
        </w:rPr>
        <w:tab/>
      </w:r>
      <w:r>
        <w:rPr>
          <w:lang w:val="en-US"/>
        </w:rPr>
        <w:tab/>
      </w:r>
      <w:r w:rsidRPr="009677B6">
        <w:rPr>
          <w:lang w:val="fr-CA"/>
        </w:rPr>
        <w:t>[</w:t>
      </w:r>
      <w:r w:rsidRPr="009677B6">
        <w:rPr>
          <w:smallCaps/>
          <w:lang w:val="fr-CA"/>
        </w:rPr>
        <w:t>traduction</w:t>
      </w:r>
      <w:r w:rsidRPr="009677B6">
        <w:rPr>
          <w:lang w:val="fr-CA"/>
        </w:rPr>
        <w:t>]</w:t>
      </w:r>
      <w:r>
        <w:rPr>
          <w:lang w:val="fr-CA"/>
        </w:rPr>
        <w:t xml:space="preserve">  </w:t>
      </w:r>
      <w:r w:rsidRPr="009677B6">
        <w:rPr>
          <w:lang w:val="fr-CA"/>
        </w:rPr>
        <w:t>Le principe fondamental est donc la compensation des pertes pécuniaires découlant naturellement de l</w:t>
      </w:r>
      <w:r>
        <w:rPr>
          <w:lang w:val="fr-CA"/>
        </w:rPr>
        <w:t>’</w:t>
      </w:r>
      <w:r w:rsidRPr="009677B6">
        <w:rPr>
          <w:lang w:val="fr-CA"/>
        </w:rPr>
        <w:t xml:space="preserve">inexécution; mais ce principe est mitigé par un autre qui veut que </w:t>
      </w:r>
      <w:r w:rsidRPr="001E4C13">
        <w:rPr>
          <w:lang w:val="fr-CA"/>
        </w:rPr>
        <w:t>le demandeur ait l</w:t>
      </w:r>
      <w:r>
        <w:rPr>
          <w:lang w:val="fr-CA"/>
        </w:rPr>
        <w:t>’</w:t>
      </w:r>
      <w:r w:rsidRPr="001E4C13">
        <w:rPr>
          <w:lang w:val="fr-CA"/>
        </w:rPr>
        <w:t xml:space="preserve">obligation de prendre toutes mesures raisonnables pour </w:t>
      </w:r>
      <w:r w:rsidRPr="00CE41B4">
        <w:rPr>
          <w:lang w:val="fr-CA"/>
        </w:rPr>
        <w:t>mitiger</w:t>
      </w:r>
      <w:r w:rsidRPr="001E4C13">
        <w:rPr>
          <w:lang w:val="fr-CA"/>
        </w:rPr>
        <w:t xml:space="preserve"> le préjudice résultant de la rupture du contrat et ne puisse être indemnisé pour la partie du préjudice qu</w:t>
      </w:r>
      <w:r>
        <w:rPr>
          <w:lang w:val="fr-CA"/>
        </w:rPr>
        <w:t>’</w:t>
      </w:r>
      <w:r w:rsidRPr="001E4C13">
        <w:rPr>
          <w:lang w:val="fr-CA"/>
        </w:rPr>
        <w:t>il aurait ainsi pu éviter</w:t>
      </w:r>
      <w:r>
        <w:rPr>
          <w:lang w:val="fr-CA"/>
        </w:rPr>
        <w:t xml:space="preserve">.  </w:t>
      </w:r>
    </w:p>
    <w:p w:rsidR="0071502D" w:rsidRPr="009677B6" w:rsidRDefault="0071502D" w:rsidP="0071502D">
      <w:pPr>
        <w:pStyle w:val="ParaNoNdepar-AltN"/>
        <w:rPr>
          <w:lang w:val="fr-CA"/>
        </w:rPr>
      </w:pPr>
      <w:r w:rsidRPr="009677B6">
        <w:rPr>
          <w:lang w:val="fr-CA"/>
        </w:rPr>
        <w:t>Dans l</w:t>
      </w:r>
      <w:r>
        <w:rPr>
          <w:lang w:val="fr-CA"/>
        </w:rPr>
        <w:t>’</w:t>
      </w:r>
      <w:r w:rsidRPr="009677B6">
        <w:rPr>
          <w:lang w:val="fr-CA"/>
        </w:rPr>
        <w:t xml:space="preserve">arrêt </w:t>
      </w:r>
      <w:proofErr w:type="spellStart"/>
      <w:r w:rsidRPr="009677B6">
        <w:rPr>
          <w:i/>
          <w:lang w:val="fr-CA"/>
        </w:rPr>
        <w:t>Colombie</w:t>
      </w:r>
      <w:r>
        <w:rPr>
          <w:i/>
          <w:lang w:val="fr-CA"/>
        </w:rPr>
        <w:noBreakHyphen/>
      </w:r>
      <w:r w:rsidRPr="009677B6">
        <w:rPr>
          <w:i/>
          <w:lang w:val="fr-CA"/>
        </w:rPr>
        <w:t>Britannique</w:t>
      </w:r>
      <w:proofErr w:type="spellEnd"/>
      <w:r w:rsidRPr="009677B6">
        <w:rPr>
          <w:i/>
          <w:lang w:val="fr-CA"/>
        </w:rPr>
        <w:t xml:space="preserve"> c. Canadian Forest </w:t>
      </w:r>
      <w:proofErr w:type="spellStart"/>
      <w:r w:rsidRPr="009677B6">
        <w:rPr>
          <w:i/>
          <w:lang w:val="fr-CA"/>
        </w:rPr>
        <w:t>Products</w:t>
      </w:r>
      <w:proofErr w:type="spellEnd"/>
      <w:r w:rsidRPr="009677B6">
        <w:rPr>
          <w:i/>
          <w:lang w:val="fr-CA"/>
        </w:rPr>
        <w:t xml:space="preserve"> Ltd</w:t>
      </w:r>
      <w:r w:rsidRPr="009677B6">
        <w:rPr>
          <w:lang w:val="fr-CA"/>
        </w:rPr>
        <w:t xml:space="preserve">., </w:t>
      </w:r>
      <w:r>
        <w:rPr>
          <w:lang w:val="fr-CA"/>
        </w:rPr>
        <w:t xml:space="preserve">2004 CSC 38, </w:t>
      </w:r>
      <w:r w:rsidRPr="009677B6">
        <w:rPr>
          <w:lang w:val="fr-CA"/>
        </w:rPr>
        <w:t xml:space="preserve">[2004] 2 R.C.S. 74, au </w:t>
      </w:r>
      <w:r>
        <w:rPr>
          <w:lang w:val="fr-CA"/>
        </w:rPr>
        <w:t>par. </w:t>
      </w:r>
      <w:r w:rsidRPr="009677B6">
        <w:rPr>
          <w:lang w:val="fr-CA"/>
        </w:rPr>
        <w:t xml:space="preserve">176, notre Cour </w:t>
      </w:r>
      <w:r>
        <w:rPr>
          <w:lang w:val="fr-CA"/>
        </w:rPr>
        <w:t xml:space="preserve">a expliqué </w:t>
      </w:r>
      <w:r w:rsidRPr="009677B6">
        <w:rPr>
          <w:lang w:val="fr-CA"/>
        </w:rPr>
        <w:t>que « [l]es pertes qui auraient pu être évitées par des précautions raisonnables se définissent comme celles qui sont, en fait, attribuables à l</w:t>
      </w:r>
      <w:r>
        <w:rPr>
          <w:lang w:val="fr-CA"/>
        </w:rPr>
        <w:t>’</w:t>
      </w:r>
      <w:r w:rsidRPr="009677B6">
        <w:rPr>
          <w:lang w:val="fr-CA"/>
        </w:rPr>
        <w:t>inaction du demandeur plutôt qu</w:t>
      </w:r>
      <w:r>
        <w:rPr>
          <w:lang w:val="fr-CA"/>
        </w:rPr>
        <w:t>’</w:t>
      </w:r>
      <w:r w:rsidRPr="009677B6">
        <w:rPr>
          <w:lang w:val="fr-CA"/>
        </w:rPr>
        <w:t>à la faute du défendeur</w:t>
      </w:r>
      <w:r w:rsidR="00D25329">
        <w:rPr>
          <w:lang w:val="fr-CA"/>
        </w:rPr>
        <w:t>.</w:t>
      </w:r>
      <w:r w:rsidRPr="009677B6">
        <w:rPr>
          <w:lang w:val="fr-CA"/>
        </w:rPr>
        <w:t> »</w:t>
      </w:r>
      <w:r>
        <w:rPr>
          <w:lang w:val="fr-CA"/>
        </w:rPr>
        <w:t xml:space="preserve">  </w:t>
      </w:r>
      <w:r w:rsidRPr="009677B6">
        <w:rPr>
          <w:lang w:val="fr-CA"/>
        </w:rPr>
        <w:t xml:space="preserve">En principe, </w:t>
      </w:r>
      <w:r>
        <w:rPr>
          <w:lang w:val="fr-CA"/>
        </w:rPr>
        <w:t xml:space="preserve">un </w:t>
      </w:r>
      <w:r w:rsidRPr="009677B6">
        <w:rPr>
          <w:lang w:val="fr-CA"/>
        </w:rPr>
        <w:t>demandeur ne peut se faire indemniser d</w:t>
      </w:r>
      <w:r>
        <w:rPr>
          <w:lang w:val="fr-CA"/>
        </w:rPr>
        <w:t>’</w:t>
      </w:r>
      <w:r w:rsidRPr="009677B6">
        <w:rPr>
          <w:lang w:val="fr-CA"/>
        </w:rPr>
        <w:t>une perte qu</w:t>
      </w:r>
      <w:r>
        <w:rPr>
          <w:lang w:val="fr-CA"/>
        </w:rPr>
        <w:t>’</w:t>
      </w:r>
      <w:r w:rsidRPr="009677B6">
        <w:rPr>
          <w:lang w:val="fr-CA"/>
        </w:rPr>
        <w:t>il aurait pu éviter par des précautions raisonnables</w:t>
      </w:r>
      <w:r>
        <w:rPr>
          <w:lang w:val="fr-CA"/>
        </w:rPr>
        <w:t xml:space="preserve">.  </w:t>
      </w:r>
      <w:r w:rsidRPr="009677B6">
        <w:rPr>
          <w:lang w:val="fr-CA"/>
        </w:rPr>
        <w:t>Lorsqu</w:t>
      </w:r>
      <w:r>
        <w:rPr>
          <w:lang w:val="fr-CA"/>
        </w:rPr>
        <w:t xml:space="preserve">’il est allégué que le </w:t>
      </w:r>
      <w:r w:rsidRPr="009677B6">
        <w:rPr>
          <w:lang w:val="fr-CA"/>
        </w:rPr>
        <w:t xml:space="preserve">demandeur </w:t>
      </w:r>
      <w:r>
        <w:rPr>
          <w:lang w:val="fr-CA"/>
        </w:rPr>
        <w:t xml:space="preserve">n’a pas </w:t>
      </w:r>
      <w:r w:rsidRPr="00CE41B4">
        <w:rPr>
          <w:lang w:val="fr-CA"/>
        </w:rPr>
        <w:t>mitigé</w:t>
      </w:r>
      <w:r w:rsidRPr="009677B6">
        <w:rPr>
          <w:lang w:val="fr-CA"/>
        </w:rPr>
        <w:t xml:space="preserve"> le préjudice, il incombe au défendeur de démontrer non seulement que le demandeur n</w:t>
      </w:r>
      <w:r>
        <w:rPr>
          <w:lang w:val="fr-CA"/>
        </w:rPr>
        <w:t>’</w:t>
      </w:r>
      <w:r w:rsidRPr="009677B6">
        <w:rPr>
          <w:lang w:val="fr-CA"/>
        </w:rPr>
        <w:t xml:space="preserve">a pas pris toutes les mesures raisonnables pour </w:t>
      </w:r>
      <w:r w:rsidRPr="00CE41B4">
        <w:rPr>
          <w:lang w:val="fr-CA"/>
        </w:rPr>
        <w:t>mitiger</w:t>
      </w:r>
      <w:r w:rsidRPr="009677B6">
        <w:rPr>
          <w:lang w:val="fr-CA"/>
        </w:rPr>
        <w:t xml:space="preserve"> le préjudice, mais encore qu</w:t>
      </w:r>
      <w:r>
        <w:rPr>
          <w:lang w:val="fr-CA"/>
        </w:rPr>
        <w:t>’</w:t>
      </w:r>
      <w:r w:rsidRPr="009677B6">
        <w:rPr>
          <w:lang w:val="fr-CA"/>
        </w:rPr>
        <w:t xml:space="preserve">il </w:t>
      </w:r>
      <w:r>
        <w:rPr>
          <w:lang w:val="fr-CA"/>
        </w:rPr>
        <w:t xml:space="preserve">était possible de </w:t>
      </w:r>
      <w:r w:rsidRPr="00CE41B4">
        <w:rPr>
          <w:lang w:val="fr-CA"/>
        </w:rPr>
        <w:t>mitiger</w:t>
      </w:r>
      <w:r w:rsidRPr="009677B6">
        <w:rPr>
          <w:lang w:val="fr-CA"/>
        </w:rPr>
        <w:t xml:space="preserve"> le préjudice (</w:t>
      </w:r>
      <w:proofErr w:type="spellStart"/>
      <w:r w:rsidRPr="009677B6">
        <w:rPr>
          <w:i/>
          <w:lang w:val="fr-CA"/>
        </w:rPr>
        <w:t>Red</w:t>
      </w:r>
      <w:proofErr w:type="spellEnd"/>
      <w:r w:rsidRPr="009677B6">
        <w:rPr>
          <w:i/>
          <w:lang w:val="fr-CA"/>
        </w:rPr>
        <w:t xml:space="preserve"> </w:t>
      </w:r>
      <w:proofErr w:type="spellStart"/>
      <w:r w:rsidRPr="009677B6">
        <w:rPr>
          <w:i/>
          <w:lang w:val="fr-CA"/>
        </w:rPr>
        <w:t>Deer</w:t>
      </w:r>
      <w:proofErr w:type="spellEnd"/>
      <w:r w:rsidRPr="009677B6">
        <w:rPr>
          <w:i/>
          <w:lang w:val="fr-CA"/>
        </w:rPr>
        <w:t xml:space="preserve"> </w:t>
      </w:r>
      <w:proofErr w:type="spellStart"/>
      <w:r w:rsidRPr="009677B6">
        <w:rPr>
          <w:i/>
          <w:lang w:val="fr-CA"/>
        </w:rPr>
        <w:t>College</w:t>
      </w:r>
      <w:proofErr w:type="spellEnd"/>
      <w:r w:rsidRPr="009677B6">
        <w:rPr>
          <w:i/>
          <w:lang w:val="fr-CA"/>
        </w:rPr>
        <w:t xml:space="preserve"> c. </w:t>
      </w:r>
      <w:proofErr w:type="spellStart"/>
      <w:r w:rsidRPr="009677B6">
        <w:rPr>
          <w:i/>
          <w:lang w:val="fr-CA"/>
        </w:rPr>
        <w:t>Michaels</w:t>
      </w:r>
      <w:proofErr w:type="spellEnd"/>
      <w:r w:rsidRPr="009677B6">
        <w:rPr>
          <w:lang w:val="fr-CA"/>
        </w:rPr>
        <w:t>, [1976]</w:t>
      </w:r>
      <w:r>
        <w:rPr>
          <w:lang w:val="fr-CA"/>
        </w:rPr>
        <w:t xml:space="preserve"> </w:t>
      </w:r>
      <w:r w:rsidRPr="009677B6">
        <w:rPr>
          <w:lang w:val="fr-CA"/>
        </w:rPr>
        <w:t>2</w:t>
      </w:r>
      <w:r>
        <w:rPr>
          <w:lang w:val="fr-CA"/>
        </w:rPr>
        <w:t xml:space="preserve"> </w:t>
      </w:r>
      <w:r w:rsidRPr="009677B6">
        <w:rPr>
          <w:lang w:val="fr-CA"/>
        </w:rPr>
        <w:t xml:space="preserve">R.C.S. 324; </w:t>
      </w:r>
      <w:proofErr w:type="spellStart"/>
      <w:r w:rsidRPr="009677B6">
        <w:rPr>
          <w:i/>
          <w:lang w:val="fr-CA"/>
        </w:rPr>
        <w:t>Asamera</w:t>
      </w:r>
      <w:proofErr w:type="spellEnd"/>
      <w:r w:rsidRPr="009677B6">
        <w:rPr>
          <w:lang w:val="fr-CA"/>
        </w:rPr>
        <w:t xml:space="preserve">; </w:t>
      </w:r>
      <w:r w:rsidRPr="009677B6">
        <w:rPr>
          <w:i/>
          <w:lang w:val="fr-CA"/>
        </w:rPr>
        <w:t xml:space="preserve">Evans c. </w:t>
      </w:r>
      <w:proofErr w:type="spellStart"/>
      <w:r w:rsidRPr="009677B6">
        <w:rPr>
          <w:i/>
          <w:lang w:val="fr-CA"/>
        </w:rPr>
        <w:t>Teamsters</w:t>
      </w:r>
      <w:proofErr w:type="spellEnd"/>
      <w:r w:rsidRPr="009677B6">
        <w:rPr>
          <w:i/>
          <w:lang w:val="fr-CA"/>
        </w:rPr>
        <w:t xml:space="preserve"> Local Union </w:t>
      </w:r>
      <w:r>
        <w:rPr>
          <w:i/>
          <w:lang w:val="fr-CA"/>
        </w:rPr>
        <w:t>No. </w:t>
      </w:r>
      <w:r w:rsidRPr="009677B6">
        <w:rPr>
          <w:i/>
          <w:lang w:val="fr-CA"/>
        </w:rPr>
        <w:t>31</w:t>
      </w:r>
      <w:r w:rsidRPr="009677B6">
        <w:rPr>
          <w:lang w:val="fr-CA"/>
        </w:rPr>
        <w:t xml:space="preserve">, </w:t>
      </w:r>
      <w:r>
        <w:rPr>
          <w:lang w:val="fr-CA"/>
        </w:rPr>
        <w:t xml:space="preserve">2008 CSC 20, </w:t>
      </w:r>
      <w:r w:rsidRPr="009677B6">
        <w:rPr>
          <w:lang w:val="fr-CA"/>
        </w:rPr>
        <w:t>[2008]</w:t>
      </w:r>
      <w:r>
        <w:rPr>
          <w:lang w:val="fr-CA"/>
        </w:rPr>
        <w:t xml:space="preserve"> </w:t>
      </w:r>
      <w:r w:rsidRPr="009677B6">
        <w:rPr>
          <w:lang w:val="fr-CA"/>
        </w:rPr>
        <w:t>1</w:t>
      </w:r>
      <w:r>
        <w:rPr>
          <w:lang w:val="fr-CA"/>
        </w:rPr>
        <w:t xml:space="preserve"> </w:t>
      </w:r>
      <w:r w:rsidRPr="009677B6">
        <w:rPr>
          <w:lang w:val="fr-CA"/>
        </w:rPr>
        <w:t xml:space="preserve">R.C.S. 661, </w:t>
      </w:r>
      <w:r>
        <w:rPr>
          <w:lang w:val="fr-CA"/>
        </w:rPr>
        <w:t>par. </w:t>
      </w:r>
      <w:r w:rsidRPr="009677B6">
        <w:rPr>
          <w:lang w:val="fr-CA"/>
        </w:rPr>
        <w:t xml:space="preserve">30). </w:t>
      </w:r>
    </w:p>
    <w:p w:rsidR="0071502D" w:rsidRPr="009677B6" w:rsidRDefault="0071502D" w:rsidP="0071502D">
      <w:pPr>
        <w:pStyle w:val="ParaNoNdepar-AltN"/>
        <w:rPr>
          <w:lang w:val="fr-CA"/>
        </w:rPr>
      </w:pPr>
      <w:r>
        <w:rPr>
          <w:lang w:val="fr-CA"/>
        </w:rPr>
        <w:lastRenderedPageBreak/>
        <w:t xml:space="preserve">Par contre, un </w:t>
      </w:r>
      <w:r w:rsidRPr="009677B6">
        <w:rPr>
          <w:lang w:val="fr-CA"/>
        </w:rPr>
        <w:t xml:space="preserve">demandeur qui prend effectivement des mesures raisonnables pour </w:t>
      </w:r>
      <w:r w:rsidRPr="00CE41B4">
        <w:rPr>
          <w:lang w:val="fr-CA"/>
        </w:rPr>
        <w:t>mitiger</w:t>
      </w:r>
      <w:r w:rsidRPr="009677B6">
        <w:rPr>
          <w:lang w:val="fr-CA"/>
        </w:rPr>
        <w:t xml:space="preserve"> ses pertes peut recouvrer, à titre de </w:t>
      </w:r>
      <w:proofErr w:type="spellStart"/>
      <w:r w:rsidRPr="009677B6">
        <w:rPr>
          <w:lang w:val="fr-CA"/>
        </w:rPr>
        <w:t>dommages</w:t>
      </w:r>
      <w:r>
        <w:rPr>
          <w:lang w:val="fr-CA"/>
        </w:rPr>
        <w:noBreakHyphen/>
      </w:r>
      <w:r w:rsidRPr="009677B6">
        <w:rPr>
          <w:lang w:val="fr-CA"/>
        </w:rPr>
        <w:t>intérêts</w:t>
      </w:r>
      <w:proofErr w:type="spellEnd"/>
      <w:r w:rsidRPr="009677B6">
        <w:rPr>
          <w:lang w:val="fr-CA"/>
        </w:rPr>
        <w:t>, les frais et les dépenses qu</w:t>
      </w:r>
      <w:r>
        <w:rPr>
          <w:lang w:val="fr-CA"/>
        </w:rPr>
        <w:t>’</w:t>
      </w:r>
      <w:r w:rsidRPr="009677B6">
        <w:rPr>
          <w:lang w:val="fr-CA"/>
        </w:rPr>
        <w:t>il a engagés pour prendre ces mesures raisonnable</w:t>
      </w:r>
      <w:r>
        <w:rPr>
          <w:lang w:val="fr-CA"/>
        </w:rPr>
        <w:t>s, à condition que c</w:t>
      </w:r>
      <w:r w:rsidRPr="009677B6">
        <w:rPr>
          <w:lang w:val="fr-CA"/>
        </w:rPr>
        <w:t>es frais et dépenses soient raisonnables et qu</w:t>
      </w:r>
      <w:r>
        <w:rPr>
          <w:lang w:val="fr-CA"/>
        </w:rPr>
        <w:t>’</w:t>
      </w:r>
      <w:r w:rsidRPr="009677B6">
        <w:rPr>
          <w:lang w:val="fr-CA"/>
        </w:rPr>
        <w:t xml:space="preserve">ils aient véritablement été engagés pour </w:t>
      </w:r>
      <w:r w:rsidRPr="00CE41B4">
        <w:rPr>
          <w:lang w:val="fr-CA"/>
        </w:rPr>
        <w:t>mitiger</w:t>
      </w:r>
      <w:r w:rsidRPr="009677B6">
        <w:rPr>
          <w:lang w:val="fr-CA"/>
        </w:rPr>
        <w:t xml:space="preserve"> les dommages (</w:t>
      </w:r>
      <w:r>
        <w:rPr>
          <w:lang w:val="fr-CA"/>
        </w:rPr>
        <w:t xml:space="preserve">voir </w:t>
      </w:r>
      <w:r w:rsidRPr="00F94E07">
        <w:rPr>
          <w:lang w:val="fr-CA"/>
        </w:rPr>
        <w:t>P</w:t>
      </w:r>
      <w:r>
        <w:rPr>
          <w:lang w:val="fr-CA"/>
        </w:rPr>
        <w:t>. </w:t>
      </w:r>
      <w:r w:rsidRPr="00F94E07">
        <w:rPr>
          <w:lang w:val="fr-CA"/>
        </w:rPr>
        <w:t>Bates</w:t>
      </w:r>
      <w:r w:rsidRPr="009677B6">
        <w:rPr>
          <w:lang w:val="fr-CA"/>
        </w:rPr>
        <w:t xml:space="preserve">, « Mitigation of </w:t>
      </w:r>
      <w:r>
        <w:rPr>
          <w:lang w:val="fr-CA"/>
        </w:rPr>
        <w:t>Damages</w:t>
      </w:r>
      <w:r w:rsidRPr="009677B6">
        <w:rPr>
          <w:lang w:val="fr-CA"/>
        </w:rPr>
        <w:t xml:space="preserve">: A </w:t>
      </w:r>
      <w:proofErr w:type="spellStart"/>
      <w:r w:rsidRPr="009677B6">
        <w:rPr>
          <w:lang w:val="fr-CA"/>
        </w:rPr>
        <w:t>Matter</w:t>
      </w:r>
      <w:proofErr w:type="spellEnd"/>
      <w:r w:rsidRPr="009677B6">
        <w:rPr>
          <w:lang w:val="fr-CA"/>
        </w:rPr>
        <w:t xml:space="preserve"> of Commercial Common </w:t>
      </w:r>
      <w:proofErr w:type="spellStart"/>
      <w:r w:rsidRPr="009677B6">
        <w:rPr>
          <w:lang w:val="fr-CA"/>
        </w:rPr>
        <w:t>Sense</w:t>
      </w:r>
      <w:proofErr w:type="spellEnd"/>
      <w:r w:rsidRPr="009677B6">
        <w:rPr>
          <w:lang w:val="fr-CA"/>
        </w:rPr>
        <w:t xml:space="preserve"> » (1992), 13 </w:t>
      </w:r>
      <w:proofErr w:type="spellStart"/>
      <w:r w:rsidRPr="009677B6">
        <w:rPr>
          <w:i/>
          <w:lang w:val="fr-CA"/>
        </w:rPr>
        <w:t>Advoc</w:t>
      </w:r>
      <w:r>
        <w:rPr>
          <w:i/>
          <w:lang w:val="fr-CA"/>
        </w:rPr>
        <w:t>ates</w:t>
      </w:r>
      <w:proofErr w:type="spellEnd"/>
      <w:r w:rsidR="00461C3A">
        <w:rPr>
          <w:i/>
          <w:lang w:val="fr-CA"/>
        </w:rPr>
        <w:t>’</w:t>
      </w:r>
      <w:r w:rsidRPr="009677B6">
        <w:rPr>
          <w:i/>
          <w:lang w:val="fr-CA"/>
        </w:rPr>
        <w:t xml:space="preserve"> Q. </w:t>
      </w:r>
      <w:r w:rsidRPr="009677B6">
        <w:rPr>
          <w:lang w:val="fr-CA"/>
        </w:rPr>
        <w:t>273)</w:t>
      </w:r>
      <w:r>
        <w:rPr>
          <w:lang w:val="fr-CA"/>
        </w:rPr>
        <w:t xml:space="preserve">.  </w:t>
      </w:r>
      <w:r w:rsidRPr="009677B6">
        <w:rPr>
          <w:lang w:val="fr-CA"/>
        </w:rPr>
        <w:t>L</w:t>
      </w:r>
      <w:r>
        <w:rPr>
          <w:lang w:val="fr-CA"/>
        </w:rPr>
        <w:t>’</w:t>
      </w:r>
      <w:r w:rsidRPr="009677B6">
        <w:rPr>
          <w:lang w:val="fr-CA"/>
        </w:rPr>
        <w:t>évaluation des dommages est par conséquent une question d</w:t>
      </w:r>
      <w:r>
        <w:rPr>
          <w:lang w:val="fr-CA"/>
        </w:rPr>
        <w:t>’</w:t>
      </w:r>
      <w:r w:rsidRPr="009677B6">
        <w:rPr>
          <w:lang w:val="fr-CA"/>
        </w:rPr>
        <w:t>appréciation</w:t>
      </w:r>
      <w:r>
        <w:rPr>
          <w:lang w:val="fr-CA"/>
        </w:rPr>
        <w:t xml:space="preserve">.  </w:t>
      </w:r>
      <w:r w:rsidRPr="009677B6">
        <w:rPr>
          <w:lang w:val="fr-CA"/>
        </w:rPr>
        <w:t>Comme la Cour d</w:t>
      </w:r>
      <w:r>
        <w:rPr>
          <w:lang w:val="fr-CA"/>
        </w:rPr>
        <w:t>’</w:t>
      </w:r>
      <w:r w:rsidRPr="009677B6">
        <w:rPr>
          <w:lang w:val="fr-CA"/>
        </w:rPr>
        <w:t>appel fédérale l</w:t>
      </w:r>
      <w:r>
        <w:rPr>
          <w:lang w:val="fr-CA"/>
        </w:rPr>
        <w:t>’</w:t>
      </w:r>
      <w:r w:rsidRPr="009677B6">
        <w:rPr>
          <w:lang w:val="fr-CA"/>
        </w:rPr>
        <w:t>a déclaré dans l</w:t>
      </w:r>
      <w:r>
        <w:rPr>
          <w:lang w:val="fr-CA"/>
        </w:rPr>
        <w:t>’</w:t>
      </w:r>
      <w:r w:rsidRPr="009677B6">
        <w:rPr>
          <w:lang w:val="fr-CA"/>
        </w:rPr>
        <w:t xml:space="preserve">arrêt </w:t>
      </w:r>
      <w:proofErr w:type="spellStart"/>
      <w:r w:rsidRPr="009677B6">
        <w:rPr>
          <w:i/>
          <w:iCs/>
          <w:lang w:val="fr-CA"/>
        </w:rPr>
        <w:t>Redpath</w:t>
      </w:r>
      <w:proofErr w:type="spellEnd"/>
      <w:r w:rsidRPr="009677B6">
        <w:rPr>
          <w:i/>
          <w:iCs/>
          <w:lang w:val="fr-CA"/>
        </w:rPr>
        <w:t xml:space="preserve"> Industries Ltd. c. Cisco</w:t>
      </w:r>
      <w:r>
        <w:rPr>
          <w:i/>
          <w:iCs/>
          <w:lang w:val="fr-CA"/>
        </w:rPr>
        <w:t xml:space="preserve"> </w:t>
      </w:r>
      <w:r w:rsidRPr="00F94E07">
        <w:rPr>
          <w:i/>
          <w:iCs/>
          <w:lang w:val="fr-CA"/>
        </w:rPr>
        <w:t>(Le)</w:t>
      </w:r>
      <w:r w:rsidRPr="009677B6">
        <w:rPr>
          <w:lang w:val="fr-CA"/>
        </w:rPr>
        <w:t xml:space="preserve">, [1994] 2 C.F. 279, </w:t>
      </w:r>
      <w:r>
        <w:rPr>
          <w:lang w:val="fr-CA"/>
        </w:rPr>
        <w:t>p. 302 :</w:t>
      </w:r>
      <w:r w:rsidRPr="009677B6">
        <w:rPr>
          <w:lang w:val="fr-CA"/>
        </w:rPr>
        <w:t xml:space="preserve"> « </w:t>
      </w:r>
      <w:r w:rsidR="002C0DB2">
        <w:rPr>
          <w:lang w:val="fr-CA"/>
        </w:rPr>
        <w:t>L</w:t>
      </w:r>
      <w:r w:rsidRPr="009677B6">
        <w:rPr>
          <w:lang w:val="fr-CA"/>
        </w:rPr>
        <w:t>a Cour doit s</w:t>
      </w:r>
      <w:r>
        <w:rPr>
          <w:lang w:val="fr-CA"/>
        </w:rPr>
        <w:t>’</w:t>
      </w:r>
      <w:r w:rsidRPr="009677B6">
        <w:rPr>
          <w:lang w:val="fr-CA"/>
        </w:rPr>
        <w:t>assurer que la victime est dédommagée de sa perte</w:t>
      </w:r>
      <w:r w:rsidR="00AD57A9">
        <w:rPr>
          <w:lang w:val="fr-CA"/>
        </w:rPr>
        <w:t>;</w:t>
      </w:r>
      <w:r w:rsidRPr="009677B6">
        <w:rPr>
          <w:lang w:val="fr-CA"/>
        </w:rPr>
        <w:t xml:space="preserve"> mais elle doit </w:t>
      </w:r>
      <w:r>
        <w:rPr>
          <w:lang w:val="fr-CA"/>
        </w:rPr>
        <w:t xml:space="preserve">en même temps </w:t>
      </w:r>
      <w:r w:rsidRPr="009677B6">
        <w:rPr>
          <w:lang w:val="fr-CA"/>
        </w:rPr>
        <w:t>s</w:t>
      </w:r>
      <w:r>
        <w:rPr>
          <w:lang w:val="fr-CA"/>
        </w:rPr>
        <w:t>’</w:t>
      </w:r>
      <w:r w:rsidRPr="009677B6">
        <w:rPr>
          <w:lang w:val="fr-CA"/>
        </w:rPr>
        <w:t>assurer que l</w:t>
      </w:r>
      <w:r>
        <w:rPr>
          <w:lang w:val="fr-CA"/>
        </w:rPr>
        <w:t>’</w:t>
      </w:r>
      <w:r w:rsidRPr="009677B6">
        <w:rPr>
          <w:lang w:val="fr-CA"/>
        </w:rPr>
        <w:t>on ne profite pas de la personne responsable</w:t>
      </w:r>
      <w:r w:rsidR="002C0DB2">
        <w:rPr>
          <w:lang w:val="fr-CA"/>
        </w:rPr>
        <w:t>.</w:t>
      </w:r>
      <w:r w:rsidRPr="009677B6">
        <w:rPr>
          <w:lang w:val="fr-CA"/>
        </w:rPr>
        <w:t> »</w:t>
      </w:r>
      <w:r>
        <w:rPr>
          <w:lang w:val="fr-CA"/>
        </w:rPr>
        <w:t xml:space="preserve"> La notion de </w:t>
      </w:r>
      <w:r w:rsidRPr="00CE41B4">
        <w:rPr>
          <w:lang w:val="fr-CA"/>
        </w:rPr>
        <w:t>mitigation</w:t>
      </w:r>
      <w:r>
        <w:rPr>
          <w:lang w:val="fr-CA"/>
        </w:rPr>
        <w:t xml:space="preserve"> du préjudice repose sur l’équité et le bon sens et vise à assurer la justice entre les parties en fonction des circonstances propres à l’espèce.</w:t>
      </w:r>
    </w:p>
    <w:p w:rsidR="0071502D" w:rsidRPr="00F7237E" w:rsidRDefault="0071502D" w:rsidP="006E0DED">
      <w:pPr>
        <w:pStyle w:val="TitleTitre-AltT"/>
        <w:tabs>
          <w:tab w:val="clear" w:pos="360"/>
          <w:tab w:val="left" w:pos="540"/>
        </w:tabs>
        <w:ind w:left="540" w:hanging="540"/>
        <w:rPr>
          <w:i/>
          <w:lang w:val="fr-CA"/>
        </w:rPr>
      </w:pPr>
      <w:r w:rsidRPr="009677B6">
        <w:rPr>
          <w:lang w:val="fr-CA"/>
        </w:rPr>
        <w:t>A.</w:t>
      </w:r>
      <w:r w:rsidRPr="009677B6">
        <w:rPr>
          <w:lang w:val="fr-CA"/>
        </w:rPr>
        <w:tab/>
      </w:r>
      <w:r w:rsidRPr="00F7237E">
        <w:rPr>
          <w:i/>
          <w:lang w:val="fr-CA"/>
        </w:rPr>
        <w:t xml:space="preserve">Une société à but unique </w:t>
      </w:r>
      <w:proofErr w:type="spellStart"/>
      <w:r>
        <w:rPr>
          <w:i/>
          <w:lang w:val="fr-CA"/>
        </w:rPr>
        <w:t>devr</w:t>
      </w:r>
      <w:r w:rsidRPr="00F7237E">
        <w:rPr>
          <w:i/>
          <w:lang w:val="fr-CA"/>
        </w:rPr>
        <w:t>a</w:t>
      </w:r>
      <w:r>
        <w:rPr>
          <w:i/>
          <w:lang w:val="fr-CA"/>
        </w:rPr>
        <w:t>i</w:t>
      </w:r>
      <w:r w:rsidRPr="00F7237E">
        <w:rPr>
          <w:i/>
          <w:lang w:val="fr-CA"/>
        </w:rPr>
        <w:t>t</w:t>
      </w:r>
      <w:r>
        <w:rPr>
          <w:i/>
          <w:lang w:val="fr-CA"/>
        </w:rPr>
        <w:noBreakHyphen/>
      </w:r>
      <w:r w:rsidRPr="00F7237E">
        <w:rPr>
          <w:i/>
          <w:lang w:val="fr-CA"/>
        </w:rPr>
        <w:t>elle</w:t>
      </w:r>
      <w:proofErr w:type="spellEnd"/>
      <w:r w:rsidRPr="00F7237E">
        <w:rPr>
          <w:i/>
          <w:lang w:val="fr-CA"/>
        </w:rPr>
        <w:t xml:space="preserve"> </w:t>
      </w:r>
      <w:r w:rsidRPr="00CE41B4">
        <w:rPr>
          <w:i/>
          <w:lang w:val="fr-CA"/>
        </w:rPr>
        <w:t>mitiger</w:t>
      </w:r>
      <w:r w:rsidRPr="00F7237E">
        <w:rPr>
          <w:i/>
          <w:lang w:val="fr-CA"/>
        </w:rPr>
        <w:t xml:space="preserve"> </w:t>
      </w:r>
      <w:r>
        <w:rPr>
          <w:i/>
          <w:lang w:val="fr-CA"/>
        </w:rPr>
        <w:t>ses pertes</w:t>
      </w:r>
      <w:r w:rsidRPr="00F7237E">
        <w:rPr>
          <w:i/>
          <w:lang w:val="fr-CA"/>
        </w:rPr>
        <w:t>?</w:t>
      </w:r>
    </w:p>
    <w:p w:rsidR="0071502D" w:rsidRPr="009677B6" w:rsidRDefault="0071502D" w:rsidP="0071502D">
      <w:pPr>
        <w:pStyle w:val="ParaNoNdepar-AltN"/>
        <w:rPr>
          <w:lang w:val="fr-CA"/>
        </w:rPr>
      </w:pPr>
      <w:proofErr w:type="spellStart"/>
      <w:r w:rsidRPr="009677B6">
        <w:rPr>
          <w:lang w:val="fr-CA"/>
        </w:rPr>
        <w:t>Southcott</w:t>
      </w:r>
      <w:proofErr w:type="spellEnd"/>
      <w:r w:rsidRPr="009677B6">
        <w:rPr>
          <w:lang w:val="fr-CA"/>
        </w:rPr>
        <w:t xml:space="preserve"> soutient que la </w:t>
      </w:r>
      <w:r w:rsidR="006E0DED">
        <w:rPr>
          <w:lang w:val="fr-CA"/>
        </w:rPr>
        <w:t>C</w:t>
      </w:r>
      <w:r w:rsidRPr="009677B6">
        <w:rPr>
          <w:lang w:val="fr-CA"/>
        </w:rPr>
        <w:t>our d</w:t>
      </w:r>
      <w:r>
        <w:rPr>
          <w:lang w:val="fr-CA"/>
        </w:rPr>
        <w:t>’</w:t>
      </w:r>
      <w:r w:rsidRPr="009677B6">
        <w:rPr>
          <w:lang w:val="fr-CA"/>
        </w:rPr>
        <w:t>appel n</w:t>
      </w:r>
      <w:r>
        <w:rPr>
          <w:lang w:val="fr-CA"/>
        </w:rPr>
        <w:t>’</w:t>
      </w:r>
      <w:r w:rsidRPr="009677B6">
        <w:rPr>
          <w:lang w:val="fr-CA"/>
        </w:rPr>
        <w:t xml:space="preserve">a pas reconnu la situation </w:t>
      </w:r>
      <w:r>
        <w:rPr>
          <w:lang w:val="fr-CA"/>
        </w:rPr>
        <w:t xml:space="preserve">singulière </w:t>
      </w:r>
      <w:r w:rsidRPr="009677B6">
        <w:rPr>
          <w:lang w:val="fr-CA"/>
        </w:rPr>
        <w:t>dans laquelle se trouve une société à but unique lorsqu</w:t>
      </w:r>
      <w:r>
        <w:rPr>
          <w:lang w:val="fr-CA"/>
        </w:rPr>
        <w:t>’</w:t>
      </w:r>
      <w:r w:rsidRPr="009677B6">
        <w:rPr>
          <w:lang w:val="fr-CA"/>
        </w:rPr>
        <w:t>il s</w:t>
      </w:r>
      <w:r>
        <w:rPr>
          <w:lang w:val="fr-CA"/>
        </w:rPr>
        <w:t>’</w:t>
      </w:r>
      <w:r w:rsidRPr="009677B6">
        <w:rPr>
          <w:lang w:val="fr-CA"/>
        </w:rPr>
        <w:t xml:space="preserve">agit de </w:t>
      </w:r>
      <w:r w:rsidRPr="00CE41B4">
        <w:rPr>
          <w:lang w:val="fr-CA"/>
        </w:rPr>
        <w:t>mitiger</w:t>
      </w:r>
      <w:r w:rsidRPr="009677B6">
        <w:rPr>
          <w:lang w:val="fr-CA"/>
        </w:rPr>
        <w:t xml:space="preserve"> les pertes afférentes au contrat; en tant que société à but unique, </w:t>
      </w:r>
      <w:proofErr w:type="spellStart"/>
      <w:r w:rsidRPr="009677B6">
        <w:rPr>
          <w:lang w:val="fr-CA"/>
        </w:rPr>
        <w:t>Southcott</w:t>
      </w:r>
      <w:proofErr w:type="spellEnd"/>
      <w:r w:rsidRPr="009677B6">
        <w:rPr>
          <w:lang w:val="fr-CA"/>
        </w:rPr>
        <w:t xml:space="preserve"> </w:t>
      </w:r>
      <w:r>
        <w:rPr>
          <w:lang w:val="fr-CA"/>
        </w:rPr>
        <w:t>n’avait pas d’actif</w:t>
      </w:r>
      <w:r w:rsidRPr="009677B6">
        <w:rPr>
          <w:lang w:val="fr-CA"/>
        </w:rPr>
        <w:t xml:space="preserve"> et il lui était impossible de </w:t>
      </w:r>
      <w:r w:rsidRPr="00CE41B4">
        <w:rPr>
          <w:lang w:val="fr-CA"/>
        </w:rPr>
        <w:t>mitiger</w:t>
      </w:r>
      <w:r w:rsidRPr="009677B6">
        <w:rPr>
          <w:lang w:val="fr-CA"/>
        </w:rPr>
        <w:t xml:space="preserve"> ses pertes sans une importante inje</w:t>
      </w:r>
      <w:r>
        <w:rPr>
          <w:lang w:val="fr-CA"/>
        </w:rPr>
        <w:t>ction de capitaux de sa société mère</w:t>
      </w:r>
      <w:r w:rsidRPr="009677B6">
        <w:rPr>
          <w:lang w:val="fr-CA"/>
        </w:rPr>
        <w:t xml:space="preserve"> ou sans mandat lui permettant de le faire</w:t>
      </w:r>
      <w:r>
        <w:rPr>
          <w:lang w:val="fr-CA"/>
        </w:rPr>
        <w:t xml:space="preserve">.  </w:t>
      </w:r>
      <w:r w:rsidRPr="009677B6">
        <w:rPr>
          <w:lang w:val="fr-CA"/>
        </w:rPr>
        <w:t xml:space="preserve">Elle fait par ailleurs valoir que </w:t>
      </w:r>
      <w:r>
        <w:rPr>
          <w:lang w:val="fr-CA"/>
        </w:rPr>
        <w:t>les personnes qui contractent avec une</w:t>
      </w:r>
      <w:r w:rsidRPr="009677B6">
        <w:rPr>
          <w:lang w:val="fr-CA"/>
        </w:rPr>
        <w:t xml:space="preserve"> société à but unique </w:t>
      </w:r>
      <w:proofErr w:type="gramStart"/>
      <w:r w:rsidRPr="009677B6">
        <w:rPr>
          <w:lang w:val="fr-CA"/>
        </w:rPr>
        <w:t>p</w:t>
      </w:r>
      <w:r>
        <w:rPr>
          <w:lang w:val="fr-CA"/>
        </w:rPr>
        <w:t>o</w:t>
      </w:r>
      <w:r w:rsidRPr="009677B6">
        <w:rPr>
          <w:lang w:val="fr-CA"/>
        </w:rPr>
        <w:t>u</w:t>
      </w:r>
      <w:r>
        <w:rPr>
          <w:lang w:val="fr-CA"/>
        </w:rPr>
        <w:t>rraie</w:t>
      </w:r>
      <w:r w:rsidRPr="009677B6">
        <w:rPr>
          <w:lang w:val="fr-CA"/>
        </w:rPr>
        <w:t>nt</w:t>
      </w:r>
      <w:proofErr w:type="gramEnd"/>
      <w:r w:rsidRPr="009677B6">
        <w:rPr>
          <w:lang w:val="fr-CA"/>
        </w:rPr>
        <w:t xml:space="preserve"> raisonnablement s</w:t>
      </w:r>
      <w:r>
        <w:rPr>
          <w:lang w:val="fr-CA"/>
        </w:rPr>
        <w:t>’</w:t>
      </w:r>
      <w:r w:rsidRPr="009677B6">
        <w:rPr>
          <w:lang w:val="fr-CA"/>
        </w:rPr>
        <w:t xml:space="preserve">attendre à ce que </w:t>
      </w:r>
      <w:proofErr w:type="spellStart"/>
      <w:r>
        <w:rPr>
          <w:lang w:val="fr-CA"/>
        </w:rPr>
        <w:t>celle</w:t>
      </w:r>
      <w:r>
        <w:rPr>
          <w:lang w:val="fr-CA"/>
        </w:rPr>
        <w:noBreakHyphen/>
        <w:t>ci</w:t>
      </w:r>
      <w:proofErr w:type="spellEnd"/>
      <w:r>
        <w:rPr>
          <w:lang w:val="fr-CA"/>
        </w:rPr>
        <w:t xml:space="preserve"> </w:t>
      </w:r>
      <w:r w:rsidRPr="009677B6">
        <w:rPr>
          <w:lang w:val="fr-CA"/>
        </w:rPr>
        <w:t xml:space="preserve">dispose de ressources limitées </w:t>
      </w:r>
      <w:r w:rsidRPr="009677B6">
        <w:rPr>
          <w:lang w:val="fr-CA"/>
        </w:rPr>
        <w:lastRenderedPageBreak/>
        <w:t xml:space="preserve">et </w:t>
      </w:r>
      <w:r>
        <w:rPr>
          <w:lang w:val="fr-CA"/>
        </w:rPr>
        <w:t xml:space="preserve">à ce que son </w:t>
      </w:r>
      <w:r w:rsidRPr="009677B6">
        <w:rPr>
          <w:lang w:val="fr-CA"/>
        </w:rPr>
        <w:t xml:space="preserve">mandat </w:t>
      </w:r>
      <w:r>
        <w:rPr>
          <w:lang w:val="fr-CA"/>
        </w:rPr>
        <w:t xml:space="preserve">soit </w:t>
      </w:r>
      <w:r w:rsidRPr="009677B6">
        <w:rPr>
          <w:lang w:val="fr-CA"/>
        </w:rPr>
        <w:t>restreint</w:t>
      </w:r>
      <w:r>
        <w:rPr>
          <w:lang w:val="fr-CA"/>
        </w:rPr>
        <w:t xml:space="preserve">.  </w:t>
      </w:r>
      <w:r w:rsidRPr="009677B6">
        <w:rPr>
          <w:lang w:val="fr-CA"/>
        </w:rPr>
        <w:t xml:space="preserve">Dans le cas qui nous occupe, </w:t>
      </w:r>
      <w:proofErr w:type="spellStart"/>
      <w:r w:rsidRPr="009677B6">
        <w:rPr>
          <w:lang w:val="fr-CA"/>
        </w:rPr>
        <w:t>Southcott</w:t>
      </w:r>
      <w:proofErr w:type="spellEnd"/>
      <w:r w:rsidRPr="009677B6">
        <w:rPr>
          <w:lang w:val="fr-CA"/>
        </w:rPr>
        <w:t xml:space="preserve"> a agi de manière raisonnable, dans le cours normal de ses affaires, et elle a </w:t>
      </w:r>
      <w:r>
        <w:rPr>
          <w:lang w:val="fr-CA"/>
        </w:rPr>
        <w:t xml:space="preserve">intenté cette poursuite sans tarder. </w:t>
      </w:r>
    </w:p>
    <w:p w:rsidR="0071502D" w:rsidRPr="009677B6" w:rsidRDefault="0071502D" w:rsidP="0071502D">
      <w:pPr>
        <w:pStyle w:val="ParaNoNdepar-AltN"/>
        <w:rPr>
          <w:lang w:val="fr-CA"/>
        </w:rPr>
      </w:pPr>
      <w:proofErr w:type="spellStart"/>
      <w:r w:rsidRPr="009677B6">
        <w:rPr>
          <w:lang w:val="fr-CA"/>
        </w:rPr>
        <w:t>Southcott</w:t>
      </w:r>
      <w:proofErr w:type="spellEnd"/>
      <w:r w:rsidRPr="009677B6">
        <w:rPr>
          <w:lang w:val="fr-CA"/>
        </w:rPr>
        <w:t xml:space="preserve"> </w:t>
      </w:r>
      <w:r>
        <w:rPr>
          <w:lang w:val="fr-CA"/>
        </w:rPr>
        <w:t xml:space="preserve">réclamait </w:t>
      </w:r>
      <w:r w:rsidRPr="009677B6">
        <w:rPr>
          <w:lang w:val="fr-CA"/>
        </w:rPr>
        <w:t>l</w:t>
      </w:r>
      <w:r>
        <w:rPr>
          <w:lang w:val="fr-CA"/>
        </w:rPr>
        <w:t>’</w:t>
      </w:r>
      <w:r w:rsidRPr="009677B6">
        <w:rPr>
          <w:lang w:val="fr-CA"/>
        </w:rPr>
        <w:t>exécution intégrale</w:t>
      </w:r>
      <w:r>
        <w:rPr>
          <w:lang w:val="fr-CA"/>
        </w:rPr>
        <w:t xml:space="preserve">; elle </w:t>
      </w:r>
      <w:r w:rsidRPr="009677B6">
        <w:rPr>
          <w:lang w:val="fr-CA"/>
        </w:rPr>
        <w:t xml:space="preserve">était donc prête à </w:t>
      </w:r>
      <w:r>
        <w:rPr>
          <w:lang w:val="fr-CA"/>
        </w:rPr>
        <w:t xml:space="preserve">parfaire </w:t>
      </w:r>
      <w:r w:rsidRPr="009677B6">
        <w:rPr>
          <w:lang w:val="fr-CA"/>
        </w:rPr>
        <w:t>l</w:t>
      </w:r>
      <w:r>
        <w:rPr>
          <w:lang w:val="fr-CA"/>
        </w:rPr>
        <w:t>’</w:t>
      </w:r>
      <w:r w:rsidRPr="009677B6">
        <w:rPr>
          <w:lang w:val="fr-CA"/>
        </w:rPr>
        <w:t>achat</w:t>
      </w:r>
      <w:r>
        <w:rPr>
          <w:lang w:val="fr-CA"/>
        </w:rPr>
        <w:t xml:space="preserve">.  </w:t>
      </w:r>
      <w:r w:rsidRPr="009677B6">
        <w:rPr>
          <w:lang w:val="fr-CA"/>
        </w:rPr>
        <w:t xml:space="preserve">En tout état de cause, sa demande </w:t>
      </w:r>
      <w:r>
        <w:rPr>
          <w:lang w:val="fr-CA"/>
        </w:rPr>
        <w:t>subsidiaire</w:t>
      </w:r>
      <w:r w:rsidRPr="009677B6">
        <w:rPr>
          <w:lang w:val="fr-CA"/>
        </w:rPr>
        <w:t xml:space="preserve"> </w:t>
      </w:r>
      <w:r>
        <w:rPr>
          <w:lang w:val="fr-CA"/>
        </w:rPr>
        <w:t xml:space="preserve">de </w:t>
      </w:r>
      <w:proofErr w:type="spellStart"/>
      <w:r>
        <w:rPr>
          <w:lang w:val="fr-CA"/>
        </w:rPr>
        <w:t>dommages</w:t>
      </w:r>
      <w:r>
        <w:rPr>
          <w:lang w:val="fr-CA"/>
        </w:rPr>
        <w:noBreakHyphen/>
        <w:t>intérêts</w:t>
      </w:r>
      <w:proofErr w:type="spellEnd"/>
      <w:r>
        <w:rPr>
          <w:lang w:val="fr-CA"/>
        </w:rPr>
        <w:t xml:space="preserve"> </w:t>
      </w:r>
      <w:r w:rsidRPr="009677B6">
        <w:rPr>
          <w:lang w:val="fr-CA"/>
        </w:rPr>
        <w:t>pour préjudice indirect dépendait de l</w:t>
      </w:r>
      <w:r>
        <w:rPr>
          <w:lang w:val="fr-CA"/>
        </w:rPr>
        <w:t>’</w:t>
      </w:r>
      <w:r w:rsidRPr="009677B6">
        <w:rPr>
          <w:lang w:val="fr-CA"/>
        </w:rPr>
        <w:t>obtention</w:t>
      </w:r>
      <w:r>
        <w:rPr>
          <w:lang w:val="fr-CA"/>
        </w:rPr>
        <w:t>,</w:t>
      </w:r>
      <w:r w:rsidRPr="009677B6">
        <w:rPr>
          <w:lang w:val="fr-CA"/>
        </w:rPr>
        <w:t xml:space="preserve"> pour elle</w:t>
      </w:r>
      <w:r>
        <w:rPr>
          <w:lang w:val="fr-CA"/>
        </w:rPr>
        <w:t>,</w:t>
      </w:r>
      <w:r w:rsidRPr="009677B6">
        <w:rPr>
          <w:lang w:val="fr-CA"/>
        </w:rPr>
        <w:t xml:space="preserve"> de capitaux lui permettant de </w:t>
      </w:r>
      <w:r>
        <w:rPr>
          <w:lang w:val="fr-CA"/>
        </w:rPr>
        <w:t>parfaire la</w:t>
      </w:r>
      <w:r w:rsidRPr="009677B6">
        <w:rPr>
          <w:lang w:val="fr-CA"/>
        </w:rPr>
        <w:t xml:space="preserve"> vente</w:t>
      </w:r>
      <w:r>
        <w:rPr>
          <w:lang w:val="fr-CA"/>
        </w:rPr>
        <w:t xml:space="preserve">.  </w:t>
      </w:r>
      <w:r w:rsidRPr="009677B6">
        <w:rPr>
          <w:lang w:val="fr-CA"/>
        </w:rPr>
        <w:t>En fait, les deux demandes étaient fondées sur la possibilité d</w:t>
      </w:r>
      <w:r>
        <w:rPr>
          <w:lang w:val="fr-CA"/>
        </w:rPr>
        <w:t>’</w:t>
      </w:r>
      <w:r w:rsidRPr="009677B6">
        <w:rPr>
          <w:lang w:val="fr-CA"/>
        </w:rPr>
        <w:t>obtenir des ressources, ressources qui n</w:t>
      </w:r>
      <w:r>
        <w:rPr>
          <w:lang w:val="fr-CA"/>
        </w:rPr>
        <w:t>’</w:t>
      </w:r>
      <w:r w:rsidRPr="009677B6">
        <w:rPr>
          <w:lang w:val="fr-CA"/>
        </w:rPr>
        <w:t xml:space="preserve">étaient pas bloquées par suite de </w:t>
      </w:r>
      <w:r>
        <w:rPr>
          <w:lang w:val="fr-CA"/>
        </w:rPr>
        <w:t xml:space="preserve">l’inexécution </w:t>
      </w:r>
      <w:r w:rsidRPr="009677B6">
        <w:rPr>
          <w:lang w:val="fr-CA"/>
        </w:rPr>
        <w:t>reprochée</w:t>
      </w:r>
      <w:r>
        <w:rPr>
          <w:lang w:val="fr-CA"/>
        </w:rPr>
        <w:t xml:space="preserve">.  </w:t>
      </w:r>
      <w:r w:rsidRPr="009677B6">
        <w:rPr>
          <w:lang w:val="fr-CA"/>
        </w:rPr>
        <w:t>D</w:t>
      </w:r>
      <w:r>
        <w:rPr>
          <w:lang w:val="fr-CA"/>
        </w:rPr>
        <w:t>’</w:t>
      </w:r>
      <w:r w:rsidRPr="009677B6">
        <w:rPr>
          <w:lang w:val="fr-CA"/>
        </w:rPr>
        <w:t xml:space="preserve">ailleurs, dans le cas qui nous occupe, la présumée </w:t>
      </w:r>
      <w:r>
        <w:rPr>
          <w:lang w:val="fr-CA"/>
        </w:rPr>
        <w:t xml:space="preserve">inexécution </w:t>
      </w:r>
      <w:r w:rsidRPr="009677B6">
        <w:rPr>
          <w:lang w:val="fr-CA"/>
        </w:rPr>
        <w:t>n</w:t>
      </w:r>
      <w:r>
        <w:rPr>
          <w:lang w:val="fr-CA"/>
        </w:rPr>
        <w:t>’</w:t>
      </w:r>
      <w:r w:rsidRPr="009677B6">
        <w:rPr>
          <w:lang w:val="fr-CA"/>
        </w:rPr>
        <w:t>a</w:t>
      </w:r>
      <w:r>
        <w:rPr>
          <w:lang w:val="fr-CA"/>
        </w:rPr>
        <w:t xml:space="preserve"> eu</w:t>
      </w:r>
      <w:r w:rsidRPr="009677B6">
        <w:rPr>
          <w:lang w:val="fr-CA"/>
        </w:rPr>
        <w:t xml:space="preserve"> aucune incidence sur la capacité de </w:t>
      </w:r>
      <w:proofErr w:type="spellStart"/>
      <w:r w:rsidRPr="009677B6">
        <w:rPr>
          <w:lang w:val="fr-CA"/>
        </w:rPr>
        <w:t>Southcott</w:t>
      </w:r>
      <w:proofErr w:type="spellEnd"/>
      <w:r w:rsidRPr="009677B6">
        <w:rPr>
          <w:lang w:val="fr-CA"/>
        </w:rPr>
        <w:t xml:space="preserve"> d</w:t>
      </w:r>
      <w:r>
        <w:rPr>
          <w:lang w:val="fr-CA"/>
        </w:rPr>
        <w:t>’</w:t>
      </w:r>
      <w:r w:rsidRPr="009677B6">
        <w:rPr>
          <w:lang w:val="fr-CA"/>
        </w:rPr>
        <w:t>obtenir des capitaux</w:t>
      </w:r>
      <w:r>
        <w:rPr>
          <w:lang w:val="fr-CA"/>
        </w:rPr>
        <w:t xml:space="preserve">.  </w:t>
      </w:r>
      <w:proofErr w:type="spellStart"/>
      <w:r w:rsidRPr="009677B6">
        <w:rPr>
          <w:lang w:val="fr-CA"/>
        </w:rPr>
        <w:t>Southcott</w:t>
      </w:r>
      <w:proofErr w:type="spellEnd"/>
      <w:r w:rsidRPr="009677B6">
        <w:rPr>
          <w:lang w:val="fr-CA"/>
        </w:rPr>
        <w:t xml:space="preserve"> ne peut guère prét</w:t>
      </w:r>
      <w:r>
        <w:rPr>
          <w:lang w:val="fr-CA"/>
        </w:rPr>
        <w:t>endre que les mêmes fonds n’aur</w:t>
      </w:r>
      <w:r w:rsidRPr="009677B6">
        <w:rPr>
          <w:lang w:val="fr-CA"/>
        </w:rPr>
        <w:t xml:space="preserve">aient pas pu servir à </w:t>
      </w:r>
      <w:r w:rsidRPr="00CE41B4">
        <w:rPr>
          <w:lang w:val="fr-CA"/>
        </w:rPr>
        <w:t>mitiger</w:t>
      </w:r>
      <w:r w:rsidRPr="009677B6">
        <w:rPr>
          <w:lang w:val="fr-CA"/>
        </w:rPr>
        <w:t xml:space="preserve"> le préjudice.</w:t>
      </w:r>
    </w:p>
    <w:p w:rsidR="0071502D" w:rsidRPr="009677B6" w:rsidRDefault="0071502D" w:rsidP="0071502D">
      <w:pPr>
        <w:pStyle w:val="ParaNoNdepar-AltN"/>
        <w:rPr>
          <w:lang w:val="fr-CA"/>
        </w:rPr>
      </w:pPr>
      <w:r>
        <w:rPr>
          <w:lang w:val="fr-CA"/>
        </w:rPr>
        <w:t xml:space="preserve">En outre, la </w:t>
      </w:r>
      <w:r w:rsidRPr="009677B6">
        <w:rPr>
          <w:lang w:val="fr-CA"/>
        </w:rPr>
        <w:t xml:space="preserve">question est factuelle et </w:t>
      </w:r>
      <w:r>
        <w:rPr>
          <w:lang w:val="fr-CA"/>
        </w:rPr>
        <w:t>l’on n’</w:t>
      </w:r>
      <w:r w:rsidRPr="009677B6">
        <w:rPr>
          <w:lang w:val="fr-CA"/>
        </w:rPr>
        <w:t xml:space="preserve">a pas </w:t>
      </w:r>
      <w:r>
        <w:rPr>
          <w:lang w:val="fr-CA"/>
        </w:rPr>
        <w:t xml:space="preserve">prétendu </w:t>
      </w:r>
      <w:r w:rsidRPr="009677B6">
        <w:rPr>
          <w:lang w:val="fr-CA"/>
        </w:rPr>
        <w:t>au procès</w:t>
      </w:r>
      <w:r>
        <w:rPr>
          <w:lang w:val="fr-CA"/>
        </w:rPr>
        <w:t xml:space="preserve"> que </w:t>
      </w:r>
      <w:proofErr w:type="spellStart"/>
      <w:r w:rsidRPr="009677B6">
        <w:rPr>
          <w:lang w:val="fr-CA"/>
        </w:rPr>
        <w:t>Southcott</w:t>
      </w:r>
      <w:proofErr w:type="spellEnd"/>
      <w:r w:rsidRPr="009677B6">
        <w:rPr>
          <w:lang w:val="fr-CA"/>
        </w:rPr>
        <w:t xml:space="preserve"> </w:t>
      </w:r>
      <w:r>
        <w:rPr>
          <w:lang w:val="fr-CA"/>
        </w:rPr>
        <w:t xml:space="preserve">ne pouvait se procurer des </w:t>
      </w:r>
      <w:r w:rsidRPr="009677B6">
        <w:rPr>
          <w:lang w:val="fr-CA"/>
        </w:rPr>
        <w:t xml:space="preserve">capitaux ou </w:t>
      </w:r>
      <w:r>
        <w:rPr>
          <w:lang w:val="fr-CA"/>
        </w:rPr>
        <w:t xml:space="preserve">encore </w:t>
      </w:r>
      <w:r w:rsidRPr="009677B6">
        <w:rPr>
          <w:lang w:val="fr-CA"/>
        </w:rPr>
        <w:t>qu</w:t>
      </w:r>
      <w:r>
        <w:rPr>
          <w:lang w:val="fr-CA"/>
        </w:rPr>
        <w:t>’</w:t>
      </w:r>
      <w:r w:rsidRPr="009677B6">
        <w:rPr>
          <w:lang w:val="fr-CA"/>
        </w:rPr>
        <w:t>il aurait été beaucoup trop risqué ou coûteux d</w:t>
      </w:r>
      <w:r>
        <w:rPr>
          <w:lang w:val="fr-CA"/>
        </w:rPr>
        <w:t>’</w:t>
      </w:r>
      <w:r w:rsidRPr="009677B6">
        <w:rPr>
          <w:lang w:val="fr-CA"/>
        </w:rPr>
        <w:t>emprunter de l</w:t>
      </w:r>
      <w:r>
        <w:rPr>
          <w:lang w:val="fr-CA"/>
        </w:rPr>
        <w:t>’</w:t>
      </w:r>
      <w:r w:rsidRPr="009677B6">
        <w:rPr>
          <w:lang w:val="fr-CA"/>
        </w:rPr>
        <w:t>argent.</w:t>
      </w:r>
      <w:r>
        <w:rPr>
          <w:lang w:val="fr-CA"/>
        </w:rPr>
        <w:t xml:space="preserve">  Au procès, </w:t>
      </w:r>
      <w:proofErr w:type="spellStart"/>
      <w:r>
        <w:rPr>
          <w:lang w:val="fr-CA"/>
        </w:rPr>
        <w:t>Southcott</w:t>
      </w:r>
      <w:proofErr w:type="spellEnd"/>
      <w:r>
        <w:rPr>
          <w:lang w:val="fr-CA"/>
        </w:rPr>
        <w:t xml:space="preserve"> n’a pas plaidé l’impécuniosité.</w:t>
      </w:r>
    </w:p>
    <w:p w:rsidR="0071502D" w:rsidRPr="009677B6" w:rsidRDefault="0071502D" w:rsidP="0071502D">
      <w:pPr>
        <w:pStyle w:val="ParaNoNdepar-AltN"/>
        <w:rPr>
          <w:lang w:val="fr-CA"/>
        </w:rPr>
      </w:pPr>
      <w:r w:rsidRPr="009677B6">
        <w:rPr>
          <w:lang w:val="fr-CA"/>
        </w:rPr>
        <w:t>À défaut d</w:t>
      </w:r>
      <w:r>
        <w:rPr>
          <w:lang w:val="fr-CA"/>
        </w:rPr>
        <w:t>’</w:t>
      </w:r>
      <w:r w:rsidRPr="009677B6">
        <w:rPr>
          <w:lang w:val="fr-CA"/>
        </w:rPr>
        <w:t xml:space="preserve">éléments de preuve concrets démontrant </w:t>
      </w:r>
      <w:r>
        <w:rPr>
          <w:lang w:val="fr-CA"/>
        </w:rPr>
        <w:t xml:space="preserve">le </w:t>
      </w:r>
      <w:r w:rsidRPr="009677B6">
        <w:rPr>
          <w:lang w:val="fr-CA"/>
        </w:rPr>
        <w:t xml:space="preserve">manque de ressources, </w:t>
      </w:r>
      <w:r>
        <w:rPr>
          <w:lang w:val="fr-CA"/>
        </w:rPr>
        <w:t xml:space="preserve">le fait de conclure que les pertes ne peuvent raisonnablement être évitées </w:t>
      </w:r>
      <w:r w:rsidRPr="009677B6">
        <w:rPr>
          <w:lang w:val="fr-CA"/>
        </w:rPr>
        <w:t>du simple fait qu</w:t>
      </w:r>
      <w:r>
        <w:rPr>
          <w:lang w:val="fr-CA"/>
        </w:rPr>
        <w:t>’il s’agit d’</w:t>
      </w:r>
      <w:r w:rsidRPr="009677B6">
        <w:rPr>
          <w:lang w:val="fr-CA"/>
        </w:rPr>
        <w:t>une société à but unique</w:t>
      </w:r>
      <w:r>
        <w:rPr>
          <w:lang w:val="fr-CA"/>
        </w:rPr>
        <w:t xml:space="preserve"> membre d’un consortium de sociétés aurait pour effet de </w:t>
      </w:r>
      <w:r w:rsidRPr="009677B6">
        <w:rPr>
          <w:lang w:val="fr-CA"/>
        </w:rPr>
        <w:t>conférer un avantage injustifié</w:t>
      </w:r>
      <w:r>
        <w:rPr>
          <w:lang w:val="fr-CA"/>
        </w:rPr>
        <w:t xml:space="preserve"> à quiconque opte pour </w:t>
      </w:r>
      <w:r w:rsidRPr="009677B6">
        <w:rPr>
          <w:lang w:val="fr-CA"/>
        </w:rPr>
        <w:t xml:space="preserve">la </w:t>
      </w:r>
      <w:r w:rsidRPr="009677B6">
        <w:rPr>
          <w:lang w:val="fr-CA"/>
        </w:rPr>
        <w:lastRenderedPageBreak/>
        <w:t xml:space="preserve">société à but unique pour mener </w:t>
      </w:r>
      <w:r>
        <w:rPr>
          <w:lang w:val="fr-CA"/>
        </w:rPr>
        <w:t>ses</w:t>
      </w:r>
      <w:r w:rsidRPr="009677B6">
        <w:rPr>
          <w:lang w:val="fr-CA"/>
        </w:rPr>
        <w:t xml:space="preserve"> affaires</w:t>
      </w:r>
      <w:r>
        <w:rPr>
          <w:lang w:val="fr-CA"/>
        </w:rPr>
        <w:t xml:space="preserve">.  </w:t>
      </w:r>
      <w:r w:rsidRPr="009677B6">
        <w:rPr>
          <w:lang w:val="fr-CA"/>
        </w:rPr>
        <w:t xml:space="preserve">De plus, le fait de ne pas obliger les sociétés à but unique à </w:t>
      </w:r>
      <w:r w:rsidRPr="00CE41B4">
        <w:rPr>
          <w:lang w:val="fr-CA"/>
        </w:rPr>
        <w:t>mitiger</w:t>
      </w:r>
      <w:r w:rsidRPr="009677B6">
        <w:rPr>
          <w:lang w:val="fr-CA"/>
        </w:rPr>
        <w:t xml:space="preserve"> leurs pertes ferait en sorte que les défendeurs qui signent des contrats avec elles seraient susceptibles d</w:t>
      </w:r>
      <w:r>
        <w:rPr>
          <w:lang w:val="fr-CA"/>
        </w:rPr>
        <w:t>’</w:t>
      </w:r>
      <w:r w:rsidRPr="009677B6">
        <w:rPr>
          <w:lang w:val="fr-CA"/>
        </w:rPr>
        <w:t xml:space="preserve">être condamnés à des </w:t>
      </w:r>
      <w:proofErr w:type="spellStart"/>
      <w:r w:rsidRPr="009677B6">
        <w:rPr>
          <w:lang w:val="fr-CA"/>
        </w:rPr>
        <w:t>dommages</w:t>
      </w:r>
      <w:r>
        <w:rPr>
          <w:lang w:val="fr-CA"/>
        </w:rPr>
        <w:noBreakHyphen/>
      </w:r>
      <w:r w:rsidRPr="009677B6">
        <w:rPr>
          <w:lang w:val="fr-CA"/>
        </w:rPr>
        <w:t>intérêts</w:t>
      </w:r>
      <w:proofErr w:type="spellEnd"/>
      <w:r w:rsidRPr="009677B6">
        <w:rPr>
          <w:lang w:val="fr-CA"/>
        </w:rPr>
        <w:t xml:space="preserve"> plus élevés que ceux réclamés de façon raisonnable par d</w:t>
      </w:r>
      <w:r>
        <w:rPr>
          <w:lang w:val="fr-CA"/>
        </w:rPr>
        <w:t>’</w:t>
      </w:r>
      <w:r w:rsidRPr="009677B6">
        <w:rPr>
          <w:lang w:val="fr-CA"/>
        </w:rPr>
        <w:t>autres demandeurs et ce, uniquement en raison des actifs limités de ces sociétés.</w:t>
      </w:r>
    </w:p>
    <w:p w:rsidR="0071502D" w:rsidRPr="009677B6" w:rsidRDefault="0071502D" w:rsidP="0071502D">
      <w:pPr>
        <w:pStyle w:val="ParaNoNdepar-AltN"/>
        <w:rPr>
          <w:lang w:val="fr-CA"/>
        </w:rPr>
      </w:pPr>
      <w:r w:rsidRPr="009677B6">
        <w:rPr>
          <w:lang w:val="fr-CA"/>
        </w:rPr>
        <w:t>Le juge de première instance a conclu que l</w:t>
      </w:r>
      <w:r>
        <w:rPr>
          <w:lang w:val="fr-CA"/>
        </w:rPr>
        <w:t>’</w:t>
      </w:r>
      <w:r w:rsidRPr="009677B6">
        <w:rPr>
          <w:lang w:val="fr-CA"/>
        </w:rPr>
        <w:t>achat de terrains susceptibles d</w:t>
      </w:r>
      <w:r>
        <w:rPr>
          <w:lang w:val="fr-CA"/>
        </w:rPr>
        <w:t>’</w:t>
      </w:r>
      <w:r w:rsidRPr="009677B6">
        <w:rPr>
          <w:lang w:val="fr-CA"/>
        </w:rPr>
        <w:t>être mis en valeur par d</w:t>
      </w:r>
      <w:r>
        <w:rPr>
          <w:lang w:val="fr-CA"/>
        </w:rPr>
        <w:t>’</w:t>
      </w:r>
      <w:r w:rsidRPr="009677B6">
        <w:rPr>
          <w:lang w:val="fr-CA"/>
        </w:rPr>
        <w:t xml:space="preserve">autres sociétés du groupe </w:t>
      </w:r>
      <w:proofErr w:type="spellStart"/>
      <w:r w:rsidRPr="009677B6">
        <w:rPr>
          <w:lang w:val="fr-CA"/>
        </w:rPr>
        <w:t>Ballantry</w:t>
      </w:r>
      <w:proofErr w:type="spellEnd"/>
      <w:r w:rsidRPr="009677B6">
        <w:rPr>
          <w:lang w:val="fr-CA"/>
        </w:rPr>
        <w:t xml:space="preserve"> </w:t>
      </w:r>
      <w:r>
        <w:rPr>
          <w:lang w:val="fr-CA"/>
        </w:rPr>
        <w:t xml:space="preserve">n’avait pas en fait </w:t>
      </w:r>
      <w:r w:rsidRPr="00CE41B4">
        <w:rPr>
          <w:lang w:val="fr-CA"/>
        </w:rPr>
        <w:t>mitigé</w:t>
      </w:r>
      <w:r w:rsidRPr="009677B6">
        <w:rPr>
          <w:lang w:val="fr-CA"/>
        </w:rPr>
        <w:t xml:space="preserve"> </w:t>
      </w:r>
      <w:r>
        <w:rPr>
          <w:lang w:val="fr-CA"/>
        </w:rPr>
        <w:t>la</w:t>
      </w:r>
      <w:r w:rsidRPr="009677B6">
        <w:rPr>
          <w:lang w:val="fr-CA"/>
        </w:rPr>
        <w:t xml:space="preserve"> perte</w:t>
      </w:r>
      <w:r>
        <w:rPr>
          <w:lang w:val="fr-CA"/>
        </w:rPr>
        <w:t xml:space="preserve"> de </w:t>
      </w:r>
      <w:proofErr w:type="spellStart"/>
      <w:r>
        <w:rPr>
          <w:lang w:val="fr-CA"/>
        </w:rPr>
        <w:t>Southcott</w:t>
      </w:r>
      <w:proofErr w:type="spellEnd"/>
      <w:r>
        <w:rPr>
          <w:lang w:val="fr-CA"/>
        </w:rPr>
        <w:t>; c</w:t>
      </w:r>
      <w:r w:rsidRPr="009677B6">
        <w:rPr>
          <w:lang w:val="fr-CA"/>
        </w:rPr>
        <w:t>ette conclusion n</w:t>
      </w:r>
      <w:r>
        <w:rPr>
          <w:lang w:val="fr-CA"/>
        </w:rPr>
        <w:t>’</w:t>
      </w:r>
      <w:r w:rsidRPr="009677B6">
        <w:rPr>
          <w:lang w:val="fr-CA"/>
        </w:rPr>
        <w:t>est pas contestée en l</w:t>
      </w:r>
      <w:r>
        <w:rPr>
          <w:lang w:val="fr-CA"/>
        </w:rPr>
        <w:t>’</w:t>
      </w:r>
      <w:r w:rsidRPr="009677B6">
        <w:rPr>
          <w:lang w:val="fr-CA"/>
        </w:rPr>
        <w:t>espèce</w:t>
      </w:r>
      <w:r>
        <w:rPr>
          <w:lang w:val="fr-CA"/>
        </w:rPr>
        <w:t xml:space="preserve">.  Tel qu’indiqué précédemment, le juge a estimé que l’acquisition d’autres propriétés par les autres membres du groupe </w:t>
      </w:r>
      <w:proofErr w:type="spellStart"/>
      <w:r>
        <w:rPr>
          <w:lang w:val="fr-CA"/>
        </w:rPr>
        <w:t>Ballantry</w:t>
      </w:r>
      <w:proofErr w:type="spellEnd"/>
      <w:r>
        <w:rPr>
          <w:lang w:val="fr-CA"/>
        </w:rPr>
        <w:t xml:space="preserve"> constituait des</w:t>
      </w:r>
      <w:r w:rsidR="006E0DED">
        <w:rPr>
          <w:lang w:val="fr-CA"/>
        </w:rPr>
        <w:t xml:space="preserve"> [</w:t>
      </w:r>
      <w:r w:rsidR="006E0DED" w:rsidRPr="006E0DED">
        <w:rPr>
          <w:smallCaps/>
          <w:lang w:val="fr-CA"/>
        </w:rPr>
        <w:t>traduction</w:t>
      </w:r>
      <w:r w:rsidR="006E0DED">
        <w:rPr>
          <w:lang w:val="fr-CA"/>
        </w:rPr>
        <w:t>]</w:t>
      </w:r>
      <w:r>
        <w:rPr>
          <w:lang w:val="fr-CA"/>
        </w:rPr>
        <w:t xml:space="preserve"> « opérations accessoires » en ce sens que les propriétés auraient été acquises indépendamment de la rupture, par la défenderesse, du contrat conclu avec </w:t>
      </w:r>
      <w:proofErr w:type="spellStart"/>
      <w:r>
        <w:rPr>
          <w:lang w:val="fr-CA"/>
        </w:rPr>
        <w:t>Southcott</w:t>
      </w:r>
      <w:proofErr w:type="spellEnd"/>
      <w:r>
        <w:rPr>
          <w:lang w:val="fr-CA"/>
        </w:rPr>
        <w:t xml:space="preserve"> (par. 143).  Toutefois, parce que </w:t>
      </w:r>
      <w:proofErr w:type="spellStart"/>
      <w:r>
        <w:rPr>
          <w:lang w:val="fr-CA"/>
        </w:rPr>
        <w:t>Southcott</w:t>
      </w:r>
      <w:proofErr w:type="spellEnd"/>
      <w:r>
        <w:rPr>
          <w:lang w:val="fr-CA"/>
        </w:rPr>
        <w:t xml:space="preserve"> est une entité juridique distincte, </w:t>
      </w:r>
      <w:r w:rsidRPr="009677B6">
        <w:rPr>
          <w:lang w:val="fr-CA"/>
        </w:rPr>
        <w:t>l</w:t>
      </w:r>
      <w:r>
        <w:rPr>
          <w:lang w:val="fr-CA"/>
        </w:rPr>
        <w:t>’</w:t>
      </w:r>
      <w:r w:rsidRPr="009677B6">
        <w:rPr>
          <w:lang w:val="fr-CA"/>
        </w:rPr>
        <w:t>achat d</w:t>
      </w:r>
      <w:r>
        <w:rPr>
          <w:lang w:val="fr-CA"/>
        </w:rPr>
        <w:t xml:space="preserve">’autres </w:t>
      </w:r>
      <w:r w:rsidRPr="009677B6">
        <w:rPr>
          <w:lang w:val="fr-CA"/>
        </w:rPr>
        <w:t>immeubles comparables par d</w:t>
      </w:r>
      <w:r>
        <w:rPr>
          <w:lang w:val="fr-CA"/>
        </w:rPr>
        <w:t>’</w:t>
      </w:r>
      <w:r w:rsidRPr="009677B6">
        <w:rPr>
          <w:lang w:val="fr-CA"/>
        </w:rPr>
        <w:t xml:space="preserve">autres sociétés du groupe </w:t>
      </w:r>
      <w:proofErr w:type="spellStart"/>
      <w:r w:rsidRPr="009677B6">
        <w:rPr>
          <w:lang w:val="fr-CA"/>
        </w:rPr>
        <w:t>Ballantry</w:t>
      </w:r>
      <w:proofErr w:type="spellEnd"/>
      <w:r w:rsidRPr="009677B6">
        <w:rPr>
          <w:lang w:val="fr-CA"/>
        </w:rPr>
        <w:t xml:space="preserve"> n</w:t>
      </w:r>
      <w:r>
        <w:rPr>
          <w:lang w:val="fr-CA"/>
        </w:rPr>
        <w:t>’</w:t>
      </w:r>
      <w:r w:rsidRPr="009677B6">
        <w:rPr>
          <w:lang w:val="fr-CA"/>
        </w:rPr>
        <w:t>a pas fai</w:t>
      </w:r>
      <w:r>
        <w:rPr>
          <w:lang w:val="fr-CA"/>
        </w:rPr>
        <w:t>t</w:t>
      </w:r>
      <w:r w:rsidRPr="009677B6">
        <w:rPr>
          <w:lang w:val="fr-CA"/>
        </w:rPr>
        <w:t xml:space="preserve"> en sorte que ces immeubles ne « pouvaient plus servir » à </w:t>
      </w:r>
      <w:r w:rsidRPr="00CE41B4">
        <w:rPr>
          <w:lang w:val="fr-CA"/>
        </w:rPr>
        <w:t>mitiger</w:t>
      </w:r>
      <w:r w:rsidRPr="009677B6">
        <w:rPr>
          <w:lang w:val="fr-CA"/>
        </w:rPr>
        <w:t xml:space="preserve"> le préjudice</w:t>
      </w:r>
      <w:r>
        <w:rPr>
          <w:lang w:val="fr-CA"/>
        </w:rPr>
        <w:t xml:space="preserve">.  En tant qu’entité juridique distincte, </w:t>
      </w:r>
      <w:proofErr w:type="spellStart"/>
      <w:r>
        <w:rPr>
          <w:lang w:val="fr-CA"/>
        </w:rPr>
        <w:t>Southcott</w:t>
      </w:r>
      <w:proofErr w:type="spellEnd"/>
      <w:r>
        <w:rPr>
          <w:lang w:val="fr-CA"/>
        </w:rPr>
        <w:t xml:space="preserve"> était tenue de </w:t>
      </w:r>
      <w:r w:rsidRPr="00CE41B4">
        <w:rPr>
          <w:lang w:val="fr-CA"/>
        </w:rPr>
        <w:t>mitiger</w:t>
      </w:r>
      <w:r>
        <w:rPr>
          <w:lang w:val="fr-CA"/>
        </w:rPr>
        <w:t xml:space="preserve"> ses pertes en faisant diligence pour trouver une autre propriété.  Quiconque choisit de bénéficier des avantages de la constitution en société doit en supporter les inconvénients : </w:t>
      </w:r>
      <w:proofErr w:type="spellStart"/>
      <w:r w:rsidRPr="00B27424">
        <w:rPr>
          <w:i/>
          <w:lang w:val="fr-CA"/>
        </w:rPr>
        <w:t>Kosmopoulos</w:t>
      </w:r>
      <w:proofErr w:type="spellEnd"/>
      <w:r w:rsidRPr="00B27424">
        <w:rPr>
          <w:i/>
          <w:lang w:val="fr-CA"/>
        </w:rPr>
        <w:t xml:space="preserve"> c. Constitution </w:t>
      </w:r>
      <w:proofErr w:type="spellStart"/>
      <w:r w:rsidRPr="00B27424">
        <w:rPr>
          <w:i/>
          <w:lang w:val="fr-CA"/>
        </w:rPr>
        <w:t>Insurance</w:t>
      </w:r>
      <w:proofErr w:type="spellEnd"/>
      <w:r w:rsidRPr="00B27424">
        <w:rPr>
          <w:i/>
          <w:lang w:val="fr-CA"/>
        </w:rPr>
        <w:t xml:space="preserve"> Co.</w:t>
      </w:r>
      <w:r>
        <w:rPr>
          <w:lang w:val="fr-CA"/>
        </w:rPr>
        <w:t>, [1987] 1 R.C.S. 2, p. 10</w:t>
      </w:r>
      <w:r>
        <w:rPr>
          <w:lang w:val="fr-CA"/>
        </w:rPr>
        <w:noBreakHyphen/>
        <w:t xml:space="preserve">12.  </w:t>
      </w:r>
      <w:proofErr w:type="spellStart"/>
      <w:r>
        <w:rPr>
          <w:lang w:val="fr-CA"/>
        </w:rPr>
        <w:t>Southcott</w:t>
      </w:r>
      <w:proofErr w:type="spellEnd"/>
      <w:r>
        <w:rPr>
          <w:lang w:val="fr-CA"/>
        </w:rPr>
        <w:t xml:space="preserve"> a le droit de bénéficier des avantages d’une responsabilité limitée, mais elle doit aussi assumer les responsabilités qu’ont toutes les entités juridiques.  La nécessité de prendre des mesures pour </w:t>
      </w:r>
      <w:r w:rsidRPr="00CE41B4">
        <w:rPr>
          <w:lang w:val="fr-CA"/>
        </w:rPr>
        <w:t>mitiger</w:t>
      </w:r>
      <w:r>
        <w:rPr>
          <w:lang w:val="fr-CA"/>
        </w:rPr>
        <w:t xml:space="preserve"> ses pertes</w:t>
      </w:r>
      <w:r w:rsidRPr="0068307A">
        <w:rPr>
          <w:lang w:val="fr-CA"/>
        </w:rPr>
        <w:t xml:space="preserve"> </w:t>
      </w:r>
      <w:r>
        <w:rPr>
          <w:lang w:val="fr-CA"/>
        </w:rPr>
        <w:t xml:space="preserve">constitue l’une de ces responsabilités.  </w:t>
      </w:r>
      <w:r>
        <w:rPr>
          <w:lang w:val="fr-CA"/>
        </w:rPr>
        <w:lastRenderedPageBreak/>
        <w:t xml:space="preserve">Un </w:t>
      </w:r>
      <w:r w:rsidRPr="009677B6">
        <w:rPr>
          <w:lang w:val="fr-CA"/>
        </w:rPr>
        <w:t xml:space="preserve">demandeur ne peut être indemnisé </w:t>
      </w:r>
      <w:r>
        <w:rPr>
          <w:lang w:val="fr-CA"/>
        </w:rPr>
        <w:t>d’</w:t>
      </w:r>
      <w:r w:rsidRPr="009677B6">
        <w:rPr>
          <w:lang w:val="fr-CA"/>
        </w:rPr>
        <w:t>un préjudice qu</w:t>
      </w:r>
      <w:r>
        <w:rPr>
          <w:lang w:val="fr-CA"/>
        </w:rPr>
        <w:t>’</w:t>
      </w:r>
      <w:r w:rsidRPr="009677B6">
        <w:rPr>
          <w:lang w:val="fr-CA"/>
        </w:rPr>
        <w:t>il aurait raisonnablement pu éviter</w:t>
      </w:r>
      <w:r>
        <w:rPr>
          <w:lang w:val="fr-CA"/>
        </w:rPr>
        <w:t xml:space="preserve">.  </w:t>
      </w:r>
      <w:r w:rsidRPr="009677B6">
        <w:rPr>
          <w:lang w:val="fr-CA"/>
        </w:rPr>
        <w:t>La principale question en l</w:t>
      </w:r>
      <w:r>
        <w:rPr>
          <w:lang w:val="fr-CA"/>
        </w:rPr>
        <w:t>’</w:t>
      </w:r>
      <w:r w:rsidRPr="009677B6">
        <w:rPr>
          <w:lang w:val="fr-CA"/>
        </w:rPr>
        <w:t>espèce est de savoir si l</w:t>
      </w:r>
      <w:r>
        <w:rPr>
          <w:lang w:val="fr-CA"/>
        </w:rPr>
        <w:t>’</w:t>
      </w:r>
      <w:r w:rsidRPr="009677B6">
        <w:rPr>
          <w:lang w:val="fr-CA"/>
        </w:rPr>
        <w:t xml:space="preserve">inaction de </w:t>
      </w:r>
      <w:proofErr w:type="spellStart"/>
      <w:r w:rsidRPr="009677B6">
        <w:rPr>
          <w:lang w:val="fr-CA"/>
        </w:rPr>
        <w:t>Southcott</w:t>
      </w:r>
      <w:proofErr w:type="spellEnd"/>
      <w:r w:rsidRPr="009677B6">
        <w:rPr>
          <w:lang w:val="fr-CA"/>
        </w:rPr>
        <w:t xml:space="preserve"> était raisonnable et, dans la négative, si elle aurait raisonnablement pu </w:t>
      </w:r>
      <w:r w:rsidRPr="00CE41B4">
        <w:rPr>
          <w:lang w:val="fr-CA"/>
        </w:rPr>
        <w:t>mitiger</w:t>
      </w:r>
      <w:r w:rsidRPr="009677B6">
        <w:rPr>
          <w:lang w:val="fr-CA"/>
        </w:rPr>
        <w:t xml:space="preserve"> ses pertes si elle avait tenté de le faire.</w:t>
      </w:r>
      <w:r>
        <w:rPr>
          <w:lang w:val="fr-CA"/>
        </w:rPr>
        <w:t xml:space="preserve"> </w:t>
      </w:r>
    </w:p>
    <w:p w:rsidR="0071502D" w:rsidRPr="009677B6" w:rsidRDefault="0071502D" w:rsidP="006E0DED">
      <w:pPr>
        <w:pStyle w:val="TitleTitre-AltT"/>
        <w:tabs>
          <w:tab w:val="clear" w:pos="360"/>
        </w:tabs>
        <w:ind w:left="540" w:hanging="540"/>
        <w:rPr>
          <w:lang w:val="fr-CA"/>
        </w:rPr>
      </w:pPr>
      <w:r w:rsidRPr="009677B6">
        <w:rPr>
          <w:lang w:val="fr-CA"/>
        </w:rPr>
        <w:t>B.</w:t>
      </w:r>
      <w:r w:rsidRPr="009677B6">
        <w:rPr>
          <w:lang w:val="fr-CA"/>
        </w:rPr>
        <w:tab/>
      </w:r>
      <w:proofErr w:type="spellStart"/>
      <w:r w:rsidRPr="009677B6">
        <w:rPr>
          <w:i/>
          <w:lang w:val="fr-CA"/>
        </w:rPr>
        <w:t>Southcott</w:t>
      </w:r>
      <w:proofErr w:type="spellEnd"/>
      <w:r w:rsidRPr="009677B6">
        <w:rPr>
          <w:i/>
          <w:lang w:val="fr-CA"/>
        </w:rPr>
        <w:t xml:space="preserve"> </w:t>
      </w:r>
      <w:r>
        <w:rPr>
          <w:i/>
          <w:lang w:val="fr-CA"/>
        </w:rPr>
        <w:t>ét</w:t>
      </w:r>
      <w:r w:rsidRPr="009677B6">
        <w:rPr>
          <w:i/>
          <w:lang w:val="fr-CA"/>
        </w:rPr>
        <w:t>ait</w:t>
      </w:r>
      <w:r>
        <w:rPr>
          <w:i/>
          <w:lang w:val="fr-CA"/>
        </w:rPr>
        <w:t xml:space="preserve"> tenue de </w:t>
      </w:r>
      <w:r w:rsidRPr="00CE41B4">
        <w:rPr>
          <w:i/>
          <w:lang w:val="fr-CA"/>
        </w:rPr>
        <w:t>mitiger</w:t>
      </w:r>
      <w:r w:rsidRPr="009677B6">
        <w:rPr>
          <w:i/>
          <w:lang w:val="fr-CA"/>
        </w:rPr>
        <w:t xml:space="preserve"> </w:t>
      </w:r>
      <w:r>
        <w:rPr>
          <w:i/>
          <w:lang w:val="fr-CA"/>
        </w:rPr>
        <w:t>s</w:t>
      </w:r>
      <w:r w:rsidRPr="009677B6">
        <w:rPr>
          <w:i/>
          <w:lang w:val="fr-CA"/>
        </w:rPr>
        <w:t>e</w:t>
      </w:r>
      <w:r>
        <w:rPr>
          <w:i/>
          <w:lang w:val="fr-CA"/>
        </w:rPr>
        <w:t>s</w:t>
      </w:r>
      <w:r w:rsidRPr="009677B6">
        <w:rPr>
          <w:i/>
          <w:lang w:val="fr-CA"/>
        </w:rPr>
        <w:t xml:space="preserve"> p</w:t>
      </w:r>
      <w:r>
        <w:rPr>
          <w:i/>
          <w:lang w:val="fr-CA"/>
        </w:rPr>
        <w:t>ertes</w:t>
      </w:r>
      <w:r w:rsidRPr="009677B6">
        <w:rPr>
          <w:i/>
          <w:lang w:val="fr-CA"/>
        </w:rPr>
        <w:t xml:space="preserve"> malgré sa demande d</w:t>
      </w:r>
      <w:r>
        <w:rPr>
          <w:i/>
          <w:lang w:val="fr-CA"/>
        </w:rPr>
        <w:t>’</w:t>
      </w:r>
      <w:r w:rsidRPr="009677B6">
        <w:rPr>
          <w:i/>
          <w:lang w:val="fr-CA"/>
        </w:rPr>
        <w:t>exécution intégrale</w:t>
      </w:r>
    </w:p>
    <w:p w:rsidR="0071502D" w:rsidRPr="009677B6" w:rsidRDefault="0071502D" w:rsidP="0071502D">
      <w:pPr>
        <w:pStyle w:val="ParaNoNdepar-AltN"/>
        <w:rPr>
          <w:lang w:val="fr-CA"/>
        </w:rPr>
      </w:pPr>
      <w:r w:rsidRPr="009677B6">
        <w:rPr>
          <w:lang w:val="fr-CA"/>
        </w:rPr>
        <w:t>L</w:t>
      </w:r>
      <w:r>
        <w:rPr>
          <w:lang w:val="fr-CA"/>
        </w:rPr>
        <w:t>’</w:t>
      </w:r>
      <w:r w:rsidRPr="009677B6">
        <w:rPr>
          <w:lang w:val="fr-CA"/>
        </w:rPr>
        <w:t xml:space="preserve">exécution intégrale est une réparation </w:t>
      </w:r>
      <w:r>
        <w:rPr>
          <w:lang w:val="fr-CA"/>
        </w:rPr>
        <w:t>fondée sur l’</w:t>
      </w:r>
      <w:proofErr w:type="spellStart"/>
      <w:r w:rsidRPr="009677B6">
        <w:rPr>
          <w:lang w:val="fr-CA"/>
        </w:rPr>
        <w:t>equity</w:t>
      </w:r>
      <w:proofErr w:type="spellEnd"/>
      <w:r w:rsidRPr="009677B6">
        <w:rPr>
          <w:lang w:val="fr-CA"/>
        </w:rPr>
        <w:t xml:space="preserve"> qui se concilie mal avec l</w:t>
      </w:r>
      <w:r>
        <w:rPr>
          <w:lang w:val="fr-CA"/>
        </w:rPr>
        <w:t xml:space="preserve">e principe de la </w:t>
      </w:r>
      <w:r w:rsidRPr="00CE41B4">
        <w:rPr>
          <w:lang w:val="fr-CA"/>
        </w:rPr>
        <w:t>mitigation</w:t>
      </w:r>
      <w:r>
        <w:rPr>
          <w:lang w:val="fr-CA"/>
        </w:rPr>
        <w:t xml:space="preserve"> du</w:t>
      </w:r>
      <w:r w:rsidRPr="009677B6">
        <w:rPr>
          <w:lang w:val="fr-CA"/>
        </w:rPr>
        <w:t xml:space="preserve"> préjudice</w:t>
      </w:r>
      <w:r>
        <w:rPr>
          <w:lang w:val="fr-CA"/>
        </w:rPr>
        <w:t xml:space="preserve">.  </w:t>
      </w:r>
      <w:r w:rsidRPr="009677B6">
        <w:rPr>
          <w:lang w:val="fr-CA"/>
        </w:rPr>
        <w:t xml:space="preserve">De toute évidence, si elle avait acheté un autre immeuble pour </w:t>
      </w:r>
      <w:r w:rsidRPr="00CE41B4">
        <w:rPr>
          <w:lang w:val="fr-CA"/>
        </w:rPr>
        <w:t>mitiger</w:t>
      </w:r>
      <w:r w:rsidRPr="009677B6">
        <w:rPr>
          <w:lang w:val="fr-CA"/>
        </w:rPr>
        <w:t xml:space="preserve"> ses pertes, </w:t>
      </w:r>
      <w:proofErr w:type="spellStart"/>
      <w:r w:rsidRPr="009677B6">
        <w:rPr>
          <w:lang w:val="fr-CA"/>
        </w:rPr>
        <w:t>Southcott</w:t>
      </w:r>
      <w:proofErr w:type="spellEnd"/>
      <w:r w:rsidRPr="009677B6">
        <w:rPr>
          <w:lang w:val="fr-CA"/>
        </w:rPr>
        <w:t xml:space="preserve"> n</w:t>
      </w:r>
      <w:r>
        <w:rPr>
          <w:lang w:val="fr-CA"/>
        </w:rPr>
        <w:t>’</w:t>
      </w:r>
      <w:r w:rsidRPr="009677B6">
        <w:rPr>
          <w:lang w:val="fr-CA"/>
        </w:rPr>
        <w:t xml:space="preserve">aurait </w:t>
      </w:r>
      <w:proofErr w:type="spellStart"/>
      <w:r w:rsidRPr="009677B6">
        <w:rPr>
          <w:lang w:val="fr-CA"/>
        </w:rPr>
        <w:t>peut</w:t>
      </w:r>
      <w:r>
        <w:rPr>
          <w:lang w:val="fr-CA"/>
        </w:rPr>
        <w:noBreakHyphen/>
      </w:r>
      <w:r w:rsidRPr="009677B6">
        <w:rPr>
          <w:lang w:val="fr-CA"/>
        </w:rPr>
        <w:t>être</w:t>
      </w:r>
      <w:proofErr w:type="spellEnd"/>
      <w:r w:rsidRPr="009677B6">
        <w:rPr>
          <w:lang w:val="fr-CA"/>
        </w:rPr>
        <w:t xml:space="preserve"> pas été en mesure de parfaire </w:t>
      </w:r>
      <w:r>
        <w:rPr>
          <w:lang w:val="fr-CA"/>
        </w:rPr>
        <w:t>la</w:t>
      </w:r>
      <w:r w:rsidRPr="009677B6">
        <w:rPr>
          <w:lang w:val="fr-CA"/>
        </w:rPr>
        <w:t xml:space="preserve"> vente du terrain excédentaire du conseil scolaire </w:t>
      </w:r>
      <w:r>
        <w:rPr>
          <w:lang w:val="fr-CA"/>
        </w:rPr>
        <w:t xml:space="preserve">dans l’hypothèse où elle aurait </w:t>
      </w:r>
      <w:r w:rsidRPr="009677B6">
        <w:rPr>
          <w:lang w:val="fr-CA"/>
        </w:rPr>
        <w:t xml:space="preserve">finalement obtenu gain de cause </w:t>
      </w:r>
      <w:r>
        <w:rPr>
          <w:lang w:val="fr-CA"/>
        </w:rPr>
        <w:t xml:space="preserve">dans </w:t>
      </w:r>
      <w:r w:rsidRPr="009677B6">
        <w:rPr>
          <w:lang w:val="fr-CA"/>
        </w:rPr>
        <w:t>sa demande d</w:t>
      </w:r>
      <w:r>
        <w:rPr>
          <w:lang w:val="fr-CA"/>
        </w:rPr>
        <w:t>’</w:t>
      </w:r>
      <w:r w:rsidRPr="009677B6">
        <w:rPr>
          <w:lang w:val="fr-CA"/>
        </w:rPr>
        <w:t>exécution intégrale</w:t>
      </w:r>
      <w:r>
        <w:rPr>
          <w:lang w:val="fr-CA"/>
        </w:rPr>
        <w:t xml:space="preserve">.  </w:t>
      </w:r>
      <w:r w:rsidRPr="009677B6">
        <w:rPr>
          <w:lang w:val="fr-CA"/>
        </w:rPr>
        <w:t>Dans quels cas le demandeur qui réclame l</w:t>
      </w:r>
      <w:r>
        <w:rPr>
          <w:lang w:val="fr-CA"/>
        </w:rPr>
        <w:t>’</w:t>
      </w:r>
      <w:r w:rsidRPr="009677B6">
        <w:rPr>
          <w:lang w:val="fr-CA"/>
        </w:rPr>
        <w:t xml:space="preserve">exécution intégrale </w:t>
      </w:r>
      <w:proofErr w:type="spellStart"/>
      <w:r w:rsidRPr="009677B6">
        <w:rPr>
          <w:lang w:val="fr-CA"/>
        </w:rPr>
        <w:t>peut</w:t>
      </w:r>
      <w:r>
        <w:rPr>
          <w:lang w:val="fr-CA"/>
        </w:rPr>
        <w:noBreakHyphen/>
      </w:r>
      <w:r w:rsidRPr="009677B6">
        <w:rPr>
          <w:lang w:val="fr-CA"/>
        </w:rPr>
        <w:t>il</w:t>
      </w:r>
      <w:proofErr w:type="spellEnd"/>
      <w:r w:rsidRPr="009677B6">
        <w:rPr>
          <w:lang w:val="fr-CA"/>
        </w:rPr>
        <w:t xml:space="preserve"> justifier son inaction et être indemnisé pour des pertes qui auraient autrement pu être considérées comme évitables?</w:t>
      </w:r>
    </w:p>
    <w:p w:rsidR="0071502D" w:rsidRPr="009677B6" w:rsidRDefault="0071502D" w:rsidP="0071502D">
      <w:pPr>
        <w:pStyle w:val="ParaNoNdepar-AltN"/>
        <w:rPr>
          <w:lang w:val="fr-CA"/>
        </w:rPr>
      </w:pPr>
      <w:r w:rsidRPr="009677B6">
        <w:rPr>
          <w:lang w:val="fr-CA"/>
        </w:rPr>
        <w:t xml:space="preserve">Le juge de première instance a conclu que </w:t>
      </w:r>
      <w:proofErr w:type="spellStart"/>
      <w:r w:rsidRPr="009677B6">
        <w:rPr>
          <w:lang w:val="fr-CA"/>
        </w:rPr>
        <w:t>Southcott</w:t>
      </w:r>
      <w:proofErr w:type="spellEnd"/>
      <w:r w:rsidRPr="009677B6">
        <w:rPr>
          <w:lang w:val="fr-CA"/>
        </w:rPr>
        <w:t xml:space="preserve"> </w:t>
      </w:r>
      <w:r>
        <w:rPr>
          <w:lang w:val="fr-CA"/>
        </w:rPr>
        <w:t xml:space="preserve">n’était pas fondée à </w:t>
      </w:r>
      <w:r w:rsidRPr="009677B6">
        <w:rPr>
          <w:lang w:val="fr-CA"/>
        </w:rPr>
        <w:t>réclamer l</w:t>
      </w:r>
      <w:r>
        <w:rPr>
          <w:lang w:val="fr-CA"/>
        </w:rPr>
        <w:t>’</w:t>
      </w:r>
      <w:r w:rsidRPr="009677B6">
        <w:rPr>
          <w:lang w:val="fr-CA"/>
        </w:rPr>
        <w:t>exécution intégrale</w:t>
      </w:r>
      <w:r>
        <w:rPr>
          <w:lang w:val="fr-CA"/>
        </w:rPr>
        <w:t xml:space="preserve">.  </w:t>
      </w:r>
      <w:r w:rsidRPr="009677B6">
        <w:rPr>
          <w:lang w:val="fr-CA"/>
        </w:rPr>
        <w:t>Il a estimé que, même si l</w:t>
      </w:r>
      <w:r>
        <w:rPr>
          <w:lang w:val="fr-CA"/>
        </w:rPr>
        <w:t>’</w:t>
      </w:r>
      <w:r w:rsidRPr="009677B6">
        <w:rPr>
          <w:lang w:val="fr-CA"/>
        </w:rPr>
        <w:t>occasion d</w:t>
      </w:r>
      <w:r>
        <w:rPr>
          <w:lang w:val="fr-CA"/>
        </w:rPr>
        <w:t>’</w:t>
      </w:r>
      <w:r w:rsidRPr="009677B6">
        <w:rPr>
          <w:lang w:val="fr-CA"/>
        </w:rPr>
        <w:t xml:space="preserve">affaires était </w:t>
      </w:r>
      <w:proofErr w:type="spellStart"/>
      <w:r w:rsidRPr="009677B6">
        <w:rPr>
          <w:lang w:val="fr-CA"/>
        </w:rPr>
        <w:t>peut</w:t>
      </w:r>
      <w:r>
        <w:rPr>
          <w:lang w:val="fr-CA"/>
        </w:rPr>
        <w:noBreakHyphen/>
      </w:r>
      <w:r w:rsidRPr="009677B6">
        <w:rPr>
          <w:lang w:val="fr-CA"/>
        </w:rPr>
        <w:t>être</w:t>
      </w:r>
      <w:proofErr w:type="spellEnd"/>
      <w:r w:rsidRPr="009677B6">
        <w:rPr>
          <w:lang w:val="fr-CA"/>
        </w:rPr>
        <w:t xml:space="preserve"> unique, la propriété </w:t>
      </w:r>
      <w:proofErr w:type="spellStart"/>
      <w:r w:rsidRPr="009677B6">
        <w:rPr>
          <w:lang w:val="fr-CA"/>
        </w:rPr>
        <w:t>elle</w:t>
      </w:r>
      <w:r>
        <w:rPr>
          <w:lang w:val="fr-CA"/>
        </w:rPr>
        <w:noBreakHyphen/>
      </w:r>
      <w:r w:rsidRPr="009677B6">
        <w:rPr>
          <w:lang w:val="fr-CA"/>
        </w:rPr>
        <w:t>même</w:t>
      </w:r>
      <w:proofErr w:type="spellEnd"/>
      <w:r w:rsidRPr="009677B6">
        <w:rPr>
          <w:lang w:val="fr-CA"/>
        </w:rPr>
        <w:t xml:space="preserve"> ne l</w:t>
      </w:r>
      <w:r>
        <w:rPr>
          <w:lang w:val="fr-CA"/>
        </w:rPr>
        <w:t>’</w:t>
      </w:r>
      <w:r w:rsidRPr="009677B6">
        <w:rPr>
          <w:lang w:val="fr-CA"/>
        </w:rPr>
        <w:t>était pas</w:t>
      </w:r>
      <w:r>
        <w:rPr>
          <w:lang w:val="fr-CA"/>
        </w:rPr>
        <w:t xml:space="preserve">. </w:t>
      </w:r>
      <w:r w:rsidRPr="009677B6">
        <w:rPr>
          <w:lang w:val="fr-CA"/>
        </w:rPr>
        <w:t xml:space="preserve"> </w:t>
      </w:r>
      <w:r>
        <w:rPr>
          <w:lang w:val="fr-CA"/>
        </w:rPr>
        <w:t xml:space="preserve">Il a conclu qu’il s’agissait en l’espèce d’un plan d’affaires simple dont l’échec pouvait être quantifié en termes de </w:t>
      </w:r>
      <w:proofErr w:type="spellStart"/>
      <w:r>
        <w:rPr>
          <w:lang w:val="fr-CA"/>
        </w:rPr>
        <w:t>dommages</w:t>
      </w:r>
      <w:r>
        <w:rPr>
          <w:lang w:val="fr-CA"/>
        </w:rPr>
        <w:noBreakHyphen/>
        <w:t>intérêts</w:t>
      </w:r>
      <w:proofErr w:type="spellEnd"/>
      <w:r>
        <w:rPr>
          <w:lang w:val="fr-CA"/>
        </w:rPr>
        <w:t xml:space="preserve"> (par. 132).  </w:t>
      </w:r>
      <w:r w:rsidRPr="009677B6">
        <w:rPr>
          <w:lang w:val="fr-CA"/>
        </w:rPr>
        <w:t xml:space="preserve">La </w:t>
      </w:r>
      <w:r w:rsidR="006E0DED">
        <w:rPr>
          <w:lang w:val="fr-CA"/>
        </w:rPr>
        <w:t>C</w:t>
      </w:r>
      <w:r w:rsidRPr="009677B6">
        <w:rPr>
          <w:lang w:val="fr-CA"/>
        </w:rPr>
        <w:t>our d</w:t>
      </w:r>
      <w:r>
        <w:rPr>
          <w:lang w:val="fr-CA"/>
        </w:rPr>
        <w:t>’</w:t>
      </w:r>
      <w:r w:rsidRPr="009677B6">
        <w:rPr>
          <w:lang w:val="fr-CA"/>
        </w:rPr>
        <w:t xml:space="preserve">appel </w:t>
      </w:r>
      <w:r>
        <w:rPr>
          <w:lang w:val="fr-CA"/>
        </w:rPr>
        <w:t xml:space="preserve">s’est dite </w:t>
      </w:r>
      <w:r w:rsidRPr="009677B6">
        <w:rPr>
          <w:lang w:val="fr-CA"/>
        </w:rPr>
        <w:t>du même avis</w:t>
      </w:r>
      <w:r>
        <w:rPr>
          <w:lang w:val="fr-CA"/>
        </w:rPr>
        <w:t xml:space="preserve">.  </w:t>
      </w:r>
      <w:r w:rsidRPr="009677B6">
        <w:rPr>
          <w:lang w:val="fr-CA"/>
        </w:rPr>
        <w:t>La décision du juge de première instance de ne pas ordonner l</w:t>
      </w:r>
      <w:r>
        <w:rPr>
          <w:lang w:val="fr-CA"/>
        </w:rPr>
        <w:t>’</w:t>
      </w:r>
      <w:r w:rsidRPr="009677B6">
        <w:rPr>
          <w:lang w:val="fr-CA"/>
        </w:rPr>
        <w:t>exécution intégrale du contrat n</w:t>
      </w:r>
      <w:r>
        <w:rPr>
          <w:lang w:val="fr-CA"/>
        </w:rPr>
        <w:t>’</w:t>
      </w:r>
      <w:r w:rsidRPr="009677B6">
        <w:rPr>
          <w:lang w:val="fr-CA"/>
        </w:rPr>
        <w:t>est pas contestée dans le présent pourvoi.</w:t>
      </w:r>
    </w:p>
    <w:p w:rsidR="0071502D" w:rsidRPr="009677B6" w:rsidRDefault="0071502D" w:rsidP="0071502D">
      <w:pPr>
        <w:pStyle w:val="ParaNoNdepar-AltN"/>
        <w:rPr>
          <w:lang w:val="fr-CA"/>
        </w:rPr>
      </w:pPr>
      <w:proofErr w:type="spellStart"/>
      <w:r w:rsidRPr="009677B6">
        <w:rPr>
          <w:lang w:val="fr-CA"/>
        </w:rPr>
        <w:lastRenderedPageBreak/>
        <w:t>Southcott</w:t>
      </w:r>
      <w:proofErr w:type="spellEnd"/>
      <w:r w:rsidRPr="009677B6">
        <w:rPr>
          <w:lang w:val="fr-CA"/>
        </w:rPr>
        <w:t xml:space="preserve"> affirme toutefois que, même si elle n</w:t>
      </w:r>
      <w:r>
        <w:rPr>
          <w:lang w:val="fr-CA"/>
        </w:rPr>
        <w:t>’</w:t>
      </w:r>
      <w:r w:rsidRPr="009677B6">
        <w:rPr>
          <w:lang w:val="fr-CA"/>
        </w:rPr>
        <w:t xml:space="preserve">a pas obtenu gain de cause </w:t>
      </w:r>
      <w:r>
        <w:rPr>
          <w:lang w:val="fr-CA"/>
        </w:rPr>
        <w:t xml:space="preserve">en ce qui concerne </w:t>
      </w:r>
      <w:r w:rsidRPr="009677B6">
        <w:rPr>
          <w:lang w:val="fr-CA"/>
        </w:rPr>
        <w:t>sa demande d</w:t>
      </w:r>
      <w:r>
        <w:rPr>
          <w:lang w:val="fr-CA"/>
        </w:rPr>
        <w:t>’</w:t>
      </w:r>
      <w:r w:rsidRPr="009677B6">
        <w:rPr>
          <w:lang w:val="fr-CA"/>
        </w:rPr>
        <w:t xml:space="preserve">exécution intégrale, elle a agi rapidement </w:t>
      </w:r>
      <w:r>
        <w:rPr>
          <w:lang w:val="fr-CA"/>
        </w:rPr>
        <w:t xml:space="preserve">et sa demande est sérieuse, </w:t>
      </w:r>
      <w:r w:rsidRPr="009677B6">
        <w:rPr>
          <w:lang w:val="fr-CA"/>
        </w:rPr>
        <w:t>étant donné que l</w:t>
      </w:r>
      <w:r>
        <w:rPr>
          <w:lang w:val="fr-CA"/>
        </w:rPr>
        <w:t>’</w:t>
      </w:r>
      <w:r w:rsidRPr="009677B6">
        <w:rPr>
          <w:lang w:val="fr-CA"/>
        </w:rPr>
        <w:t xml:space="preserve">immeuble en question était une occasion unique, vu son emplacement et la rareté des propriétés de ce genre </w:t>
      </w:r>
      <w:r>
        <w:rPr>
          <w:lang w:val="fr-CA"/>
        </w:rPr>
        <w:t>dans la région métropolitaine de</w:t>
      </w:r>
      <w:r w:rsidRPr="009677B6">
        <w:rPr>
          <w:lang w:val="fr-CA"/>
        </w:rPr>
        <w:t xml:space="preserve"> Toronto</w:t>
      </w:r>
      <w:r>
        <w:rPr>
          <w:lang w:val="fr-CA"/>
        </w:rPr>
        <w:t xml:space="preserve">.  </w:t>
      </w:r>
      <w:r w:rsidRPr="009677B6">
        <w:rPr>
          <w:lang w:val="fr-CA"/>
        </w:rPr>
        <w:t>Elle soutient par conséquent qu</w:t>
      </w:r>
      <w:r>
        <w:rPr>
          <w:lang w:val="fr-CA"/>
        </w:rPr>
        <w:t>’</w:t>
      </w:r>
      <w:r w:rsidRPr="009677B6">
        <w:rPr>
          <w:lang w:val="fr-CA"/>
        </w:rPr>
        <w:t>il n</w:t>
      </w:r>
      <w:r>
        <w:rPr>
          <w:lang w:val="fr-CA"/>
        </w:rPr>
        <w:t>’</w:t>
      </w:r>
      <w:r w:rsidRPr="009677B6">
        <w:rPr>
          <w:lang w:val="fr-CA"/>
        </w:rPr>
        <w:t>était pas raisonnable de tenter d</w:t>
      </w:r>
      <w:r>
        <w:rPr>
          <w:lang w:val="fr-CA"/>
        </w:rPr>
        <w:t xml:space="preserve">e </w:t>
      </w:r>
      <w:r w:rsidRPr="00CE41B4">
        <w:rPr>
          <w:lang w:val="fr-CA"/>
        </w:rPr>
        <w:t>mitiger</w:t>
      </w:r>
      <w:r w:rsidRPr="009677B6">
        <w:rPr>
          <w:lang w:val="fr-CA"/>
        </w:rPr>
        <w:t xml:space="preserve"> </w:t>
      </w:r>
      <w:r>
        <w:rPr>
          <w:lang w:val="fr-CA"/>
        </w:rPr>
        <w:t>son</w:t>
      </w:r>
      <w:r w:rsidRPr="009677B6">
        <w:rPr>
          <w:lang w:val="fr-CA"/>
        </w:rPr>
        <w:t xml:space="preserve"> préjudice</w:t>
      </w:r>
      <w:r>
        <w:rPr>
          <w:lang w:val="fr-CA"/>
        </w:rPr>
        <w:t> : la réparation que constitue l’</w:t>
      </w:r>
      <w:r w:rsidRPr="009677B6">
        <w:rPr>
          <w:lang w:val="fr-CA"/>
        </w:rPr>
        <w:t>exécution intégrale</w:t>
      </w:r>
      <w:r w:rsidRPr="001A616A">
        <w:rPr>
          <w:lang w:val="fr-CA"/>
        </w:rPr>
        <w:t xml:space="preserve"> </w:t>
      </w:r>
      <w:r>
        <w:rPr>
          <w:lang w:val="fr-CA"/>
        </w:rPr>
        <w:t>serait dev</w:t>
      </w:r>
      <w:r w:rsidRPr="009677B6">
        <w:rPr>
          <w:lang w:val="fr-CA"/>
        </w:rPr>
        <w:t>en</w:t>
      </w:r>
      <w:r>
        <w:rPr>
          <w:lang w:val="fr-CA"/>
        </w:rPr>
        <w:t>ue</w:t>
      </w:r>
      <w:r w:rsidRPr="009677B6">
        <w:rPr>
          <w:lang w:val="fr-CA"/>
        </w:rPr>
        <w:t xml:space="preserve"> illusoir</w:t>
      </w:r>
      <w:r>
        <w:rPr>
          <w:lang w:val="fr-CA"/>
        </w:rPr>
        <w:t>e</w:t>
      </w:r>
      <w:r w:rsidRPr="009677B6">
        <w:rPr>
          <w:lang w:val="fr-CA"/>
        </w:rPr>
        <w:t>.</w:t>
      </w:r>
    </w:p>
    <w:p w:rsidR="0071502D" w:rsidRDefault="0071502D" w:rsidP="0071502D">
      <w:pPr>
        <w:pStyle w:val="ParaNoNdepar-AltN"/>
        <w:rPr>
          <w:lang w:val="fr-CA"/>
        </w:rPr>
      </w:pPr>
      <w:r w:rsidRPr="009677B6">
        <w:rPr>
          <w:lang w:val="fr-CA"/>
        </w:rPr>
        <w:t xml:space="preserve">Suivant </w:t>
      </w:r>
      <w:proofErr w:type="spellStart"/>
      <w:r w:rsidRPr="009677B6">
        <w:rPr>
          <w:lang w:val="fr-CA"/>
        </w:rPr>
        <w:t>Southcott</w:t>
      </w:r>
      <w:proofErr w:type="spellEnd"/>
      <w:r w:rsidRPr="009677B6">
        <w:rPr>
          <w:lang w:val="fr-CA"/>
        </w:rPr>
        <w:t>, le tribunal doit se poser deux questions distinctes lorsqu</w:t>
      </w:r>
      <w:r>
        <w:rPr>
          <w:lang w:val="fr-CA"/>
        </w:rPr>
        <w:t xml:space="preserve">’un </w:t>
      </w:r>
      <w:r w:rsidRPr="009677B6">
        <w:rPr>
          <w:lang w:val="fr-CA"/>
        </w:rPr>
        <w:t>demandeur réclame l</w:t>
      </w:r>
      <w:r>
        <w:rPr>
          <w:lang w:val="fr-CA"/>
        </w:rPr>
        <w:t>’</w:t>
      </w:r>
      <w:r w:rsidRPr="009677B6">
        <w:rPr>
          <w:lang w:val="fr-CA"/>
        </w:rPr>
        <w:t>exécution intégrale</w:t>
      </w:r>
      <w:r>
        <w:rPr>
          <w:lang w:val="fr-CA"/>
        </w:rPr>
        <w:t> </w:t>
      </w:r>
      <w:r w:rsidRPr="009677B6">
        <w:rPr>
          <w:lang w:val="fr-CA"/>
        </w:rPr>
        <w:t>(1)</w:t>
      </w:r>
      <w:r>
        <w:rPr>
          <w:lang w:val="fr-CA"/>
        </w:rPr>
        <w:t xml:space="preserve"> y </w:t>
      </w:r>
      <w:proofErr w:type="spellStart"/>
      <w:r>
        <w:rPr>
          <w:lang w:val="fr-CA"/>
        </w:rPr>
        <w:t>a</w:t>
      </w:r>
      <w:r>
        <w:rPr>
          <w:lang w:val="fr-CA"/>
        </w:rPr>
        <w:noBreakHyphen/>
        <w:t>t</w:t>
      </w:r>
      <w:r>
        <w:rPr>
          <w:lang w:val="fr-CA"/>
        </w:rPr>
        <w:noBreakHyphen/>
        <w:t>il</w:t>
      </w:r>
      <w:proofErr w:type="spellEnd"/>
      <w:r>
        <w:rPr>
          <w:lang w:val="fr-CA"/>
        </w:rPr>
        <w:t xml:space="preserve"> lieu d’</w:t>
      </w:r>
      <w:r w:rsidRPr="009677B6">
        <w:rPr>
          <w:lang w:val="fr-CA"/>
        </w:rPr>
        <w:t>ordonner l</w:t>
      </w:r>
      <w:r>
        <w:rPr>
          <w:lang w:val="fr-CA"/>
        </w:rPr>
        <w:t>’</w:t>
      </w:r>
      <w:r w:rsidRPr="009677B6">
        <w:rPr>
          <w:lang w:val="fr-CA"/>
        </w:rPr>
        <w:t xml:space="preserve">exécution intégrale? </w:t>
      </w:r>
      <w:r>
        <w:rPr>
          <w:lang w:val="fr-CA"/>
        </w:rPr>
        <w:t xml:space="preserve"> </w:t>
      </w:r>
      <w:r w:rsidRPr="009677B6">
        <w:rPr>
          <w:lang w:val="fr-CA"/>
        </w:rPr>
        <w:t>Si la réponse à cette question est négative</w:t>
      </w:r>
      <w:r>
        <w:rPr>
          <w:lang w:val="fr-CA"/>
        </w:rPr>
        <w:t> </w:t>
      </w:r>
      <w:r w:rsidRPr="009677B6">
        <w:rPr>
          <w:lang w:val="fr-CA"/>
        </w:rPr>
        <w:t>(2)</w:t>
      </w:r>
      <w:r>
        <w:rPr>
          <w:lang w:val="fr-CA"/>
        </w:rPr>
        <w:t> c</w:t>
      </w:r>
      <w:r w:rsidRPr="009677B6">
        <w:rPr>
          <w:lang w:val="fr-CA"/>
        </w:rPr>
        <w:t xml:space="preserve">e demandeur </w:t>
      </w:r>
      <w:proofErr w:type="spellStart"/>
      <w:r>
        <w:rPr>
          <w:lang w:val="fr-CA"/>
        </w:rPr>
        <w:t>est</w:t>
      </w:r>
      <w:r>
        <w:rPr>
          <w:lang w:val="fr-CA"/>
        </w:rPr>
        <w:noBreakHyphen/>
      </w:r>
      <w:r w:rsidRPr="009677B6">
        <w:rPr>
          <w:lang w:val="fr-CA"/>
        </w:rPr>
        <w:t>il</w:t>
      </w:r>
      <w:proofErr w:type="spellEnd"/>
      <w:r w:rsidRPr="009677B6">
        <w:rPr>
          <w:lang w:val="fr-CA"/>
        </w:rPr>
        <w:t xml:space="preserve"> justifié de ne pas prendre de mesures pour </w:t>
      </w:r>
      <w:r w:rsidRPr="00CE41B4">
        <w:rPr>
          <w:lang w:val="fr-CA"/>
        </w:rPr>
        <w:t>mitiger</w:t>
      </w:r>
      <w:r w:rsidRPr="009677B6">
        <w:rPr>
          <w:lang w:val="fr-CA"/>
        </w:rPr>
        <w:t xml:space="preserve"> le préjudice? </w:t>
      </w:r>
      <w:r>
        <w:rPr>
          <w:lang w:val="fr-CA"/>
        </w:rPr>
        <w:t xml:space="preserve"> </w:t>
      </w:r>
      <w:proofErr w:type="spellStart"/>
      <w:r w:rsidRPr="009677B6">
        <w:rPr>
          <w:lang w:val="fr-CA"/>
        </w:rPr>
        <w:t>Southcott</w:t>
      </w:r>
      <w:proofErr w:type="spellEnd"/>
      <w:r w:rsidRPr="009677B6">
        <w:rPr>
          <w:lang w:val="fr-CA"/>
        </w:rPr>
        <w:t xml:space="preserve"> affirme que le juge de première instance a confondu ces deux questions et qu</w:t>
      </w:r>
      <w:r>
        <w:rPr>
          <w:lang w:val="fr-CA"/>
        </w:rPr>
        <w:t>’</w:t>
      </w:r>
      <w:r w:rsidRPr="009677B6">
        <w:rPr>
          <w:lang w:val="fr-CA"/>
        </w:rPr>
        <w:t xml:space="preserve">il a omis de se demander si </w:t>
      </w:r>
      <w:proofErr w:type="spellStart"/>
      <w:r>
        <w:rPr>
          <w:lang w:val="fr-CA"/>
        </w:rPr>
        <w:t>Southcott</w:t>
      </w:r>
      <w:proofErr w:type="spellEnd"/>
      <w:r w:rsidRPr="009677B6">
        <w:rPr>
          <w:lang w:val="fr-CA"/>
        </w:rPr>
        <w:t xml:space="preserve"> était justifiée de ne pas </w:t>
      </w:r>
      <w:r w:rsidRPr="00CE41B4">
        <w:rPr>
          <w:lang w:val="fr-CA"/>
        </w:rPr>
        <w:t>mitiger</w:t>
      </w:r>
      <w:r w:rsidRPr="009677B6">
        <w:rPr>
          <w:lang w:val="fr-CA"/>
        </w:rPr>
        <w:t xml:space="preserve"> le préjudice.</w:t>
      </w:r>
    </w:p>
    <w:p w:rsidR="0071502D" w:rsidRPr="009677B6" w:rsidRDefault="0071502D" w:rsidP="0071502D">
      <w:pPr>
        <w:pStyle w:val="ParaNoNdepar-AltN"/>
        <w:rPr>
          <w:lang w:val="fr-CA"/>
        </w:rPr>
      </w:pPr>
      <w:r>
        <w:rPr>
          <w:lang w:val="fr-CA"/>
        </w:rPr>
        <w:t xml:space="preserve">Notre Cour a examiné cette question dans </w:t>
      </w:r>
      <w:r w:rsidRPr="009677B6">
        <w:rPr>
          <w:lang w:val="fr-CA"/>
        </w:rPr>
        <w:t>l</w:t>
      </w:r>
      <w:r>
        <w:rPr>
          <w:lang w:val="fr-CA"/>
        </w:rPr>
        <w:t>’</w:t>
      </w:r>
      <w:r w:rsidRPr="009677B6">
        <w:rPr>
          <w:lang w:val="fr-CA"/>
        </w:rPr>
        <w:t xml:space="preserve">arrêt </w:t>
      </w:r>
      <w:proofErr w:type="spellStart"/>
      <w:r w:rsidRPr="009677B6">
        <w:rPr>
          <w:i/>
          <w:lang w:val="fr-CA"/>
        </w:rPr>
        <w:t>Asamera</w:t>
      </w:r>
      <w:proofErr w:type="spellEnd"/>
      <w:r>
        <w:rPr>
          <w:lang w:val="fr-CA"/>
        </w:rPr>
        <w:t>, p. 668</w:t>
      </w:r>
      <w:r>
        <w:rPr>
          <w:lang w:val="fr-CA"/>
        </w:rPr>
        <w:noBreakHyphen/>
        <w:t>669 </w:t>
      </w:r>
      <w:r>
        <w:rPr>
          <w:szCs w:val="24"/>
          <w:lang w:val="fr-CA"/>
        </w:rPr>
        <w:t>:</w:t>
      </w:r>
    </w:p>
    <w:p w:rsidR="0071502D" w:rsidRDefault="0071502D" w:rsidP="0071502D">
      <w:pPr>
        <w:pStyle w:val="Citation-AltC"/>
        <w:spacing w:after="240"/>
        <w:ind w:left="1170" w:hanging="1170"/>
        <w:contextualSpacing w:val="0"/>
        <w:rPr>
          <w:lang w:val="fr-CA"/>
        </w:rPr>
      </w:pPr>
      <w:r>
        <w:rPr>
          <w:lang w:val="fr-CA"/>
        </w:rPr>
        <w:tab/>
      </w:r>
      <w:r w:rsidRPr="009677B6">
        <w:rPr>
          <w:lang w:val="fr-CA"/>
        </w:rPr>
        <w:t>Pour qu</w:t>
      </w:r>
      <w:r>
        <w:rPr>
          <w:lang w:val="fr-CA"/>
        </w:rPr>
        <w:t>’</w:t>
      </w:r>
      <w:r w:rsidRPr="009677B6">
        <w:rPr>
          <w:lang w:val="fr-CA"/>
        </w:rPr>
        <w:t>un demandeur puisse invoquer une action en exécution intégrale pour justifier son omission d</w:t>
      </w:r>
      <w:r>
        <w:rPr>
          <w:lang w:val="fr-CA"/>
        </w:rPr>
        <w:t>’</w:t>
      </w:r>
      <w:r w:rsidRPr="009677B6">
        <w:rPr>
          <w:lang w:val="fr-CA"/>
        </w:rPr>
        <w:t>acheter des biens de remplacement pour limiter le préjudice, son action en exécution intégrale doit être fondée sur des motifs équitables, rée</w:t>
      </w:r>
      <w:r>
        <w:rPr>
          <w:lang w:val="fr-CA"/>
        </w:rPr>
        <w:t>ls et importants.</w:t>
      </w:r>
      <w:r w:rsidR="006E0DED">
        <w:rPr>
          <w:lang w:val="fr-CA"/>
        </w:rPr>
        <w:t xml:space="preserve"> . .</w:t>
      </w:r>
    </w:p>
    <w:p w:rsidR="0071502D" w:rsidRPr="009677B6" w:rsidRDefault="0071502D" w:rsidP="0071502D">
      <w:pPr>
        <w:pStyle w:val="Citation-AltC"/>
        <w:spacing w:after="240"/>
        <w:ind w:left="1170" w:hanging="1170"/>
        <w:contextualSpacing w:val="0"/>
        <w:jc w:val="center"/>
        <w:rPr>
          <w:lang w:val="fr-CA"/>
        </w:rPr>
      </w:pPr>
      <w:r>
        <w:rPr>
          <w:lang w:val="fr-CA"/>
        </w:rPr>
        <w:t>. . .</w:t>
      </w:r>
    </w:p>
    <w:p w:rsidR="0071502D" w:rsidRPr="009677B6" w:rsidRDefault="0071502D" w:rsidP="0071502D">
      <w:pPr>
        <w:pStyle w:val="Citation-AltC"/>
        <w:ind w:left="1170" w:hanging="1170"/>
        <w:rPr>
          <w:lang w:val="fr-CA"/>
        </w:rPr>
      </w:pPr>
      <w:r>
        <w:rPr>
          <w:lang w:val="fr-CA"/>
        </w:rPr>
        <w:tab/>
      </w:r>
      <w:r w:rsidR="006E0DED">
        <w:rPr>
          <w:lang w:val="fr-CA"/>
        </w:rPr>
        <w:tab/>
        <w:t xml:space="preserve">. . . </w:t>
      </w:r>
      <w:r w:rsidRPr="009677B6">
        <w:rPr>
          <w:lang w:val="fr-CA"/>
        </w:rPr>
        <w:t>Le seul cas où un demandeur peut justifier son inaction est celui où l</w:t>
      </w:r>
      <w:r>
        <w:rPr>
          <w:lang w:val="fr-CA"/>
        </w:rPr>
        <w:t>’</w:t>
      </w:r>
      <w:r w:rsidRPr="009677B6">
        <w:rPr>
          <w:lang w:val="fr-CA"/>
        </w:rPr>
        <w:t xml:space="preserve">action en exécution intégrale, par opposition à une action en </w:t>
      </w:r>
      <w:proofErr w:type="spellStart"/>
      <w:r w:rsidRPr="009677B6">
        <w:rPr>
          <w:lang w:val="fr-CA"/>
        </w:rPr>
        <w:t>dommages</w:t>
      </w:r>
      <w:r>
        <w:rPr>
          <w:lang w:val="fr-CA"/>
        </w:rPr>
        <w:noBreakHyphen/>
      </w:r>
      <w:r w:rsidRPr="009677B6">
        <w:rPr>
          <w:lang w:val="fr-CA"/>
        </w:rPr>
        <w:t>intérêts</w:t>
      </w:r>
      <w:proofErr w:type="spellEnd"/>
      <w:r w:rsidRPr="009677B6">
        <w:rPr>
          <w:lang w:val="fr-CA"/>
        </w:rPr>
        <w:t>, est fondée sur un intérêt important et légitime; dans ce cas, s</w:t>
      </w:r>
      <w:r>
        <w:rPr>
          <w:lang w:val="fr-CA"/>
        </w:rPr>
        <w:t>’</w:t>
      </w:r>
      <w:r w:rsidRPr="009677B6">
        <w:rPr>
          <w:lang w:val="fr-CA"/>
        </w:rPr>
        <w:t>il n</w:t>
      </w:r>
      <w:r>
        <w:rPr>
          <w:lang w:val="fr-CA"/>
        </w:rPr>
        <w:t>’</w:t>
      </w:r>
      <w:r w:rsidRPr="009677B6">
        <w:rPr>
          <w:lang w:val="fr-CA"/>
        </w:rPr>
        <w:t>obtient pas l</w:t>
      </w:r>
      <w:r>
        <w:rPr>
          <w:lang w:val="fr-CA"/>
        </w:rPr>
        <w:t>’</w:t>
      </w:r>
      <w:r w:rsidRPr="009677B6">
        <w:rPr>
          <w:lang w:val="fr-CA"/>
        </w:rPr>
        <w:t xml:space="preserve">exécution intégrale, il peut obtenir des </w:t>
      </w:r>
      <w:proofErr w:type="spellStart"/>
      <w:r w:rsidRPr="009677B6">
        <w:rPr>
          <w:lang w:val="fr-CA"/>
        </w:rPr>
        <w:t>dommages</w:t>
      </w:r>
      <w:r>
        <w:rPr>
          <w:lang w:val="fr-CA"/>
        </w:rPr>
        <w:noBreakHyphen/>
      </w:r>
      <w:r w:rsidRPr="009677B6">
        <w:rPr>
          <w:lang w:val="fr-CA"/>
        </w:rPr>
        <w:t>intérêts</w:t>
      </w:r>
      <w:proofErr w:type="spellEnd"/>
      <w:r w:rsidRPr="009677B6">
        <w:rPr>
          <w:lang w:val="fr-CA"/>
        </w:rPr>
        <w:t xml:space="preserve"> pour des pertes qui, en d</w:t>
      </w:r>
      <w:r>
        <w:rPr>
          <w:lang w:val="fr-CA"/>
        </w:rPr>
        <w:t>’</w:t>
      </w:r>
      <w:r w:rsidRPr="009677B6">
        <w:rPr>
          <w:lang w:val="fr-CA"/>
        </w:rPr>
        <w:t xml:space="preserve">autres circonstances, </w:t>
      </w:r>
      <w:r w:rsidRPr="009677B6">
        <w:rPr>
          <w:lang w:val="fr-CA"/>
        </w:rPr>
        <w:lastRenderedPageBreak/>
        <w:t>auraient pu être évitées et pour lesquelles il n</w:t>
      </w:r>
      <w:r>
        <w:rPr>
          <w:lang w:val="fr-CA"/>
        </w:rPr>
        <w:t>’</w:t>
      </w:r>
      <w:r w:rsidRPr="009677B6">
        <w:rPr>
          <w:lang w:val="fr-CA"/>
        </w:rPr>
        <w:t xml:space="preserve">aurait donc pas pu se faire indemniser. </w:t>
      </w:r>
      <w:r w:rsidR="00295091">
        <w:rPr>
          <w:lang w:val="fr-CA"/>
        </w:rPr>
        <w:t>. .</w:t>
      </w:r>
    </w:p>
    <w:p w:rsidR="0071502D" w:rsidRPr="001A616A" w:rsidRDefault="0071502D" w:rsidP="0071502D">
      <w:pPr>
        <w:pStyle w:val="ParaNoNdepar-AltN"/>
        <w:rPr>
          <w:lang w:val="fr-CA"/>
        </w:rPr>
      </w:pPr>
      <w:r>
        <w:rPr>
          <w:lang w:val="fr-CA"/>
        </w:rPr>
        <w:t>Ainsi, n</w:t>
      </w:r>
      <w:r w:rsidRPr="009677B6">
        <w:rPr>
          <w:lang w:val="fr-CA"/>
        </w:rPr>
        <w:t>otre Cour a reconnu qu</w:t>
      </w:r>
      <w:r>
        <w:rPr>
          <w:lang w:val="fr-CA"/>
        </w:rPr>
        <w:t>e</w:t>
      </w:r>
      <w:r w:rsidRPr="009677B6">
        <w:rPr>
          <w:lang w:val="fr-CA"/>
        </w:rPr>
        <w:t xml:space="preserve"> d</w:t>
      </w:r>
      <w:r>
        <w:rPr>
          <w:lang w:val="fr-CA"/>
        </w:rPr>
        <w:t>an</w:t>
      </w:r>
      <w:r w:rsidRPr="009677B6">
        <w:rPr>
          <w:lang w:val="fr-CA"/>
        </w:rPr>
        <w:t xml:space="preserve">s </w:t>
      </w:r>
      <w:r>
        <w:rPr>
          <w:lang w:val="fr-CA"/>
        </w:rPr>
        <w:t xml:space="preserve">certains </w:t>
      </w:r>
      <w:r w:rsidRPr="009677B6">
        <w:rPr>
          <w:lang w:val="fr-CA"/>
        </w:rPr>
        <w:t>cas</w:t>
      </w:r>
      <w:r>
        <w:rPr>
          <w:lang w:val="fr-CA"/>
        </w:rPr>
        <w:t>,</w:t>
      </w:r>
      <w:r w:rsidRPr="009677B6">
        <w:rPr>
          <w:lang w:val="fr-CA"/>
        </w:rPr>
        <w:t xml:space="preserve"> l</w:t>
      </w:r>
      <w:r>
        <w:rPr>
          <w:lang w:val="fr-CA"/>
        </w:rPr>
        <w:t>’</w:t>
      </w:r>
      <w:r w:rsidRPr="009677B6">
        <w:rPr>
          <w:lang w:val="fr-CA"/>
        </w:rPr>
        <w:t>inaction du demandeur peut se justifier malgré le fait qu</w:t>
      </w:r>
      <w:r>
        <w:rPr>
          <w:lang w:val="fr-CA"/>
        </w:rPr>
        <w:t>’</w:t>
      </w:r>
      <w:r w:rsidRPr="009677B6">
        <w:rPr>
          <w:lang w:val="fr-CA"/>
        </w:rPr>
        <w:t>il n</w:t>
      </w:r>
      <w:r>
        <w:rPr>
          <w:lang w:val="fr-CA"/>
        </w:rPr>
        <w:t>’</w:t>
      </w:r>
      <w:r w:rsidRPr="009677B6">
        <w:rPr>
          <w:lang w:val="fr-CA"/>
        </w:rPr>
        <w:t>a pas réussi à obtenir l</w:t>
      </w:r>
      <w:r>
        <w:rPr>
          <w:lang w:val="fr-CA"/>
        </w:rPr>
        <w:t>’</w:t>
      </w:r>
      <w:r w:rsidRPr="009677B6">
        <w:rPr>
          <w:lang w:val="fr-CA"/>
        </w:rPr>
        <w:t>exécution intégrale</w:t>
      </w:r>
      <w:r>
        <w:rPr>
          <w:lang w:val="fr-CA"/>
        </w:rPr>
        <w:t xml:space="preserve">, </w:t>
      </w:r>
      <w:r w:rsidRPr="009677B6">
        <w:rPr>
          <w:lang w:val="fr-CA"/>
        </w:rPr>
        <w:t xml:space="preserve">lorsque </w:t>
      </w:r>
      <w:r>
        <w:rPr>
          <w:lang w:val="fr-CA"/>
        </w:rPr>
        <w:t xml:space="preserve">les circonstances révèlent que </w:t>
      </w:r>
      <w:r w:rsidRPr="009677B6">
        <w:rPr>
          <w:lang w:val="fr-CA"/>
        </w:rPr>
        <w:t>sa demande est fondée sur des «</w:t>
      </w:r>
      <w:r w:rsidRPr="00A3162D">
        <w:rPr>
          <w:lang w:val="fr-CA"/>
        </w:rPr>
        <w:t> </w:t>
      </w:r>
      <w:r w:rsidRPr="0052403E">
        <w:rPr>
          <w:u w:val="single"/>
          <w:lang w:val="fr-CA"/>
        </w:rPr>
        <w:t>motifs équitables, réels et importants</w:t>
      </w:r>
      <w:r w:rsidRPr="009677B6">
        <w:rPr>
          <w:lang w:val="fr-CA"/>
        </w:rPr>
        <w:t xml:space="preserve"> » ou </w:t>
      </w:r>
      <w:r>
        <w:rPr>
          <w:lang w:val="fr-CA"/>
        </w:rPr>
        <w:t>qu’</w:t>
      </w:r>
      <w:r w:rsidRPr="009677B6">
        <w:rPr>
          <w:lang w:val="fr-CA"/>
        </w:rPr>
        <w:t>un « </w:t>
      </w:r>
      <w:r w:rsidRPr="0052403E">
        <w:rPr>
          <w:u w:val="single"/>
          <w:lang w:val="fr-CA"/>
        </w:rPr>
        <w:t>intérêt important et légitime</w:t>
      </w:r>
      <w:r>
        <w:rPr>
          <w:lang w:val="fr-CA"/>
        </w:rPr>
        <w:t xml:space="preserve"> » </w:t>
      </w:r>
      <w:r w:rsidRPr="009677B6">
        <w:rPr>
          <w:lang w:val="fr-CA"/>
        </w:rPr>
        <w:t>lui permet de réclamer l</w:t>
      </w:r>
      <w:r>
        <w:rPr>
          <w:lang w:val="fr-CA"/>
        </w:rPr>
        <w:t>’</w:t>
      </w:r>
      <w:r w:rsidRPr="009677B6">
        <w:rPr>
          <w:lang w:val="fr-CA"/>
        </w:rPr>
        <w:t>exécution intégrale</w:t>
      </w:r>
      <w:r>
        <w:rPr>
          <w:lang w:val="fr-CA"/>
        </w:rPr>
        <w:t xml:space="preserve"> (</w:t>
      </w:r>
      <w:proofErr w:type="spellStart"/>
      <w:r>
        <w:rPr>
          <w:i/>
          <w:lang w:val="fr-CA"/>
        </w:rPr>
        <w:t>Asamera</w:t>
      </w:r>
      <w:proofErr w:type="spellEnd"/>
      <w:r w:rsidR="00295091">
        <w:rPr>
          <w:lang w:val="fr-CA"/>
        </w:rPr>
        <w:t>, p. 668</w:t>
      </w:r>
      <w:r w:rsidR="00295091">
        <w:rPr>
          <w:lang w:val="fr-CA"/>
        </w:rPr>
        <w:noBreakHyphen/>
        <w:t xml:space="preserve">669 </w:t>
      </w:r>
      <w:r>
        <w:rPr>
          <w:lang w:val="fr-CA"/>
        </w:rPr>
        <w:t xml:space="preserve">(je souligne)).  Cela ne signifie pas </w:t>
      </w:r>
      <w:r w:rsidRPr="009677B6">
        <w:rPr>
          <w:lang w:val="fr-CA"/>
        </w:rPr>
        <w:t>que le demandeur qui présente une telle demande n</w:t>
      </w:r>
      <w:r>
        <w:rPr>
          <w:lang w:val="fr-CA"/>
        </w:rPr>
        <w:t>e devrait</w:t>
      </w:r>
      <w:r w:rsidRPr="009677B6">
        <w:rPr>
          <w:lang w:val="fr-CA"/>
        </w:rPr>
        <w:t xml:space="preserve"> </w:t>
      </w:r>
      <w:r>
        <w:rPr>
          <w:lang w:val="fr-CA"/>
        </w:rPr>
        <w:t xml:space="preserve">pas tenter </w:t>
      </w:r>
      <w:r w:rsidRPr="009677B6">
        <w:rPr>
          <w:lang w:val="fr-CA"/>
        </w:rPr>
        <w:t xml:space="preserve">de </w:t>
      </w:r>
      <w:r w:rsidRPr="00CE41B4">
        <w:rPr>
          <w:lang w:val="fr-CA"/>
        </w:rPr>
        <w:t>mitiger</w:t>
      </w:r>
      <w:r w:rsidRPr="009677B6">
        <w:rPr>
          <w:lang w:val="fr-CA"/>
        </w:rPr>
        <w:t xml:space="preserve"> </w:t>
      </w:r>
      <w:r>
        <w:rPr>
          <w:lang w:val="fr-CA"/>
        </w:rPr>
        <w:t>son</w:t>
      </w:r>
      <w:r w:rsidRPr="009677B6">
        <w:rPr>
          <w:lang w:val="fr-CA"/>
        </w:rPr>
        <w:t xml:space="preserve"> préjudice; </w:t>
      </w:r>
      <w:r>
        <w:rPr>
          <w:lang w:val="fr-CA"/>
        </w:rPr>
        <w:t xml:space="preserve">on </w:t>
      </w:r>
      <w:r w:rsidRPr="009677B6">
        <w:rPr>
          <w:lang w:val="fr-CA"/>
        </w:rPr>
        <w:t>reconna</w:t>
      </w:r>
      <w:r>
        <w:rPr>
          <w:lang w:val="fr-CA"/>
        </w:rPr>
        <w:t>î</w:t>
      </w:r>
      <w:r w:rsidRPr="009677B6">
        <w:rPr>
          <w:lang w:val="fr-CA"/>
        </w:rPr>
        <w:t>t plutôt qu</w:t>
      </w:r>
      <w:r>
        <w:rPr>
          <w:lang w:val="fr-CA"/>
        </w:rPr>
        <w:t>’</w:t>
      </w:r>
      <w:r w:rsidRPr="009677B6">
        <w:rPr>
          <w:lang w:val="fr-CA"/>
        </w:rPr>
        <w:t>une telle demande d</w:t>
      </w:r>
      <w:r>
        <w:rPr>
          <w:lang w:val="fr-CA"/>
        </w:rPr>
        <w:t>’</w:t>
      </w:r>
      <w:r w:rsidRPr="009677B6">
        <w:rPr>
          <w:lang w:val="fr-CA"/>
        </w:rPr>
        <w:t xml:space="preserve">exécution intégrale </w:t>
      </w:r>
      <w:r>
        <w:rPr>
          <w:lang w:val="fr-CA"/>
        </w:rPr>
        <w:t xml:space="preserve">indique </w:t>
      </w:r>
      <w:r w:rsidRPr="009677B6">
        <w:rPr>
          <w:lang w:val="fr-CA"/>
        </w:rPr>
        <w:t>ce qu</w:t>
      </w:r>
      <w:r>
        <w:rPr>
          <w:lang w:val="fr-CA"/>
        </w:rPr>
        <w:t>’</w:t>
      </w:r>
      <w:r w:rsidRPr="009677B6">
        <w:rPr>
          <w:lang w:val="fr-CA"/>
        </w:rPr>
        <w:t xml:space="preserve">il faut entendre par </w:t>
      </w:r>
      <w:r>
        <w:rPr>
          <w:lang w:val="fr-CA"/>
        </w:rPr>
        <w:t xml:space="preserve">comportement </w:t>
      </w:r>
      <w:r w:rsidRPr="009677B6">
        <w:rPr>
          <w:lang w:val="fr-CA"/>
        </w:rPr>
        <w:t xml:space="preserve">raisonnable </w:t>
      </w:r>
      <w:r>
        <w:rPr>
          <w:lang w:val="fr-CA"/>
        </w:rPr>
        <w:t xml:space="preserve">du </w:t>
      </w:r>
      <w:r w:rsidRPr="009677B6">
        <w:rPr>
          <w:lang w:val="fr-CA"/>
        </w:rPr>
        <w:t xml:space="preserve">demandeur </w:t>
      </w:r>
      <w:r>
        <w:rPr>
          <w:lang w:val="fr-CA"/>
        </w:rPr>
        <w:t xml:space="preserve">pour </w:t>
      </w:r>
      <w:r w:rsidRPr="00CE41B4">
        <w:rPr>
          <w:lang w:val="fr-CA"/>
        </w:rPr>
        <w:t>mitiger</w:t>
      </w:r>
      <w:r w:rsidRPr="009677B6">
        <w:rPr>
          <w:lang w:val="fr-CA"/>
        </w:rPr>
        <w:t xml:space="preserve"> le préjudice</w:t>
      </w:r>
      <w:r>
        <w:rPr>
          <w:lang w:val="fr-CA"/>
        </w:rPr>
        <w:t xml:space="preserve">. </w:t>
      </w:r>
      <w:r w:rsidRPr="009677B6">
        <w:rPr>
          <w:lang w:val="fr-CA"/>
        </w:rPr>
        <w:t xml:space="preserve"> </w:t>
      </w:r>
      <w:r>
        <w:rPr>
          <w:lang w:val="fr-CA"/>
        </w:rPr>
        <w:t xml:space="preserve">Voir </w:t>
      </w:r>
      <w:r w:rsidRPr="001A616A">
        <w:rPr>
          <w:lang w:val="fr-CA"/>
        </w:rPr>
        <w:t>N</w:t>
      </w:r>
      <w:r>
        <w:rPr>
          <w:lang w:val="fr-CA"/>
        </w:rPr>
        <w:t>. </w:t>
      </w:r>
      <w:proofErr w:type="spellStart"/>
      <w:r w:rsidRPr="001A616A">
        <w:rPr>
          <w:lang w:val="fr-CA"/>
        </w:rPr>
        <w:t>Siebrasse</w:t>
      </w:r>
      <w:proofErr w:type="spellEnd"/>
      <w:r w:rsidRPr="001A616A">
        <w:rPr>
          <w:lang w:val="fr-CA"/>
        </w:rPr>
        <w:t>,</w:t>
      </w:r>
      <w:r w:rsidRPr="001A616A">
        <w:rPr>
          <w:i/>
          <w:lang w:val="fr-CA"/>
        </w:rPr>
        <w:t xml:space="preserve"> </w:t>
      </w:r>
      <w:r w:rsidRPr="001A616A">
        <w:rPr>
          <w:lang w:val="fr-CA"/>
        </w:rPr>
        <w:t xml:space="preserve">« Damages in Lieu of </w:t>
      </w:r>
      <w:proofErr w:type="spellStart"/>
      <w:r w:rsidRPr="001A616A">
        <w:rPr>
          <w:lang w:val="fr-CA"/>
        </w:rPr>
        <w:t>Specific</w:t>
      </w:r>
      <w:proofErr w:type="spellEnd"/>
      <w:r w:rsidRPr="001A616A">
        <w:rPr>
          <w:lang w:val="fr-CA"/>
        </w:rPr>
        <w:t xml:space="preserve"> Performance</w:t>
      </w:r>
      <w:r w:rsidR="00295091">
        <w:rPr>
          <w:lang w:val="fr-CA"/>
        </w:rPr>
        <w:t xml:space="preserve"> </w:t>
      </w:r>
      <w:r w:rsidRPr="001A616A">
        <w:rPr>
          <w:lang w:val="fr-CA"/>
        </w:rPr>
        <w:t xml:space="preserve">: </w:t>
      </w:r>
      <w:proofErr w:type="spellStart"/>
      <w:r w:rsidRPr="001A616A">
        <w:rPr>
          <w:i/>
          <w:lang w:val="fr-CA"/>
        </w:rPr>
        <w:t>Semelhago</w:t>
      </w:r>
      <w:proofErr w:type="spellEnd"/>
      <w:r w:rsidRPr="001A616A">
        <w:rPr>
          <w:i/>
          <w:lang w:val="fr-CA"/>
        </w:rPr>
        <w:t xml:space="preserve"> </w:t>
      </w:r>
      <w:r w:rsidR="00295091">
        <w:rPr>
          <w:i/>
          <w:lang w:val="fr-CA"/>
        </w:rPr>
        <w:t>v</w:t>
      </w:r>
      <w:r w:rsidRPr="001A616A">
        <w:rPr>
          <w:i/>
          <w:lang w:val="fr-CA"/>
        </w:rPr>
        <w:t xml:space="preserve">. </w:t>
      </w:r>
      <w:proofErr w:type="spellStart"/>
      <w:r w:rsidRPr="001A616A">
        <w:rPr>
          <w:i/>
          <w:lang w:val="fr-CA"/>
        </w:rPr>
        <w:t>Paramadevan</w:t>
      </w:r>
      <w:proofErr w:type="spellEnd"/>
      <w:r>
        <w:rPr>
          <w:lang w:val="fr-CA"/>
        </w:rPr>
        <w:t> »</w:t>
      </w:r>
      <w:r w:rsidRPr="001A616A">
        <w:rPr>
          <w:lang w:val="fr-CA"/>
        </w:rPr>
        <w:t xml:space="preserve"> (199</w:t>
      </w:r>
      <w:r>
        <w:rPr>
          <w:lang w:val="fr-CA"/>
        </w:rPr>
        <w:t>7</w:t>
      </w:r>
      <w:r w:rsidRPr="001A616A">
        <w:rPr>
          <w:lang w:val="fr-CA"/>
        </w:rPr>
        <w:t>), 76</w:t>
      </w:r>
      <w:r w:rsidRPr="001A616A">
        <w:rPr>
          <w:i/>
          <w:lang w:val="fr-CA"/>
        </w:rPr>
        <w:t xml:space="preserve"> R. du B. </w:t>
      </w:r>
      <w:proofErr w:type="spellStart"/>
      <w:r w:rsidRPr="001A616A">
        <w:rPr>
          <w:i/>
          <w:lang w:val="fr-CA"/>
        </w:rPr>
        <w:t>can</w:t>
      </w:r>
      <w:proofErr w:type="spellEnd"/>
      <w:r w:rsidRPr="001A616A">
        <w:rPr>
          <w:i/>
          <w:lang w:val="fr-CA"/>
        </w:rPr>
        <w:t xml:space="preserve">. </w:t>
      </w:r>
      <w:r w:rsidRPr="001A616A">
        <w:rPr>
          <w:lang w:val="fr-CA"/>
        </w:rPr>
        <w:t>551.</w:t>
      </w:r>
    </w:p>
    <w:p w:rsidR="0071502D" w:rsidRPr="009677B6" w:rsidRDefault="0071502D" w:rsidP="0071502D">
      <w:pPr>
        <w:pStyle w:val="ParaNoNdepar-AltN"/>
        <w:rPr>
          <w:lang w:val="fr-CA"/>
        </w:rPr>
      </w:pPr>
      <w:r w:rsidRPr="009677B6">
        <w:rPr>
          <w:lang w:val="fr-CA"/>
        </w:rPr>
        <w:t>L</w:t>
      </w:r>
      <w:r>
        <w:rPr>
          <w:lang w:val="fr-CA"/>
        </w:rPr>
        <w:t>’</w:t>
      </w:r>
      <w:r w:rsidRPr="009677B6">
        <w:rPr>
          <w:lang w:val="fr-CA"/>
        </w:rPr>
        <w:t xml:space="preserve">arrêt </w:t>
      </w:r>
      <w:proofErr w:type="spellStart"/>
      <w:r w:rsidRPr="009677B6">
        <w:rPr>
          <w:i/>
          <w:lang w:val="fr-CA"/>
        </w:rPr>
        <w:t>Asamera</w:t>
      </w:r>
      <w:proofErr w:type="spellEnd"/>
      <w:r w:rsidRPr="009677B6" w:rsidDel="00A86517">
        <w:rPr>
          <w:lang w:val="fr-CA"/>
        </w:rPr>
        <w:t xml:space="preserve"> </w:t>
      </w:r>
      <w:r w:rsidRPr="009677B6">
        <w:rPr>
          <w:lang w:val="fr-CA"/>
        </w:rPr>
        <w:t>énonce les principes généraux régissant l</w:t>
      </w:r>
      <w:r>
        <w:rPr>
          <w:lang w:val="fr-CA"/>
        </w:rPr>
        <w:t xml:space="preserve">a </w:t>
      </w:r>
      <w:r w:rsidRPr="00CE41B4">
        <w:rPr>
          <w:lang w:val="fr-CA"/>
        </w:rPr>
        <w:t>mitigation</w:t>
      </w:r>
      <w:r w:rsidRPr="009677B6">
        <w:rPr>
          <w:lang w:val="fr-CA"/>
        </w:rPr>
        <w:t xml:space="preserve"> d</w:t>
      </w:r>
      <w:r>
        <w:rPr>
          <w:lang w:val="fr-CA"/>
        </w:rPr>
        <w:t>u</w:t>
      </w:r>
      <w:r w:rsidRPr="009677B6">
        <w:rPr>
          <w:lang w:val="fr-CA"/>
        </w:rPr>
        <w:t xml:space="preserve"> préjudice</w:t>
      </w:r>
      <w:r>
        <w:rPr>
          <w:lang w:val="fr-CA"/>
        </w:rPr>
        <w:t> :</w:t>
      </w:r>
      <w:r w:rsidRPr="009677B6">
        <w:rPr>
          <w:lang w:val="fr-CA"/>
        </w:rPr>
        <w:t xml:space="preserve"> l</w:t>
      </w:r>
      <w:r>
        <w:rPr>
          <w:lang w:val="fr-CA"/>
        </w:rPr>
        <w:t>’</w:t>
      </w:r>
      <w:r w:rsidRPr="009677B6">
        <w:rPr>
          <w:lang w:val="fr-CA"/>
        </w:rPr>
        <w:t xml:space="preserve">inaction du demandeur </w:t>
      </w:r>
      <w:proofErr w:type="spellStart"/>
      <w:r w:rsidRPr="009677B6">
        <w:rPr>
          <w:lang w:val="fr-CA"/>
        </w:rPr>
        <w:t>était</w:t>
      </w:r>
      <w:r>
        <w:rPr>
          <w:lang w:val="fr-CA"/>
        </w:rPr>
        <w:noBreakHyphen/>
      </w:r>
      <w:r w:rsidRPr="009677B6">
        <w:rPr>
          <w:lang w:val="fr-CA"/>
        </w:rPr>
        <w:t>elle</w:t>
      </w:r>
      <w:proofErr w:type="spellEnd"/>
      <w:r w:rsidRPr="009677B6">
        <w:rPr>
          <w:lang w:val="fr-CA"/>
        </w:rPr>
        <w:t xml:space="preserve"> raisonnable dans les circonstances</w:t>
      </w:r>
      <w:r>
        <w:rPr>
          <w:lang w:val="fr-CA"/>
        </w:rPr>
        <w:t>,</w:t>
      </w:r>
      <w:r w:rsidRPr="009677B6">
        <w:rPr>
          <w:lang w:val="fr-CA"/>
        </w:rPr>
        <w:t xml:space="preserve"> et le demandeur </w:t>
      </w:r>
      <w:proofErr w:type="spellStart"/>
      <w:r w:rsidRPr="009677B6">
        <w:rPr>
          <w:lang w:val="fr-CA"/>
        </w:rPr>
        <w:t>aurait</w:t>
      </w:r>
      <w:r>
        <w:rPr>
          <w:lang w:val="fr-CA"/>
        </w:rPr>
        <w:noBreakHyphen/>
      </w:r>
      <w:r w:rsidRPr="009677B6">
        <w:rPr>
          <w:lang w:val="fr-CA"/>
        </w:rPr>
        <w:t>il</w:t>
      </w:r>
      <w:proofErr w:type="spellEnd"/>
      <w:r w:rsidRPr="009677B6">
        <w:rPr>
          <w:lang w:val="fr-CA"/>
        </w:rPr>
        <w:t xml:space="preserve"> pu </w:t>
      </w:r>
      <w:r w:rsidRPr="00CE41B4">
        <w:rPr>
          <w:lang w:val="fr-CA"/>
        </w:rPr>
        <w:t>mitiger</w:t>
      </w:r>
      <w:r w:rsidRPr="009677B6">
        <w:rPr>
          <w:lang w:val="fr-CA"/>
        </w:rPr>
        <w:t xml:space="preserve"> le préjudic</w:t>
      </w:r>
      <w:r>
        <w:rPr>
          <w:lang w:val="fr-CA"/>
        </w:rPr>
        <w:t>e s’il avait choisi de le faire?</w:t>
      </w:r>
      <w:r w:rsidRPr="009677B6">
        <w:rPr>
          <w:lang w:val="fr-CA"/>
        </w:rPr>
        <w:t xml:space="preserve"> </w:t>
      </w:r>
      <w:r>
        <w:rPr>
          <w:lang w:val="fr-CA"/>
        </w:rPr>
        <w:t xml:space="preserve"> </w:t>
      </w:r>
      <w:r w:rsidRPr="009677B6">
        <w:rPr>
          <w:lang w:val="fr-CA"/>
        </w:rPr>
        <w:t>Ces principes s</w:t>
      </w:r>
      <w:r>
        <w:rPr>
          <w:lang w:val="fr-CA"/>
        </w:rPr>
        <w:t>’</w:t>
      </w:r>
      <w:r w:rsidRPr="009677B6">
        <w:rPr>
          <w:lang w:val="fr-CA"/>
        </w:rPr>
        <w:t>appliquent au demandeur qui cherche à obtenir une exécution intégrale</w:t>
      </w:r>
      <w:r>
        <w:rPr>
          <w:lang w:val="fr-CA"/>
        </w:rPr>
        <w:t xml:space="preserve">.  </w:t>
      </w:r>
      <w:r w:rsidRPr="009677B6">
        <w:rPr>
          <w:lang w:val="fr-CA"/>
        </w:rPr>
        <w:t xml:space="preserve">Si le demandeur a </w:t>
      </w:r>
      <w:r>
        <w:rPr>
          <w:lang w:val="fr-CA"/>
        </w:rPr>
        <w:t xml:space="preserve">des « motifs [. . .] </w:t>
      </w:r>
      <w:r w:rsidRPr="0069051C">
        <w:rPr>
          <w:lang w:val="fr-CA"/>
        </w:rPr>
        <w:t>importants</w:t>
      </w:r>
      <w:r>
        <w:rPr>
          <w:lang w:val="fr-CA"/>
        </w:rPr>
        <w:t xml:space="preserve"> » </w:t>
      </w:r>
      <w:r w:rsidRPr="004636E8">
        <w:rPr>
          <w:lang w:val="fr-CA"/>
        </w:rPr>
        <w:t>ou</w:t>
      </w:r>
      <w:r w:rsidRPr="009677B6">
        <w:rPr>
          <w:lang w:val="fr-CA"/>
        </w:rPr>
        <w:t xml:space="preserve"> un </w:t>
      </w:r>
      <w:r>
        <w:rPr>
          <w:lang w:val="fr-CA"/>
        </w:rPr>
        <w:t>« </w:t>
      </w:r>
      <w:r w:rsidRPr="009677B6">
        <w:rPr>
          <w:lang w:val="fr-CA"/>
        </w:rPr>
        <w:t xml:space="preserve">intérêt </w:t>
      </w:r>
      <w:r w:rsidRPr="004636E8">
        <w:rPr>
          <w:lang w:val="fr-CA"/>
        </w:rPr>
        <w:t>important</w:t>
      </w:r>
      <w:r>
        <w:rPr>
          <w:i/>
          <w:lang w:val="fr-CA"/>
        </w:rPr>
        <w:t xml:space="preserve"> </w:t>
      </w:r>
      <w:r>
        <w:rPr>
          <w:lang w:val="fr-CA"/>
        </w:rPr>
        <w:t>et légitime</w:t>
      </w:r>
      <w:r w:rsidRPr="009677B6">
        <w:rPr>
          <w:lang w:val="fr-CA"/>
        </w:rPr>
        <w:t xml:space="preserve"> » </w:t>
      </w:r>
      <w:r>
        <w:rPr>
          <w:lang w:val="fr-CA"/>
        </w:rPr>
        <w:t xml:space="preserve">qui lui permet de réclamer </w:t>
      </w:r>
      <w:r w:rsidRPr="009677B6">
        <w:rPr>
          <w:lang w:val="fr-CA"/>
        </w:rPr>
        <w:t>l</w:t>
      </w:r>
      <w:r>
        <w:rPr>
          <w:lang w:val="fr-CA"/>
        </w:rPr>
        <w:t>’</w:t>
      </w:r>
      <w:r w:rsidRPr="009677B6">
        <w:rPr>
          <w:lang w:val="fr-CA"/>
        </w:rPr>
        <w:t xml:space="preserve">exécution intégrale, son refus </w:t>
      </w:r>
      <w:r>
        <w:rPr>
          <w:lang w:val="fr-CA"/>
        </w:rPr>
        <w:t xml:space="preserve">d’acheter un autre bien </w:t>
      </w:r>
      <w:r w:rsidRPr="009677B6">
        <w:rPr>
          <w:lang w:val="fr-CA"/>
        </w:rPr>
        <w:t>peut être raisonnable</w:t>
      </w:r>
      <w:r>
        <w:rPr>
          <w:lang w:val="fr-CA"/>
        </w:rPr>
        <w:t xml:space="preserve"> compte tenu des circonstances de l’espèce</w:t>
      </w:r>
      <w:r w:rsidRPr="009677B6">
        <w:rPr>
          <w:lang w:val="fr-CA"/>
        </w:rPr>
        <w:t>.</w:t>
      </w:r>
    </w:p>
    <w:p w:rsidR="0071502D" w:rsidRPr="009677B6" w:rsidRDefault="0071502D" w:rsidP="0071502D">
      <w:pPr>
        <w:pStyle w:val="ParaNoNdepar-AltN"/>
        <w:rPr>
          <w:lang w:val="fr-CA"/>
        </w:rPr>
      </w:pPr>
      <w:r w:rsidRPr="009677B6">
        <w:rPr>
          <w:lang w:val="fr-CA"/>
        </w:rPr>
        <w:t>Les énoncés que l</w:t>
      </w:r>
      <w:r>
        <w:rPr>
          <w:lang w:val="fr-CA"/>
        </w:rPr>
        <w:t>’</w:t>
      </w:r>
      <w:r w:rsidRPr="009677B6">
        <w:rPr>
          <w:lang w:val="fr-CA"/>
        </w:rPr>
        <w:t>on trouve dans l</w:t>
      </w:r>
      <w:r>
        <w:rPr>
          <w:lang w:val="fr-CA"/>
        </w:rPr>
        <w:t>’</w:t>
      </w:r>
      <w:r w:rsidRPr="009677B6">
        <w:rPr>
          <w:lang w:val="fr-CA"/>
        </w:rPr>
        <w:t xml:space="preserve">arrêt </w:t>
      </w:r>
      <w:proofErr w:type="spellStart"/>
      <w:r w:rsidRPr="009677B6">
        <w:rPr>
          <w:i/>
          <w:lang w:val="fr-CA"/>
        </w:rPr>
        <w:t>Asamera</w:t>
      </w:r>
      <w:proofErr w:type="spellEnd"/>
      <w:r w:rsidRPr="009677B6" w:rsidDel="00A86517">
        <w:rPr>
          <w:i/>
          <w:lang w:val="fr-CA"/>
        </w:rPr>
        <w:t xml:space="preserve"> </w:t>
      </w:r>
      <w:r w:rsidRPr="009677B6">
        <w:rPr>
          <w:lang w:val="fr-CA"/>
        </w:rPr>
        <w:t>au sujet de l</w:t>
      </w:r>
      <w:r>
        <w:rPr>
          <w:lang w:val="fr-CA"/>
        </w:rPr>
        <w:t>’</w:t>
      </w:r>
      <w:r w:rsidRPr="009677B6">
        <w:rPr>
          <w:lang w:val="fr-CA"/>
        </w:rPr>
        <w:t>exécution intégrale et de ce qu</w:t>
      </w:r>
      <w:r>
        <w:rPr>
          <w:lang w:val="fr-CA"/>
        </w:rPr>
        <w:t>’</w:t>
      </w:r>
      <w:r w:rsidRPr="009677B6">
        <w:rPr>
          <w:lang w:val="fr-CA"/>
        </w:rPr>
        <w:t xml:space="preserve">il faut entendre par </w:t>
      </w:r>
      <w:r>
        <w:rPr>
          <w:lang w:val="fr-CA"/>
        </w:rPr>
        <w:t xml:space="preserve">comportement </w:t>
      </w:r>
      <w:r w:rsidRPr="009677B6">
        <w:rPr>
          <w:lang w:val="fr-CA"/>
        </w:rPr>
        <w:t>raisonnable</w:t>
      </w:r>
      <w:r>
        <w:rPr>
          <w:lang w:val="fr-CA"/>
        </w:rPr>
        <w:t xml:space="preserve"> </w:t>
      </w:r>
      <w:r w:rsidRPr="009677B6">
        <w:rPr>
          <w:lang w:val="fr-CA"/>
        </w:rPr>
        <w:t xml:space="preserve">doivent être </w:t>
      </w:r>
      <w:r w:rsidRPr="009677B6">
        <w:rPr>
          <w:lang w:val="fr-CA"/>
        </w:rPr>
        <w:lastRenderedPageBreak/>
        <w:t>interprétés en fonction de l</w:t>
      </w:r>
      <w:r>
        <w:rPr>
          <w:lang w:val="fr-CA"/>
        </w:rPr>
        <w:t>’</w:t>
      </w:r>
      <w:r w:rsidRPr="009677B6">
        <w:rPr>
          <w:lang w:val="fr-CA"/>
        </w:rPr>
        <w:t xml:space="preserve">arrêt </w:t>
      </w:r>
      <w:proofErr w:type="spellStart"/>
      <w:r w:rsidRPr="009677B6">
        <w:rPr>
          <w:i/>
          <w:lang w:val="fr-CA"/>
        </w:rPr>
        <w:t>Semelhago</w:t>
      </w:r>
      <w:proofErr w:type="spellEnd"/>
      <w:r w:rsidRPr="009677B6">
        <w:rPr>
          <w:i/>
          <w:lang w:val="fr-CA"/>
        </w:rPr>
        <w:t xml:space="preserve"> c. </w:t>
      </w:r>
      <w:proofErr w:type="spellStart"/>
      <w:r w:rsidRPr="009677B6">
        <w:rPr>
          <w:i/>
          <w:lang w:val="fr-CA"/>
        </w:rPr>
        <w:t>Paramadevan</w:t>
      </w:r>
      <w:proofErr w:type="spellEnd"/>
      <w:r w:rsidRPr="009677B6">
        <w:rPr>
          <w:lang w:val="fr-CA"/>
        </w:rPr>
        <w:t>, [1996] 2 R.C.S. 415</w:t>
      </w:r>
      <w:r>
        <w:rPr>
          <w:lang w:val="fr-CA"/>
        </w:rPr>
        <w:t xml:space="preserve">.  </w:t>
      </w:r>
      <w:r w:rsidRPr="009677B6">
        <w:rPr>
          <w:lang w:val="fr-CA"/>
        </w:rPr>
        <w:t xml:space="preserve">Dans cet arrêt, la Cour a reconnu que </w:t>
      </w:r>
      <w:r w:rsidRPr="009677B6">
        <w:rPr>
          <w:rFonts w:cs="Times New Roman"/>
          <w:szCs w:val="24"/>
          <w:lang w:val="fr-CA"/>
        </w:rPr>
        <w:t>« [m]</w:t>
      </w:r>
      <w:proofErr w:type="spellStart"/>
      <w:r w:rsidRPr="009677B6">
        <w:rPr>
          <w:rStyle w:val="highlight"/>
          <w:rFonts w:cs="Times New Roman"/>
          <w:szCs w:val="24"/>
          <w:lang w:val="fr-CA"/>
        </w:rPr>
        <w:t>ême</w:t>
      </w:r>
      <w:proofErr w:type="spellEnd"/>
      <w:r w:rsidRPr="009677B6">
        <w:rPr>
          <w:rStyle w:val="highlight"/>
          <w:rFonts w:cs="Times New Roman"/>
          <w:szCs w:val="24"/>
          <w:lang w:val="fr-CA"/>
        </w:rPr>
        <w:t xml:space="preserve"> si, à une certaine époque, la </w:t>
      </w:r>
      <w:proofErr w:type="spellStart"/>
      <w:r w:rsidRPr="009677B6">
        <w:rPr>
          <w:rStyle w:val="highlight"/>
          <w:rFonts w:cs="Times New Roman"/>
          <w:szCs w:val="24"/>
          <w:lang w:val="fr-CA"/>
        </w:rPr>
        <w:t>common</w:t>
      </w:r>
      <w:proofErr w:type="spellEnd"/>
      <w:r w:rsidRPr="009677B6">
        <w:rPr>
          <w:rStyle w:val="highlight"/>
          <w:rFonts w:cs="Times New Roman"/>
          <w:szCs w:val="24"/>
          <w:lang w:val="fr-CA"/>
        </w:rPr>
        <w:t xml:space="preserve"> </w:t>
      </w:r>
      <w:proofErr w:type="spellStart"/>
      <w:r w:rsidRPr="009677B6">
        <w:rPr>
          <w:rStyle w:val="highlight"/>
          <w:rFonts w:cs="Times New Roman"/>
          <w:szCs w:val="24"/>
          <w:lang w:val="fr-CA"/>
        </w:rPr>
        <w:t>law</w:t>
      </w:r>
      <w:proofErr w:type="spellEnd"/>
      <w:r w:rsidRPr="009677B6">
        <w:rPr>
          <w:rStyle w:val="highlight"/>
          <w:rFonts w:cs="Times New Roman"/>
          <w:szCs w:val="24"/>
          <w:lang w:val="fr-CA"/>
        </w:rPr>
        <w:t xml:space="preserve"> considérait chaque bien</w:t>
      </w:r>
      <w:r w:rsidRPr="009677B6">
        <w:rPr>
          <w:rFonts w:cs="Times New Roman"/>
          <w:szCs w:val="24"/>
          <w:lang w:val="fr-CA"/>
        </w:rPr>
        <w:t xml:space="preserve"> immeuble comme étant unique, ce n</w:t>
      </w:r>
      <w:r>
        <w:rPr>
          <w:rFonts w:cs="Times New Roman"/>
          <w:szCs w:val="24"/>
          <w:lang w:val="fr-CA"/>
        </w:rPr>
        <w:t>’</w:t>
      </w:r>
      <w:r w:rsidRPr="009677B6">
        <w:rPr>
          <w:rFonts w:cs="Times New Roman"/>
          <w:szCs w:val="24"/>
          <w:lang w:val="fr-CA"/>
        </w:rPr>
        <w:t>est plus le cas avec l</w:t>
      </w:r>
      <w:r>
        <w:rPr>
          <w:rFonts w:cs="Times New Roman"/>
          <w:szCs w:val="24"/>
          <w:lang w:val="fr-CA"/>
        </w:rPr>
        <w:t>’</w:t>
      </w:r>
      <w:r w:rsidRPr="009677B6">
        <w:rPr>
          <w:rFonts w:cs="Times New Roman"/>
          <w:szCs w:val="24"/>
          <w:lang w:val="fr-CA"/>
        </w:rPr>
        <w:t>évolution du développement immobilier moderne » (</w:t>
      </w:r>
      <w:r>
        <w:rPr>
          <w:rFonts w:cs="Times New Roman"/>
          <w:szCs w:val="24"/>
          <w:lang w:val="fr-CA"/>
        </w:rPr>
        <w:t>par. </w:t>
      </w:r>
      <w:r w:rsidRPr="009677B6">
        <w:rPr>
          <w:rFonts w:cs="Times New Roman"/>
          <w:szCs w:val="24"/>
          <w:lang w:val="fr-CA"/>
        </w:rPr>
        <w:t>20)</w:t>
      </w:r>
      <w:r>
        <w:rPr>
          <w:rFonts w:cs="Times New Roman"/>
          <w:szCs w:val="24"/>
          <w:lang w:val="fr-CA"/>
        </w:rPr>
        <w:t xml:space="preserve">.  </w:t>
      </w:r>
      <w:r w:rsidRPr="009677B6">
        <w:rPr>
          <w:rFonts w:cs="Times New Roman"/>
          <w:szCs w:val="24"/>
          <w:lang w:val="fr-CA"/>
        </w:rPr>
        <w:t>La Cour a par conséquent conclu qu</w:t>
      </w:r>
      <w:r>
        <w:rPr>
          <w:rFonts w:cs="Times New Roman"/>
          <w:szCs w:val="24"/>
          <w:lang w:val="fr-CA"/>
        </w:rPr>
        <w:t>’</w:t>
      </w:r>
      <w:r w:rsidRPr="009677B6">
        <w:rPr>
          <w:rFonts w:cs="Times New Roman"/>
          <w:szCs w:val="24"/>
          <w:lang w:val="fr-CA"/>
        </w:rPr>
        <w:t>« </w:t>
      </w:r>
      <w:r>
        <w:rPr>
          <w:rFonts w:cs="Times New Roman"/>
          <w:szCs w:val="24"/>
          <w:lang w:val="fr-CA"/>
        </w:rPr>
        <w:t>[</w:t>
      </w:r>
      <w:r w:rsidRPr="009677B6">
        <w:rPr>
          <w:rFonts w:cs="Times New Roman"/>
          <w:szCs w:val="24"/>
          <w:lang w:val="fr-CA"/>
        </w:rPr>
        <w:t>o</w:t>
      </w:r>
      <w:r>
        <w:rPr>
          <w:rFonts w:cs="Times New Roman"/>
          <w:szCs w:val="24"/>
          <w:lang w:val="fr-CA"/>
        </w:rPr>
        <w:t>]</w:t>
      </w:r>
      <w:r w:rsidRPr="009677B6">
        <w:rPr>
          <w:rFonts w:cs="Times New Roman"/>
          <w:szCs w:val="24"/>
          <w:lang w:val="fr-CA"/>
        </w:rPr>
        <w:t xml:space="preserve">n ne saurait présumer que des </w:t>
      </w:r>
      <w:proofErr w:type="spellStart"/>
      <w:r w:rsidRPr="009677B6">
        <w:rPr>
          <w:rFonts w:cs="Times New Roman"/>
          <w:szCs w:val="24"/>
          <w:lang w:val="fr-CA"/>
        </w:rPr>
        <w:t>dommages</w:t>
      </w:r>
      <w:r>
        <w:rPr>
          <w:rFonts w:cs="Times New Roman"/>
          <w:szCs w:val="24"/>
          <w:lang w:val="fr-CA"/>
        </w:rPr>
        <w:noBreakHyphen/>
      </w:r>
      <w:r w:rsidRPr="009677B6">
        <w:rPr>
          <w:rFonts w:cs="Times New Roman"/>
          <w:szCs w:val="24"/>
          <w:lang w:val="fr-CA"/>
        </w:rPr>
        <w:t>intérêts</w:t>
      </w:r>
      <w:proofErr w:type="spellEnd"/>
      <w:r w:rsidRPr="009677B6">
        <w:rPr>
          <w:rFonts w:cs="Times New Roman"/>
          <w:szCs w:val="24"/>
          <w:lang w:val="fr-CA"/>
        </w:rPr>
        <w:t xml:space="preserve"> pour la rupture du contrat de vente d</w:t>
      </w:r>
      <w:r>
        <w:rPr>
          <w:rFonts w:cs="Times New Roman"/>
          <w:szCs w:val="24"/>
          <w:lang w:val="fr-CA"/>
        </w:rPr>
        <w:t>’</w:t>
      </w:r>
      <w:r w:rsidRPr="009677B6">
        <w:rPr>
          <w:rFonts w:cs="Times New Roman"/>
          <w:szCs w:val="24"/>
          <w:lang w:val="fr-CA"/>
        </w:rPr>
        <w:t>un immeuble constitueront une réparation inadéquate dans tous les cas » (</w:t>
      </w:r>
      <w:r>
        <w:rPr>
          <w:rFonts w:cs="Times New Roman"/>
          <w:szCs w:val="24"/>
          <w:lang w:val="fr-CA"/>
        </w:rPr>
        <w:t>par. </w:t>
      </w:r>
      <w:r w:rsidRPr="009677B6">
        <w:rPr>
          <w:rFonts w:cs="Times New Roman"/>
          <w:szCs w:val="24"/>
          <w:lang w:val="fr-CA"/>
        </w:rPr>
        <w:t>21)</w:t>
      </w:r>
      <w:r>
        <w:rPr>
          <w:rFonts w:cs="Times New Roman"/>
          <w:szCs w:val="24"/>
          <w:lang w:val="fr-CA"/>
        </w:rPr>
        <w:t xml:space="preserve">.  </w:t>
      </w:r>
      <w:r w:rsidRPr="009677B6">
        <w:rPr>
          <w:rFonts w:cs="Times New Roman"/>
          <w:szCs w:val="24"/>
          <w:lang w:val="fr-CA"/>
        </w:rPr>
        <w:t>Le demandeur ne pourra obtenir l</w:t>
      </w:r>
      <w:r>
        <w:rPr>
          <w:rFonts w:cs="Times New Roman"/>
          <w:szCs w:val="24"/>
          <w:lang w:val="fr-CA"/>
        </w:rPr>
        <w:t>’exécution intégrale que si</w:t>
      </w:r>
      <w:r w:rsidRPr="009677B6">
        <w:rPr>
          <w:rFonts w:cs="Times New Roman"/>
          <w:szCs w:val="24"/>
          <w:lang w:val="fr-CA"/>
        </w:rPr>
        <w:t xml:space="preserve"> l</w:t>
      </w:r>
      <w:r>
        <w:rPr>
          <w:rFonts w:cs="Times New Roman"/>
          <w:szCs w:val="24"/>
          <w:lang w:val="fr-CA"/>
        </w:rPr>
        <w:t>’</w:t>
      </w:r>
      <w:r w:rsidRPr="009677B6">
        <w:rPr>
          <w:rFonts w:cs="Times New Roman"/>
          <w:szCs w:val="24"/>
          <w:lang w:val="fr-CA"/>
        </w:rPr>
        <w:t>octroi d</w:t>
      </w:r>
      <w:r>
        <w:rPr>
          <w:rFonts w:cs="Times New Roman"/>
          <w:szCs w:val="24"/>
          <w:lang w:val="fr-CA"/>
        </w:rPr>
        <w:t>’</w:t>
      </w:r>
      <w:r w:rsidRPr="009677B6">
        <w:rPr>
          <w:rFonts w:cs="Times New Roman"/>
          <w:szCs w:val="24"/>
          <w:lang w:val="fr-CA"/>
        </w:rPr>
        <w:t xml:space="preserve">une </w:t>
      </w:r>
      <w:r w:rsidRPr="00A64C85">
        <w:rPr>
          <w:rFonts w:cs="Times New Roman"/>
          <w:szCs w:val="24"/>
          <w:lang w:val="fr-CA"/>
        </w:rPr>
        <w:t>somme d</w:t>
      </w:r>
      <w:r>
        <w:rPr>
          <w:rFonts w:cs="Times New Roman"/>
          <w:szCs w:val="24"/>
          <w:lang w:val="fr-CA"/>
        </w:rPr>
        <w:t>’</w:t>
      </w:r>
      <w:r w:rsidRPr="00A64C85">
        <w:rPr>
          <w:rFonts w:cs="Times New Roman"/>
          <w:szCs w:val="24"/>
          <w:lang w:val="fr-CA"/>
        </w:rPr>
        <w:t>argent</w:t>
      </w:r>
      <w:r>
        <w:rPr>
          <w:rFonts w:cs="Times New Roman"/>
          <w:szCs w:val="24"/>
          <w:lang w:val="fr-CA"/>
        </w:rPr>
        <w:t xml:space="preserve"> ne pourrait l’</w:t>
      </w:r>
      <w:r w:rsidRPr="009677B6">
        <w:rPr>
          <w:rFonts w:cs="Times New Roman"/>
          <w:szCs w:val="24"/>
          <w:lang w:val="fr-CA"/>
        </w:rPr>
        <w:t xml:space="preserve">indemniser complètement de la perte en raison de la « valeur particulière » que le terrain en question peut avoir </w:t>
      </w:r>
      <w:r w:rsidRPr="00A64C85">
        <w:rPr>
          <w:rFonts w:cs="Times New Roman"/>
          <w:szCs w:val="24"/>
          <w:lang w:val="fr-CA"/>
        </w:rPr>
        <w:t>pour lui</w:t>
      </w:r>
      <w:r w:rsidRPr="009677B6">
        <w:rPr>
          <w:rFonts w:cs="Times New Roman"/>
          <w:szCs w:val="24"/>
          <w:lang w:val="fr-CA"/>
        </w:rPr>
        <w:t xml:space="preserve"> </w:t>
      </w:r>
      <w:r w:rsidRPr="009677B6">
        <w:rPr>
          <w:lang w:val="fr-CA"/>
        </w:rPr>
        <w:t>(</w:t>
      </w:r>
      <w:r>
        <w:rPr>
          <w:lang w:val="fr-CA"/>
        </w:rPr>
        <w:t>par. </w:t>
      </w:r>
      <w:r w:rsidRPr="009677B6">
        <w:rPr>
          <w:lang w:val="fr-CA"/>
        </w:rPr>
        <w:t>21, citant l</w:t>
      </w:r>
      <w:r>
        <w:rPr>
          <w:lang w:val="fr-CA"/>
        </w:rPr>
        <w:t>’</w:t>
      </w:r>
      <w:r w:rsidRPr="009677B6">
        <w:rPr>
          <w:lang w:val="fr-CA"/>
        </w:rPr>
        <w:t xml:space="preserve">arrêt </w:t>
      </w:r>
      <w:proofErr w:type="spellStart"/>
      <w:r w:rsidRPr="009677B6">
        <w:rPr>
          <w:i/>
          <w:lang w:val="fr-CA"/>
        </w:rPr>
        <w:t>Adderl</w:t>
      </w:r>
      <w:r>
        <w:rPr>
          <w:i/>
          <w:lang w:val="fr-CA"/>
        </w:rPr>
        <w:t>e</w:t>
      </w:r>
      <w:r w:rsidRPr="009677B6">
        <w:rPr>
          <w:i/>
          <w:lang w:val="fr-CA"/>
        </w:rPr>
        <w:t>y</w:t>
      </w:r>
      <w:proofErr w:type="spellEnd"/>
      <w:r w:rsidRPr="009677B6">
        <w:rPr>
          <w:i/>
          <w:lang w:val="fr-CA"/>
        </w:rPr>
        <w:t xml:space="preserve"> c. </w:t>
      </w:r>
      <w:r w:rsidRPr="009677B6">
        <w:rPr>
          <w:rFonts w:cs="Times New Roman"/>
          <w:i/>
          <w:szCs w:val="24"/>
          <w:lang w:val="fr-CA"/>
        </w:rPr>
        <w:t xml:space="preserve">Dixon </w:t>
      </w:r>
      <w:r w:rsidRPr="009677B6">
        <w:rPr>
          <w:rFonts w:cs="Times New Roman"/>
          <w:szCs w:val="24"/>
          <w:lang w:val="fr-CA"/>
        </w:rPr>
        <w:t>(1824), 1 Sim. &amp; St. 607, 57 E.R. 239</w:t>
      </w:r>
      <w:r>
        <w:rPr>
          <w:rFonts w:cs="Times New Roman"/>
          <w:szCs w:val="24"/>
          <w:lang w:val="fr-CA"/>
        </w:rPr>
        <w:t>, p. 240</w:t>
      </w:r>
      <w:r w:rsidRPr="009677B6">
        <w:rPr>
          <w:lang w:val="fr-CA"/>
        </w:rPr>
        <w:t>)</w:t>
      </w:r>
      <w:r>
        <w:rPr>
          <w:lang w:val="fr-CA"/>
        </w:rPr>
        <w:t>.</w:t>
      </w:r>
    </w:p>
    <w:p w:rsidR="0071502D" w:rsidRPr="009677B6" w:rsidRDefault="0071502D" w:rsidP="0071502D">
      <w:pPr>
        <w:pStyle w:val="ParaNoNdepar-AltN"/>
        <w:rPr>
          <w:lang w:val="fr-CA"/>
        </w:rPr>
      </w:pPr>
      <w:r w:rsidRPr="009677B6">
        <w:rPr>
          <w:lang w:val="fr-CA"/>
        </w:rPr>
        <w:t>La question essentielle est donc de savoir si l</w:t>
      </w:r>
      <w:r>
        <w:rPr>
          <w:lang w:val="fr-CA"/>
        </w:rPr>
        <w:t>’</w:t>
      </w:r>
      <w:r w:rsidRPr="009677B6">
        <w:rPr>
          <w:lang w:val="fr-CA"/>
        </w:rPr>
        <w:t xml:space="preserve">inaction de </w:t>
      </w:r>
      <w:proofErr w:type="spellStart"/>
      <w:r w:rsidRPr="009677B6">
        <w:rPr>
          <w:lang w:val="fr-CA"/>
        </w:rPr>
        <w:t>Southcott</w:t>
      </w:r>
      <w:proofErr w:type="spellEnd"/>
      <w:r w:rsidRPr="009677B6">
        <w:rPr>
          <w:lang w:val="fr-CA"/>
        </w:rPr>
        <w:t xml:space="preserve"> était raisonnable</w:t>
      </w:r>
      <w:r>
        <w:rPr>
          <w:lang w:val="fr-CA"/>
        </w:rPr>
        <w:t xml:space="preserve">.  </w:t>
      </w:r>
      <w:proofErr w:type="spellStart"/>
      <w:r w:rsidRPr="009677B6">
        <w:rPr>
          <w:lang w:val="fr-CA"/>
        </w:rPr>
        <w:t>Southcott</w:t>
      </w:r>
      <w:proofErr w:type="spellEnd"/>
      <w:r w:rsidRPr="009677B6">
        <w:rPr>
          <w:lang w:val="fr-CA"/>
        </w:rPr>
        <w:t xml:space="preserve"> a soutenu au procès que l</w:t>
      </w:r>
      <w:r>
        <w:rPr>
          <w:lang w:val="fr-CA"/>
        </w:rPr>
        <w:t>’</w:t>
      </w:r>
      <w:r w:rsidRPr="009677B6">
        <w:rPr>
          <w:lang w:val="fr-CA"/>
        </w:rPr>
        <w:t>emplacement idéal de l</w:t>
      </w:r>
      <w:r>
        <w:rPr>
          <w:lang w:val="fr-CA"/>
        </w:rPr>
        <w:t>’</w:t>
      </w:r>
      <w:r w:rsidRPr="009677B6">
        <w:rPr>
          <w:lang w:val="fr-CA"/>
        </w:rPr>
        <w:t xml:space="preserve">immeuble lui conférait le caractère unique nécessaire pour justifier </w:t>
      </w:r>
      <w:r>
        <w:rPr>
          <w:lang w:val="fr-CA"/>
        </w:rPr>
        <w:t>sa demande d’</w:t>
      </w:r>
      <w:r w:rsidRPr="009677B6">
        <w:rPr>
          <w:lang w:val="fr-CA"/>
        </w:rPr>
        <w:t>exécution intégrale (</w:t>
      </w:r>
      <w:r>
        <w:rPr>
          <w:lang w:val="fr-CA"/>
        </w:rPr>
        <w:t>par. </w:t>
      </w:r>
      <w:r w:rsidRPr="009677B6">
        <w:rPr>
          <w:lang w:val="fr-CA"/>
        </w:rPr>
        <w:t>119 de la décision du juge de première instance).</w:t>
      </w:r>
    </w:p>
    <w:p w:rsidR="0071502D" w:rsidRPr="009677B6" w:rsidRDefault="0071502D" w:rsidP="0071502D">
      <w:pPr>
        <w:pStyle w:val="ParaNoNdepar-AltN"/>
        <w:rPr>
          <w:lang w:val="fr-CA"/>
        </w:rPr>
      </w:pPr>
      <w:r w:rsidRPr="009677B6">
        <w:rPr>
          <w:lang w:val="fr-CA"/>
        </w:rPr>
        <w:t>Je suis d</w:t>
      </w:r>
      <w:r>
        <w:rPr>
          <w:lang w:val="fr-CA"/>
        </w:rPr>
        <w:t>’</w:t>
      </w:r>
      <w:r w:rsidRPr="009677B6">
        <w:rPr>
          <w:lang w:val="fr-CA"/>
        </w:rPr>
        <w:t>accord avec les juridictions inférieures pour dire qu</w:t>
      </w:r>
      <w:r>
        <w:rPr>
          <w:lang w:val="fr-CA"/>
        </w:rPr>
        <w:t>’</w:t>
      </w:r>
      <w:r w:rsidRPr="009677B6">
        <w:rPr>
          <w:lang w:val="fr-CA"/>
        </w:rPr>
        <w:t>il ne s</w:t>
      </w:r>
      <w:r>
        <w:rPr>
          <w:lang w:val="fr-CA"/>
        </w:rPr>
        <w:t>’</w:t>
      </w:r>
      <w:r w:rsidRPr="009677B6">
        <w:rPr>
          <w:lang w:val="fr-CA"/>
        </w:rPr>
        <w:t xml:space="preserve">agit pas </w:t>
      </w:r>
      <w:r>
        <w:rPr>
          <w:lang w:val="fr-CA"/>
        </w:rPr>
        <w:t xml:space="preserve">en l’espèce </w:t>
      </w:r>
      <w:r w:rsidRPr="009677B6">
        <w:rPr>
          <w:lang w:val="fr-CA"/>
        </w:rPr>
        <w:t>d</w:t>
      </w:r>
      <w:r>
        <w:rPr>
          <w:lang w:val="fr-CA"/>
        </w:rPr>
        <w:t>’</w:t>
      </w:r>
      <w:r w:rsidRPr="009677B6">
        <w:rPr>
          <w:lang w:val="fr-CA"/>
        </w:rPr>
        <w:t xml:space="preserve">un cas </w:t>
      </w:r>
      <w:r>
        <w:rPr>
          <w:lang w:val="fr-CA"/>
        </w:rPr>
        <w:t xml:space="preserve">où </w:t>
      </w:r>
      <w:r w:rsidRPr="009677B6">
        <w:rPr>
          <w:lang w:val="fr-CA"/>
        </w:rPr>
        <w:t>la demanderesse pouvait raisonnablement refuse</w:t>
      </w:r>
      <w:r>
        <w:rPr>
          <w:lang w:val="fr-CA"/>
        </w:rPr>
        <w:t xml:space="preserve">r de </w:t>
      </w:r>
      <w:r w:rsidRPr="00CE41B4">
        <w:rPr>
          <w:lang w:val="fr-CA"/>
        </w:rPr>
        <w:t>mitiger</w:t>
      </w:r>
      <w:r>
        <w:rPr>
          <w:lang w:val="fr-CA"/>
        </w:rPr>
        <w:t xml:space="preserve"> son</w:t>
      </w:r>
      <w:r w:rsidRPr="009677B6">
        <w:rPr>
          <w:lang w:val="fr-CA"/>
        </w:rPr>
        <w:t xml:space="preserve"> préjudice</w:t>
      </w:r>
      <w:r>
        <w:rPr>
          <w:lang w:val="fr-CA"/>
        </w:rPr>
        <w:t>.  L</w:t>
      </w:r>
      <w:r w:rsidRPr="009677B6">
        <w:rPr>
          <w:lang w:val="fr-CA"/>
        </w:rPr>
        <w:t>e juge de première instance a cl</w:t>
      </w:r>
      <w:r>
        <w:rPr>
          <w:lang w:val="fr-CA"/>
        </w:rPr>
        <w:t>airement indiqué que</w:t>
      </w:r>
      <w:r w:rsidRPr="009677B6">
        <w:rPr>
          <w:lang w:val="fr-CA"/>
        </w:rPr>
        <w:t xml:space="preserve"> l</w:t>
      </w:r>
      <w:r>
        <w:rPr>
          <w:lang w:val="fr-CA"/>
        </w:rPr>
        <w:t>a</w:t>
      </w:r>
      <w:r w:rsidRPr="009677B6">
        <w:rPr>
          <w:lang w:val="fr-CA"/>
        </w:rPr>
        <w:t xml:space="preserve"> seul</w:t>
      </w:r>
      <w:r>
        <w:rPr>
          <w:lang w:val="fr-CA"/>
        </w:rPr>
        <w:t>e</w:t>
      </w:r>
      <w:r w:rsidRPr="009677B6">
        <w:rPr>
          <w:lang w:val="fr-CA"/>
        </w:rPr>
        <w:t xml:space="preserve"> </w:t>
      </w:r>
      <w:r>
        <w:rPr>
          <w:lang w:val="fr-CA"/>
        </w:rPr>
        <w:t>c</w:t>
      </w:r>
      <w:r w:rsidRPr="009677B6">
        <w:rPr>
          <w:lang w:val="fr-CA"/>
        </w:rPr>
        <w:t>a</w:t>
      </w:r>
      <w:r>
        <w:rPr>
          <w:lang w:val="fr-CA"/>
        </w:rPr>
        <w:t>ra</w:t>
      </w:r>
      <w:r w:rsidRPr="009677B6">
        <w:rPr>
          <w:lang w:val="fr-CA"/>
        </w:rPr>
        <w:t>ct</w:t>
      </w:r>
      <w:r>
        <w:rPr>
          <w:lang w:val="fr-CA"/>
        </w:rPr>
        <w:t>éristique</w:t>
      </w:r>
      <w:r w:rsidRPr="009677B6">
        <w:rPr>
          <w:lang w:val="fr-CA"/>
        </w:rPr>
        <w:t xml:space="preserve"> </w:t>
      </w:r>
      <w:r>
        <w:rPr>
          <w:lang w:val="fr-CA"/>
        </w:rPr>
        <w:t xml:space="preserve">qui rendait ce </w:t>
      </w:r>
      <w:r w:rsidRPr="009677B6">
        <w:rPr>
          <w:lang w:val="fr-CA"/>
        </w:rPr>
        <w:t xml:space="preserve">terrain unique pour </w:t>
      </w:r>
      <w:proofErr w:type="spellStart"/>
      <w:r w:rsidRPr="009677B6">
        <w:rPr>
          <w:lang w:val="fr-CA"/>
        </w:rPr>
        <w:t>Southcott</w:t>
      </w:r>
      <w:proofErr w:type="spellEnd"/>
      <w:r w:rsidRPr="009677B6">
        <w:rPr>
          <w:lang w:val="fr-CA"/>
        </w:rPr>
        <w:t xml:space="preserve"> était le fait qu</w:t>
      </w:r>
      <w:r>
        <w:rPr>
          <w:lang w:val="fr-CA"/>
        </w:rPr>
        <w:t>’</w:t>
      </w:r>
      <w:r w:rsidRPr="009677B6">
        <w:rPr>
          <w:lang w:val="fr-CA"/>
        </w:rPr>
        <w:t>il s</w:t>
      </w:r>
      <w:r>
        <w:rPr>
          <w:lang w:val="fr-CA"/>
        </w:rPr>
        <w:t>’</w:t>
      </w:r>
      <w:r w:rsidRPr="009677B6">
        <w:rPr>
          <w:lang w:val="fr-CA"/>
        </w:rPr>
        <w:t>agissait d</w:t>
      </w:r>
      <w:r>
        <w:rPr>
          <w:lang w:val="fr-CA"/>
        </w:rPr>
        <w:t>’</w:t>
      </w:r>
      <w:r w:rsidRPr="009677B6">
        <w:rPr>
          <w:lang w:val="fr-CA"/>
        </w:rPr>
        <w:t xml:space="preserve">un </w:t>
      </w:r>
      <w:r>
        <w:rPr>
          <w:lang w:val="fr-CA"/>
        </w:rPr>
        <w:t xml:space="preserve">investissement particulièrement intéressant, et qu’il ne s’agissait pas d’un cas où les </w:t>
      </w:r>
      <w:proofErr w:type="spellStart"/>
      <w:r>
        <w:rPr>
          <w:lang w:val="fr-CA"/>
        </w:rPr>
        <w:t>dommages</w:t>
      </w:r>
      <w:r>
        <w:rPr>
          <w:lang w:val="fr-CA"/>
        </w:rPr>
        <w:noBreakHyphen/>
        <w:t>intérêts</w:t>
      </w:r>
      <w:proofErr w:type="spellEnd"/>
      <w:r>
        <w:rPr>
          <w:lang w:val="fr-CA"/>
        </w:rPr>
        <w:t xml:space="preserve"> étaient trop spéculatifs ou incertains pour constituer une </w:t>
      </w:r>
      <w:r>
        <w:rPr>
          <w:lang w:val="fr-CA"/>
        </w:rPr>
        <w:lastRenderedPageBreak/>
        <w:t xml:space="preserve">réparation satisfaisante.  Les caractéristiques uniques avaient trait seulement à la rentabilité du projet immobilier et les </w:t>
      </w:r>
      <w:proofErr w:type="spellStart"/>
      <w:r>
        <w:rPr>
          <w:lang w:val="fr-CA"/>
        </w:rPr>
        <w:t>dommages</w:t>
      </w:r>
      <w:r>
        <w:rPr>
          <w:lang w:val="fr-CA"/>
        </w:rPr>
        <w:noBreakHyphen/>
        <w:t>intérêts</w:t>
      </w:r>
      <w:proofErr w:type="spellEnd"/>
      <w:r>
        <w:rPr>
          <w:lang w:val="fr-CA"/>
        </w:rPr>
        <w:t xml:space="preserve"> constituaient une réparation adéquate </w:t>
      </w:r>
      <w:r w:rsidRPr="009677B6">
        <w:rPr>
          <w:lang w:val="fr-CA"/>
        </w:rPr>
        <w:t>(</w:t>
      </w:r>
      <w:r>
        <w:rPr>
          <w:lang w:val="fr-CA"/>
        </w:rPr>
        <w:t>par. </w:t>
      </w:r>
      <w:r w:rsidRPr="009677B6">
        <w:rPr>
          <w:lang w:val="fr-CA"/>
        </w:rPr>
        <w:t>126 et 128).</w:t>
      </w:r>
      <w:r>
        <w:rPr>
          <w:lang w:val="fr-CA"/>
        </w:rPr>
        <w:t xml:space="preserve">  Le calcul des profits n’était ni conjectural ni spéculatif car il ne s’agissait pas d’un projet complexe</w:t>
      </w:r>
      <w:r w:rsidR="00295091">
        <w:rPr>
          <w:lang w:val="fr-CA"/>
        </w:rPr>
        <w:t>,</w:t>
      </w:r>
      <w:r>
        <w:rPr>
          <w:lang w:val="fr-CA"/>
        </w:rPr>
        <w:t xml:space="preserve"> et le seul point de discorde entre les parties concernant le montant des </w:t>
      </w:r>
      <w:proofErr w:type="spellStart"/>
      <w:r>
        <w:rPr>
          <w:lang w:val="fr-CA"/>
        </w:rPr>
        <w:t>dommages</w:t>
      </w:r>
      <w:r>
        <w:rPr>
          <w:lang w:val="fr-CA"/>
        </w:rPr>
        <w:noBreakHyphen/>
        <w:t>intérêts</w:t>
      </w:r>
      <w:proofErr w:type="spellEnd"/>
      <w:r>
        <w:rPr>
          <w:lang w:val="fr-CA"/>
        </w:rPr>
        <w:t xml:space="preserve"> portait sur le moment de la vente des unités achevées et le taux de vente de ces unités (par. 130 et 132).</w:t>
      </w:r>
    </w:p>
    <w:p w:rsidR="0071502D" w:rsidRPr="009677B6" w:rsidRDefault="0071502D" w:rsidP="0071502D">
      <w:pPr>
        <w:pStyle w:val="ParaNoNdepar-AltN"/>
        <w:rPr>
          <w:lang w:val="fr-CA"/>
        </w:rPr>
      </w:pPr>
      <w:r>
        <w:rPr>
          <w:lang w:val="fr-CA"/>
        </w:rPr>
        <w:t>Un</w:t>
      </w:r>
      <w:r w:rsidRPr="009677B6">
        <w:rPr>
          <w:lang w:val="fr-CA"/>
        </w:rPr>
        <w:t xml:space="preserve"> demandeur privé d</w:t>
      </w:r>
      <w:r>
        <w:rPr>
          <w:lang w:val="fr-CA"/>
        </w:rPr>
        <w:t>’</w:t>
      </w:r>
      <w:r w:rsidRPr="009677B6">
        <w:rPr>
          <w:lang w:val="fr-CA"/>
        </w:rPr>
        <w:t>un immeuble de placement ne peut exiger l</w:t>
      </w:r>
      <w:r>
        <w:rPr>
          <w:lang w:val="fr-CA"/>
        </w:rPr>
        <w:t>’</w:t>
      </w:r>
      <w:r w:rsidRPr="009677B6">
        <w:rPr>
          <w:lang w:val="fr-CA"/>
        </w:rPr>
        <w:t xml:space="preserve">exécution intégrale en </w:t>
      </w:r>
      <w:r>
        <w:rPr>
          <w:lang w:val="fr-CA"/>
        </w:rPr>
        <w:t xml:space="preserve">invoquant </w:t>
      </w:r>
      <w:r w:rsidRPr="009677B6">
        <w:rPr>
          <w:lang w:val="fr-CA"/>
        </w:rPr>
        <w:t>des « motifs équitables, réels et importants » ou</w:t>
      </w:r>
      <w:r>
        <w:rPr>
          <w:lang w:val="fr-CA"/>
        </w:rPr>
        <w:t xml:space="preserve"> </w:t>
      </w:r>
      <w:r w:rsidRPr="009677B6">
        <w:rPr>
          <w:lang w:val="fr-CA"/>
        </w:rPr>
        <w:t>un « intérêt important et légitime »</w:t>
      </w:r>
      <w:r>
        <w:rPr>
          <w:lang w:val="fr-CA"/>
        </w:rPr>
        <w:t xml:space="preserve"> (</w:t>
      </w:r>
      <w:proofErr w:type="spellStart"/>
      <w:r>
        <w:rPr>
          <w:i/>
          <w:lang w:val="fr-CA"/>
        </w:rPr>
        <w:t>Asamera</w:t>
      </w:r>
      <w:proofErr w:type="spellEnd"/>
      <w:r>
        <w:rPr>
          <w:lang w:val="fr-CA"/>
        </w:rPr>
        <w:t>, p. 668</w:t>
      </w:r>
      <w:r>
        <w:rPr>
          <w:lang w:val="fr-CA"/>
        </w:rPr>
        <w:noBreakHyphen/>
        <w:t>669)</w:t>
      </w:r>
      <w:r w:rsidRPr="009677B6">
        <w:rPr>
          <w:lang w:val="fr-CA"/>
        </w:rPr>
        <w:t xml:space="preserve"> que si l</w:t>
      </w:r>
      <w:r>
        <w:rPr>
          <w:lang w:val="fr-CA"/>
        </w:rPr>
        <w:t>’octroi d’une somme d’</w:t>
      </w:r>
      <w:r w:rsidRPr="009677B6">
        <w:rPr>
          <w:lang w:val="fr-CA"/>
        </w:rPr>
        <w:t>argent ne constitue</w:t>
      </w:r>
      <w:r>
        <w:rPr>
          <w:lang w:val="fr-CA"/>
        </w:rPr>
        <w:t>rait</w:t>
      </w:r>
      <w:r w:rsidRPr="009677B6">
        <w:rPr>
          <w:lang w:val="fr-CA"/>
        </w:rPr>
        <w:t xml:space="preserve"> </w:t>
      </w:r>
      <w:r w:rsidRPr="009677B6">
        <w:rPr>
          <w:rFonts w:cs="Times New Roman"/>
          <w:spacing w:val="-3"/>
          <w:szCs w:val="24"/>
          <w:lang w:val="fr-CA"/>
        </w:rPr>
        <w:t>pas une réparation complète parce que ce</w:t>
      </w:r>
      <w:r>
        <w:rPr>
          <w:rFonts w:cs="Times New Roman"/>
          <w:spacing w:val="-3"/>
          <w:szCs w:val="24"/>
          <w:lang w:val="fr-CA"/>
        </w:rPr>
        <w:t>t immeuble</w:t>
      </w:r>
      <w:r w:rsidRPr="009677B6">
        <w:rPr>
          <w:rFonts w:cs="Times New Roman"/>
          <w:spacing w:val="-3"/>
          <w:szCs w:val="24"/>
          <w:lang w:val="fr-CA"/>
        </w:rPr>
        <w:t xml:space="preserve"> a une </w:t>
      </w:r>
      <w:r w:rsidR="00295091" w:rsidRPr="009677B6">
        <w:rPr>
          <w:lang w:val="fr-CA"/>
        </w:rPr>
        <w:t>« </w:t>
      </w:r>
      <w:r w:rsidRPr="009677B6">
        <w:rPr>
          <w:rFonts w:cs="Times New Roman"/>
          <w:spacing w:val="-3"/>
          <w:szCs w:val="24"/>
          <w:lang w:val="fr-CA"/>
        </w:rPr>
        <w:t>valeur particulière » pour lui</w:t>
      </w:r>
      <w:r>
        <w:rPr>
          <w:rFonts w:cs="Times New Roman"/>
          <w:spacing w:val="-3"/>
          <w:szCs w:val="24"/>
          <w:lang w:val="fr-CA"/>
        </w:rPr>
        <w:t xml:space="preserve"> </w:t>
      </w:r>
      <w:r w:rsidRPr="009677B6">
        <w:rPr>
          <w:lang w:val="fr-CA"/>
        </w:rPr>
        <w:t>(</w:t>
      </w:r>
      <w:proofErr w:type="spellStart"/>
      <w:r w:rsidRPr="009677B6">
        <w:rPr>
          <w:i/>
          <w:lang w:val="fr-CA"/>
        </w:rPr>
        <w:t>Semelhago</w:t>
      </w:r>
      <w:proofErr w:type="spellEnd"/>
      <w:r w:rsidRPr="009677B6">
        <w:rPr>
          <w:lang w:val="fr-CA"/>
        </w:rPr>
        <w:t xml:space="preserve">, </w:t>
      </w:r>
      <w:r>
        <w:rPr>
          <w:lang w:val="fr-CA"/>
        </w:rPr>
        <w:t>par. </w:t>
      </w:r>
      <w:r w:rsidRPr="009677B6">
        <w:rPr>
          <w:lang w:val="fr-CA"/>
        </w:rPr>
        <w:t>21, citant l</w:t>
      </w:r>
      <w:r>
        <w:rPr>
          <w:lang w:val="fr-CA"/>
        </w:rPr>
        <w:t>’</w:t>
      </w:r>
      <w:r w:rsidRPr="009677B6">
        <w:rPr>
          <w:lang w:val="fr-CA"/>
        </w:rPr>
        <w:t xml:space="preserve">arrêt </w:t>
      </w:r>
      <w:proofErr w:type="spellStart"/>
      <w:r w:rsidRPr="009677B6">
        <w:rPr>
          <w:i/>
          <w:lang w:val="fr-CA"/>
        </w:rPr>
        <w:t>Adderl</w:t>
      </w:r>
      <w:r>
        <w:rPr>
          <w:i/>
          <w:lang w:val="fr-CA"/>
        </w:rPr>
        <w:t>e</w:t>
      </w:r>
      <w:r w:rsidRPr="009677B6">
        <w:rPr>
          <w:i/>
          <w:lang w:val="fr-CA"/>
        </w:rPr>
        <w:t>y</w:t>
      </w:r>
      <w:proofErr w:type="spellEnd"/>
      <w:r w:rsidRPr="009677B6">
        <w:rPr>
          <w:lang w:val="fr-CA"/>
        </w:rPr>
        <w:t xml:space="preserve">, </w:t>
      </w:r>
      <w:r>
        <w:rPr>
          <w:lang w:val="fr-CA"/>
        </w:rPr>
        <w:t>p. </w:t>
      </w:r>
      <w:r w:rsidRPr="009677B6">
        <w:rPr>
          <w:lang w:val="fr-CA"/>
        </w:rPr>
        <w:t xml:space="preserve">240). </w:t>
      </w:r>
      <w:r>
        <w:rPr>
          <w:lang w:val="fr-CA"/>
        </w:rPr>
        <w:t xml:space="preserve"> </w:t>
      </w:r>
      <w:proofErr w:type="spellStart"/>
      <w:r w:rsidRPr="009677B6">
        <w:rPr>
          <w:lang w:val="fr-CA"/>
        </w:rPr>
        <w:t>Southcott</w:t>
      </w:r>
      <w:proofErr w:type="spellEnd"/>
      <w:r w:rsidRPr="009677B6">
        <w:rPr>
          <w:lang w:val="fr-CA"/>
        </w:rPr>
        <w:t xml:space="preserve"> ne pouvait faire une telle affirmation</w:t>
      </w:r>
      <w:r>
        <w:rPr>
          <w:lang w:val="fr-CA"/>
        </w:rPr>
        <w:t xml:space="preserve">.  </w:t>
      </w:r>
      <w:r w:rsidRPr="009677B6">
        <w:rPr>
          <w:lang w:val="fr-CA"/>
        </w:rPr>
        <w:t xml:space="preserve">Elle avait </w:t>
      </w:r>
      <w:r>
        <w:rPr>
          <w:lang w:val="fr-CA"/>
        </w:rPr>
        <w:t xml:space="preserve">entrepris cette </w:t>
      </w:r>
      <w:r w:rsidRPr="009677B6">
        <w:rPr>
          <w:lang w:val="fr-CA"/>
        </w:rPr>
        <w:t xml:space="preserve">opération commerciale </w:t>
      </w:r>
      <w:r>
        <w:rPr>
          <w:lang w:val="fr-CA"/>
        </w:rPr>
        <w:t xml:space="preserve">dans le but de réaliser </w:t>
      </w:r>
      <w:r w:rsidRPr="009677B6">
        <w:rPr>
          <w:lang w:val="fr-CA"/>
        </w:rPr>
        <w:t>un profit</w:t>
      </w:r>
      <w:r>
        <w:rPr>
          <w:lang w:val="fr-CA"/>
        </w:rPr>
        <w:t xml:space="preserve">.  Les caractéristiques particulières de l’immeuble tenaient seulement à sa valeur du fait qu’il pouvait s’avérer rentable.  </w:t>
      </w:r>
      <w:proofErr w:type="spellStart"/>
      <w:r>
        <w:rPr>
          <w:lang w:val="fr-CA"/>
        </w:rPr>
        <w:t>Southcott</w:t>
      </w:r>
      <w:proofErr w:type="spellEnd"/>
      <w:r>
        <w:rPr>
          <w:lang w:val="fr-CA"/>
        </w:rPr>
        <w:t xml:space="preserve"> </w:t>
      </w:r>
      <w:r w:rsidRPr="009677B6">
        <w:rPr>
          <w:lang w:val="fr-CA"/>
        </w:rPr>
        <w:t>ne peut donc pas justifier son inaction.</w:t>
      </w:r>
    </w:p>
    <w:p w:rsidR="0071502D" w:rsidRPr="009677B6" w:rsidRDefault="0071502D" w:rsidP="00295091">
      <w:pPr>
        <w:pStyle w:val="TitleTitre-AltT"/>
        <w:tabs>
          <w:tab w:val="clear" w:pos="360"/>
          <w:tab w:val="left" w:pos="540"/>
        </w:tabs>
        <w:ind w:left="540" w:hanging="540"/>
        <w:rPr>
          <w:lang w:val="fr-CA"/>
        </w:rPr>
      </w:pPr>
      <w:r w:rsidRPr="009677B6">
        <w:rPr>
          <w:lang w:val="fr-CA"/>
        </w:rPr>
        <w:t>C.</w:t>
      </w:r>
      <w:r w:rsidRPr="009677B6">
        <w:rPr>
          <w:lang w:val="fr-CA"/>
        </w:rPr>
        <w:tab/>
      </w:r>
      <w:r w:rsidRPr="009677B6">
        <w:rPr>
          <w:i/>
          <w:lang w:val="fr-CA"/>
        </w:rPr>
        <w:t xml:space="preserve">Le juge de première instance a </w:t>
      </w:r>
      <w:r>
        <w:rPr>
          <w:i/>
          <w:lang w:val="fr-CA"/>
        </w:rPr>
        <w:t>com</w:t>
      </w:r>
      <w:r w:rsidRPr="009677B6">
        <w:rPr>
          <w:i/>
          <w:lang w:val="fr-CA"/>
        </w:rPr>
        <w:t>m</w:t>
      </w:r>
      <w:r>
        <w:rPr>
          <w:i/>
          <w:lang w:val="fr-CA"/>
        </w:rPr>
        <w:t xml:space="preserve">is </w:t>
      </w:r>
      <w:r w:rsidRPr="009677B6">
        <w:rPr>
          <w:i/>
          <w:lang w:val="fr-CA"/>
        </w:rPr>
        <w:t>un</w:t>
      </w:r>
      <w:r>
        <w:rPr>
          <w:i/>
          <w:lang w:val="fr-CA"/>
        </w:rPr>
        <w:t>e</w:t>
      </w:r>
      <w:r w:rsidRPr="009677B6">
        <w:rPr>
          <w:i/>
          <w:lang w:val="fr-CA"/>
        </w:rPr>
        <w:t xml:space="preserve"> </w:t>
      </w:r>
      <w:r>
        <w:rPr>
          <w:i/>
          <w:lang w:val="fr-CA"/>
        </w:rPr>
        <w:t xml:space="preserve">erreur en concluant à l’absence de preuve de l’existence d’immeubles </w:t>
      </w:r>
      <w:r w:rsidRPr="007F06B7">
        <w:rPr>
          <w:i/>
          <w:lang w:val="fr-CA"/>
        </w:rPr>
        <w:t xml:space="preserve">comparables </w:t>
      </w:r>
      <w:r w:rsidRPr="00CE41B4">
        <w:rPr>
          <w:i/>
          <w:lang w:val="fr-CA"/>
        </w:rPr>
        <w:t>rentables</w:t>
      </w:r>
      <w:r>
        <w:rPr>
          <w:i/>
          <w:lang w:val="fr-CA"/>
        </w:rPr>
        <w:t xml:space="preserve"> </w:t>
      </w:r>
      <w:r w:rsidRPr="007F06B7">
        <w:rPr>
          <w:i/>
          <w:lang w:val="fr-CA"/>
        </w:rPr>
        <w:t>p</w:t>
      </w:r>
      <w:r>
        <w:rPr>
          <w:i/>
          <w:lang w:val="fr-CA"/>
        </w:rPr>
        <w:t>o</w:t>
      </w:r>
      <w:r w:rsidRPr="007F06B7">
        <w:rPr>
          <w:i/>
          <w:lang w:val="fr-CA"/>
        </w:rPr>
        <w:t>u</w:t>
      </w:r>
      <w:r>
        <w:rPr>
          <w:i/>
          <w:lang w:val="fr-CA"/>
        </w:rPr>
        <w:t>vant</w:t>
      </w:r>
      <w:r w:rsidRPr="007F06B7">
        <w:rPr>
          <w:i/>
          <w:lang w:val="fr-CA"/>
        </w:rPr>
        <w:t xml:space="preserve"> servir à </w:t>
      </w:r>
      <w:r w:rsidRPr="00CE41B4">
        <w:rPr>
          <w:i/>
          <w:lang w:val="fr-CA"/>
        </w:rPr>
        <w:t>mitiger</w:t>
      </w:r>
      <w:r w:rsidRPr="007F06B7">
        <w:rPr>
          <w:i/>
          <w:lang w:val="fr-CA"/>
        </w:rPr>
        <w:t xml:space="preserve"> le préjudice</w:t>
      </w:r>
    </w:p>
    <w:p w:rsidR="0071502D" w:rsidRPr="009677B6" w:rsidRDefault="0071502D" w:rsidP="0071502D">
      <w:pPr>
        <w:pStyle w:val="ParaNoNdepar-AltN"/>
        <w:rPr>
          <w:lang w:val="fr-CA"/>
        </w:rPr>
      </w:pPr>
      <w:r w:rsidRPr="009677B6">
        <w:rPr>
          <w:lang w:val="fr-CA"/>
        </w:rPr>
        <w:t xml:space="preserve">Dans le cas qui nous occupe, </w:t>
      </w:r>
      <w:proofErr w:type="spellStart"/>
      <w:r w:rsidRPr="009677B6">
        <w:rPr>
          <w:lang w:val="fr-CA"/>
        </w:rPr>
        <w:t>Southcott</w:t>
      </w:r>
      <w:proofErr w:type="spellEnd"/>
      <w:r w:rsidRPr="009677B6">
        <w:rPr>
          <w:lang w:val="fr-CA"/>
        </w:rPr>
        <w:t xml:space="preserve"> a admis n</w:t>
      </w:r>
      <w:r>
        <w:rPr>
          <w:lang w:val="fr-CA"/>
        </w:rPr>
        <w:t>’</w:t>
      </w:r>
      <w:r w:rsidRPr="009677B6">
        <w:rPr>
          <w:lang w:val="fr-CA"/>
        </w:rPr>
        <w:t>av</w:t>
      </w:r>
      <w:r>
        <w:rPr>
          <w:lang w:val="fr-CA"/>
        </w:rPr>
        <w:t>o</w:t>
      </w:r>
      <w:r w:rsidRPr="009677B6">
        <w:rPr>
          <w:lang w:val="fr-CA"/>
        </w:rPr>
        <w:t>i</w:t>
      </w:r>
      <w:r>
        <w:rPr>
          <w:lang w:val="fr-CA"/>
        </w:rPr>
        <w:t>r</w:t>
      </w:r>
      <w:r w:rsidRPr="009677B6">
        <w:rPr>
          <w:lang w:val="fr-CA"/>
        </w:rPr>
        <w:t xml:space="preserve"> fait aucun effort pour </w:t>
      </w:r>
      <w:r w:rsidRPr="00CE41B4">
        <w:rPr>
          <w:lang w:val="fr-CA"/>
        </w:rPr>
        <w:t>mitiger</w:t>
      </w:r>
      <w:r w:rsidR="00295091">
        <w:rPr>
          <w:lang w:val="fr-CA"/>
        </w:rPr>
        <w:t xml:space="preserve"> sa perte </w:t>
      </w:r>
      <w:r w:rsidR="00295091">
        <w:rPr>
          <w:rFonts w:cs="Times New Roman"/>
          <w:lang w:val="fr-CA"/>
        </w:rPr>
        <w:t>—</w:t>
      </w:r>
      <w:r>
        <w:rPr>
          <w:lang w:val="fr-CA"/>
        </w:rPr>
        <w:t xml:space="preserve"> </w:t>
      </w:r>
      <w:r w:rsidRPr="009677B6">
        <w:rPr>
          <w:lang w:val="fr-CA"/>
        </w:rPr>
        <w:t>parce qu</w:t>
      </w:r>
      <w:r>
        <w:rPr>
          <w:lang w:val="fr-CA"/>
        </w:rPr>
        <w:t>’elle estimait n</w:t>
      </w:r>
      <w:r w:rsidRPr="009677B6">
        <w:rPr>
          <w:lang w:val="fr-CA"/>
        </w:rPr>
        <w:t xml:space="preserve">e </w:t>
      </w:r>
      <w:r>
        <w:rPr>
          <w:lang w:val="fr-CA"/>
        </w:rPr>
        <w:t xml:space="preserve">pas y être tenue.  </w:t>
      </w:r>
      <w:proofErr w:type="spellStart"/>
      <w:r w:rsidRPr="009677B6">
        <w:rPr>
          <w:lang w:val="fr-CA"/>
        </w:rPr>
        <w:t>Southcott</w:t>
      </w:r>
      <w:proofErr w:type="spellEnd"/>
      <w:r w:rsidRPr="009677B6">
        <w:rPr>
          <w:lang w:val="fr-CA"/>
        </w:rPr>
        <w:t xml:space="preserve"> </w:t>
      </w:r>
      <w:r>
        <w:rPr>
          <w:lang w:val="fr-CA"/>
        </w:rPr>
        <w:t>plaide</w:t>
      </w:r>
      <w:r w:rsidRPr="009677B6">
        <w:rPr>
          <w:lang w:val="fr-CA"/>
        </w:rPr>
        <w:t xml:space="preserve"> que la </w:t>
      </w:r>
      <w:r w:rsidR="00295091">
        <w:rPr>
          <w:lang w:val="fr-CA"/>
        </w:rPr>
        <w:t>C</w:t>
      </w:r>
      <w:r w:rsidRPr="009677B6">
        <w:rPr>
          <w:lang w:val="fr-CA"/>
        </w:rPr>
        <w:t>our d</w:t>
      </w:r>
      <w:r>
        <w:rPr>
          <w:lang w:val="fr-CA"/>
        </w:rPr>
        <w:t>’</w:t>
      </w:r>
      <w:r w:rsidRPr="009677B6">
        <w:rPr>
          <w:lang w:val="fr-CA"/>
        </w:rPr>
        <w:t xml:space="preserve">appel a commis une erreur en déplaçant le fardeau de la preuve sur elle </w:t>
      </w:r>
      <w:r w:rsidRPr="009677B6">
        <w:rPr>
          <w:lang w:val="fr-CA"/>
        </w:rPr>
        <w:lastRenderedPageBreak/>
        <w:t>parce que son directeur avait admis n</w:t>
      </w:r>
      <w:r>
        <w:rPr>
          <w:lang w:val="fr-CA"/>
        </w:rPr>
        <w:t xml:space="preserve">’avoir </w:t>
      </w:r>
      <w:r w:rsidRPr="009677B6">
        <w:rPr>
          <w:lang w:val="fr-CA"/>
        </w:rPr>
        <w:t>nullement l</w:t>
      </w:r>
      <w:r>
        <w:rPr>
          <w:lang w:val="fr-CA"/>
        </w:rPr>
        <w:t>’</w:t>
      </w:r>
      <w:r w:rsidRPr="009677B6">
        <w:rPr>
          <w:lang w:val="fr-CA"/>
        </w:rPr>
        <w:t xml:space="preserve">intention de </w:t>
      </w:r>
      <w:r w:rsidRPr="00CE41B4">
        <w:rPr>
          <w:lang w:val="fr-CA"/>
        </w:rPr>
        <w:t>mitiger</w:t>
      </w:r>
      <w:r w:rsidRPr="009677B6">
        <w:rPr>
          <w:lang w:val="fr-CA"/>
        </w:rPr>
        <w:t xml:space="preserve"> le préjudice</w:t>
      </w:r>
      <w:r>
        <w:rPr>
          <w:lang w:val="fr-CA"/>
        </w:rPr>
        <w:t xml:space="preserve"> de </w:t>
      </w:r>
      <w:proofErr w:type="spellStart"/>
      <w:r>
        <w:rPr>
          <w:lang w:val="fr-CA"/>
        </w:rPr>
        <w:t>Southcott</w:t>
      </w:r>
      <w:proofErr w:type="spellEnd"/>
      <w:r>
        <w:rPr>
          <w:lang w:val="fr-CA"/>
        </w:rPr>
        <w:t>.  Cette dernière</w:t>
      </w:r>
      <w:r w:rsidRPr="009677B6">
        <w:rPr>
          <w:lang w:val="fr-CA"/>
        </w:rPr>
        <w:t xml:space="preserve"> affirme que </w:t>
      </w:r>
      <w:r w:rsidRPr="00CE41B4">
        <w:rPr>
          <w:lang w:val="fr-CA"/>
        </w:rPr>
        <w:t>le conseil scolaire n</w:t>
      </w:r>
      <w:r>
        <w:rPr>
          <w:lang w:val="fr-CA"/>
        </w:rPr>
        <w:t>’</w:t>
      </w:r>
      <w:r w:rsidRPr="00CE41B4">
        <w:rPr>
          <w:lang w:val="fr-CA"/>
        </w:rPr>
        <w:t>a pas fourni au juge de première instance une preuve de l</w:t>
      </w:r>
      <w:r>
        <w:rPr>
          <w:lang w:val="fr-CA"/>
        </w:rPr>
        <w:t>’</w:t>
      </w:r>
      <w:r w:rsidRPr="00CE41B4">
        <w:rPr>
          <w:lang w:val="fr-CA"/>
        </w:rPr>
        <w:t>existence d</w:t>
      </w:r>
      <w:r>
        <w:rPr>
          <w:lang w:val="fr-CA"/>
        </w:rPr>
        <w:t>’</w:t>
      </w:r>
      <w:r w:rsidRPr="00CE41B4">
        <w:rPr>
          <w:lang w:val="fr-CA"/>
        </w:rPr>
        <w:t>une propriété de placement comparable et rentable offerte en vente.  Le juge a conclu qu</w:t>
      </w:r>
      <w:r>
        <w:rPr>
          <w:lang w:val="fr-CA"/>
        </w:rPr>
        <w:t>’</w:t>
      </w:r>
      <w:r w:rsidRPr="00CE41B4">
        <w:rPr>
          <w:lang w:val="fr-CA"/>
        </w:rPr>
        <w:t>il n</w:t>
      </w:r>
      <w:r>
        <w:rPr>
          <w:lang w:val="fr-CA"/>
        </w:rPr>
        <w:t>’</w:t>
      </w:r>
      <w:r w:rsidRPr="00CE41B4">
        <w:rPr>
          <w:lang w:val="fr-CA"/>
        </w:rPr>
        <w:t xml:space="preserve">y avait pas de propriétés comparables ou rentables.  </w:t>
      </w:r>
      <w:proofErr w:type="spellStart"/>
      <w:r w:rsidRPr="00CE41B4">
        <w:rPr>
          <w:lang w:val="fr-CA"/>
        </w:rPr>
        <w:t>Southcott</w:t>
      </w:r>
      <w:proofErr w:type="spellEnd"/>
      <w:r w:rsidRPr="00CE41B4">
        <w:rPr>
          <w:lang w:val="fr-CA"/>
        </w:rPr>
        <w:t xml:space="preserve"> plaide</w:t>
      </w:r>
      <w:r w:rsidRPr="009677B6">
        <w:rPr>
          <w:lang w:val="fr-CA"/>
        </w:rPr>
        <w:t xml:space="preserve"> que la </w:t>
      </w:r>
      <w:r w:rsidR="00295091">
        <w:rPr>
          <w:lang w:val="fr-CA"/>
        </w:rPr>
        <w:t>C</w:t>
      </w:r>
      <w:r w:rsidRPr="009677B6">
        <w:rPr>
          <w:lang w:val="fr-CA"/>
        </w:rPr>
        <w:t>our d</w:t>
      </w:r>
      <w:r>
        <w:rPr>
          <w:lang w:val="fr-CA"/>
        </w:rPr>
        <w:t>’</w:t>
      </w:r>
      <w:r w:rsidRPr="009677B6">
        <w:rPr>
          <w:lang w:val="fr-CA"/>
        </w:rPr>
        <w:t xml:space="preserve">appel a commis une erreur en écartant la conclusion de fait tirée par le juge de première instance et en </w:t>
      </w:r>
      <w:r>
        <w:rPr>
          <w:lang w:val="fr-CA"/>
        </w:rPr>
        <w:t xml:space="preserve">y substituant </w:t>
      </w:r>
      <w:r w:rsidRPr="009677B6">
        <w:rPr>
          <w:lang w:val="fr-CA"/>
        </w:rPr>
        <w:t>la sienne.</w:t>
      </w:r>
    </w:p>
    <w:p w:rsidR="0071502D" w:rsidRPr="009677B6" w:rsidRDefault="0071502D" w:rsidP="0071502D">
      <w:pPr>
        <w:pStyle w:val="ParaNoNdepar-AltN"/>
        <w:rPr>
          <w:lang w:val="fr-CA"/>
        </w:rPr>
      </w:pPr>
      <w:r w:rsidRPr="009677B6">
        <w:rPr>
          <w:lang w:val="fr-CA"/>
        </w:rPr>
        <w:t>Voici le texte intégral de l</w:t>
      </w:r>
      <w:r>
        <w:rPr>
          <w:lang w:val="fr-CA"/>
        </w:rPr>
        <w:t>’</w:t>
      </w:r>
      <w:r w:rsidRPr="009677B6">
        <w:rPr>
          <w:lang w:val="fr-CA"/>
        </w:rPr>
        <w:t xml:space="preserve">analyse </w:t>
      </w:r>
      <w:r>
        <w:rPr>
          <w:lang w:val="fr-CA"/>
        </w:rPr>
        <w:t xml:space="preserve">de cette question faite par </w:t>
      </w:r>
      <w:r w:rsidRPr="009677B6">
        <w:rPr>
          <w:lang w:val="fr-CA"/>
        </w:rPr>
        <w:t>le juge de première instance</w:t>
      </w:r>
      <w:r>
        <w:rPr>
          <w:lang w:val="fr-CA"/>
        </w:rPr>
        <w:t> :</w:t>
      </w:r>
    </w:p>
    <w:p w:rsidR="0071502D" w:rsidRPr="009D210C" w:rsidRDefault="0071502D" w:rsidP="0071502D">
      <w:pPr>
        <w:pStyle w:val="Citation-AltC"/>
        <w:ind w:hanging="1166"/>
        <w:rPr>
          <w:lang w:val="fr-CA"/>
        </w:rPr>
      </w:pPr>
      <w:r>
        <w:rPr>
          <w:smallCaps/>
          <w:lang w:val="fr-CA"/>
        </w:rPr>
        <w:tab/>
      </w:r>
      <w:r w:rsidRPr="009D210C">
        <w:rPr>
          <w:smallCaps/>
          <w:lang w:val="fr-CA"/>
        </w:rPr>
        <w:t>[traduction]</w:t>
      </w:r>
      <w:r>
        <w:rPr>
          <w:smallCaps/>
          <w:lang w:val="fr-CA"/>
        </w:rPr>
        <w:t xml:space="preserve">  </w:t>
      </w:r>
      <w:r w:rsidRPr="009D210C">
        <w:rPr>
          <w:lang w:val="fr-CA"/>
        </w:rPr>
        <w:t>Il n</w:t>
      </w:r>
      <w:r>
        <w:rPr>
          <w:lang w:val="fr-CA"/>
        </w:rPr>
        <w:t>’</w:t>
      </w:r>
      <w:r w:rsidRPr="009D210C">
        <w:rPr>
          <w:lang w:val="fr-CA"/>
        </w:rPr>
        <w:t>y avait aucun élément de preuve démontrant que les immeubles mentionnés par [l</w:t>
      </w:r>
      <w:r>
        <w:rPr>
          <w:lang w:val="fr-CA"/>
        </w:rPr>
        <w:t>’</w:t>
      </w:r>
      <w:r w:rsidRPr="009D210C">
        <w:rPr>
          <w:lang w:val="fr-CA"/>
        </w:rPr>
        <w:t>expert du conseil scolaire] étaient effectivement offerts en vente au public</w:t>
      </w:r>
      <w:r>
        <w:rPr>
          <w:lang w:val="fr-CA"/>
        </w:rPr>
        <w:t xml:space="preserve">.  </w:t>
      </w:r>
      <w:r w:rsidRPr="009D210C">
        <w:rPr>
          <w:lang w:val="fr-CA"/>
        </w:rPr>
        <w:t>L</w:t>
      </w:r>
      <w:r>
        <w:rPr>
          <w:lang w:val="fr-CA"/>
        </w:rPr>
        <w:t xml:space="preserve">a </w:t>
      </w:r>
      <w:r w:rsidRPr="009D210C">
        <w:rPr>
          <w:lang w:val="fr-CA"/>
        </w:rPr>
        <w:t xml:space="preserve">preuve </w:t>
      </w:r>
      <w:r>
        <w:rPr>
          <w:lang w:val="fr-CA"/>
        </w:rPr>
        <w:t xml:space="preserve">indiquait seulement </w:t>
      </w:r>
      <w:r w:rsidRPr="009D210C">
        <w:rPr>
          <w:lang w:val="fr-CA"/>
        </w:rPr>
        <w:t>que des immeubles avaient été vendus</w:t>
      </w:r>
      <w:r>
        <w:rPr>
          <w:lang w:val="fr-CA"/>
        </w:rPr>
        <w:t xml:space="preserve">.  </w:t>
      </w:r>
      <w:r w:rsidRPr="009D210C">
        <w:rPr>
          <w:lang w:val="fr-CA"/>
        </w:rPr>
        <w:t>Il n</w:t>
      </w:r>
      <w:r>
        <w:rPr>
          <w:lang w:val="fr-CA"/>
        </w:rPr>
        <w:t>’</w:t>
      </w:r>
      <w:r w:rsidRPr="009D210C">
        <w:rPr>
          <w:lang w:val="fr-CA"/>
        </w:rPr>
        <w:t xml:space="preserve">y avait également aucun élément de preuve permettant de conclure que, si </w:t>
      </w:r>
      <w:r>
        <w:rPr>
          <w:lang w:val="fr-CA"/>
        </w:rPr>
        <w:t xml:space="preserve">l’on avait acheté </w:t>
      </w:r>
      <w:r w:rsidRPr="009D210C">
        <w:rPr>
          <w:lang w:val="fr-CA"/>
        </w:rPr>
        <w:t xml:space="preserve">ces immeubles, </w:t>
      </w:r>
      <w:r>
        <w:rPr>
          <w:lang w:val="fr-CA"/>
        </w:rPr>
        <w:t xml:space="preserve">on aurait pu les mettre </w:t>
      </w:r>
      <w:r w:rsidRPr="009D210C">
        <w:rPr>
          <w:lang w:val="fr-CA"/>
        </w:rPr>
        <w:t>en valeur de façon rentable</w:t>
      </w:r>
      <w:r>
        <w:rPr>
          <w:lang w:val="fr-CA"/>
        </w:rPr>
        <w:t xml:space="preserve">.  </w:t>
      </w:r>
      <w:r w:rsidRPr="009D210C">
        <w:rPr>
          <w:lang w:val="fr-CA"/>
        </w:rPr>
        <w:t xml:space="preserve">En tout état de cause, je ne suis pas convaincu que la preuve </w:t>
      </w:r>
      <w:r>
        <w:rPr>
          <w:lang w:val="fr-CA"/>
        </w:rPr>
        <w:t xml:space="preserve">a </w:t>
      </w:r>
      <w:r w:rsidRPr="009D210C">
        <w:rPr>
          <w:lang w:val="fr-CA"/>
        </w:rPr>
        <w:t xml:space="preserve">établi que ces immeubles étaient des immeubles comparables ou que, </w:t>
      </w:r>
      <w:r>
        <w:rPr>
          <w:lang w:val="fr-CA"/>
        </w:rPr>
        <w:t xml:space="preserve">si elle les avait </w:t>
      </w:r>
      <w:r w:rsidRPr="009D210C">
        <w:rPr>
          <w:lang w:val="fr-CA"/>
        </w:rPr>
        <w:t>achetés, la demanderesse aurait pu éviter ou diminuer sa perte</w:t>
      </w:r>
      <w:r>
        <w:rPr>
          <w:lang w:val="fr-CA"/>
        </w:rPr>
        <w:t>.  [</w:t>
      </w:r>
      <w:proofErr w:type="gramStart"/>
      <w:r>
        <w:rPr>
          <w:lang w:val="fr-CA"/>
        </w:rPr>
        <w:t>par</w:t>
      </w:r>
      <w:proofErr w:type="gramEnd"/>
      <w:r>
        <w:rPr>
          <w:lang w:val="fr-CA"/>
        </w:rPr>
        <w:t>. 144]</w:t>
      </w:r>
    </w:p>
    <w:p w:rsidR="0071502D" w:rsidRPr="009677B6" w:rsidRDefault="0071502D" w:rsidP="0071502D">
      <w:pPr>
        <w:pStyle w:val="ParaNoNdepar-AltN"/>
        <w:rPr>
          <w:lang w:val="fr-CA"/>
        </w:rPr>
      </w:pPr>
      <w:r w:rsidRPr="009677B6">
        <w:rPr>
          <w:lang w:val="fr-CA"/>
        </w:rPr>
        <w:t>En ce qui concerne l</w:t>
      </w:r>
      <w:r>
        <w:rPr>
          <w:lang w:val="fr-CA"/>
        </w:rPr>
        <w:t>’</w:t>
      </w:r>
      <w:r w:rsidRPr="009677B6">
        <w:rPr>
          <w:lang w:val="fr-CA"/>
        </w:rPr>
        <w:t>o</w:t>
      </w:r>
      <w:r>
        <w:rPr>
          <w:lang w:val="fr-CA"/>
        </w:rPr>
        <w:t>m</w:t>
      </w:r>
      <w:r w:rsidRPr="009677B6">
        <w:rPr>
          <w:lang w:val="fr-CA"/>
        </w:rPr>
        <w:t>i</w:t>
      </w:r>
      <w:r>
        <w:rPr>
          <w:lang w:val="fr-CA"/>
        </w:rPr>
        <w:t>ss</w:t>
      </w:r>
      <w:r w:rsidRPr="009677B6">
        <w:rPr>
          <w:lang w:val="fr-CA"/>
        </w:rPr>
        <w:t xml:space="preserve">ion de </w:t>
      </w:r>
      <w:r w:rsidRPr="00CE41B4">
        <w:rPr>
          <w:lang w:val="fr-CA"/>
        </w:rPr>
        <w:t>mitiger</w:t>
      </w:r>
      <w:r w:rsidRPr="009677B6">
        <w:rPr>
          <w:lang w:val="fr-CA"/>
        </w:rPr>
        <w:t xml:space="preserve"> le préjudice, la </w:t>
      </w:r>
      <w:r w:rsidR="00C16DE7">
        <w:rPr>
          <w:lang w:val="fr-CA"/>
        </w:rPr>
        <w:t>C</w:t>
      </w:r>
      <w:r w:rsidRPr="009677B6">
        <w:rPr>
          <w:lang w:val="fr-CA"/>
        </w:rPr>
        <w:t>our d</w:t>
      </w:r>
      <w:r>
        <w:rPr>
          <w:lang w:val="fr-CA"/>
        </w:rPr>
        <w:t>’</w:t>
      </w:r>
      <w:r w:rsidRPr="009677B6">
        <w:rPr>
          <w:lang w:val="fr-CA"/>
        </w:rPr>
        <w:t>appel a conclu que le juge de première instance avait commis une erreur de droit</w:t>
      </w:r>
      <w:r>
        <w:rPr>
          <w:lang w:val="fr-CA"/>
        </w:rPr>
        <w:t> :</w:t>
      </w:r>
    </w:p>
    <w:p w:rsidR="0071502D" w:rsidRDefault="0071502D" w:rsidP="00C82AEC">
      <w:pPr>
        <w:pStyle w:val="Citation-AltC"/>
        <w:tabs>
          <w:tab w:val="left" w:pos="1620"/>
        </w:tabs>
        <w:spacing w:after="240"/>
        <w:ind w:left="1168" w:hanging="1168"/>
        <w:contextualSpacing w:val="0"/>
        <w:rPr>
          <w:lang w:val="fr-CA"/>
        </w:rPr>
      </w:pPr>
      <w:r>
        <w:rPr>
          <w:smallCaps/>
          <w:lang w:val="fr-CA"/>
        </w:rPr>
        <w:tab/>
      </w:r>
      <w:r>
        <w:rPr>
          <w:smallCaps/>
          <w:lang w:val="fr-CA"/>
        </w:rPr>
        <w:tab/>
      </w:r>
      <w:r w:rsidRPr="009677B6">
        <w:rPr>
          <w:smallCaps/>
          <w:lang w:val="fr-CA"/>
        </w:rPr>
        <w:t>[traduction]</w:t>
      </w:r>
      <w:r>
        <w:rPr>
          <w:smallCaps/>
          <w:lang w:val="fr-CA"/>
        </w:rPr>
        <w:t xml:space="preserve">  </w:t>
      </w:r>
      <w:r w:rsidRPr="009677B6">
        <w:rPr>
          <w:lang w:val="fr-CA"/>
        </w:rPr>
        <w:t>Tout d</w:t>
      </w:r>
      <w:r>
        <w:rPr>
          <w:lang w:val="fr-CA"/>
        </w:rPr>
        <w:t>’</w:t>
      </w:r>
      <w:r w:rsidRPr="009677B6">
        <w:rPr>
          <w:lang w:val="fr-CA"/>
        </w:rPr>
        <w:t xml:space="preserve">abord, le fait que </w:t>
      </w:r>
      <w:proofErr w:type="spellStart"/>
      <w:r w:rsidRPr="009677B6">
        <w:rPr>
          <w:lang w:val="fr-CA"/>
        </w:rPr>
        <w:t>Southcott</w:t>
      </w:r>
      <w:proofErr w:type="spellEnd"/>
      <w:r w:rsidRPr="009677B6">
        <w:rPr>
          <w:lang w:val="fr-CA"/>
        </w:rPr>
        <w:t xml:space="preserve"> avait admis qu</w:t>
      </w:r>
      <w:r>
        <w:rPr>
          <w:lang w:val="fr-CA"/>
        </w:rPr>
        <w:t>’</w:t>
      </w:r>
      <w:r w:rsidRPr="009677B6">
        <w:rPr>
          <w:lang w:val="fr-CA"/>
        </w:rPr>
        <w:t>elle n</w:t>
      </w:r>
      <w:r>
        <w:rPr>
          <w:lang w:val="fr-CA"/>
        </w:rPr>
        <w:t>’</w:t>
      </w:r>
      <w:r w:rsidRPr="009677B6">
        <w:rPr>
          <w:lang w:val="fr-CA"/>
        </w:rPr>
        <w:t xml:space="preserve">avait nulle intention de </w:t>
      </w:r>
      <w:r>
        <w:rPr>
          <w:lang w:val="fr-CA"/>
        </w:rPr>
        <w:t xml:space="preserve">prendre quelque mesure </w:t>
      </w:r>
      <w:r w:rsidRPr="009677B6">
        <w:rPr>
          <w:lang w:val="fr-CA"/>
        </w:rPr>
        <w:t xml:space="preserve">que ce soit pour </w:t>
      </w:r>
      <w:r w:rsidRPr="00CE41B4">
        <w:rPr>
          <w:lang w:val="fr-CA"/>
        </w:rPr>
        <w:t>mitiger</w:t>
      </w:r>
      <w:r w:rsidRPr="009677B6">
        <w:rPr>
          <w:lang w:val="fr-CA"/>
        </w:rPr>
        <w:t xml:space="preserve"> ses pertes suffisait pour </w:t>
      </w:r>
      <w:r>
        <w:rPr>
          <w:lang w:val="fr-CA"/>
        </w:rPr>
        <w:t>per</w:t>
      </w:r>
      <w:r w:rsidRPr="009677B6">
        <w:rPr>
          <w:lang w:val="fr-CA"/>
        </w:rPr>
        <w:t>m</w:t>
      </w:r>
      <w:r>
        <w:rPr>
          <w:lang w:val="fr-CA"/>
        </w:rPr>
        <w:t>e</w:t>
      </w:r>
      <w:r w:rsidRPr="009677B6">
        <w:rPr>
          <w:lang w:val="fr-CA"/>
        </w:rPr>
        <w:t xml:space="preserve">ttre au conseil scolaire de se décharger du fardeau de preuve qui reposait sur lui et pour déplacer ce fardeau sur </w:t>
      </w:r>
      <w:proofErr w:type="spellStart"/>
      <w:r w:rsidRPr="009677B6">
        <w:rPr>
          <w:lang w:val="fr-CA"/>
        </w:rPr>
        <w:t>Southcott</w:t>
      </w:r>
      <w:proofErr w:type="spellEnd"/>
      <w:r w:rsidRPr="009677B6">
        <w:rPr>
          <w:lang w:val="fr-CA"/>
        </w:rPr>
        <w:t xml:space="preserve">, qui devait alors démontrer que, même si elle avait </w:t>
      </w:r>
      <w:r>
        <w:rPr>
          <w:lang w:val="fr-CA"/>
        </w:rPr>
        <w:t>tenté de</w:t>
      </w:r>
      <w:r w:rsidRPr="009677B6">
        <w:rPr>
          <w:lang w:val="fr-CA"/>
        </w:rPr>
        <w:t xml:space="preserve"> </w:t>
      </w:r>
      <w:r w:rsidRPr="00CE41B4">
        <w:rPr>
          <w:lang w:val="fr-CA"/>
        </w:rPr>
        <w:t>mitiger</w:t>
      </w:r>
      <w:r w:rsidRPr="009677B6">
        <w:rPr>
          <w:lang w:val="fr-CA"/>
        </w:rPr>
        <w:t xml:space="preserve"> ses pertes, elle n</w:t>
      </w:r>
      <w:r>
        <w:rPr>
          <w:lang w:val="fr-CA"/>
        </w:rPr>
        <w:t>’</w:t>
      </w:r>
      <w:r w:rsidRPr="009677B6">
        <w:rPr>
          <w:lang w:val="fr-CA"/>
        </w:rPr>
        <w:t>aurait pas pu le faire</w:t>
      </w:r>
      <w:r>
        <w:rPr>
          <w:lang w:val="fr-CA"/>
        </w:rPr>
        <w:t xml:space="preserve">.  </w:t>
      </w:r>
      <w:proofErr w:type="spellStart"/>
      <w:r w:rsidRPr="009677B6">
        <w:rPr>
          <w:lang w:val="fr-CA"/>
        </w:rPr>
        <w:t>Southcott</w:t>
      </w:r>
      <w:proofErr w:type="spellEnd"/>
      <w:r w:rsidRPr="009677B6">
        <w:rPr>
          <w:lang w:val="fr-CA"/>
        </w:rPr>
        <w:t xml:space="preserve"> n</w:t>
      </w:r>
      <w:r>
        <w:rPr>
          <w:lang w:val="fr-CA"/>
        </w:rPr>
        <w:t>’</w:t>
      </w:r>
      <w:r w:rsidRPr="009677B6">
        <w:rPr>
          <w:lang w:val="fr-CA"/>
        </w:rPr>
        <w:t xml:space="preserve">a </w:t>
      </w:r>
      <w:r w:rsidRPr="009677B6">
        <w:rPr>
          <w:lang w:val="fr-CA"/>
        </w:rPr>
        <w:lastRenderedPageBreak/>
        <w:t xml:space="preserve">soumis aucun élément de preuve </w:t>
      </w:r>
      <w:r>
        <w:rPr>
          <w:lang w:val="fr-CA"/>
        </w:rPr>
        <w:t xml:space="preserve">en ce sens.  </w:t>
      </w:r>
      <w:r w:rsidRPr="009677B6">
        <w:rPr>
          <w:lang w:val="fr-CA"/>
        </w:rPr>
        <w:t>À mon avis, le juge de première instance a commis une erreur en estimant que le conseil scolaire ne s</w:t>
      </w:r>
      <w:r>
        <w:rPr>
          <w:lang w:val="fr-CA"/>
        </w:rPr>
        <w:t>’</w:t>
      </w:r>
      <w:r w:rsidRPr="009677B6">
        <w:rPr>
          <w:lang w:val="fr-CA"/>
        </w:rPr>
        <w:t xml:space="preserve">était pas déchargé du fardeau qui lui incombait de démontrer que </w:t>
      </w:r>
      <w:proofErr w:type="spellStart"/>
      <w:r w:rsidRPr="009677B6">
        <w:rPr>
          <w:lang w:val="fr-CA"/>
        </w:rPr>
        <w:t>Southcott</w:t>
      </w:r>
      <w:proofErr w:type="spellEnd"/>
      <w:r w:rsidRPr="009677B6">
        <w:rPr>
          <w:lang w:val="fr-CA"/>
        </w:rPr>
        <w:t xml:space="preserve"> n</w:t>
      </w:r>
      <w:r>
        <w:rPr>
          <w:lang w:val="fr-CA"/>
        </w:rPr>
        <w:t>’</w:t>
      </w:r>
      <w:r w:rsidRPr="009677B6">
        <w:rPr>
          <w:lang w:val="fr-CA"/>
        </w:rPr>
        <w:t xml:space="preserve">avait pas </w:t>
      </w:r>
      <w:r w:rsidRPr="00CE41B4">
        <w:rPr>
          <w:lang w:val="fr-CA"/>
        </w:rPr>
        <w:t>mitigé</w:t>
      </w:r>
      <w:r w:rsidRPr="009677B6">
        <w:rPr>
          <w:lang w:val="fr-CA"/>
        </w:rPr>
        <w:t xml:space="preserve"> ses pertes</w:t>
      </w:r>
      <w:r>
        <w:rPr>
          <w:lang w:val="fr-CA"/>
        </w:rPr>
        <w:t>.</w:t>
      </w:r>
    </w:p>
    <w:p w:rsidR="0071502D" w:rsidRDefault="0071502D" w:rsidP="00C82AEC">
      <w:pPr>
        <w:pStyle w:val="Citation-AltC"/>
        <w:tabs>
          <w:tab w:val="left" w:pos="1620"/>
        </w:tabs>
        <w:spacing w:after="240"/>
        <w:ind w:left="1168" w:hanging="1168"/>
        <w:contextualSpacing w:val="0"/>
        <w:rPr>
          <w:lang w:val="fr-CA"/>
        </w:rPr>
      </w:pPr>
      <w:r>
        <w:rPr>
          <w:lang w:val="fr-CA"/>
        </w:rPr>
        <w:tab/>
      </w:r>
      <w:r w:rsidR="00C16DE7">
        <w:rPr>
          <w:lang w:val="fr-CA"/>
        </w:rPr>
        <w:tab/>
        <w:t xml:space="preserve">. . . </w:t>
      </w:r>
      <w:r w:rsidRPr="009677B6">
        <w:rPr>
          <w:lang w:val="fr-CA"/>
        </w:rPr>
        <w:t xml:space="preserve">En obligeant le conseil scolaire à démontrer de manière précise comment </w:t>
      </w:r>
      <w:r>
        <w:rPr>
          <w:lang w:val="fr-CA"/>
        </w:rPr>
        <w:t xml:space="preserve">les </w:t>
      </w:r>
      <w:r w:rsidRPr="009677B6">
        <w:rPr>
          <w:lang w:val="fr-CA"/>
        </w:rPr>
        <w:t xml:space="preserve">81 parcelles de terrain de placement avaient été vendues ou à </w:t>
      </w:r>
      <w:r>
        <w:rPr>
          <w:lang w:val="fr-CA"/>
        </w:rPr>
        <w:t xml:space="preserve">prouver </w:t>
      </w:r>
      <w:r w:rsidRPr="009677B6">
        <w:rPr>
          <w:lang w:val="fr-CA"/>
        </w:rPr>
        <w:t>que certaines d</w:t>
      </w:r>
      <w:r>
        <w:rPr>
          <w:lang w:val="fr-CA"/>
        </w:rPr>
        <w:t>’</w:t>
      </w:r>
      <w:r w:rsidRPr="009677B6">
        <w:rPr>
          <w:lang w:val="fr-CA"/>
        </w:rPr>
        <w:t xml:space="preserve">entre elles étaient rentables, le juge de première instance a imposé au conseil scolaire un critère tellement exigeant </w:t>
      </w:r>
      <w:r>
        <w:rPr>
          <w:lang w:val="fr-CA"/>
        </w:rPr>
        <w:t xml:space="preserve">qu’il </w:t>
      </w:r>
      <w:r w:rsidRPr="009677B6">
        <w:rPr>
          <w:lang w:val="fr-CA"/>
        </w:rPr>
        <w:t>ne pouvait y satisfaire</w:t>
      </w:r>
      <w:r>
        <w:rPr>
          <w:lang w:val="fr-CA"/>
        </w:rPr>
        <w:t xml:space="preserve">, </w:t>
      </w:r>
      <w:r w:rsidRPr="009677B6">
        <w:rPr>
          <w:lang w:val="fr-CA"/>
        </w:rPr>
        <w:t>d</w:t>
      </w:r>
      <w:r>
        <w:rPr>
          <w:lang w:val="fr-CA"/>
        </w:rPr>
        <w:t>’</w:t>
      </w:r>
      <w:r w:rsidRPr="009677B6">
        <w:rPr>
          <w:lang w:val="fr-CA"/>
        </w:rPr>
        <w:t xml:space="preserve">autant plus que </w:t>
      </w:r>
      <w:proofErr w:type="spellStart"/>
      <w:r w:rsidRPr="009677B6">
        <w:rPr>
          <w:lang w:val="fr-CA"/>
        </w:rPr>
        <w:t>Southcott</w:t>
      </w:r>
      <w:proofErr w:type="spellEnd"/>
      <w:r w:rsidRPr="009677B6">
        <w:rPr>
          <w:lang w:val="fr-CA"/>
        </w:rPr>
        <w:t xml:space="preserve"> avait admis qu</w:t>
      </w:r>
      <w:r>
        <w:rPr>
          <w:lang w:val="fr-CA"/>
        </w:rPr>
        <w:t>’</w:t>
      </w:r>
      <w:r w:rsidRPr="009677B6">
        <w:rPr>
          <w:lang w:val="fr-CA"/>
        </w:rPr>
        <w:t>elle n</w:t>
      </w:r>
      <w:r>
        <w:rPr>
          <w:lang w:val="fr-CA"/>
        </w:rPr>
        <w:t>’</w:t>
      </w:r>
      <w:r w:rsidRPr="009677B6">
        <w:rPr>
          <w:lang w:val="fr-CA"/>
        </w:rPr>
        <w:t>avait nullement l</w:t>
      </w:r>
      <w:r>
        <w:rPr>
          <w:lang w:val="fr-CA"/>
        </w:rPr>
        <w:t>’</w:t>
      </w:r>
      <w:r w:rsidRPr="009677B6">
        <w:rPr>
          <w:lang w:val="fr-CA"/>
        </w:rPr>
        <w:t xml:space="preserve">intention de </w:t>
      </w:r>
      <w:r w:rsidRPr="00CE41B4">
        <w:rPr>
          <w:lang w:val="fr-CA"/>
        </w:rPr>
        <w:t>mitiger</w:t>
      </w:r>
      <w:r w:rsidRPr="009677B6">
        <w:rPr>
          <w:lang w:val="fr-CA"/>
        </w:rPr>
        <w:t xml:space="preserve"> le préjudice</w:t>
      </w:r>
      <w:r>
        <w:rPr>
          <w:lang w:val="fr-CA"/>
        </w:rPr>
        <w:t>,</w:t>
      </w:r>
      <w:r w:rsidRPr="009677B6">
        <w:rPr>
          <w:lang w:val="fr-CA"/>
        </w:rPr>
        <w:t xml:space="preserve"> et compte tenu des éléments de preuve suivant lesquels </w:t>
      </w:r>
      <w:proofErr w:type="spellStart"/>
      <w:r w:rsidRPr="009677B6">
        <w:rPr>
          <w:lang w:val="fr-CA"/>
        </w:rPr>
        <w:t>Ballantry</w:t>
      </w:r>
      <w:proofErr w:type="spellEnd"/>
      <w:r w:rsidRPr="009677B6">
        <w:rPr>
          <w:lang w:val="fr-CA"/>
        </w:rPr>
        <w:t xml:space="preserve"> avait effectivement trouvé </w:t>
      </w:r>
      <w:r>
        <w:rPr>
          <w:lang w:val="fr-CA"/>
        </w:rPr>
        <w:t xml:space="preserve">et acheté </w:t>
      </w:r>
      <w:r w:rsidRPr="009677B6">
        <w:rPr>
          <w:lang w:val="fr-CA"/>
        </w:rPr>
        <w:t>d</w:t>
      </w:r>
      <w:r>
        <w:rPr>
          <w:lang w:val="fr-CA"/>
        </w:rPr>
        <w:t>’</w:t>
      </w:r>
      <w:r w:rsidRPr="009677B6">
        <w:rPr>
          <w:lang w:val="fr-CA"/>
        </w:rPr>
        <w:t xml:space="preserve">autres propriétés </w:t>
      </w:r>
      <w:r>
        <w:rPr>
          <w:lang w:val="fr-CA"/>
        </w:rPr>
        <w:t xml:space="preserve">susceptibles d’être </w:t>
      </w:r>
      <w:r w:rsidRPr="009677B6">
        <w:rPr>
          <w:lang w:val="fr-CA"/>
        </w:rPr>
        <w:t>mise</w:t>
      </w:r>
      <w:r>
        <w:rPr>
          <w:lang w:val="fr-CA"/>
        </w:rPr>
        <w:t>s</w:t>
      </w:r>
      <w:r w:rsidRPr="009677B6">
        <w:rPr>
          <w:lang w:val="fr-CA"/>
        </w:rPr>
        <w:t xml:space="preserve"> en valeur</w:t>
      </w:r>
      <w:r>
        <w:rPr>
          <w:lang w:val="fr-CA"/>
        </w:rPr>
        <w:t>.</w:t>
      </w:r>
    </w:p>
    <w:p w:rsidR="0071502D" w:rsidRPr="009677B6" w:rsidRDefault="0071502D" w:rsidP="00C82AEC">
      <w:pPr>
        <w:pStyle w:val="Citation-AltC"/>
        <w:tabs>
          <w:tab w:val="left" w:pos="1620"/>
        </w:tabs>
        <w:ind w:hanging="1166"/>
        <w:contextualSpacing w:val="0"/>
        <w:rPr>
          <w:lang w:val="fr-CA"/>
        </w:rPr>
      </w:pPr>
      <w:r>
        <w:rPr>
          <w:lang w:val="fr-CA"/>
        </w:rPr>
        <w:tab/>
      </w:r>
      <w:r>
        <w:rPr>
          <w:lang w:val="fr-CA"/>
        </w:rPr>
        <w:tab/>
      </w:r>
      <w:r w:rsidRPr="009677B6">
        <w:rPr>
          <w:lang w:val="fr-CA"/>
        </w:rPr>
        <w:t xml:space="preserve">Troisièmement, le juge de première instance a commis une erreur dans la façon dont il a traité les éléments de preuve relatifs </w:t>
      </w:r>
      <w:r>
        <w:rPr>
          <w:lang w:val="fr-CA"/>
        </w:rPr>
        <w:t xml:space="preserve">aux </w:t>
      </w:r>
      <w:r w:rsidRPr="009677B6">
        <w:rPr>
          <w:lang w:val="fr-CA"/>
        </w:rPr>
        <w:t>achat</w:t>
      </w:r>
      <w:r>
        <w:rPr>
          <w:lang w:val="fr-CA"/>
        </w:rPr>
        <w:t>s</w:t>
      </w:r>
      <w:r w:rsidRPr="009677B6">
        <w:rPr>
          <w:lang w:val="fr-CA"/>
        </w:rPr>
        <w:t xml:space="preserve"> d</w:t>
      </w:r>
      <w:r>
        <w:rPr>
          <w:lang w:val="fr-CA"/>
        </w:rPr>
        <w:t>’</w:t>
      </w:r>
      <w:r w:rsidRPr="009677B6">
        <w:rPr>
          <w:lang w:val="fr-CA"/>
        </w:rPr>
        <w:t>autres terrains effectué</w:t>
      </w:r>
      <w:r>
        <w:rPr>
          <w:lang w:val="fr-CA"/>
        </w:rPr>
        <w:t>s</w:t>
      </w:r>
      <w:r w:rsidRPr="009677B6">
        <w:rPr>
          <w:lang w:val="fr-CA"/>
        </w:rPr>
        <w:t xml:space="preserve"> par </w:t>
      </w:r>
      <w:proofErr w:type="spellStart"/>
      <w:r w:rsidRPr="009677B6">
        <w:rPr>
          <w:lang w:val="fr-CA"/>
        </w:rPr>
        <w:t>Ballantry</w:t>
      </w:r>
      <w:proofErr w:type="spellEnd"/>
      <w:r>
        <w:rPr>
          <w:lang w:val="fr-CA"/>
        </w:rPr>
        <w:t xml:space="preserve">.  </w:t>
      </w:r>
      <w:r w:rsidRPr="009677B6">
        <w:rPr>
          <w:lang w:val="fr-CA"/>
        </w:rPr>
        <w:t>Ces achats démontrent de façon évidente que l</w:t>
      </w:r>
      <w:r>
        <w:rPr>
          <w:lang w:val="fr-CA"/>
        </w:rPr>
        <w:t>e</w:t>
      </w:r>
      <w:r w:rsidRPr="009677B6">
        <w:rPr>
          <w:lang w:val="fr-CA"/>
        </w:rPr>
        <w:t xml:space="preserve"> dirigeant de </w:t>
      </w:r>
      <w:proofErr w:type="spellStart"/>
      <w:r w:rsidRPr="009677B6">
        <w:rPr>
          <w:lang w:val="fr-CA"/>
        </w:rPr>
        <w:t>Southcott</w:t>
      </w:r>
      <w:proofErr w:type="spellEnd"/>
      <w:r w:rsidRPr="009677B6">
        <w:rPr>
          <w:lang w:val="fr-CA"/>
        </w:rPr>
        <w:t xml:space="preserve"> </w:t>
      </w:r>
      <w:r>
        <w:rPr>
          <w:lang w:val="fr-CA"/>
        </w:rPr>
        <w:t>sav</w:t>
      </w:r>
      <w:r w:rsidRPr="009677B6">
        <w:rPr>
          <w:lang w:val="fr-CA"/>
        </w:rPr>
        <w:t>ait que des terr</w:t>
      </w:r>
      <w:r>
        <w:rPr>
          <w:lang w:val="fr-CA"/>
        </w:rPr>
        <w:t>ains</w:t>
      </w:r>
      <w:r w:rsidRPr="009677B6">
        <w:rPr>
          <w:lang w:val="fr-CA"/>
        </w:rPr>
        <w:t xml:space="preserve"> de placement de qualité qui se prêtaient bien à une mise en valeur rentable étaient </w:t>
      </w:r>
      <w:r>
        <w:rPr>
          <w:lang w:val="fr-CA"/>
        </w:rPr>
        <w:t xml:space="preserve">disponibles </w:t>
      </w:r>
      <w:r w:rsidRPr="009677B6">
        <w:rPr>
          <w:lang w:val="fr-CA"/>
        </w:rPr>
        <w:t>sur le marché</w:t>
      </w:r>
      <w:r>
        <w:rPr>
          <w:lang w:val="fr-CA"/>
        </w:rPr>
        <w:t>.  [par. 24</w:t>
      </w:r>
      <w:r w:rsidR="001F6758">
        <w:rPr>
          <w:lang w:val="fr-CA"/>
        </w:rPr>
        <w:t>-</w:t>
      </w:r>
      <w:r w:rsidR="00C16DE7">
        <w:rPr>
          <w:lang w:val="fr-CA"/>
        </w:rPr>
        <w:t>26]</w:t>
      </w:r>
    </w:p>
    <w:p w:rsidR="0071502D" w:rsidRPr="009677B6" w:rsidRDefault="0071502D" w:rsidP="0071502D">
      <w:pPr>
        <w:pStyle w:val="ParaNoNdepar-AltN"/>
        <w:rPr>
          <w:lang w:val="fr-CA"/>
        </w:rPr>
      </w:pPr>
      <w:r w:rsidRPr="009677B6">
        <w:rPr>
          <w:lang w:val="fr-CA"/>
        </w:rPr>
        <w:t>Comme nous l</w:t>
      </w:r>
      <w:r>
        <w:rPr>
          <w:lang w:val="fr-CA"/>
        </w:rPr>
        <w:t>’</w:t>
      </w:r>
      <w:r w:rsidRPr="009677B6">
        <w:rPr>
          <w:lang w:val="fr-CA"/>
        </w:rPr>
        <w:t>avons déjà signalé, lorsqu</w:t>
      </w:r>
      <w:r>
        <w:rPr>
          <w:lang w:val="fr-CA"/>
        </w:rPr>
        <w:t>’</w:t>
      </w:r>
      <w:r w:rsidRPr="009677B6">
        <w:rPr>
          <w:lang w:val="fr-CA"/>
        </w:rPr>
        <w:t>il est allégué que le demandeur n</w:t>
      </w:r>
      <w:r>
        <w:rPr>
          <w:lang w:val="fr-CA"/>
        </w:rPr>
        <w:t>’</w:t>
      </w:r>
      <w:r w:rsidRPr="009677B6">
        <w:rPr>
          <w:lang w:val="fr-CA"/>
        </w:rPr>
        <w:t xml:space="preserve">a pas </w:t>
      </w:r>
      <w:r w:rsidRPr="00CE41B4">
        <w:rPr>
          <w:lang w:val="fr-CA"/>
        </w:rPr>
        <w:t>mitigé</w:t>
      </w:r>
      <w:r w:rsidRPr="009677B6">
        <w:rPr>
          <w:lang w:val="fr-CA"/>
        </w:rPr>
        <w:t xml:space="preserve"> ses pertes, la charge de la preuve selon la prépondérance des probabilités repose sur le défendeur, qui doit établir non seulement que le demandeur n</w:t>
      </w:r>
      <w:r>
        <w:rPr>
          <w:lang w:val="fr-CA"/>
        </w:rPr>
        <w:t>’</w:t>
      </w:r>
      <w:r w:rsidRPr="009677B6">
        <w:rPr>
          <w:lang w:val="fr-CA"/>
        </w:rPr>
        <w:t>a pas fait d</w:t>
      </w:r>
      <w:r>
        <w:rPr>
          <w:lang w:val="fr-CA"/>
        </w:rPr>
        <w:t>’</w:t>
      </w:r>
      <w:r w:rsidRPr="009677B6">
        <w:rPr>
          <w:lang w:val="fr-CA"/>
        </w:rPr>
        <w:t xml:space="preserve">efforts </w:t>
      </w:r>
      <w:bookmarkStart w:id="0" w:name="OLE_LINK1"/>
      <w:bookmarkStart w:id="1" w:name="OLE_LINK2"/>
      <w:r w:rsidRPr="009677B6">
        <w:rPr>
          <w:lang w:val="fr-CA"/>
        </w:rPr>
        <w:t xml:space="preserve">raisonnables pour trouver un </w:t>
      </w:r>
      <w:r>
        <w:rPr>
          <w:lang w:val="fr-CA"/>
        </w:rPr>
        <w:t xml:space="preserve">bien de </w:t>
      </w:r>
      <w:r w:rsidRPr="009677B6">
        <w:rPr>
          <w:lang w:val="fr-CA"/>
        </w:rPr>
        <w:t>substitut</w:t>
      </w:r>
      <w:r>
        <w:rPr>
          <w:lang w:val="fr-CA"/>
        </w:rPr>
        <w:t>ion</w:t>
      </w:r>
      <w:r w:rsidRPr="009677B6">
        <w:rPr>
          <w:lang w:val="fr-CA"/>
        </w:rPr>
        <w:t>, mais également qu</w:t>
      </w:r>
      <w:r>
        <w:rPr>
          <w:lang w:val="fr-CA"/>
        </w:rPr>
        <w:t>’</w:t>
      </w:r>
      <w:r w:rsidRPr="009677B6">
        <w:rPr>
          <w:lang w:val="fr-CA"/>
        </w:rPr>
        <w:t xml:space="preserve">il était possible de trouver un </w:t>
      </w:r>
      <w:r>
        <w:rPr>
          <w:lang w:val="fr-CA"/>
        </w:rPr>
        <w:t xml:space="preserve">bien de </w:t>
      </w:r>
      <w:r w:rsidRPr="009677B6">
        <w:rPr>
          <w:lang w:val="fr-CA"/>
        </w:rPr>
        <w:t>substitut</w:t>
      </w:r>
      <w:r>
        <w:rPr>
          <w:lang w:val="fr-CA"/>
        </w:rPr>
        <w:t>ion rentable et</w:t>
      </w:r>
      <w:r w:rsidRPr="009677B6">
        <w:rPr>
          <w:lang w:val="fr-CA"/>
        </w:rPr>
        <w:t xml:space="preserve"> </w:t>
      </w:r>
      <w:bookmarkEnd w:id="0"/>
      <w:bookmarkEnd w:id="1"/>
      <w:r>
        <w:rPr>
          <w:lang w:val="fr-CA"/>
        </w:rPr>
        <w:t>valable</w:t>
      </w:r>
      <w:r w:rsidRPr="009677B6">
        <w:rPr>
          <w:lang w:val="fr-CA"/>
        </w:rPr>
        <w:t>.</w:t>
      </w:r>
    </w:p>
    <w:p w:rsidR="0071502D" w:rsidRPr="009677B6" w:rsidRDefault="0071502D" w:rsidP="0071502D">
      <w:pPr>
        <w:pStyle w:val="ParaNoNdepar-AltN"/>
        <w:rPr>
          <w:lang w:val="fr-CA"/>
        </w:rPr>
      </w:pPr>
      <w:r>
        <w:rPr>
          <w:lang w:val="fr-CA"/>
        </w:rPr>
        <w:t xml:space="preserve">Ainsi, il serait erroné </w:t>
      </w:r>
      <w:r w:rsidRPr="009677B6">
        <w:rPr>
          <w:lang w:val="fr-CA"/>
        </w:rPr>
        <w:t>de prétendre qu</w:t>
      </w:r>
      <w:r>
        <w:rPr>
          <w:lang w:val="fr-CA"/>
        </w:rPr>
        <w:t>’</w:t>
      </w:r>
      <w:r w:rsidRPr="009677B6">
        <w:rPr>
          <w:lang w:val="fr-CA"/>
        </w:rPr>
        <w:t>il n</w:t>
      </w:r>
      <w:r>
        <w:rPr>
          <w:lang w:val="fr-CA"/>
        </w:rPr>
        <w:t>’</w:t>
      </w:r>
      <w:r w:rsidRPr="009677B6">
        <w:rPr>
          <w:lang w:val="fr-CA"/>
        </w:rPr>
        <w:t>incomb</w:t>
      </w:r>
      <w:r>
        <w:rPr>
          <w:lang w:val="fr-CA"/>
        </w:rPr>
        <w:t>ait</w:t>
      </w:r>
      <w:r w:rsidRPr="009677B6">
        <w:rPr>
          <w:lang w:val="fr-CA"/>
        </w:rPr>
        <w:t xml:space="preserve"> pas au défendeur de démontrer qu</w:t>
      </w:r>
      <w:r>
        <w:rPr>
          <w:lang w:val="fr-CA"/>
        </w:rPr>
        <w:t>’</w:t>
      </w:r>
      <w:r w:rsidRPr="009677B6">
        <w:rPr>
          <w:lang w:val="fr-CA"/>
        </w:rPr>
        <w:t xml:space="preserve">il était possible de </w:t>
      </w:r>
      <w:r w:rsidRPr="00CE41B4">
        <w:rPr>
          <w:lang w:val="fr-CA"/>
        </w:rPr>
        <w:t>mitiger</w:t>
      </w:r>
      <w:r w:rsidRPr="009677B6">
        <w:rPr>
          <w:lang w:val="fr-CA"/>
        </w:rPr>
        <w:t xml:space="preserve"> les dommages même lorsque le demandeur n</w:t>
      </w:r>
      <w:r>
        <w:rPr>
          <w:lang w:val="fr-CA"/>
        </w:rPr>
        <w:t>’</w:t>
      </w:r>
      <w:r w:rsidRPr="009677B6">
        <w:rPr>
          <w:lang w:val="fr-CA"/>
        </w:rPr>
        <w:t>a rien fait pour le</w:t>
      </w:r>
      <w:r>
        <w:rPr>
          <w:lang w:val="fr-CA"/>
        </w:rPr>
        <w:t>s</w:t>
      </w:r>
      <w:r w:rsidRPr="009677B6">
        <w:rPr>
          <w:lang w:val="fr-CA"/>
        </w:rPr>
        <w:t xml:space="preserve"> </w:t>
      </w:r>
      <w:r w:rsidRPr="00CE41B4">
        <w:rPr>
          <w:lang w:val="fr-CA"/>
        </w:rPr>
        <w:t>mitiger</w:t>
      </w:r>
      <w:r>
        <w:rPr>
          <w:lang w:val="fr-CA"/>
        </w:rPr>
        <w:t>.  De plus, même si j’estime que le juge de première instance a commis une erreur dans son analyse de la preuve relative à la disponibilité des 81 immeubles</w:t>
      </w:r>
      <w:r w:rsidRPr="006836CE">
        <w:rPr>
          <w:lang w:val="fr-CA"/>
        </w:rPr>
        <w:t xml:space="preserve"> </w:t>
      </w:r>
      <w:r>
        <w:rPr>
          <w:lang w:val="fr-CA"/>
        </w:rPr>
        <w:t xml:space="preserve">faite par le conseil scolaire, il est préférable d’aborder cette erreur </w:t>
      </w:r>
      <w:r>
        <w:rPr>
          <w:lang w:val="fr-CA"/>
        </w:rPr>
        <w:lastRenderedPageBreak/>
        <w:t xml:space="preserve">en disant qu’elle tient à une question de preuve plutôt qu’à l’application du fardeau de la preuve.  </w:t>
      </w:r>
    </w:p>
    <w:p w:rsidR="0071502D" w:rsidRDefault="0071502D" w:rsidP="0071502D">
      <w:pPr>
        <w:pStyle w:val="ParaNoNdepar-AltN"/>
        <w:rPr>
          <w:lang w:val="fr-CA"/>
        </w:rPr>
      </w:pPr>
      <w:r w:rsidRPr="009677B6">
        <w:rPr>
          <w:lang w:val="fr-CA"/>
        </w:rPr>
        <w:t xml:space="preserve">La conclusion </w:t>
      </w:r>
      <w:r>
        <w:rPr>
          <w:lang w:val="fr-CA"/>
        </w:rPr>
        <w:t xml:space="preserve">relative à </w:t>
      </w:r>
      <w:r w:rsidRPr="009677B6">
        <w:rPr>
          <w:lang w:val="fr-CA"/>
        </w:rPr>
        <w:t xml:space="preserve">la question de savoir si </w:t>
      </w:r>
      <w:proofErr w:type="spellStart"/>
      <w:r w:rsidRPr="009677B6">
        <w:rPr>
          <w:lang w:val="fr-CA"/>
        </w:rPr>
        <w:t>Southcott</w:t>
      </w:r>
      <w:proofErr w:type="spellEnd"/>
      <w:r w:rsidRPr="009677B6">
        <w:rPr>
          <w:lang w:val="fr-CA"/>
        </w:rPr>
        <w:t xml:space="preserve"> au</w:t>
      </w:r>
      <w:r>
        <w:rPr>
          <w:lang w:val="fr-CA"/>
        </w:rPr>
        <w:t xml:space="preserve">rait pu </w:t>
      </w:r>
      <w:r w:rsidRPr="00031830">
        <w:rPr>
          <w:lang w:val="fr-CA"/>
        </w:rPr>
        <w:t>mitiger</w:t>
      </w:r>
      <w:r w:rsidRPr="009677B6">
        <w:rPr>
          <w:lang w:val="fr-CA"/>
        </w:rPr>
        <w:t xml:space="preserve"> le préjudice suppose l</w:t>
      </w:r>
      <w:r>
        <w:rPr>
          <w:lang w:val="fr-CA"/>
        </w:rPr>
        <w:t>’</w:t>
      </w:r>
      <w:r w:rsidRPr="009677B6">
        <w:rPr>
          <w:lang w:val="fr-CA"/>
        </w:rPr>
        <w:t>application d</w:t>
      </w:r>
      <w:r>
        <w:rPr>
          <w:lang w:val="fr-CA"/>
        </w:rPr>
        <w:t>’</w:t>
      </w:r>
      <w:r w:rsidRPr="009677B6">
        <w:rPr>
          <w:lang w:val="fr-CA"/>
        </w:rPr>
        <w:t>une norme juridique; il s</w:t>
      </w:r>
      <w:r>
        <w:rPr>
          <w:lang w:val="fr-CA"/>
        </w:rPr>
        <w:t>’</w:t>
      </w:r>
      <w:r w:rsidRPr="009677B6">
        <w:rPr>
          <w:lang w:val="fr-CA"/>
        </w:rPr>
        <w:t>agit d</w:t>
      </w:r>
      <w:r>
        <w:rPr>
          <w:lang w:val="fr-CA"/>
        </w:rPr>
        <w:t>’</w:t>
      </w:r>
      <w:r w:rsidRPr="009677B6">
        <w:rPr>
          <w:lang w:val="fr-CA"/>
        </w:rPr>
        <w:t>une question mixte de fait et de droit</w:t>
      </w:r>
      <w:r>
        <w:rPr>
          <w:lang w:val="fr-CA"/>
        </w:rPr>
        <w:t xml:space="preserve">.  La question de savoir s’il existait des immeubles comparables et s’ils étaient rentables est une question </w:t>
      </w:r>
      <w:r w:rsidR="0094133F">
        <w:rPr>
          <w:lang w:val="fr-CA"/>
        </w:rPr>
        <w:t>de fait.  Dans sa décision, la C</w:t>
      </w:r>
      <w:r>
        <w:rPr>
          <w:lang w:val="fr-CA"/>
        </w:rPr>
        <w:t xml:space="preserve">our d’appel en vient implicitement à qualifier de déraisonnables les conclusions de fait du juge de première instance. </w:t>
      </w:r>
    </w:p>
    <w:p w:rsidR="0071502D" w:rsidRDefault="0071502D" w:rsidP="0071502D">
      <w:pPr>
        <w:pStyle w:val="ParaNoNdepar-AltN"/>
        <w:rPr>
          <w:lang w:val="fr-CA"/>
        </w:rPr>
      </w:pPr>
      <w:r>
        <w:rPr>
          <w:lang w:val="fr-CA"/>
        </w:rPr>
        <w:t>Pour les raisons qui suivent, j</w:t>
      </w:r>
      <w:r w:rsidRPr="009677B6">
        <w:rPr>
          <w:lang w:val="fr-CA"/>
        </w:rPr>
        <w:t>e suis d</w:t>
      </w:r>
      <w:r>
        <w:rPr>
          <w:lang w:val="fr-CA"/>
        </w:rPr>
        <w:t>’</w:t>
      </w:r>
      <w:r w:rsidRPr="009677B6">
        <w:rPr>
          <w:lang w:val="fr-CA"/>
        </w:rPr>
        <w:t xml:space="preserve">accord avec la </w:t>
      </w:r>
      <w:r w:rsidR="0094133F">
        <w:rPr>
          <w:lang w:val="fr-CA"/>
        </w:rPr>
        <w:t>C</w:t>
      </w:r>
      <w:r w:rsidRPr="009677B6">
        <w:rPr>
          <w:lang w:val="fr-CA"/>
        </w:rPr>
        <w:t>our d</w:t>
      </w:r>
      <w:r>
        <w:rPr>
          <w:lang w:val="fr-CA"/>
        </w:rPr>
        <w:t>’</w:t>
      </w:r>
      <w:r w:rsidRPr="009677B6">
        <w:rPr>
          <w:lang w:val="fr-CA"/>
        </w:rPr>
        <w:t xml:space="preserve">appel pour dire que le juge de première instance a commis une erreur </w:t>
      </w:r>
      <w:r>
        <w:rPr>
          <w:lang w:val="fr-CA"/>
        </w:rPr>
        <w:t xml:space="preserve">de principe </w:t>
      </w:r>
      <w:r w:rsidRPr="009677B6">
        <w:rPr>
          <w:lang w:val="fr-CA"/>
        </w:rPr>
        <w:t xml:space="preserve">en </w:t>
      </w:r>
      <w:r>
        <w:rPr>
          <w:lang w:val="fr-CA"/>
        </w:rPr>
        <w:t>n’</w:t>
      </w:r>
      <w:r w:rsidRPr="009677B6">
        <w:rPr>
          <w:lang w:val="fr-CA"/>
        </w:rPr>
        <w:t>ex</w:t>
      </w:r>
      <w:r>
        <w:rPr>
          <w:lang w:val="fr-CA"/>
        </w:rPr>
        <w:t>amin</w:t>
      </w:r>
      <w:r w:rsidRPr="009677B6">
        <w:rPr>
          <w:lang w:val="fr-CA"/>
        </w:rPr>
        <w:t xml:space="preserve">ant </w:t>
      </w:r>
      <w:r>
        <w:rPr>
          <w:lang w:val="fr-CA"/>
        </w:rPr>
        <w:t xml:space="preserve">pas les éléments de </w:t>
      </w:r>
      <w:r w:rsidRPr="009677B6">
        <w:rPr>
          <w:lang w:val="fr-CA"/>
        </w:rPr>
        <w:t xml:space="preserve">preuve </w:t>
      </w:r>
      <w:r>
        <w:rPr>
          <w:lang w:val="fr-CA"/>
        </w:rPr>
        <w:t xml:space="preserve">pertinents.  Plus particulièrement, les achats subséquents de </w:t>
      </w:r>
      <w:proofErr w:type="spellStart"/>
      <w:r w:rsidRPr="009677B6">
        <w:rPr>
          <w:lang w:val="fr-CA"/>
        </w:rPr>
        <w:t>Ballantry</w:t>
      </w:r>
      <w:proofErr w:type="spellEnd"/>
      <w:r w:rsidRPr="009677B6">
        <w:rPr>
          <w:lang w:val="fr-CA"/>
        </w:rPr>
        <w:t xml:space="preserve"> </w:t>
      </w:r>
      <w:r>
        <w:rPr>
          <w:lang w:val="fr-CA"/>
        </w:rPr>
        <w:t xml:space="preserve">démontraient </w:t>
      </w:r>
      <w:r w:rsidRPr="009677B6">
        <w:rPr>
          <w:lang w:val="fr-CA"/>
        </w:rPr>
        <w:t>que d</w:t>
      </w:r>
      <w:r>
        <w:rPr>
          <w:lang w:val="fr-CA"/>
        </w:rPr>
        <w:t>’</w:t>
      </w:r>
      <w:r w:rsidRPr="009677B6">
        <w:rPr>
          <w:lang w:val="fr-CA"/>
        </w:rPr>
        <w:t>autres terrains susceptibles d</w:t>
      </w:r>
      <w:r>
        <w:rPr>
          <w:lang w:val="fr-CA"/>
        </w:rPr>
        <w:t>’</w:t>
      </w:r>
      <w:r w:rsidRPr="009677B6">
        <w:rPr>
          <w:lang w:val="fr-CA"/>
        </w:rPr>
        <w:t>être mis en valeur</w:t>
      </w:r>
      <w:r>
        <w:rPr>
          <w:lang w:val="fr-CA"/>
        </w:rPr>
        <w:t xml:space="preserve"> étaient raisonnablement disponibles</w:t>
      </w:r>
      <w:r w:rsidRPr="009677B6">
        <w:rPr>
          <w:lang w:val="fr-CA"/>
        </w:rPr>
        <w:t>.</w:t>
      </w:r>
      <w:r>
        <w:rPr>
          <w:lang w:val="fr-CA"/>
        </w:rPr>
        <w:t xml:space="preserve">  Ces erreurs ont faussé l’analyse factuelle sur la question de la </w:t>
      </w:r>
      <w:r w:rsidRPr="00031830">
        <w:rPr>
          <w:lang w:val="fr-CA"/>
        </w:rPr>
        <w:t>mitigation</w:t>
      </w:r>
      <w:r>
        <w:rPr>
          <w:lang w:val="fr-CA"/>
        </w:rPr>
        <w:t xml:space="preserve"> du préjudice.  Je conclus que le juge de première instance a commis une erreur manifeste et dominante en affirmant qu’il n’y avait pas de possibilités d’acquérir une propriété rentable comparable permettant de </w:t>
      </w:r>
      <w:r w:rsidRPr="00031830">
        <w:rPr>
          <w:lang w:val="fr-CA"/>
        </w:rPr>
        <w:t>mitiger</w:t>
      </w:r>
      <w:r>
        <w:rPr>
          <w:lang w:val="fr-CA"/>
        </w:rPr>
        <w:t xml:space="preserve"> le préjudice :</w:t>
      </w:r>
      <w:r w:rsidR="002C0DB2">
        <w:rPr>
          <w:lang w:val="fr-CA"/>
        </w:rPr>
        <w:t xml:space="preserve"> voir</w:t>
      </w:r>
      <w:r>
        <w:rPr>
          <w:lang w:val="fr-CA"/>
        </w:rPr>
        <w:t xml:space="preserve"> </w:t>
      </w:r>
      <w:proofErr w:type="spellStart"/>
      <w:r>
        <w:rPr>
          <w:i/>
          <w:lang w:val="fr-CA"/>
        </w:rPr>
        <w:t>Housen</w:t>
      </w:r>
      <w:proofErr w:type="spellEnd"/>
      <w:r>
        <w:rPr>
          <w:i/>
          <w:lang w:val="fr-CA"/>
        </w:rPr>
        <w:t xml:space="preserve"> c. </w:t>
      </w:r>
      <w:proofErr w:type="spellStart"/>
      <w:r>
        <w:rPr>
          <w:i/>
          <w:lang w:val="fr-CA"/>
        </w:rPr>
        <w:t>Nikolaisen</w:t>
      </w:r>
      <w:proofErr w:type="spellEnd"/>
      <w:r>
        <w:rPr>
          <w:lang w:val="fr-CA"/>
        </w:rPr>
        <w:t>, 2002 CSC 33, [2002] 2 R.C.S. 235, par. 10.</w:t>
      </w:r>
    </w:p>
    <w:p w:rsidR="0071502D" w:rsidRPr="00C83DC0" w:rsidRDefault="0094133F" w:rsidP="00C82AEC">
      <w:pPr>
        <w:pStyle w:val="TitleTitre-AltT"/>
        <w:tabs>
          <w:tab w:val="clear" w:pos="360"/>
          <w:tab w:val="left" w:pos="540"/>
          <w:tab w:val="left" w:pos="1170"/>
        </w:tabs>
        <w:ind w:left="1170" w:hanging="1170"/>
        <w:rPr>
          <w:lang w:val="fr-CA"/>
        </w:rPr>
      </w:pPr>
      <w:r>
        <w:rPr>
          <w:lang w:val="fr-CA"/>
        </w:rPr>
        <w:lastRenderedPageBreak/>
        <w:tab/>
      </w:r>
      <w:r w:rsidR="0071502D">
        <w:rPr>
          <w:lang w:val="fr-CA"/>
        </w:rPr>
        <w:t>(1)</w:t>
      </w:r>
      <w:r w:rsidR="0071502D">
        <w:rPr>
          <w:lang w:val="fr-CA"/>
        </w:rPr>
        <w:tab/>
      </w:r>
      <w:r w:rsidR="0071502D">
        <w:rPr>
          <w:u w:val="single"/>
          <w:lang w:val="fr-CA"/>
        </w:rPr>
        <w:t>La preuve d’expert relative aux immeubles comparables</w:t>
      </w:r>
    </w:p>
    <w:p w:rsidR="0071502D" w:rsidRPr="009677B6" w:rsidRDefault="0071502D" w:rsidP="0071502D">
      <w:pPr>
        <w:pStyle w:val="ParaNoNdepar-AltN"/>
        <w:rPr>
          <w:lang w:val="fr-CA"/>
        </w:rPr>
      </w:pPr>
      <w:r w:rsidRPr="009677B6">
        <w:rPr>
          <w:lang w:val="fr-CA"/>
        </w:rPr>
        <w:t xml:space="preserve">Au procès, </w:t>
      </w:r>
      <w:r>
        <w:rPr>
          <w:lang w:val="fr-CA"/>
        </w:rPr>
        <w:t>le conseil scolaire</w:t>
      </w:r>
      <w:r w:rsidRPr="009677B6">
        <w:rPr>
          <w:lang w:val="fr-CA"/>
        </w:rPr>
        <w:t xml:space="preserve"> a présenté des éléments de preuve </w:t>
      </w:r>
      <w:r>
        <w:rPr>
          <w:lang w:val="fr-CA"/>
        </w:rPr>
        <w:t xml:space="preserve">établissant </w:t>
      </w:r>
      <w:r w:rsidRPr="009677B6">
        <w:rPr>
          <w:lang w:val="fr-CA"/>
        </w:rPr>
        <w:t xml:space="preserve">que 81 parcelles de terres en friche </w:t>
      </w:r>
      <w:r>
        <w:rPr>
          <w:lang w:val="fr-CA"/>
        </w:rPr>
        <w:t xml:space="preserve">propres </w:t>
      </w:r>
      <w:r w:rsidRPr="009677B6">
        <w:rPr>
          <w:lang w:val="fr-CA"/>
        </w:rPr>
        <w:t xml:space="preserve">à être mises en valeur et 49 propriétés foncières subdivisées en lots </w:t>
      </w:r>
      <w:r>
        <w:rPr>
          <w:lang w:val="fr-CA"/>
        </w:rPr>
        <w:t xml:space="preserve">constructibles </w:t>
      </w:r>
      <w:r w:rsidRPr="009677B6">
        <w:rPr>
          <w:lang w:val="fr-CA"/>
        </w:rPr>
        <w:t xml:space="preserve">étaient en vente dans la région métropolitaine de Toronto et avaient effectivement été vendues au cours de la période comprise entre le </w:t>
      </w:r>
      <w:r>
        <w:rPr>
          <w:lang w:val="fr-CA"/>
        </w:rPr>
        <w:t>31 </w:t>
      </w:r>
      <w:r w:rsidRPr="009677B6">
        <w:rPr>
          <w:lang w:val="fr-CA"/>
        </w:rPr>
        <w:t xml:space="preserve">janvier 2005 et la date du </w:t>
      </w:r>
      <w:r>
        <w:rPr>
          <w:lang w:val="fr-CA"/>
        </w:rPr>
        <w:t xml:space="preserve">début du </w:t>
      </w:r>
      <w:r w:rsidRPr="009677B6">
        <w:rPr>
          <w:lang w:val="fr-CA"/>
        </w:rPr>
        <w:t>procès (</w:t>
      </w:r>
      <w:r>
        <w:rPr>
          <w:lang w:val="fr-CA"/>
        </w:rPr>
        <w:t>par. </w:t>
      </w:r>
      <w:r w:rsidRPr="009677B6">
        <w:rPr>
          <w:lang w:val="fr-CA"/>
        </w:rPr>
        <w:t>136</w:t>
      </w:r>
      <w:r w:rsidR="0094133F">
        <w:rPr>
          <w:lang w:val="fr-CA"/>
        </w:rPr>
        <w:t xml:space="preserve"> de la décision du juge de première instance</w:t>
      </w:r>
      <w:r w:rsidRPr="009677B6">
        <w:rPr>
          <w:lang w:val="fr-CA"/>
        </w:rPr>
        <w:t>)</w:t>
      </w:r>
      <w:r>
        <w:rPr>
          <w:lang w:val="fr-CA"/>
        </w:rPr>
        <w:t xml:space="preserve">.  </w:t>
      </w:r>
      <w:r w:rsidRPr="00031830">
        <w:rPr>
          <w:lang w:val="fr-CA"/>
        </w:rPr>
        <w:t>L</w:t>
      </w:r>
      <w:r>
        <w:rPr>
          <w:lang w:val="fr-CA"/>
        </w:rPr>
        <w:t>’</w:t>
      </w:r>
      <w:r w:rsidRPr="00031830">
        <w:rPr>
          <w:lang w:val="fr-CA"/>
        </w:rPr>
        <w:t xml:space="preserve">expert du </w:t>
      </w:r>
      <w:r w:rsidRPr="00031830">
        <w:rPr>
          <w:szCs w:val="24"/>
          <w:lang w:val="fr-CA"/>
        </w:rPr>
        <w:t>conseil scolaire avait retenu l</w:t>
      </w:r>
      <w:r w:rsidRPr="00031830">
        <w:rPr>
          <w:lang w:val="fr-CA"/>
        </w:rPr>
        <w:t xml:space="preserve">es paramètres suivants </w:t>
      </w:r>
      <w:r w:rsidRPr="00031830">
        <w:rPr>
          <w:szCs w:val="24"/>
          <w:lang w:val="fr-CA"/>
        </w:rPr>
        <w:t>pour le choix des parcelles de substitution disponibles : des terrains vendus pour un prix variant entre 1 000 000 $ et 27 000 000 $ qui pourraient être mis en valeur dans un délai maximum d</w:t>
      </w:r>
      <w:r>
        <w:rPr>
          <w:szCs w:val="24"/>
          <w:lang w:val="fr-CA"/>
        </w:rPr>
        <w:t>’</w:t>
      </w:r>
      <w:r w:rsidRPr="00031830">
        <w:rPr>
          <w:szCs w:val="24"/>
          <w:lang w:val="fr-CA"/>
        </w:rPr>
        <w:t>un an et qui se trouvaient</w:t>
      </w:r>
      <w:r w:rsidRPr="009677B6">
        <w:rPr>
          <w:szCs w:val="24"/>
          <w:lang w:val="fr-CA"/>
        </w:rPr>
        <w:t xml:space="preserve"> dans une zone résidentielle familiale à densité faible à moyenne</w:t>
      </w:r>
      <w:r>
        <w:rPr>
          <w:szCs w:val="24"/>
          <w:lang w:val="fr-CA"/>
        </w:rPr>
        <w:t xml:space="preserve">.  </w:t>
      </w:r>
      <w:r w:rsidRPr="009677B6">
        <w:rPr>
          <w:szCs w:val="24"/>
          <w:lang w:val="fr-CA"/>
        </w:rPr>
        <w:t>Ces paramètres avaient été retenus parce qu</w:t>
      </w:r>
      <w:r>
        <w:rPr>
          <w:szCs w:val="24"/>
          <w:lang w:val="fr-CA"/>
        </w:rPr>
        <w:t>’</w:t>
      </w:r>
      <w:r w:rsidRPr="009677B6">
        <w:rPr>
          <w:szCs w:val="24"/>
          <w:lang w:val="fr-CA"/>
        </w:rPr>
        <w:t xml:space="preserve">ils correspondaient aux achats effectivement effectués par le groupe </w:t>
      </w:r>
      <w:proofErr w:type="spellStart"/>
      <w:r w:rsidRPr="009677B6">
        <w:rPr>
          <w:szCs w:val="24"/>
          <w:lang w:val="fr-CA"/>
        </w:rPr>
        <w:t>Ballantry</w:t>
      </w:r>
      <w:proofErr w:type="spellEnd"/>
      <w:r w:rsidRPr="009677B6">
        <w:rPr>
          <w:szCs w:val="24"/>
          <w:lang w:val="fr-CA"/>
        </w:rPr>
        <w:t>.</w:t>
      </w:r>
    </w:p>
    <w:p w:rsidR="0071502D" w:rsidRPr="009677B6" w:rsidRDefault="0071502D" w:rsidP="0071502D">
      <w:pPr>
        <w:pStyle w:val="ParaNoNdepar-AltN"/>
        <w:autoSpaceDE w:val="0"/>
        <w:autoSpaceDN w:val="0"/>
        <w:adjustRightInd w:val="0"/>
        <w:rPr>
          <w:szCs w:val="24"/>
          <w:lang w:val="fr-CA"/>
        </w:rPr>
      </w:pPr>
      <w:r w:rsidRPr="009677B6">
        <w:rPr>
          <w:lang w:val="fr-CA"/>
        </w:rPr>
        <w:t>Le juge de première instance a néanmoins conclu que le conseil scolaire ne s</w:t>
      </w:r>
      <w:r>
        <w:rPr>
          <w:lang w:val="fr-CA"/>
        </w:rPr>
        <w:t>’</w:t>
      </w:r>
      <w:r w:rsidRPr="009677B6">
        <w:rPr>
          <w:lang w:val="fr-CA"/>
        </w:rPr>
        <w:t xml:space="preserve">était pas acquitté du fardeau qui lui incombait de démontrer que </w:t>
      </w:r>
      <w:proofErr w:type="spellStart"/>
      <w:r w:rsidRPr="009677B6">
        <w:rPr>
          <w:lang w:val="fr-CA"/>
        </w:rPr>
        <w:t>Southcott</w:t>
      </w:r>
      <w:proofErr w:type="spellEnd"/>
      <w:r w:rsidRPr="009677B6">
        <w:rPr>
          <w:lang w:val="fr-CA"/>
        </w:rPr>
        <w:t xml:space="preserve"> ne s</w:t>
      </w:r>
      <w:r>
        <w:rPr>
          <w:lang w:val="fr-CA"/>
        </w:rPr>
        <w:t>’</w:t>
      </w:r>
      <w:r w:rsidRPr="009677B6">
        <w:rPr>
          <w:lang w:val="fr-CA"/>
        </w:rPr>
        <w:t>était pas prévalue d</w:t>
      </w:r>
      <w:r>
        <w:rPr>
          <w:lang w:val="fr-CA"/>
        </w:rPr>
        <w:t>’un</w:t>
      </w:r>
      <w:r w:rsidRPr="009677B6">
        <w:rPr>
          <w:lang w:val="fr-CA"/>
        </w:rPr>
        <w:t>e possibilité raisonnable qui s</w:t>
      </w:r>
      <w:r>
        <w:rPr>
          <w:lang w:val="fr-CA"/>
        </w:rPr>
        <w:t>’offrai</w:t>
      </w:r>
      <w:r w:rsidRPr="009677B6">
        <w:rPr>
          <w:lang w:val="fr-CA"/>
        </w:rPr>
        <w:t xml:space="preserve">t à elle </w:t>
      </w:r>
      <w:r>
        <w:rPr>
          <w:lang w:val="fr-CA"/>
        </w:rPr>
        <w:t xml:space="preserve">de </w:t>
      </w:r>
      <w:r w:rsidRPr="00031830">
        <w:rPr>
          <w:lang w:val="fr-CA"/>
        </w:rPr>
        <w:t>mitiger</w:t>
      </w:r>
      <w:r w:rsidRPr="009677B6">
        <w:rPr>
          <w:lang w:val="fr-CA"/>
        </w:rPr>
        <w:t xml:space="preserve"> ses pertes</w:t>
      </w:r>
      <w:r>
        <w:rPr>
          <w:lang w:val="fr-CA"/>
        </w:rPr>
        <w:t xml:space="preserve">.  Selon lui, la preuve ne démontrait pas </w:t>
      </w:r>
      <w:r w:rsidRPr="009677B6">
        <w:rPr>
          <w:lang w:val="fr-CA"/>
        </w:rPr>
        <w:t>que les 81 propriétés étaient effectivement offertes en vente au public</w:t>
      </w:r>
      <w:r>
        <w:rPr>
          <w:lang w:val="fr-CA"/>
        </w:rPr>
        <w:t>,</w:t>
      </w:r>
      <w:r w:rsidRPr="009677B6">
        <w:rPr>
          <w:lang w:val="fr-CA"/>
        </w:rPr>
        <w:t xml:space="preserve"> </w:t>
      </w:r>
      <w:r w:rsidR="000D7761">
        <w:rPr>
          <w:lang w:val="fr-CA"/>
        </w:rPr>
        <w:t xml:space="preserve">et </w:t>
      </w:r>
      <w:r w:rsidRPr="009677B6">
        <w:rPr>
          <w:lang w:val="fr-CA"/>
        </w:rPr>
        <w:t xml:space="preserve">que, si </w:t>
      </w:r>
      <w:r>
        <w:rPr>
          <w:lang w:val="fr-CA"/>
        </w:rPr>
        <w:t xml:space="preserve">elle </w:t>
      </w:r>
      <w:r w:rsidRPr="009677B6">
        <w:rPr>
          <w:lang w:val="fr-CA"/>
        </w:rPr>
        <w:t>avait acheté</w:t>
      </w:r>
      <w:r>
        <w:rPr>
          <w:lang w:val="fr-CA"/>
        </w:rPr>
        <w:t xml:space="preserve"> c</w:t>
      </w:r>
      <w:r w:rsidRPr="009677B6">
        <w:rPr>
          <w:lang w:val="fr-CA"/>
        </w:rPr>
        <w:t>es</w:t>
      </w:r>
      <w:r>
        <w:rPr>
          <w:lang w:val="fr-CA"/>
        </w:rPr>
        <w:t xml:space="preserve"> propriétés</w:t>
      </w:r>
      <w:r w:rsidRPr="009677B6">
        <w:rPr>
          <w:lang w:val="fr-CA"/>
        </w:rPr>
        <w:t>, la demanderesse au</w:t>
      </w:r>
      <w:r>
        <w:rPr>
          <w:lang w:val="fr-CA"/>
        </w:rPr>
        <w:t>rait p</w:t>
      </w:r>
      <w:r w:rsidRPr="009677B6">
        <w:rPr>
          <w:lang w:val="fr-CA"/>
        </w:rPr>
        <w:t>u les mettre en valeur de façon rentable</w:t>
      </w:r>
      <w:r>
        <w:rPr>
          <w:lang w:val="fr-CA"/>
        </w:rPr>
        <w:t xml:space="preserve">, évitant ou diminuant ainsi ses </w:t>
      </w:r>
      <w:r w:rsidRPr="009677B6">
        <w:rPr>
          <w:lang w:val="fr-CA"/>
        </w:rPr>
        <w:t>perte</w:t>
      </w:r>
      <w:r>
        <w:rPr>
          <w:lang w:val="fr-CA"/>
        </w:rPr>
        <w:t>s.  Toujours selon l</w:t>
      </w:r>
      <w:r w:rsidRPr="009677B6">
        <w:rPr>
          <w:lang w:val="fr-CA"/>
        </w:rPr>
        <w:t>e juge</w:t>
      </w:r>
      <w:r>
        <w:rPr>
          <w:lang w:val="fr-CA"/>
        </w:rPr>
        <w:t>,</w:t>
      </w:r>
      <w:r w:rsidRPr="009677B6">
        <w:rPr>
          <w:lang w:val="fr-CA"/>
        </w:rPr>
        <w:t xml:space="preserve"> de toute façon, ces propriétés n</w:t>
      </w:r>
      <w:r>
        <w:rPr>
          <w:lang w:val="fr-CA"/>
        </w:rPr>
        <w:t>’</w:t>
      </w:r>
      <w:r w:rsidRPr="009677B6">
        <w:rPr>
          <w:lang w:val="fr-CA"/>
        </w:rPr>
        <w:t>étaient pas des propriétés comparables.</w:t>
      </w:r>
    </w:p>
    <w:p w:rsidR="0071502D" w:rsidRPr="0084422B" w:rsidRDefault="0071502D" w:rsidP="0071502D">
      <w:pPr>
        <w:pStyle w:val="ParaNoNdepar-AltN"/>
        <w:autoSpaceDE w:val="0"/>
        <w:autoSpaceDN w:val="0"/>
        <w:adjustRightInd w:val="0"/>
        <w:rPr>
          <w:szCs w:val="24"/>
          <w:lang w:val="fr-CA"/>
        </w:rPr>
      </w:pPr>
      <w:r w:rsidRPr="00031830">
        <w:rPr>
          <w:lang w:val="fr-CA"/>
        </w:rPr>
        <w:lastRenderedPageBreak/>
        <w:t>Le juge de première instance n</w:t>
      </w:r>
      <w:r>
        <w:rPr>
          <w:lang w:val="fr-CA"/>
        </w:rPr>
        <w:t>’</w:t>
      </w:r>
      <w:r w:rsidRPr="00031830">
        <w:rPr>
          <w:lang w:val="fr-CA"/>
        </w:rPr>
        <w:t xml:space="preserve">a pas considéré les inférences raisonnables que lui présentait la preuve faite par le conseil scolaire suivant </w:t>
      </w:r>
      <w:proofErr w:type="gramStart"/>
      <w:r w:rsidRPr="00031830">
        <w:rPr>
          <w:lang w:val="fr-CA"/>
        </w:rPr>
        <w:t>laquelle</w:t>
      </w:r>
      <w:proofErr w:type="gramEnd"/>
      <w:r w:rsidRPr="00031830">
        <w:rPr>
          <w:lang w:val="fr-CA"/>
        </w:rPr>
        <w:t xml:space="preserve"> 81 parcelles de terrain en friche prêtes à être mises en valeur et 49 propriétés subdivisées en lots constructibles avaient été vendues au cours de la période en cause.</w:t>
      </w:r>
      <w:r>
        <w:rPr>
          <w:lang w:val="fr-CA"/>
        </w:rPr>
        <w:t xml:space="preserve">  En </w:t>
      </w:r>
      <w:proofErr w:type="spellStart"/>
      <w:r>
        <w:rPr>
          <w:lang w:val="fr-CA"/>
        </w:rPr>
        <w:t>contre</w:t>
      </w:r>
      <w:r>
        <w:rPr>
          <w:lang w:val="fr-CA"/>
        </w:rPr>
        <w:noBreakHyphen/>
        <w:t>interrogatoire</w:t>
      </w:r>
      <w:proofErr w:type="spellEnd"/>
      <w:r>
        <w:rPr>
          <w:lang w:val="fr-CA"/>
        </w:rPr>
        <w:t xml:space="preserve">, l’expert cité par le conseil solaire a reconnu ne pas connaître les stratégies de mise en marché appliquées pour la vente des 81 immeubles vendus au cours de la période durant laquelle, selon le conseil scolaire, </w:t>
      </w:r>
      <w:proofErr w:type="spellStart"/>
      <w:r>
        <w:rPr>
          <w:lang w:val="fr-CA"/>
        </w:rPr>
        <w:t>Southcott</w:t>
      </w:r>
      <w:proofErr w:type="spellEnd"/>
      <w:r>
        <w:rPr>
          <w:lang w:val="fr-CA"/>
        </w:rPr>
        <w:t xml:space="preserve"> aurait pu </w:t>
      </w:r>
      <w:r w:rsidRPr="00031830">
        <w:rPr>
          <w:lang w:val="fr-CA"/>
        </w:rPr>
        <w:t>mitiger</w:t>
      </w:r>
      <w:r>
        <w:rPr>
          <w:lang w:val="fr-CA"/>
        </w:rPr>
        <w:t xml:space="preserve"> ses pertes (d.a., p. 232</w:t>
      </w:r>
      <w:r>
        <w:rPr>
          <w:lang w:val="fr-CA"/>
        </w:rPr>
        <w:noBreakHyphen/>
        <w:t xml:space="preserve">233).  En dépit de cette réponse toutefois, on pouvait inférer tout naturellement que, </w:t>
      </w:r>
      <w:r w:rsidRPr="009677B6">
        <w:rPr>
          <w:lang w:val="fr-CA"/>
        </w:rPr>
        <w:t xml:space="preserve">si 81 terrains se prêtant à une mise en valeur </w:t>
      </w:r>
      <w:r>
        <w:rPr>
          <w:lang w:val="fr-CA"/>
        </w:rPr>
        <w:t xml:space="preserve">avaient été </w:t>
      </w:r>
      <w:r w:rsidRPr="009677B6">
        <w:rPr>
          <w:lang w:val="fr-CA"/>
        </w:rPr>
        <w:t xml:space="preserve">offerts en vente et </w:t>
      </w:r>
      <w:r>
        <w:rPr>
          <w:lang w:val="fr-CA"/>
        </w:rPr>
        <w:t xml:space="preserve">avaient </w:t>
      </w:r>
      <w:r w:rsidRPr="009677B6">
        <w:rPr>
          <w:lang w:val="fr-CA"/>
        </w:rPr>
        <w:t xml:space="preserve">effectivement </w:t>
      </w:r>
      <w:r>
        <w:rPr>
          <w:lang w:val="fr-CA"/>
        </w:rPr>
        <w:t xml:space="preserve">été </w:t>
      </w:r>
      <w:r w:rsidRPr="009677B6">
        <w:rPr>
          <w:lang w:val="fr-CA"/>
        </w:rPr>
        <w:t xml:space="preserve">vendus, </w:t>
      </w:r>
      <w:r>
        <w:rPr>
          <w:lang w:val="fr-CA"/>
        </w:rPr>
        <w:t xml:space="preserve">il existait donc des </w:t>
      </w:r>
      <w:r w:rsidRPr="009677B6">
        <w:rPr>
          <w:lang w:val="fr-CA"/>
        </w:rPr>
        <w:t xml:space="preserve">immeubles de placement </w:t>
      </w:r>
      <w:r>
        <w:rPr>
          <w:lang w:val="fr-CA"/>
        </w:rPr>
        <w:t xml:space="preserve">qui </w:t>
      </w:r>
      <w:r w:rsidRPr="009677B6">
        <w:rPr>
          <w:lang w:val="fr-CA"/>
        </w:rPr>
        <w:t>étaient offerts en vente au</w:t>
      </w:r>
      <w:r>
        <w:rPr>
          <w:lang w:val="fr-CA"/>
        </w:rPr>
        <w:t>x</w:t>
      </w:r>
      <w:r w:rsidRPr="009677B6">
        <w:rPr>
          <w:lang w:val="fr-CA"/>
        </w:rPr>
        <w:t xml:space="preserve"> p</w:t>
      </w:r>
      <w:r>
        <w:rPr>
          <w:lang w:val="fr-CA"/>
        </w:rPr>
        <w:t xml:space="preserve">romoteurs immobiliers, en particulier en l’absence de preuve contraire. </w:t>
      </w:r>
    </w:p>
    <w:p w:rsidR="0071502D" w:rsidRPr="007670AE" w:rsidRDefault="0071502D" w:rsidP="0071502D">
      <w:pPr>
        <w:pStyle w:val="ParaNoNdepar-AltN"/>
        <w:autoSpaceDE w:val="0"/>
        <w:autoSpaceDN w:val="0"/>
        <w:adjustRightInd w:val="0"/>
        <w:rPr>
          <w:szCs w:val="24"/>
          <w:lang w:val="fr-CA"/>
        </w:rPr>
      </w:pPr>
      <w:r>
        <w:rPr>
          <w:lang w:val="fr-CA"/>
        </w:rPr>
        <w:t>De plus, le juge de première instance n’a pas examiné si le fait que tous les immeubles étaient susceptibles, selon la déposition de l’expert cité par le conseil scolaire, d’être mis en valeur au cours de l’année pouvait permettre d’inférer que leur mise en valeur était rentable.  Il était raisonnablement possible de déduire la rentabilité en se fondant sur la superficie et le prix des terrains, ou sur le fait que des promoteurs d’expérience ont acquis des terrains pour les mettre en valeur.  Le juge de première instance ne s’est pas préoccupé de ces éléments de preuve.</w:t>
      </w:r>
    </w:p>
    <w:p w:rsidR="0071502D" w:rsidRPr="00A30F1B" w:rsidRDefault="0071502D" w:rsidP="00C82AEC">
      <w:pPr>
        <w:pStyle w:val="ParaNoNdepar-AltN"/>
        <w:autoSpaceDE w:val="0"/>
        <w:autoSpaceDN w:val="0"/>
        <w:adjustRightInd w:val="0"/>
        <w:rPr>
          <w:szCs w:val="24"/>
          <w:lang w:val="fr-CA"/>
        </w:rPr>
      </w:pPr>
      <w:r>
        <w:rPr>
          <w:lang w:val="fr-CA"/>
        </w:rPr>
        <w:t xml:space="preserve">Enfin, le juge de première instance n’a pas tenu compte non plus de la possibilité de tirer une inférence défavorable à </w:t>
      </w:r>
      <w:proofErr w:type="spellStart"/>
      <w:r>
        <w:rPr>
          <w:lang w:val="fr-CA"/>
        </w:rPr>
        <w:t>Southcott</w:t>
      </w:r>
      <w:proofErr w:type="spellEnd"/>
      <w:r>
        <w:rPr>
          <w:lang w:val="fr-CA"/>
        </w:rPr>
        <w:t xml:space="preserve"> du fait que cette dernière n’a </w:t>
      </w:r>
      <w:r>
        <w:rPr>
          <w:lang w:val="fr-CA"/>
        </w:rPr>
        <w:lastRenderedPageBreak/>
        <w:t xml:space="preserve">avancé aucun élément de preuve au sujet de la rentabilité des autres terrains susceptibles d’être mis en valeur. </w:t>
      </w:r>
    </w:p>
    <w:p w:rsidR="0071502D" w:rsidRPr="009677B6" w:rsidRDefault="00D45E22" w:rsidP="00C82AEC">
      <w:pPr>
        <w:pStyle w:val="TitleTitre-AltT"/>
        <w:tabs>
          <w:tab w:val="clear" w:pos="360"/>
          <w:tab w:val="left" w:pos="540"/>
          <w:tab w:val="left" w:pos="1170"/>
        </w:tabs>
        <w:ind w:left="1170" w:hanging="1170"/>
        <w:rPr>
          <w:szCs w:val="24"/>
          <w:lang w:val="fr-CA"/>
        </w:rPr>
      </w:pPr>
      <w:r>
        <w:rPr>
          <w:lang w:val="fr-CA"/>
        </w:rPr>
        <w:tab/>
      </w:r>
      <w:r w:rsidR="0071502D">
        <w:rPr>
          <w:lang w:val="fr-CA"/>
        </w:rPr>
        <w:t>(2)</w:t>
      </w:r>
      <w:r w:rsidR="0071502D">
        <w:rPr>
          <w:lang w:val="fr-CA"/>
        </w:rPr>
        <w:tab/>
      </w:r>
      <w:r w:rsidR="0071502D" w:rsidRPr="00A30F1B">
        <w:rPr>
          <w:u w:val="single"/>
          <w:lang w:val="fr-CA"/>
        </w:rPr>
        <w:t>L</w:t>
      </w:r>
      <w:r w:rsidR="0071502D">
        <w:rPr>
          <w:u w:val="single"/>
          <w:lang w:val="fr-CA"/>
        </w:rPr>
        <w:t>’</w:t>
      </w:r>
      <w:r w:rsidR="0071502D" w:rsidRPr="00A30F1B">
        <w:rPr>
          <w:u w:val="single"/>
          <w:lang w:val="fr-CA"/>
        </w:rPr>
        <w:t xml:space="preserve">achat de terrains par </w:t>
      </w:r>
      <w:proofErr w:type="spellStart"/>
      <w:r w:rsidR="0071502D" w:rsidRPr="00A30F1B">
        <w:rPr>
          <w:u w:val="single"/>
          <w:lang w:val="fr-CA"/>
        </w:rPr>
        <w:t>Ballantry</w:t>
      </w:r>
      <w:proofErr w:type="spellEnd"/>
    </w:p>
    <w:p w:rsidR="0071502D" w:rsidRDefault="0071502D" w:rsidP="0071502D">
      <w:pPr>
        <w:pStyle w:val="ParaNoNdepar-AltN"/>
        <w:autoSpaceDE w:val="0"/>
        <w:autoSpaceDN w:val="0"/>
        <w:adjustRightInd w:val="0"/>
        <w:rPr>
          <w:lang w:val="fr-CA"/>
        </w:rPr>
      </w:pPr>
      <w:r w:rsidRPr="009677B6">
        <w:rPr>
          <w:lang w:val="fr-CA"/>
        </w:rPr>
        <w:t>Je suis d</w:t>
      </w:r>
      <w:r>
        <w:rPr>
          <w:lang w:val="fr-CA"/>
        </w:rPr>
        <w:t>’</w:t>
      </w:r>
      <w:r w:rsidRPr="009677B6">
        <w:rPr>
          <w:lang w:val="fr-CA"/>
        </w:rPr>
        <w:t xml:space="preserve">accord avec la </w:t>
      </w:r>
      <w:r w:rsidR="00D45E22">
        <w:rPr>
          <w:lang w:val="fr-CA"/>
        </w:rPr>
        <w:t>C</w:t>
      </w:r>
      <w:r w:rsidRPr="009677B6">
        <w:rPr>
          <w:lang w:val="fr-CA"/>
        </w:rPr>
        <w:t>our d</w:t>
      </w:r>
      <w:r>
        <w:rPr>
          <w:lang w:val="fr-CA"/>
        </w:rPr>
        <w:t>’</w:t>
      </w:r>
      <w:r w:rsidRPr="009677B6">
        <w:rPr>
          <w:lang w:val="fr-CA"/>
        </w:rPr>
        <w:t xml:space="preserve">appel pour dire que le juge de première instance a </w:t>
      </w:r>
      <w:r>
        <w:rPr>
          <w:lang w:val="fr-CA"/>
        </w:rPr>
        <w:t xml:space="preserve">aussi </w:t>
      </w:r>
      <w:r w:rsidRPr="009677B6">
        <w:rPr>
          <w:lang w:val="fr-CA"/>
        </w:rPr>
        <w:t xml:space="preserve">commis une erreur en ne </w:t>
      </w:r>
      <w:r>
        <w:rPr>
          <w:lang w:val="fr-CA"/>
        </w:rPr>
        <w:t xml:space="preserve">cherchant </w:t>
      </w:r>
      <w:r w:rsidRPr="009677B6">
        <w:rPr>
          <w:lang w:val="fr-CA"/>
        </w:rPr>
        <w:t xml:space="preserve">pas </w:t>
      </w:r>
      <w:r>
        <w:rPr>
          <w:lang w:val="fr-CA"/>
        </w:rPr>
        <w:t xml:space="preserve">à savoir si l’achat </w:t>
      </w:r>
      <w:r w:rsidRPr="009677B6">
        <w:rPr>
          <w:lang w:val="fr-CA"/>
        </w:rPr>
        <w:t xml:space="preserve">de </w:t>
      </w:r>
      <w:r>
        <w:rPr>
          <w:lang w:val="fr-CA"/>
        </w:rPr>
        <w:t xml:space="preserve">terrains </w:t>
      </w:r>
      <w:r w:rsidRPr="009677B6">
        <w:rPr>
          <w:lang w:val="fr-CA"/>
        </w:rPr>
        <w:t xml:space="preserve">par les sociétés du groupe </w:t>
      </w:r>
      <w:proofErr w:type="spellStart"/>
      <w:r w:rsidRPr="009677B6">
        <w:rPr>
          <w:lang w:val="fr-CA"/>
        </w:rPr>
        <w:t>Ballantry</w:t>
      </w:r>
      <w:proofErr w:type="spellEnd"/>
      <w:r w:rsidRPr="009677B6">
        <w:rPr>
          <w:lang w:val="fr-CA"/>
        </w:rPr>
        <w:t xml:space="preserve"> </w:t>
      </w:r>
      <w:r>
        <w:rPr>
          <w:lang w:val="fr-CA"/>
        </w:rPr>
        <w:t xml:space="preserve">offrait la preuve de l’existence </w:t>
      </w:r>
      <w:r w:rsidRPr="009677B6">
        <w:rPr>
          <w:lang w:val="fr-CA"/>
        </w:rPr>
        <w:t>d</w:t>
      </w:r>
      <w:r>
        <w:rPr>
          <w:lang w:val="fr-CA"/>
        </w:rPr>
        <w:t>’</w:t>
      </w:r>
      <w:r w:rsidRPr="009677B6">
        <w:rPr>
          <w:lang w:val="fr-CA"/>
        </w:rPr>
        <w:t xml:space="preserve">autres terrains </w:t>
      </w:r>
      <w:r>
        <w:rPr>
          <w:lang w:val="fr-CA"/>
        </w:rPr>
        <w:t>pouvant</w:t>
      </w:r>
      <w:r w:rsidRPr="009677B6">
        <w:rPr>
          <w:lang w:val="fr-CA"/>
        </w:rPr>
        <w:t xml:space="preserve"> servir à </w:t>
      </w:r>
      <w:r w:rsidRPr="00031830">
        <w:rPr>
          <w:lang w:val="fr-CA"/>
        </w:rPr>
        <w:t>mitiger</w:t>
      </w:r>
      <w:r w:rsidRPr="009677B6">
        <w:rPr>
          <w:lang w:val="fr-CA"/>
        </w:rPr>
        <w:t xml:space="preserve"> le préjudice</w:t>
      </w:r>
      <w:r>
        <w:rPr>
          <w:lang w:val="fr-CA"/>
        </w:rPr>
        <w:t>.  Tel qu’indiqué précédemment, l</w:t>
      </w:r>
      <w:r w:rsidRPr="009677B6">
        <w:rPr>
          <w:lang w:val="fr-CA"/>
        </w:rPr>
        <w:t xml:space="preserve">e juge de première instance a conclu </w:t>
      </w:r>
      <w:r>
        <w:rPr>
          <w:lang w:val="fr-CA"/>
        </w:rPr>
        <w:t xml:space="preserve">(au par. 143) </w:t>
      </w:r>
      <w:r w:rsidRPr="009677B6">
        <w:rPr>
          <w:lang w:val="fr-CA"/>
        </w:rPr>
        <w:t xml:space="preserve">que </w:t>
      </w:r>
      <w:r>
        <w:rPr>
          <w:lang w:val="fr-CA"/>
        </w:rPr>
        <w:t>l</w:t>
      </w:r>
      <w:r w:rsidRPr="009677B6">
        <w:rPr>
          <w:lang w:val="fr-CA"/>
        </w:rPr>
        <w:t xml:space="preserve">es </w:t>
      </w:r>
      <w:r>
        <w:rPr>
          <w:lang w:val="fr-CA"/>
        </w:rPr>
        <w:t xml:space="preserve">autres immeubles acquis par d’autres sociétés du groupe </w:t>
      </w:r>
      <w:proofErr w:type="spellStart"/>
      <w:r>
        <w:rPr>
          <w:lang w:val="fr-CA"/>
        </w:rPr>
        <w:t>Ballantry</w:t>
      </w:r>
      <w:proofErr w:type="spellEnd"/>
      <w:r>
        <w:rPr>
          <w:lang w:val="fr-CA"/>
        </w:rPr>
        <w:t xml:space="preserve"> </w:t>
      </w:r>
      <w:r w:rsidRPr="009677B6">
        <w:rPr>
          <w:lang w:val="fr-CA"/>
        </w:rPr>
        <w:t>étaient</w:t>
      </w:r>
      <w:r w:rsidR="00D45E22">
        <w:rPr>
          <w:lang w:val="fr-CA"/>
        </w:rPr>
        <w:t xml:space="preserve"> [</w:t>
      </w:r>
      <w:r w:rsidR="00D45E22" w:rsidRPr="00D45E22">
        <w:rPr>
          <w:smallCaps/>
          <w:lang w:val="fr-CA"/>
        </w:rPr>
        <w:t>traduction</w:t>
      </w:r>
      <w:r w:rsidR="00D45E22">
        <w:rPr>
          <w:lang w:val="fr-CA"/>
        </w:rPr>
        <w:t>]</w:t>
      </w:r>
      <w:r w:rsidRPr="009677B6">
        <w:rPr>
          <w:lang w:val="fr-CA"/>
        </w:rPr>
        <w:t xml:space="preserve"> </w:t>
      </w:r>
      <w:r>
        <w:rPr>
          <w:lang w:val="fr-CA"/>
        </w:rPr>
        <w:t>« </w:t>
      </w:r>
      <w:r w:rsidRPr="009677B6">
        <w:rPr>
          <w:lang w:val="fr-CA"/>
        </w:rPr>
        <w:t>accessoires</w:t>
      </w:r>
      <w:r>
        <w:rPr>
          <w:lang w:val="fr-CA"/>
        </w:rPr>
        <w:t> »</w:t>
      </w:r>
      <w:r w:rsidRPr="009677B6">
        <w:rPr>
          <w:lang w:val="fr-CA"/>
        </w:rPr>
        <w:t xml:space="preserve"> e</w:t>
      </w:r>
      <w:r>
        <w:rPr>
          <w:lang w:val="fr-CA"/>
        </w:rPr>
        <w:t>n ce sens que ces</w:t>
      </w:r>
      <w:r w:rsidRPr="009677B6">
        <w:rPr>
          <w:lang w:val="fr-CA"/>
        </w:rPr>
        <w:t xml:space="preserve"> </w:t>
      </w:r>
      <w:r>
        <w:rPr>
          <w:lang w:val="fr-CA"/>
        </w:rPr>
        <w:t xml:space="preserve">acquisitions auraient été faites indépendamment de la violation, par la défenderesse, de son contrat avec </w:t>
      </w:r>
      <w:proofErr w:type="spellStart"/>
      <w:r>
        <w:rPr>
          <w:lang w:val="fr-CA"/>
        </w:rPr>
        <w:t>Southcott</w:t>
      </w:r>
      <w:proofErr w:type="spellEnd"/>
      <w:r>
        <w:rPr>
          <w:lang w:val="fr-CA"/>
        </w:rPr>
        <w:t xml:space="preserve"> et ne constituaient pas une véritable </w:t>
      </w:r>
      <w:r w:rsidRPr="00031830">
        <w:rPr>
          <w:lang w:val="fr-CA"/>
        </w:rPr>
        <w:t>mitigation</w:t>
      </w:r>
      <w:r>
        <w:rPr>
          <w:lang w:val="fr-CA"/>
        </w:rPr>
        <w:t xml:space="preserve"> du préjudice en raison de la personnalité juridique distincte de </w:t>
      </w:r>
      <w:proofErr w:type="spellStart"/>
      <w:r>
        <w:rPr>
          <w:lang w:val="fr-CA"/>
        </w:rPr>
        <w:t>Southcott</w:t>
      </w:r>
      <w:proofErr w:type="spellEnd"/>
      <w:r>
        <w:rPr>
          <w:lang w:val="fr-CA"/>
        </w:rPr>
        <w:t xml:space="preserve">.  Ce point n’est pas contesté. </w:t>
      </w:r>
    </w:p>
    <w:p w:rsidR="0071502D" w:rsidRDefault="0071502D" w:rsidP="0071502D">
      <w:pPr>
        <w:pStyle w:val="ParaNoNdepar-AltN"/>
        <w:autoSpaceDE w:val="0"/>
        <w:autoSpaceDN w:val="0"/>
        <w:adjustRightInd w:val="0"/>
        <w:rPr>
          <w:lang w:val="fr-CA"/>
        </w:rPr>
      </w:pPr>
      <w:r>
        <w:rPr>
          <w:lang w:val="fr-CA"/>
        </w:rPr>
        <w:t xml:space="preserve">Le juge de première instance </w:t>
      </w:r>
      <w:r w:rsidRPr="009677B6">
        <w:rPr>
          <w:lang w:val="fr-CA"/>
        </w:rPr>
        <w:t>ne s</w:t>
      </w:r>
      <w:r>
        <w:rPr>
          <w:lang w:val="fr-CA"/>
        </w:rPr>
        <w:t>’</w:t>
      </w:r>
      <w:r w:rsidRPr="009677B6">
        <w:rPr>
          <w:lang w:val="fr-CA"/>
        </w:rPr>
        <w:t xml:space="preserve">est toutefois pas demandé </w:t>
      </w:r>
      <w:r>
        <w:rPr>
          <w:lang w:val="fr-CA"/>
        </w:rPr>
        <w:t xml:space="preserve">ensuite </w:t>
      </w:r>
      <w:r w:rsidRPr="009677B6">
        <w:rPr>
          <w:lang w:val="fr-CA"/>
        </w:rPr>
        <w:t xml:space="preserve">si ces opérations démontraient que ces mêmes terrains </w:t>
      </w:r>
      <w:r>
        <w:rPr>
          <w:lang w:val="fr-CA"/>
        </w:rPr>
        <w:t xml:space="preserve">permettaient d’établir que </w:t>
      </w:r>
      <w:r w:rsidRPr="009677B6">
        <w:rPr>
          <w:lang w:val="fr-CA"/>
        </w:rPr>
        <w:t>d</w:t>
      </w:r>
      <w:r>
        <w:rPr>
          <w:lang w:val="fr-CA"/>
        </w:rPr>
        <w:t xml:space="preserve">es </w:t>
      </w:r>
      <w:r w:rsidRPr="009677B6">
        <w:rPr>
          <w:lang w:val="fr-CA"/>
        </w:rPr>
        <w:t xml:space="preserve">occasions comparables </w:t>
      </w:r>
      <w:r>
        <w:rPr>
          <w:lang w:val="fr-CA"/>
        </w:rPr>
        <w:t xml:space="preserve">pouvant servir à </w:t>
      </w:r>
      <w:r w:rsidRPr="00031830">
        <w:rPr>
          <w:lang w:val="fr-CA"/>
        </w:rPr>
        <w:t>mitiger</w:t>
      </w:r>
      <w:r>
        <w:rPr>
          <w:lang w:val="fr-CA"/>
        </w:rPr>
        <w:t xml:space="preserve"> le préjudice </w:t>
      </w:r>
      <w:r w:rsidRPr="009677B6">
        <w:rPr>
          <w:lang w:val="fr-CA"/>
        </w:rPr>
        <w:t>« s</w:t>
      </w:r>
      <w:r>
        <w:rPr>
          <w:lang w:val="fr-CA"/>
        </w:rPr>
        <w:t>’</w:t>
      </w:r>
      <w:r w:rsidRPr="009677B6">
        <w:rPr>
          <w:lang w:val="fr-CA"/>
        </w:rPr>
        <w:t xml:space="preserve">offraient » </w:t>
      </w:r>
      <w:r>
        <w:rPr>
          <w:lang w:val="fr-CA"/>
        </w:rPr>
        <w:t xml:space="preserve">sur le marché.  En raison de l’identité juridique distincte de </w:t>
      </w:r>
      <w:proofErr w:type="spellStart"/>
      <w:r w:rsidRPr="009677B6">
        <w:rPr>
          <w:lang w:val="fr-CA"/>
        </w:rPr>
        <w:t>Southcott</w:t>
      </w:r>
      <w:proofErr w:type="spellEnd"/>
      <w:r>
        <w:rPr>
          <w:lang w:val="fr-CA"/>
        </w:rPr>
        <w:t>,</w:t>
      </w:r>
      <w:r w:rsidRPr="009677B6">
        <w:rPr>
          <w:lang w:val="fr-CA"/>
        </w:rPr>
        <w:t xml:space="preserve"> </w:t>
      </w:r>
      <w:r>
        <w:rPr>
          <w:lang w:val="fr-CA"/>
        </w:rPr>
        <w:t xml:space="preserve">l’acquisition d’autres immeubles comparables par les autres sociétés du groupe </w:t>
      </w:r>
      <w:proofErr w:type="spellStart"/>
      <w:r>
        <w:rPr>
          <w:lang w:val="fr-CA"/>
        </w:rPr>
        <w:t>Ballantry</w:t>
      </w:r>
      <w:proofErr w:type="spellEnd"/>
      <w:r>
        <w:rPr>
          <w:lang w:val="fr-CA"/>
        </w:rPr>
        <w:t xml:space="preserve"> ne faisait pas en sorte que ces immeubles soient « non disponibles » pour </w:t>
      </w:r>
      <w:r w:rsidRPr="00031830">
        <w:rPr>
          <w:lang w:val="fr-CA"/>
        </w:rPr>
        <w:t>mitiger</w:t>
      </w:r>
      <w:r>
        <w:rPr>
          <w:lang w:val="fr-CA"/>
        </w:rPr>
        <w:t xml:space="preserve"> le préjudice.  En fait, le juge de première instance a fait abstraction de la personnalité juridique distincte de </w:t>
      </w:r>
      <w:proofErr w:type="spellStart"/>
      <w:r>
        <w:rPr>
          <w:lang w:val="fr-CA"/>
        </w:rPr>
        <w:lastRenderedPageBreak/>
        <w:t>Southcott</w:t>
      </w:r>
      <w:proofErr w:type="spellEnd"/>
      <w:r>
        <w:rPr>
          <w:lang w:val="fr-CA"/>
        </w:rPr>
        <w:t xml:space="preserve"> et des autres sociétés du groupe </w:t>
      </w:r>
      <w:proofErr w:type="spellStart"/>
      <w:r>
        <w:rPr>
          <w:lang w:val="fr-CA"/>
        </w:rPr>
        <w:t>Ballantry</w:t>
      </w:r>
      <w:proofErr w:type="spellEnd"/>
      <w:r>
        <w:rPr>
          <w:lang w:val="fr-CA"/>
        </w:rPr>
        <w:t xml:space="preserve"> lorsqu’il n’a pas tenu compte de ces acquisitions comme preuve de l’existence de possibilités de </w:t>
      </w:r>
      <w:r w:rsidRPr="00031830">
        <w:rPr>
          <w:lang w:val="fr-CA"/>
        </w:rPr>
        <w:t>mitiger</w:t>
      </w:r>
      <w:r>
        <w:rPr>
          <w:lang w:val="fr-CA"/>
        </w:rPr>
        <w:t xml:space="preserve"> le préjudice. </w:t>
      </w:r>
    </w:p>
    <w:p w:rsidR="0071502D" w:rsidRPr="006A722B" w:rsidRDefault="0071502D" w:rsidP="0071502D">
      <w:pPr>
        <w:pStyle w:val="ParaNoNdepar-AltN"/>
        <w:rPr>
          <w:lang w:val="fr-CA"/>
        </w:rPr>
      </w:pPr>
      <w:r>
        <w:rPr>
          <w:lang w:val="fr-CA"/>
        </w:rPr>
        <w:t xml:space="preserve">Postérieurement à la violation </w:t>
      </w:r>
      <w:r w:rsidRPr="009677B6">
        <w:rPr>
          <w:lang w:val="fr-CA"/>
        </w:rPr>
        <w:t>du contrat</w:t>
      </w:r>
      <w:r>
        <w:rPr>
          <w:lang w:val="fr-CA"/>
        </w:rPr>
        <w:t>, l</w:t>
      </w:r>
      <w:r w:rsidRPr="009677B6">
        <w:rPr>
          <w:lang w:val="fr-CA"/>
        </w:rPr>
        <w:t xml:space="preserve">es </w:t>
      </w:r>
      <w:r>
        <w:rPr>
          <w:lang w:val="fr-CA"/>
        </w:rPr>
        <w:t>sociétés</w:t>
      </w:r>
      <w:r w:rsidRPr="009677B6">
        <w:rPr>
          <w:lang w:val="fr-CA"/>
        </w:rPr>
        <w:t xml:space="preserve"> du groupe </w:t>
      </w:r>
      <w:proofErr w:type="spellStart"/>
      <w:r w:rsidRPr="009677B6">
        <w:rPr>
          <w:lang w:val="fr-CA"/>
        </w:rPr>
        <w:t>Ballantry</w:t>
      </w:r>
      <w:proofErr w:type="spellEnd"/>
      <w:r w:rsidRPr="009677B6">
        <w:rPr>
          <w:lang w:val="fr-CA"/>
        </w:rPr>
        <w:t xml:space="preserve"> ont acheté sept autres propriétés susceptibles d</w:t>
      </w:r>
      <w:r>
        <w:rPr>
          <w:lang w:val="fr-CA"/>
        </w:rPr>
        <w:t>’</w:t>
      </w:r>
      <w:r w:rsidRPr="009677B6">
        <w:rPr>
          <w:lang w:val="fr-CA"/>
        </w:rPr>
        <w:t>être mises en valeur</w:t>
      </w:r>
      <w:r>
        <w:rPr>
          <w:lang w:val="fr-CA"/>
        </w:rPr>
        <w:t xml:space="preserve">.  Ces </w:t>
      </w:r>
      <w:r w:rsidRPr="009677B6">
        <w:rPr>
          <w:lang w:val="fr-CA"/>
        </w:rPr>
        <w:t xml:space="preserve">propriétés </w:t>
      </w:r>
      <w:r>
        <w:rPr>
          <w:lang w:val="fr-CA"/>
        </w:rPr>
        <w:t xml:space="preserve">avaient une superficie variant entre </w:t>
      </w:r>
      <w:r w:rsidRPr="009677B6">
        <w:rPr>
          <w:lang w:val="fr-CA"/>
        </w:rPr>
        <w:t xml:space="preserve">2,3 acres </w:t>
      </w:r>
      <w:r>
        <w:rPr>
          <w:lang w:val="fr-CA"/>
        </w:rPr>
        <w:t>et 110,</w:t>
      </w:r>
      <w:r w:rsidRPr="009677B6">
        <w:rPr>
          <w:lang w:val="fr-CA"/>
        </w:rPr>
        <w:t>8 acres et leur prix</w:t>
      </w:r>
      <w:r>
        <w:rPr>
          <w:lang w:val="fr-CA"/>
        </w:rPr>
        <w:t xml:space="preserve"> oscillait entre </w:t>
      </w:r>
      <w:r w:rsidRPr="009677B6">
        <w:rPr>
          <w:lang w:val="fr-CA"/>
        </w:rPr>
        <w:t>3</w:t>
      </w:r>
      <w:r w:rsidR="00765FED">
        <w:rPr>
          <w:lang w:val="fr-CA"/>
        </w:rPr>
        <w:t>,3 millions de dollars et 27,</w:t>
      </w:r>
      <w:r w:rsidR="00D45E22">
        <w:rPr>
          <w:lang w:val="fr-CA"/>
        </w:rPr>
        <w:t xml:space="preserve">1 </w:t>
      </w:r>
      <w:r w:rsidRPr="009677B6">
        <w:rPr>
          <w:lang w:val="fr-CA"/>
        </w:rPr>
        <w:t>millions de dollars</w:t>
      </w:r>
      <w:r>
        <w:rPr>
          <w:lang w:val="fr-CA"/>
        </w:rPr>
        <w:t xml:space="preserve">.  </w:t>
      </w:r>
      <w:r w:rsidRPr="009677B6">
        <w:rPr>
          <w:lang w:val="fr-CA"/>
        </w:rPr>
        <w:t xml:space="preserve">Parmi </w:t>
      </w:r>
      <w:r>
        <w:rPr>
          <w:lang w:val="fr-CA"/>
        </w:rPr>
        <w:t>c</w:t>
      </w:r>
      <w:r w:rsidRPr="009677B6">
        <w:rPr>
          <w:lang w:val="fr-CA"/>
        </w:rPr>
        <w:t>es propriétés</w:t>
      </w:r>
      <w:r>
        <w:rPr>
          <w:lang w:val="fr-CA"/>
        </w:rPr>
        <w:t>,</w:t>
      </w:r>
      <w:r w:rsidRPr="009677B6">
        <w:rPr>
          <w:lang w:val="fr-CA"/>
        </w:rPr>
        <w:t xml:space="preserve"> deux </w:t>
      </w:r>
      <w:r>
        <w:rPr>
          <w:lang w:val="fr-CA"/>
        </w:rPr>
        <w:t xml:space="preserve">en particulier </w:t>
      </w:r>
      <w:r w:rsidRPr="009677B6">
        <w:rPr>
          <w:lang w:val="fr-CA"/>
        </w:rPr>
        <w:t xml:space="preserve">étaient de </w:t>
      </w:r>
      <w:proofErr w:type="gramStart"/>
      <w:r w:rsidRPr="009677B6">
        <w:rPr>
          <w:lang w:val="fr-CA"/>
        </w:rPr>
        <w:t xml:space="preserve">toute évidence </w:t>
      </w:r>
      <w:r>
        <w:rPr>
          <w:lang w:val="fr-CA"/>
        </w:rPr>
        <w:t>comparabl</w:t>
      </w:r>
      <w:r w:rsidRPr="009677B6">
        <w:rPr>
          <w:lang w:val="fr-CA"/>
        </w:rPr>
        <w:t>e</w:t>
      </w:r>
      <w:r>
        <w:rPr>
          <w:lang w:val="fr-CA"/>
        </w:rPr>
        <w:t>s</w:t>
      </w:r>
      <w:proofErr w:type="gramEnd"/>
      <w:r>
        <w:rPr>
          <w:lang w:val="fr-CA"/>
        </w:rPr>
        <w:t xml:space="preserve">.  </w:t>
      </w:r>
      <w:proofErr w:type="spellStart"/>
      <w:r w:rsidRPr="009677B6">
        <w:rPr>
          <w:lang w:val="fr-CA"/>
        </w:rPr>
        <w:t>Southcott</w:t>
      </w:r>
      <w:proofErr w:type="spellEnd"/>
      <w:r w:rsidRPr="009677B6">
        <w:rPr>
          <w:lang w:val="fr-CA"/>
        </w:rPr>
        <w:t xml:space="preserve"> avait convenu d</w:t>
      </w:r>
      <w:r>
        <w:rPr>
          <w:lang w:val="fr-CA"/>
        </w:rPr>
        <w:t>’</w:t>
      </w:r>
      <w:r w:rsidRPr="009677B6">
        <w:rPr>
          <w:lang w:val="fr-CA"/>
        </w:rPr>
        <w:t>acheter 4,</w:t>
      </w:r>
      <w:r>
        <w:rPr>
          <w:lang w:val="fr-CA"/>
        </w:rPr>
        <w:t>78 </w:t>
      </w:r>
      <w:r w:rsidRPr="009677B6">
        <w:rPr>
          <w:lang w:val="fr-CA"/>
        </w:rPr>
        <w:t xml:space="preserve">acres </w:t>
      </w:r>
      <w:r>
        <w:rPr>
          <w:lang w:val="fr-CA"/>
        </w:rPr>
        <w:t>de terrain pour 3,44 </w:t>
      </w:r>
      <w:r w:rsidRPr="009677B6">
        <w:rPr>
          <w:lang w:val="fr-CA"/>
        </w:rPr>
        <w:t>millions de dollars en août 2004</w:t>
      </w:r>
      <w:r>
        <w:rPr>
          <w:lang w:val="fr-CA"/>
        </w:rPr>
        <w:t xml:space="preserve">.  </w:t>
      </w:r>
      <w:r w:rsidRPr="009677B6">
        <w:rPr>
          <w:lang w:val="fr-CA"/>
        </w:rPr>
        <w:t xml:space="preserve">Les sociétés du groupe </w:t>
      </w:r>
      <w:proofErr w:type="spellStart"/>
      <w:r w:rsidRPr="009677B6">
        <w:rPr>
          <w:lang w:val="fr-CA"/>
        </w:rPr>
        <w:t>Ballantry</w:t>
      </w:r>
      <w:proofErr w:type="spellEnd"/>
      <w:r w:rsidRPr="009677B6">
        <w:rPr>
          <w:lang w:val="fr-CA"/>
        </w:rPr>
        <w:t xml:space="preserve"> ont acheté 2,</w:t>
      </w:r>
      <w:r>
        <w:rPr>
          <w:lang w:val="fr-CA"/>
        </w:rPr>
        <w:t>7 </w:t>
      </w:r>
      <w:r w:rsidRPr="009677B6">
        <w:rPr>
          <w:lang w:val="fr-CA"/>
        </w:rPr>
        <w:t xml:space="preserve">acres </w:t>
      </w:r>
      <w:r>
        <w:rPr>
          <w:lang w:val="fr-CA"/>
        </w:rPr>
        <w:t>pour 3,3 </w:t>
      </w:r>
      <w:r w:rsidRPr="009677B6">
        <w:rPr>
          <w:lang w:val="fr-CA"/>
        </w:rPr>
        <w:t xml:space="preserve">millions de dollars en août 2005 et 2,3 acres pour </w:t>
      </w:r>
      <w:r w:rsidR="00765FED">
        <w:rPr>
          <w:lang w:val="fr-CA"/>
        </w:rPr>
        <w:t>6</w:t>
      </w:r>
      <w:r w:rsidRPr="009677B6">
        <w:rPr>
          <w:lang w:val="fr-CA"/>
        </w:rPr>
        <w:t xml:space="preserve"> millions de dollars en décembre 2006.</w:t>
      </w:r>
    </w:p>
    <w:p w:rsidR="0071502D" w:rsidRPr="006A722B" w:rsidRDefault="0071502D" w:rsidP="0071502D">
      <w:pPr>
        <w:pStyle w:val="ParaNoNdepar-AltN"/>
        <w:autoSpaceDE w:val="0"/>
        <w:autoSpaceDN w:val="0"/>
        <w:adjustRightInd w:val="0"/>
        <w:rPr>
          <w:lang w:val="fr-CA"/>
        </w:rPr>
      </w:pPr>
      <w:r>
        <w:rPr>
          <w:szCs w:val="24"/>
          <w:lang w:val="fr-CA"/>
        </w:rPr>
        <w:t>Selon l</w:t>
      </w:r>
      <w:r w:rsidRPr="006A722B">
        <w:rPr>
          <w:szCs w:val="24"/>
          <w:lang w:val="fr-CA"/>
        </w:rPr>
        <w:t xml:space="preserve">e moyen de </w:t>
      </w:r>
      <w:r>
        <w:rPr>
          <w:szCs w:val="24"/>
          <w:lang w:val="fr-CA"/>
        </w:rPr>
        <w:t>défense</w:t>
      </w:r>
      <w:r w:rsidRPr="006A722B">
        <w:rPr>
          <w:szCs w:val="24"/>
          <w:lang w:val="fr-CA"/>
        </w:rPr>
        <w:t xml:space="preserve"> invoqué </w:t>
      </w:r>
      <w:r>
        <w:rPr>
          <w:szCs w:val="24"/>
          <w:lang w:val="fr-CA"/>
        </w:rPr>
        <w:t>par</w:t>
      </w:r>
      <w:r w:rsidRPr="006A722B">
        <w:rPr>
          <w:szCs w:val="24"/>
          <w:lang w:val="fr-CA"/>
        </w:rPr>
        <w:t xml:space="preserve"> </w:t>
      </w:r>
      <w:proofErr w:type="spellStart"/>
      <w:r w:rsidRPr="006A722B">
        <w:rPr>
          <w:szCs w:val="24"/>
          <w:lang w:val="fr-CA"/>
        </w:rPr>
        <w:t>Southcott</w:t>
      </w:r>
      <w:proofErr w:type="spellEnd"/>
      <w:r w:rsidRPr="006A722B">
        <w:rPr>
          <w:szCs w:val="24"/>
          <w:lang w:val="fr-CA"/>
        </w:rPr>
        <w:t xml:space="preserve"> et accepté </w:t>
      </w:r>
      <w:r>
        <w:rPr>
          <w:szCs w:val="24"/>
          <w:lang w:val="fr-CA"/>
        </w:rPr>
        <w:t>par</w:t>
      </w:r>
      <w:r w:rsidRPr="006A722B">
        <w:rPr>
          <w:szCs w:val="24"/>
          <w:lang w:val="fr-CA"/>
        </w:rPr>
        <w:t xml:space="preserve"> le juge de première instance</w:t>
      </w:r>
      <w:r>
        <w:rPr>
          <w:szCs w:val="24"/>
          <w:lang w:val="fr-CA"/>
        </w:rPr>
        <w:t>,</w:t>
      </w:r>
      <w:r w:rsidRPr="006A722B">
        <w:rPr>
          <w:szCs w:val="24"/>
          <w:lang w:val="fr-CA"/>
        </w:rPr>
        <w:t xml:space="preserve"> les achats</w:t>
      </w:r>
      <w:r>
        <w:rPr>
          <w:szCs w:val="24"/>
          <w:lang w:val="fr-CA"/>
        </w:rPr>
        <w:t>,</w:t>
      </w:r>
      <w:r w:rsidRPr="006A722B">
        <w:rPr>
          <w:szCs w:val="24"/>
          <w:lang w:val="fr-CA"/>
        </w:rPr>
        <w:t xml:space="preserve"> par le groupe </w:t>
      </w:r>
      <w:proofErr w:type="spellStart"/>
      <w:r w:rsidRPr="006A722B">
        <w:rPr>
          <w:szCs w:val="24"/>
          <w:lang w:val="fr-CA"/>
        </w:rPr>
        <w:t>Ballantry</w:t>
      </w:r>
      <w:proofErr w:type="spellEnd"/>
      <w:r>
        <w:rPr>
          <w:szCs w:val="24"/>
          <w:lang w:val="fr-CA"/>
        </w:rPr>
        <w:t>,</w:t>
      </w:r>
      <w:r w:rsidRPr="006A722B">
        <w:rPr>
          <w:szCs w:val="24"/>
          <w:lang w:val="fr-CA"/>
        </w:rPr>
        <w:t xml:space="preserve"> de terrains susceptibles d</w:t>
      </w:r>
      <w:r>
        <w:rPr>
          <w:szCs w:val="24"/>
          <w:lang w:val="fr-CA"/>
        </w:rPr>
        <w:t>’</w:t>
      </w:r>
      <w:r w:rsidRPr="006A722B">
        <w:rPr>
          <w:szCs w:val="24"/>
          <w:lang w:val="fr-CA"/>
        </w:rPr>
        <w:t xml:space="preserve">être mis en valeur dans la région métropolitaine de Toronto étaient des achats qui auraient </w:t>
      </w:r>
      <w:r>
        <w:rPr>
          <w:szCs w:val="24"/>
          <w:lang w:val="fr-CA"/>
        </w:rPr>
        <w:t>été faits</w:t>
      </w:r>
      <w:r w:rsidRPr="006A722B">
        <w:rPr>
          <w:szCs w:val="24"/>
          <w:lang w:val="fr-CA"/>
        </w:rPr>
        <w:t xml:space="preserve"> de toute façon, peu importe que </w:t>
      </w:r>
      <w:proofErr w:type="spellStart"/>
      <w:r w:rsidRPr="006A722B">
        <w:rPr>
          <w:szCs w:val="24"/>
          <w:lang w:val="fr-CA"/>
        </w:rPr>
        <w:t>Southcott</w:t>
      </w:r>
      <w:proofErr w:type="spellEnd"/>
      <w:r w:rsidRPr="006A722B">
        <w:rPr>
          <w:szCs w:val="24"/>
          <w:lang w:val="fr-CA"/>
        </w:rPr>
        <w:t xml:space="preserve"> </w:t>
      </w:r>
      <w:r>
        <w:rPr>
          <w:szCs w:val="24"/>
          <w:lang w:val="fr-CA"/>
        </w:rPr>
        <w:t>achète ou non le terrain d</w:t>
      </w:r>
      <w:r w:rsidRPr="006A722B">
        <w:rPr>
          <w:szCs w:val="24"/>
          <w:lang w:val="fr-CA"/>
        </w:rPr>
        <w:t xml:space="preserve">u conseil scolaire.  </w:t>
      </w:r>
      <w:r w:rsidRPr="006A722B">
        <w:rPr>
          <w:lang w:val="fr-CA"/>
        </w:rPr>
        <w:t>Toutefois, il ne sert à rien de dire que d</w:t>
      </w:r>
      <w:r>
        <w:rPr>
          <w:lang w:val="fr-CA"/>
        </w:rPr>
        <w:t>’</w:t>
      </w:r>
      <w:r w:rsidRPr="006A722B">
        <w:rPr>
          <w:lang w:val="fr-CA"/>
        </w:rPr>
        <w:t>autres sociétés du même groupe d</w:t>
      </w:r>
      <w:r>
        <w:rPr>
          <w:lang w:val="fr-CA"/>
        </w:rPr>
        <w:t>’</w:t>
      </w:r>
      <w:r w:rsidRPr="006A722B">
        <w:rPr>
          <w:lang w:val="fr-CA"/>
        </w:rPr>
        <w:t>entreprises auraient de toute façon acheté les autres terrains disponibles.  Il ressort à l</w:t>
      </w:r>
      <w:r>
        <w:rPr>
          <w:lang w:val="fr-CA"/>
        </w:rPr>
        <w:t>’</w:t>
      </w:r>
      <w:r w:rsidRPr="006A722B">
        <w:rPr>
          <w:lang w:val="fr-CA"/>
        </w:rPr>
        <w:t xml:space="preserve">évidence du témoignage du président de </w:t>
      </w:r>
      <w:proofErr w:type="spellStart"/>
      <w:r w:rsidRPr="006A722B">
        <w:rPr>
          <w:lang w:val="fr-CA"/>
        </w:rPr>
        <w:t>Southcott</w:t>
      </w:r>
      <w:proofErr w:type="spellEnd"/>
      <w:r w:rsidRPr="006A722B">
        <w:rPr>
          <w:lang w:val="fr-CA"/>
        </w:rPr>
        <w:t>, qui est également copropriétaire d</w:t>
      </w:r>
      <w:r>
        <w:rPr>
          <w:lang w:val="fr-CA"/>
        </w:rPr>
        <w:t>e</w:t>
      </w:r>
      <w:r w:rsidRPr="006A722B">
        <w:rPr>
          <w:lang w:val="fr-CA"/>
        </w:rPr>
        <w:t xml:space="preserve"> </w:t>
      </w:r>
      <w:proofErr w:type="spellStart"/>
      <w:r w:rsidRPr="006A722B">
        <w:rPr>
          <w:lang w:val="fr-CA"/>
        </w:rPr>
        <w:t>Ballantry</w:t>
      </w:r>
      <w:proofErr w:type="spellEnd"/>
      <w:r w:rsidRPr="006A722B">
        <w:rPr>
          <w:lang w:val="fr-CA"/>
        </w:rPr>
        <w:t xml:space="preserve">, que le groupe </w:t>
      </w:r>
      <w:proofErr w:type="spellStart"/>
      <w:r w:rsidRPr="006A722B">
        <w:rPr>
          <w:lang w:val="fr-CA"/>
        </w:rPr>
        <w:t>Ballantry</w:t>
      </w:r>
      <w:proofErr w:type="spellEnd"/>
      <w:r w:rsidRPr="006A722B">
        <w:rPr>
          <w:lang w:val="fr-CA"/>
        </w:rPr>
        <w:t xml:space="preserve"> achetait toujours des terrains susceptibles d</w:t>
      </w:r>
      <w:r>
        <w:rPr>
          <w:lang w:val="fr-CA"/>
        </w:rPr>
        <w:t>’</w:t>
      </w:r>
      <w:r w:rsidRPr="006A722B">
        <w:rPr>
          <w:lang w:val="fr-CA"/>
        </w:rPr>
        <w:t>être mis en valeur et qu</w:t>
      </w:r>
      <w:r>
        <w:rPr>
          <w:lang w:val="fr-CA"/>
        </w:rPr>
        <w:t>’</w:t>
      </w:r>
      <w:r w:rsidRPr="006A722B">
        <w:rPr>
          <w:lang w:val="fr-CA"/>
        </w:rPr>
        <w:t>il se servait simplement de di</w:t>
      </w:r>
      <w:r>
        <w:rPr>
          <w:lang w:val="fr-CA"/>
        </w:rPr>
        <w:t>fférent</w:t>
      </w:r>
      <w:r w:rsidRPr="006A722B">
        <w:rPr>
          <w:lang w:val="fr-CA"/>
        </w:rPr>
        <w:t xml:space="preserve">es sociétés pour diversifier les modes de placement.  </w:t>
      </w:r>
    </w:p>
    <w:p w:rsidR="0071502D" w:rsidRPr="009677B6" w:rsidRDefault="0071502D" w:rsidP="0071502D">
      <w:pPr>
        <w:pStyle w:val="ParaNoNdepar-AltN"/>
        <w:rPr>
          <w:lang w:val="fr-CA"/>
        </w:rPr>
      </w:pPr>
      <w:r w:rsidRPr="009677B6">
        <w:rPr>
          <w:szCs w:val="24"/>
          <w:lang w:val="fr-CA"/>
        </w:rPr>
        <w:lastRenderedPageBreak/>
        <w:t xml:space="preserve">Les dirigeants du groupe </w:t>
      </w:r>
      <w:proofErr w:type="spellStart"/>
      <w:r w:rsidRPr="009677B6">
        <w:rPr>
          <w:szCs w:val="24"/>
          <w:lang w:val="fr-CA"/>
        </w:rPr>
        <w:t>Ballantry</w:t>
      </w:r>
      <w:proofErr w:type="spellEnd"/>
      <w:r w:rsidRPr="009677B6">
        <w:rPr>
          <w:szCs w:val="24"/>
          <w:lang w:val="fr-CA"/>
        </w:rPr>
        <w:t xml:space="preserve"> ont fait le choix de la personne morale </w:t>
      </w:r>
      <w:r>
        <w:rPr>
          <w:szCs w:val="24"/>
          <w:lang w:val="fr-CA"/>
        </w:rPr>
        <w:t xml:space="preserve">qui serait utilisée </w:t>
      </w:r>
      <w:r w:rsidRPr="009677B6">
        <w:rPr>
          <w:szCs w:val="24"/>
          <w:lang w:val="fr-CA"/>
        </w:rPr>
        <w:t xml:space="preserve">pour chacun de ces achats et ils ont écarté </w:t>
      </w:r>
      <w:proofErr w:type="spellStart"/>
      <w:r w:rsidRPr="009677B6">
        <w:rPr>
          <w:szCs w:val="24"/>
          <w:lang w:val="fr-CA"/>
        </w:rPr>
        <w:t>Southcott</w:t>
      </w:r>
      <w:proofErr w:type="spellEnd"/>
      <w:r>
        <w:rPr>
          <w:szCs w:val="24"/>
          <w:lang w:val="fr-CA"/>
        </w:rPr>
        <w:t xml:space="preserve">.  </w:t>
      </w:r>
      <w:r w:rsidRPr="009677B6">
        <w:rPr>
          <w:szCs w:val="24"/>
          <w:lang w:val="fr-CA"/>
        </w:rPr>
        <w:t xml:space="preserve">Le </w:t>
      </w:r>
      <w:r w:rsidRPr="009677B6">
        <w:rPr>
          <w:lang w:val="fr-CA"/>
        </w:rPr>
        <w:t xml:space="preserve">juge de première instance a par ailleurs fait observer que </w:t>
      </w:r>
      <w:r w:rsidRPr="009677B6">
        <w:rPr>
          <w:smallCaps/>
          <w:lang w:val="fr-CA"/>
        </w:rPr>
        <w:t>[traduction]</w:t>
      </w:r>
      <w:r>
        <w:rPr>
          <w:lang w:val="fr-CA"/>
        </w:rPr>
        <w:t xml:space="preserve"> « [</w:t>
      </w:r>
      <w:r w:rsidRPr="009677B6">
        <w:rPr>
          <w:lang w:val="fr-CA"/>
        </w:rPr>
        <w:t>l</w:t>
      </w:r>
      <w:r>
        <w:rPr>
          <w:lang w:val="fr-CA"/>
        </w:rPr>
        <w:t>]e projet immobilier</w:t>
      </w:r>
      <w:r w:rsidRPr="009677B6">
        <w:rPr>
          <w:lang w:val="fr-CA"/>
        </w:rPr>
        <w:t xml:space="preserve"> proposé par les demandeurs en l</w:t>
      </w:r>
      <w:r>
        <w:rPr>
          <w:lang w:val="fr-CA"/>
        </w:rPr>
        <w:t>’</w:t>
      </w:r>
      <w:r w:rsidRPr="009677B6">
        <w:rPr>
          <w:lang w:val="fr-CA"/>
        </w:rPr>
        <w:t>espèce n</w:t>
      </w:r>
      <w:r>
        <w:rPr>
          <w:lang w:val="fr-CA"/>
        </w:rPr>
        <w:t>’</w:t>
      </w:r>
      <w:r w:rsidRPr="009677B6">
        <w:rPr>
          <w:lang w:val="fr-CA"/>
        </w:rPr>
        <w:t>avait rien de complexe; il s</w:t>
      </w:r>
      <w:r>
        <w:rPr>
          <w:lang w:val="fr-CA"/>
        </w:rPr>
        <w:t>’</w:t>
      </w:r>
      <w:r w:rsidRPr="009677B6">
        <w:rPr>
          <w:lang w:val="fr-CA"/>
        </w:rPr>
        <w:t>a</w:t>
      </w:r>
      <w:r>
        <w:rPr>
          <w:lang w:val="fr-CA"/>
        </w:rPr>
        <w:t>g</w:t>
      </w:r>
      <w:r w:rsidRPr="009677B6">
        <w:rPr>
          <w:lang w:val="fr-CA"/>
        </w:rPr>
        <w:t>issait d</w:t>
      </w:r>
      <w:r>
        <w:rPr>
          <w:lang w:val="fr-CA"/>
        </w:rPr>
        <w:t>’</w:t>
      </w:r>
      <w:r w:rsidRPr="009677B6">
        <w:rPr>
          <w:lang w:val="fr-CA"/>
        </w:rPr>
        <w:t>un plan relativement simpl</w:t>
      </w:r>
      <w:r>
        <w:rPr>
          <w:lang w:val="fr-CA"/>
        </w:rPr>
        <w:t>e prévoyant la construction de 48 </w:t>
      </w:r>
      <w:r w:rsidRPr="009677B6">
        <w:rPr>
          <w:lang w:val="fr-CA"/>
        </w:rPr>
        <w:t>habitations jumelées » (</w:t>
      </w:r>
      <w:r>
        <w:rPr>
          <w:lang w:val="fr-CA"/>
        </w:rPr>
        <w:t>par. </w:t>
      </w:r>
      <w:r w:rsidRPr="009677B6">
        <w:rPr>
          <w:lang w:val="fr-CA"/>
        </w:rPr>
        <w:t>132)</w:t>
      </w:r>
      <w:r>
        <w:rPr>
          <w:lang w:val="fr-CA"/>
        </w:rPr>
        <w:t xml:space="preserve">.  </w:t>
      </w:r>
      <w:r w:rsidRPr="009677B6">
        <w:rPr>
          <w:lang w:val="fr-CA"/>
        </w:rPr>
        <w:t xml:space="preserve">Dans ces conditions, </w:t>
      </w:r>
      <w:proofErr w:type="spellStart"/>
      <w:r w:rsidRPr="009677B6">
        <w:rPr>
          <w:lang w:val="fr-CA"/>
        </w:rPr>
        <w:t>Southcott</w:t>
      </w:r>
      <w:proofErr w:type="spellEnd"/>
      <w:r w:rsidRPr="009677B6">
        <w:rPr>
          <w:lang w:val="fr-CA"/>
        </w:rPr>
        <w:t xml:space="preserve"> aurait pu réaliser un </w:t>
      </w:r>
      <w:r>
        <w:rPr>
          <w:lang w:val="fr-CA"/>
        </w:rPr>
        <w:t xml:space="preserve">projet </w:t>
      </w:r>
      <w:r w:rsidRPr="009677B6">
        <w:rPr>
          <w:lang w:val="fr-CA"/>
        </w:rPr>
        <w:t xml:space="preserve">tout aussi simple sur un autre terrain, si elle avait voulu </w:t>
      </w:r>
      <w:r w:rsidRPr="00031830">
        <w:rPr>
          <w:lang w:val="fr-CA"/>
        </w:rPr>
        <w:t>mitiger</w:t>
      </w:r>
      <w:r w:rsidRPr="009677B6">
        <w:rPr>
          <w:lang w:val="fr-CA"/>
        </w:rPr>
        <w:t xml:space="preserve"> ses pertes, ce qui correspond à la réalité moderne reconnue dans l</w:t>
      </w:r>
      <w:r>
        <w:rPr>
          <w:lang w:val="fr-CA"/>
        </w:rPr>
        <w:t>’</w:t>
      </w:r>
      <w:r w:rsidRPr="009677B6">
        <w:rPr>
          <w:lang w:val="fr-CA"/>
        </w:rPr>
        <w:t xml:space="preserve">arrêt </w:t>
      </w:r>
      <w:proofErr w:type="spellStart"/>
      <w:r w:rsidRPr="009677B6">
        <w:rPr>
          <w:i/>
          <w:lang w:val="fr-CA"/>
        </w:rPr>
        <w:t>Semelhago</w:t>
      </w:r>
      <w:proofErr w:type="spellEnd"/>
      <w:r w:rsidRPr="009677B6">
        <w:rPr>
          <w:lang w:val="fr-CA"/>
        </w:rPr>
        <w:t>, en l</w:t>
      </w:r>
      <w:r>
        <w:rPr>
          <w:lang w:val="fr-CA"/>
        </w:rPr>
        <w:t>’</w:t>
      </w:r>
      <w:r w:rsidRPr="009677B6">
        <w:rPr>
          <w:lang w:val="fr-CA"/>
        </w:rPr>
        <w:t>occurrence que « [t]</w:t>
      </w:r>
      <w:proofErr w:type="spellStart"/>
      <w:r w:rsidRPr="009677B6">
        <w:rPr>
          <w:spacing w:val="-3"/>
          <w:lang w:val="fr-FR"/>
        </w:rPr>
        <w:t>outes</w:t>
      </w:r>
      <w:proofErr w:type="spellEnd"/>
      <w:r w:rsidRPr="009677B6">
        <w:rPr>
          <w:spacing w:val="-3"/>
          <w:lang w:val="fr-FR"/>
        </w:rPr>
        <w:t xml:space="preserve"> les propriétés, qu</w:t>
      </w:r>
      <w:r>
        <w:rPr>
          <w:spacing w:val="-3"/>
          <w:lang w:val="fr-FR"/>
        </w:rPr>
        <w:t>’</w:t>
      </w:r>
      <w:r w:rsidRPr="009677B6">
        <w:rPr>
          <w:spacing w:val="-3"/>
          <w:lang w:val="fr-FR"/>
        </w:rPr>
        <w:t>elles soient résidentielles, commerciales ou industrielles, sont maintenant produites en série de la même façon que les autres biens de consommation » (</w:t>
      </w:r>
      <w:r>
        <w:rPr>
          <w:lang w:val="fr-CA"/>
        </w:rPr>
        <w:t>par. </w:t>
      </w:r>
      <w:r w:rsidRPr="009677B6">
        <w:rPr>
          <w:lang w:val="fr-CA"/>
        </w:rPr>
        <w:t>20).</w:t>
      </w:r>
    </w:p>
    <w:p w:rsidR="0071502D" w:rsidRDefault="0071502D" w:rsidP="0071502D">
      <w:pPr>
        <w:pStyle w:val="ParaNoNdepar-AltN"/>
        <w:rPr>
          <w:lang w:val="fr-CA"/>
        </w:rPr>
      </w:pPr>
      <w:r w:rsidRPr="009677B6">
        <w:rPr>
          <w:lang w:val="fr-CA"/>
        </w:rPr>
        <w:t xml:space="preserve">Ainsi que la </w:t>
      </w:r>
      <w:r w:rsidR="001E4BA4">
        <w:rPr>
          <w:lang w:val="fr-CA"/>
        </w:rPr>
        <w:t>C</w:t>
      </w:r>
      <w:r w:rsidRPr="009677B6">
        <w:rPr>
          <w:lang w:val="fr-CA"/>
        </w:rPr>
        <w:t>our d</w:t>
      </w:r>
      <w:r>
        <w:rPr>
          <w:lang w:val="fr-CA"/>
        </w:rPr>
        <w:t>’</w:t>
      </w:r>
      <w:r w:rsidRPr="009677B6">
        <w:rPr>
          <w:lang w:val="fr-CA"/>
        </w:rPr>
        <w:t>appel l</w:t>
      </w:r>
      <w:r>
        <w:rPr>
          <w:lang w:val="fr-CA"/>
        </w:rPr>
        <w:t>’</w:t>
      </w:r>
      <w:r w:rsidRPr="009677B6">
        <w:rPr>
          <w:lang w:val="fr-CA"/>
        </w:rPr>
        <w:t>a conclu (</w:t>
      </w:r>
      <w:r>
        <w:rPr>
          <w:lang w:val="fr-CA"/>
        </w:rPr>
        <w:t>par. </w:t>
      </w:r>
      <w:r w:rsidRPr="009677B6">
        <w:rPr>
          <w:lang w:val="fr-CA"/>
        </w:rPr>
        <w:t>25</w:t>
      </w:r>
      <w:r w:rsidR="001E4BA4">
        <w:rPr>
          <w:lang w:val="fr-CA"/>
        </w:rPr>
        <w:t>-</w:t>
      </w:r>
      <w:r w:rsidRPr="009677B6">
        <w:rPr>
          <w:lang w:val="fr-CA"/>
        </w:rPr>
        <w:t xml:space="preserve">26), </w:t>
      </w:r>
      <w:r>
        <w:rPr>
          <w:lang w:val="fr-CA"/>
        </w:rPr>
        <w:t>l’</w:t>
      </w:r>
      <w:r w:rsidRPr="009677B6">
        <w:rPr>
          <w:lang w:val="fr-CA"/>
        </w:rPr>
        <w:t>ach</w:t>
      </w:r>
      <w:r>
        <w:rPr>
          <w:lang w:val="fr-CA"/>
        </w:rPr>
        <w:t>a</w:t>
      </w:r>
      <w:r w:rsidRPr="009677B6">
        <w:rPr>
          <w:lang w:val="fr-CA"/>
        </w:rPr>
        <w:t>t d</w:t>
      </w:r>
      <w:r>
        <w:rPr>
          <w:lang w:val="fr-CA"/>
        </w:rPr>
        <w:t>’</w:t>
      </w:r>
      <w:r w:rsidRPr="009677B6">
        <w:rPr>
          <w:lang w:val="fr-CA"/>
        </w:rPr>
        <w:t>autres propriétés</w:t>
      </w:r>
      <w:r>
        <w:rPr>
          <w:lang w:val="fr-CA"/>
        </w:rPr>
        <w:t xml:space="preserve"> par</w:t>
      </w:r>
      <w:r w:rsidRPr="009677B6">
        <w:rPr>
          <w:lang w:val="fr-CA"/>
        </w:rPr>
        <w:t xml:space="preserve"> le groupe </w:t>
      </w:r>
      <w:proofErr w:type="spellStart"/>
      <w:r w:rsidRPr="009677B6">
        <w:rPr>
          <w:lang w:val="fr-CA"/>
        </w:rPr>
        <w:t>Ballantry</w:t>
      </w:r>
      <w:proofErr w:type="spellEnd"/>
      <w:r w:rsidRPr="009677B6">
        <w:rPr>
          <w:lang w:val="fr-CA"/>
        </w:rPr>
        <w:t xml:space="preserve"> </w:t>
      </w:r>
      <w:r>
        <w:rPr>
          <w:lang w:val="fr-CA"/>
        </w:rPr>
        <w:t>démon</w:t>
      </w:r>
      <w:r w:rsidRPr="009677B6">
        <w:rPr>
          <w:lang w:val="fr-CA"/>
        </w:rPr>
        <w:t>tre que d</w:t>
      </w:r>
      <w:r>
        <w:rPr>
          <w:lang w:val="fr-CA"/>
        </w:rPr>
        <w:t>’</w:t>
      </w:r>
      <w:r w:rsidRPr="009677B6">
        <w:rPr>
          <w:lang w:val="fr-CA"/>
        </w:rPr>
        <w:t xml:space="preserve">autres terrains convenables qui se prêtaient à une mise en valeur </w:t>
      </w:r>
      <w:r w:rsidRPr="009677B6">
        <w:rPr>
          <w:i/>
          <w:lang w:val="fr-CA"/>
        </w:rPr>
        <w:t xml:space="preserve">étaient </w:t>
      </w:r>
      <w:r w:rsidRPr="009677B6">
        <w:rPr>
          <w:lang w:val="fr-CA"/>
        </w:rPr>
        <w:t xml:space="preserve">disponibles et que la décision de ne pas les acheter au nom de </w:t>
      </w:r>
      <w:proofErr w:type="spellStart"/>
      <w:r w:rsidRPr="009677B6">
        <w:rPr>
          <w:lang w:val="fr-CA"/>
        </w:rPr>
        <w:t>Southcott</w:t>
      </w:r>
      <w:proofErr w:type="spellEnd"/>
      <w:r w:rsidRPr="009677B6">
        <w:rPr>
          <w:lang w:val="fr-CA"/>
        </w:rPr>
        <w:t xml:space="preserve"> était motivée par d</w:t>
      </w:r>
      <w:r>
        <w:rPr>
          <w:lang w:val="fr-CA"/>
        </w:rPr>
        <w:t>’</w:t>
      </w:r>
      <w:r w:rsidRPr="009677B6">
        <w:rPr>
          <w:lang w:val="fr-CA"/>
        </w:rPr>
        <w:t>autres considérations</w:t>
      </w:r>
      <w:r>
        <w:rPr>
          <w:lang w:val="fr-CA"/>
        </w:rPr>
        <w:t xml:space="preserve">.  </w:t>
      </w:r>
      <w:r w:rsidRPr="009677B6">
        <w:rPr>
          <w:lang w:val="fr-CA"/>
        </w:rPr>
        <w:t>Je suis d</w:t>
      </w:r>
      <w:r>
        <w:rPr>
          <w:lang w:val="fr-CA"/>
        </w:rPr>
        <w:t>’</w:t>
      </w:r>
      <w:r w:rsidRPr="009677B6">
        <w:rPr>
          <w:lang w:val="fr-CA"/>
        </w:rPr>
        <w:t xml:space="preserve">accord avec la </w:t>
      </w:r>
      <w:r w:rsidR="000D1EDA">
        <w:rPr>
          <w:lang w:val="fr-CA"/>
        </w:rPr>
        <w:t>C</w:t>
      </w:r>
      <w:r w:rsidRPr="009677B6">
        <w:rPr>
          <w:lang w:val="fr-CA"/>
        </w:rPr>
        <w:t>our d</w:t>
      </w:r>
      <w:r>
        <w:rPr>
          <w:lang w:val="fr-CA"/>
        </w:rPr>
        <w:t>’</w:t>
      </w:r>
      <w:r w:rsidRPr="009677B6">
        <w:rPr>
          <w:lang w:val="fr-CA"/>
        </w:rPr>
        <w:t>appel pour dire que le juge de première instance a commis une erreur en ne considérant pas l</w:t>
      </w:r>
      <w:r>
        <w:rPr>
          <w:lang w:val="fr-CA"/>
        </w:rPr>
        <w:t>’</w:t>
      </w:r>
      <w:r w:rsidRPr="009677B6">
        <w:rPr>
          <w:lang w:val="fr-CA"/>
        </w:rPr>
        <w:t>achat de ces autres terrains comme une preuve qu</w:t>
      </w:r>
      <w:r>
        <w:rPr>
          <w:lang w:val="fr-CA"/>
        </w:rPr>
        <w:t>’</w:t>
      </w:r>
      <w:r w:rsidRPr="009677B6">
        <w:rPr>
          <w:lang w:val="fr-CA"/>
        </w:rPr>
        <w:t>il existait d</w:t>
      </w:r>
      <w:r>
        <w:rPr>
          <w:lang w:val="fr-CA"/>
        </w:rPr>
        <w:t>’</w:t>
      </w:r>
      <w:r w:rsidRPr="009677B6">
        <w:rPr>
          <w:lang w:val="fr-CA"/>
        </w:rPr>
        <w:t>autres terrains comparables qu</w:t>
      </w:r>
      <w:r>
        <w:rPr>
          <w:lang w:val="fr-CA"/>
        </w:rPr>
        <w:t xml:space="preserve">i </w:t>
      </w:r>
      <w:r w:rsidRPr="009677B6">
        <w:rPr>
          <w:lang w:val="fr-CA"/>
        </w:rPr>
        <w:t>pouvai</w:t>
      </w:r>
      <w:r>
        <w:rPr>
          <w:lang w:val="fr-CA"/>
        </w:rPr>
        <w:t xml:space="preserve">ent être mis </w:t>
      </w:r>
      <w:r w:rsidRPr="009677B6">
        <w:rPr>
          <w:lang w:val="fr-CA"/>
        </w:rPr>
        <w:t>en valeur.</w:t>
      </w:r>
    </w:p>
    <w:p w:rsidR="0071502D" w:rsidRDefault="0071502D" w:rsidP="000D1EDA">
      <w:pPr>
        <w:pStyle w:val="TitleTitre-AltT"/>
        <w:tabs>
          <w:tab w:val="clear" w:pos="360"/>
          <w:tab w:val="left" w:pos="540"/>
        </w:tabs>
        <w:ind w:left="540" w:hanging="540"/>
        <w:rPr>
          <w:lang w:val="fr-CA"/>
        </w:rPr>
      </w:pPr>
      <w:r>
        <w:rPr>
          <w:lang w:val="fr-CA"/>
        </w:rPr>
        <w:lastRenderedPageBreak/>
        <w:t>V.</w:t>
      </w:r>
      <w:r>
        <w:rPr>
          <w:lang w:val="fr-CA"/>
        </w:rPr>
        <w:tab/>
      </w:r>
      <w:r w:rsidRPr="003861CC">
        <w:rPr>
          <w:u w:val="single"/>
          <w:lang w:val="fr-CA"/>
        </w:rPr>
        <w:t>Conclusion</w:t>
      </w:r>
    </w:p>
    <w:p w:rsidR="0071502D" w:rsidRDefault="0071502D" w:rsidP="0071502D">
      <w:pPr>
        <w:pStyle w:val="ParaNoNdepar-AltN"/>
        <w:rPr>
          <w:lang w:val="fr-CA"/>
        </w:rPr>
      </w:pPr>
      <w:r>
        <w:rPr>
          <w:lang w:val="fr-CA"/>
        </w:rPr>
        <w:t xml:space="preserve">En conclusion, le juge de première instance a commis une erreur en ne tenant pas compte des éléments de preuve pertinents, et il a commis une erreur de fait manifeste et dominante en concluant que </w:t>
      </w:r>
      <w:proofErr w:type="spellStart"/>
      <w:r>
        <w:rPr>
          <w:lang w:val="fr-CA"/>
        </w:rPr>
        <w:t>Southcott</w:t>
      </w:r>
      <w:proofErr w:type="spellEnd"/>
      <w:r>
        <w:rPr>
          <w:lang w:val="fr-CA"/>
        </w:rPr>
        <w:t xml:space="preserve"> n’aurait pas pu raisonnablement éviter sa perte.</w:t>
      </w:r>
    </w:p>
    <w:p w:rsidR="0071502D" w:rsidRPr="006A722B" w:rsidRDefault="0071502D" w:rsidP="0071502D">
      <w:pPr>
        <w:pStyle w:val="ParaNoNdepar-AltN"/>
        <w:rPr>
          <w:lang w:val="fr-CA"/>
        </w:rPr>
      </w:pPr>
      <w:r>
        <w:rPr>
          <w:lang w:val="fr-CA"/>
        </w:rPr>
        <w:t xml:space="preserve">Dans son analyse de la question de la </w:t>
      </w:r>
      <w:r w:rsidRPr="00031830">
        <w:rPr>
          <w:lang w:val="fr-CA"/>
        </w:rPr>
        <w:t>mitigation</w:t>
      </w:r>
      <w:r>
        <w:rPr>
          <w:lang w:val="fr-CA"/>
        </w:rPr>
        <w:t xml:space="preserve"> du préjudice, le juge de première instance n’a pas pris en compte le fait que </w:t>
      </w:r>
      <w:proofErr w:type="spellStart"/>
      <w:r>
        <w:rPr>
          <w:lang w:val="fr-CA"/>
        </w:rPr>
        <w:t>Southcott</w:t>
      </w:r>
      <w:proofErr w:type="spellEnd"/>
      <w:r>
        <w:rPr>
          <w:lang w:val="fr-CA"/>
        </w:rPr>
        <w:t xml:space="preserve"> avait tout simplement refusé de prendre des mesures pour </w:t>
      </w:r>
      <w:r w:rsidRPr="00031830">
        <w:rPr>
          <w:lang w:val="fr-CA"/>
        </w:rPr>
        <w:t>mitiger</w:t>
      </w:r>
      <w:r>
        <w:rPr>
          <w:lang w:val="fr-CA"/>
        </w:rPr>
        <w:t xml:space="preserve"> sa perte.  Il n’a pas tenu compte des acquisitions faites par le groupe </w:t>
      </w:r>
      <w:proofErr w:type="spellStart"/>
      <w:r>
        <w:rPr>
          <w:lang w:val="fr-CA"/>
        </w:rPr>
        <w:t>Ballantry</w:t>
      </w:r>
      <w:proofErr w:type="spellEnd"/>
      <w:r>
        <w:rPr>
          <w:lang w:val="fr-CA"/>
        </w:rPr>
        <w:t xml:space="preserve"> comme preuve permettant d’inférer que d’autres parcelles de terrain étaient disponibles et que leur mise en valeur était </w:t>
      </w:r>
      <w:proofErr w:type="spellStart"/>
      <w:r>
        <w:rPr>
          <w:lang w:val="fr-CA"/>
        </w:rPr>
        <w:t>suffisammant</w:t>
      </w:r>
      <w:proofErr w:type="spellEnd"/>
      <w:r>
        <w:rPr>
          <w:lang w:val="fr-CA"/>
        </w:rPr>
        <w:t xml:space="preserve"> rentable pour satisfaire aux exigences du groupe </w:t>
      </w:r>
      <w:proofErr w:type="spellStart"/>
      <w:r>
        <w:rPr>
          <w:lang w:val="fr-CA"/>
        </w:rPr>
        <w:t>Ballantry</w:t>
      </w:r>
      <w:proofErr w:type="spellEnd"/>
      <w:r>
        <w:rPr>
          <w:lang w:val="fr-CA"/>
        </w:rPr>
        <w:t xml:space="preserve">.  Il a confondu l’absence de preuve relative à la mise en marché des parcelles de terrain avec le manque de preuve qu’aucune des parcelles de terrain n’avait été disponible sur le marché.  Il ne s’est pas demandé si le fait que toutes les propriétés qui, selon la déposition de l’expert cité par le conseil scolaire, constituaient des propriétés susceptibles de mise en valeur au cours de l’année, pouvait permettre d’inférer que leur mise en valeur était rentable.  Enfin, il n’a pas tenu compte du fait que </w:t>
      </w:r>
      <w:proofErr w:type="spellStart"/>
      <w:r>
        <w:rPr>
          <w:lang w:val="fr-CA"/>
        </w:rPr>
        <w:t>Southcott</w:t>
      </w:r>
      <w:proofErr w:type="spellEnd"/>
      <w:r>
        <w:rPr>
          <w:lang w:val="fr-CA"/>
        </w:rPr>
        <w:t xml:space="preserve"> n’a présenté aucun élément de preuve à l’encontre de la preuve présentée par le conseil scolaire relativement aux autres propriétés susceptibles d’être mises en valeur.</w:t>
      </w:r>
    </w:p>
    <w:p w:rsidR="0071502D" w:rsidRPr="009677B6" w:rsidRDefault="0071502D" w:rsidP="0071502D">
      <w:pPr>
        <w:pStyle w:val="ParaNoNdepar-AltN"/>
        <w:rPr>
          <w:lang w:val="fr-CA"/>
        </w:rPr>
      </w:pPr>
      <w:r w:rsidRPr="009677B6">
        <w:rPr>
          <w:lang w:val="fr-CA"/>
        </w:rPr>
        <w:lastRenderedPageBreak/>
        <w:t xml:space="preserve">Dans ces conditions, la </w:t>
      </w:r>
      <w:r w:rsidR="000D1EDA">
        <w:rPr>
          <w:lang w:val="fr-CA"/>
        </w:rPr>
        <w:t>C</w:t>
      </w:r>
      <w:r w:rsidRPr="009677B6">
        <w:rPr>
          <w:lang w:val="fr-CA"/>
        </w:rPr>
        <w:t>our d</w:t>
      </w:r>
      <w:r>
        <w:rPr>
          <w:lang w:val="fr-CA"/>
        </w:rPr>
        <w:t>’</w:t>
      </w:r>
      <w:r w:rsidRPr="009677B6">
        <w:rPr>
          <w:lang w:val="fr-CA"/>
        </w:rPr>
        <w:t xml:space="preserve">appel </w:t>
      </w:r>
      <w:r>
        <w:rPr>
          <w:lang w:val="fr-CA"/>
        </w:rPr>
        <w:t xml:space="preserve">pouvait </w:t>
      </w:r>
      <w:r w:rsidRPr="009677B6">
        <w:rPr>
          <w:lang w:val="fr-CA"/>
        </w:rPr>
        <w:t xml:space="preserve">examiner le dossier et </w:t>
      </w:r>
      <w:r>
        <w:rPr>
          <w:lang w:val="fr-CA"/>
        </w:rPr>
        <w:t>conclure que le juge de première instance</w:t>
      </w:r>
      <w:r w:rsidRPr="009677B6">
        <w:rPr>
          <w:lang w:val="fr-CA"/>
        </w:rPr>
        <w:t xml:space="preserve"> </w:t>
      </w:r>
      <w:r>
        <w:rPr>
          <w:lang w:val="fr-CA"/>
        </w:rPr>
        <w:t xml:space="preserve">ne pouvait pas, </w:t>
      </w:r>
      <w:r w:rsidRPr="009677B6">
        <w:rPr>
          <w:lang w:val="fr-CA"/>
        </w:rPr>
        <w:t xml:space="preserve">vu la preuve dont il disposait, tirer les </w:t>
      </w:r>
      <w:r>
        <w:rPr>
          <w:lang w:val="fr-CA"/>
        </w:rPr>
        <w:t>conclusions</w:t>
      </w:r>
      <w:r w:rsidRPr="009677B6">
        <w:rPr>
          <w:lang w:val="fr-CA"/>
        </w:rPr>
        <w:t xml:space="preserve"> auxquelles il en est arrivé </w:t>
      </w:r>
      <w:r>
        <w:rPr>
          <w:lang w:val="fr-CA"/>
        </w:rPr>
        <w:t xml:space="preserve">au sujet de la </w:t>
      </w:r>
      <w:r w:rsidRPr="00031830">
        <w:rPr>
          <w:lang w:val="fr-CA"/>
        </w:rPr>
        <w:t>mitigation</w:t>
      </w:r>
      <w:r w:rsidRPr="009677B6">
        <w:rPr>
          <w:lang w:val="fr-CA"/>
        </w:rPr>
        <w:t xml:space="preserve"> du préjudice</w:t>
      </w:r>
      <w:r>
        <w:rPr>
          <w:lang w:val="fr-CA"/>
        </w:rPr>
        <w:t xml:space="preserve">.  </w:t>
      </w:r>
      <w:r w:rsidRPr="009677B6">
        <w:rPr>
          <w:lang w:val="fr-CA"/>
        </w:rPr>
        <w:t xml:space="preserve">Les éléments de preuve relatifs aux </w:t>
      </w:r>
      <w:r>
        <w:rPr>
          <w:lang w:val="fr-CA"/>
        </w:rPr>
        <w:t xml:space="preserve">acquisitions de terrains </w:t>
      </w:r>
      <w:r w:rsidRPr="009677B6">
        <w:rPr>
          <w:lang w:val="fr-CA"/>
        </w:rPr>
        <w:t xml:space="preserve">par </w:t>
      </w:r>
      <w:proofErr w:type="spellStart"/>
      <w:r w:rsidRPr="009677B6">
        <w:rPr>
          <w:lang w:val="fr-CA"/>
        </w:rPr>
        <w:t>Ballantry</w:t>
      </w:r>
      <w:proofErr w:type="spellEnd"/>
      <w:r w:rsidRPr="009677B6">
        <w:rPr>
          <w:lang w:val="fr-CA"/>
        </w:rPr>
        <w:t xml:space="preserve"> démontraient, eu égard au refus de </w:t>
      </w:r>
      <w:proofErr w:type="spellStart"/>
      <w:r w:rsidRPr="009677B6">
        <w:rPr>
          <w:lang w:val="fr-CA"/>
        </w:rPr>
        <w:t>Southcott</w:t>
      </w:r>
      <w:proofErr w:type="spellEnd"/>
      <w:r w:rsidRPr="009677B6">
        <w:rPr>
          <w:lang w:val="fr-CA"/>
        </w:rPr>
        <w:t xml:space="preserve"> de prendre des mesures pour </w:t>
      </w:r>
      <w:r w:rsidRPr="00031830">
        <w:rPr>
          <w:lang w:val="fr-CA"/>
        </w:rPr>
        <w:t>mitiger</w:t>
      </w:r>
      <w:r w:rsidRPr="009677B6">
        <w:rPr>
          <w:lang w:val="fr-CA"/>
        </w:rPr>
        <w:t xml:space="preserve"> ses pertes, qu</w:t>
      </w:r>
      <w:r>
        <w:rPr>
          <w:lang w:val="fr-CA"/>
        </w:rPr>
        <w:t>’</w:t>
      </w:r>
      <w:r w:rsidRPr="009677B6">
        <w:rPr>
          <w:lang w:val="fr-CA"/>
        </w:rPr>
        <w:t xml:space="preserve">il existait des possibilités de </w:t>
      </w:r>
      <w:r w:rsidRPr="00031830">
        <w:rPr>
          <w:lang w:val="fr-CA"/>
        </w:rPr>
        <w:t>mitiger</w:t>
      </w:r>
      <w:r w:rsidRPr="009677B6">
        <w:rPr>
          <w:lang w:val="fr-CA"/>
        </w:rPr>
        <w:t xml:space="preserve"> le préjudice en achetant d</w:t>
      </w:r>
      <w:r>
        <w:rPr>
          <w:lang w:val="fr-CA"/>
        </w:rPr>
        <w:t>’</w:t>
      </w:r>
      <w:r w:rsidRPr="009677B6">
        <w:rPr>
          <w:lang w:val="fr-CA"/>
        </w:rPr>
        <w:t>autres terrains susceptibles d</w:t>
      </w:r>
      <w:r>
        <w:rPr>
          <w:lang w:val="fr-CA"/>
        </w:rPr>
        <w:t>’</w:t>
      </w:r>
      <w:r w:rsidRPr="009677B6">
        <w:rPr>
          <w:lang w:val="fr-CA"/>
        </w:rPr>
        <w:t>être mis en valeur dans la région métropolitaine de Toronto</w:t>
      </w:r>
      <w:r>
        <w:rPr>
          <w:lang w:val="fr-CA"/>
        </w:rPr>
        <w:t xml:space="preserve">.  </w:t>
      </w:r>
      <w:r w:rsidRPr="009677B6">
        <w:rPr>
          <w:lang w:val="fr-CA"/>
        </w:rPr>
        <w:t xml:space="preserve">Le défaut de </w:t>
      </w:r>
      <w:r w:rsidRPr="00031830">
        <w:rPr>
          <w:lang w:val="fr-CA"/>
        </w:rPr>
        <w:t>mitiger</w:t>
      </w:r>
      <w:r w:rsidRPr="009677B6">
        <w:rPr>
          <w:lang w:val="fr-CA"/>
        </w:rPr>
        <w:t xml:space="preserve"> ses pertes </w:t>
      </w:r>
      <w:r>
        <w:rPr>
          <w:lang w:val="fr-CA"/>
        </w:rPr>
        <w:t xml:space="preserve">entraîne une réduction du </w:t>
      </w:r>
      <w:r w:rsidRPr="009677B6">
        <w:rPr>
          <w:lang w:val="fr-CA"/>
        </w:rPr>
        <w:t xml:space="preserve">montant des </w:t>
      </w:r>
      <w:proofErr w:type="spellStart"/>
      <w:r w:rsidRPr="009677B6">
        <w:rPr>
          <w:lang w:val="fr-CA"/>
        </w:rPr>
        <w:t>dommages</w:t>
      </w:r>
      <w:r>
        <w:rPr>
          <w:lang w:val="fr-CA"/>
        </w:rPr>
        <w:noBreakHyphen/>
      </w:r>
      <w:r w:rsidRPr="009677B6">
        <w:rPr>
          <w:lang w:val="fr-CA"/>
        </w:rPr>
        <w:t>intérêts</w:t>
      </w:r>
      <w:proofErr w:type="spellEnd"/>
      <w:r>
        <w:rPr>
          <w:lang w:val="fr-CA"/>
        </w:rPr>
        <w:t xml:space="preserve">.  </w:t>
      </w:r>
      <w:r w:rsidRPr="009677B6">
        <w:rPr>
          <w:lang w:val="fr-CA"/>
        </w:rPr>
        <w:t xml:space="preserve">La </w:t>
      </w:r>
      <w:r w:rsidR="000D1EDA">
        <w:rPr>
          <w:lang w:val="fr-CA"/>
        </w:rPr>
        <w:t>C</w:t>
      </w:r>
      <w:r w:rsidRPr="009677B6">
        <w:rPr>
          <w:lang w:val="fr-CA"/>
        </w:rPr>
        <w:t>our d</w:t>
      </w:r>
      <w:r>
        <w:rPr>
          <w:lang w:val="fr-CA"/>
        </w:rPr>
        <w:t>’</w:t>
      </w:r>
      <w:r w:rsidRPr="009677B6">
        <w:rPr>
          <w:lang w:val="fr-CA"/>
        </w:rPr>
        <w:t>appel a conclu que, compte tenu de</w:t>
      </w:r>
      <w:r>
        <w:rPr>
          <w:lang w:val="fr-CA"/>
        </w:rPr>
        <w:t xml:space="preserve"> l’achat d’</w:t>
      </w:r>
      <w:r w:rsidRPr="009677B6">
        <w:rPr>
          <w:lang w:val="fr-CA"/>
        </w:rPr>
        <w:t xml:space="preserve">immeubles de placement par </w:t>
      </w:r>
      <w:proofErr w:type="spellStart"/>
      <w:r>
        <w:rPr>
          <w:lang w:val="fr-CA"/>
        </w:rPr>
        <w:t>Ballantry</w:t>
      </w:r>
      <w:proofErr w:type="spellEnd"/>
      <w:r>
        <w:rPr>
          <w:lang w:val="fr-CA"/>
        </w:rPr>
        <w:t>,</w:t>
      </w:r>
      <w:r w:rsidRPr="009677B6">
        <w:rPr>
          <w:lang w:val="fr-CA"/>
        </w:rPr>
        <w:t xml:space="preserve"> et </w:t>
      </w:r>
      <w:r>
        <w:rPr>
          <w:lang w:val="fr-CA"/>
        </w:rPr>
        <w:t>en</w:t>
      </w:r>
      <w:r w:rsidRPr="009677B6">
        <w:rPr>
          <w:lang w:val="fr-CA"/>
        </w:rPr>
        <w:t xml:space="preserve"> l</w:t>
      </w:r>
      <w:r>
        <w:rPr>
          <w:lang w:val="fr-CA"/>
        </w:rPr>
        <w:t>’</w:t>
      </w:r>
      <w:r w:rsidRPr="009677B6">
        <w:rPr>
          <w:lang w:val="fr-CA"/>
        </w:rPr>
        <w:t>absence d</w:t>
      </w:r>
      <w:r>
        <w:rPr>
          <w:lang w:val="fr-CA"/>
        </w:rPr>
        <w:t>’</w:t>
      </w:r>
      <w:r w:rsidRPr="009677B6">
        <w:rPr>
          <w:lang w:val="fr-CA"/>
        </w:rPr>
        <w:t>éléments de preuve contraires, le conseil scolaire s</w:t>
      </w:r>
      <w:r>
        <w:rPr>
          <w:lang w:val="fr-CA"/>
        </w:rPr>
        <w:t>’</w:t>
      </w:r>
      <w:r w:rsidRPr="009677B6">
        <w:rPr>
          <w:lang w:val="fr-CA"/>
        </w:rPr>
        <w:t>était acquitté du fardeau de démontrer qu</w:t>
      </w:r>
      <w:r>
        <w:rPr>
          <w:lang w:val="fr-CA"/>
        </w:rPr>
        <w:t>’</w:t>
      </w:r>
      <w:r w:rsidRPr="009677B6">
        <w:rPr>
          <w:lang w:val="fr-CA"/>
        </w:rPr>
        <w:t>il existait</w:t>
      </w:r>
      <w:r>
        <w:rPr>
          <w:lang w:val="fr-CA"/>
        </w:rPr>
        <w:t>,</w:t>
      </w:r>
      <w:r w:rsidRPr="009677B6">
        <w:rPr>
          <w:lang w:val="fr-CA"/>
        </w:rPr>
        <w:t xml:space="preserve"> </w:t>
      </w:r>
      <w:r>
        <w:rPr>
          <w:lang w:val="fr-CA"/>
        </w:rPr>
        <w:t xml:space="preserve">au cours de la période en cause, </w:t>
      </w:r>
      <w:r w:rsidRPr="009677B6">
        <w:rPr>
          <w:lang w:val="fr-CA"/>
        </w:rPr>
        <w:t>d</w:t>
      </w:r>
      <w:r>
        <w:rPr>
          <w:lang w:val="fr-CA"/>
        </w:rPr>
        <w:t>’</w:t>
      </w:r>
      <w:r w:rsidRPr="009677B6">
        <w:rPr>
          <w:lang w:val="fr-CA"/>
        </w:rPr>
        <w:t xml:space="preserve">autres immeubles de placement qui auraient pu servir à </w:t>
      </w:r>
      <w:r w:rsidRPr="00031830">
        <w:rPr>
          <w:lang w:val="fr-CA"/>
        </w:rPr>
        <w:t>mitiger</w:t>
      </w:r>
      <w:r w:rsidRPr="009677B6">
        <w:rPr>
          <w:lang w:val="fr-CA"/>
        </w:rPr>
        <w:t xml:space="preserve"> les pertes, de sorte que la preuve dont disposait </w:t>
      </w:r>
      <w:r>
        <w:rPr>
          <w:lang w:val="fr-CA"/>
        </w:rPr>
        <w:t xml:space="preserve">le </w:t>
      </w:r>
      <w:r w:rsidRPr="009677B6">
        <w:rPr>
          <w:lang w:val="fr-CA"/>
        </w:rPr>
        <w:t xml:space="preserve">juge de première instance </w:t>
      </w:r>
      <w:r>
        <w:rPr>
          <w:lang w:val="fr-CA"/>
        </w:rPr>
        <w:t xml:space="preserve">ne lui permettait pas </w:t>
      </w:r>
      <w:r w:rsidRPr="009677B6">
        <w:rPr>
          <w:lang w:val="fr-CA"/>
        </w:rPr>
        <w:t>de conclure qu</w:t>
      </w:r>
      <w:r>
        <w:rPr>
          <w:lang w:val="fr-CA"/>
        </w:rPr>
        <w:t>’</w:t>
      </w:r>
      <w:r w:rsidRPr="009677B6">
        <w:rPr>
          <w:lang w:val="fr-CA"/>
        </w:rPr>
        <w:t>il n</w:t>
      </w:r>
      <w:r>
        <w:rPr>
          <w:lang w:val="fr-CA"/>
        </w:rPr>
        <w:t>’</w:t>
      </w:r>
      <w:r w:rsidRPr="009677B6">
        <w:rPr>
          <w:lang w:val="fr-CA"/>
        </w:rPr>
        <w:t>y avait pas d</w:t>
      </w:r>
      <w:r>
        <w:rPr>
          <w:lang w:val="fr-CA"/>
        </w:rPr>
        <w:t>’</w:t>
      </w:r>
      <w:r w:rsidRPr="009677B6">
        <w:rPr>
          <w:lang w:val="fr-CA"/>
        </w:rPr>
        <w:t>immeubles comparables</w:t>
      </w:r>
      <w:r>
        <w:rPr>
          <w:lang w:val="fr-CA"/>
        </w:rPr>
        <w:t xml:space="preserve">.  </w:t>
      </w:r>
      <w:r w:rsidRPr="009677B6">
        <w:rPr>
          <w:lang w:val="fr-CA"/>
        </w:rPr>
        <w:t xml:space="preserve">Je </w:t>
      </w:r>
      <w:r>
        <w:rPr>
          <w:lang w:val="fr-CA"/>
        </w:rPr>
        <w:t xml:space="preserve">partage cet </w:t>
      </w:r>
      <w:r w:rsidRPr="009677B6">
        <w:rPr>
          <w:lang w:val="fr-CA"/>
        </w:rPr>
        <w:t>avis.</w:t>
      </w:r>
    </w:p>
    <w:p w:rsidR="0071502D" w:rsidRDefault="0071502D" w:rsidP="0071502D">
      <w:pPr>
        <w:pStyle w:val="ParaNoNdepar-AltN"/>
        <w:rPr>
          <w:lang w:val="fr-CA"/>
        </w:rPr>
      </w:pPr>
      <w:r w:rsidRPr="009677B6">
        <w:rPr>
          <w:lang w:val="fr-CA"/>
        </w:rPr>
        <w:t xml:space="preserve">Je </w:t>
      </w:r>
      <w:r>
        <w:rPr>
          <w:lang w:val="fr-CA"/>
        </w:rPr>
        <w:t xml:space="preserve">suis d’avis de </w:t>
      </w:r>
      <w:r w:rsidRPr="009677B6">
        <w:rPr>
          <w:lang w:val="fr-CA"/>
        </w:rPr>
        <w:t>rejeter le pourvoi</w:t>
      </w:r>
      <w:r>
        <w:rPr>
          <w:lang w:val="fr-CA"/>
        </w:rPr>
        <w:t xml:space="preserve"> </w:t>
      </w:r>
      <w:r w:rsidRPr="00031830">
        <w:rPr>
          <w:lang w:val="fr-CA"/>
        </w:rPr>
        <w:t>avec dépens</w:t>
      </w:r>
      <w:r>
        <w:rPr>
          <w:lang w:val="fr-CA"/>
        </w:rPr>
        <w:t xml:space="preserve">.  </w:t>
      </w:r>
      <w:r w:rsidRPr="009677B6">
        <w:rPr>
          <w:lang w:val="fr-CA"/>
        </w:rPr>
        <w:t xml:space="preserve">Compte tenu </w:t>
      </w:r>
      <w:r>
        <w:rPr>
          <w:lang w:val="fr-CA"/>
        </w:rPr>
        <w:t xml:space="preserve">de l’issue du </w:t>
      </w:r>
      <w:r w:rsidRPr="009677B6">
        <w:rPr>
          <w:lang w:val="fr-CA"/>
        </w:rPr>
        <w:t>pourvoi principal, il n</w:t>
      </w:r>
      <w:r>
        <w:rPr>
          <w:lang w:val="fr-CA"/>
        </w:rPr>
        <w:t>’</w:t>
      </w:r>
      <w:r w:rsidRPr="009677B6">
        <w:rPr>
          <w:lang w:val="fr-CA"/>
        </w:rPr>
        <w:t>est pas nécessaire que j</w:t>
      </w:r>
      <w:r>
        <w:rPr>
          <w:lang w:val="fr-CA"/>
        </w:rPr>
        <w:t>’</w:t>
      </w:r>
      <w:r w:rsidRPr="009677B6">
        <w:rPr>
          <w:lang w:val="fr-CA"/>
        </w:rPr>
        <w:t>examine le pourvoi incident</w:t>
      </w:r>
      <w:r>
        <w:rPr>
          <w:lang w:val="fr-CA"/>
        </w:rPr>
        <w:t xml:space="preserve"> </w:t>
      </w:r>
      <w:r w:rsidRPr="00DE50DA">
        <w:rPr>
          <w:lang w:val="fr-CA"/>
        </w:rPr>
        <w:t>et je suis d</w:t>
      </w:r>
      <w:r>
        <w:rPr>
          <w:lang w:val="fr-CA"/>
        </w:rPr>
        <w:t>’</w:t>
      </w:r>
      <w:r w:rsidRPr="00DE50DA">
        <w:rPr>
          <w:lang w:val="fr-CA"/>
        </w:rPr>
        <w:t>avis de le rejeter sans dépens.</w:t>
      </w:r>
    </w:p>
    <w:p w:rsidR="0071502D" w:rsidRPr="000D1EDA" w:rsidRDefault="0071502D" w:rsidP="000D1EDA">
      <w:pPr>
        <w:pStyle w:val="JudgeJuge"/>
        <w:tabs>
          <w:tab w:val="clear" w:pos="1260"/>
          <w:tab w:val="left" w:pos="1170"/>
        </w:tabs>
        <w:spacing w:before="480" w:after="720" w:line="240" w:lineRule="auto"/>
        <w:rPr>
          <w:smallCaps w:val="0"/>
          <w:szCs w:val="24"/>
          <w:lang w:val="fr-CA"/>
        </w:rPr>
      </w:pPr>
      <w:r w:rsidRPr="00815A2B">
        <w:rPr>
          <w:szCs w:val="24"/>
          <w:lang w:val="fr-CA"/>
        </w:rPr>
        <w:tab/>
      </w:r>
      <w:r w:rsidR="000D1EDA" w:rsidRPr="000D1EDA">
        <w:rPr>
          <w:smallCaps w:val="0"/>
          <w:szCs w:val="24"/>
          <w:lang w:val="fr-CA"/>
        </w:rPr>
        <w:t>Version française des motifs rendus par</w:t>
      </w:r>
    </w:p>
    <w:p w:rsidR="0071502D" w:rsidRPr="00815A2B" w:rsidRDefault="000D1EDA" w:rsidP="0071502D">
      <w:pPr>
        <w:pStyle w:val="ParaNoNdepar-AltN"/>
        <w:rPr>
          <w:rFonts w:cs="Times New Roman"/>
          <w:szCs w:val="24"/>
          <w:lang w:val="fr-CA"/>
        </w:rPr>
      </w:pPr>
      <w:r w:rsidRPr="000D1EDA">
        <w:rPr>
          <w:smallCaps/>
          <w:szCs w:val="24"/>
          <w:lang w:val="fr-CA"/>
        </w:rPr>
        <w:lastRenderedPageBreak/>
        <w:t>La Juge en chef</w:t>
      </w:r>
      <w:r w:rsidRPr="000D1EDA">
        <w:rPr>
          <w:szCs w:val="24"/>
          <w:lang w:val="fr-CA"/>
        </w:rPr>
        <w:t xml:space="preserve"> </w:t>
      </w:r>
      <w:r>
        <w:rPr>
          <w:szCs w:val="24"/>
          <w:lang w:val="fr-CA"/>
        </w:rPr>
        <w:t xml:space="preserve">(dissidente) </w:t>
      </w:r>
      <w:r w:rsidRPr="000D1EDA">
        <w:rPr>
          <w:szCs w:val="24"/>
          <w:lang w:val="fr-CA"/>
        </w:rPr>
        <w:t xml:space="preserve">— </w:t>
      </w:r>
      <w:r w:rsidR="0071502D" w:rsidRPr="00815A2B">
        <w:rPr>
          <w:rFonts w:cs="Times New Roman"/>
          <w:szCs w:val="24"/>
          <w:lang w:val="fr-CA"/>
        </w:rPr>
        <w:t xml:space="preserve">Les </w:t>
      </w:r>
      <w:proofErr w:type="spellStart"/>
      <w:r w:rsidR="0071502D" w:rsidRPr="00815A2B">
        <w:rPr>
          <w:rFonts w:cs="Times New Roman"/>
          <w:szCs w:val="24"/>
          <w:lang w:val="fr-CA"/>
        </w:rPr>
        <w:t>dommages</w:t>
      </w:r>
      <w:r w:rsidR="0071502D" w:rsidRPr="00815A2B">
        <w:rPr>
          <w:rFonts w:cs="Times New Roman"/>
          <w:szCs w:val="24"/>
          <w:lang w:val="fr-CA"/>
        </w:rPr>
        <w:noBreakHyphen/>
        <w:t>intérêts</w:t>
      </w:r>
      <w:proofErr w:type="spellEnd"/>
      <w:r w:rsidR="0071502D" w:rsidRPr="00815A2B">
        <w:rPr>
          <w:rFonts w:cs="Times New Roman"/>
          <w:szCs w:val="24"/>
          <w:lang w:val="fr-CA"/>
        </w:rPr>
        <w:t xml:space="preserve"> pour rupture de contrat peuvent être réduits lorsque le demandeur omet, sans justification, de mitiger sa perte.  Pour démontrer que le défaut du demandeur de mitiger sa perte n’était pas justifié, le défendeur qui n’a pas respecté le contrat doit établir (1) l’existence d’une possibilité de mitiger la perte, et (2) que le défaut du demandeur de se prévaloir de cette possibilité n’était pas justifié.  </w:t>
      </w:r>
    </w:p>
    <w:p w:rsidR="0071502D" w:rsidRPr="00815A2B" w:rsidRDefault="0071502D" w:rsidP="0071502D">
      <w:pPr>
        <w:pStyle w:val="ParaNoNdepar-AltN"/>
        <w:rPr>
          <w:rFonts w:cs="Times New Roman"/>
          <w:szCs w:val="24"/>
          <w:lang w:val="fr-CA"/>
        </w:rPr>
      </w:pPr>
      <w:r w:rsidRPr="00815A2B">
        <w:rPr>
          <w:rFonts w:cs="Times New Roman"/>
          <w:szCs w:val="24"/>
          <w:lang w:val="fr-CA"/>
        </w:rPr>
        <w:t xml:space="preserve">Le juge de première instance a conclu que le défendeur n’avait pas prouvé que </w:t>
      </w:r>
      <w:proofErr w:type="spellStart"/>
      <w:r w:rsidRPr="00815A2B">
        <w:rPr>
          <w:rFonts w:cs="Times New Roman"/>
          <w:szCs w:val="24"/>
          <w:lang w:val="fr-CA"/>
        </w:rPr>
        <w:t>Southcott</w:t>
      </w:r>
      <w:proofErr w:type="spellEnd"/>
      <w:r w:rsidRPr="00815A2B">
        <w:rPr>
          <w:rFonts w:cs="Times New Roman"/>
          <w:szCs w:val="24"/>
          <w:lang w:val="fr-CA"/>
        </w:rPr>
        <w:t xml:space="preserve"> </w:t>
      </w:r>
      <w:proofErr w:type="gramStart"/>
      <w:r w:rsidRPr="00815A2B">
        <w:rPr>
          <w:rFonts w:cs="Times New Roman"/>
          <w:szCs w:val="24"/>
          <w:lang w:val="fr-CA"/>
        </w:rPr>
        <w:t>avait</w:t>
      </w:r>
      <w:proofErr w:type="gramEnd"/>
      <w:r w:rsidRPr="00815A2B">
        <w:rPr>
          <w:rFonts w:cs="Times New Roman"/>
          <w:szCs w:val="24"/>
          <w:lang w:val="fr-CA"/>
        </w:rPr>
        <w:t xml:space="preserve"> eu une possibilité de mitiger sa perte.  Selon moi, cette conclusion était appuyée par la preuve.  Cela suffit pour trancher l’appel.  Cependant, s’il fallait conclure à l’existence d’une telle possibilité, je ne vois rien qui permette de conclure que </w:t>
      </w:r>
      <w:proofErr w:type="spellStart"/>
      <w:r w:rsidRPr="00815A2B">
        <w:rPr>
          <w:rFonts w:cs="Times New Roman"/>
          <w:szCs w:val="24"/>
          <w:lang w:val="fr-CA"/>
        </w:rPr>
        <w:t>Southcott</w:t>
      </w:r>
      <w:proofErr w:type="spellEnd"/>
      <w:r w:rsidRPr="00815A2B">
        <w:rPr>
          <w:rFonts w:cs="Times New Roman"/>
          <w:szCs w:val="24"/>
          <w:lang w:val="fr-CA"/>
        </w:rPr>
        <w:t xml:space="preserve"> n’était pas justifiée de maintenir sa demande en justice pour exécution intégrale au lieu de mitiger sa perte.  Il s’ensuit à </w:t>
      </w:r>
      <w:r w:rsidR="000D1EDA">
        <w:rPr>
          <w:rFonts w:cs="Times New Roman"/>
          <w:szCs w:val="24"/>
          <w:lang w:val="fr-CA"/>
        </w:rPr>
        <w:t>mon avis que le jugement de la C</w:t>
      </w:r>
      <w:r w:rsidRPr="00815A2B">
        <w:rPr>
          <w:rFonts w:cs="Times New Roman"/>
          <w:szCs w:val="24"/>
          <w:lang w:val="fr-CA"/>
        </w:rPr>
        <w:t xml:space="preserve">our d’appel devrait être annulé et qu’il y aurait lieu de rétablir la conclusion du juge de première instance selon laquelle la demanderesse a prouvé la rupture du contrat et les dommages.  </w:t>
      </w:r>
    </w:p>
    <w:p w:rsidR="0071502D" w:rsidRPr="00815A2B" w:rsidRDefault="0071502D" w:rsidP="000D1EDA">
      <w:pPr>
        <w:pStyle w:val="TitleTitre-AltT"/>
        <w:tabs>
          <w:tab w:val="clear" w:pos="360"/>
          <w:tab w:val="left" w:pos="540"/>
        </w:tabs>
        <w:ind w:left="540" w:hanging="540"/>
        <w:rPr>
          <w:rFonts w:cs="Times New Roman"/>
          <w:szCs w:val="24"/>
        </w:rPr>
      </w:pPr>
      <w:r w:rsidRPr="00815A2B">
        <w:rPr>
          <w:rFonts w:cs="Times New Roman"/>
          <w:szCs w:val="24"/>
        </w:rPr>
        <w:t>I.</w:t>
      </w:r>
      <w:r w:rsidRPr="00815A2B">
        <w:rPr>
          <w:rFonts w:cs="Times New Roman"/>
          <w:szCs w:val="24"/>
        </w:rPr>
        <w:tab/>
      </w:r>
      <w:proofErr w:type="spellStart"/>
      <w:r w:rsidRPr="00815A2B">
        <w:rPr>
          <w:rFonts w:cs="Times New Roman"/>
          <w:szCs w:val="24"/>
          <w:u w:val="single"/>
        </w:rPr>
        <w:t>Contexte</w:t>
      </w:r>
      <w:proofErr w:type="spellEnd"/>
    </w:p>
    <w:p w:rsidR="0071502D" w:rsidRPr="00815A2B" w:rsidRDefault="0071502D" w:rsidP="0071502D">
      <w:pPr>
        <w:pStyle w:val="ParaNoNdepar-AltN"/>
        <w:rPr>
          <w:rFonts w:cs="Times New Roman"/>
          <w:szCs w:val="24"/>
          <w:lang w:val="fr-CA"/>
        </w:rPr>
      </w:pPr>
      <w:r w:rsidRPr="00815A2B">
        <w:rPr>
          <w:rFonts w:cs="Times New Roman"/>
          <w:szCs w:val="24"/>
          <w:lang w:val="fr-CA"/>
        </w:rPr>
        <w:t xml:space="preserve">Le Toronto </w:t>
      </w:r>
      <w:proofErr w:type="spellStart"/>
      <w:r w:rsidRPr="00815A2B">
        <w:rPr>
          <w:rFonts w:cs="Times New Roman"/>
          <w:szCs w:val="24"/>
          <w:lang w:val="fr-CA"/>
        </w:rPr>
        <w:t>Catholic</w:t>
      </w:r>
      <w:proofErr w:type="spellEnd"/>
      <w:r w:rsidRPr="00815A2B">
        <w:rPr>
          <w:rFonts w:cs="Times New Roman"/>
          <w:szCs w:val="24"/>
          <w:lang w:val="fr-CA"/>
        </w:rPr>
        <w:t xml:space="preserve"> </w:t>
      </w:r>
      <w:r w:rsidR="000D1EDA">
        <w:rPr>
          <w:rFonts w:cs="Times New Roman"/>
          <w:szCs w:val="24"/>
          <w:lang w:val="fr-CA"/>
        </w:rPr>
        <w:t xml:space="preserve">District </w:t>
      </w:r>
      <w:proofErr w:type="spellStart"/>
      <w:r w:rsidRPr="00815A2B">
        <w:rPr>
          <w:rFonts w:cs="Times New Roman"/>
          <w:szCs w:val="24"/>
          <w:lang w:val="fr-CA"/>
        </w:rPr>
        <w:t>School</w:t>
      </w:r>
      <w:proofErr w:type="spellEnd"/>
      <w:r w:rsidRPr="00815A2B">
        <w:rPr>
          <w:rFonts w:cs="Times New Roman"/>
          <w:szCs w:val="24"/>
          <w:lang w:val="fr-CA"/>
        </w:rPr>
        <w:t xml:space="preserve"> </w:t>
      </w:r>
      <w:proofErr w:type="spellStart"/>
      <w:r w:rsidRPr="00815A2B">
        <w:rPr>
          <w:rFonts w:cs="Times New Roman"/>
          <w:szCs w:val="24"/>
          <w:lang w:val="fr-CA"/>
        </w:rPr>
        <w:t>Board</w:t>
      </w:r>
      <w:proofErr w:type="spellEnd"/>
      <w:r w:rsidRPr="00815A2B">
        <w:rPr>
          <w:rFonts w:cs="Times New Roman"/>
          <w:szCs w:val="24"/>
          <w:lang w:val="fr-CA"/>
        </w:rPr>
        <w:t xml:space="preserve"> (le « conseil scolaire ») a conclu avec </w:t>
      </w:r>
      <w:proofErr w:type="spellStart"/>
      <w:r w:rsidRPr="00815A2B">
        <w:rPr>
          <w:rFonts w:cs="Times New Roman"/>
          <w:szCs w:val="24"/>
          <w:lang w:val="fr-CA"/>
        </w:rPr>
        <w:t>Southcott</w:t>
      </w:r>
      <w:proofErr w:type="spellEnd"/>
      <w:r w:rsidRPr="00815A2B">
        <w:rPr>
          <w:rFonts w:cs="Times New Roman"/>
          <w:szCs w:val="24"/>
          <w:lang w:val="fr-CA"/>
        </w:rPr>
        <w:t xml:space="preserve"> </w:t>
      </w:r>
      <w:proofErr w:type="spellStart"/>
      <w:r w:rsidRPr="00815A2B">
        <w:rPr>
          <w:rFonts w:cs="Times New Roman"/>
          <w:szCs w:val="24"/>
          <w:lang w:val="fr-CA"/>
        </w:rPr>
        <w:t>Estates</w:t>
      </w:r>
      <w:proofErr w:type="spellEnd"/>
      <w:r w:rsidRPr="00815A2B">
        <w:rPr>
          <w:rFonts w:cs="Times New Roman"/>
          <w:szCs w:val="24"/>
          <w:lang w:val="fr-CA"/>
        </w:rPr>
        <w:t xml:space="preserve"> Inc. un contrat pour la vente d’un terrain de 4,78 acres, dont il n’avait pas besoin, au prix de 3,44 millions de dollars.  La date de clôture était le 31 août 2004.  </w:t>
      </w:r>
      <w:proofErr w:type="spellStart"/>
      <w:r w:rsidRPr="00815A2B">
        <w:rPr>
          <w:rFonts w:cs="Times New Roman"/>
          <w:szCs w:val="24"/>
          <w:lang w:val="fr-CA"/>
        </w:rPr>
        <w:t>Southcott</w:t>
      </w:r>
      <w:proofErr w:type="spellEnd"/>
      <w:r w:rsidRPr="00815A2B">
        <w:rPr>
          <w:rFonts w:cs="Times New Roman"/>
          <w:szCs w:val="24"/>
          <w:lang w:val="fr-CA"/>
        </w:rPr>
        <w:t xml:space="preserve"> est une filiale à cent pour cent de </w:t>
      </w:r>
      <w:proofErr w:type="spellStart"/>
      <w:r w:rsidRPr="00815A2B">
        <w:rPr>
          <w:rFonts w:cs="Times New Roman"/>
          <w:szCs w:val="24"/>
          <w:lang w:val="fr-CA"/>
        </w:rPr>
        <w:t>Ballantry</w:t>
      </w:r>
      <w:proofErr w:type="spellEnd"/>
      <w:r w:rsidRPr="00815A2B">
        <w:rPr>
          <w:rFonts w:cs="Times New Roman"/>
          <w:szCs w:val="24"/>
          <w:lang w:val="fr-CA"/>
        </w:rPr>
        <w:t xml:space="preserve"> Homes Inc., </w:t>
      </w:r>
      <w:r w:rsidRPr="00815A2B">
        <w:rPr>
          <w:rFonts w:cs="Times New Roman"/>
          <w:szCs w:val="24"/>
          <w:lang w:val="fr-CA"/>
        </w:rPr>
        <w:lastRenderedPageBreak/>
        <w:t xml:space="preserve">dont les activités consistent à acquérir des propriétés et y ériger des immeubles résidentiels.  </w:t>
      </w:r>
      <w:proofErr w:type="spellStart"/>
      <w:r w:rsidRPr="00815A2B">
        <w:rPr>
          <w:rFonts w:cs="Times New Roman"/>
          <w:szCs w:val="24"/>
          <w:lang w:val="fr-CA"/>
        </w:rPr>
        <w:t>Southcott</w:t>
      </w:r>
      <w:proofErr w:type="spellEnd"/>
      <w:r w:rsidRPr="00815A2B">
        <w:rPr>
          <w:rFonts w:cs="Times New Roman"/>
          <w:szCs w:val="24"/>
          <w:lang w:val="fr-CA"/>
        </w:rPr>
        <w:t xml:space="preserve"> est une société à but unique créée expressément dans le seul but d’acquérir cette parcelle de terrain et de la mettre en valeur en y construisant des résidences unifamiliales.  </w:t>
      </w:r>
      <w:proofErr w:type="spellStart"/>
      <w:r w:rsidRPr="00815A2B">
        <w:rPr>
          <w:rFonts w:cs="Times New Roman"/>
          <w:szCs w:val="24"/>
          <w:lang w:val="fr-CA"/>
        </w:rPr>
        <w:t>Southcott</w:t>
      </w:r>
      <w:proofErr w:type="spellEnd"/>
      <w:r w:rsidRPr="00815A2B">
        <w:rPr>
          <w:rFonts w:cs="Times New Roman"/>
          <w:szCs w:val="24"/>
          <w:lang w:val="fr-CA"/>
        </w:rPr>
        <w:t xml:space="preserve"> n’a aucun actif à l’exception de la somme d’argent versée en dépôt pour l’acquisition du terrain. </w:t>
      </w:r>
    </w:p>
    <w:p w:rsidR="0071502D" w:rsidRPr="00815A2B" w:rsidRDefault="0071502D" w:rsidP="0071502D">
      <w:pPr>
        <w:pStyle w:val="ParaNoNdepar-AltN"/>
        <w:rPr>
          <w:rFonts w:cs="Times New Roman"/>
          <w:szCs w:val="24"/>
          <w:lang w:val="fr-CA"/>
        </w:rPr>
      </w:pPr>
      <w:r w:rsidRPr="00815A2B">
        <w:rPr>
          <w:rFonts w:cs="Times New Roman"/>
          <w:szCs w:val="24"/>
          <w:lang w:val="fr-CA"/>
        </w:rPr>
        <w:t xml:space="preserve">Le terrain faisant partie d’une plus grande parcelle sur laquelle se trouvent les immeubles d’une école, le contrat était conditionnel à ce que le conseil scolaire obtienne du comité des dérogations une disjonction au plus tard à la date de clôture.  Le contrat a été signé le 14 juin 2004, mais il n’est devenu définitif que le 23 août 2004.  Constatant qu’il risquait de ne pas obtenir la disjonction à la date de clôture prévue pour le 31 août 2004, le conseil scolaire a demandé à </w:t>
      </w:r>
      <w:proofErr w:type="spellStart"/>
      <w:r w:rsidRPr="00815A2B">
        <w:rPr>
          <w:rFonts w:cs="Times New Roman"/>
          <w:szCs w:val="24"/>
          <w:lang w:val="fr-CA"/>
        </w:rPr>
        <w:t>Southcott</w:t>
      </w:r>
      <w:proofErr w:type="spellEnd"/>
      <w:r w:rsidRPr="00815A2B">
        <w:rPr>
          <w:rFonts w:cs="Times New Roman"/>
          <w:szCs w:val="24"/>
          <w:lang w:val="fr-CA"/>
        </w:rPr>
        <w:t xml:space="preserve"> de proroger la date de clôture à une date fixe postérieure à la disjonction.  </w:t>
      </w:r>
      <w:proofErr w:type="spellStart"/>
      <w:r w:rsidRPr="00815A2B">
        <w:rPr>
          <w:rFonts w:cs="Times New Roman"/>
          <w:szCs w:val="24"/>
          <w:lang w:val="fr-CA"/>
        </w:rPr>
        <w:t>Southcott</w:t>
      </w:r>
      <w:proofErr w:type="spellEnd"/>
      <w:r w:rsidRPr="00815A2B">
        <w:rPr>
          <w:rFonts w:cs="Times New Roman"/>
          <w:szCs w:val="24"/>
          <w:lang w:val="fr-CA"/>
        </w:rPr>
        <w:t xml:space="preserve"> a accepté de proroger la date de clôture du 31 août, mais elle a insisté pour que la date définitive soit fixée au 31 janvier 2005.</w:t>
      </w:r>
    </w:p>
    <w:p w:rsidR="0071502D" w:rsidRPr="00815A2B" w:rsidRDefault="0071502D" w:rsidP="0071502D">
      <w:pPr>
        <w:pStyle w:val="ParaNoNdepar-AltN"/>
        <w:rPr>
          <w:rFonts w:cs="Times New Roman"/>
          <w:szCs w:val="24"/>
          <w:lang w:val="fr-CA"/>
        </w:rPr>
      </w:pPr>
      <w:r w:rsidRPr="00815A2B">
        <w:rPr>
          <w:rFonts w:cs="Times New Roman"/>
          <w:szCs w:val="24"/>
          <w:lang w:val="fr-CA"/>
        </w:rPr>
        <w:t xml:space="preserve">La demande de disjonction du conseil scolaire a été examinée le 16 décembre 2004.  La décision a été retardée parce que le conseil scolaire n’avait pas joint à sa demande un plan de mise en valeur.  De ce fait, le conseil scolaire n’a pu respecter la date de clôture du 31 janvier 2005.  </w:t>
      </w:r>
      <w:proofErr w:type="spellStart"/>
      <w:r w:rsidRPr="00815A2B">
        <w:rPr>
          <w:rFonts w:cs="Times New Roman"/>
          <w:szCs w:val="24"/>
          <w:lang w:val="fr-CA"/>
        </w:rPr>
        <w:t>Southcott</w:t>
      </w:r>
      <w:proofErr w:type="spellEnd"/>
      <w:r w:rsidRPr="00815A2B">
        <w:rPr>
          <w:rFonts w:cs="Times New Roman"/>
          <w:szCs w:val="24"/>
          <w:lang w:val="fr-CA"/>
        </w:rPr>
        <w:t xml:space="preserve"> a demandé au conseil scolaire de proroger la date de clôture.  Le conseil scolaire a refusé, a déclaré l’opération caduque et a remboursé à </w:t>
      </w:r>
      <w:proofErr w:type="spellStart"/>
      <w:r w:rsidRPr="00815A2B">
        <w:rPr>
          <w:rFonts w:cs="Times New Roman"/>
          <w:szCs w:val="24"/>
          <w:lang w:val="fr-CA"/>
        </w:rPr>
        <w:t>Southcott</w:t>
      </w:r>
      <w:proofErr w:type="spellEnd"/>
      <w:r w:rsidRPr="00815A2B">
        <w:rPr>
          <w:rFonts w:cs="Times New Roman"/>
          <w:szCs w:val="24"/>
          <w:lang w:val="fr-CA"/>
        </w:rPr>
        <w:t xml:space="preserve"> la somme versée en dépôt.  </w:t>
      </w:r>
    </w:p>
    <w:p w:rsidR="0071502D" w:rsidRPr="00815A2B" w:rsidRDefault="0071502D" w:rsidP="0071502D">
      <w:pPr>
        <w:pStyle w:val="ParaNoNdepar-AltN"/>
        <w:rPr>
          <w:rFonts w:cs="Times New Roman"/>
          <w:szCs w:val="24"/>
          <w:lang w:val="fr-CA"/>
        </w:rPr>
      </w:pPr>
      <w:proofErr w:type="spellStart"/>
      <w:r w:rsidRPr="00815A2B">
        <w:rPr>
          <w:rFonts w:cs="Times New Roman"/>
          <w:szCs w:val="24"/>
          <w:lang w:val="fr-CA"/>
        </w:rPr>
        <w:lastRenderedPageBreak/>
        <w:t>Southcott</w:t>
      </w:r>
      <w:proofErr w:type="spellEnd"/>
      <w:r w:rsidRPr="00815A2B">
        <w:rPr>
          <w:rFonts w:cs="Times New Roman"/>
          <w:szCs w:val="24"/>
          <w:lang w:val="fr-CA"/>
        </w:rPr>
        <w:t xml:space="preserve"> a fait valoir que le conseil scolaire avait manqué à son obligation de tout mettre en œuvre pour obtenir la disjonction et a introduit une action visant à obtenir l’exécution intégrale du contrat ou, à titre subsidiaire, des </w:t>
      </w:r>
      <w:proofErr w:type="spellStart"/>
      <w:r w:rsidRPr="00815A2B">
        <w:rPr>
          <w:rFonts w:cs="Times New Roman"/>
          <w:szCs w:val="24"/>
          <w:lang w:val="fr-CA"/>
        </w:rPr>
        <w:t>dommages</w:t>
      </w:r>
      <w:r w:rsidRPr="00815A2B">
        <w:rPr>
          <w:rFonts w:cs="Times New Roman"/>
          <w:szCs w:val="24"/>
          <w:lang w:val="fr-CA"/>
        </w:rPr>
        <w:noBreakHyphen/>
        <w:t>intérêts</w:t>
      </w:r>
      <w:proofErr w:type="spellEnd"/>
      <w:r w:rsidRPr="00815A2B">
        <w:rPr>
          <w:rFonts w:cs="Times New Roman"/>
          <w:szCs w:val="24"/>
          <w:lang w:val="fr-CA"/>
        </w:rPr>
        <w:t>.</w:t>
      </w:r>
    </w:p>
    <w:p w:rsidR="0071502D" w:rsidRPr="00815A2B" w:rsidRDefault="0071502D" w:rsidP="0071502D">
      <w:pPr>
        <w:pStyle w:val="ParaNoNdepar-AltN"/>
        <w:rPr>
          <w:rFonts w:cs="Times New Roman"/>
          <w:szCs w:val="24"/>
          <w:lang w:val="fr-CA"/>
        </w:rPr>
      </w:pPr>
      <w:r w:rsidRPr="00815A2B">
        <w:rPr>
          <w:rFonts w:cs="Times New Roman"/>
          <w:szCs w:val="24"/>
          <w:lang w:val="fr-CA"/>
        </w:rPr>
        <w:t xml:space="preserve">Le juge de première instance a conclu que la demanderesse n’avait pas droit à l’exécution intégrale parce que l’immeuble n’avait pas le caractère unique qui lui aurait permis de répondre aux exigences nécessaires à l’obtention de cette réparation.  Il a toutefois accordé la somme de 1 935 500 $ à titre de </w:t>
      </w:r>
      <w:proofErr w:type="spellStart"/>
      <w:r w:rsidRPr="00815A2B">
        <w:rPr>
          <w:rFonts w:cs="Times New Roman"/>
          <w:szCs w:val="24"/>
          <w:lang w:val="fr-CA"/>
        </w:rPr>
        <w:t>dommages</w:t>
      </w:r>
      <w:r w:rsidRPr="00815A2B">
        <w:rPr>
          <w:rFonts w:cs="Times New Roman"/>
          <w:szCs w:val="24"/>
          <w:lang w:val="fr-CA"/>
        </w:rPr>
        <w:noBreakHyphen/>
        <w:t>intérêts</w:t>
      </w:r>
      <w:proofErr w:type="spellEnd"/>
      <w:r w:rsidRPr="00815A2B">
        <w:rPr>
          <w:rFonts w:cs="Times New Roman"/>
          <w:szCs w:val="24"/>
          <w:lang w:val="fr-CA"/>
        </w:rPr>
        <w:t xml:space="preserve">, ce qui correspondait à une perte de chance de 60 p. 100 de réaliser un profit de 3 225 827 $.  Il a rejeté l’argument du conseil scolaire selon lequel </w:t>
      </w:r>
      <w:proofErr w:type="spellStart"/>
      <w:r w:rsidRPr="00815A2B">
        <w:rPr>
          <w:rFonts w:cs="Times New Roman"/>
          <w:szCs w:val="24"/>
          <w:lang w:val="fr-CA"/>
        </w:rPr>
        <w:t>Southcott</w:t>
      </w:r>
      <w:proofErr w:type="spellEnd"/>
      <w:r w:rsidRPr="00815A2B">
        <w:rPr>
          <w:rFonts w:cs="Times New Roman"/>
          <w:szCs w:val="24"/>
          <w:lang w:val="fr-CA"/>
        </w:rPr>
        <w:t xml:space="preserve"> a omis sans justification de mitiger sa perte et a conclu que le conseil scolaire n’avait pas établi au regard des faits l’existence de possibilités de mitiger la perte.</w:t>
      </w:r>
    </w:p>
    <w:p w:rsidR="0071502D" w:rsidRPr="00815A2B" w:rsidRDefault="000D1EDA" w:rsidP="0071502D">
      <w:pPr>
        <w:pStyle w:val="ParaNoNdepar-AltN"/>
        <w:rPr>
          <w:rFonts w:cs="Times New Roman"/>
          <w:szCs w:val="24"/>
          <w:lang w:val="fr-CA"/>
        </w:rPr>
      </w:pPr>
      <w:r>
        <w:rPr>
          <w:rFonts w:cs="Times New Roman"/>
          <w:szCs w:val="24"/>
          <w:lang w:val="fr-CA"/>
        </w:rPr>
        <w:t>La C</w:t>
      </w:r>
      <w:r w:rsidR="0071502D" w:rsidRPr="00815A2B">
        <w:rPr>
          <w:rFonts w:cs="Times New Roman"/>
          <w:szCs w:val="24"/>
          <w:lang w:val="fr-CA"/>
        </w:rPr>
        <w:t xml:space="preserve">our d’appel a infirmé la décision du juge de première instance et annulé la condamnation aux </w:t>
      </w:r>
      <w:proofErr w:type="spellStart"/>
      <w:r w:rsidR="0071502D" w:rsidRPr="00815A2B">
        <w:rPr>
          <w:rFonts w:cs="Times New Roman"/>
          <w:szCs w:val="24"/>
          <w:lang w:val="fr-CA"/>
        </w:rPr>
        <w:t>dommages</w:t>
      </w:r>
      <w:r w:rsidR="0071502D" w:rsidRPr="00815A2B">
        <w:rPr>
          <w:rFonts w:cs="Times New Roman"/>
          <w:szCs w:val="24"/>
          <w:lang w:val="fr-CA"/>
        </w:rPr>
        <w:noBreakHyphen/>
        <w:t>intérêts</w:t>
      </w:r>
      <w:proofErr w:type="spellEnd"/>
      <w:r w:rsidR="0071502D" w:rsidRPr="00815A2B">
        <w:rPr>
          <w:rFonts w:cs="Times New Roman"/>
          <w:szCs w:val="24"/>
          <w:lang w:val="fr-CA"/>
        </w:rPr>
        <w:t xml:space="preserve">; elle a essentiellement conclu que la preuve, appréciée comme il se doit, avait établi une omission injustifiée de mitiger le préjudice. </w:t>
      </w:r>
    </w:p>
    <w:p w:rsidR="0071502D" w:rsidRPr="00815A2B" w:rsidRDefault="0071502D" w:rsidP="00C82AEC">
      <w:pPr>
        <w:pStyle w:val="TitleTitre-AltT"/>
        <w:tabs>
          <w:tab w:val="clear" w:pos="360"/>
          <w:tab w:val="left" w:pos="540"/>
        </w:tabs>
        <w:ind w:left="540" w:hanging="540"/>
        <w:rPr>
          <w:rFonts w:cs="Times New Roman"/>
          <w:szCs w:val="24"/>
          <w:lang w:val="fr-CA"/>
        </w:rPr>
      </w:pPr>
      <w:r w:rsidRPr="00815A2B">
        <w:rPr>
          <w:rFonts w:cs="Times New Roman"/>
          <w:szCs w:val="24"/>
          <w:lang w:val="fr-CA"/>
        </w:rPr>
        <w:lastRenderedPageBreak/>
        <w:t>II.</w:t>
      </w:r>
      <w:r w:rsidRPr="00815A2B">
        <w:rPr>
          <w:rFonts w:cs="Times New Roman"/>
          <w:szCs w:val="24"/>
          <w:lang w:val="fr-CA"/>
        </w:rPr>
        <w:tab/>
      </w:r>
      <w:r w:rsidRPr="00815A2B">
        <w:rPr>
          <w:rFonts w:cs="Times New Roman"/>
          <w:szCs w:val="24"/>
          <w:u w:val="single"/>
          <w:lang w:val="fr-CA"/>
        </w:rPr>
        <w:t>Les exigences en matière de la mitigation du préjudice</w:t>
      </w:r>
    </w:p>
    <w:p w:rsidR="0071502D" w:rsidRPr="00815A2B" w:rsidRDefault="0071502D" w:rsidP="0071502D">
      <w:pPr>
        <w:pStyle w:val="ParaNoNdepar-AltN"/>
        <w:rPr>
          <w:rFonts w:cs="Times New Roman"/>
          <w:szCs w:val="24"/>
          <w:lang w:val="fr-CA"/>
        </w:rPr>
      </w:pPr>
      <w:r w:rsidRPr="00815A2B">
        <w:rPr>
          <w:rFonts w:cs="Times New Roman"/>
          <w:szCs w:val="24"/>
          <w:lang w:val="fr-CA"/>
        </w:rPr>
        <w:t xml:space="preserve">Selon le principe de la mitigation du préjudice, un demandeur ne peut obtenir des </w:t>
      </w:r>
      <w:proofErr w:type="spellStart"/>
      <w:r w:rsidRPr="00815A2B">
        <w:rPr>
          <w:rFonts w:cs="Times New Roman"/>
          <w:szCs w:val="24"/>
          <w:lang w:val="fr-CA"/>
        </w:rPr>
        <w:t>dommages</w:t>
      </w:r>
      <w:r w:rsidRPr="00815A2B">
        <w:rPr>
          <w:rFonts w:cs="Times New Roman"/>
          <w:szCs w:val="24"/>
          <w:lang w:val="fr-CA"/>
        </w:rPr>
        <w:noBreakHyphen/>
        <w:t>intérêts</w:t>
      </w:r>
      <w:proofErr w:type="spellEnd"/>
      <w:r w:rsidRPr="00815A2B">
        <w:rPr>
          <w:rFonts w:cs="Times New Roman"/>
          <w:szCs w:val="24"/>
          <w:lang w:val="fr-CA"/>
        </w:rPr>
        <w:t xml:space="preserve"> pour des pertes qui auraient raisonnablement pu être évitées : </w:t>
      </w:r>
      <w:proofErr w:type="spellStart"/>
      <w:r w:rsidRPr="00815A2B">
        <w:rPr>
          <w:rFonts w:cs="Times New Roman"/>
          <w:i/>
          <w:szCs w:val="24"/>
          <w:lang w:val="fr-CA"/>
        </w:rPr>
        <w:t>Asamera</w:t>
      </w:r>
      <w:proofErr w:type="spellEnd"/>
      <w:r w:rsidRPr="00815A2B">
        <w:rPr>
          <w:rFonts w:cs="Times New Roman"/>
          <w:i/>
          <w:szCs w:val="24"/>
          <w:lang w:val="fr-CA"/>
        </w:rPr>
        <w:t xml:space="preserve"> </w:t>
      </w:r>
      <w:proofErr w:type="spellStart"/>
      <w:r w:rsidRPr="00815A2B">
        <w:rPr>
          <w:rFonts w:cs="Times New Roman"/>
          <w:i/>
          <w:szCs w:val="24"/>
          <w:lang w:val="fr-CA"/>
        </w:rPr>
        <w:t>Oil</w:t>
      </w:r>
      <w:proofErr w:type="spellEnd"/>
      <w:r w:rsidRPr="00815A2B">
        <w:rPr>
          <w:rFonts w:cs="Times New Roman"/>
          <w:i/>
          <w:szCs w:val="24"/>
          <w:lang w:val="fr-CA"/>
        </w:rPr>
        <w:t xml:space="preserve"> Corp. c. </w:t>
      </w:r>
      <w:proofErr w:type="spellStart"/>
      <w:r w:rsidRPr="00815A2B">
        <w:rPr>
          <w:rFonts w:cs="Times New Roman"/>
          <w:i/>
          <w:szCs w:val="24"/>
          <w:lang w:val="fr-CA"/>
        </w:rPr>
        <w:t>Sea</w:t>
      </w:r>
      <w:proofErr w:type="spellEnd"/>
      <w:r w:rsidRPr="00815A2B">
        <w:rPr>
          <w:rFonts w:cs="Times New Roman"/>
          <w:i/>
          <w:szCs w:val="24"/>
          <w:lang w:val="fr-CA"/>
        </w:rPr>
        <w:t xml:space="preserve"> </w:t>
      </w:r>
      <w:proofErr w:type="spellStart"/>
      <w:r w:rsidRPr="00815A2B">
        <w:rPr>
          <w:rFonts w:cs="Times New Roman"/>
          <w:i/>
          <w:szCs w:val="24"/>
          <w:lang w:val="fr-CA"/>
        </w:rPr>
        <w:t>Oil</w:t>
      </w:r>
      <w:proofErr w:type="spellEnd"/>
      <w:r w:rsidRPr="00815A2B">
        <w:rPr>
          <w:rFonts w:cs="Times New Roman"/>
          <w:i/>
          <w:szCs w:val="24"/>
          <w:lang w:val="fr-CA"/>
        </w:rPr>
        <w:t xml:space="preserve"> &amp; General Corp.</w:t>
      </w:r>
      <w:r w:rsidRPr="00815A2B">
        <w:rPr>
          <w:rFonts w:cs="Times New Roman"/>
          <w:szCs w:val="24"/>
          <w:lang w:val="fr-CA"/>
        </w:rPr>
        <w:t xml:space="preserve">, [1979] 1 R.C.S. 633, p. 660; </w:t>
      </w:r>
      <w:r w:rsidRPr="00815A2B">
        <w:rPr>
          <w:rFonts w:cs="Times New Roman"/>
          <w:i/>
          <w:szCs w:val="24"/>
          <w:lang w:val="fr-CA"/>
        </w:rPr>
        <w:t xml:space="preserve">British Westinghouse Electric and </w:t>
      </w:r>
      <w:proofErr w:type="spellStart"/>
      <w:r w:rsidRPr="00815A2B">
        <w:rPr>
          <w:rFonts w:cs="Times New Roman"/>
          <w:i/>
          <w:szCs w:val="24"/>
          <w:lang w:val="fr-CA"/>
        </w:rPr>
        <w:t>Manufacturing</w:t>
      </w:r>
      <w:proofErr w:type="spellEnd"/>
      <w:r w:rsidRPr="00815A2B">
        <w:rPr>
          <w:rFonts w:cs="Times New Roman"/>
          <w:i/>
          <w:szCs w:val="24"/>
          <w:lang w:val="fr-CA"/>
        </w:rPr>
        <w:t xml:space="preserve"> Co. c. Underground Electric </w:t>
      </w:r>
      <w:proofErr w:type="spellStart"/>
      <w:r w:rsidRPr="00815A2B">
        <w:rPr>
          <w:rFonts w:cs="Times New Roman"/>
          <w:i/>
          <w:szCs w:val="24"/>
          <w:lang w:val="fr-CA"/>
        </w:rPr>
        <w:t>Railways</w:t>
      </w:r>
      <w:proofErr w:type="spellEnd"/>
      <w:r w:rsidRPr="00815A2B">
        <w:rPr>
          <w:rFonts w:cs="Times New Roman"/>
          <w:i/>
          <w:szCs w:val="24"/>
          <w:lang w:val="fr-CA"/>
        </w:rPr>
        <w:t xml:space="preserve"> </w:t>
      </w:r>
      <w:proofErr w:type="spellStart"/>
      <w:r w:rsidRPr="00815A2B">
        <w:rPr>
          <w:rFonts w:cs="Times New Roman"/>
          <w:i/>
          <w:szCs w:val="24"/>
          <w:lang w:val="fr-CA"/>
        </w:rPr>
        <w:t>Company</w:t>
      </w:r>
      <w:proofErr w:type="spellEnd"/>
      <w:r w:rsidRPr="00815A2B">
        <w:rPr>
          <w:rFonts w:cs="Times New Roman"/>
          <w:i/>
          <w:szCs w:val="24"/>
          <w:lang w:val="fr-CA"/>
        </w:rPr>
        <w:t xml:space="preserve"> of London, Ltd.</w:t>
      </w:r>
      <w:r w:rsidRPr="00815A2B">
        <w:rPr>
          <w:rFonts w:cs="Times New Roman"/>
          <w:szCs w:val="24"/>
          <w:lang w:val="fr-CA"/>
        </w:rPr>
        <w:t xml:space="preserve">, [1912] A.C. 673 (H.L.), p. 689; </w:t>
      </w:r>
      <w:proofErr w:type="spellStart"/>
      <w:r w:rsidRPr="00815A2B">
        <w:rPr>
          <w:rFonts w:cs="Times New Roman"/>
          <w:i/>
          <w:szCs w:val="24"/>
          <w:lang w:val="fr-CA"/>
        </w:rPr>
        <w:t>Dunkirk</w:t>
      </w:r>
      <w:proofErr w:type="spellEnd"/>
      <w:r w:rsidRPr="00815A2B">
        <w:rPr>
          <w:rFonts w:cs="Times New Roman"/>
          <w:i/>
          <w:szCs w:val="24"/>
          <w:lang w:val="fr-CA"/>
        </w:rPr>
        <w:t xml:space="preserve"> </w:t>
      </w:r>
      <w:proofErr w:type="spellStart"/>
      <w:r w:rsidRPr="00815A2B">
        <w:rPr>
          <w:rFonts w:cs="Times New Roman"/>
          <w:i/>
          <w:szCs w:val="24"/>
          <w:lang w:val="fr-CA"/>
        </w:rPr>
        <w:t>Colliery</w:t>
      </w:r>
      <w:proofErr w:type="spellEnd"/>
      <w:r w:rsidRPr="00815A2B">
        <w:rPr>
          <w:rFonts w:cs="Times New Roman"/>
          <w:i/>
          <w:szCs w:val="24"/>
          <w:lang w:val="fr-CA"/>
        </w:rPr>
        <w:t xml:space="preserve"> Co. c. Lever </w:t>
      </w:r>
      <w:r w:rsidRPr="00815A2B">
        <w:rPr>
          <w:rFonts w:cs="Times New Roman"/>
          <w:szCs w:val="24"/>
          <w:lang w:val="fr-CA"/>
        </w:rPr>
        <w:t xml:space="preserve">(1878), 9 Ch. D. 20 (C.A.), p. 25.  Un demandeur n’a pas d’obligation contractuelle de mitiger le préjudice, et en ce sens, l’expression « obligation de </w:t>
      </w:r>
      <w:r w:rsidR="000D1EDA">
        <w:rPr>
          <w:rFonts w:cs="Times New Roman"/>
          <w:szCs w:val="24"/>
          <w:lang w:val="fr-CA"/>
        </w:rPr>
        <w:t>limit</w:t>
      </w:r>
      <w:r w:rsidRPr="00815A2B">
        <w:rPr>
          <w:rFonts w:cs="Times New Roman"/>
          <w:szCs w:val="24"/>
          <w:lang w:val="fr-CA"/>
        </w:rPr>
        <w:t xml:space="preserve">er le préjudice » est trompeuse.  Cependant, lorsque le demandeur omet sans justification de mitiger sa perte, les </w:t>
      </w:r>
      <w:proofErr w:type="spellStart"/>
      <w:r w:rsidRPr="00815A2B">
        <w:rPr>
          <w:rFonts w:cs="Times New Roman"/>
          <w:szCs w:val="24"/>
          <w:lang w:val="fr-CA"/>
        </w:rPr>
        <w:t>dommages</w:t>
      </w:r>
      <w:r w:rsidRPr="00815A2B">
        <w:rPr>
          <w:rFonts w:cs="Times New Roman"/>
          <w:szCs w:val="24"/>
          <w:lang w:val="fr-CA"/>
        </w:rPr>
        <w:noBreakHyphen/>
        <w:t>intérêts</w:t>
      </w:r>
      <w:proofErr w:type="spellEnd"/>
      <w:r w:rsidRPr="00815A2B">
        <w:rPr>
          <w:rFonts w:cs="Times New Roman"/>
          <w:szCs w:val="24"/>
          <w:lang w:val="fr-CA"/>
        </w:rPr>
        <w:t xml:space="preserve"> pour rupture de contrat peuvent être réduits : </w:t>
      </w:r>
      <w:proofErr w:type="spellStart"/>
      <w:r w:rsidRPr="00815A2B">
        <w:rPr>
          <w:rFonts w:cs="Times New Roman"/>
          <w:i/>
          <w:szCs w:val="24"/>
          <w:lang w:val="fr-CA"/>
        </w:rPr>
        <w:t>Janiak</w:t>
      </w:r>
      <w:proofErr w:type="spellEnd"/>
      <w:r w:rsidRPr="00815A2B">
        <w:rPr>
          <w:rFonts w:cs="Times New Roman"/>
          <w:i/>
          <w:szCs w:val="24"/>
          <w:lang w:val="fr-CA"/>
        </w:rPr>
        <w:t xml:space="preserve"> c. </w:t>
      </w:r>
      <w:proofErr w:type="spellStart"/>
      <w:r w:rsidRPr="00815A2B">
        <w:rPr>
          <w:rFonts w:cs="Times New Roman"/>
          <w:i/>
          <w:szCs w:val="24"/>
          <w:lang w:val="fr-CA"/>
        </w:rPr>
        <w:t>Ippolito</w:t>
      </w:r>
      <w:proofErr w:type="spellEnd"/>
      <w:r w:rsidRPr="00815A2B">
        <w:rPr>
          <w:rFonts w:cs="Times New Roman"/>
          <w:szCs w:val="24"/>
          <w:lang w:val="fr-CA"/>
        </w:rPr>
        <w:t>, [1985] 1 R.C.S. 146, p. 166</w:t>
      </w:r>
      <w:r w:rsidRPr="00815A2B">
        <w:rPr>
          <w:rFonts w:cs="Times New Roman"/>
          <w:szCs w:val="24"/>
          <w:lang w:val="fr-CA"/>
        </w:rPr>
        <w:noBreakHyphen/>
        <w:t xml:space="preserve">167; </w:t>
      </w:r>
      <w:proofErr w:type="spellStart"/>
      <w:r w:rsidRPr="00815A2B">
        <w:rPr>
          <w:rFonts w:cs="Times New Roman"/>
          <w:i/>
          <w:szCs w:val="24"/>
          <w:lang w:val="fr-CA"/>
        </w:rPr>
        <w:t>Darbishire</w:t>
      </w:r>
      <w:proofErr w:type="spellEnd"/>
      <w:r w:rsidRPr="00815A2B">
        <w:rPr>
          <w:rFonts w:cs="Times New Roman"/>
          <w:i/>
          <w:szCs w:val="24"/>
          <w:lang w:val="fr-CA"/>
        </w:rPr>
        <w:t xml:space="preserve"> </w:t>
      </w:r>
      <w:r w:rsidR="000D1EDA">
        <w:rPr>
          <w:rFonts w:cs="Times New Roman"/>
          <w:i/>
          <w:szCs w:val="24"/>
          <w:lang w:val="fr-CA"/>
        </w:rPr>
        <w:t>c</w:t>
      </w:r>
      <w:r w:rsidRPr="00815A2B">
        <w:rPr>
          <w:rFonts w:cs="Times New Roman"/>
          <w:i/>
          <w:szCs w:val="24"/>
          <w:lang w:val="fr-CA"/>
        </w:rPr>
        <w:t xml:space="preserve">. </w:t>
      </w:r>
      <w:proofErr w:type="spellStart"/>
      <w:r w:rsidRPr="00815A2B">
        <w:rPr>
          <w:rFonts w:cs="Times New Roman"/>
          <w:i/>
          <w:szCs w:val="24"/>
          <w:lang w:val="fr-CA"/>
        </w:rPr>
        <w:t>Warran</w:t>
      </w:r>
      <w:proofErr w:type="spellEnd"/>
      <w:r w:rsidRPr="00815A2B">
        <w:rPr>
          <w:rFonts w:cs="Times New Roman"/>
          <w:szCs w:val="24"/>
          <w:lang w:val="fr-CA"/>
        </w:rPr>
        <w:t xml:space="preserve">, [1963] 1 W.L.R. 1067 (C.A.), p. 1075. </w:t>
      </w:r>
    </w:p>
    <w:p w:rsidR="0071502D" w:rsidRPr="00815A2B" w:rsidRDefault="0071502D" w:rsidP="0071502D">
      <w:pPr>
        <w:pStyle w:val="ParaNoNdepar-AltN"/>
        <w:rPr>
          <w:rFonts w:cs="Times New Roman"/>
          <w:szCs w:val="24"/>
          <w:lang w:val="fr-CA"/>
        </w:rPr>
      </w:pPr>
      <w:r w:rsidRPr="00815A2B">
        <w:rPr>
          <w:rFonts w:cs="Times New Roman"/>
          <w:szCs w:val="24"/>
          <w:lang w:val="fr-CA"/>
        </w:rPr>
        <w:t xml:space="preserve">Il incombe au défendeur, qui n’a pas respecté le contrat, de prouver que le défaut du demandeur de mitiger sa perte n’était pas justifié : </w:t>
      </w:r>
      <w:proofErr w:type="spellStart"/>
      <w:r w:rsidRPr="00815A2B">
        <w:rPr>
          <w:rFonts w:cs="Times New Roman"/>
          <w:i/>
          <w:szCs w:val="24"/>
          <w:lang w:val="fr-CA"/>
        </w:rPr>
        <w:t>Red</w:t>
      </w:r>
      <w:proofErr w:type="spellEnd"/>
      <w:r w:rsidRPr="00815A2B">
        <w:rPr>
          <w:rFonts w:cs="Times New Roman"/>
          <w:i/>
          <w:szCs w:val="24"/>
          <w:lang w:val="fr-CA"/>
        </w:rPr>
        <w:t xml:space="preserve"> </w:t>
      </w:r>
      <w:proofErr w:type="spellStart"/>
      <w:r w:rsidRPr="00815A2B">
        <w:rPr>
          <w:rFonts w:cs="Times New Roman"/>
          <w:i/>
          <w:szCs w:val="24"/>
          <w:lang w:val="fr-CA"/>
        </w:rPr>
        <w:t>Deer</w:t>
      </w:r>
      <w:proofErr w:type="spellEnd"/>
      <w:r w:rsidRPr="00815A2B">
        <w:rPr>
          <w:rFonts w:cs="Times New Roman"/>
          <w:i/>
          <w:szCs w:val="24"/>
          <w:lang w:val="fr-CA"/>
        </w:rPr>
        <w:t xml:space="preserve"> </w:t>
      </w:r>
      <w:proofErr w:type="spellStart"/>
      <w:r w:rsidRPr="00815A2B">
        <w:rPr>
          <w:rFonts w:cs="Times New Roman"/>
          <w:i/>
          <w:szCs w:val="24"/>
          <w:lang w:val="fr-CA"/>
        </w:rPr>
        <w:t>College</w:t>
      </w:r>
      <w:proofErr w:type="spellEnd"/>
      <w:r w:rsidRPr="00815A2B">
        <w:rPr>
          <w:rFonts w:cs="Times New Roman"/>
          <w:i/>
          <w:szCs w:val="24"/>
          <w:lang w:val="fr-CA"/>
        </w:rPr>
        <w:t xml:space="preserve"> c. </w:t>
      </w:r>
      <w:proofErr w:type="spellStart"/>
      <w:r w:rsidRPr="00815A2B">
        <w:rPr>
          <w:rFonts w:cs="Times New Roman"/>
          <w:i/>
          <w:szCs w:val="24"/>
          <w:lang w:val="fr-CA"/>
        </w:rPr>
        <w:t>Michaels</w:t>
      </w:r>
      <w:proofErr w:type="spellEnd"/>
      <w:r w:rsidRPr="00815A2B">
        <w:rPr>
          <w:rFonts w:cs="Times New Roman"/>
          <w:szCs w:val="24"/>
          <w:lang w:val="fr-CA"/>
        </w:rPr>
        <w:t>, [1976] 2 R.C.S. 324, p. 330</w:t>
      </w:r>
      <w:r w:rsidRPr="00815A2B">
        <w:rPr>
          <w:rFonts w:cs="Times New Roman"/>
          <w:szCs w:val="24"/>
          <w:lang w:val="fr-CA"/>
        </w:rPr>
        <w:noBreakHyphen/>
        <w:t>331;</w:t>
      </w:r>
      <w:r w:rsidRPr="00815A2B">
        <w:rPr>
          <w:rFonts w:cs="Times New Roman"/>
          <w:i/>
          <w:szCs w:val="24"/>
          <w:lang w:val="fr-CA"/>
        </w:rPr>
        <w:t xml:space="preserve"> Roper c. Johnson</w:t>
      </w:r>
      <w:r w:rsidRPr="00815A2B">
        <w:rPr>
          <w:rFonts w:cs="Times New Roman"/>
          <w:szCs w:val="24"/>
          <w:lang w:val="fr-CA"/>
        </w:rPr>
        <w:t xml:space="preserve"> (1873), L.R. 8 C.P. 167.  Cela signifie qu’il doit établir, suivant la prépondérance des probabilités, (1) que le demandeur avait eu des possibilités de mitiger sa perte et (2) que son défaut de se prévaloir de ces possibilités n’était pas justifié. </w:t>
      </w:r>
    </w:p>
    <w:p w:rsidR="0071502D" w:rsidRPr="00815A2B" w:rsidRDefault="0071502D" w:rsidP="0071502D">
      <w:pPr>
        <w:pStyle w:val="ParaNoNdepar-AltN"/>
        <w:rPr>
          <w:rFonts w:cs="Times New Roman"/>
          <w:szCs w:val="24"/>
          <w:lang w:val="fr-CA"/>
        </w:rPr>
      </w:pPr>
      <w:r w:rsidRPr="00815A2B">
        <w:rPr>
          <w:rFonts w:cs="Times New Roman"/>
          <w:szCs w:val="24"/>
          <w:lang w:val="fr-CA"/>
        </w:rPr>
        <w:t xml:space="preserve">Diverses raisons peuvent faire en sorte que l’omission de mitiger le préjudice sera justifiée.  L’existence de « motifs équitables, réels et importants » de </w:t>
      </w:r>
      <w:r w:rsidRPr="00815A2B">
        <w:rPr>
          <w:rFonts w:cs="Times New Roman"/>
          <w:szCs w:val="24"/>
          <w:lang w:val="fr-CA"/>
        </w:rPr>
        <w:lastRenderedPageBreak/>
        <w:t xml:space="preserve">demander l’exécution intégrale peut constituer l’une de ces raisons : </w:t>
      </w:r>
      <w:proofErr w:type="spellStart"/>
      <w:r w:rsidRPr="00815A2B">
        <w:rPr>
          <w:rFonts w:cs="Times New Roman"/>
          <w:i/>
          <w:szCs w:val="24"/>
          <w:lang w:val="fr-CA"/>
        </w:rPr>
        <w:t>Asamera</w:t>
      </w:r>
      <w:proofErr w:type="spellEnd"/>
      <w:r w:rsidRPr="00815A2B">
        <w:rPr>
          <w:rFonts w:cs="Times New Roman"/>
          <w:szCs w:val="24"/>
          <w:lang w:val="fr-CA"/>
        </w:rPr>
        <w:t>,</w:t>
      </w:r>
      <w:r w:rsidRPr="00815A2B">
        <w:rPr>
          <w:rFonts w:cs="Times New Roman"/>
          <w:i/>
          <w:szCs w:val="24"/>
          <w:lang w:val="fr-CA"/>
        </w:rPr>
        <w:t xml:space="preserve"> </w:t>
      </w:r>
      <w:r w:rsidRPr="00815A2B">
        <w:rPr>
          <w:rFonts w:cs="Times New Roman"/>
          <w:szCs w:val="24"/>
          <w:lang w:val="fr-CA"/>
        </w:rPr>
        <w:t>p. 667</w:t>
      </w:r>
      <w:r w:rsidRPr="00815A2B">
        <w:rPr>
          <w:rFonts w:cs="Times New Roman"/>
          <w:szCs w:val="24"/>
          <w:lang w:val="fr-CA"/>
        </w:rPr>
        <w:noBreakHyphen/>
        <w:t xml:space="preserve">668.  Le manque de ressources financières peut constituer une autre raison : </w:t>
      </w:r>
      <w:r w:rsidRPr="00815A2B">
        <w:rPr>
          <w:rFonts w:cs="Times New Roman"/>
          <w:i/>
          <w:szCs w:val="24"/>
          <w:lang w:val="fr-CA"/>
        </w:rPr>
        <w:t>McGregor on Damages</w:t>
      </w:r>
      <w:r w:rsidRPr="00815A2B">
        <w:rPr>
          <w:rFonts w:cs="Times New Roman"/>
          <w:szCs w:val="24"/>
          <w:lang w:val="fr-CA"/>
        </w:rPr>
        <w:t xml:space="preserve"> (18</w:t>
      </w:r>
      <w:r w:rsidRPr="000D1EDA">
        <w:rPr>
          <w:rFonts w:cs="Times New Roman"/>
          <w:szCs w:val="24"/>
          <w:vertAlign w:val="superscript"/>
          <w:lang w:val="fr-CA"/>
        </w:rPr>
        <w:t>e</w:t>
      </w:r>
      <w:r w:rsidRPr="00815A2B">
        <w:rPr>
          <w:rFonts w:cs="Times New Roman"/>
          <w:szCs w:val="24"/>
          <w:lang w:val="fr-CA"/>
        </w:rPr>
        <w:t xml:space="preserve"> éd. 2009), par. 7</w:t>
      </w:r>
      <w:r w:rsidRPr="00815A2B">
        <w:rPr>
          <w:rFonts w:cs="Times New Roman"/>
          <w:szCs w:val="24"/>
          <w:lang w:val="fr-CA"/>
        </w:rPr>
        <w:noBreakHyphen/>
        <w:t>088.  Les règles relatives à la mitigation du préjudice [</w:t>
      </w:r>
      <w:r w:rsidRPr="00815A2B">
        <w:rPr>
          <w:rFonts w:cs="Times New Roman"/>
          <w:smallCaps/>
          <w:szCs w:val="24"/>
          <w:lang w:val="fr-CA"/>
        </w:rPr>
        <w:t>traduction</w:t>
      </w:r>
      <w:r w:rsidRPr="00815A2B">
        <w:rPr>
          <w:rFonts w:cs="Times New Roman"/>
          <w:szCs w:val="24"/>
          <w:lang w:val="fr-CA"/>
        </w:rPr>
        <w:t xml:space="preserve">] « n’exigent pas de la personne lésée qu’elle fasse ce qu’elle n’a pas les moyens de faire lorsqu’elle cherche à diminuer le montant des </w:t>
      </w:r>
      <w:proofErr w:type="spellStart"/>
      <w:r w:rsidRPr="00815A2B">
        <w:rPr>
          <w:rFonts w:cs="Times New Roman"/>
          <w:szCs w:val="24"/>
          <w:lang w:val="fr-CA"/>
        </w:rPr>
        <w:t>dommages</w:t>
      </w:r>
      <w:r w:rsidRPr="00815A2B">
        <w:rPr>
          <w:rFonts w:cs="Times New Roman"/>
          <w:szCs w:val="24"/>
          <w:lang w:val="fr-CA"/>
        </w:rPr>
        <w:noBreakHyphen/>
        <w:t>intérêts</w:t>
      </w:r>
      <w:proofErr w:type="spellEnd"/>
      <w:r w:rsidRPr="00815A2B">
        <w:rPr>
          <w:rFonts w:cs="Times New Roman"/>
          <w:szCs w:val="24"/>
          <w:lang w:val="fr-CA"/>
        </w:rPr>
        <w:t xml:space="preserve"> que doit payer l’auteur du préjudice » : </w:t>
      </w:r>
      <w:proofErr w:type="spellStart"/>
      <w:r w:rsidRPr="00815A2B">
        <w:rPr>
          <w:rFonts w:cs="Times New Roman"/>
          <w:i/>
          <w:szCs w:val="24"/>
          <w:lang w:val="fr-CA"/>
        </w:rPr>
        <w:t>Lagden</w:t>
      </w:r>
      <w:proofErr w:type="spellEnd"/>
      <w:r w:rsidRPr="00815A2B">
        <w:rPr>
          <w:rFonts w:cs="Times New Roman"/>
          <w:i/>
          <w:szCs w:val="24"/>
          <w:lang w:val="fr-CA"/>
        </w:rPr>
        <w:t xml:space="preserve"> c. </w:t>
      </w:r>
      <w:proofErr w:type="spellStart"/>
      <w:r w:rsidRPr="00815A2B">
        <w:rPr>
          <w:rFonts w:cs="Times New Roman"/>
          <w:i/>
          <w:szCs w:val="24"/>
          <w:lang w:val="fr-CA"/>
        </w:rPr>
        <w:t>O’Connor</w:t>
      </w:r>
      <w:proofErr w:type="spellEnd"/>
      <w:r w:rsidRPr="00815A2B">
        <w:rPr>
          <w:rFonts w:cs="Times New Roman"/>
          <w:szCs w:val="24"/>
          <w:lang w:val="fr-CA"/>
        </w:rPr>
        <w:t>, [2003] UKHL 64, [2004] 1 All E.R. 277, par. 51 (</w:t>
      </w:r>
      <w:r w:rsidR="000D1EDA">
        <w:rPr>
          <w:rFonts w:cs="Times New Roman"/>
          <w:szCs w:val="24"/>
          <w:lang w:val="fr-CA"/>
        </w:rPr>
        <w:t>l</w:t>
      </w:r>
      <w:r w:rsidRPr="00815A2B">
        <w:rPr>
          <w:rFonts w:cs="Times New Roman"/>
          <w:szCs w:val="24"/>
          <w:lang w:val="fr-CA"/>
        </w:rPr>
        <w:t xml:space="preserve">ord Hope); voir également </w:t>
      </w:r>
      <w:r w:rsidRPr="00815A2B">
        <w:rPr>
          <w:rFonts w:cs="Times New Roman"/>
          <w:i/>
          <w:szCs w:val="24"/>
          <w:lang w:val="fr-CA"/>
        </w:rPr>
        <w:t>General Securities Ltd. c. Don Ingram Ltd.</w:t>
      </w:r>
      <w:r w:rsidR="000D1EDA">
        <w:rPr>
          <w:rFonts w:cs="Times New Roman"/>
          <w:szCs w:val="24"/>
          <w:lang w:val="fr-CA"/>
        </w:rPr>
        <w:t xml:space="preserve">, </w:t>
      </w:r>
      <w:r w:rsidRPr="00815A2B">
        <w:rPr>
          <w:rFonts w:cs="Times New Roman"/>
          <w:szCs w:val="24"/>
          <w:lang w:val="fr-CA"/>
        </w:rPr>
        <w:t>[1940] R.C.S. 670.</w:t>
      </w:r>
    </w:p>
    <w:p w:rsidR="0071502D" w:rsidRPr="00815A2B" w:rsidRDefault="0071502D" w:rsidP="0071502D">
      <w:pPr>
        <w:pStyle w:val="ParaNoNdepar-AltN"/>
        <w:rPr>
          <w:rFonts w:cs="Times New Roman"/>
          <w:szCs w:val="24"/>
          <w:lang w:val="fr-CA"/>
        </w:rPr>
      </w:pPr>
      <w:r w:rsidRPr="00815A2B">
        <w:rPr>
          <w:rFonts w:cs="Times New Roman"/>
          <w:szCs w:val="24"/>
          <w:lang w:val="fr-CA"/>
        </w:rPr>
        <w:t xml:space="preserve">L’omission injustifiée de mitiger la perte diminue le montant des </w:t>
      </w:r>
      <w:proofErr w:type="spellStart"/>
      <w:r w:rsidRPr="00815A2B">
        <w:rPr>
          <w:rFonts w:cs="Times New Roman"/>
          <w:szCs w:val="24"/>
          <w:lang w:val="fr-CA"/>
        </w:rPr>
        <w:t>dommages</w:t>
      </w:r>
      <w:r w:rsidRPr="00815A2B">
        <w:rPr>
          <w:rFonts w:cs="Times New Roman"/>
          <w:szCs w:val="24"/>
          <w:lang w:val="fr-CA"/>
        </w:rPr>
        <w:noBreakHyphen/>
        <w:t>intérêts</w:t>
      </w:r>
      <w:proofErr w:type="spellEnd"/>
      <w:r w:rsidRPr="00815A2B">
        <w:rPr>
          <w:rFonts w:cs="Times New Roman"/>
          <w:szCs w:val="24"/>
          <w:lang w:val="fr-CA"/>
        </w:rPr>
        <w:t xml:space="preserve"> dans la mesure où la mitigation aurait permis d’éviter la perte : voir </w:t>
      </w:r>
      <w:r w:rsidRPr="00815A2B">
        <w:rPr>
          <w:rFonts w:cs="Times New Roman"/>
          <w:i/>
          <w:szCs w:val="24"/>
          <w:lang w:val="fr-CA"/>
        </w:rPr>
        <w:t>Andros Springs c. World Beauty</w:t>
      </w:r>
      <w:r w:rsidRPr="00815A2B">
        <w:rPr>
          <w:rFonts w:cs="Times New Roman"/>
          <w:szCs w:val="24"/>
          <w:lang w:val="fr-CA"/>
        </w:rPr>
        <w:t>,</w:t>
      </w:r>
      <w:r w:rsidR="000D1EDA">
        <w:rPr>
          <w:rFonts w:cs="Times New Roman"/>
          <w:szCs w:val="24"/>
          <w:lang w:val="fr-CA"/>
        </w:rPr>
        <w:t xml:space="preserve"> [1970] P. 144 (C.A.), p. 154 (l</w:t>
      </w:r>
      <w:r w:rsidRPr="00815A2B">
        <w:rPr>
          <w:rFonts w:cs="Times New Roman"/>
          <w:szCs w:val="24"/>
          <w:lang w:val="fr-CA"/>
        </w:rPr>
        <w:t xml:space="preserve">ord </w:t>
      </w:r>
      <w:proofErr w:type="spellStart"/>
      <w:r w:rsidRPr="00815A2B">
        <w:rPr>
          <w:rFonts w:cs="Times New Roman"/>
          <w:szCs w:val="24"/>
          <w:lang w:val="fr-CA"/>
        </w:rPr>
        <w:t>Denning</w:t>
      </w:r>
      <w:proofErr w:type="spellEnd"/>
      <w:r w:rsidRPr="00815A2B">
        <w:rPr>
          <w:rFonts w:cs="Times New Roman"/>
          <w:szCs w:val="24"/>
          <w:lang w:val="fr-CA"/>
        </w:rPr>
        <w:t xml:space="preserve">).  Si une possibilité de mitiger le préjudice permettrait seulement d’éviter en partie la perte, une diminution partielle seulement des </w:t>
      </w:r>
      <w:proofErr w:type="spellStart"/>
      <w:r w:rsidRPr="00815A2B">
        <w:rPr>
          <w:rFonts w:cs="Times New Roman"/>
          <w:szCs w:val="24"/>
          <w:lang w:val="fr-CA"/>
        </w:rPr>
        <w:t>dommages</w:t>
      </w:r>
      <w:r w:rsidRPr="00815A2B">
        <w:rPr>
          <w:rFonts w:cs="Times New Roman"/>
          <w:szCs w:val="24"/>
          <w:lang w:val="fr-CA"/>
        </w:rPr>
        <w:noBreakHyphen/>
        <w:t>intérêts</w:t>
      </w:r>
      <w:proofErr w:type="spellEnd"/>
      <w:r w:rsidRPr="00815A2B">
        <w:rPr>
          <w:rFonts w:cs="Times New Roman"/>
          <w:szCs w:val="24"/>
          <w:lang w:val="fr-CA"/>
        </w:rPr>
        <w:t xml:space="preserve"> peut être justifiée.</w:t>
      </w:r>
    </w:p>
    <w:p w:rsidR="0071502D" w:rsidRPr="00815A2B" w:rsidRDefault="000D1EDA" w:rsidP="000D1EDA">
      <w:pPr>
        <w:pStyle w:val="TitleTitre-AltT"/>
        <w:tabs>
          <w:tab w:val="clear" w:pos="360"/>
          <w:tab w:val="left" w:pos="540"/>
        </w:tabs>
        <w:ind w:left="540" w:hanging="540"/>
        <w:rPr>
          <w:rFonts w:cs="Times New Roman"/>
          <w:szCs w:val="24"/>
          <w:u w:val="single"/>
          <w:lang w:val="fr-CA"/>
        </w:rPr>
      </w:pPr>
      <w:r>
        <w:rPr>
          <w:rFonts w:cs="Times New Roman"/>
          <w:szCs w:val="24"/>
          <w:lang w:val="fr-CA"/>
        </w:rPr>
        <w:t>III.</w:t>
      </w:r>
      <w:r w:rsidR="0071502D" w:rsidRPr="00815A2B">
        <w:rPr>
          <w:rFonts w:cs="Times New Roman"/>
          <w:szCs w:val="24"/>
          <w:lang w:val="fr-CA"/>
        </w:rPr>
        <w:tab/>
      </w:r>
      <w:r w:rsidR="0071502D" w:rsidRPr="00815A2B">
        <w:rPr>
          <w:rFonts w:cs="Times New Roman"/>
          <w:szCs w:val="24"/>
          <w:u w:val="single"/>
          <w:lang w:val="fr-CA"/>
        </w:rPr>
        <w:t>Possibilité de mitiger le préjudice</w:t>
      </w:r>
    </w:p>
    <w:p w:rsidR="0071502D" w:rsidRPr="00815A2B" w:rsidRDefault="0071502D" w:rsidP="0071502D">
      <w:pPr>
        <w:pStyle w:val="ParaNoNdepar-AltN"/>
        <w:rPr>
          <w:rFonts w:cs="Times New Roman"/>
          <w:szCs w:val="24"/>
          <w:lang w:val="fr-CA"/>
        </w:rPr>
      </w:pPr>
      <w:r w:rsidRPr="00815A2B">
        <w:rPr>
          <w:rFonts w:cs="Times New Roman"/>
          <w:szCs w:val="24"/>
          <w:lang w:val="fr-CA"/>
        </w:rPr>
        <w:t xml:space="preserve">Le juge de première instance a conclu que le conseil scolaire ne s’était pas acquitté de son fardeau de prouver que le défaut de </w:t>
      </w:r>
      <w:proofErr w:type="spellStart"/>
      <w:r w:rsidRPr="00815A2B">
        <w:rPr>
          <w:rFonts w:cs="Times New Roman"/>
          <w:szCs w:val="24"/>
          <w:lang w:val="fr-CA"/>
        </w:rPr>
        <w:t>Southcott</w:t>
      </w:r>
      <w:proofErr w:type="spellEnd"/>
      <w:r w:rsidRPr="00815A2B">
        <w:rPr>
          <w:rFonts w:cs="Times New Roman"/>
          <w:szCs w:val="24"/>
          <w:lang w:val="fr-CA"/>
        </w:rPr>
        <w:t xml:space="preserve"> de mitiger sa perte n’était pas justifié parce que le conseil scolaire n’avait pas établi l’existence d’une possibilité de la mitiger.  Cette conclusion ne peut être écartée que si elle est entachée d’une erreur manifeste et dominante : </w:t>
      </w:r>
      <w:proofErr w:type="spellStart"/>
      <w:r w:rsidRPr="00815A2B">
        <w:rPr>
          <w:rFonts w:cs="Times New Roman"/>
          <w:i/>
          <w:szCs w:val="24"/>
          <w:lang w:val="fr-CA"/>
        </w:rPr>
        <w:t>Housen</w:t>
      </w:r>
      <w:proofErr w:type="spellEnd"/>
      <w:r w:rsidRPr="00815A2B">
        <w:rPr>
          <w:rFonts w:cs="Times New Roman"/>
          <w:i/>
          <w:szCs w:val="24"/>
          <w:lang w:val="fr-CA"/>
        </w:rPr>
        <w:t xml:space="preserve"> c. </w:t>
      </w:r>
      <w:proofErr w:type="spellStart"/>
      <w:r w:rsidRPr="00815A2B">
        <w:rPr>
          <w:rFonts w:cs="Times New Roman"/>
          <w:i/>
          <w:szCs w:val="24"/>
          <w:lang w:val="fr-CA"/>
        </w:rPr>
        <w:t>Nikolaisen</w:t>
      </w:r>
      <w:proofErr w:type="spellEnd"/>
      <w:r w:rsidRPr="00815A2B">
        <w:rPr>
          <w:rFonts w:cs="Times New Roman"/>
          <w:szCs w:val="24"/>
          <w:lang w:val="fr-CA"/>
        </w:rPr>
        <w:t>, 2002 CSC 33, [2002] 2 R.C.S. 235, par. 10.</w:t>
      </w:r>
    </w:p>
    <w:p w:rsidR="0071502D" w:rsidRPr="00815A2B" w:rsidRDefault="0071502D" w:rsidP="0071502D">
      <w:pPr>
        <w:pStyle w:val="ParaNoNdepar-AltN"/>
        <w:rPr>
          <w:rFonts w:cs="Times New Roman"/>
          <w:szCs w:val="24"/>
          <w:lang w:val="fr-CA"/>
        </w:rPr>
      </w:pPr>
      <w:r w:rsidRPr="00815A2B">
        <w:rPr>
          <w:rFonts w:cs="Times New Roman"/>
          <w:szCs w:val="24"/>
          <w:lang w:val="fr-CA"/>
        </w:rPr>
        <w:lastRenderedPageBreak/>
        <w:t xml:space="preserve">Le conseil scolaire a eu recours à deux moyens pour tenter de prouver l’existence de possibilités de mitiger </w:t>
      </w:r>
      <w:r w:rsidR="00C82AEC">
        <w:rPr>
          <w:rFonts w:cs="Times New Roman"/>
          <w:szCs w:val="24"/>
          <w:lang w:val="fr-CA"/>
        </w:rPr>
        <w:t>la perte —</w:t>
      </w:r>
      <w:r w:rsidRPr="00815A2B">
        <w:rPr>
          <w:rFonts w:cs="Times New Roman"/>
          <w:szCs w:val="24"/>
          <w:lang w:val="fr-CA"/>
        </w:rPr>
        <w:t xml:space="preserve"> par le témoignage d’un expert et par la preuve des acquisitions faites par d’autres sociétés du groupe </w:t>
      </w:r>
      <w:proofErr w:type="spellStart"/>
      <w:r w:rsidRPr="00815A2B">
        <w:rPr>
          <w:rFonts w:cs="Times New Roman"/>
          <w:szCs w:val="24"/>
          <w:lang w:val="fr-CA"/>
        </w:rPr>
        <w:t>Ballantry</w:t>
      </w:r>
      <w:proofErr w:type="spellEnd"/>
      <w:r w:rsidRPr="00815A2B">
        <w:rPr>
          <w:rFonts w:cs="Times New Roman"/>
          <w:szCs w:val="24"/>
          <w:lang w:val="fr-CA"/>
        </w:rPr>
        <w:t>.</w:t>
      </w:r>
    </w:p>
    <w:p w:rsidR="0071502D" w:rsidRPr="00815A2B" w:rsidRDefault="000D1EDA" w:rsidP="000D1EDA">
      <w:pPr>
        <w:pStyle w:val="TitleTitre-AltT"/>
        <w:tabs>
          <w:tab w:val="clear" w:pos="360"/>
          <w:tab w:val="left" w:pos="450"/>
          <w:tab w:val="left" w:pos="1080"/>
        </w:tabs>
        <w:ind w:left="450"/>
        <w:rPr>
          <w:rFonts w:cs="Times New Roman"/>
          <w:szCs w:val="24"/>
          <w:u w:val="single"/>
          <w:lang w:val="fr-CA"/>
        </w:rPr>
      </w:pPr>
      <w:r>
        <w:rPr>
          <w:rFonts w:cs="Times New Roman"/>
          <w:i/>
          <w:szCs w:val="24"/>
          <w:lang w:val="fr-CA"/>
        </w:rPr>
        <w:tab/>
      </w:r>
      <w:r w:rsidRPr="000D1EDA">
        <w:rPr>
          <w:rFonts w:cs="Times New Roman"/>
          <w:szCs w:val="24"/>
          <w:lang w:val="fr-CA"/>
        </w:rPr>
        <w:t>A.</w:t>
      </w:r>
      <w:r w:rsidRPr="000D1EDA">
        <w:rPr>
          <w:rFonts w:cs="Times New Roman"/>
          <w:szCs w:val="24"/>
          <w:lang w:val="fr-CA"/>
        </w:rPr>
        <w:tab/>
      </w:r>
      <w:r w:rsidR="0071502D" w:rsidRPr="00815A2B">
        <w:rPr>
          <w:rFonts w:cs="Times New Roman"/>
          <w:i/>
          <w:szCs w:val="24"/>
          <w:lang w:val="fr-CA"/>
        </w:rPr>
        <w:t>La déposition de l’expert</w:t>
      </w:r>
    </w:p>
    <w:p w:rsidR="0071502D" w:rsidRPr="00815A2B" w:rsidRDefault="0071502D" w:rsidP="0071502D">
      <w:pPr>
        <w:pStyle w:val="ParaNoNdepar-AltN"/>
        <w:rPr>
          <w:rFonts w:cs="Times New Roman"/>
          <w:szCs w:val="24"/>
          <w:lang w:val="fr-CA"/>
        </w:rPr>
      </w:pPr>
      <w:r w:rsidRPr="00815A2B">
        <w:rPr>
          <w:rFonts w:cs="Times New Roman"/>
          <w:szCs w:val="24"/>
          <w:lang w:val="fr-CA"/>
        </w:rPr>
        <w:t xml:space="preserve">Le juge de première instance a conclu que la déposition de l’expert cité par le conseil scolaire n’avait pas établi une possibilité de mitiger la perte.  </w:t>
      </w:r>
    </w:p>
    <w:p w:rsidR="0071502D" w:rsidRPr="00815A2B" w:rsidRDefault="0071502D" w:rsidP="0071502D">
      <w:pPr>
        <w:pStyle w:val="ParaNoNdepar-AltN"/>
        <w:rPr>
          <w:rFonts w:cs="Times New Roman"/>
          <w:szCs w:val="24"/>
          <w:lang w:val="fr-CA"/>
        </w:rPr>
      </w:pPr>
      <w:r w:rsidRPr="00815A2B">
        <w:rPr>
          <w:rFonts w:cs="Times New Roman"/>
          <w:szCs w:val="24"/>
          <w:lang w:val="fr-CA"/>
        </w:rPr>
        <w:t>L’expert cité par le conseil scolaire a affirmé que 81 parcelles de terres en friche et 49 propriétés foncières subdivisées avaient été achetées dans la région métropolitaine de Toronto entre le 31 janvier 2005 et la date du début du procès.  Le juge de première instance a relevé dans cette preuve un certain nombre de lacunes.</w:t>
      </w:r>
    </w:p>
    <w:p w:rsidR="0071502D" w:rsidRPr="00815A2B" w:rsidRDefault="0071502D" w:rsidP="0071502D">
      <w:pPr>
        <w:pStyle w:val="ParaNoNdepar-AltN"/>
        <w:rPr>
          <w:rFonts w:cs="Times New Roman"/>
          <w:szCs w:val="24"/>
          <w:lang w:val="fr-CA"/>
        </w:rPr>
      </w:pPr>
      <w:r w:rsidRPr="00815A2B">
        <w:rPr>
          <w:rFonts w:cs="Times New Roman"/>
          <w:szCs w:val="24"/>
          <w:lang w:val="fr-CA"/>
        </w:rPr>
        <w:t xml:space="preserve">Premièrement, il n’y avait pas de preuve que </w:t>
      </w:r>
      <w:proofErr w:type="spellStart"/>
      <w:r w:rsidRPr="00815A2B">
        <w:rPr>
          <w:rFonts w:cs="Times New Roman"/>
          <w:szCs w:val="24"/>
          <w:lang w:val="fr-CA"/>
        </w:rPr>
        <w:t>Southcott</w:t>
      </w:r>
      <w:proofErr w:type="spellEnd"/>
      <w:r w:rsidRPr="00815A2B">
        <w:rPr>
          <w:rFonts w:cs="Times New Roman"/>
          <w:szCs w:val="24"/>
          <w:lang w:val="fr-CA"/>
        </w:rPr>
        <w:t xml:space="preserve"> pouvait effectivement acquérir les propriétés en question dont l’expert faisait état; ce dernier a admis qu’il ne savait pas du tout si ces propriétés avaient été offertes en vente au public pendant la période durant laquelle, selon le conseil scolaire, </w:t>
      </w:r>
      <w:proofErr w:type="spellStart"/>
      <w:r w:rsidRPr="00815A2B">
        <w:rPr>
          <w:rFonts w:cs="Times New Roman"/>
          <w:szCs w:val="24"/>
          <w:lang w:val="fr-CA"/>
        </w:rPr>
        <w:t>Southcott</w:t>
      </w:r>
      <w:proofErr w:type="spellEnd"/>
      <w:r w:rsidRPr="00815A2B">
        <w:rPr>
          <w:rFonts w:cs="Times New Roman"/>
          <w:szCs w:val="24"/>
          <w:lang w:val="fr-CA"/>
        </w:rPr>
        <w:t xml:space="preserve"> aurait pu mitiger</w:t>
      </w:r>
      <w:r w:rsidR="001F6758">
        <w:rPr>
          <w:rFonts w:cs="Times New Roman"/>
          <w:szCs w:val="24"/>
          <w:lang w:val="fr-CA"/>
        </w:rPr>
        <w:t xml:space="preserve"> son préjudice (</w:t>
      </w:r>
      <w:proofErr w:type="gramStart"/>
      <w:r w:rsidR="001F6758">
        <w:rPr>
          <w:rFonts w:cs="Times New Roman"/>
          <w:szCs w:val="24"/>
          <w:lang w:val="fr-CA"/>
        </w:rPr>
        <w:t>d.a.,</w:t>
      </w:r>
      <w:proofErr w:type="gramEnd"/>
      <w:r w:rsidR="001F6758">
        <w:rPr>
          <w:rFonts w:cs="Times New Roman"/>
          <w:szCs w:val="24"/>
          <w:lang w:val="fr-CA"/>
        </w:rPr>
        <w:t xml:space="preserve"> p. 233). </w:t>
      </w:r>
    </w:p>
    <w:p w:rsidR="0071502D" w:rsidRPr="00815A2B" w:rsidRDefault="0071502D" w:rsidP="0071502D">
      <w:pPr>
        <w:pStyle w:val="ParaNoNdepar-AltN"/>
        <w:rPr>
          <w:rFonts w:cs="Times New Roman"/>
          <w:szCs w:val="24"/>
          <w:lang w:val="fr-CA"/>
        </w:rPr>
      </w:pPr>
      <w:r w:rsidRPr="00815A2B">
        <w:rPr>
          <w:rFonts w:cs="Times New Roman"/>
          <w:szCs w:val="24"/>
          <w:lang w:val="fr-CA"/>
        </w:rPr>
        <w:t xml:space="preserve">Deuxièmement, la preuve n’établissait pas que ces propriétés étaient comparables au terrain que </w:t>
      </w:r>
      <w:proofErr w:type="spellStart"/>
      <w:r w:rsidRPr="00815A2B">
        <w:rPr>
          <w:rFonts w:cs="Times New Roman"/>
          <w:szCs w:val="24"/>
          <w:lang w:val="fr-CA"/>
        </w:rPr>
        <w:t>Southcott</w:t>
      </w:r>
      <w:proofErr w:type="spellEnd"/>
      <w:r w:rsidRPr="00815A2B">
        <w:rPr>
          <w:rFonts w:cs="Times New Roman"/>
          <w:szCs w:val="24"/>
          <w:lang w:val="fr-CA"/>
        </w:rPr>
        <w:t xml:space="preserve"> souhaitait acquérir ((2009), 78 R.P.R. (4th) 285, par. 144).  On savait peu de choses au sujet des terrains indiqués par l’expert cité par </w:t>
      </w:r>
      <w:r w:rsidRPr="00815A2B">
        <w:rPr>
          <w:rFonts w:cs="Times New Roman"/>
          <w:szCs w:val="24"/>
          <w:lang w:val="fr-CA"/>
        </w:rPr>
        <w:lastRenderedPageBreak/>
        <w:t xml:space="preserve">le conseil scolaire, si ce n’est leur superficie, leur coût et le grand carrefour le plus rapproché.  La plupart se trouvaient à l’extérieur de la ville de Toronto.  La superficie et le prix de ces terrains varient considérablement; les parcelles peuvent avoir de 0,251 </w:t>
      </w:r>
      <w:r w:rsidR="00BC3CA9">
        <w:rPr>
          <w:rFonts w:cs="Times New Roman"/>
          <w:szCs w:val="24"/>
          <w:lang w:val="fr-CA"/>
        </w:rPr>
        <w:t>à</w:t>
      </w:r>
      <w:r w:rsidRPr="00815A2B">
        <w:rPr>
          <w:rFonts w:cs="Times New Roman"/>
          <w:szCs w:val="24"/>
          <w:lang w:val="fr-CA"/>
        </w:rPr>
        <w:t xml:space="preserve"> 123,988 acres et le prix peut atteindre 23,77 millions de dollars.  Le juge de première instance a conclu que la comparabilité de ces propriétés par rapport au terrain de 4,78 acres que </w:t>
      </w:r>
      <w:proofErr w:type="spellStart"/>
      <w:r w:rsidRPr="00815A2B">
        <w:rPr>
          <w:rFonts w:cs="Times New Roman"/>
          <w:szCs w:val="24"/>
          <w:lang w:val="fr-CA"/>
        </w:rPr>
        <w:t>Southcott</w:t>
      </w:r>
      <w:proofErr w:type="spellEnd"/>
      <w:r w:rsidRPr="00815A2B">
        <w:rPr>
          <w:rFonts w:cs="Times New Roman"/>
          <w:szCs w:val="24"/>
          <w:lang w:val="fr-CA"/>
        </w:rPr>
        <w:t xml:space="preserve"> souhaitait acquérir n’avait pas été établie.</w:t>
      </w:r>
    </w:p>
    <w:p w:rsidR="0071502D" w:rsidRPr="00815A2B" w:rsidRDefault="0071502D" w:rsidP="0071502D">
      <w:pPr>
        <w:pStyle w:val="ParaNoNdepar-AltN"/>
        <w:rPr>
          <w:rFonts w:cs="Times New Roman"/>
          <w:szCs w:val="24"/>
          <w:lang w:val="fr-CA"/>
        </w:rPr>
      </w:pPr>
      <w:r w:rsidRPr="00815A2B">
        <w:rPr>
          <w:rFonts w:cs="Times New Roman"/>
          <w:szCs w:val="24"/>
          <w:lang w:val="fr-CA"/>
        </w:rPr>
        <w:t xml:space="preserve">Troisièmement, le juge de première instance a conclu que la preuve n’avait pas établi que les propriétés indiquées par l’expert auraient pu être mises en valeur de façon rentable (par. 144).  Seule une mise en valeur rentable pouvait mitiger la perte de </w:t>
      </w:r>
      <w:proofErr w:type="spellStart"/>
      <w:r w:rsidRPr="00815A2B">
        <w:rPr>
          <w:rFonts w:cs="Times New Roman"/>
          <w:szCs w:val="24"/>
          <w:lang w:val="fr-CA"/>
        </w:rPr>
        <w:t>Southcott</w:t>
      </w:r>
      <w:proofErr w:type="spellEnd"/>
      <w:r w:rsidRPr="00815A2B">
        <w:rPr>
          <w:rFonts w:cs="Times New Roman"/>
          <w:szCs w:val="24"/>
          <w:lang w:val="fr-CA"/>
        </w:rPr>
        <w:t xml:space="preserve">; une mise </w:t>
      </w:r>
      <w:r w:rsidR="000D1EDA">
        <w:rPr>
          <w:rFonts w:cs="Times New Roman"/>
          <w:szCs w:val="24"/>
          <w:lang w:val="fr-CA"/>
        </w:rPr>
        <w:t>en</w:t>
      </w:r>
      <w:r w:rsidRPr="00815A2B">
        <w:rPr>
          <w:rFonts w:cs="Times New Roman"/>
          <w:szCs w:val="24"/>
          <w:lang w:val="fr-CA"/>
        </w:rPr>
        <w:t xml:space="preserve"> valeur non rentable l’aurait accrue.  Un demandeur n’est pas tenu de prendre des mesures futiles qui ne réduiraient pas sa perte.  L’expert cité par le conseil scolaire n’a présenté aucune preuve de la rentabilité éventuelle des propriétés qu’il a mentionnées. </w:t>
      </w:r>
    </w:p>
    <w:p w:rsidR="0071502D" w:rsidRPr="00815A2B" w:rsidRDefault="006240D1" w:rsidP="0071502D">
      <w:pPr>
        <w:pStyle w:val="ParaNoNdepar-AltN"/>
        <w:rPr>
          <w:rFonts w:cs="Times New Roman"/>
          <w:szCs w:val="24"/>
          <w:lang w:val="fr-CA"/>
        </w:rPr>
      </w:pPr>
      <w:r>
        <w:rPr>
          <w:rFonts w:cs="Times New Roman"/>
          <w:szCs w:val="24"/>
          <w:lang w:val="fr-CA"/>
        </w:rPr>
        <w:t>La C</w:t>
      </w:r>
      <w:r w:rsidR="0071502D" w:rsidRPr="00815A2B">
        <w:rPr>
          <w:rFonts w:cs="Times New Roman"/>
          <w:szCs w:val="24"/>
          <w:lang w:val="fr-CA"/>
        </w:rPr>
        <w:t>our d’appel a critiqué la conclusion du juge de première instance suivant laquelle la preuve n’avait pas établi la rentabilité, parce que le juge avait imposé au conseil scolaire un fardeau de preuve excessif (2010 ONCA 310, 104 O.R. (3d) 784, par. 25).  Avec égards, le</w:t>
      </w:r>
      <w:r>
        <w:rPr>
          <w:rFonts w:cs="Times New Roman"/>
          <w:szCs w:val="24"/>
          <w:lang w:val="fr-CA"/>
        </w:rPr>
        <w:t xml:space="preserve"> fardeau de preuve était clair —</w:t>
      </w:r>
      <w:r w:rsidR="0071502D" w:rsidRPr="00815A2B">
        <w:rPr>
          <w:rFonts w:cs="Times New Roman"/>
          <w:szCs w:val="24"/>
          <w:lang w:val="fr-CA"/>
        </w:rPr>
        <w:t xml:space="preserve"> le conseil scolaire devait établir suivant la prépondérance des probabilités qu’il était possible pour </w:t>
      </w:r>
      <w:proofErr w:type="spellStart"/>
      <w:r w:rsidR="0071502D" w:rsidRPr="00815A2B">
        <w:rPr>
          <w:rFonts w:cs="Times New Roman"/>
          <w:szCs w:val="24"/>
          <w:lang w:val="fr-CA"/>
        </w:rPr>
        <w:t>Southcott</w:t>
      </w:r>
      <w:proofErr w:type="spellEnd"/>
      <w:r w:rsidR="0071502D" w:rsidRPr="00815A2B">
        <w:rPr>
          <w:rFonts w:cs="Times New Roman"/>
          <w:szCs w:val="24"/>
          <w:lang w:val="fr-CA"/>
        </w:rPr>
        <w:t xml:space="preserve"> d’effectuer une mise en valeur rentable d’une autre propriété.  Rien n’indique que le juge de première instance n’a pas apprécié ce principe fondamental.  Voir </w:t>
      </w:r>
      <w:r w:rsidR="0071502D" w:rsidRPr="00815A2B">
        <w:rPr>
          <w:rFonts w:cs="Times New Roman"/>
          <w:i/>
          <w:szCs w:val="24"/>
          <w:lang w:val="fr-CA"/>
        </w:rPr>
        <w:t>World Beauty</w:t>
      </w:r>
      <w:r w:rsidR="0071502D" w:rsidRPr="00815A2B">
        <w:rPr>
          <w:rFonts w:cs="Times New Roman"/>
          <w:szCs w:val="24"/>
          <w:lang w:val="fr-CA"/>
        </w:rPr>
        <w:t>, p. 154.</w:t>
      </w:r>
    </w:p>
    <w:p w:rsidR="0071502D" w:rsidRPr="00815A2B" w:rsidRDefault="0071502D" w:rsidP="0071502D">
      <w:pPr>
        <w:pStyle w:val="ParaNoNdepar-AltN"/>
        <w:rPr>
          <w:rFonts w:cs="Times New Roman"/>
          <w:szCs w:val="24"/>
          <w:lang w:val="fr-CA"/>
        </w:rPr>
      </w:pPr>
      <w:r w:rsidRPr="00815A2B">
        <w:rPr>
          <w:rFonts w:cs="Times New Roman"/>
          <w:szCs w:val="24"/>
          <w:lang w:val="fr-CA"/>
        </w:rPr>
        <w:lastRenderedPageBreak/>
        <w:t xml:space="preserve">Le juge de première instance a conclu que l’expert cité par le conseil scolaire n’avait pas établi que </w:t>
      </w:r>
      <w:proofErr w:type="spellStart"/>
      <w:r w:rsidRPr="00815A2B">
        <w:rPr>
          <w:rFonts w:cs="Times New Roman"/>
          <w:szCs w:val="24"/>
          <w:lang w:val="fr-CA"/>
        </w:rPr>
        <w:t>Southcott</w:t>
      </w:r>
      <w:proofErr w:type="spellEnd"/>
      <w:r w:rsidRPr="00815A2B">
        <w:rPr>
          <w:rFonts w:cs="Times New Roman"/>
          <w:szCs w:val="24"/>
          <w:lang w:val="fr-CA"/>
        </w:rPr>
        <w:t xml:space="preserve"> avait eu des possibilités de mitiger sa perte.  Cette conclusion est appuyée par la preuve et n’est entachée d’aucune erreur de droit.  Elle ne doit donc pas être écartée : </w:t>
      </w:r>
      <w:proofErr w:type="spellStart"/>
      <w:r w:rsidRPr="00815A2B">
        <w:rPr>
          <w:rFonts w:cs="Times New Roman"/>
          <w:i/>
          <w:szCs w:val="24"/>
          <w:lang w:val="fr-CA"/>
        </w:rPr>
        <w:t>Housen</w:t>
      </w:r>
      <w:proofErr w:type="spellEnd"/>
      <w:r w:rsidRPr="00815A2B">
        <w:rPr>
          <w:rFonts w:cs="Times New Roman"/>
          <w:szCs w:val="24"/>
          <w:lang w:val="fr-CA"/>
        </w:rPr>
        <w:t>.</w:t>
      </w:r>
    </w:p>
    <w:p w:rsidR="0071502D" w:rsidRPr="00815A2B" w:rsidRDefault="00DB39DB" w:rsidP="00DB39DB">
      <w:pPr>
        <w:pStyle w:val="TitleTitre-AltT"/>
        <w:tabs>
          <w:tab w:val="clear" w:pos="360"/>
          <w:tab w:val="left" w:pos="450"/>
          <w:tab w:val="left" w:pos="1080"/>
        </w:tabs>
        <w:ind w:left="1080" w:hanging="1080"/>
        <w:rPr>
          <w:rFonts w:cs="Times New Roman"/>
          <w:szCs w:val="24"/>
          <w:lang w:val="fr-CA"/>
        </w:rPr>
      </w:pPr>
      <w:r>
        <w:rPr>
          <w:rFonts w:cs="Times New Roman"/>
          <w:i/>
          <w:szCs w:val="24"/>
          <w:lang w:val="fr-CA"/>
        </w:rPr>
        <w:tab/>
      </w:r>
      <w:r w:rsidRPr="00DB39DB">
        <w:rPr>
          <w:rFonts w:cs="Times New Roman"/>
          <w:szCs w:val="24"/>
          <w:lang w:val="fr-CA"/>
        </w:rPr>
        <w:t>B.</w:t>
      </w:r>
      <w:r w:rsidRPr="00DB39DB">
        <w:rPr>
          <w:rFonts w:cs="Times New Roman"/>
          <w:szCs w:val="24"/>
          <w:lang w:val="fr-CA"/>
        </w:rPr>
        <w:tab/>
      </w:r>
      <w:r w:rsidR="0071502D" w:rsidRPr="00815A2B">
        <w:rPr>
          <w:rFonts w:cs="Times New Roman"/>
          <w:i/>
          <w:szCs w:val="24"/>
          <w:lang w:val="fr-CA"/>
        </w:rPr>
        <w:t xml:space="preserve">La preuve des acquisitions faites par les autres sociétés du groupe </w:t>
      </w:r>
      <w:proofErr w:type="spellStart"/>
      <w:r w:rsidR="0071502D" w:rsidRPr="00815A2B">
        <w:rPr>
          <w:rFonts w:cs="Times New Roman"/>
          <w:i/>
          <w:szCs w:val="24"/>
          <w:lang w:val="fr-CA"/>
        </w:rPr>
        <w:t>Ballantry</w:t>
      </w:r>
      <w:proofErr w:type="spellEnd"/>
    </w:p>
    <w:p w:rsidR="0071502D" w:rsidRPr="00815A2B" w:rsidRDefault="0071502D" w:rsidP="0071502D">
      <w:pPr>
        <w:pStyle w:val="ParaNoNdepar-AltN"/>
        <w:rPr>
          <w:rFonts w:cs="Times New Roman"/>
          <w:szCs w:val="24"/>
          <w:lang w:val="fr-CA"/>
        </w:rPr>
      </w:pPr>
      <w:r w:rsidRPr="00815A2B">
        <w:rPr>
          <w:rFonts w:cs="Times New Roman"/>
          <w:szCs w:val="24"/>
          <w:lang w:val="fr-CA"/>
        </w:rPr>
        <w:t xml:space="preserve">En tant que deuxième moyen pour s’acquitter de son fardeau d’établir la possibilité de mitiger la perte, le conseil scolaire a mis en preuve des acquisitions, par d’autres sociétés du groupe </w:t>
      </w:r>
      <w:proofErr w:type="spellStart"/>
      <w:r w:rsidRPr="00815A2B">
        <w:rPr>
          <w:rFonts w:cs="Times New Roman"/>
          <w:szCs w:val="24"/>
          <w:lang w:val="fr-CA"/>
        </w:rPr>
        <w:t>Ballantry</w:t>
      </w:r>
      <w:proofErr w:type="spellEnd"/>
      <w:r w:rsidRPr="00815A2B">
        <w:rPr>
          <w:rFonts w:cs="Times New Roman"/>
          <w:szCs w:val="24"/>
          <w:lang w:val="fr-CA"/>
        </w:rPr>
        <w:t xml:space="preserve">, de terrains destinés à être mis en valeur dans la région métropolitaine de Toronto à l’époque en cause.  Le conseil scolaire a plaidé que ces autres acquisitions du groupe </w:t>
      </w:r>
      <w:proofErr w:type="spellStart"/>
      <w:r w:rsidRPr="00815A2B">
        <w:rPr>
          <w:rFonts w:cs="Times New Roman"/>
          <w:szCs w:val="24"/>
          <w:lang w:val="fr-CA"/>
        </w:rPr>
        <w:t>Ballantry</w:t>
      </w:r>
      <w:proofErr w:type="spellEnd"/>
      <w:r w:rsidRPr="00815A2B">
        <w:rPr>
          <w:rFonts w:cs="Times New Roman"/>
          <w:szCs w:val="24"/>
          <w:lang w:val="fr-CA"/>
        </w:rPr>
        <w:t xml:space="preserve"> avaient en fait mitigé la perte causée par l’inexécution du contrat par le conseil scolaire.</w:t>
      </w:r>
    </w:p>
    <w:p w:rsidR="0071502D" w:rsidRPr="00815A2B" w:rsidRDefault="0071502D" w:rsidP="0071502D">
      <w:pPr>
        <w:pStyle w:val="ParaNoNdepar-AltN"/>
        <w:rPr>
          <w:rFonts w:cs="Times New Roman"/>
          <w:szCs w:val="24"/>
          <w:lang w:val="fr-CA"/>
        </w:rPr>
      </w:pPr>
      <w:r w:rsidRPr="00815A2B">
        <w:rPr>
          <w:rFonts w:cs="Times New Roman"/>
          <w:szCs w:val="24"/>
          <w:lang w:val="fr-CA"/>
        </w:rPr>
        <w:t xml:space="preserve">Le juge de première instance a accepté, à la demande du conseil scolaire, d’examiner l’affaire du point de vue du groupe </w:t>
      </w:r>
      <w:proofErr w:type="spellStart"/>
      <w:r w:rsidRPr="00815A2B">
        <w:rPr>
          <w:rFonts w:cs="Times New Roman"/>
          <w:szCs w:val="24"/>
          <w:lang w:val="fr-CA"/>
        </w:rPr>
        <w:t>Ballantry</w:t>
      </w:r>
      <w:proofErr w:type="spellEnd"/>
      <w:r w:rsidRPr="00815A2B">
        <w:rPr>
          <w:rFonts w:cs="Times New Roman"/>
          <w:szCs w:val="24"/>
          <w:lang w:val="fr-CA"/>
        </w:rPr>
        <w:t xml:space="preserve"> dans son ensemble, levant ainsi le voile corporatif.  Il a conclu que les acquisitions subséquentes du groupe </w:t>
      </w:r>
      <w:proofErr w:type="spellStart"/>
      <w:r w:rsidRPr="00815A2B">
        <w:rPr>
          <w:rFonts w:cs="Times New Roman"/>
          <w:szCs w:val="24"/>
          <w:lang w:val="fr-CA"/>
        </w:rPr>
        <w:t>Ballantry</w:t>
      </w:r>
      <w:proofErr w:type="spellEnd"/>
      <w:r w:rsidRPr="00815A2B">
        <w:rPr>
          <w:rFonts w:cs="Times New Roman"/>
          <w:szCs w:val="24"/>
          <w:lang w:val="fr-CA"/>
        </w:rPr>
        <w:t xml:space="preserve"> constituaient des opérations accessoires et distinctes qui n’auraient pas permis d’éviter la perte découlant de l’inexécution du contrat par le conseil scolaire (par. 143) : voir </w:t>
      </w:r>
      <w:proofErr w:type="spellStart"/>
      <w:r w:rsidRPr="00815A2B">
        <w:rPr>
          <w:rFonts w:cs="Times New Roman"/>
          <w:i/>
          <w:szCs w:val="24"/>
          <w:lang w:val="fr-CA"/>
        </w:rPr>
        <w:t>Apeco</w:t>
      </w:r>
      <w:proofErr w:type="spellEnd"/>
      <w:r w:rsidRPr="00815A2B">
        <w:rPr>
          <w:rFonts w:cs="Times New Roman"/>
          <w:i/>
          <w:szCs w:val="24"/>
          <w:lang w:val="fr-CA"/>
        </w:rPr>
        <w:t xml:space="preserve"> of Canada, Ltd. c. </w:t>
      </w:r>
      <w:proofErr w:type="spellStart"/>
      <w:r w:rsidRPr="00815A2B">
        <w:rPr>
          <w:rFonts w:cs="Times New Roman"/>
          <w:i/>
          <w:szCs w:val="24"/>
          <w:lang w:val="fr-CA"/>
        </w:rPr>
        <w:t>Windmill</w:t>
      </w:r>
      <w:proofErr w:type="spellEnd"/>
      <w:r w:rsidRPr="00815A2B">
        <w:rPr>
          <w:rFonts w:cs="Times New Roman"/>
          <w:i/>
          <w:szCs w:val="24"/>
          <w:lang w:val="fr-CA"/>
        </w:rPr>
        <w:t xml:space="preserve"> Place</w:t>
      </w:r>
      <w:r w:rsidRPr="00815A2B">
        <w:rPr>
          <w:rFonts w:cs="Times New Roman"/>
          <w:szCs w:val="24"/>
          <w:lang w:val="fr-CA"/>
        </w:rPr>
        <w:t xml:space="preserve">, [1978] 2 R.C.S. 385, p. 389.  Abstraction faite de la question de l’opportunité de lever le voile corporatif dans ces circonstances, l’analyse du juge de première instance n’était pas erronée.  Il a considéré que le groupe </w:t>
      </w:r>
      <w:proofErr w:type="spellStart"/>
      <w:r w:rsidRPr="00815A2B">
        <w:rPr>
          <w:rFonts w:cs="Times New Roman"/>
          <w:szCs w:val="24"/>
          <w:lang w:val="fr-CA"/>
        </w:rPr>
        <w:t>Ballantry</w:t>
      </w:r>
      <w:proofErr w:type="spellEnd"/>
      <w:r w:rsidRPr="00815A2B">
        <w:rPr>
          <w:rFonts w:cs="Times New Roman"/>
          <w:szCs w:val="24"/>
          <w:lang w:val="fr-CA"/>
        </w:rPr>
        <w:t xml:space="preserve">, jouissant d’un important accès au crédit, n’avait </w:t>
      </w:r>
      <w:r w:rsidRPr="00815A2B">
        <w:rPr>
          <w:rFonts w:cs="Times New Roman"/>
          <w:szCs w:val="24"/>
          <w:lang w:val="fr-CA"/>
        </w:rPr>
        <w:lastRenderedPageBreak/>
        <w:t xml:space="preserve">d’autre limite que le nombre de propriétés qu’il pouvait trouver.  Plus le groupe </w:t>
      </w:r>
      <w:proofErr w:type="spellStart"/>
      <w:r w:rsidRPr="00815A2B">
        <w:rPr>
          <w:rFonts w:cs="Times New Roman"/>
          <w:szCs w:val="24"/>
          <w:lang w:val="fr-CA"/>
        </w:rPr>
        <w:t>Ballantry</w:t>
      </w:r>
      <w:proofErr w:type="spellEnd"/>
      <w:r w:rsidRPr="00815A2B">
        <w:rPr>
          <w:rFonts w:cs="Times New Roman"/>
          <w:szCs w:val="24"/>
          <w:lang w:val="fr-CA"/>
        </w:rPr>
        <w:t xml:space="preserve"> pouvait trouver de bonnes propriétés, plus il pouvait réaliser des profits.  En ce sens, les autres propriétés acquises par le groupe </w:t>
      </w:r>
      <w:proofErr w:type="spellStart"/>
      <w:r w:rsidRPr="00815A2B">
        <w:rPr>
          <w:rFonts w:cs="Times New Roman"/>
          <w:szCs w:val="24"/>
          <w:lang w:val="fr-CA"/>
        </w:rPr>
        <w:t>Ballantry</w:t>
      </w:r>
      <w:proofErr w:type="spellEnd"/>
      <w:r w:rsidRPr="00815A2B">
        <w:rPr>
          <w:rFonts w:cs="Times New Roman"/>
          <w:szCs w:val="24"/>
          <w:lang w:val="fr-CA"/>
        </w:rPr>
        <w:t xml:space="preserve"> demeuraient accessoires et ne pouvaient être substituées à la propriété du conseil scolaire.  </w:t>
      </w:r>
    </w:p>
    <w:p w:rsidR="0071502D" w:rsidRPr="00815A2B" w:rsidRDefault="0071502D" w:rsidP="0071502D">
      <w:pPr>
        <w:pStyle w:val="ParaNoNdepar-AltN"/>
        <w:rPr>
          <w:rFonts w:cs="Times New Roman"/>
          <w:szCs w:val="24"/>
          <w:lang w:val="fr-CA"/>
        </w:rPr>
      </w:pPr>
      <w:r w:rsidRPr="00815A2B">
        <w:rPr>
          <w:rFonts w:cs="Times New Roman"/>
          <w:szCs w:val="24"/>
          <w:lang w:val="fr-CA"/>
        </w:rPr>
        <w:t xml:space="preserve">Après avoir disposé ainsi de la question des acquisitions des autres sociétés du groupe </w:t>
      </w:r>
      <w:proofErr w:type="spellStart"/>
      <w:r w:rsidRPr="00815A2B">
        <w:rPr>
          <w:rFonts w:cs="Times New Roman"/>
          <w:szCs w:val="24"/>
          <w:lang w:val="fr-CA"/>
        </w:rPr>
        <w:t>Ballantry</w:t>
      </w:r>
      <w:proofErr w:type="spellEnd"/>
      <w:r w:rsidRPr="00815A2B">
        <w:rPr>
          <w:rFonts w:cs="Times New Roman"/>
          <w:szCs w:val="24"/>
          <w:lang w:val="fr-CA"/>
        </w:rPr>
        <w:t xml:space="preserve">, le juge de première instance ne s’est pas prononcé sur la question de savoir si ces propriétés offraient à </w:t>
      </w:r>
      <w:proofErr w:type="spellStart"/>
      <w:r w:rsidRPr="00815A2B">
        <w:rPr>
          <w:rFonts w:cs="Times New Roman"/>
          <w:szCs w:val="24"/>
          <w:lang w:val="fr-CA"/>
        </w:rPr>
        <w:t>Southcott</w:t>
      </w:r>
      <w:proofErr w:type="spellEnd"/>
      <w:r w:rsidRPr="00815A2B">
        <w:rPr>
          <w:rFonts w:cs="Times New Roman"/>
          <w:szCs w:val="24"/>
          <w:lang w:val="fr-CA"/>
        </w:rPr>
        <w:t xml:space="preserve">, en tant qu’entité juridique distincte, des possibilités de mitiger sa perte.  Toutefois, la preuve ne permet pas, selon moi, de conclure en ce sens.  Premièrement, aucun élément de preuve n’indiquait que </w:t>
      </w:r>
      <w:proofErr w:type="spellStart"/>
      <w:r w:rsidRPr="00815A2B">
        <w:rPr>
          <w:rFonts w:cs="Times New Roman"/>
          <w:szCs w:val="24"/>
          <w:lang w:val="fr-CA"/>
        </w:rPr>
        <w:t>Southcott</w:t>
      </w:r>
      <w:proofErr w:type="spellEnd"/>
      <w:r w:rsidRPr="00815A2B">
        <w:rPr>
          <w:rFonts w:cs="Times New Roman"/>
          <w:szCs w:val="24"/>
          <w:lang w:val="fr-CA"/>
        </w:rPr>
        <w:t xml:space="preserve"> aurait pu acquérir les propriétés acquises par les autres sociétés du groupe </w:t>
      </w:r>
      <w:proofErr w:type="spellStart"/>
      <w:r w:rsidRPr="00815A2B">
        <w:rPr>
          <w:rFonts w:cs="Times New Roman"/>
          <w:szCs w:val="24"/>
          <w:lang w:val="fr-CA"/>
        </w:rPr>
        <w:t>Ballantry</w:t>
      </w:r>
      <w:proofErr w:type="spellEnd"/>
      <w:r w:rsidRPr="00815A2B">
        <w:rPr>
          <w:rFonts w:cs="Times New Roman"/>
          <w:szCs w:val="24"/>
          <w:lang w:val="fr-CA"/>
        </w:rPr>
        <w:t xml:space="preserve">.  Au mieux, </w:t>
      </w:r>
      <w:proofErr w:type="spellStart"/>
      <w:r w:rsidRPr="00815A2B">
        <w:rPr>
          <w:rFonts w:cs="Times New Roman"/>
          <w:szCs w:val="24"/>
          <w:lang w:val="fr-CA"/>
        </w:rPr>
        <w:t>Southcott</w:t>
      </w:r>
      <w:proofErr w:type="spellEnd"/>
      <w:r w:rsidRPr="00815A2B">
        <w:rPr>
          <w:rFonts w:cs="Times New Roman"/>
          <w:szCs w:val="24"/>
          <w:lang w:val="fr-CA"/>
        </w:rPr>
        <w:t xml:space="preserve"> aurait fait concurrence à des sociétés sœurs pour l’achat de ces propriétés.  La question de savoir si elle aurait réussi à acheter une propriété comparable relève de la conjecture. </w:t>
      </w:r>
    </w:p>
    <w:p w:rsidR="0071502D" w:rsidRPr="00815A2B" w:rsidRDefault="0071502D" w:rsidP="0071502D">
      <w:pPr>
        <w:pStyle w:val="ParaNoNdepar-AltN"/>
        <w:rPr>
          <w:rFonts w:cs="Times New Roman"/>
          <w:szCs w:val="24"/>
          <w:lang w:val="fr-CA"/>
        </w:rPr>
      </w:pPr>
      <w:r w:rsidRPr="00815A2B">
        <w:rPr>
          <w:rFonts w:cs="Times New Roman"/>
          <w:szCs w:val="24"/>
          <w:lang w:val="fr-CA"/>
        </w:rPr>
        <w:t xml:space="preserve">Deuxièmement, la preuve n’a pas établi que les autres propriétés achetées par le groupe </w:t>
      </w:r>
      <w:proofErr w:type="spellStart"/>
      <w:r w:rsidRPr="00815A2B">
        <w:rPr>
          <w:rFonts w:cs="Times New Roman"/>
          <w:szCs w:val="24"/>
          <w:lang w:val="fr-CA"/>
        </w:rPr>
        <w:t>Ballantry</w:t>
      </w:r>
      <w:proofErr w:type="spellEnd"/>
      <w:r w:rsidRPr="00815A2B">
        <w:rPr>
          <w:rFonts w:cs="Times New Roman"/>
          <w:szCs w:val="24"/>
          <w:lang w:val="fr-CA"/>
        </w:rPr>
        <w:t xml:space="preserve"> étaient comparables à celle que </w:t>
      </w:r>
      <w:proofErr w:type="spellStart"/>
      <w:r w:rsidRPr="00815A2B">
        <w:rPr>
          <w:rFonts w:cs="Times New Roman"/>
          <w:szCs w:val="24"/>
          <w:lang w:val="fr-CA"/>
        </w:rPr>
        <w:t>Southcott</w:t>
      </w:r>
      <w:proofErr w:type="spellEnd"/>
      <w:r w:rsidRPr="00815A2B">
        <w:rPr>
          <w:rFonts w:cs="Times New Roman"/>
          <w:szCs w:val="24"/>
          <w:lang w:val="fr-CA"/>
        </w:rPr>
        <w:t xml:space="preserve"> voulait acquérir.  Aux termes de son contrat avec le conseil scolaire, </w:t>
      </w:r>
      <w:proofErr w:type="spellStart"/>
      <w:r w:rsidRPr="00815A2B">
        <w:rPr>
          <w:rFonts w:cs="Times New Roman"/>
          <w:szCs w:val="24"/>
          <w:lang w:val="fr-CA"/>
        </w:rPr>
        <w:t>Southcott</w:t>
      </w:r>
      <w:proofErr w:type="spellEnd"/>
      <w:r w:rsidRPr="00815A2B">
        <w:rPr>
          <w:rFonts w:cs="Times New Roman"/>
          <w:szCs w:val="24"/>
          <w:lang w:val="fr-CA"/>
        </w:rPr>
        <w:t xml:space="preserve"> achetait, dans un quartier résidentiel recherché de la ville de Toronto, une parcelle de terre de 4,78 acres qui se prêtait à la construction de 48 habitations jumelées (par. 132).  Aucune preuve n’indiquait qu’un des autres terrains acquis par le groupe </w:t>
      </w:r>
      <w:proofErr w:type="spellStart"/>
      <w:r w:rsidRPr="00815A2B">
        <w:rPr>
          <w:rFonts w:cs="Times New Roman"/>
          <w:szCs w:val="24"/>
          <w:lang w:val="fr-CA"/>
        </w:rPr>
        <w:t>Ballantry</w:t>
      </w:r>
      <w:proofErr w:type="spellEnd"/>
      <w:r w:rsidRPr="00815A2B">
        <w:rPr>
          <w:rFonts w:cs="Times New Roman"/>
          <w:szCs w:val="24"/>
          <w:lang w:val="fr-CA"/>
        </w:rPr>
        <w:t xml:space="preserve"> était comparable.  Il ne suffit pas de démontrer que des sociétés préconisant des stratégies de mise en valeur différentes auraient pu acquérir un terrain se prêtant à la mise en </w:t>
      </w:r>
      <w:r w:rsidRPr="00815A2B">
        <w:rPr>
          <w:rFonts w:cs="Times New Roman"/>
          <w:szCs w:val="24"/>
          <w:lang w:val="fr-CA"/>
        </w:rPr>
        <w:lastRenderedPageBreak/>
        <w:t xml:space="preserve">valeur.  Les intérêts de </w:t>
      </w:r>
      <w:proofErr w:type="spellStart"/>
      <w:r w:rsidRPr="00815A2B">
        <w:rPr>
          <w:rFonts w:cs="Times New Roman"/>
          <w:szCs w:val="24"/>
          <w:lang w:val="fr-CA"/>
        </w:rPr>
        <w:t>Ballantry</w:t>
      </w:r>
      <w:proofErr w:type="spellEnd"/>
      <w:r w:rsidRPr="00815A2B">
        <w:rPr>
          <w:rFonts w:cs="Times New Roman"/>
          <w:szCs w:val="24"/>
          <w:lang w:val="fr-CA"/>
        </w:rPr>
        <w:t xml:space="preserve"> en matière de projets immobiliers résidentiels dans la région métropolitaine de Toronto étaient très variés.  Le projet de mise en valeur envisagé par </w:t>
      </w:r>
      <w:proofErr w:type="spellStart"/>
      <w:r w:rsidRPr="00815A2B">
        <w:rPr>
          <w:rFonts w:cs="Times New Roman"/>
          <w:szCs w:val="24"/>
          <w:lang w:val="fr-CA"/>
        </w:rPr>
        <w:t>Southcott</w:t>
      </w:r>
      <w:proofErr w:type="spellEnd"/>
      <w:r w:rsidRPr="00815A2B">
        <w:rPr>
          <w:rFonts w:cs="Times New Roman"/>
          <w:szCs w:val="24"/>
          <w:lang w:val="fr-CA"/>
        </w:rPr>
        <w:t xml:space="preserve"> était plus restreint et plus précis.  Pour démontrer une possibili</w:t>
      </w:r>
      <w:r w:rsidR="00DB39DB">
        <w:rPr>
          <w:rFonts w:cs="Times New Roman"/>
          <w:szCs w:val="24"/>
          <w:lang w:val="fr-CA"/>
        </w:rPr>
        <w:t>té de mitiger le préjudice, le c</w:t>
      </w:r>
      <w:r w:rsidRPr="00815A2B">
        <w:rPr>
          <w:rFonts w:cs="Times New Roman"/>
          <w:szCs w:val="24"/>
          <w:lang w:val="fr-CA"/>
        </w:rPr>
        <w:t xml:space="preserve">onseil scolaire devait prouver qu’il se trouvait sur le marché une propriété comparable à celle que </w:t>
      </w:r>
      <w:proofErr w:type="spellStart"/>
      <w:r w:rsidRPr="00815A2B">
        <w:rPr>
          <w:rFonts w:cs="Times New Roman"/>
          <w:szCs w:val="24"/>
          <w:lang w:val="fr-CA"/>
        </w:rPr>
        <w:t>Southcott</w:t>
      </w:r>
      <w:proofErr w:type="spellEnd"/>
      <w:r w:rsidRPr="00815A2B">
        <w:rPr>
          <w:rFonts w:cs="Times New Roman"/>
          <w:szCs w:val="24"/>
          <w:lang w:val="fr-CA"/>
        </w:rPr>
        <w:t xml:space="preserve"> avait tenté d’acquérir. </w:t>
      </w:r>
    </w:p>
    <w:p w:rsidR="0071502D" w:rsidRPr="00815A2B" w:rsidRDefault="0071502D" w:rsidP="0071502D">
      <w:pPr>
        <w:pStyle w:val="ParaNoNdepar-AltN"/>
        <w:rPr>
          <w:rFonts w:cs="Times New Roman"/>
          <w:szCs w:val="24"/>
          <w:lang w:val="fr-CA"/>
        </w:rPr>
      </w:pPr>
      <w:r w:rsidRPr="00815A2B">
        <w:rPr>
          <w:rFonts w:cs="Times New Roman"/>
          <w:szCs w:val="24"/>
          <w:lang w:val="fr-CA"/>
        </w:rPr>
        <w:t xml:space="preserve">Avec égards, je ne partage pas l’opinion de la juge </w:t>
      </w:r>
      <w:proofErr w:type="spellStart"/>
      <w:r w:rsidRPr="00815A2B">
        <w:rPr>
          <w:rFonts w:cs="Times New Roman"/>
          <w:szCs w:val="24"/>
          <w:lang w:val="fr-CA"/>
        </w:rPr>
        <w:t>Karakatsanis</w:t>
      </w:r>
      <w:proofErr w:type="spellEnd"/>
      <w:r w:rsidRPr="00815A2B">
        <w:rPr>
          <w:rFonts w:cs="Times New Roman"/>
          <w:szCs w:val="24"/>
          <w:lang w:val="fr-CA"/>
        </w:rPr>
        <w:t xml:space="preserve"> (au par. 56) suivant laquelle deux des propriétés acquises subséquemment par le groupe </w:t>
      </w:r>
      <w:proofErr w:type="spellStart"/>
      <w:r w:rsidRPr="00815A2B">
        <w:rPr>
          <w:rFonts w:cs="Times New Roman"/>
          <w:szCs w:val="24"/>
          <w:lang w:val="fr-CA"/>
        </w:rPr>
        <w:t>Ballantry</w:t>
      </w:r>
      <w:proofErr w:type="spellEnd"/>
      <w:r w:rsidRPr="00815A2B">
        <w:rPr>
          <w:rFonts w:cs="Times New Roman"/>
          <w:szCs w:val="24"/>
          <w:lang w:val="fr-CA"/>
        </w:rPr>
        <w:t xml:space="preserve"> étaient de </w:t>
      </w:r>
      <w:proofErr w:type="gramStart"/>
      <w:r w:rsidRPr="00815A2B">
        <w:rPr>
          <w:rFonts w:cs="Times New Roman"/>
          <w:szCs w:val="24"/>
          <w:lang w:val="fr-CA"/>
        </w:rPr>
        <w:t>toute évidence comparables</w:t>
      </w:r>
      <w:proofErr w:type="gramEnd"/>
      <w:r w:rsidRPr="00815A2B">
        <w:rPr>
          <w:rFonts w:cs="Times New Roman"/>
          <w:szCs w:val="24"/>
          <w:lang w:val="fr-CA"/>
        </w:rPr>
        <w:t xml:space="preserve"> à celle que </w:t>
      </w:r>
      <w:proofErr w:type="spellStart"/>
      <w:r w:rsidRPr="00815A2B">
        <w:rPr>
          <w:rFonts w:cs="Times New Roman"/>
          <w:szCs w:val="24"/>
          <w:lang w:val="fr-CA"/>
        </w:rPr>
        <w:t>Southcott</w:t>
      </w:r>
      <w:proofErr w:type="spellEnd"/>
      <w:r w:rsidRPr="00815A2B">
        <w:rPr>
          <w:rFonts w:cs="Times New Roman"/>
          <w:szCs w:val="24"/>
          <w:lang w:val="fr-CA"/>
        </w:rPr>
        <w:t xml:space="preserve"> souhaitait acheter.  La première (une parcelle de 2,7 acres payée 3,3 millions de dollars) était 43 </w:t>
      </w:r>
      <w:bookmarkStart w:id="2" w:name="OLE_LINK3"/>
      <w:r w:rsidRPr="00815A2B">
        <w:rPr>
          <w:rFonts w:cs="Times New Roman"/>
          <w:szCs w:val="24"/>
          <w:lang w:val="fr-CA"/>
        </w:rPr>
        <w:t xml:space="preserve">p. 100 </w:t>
      </w:r>
      <w:bookmarkEnd w:id="2"/>
      <w:r w:rsidRPr="00815A2B">
        <w:rPr>
          <w:rFonts w:cs="Times New Roman"/>
          <w:szCs w:val="24"/>
          <w:lang w:val="fr-CA"/>
        </w:rPr>
        <w:t xml:space="preserve">plus petite, coûtait </w:t>
      </w:r>
      <w:r w:rsidR="00DB39DB">
        <w:rPr>
          <w:rFonts w:cs="Times New Roman"/>
          <w:szCs w:val="24"/>
          <w:lang w:val="fr-CA"/>
        </w:rPr>
        <w:t>70</w:t>
      </w:r>
      <w:r w:rsidRPr="00815A2B">
        <w:rPr>
          <w:rFonts w:cs="Times New Roman"/>
          <w:szCs w:val="24"/>
          <w:lang w:val="fr-CA"/>
        </w:rPr>
        <w:t xml:space="preserve"> p. 100 plus cher l’acre et a été achetée pour y construire une maison de retraite.  La seconde (une parcelle de 2,3 acres payée 6 millions de dollars) était 51 p. 100 plus petite que le terrain recherché par </w:t>
      </w:r>
      <w:proofErr w:type="spellStart"/>
      <w:r w:rsidRPr="00815A2B">
        <w:rPr>
          <w:rFonts w:cs="Times New Roman"/>
          <w:szCs w:val="24"/>
          <w:lang w:val="fr-CA"/>
        </w:rPr>
        <w:t>Southcott</w:t>
      </w:r>
      <w:proofErr w:type="spellEnd"/>
      <w:r w:rsidRPr="00815A2B">
        <w:rPr>
          <w:rFonts w:cs="Times New Roman"/>
          <w:szCs w:val="24"/>
          <w:lang w:val="fr-CA"/>
        </w:rPr>
        <w:t>, coûtait 2</w:t>
      </w:r>
      <w:r w:rsidR="00DB39DB">
        <w:rPr>
          <w:rFonts w:cs="Times New Roman"/>
          <w:szCs w:val="24"/>
          <w:lang w:val="fr-CA"/>
        </w:rPr>
        <w:t>6</w:t>
      </w:r>
      <w:r w:rsidRPr="00815A2B">
        <w:rPr>
          <w:rFonts w:cs="Times New Roman"/>
          <w:szCs w:val="24"/>
          <w:lang w:val="fr-CA"/>
        </w:rPr>
        <w:t xml:space="preserve">0 p. 100 plus cher l’acre et a été achetée pour y construire un immeuble de grande hauteur.  Selon le dossier, ces propriétés n’étaient pas comparables à celle que </w:t>
      </w:r>
      <w:proofErr w:type="spellStart"/>
      <w:r w:rsidRPr="00815A2B">
        <w:rPr>
          <w:rFonts w:cs="Times New Roman"/>
          <w:szCs w:val="24"/>
          <w:lang w:val="fr-CA"/>
        </w:rPr>
        <w:t>Southcott</w:t>
      </w:r>
      <w:proofErr w:type="spellEnd"/>
      <w:r w:rsidRPr="00815A2B">
        <w:rPr>
          <w:rFonts w:cs="Times New Roman"/>
          <w:szCs w:val="24"/>
          <w:lang w:val="fr-CA"/>
        </w:rPr>
        <w:t xml:space="preserve"> voulait acquérir : une parcelle de 4,78 acres qui se prêtait à la construction de 48 habitations jumelées.  Les autres propriétés acquises par le groupe </w:t>
      </w:r>
      <w:proofErr w:type="spellStart"/>
      <w:r w:rsidRPr="00815A2B">
        <w:rPr>
          <w:rFonts w:cs="Times New Roman"/>
          <w:szCs w:val="24"/>
          <w:lang w:val="fr-CA"/>
        </w:rPr>
        <w:t>Ballantry</w:t>
      </w:r>
      <w:proofErr w:type="spellEnd"/>
      <w:r w:rsidRPr="00815A2B">
        <w:rPr>
          <w:rFonts w:cs="Times New Roman"/>
          <w:szCs w:val="24"/>
          <w:lang w:val="fr-CA"/>
        </w:rPr>
        <w:t xml:space="preserve"> étaient encore moins comparables à celle que </w:t>
      </w:r>
      <w:proofErr w:type="spellStart"/>
      <w:r w:rsidRPr="00815A2B">
        <w:rPr>
          <w:rFonts w:cs="Times New Roman"/>
          <w:szCs w:val="24"/>
          <w:lang w:val="fr-CA"/>
        </w:rPr>
        <w:t>Southcott</w:t>
      </w:r>
      <w:proofErr w:type="spellEnd"/>
      <w:r w:rsidRPr="00815A2B">
        <w:rPr>
          <w:rFonts w:cs="Times New Roman"/>
          <w:szCs w:val="24"/>
          <w:lang w:val="fr-CA"/>
        </w:rPr>
        <w:t xml:space="preserve"> voulait acheter.  Le conseil scolaire avait le fardeau d’établir la comparabilité de ces propriétés.  Il ne l’a pas fait.</w:t>
      </w:r>
    </w:p>
    <w:p w:rsidR="0071502D" w:rsidRPr="00815A2B" w:rsidRDefault="0071502D" w:rsidP="0071502D">
      <w:pPr>
        <w:pStyle w:val="ParaNoNdepar-AltN"/>
        <w:rPr>
          <w:rFonts w:cs="Times New Roman"/>
          <w:szCs w:val="24"/>
          <w:lang w:val="fr-CA"/>
        </w:rPr>
      </w:pPr>
      <w:r w:rsidRPr="00815A2B">
        <w:rPr>
          <w:rFonts w:cs="Times New Roman"/>
          <w:szCs w:val="24"/>
          <w:lang w:val="fr-CA"/>
        </w:rPr>
        <w:t xml:space="preserve">Selon moi, le juge de première instance a eu raison de conclure que la preuve relative aux autres propriétés acquises par le groupe </w:t>
      </w:r>
      <w:proofErr w:type="spellStart"/>
      <w:r w:rsidRPr="00815A2B">
        <w:rPr>
          <w:rFonts w:cs="Times New Roman"/>
          <w:szCs w:val="24"/>
          <w:lang w:val="fr-CA"/>
        </w:rPr>
        <w:t>Ballantry</w:t>
      </w:r>
      <w:proofErr w:type="spellEnd"/>
      <w:r w:rsidRPr="00815A2B">
        <w:rPr>
          <w:rFonts w:cs="Times New Roman"/>
          <w:szCs w:val="24"/>
          <w:lang w:val="fr-CA"/>
        </w:rPr>
        <w:t xml:space="preserve"> n’a pas établi </w:t>
      </w:r>
      <w:r w:rsidRPr="00815A2B">
        <w:rPr>
          <w:rFonts w:cs="Times New Roman"/>
          <w:szCs w:val="24"/>
          <w:lang w:val="fr-CA"/>
        </w:rPr>
        <w:lastRenderedPageBreak/>
        <w:t>des possibilités de mitiger la perte attribuable à l’inexécution du contrat par le conseil scolaire.</w:t>
      </w:r>
    </w:p>
    <w:p w:rsidR="0071502D" w:rsidRPr="00815A2B" w:rsidRDefault="00F01B96" w:rsidP="00F01B96">
      <w:pPr>
        <w:pStyle w:val="TitleTitre-AltT"/>
        <w:tabs>
          <w:tab w:val="clear" w:pos="360"/>
          <w:tab w:val="left" w:pos="720"/>
        </w:tabs>
        <w:ind w:left="720" w:hanging="720"/>
        <w:rPr>
          <w:rFonts w:cs="Times New Roman"/>
          <w:szCs w:val="24"/>
          <w:u w:val="single"/>
          <w:lang w:val="fr-CA"/>
        </w:rPr>
      </w:pPr>
      <w:r w:rsidRPr="00F01B96">
        <w:rPr>
          <w:lang w:val="fr-CA"/>
        </w:rPr>
        <w:t>IV.</w:t>
      </w:r>
      <w:r w:rsidRPr="00F01B96">
        <w:rPr>
          <w:lang w:val="fr-CA"/>
        </w:rPr>
        <w:tab/>
      </w:r>
      <w:proofErr w:type="spellStart"/>
      <w:r w:rsidR="0071502D" w:rsidRPr="00651D56">
        <w:rPr>
          <w:u w:val="single"/>
          <w:lang w:val="fr-CA"/>
        </w:rPr>
        <w:t>Southcott</w:t>
      </w:r>
      <w:proofErr w:type="spellEnd"/>
      <w:r w:rsidR="0071502D" w:rsidRPr="00815A2B">
        <w:rPr>
          <w:rFonts w:cs="Times New Roman"/>
          <w:szCs w:val="24"/>
          <w:u w:val="single"/>
          <w:lang w:val="fr-CA"/>
        </w:rPr>
        <w:t xml:space="preserve"> </w:t>
      </w:r>
      <w:proofErr w:type="spellStart"/>
      <w:r w:rsidR="0071502D" w:rsidRPr="00815A2B">
        <w:rPr>
          <w:rFonts w:cs="Times New Roman"/>
          <w:szCs w:val="24"/>
          <w:u w:val="single"/>
          <w:lang w:val="fr-CA"/>
        </w:rPr>
        <w:t>a</w:t>
      </w:r>
      <w:r w:rsidR="0071502D" w:rsidRPr="00815A2B">
        <w:rPr>
          <w:rFonts w:cs="Times New Roman"/>
          <w:szCs w:val="24"/>
          <w:u w:val="single"/>
          <w:lang w:val="fr-CA"/>
        </w:rPr>
        <w:noBreakHyphen/>
        <w:t>t</w:t>
      </w:r>
      <w:r w:rsidR="0071502D" w:rsidRPr="00815A2B">
        <w:rPr>
          <w:rFonts w:cs="Times New Roman"/>
          <w:szCs w:val="24"/>
          <w:u w:val="single"/>
          <w:lang w:val="fr-CA"/>
        </w:rPr>
        <w:noBreakHyphen/>
        <w:t>elle</w:t>
      </w:r>
      <w:proofErr w:type="spellEnd"/>
      <w:r w:rsidR="0071502D" w:rsidRPr="00815A2B">
        <w:rPr>
          <w:rFonts w:cs="Times New Roman"/>
          <w:szCs w:val="24"/>
          <w:u w:val="single"/>
          <w:lang w:val="fr-CA"/>
        </w:rPr>
        <w:t xml:space="preserve"> agi raisonnablement?</w:t>
      </w:r>
    </w:p>
    <w:p w:rsidR="0071502D" w:rsidRPr="00815A2B" w:rsidRDefault="0071502D" w:rsidP="00F01B96">
      <w:pPr>
        <w:pStyle w:val="ParaNoNdepar-AltN"/>
        <w:rPr>
          <w:rFonts w:cs="Times New Roman"/>
          <w:szCs w:val="24"/>
          <w:lang w:val="fr-CA"/>
        </w:rPr>
      </w:pPr>
      <w:r w:rsidRPr="00815A2B">
        <w:rPr>
          <w:rFonts w:cs="Times New Roman"/>
          <w:szCs w:val="24"/>
          <w:lang w:val="fr-CA"/>
        </w:rPr>
        <w:t xml:space="preserve">La conclusion du juge de première instance selon laquelle le conseil scolaire n’a pas établi que </w:t>
      </w:r>
      <w:proofErr w:type="spellStart"/>
      <w:r w:rsidRPr="00815A2B">
        <w:rPr>
          <w:rFonts w:cs="Times New Roman"/>
          <w:szCs w:val="24"/>
          <w:lang w:val="fr-CA"/>
        </w:rPr>
        <w:t>Southcott</w:t>
      </w:r>
      <w:proofErr w:type="spellEnd"/>
      <w:r w:rsidRPr="00815A2B">
        <w:rPr>
          <w:rFonts w:cs="Times New Roman"/>
          <w:szCs w:val="24"/>
          <w:lang w:val="fr-CA"/>
        </w:rPr>
        <w:t xml:space="preserve"> avait eu des possibilités de mitiger sa perte suffit pour disposer du pourvoi.  J’ajoute toutefois les observations qui suivent quant à savoir si le conseil scolaire a établi, comme il devait également le faire, qu’il aurait été injustifié pour </w:t>
      </w:r>
      <w:proofErr w:type="spellStart"/>
      <w:r w:rsidRPr="00815A2B">
        <w:rPr>
          <w:rFonts w:cs="Times New Roman"/>
          <w:szCs w:val="24"/>
          <w:lang w:val="fr-CA"/>
        </w:rPr>
        <w:t>Southcott</w:t>
      </w:r>
      <w:proofErr w:type="spellEnd"/>
      <w:r w:rsidRPr="00815A2B">
        <w:rPr>
          <w:rFonts w:cs="Times New Roman"/>
          <w:szCs w:val="24"/>
          <w:lang w:val="fr-CA"/>
        </w:rPr>
        <w:t xml:space="preserve"> de ne pas se prévaloir de possibilités prouvées de mitiger le préjudice. </w:t>
      </w:r>
    </w:p>
    <w:p w:rsidR="0071502D" w:rsidRPr="00815A2B" w:rsidRDefault="0071502D" w:rsidP="0071502D">
      <w:pPr>
        <w:pStyle w:val="ParaNoNdepar-AltN"/>
        <w:rPr>
          <w:rFonts w:cs="Times New Roman"/>
          <w:szCs w:val="24"/>
          <w:lang w:val="fr-CA"/>
        </w:rPr>
      </w:pPr>
      <w:r w:rsidRPr="00815A2B">
        <w:rPr>
          <w:rFonts w:cs="Times New Roman"/>
          <w:szCs w:val="24"/>
          <w:lang w:val="fr-CA"/>
        </w:rPr>
        <w:t xml:space="preserve">À mon avis, il est difficile de conclure que </w:t>
      </w:r>
      <w:proofErr w:type="spellStart"/>
      <w:r w:rsidRPr="00815A2B">
        <w:rPr>
          <w:rFonts w:cs="Times New Roman"/>
          <w:szCs w:val="24"/>
          <w:lang w:val="fr-CA"/>
        </w:rPr>
        <w:t>Southcott</w:t>
      </w:r>
      <w:proofErr w:type="spellEnd"/>
      <w:r w:rsidRPr="00815A2B">
        <w:rPr>
          <w:rFonts w:cs="Times New Roman"/>
          <w:szCs w:val="24"/>
          <w:lang w:val="fr-CA"/>
        </w:rPr>
        <w:t xml:space="preserve"> a agi de manière injustifiée.  Tout d’abord parce qu’elle avait des « motifs équitables, réels et importants » de réclamer l’exécution intégrale du contrat : </w:t>
      </w:r>
      <w:proofErr w:type="spellStart"/>
      <w:r w:rsidRPr="00815A2B">
        <w:rPr>
          <w:rFonts w:cs="Times New Roman"/>
          <w:i/>
          <w:szCs w:val="24"/>
          <w:lang w:val="fr-CA"/>
        </w:rPr>
        <w:t>Asamera</w:t>
      </w:r>
      <w:proofErr w:type="spellEnd"/>
      <w:r w:rsidRPr="00815A2B">
        <w:rPr>
          <w:rFonts w:cs="Times New Roman"/>
          <w:szCs w:val="24"/>
          <w:lang w:val="fr-CA"/>
        </w:rPr>
        <w:t>, p. 667</w:t>
      </w:r>
      <w:r w:rsidRPr="00815A2B">
        <w:rPr>
          <w:rFonts w:cs="Times New Roman"/>
          <w:szCs w:val="24"/>
          <w:lang w:val="fr-CA"/>
        </w:rPr>
        <w:noBreakHyphen/>
        <w:t xml:space="preserve">668.  Dans de telles circonstances, un demandeur n’a aucune obligation de mitiger sa perte.  Ainsi que l’explique la Cour dans </w:t>
      </w:r>
      <w:proofErr w:type="spellStart"/>
      <w:r w:rsidRPr="00815A2B">
        <w:rPr>
          <w:rFonts w:cs="Times New Roman"/>
          <w:i/>
          <w:szCs w:val="24"/>
          <w:lang w:val="fr-CA"/>
        </w:rPr>
        <w:t>Asamera</w:t>
      </w:r>
      <w:proofErr w:type="spellEnd"/>
      <w:r w:rsidRPr="00815A2B">
        <w:rPr>
          <w:rFonts w:cs="Times New Roman"/>
          <w:szCs w:val="24"/>
          <w:lang w:val="fr-CA"/>
        </w:rPr>
        <w:t xml:space="preserve">, il s’agit simplement de l’application de la règle en matière de mitigation du préjudice selon laquelle le demandeur doit agir raisonnablement dans les circonstances : </w:t>
      </w:r>
    </w:p>
    <w:p w:rsidR="0071502D" w:rsidRPr="00815A2B" w:rsidRDefault="0071502D" w:rsidP="0071502D">
      <w:pPr>
        <w:pStyle w:val="Citation-AltC"/>
        <w:ind w:hanging="1166"/>
        <w:rPr>
          <w:szCs w:val="24"/>
          <w:lang w:val="fr-CA"/>
        </w:rPr>
      </w:pPr>
      <w:r w:rsidRPr="00815A2B">
        <w:rPr>
          <w:szCs w:val="24"/>
          <w:lang w:val="fr-CA"/>
        </w:rPr>
        <w:tab/>
        <w:t xml:space="preserve">Le seul cas où un demandeur peut justifier son inaction est celui où l’action en exécution intégrale, par opposition à une action en </w:t>
      </w:r>
      <w:proofErr w:type="spellStart"/>
      <w:r w:rsidRPr="00815A2B">
        <w:rPr>
          <w:szCs w:val="24"/>
          <w:lang w:val="fr-CA"/>
        </w:rPr>
        <w:t>dommages</w:t>
      </w:r>
      <w:r w:rsidRPr="00815A2B">
        <w:rPr>
          <w:szCs w:val="24"/>
          <w:lang w:val="fr-CA"/>
        </w:rPr>
        <w:noBreakHyphen/>
        <w:t>intérêts</w:t>
      </w:r>
      <w:proofErr w:type="spellEnd"/>
      <w:r w:rsidRPr="00815A2B">
        <w:rPr>
          <w:szCs w:val="24"/>
          <w:lang w:val="fr-CA"/>
        </w:rPr>
        <w:t xml:space="preserve">, est fondée sur un intérêt important et légitime; dans ce cas, s’il n’obtient pas l’exécution intégrale, il peut obtenir des </w:t>
      </w:r>
      <w:proofErr w:type="spellStart"/>
      <w:r w:rsidRPr="00815A2B">
        <w:rPr>
          <w:szCs w:val="24"/>
          <w:lang w:val="fr-CA"/>
        </w:rPr>
        <w:t>dommages</w:t>
      </w:r>
      <w:r w:rsidRPr="00815A2B">
        <w:rPr>
          <w:szCs w:val="24"/>
          <w:lang w:val="fr-CA"/>
        </w:rPr>
        <w:noBreakHyphen/>
        <w:t>intérêts</w:t>
      </w:r>
      <w:proofErr w:type="spellEnd"/>
      <w:r w:rsidRPr="00815A2B">
        <w:rPr>
          <w:szCs w:val="24"/>
          <w:lang w:val="fr-CA"/>
        </w:rPr>
        <w:t xml:space="preserve"> pour des pertes qui, en d’autres circonstances, </w:t>
      </w:r>
      <w:r w:rsidRPr="00815A2B">
        <w:rPr>
          <w:szCs w:val="24"/>
          <w:lang w:val="fr-CA"/>
        </w:rPr>
        <w:lastRenderedPageBreak/>
        <w:t>auraient pu être évitées et pour lesquelles il n’aurait donc pas pu se faire indemniser</w:t>
      </w:r>
      <w:r w:rsidR="00F01B96">
        <w:rPr>
          <w:szCs w:val="24"/>
          <w:lang w:val="fr-CA"/>
        </w:rPr>
        <w:t>. [p. 668-669]</w:t>
      </w:r>
    </w:p>
    <w:p w:rsidR="0071502D" w:rsidRPr="00815A2B" w:rsidRDefault="0071502D" w:rsidP="0071502D">
      <w:pPr>
        <w:pStyle w:val="ParaNoNdepar-AltN"/>
        <w:rPr>
          <w:rFonts w:cs="Times New Roman"/>
          <w:szCs w:val="24"/>
          <w:lang w:val="fr-CA"/>
        </w:rPr>
      </w:pPr>
      <w:r w:rsidRPr="00815A2B">
        <w:rPr>
          <w:rFonts w:cs="Times New Roman"/>
          <w:szCs w:val="24"/>
          <w:lang w:val="fr-CA"/>
        </w:rPr>
        <w:t xml:space="preserve">Le dépôt d’une demande d’exécution intégrale n’est pas compatible avec l’acquisition d’un bien de substitution.  Le demandeur qui agit raisonnablement ne peut réclamer l’exécution intégrale du contrat et en même temps mitiger son préjudice.  Il est illogique pour le demandeur raisonnable qui cherche à obtenir l’exécution intégrale d’un contrat de concéder la victoire à la partie adverse et d’acquérir un bien de substitution.  Il risquerait de se </w:t>
      </w:r>
      <w:r w:rsidR="00353465">
        <w:rPr>
          <w:rFonts w:cs="Times New Roman"/>
          <w:szCs w:val="24"/>
          <w:lang w:val="fr-CA"/>
        </w:rPr>
        <w:t>retrouver avec deux propriétés —</w:t>
      </w:r>
      <w:r w:rsidRPr="00815A2B">
        <w:rPr>
          <w:rFonts w:cs="Times New Roman"/>
          <w:szCs w:val="24"/>
          <w:lang w:val="fr-CA"/>
        </w:rPr>
        <w:t xml:space="preserve"> celle qu’il voulait obtenir et une autre dont il ne voulait pas.  En outre, l’action en exécution intégrale est souvent motivée par l’absence de biens de substitution sur le marché.  Il est incohérent que le demandeur qui allègue de manière justifiée l’absence de biens de substitution sur le marché ait la possibilité d’acquérir ces mêmes biens (</w:t>
      </w:r>
      <w:r>
        <w:rPr>
          <w:rFonts w:cs="Times New Roman"/>
          <w:szCs w:val="24"/>
          <w:lang w:val="fr-CA"/>
        </w:rPr>
        <w:t>E. </w:t>
      </w:r>
      <w:proofErr w:type="spellStart"/>
      <w:r w:rsidRPr="00815A2B">
        <w:rPr>
          <w:rFonts w:cs="Times New Roman"/>
          <w:szCs w:val="24"/>
          <w:lang w:val="fr-CA"/>
        </w:rPr>
        <w:t>Yorio</w:t>
      </w:r>
      <w:proofErr w:type="spellEnd"/>
      <w:r w:rsidRPr="00815A2B">
        <w:rPr>
          <w:rFonts w:cs="Times New Roman"/>
          <w:szCs w:val="24"/>
          <w:lang w:val="fr-CA"/>
        </w:rPr>
        <w:t xml:space="preserve">, « A </w:t>
      </w:r>
      <w:proofErr w:type="spellStart"/>
      <w:r w:rsidRPr="00815A2B">
        <w:rPr>
          <w:rFonts w:cs="Times New Roman"/>
          <w:szCs w:val="24"/>
          <w:lang w:val="fr-CA"/>
        </w:rPr>
        <w:t>Defense</w:t>
      </w:r>
      <w:proofErr w:type="spellEnd"/>
      <w:r w:rsidRPr="00815A2B">
        <w:rPr>
          <w:rFonts w:cs="Times New Roman"/>
          <w:szCs w:val="24"/>
          <w:lang w:val="fr-CA"/>
        </w:rPr>
        <w:t xml:space="preserve"> of </w:t>
      </w:r>
      <w:proofErr w:type="spellStart"/>
      <w:r w:rsidRPr="00815A2B">
        <w:rPr>
          <w:rFonts w:cs="Times New Roman"/>
          <w:szCs w:val="24"/>
          <w:lang w:val="fr-CA"/>
        </w:rPr>
        <w:t>Equitable</w:t>
      </w:r>
      <w:proofErr w:type="spellEnd"/>
      <w:r w:rsidRPr="00815A2B">
        <w:rPr>
          <w:rFonts w:cs="Times New Roman"/>
          <w:szCs w:val="24"/>
          <w:lang w:val="fr-CA"/>
        </w:rPr>
        <w:t xml:space="preserve"> </w:t>
      </w:r>
      <w:proofErr w:type="spellStart"/>
      <w:r w:rsidRPr="00815A2B">
        <w:rPr>
          <w:rFonts w:cs="Times New Roman"/>
          <w:szCs w:val="24"/>
          <w:lang w:val="fr-CA"/>
        </w:rPr>
        <w:t>Defenses</w:t>
      </w:r>
      <w:proofErr w:type="spellEnd"/>
      <w:r w:rsidRPr="00815A2B">
        <w:rPr>
          <w:rFonts w:cs="Times New Roman"/>
          <w:szCs w:val="24"/>
          <w:lang w:val="fr-CA"/>
        </w:rPr>
        <w:t xml:space="preserve"> » (1990), 51 </w:t>
      </w:r>
      <w:r w:rsidRPr="00815A2B">
        <w:rPr>
          <w:rFonts w:cs="Times New Roman"/>
          <w:i/>
          <w:szCs w:val="24"/>
          <w:lang w:val="fr-CA"/>
        </w:rPr>
        <w:t>Ohio St. L.J.</w:t>
      </w:r>
      <w:r w:rsidRPr="00815A2B">
        <w:rPr>
          <w:rFonts w:cs="Times New Roman"/>
          <w:szCs w:val="24"/>
          <w:lang w:val="fr-CA"/>
        </w:rPr>
        <w:t xml:space="preserve"> 1201).</w:t>
      </w:r>
    </w:p>
    <w:p w:rsidR="0071502D" w:rsidRPr="00815A2B" w:rsidRDefault="0071502D" w:rsidP="0071502D">
      <w:pPr>
        <w:pStyle w:val="ParaNoNdepar-AltN"/>
        <w:rPr>
          <w:rFonts w:cs="Times New Roman"/>
          <w:szCs w:val="24"/>
          <w:lang w:val="fr-CA"/>
        </w:rPr>
      </w:pPr>
      <w:r w:rsidRPr="00815A2B">
        <w:rPr>
          <w:rFonts w:cs="Times New Roman"/>
          <w:szCs w:val="24"/>
          <w:lang w:val="fr-CA"/>
        </w:rPr>
        <w:t xml:space="preserve">En définitive, le juge de première instance a rejeté la demande d’exécution intégrale.  Cela ne signifie pas cependant que </w:t>
      </w:r>
      <w:proofErr w:type="spellStart"/>
      <w:r w:rsidRPr="00815A2B">
        <w:rPr>
          <w:rFonts w:cs="Times New Roman"/>
          <w:szCs w:val="24"/>
          <w:lang w:val="fr-CA"/>
        </w:rPr>
        <w:t>Southcott</w:t>
      </w:r>
      <w:proofErr w:type="spellEnd"/>
      <w:r w:rsidRPr="00815A2B">
        <w:rPr>
          <w:rFonts w:cs="Times New Roman"/>
          <w:szCs w:val="24"/>
          <w:lang w:val="fr-CA"/>
        </w:rPr>
        <w:t xml:space="preserve"> a agi de façon déraisonnable en présentant cette demande.  La question de savoir si le demandeur avait des « motifs équitables, réels et importants » qui le justifiaient de donner suite à son action en exécution intégrale se distingue de celle de savoir s’il y a lieu d’ordonner l’exécution intégrale à l’issue du procès, une fois que toute la preuve est versée au dossier et appréciée par le juge de première instance.  Les demandeurs ne peuvent jamais avoir la certitude que leur action en exécution intégrale sera </w:t>
      </w:r>
      <w:r w:rsidRPr="00815A2B">
        <w:rPr>
          <w:rFonts w:cs="Times New Roman"/>
          <w:szCs w:val="24"/>
          <w:lang w:val="fr-CA"/>
        </w:rPr>
        <w:lastRenderedPageBreak/>
        <w:t xml:space="preserve">accueillie, d’autant plus qu’il s’agit d’une réparation en </w:t>
      </w:r>
      <w:proofErr w:type="spellStart"/>
      <w:r w:rsidRPr="00815A2B">
        <w:rPr>
          <w:rFonts w:cs="Times New Roman"/>
          <w:szCs w:val="24"/>
          <w:lang w:val="fr-CA"/>
        </w:rPr>
        <w:t>equity</w:t>
      </w:r>
      <w:proofErr w:type="spellEnd"/>
      <w:r w:rsidRPr="00815A2B">
        <w:rPr>
          <w:rFonts w:cs="Times New Roman"/>
          <w:szCs w:val="24"/>
          <w:lang w:val="fr-CA"/>
        </w:rPr>
        <w:t xml:space="preserve"> qui est discrétionnaire.  Exiger des demandeurs qu’ils mitigent leurs pertes s’ils ne sont pas assurés d’obtenir une ordonnance d’exécution intégrale les dissuaderait de présenter des demandes valides d’exécution intégrale et leur imposerait une norme impossible à satisfaire.  </w:t>
      </w:r>
    </w:p>
    <w:p w:rsidR="0071502D" w:rsidRPr="00815A2B" w:rsidRDefault="0071502D" w:rsidP="0071502D">
      <w:pPr>
        <w:pStyle w:val="ParaNoNdepar-AltN"/>
        <w:rPr>
          <w:rFonts w:cs="Times New Roman"/>
          <w:szCs w:val="24"/>
          <w:lang w:val="fr-CA"/>
        </w:rPr>
      </w:pPr>
      <w:r w:rsidRPr="00815A2B">
        <w:rPr>
          <w:rFonts w:cs="Times New Roman"/>
          <w:szCs w:val="24"/>
          <w:lang w:val="fr-CA"/>
        </w:rPr>
        <w:t xml:space="preserve">Tout en rejetant finalement l’action de </w:t>
      </w:r>
      <w:proofErr w:type="spellStart"/>
      <w:r w:rsidRPr="00815A2B">
        <w:rPr>
          <w:rFonts w:cs="Times New Roman"/>
          <w:szCs w:val="24"/>
          <w:lang w:val="fr-CA"/>
        </w:rPr>
        <w:t>Southcott</w:t>
      </w:r>
      <w:proofErr w:type="spellEnd"/>
      <w:r w:rsidRPr="00815A2B">
        <w:rPr>
          <w:rFonts w:cs="Times New Roman"/>
          <w:szCs w:val="24"/>
          <w:lang w:val="fr-CA"/>
        </w:rPr>
        <w:t xml:space="preserve"> en exécution intégrale, le juge de première instance n’a pas conclu que </w:t>
      </w:r>
      <w:proofErr w:type="spellStart"/>
      <w:r w:rsidRPr="00815A2B">
        <w:rPr>
          <w:rFonts w:cs="Times New Roman"/>
          <w:szCs w:val="24"/>
          <w:lang w:val="fr-CA"/>
        </w:rPr>
        <w:t>Southcott</w:t>
      </w:r>
      <w:proofErr w:type="spellEnd"/>
      <w:r w:rsidRPr="00815A2B">
        <w:rPr>
          <w:rFonts w:cs="Times New Roman"/>
          <w:szCs w:val="24"/>
          <w:lang w:val="fr-CA"/>
        </w:rPr>
        <w:t xml:space="preserve"> avait agi de manière déraisonnable en exerçant ce recours.  Rien ne semble appuyer une telle conclusion.  On pourrait à juste titre prétendre que </w:t>
      </w:r>
      <w:proofErr w:type="spellStart"/>
      <w:r w:rsidRPr="00815A2B">
        <w:rPr>
          <w:rFonts w:cs="Times New Roman"/>
          <w:szCs w:val="24"/>
          <w:lang w:val="fr-CA"/>
        </w:rPr>
        <w:t>Southcott</w:t>
      </w:r>
      <w:proofErr w:type="spellEnd"/>
      <w:r w:rsidRPr="00815A2B">
        <w:rPr>
          <w:rFonts w:cs="Times New Roman"/>
          <w:szCs w:val="24"/>
          <w:lang w:val="fr-CA"/>
        </w:rPr>
        <w:t xml:space="preserve"> était justifiée de réclamer l’exécution intégrale du contrat.  La propriété se prêtait particulièrement bien aux besoins de </w:t>
      </w:r>
      <w:proofErr w:type="spellStart"/>
      <w:r w:rsidRPr="00815A2B">
        <w:rPr>
          <w:rFonts w:cs="Times New Roman"/>
          <w:szCs w:val="24"/>
          <w:lang w:val="fr-CA"/>
        </w:rPr>
        <w:t>Southcott</w:t>
      </w:r>
      <w:proofErr w:type="spellEnd"/>
      <w:r w:rsidRPr="00815A2B">
        <w:rPr>
          <w:rFonts w:cs="Times New Roman"/>
          <w:szCs w:val="24"/>
          <w:lang w:val="fr-CA"/>
        </w:rPr>
        <w:t xml:space="preserve"> pour la construction d’un complexe résidentiel unifamilial dans la ville de Toronto.  Même si la présomption de la </w:t>
      </w:r>
      <w:proofErr w:type="spellStart"/>
      <w:r w:rsidRPr="00815A2B">
        <w:rPr>
          <w:rFonts w:cs="Times New Roman"/>
          <w:szCs w:val="24"/>
          <w:lang w:val="fr-CA"/>
        </w:rPr>
        <w:t>common</w:t>
      </w:r>
      <w:proofErr w:type="spellEnd"/>
      <w:r w:rsidRPr="00815A2B">
        <w:rPr>
          <w:rFonts w:cs="Times New Roman"/>
          <w:szCs w:val="24"/>
          <w:lang w:val="fr-CA"/>
        </w:rPr>
        <w:t xml:space="preserve"> </w:t>
      </w:r>
      <w:proofErr w:type="spellStart"/>
      <w:r w:rsidRPr="00815A2B">
        <w:rPr>
          <w:rFonts w:cs="Times New Roman"/>
          <w:szCs w:val="24"/>
          <w:lang w:val="fr-CA"/>
        </w:rPr>
        <w:t>law</w:t>
      </w:r>
      <w:proofErr w:type="spellEnd"/>
      <w:r w:rsidRPr="00815A2B">
        <w:rPr>
          <w:rFonts w:cs="Times New Roman"/>
          <w:szCs w:val="24"/>
          <w:lang w:val="fr-CA"/>
        </w:rPr>
        <w:t xml:space="preserve"> en faveur du caractère unique des biens immeubles n’a plus sa place, une action en exécution intégrale peut quand même être justifiée si un bien possède des caractéristiques uniques faisant en sorte qu’il ne serait pas facile de le remplacer par un autre bien : </w:t>
      </w:r>
      <w:proofErr w:type="spellStart"/>
      <w:r w:rsidRPr="00815A2B">
        <w:rPr>
          <w:rFonts w:cs="Times New Roman"/>
          <w:i/>
          <w:szCs w:val="24"/>
          <w:lang w:val="fr-CA"/>
        </w:rPr>
        <w:t>Semelhago</w:t>
      </w:r>
      <w:proofErr w:type="spellEnd"/>
      <w:r w:rsidRPr="00815A2B">
        <w:rPr>
          <w:rFonts w:cs="Times New Roman"/>
          <w:szCs w:val="24"/>
          <w:lang w:val="fr-CA"/>
        </w:rPr>
        <w:t xml:space="preserve"> </w:t>
      </w:r>
      <w:r w:rsidRPr="00815A2B">
        <w:rPr>
          <w:rFonts w:cs="Times New Roman"/>
          <w:i/>
          <w:szCs w:val="24"/>
          <w:lang w:val="fr-CA"/>
        </w:rPr>
        <w:t xml:space="preserve">c. </w:t>
      </w:r>
      <w:proofErr w:type="spellStart"/>
      <w:r w:rsidRPr="00815A2B">
        <w:rPr>
          <w:rFonts w:cs="Times New Roman"/>
          <w:i/>
          <w:szCs w:val="24"/>
          <w:lang w:val="fr-CA"/>
        </w:rPr>
        <w:t>Paramadevan</w:t>
      </w:r>
      <w:proofErr w:type="spellEnd"/>
      <w:r w:rsidRPr="00815A2B">
        <w:rPr>
          <w:rFonts w:cs="Times New Roman"/>
          <w:szCs w:val="24"/>
          <w:lang w:val="fr-CA"/>
        </w:rPr>
        <w:t xml:space="preserve">, [1996] 2 R.C.S. 415, par. 22.  La preuve appuyait la prétention de </w:t>
      </w:r>
      <w:proofErr w:type="spellStart"/>
      <w:r w:rsidRPr="00815A2B">
        <w:rPr>
          <w:rFonts w:cs="Times New Roman"/>
          <w:szCs w:val="24"/>
          <w:lang w:val="fr-CA"/>
        </w:rPr>
        <w:t>Southcott</w:t>
      </w:r>
      <w:proofErr w:type="spellEnd"/>
      <w:r w:rsidRPr="00815A2B">
        <w:rPr>
          <w:rFonts w:cs="Times New Roman"/>
          <w:szCs w:val="24"/>
          <w:lang w:val="fr-CA"/>
        </w:rPr>
        <w:t xml:space="preserve"> selon laquelle aucun terrain de substitution comparable n’était disponible. </w:t>
      </w:r>
    </w:p>
    <w:p w:rsidR="0071502D" w:rsidRPr="00815A2B" w:rsidRDefault="0071502D" w:rsidP="0071502D">
      <w:pPr>
        <w:pStyle w:val="ParaNoNdepar-AltN"/>
        <w:rPr>
          <w:rFonts w:cs="Times New Roman"/>
          <w:szCs w:val="24"/>
          <w:lang w:val="fr-CA"/>
        </w:rPr>
      </w:pPr>
      <w:r w:rsidRPr="00815A2B">
        <w:rPr>
          <w:rFonts w:cs="Times New Roman"/>
          <w:szCs w:val="24"/>
          <w:lang w:val="fr-CA"/>
        </w:rPr>
        <w:t xml:space="preserve">Le manque de ressources financières constitue une autre raison pour laquelle </w:t>
      </w:r>
      <w:proofErr w:type="spellStart"/>
      <w:r w:rsidRPr="00815A2B">
        <w:rPr>
          <w:rFonts w:cs="Times New Roman"/>
          <w:szCs w:val="24"/>
          <w:lang w:val="fr-CA"/>
        </w:rPr>
        <w:t>Southcott</w:t>
      </w:r>
      <w:proofErr w:type="spellEnd"/>
      <w:r w:rsidRPr="00815A2B">
        <w:rPr>
          <w:rFonts w:cs="Times New Roman"/>
          <w:szCs w:val="24"/>
          <w:lang w:val="fr-CA"/>
        </w:rPr>
        <w:t xml:space="preserve"> n’a pas acquis et mis en valeur une propriété de substitution, en supposant qu’une telle propriété ait été disponible.  </w:t>
      </w:r>
      <w:proofErr w:type="spellStart"/>
      <w:r w:rsidRPr="00815A2B">
        <w:rPr>
          <w:rFonts w:cs="Times New Roman"/>
          <w:szCs w:val="24"/>
          <w:lang w:val="fr-CA"/>
        </w:rPr>
        <w:t>Southcott</w:t>
      </w:r>
      <w:proofErr w:type="spellEnd"/>
      <w:r w:rsidRPr="00815A2B">
        <w:rPr>
          <w:rFonts w:cs="Times New Roman"/>
          <w:szCs w:val="24"/>
          <w:lang w:val="fr-CA"/>
        </w:rPr>
        <w:t xml:space="preserve"> n’avait pas la capacité financière d’acheter sur le marché un terrain de substitution.  Cette société à but unique avait pour seuls actifs les 344 000 </w:t>
      </w:r>
      <w:r w:rsidR="00BC3CA9">
        <w:rPr>
          <w:rFonts w:cs="Times New Roman"/>
          <w:szCs w:val="24"/>
          <w:lang w:val="fr-CA"/>
        </w:rPr>
        <w:t>$</w:t>
      </w:r>
      <w:r w:rsidRPr="00815A2B">
        <w:rPr>
          <w:rFonts w:cs="Times New Roman"/>
          <w:szCs w:val="24"/>
          <w:lang w:val="fr-CA"/>
        </w:rPr>
        <w:t xml:space="preserve"> avancés par le groupe </w:t>
      </w:r>
      <w:proofErr w:type="spellStart"/>
      <w:r w:rsidRPr="00815A2B">
        <w:rPr>
          <w:rFonts w:cs="Times New Roman"/>
          <w:szCs w:val="24"/>
          <w:lang w:val="fr-CA"/>
        </w:rPr>
        <w:t>Ballantry</w:t>
      </w:r>
      <w:proofErr w:type="spellEnd"/>
      <w:r w:rsidRPr="00815A2B">
        <w:rPr>
          <w:rFonts w:cs="Times New Roman"/>
          <w:szCs w:val="24"/>
          <w:lang w:val="fr-CA"/>
        </w:rPr>
        <w:t xml:space="preserve"> pour </w:t>
      </w:r>
      <w:r w:rsidRPr="00815A2B">
        <w:rPr>
          <w:rFonts w:cs="Times New Roman"/>
          <w:szCs w:val="24"/>
          <w:lang w:val="fr-CA"/>
        </w:rPr>
        <w:lastRenderedPageBreak/>
        <w:t xml:space="preserve">verser le dépôt en vue de l’achat du terrain du conseil scolaire (jugement de première instance, par. 137).  La question de savoir si elle aurait pu obtenir le financement pour l’achat d’un terrain différent reste à </w:t>
      </w:r>
      <w:proofErr w:type="gramStart"/>
      <w:r w:rsidRPr="00815A2B">
        <w:rPr>
          <w:rFonts w:cs="Times New Roman"/>
          <w:szCs w:val="24"/>
          <w:lang w:val="fr-CA"/>
        </w:rPr>
        <w:t>tout le</w:t>
      </w:r>
      <w:proofErr w:type="gramEnd"/>
      <w:r w:rsidRPr="00815A2B">
        <w:rPr>
          <w:rFonts w:cs="Times New Roman"/>
          <w:szCs w:val="24"/>
          <w:lang w:val="fr-CA"/>
        </w:rPr>
        <w:t xml:space="preserve"> moins conjecturale.</w:t>
      </w:r>
    </w:p>
    <w:p w:rsidR="0071502D" w:rsidRPr="00815A2B" w:rsidRDefault="0071502D" w:rsidP="0071502D">
      <w:pPr>
        <w:pStyle w:val="ParaNoNdepar-AltN"/>
        <w:rPr>
          <w:rFonts w:cs="Times New Roman"/>
          <w:szCs w:val="24"/>
          <w:lang w:val="fr-CA"/>
        </w:rPr>
      </w:pPr>
      <w:r w:rsidRPr="00815A2B">
        <w:rPr>
          <w:rFonts w:cs="Times New Roman"/>
          <w:szCs w:val="24"/>
          <w:lang w:val="fr-CA"/>
        </w:rPr>
        <w:t xml:space="preserve">En résumé, je ne vois aucune raison de conclure que </w:t>
      </w:r>
      <w:proofErr w:type="spellStart"/>
      <w:r w:rsidRPr="00815A2B">
        <w:rPr>
          <w:rFonts w:cs="Times New Roman"/>
          <w:szCs w:val="24"/>
          <w:lang w:val="fr-CA"/>
        </w:rPr>
        <w:t>Southcott</w:t>
      </w:r>
      <w:proofErr w:type="spellEnd"/>
      <w:r w:rsidRPr="00815A2B">
        <w:rPr>
          <w:rFonts w:cs="Times New Roman"/>
          <w:szCs w:val="24"/>
          <w:lang w:val="fr-CA"/>
        </w:rPr>
        <w:t xml:space="preserve"> a agi de façon injustifiée en faisant défaut de mitiger sa perte, en supposant qu’elle ait eu des possibilités de le faire. </w:t>
      </w:r>
    </w:p>
    <w:p w:rsidR="0071502D" w:rsidRPr="00815A2B" w:rsidRDefault="0071502D" w:rsidP="00C82AEC">
      <w:pPr>
        <w:pStyle w:val="TitleTitre-AltT"/>
        <w:tabs>
          <w:tab w:val="clear" w:pos="360"/>
          <w:tab w:val="left" w:pos="540"/>
        </w:tabs>
        <w:ind w:left="540" w:hanging="540"/>
        <w:rPr>
          <w:rFonts w:cs="Times New Roman"/>
          <w:szCs w:val="24"/>
          <w:u w:val="single"/>
          <w:lang w:val="en-US"/>
        </w:rPr>
      </w:pPr>
      <w:r w:rsidRPr="00815A2B">
        <w:rPr>
          <w:rFonts w:cs="Times New Roman"/>
          <w:szCs w:val="24"/>
          <w:lang w:val="en-US"/>
        </w:rPr>
        <w:t>V.</w:t>
      </w:r>
      <w:r w:rsidRPr="00815A2B">
        <w:rPr>
          <w:rFonts w:cs="Times New Roman"/>
          <w:szCs w:val="24"/>
          <w:lang w:val="en-US"/>
        </w:rPr>
        <w:tab/>
      </w:r>
      <w:r w:rsidRPr="00815A2B">
        <w:rPr>
          <w:rFonts w:cs="Times New Roman"/>
          <w:szCs w:val="24"/>
          <w:u w:val="single"/>
          <w:lang w:val="en-US"/>
        </w:rPr>
        <w:t>Conclusion</w:t>
      </w:r>
    </w:p>
    <w:p w:rsidR="0071502D" w:rsidRPr="00815A2B" w:rsidRDefault="0071502D" w:rsidP="0071502D">
      <w:pPr>
        <w:pStyle w:val="ParaNoNdepar-AltN"/>
        <w:rPr>
          <w:rFonts w:cs="Times New Roman"/>
          <w:szCs w:val="24"/>
          <w:lang w:val="fr-CA"/>
        </w:rPr>
      </w:pPr>
      <w:r w:rsidRPr="00815A2B">
        <w:rPr>
          <w:rFonts w:cs="Times New Roman"/>
          <w:szCs w:val="24"/>
          <w:lang w:val="fr-CA"/>
        </w:rPr>
        <w:t xml:space="preserve">Je ne vois rien qui m’autorise à écarter la conclusion du juge de première instance selon laquelle le défendeur n’a pas prouvé que le défaut de la demanderesse de mitiger sa perte </w:t>
      </w:r>
      <w:proofErr w:type="gramStart"/>
      <w:r w:rsidRPr="00815A2B">
        <w:rPr>
          <w:rFonts w:cs="Times New Roman"/>
          <w:szCs w:val="24"/>
          <w:lang w:val="fr-CA"/>
        </w:rPr>
        <w:t>était</w:t>
      </w:r>
      <w:proofErr w:type="gramEnd"/>
      <w:r w:rsidRPr="00815A2B">
        <w:rPr>
          <w:rFonts w:cs="Times New Roman"/>
          <w:szCs w:val="24"/>
          <w:lang w:val="fr-CA"/>
        </w:rPr>
        <w:t xml:space="preserve"> injustifié.  La preuve et la jurisprudence étayent ses conclusions. </w:t>
      </w:r>
    </w:p>
    <w:p w:rsidR="0071502D" w:rsidRPr="00815A2B" w:rsidRDefault="0071502D" w:rsidP="0071502D">
      <w:pPr>
        <w:pStyle w:val="ParaNoNdepar-AltN"/>
        <w:rPr>
          <w:rFonts w:cs="Times New Roman"/>
          <w:szCs w:val="24"/>
          <w:lang w:val="fr-CA"/>
        </w:rPr>
      </w:pPr>
      <w:r w:rsidRPr="00815A2B">
        <w:rPr>
          <w:rFonts w:cs="Times New Roman"/>
          <w:szCs w:val="24"/>
          <w:lang w:val="fr-CA"/>
        </w:rPr>
        <w:t>Je suis d’avis d’accueillir le pourvoi et de rétablir le jugement du juge de première instance.</w:t>
      </w:r>
    </w:p>
    <w:p w:rsidR="0033393C" w:rsidRPr="00C84904" w:rsidRDefault="0033393C" w:rsidP="002C51DA">
      <w:pPr>
        <w:pStyle w:val="SCCNormalDoubleSpacing"/>
        <w:spacing w:after="480"/>
        <w:rPr>
          <w:szCs w:val="24"/>
        </w:rPr>
      </w:pPr>
      <w:r w:rsidRPr="00C84904">
        <w:rPr>
          <w:szCs w:val="24"/>
        </w:rPr>
        <w:tab/>
      </w:r>
      <w:r w:rsidR="002652D6" w:rsidRPr="00C84904">
        <w:rPr>
          <w:i/>
          <w:szCs w:val="24"/>
        </w:rPr>
        <w:t xml:space="preserve">Pourvoi </w:t>
      </w:r>
      <w:r w:rsidR="00C25B5C" w:rsidRPr="00C84904">
        <w:rPr>
          <w:i/>
          <w:szCs w:val="24"/>
        </w:rPr>
        <w:t>rejeté</w:t>
      </w:r>
      <w:r w:rsidR="007E2774" w:rsidRPr="00C84904">
        <w:rPr>
          <w:i/>
          <w:szCs w:val="24"/>
        </w:rPr>
        <w:t xml:space="preserve"> </w:t>
      </w:r>
      <w:r w:rsidR="00684C92" w:rsidRPr="00C84904">
        <w:rPr>
          <w:i/>
          <w:szCs w:val="24"/>
        </w:rPr>
        <w:t xml:space="preserve">avec dépens.  </w:t>
      </w:r>
      <w:r w:rsidR="001B0890" w:rsidRPr="00C84904">
        <w:rPr>
          <w:i/>
          <w:szCs w:val="24"/>
        </w:rPr>
        <w:t>P</w:t>
      </w:r>
      <w:r w:rsidR="00C25B5C" w:rsidRPr="00C84904">
        <w:rPr>
          <w:i/>
          <w:szCs w:val="24"/>
        </w:rPr>
        <w:t xml:space="preserve">ourvoi incident </w:t>
      </w:r>
      <w:r w:rsidR="001B0890" w:rsidRPr="00C84904">
        <w:rPr>
          <w:i/>
          <w:szCs w:val="24"/>
        </w:rPr>
        <w:t>rejeté sans dépens</w:t>
      </w:r>
      <w:r w:rsidR="00757930" w:rsidRPr="00C84904">
        <w:rPr>
          <w:i/>
          <w:szCs w:val="24"/>
        </w:rPr>
        <w:t xml:space="preserve">, la juge en chef </w:t>
      </w:r>
      <w:proofErr w:type="spellStart"/>
      <w:r w:rsidR="00757930" w:rsidRPr="00C84904">
        <w:rPr>
          <w:smallCaps/>
          <w:szCs w:val="24"/>
        </w:rPr>
        <w:t>McLachlin</w:t>
      </w:r>
      <w:proofErr w:type="spellEnd"/>
      <w:r w:rsidR="00757930" w:rsidRPr="00C84904">
        <w:rPr>
          <w:i/>
          <w:szCs w:val="24"/>
        </w:rPr>
        <w:t xml:space="preserve"> est dissidente</w:t>
      </w:r>
      <w:r w:rsidR="00757930" w:rsidRPr="00C84904">
        <w:rPr>
          <w:szCs w:val="24"/>
        </w:rPr>
        <w:t>.</w:t>
      </w:r>
    </w:p>
    <w:p w:rsidR="00C25B5C" w:rsidRPr="00C84904" w:rsidRDefault="00C25B5C" w:rsidP="002C51DA">
      <w:pPr>
        <w:pStyle w:val="SCCNormalDoubleSpacing"/>
        <w:spacing w:after="480"/>
        <w:rPr>
          <w:i/>
          <w:szCs w:val="24"/>
        </w:rPr>
      </w:pPr>
      <w:r w:rsidRPr="00C84904">
        <w:rPr>
          <w:szCs w:val="24"/>
        </w:rPr>
        <w:tab/>
      </w:r>
      <w:r w:rsidRPr="002E06F0">
        <w:rPr>
          <w:i/>
          <w:szCs w:val="24"/>
        </w:rPr>
        <w:t>Procureurs</w:t>
      </w:r>
      <w:r w:rsidRPr="00C84904">
        <w:rPr>
          <w:i/>
          <w:szCs w:val="24"/>
        </w:rPr>
        <w:t xml:space="preserve"> de l’appelant</w:t>
      </w:r>
      <w:r w:rsidR="002C51DA" w:rsidRPr="00C84904">
        <w:rPr>
          <w:i/>
          <w:szCs w:val="24"/>
        </w:rPr>
        <w:t>e/intimée au pourvoi incident : </w:t>
      </w:r>
      <w:proofErr w:type="spellStart"/>
      <w:r w:rsidRPr="00C84904">
        <w:rPr>
          <w:i/>
          <w:szCs w:val="24"/>
        </w:rPr>
        <w:t>Lenczner</w:t>
      </w:r>
      <w:proofErr w:type="spellEnd"/>
      <w:r w:rsidRPr="00C84904">
        <w:rPr>
          <w:i/>
          <w:szCs w:val="24"/>
        </w:rPr>
        <w:t xml:space="preserve"> </w:t>
      </w:r>
      <w:proofErr w:type="spellStart"/>
      <w:r w:rsidRPr="00C84904">
        <w:rPr>
          <w:i/>
          <w:szCs w:val="24"/>
        </w:rPr>
        <w:t>Slaght</w:t>
      </w:r>
      <w:proofErr w:type="spellEnd"/>
      <w:r w:rsidRPr="00C84904">
        <w:rPr>
          <w:i/>
          <w:szCs w:val="24"/>
        </w:rPr>
        <w:t xml:space="preserve"> Royce Smith Griffin, Toronto; Davis </w:t>
      </w:r>
      <w:proofErr w:type="spellStart"/>
      <w:r w:rsidRPr="00C84904">
        <w:rPr>
          <w:i/>
          <w:szCs w:val="24"/>
        </w:rPr>
        <w:t>Moldaver</w:t>
      </w:r>
      <w:proofErr w:type="spellEnd"/>
      <w:r w:rsidRPr="00C84904">
        <w:rPr>
          <w:i/>
          <w:szCs w:val="24"/>
        </w:rPr>
        <w:t>, Toronto.</w:t>
      </w:r>
    </w:p>
    <w:p w:rsidR="00055820" w:rsidRDefault="00C25B5C" w:rsidP="0071502D">
      <w:pPr>
        <w:pStyle w:val="SCCNormalDoubleSpacing"/>
        <w:spacing w:after="480"/>
        <w:rPr>
          <w:b/>
          <w:szCs w:val="24"/>
        </w:rPr>
      </w:pPr>
      <w:r w:rsidRPr="00C84904">
        <w:rPr>
          <w:i/>
          <w:szCs w:val="24"/>
        </w:rPr>
        <w:lastRenderedPageBreak/>
        <w:tab/>
      </w:r>
      <w:r w:rsidRPr="002E06F0">
        <w:rPr>
          <w:i/>
          <w:szCs w:val="24"/>
        </w:rPr>
        <w:t>Procureurs</w:t>
      </w:r>
      <w:r w:rsidRPr="00C84904">
        <w:rPr>
          <w:i/>
          <w:szCs w:val="24"/>
        </w:rPr>
        <w:t xml:space="preserve"> de l’intimé</w:t>
      </w:r>
      <w:r w:rsidR="002C51DA" w:rsidRPr="00C84904">
        <w:rPr>
          <w:i/>
          <w:szCs w:val="24"/>
        </w:rPr>
        <w:t>/appelant au pourvoi incident : </w:t>
      </w:r>
      <w:r w:rsidRPr="00C84904">
        <w:rPr>
          <w:i/>
          <w:szCs w:val="24"/>
        </w:rPr>
        <w:t>Miller Thomson, Toronto.</w:t>
      </w:r>
    </w:p>
    <w:p w:rsidR="0071502D" w:rsidRDefault="0071502D" w:rsidP="0071502D">
      <w:pPr>
        <w:pStyle w:val="SCCNormalDoubleSpacing"/>
        <w:spacing w:after="480"/>
        <w:rPr>
          <w:b/>
          <w:szCs w:val="24"/>
        </w:rPr>
      </w:pPr>
    </w:p>
    <w:p w:rsidR="0071502D" w:rsidRPr="0049639A" w:rsidRDefault="0071502D" w:rsidP="0071502D">
      <w:pPr>
        <w:pStyle w:val="SCCNormalDoubleSpacing"/>
        <w:spacing w:after="480"/>
        <w:rPr>
          <w:szCs w:val="24"/>
        </w:rPr>
      </w:pPr>
    </w:p>
    <w:sectPr w:rsidR="0071502D" w:rsidRPr="0049639A" w:rsidSect="0049639A">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AEC" w:rsidRDefault="00C82AEC">
      <w:r>
        <w:separator/>
      </w:r>
    </w:p>
  </w:endnote>
  <w:endnote w:type="continuationSeparator" w:id="0">
    <w:p w:rsidR="00C82AEC" w:rsidRDefault="00C82A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AEC" w:rsidRDefault="00C82AEC">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AEC" w:rsidRDefault="00C82AEC">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AEC" w:rsidRDefault="00C82AEC">
      <w:r>
        <w:separator/>
      </w:r>
    </w:p>
  </w:footnote>
  <w:footnote w:type="continuationSeparator" w:id="0">
    <w:p w:rsidR="00C82AEC" w:rsidRDefault="00C82A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AEC" w:rsidRDefault="00C82AEC">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5112"/>
      <w:docPartObj>
        <w:docPartGallery w:val="Page Numbers (Top of Page)"/>
        <w:docPartUnique/>
      </w:docPartObj>
    </w:sdtPr>
    <w:sdtContent>
      <w:p w:rsidR="00C82AEC" w:rsidRDefault="00C82AEC">
        <w:pPr>
          <w:pStyle w:val="Header"/>
          <w:jc w:val="center"/>
        </w:pPr>
        <w:r>
          <w:t xml:space="preserve">- </w:t>
        </w:r>
        <w:fldSimple w:instr=" PAGE   \* MERGEFORMAT ">
          <w:r w:rsidR="0040706D">
            <w:rPr>
              <w:noProof/>
            </w:rPr>
            <w:t>2</w:t>
          </w:r>
        </w:fldSimple>
        <w:r>
          <w:t xml:space="preserve"> -</w:t>
        </w:r>
      </w:p>
    </w:sdtContent>
  </w:sdt>
  <w:p w:rsidR="00C82AEC" w:rsidRDefault="00C82AEC"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3086B0F"/>
    <w:multiLevelType w:val="hybridMultilevel"/>
    <w:tmpl w:val="B406E1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46264F8"/>
    <w:multiLevelType w:val="hybridMultilevel"/>
    <w:tmpl w:val="B450F09E"/>
    <w:lvl w:ilvl="0" w:tplc="DAC8CC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C960811"/>
    <w:multiLevelType w:val="hybridMultilevel"/>
    <w:tmpl w:val="BE14883C"/>
    <w:lvl w:ilvl="0" w:tplc="FB42C18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0E97411"/>
    <w:multiLevelType w:val="hybridMultilevel"/>
    <w:tmpl w:val="53F2D7B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15501A5"/>
    <w:multiLevelType w:val="hybridMultilevel"/>
    <w:tmpl w:val="5BFC4578"/>
    <w:lvl w:ilvl="0" w:tplc="A3C89DD4">
      <w:start w:val="1"/>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2ABA6791"/>
    <w:multiLevelType w:val="hybridMultilevel"/>
    <w:tmpl w:val="F8FEBAE8"/>
    <w:lvl w:ilvl="0" w:tplc="DE3C20F2">
      <w:start w:val="1"/>
      <w:numFmt w:val="decimal"/>
      <w:pStyle w:val="Heading3"/>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723D9B"/>
    <w:multiLevelType w:val="hybridMultilevel"/>
    <w:tmpl w:val="6CDE1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FA50787"/>
    <w:multiLevelType w:val="hybridMultilevel"/>
    <w:tmpl w:val="4D7AAAF8"/>
    <w:lvl w:ilvl="0" w:tplc="982A204E">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2E3FE1"/>
    <w:multiLevelType w:val="hybridMultilevel"/>
    <w:tmpl w:val="50AA242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B733EA0"/>
    <w:multiLevelType w:val="hybridMultilevel"/>
    <w:tmpl w:val="3A24C596"/>
    <w:lvl w:ilvl="0" w:tplc="AC5A6E3A">
      <w:start w:val="1"/>
      <w:numFmt w:val="decimal"/>
      <w:pStyle w:val="NumberedParagraph"/>
      <w:lvlText w:val="[%1]"/>
      <w:lvlJc w:val="left"/>
      <w:pPr>
        <w:ind w:left="81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C32A87"/>
    <w:multiLevelType w:val="hybridMultilevel"/>
    <w:tmpl w:val="AD88E33A"/>
    <w:lvl w:ilvl="0" w:tplc="9F46C4C0">
      <w:start w:val="1"/>
      <w:numFmt w:val="bullet"/>
      <w:lvlText w:val="-"/>
      <w:lvlJc w:val="left"/>
      <w:pPr>
        <w:ind w:left="1080" w:hanging="360"/>
      </w:pPr>
      <w:rPr>
        <w:rFonts w:ascii="Times New Roman" w:eastAsiaTheme="minorHAnsi"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25"/>
  </w:num>
  <w:num w:numId="2">
    <w:abstractNumId w:val="15"/>
  </w:num>
  <w:num w:numId="3">
    <w:abstractNumId w:val="12"/>
  </w:num>
  <w:num w:numId="4">
    <w:abstractNumId w:val="22"/>
  </w:num>
  <w:num w:numId="5">
    <w:abstractNumId w:val="23"/>
  </w:num>
  <w:num w:numId="6">
    <w:abstractNumId w:val="24"/>
  </w:num>
  <w:num w:numId="7">
    <w:abstractNumId w:val="13"/>
  </w:num>
  <w:num w:numId="8">
    <w:abstractNumId w:val="10"/>
  </w:num>
  <w:num w:numId="9">
    <w:abstractNumId w:val="18"/>
  </w:num>
  <w:num w:numId="10">
    <w:abstractNumId w:val="26"/>
  </w:num>
  <w:num w:numId="11">
    <w:abstractNumId w:val="19"/>
  </w:num>
  <w:num w:numId="12">
    <w:abstractNumId w:val="17"/>
  </w:num>
  <w:num w:numId="13">
    <w:abstractNumId w:val="17"/>
    <w:lvlOverride w:ilvl="0">
      <w:startOverride w:val="1"/>
    </w:lvlOverride>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 w:numId="26">
    <w:abstractNumId w:val="16"/>
  </w:num>
  <w:num w:numId="27">
    <w:abstractNumId w:val="27"/>
  </w:num>
  <w:num w:numId="28">
    <w:abstractNumId w:val="20"/>
  </w:num>
  <w:num w:numId="29">
    <w:abstractNumId w:val="14"/>
  </w:num>
  <w:num w:numId="30">
    <w:abstractNumId w:val="24"/>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9329"/>
  </w:hdrShapeDefaults>
  <w:footnotePr>
    <w:footnote w:id="-1"/>
    <w:footnote w:id="0"/>
  </w:footnotePr>
  <w:endnotePr>
    <w:endnote w:id="-1"/>
    <w:endnote w:id="0"/>
  </w:endnotePr>
  <w:compat/>
  <w:rsids>
    <w:rsidRoot w:val="0031414C"/>
    <w:rsid w:val="00025198"/>
    <w:rsid w:val="000323F7"/>
    <w:rsid w:val="00034C1A"/>
    <w:rsid w:val="00052886"/>
    <w:rsid w:val="00055820"/>
    <w:rsid w:val="00055A36"/>
    <w:rsid w:val="000578A3"/>
    <w:rsid w:val="00064563"/>
    <w:rsid w:val="000648CC"/>
    <w:rsid w:val="00071876"/>
    <w:rsid w:val="00094DE0"/>
    <w:rsid w:val="00097635"/>
    <w:rsid w:val="000A5321"/>
    <w:rsid w:val="000C0E99"/>
    <w:rsid w:val="000C59B8"/>
    <w:rsid w:val="000D1EDA"/>
    <w:rsid w:val="000D7761"/>
    <w:rsid w:val="00111DE2"/>
    <w:rsid w:val="00116B38"/>
    <w:rsid w:val="00127060"/>
    <w:rsid w:val="0013109F"/>
    <w:rsid w:val="00135406"/>
    <w:rsid w:val="00135972"/>
    <w:rsid w:val="00140667"/>
    <w:rsid w:val="001426A9"/>
    <w:rsid w:val="00154D7C"/>
    <w:rsid w:val="001570B0"/>
    <w:rsid w:val="00162517"/>
    <w:rsid w:val="00165B52"/>
    <w:rsid w:val="00172A04"/>
    <w:rsid w:val="00175A97"/>
    <w:rsid w:val="00185394"/>
    <w:rsid w:val="001A2089"/>
    <w:rsid w:val="001A451D"/>
    <w:rsid w:val="001B0890"/>
    <w:rsid w:val="001B21F6"/>
    <w:rsid w:val="001B33E0"/>
    <w:rsid w:val="001B4573"/>
    <w:rsid w:val="001B55C2"/>
    <w:rsid w:val="001C779F"/>
    <w:rsid w:val="001D2AC1"/>
    <w:rsid w:val="001E40A4"/>
    <w:rsid w:val="001E4BA4"/>
    <w:rsid w:val="001F6758"/>
    <w:rsid w:val="001F7673"/>
    <w:rsid w:val="002022AB"/>
    <w:rsid w:val="00220FC2"/>
    <w:rsid w:val="00224FC0"/>
    <w:rsid w:val="002255C2"/>
    <w:rsid w:val="00225EA4"/>
    <w:rsid w:val="00226EAF"/>
    <w:rsid w:val="00231F3A"/>
    <w:rsid w:val="00237869"/>
    <w:rsid w:val="002406EE"/>
    <w:rsid w:val="002652D6"/>
    <w:rsid w:val="002663FD"/>
    <w:rsid w:val="002745CC"/>
    <w:rsid w:val="002922E0"/>
    <w:rsid w:val="00295091"/>
    <w:rsid w:val="002A6801"/>
    <w:rsid w:val="002B0832"/>
    <w:rsid w:val="002B77DD"/>
    <w:rsid w:val="002C0DB2"/>
    <w:rsid w:val="002C51DA"/>
    <w:rsid w:val="002D39A4"/>
    <w:rsid w:val="002E06F0"/>
    <w:rsid w:val="002E4B42"/>
    <w:rsid w:val="002E6705"/>
    <w:rsid w:val="002F696C"/>
    <w:rsid w:val="0030329A"/>
    <w:rsid w:val="00303496"/>
    <w:rsid w:val="00307AFD"/>
    <w:rsid w:val="0031086F"/>
    <w:rsid w:val="00310E05"/>
    <w:rsid w:val="0031414C"/>
    <w:rsid w:val="00314E01"/>
    <w:rsid w:val="0032089D"/>
    <w:rsid w:val="0033393C"/>
    <w:rsid w:val="0034770C"/>
    <w:rsid w:val="0035259D"/>
    <w:rsid w:val="00353465"/>
    <w:rsid w:val="00356740"/>
    <w:rsid w:val="00356CAE"/>
    <w:rsid w:val="003866EC"/>
    <w:rsid w:val="00394476"/>
    <w:rsid w:val="003A4C70"/>
    <w:rsid w:val="003A4E15"/>
    <w:rsid w:val="003C5BF2"/>
    <w:rsid w:val="003C799C"/>
    <w:rsid w:val="003E1C71"/>
    <w:rsid w:val="003E680E"/>
    <w:rsid w:val="003F327B"/>
    <w:rsid w:val="004059A7"/>
    <w:rsid w:val="00406166"/>
    <w:rsid w:val="0040706D"/>
    <w:rsid w:val="0041128E"/>
    <w:rsid w:val="00411300"/>
    <w:rsid w:val="00426659"/>
    <w:rsid w:val="0043088E"/>
    <w:rsid w:val="004439D8"/>
    <w:rsid w:val="004618E8"/>
    <w:rsid w:val="00461C3A"/>
    <w:rsid w:val="00465132"/>
    <w:rsid w:val="0047614C"/>
    <w:rsid w:val="00480C90"/>
    <w:rsid w:val="0048396F"/>
    <w:rsid w:val="00493C18"/>
    <w:rsid w:val="00494CDC"/>
    <w:rsid w:val="0049639A"/>
    <w:rsid w:val="004A600C"/>
    <w:rsid w:val="004B557B"/>
    <w:rsid w:val="004B5BCF"/>
    <w:rsid w:val="004C478D"/>
    <w:rsid w:val="004E6445"/>
    <w:rsid w:val="004E6A2C"/>
    <w:rsid w:val="005136F0"/>
    <w:rsid w:val="00521AE8"/>
    <w:rsid w:val="00522D61"/>
    <w:rsid w:val="00527180"/>
    <w:rsid w:val="00530B63"/>
    <w:rsid w:val="00536719"/>
    <w:rsid w:val="005564A7"/>
    <w:rsid w:val="00565AD1"/>
    <w:rsid w:val="005E1C93"/>
    <w:rsid w:val="005E4698"/>
    <w:rsid w:val="005F5497"/>
    <w:rsid w:val="006165D3"/>
    <w:rsid w:val="006240D1"/>
    <w:rsid w:val="00625C35"/>
    <w:rsid w:val="006328E4"/>
    <w:rsid w:val="00634E1B"/>
    <w:rsid w:val="00645057"/>
    <w:rsid w:val="00654858"/>
    <w:rsid w:val="006565F4"/>
    <w:rsid w:val="00681AD1"/>
    <w:rsid w:val="00684C92"/>
    <w:rsid w:val="006A56F1"/>
    <w:rsid w:val="006A757B"/>
    <w:rsid w:val="006A763F"/>
    <w:rsid w:val="006B5FF5"/>
    <w:rsid w:val="006C5661"/>
    <w:rsid w:val="006D4790"/>
    <w:rsid w:val="006E0DED"/>
    <w:rsid w:val="006E1A90"/>
    <w:rsid w:val="00701759"/>
    <w:rsid w:val="00702C6F"/>
    <w:rsid w:val="0071502D"/>
    <w:rsid w:val="00727D09"/>
    <w:rsid w:val="00747288"/>
    <w:rsid w:val="00747DD3"/>
    <w:rsid w:val="00750254"/>
    <w:rsid w:val="00752F4E"/>
    <w:rsid w:val="007549C8"/>
    <w:rsid w:val="00757930"/>
    <w:rsid w:val="00762D30"/>
    <w:rsid w:val="00763377"/>
    <w:rsid w:val="00765FED"/>
    <w:rsid w:val="00766D14"/>
    <w:rsid w:val="00767A0F"/>
    <w:rsid w:val="007834A8"/>
    <w:rsid w:val="007A05F6"/>
    <w:rsid w:val="007A12FB"/>
    <w:rsid w:val="007A3C7F"/>
    <w:rsid w:val="007B6F4A"/>
    <w:rsid w:val="007C0582"/>
    <w:rsid w:val="007E11E4"/>
    <w:rsid w:val="007E1C47"/>
    <w:rsid w:val="007E2774"/>
    <w:rsid w:val="007E337A"/>
    <w:rsid w:val="007E5C70"/>
    <w:rsid w:val="007F2FF5"/>
    <w:rsid w:val="00817190"/>
    <w:rsid w:val="008322BD"/>
    <w:rsid w:val="00844765"/>
    <w:rsid w:val="00855307"/>
    <w:rsid w:val="00862CF3"/>
    <w:rsid w:val="00864CF8"/>
    <w:rsid w:val="00874914"/>
    <w:rsid w:val="00890724"/>
    <w:rsid w:val="00892E1A"/>
    <w:rsid w:val="008958F5"/>
    <w:rsid w:val="008A6558"/>
    <w:rsid w:val="008A727C"/>
    <w:rsid w:val="008B03E3"/>
    <w:rsid w:val="008B169D"/>
    <w:rsid w:val="008C01DA"/>
    <w:rsid w:val="008C6FEC"/>
    <w:rsid w:val="008F16D9"/>
    <w:rsid w:val="008F398A"/>
    <w:rsid w:val="008F78E9"/>
    <w:rsid w:val="00900AFD"/>
    <w:rsid w:val="00902462"/>
    <w:rsid w:val="00903396"/>
    <w:rsid w:val="009342B9"/>
    <w:rsid w:val="009403F3"/>
    <w:rsid w:val="0094133F"/>
    <w:rsid w:val="00957FA2"/>
    <w:rsid w:val="00963FB3"/>
    <w:rsid w:val="00966913"/>
    <w:rsid w:val="00967374"/>
    <w:rsid w:val="00967A08"/>
    <w:rsid w:val="0097543E"/>
    <w:rsid w:val="00983DED"/>
    <w:rsid w:val="00983F3F"/>
    <w:rsid w:val="00985C69"/>
    <w:rsid w:val="0099079B"/>
    <w:rsid w:val="009B2F23"/>
    <w:rsid w:val="009B53E2"/>
    <w:rsid w:val="009B57B3"/>
    <w:rsid w:val="009D5AEB"/>
    <w:rsid w:val="009E6108"/>
    <w:rsid w:val="009E7AAB"/>
    <w:rsid w:val="009F2752"/>
    <w:rsid w:val="009F383F"/>
    <w:rsid w:val="00A05F0E"/>
    <w:rsid w:val="00A21107"/>
    <w:rsid w:val="00A21B90"/>
    <w:rsid w:val="00A24E15"/>
    <w:rsid w:val="00A26ED6"/>
    <w:rsid w:val="00A33796"/>
    <w:rsid w:val="00A37A29"/>
    <w:rsid w:val="00A548CB"/>
    <w:rsid w:val="00A6242E"/>
    <w:rsid w:val="00A643E7"/>
    <w:rsid w:val="00A73C38"/>
    <w:rsid w:val="00AB4CD9"/>
    <w:rsid w:val="00AC6322"/>
    <w:rsid w:val="00AC7437"/>
    <w:rsid w:val="00AC7A44"/>
    <w:rsid w:val="00AD081B"/>
    <w:rsid w:val="00AD57A9"/>
    <w:rsid w:val="00AE722C"/>
    <w:rsid w:val="00AF03C5"/>
    <w:rsid w:val="00B000D8"/>
    <w:rsid w:val="00B00F75"/>
    <w:rsid w:val="00B02BDA"/>
    <w:rsid w:val="00B145B6"/>
    <w:rsid w:val="00B36C3B"/>
    <w:rsid w:val="00B46018"/>
    <w:rsid w:val="00B50C81"/>
    <w:rsid w:val="00B545F0"/>
    <w:rsid w:val="00B557F8"/>
    <w:rsid w:val="00B64972"/>
    <w:rsid w:val="00B66DD8"/>
    <w:rsid w:val="00B74BCF"/>
    <w:rsid w:val="00B8145D"/>
    <w:rsid w:val="00B815FC"/>
    <w:rsid w:val="00B93FBC"/>
    <w:rsid w:val="00B96538"/>
    <w:rsid w:val="00BA41A7"/>
    <w:rsid w:val="00BC3CA9"/>
    <w:rsid w:val="00BC7D29"/>
    <w:rsid w:val="00C02092"/>
    <w:rsid w:val="00C02B40"/>
    <w:rsid w:val="00C057F7"/>
    <w:rsid w:val="00C0663B"/>
    <w:rsid w:val="00C16DE7"/>
    <w:rsid w:val="00C24C8C"/>
    <w:rsid w:val="00C24D91"/>
    <w:rsid w:val="00C25B5C"/>
    <w:rsid w:val="00C40DA9"/>
    <w:rsid w:val="00C52532"/>
    <w:rsid w:val="00C53F14"/>
    <w:rsid w:val="00C55C2E"/>
    <w:rsid w:val="00C600CF"/>
    <w:rsid w:val="00C6084F"/>
    <w:rsid w:val="00C6127C"/>
    <w:rsid w:val="00C62A66"/>
    <w:rsid w:val="00C62A6F"/>
    <w:rsid w:val="00C63502"/>
    <w:rsid w:val="00C64FCF"/>
    <w:rsid w:val="00C67CA5"/>
    <w:rsid w:val="00C71458"/>
    <w:rsid w:val="00C71F58"/>
    <w:rsid w:val="00C77613"/>
    <w:rsid w:val="00C828E7"/>
    <w:rsid w:val="00C82AEC"/>
    <w:rsid w:val="00C84904"/>
    <w:rsid w:val="00C90EB2"/>
    <w:rsid w:val="00C921DD"/>
    <w:rsid w:val="00CA4D82"/>
    <w:rsid w:val="00CA6391"/>
    <w:rsid w:val="00CD1226"/>
    <w:rsid w:val="00CE1DEA"/>
    <w:rsid w:val="00CE29D1"/>
    <w:rsid w:val="00CE3171"/>
    <w:rsid w:val="00CF1601"/>
    <w:rsid w:val="00D25329"/>
    <w:rsid w:val="00D32086"/>
    <w:rsid w:val="00D37A3F"/>
    <w:rsid w:val="00D45E22"/>
    <w:rsid w:val="00D45FCF"/>
    <w:rsid w:val="00D4667A"/>
    <w:rsid w:val="00D510BB"/>
    <w:rsid w:val="00D5435D"/>
    <w:rsid w:val="00D706F0"/>
    <w:rsid w:val="00D74F2E"/>
    <w:rsid w:val="00D84557"/>
    <w:rsid w:val="00DA0590"/>
    <w:rsid w:val="00DB39DB"/>
    <w:rsid w:val="00DC1788"/>
    <w:rsid w:val="00DC508C"/>
    <w:rsid w:val="00DD1EAF"/>
    <w:rsid w:val="00DF0CA8"/>
    <w:rsid w:val="00DF49A7"/>
    <w:rsid w:val="00E01106"/>
    <w:rsid w:val="00E07EE2"/>
    <w:rsid w:val="00E15043"/>
    <w:rsid w:val="00E21CE2"/>
    <w:rsid w:val="00E24573"/>
    <w:rsid w:val="00E35020"/>
    <w:rsid w:val="00E377A1"/>
    <w:rsid w:val="00E45109"/>
    <w:rsid w:val="00E54B02"/>
    <w:rsid w:val="00E604D2"/>
    <w:rsid w:val="00E97830"/>
    <w:rsid w:val="00EA03E5"/>
    <w:rsid w:val="00EE0FAF"/>
    <w:rsid w:val="00EE38D1"/>
    <w:rsid w:val="00EF19B4"/>
    <w:rsid w:val="00F00EB7"/>
    <w:rsid w:val="00F01B96"/>
    <w:rsid w:val="00F1609D"/>
    <w:rsid w:val="00F2258E"/>
    <w:rsid w:val="00F33658"/>
    <w:rsid w:val="00F36AB6"/>
    <w:rsid w:val="00F409CE"/>
    <w:rsid w:val="00F50EBE"/>
    <w:rsid w:val="00F84DF4"/>
    <w:rsid w:val="00F853FB"/>
    <w:rsid w:val="00F85C97"/>
    <w:rsid w:val="00FA2FE1"/>
    <w:rsid w:val="00FB655E"/>
    <w:rsid w:val="00FC606D"/>
    <w:rsid w:val="00FD068D"/>
    <w:rsid w:val="00FD4F28"/>
    <w:rsid w:val="00FE4B4D"/>
    <w:rsid w:val="00FE6784"/>
    <w:rsid w:val="00FE7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71502D"/>
    <w:pPr>
      <w:numPr>
        <w:numId w:val="12"/>
      </w:numPr>
      <w:spacing w:after="120"/>
      <w:outlineLvl w:val="2"/>
    </w:pPr>
    <w:rPr>
      <w:rFonts w:ascii="Times New Roman" w:hAnsi="Times New Roman"/>
      <w:b w:val="0"/>
      <w:bCs w:val="0"/>
      <w:color w:val="auto"/>
      <w:sz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character" w:customStyle="1" w:styleId="Heading3Char">
    <w:name w:val="Heading 3 Char"/>
    <w:basedOn w:val="DefaultParagraphFont"/>
    <w:link w:val="Heading3"/>
    <w:uiPriority w:val="9"/>
    <w:rsid w:val="0071502D"/>
    <w:rPr>
      <w:rFonts w:eastAsiaTheme="majorEastAsia" w:cstheme="majorBidi"/>
      <w:sz w:val="24"/>
      <w:szCs w:val="26"/>
      <w:u w:val="single"/>
      <w:lang w:val="en-US"/>
    </w:rPr>
  </w:style>
  <w:style w:type="paragraph" w:customStyle="1" w:styleId="SCCLsocOtherPartyRoleSeparator">
    <w:name w:val="SCC.Lsoc.OtherPartyRoleSeparator"/>
    <w:basedOn w:val="Normal"/>
    <w:next w:val="Normal"/>
    <w:link w:val="SCCLsocOtherPartyRoleSeparatorChar"/>
    <w:rsid w:val="0071502D"/>
    <w:pPr>
      <w:spacing w:after="480"/>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rsid w:val="0071502D"/>
    <w:rPr>
      <w:rFonts w:eastAsiaTheme="minorHAnsi" w:cstheme="minorBidi"/>
      <w:sz w:val="24"/>
      <w:szCs w:val="22"/>
      <w:lang w:eastAsia="en-US"/>
    </w:rPr>
  </w:style>
  <w:style w:type="character" w:customStyle="1" w:styleId="SCCBanSummaryChar">
    <w:name w:val="SCC.BanSummary Char"/>
    <w:basedOn w:val="DefaultParagraphFont"/>
    <w:link w:val="SCCBanSummary"/>
    <w:rsid w:val="0071502D"/>
    <w:rPr>
      <w:b/>
      <w:sz w:val="24"/>
      <w:lang w:val="fr-CA"/>
    </w:rPr>
  </w:style>
  <w:style w:type="table" w:styleId="TableGrid">
    <w:name w:val="Table Grid"/>
    <w:basedOn w:val="TableNormal"/>
    <w:uiPriority w:val="59"/>
    <w:rsid w:val="007150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71502D"/>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71502D"/>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71502D"/>
    <w:pPr>
      <w:tabs>
        <w:tab w:val="left" w:pos="1260"/>
      </w:tabs>
      <w:spacing w:after="480" w:line="480" w:lineRule="auto"/>
    </w:pPr>
    <w:rPr>
      <w:smallCaps/>
      <w:sz w:val="24"/>
    </w:rPr>
  </w:style>
  <w:style w:type="paragraph" w:customStyle="1" w:styleId="ParaNoNdepar-AltN">
    <w:name w:val="Para. No. / Nº de par. - Alt N"/>
    <w:qFormat/>
    <w:rsid w:val="0071502D"/>
    <w:pPr>
      <w:numPr>
        <w:numId w:val="6"/>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71502D"/>
    <w:pPr>
      <w:keepNext/>
      <w:tabs>
        <w:tab w:val="left" w:pos="360"/>
      </w:tabs>
      <w:spacing w:after="720"/>
      <w:ind w:left="357" w:hanging="357"/>
      <w:jc w:val="both"/>
    </w:pPr>
    <w:rPr>
      <w:rFonts w:eastAsiaTheme="minorHAnsi" w:cstheme="minorBidi"/>
      <w:sz w:val="24"/>
      <w:szCs w:val="22"/>
      <w:lang w:eastAsia="en-US"/>
    </w:rPr>
  </w:style>
  <w:style w:type="paragraph" w:styleId="ListParagraph">
    <w:name w:val="List Paragraph"/>
    <w:basedOn w:val="Normal"/>
    <w:uiPriority w:val="34"/>
    <w:qFormat/>
    <w:rsid w:val="0071502D"/>
    <w:pPr>
      <w:ind w:left="720"/>
      <w:contextualSpacing/>
    </w:pPr>
    <w:rPr>
      <w:lang w:val="en-CA"/>
    </w:rPr>
  </w:style>
  <w:style w:type="character" w:styleId="CommentReference">
    <w:name w:val="annotation reference"/>
    <w:basedOn w:val="DefaultParagraphFont"/>
    <w:uiPriority w:val="99"/>
    <w:semiHidden/>
    <w:unhideWhenUsed/>
    <w:rsid w:val="0071502D"/>
    <w:rPr>
      <w:sz w:val="16"/>
      <w:szCs w:val="16"/>
    </w:rPr>
  </w:style>
  <w:style w:type="paragraph" w:styleId="CommentText">
    <w:name w:val="annotation text"/>
    <w:basedOn w:val="Normal"/>
    <w:link w:val="CommentTextChar"/>
    <w:uiPriority w:val="99"/>
    <w:unhideWhenUsed/>
    <w:rsid w:val="0071502D"/>
    <w:rPr>
      <w:sz w:val="20"/>
      <w:lang w:val="en-CA"/>
    </w:rPr>
  </w:style>
  <w:style w:type="character" w:customStyle="1" w:styleId="CommentTextChar">
    <w:name w:val="Comment Text Char"/>
    <w:basedOn w:val="DefaultParagraphFont"/>
    <w:link w:val="CommentText"/>
    <w:uiPriority w:val="99"/>
    <w:rsid w:val="0071502D"/>
  </w:style>
  <w:style w:type="paragraph" w:styleId="CommentSubject">
    <w:name w:val="annotation subject"/>
    <w:basedOn w:val="CommentText"/>
    <w:next w:val="CommentText"/>
    <w:link w:val="CommentSubjectChar"/>
    <w:uiPriority w:val="99"/>
    <w:semiHidden/>
    <w:unhideWhenUsed/>
    <w:rsid w:val="0071502D"/>
    <w:rPr>
      <w:b/>
      <w:bCs/>
    </w:rPr>
  </w:style>
  <w:style w:type="character" w:customStyle="1" w:styleId="CommentSubjectChar">
    <w:name w:val="Comment Subject Char"/>
    <w:basedOn w:val="CommentTextChar"/>
    <w:link w:val="CommentSubject"/>
    <w:uiPriority w:val="99"/>
    <w:semiHidden/>
    <w:rsid w:val="0071502D"/>
    <w:rPr>
      <w:b/>
      <w:bCs/>
    </w:rPr>
  </w:style>
  <w:style w:type="paragraph" w:customStyle="1" w:styleId="NumberedParagraph">
    <w:name w:val="Numbered Paragraph"/>
    <w:rsid w:val="0071502D"/>
    <w:pPr>
      <w:numPr>
        <w:numId w:val="10"/>
      </w:numPr>
      <w:spacing w:after="120" w:line="480" w:lineRule="auto"/>
      <w:ind w:left="0" w:firstLine="0"/>
      <w:jc w:val="both"/>
    </w:pPr>
    <w:rPr>
      <w:sz w:val="24"/>
    </w:rPr>
  </w:style>
  <w:style w:type="paragraph" w:customStyle="1" w:styleId="NumberedParas">
    <w:name w:val="Numbered Paras."/>
    <w:basedOn w:val="NumberedParagraph"/>
    <w:link w:val="NumberedParasChar"/>
    <w:qFormat/>
    <w:rsid w:val="0071502D"/>
    <w:rPr>
      <w:szCs w:val="24"/>
    </w:rPr>
  </w:style>
  <w:style w:type="character" w:customStyle="1" w:styleId="NumberedParasChar">
    <w:name w:val="Numbered Paras. Char"/>
    <w:basedOn w:val="DefaultParagraphFont"/>
    <w:link w:val="NumberedParas"/>
    <w:rsid w:val="0071502D"/>
    <w:rPr>
      <w:sz w:val="24"/>
      <w:szCs w:val="24"/>
    </w:rPr>
  </w:style>
  <w:style w:type="paragraph" w:customStyle="1" w:styleId="SCCLowerCourtText">
    <w:name w:val="SCC.LowerCourtText"/>
    <w:basedOn w:val="Normal"/>
    <w:next w:val="Normal"/>
    <w:link w:val="SCCLowerCourtTextChar"/>
    <w:qFormat/>
    <w:rsid w:val="0071502D"/>
    <w:pPr>
      <w:jc w:val="both"/>
    </w:pPr>
    <w:rPr>
      <w:lang w:val="en-CA"/>
    </w:rPr>
  </w:style>
  <w:style w:type="character" w:customStyle="1" w:styleId="SCCLowerCourtTextChar">
    <w:name w:val="SCC.LowerCourtText Char"/>
    <w:basedOn w:val="DefaultParagraphFont"/>
    <w:link w:val="SCCLowerCourtText"/>
    <w:rsid w:val="0071502D"/>
    <w:rPr>
      <w:sz w:val="24"/>
    </w:rPr>
  </w:style>
  <w:style w:type="paragraph" w:styleId="FootnoteText">
    <w:name w:val="footnote text"/>
    <w:basedOn w:val="Normal"/>
    <w:link w:val="FootnoteTextChar"/>
    <w:uiPriority w:val="99"/>
    <w:semiHidden/>
    <w:unhideWhenUsed/>
    <w:rsid w:val="0071502D"/>
    <w:rPr>
      <w:rFonts w:eastAsiaTheme="minorHAnsi" w:cstheme="minorBidi"/>
      <w:szCs w:val="24"/>
      <w:lang w:val="en-CA" w:eastAsia="en-US"/>
    </w:rPr>
  </w:style>
  <w:style w:type="character" w:customStyle="1" w:styleId="FootnoteTextChar">
    <w:name w:val="Footnote Text Char"/>
    <w:basedOn w:val="DefaultParagraphFont"/>
    <w:link w:val="FootnoteText"/>
    <w:uiPriority w:val="99"/>
    <w:semiHidden/>
    <w:rsid w:val="0071502D"/>
    <w:rPr>
      <w:rFonts w:eastAsiaTheme="minorHAnsi" w:cstheme="minorBidi"/>
      <w:sz w:val="24"/>
      <w:szCs w:val="24"/>
      <w:lang w:eastAsia="en-US"/>
    </w:rPr>
  </w:style>
  <w:style w:type="character" w:styleId="FootnoteReference">
    <w:name w:val="footnote reference"/>
    <w:basedOn w:val="DefaultParagraphFont"/>
    <w:uiPriority w:val="99"/>
    <w:semiHidden/>
    <w:unhideWhenUsed/>
    <w:rsid w:val="0071502D"/>
    <w:rPr>
      <w:vertAlign w:val="superscript"/>
    </w:rPr>
  </w:style>
  <w:style w:type="character" w:styleId="SubtleEmphasis">
    <w:name w:val="Subtle Emphasis"/>
    <w:uiPriority w:val="19"/>
    <w:qFormat/>
    <w:rsid w:val="0071502D"/>
    <w:rPr>
      <w:i/>
      <w:iCs/>
    </w:rPr>
  </w:style>
  <w:style w:type="paragraph" w:customStyle="1" w:styleId="Default">
    <w:name w:val="Default"/>
    <w:rsid w:val="0071502D"/>
    <w:pPr>
      <w:autoSpaceDE w:val="0"/>
      <w:autoSpaceDN w:val="0"/>
      <w:adjustRightInd w:val="0"/>
    </w:pPr>
    <w:rPr>
      <w:color w:val="000000"/>
      <w:sz w:val="24"/>
      <w:szCs w:val="24"/>
    </w:rPr>
  </w:style>
  <w:style w:type="character" w:styleId="Hyperlink">
    <w:name w:val="Hyperlink"/>
    <w:basedOn w:val="DefaultParagraphFont"/>
    <w:uiPriority w:val="99"/>
    <w:unhideWhenUsed/>
    <w:rsid w:val="0071502D"/>
    <w:rPr>
      <w:color w:val="B96E2B"/>
      <w:u w:val="single"/>
    </w:rPr>
  </w:style>
  <w:style w:type="character" w:customStyle="1" w:styleId="complet">
    <w:name w:val="complet"/>
    <w:basedOn w:val="DefaultParagraphFont"/>
    <w:rsid w:val="0071502D"/>
  </w:style>
  <w:style w:type="paragraph" w:customStyle="1" w:styleId="para1">
    <w:name w:val="para1"/>
    <w:basedOn w:val="Normal"/>
    <w:rsid w:val="0071502D"/>
    <w:pPr>
      <w:spacing w:before="100" w:beforeAutospacing="1" w:after="100" w:afterAutospacing="1"/>
      <w:jc w:val="both"/>
    </w:pPr>
    <w:rPr>
      <w:rFonts w:ascii="Arial" w:hAnsi="Arial" w:cs="Arial"/>
      <w:szCs w:val="24"/>
      <w:lang w:eastAsia="fr-CA"/>
    </w:rPr>
  </w:style>
  <w:style w:type="paragraph" w:customStyle="1" w:styleId="page1">
    <w:name w:val="page1"/>
    <w:basedOn w:val="Normal"/>
    <w:rsid w:val="0071502D"/>
    <w:pPr>
      <w:spacing w:before="100" w:beforeAutospacing="1" w:after="100" w:afterAutospacing="1"/>
    </w:pPr>
    <w:rPr>
      <w:rFonts w:ascii="Arial" w:hAnsi="Arial" w:cs="Arial"/>
      <w:i/>
      <w:iCs/>
      <w:sz w:val="20"/>
      <w:lang w:eastAsia="fr-CA"/>
    </w:rPr>
  </w:style>
  <w:style w:type="character" w:customStyle="1" w:styleId="highlight">
    <w:name w:val="highlight"/>
    <w:basedOn w:val="DefaultParagraphFont"/>
    <w:rsid w:val="0071502D"/>
  </w:style>
  <w:style w:type="paragraph" w:customStyle="1" w:styleId="lastupdate">
    <w:name w:val="lastupdate"/>
    <w:basedOn w:val="Normal"/>
    <w:rsid w:val="0071502D"/>
    <w:pPr>
      <w:spacing w:after="240"/>
    </w:pPr>
    <w:rPr>
      <w:szCs w:val="24"/>
      <w:lang w:eastAsia="fr-CA"/>
    </w:rPr>
  </w:style>
  <w:style w:type="table" w:customStyle="1" w:styleId="TableGrid1">
    <w:name w:val="Table Grid1"/>
    <w:basedOn w:val="TableNormal"/>
    <w:next w:val="TableGrid"/>
    <w:uiPriority w:val="59"/>
    <w:rsid w:val="0040706D"/>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5EAA5-3BFD-4039-B024-75C90E9E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12301</Words>
  <Characters>64309</Characters>
  <Application>Microsoft Office Word</Application>
  <DocSecurity>0</DocSecurity>
  <Lines>535</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2012-10-18T18:54:00Z</dcterms:created>
  <dcterms:modified xsi:type="dcterms:W3CDTF">2013-04-08T21:16:00Z</dcterms:modified>
</cp:coreProperties>
</file>