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BD" w:rsidRPr="00F22AF0" w:rsidRDefault="00D634BD" w:rsidP="00D634BD">
      <w:pPr>
        <w:tabs>
          <w:tab w:val="center" w:pos="4680"/>
          <w:tab w:val="right" w:pos="9360"/>
        </w:tabs>
        <w:jc w:val="center"/>
        <w:rPr>
          <w:rFonts w:eastAsiaTheme="minorHAnsi" w:cstheme="minorBidi"/>
          <w:szCs w:val="24"/>
          <w:lang w:val="fr-CA" w:eastAsia="en-US"/>
        </w:rPr>
      </w:pPr>
      <w:r w:rsidRPr="00F22AF0">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26946088" r:id="rId8"/>
        </w:object>
      </w:r>
    </w:p>
    <w:p w:rsidR="00D634BD" w:rsidRPr="00F22AF0" w:rsidRDefault="00D634BD" w:rsidP="00D634BD">
      <w:pPr>
        <w:tabs>
          <w:tab w:val="center" w:pos="4680"/>
          <w:tab w:val="right" w:pos="9360"/>
        </w:tabs>
        <w:rPr>
          <w:rFonts w:eastAsiaTheme="minorHAnsi" w:cstheme="minorBidi"/>
          <w:szCs w:val="24"/>
          <w:lang w:val="fr-CA" w:eastAsia="en-US"/>
        </w:rPr>
      </w:pPr>
    </w:p>
    <w:p w:rsidR="00D634BD" w:rsidRPr="00F22AF0" w:rsidRDefault="00D634BD" w:rsidP="00D634BD">
      <w:pPr>
        <w:jc w:val="center"/>
        <w:rPr>
          <w:rFonts w:eastAsiaTheme="minorHAnsi" w:cstheme="minorBidi"/>
          <w:b/>
          <w:szCs w:val="24"/>
          <w:lang w:val="fr-CA" w:eastAsia="en-US"/>
        </w:rPr>
      </w:pPr>
      <w:r w:rsidRPr="00F22AF0">
        <w:rPr>
          <w:rFonts w:eastAsiaTheme="minorHAnsi" w:cstheme="minorBidi"/>
          <w:b/>
          <w:szCs w:val="24"/>
          <w:lang w:val="fr-CA" w:eastAsia="en-US"/>
        </w:rPr>
        <w:t>COUR SUPRÊME DU CANADA</w:t>
      </w:r>
    </w:p>
    <w:p w:rsidR="00D634BD" w:rsidRPr="00F22AF0" w:rsidRDefault="00D634BD" w:rsidP="00D634BD">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634BD" w:rsidRPr="00F22AF0" w:rsidTr="002F6440">
        <w:trPr>
          <w:cantSplit/>
        </w:trPr>
        <w:tc>
          <w:tcPr>
            <w:tcW w:w="6768" w:type="dxa"/>
          </w:tcPr>
          <w:p w:rsidR="00D634BD" w:rsidRPr="00D634BD" w:rsidRDefault="00D634BD" w:rsidP="002F6440">
            <w:pPr>
              <w:rPr>
                <w:lang w:val="fr-CA"/>
              </w:rPr>
            </w:pPr>
            <w:r w:rsidRPr="00F22AF0">
              <w:rPr>
                <w:b/>
                <w:smallCaps/>
                <w:lang w:val="fr-CA"/>
              </w:rPr>
              <w:t>Référence :</w:t>
            </w:r>
            <w:r w:rsidRPr="00F22AF0">
              <w:rPr>
                <w:lang w:val="fr-CA"/>
              </w:rPr>
              <w:t xml:space="preserve"> Canada </w:t>
            </w:r>
            <w:r w:rsidRPr="00F22AF0">
              <w:rPr>
                <w:i/>
                <w:lang w:val="fr-CA"/>
              </w:rPr>
              <w:t>c.</w:t>
            </w:r>
            <w:r w:rsidRPr="00F22AF0">
              <w:rPr>
                <w:lang w:val="fr-CA"/>
              </w:rPr>
              <w:t xml:space="preserve"> GlaxoSmithKline Inc., </w:t>
            </w:r>
            <w:r w:rsidRPr="00D634BD">
              <w:rPr>
                <w:lang w:val="fr-CA"/>
              </w:rPr>
              <w:t>2012 CSC 52, [2012] 3 R.C.S. 3</w:t>
            </w:r>
          </w:p>
        </w:tc>
        <w:tc>
          <w:tcPr>
            <w:tcW w:w="2808" w:type="dxa"/>
          </w:tcPr>
          <w:p w:rsidR="00D634BD" w:rsidRPr="00F22AF0" w:rsidRDefault="00D634BD" w:rsidP="002F6440">
            <w:pPr>
              <w:rPr>
                <w:lang w:val="fr-CA"/>
              </w:rPr>
            </w:pPr>
            <w:r w:rsidRPr="00F22AF0">
              <w:rPr>
                <w:b/>
                <w:smallCaps/>
                <w:lang w:val="fr-CA"/>
              </w:rPr>
              <w:t>Date :</w:t>
            </w:r>
            <w:r w:rsidRPr="00F22AF0">
              <w:rPr>
                <w:lang w:val="fr-CA"/>
              </w:rPr>
              <w:t xml:space="preserve"> 20121018</w:t>
            </w:r>
          </w:p>
          <w:p w:rsidR="00D634BD" w:rsidRPr="00F22AF0" w:rsidRDefault="00D634BD" w:rsidP="002F6440">
            <w:pPr>
              <w:rPr>
                <w:lang w:val="fr-CA"/>
              </w:rPr>
            </w:pPr>
            <w:r w:rsidRPr="00F22AF0">
              <w:rPr>
                <w:b/>
                <w:smallCaps/>
                <w:lang w:val="fr-CA"/>
              </w:rPr>
              <w:t>Dossier :</w:t>
            </w:r>
            <w:r w:rsidRPr="00F22AF0">
              <w:rPr>
                <w:lang w:val="fr-CA"/>
              </w:rPr>
              <w:t xml:space="preserve"> 33874</w:t>
            </w:r>
          </w:p>
        </w:tc>
      </w:tr>
    </w:tbl>
    <w:p w:rsidR="00D634BD" w:rsidRPr="00F22AF0" w:rsidRDefault="00D634BD" w:rsidP="00D634BD">
      <w:pPr>
        <w:rPr>
          <w:rFonts w:eastAsiaTheme="minorHAnsi" w:cstheme="minorBidi"/>
          <w:szCs w:val="24"/>
          <w:lang w:val="fr-CA" w:eastAsia="en-US"/>
        </w:rPr>
      </w:pPr>
    </w:p>
    <w:p w:rsidR="00D634BD" w:rsidRPr="00F22AF0" w:rsidRDefault="00D634BD" w:rsidP="00D634BD">
      <w:pPr>
        <w:rPr>
          <w:rFonts w:eastAsiaTheme="minorHAnsi" w:cstheme="minorBidi"/>
          <w:b/>
          <w:smallCaps/>
          <w:szCs w:val="24"/>
          <w:lang w:val="fr-CA" w:eastAsia="en-US"/>
        </w:rPr>
      </w:pPr>
      <w:r w:rsidRPr="00F22AF0">
        <w:rPr>
          <w:rFonts w:eastAsiaTheme="minorHAnsi" w:cstheme="minorBidi"/>
          <w:b/>
          <w:smallCaps/>
          <w:szCs w:val="24"/>
          <w:lang w:val="fr-CA" w:eastAsia="en-US"/>
        </w:rPr>
        <w:t>Entre :</w:t>
      </w:r>
    </w:p>
    <w:p w:rsidR="00D634BD" w:rsidRPr="00F22AF0" w:rsidRDefault="00D634BD" w:rsidP="00D634BD">
      <w:pPr>
        <w:jc w:val="center"/>
        <w:rPr>
          <w:rFonts w:eastAsiaTheme="minorHAnsi" w:cstheme="minorBidi"/>
          <w:b/>
          <w:szCs w:val="24"/>
          <w:lang w:val="fr-CA" w:eastAsia="en-US"/>
        </w:rPr>
      </w:pPr>
      <w:r w:rsidRPr="00F22AF0">
        <w:rPr>
          <w:rFonts w:eastAsiaTheme="minorHAnsi" w:cstheme="minorBidi"/>
          <w:b/>
          <w:szCs w:val="24"/>
          <w:lang w:val="fr-CA" w:eastAsia="en-US"/>
        </w:rPr>
        <w:t>Sa Majesté la Reine</w:t>
      </w:r>
    </w:p>
    <w:p w:rsidR="00D634BD" w:rsidRPr="00F22AF0" w:rsidRDefault="00D634BD" w:rsidP="00D634BD">
      <w:pPr>
        <w:jc w:val="center"/>
        <w:rPr>
          <w:rFonts w:eastAsiaTheme="minorHAnsi" w:cstheme="minorBidi"/>
          <w:szCs w:val="24"/>
          <w:lang w:val="fr-CA" w:eastAsia="en-US"/>
        </w:rPr>
      </w:pPr>
      <w:r w:rsidRPr="00F22AF0">
        <w:rPr>
          <w:rFonts w:eastAsiaTheme="minorHAnsi" w:cstheme="minorBidi"/>
          <w:szCs w:val="24"/>
          <w:lang w:val="fr-CA" w:eastAsia="en-US"/>
        </w:rPr>
        <w:t>Appelante/Intimée au pourvoi incident</w:t>
      </w:r>
    </w:p>
    <w:p w:rsidR="00D634BD" w:rsidRPr="00F22AF0" w:rsidRDefault="00D634BD" w:rsidP="00D634BD">
      <w:pPr>
        <w:jc w:val="center"/>
        <w:rPr>
          <w:rFonts w:eastAsiaTheme="minorHAnsi" w:cstheme="minorBidi"/>
          <w:szCs w:val="24"/>
          <w:lang w:val="fr-CA" w:eastAsia="en-US"/>
        </w:rPr>
      </w:pPr>
      <w:proofErr w:type="gramStart"/>
      <w:r w:rsidRPr="00F22AF0">
        <w:rPr>
          <w:rFonts w:eastAsiaTheme="minorHAnsi" w:cstheme="minorBidi"/>
          <w:szCs w:val="24"/>
          <w:lang w:val="fr-CA" w:eastAsia="en-US"/>
        </w:rPr>
        <w:t>et</w:t>
      </w:r>
      <w:proofErr w:type="gramEnd"/>
    </w:p>
    <w:p w:rsidR="00D634BD" w:rsidRPr="00F22AF0" w:rsidRDefault="00D634BD" w:rsidP="00D634BD">
      <w:pPr>
        <w:jc w:val="center"/>
        <w:rPr>
          <w:rFonts w:eastAsiaTheme="minorHAnsi" w:cstheme="minorBidi"/>
          <w:b/>
          <w:szCs w:val="24"/>
          <w:lang w:val="fr-CA" w:eastAsia="en-US"/>
        </w:rPr>
      </w:pPr>
      <w:r w:rsidRPr="00F22AF0">
        <w:rPr>
          <w:rFonts w:eastAsiaTheme="minorHAnsi" w:cstheme="minorBidi"/>
          <w:b/>
          <w:szCs w:val="24"/>
          <w:lang w:val="fr-CA" w:eastAsia="en-US"/>
        </w:rPr>
        <w:t>GlaxoSmithKline Inc.</w:t>
      </w:r>
    </w:p>
    <w:p w:rsidR="00D634BD" w:rsidRPr="00F22AF0" w:rsidRDefault="00D634BD" w:rsidP="00D634BD">
      <w:pPr>
        <w:jc w:val="center"/>
        <w:rPr>
          <w:rFonts w:eastAsiaTheme="minorHAnsi" w:cstheme="minorBidi"/>
          <w:szCs w:val="24"/>
          <w:lang w:val="fr-CA" w:eastAsia="en-US"/>
        </w:rPr>
      </w:pPr>
      <w:r w:rsidRPr="00F22AF0">
        <w:rPr>
          <w:rFonts w:eastAsiaTheme="minorHAnsi" w:cstheme="minorBidi"/>
          <w:szCs w:val="24"/>
          <w:lang w:val="fr-CA" w:eastAsia="en-US"/>
        </w:rPr>
        <w:t>Intimée/Appelante au pourvoi incident</w:t>
      </w:r>
    </w:p>
    <w:p w:rsidR="00D634BD" w:rsidRPr="00F22AF0" w:rsidRDefault="00D634BD" w:rsidP="00D634BD">
      <w:pPr>
        <w:rPr>
          <w:rFonts w:eastAsiaTheme="minorHAnsi" w:cstheme="minorBidi"/>
          <w:szCs w:val="24"/>
          <w:lang w:val="fr-CA" w:eastAsia="en-US"/>
        </w:rPr>
      </w:pPr>
    </w:p>
    <w:p w:rsidR="00D634BD" w:rsidRPr="00F22AF0" w:rsidRDefault="00D634BD" w:rsidP="00D634BD">
      <w:pPr>
        <w:rPr>
          <w:rFonts w:eastAsiaTheme="minorHAnsi" w:cstheme="minorBidi"/>
          <w:szCs w:val="24"/>
          <w:lang w:val="fr-CA" w:eastAsia="en-US"/>
        </w:rPr>
      </w:pPr>
    </w:p>
    <w:p w:rsidR="00D634BD" w:rsidRPr="00F22AF0" w:rsidRDefault="00D634BD" w:rsidP="00D634BD">
      <w:pPr>
        <w:jc w:val="center"/>
        <w:rPr>
          <w:rFonts w:eastAsiaTheme="minorHAnsi" w:cstheme="minorBidi"/>
          <w:b/>
          <w:smallCaps/>
          <w:szCs w:val="24"/>
          <w:lang w:val="fr-CA" w:eastAsia="en-US"/>
        </w:rPr>
      </w:pPr>
      <w:r w:rsidRPr="00F22AF0">
        <w:rPr>
          <w:rFonts w:eastAsiaTheme="minorHAnsi" w:cstheme="minorBidi"/>
          <w:b/>
          <w:smallCaps/>
          <w:szCs w:val="24"/>
          <w:lang w:val="fr-CA" w:eastAsia="en-US"/>
        </w:rPr>
        <w:t>Traduction française officielle</w:t>
      </w:r>
    </w:p>
    <w:p w:rsidR="00D634BD" w:rsidRPr="00F22AF0" w:rsidRDefault="00D634BD" w:rsidP="00D634BD">
      <w:pPr>
        <w:rPr>
          <w:rFonts w:eastAsiaTheme="minorHAnsi" w:cstheme="minorBidi"/>
          <w:szCs w:val="24"/>
          <w:lang w:val="fr-CA" w:eastAsia="en-US"/>
        </w:rPr>
      </w:pPr>
    </w:p>
    <w:p w:rsidR="00D634BD" w:rsidRPr="00F22AF0" w:rsidRDefault="00D634BD" w:rsidP="00D634BD">
      <w:pPr>
        <w:rPr>
          <w:rFonts w:eastAsiaTheme="minorHAnsi" w:cstheme="minorBidi"/>
          <w:szCs w:val="24"/>
          <w:lang w:val="fr-CA" w:eastAsia="en-US"/>
        </w:rPr>
      </w:pPr>
      <w:r w:rsidRPr="00F22AF0">
        <w:rPr>
          <w:rFonts w:eastAsiaTheme="minorHAnsi" w:cstheme="minorBidi"/>
          <w:b/>
          <w:smallCaps/>
          <w:szCs w:val="24"/>
          <w:lang w:val="fr-CA" w:eastAsia="en-US"/>
        </w:rPr>
        <w:t>Coram :</w:t>
      </w:r>
      <w:r w:rsidRPr="00F22AF0">
        <w:rPr>
          <w:rFonts w:eastAsiaTheme="minorHAnsi" w:cstheme="minorBidi"/>
          <w:szCs w:val="24"/>
          <w:lang w:val="fr-CA" w:eastAsia="en-US"/>
        </w:rPr>
        <w:t xml:space="preserve"> La juge en chef </w:t>
      </w:r>
      <w:proofErr w:type="spellStart"/>
      <w:r w:rsidRPr="00F22AF0">
        <w:rPr>
          <w:rFonts w:eastAsiaTheme="minorHAnsi" w:cstheme="minorBidi"/>
          <w:szCs w:val="24"/>
          <w:lang w:val="fr-CA" w:eastAsia="en-US"/>
        </w:rPr>
        <w:t>McLachlin</w:t>
      </w:r>
      <w:proofErr w:type="spellEnd"/>
      <w:r w:rsidRPr="00F22AF0">
        <w:rPr>
          <w:rFonts w:eastAsiaTheme="minorHAnsi" w:cstheme="minorBidi"/>
          <w:szCs w:val="24"/>
          <w:lang w:val="fr-CA" w:eastAsia="en-US"/>
        </w:rPr>
        <w:t xml:space="preserve"> et les juges Deschamps, Abella, </w:t>
      </w:r>
      <w:proofErr w:type="spellStart"/>
      <w:r w:rsidRPr="00F22AF0">
        <w:rPr>
          <w:rFonts w:eastAsiaTheme="minorHAnsi" w:cstheme="minorBidi"/>
          <w:szCs w:val="24"/>
          <w:lang w:val="fr-CA" w:eastAsia="en-US"/>
        </w:rPr>
        <w:t>Rothstein</w:t>
      </w:r>
      <w:proofErr w:type="spellEnd"/>
      <w:r w:rsidRPr="00F22AF0">
        <w:rPr>
          <w:rFonts w:eastAsiaTheme="minorHAnsi" w:cstheme="minorBidi"/>
          <w:szCs w:val="24"/>
          <w:lang w:val="fr-CA" w:eastAsia="en-US"/>
        </w:rPr>
        <w:t xml:space="preserve">, Cromwell, </w:t>
      </w:r>
      <w:proofErr w:type="spellStart"/>
      <w:r w:rsidRPr="00F22AF0">
        <w:rPr>
          <w:rFonts w:eastAsiaTheme="minorHAnsi" w:cstheme="minorBidi"/>
          <w:szCs w:val="24"/>
          <w:lang w:val="fr-CA" w:eastAsia="en-US"/>
        </w:rPr>
        <w:t>Moldaver</w:t>
      </w:r>
      <w:proofErr w:type="spellEnd"/>
      <w:r w:rsidRPr="00F22AF0">
        <w:rPr>
          <w:rFonts w:eastAsiaTheme="minorHAnsi" w:cstheme="minorBidi"/>
          <w:szCs w:val="24"/>
          <w:lang w:val="fr-CA" w:eastAsia="en-US"/>
        </w:rPr>
        <w:t xml:space="preserve"> et </w:t>
      </w:r>
      <w:proofErr w:type="spellStart"/>
      <w:r w:rsidRPr="00F22AF0">
        <w:rPr>
          <w:rFonts w:eastAsiaTheme="minorHAnsi" w:cstheme="minorBidi"/>
          <w:szCs w:val="24"/>
          <w:lang w:val="fr-CA" w:eastAsia="en-US"/>
        </w:rPr>
        <w:t>Karakatsanis</w:t>
      </w:r>
      <w:proofErr w:type="spellEnd"/>
    </w:p>
    <w:p w:rsidR="00D634BD" w:rsidRPr="00F22AF0" w:rsidRDefault="00D634BD" w:rsidP="00D634BD">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634BD" w:rsidRPr="00824608" w:rsidTr="002F6440">
        <w:trPr>
          <w:cantSplit/>
        </w:trPr>
        <w:tc>
          <w:tcPr>
            <w:tcW w:w="3618" w:type="dxa"/>
          </w:tcPr>
          <w:p w:rsidR="00D634BD" w:rsidRPr="00F22AF0" w:rsidRDefault="00D634BD" w:rsidP="002F6440">
            <w:pPr>
              <w:rPr>
                <w:b/>
                <w:smallCaps/>
                <w:lang w:val="fr-CA"/>
              </w:rPr>
            </w:pPr>
            <w:r w:rsidRPr="00F22AF0">
              <w:rPr>
                <w:b/>
                <w:smallCaps/>
                <w:lang w:val="fr-CA"/>
              </w:rPr>
              <w:t>Motifs de jugement :</w:t>
            </w:r>
          </w:p>
          <w:p w:rsidR="00D634BD" w:rsidRPr="00F22AF0" w:rsidRDefault="00D634BD" w:rsidP="002F6440">
            <w:pPr>
              <w:rPr>
                <w:lang w:val="fr-CA"/>
              </w:rPr>
            </w:pPr>
            <w:r w:rsidRPr="00F22AF0">
              <w:rPr>
                <w:lang w:val="fr-CA"/>
              </w:rPr>
              <w:t>(par. 1 à 77)</w:t>
            </w:r>
          </w:p>
        </w:tc>
        <w:tc>
          <w:tcPr>
            <w:tcW w:w="5958" w:type="dxa"/>
          </w:tcPr>
          <w:p w:rsidR="00D634BD" w:rsidRPr="00F22AF0" w:rsidRDefault="00D634BD" w:rsidP="002F6440">
            <w:pPr>
              <w:rPr>
                <w:lang w:val="fr-CA"/>
              </w:rPr>
            </w:pPr>
            <w:r w:rsidRPr="00F22AF0">
              <w:rPr>
                <w:lang w:val="fr-CA"/>
              </w:rPr>
              <w:t xml:space="preserve">Le juge </w:t>
            </w:r>
            <w:proofErr w:type="spellStart"/>
            <w:r w:rsidRPr="00F22AF0">
              <w:rPr>
                <w:lang w:val="fr-CA"/>
              </w:rPr>
              <w:t>Rothstein</w:t>
            </w:r>
            <w:proofErr w:type="spellEnd"/>
            <w:r w:rsidRPr="00F22AF0">
              <w:rPr>
                <w:lang w:val="fr-CA"/>
              </w:rPr>
              <w:t xml:space="preserve"> (avec l’accord de la juge en chef </w:t>
            </w:r>
            <w:proofErr w:type="spellStart"/>
            <w:r w:rsidRPr="00F22AF0">
              <w:rPr>
                <w:lang w:val="fr-CA"/>
              </w:rPr>
              <w:t>McLachlin</w:t>
            </w:r>
            <w:proofErr w:type="spellEnd"/>
            <w:r w:rsidRPr="00F22AF0">
              <w:rPr>
                <w:lang w:val="fr-CA"/>
              </w:rPr>
              <w:t xml:space="preserve"> et des juges Deschamps, Abella, Cromwell, </w:t>
            </w:r>
            <w:proofErr w:type="spellStart"/>
            <w:r w:rsidRPr="00F22AF0">
              <w:rPr>
                <w:lang w:val="fr-CA"/>
              </w:rPr>
              <w:t>Moldaver</w:t>
            </w:r>
            <w:proofErr w:type="spellEnd"/>
            <w:r w:rsidRPr="00F22AF0">
              <w:rPr>
                <w:lang w:val="fr-CA"/>
              </w:rPr>
              <w:t xml:space="preserve"> et </w:t>
            </w:r>
            <w:proofErr w:type="spellStart"/>
            <w:r w:rsidRPr="00F22AF0">
              <w:rPr>
                <w:lang w:val="fr-CA"/>
              </w:rPr>
              <w:t>Karakatsanis</w:t>
            </w:r>
            <w:proofErr w:type="spellEnd"/>
            <w:r w:rsidRPr="00F22AF0">
              <w:rPr>
                <w:lang w:val="fr-CA"/>
              </w:rPr>
              <w:t>)</w:t>
            </w:r>
          </w:p>
        </w:tc>
      </w:tr>
    </w:tbl>
    <w:p w:rsidR="00D634BD" w:rsidRPr="00F22AF0" w:rsidRDefault="00D634BD" w:rsidP="00D634BD">
      <w:pPr>
        <w:rPr>
          <w:rFonts w:eastAsiaTheme="minorHAnsi" w:cstheme="minorBidi"/>
          <w:szCs w:val="24"/>
          <w:lang w:val="fr-CA" w:eastAsia="en-US"/>
        </w:rPr>
      </w:pPr>
    </w:p>
    <w:p w:rsidR="00D634BD" w:rsidRPr="00F22AF0" w:rsidRDefault="00D634BD" w:rsidP="00D634BD">
      <w:pPr>
        <w:rPr>
          <w:rFonts w:eastAsiaTheme="minorHAnsi" w:cstheme="minorBidi"/>
          <w:szCs w:val="24"/>
          <w:lang w:val="fr-CA" w:eastAsia="en-US"/>
        </w:rPr>
      </w:pPr>
    </w:p>
    <w:p w:rsidR="00D634BD" w:rsidRPr="00F22AF0" w:rsidRDefault="00D634BD" w:rsidP="00D634BD">
      <w:pPr>
        <w:rPr>
          <w:rFonts w:eastAsiaTheme="minorHAnsi" w:cstheme="minorBidi"/>
          <w:szCs w:val="24"/>
          <w:lang w:val="fr-CA" w:eastAsia="en-US"/>
        </w:rPr>
      </w:pPr>
    </w:p>
    <w:p w:rsidR="00D634BD" w:rsidRPr="00F22AF0" w:rsidRDefault="00D634BD" w:rsidP="00D634BD">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634BD" w:rsidRPr="00F22AF0" w:rsidRDefault="00D634BD" w:rsidP="00D634BD">
      <w:pPr>
        <w:rPr>
          <w:smallCaps/>
          <w:lang w:val="fr-CA"/>
        </w:rPr>
      </w:pPr>
      <w:r w:rsidRPr="00F22AF0">
        <w:rPr>
          <w:smallCaps/>
          <w:lang w:val="fr-CA"/>
        </w:rPr>
        <w:br w:type="page"/>
      </w:r>
    </w:p>
    <w:p w:rsidR="00FA4E93" w:rsidRPr="00FA4E93" w:rsidRDefault="00FA4E93" w:rsidP="00FA4E93">
      <w:pPr>
        <w:pStyle w:val="SCCLsocLastPartyInRole"/>
        <w:rPr>
          <w:b w:val="0"/>
        </w:rPr>
      </w:pPr>
      <w:r w:rsidRPr="00FA4E93">
        <w:rPr>
          <w:b w:val="0"/>
        </w:rPr>
        <w:lastRenderedPageBreak/>
        <w:t xml:space="preserve">Canada </w:t>
      </w:r>
      <w:r>
        <w:rPr>
          <w:b w:val="0"/>
          <w:i/>
        </w:rPr>
        <w:t>c</w:t>
      </w:r>
      <w:r w:rsidRPr="00FA4E93">
        <w:rPr>
          <w:b w:val="0"/>
          <w:i/>
        </w:rPr>
        <w:t>.</w:t>
      </w:r>
      <w:r w:rsidR="008A00B7">
        <w:rPr>
          <w:b w:val="0"/>
        </w:rPr>
        <w:t xml:space="preserve"> GlaxoSmithK</w:t>
      </w:r>
      <w:r w:rsidRPr="00FA4E93">
        <w:rPr>
          <w:b w:val="0"/>
        </w:rPr>
        <w:t xml:space="preserve">line </w:t>
      </w:r>
      <w:r>
        <w:rPr>
          <w:b w:val="0"/>
        </w:rPr>
        <w:t>I</w:t>
      </w:r>
      <w:r w:rsidRPr="00FA4E93">
        <w:rPr>
          <w:b w:val="0"/>
        </w:rPr>
        <w:t>nc.</w:t>
      </w:r>
      <w:r>
        <w:rPr>
          <w:b w:val="0"/>
        </w:rPr>
        <w:t xml:space="preserve">, 2012 </w:t>
      </w:r>
      <w:r w:rsidRPr="00FA4E93">
        <w:rPr>
          <w:b w:val="0"/>
        </w:rPr>
        <w:t>C</w:t>
      </w:r>
      <w:r>
        <w:rPr>
          <w:b w:val="0"/>
        </w:rPr>
        <w:t>SC 52, [2012] 3 R.C.S</w:t>
      </w:r>
      <w:r w:rsidRPr="00FA4E93">
        <w:rPr>
          <w:b w:val="0"/>
        </w:rPr>
        <w:t>. 3</w:t>
      </w:r>
    </w:p>
    <w:p w:rsidR="00FA606A" w:rsidRPr="00ED2722" w:rsidRDefault="00CF2A09" w:rsidP="00E80CAD">
      <w:pPr>
        <w:pStyle w:val="SCCLsocLastPartyInRole"/>
        <w:rPr>
          <w:lang w:val="fr-CA"/>
        </w:rPr>
      </w:pPr>
      <w:r w:rsidRPr="00ED2722">
        <w:rPr>
          <w:lang w:val="fr-CA"/>
        </w:rPr>
        <w:t>Sa Majesté la Reine</w:t>
      </w:r>
      <w:r w:rsidRPr="00ED2722">
        <w:rPr>
          <w:rStyle w:val="SCCLsocPartyRole"/>
          <w:lang w:val="fr-CA"/>
        </w:rPr>
        <w:tab/>
        <w:t xml:space="preserve">Appelante/Intimée </w:t>
      </w:r>
      <w:r w:rsidR="0018116C" w:rsidRPr="00ED2722">
        <w:rPr>
          <w:rStyle w:val="SCCLsocPartyRole"/>
          <w:lang w:val="fr-CA"/>
        </w:rPr>
        <w:t>au pourvoi</w:t>
      </w:r>
      <w:r w:rsidRPr="00ED2722">
        <w:rPr>
          <w:rStyle w:val="SCCLsocPartyRole"/>
          <w:lang w:val="fr-CA"/>
        </w:rPr>
        <w:t xml:space="preserve"> incident</w:t>
      </w:r>
    </w:p>
    <w:p w:rsidR="00FA606A" w:rsidRPr="00ED2722" w:rsidRDefault="00CF2A09" w:rsidP="00E80CAD">
      <w:pPr>
        <w:pStyle w:val="SCCLsocVersus"/>
        <w:rPr>
          <w:lang w:val="fr-CA"/>
        </w:rPr>
      </w:pPr>
      <w:proofErr w:type="gramStart"/>
      <w:r w:rsidRPr="00ED2722">
        <w:rPr>
          <w:lang w:val="fr-CA"/>
        </w:rPr>
        <w:t>c</w:t>
      </w:r>
      <w:proofErr w:type="gramEnd"/>
      <w:r w:rsidRPr="00ED2722">
        <w:rPr>
          <w:lang w:val="fr-CA"/>
        </w:rPr>
        <w:t>.</w:t>
      </w:r>
    </w:p>
    <w:p w:rsidR="00FA606A" w:rsidRPr="00ED2722" w:rsidRDefault="00CF2A09" w:rsidP="00E80CAD">
      <w:pPr>
        <w:pStyle w:val="SCCLsocLastPartyInRole"/>
        <w:rPr>
          <w:lang w:val="fr-CA"/>
        </w:rPr>
      </w:pPr>
      <w:r w:rsidRPr="00ED2722">
        <w:rPr>
          <w:lang w:val="fr-CA"/>
        </w:rPr>
        <w:t>GlaxoSmithKline Inc.</w:t>
      </w:r>
      <w:r w:rsidRPr="00ED2722">
        <w:rPr>
          <w:rStyle w:val="SCCLsocPartyRole"/>
          <w:lang w:val="fr-CA"/>
        </w:rPr>
        <w:tab/>
        <w:t xml:space="preserve">Intimée/Appelante </w:t>
      </w:r>
      <w:r w:rsidR="0018116C" w:rsidRPr="00ED2722">
        <w:rPr>
          <w:rStyle w:val="SCCLsocPartyRole"/>
          <w:lang w:val="fr-CA"/>
        </w:rPr>
        <w:t>au pourvoi</w:t>
      </w:r>
      <w:r w:rsidRPr="00ED2722">
        <w:rPr>
          <w:rStyle w:val="SCCLsocPartyRole"/>
          <w:lang w:val="fr-CA"/>
        </w:rPr>
        <w:t xml:space="preserve"> incident</w:t>
      </w:r>
    </w:p>
    <w:p w:rsidR="004D7D95" w:rsidRPr="00ED2722" w:rsidRDefault="004D7D95" w:rsidP="00E80CAD">
      <w:pPr>
        <w:spacing w:after="720"/>
        <w:jc w:val="both"/>
        <w:rPr>
          <w:b/>
          <w:lang w:val="fr-CA"/>
        </w:rPr>
      </w:pPr>
      <w:r w:rsidRPr="00ED2722">
        <w:rPr>
          <w:b/>
          <w:lang w:val="fr-CA"/>
        </w:rPr>
        <w:t>Répertorié</w:t>
      </w:r>
      <w:r w:rsidR="001E451F" w:rsidRPr="00ED2722">
        <w:rPr>
          <w:b/>
          <w:lang w:val="fr-CA"/>
        </w:rPr>
        <w:t> :</w:t>
      </w:r>
      <w:r w:rsidRPr="00ED2722">
        <w:rPr>
          <w:b/>
          <w:lang w:val="fr-CA"/>
        </w:rPr>
        <w:t> </w:t>
      </w:r>
      <w:r w:rsidR="0018116C" w:rsidRPr="00ED2722">
        <w:rPr>
          <w:b/>
          <w:lang w:val="fr-CA"/>
        </w:rPr>
        <w:t>Canada</w:t>
      </w:r>
      <w:r w:rsidRPr="00ED2722">
        <w:rPr>
          <w:b/>
          <w:lang w:val="fr-CA"/>
        </w:rPr>
        <w:t xml:space="preserve"> </w:t>
      </w:r>
      <w:r w:rsidRPr="00ED2722">
        <w:rPr>
          <w:b/>
          <w:i/>
          <w:lang w:val="fr-CA"/>
        </w:rPr>
        <w:t>c.</w:t>
      </w:r>
      <w:r w:rsidRPr="00ED2722">
        <w:rPr>
          <w:b/>
          <w:lang w:val="fr-CA"/>
        </w:rPr>
        <w:t xml:space="preserve"> GlaxoSmithKline Inc.</w:t>
      </w:r>
    </w:p>
    <w:p w:rsidR="004D7D95" w:rsidRPr="00ED2722" w:rsidRDefault="00F62639" w:rsidP="00E80CAD">
      <w:pPr>
        <w:pStyle w:val="SCCSystemYear"/>
        <w:spacing w:after="720"/>
        <w:jc w:val="both"/>
        <w:rPr>
          <w:lang w:val="fr-CA"/>
        </w:rPr>
      </w:pPr>
      <w:r w:rsidRPr="00ED2722">
        <w:rPr>
          <w:lang w:val="fr-CA"/>
        </w:rPr>
        <w:t>2012</w:t>
      </w:r>
      <w:r w:rsidR="00192276" w:rsidRPr="00ED2722">
        <w:rPr>
          <w:lang w:val="fr-CA"/>
        </w:rPr>
        <w:t xml:space="preserve"> CSC 5</w:t>
      </w:r>
      <w:r w:rsidR="005B3D2E" w:rsidRPr="00ED2722">
        <w:rPr>
          <w:lang w:val="fr-CA"/>
        </w:rPr>
        <w:t>2</w:t>
      </w:r>
    </w:p>
    <w:p w:rsidR="004D7D95" w:rsidRPr="00ED2722" w:rsidRDefault="004D7D95" w:rsidP="00E80CAD">
      <w:pPr>
        <w:spacing w:after="720"/>
        <w:jc w:val="both"/>
        <w:rPr>
          <w:lang w:val="fr-CA"/>
        </w:rPr>
      </w:pPr>
      <w:r w:rsidRPr="00ED2722">
        <w:rPr>
          <w:lang w:val="fr-CA"/>
        </w:rPr>
        <w:t>N</w:t>
      </w:r>
      <w:r w:rsidRPr="00ED2722">
        <w:rPr>
          <w:vertAlign w:val="superscript"/>
          <w:lang w:val="fr-CA"/>
        </w:rPr>
        <w:t>o</w:t>
      </w:r>
      <w:r w:rsidRPr="00ED2722">
        <w:rPr>
          <w:lang w:val="fr-CA"/>
        </w:rPr>
        <w:t xml:space="preserve"> du greffe</w:t>
      </w:r>
      <w:r w:rsidR="001E451F" w:rsidRPr="00ED2722">
        <w:rPr>
          <w:lang w:val="fr-CA"/>
        </w:rPr>
        <w:t> :</w:t>
      </w:r>
      <w:r w:rsidRPr="00ED2722">
        <w:rPr>
          <w:lang w:val="fr-CA"/>
        </w:rPr>
        <w:t> 33874.</w:t>
      </w:r>
    </w:p>
    <w:p w:rsidR="004D7D95" w:rsidRPr="00ED2722" w:rsidRDefault="00F62639" w:rsidP="00E80CAD">
      <w:pPr>
        <w:spacing w:after="720"/>
        <w:jc w:val="both"/>
        <w:rPr>
          <w:lang w:val="fr-CA"/>
        </w:rPr>
      </w:pPr>
      <w:r w:rsidRPr="00ED2722">
        <w:rPr>
          <w:lang w:val="fr-CA"/>
        </w:rPr>
        <w:t>2012</w:t>
      </w:r>
      <w:r w:rsidR="001E451F" w:rsidRPr="00ED2722">
        <w:rPr>
          <w:lang w:val="fr-CA"/>
        </w:rPr>
        <w:t> :</w:t>
      </w:r>
      <w:r w:rsidR="0018116C" w:rsidRPr="00ED2722">
        <w:rPr>
          <w:lang w:val="fr-CA"/>
        </w:rPr>
        <w:t> </w:t>
      </w:r>
      <w:r w:rsidR="00E80CAD" w:rsidRPr="00ED2722">
        <w:rPr>
          <w:lang w:val="fr-CA"/>
        </w:rPr>
        <w:t>13 </w:t>
      </w:r>
      <w:r w:rsidRPr="00ED2722">
        <w:rPr>
          <w:lang w:val="fr-CA"/>
        </w:rPr>
        <w:t>janvier</w:t>
      </w:r>
      <w:r w:rsidR="004D7D95" w:rsidRPr="00ED2722">
        <w:rPr>
          <w:lang w:val="fr-CA"/>
        </w:rPr>
        <w:t xml:space="preserve">; </w:t>
      </w:r>
      <w:r w:rsidR="007A6CBF" w:rsidRPr="00ED2722">
        <w:rPr>
          <w:lang w:val="fr-CA"/>
        </w:rPr>
        <w:t>2012</w:t>
      </w:r>
      <w:r w:rsidR="001E451F" w:rsidRPr="00ED2722">
        <w:rPr>
          <w:lang w:val="fr-CA"/>
        </w:rPr>
        <w:t> :</w:t>
      </w:r>
      <w:r w:rsidR="007A6CBF" w:rsidRPr="00ED2722">
        <w:rPr>
          <w:lang w:val="fr-CA"/>
        </w:rPr>
        <w:t> 18 octobre</w:t>
      </w:r>
      <w:r w:rsidR="004D7D95" w:rsidRPr="00ED2722">
        <w:rPr>
          <w:lang w:val="fr-CA"/>
        </w:rPr>
        <w:t>.</w:t>
      </w:r>
    </w:p>
    <w:p w:rsidR="004D7D95" w:rsidRPr="00ED2722" w:rsidRDefault="004D7D95" w:rsidP="00E80CAD">
      <w:pPr>
        <w:spacing w:after="720"/>
        <w:jc w:val="both"/>
        <w:rPr>
          <w:lang w:val="fr-CA"/>
        </w:rPr>
      </w:pPr>
      <w:r w:rsidRPr="00ED2722">
        <w:rPr>
          <w:lang w:val="fr-CA"/>
        </w:rPr>
        <w:t>Présents</w:t>
      </w:r>
      <w:r w:rsidR="001E451F" w:rsidRPr="00ED2722">
        <w:rPr>
          <w:lang w:val="fr-CA"/>
        </w:rPr>
        <w:t> :</w:t>
      </w:r>
      <w:r w:rsidRPr="00ED2722">
        <w:rPr>
          <w:lang w:val="fr-CA"/>
        </w:rPr>
        <w:t xml:space="preserve"> La juge en chef </w:t>
      </w:r>
      <w:proofErr w:type="spellStart"/>
      <w:r w:rsidRPr="00ED2722">
        <w:rPr>
          <w:lang w:val="fr-CA"/>
        </w:rPr>
        <w:t>McLachlin</w:t>
      </w:r>
      <w:proofErr w:type="spellEnd"/>
      <w:r w:rsidRPr="00ED2722">
        <w:rPr>
          <w:lang w:val="fr-CA"/>
        </w:rPr>
        <w:t xml:space="preserve"> et les juges Deschamps, Abella, </w:t>
      </w:r>
      <w:proofErr w:type="spellStart"/>
      <w:r w:rsidRPr="00ED2722">
        <w:rPr>
          <w:lang w:val="fr-CA"/>
        </w:rPr>
        <w:t>Rothstein</w:t>
      </w:r>
      <w:proofErr w:type="spellEnd"/>
      <w:r w:rsidRPr="00ED2722">
        <w:rPr>
          <w:lang w:val="fr-CA"/>
        </w:rPr>
        <w:t xml:space="preserve">, Cromwell, </w:t>
      </w:r>
      <w:proofErr w:type="spellStart"/>
      <w:r w:rsidRPr="00ED2722">
        <w:rPr>
          <w:lang w:val="fr-CA"/>
        </w:rPr>
        <w:t>Moldaver</w:t>
      </w:r>
      <w:proofErr w:type="spellEnd"/>
      <w:r w:rsidRPr="00ED2722">
        <w:rPr>
          <w:lang w:val="fr-CA"/>
        </w:rPr>
        <w:t xml:space="preserve"> et </w:t>
      </w:r>
      <w:proofErr w:type="spellStart"/>
      <w:r w:rsidRPr="00ED2722">
        <w:rPr>
          <w:lang w:val="fr-CA"/>
        </w:rPr>
        <w:t>Karakatsanis</w:t>
      </w:r>
      <w:proofErr w:type="spellEnd"/>
      <w:r w:rsidRPr="00ED2722">
        <w:rPr>
          <w:lang w:val="fr-CA"/>
        </w:rPr>
        <w:t>.</w:t>
      </w:r>
    </w:p>
    <w:p w:rsidR="004D7D95" w:rsidRPr="00ED2722" w:rsidRDefault="004D7D95" w:rsidP="00E80CAD">
      <w:pPr>
        <w:spacing w:after="480" w:line="480" w:lineRule="auto"/>
        <w:jc w:val="both"/>
        <w:rPr>
          <w:smallCaps/>
          <w:lang w:val="fr-CA"/>
        </w:rPr>
      </w:pPr>
      <w:r w:rsidRPr="00ED2722">
        <w:rPr>
          <w:smallCaps/>
          <w:lang w:val="fr-CA"/>
        </w:rPr>
        <w:t>en appel de la cour d’appel fédérale</w:t>
      </w:r>
    </w:p>
    <w:p w:rsidR="00B913B9" w:rsidRPr="00ED2722" w:rsidRDefault="00B913B9" w:rsidP="001E451F">
      <w:pPr>
        <w:pStyle w:val="SCCNormalDoubleSpacing"/>
        <w:spacing w:after="480"/>
        <w:rPr>
          <w:i/>
          <w:lang w:val="fr-FR"/>
        </w:rPr>
      </w:pPr>
      <w:r w:rsidRPr="00ED2722">
        <w:rPr>
          <w:i/>
          <w:lang w:val="fr-FR"/>
        </w:rPr>
        <w:tab/>
      </w:r>
      <w:r w:rsidR="00BE5CCD" w:rsidRPr="00ED2722">
        <w:rPr>
          <w:i/>
          <w:lang w:val="fr-FR"/>
        </w:rPr>
        <w:t>Droit fiscal</w:t>
      </w:r>
      <w:r w:rsidRPr="00ED2722">
        <w:rPr>
          <w:i/>
          <w:lang w:val="fr-FR"/>
        </w:rPr>
        <w:t xml:space="preserve"> ― I</w:t>
      </w:r>
      <w:r w:rsidR="00BE5CCD" w:rsidRPr="00ED2722">
        <w:rPr>
          <w:i/>
          <w:lang w:val="fr-FR"/>
        </w:rPr>
        <w:t>mpôt sur le revenu</w:t>
      </w:r>
      <w:r w:rsidRPr="00ED2722">
        <w:rPr>
          <w:i/>
          <w:lang w:val="fr-FR"/>
        </w:rPr>
        <w:t xml:space="preserve"> ― </w:t>
      </w:r>
      <w:r w:rsidR="00BE5CCD" w:rsidRPr="00ED2722">
        <w:rPr>
          <w:i/>
          <w:lang w:val="fr-FR"/>
        </w:rPr>
        <w:t>Prix de transfert</w:t>
      </w:r>
      <w:r w:rsidRPr="00ED2722">
        <w:rPr>
          <w:i/>
          <w:lang w:val="fr-FR"/>
        </w:rPr>
        <w:t xml:space="preserve"> ― </w:t>
      </w:r>
      <w:r w:rsidR="00BE5CCD" w:rsidRPr="00ED2722">
        <w:rPr>
          <w:i/>
          <w:lang w:val="fr-FR"/>
        </w:rPr>
        <w:t xml:space="preserve">Fabrication et distribution par un contribuable d’un médicament breveté et portant une marque de commerce </w:t>
      </w:r>
      <w:r w:rsidR="00AA603E" w:rsidRPr="00ED2722">
        <w:rPr>
          <w:i/>
          <w:lang w:val="fr-FR"/>
        </w:rPr>
        <w:t>en vertu d’</w:t>
      </w:r>
      <w:r w:rsidR="00BE5CCD" w:rsidRPr="00ED2722">
        <w:rPr>
          <w:i/>
          <w:lang w:val="fr-FR"/>
        </w:rPr>
        <w:t>un contrat de licence</w:t>
      </w:r>
      <w:r w:rsidRPr="00ED2722">
        <w:rPr>
          <w:i/>
          <w:lang w:val="fr-FR"/>
        </w:rPr>
        <w:t xml:space="preserve"> ― </w:t>
      </w:r>
      <w:r w:rsidR="007E3EEF" w:rsidRPr="00ED2722">
        <w:rPr>
          <w:i/>
          <w:lang w:val="fr-FR"/>
        </w:rPr>
        <w:t>Achat par le contribuable d’un ingr</w:t>
      </w:r>
      <w:r w:rsidR="004369BD" w:rsidRPr="00ED2722">
        <w:rPr>
          <w:i/>
          <w:lang w:val="fr-FR"/>
        </w:rPr>
        <w:t>é</w:t>
      </w:r>
      <w:r w:rsidR="007E3EEF" w:rsidRPr="00ED2722">
        <w:rPr>
          <w:i/>
          <w:lang w:val="fr-FR"/>
        </w:rPr>
        <w:t xml:space="preserve">dient pharmaceutique actif en vertu d’un contrat de fourniture distinct conclu avec une société affiliée </w:t>
      </w:r>
      <w:proofErr w:type="spellStart"/>
      <w:r w:rsidRPr="00ED2722">
        <w:rPr>
          <w:i/>
          <w:lang w:val="fr-FR"/>
        </w:rPr>
        <w:t>non</w:t>
      </w:r>
      <w:r w:rsidR="001E451F" w:rsidRPr="00ED2722">
        <w:rPr>
          <w:i/>
          <w:lang w:val="fr-FR"/>
        </w:rPr>
        <w:noBreakHyphen/>
      </w:r>
      <w:r w:rsidR="007E3EEF" w:rsidRPr="00ED2722">
        <w:rPr>
          <w:i/>
          <w:lang w:val="fr-FR"/>
        </w:rPr>
        <w:t>résidente</w:t>
      </w:r>
      <w:proofErr w:type="spellEnd"/>
      <w:r w:rsidR="007E3EEF" w:rsidRPr="00ED2722">
        <w:rPr>
          <w:i/>
          <w:lang w:val="fr-FR"/>
        </w:rPr>
        <w:t xml:space="preserve"> </w:t>
      </w:r>
      <w:r w:rsidRPr="00ED2722">
        <w:rPr>
          <w:i/>
          <w:lang w:val="fr-FR"/>
        </w:rPr>
        <w:t xml:space="preserve">― </w:t>
      </w:r>
      <w:r w:rsidR="004369BD" w:rsidRPr="00ED2722">
        <w:rPr>
          <w:i/>
          <w:lang w:val="fr-FR"/>
        </w:rPr>
        <w:t xml:space="preserve">Établissement par le ministre du Revenu </w:t>
      </w:r>
      <w:r w:rsidR="004369BD" w:rsidRPr="00ED2722">
        <w:rPr>
          <w:i/>
          <w:lang w:val="fr-FR"/>
        </w:rPr>
        <w:lastRenderedPageBreak/>
        <w:t>national d’une nouvelle cotisation</w:t>
      </w:r>
      <w:r w:rsidR="00AA603E" w:rsidRPr="00ED2722">
        <w:rPr>
          <w:i/>
          <w:lang w:val="fr-FR"/>
        </w:rPr>
        <w:t xml:space="preserve"> </w:t>
      </w:r>
      <w:r w:rsidR="003C1AC9" w:rsidRPr="00ED2722">
        <w:rPr>
          <w:i/>
          <w:lang w:val="fr-FR"/>
        </w:rPr>
        <w:t xml:space="preserve">visant le contribuable et ayant </w:t>
      </w:r>
      <w:r w:rsidR="00AA603E" w:rsidRPr="00ED2722">
        <w:rPr>
          <w:i/>
          <w:lang w:val="fr-FR"/>
        </w:rPr>
        <w:t xml:space="preserve">pour effet d’augmenter </w:t>
      </w:r>
      <w:r w:rsidR="004369BD" w:rsidRPr="00ED2722">
        <w:rPr>
          <w:i/>
          <w:lang w:val="fr-FR"/>
        </w:rPr>
        <w:t xml:space="preserve">le revenu de </w:t>
      </w:r>
      <w:proofErr w:type="spellStart"/>
      <w:r w:rsidR="004369BD" w:rsidRPr="00ED2722">
        <w:rPr>
          <w:i/>
          <w:lang w:val="fr-FR"/>
        </w:rPr>
        <w:t>celui</w:t>
      </w:r>
      <w:r w:rsidR="001E451F" w:rsidRPr="00ED2722">
        <w:rPr>
          <w:i/>
          <w:lang w:val="fr-FR"/>
        </w:rPr>
        <w:noBreakHyphen/>
      </w:r>
      <w:r w:rsidR="004369BD" w:rsidRPr="00ED2722">
        <w:rPr>
          <w:i/>
          <w:lang w:val="fr-FR"/>
        </w:rPr>
        <w:t>ci</w:t>
      </w:r>
      <w:proofErr w:type="spellEnd"/>
      <w:r w:rsidR="004369BD" w:rsidRPr="00ED2722">
        <w:rPr>
          <w:i/>
          <w:lang w:val="fr-FR"/>
        </w:rPr>
        <w:t xml:space="preserve"> </w:t>
      </w:r>
      <w:r w:rsidR="003C1AC9" w:rsidRPr="00ED2722">
        <w:rPr>
          <w:i/>
          <w:lang w:val="fr-FR"/>
        </w:rPr>
        <w:t>parce qu’</w:t>
      </w:r>
      <w:r w:rsidR="004369BD" w:rsidRPr="00ED2722">
        <w:rPr>
          <w:i/>
          <w:lang w:val="fr-FR"/>
        </w:rPr>
        <w:t>il a</w:t>
      </w:r>
      <w:r w:rsidR="003C1AC9" w:rsidRPr="00ED2722">
        <w:rPr>
          <w:i/>
          <w:lang w:val="fr-FR"/>
        </w:rPr>
        <w:t>urait</w:t>
      </w:r>
      <w:r w:rsidR="004369BD" w:rsidRPr="00ED2722">
        <w:rPr>
          <w:i/>
          <w:lang w:val="fr-FR"/>
        </w:rPr>
        <w:t xml:space="preserve"> versé à un fournisseur avec lequel il a un lien de dépendance une somme trop élevée pour acheter l’ingrédient d’un médicament </w:t>
      </w:r>
      <w:r w:rsidRPr="00ED2722">
        <w:rPr>
          <w:i/>
          <w:lang w:val="fr-FR"/>
        </w:rPr>
        <w:t xml:space="preserve">― </w:t>
      </w:r>
      <w:r w:rsidR="003C1AC9" w:rsidRPr="00ED2722">
        <w:rPr>
          <w:i/>
          <w:lang w:val="fr-FR"/>
        </w:rPr>
        <w:t xml:space="preserve">Défaut </w:t>
      </w:r>
      <w:r w:rsidR="004369BD" w:rsidRPr="00ED2722">
        <w:rPr>
          <w:i/>
          <w:lang w:val="fr-FR"/>
        </w:rPr>
        <w:t>par le ministre de tenir compte de l’incidence du contrat de licence sur le caractère raisonnable du prix payé pour</w:t>
      </w:r>
      <w:r w:rsidR="003129F6" w:rsidRPr="00ED2722">
        <w:rPr>
          <w:i/>
          <w:lang w:val="fr-FR"/>
        </w:rPr>
        <w:t xml:space="preserve"> </w:t>
      </w:r>
      <w:r w:rsidR="004369BD" w:rsidRPr="00ED2722">
        <w:rPr>
          <w:i/>
          <w:lang w:val="fr-FR"/>
        </w:rPr>
        <w:t>l’ingrédient aux termes du contrat de fourniture</w:t>
      </w:r>
      <w:r w:rsidRPr="00ED2722">
        <w:rPr>
          <w:i/>
          <w:lang w:val="fr-FR"/>
        </w:rPr>
        <w:t xml:space="preserve"> ― </w:t>
      </w:r>
      <w:r w:rsidR="004369BD" w:rsidRPr="00ED2722">
        <w:rPr>
          <w:i/>
          <w:lang w:val="fr-FR"/>
        </w:rPr>
        <w:t xml:space="preserve">Quelles sont les circonstances à prendre en compte dans la détermination du prix raisonnable de pleine concurrence avec lequel peut être comparé le prix de transfert qui n’a pas </w:t>
      </w:r>
      <w:r w:rsidR="003C1AC9" w:rsidRPr="00ED2722">
        <w:rPr>
          <w:i/>
          <w:lang w:val="fr-FR"/>
        </w:rPr>
        <w:t xml:space="preserve">été </w:t>
      </w:r>
      <w:r w:rsidR="004369BD" w:rsidRPr="00ED2722">
        <w:rPr>
          <w:i/>
          <w:lang w:val="fr-FR"/>
        </w:rPr>
        <w:t xml:space="preserve">établi dans des conditions de pleine concurrence? </w:t>
      </w:r>
      <w:r w:rsidR="00C120F5" w:rsidRPr="00ED2722">
        <w:rPr>
          <w:i/>
          <w:lang w:val="fr-FR"/>
        </w:rPr>
        <w:t xml:space="preserve">― </w:t>
      </w:r>
      <w:r w:rsidR="00275660" w:rsidRPr="00ED2722">
        <w:rPr>
          <w:i/>
          <w:lang w:val="fr-FR"/>
        </w:rPr>
        <w:t xml:space="preserve">Le contrat de licence </w:t>
      </w:r>
      <w:proofErr w:type="spellStart"/>
      <w:r w:rsidR="00275660" w:rsidRPr="00ED2722">
        <w:rPr>
          <w:i/>
          <w:lang w:val="fr-FR"/>
        </w:rPr>
        <w:t>est</w:t>
      </w:r>
      <w:r w:rsidR="001E451F" w:rsidRPr="00ED2722">
        <w:rPr>
          <w:i/>
          <w:lang w:val="fr-FR"/>
        </w:rPr>
        <w:noBreakHyphen/>
      </w:r>
      <w:r w:rsidR="00275660" w:rsidRPr="00ED2722">
        <w:rPr>
          <w:i/>
          <w:lang w:val="fr-FR"/>
        </w:rPr>
        <w:t>il</w:t>
      </w:r>
      <w:proofErr w:type="spellEnd"/>
      <w:r w:rsidR="00275660" w:rsidRPr="00ED2722">
        <w:rPr>
          <w:i/>
          <w:lang w:val="fr-FR"/>
        </w:rPr>
        <w:t xml:space="preserve"> une circonstance dont il faut tenir compte? </w:t>
      </w:r>
      <w:r w:rsidR="003C1AC9" w:rsidRPr="00ED2722">
        <w:rPr>
          <w:i/>
          <w:lang w:val="fr-FR"/>
        </w:rPr>
        <w:t xml:space="preserve">― </w:t>
      </w:r>
      <w:r w:rsidR="00275660" w:rsidRPr="00ED2722">
        <w:rPr>
          <w:i/>
          <w:lang w:val="fr-FR"/>
        </w:rPr>
        <w:t xml:space="preserve">La Cour d’appel fédérale </w:t>
      </w:r>
      <w:proofErr w:type="spellStart"/>
      <w:r w:rsidR="00275660" w:rsidRPr="00ED2722">
        <w:rPr>
          <w:i/>
          <w:lang w:val="fr-FR"/>
        </w:rPr>
        <w:t>a</w:t>
      </w:r>
      <w:r w:rsidR="001E451F" w:rsidRPr="00ED2722">
        <w:rPr>
          <w:i/>
          <w:lang w:val="fr-FR"/>
        </w:rPr>
        <w:noBreakHyphen/>
      </w:r>
      <w:r w:rsidR="00275660" w:rsidRPr="00ED2722">
        <w:rPr>
          <w:i/>
          <w:lang w:val="fr-FR"/>
        </w:rPr>
        <w:t>t</w:t>
      </w:r>
      <w:r w:rsidR="001E451F" w:rsidRPr="00ED2722">
        <w:rPr>
          <w:i/>
          <w:lang w:val="fr-FR"/>
        </w:rPr>
        <w:noBreakHyphen/>
      </w:r>
      <w:r w:rsidR="00275660" w:rsidRPr="00ED2722">
        <w:rPr>
          <w:i/>
          <w:lang w:val="fr-FR"/>
        </w:rPr>
        <w:t>elle</w:t>
      </w:r>
      <w:proofErr w:type="spellEnd"/>
      <w:r w:rsidR="00275660" w:rsidRPr="00ED2722">
        <w:rPr>
          <w:i/>
          <w:lang w:val="fr-FR"/>
        </w:rPr>
        <w:t xml:space="preserve"> eu tort de renvoyer l’affaire à la Cour de l’impôt pour nouvelle audience et réexamen? </w:t>
      </w:r>
      <w:r w:rsidRPr="00ED2722">
        <w:rPr>
          <w:i/>
          <w:lang w:val="fr-FR"/>
        </w:rPr>
        <w:t xml:space="preserve">― </w:t>
      </w:r>
      <w:r w:rsidR="00275660" w:rsidRPr="00ED2722">
        <w:rPr>
          <w:i/>
          <w:lang w:val="fr-FR"/>
        </w:rPr>
        <w:t>Loi de l’impôt sur le revenu</w:t>
      </w:r>
      <w:r w:rsidRPr="00ED2722">
        <w:rPr>
          <w:i/>
          <w:lang w:val="fr-FR"/>
        </w:rPr>
        <w:t xml:space="preserve">, </w:t>
      </w:r>
      <w:r w:rsidR="00275660" w:rsidRPr="00ED2722">
        <w:rPr>
          <w:i/>
          <w:lang w:val="fr-FR"/>
        </w:rPr>
        <w:t xml:space="preserve">L.R.C. </w:t>
      </w:r>
      <w:r w:rsidRPr="00ED2722">
        <w:rPr>
          <w:i/>
          <w:lang w:val="fr-FR"/>
        </w:rPr>
        <w:t xml:space="preserve">1985, </w:t>
      </w:r>
      <w:r w:rsidR="001E451F" w:rsidRPr="00ED2722">
        <w:rPr>
          <w:i/>
          <w:lang w:val="fr-FR"/>
        </w:rPr>
        <w:t>ch. </w:t>
      </w:r>
      <w:r w:rsidRPr="00ED2722">
        <w:rPr>
          <w:i/>
          <w:lang w:val="fr-FR"/>
        </w:rPr>
        <w:t>1 (5</w:t>
      </w:r>
      <w:r w:rsidR="00275660" w:rsidRPr="00ED2722">
        <w:rPr>
          <w:i/>
          <w:vertAlign w:val="superscript"/>
          <w:lang w:val="fr-FR"/>
        </w:rPr>
        <w:t>e</w:t>
      </w:r>
      <w:r w:rsidRPr="00ED2722">
        <w:rPr>
          <w:i/>
          <w:lang w:val="fr-FR"/>
        </w:rPr>
        <w:t xml:space="preserve"> </w:t>
      </w:r>
      <w:r w:rsidR="00275660" w:rsidRPr="00ED2722">
        <w:rPr>
          <w:i/>
          <w:lang w:val="fr-FR"/>
        </w:rPr>
        <w:t>s</w:t>
      </w:r>
      <w:r w:rsidRPr="00ED2722">
        <w:rPr>
          <w:i/>
          <w:lang w:val="fr-FR"/>
        </w:rPr>
        <w:t>upp</w:t>
      </w:r>
      <w:r w:rsidR="00275660" w:rsidRPr="00ED2722">
        <w:rPr>
          <w:i/>
          <w:lang w:val="fr-FR"/>
        </w:rPr>
        <w:t>l</w:t>
      </w:r>
      <w:r w:rsidRPr="00ED2722">
        <w:rPr>
          <w:i/>
          <w:lang w:val="fr-FR"/>
        </w:rPr>
        <w:t xml:space="preserve">.), </w:t>
      </w:r>
      <w:r w:rsidR="001E451F" w:rsidRPr="00ED2722">
        <w:rPr>
          <w:i/>
          <w:lang w:val="fr-FR"/>
        </w:rPr>
        <w:t>art. </w:t>
      </w:r>
      <w:r w:rsidRPr="00ED2722">
        <w:rPr>
          <w:i/>
          <w:lang w:val="fr-FR"/>
        </w:rPr>
        <w:t>69(2).</w:t>
      </w:r>
    </w:p>
    <w:p w:rsidR="00B913B9" w:rsidRPr="00ED2722" w:rsidRDefault="00B913B9" w:rsidP="001E451F">
      <w:pPr>
        <w:pStyle w:val="SCCNormalDoubleSpacing"/>
        <w:spacing w:after="480"/>
        <w:rPr>
          <w:lang w:val="fr-FR"/>
        </w:rPr>
      </w:pPr>
      <w:r w:rsidRPr="00ED2722">
        <w:rPr>
          <w:lang w:val="fr-FR"/>
        </w:rPr>
        <w:tab/>
      </w:r>
      <w:r w:rsidR="00275660" w:rsidRPr="00ED2722">
        <w:rPr>
          <w:lang w:val="fr-FR"/>
        </w:rPr>
        <w:t xml:space="preserve">De </w:t>
      </w:r>
      <w:r w:rsidRPr="00ED2722">
        <w:rPr>
          <w:lang w:val="fr-FR"/>
        </w:rPr>
        <w:t>1990</w:t>
      </w:r>
      <w:r w:rsidR="00275660" w:rsidRPr="00ED2722">
        <w:rPr>
          <w:lang w:val="fr-FR"/>
        </w:rPr>
        <w:t xml:space="preserve"> à </w:t>
      </w:r>
      <w:r w:rsidRPr="00ED2722">
        <w:rPr>
          <w:lang w:val="fr-FR"/>
        </w:rPr>
        <w:t>1993,</w:t>
      </w:r>
      <w:r w:rsidR="00275660" w:rsidRPr="00ED2722">
        <w:rPr>
          <w:lang w:val="fr-FR"/>
        </w:rPr>
        <w:t xml:space="preserve"> l’intimée, </w:t>
      </w:r>
      <w:r w:rsidRPr="00ED2722">
        <w:rPr>
          <w:lang w:val="fr-FR"/>
        </w:rPr>
        <w:t>GlaxoSmithKline Inc.</w:t>
      </w:r>
      <w:r w:rsidRPr="00ED2722">
        <w:rPr>
          <w:b/>
          <w:lang w:val="fr-FR"/>
        </w:rPr>
        <w:t xml:space="preserve"> </w:t>
      </w:r>
      <w:r w:rsidRPr="00ED2722">
        <w:rPr>
          <w:lang w:val="fr-FR"/>
        </w:rPr>
        <w:t>(</w:t>
      </w:r>
      <w:r w:rsidR="00A36448" w:rsidRPr="00ED2722">
        <w:rPr>
          <w:lang w:val="fr-FR"/>
        </w:rPr>
        <w:t>« </w:t>
      </w:r>
      <w:r w:rsidRPr="00ED2722">
        <w:rPr>
          <w:lang w:val="fr-FR"/>
        </w:rPr>
        <w:t>Glaxo Canada</w:t>
      </w:r>
      <w:r w:rsidR="00924CD4" w:rsidRPr="00ED2722">
        <w:rPr>
          <w:lang w:val="fr-FR"/>
        </w:rPr>
        <w:t> </w:t>
      </w:r>
      <w:r w:rsidR="00A36448" w:rsidRPr="00ED2722">
        <w:rPr>
          <w:lang w:val="fr-FR"/>
        </w:rPr>
        <w:t>»</w:t>
      </w:r>
      <w:r w:rsidRPr="00ED2722">
        <w:rPr>
          <w:lang w:val="fr-FR"/>
        </w:rPr>
        <w:t xml:space="preserve">), </w:t>
      </w:r>
      <w:r w:rsidR="00A36448" w:rsidRPr="00ED2722">
        <w:rPr>
          <w:lang w:val="fr-FR"/>
        </w:rPr>
        <w:t xml:space="preserve">a acheté de la </w:t>
      </w:r>
      <w:proofErr w:type="spellStart"/>
      <w:r w:rsidR="00A36448" w:rsidRPr="00ED2722">
        <w:rPr>
          <w:lang w:val="fr-FR"/>
        </w:rPr>
        <w:t>ranitidine</w:t>
      </w:r>
      <w:proofErr w:type="spellEnd"/>
      <w:r w:rsidR="00A36448" w:rsidRPr="00ED2722">
        <w:rPr>
          <w:lang w:val="fr-FR"/>
        </w:rPr>
        <w:t xml:space="preserve"> — l’ingrédient pharmaceutique actif d’un médicament antiulcéreux commercialisé sous la marque nominale </w:t>
      </w:r>
      <w:r w:rsidRPr="00ED2722">
        <w:rPr>
          <w:lang w:val="fr-FR"/>
        </w:rPr>
        <w:t>Zantac</w:t>
      </w:r>
      <w:r w:rsidR="00A36448" w:rsidRPr="00ED2722">
        <w:rPr>
          <w:lang w:val="fr-FR"/>
        </w:rPr>
        <w:t xml:space="preserve"> — de </w:t>
      </w:r>
      <w:proofErr w:type="spellStart"/>
      <w:r w:rsidR="00924CD4" w:rsidRPr="00ED2722">
        <w:rPr>
          <w:lang w:val="fr-FR"/>
        </w:rPr>
        <w:t>Adechsa</w:t>
      </w:r>
      <w:proofErr w:type="spellEnd"/>
      <w:r w:rsidR="00924CD4" w:rsidRPr="00ED2722">
        <w:rPr>
          <w:lang w:val="fr-FR"/>
        </w:rPr>
        <w:t> </w:t>
      </w:r>
      <w:r w:rsidRPr="00ED2722">
        <w:rPr>
          <w:lang w:val="fr-FR"/>
        </w:rPr>
        <w:t>S.A.,</w:t>
      </w:r>
      <w:r w:rsidR="00A36448" w:rsidRPr="00ED2722">
        <w:rPr>
          <w:lang w:val="fr-FR"/>
        </w:rPr>
        <w:t xml:space="preserve"> une société affiliée </w:t>
      </w:r>
      <w:proofErr w:type="spellStart"/>
      <w:r w:rsidR="00A36448" w:rsidRPr="00ED2722">
        <w:rPr>
          <w:lang w:val="fr-FR"/>
        </w:rPr>
        <w:t>non</w:t>
      </w:r>
      <w:r w:rsidR="001E451F" w:rsidRPr="00ED2722">
        <w:rPr>
          <w:lang w:val="fr-FR"/>
        </w:rPr>
        <w:noBreakHyphen/>
      </w:r>
      <w:r w:rsidR="00A36448" w:rsidRPr="00ED2722">
        <w:rPr>
          <w:lang w:val="fr-FR"/>
        </w:rPr>
        <w:t>résidente</w:t>
      </w:r>
      <w:proofErr w:type="spellEnd"/>
      <w:r w:rsidR="00A36448" w:rsidRPr="00ED2722">
        <w:rPr>
          <w:lang w:val="fr-FR"/>
        </w:rPr>
        <w:t>, à des prix variant entre 1 </w:t>
      </w:r>
      <w:r w:rsidRPr="00ED2722">
        <w:rPr>
          <w:lang w:val="fr-FR"/>
        </w:rPr>
        <w:t>512</w:t>
      </w:r>
      <w:r w:rsidR="001E451F" w:rsidRPr="00ED2722">
        <w:rPr>
          <w:lang w:val="fr-FR"/>
        </w:rPr>
        <w:t> $</w:t>
      </w:r>
      <w:r w:rsidR="00A36448" w:rsidRPr="00ED2722">
        <w:rPr>
          <w:lang w:val="fr-FR"/>
        </w:rPr>
        <w:t xml:space="preserve"> et </w:t>
      </w:r>
      <w:r w:rsidRPr="00ED2722">
        <w:rPr>
          <w:lang w:val="fr-FR"/>
        </w:rPr>
        <w:t>1</w:t>
      </w:r>
      <w:r w:rsidR="00A36448" w:rsidRPr="00ED2722">
        <w:rPr>
          <w:lang w:val="fr-FR"/>
        </w:rPr>
        <w:t> </w:t>
      </w:r>
      <w:r w:rsidRPr="00ED2722">
        <w:rPr>
          <w:lang w:val="fr-FR"/>
        </w:rPr>
        <w:t>651</w:t>
      </w:r>
      <w:r w:rsidR="001E451F" w:rsidRPr="00ED2722">
        <w:rPr>
          <w:lang w:val="fr-FR"/>
        </w:rPr>
        <w:t> $</w:t>
      </w:r>
      <w:r w:rsidR="00A36448" w:rsidRPr="00ED2722">
        <w:rPr>
          <w:lang w:val="fr-FR"/>
        </w:rPr>
        <w:t xml:space="preserve"> le kilogramme.</w:t>
      </w:r>
      <w:r w:rsidR="001E451F" w:rsidRPr="00ED2722">
        <w:rPr>
          <w:lang w:val="fr-FR"/>
        </w:rPr>
        <w:t xml:space="preserve"> </w:t>
      </w:r>
      <w:r w:rsidR="00A36448" w:rsidRPr="00ED2722">
        <w:rPr>
          <w:lang w:val="fr-FR"/>
        </w:rPr>
        <w:t xml:space="preserve"> </w:t>
      </w:r>
      <w:r w:rsidRPr="00ED2722">
        <w:rPr>
          <w:lang w:val="fr-FR"/>
        </w:rPr>
        <w:t>Dur</w:t>
      </w:r>
      <w:r w:rsidR="00A36448" w:rsidRPr="00ED2722">
        <w:rPr>
          <w:lang w:val="fr-FR"/>
        </w:rPr>
        <w:t>ant la même période</w:t>
      </w:r>
      <w:r w:rsidRPr="00ED2722">
        <w:rPr>
          <w:lang w:val="fr-FR"/>
        </w:rPr>
        <w:t xml:space="preserve">, </w:t>
      </w:r>
      <w:r w:rsidR="00A36448" w:rsidRPr="00ED2722">
        <w:rPr>
          <w:lang w:val="fr-FR"/>
        </w:rPr>
        <w:t xml:space="preserve">deux </w:t>
      </w:r>
      <w:r w:rsidR="00F87602" w:rsidRPr="00ED2722">
        <w:rPr>
          <w:lang w:val="fr-FR"/>
        </w:rPr>
        <w:t>sociétés</w:t>
      </w:r>
      <w:r w:rsidR="00A36448" w:rsidRPr="00ED2722">
        <w:rPr>
          <w:lang w:val="fr-FR"/>
        </w:rPr>
        <w:t xml:space="preserve"> pharmaceutiques</w:t>
      </w:r>
      <w:r w:rsidR="00BA5C83" w:rsidRPr="00ED2722">
        <w:rPr>
          <w:lang w:val="fr-FR"/>
        </w:rPr>
        <w:t xml:space="preserve"> </w:t>
      </w:r>
      <w:r w:rsidR="003C1AC9" w:rsidRPr="00ED2722">
        <w:rPr>
          <w:lang w:val="fr-FR"/>
        </w:rPr>
        <w:t xml:space="preserve">canadiennes </w:t>
      </w:r>
      <w:r w:rsidR="00BA5C83" w:rsidRPr="00ED2722">
        <w:rPr>
          <w:lang w:val="fr-FR"/>
        </w:rPr>
        <w:t>fabri</w:t>
      </w:r>
      <w:r w:rsidR="003C1AC9" w:rsidRPr="00ED2722">
        <w:rPr>
          <w:lang w:val="fr-FR"/>
        </w:rPr>
        <w:t>qu</w:t>
      </w:r>
      <w:r w:rsidR="00BA5C83" w:rsidRPr="00ED2722">
        <w:rPr>
          <w:lang w:val="fr-FR"/>
        </w:rPr>
        <w:t>ant des produits</w:t>
      </w:r>
      <w:r w:rsidR="00A36448" w:rsidRPr="00ED2722">
        <w:rPr>
          <w:lang w:val="fr-FR"/>
        </w:rPr>
        <w:t xml:space="preserve"> génériques, à savoir </w:t>
      </w:r>
      <w:proofErr w:type="spellStart"/>
      <w:r w:rsidRPr="00ED2722">
        <w:rPr>
          <w:lang w:val="fr-FR"/>
        </w:rPr>
        <w:t>Apotex</w:t>
      </w:r>
      <w:proofErr w:type="spellEnd"/>
      <w:r w:rsidRPr="00ED2722">
        <w:rPr>
          <w:lang w:val="fr-FR"/>
        </w:rPr>
        <w:t xml:space="preserve"> Inc. </w:t>
      </w:r>
      <w:r w:rsidR="00A36448" w:rsidRPr="00ED2722">
        <w:rPr>
          <w:lang w:val="fr-FR"/>
        </w:rPr>
        <w:t xml:space="preserve">et </w:t>
      </w:r>
      <w:proofErr w:type="spellStart"/>
      <w:r w:rsidR="00A36448" w:rsidRPr="00ED2722">
        <w:rPr>
          <w:lang w:val="fr-FR"/>
        </w:rPr>
        <w:t>Novopharm</w:t>
      </w:r>
      <w:proofErr w:type="spellEnd"/>
      <w:r w:rsidR="00A36448" w:rsidRPr="00ED2722">
        <w:rPr>
          <w:lang w:val="fr-FR"/>
        </w:rPr>
        <w:t xml:space="preserve"> Ltd., ont acheté auprès de fournisseurs </w:t>
      </w:r>
      <w:r w:rsidR="00A36448" w:rsidRPr="00ED2722">
        <w:rPr>
          <w:lang w:val="fr-CA"/>
        </w:rPr>
        <w:t>avec lesquels elles n’avaient pas de lien de dépendance</w:t>
      </w:r>
      <w:r w:rsidR="0016307C" w:rsidRPr="00ED2722">
        <w:rPr>
          <w:lang w:val="fr-CA"/>
        </w:rPr>
        <w:t xml:space="preserve"> </w:t>
      </w:r>
      <w:r w:rsidR="00A36448" w:rsidRPr="00ED2722">
        <w:rPr>
          <w:lang w:val="fr-FR"/>
        </w:rPr>
        <w:t xml:space="preserve">de la </w:t>
      </w:r>
      <w:proofErr w:type="spellStart"/>
      <w:r w:rsidR="00A36448" w:rsidRPr="00ED2722">
        <w:rPr>
          <w:lang w:val="fr-FR"/>
        </w:rPr>
        <w:t>ranitidine</w:t>
      </w:r>
      <w:proofErr w:type="spellEnd"/>
      <w:r w:rsidR="00A36448" w:rsidRPr="00ED2722">
        <w:rPr>
          <w:lang w:val="fr-FR"/>
        </w:rPr>
        <w:t xml:space="preserve"> à des prix variant entre 1</w:t>
      </w:r>
      <w:r w:rsidRPr="00ED2722">
        <w:rPr>
          <w:lang w:val="fr-FR"/>
        </w:rPr>
        <w:t>94</w:t>
      </w:r>
      <w:r w:rsidR="001E451F" w:rsidRPr="00ED2722">
        <w:rPr>
          <w:lang w:val="fr-FR"/>
        </w:rPr>
        <w:t> $</w:t>
      </w:r>
      <w:r w:rsidRPr="00ED2722">
        <w:rPr>
          <w:lang w:val="fr-FR"/>
        </w:rPr>
        <w:t xml:space="preserve"> </w:t>
      </w:r>
      <w:r w:rsidR="00A36448" w:rsidRPr="00ED2722">
        <w:rPr>
          <w:lang w:val="fr-FR"/>
        </w:rPr>
        <w:t>et</w:t>
      </w:r>
      <w:r w:rsidRPr="00ED2722">
        <w:rPr>
          <w:lang w:val="fr-FR"/>
        </w:rPr>
        <w:t xml:space="preserve"> 304</w:t>
      </w:r>
      <w:r w:rsidR="001E451F" w:rsidRPr="00ED2722">
        <w:rPr>
          <w:lang w:val="fr-FR"/>
        </w:rPr>
        <w:t> $</w:t>
      </w:r>
      <w:r w:rsidR="00A36448" w:rsidRPr="00ED2722">
        <w:rPr>
          <w:lang w:val="fr-FR"/>
        </w:rPr>
        <w:t xml:space="preserve"> le kilogramme pour leurs médicaments antiulcéreux génériques.</w:t>
      </w:r>
      <w:r w:rsidRPr="00ED2722">
        <w:rPr>
          <w:lang w:val="fr-FR"/>
        </w:rPr>
        <w:t xml:space="preserve"> </w:t>
      </w:r>
    </w:p>
    <w:p w:rsidR="00B913B9" w:rsidRPr="00ED2722" w:rsidRDefault="00B913B9" w:rsidP="001E451F">
      <w:pPr>
        <w:pStyle w:val="SCCNormalDoubleSpacing"/>
        <w:spacing w:after="480"/>
        <w:rPr>
          <w:lang w:val="fr-FR"/>
        </w:rPr>
      </w:pPr>
      <w:r w:rsidRPr="00ED2722">
        <w:rPr>
          <w:lang w:val="fr-FR"/>
        </w:rPr>
        <w:lastRenderedPageBreak/>
        <w:tab/>
      </w:r>
      <w:r w:rsidR="0016307C" w:rsidRPr="00ED2722">
        <w:rPr>
          <w:lang w:val="fr-FR"/>
        </w:rPr>
        <w:t xml:space="preserve">Un contrat de licence concédait à Glaxo Canada </w:t>
      </w:r>
      <w:r w:rsidR="003C1AC9" w:rsidRPr="00ED2722">
        <w:rPr>
          <w:lang w:val="fr-FR"/>
        </w:rPr>
        <w:t xml:space="preserve">certains </w:t>
      </w:r>
      <w:r w:rsidR="0016307C" w:rsidRPr="00ED2722">
        <w:rPr>
          <w:lang w:val="fr-FR"/>
        </w:rPr>
        <w:t>droits et avantages et</w:t>
      </w:r>
      <w:r w:rsidRPr="00ED2722">
        <w:rPr>
          <w:lang w:val="fr-FR"/>
        </w:rPr>
        <w:t xml:space="preserve"> </w:t>
      </w:r>
      <w:r w:rsidR="0016307C" w:rsidRPr="00ED2722">
        <w:rPr>
          <w:lang w:val="fr-FR"/>
        </w:rPr>
        <w:t xml:space="preserve">un contrat de fourniture fixait les prix de transfert de la </w:t>
      </w:r>
      <w:proofErr w:type="spellStart"/>
      <w:r w:rsidRPr="00ED2722">
        <w:rPr>
          <w:lang w:val="fr-FR"/>
        </w:rPr>
        <w:t>ranitidine</w:t>
      </w:r>
      <w:proofErr w:type="spellEnd"/>
      <w:r w:rsidRPr="00ED2722">
        <w:rPr>
          <w:lang w:val="fr-FR"/>
        </w:rPr>
        <w:t>.</w:t>
      </w:r>
      <w:r w:rsidR="0016307C" w:rsidRPr="00ED2722">
        <w:rPr>
          <w:lang w:val="fr-FR"/>
        </w:rPr>
        <w:t xml:space="preserve"> </w:t>
      </w:r>
      <w:r w:rsidRPr="00ED2722">
        <w:rPr>
          <w:lang w:val="fr-FR"/>
        </w:rPr>
        <w:t xml:space="preserve"> </w:t>
      </w:r>
      <w:r w:rsidR="0016307C" w:rsidRPr="00ED2722">
        <w:rPr>
          <w:lang w:val="fr-FR"/>
        </w:rPr>
        <w:t xml:space="preserve">L’effet combiné du contrat de licence et du contrat de fourniture permettait entre autres à </w:t>
      </w:r>
      <w:r w:rsidRPr="00ED2722">
        <w:rPr>
          <w:lang w:val="fr-FR"/>
        </w:rPr>
        <w:t>Glaxo Canada</w:t>
      </w:r>
      <w:r w:rsidR="0016307C" w:rsidRPr="00ED2722">
        <w:rPr>
          <w:lang w:val="fr-FR"/>
        </w:rPr>
        <w:t xml:space="preserve"> d’acheter de la </w:t>
      </w:r>
      <w:proofErr w:type="spellStart"/>
      <w:r w:rsidRPr="00ED2722">
        <w:rPr>
          <w:lang w:val="fr-FR"/>
        </w:rPr>
        <w:t>ranitidine</w:t>
      </w:r>
      <w:proofErr w:type="spellEnd"/>
      <w:r w:rsidRPr="00ED2722">
        <w:rPr>
          <w:lang w:val="fr-FR"/>
        </w:rPr>
        <w:t>,</w:t>
      </w:r>
      <w:r w:rsidR="0016307C" w:rsidRPr="00ED2722">
        <w:rPr>
          <w:lang w:val="fr-FR"/>
        </w:rPr>
        <w:t xml:space="preserve"> de la soumettre à un processus permettant son administration et de la commercialiser sous la marque de commerce</w:t>
      </w:r>
      <w:r w:rsidR="00513137" w:rsidRPr="00ED2722">
        <w:rPr>
          <w:lang w:val="fr-FR"/>
        </w:rPr>
        <w:t xml:space="preserve"> </w:t>
      </w:r>
      <w:r w:rsidRPr="00ED2722">
        <w:rPr>
          <w:lang w:val="fr-FR"/>
        </w:rPr>
        <w:t>Zantac.</w:t>
      </w:r>
    </w:p>
    <w:p w:rsidR="00B913B9" w:rsidRPr="00ED2722" w:rsidRDefault="00B913B9" w:rsidP="001E451F">
      <w:pPr>
        <w:pStyle w:val="SCCNormalDoubleSpacing"/>
        <w:spacing w:after="480"/>
        <w:rPr>
          <w:lang w:val="fr-FR"/>
        </w:rPr>
      </w:pPr>
      <w:r w:rsidRPr="00ED2722">
        <w:rPr>
          <w:lang w:val="fr-FR"/>
        </w:rPr>
        <w:tab/>
      </w:r>
      <w:r w:rsidR="0016307C" w:rsidRPr="00ED2722">
        <w:rPr>
          <w:lang w:val="fr-FR"/>
        </w:rPr>
        <w:t>L</w:t>
      </w:r>
      <w:r w:rsidR="003C1AC9" w:rsidRPr="00ED2722">
        <w:rPr>
          <w:lang w:val="fr-FR"/>
        </w:rPr>
        <w:t>’appelant</w:t>
      </w:r>
      <w:r w:rsidR="0016307C" w:rsidRPr="00ED2722">
        <w:rPr>
          <w:lang w:val="fr-FR"/>
        </w:rPr>
        <w:t>, le ministre du Revenu nation</w:t>
      </w:r>
      <w:r w:rsidR="00E22EA0" w:rsidRPr="00ED2722">
        <w:rPr>
          <w:lang w:val="fr-FR"/>
        </w:rPr>
        <w:t>al, a établi à l’égard de Glaxo </w:t>
      </w:r>
      <w:r w:rsidR="0016307C" w:rsidRPr="00ED2722">
        <w:rPr>
          <w:lang w:val="fr-FR"/>
        </w:rPr>
        <w:t>Canada de nouvelles cotisations pour les années d’imposition 1990, 1991, 1992 et</w:t>
      </w:r>
      <w:r w:rsidRPr="00ED2722">
        <w:rPr>
          <w:lang w:val="fr-FR"/>
        </w:rPr>
        <w:t xml:space="preserve"> 1993</w:t>
      </w:r>
      <w:r w:rsidR="0016307C" w:rsidRPr="00ED2722">
        <w:rPr>
          <w:lang w:val="fr-FR"/>
        </w:rPr>
        <w:t xml:space="preserve">, en vertu de la version applicable alors du </w:t>
      </w:r>
      <w:r w:rsidR="001E451F" w:rsidRPr="00ED2722">
        <w:rPr>
          <w:lang w:val="fr-FR"/>
        </w:rPr>
        <w:t>par. </w:t>
      </w:r>
      <w:r w:rsidRPr="00ED2722">
        <w:rPr>
          <w:lang w:val="fr-FR"/>
        </w:rPr>
        <w:t xml:space="preserve">69(2) </w:t>
      </w:r>
      <w:r w:rsidR="0016307C" w:rsidRPr="00ED2722">
        <w:rPr>
          <w:lang w:val="fr-FR"/>
        </w:rPr>
        <w:t>de la Loi</w:t>
      </w:r>
      <w:r w:rsidRPr="00ED2722">
        <w:rPr>
          <w:lang w:val="fr-FR"/>
        </w:rPr>
        <w:t xml:space="preserve"> (</w:t>
      </w:r>
      <w:r w:rsidR="0016307C" w:rsidRPr="00ED2722">
        <w:rPr>
          <w:lang w:val="fr-FR"/>
        </w:rPr>
        <w:t xml:space="preserve">maintenant le </w:t>
      </w:r>
      <w:r w:rsidR="001E451F" w:rsidRPr="00ED2722">
        <w:rPr>
          <w:lang w:val="fr-FR"/>
        </w:rPr>
        <w:t>par. </w:t>
      </w:r>
      <w:r w:rsidRPr="00ED2722">
        <w:rPr>
          <w:lang w:val="fr-FR"/>
        </w:rPr>
        <w:t>247(2))</w:t>
      </w:r>
      <w:r w:rsidR="0016307C" w:rsidRPr="00ED2722">
        <w:rPr>
          <w:lang w:val="fr-FR"/>
        </w:rPr>
        <w:t xml:space="preserve">, </w:t>
      </w:r>
      <w:r w:rsidR="003C1AC9" w:rsidRPr="00ED2722">
        <w:rPr>
          <w:lang w:val="fr-FR"/>
        </w:rPr>
        <w:t xml:space="preserve">parce </w:t>
      </w:r>
      <w:r w:rsidR="0016307C" w:rsidRPr="00ED2722">
        <w:rPr>
          <w:lang w:val="fr-FR"/>
        </w:rPr>
        <w:t>que les prix payés par cette société pour se procurer</w:t>
      </w:r>
      <w:r w:rsidR="00762BC2" w:rsidRPr="00ED2722">
        <w:rPr>
          <w:lang w:val="fr-FR"/>
        </w:rPr>
        <w:t xml:space="preserve"> de la </w:t>
      </w:r>
      <w:proofErr w:type="spellStart"/>
      <w:r w:rsidRPr="00ED2722">
        <w:rPr>
          <w:lang w:val="fr-FR"/>
        </w:rPr>
        <w:t>ranitidine</w:t>
      </w:r>
      <w:proofErr w:type="spellEnd"/>
      <w:r w:rsidR="00762BC2" w:rsidRPr="00ED2722">
        <w:rPr>
          <w:lang w:val="fr-FR"/>
        </w:rPr>
        <w:t xml:space="preserve"> étaient plus élevés que ceux qui auraient été raisonnables dans les circonstances si elle n’avait pas eu de lien de dépendance avec son fournisseur.</w:t>
      </w:r>
      <w:r w:rsidR="001E451F" w:rsidRPr="00ED2722">
        <w:rPr>
          <w:lang w:val="fr-FR"/>
        </w:rPr>
        <w:t xml:space="preserve"> </w:t>
      </w:r>
      <w:r w:rsidRPr="00ED2722">
        <w:rPr>
          <w:lang w:val="fr-FR"/>
        </w:rPr>
        <w:t xml:space="preserve"> Glaxo Canada </w:t>
      </w:r>
      <w:r w:rsidR="00762BC2" w:rsidRPr="00ED2722">
        <w:rPr>
          <w:lang w:val="fr-FR"/>
        </w:rPr>
        <w:t>a interjeté appel à la Cour canadienne de l’impôt, qui a confirmé la nouvelle cotisation, sauf pour un ajustement mineur</w:t>
      </w:r>
      <w:r w:rsidR="003C1AC9" w:rsidRPr="00ED2722">
        <w:rPr>
          <w:lang w:val="fr-FR"/>
        </w:rPr>
        <w:t xml:space="preserve">, </w:t>
      </w:r>
      <w:r w:rsidR="00762BC2" w:rsidRPr="00ED2722">
        <w:rPr>
          <w:lang w:val="fr-FR"/>
        </w:rPr>
        <w:t>au motif que</w:t>
      </w:r>
      <w:r w:rsidRPr="00ED2722">
        <w:rPr>
          <w:lang w:val="fr-FR"/>
        </w:rPr>
        <w:t xml:space="preserve"> </w:t>
      </w:r>
      <w:r w:rsidR="002F51DA" w:rsidRPr="00ED2722">
        <w:rPr>
          <w:lang w:val="fr-FR"/>
        </w:rPr>
        <w:t>le contrat de licence et le contrat de fourniture devaient être examinés séparément</w:t>
      </w:r>
      <w:r w:rsidRPr="00ED2722">
        <w:rPr>
          <w:lang w:val="fr-FR"/>
        </w:rPr>
        <w:t xml:space="preserve">. </w:t>
      </w:r>
      <w:r w:rsidR="001E451F" w:rsidRPr="00ED2722">
        <w:rPr>
          <w:lang w:val="fr-FR"/>
        </w:rPr>
        <w:t xml:space="preserve"> </w:t>
      </w:r>
      <w:r w:rsidR="00CC0E1C" w:rsidRPr="00ED2722">
        <w:rPr>
          <w:lang w:val="fr-FR"/>
        </w:rPr>
        <w:t>La Cour d’appel fédérale a accueilli l’appel et renvoyé l’affaire à la Cour de l’impôt pour nouvelle détermination du « montant raisonnable »</w:t>
      </w:r>
      <w:r w:rsidR="00282330" w:rsidRPr="00ED2722">
        <w:rPr>
          <w:lang w:val="fr-FR"/>
        </w:rPr>
        <w:t xml:space="preserve"> payable</w:t>
      </w:r>
      <w:r w:rsidR="00CC0E1C" w:rsidRPr="00ED2722">
        <w:rPr>
          <w:lang w:val="fr-FR"/>
        </w:rPr>
        <w:t xml:space="preserve"> dans le cas des opérations effectuées par </w:t>
      </w:r>
      <w:r w:rsidRPr="00ED2722">
        <w:rPr>
          <w:lang w:val="fr-FR"/>
        </w:rPr>
        <w:t>Glaxo Canada</w:t>
      </w:r>
      <w:r w:rsidR="00CC0E1C" w:rsidRPr="00ED2722">
        <w:rPr>
          <w:lang w:val="fr-FR"/>
        </w:rPr>
        <w:t xml:space="preserve"> pour acquérir de la </w:t>
      </w:r>
      <w:proofErr w:type="spellStart"/>
      <w:r w:rsidR="001E451F" w:rsidRPr="00ED2722">
        <w:rPr>
          <w:lang w:val="fr-FR"/>
        </w:rPr>
        <w:t>ranitidine</w:t>
      </w:r>
      <w:proofErr w:type="spellEnd"/>
      <w:r w:rsidR="001E451F" w:rsidRPr="00ED2722">
        <w:rPr>
          <w:lang w:val="fr-FR"/>
        </w:rPr>
        <w:t>.</w:t>
      </w:r>
    </w:p>
    <w:p w:rsidR="00B913B9" w:rsidRPr="00ED2722" w:rsidRDefault="00B913B9" w:rsidP="001E451F">
      <w:pPr>
        <w:pStyle w:val="SCCNormalDoubleSpacing"/>
        <w:spacing w:after="480"/>
        <w:rPr>
          <w:szCs w:val="24"/>
          <w:lang w:val="fr-FR"/>
        </w:rPr>
      </w:pPr>
      <w:r w:rsidRPr="00ED2722">
        <w:rPr>
          <w:i/>
          <w:szCs w:val="24"/>
          <w:lang w:val="fr-FR"/>
        </w:rPr>
        <w:tab/>
      </w:r>
      <w:r w:rsidR="00762BC2" w:rsidRPr="00ED2722">
        <w:rPr>
          <w:i/>
          <w:szCs w:val="24"/>
          <w:lang w:val="fr-FR"/>
        </w:rPr>
        <w:t>Arrêt</w:t>
      </w:r>
      <w:r w:rsidR="001E451F" w:rsidRPr="00ED2722">
        <w:rPr>
          <w:szCs w:val="24"/>
          <w:lang w:val="fr-FR"/>
        </w:rPr>
        <w:t> :</w:t>
      </w:r>
      <w:r w:rsidRPr="00ED2722">
        <w:rPr>
          <w:szCs w:val="24"/>
          <w:lang w:val="fr-FR"/>
        </w:rPr>
        <w:t xml:space="preserve"> </w:t>
      </w:r>
      <w:r w:rsidR="00762BC2" w:rsidRPr="00ED2722">
        <w:rPr>
          <w:szCs w:val="24"/>
          <w:lang w:val="fr-FR"/>
        </w:rPr>
        <w:t>Le pourvoi et le pourvoi incident sont rejetés</w:t>
      </w:r>
      <w:r w:rsidRPr="00ED2722">
        <w:rPr>
          <w:szCs w:val="24"/>
          <w:lang w:val="fr-FR"/>
        </w:rPr>
        <w:t>.</w:t>
      </w:r>
    </w:p>
    <w:p w:rsidR="00B913B9" w:rsidRPr="00ED2722" w:rsidRDefault="00B913B9" w:rsidP="001E451F">
      <w:pPr>
        <w:pStyle w:val="SCCNormalDoubleSpacing"/>
        <w:spacing w:after="480"/>
        <w:rPr>
          <w:lang w:val="fr-FR"/>
        </w:rPr>
      </w:pPr>
      <w:r w:rsidRPr="00ED2722">
        <w:rPr>
          <w:lang w:val="fr-FR"/>
        </w:rPr>
        <w:tab/>
      </w:r>
      <w:r w:rsidR="00924CD4" w:rsidRPr="00ED2722">
        <w:rPr>
          <w:lang w:val="fr-FR"/>
        </w:rPr>
        <w:t>Le paragraphe </w:t>
      </w:r>
      <w:r w:rsidRPr="00ED2722">
        <w:rPr>
          <w:lang w:val="fr-FR"/>
        </w:rPr>
        <w:t xml:space="preserve">69(2) </w:t>
      </w:r>
      <w:r w:rsidR="002C4C12" w:rsidRPr="00ED2722">
        <w:rPr>
          <w:lang w:val="fr-FR"/>
        </w:rPr>
        <w:t>oblige le tribunal à déterminer si le prix de transfert était supérieur au montant qui aurait été raisonnable da</w:t>
      </w:r>
      <w:r w:rsidRPr="00ED2722">
        <w:rPr>
          <w:lang w:val="fr-FR"/>
        </w:rPr>
        <w:t>n</w:t>
      </w:r>
      <w:r w:rsidR="002C4C12" w:rsidRPr="00ED2722">
        <w:rPr>
          <w:lang w:val="fr-FR"/>
        </w:rPr>
        <w:t xml:space="preserve">s les circonstances si les </w:t>
      </w:r>
      <w:r w:rsidR="002C4C12" w:rsidRPr="00ED2722">
        <w:rPr>
          <w:lang w:val="fr-FR"/>
        </w:rPr>
        <w:lastRenderedPageBreak/>
        <w:t>parties n’avaient eu aucun lien de dépendance entre elles.</w:t>
      </w:r>
      <w:r w:rsidRPr="00ED2722">
        <w:rPr>
          <w:lang w:val="fr-FR"/>
        </w:rPr>
        <w:t xml:space="preserve">  </w:t>
      </w:r>
      <w:r w:rsidR="002C4C12" w:rsidRPr="00ED2722">
        <w:rPr>
          <w:lang w:val="fr-FR"/>
        </w:rPr>
        <w:t>S’il existe des opérations autres que l’achat qui sont pertinentes pour trancher cette question, elles ne doivent pas être négligées</w:t>
      </w:r>
      <w:r w:rsidRPr="00ED2722">
        <w:rPr>
          <w:lang w:val="fr-FR"/>
        </w:rPr>
        <w:t xml:space="preserve">. </w:t>
      </w:r>
      <w:r w:rsidR="001E451F" w:rsidRPr="00ED2722">
        <w:rPr>
          <w:lang w:val="fr-FR"/>
        </w:rPr>
        <w:t xml:space="preserve"> </w:t>
      </w:r>
      <w:r w:rsidR="002C4C12" w:rsidRPr="00ED2722">
        <w:rPr>
          <w:lang w:val="fr-FR"/>
        </w:rPr>
        <w:t>Le paragraphe</w:t>
      </w:r>
      <w:r w:rsidR="001E451F" w:rsidRPr="00ED2722">
        <w:rPr>
          <w:lang w:val="fr-FR"/>
        </w:rPr>
        <w:t> </w:t>
      </w:r>
      <w:r w:rsidRPr="00ED2722">
        <w:rPr>
          <w:lang w:val="fr-FR"/>
        </w:rPr>
        <w:t>69(2)</w:t>
      </w:r>
      <w:r w:rsidR="002C4C12" w:rsidRPr="00ED2722">
        <w:rPr>
          <w:lang w:val="fr-FR"/>
        </w:rPr>
        <w:t xml:space="preserve"> ne donne pas en soi d’indications sur la façon de déterminer le « montant raisonnable</w:t>
      </w:r>
      <w:r w:rsidR="001E451F" w:rsidRPr="00ED2722">
        <w:rPr>
          <w:lang w:val="fr-FR"/>
        </w:rPr>
        <w:t> </w:t>
      </w:r>
      <w:r w:rsidR="002C4C12" w:rsidRPr="00ED2722">
        <w:rPr>
          <w:lang w:val="fr-FR"/>
        </w:rPr>
        <w:t>» qui aurait été payable si les parties n’avaient eu aucun lien de dépendance</w:t>
      </w:r>
      <w:r w:rsidRPr="00ED2722">
        <w:rPr>
          <w:lang w:val="fr-FR"/>
        </w:rPr>
        <w:t xml:space="preserve">.  </w:t>
      </w:r>
      <w:r w:rsidR="002C4C12" w:rsidRPr="00ED2722">
        <w:rPr>
          <w:lang w:val="fr-FR"/>
        </w:rPr>
        <w:t xml:space="preserve">Les </w:t>
      </w:r>
      <w:r w:rsidR="002C4C12" w:rsidRPr="00ED2722">
        <w:rPr>
          <w:i/>
          <w:lang w:val="fr-FR"/>
        </w:rPr>
        <w:t>Principes</w:t>
      </w:r>
      <w:r w:rsidR="002C4C12" w:rsidRPr="00ED2722">
        <w:rPr>
          <w:lang w:val="fr-FR"/>
        </w:rPr>
        <w:t xml:space="preserve"> de </w:t>
      </w:r>
      <w:r w:rsidRPr="00ED2722">
        <w:rPr>
          <w:lang w:val="fr-FR"/>
        </w:rPr>
        <w:t>1979</w:t>
      </w:r>
      <w:r w:rsidR="002C4C12" w:rsidRPr="00ED2722">
        <w:rPr>
          <w:lang w:val="fr-FR"/>
        </w:rPr>
        <w:t xml:space="preserve"> de l’OCDE </w:t>
      </w:r>
      <w:r w:rsidR="00282330" w:rsidRPr="00ED2722">
        <w:rPr>
          <w:lang w:val="fr-FR"/>
        </w:rPr>
        <w:t>ainsi que</w:t>
      </w:r>
      <w:r w:rsidR="002C4C12" w:rsidRPr="00ED2722">
        <w:rPr>
          <w:lang w:val="fr-FR"/>
        </w:rPr>
        <w:t xml:space="preserve"> </w:t>
      </w:r>
      <w:r w:rsidR="003C1AC9" w:rsidRPr="00ED2722">
        <w:rPr>
          <w:lang w:val="fr-FR"/>
        </w:rPr>
        <w:t>l</w:t>
      </w:r>
      <w:r w:rsidR="002C4C12" w:rsidRPr="00ED2722">
        <w:rPr>
          <w:lang w:val="fr-FR"/>
        </w:rPr>
        <w:t xml:space="preserve">es </w:t>
      </w:r>
      <w:r w:rsidR="002C4C12" w:rsidRPr="00ED2722">
        <w:rPr>
          <w:i/>
          <w:lang w:val="fr-FR"/>
        </w:rPr>
        <w:t xml:space="preserve">Principes </w:t>
      </w:r>
      <w:r w:rsidR="002C4C12" w:rsidRPr="00ED2722">
        <w:rPr>
          <w:lang w:val="fr-FR"/>
        </w:rPr>
        <w:t>de 1995</w:t>
      </w:r>
      <w:r w:rsidRPr="00ED2722">
        <w:rPr>
          <w:lang w:val="fr-FR"/>
        </w:rPr>
        <w:t xml:space="preserve"> </w:t>
      </w:r>
      <w:r w:rsidR="003C1AC9" w:rsidRPr="00ED2722">
        <w:rPr>
          <w:lang w:val="fr-FR"/>
        </w:rPr>
        <w:t xml:space="preserve">de cette même organisation </w:t>
      </w:r>
      <w:r w:rsidR="002C4C12" w:rsidRPr="00ED2722">
        <w:rPr>
          <w:lang w:val="fr-FR"/>
        </w:rPr>
        <w:t xml:space="preserve">n’ont pas la même force contraignante qu’une loi canadienne. </w:t>
      </w:r>
      <w:r w:rsidRPr="00ED2722">
        <w:rPr>
          <w:lang w:val="fr-FR"/>
        </w:rPr>
        <w:t xml:space="preserve"> </w:t>
      </w:r>
      <w:r w:rsidR="002C4C12" w:rsidRPr="00ED2722">
        <w:rPr>
          <w:lang w:val="fr-FR"/>
        </w:rPr>
        <w:t>En revanche, ils proposent un certain nombre de méthodes pour déterminer si des prix de transfert sont compatibles avec ceux dont ont convenu des parties n’</w:t>
      </w:r>
      <w:r w:rsidR="001E451F" w:rsidRPr="00ED2722">
        <w:rPr>
          <w:lang w:val="fr-FR"/>
        </w:rPr>
        <w:t>ayant aucun lien de dépendance.</w:t>
      </w:r>
    </w:p>
    <w:p w:rsidR="00B913B9" w:rsidRPr="00ED2722" w:rsidRDefault="003C1AC9" w:rsidP="001E451F">
      <w:pPr>
        <w:pStyle w:val="SCCNormalDoubleSpacing"/>
        <w:spacing w:after="480"/>
        <w:rPr>
          <w:lang w:val="fr-FR"/>
        </w:rPr>
      </w:pPr>
      <w:r w:rsidRPr="00ED2722">
        <w:rPr>
          <w:lang w:val="fr-FR"/>
        </w:rPr>
        <w:tab/>
      </w:r>
      <w:r w:rsidR="00B02815" w:rsidRPr="00ED2722">
        <w:rPr>
          <w:lang w:val="fr-FR"/>
        </w:rPr>
        <w:t xml:space="preserve">Pour bien appliquer le principe de pleine concurrence, il est nécessaire de tenir compte des « caractéristiques économiques » des opérations effectuées avec ou sans lien de dépendance pour s’assurer que ces caractéristiques sont « suffisamment comparables ».  Lorsqu’il n’y a pas d’opération liée, ou </w:t>
      </w:r>
      <w:r w:rsidR="00575187" w:rsidRPr="00ED2722">
        <w:rPr>
          <w:lang w:val="fr-FR"/>
        </w:rPr>
        <w:t>lorsque les opérations liées ne sont pas pertinentes dans la détermination du caractère raisonnable du prix en cause, la méthode transaction par transaction peut convenir.  Toutefois</w:t>
      </w:r>
      <w:r w:rsidR="00B913B9" w:rsidRPr="00ED2722">
        <w:rPr>
          <w:lang w:val="fr-FR"/>
        </w:rPr>
        <w:t>,</w:t>
      </w:r>
      <w:r w:rsidR="00575187" w:rsidRPr="00ED2722">
        <w:rPr>
          <w:lang w:val="fr-FR"/>
        </w:rPr>
        <w:t xml:space="preserve"> « les caractéristiques économiques </w:t>
      </w:r>
      <w:r w:rsidR="001E451F" w:rsidRPr="00ED2722">
        <w:rPr>
          <w:lang w:val="fr-FR"/>
        </w:rPr>
        <w:t>des situations prises en compte </w:t>
      </w:r>
      <w:r w:rsidR="00575187" w:rsidRPr="00ED2722">
        <w:rPr>
          <w:lang w:val="fr-FR"/>
        </w:rPr>
        <w:t xml:space="preserve">» </w:t>
      </w:r>
      <w:r w:rsidR="00AC6809" w:rsidRPr="00ED2722">
        <w:rPr>
          <w:lang w:val="fr-FR"/>
        </w:rPr>
        <w:t xml:space="preserve">peuvent rendre nécessaire l’examen d’autres opérations ayant une incidence sur le prix de transfert en cause.  </w:t>
      </w:r>
      <w:r w:rsidR="00F3511A" w:rsidRPr="00ED2722">
        <w:rPr>
          <w:lang w:val="fr-FR"/>
        </w:rPr>
        <w:t xml:space="preserve">Dans chaque cas, il est nécessaire d’aborder cette question à la lumière des circonstances pertinentes et, </w:t>
      </w:r>
      <w:r w:rsidR="00440AB9" w:rsidRPr="00ED2722">
        <w:rPr>
          <w:lang w:val="fr-FR"/>
        </w:rPr>
        <w:t>au</w:t>
      </w:r>
      <w:r w:rsidR="00F3511A" w:rsidRPr="00ED2722">
        <w:rPr>
          <w:lang w:val="fr-FR"/>
        </w:rPr>
        <w:t xml:space="preserve"> besoin, d’autres opérations que les opérations d’achat pourraien</w:t>
      </w:r>
      <w:r w:rsidR="001E451F" w:rsidRPr="00ED2722">
        <w:rPr>
          <w:lang w:val="fr-FR"/>
        </w:rPr>
        <w:t>t devoir être prises en compte.</w:t>
      </w:r>
    </w:p>
    <w:p w:rsidR="00B913B9" w:rsidRPr="00ED2722" w:rsidRDefault="00440AB9" w:rsidP="001E451F">
      <w:pPr>
        <w:pStyle w:val="SCCNormalDoubleSpacing"/>
        <w:spacing w:after="480"/>
        <w:rPr>
          <w:lang w:val="fr-FR"/>
        </w:rPr>
      </w:pPr>
      <w:r w:rsidRPr="00ED2722">
        <w:rPr>
          <w:lang w:val="fr-FR"/>
        </w:rPr>
        <w:lastRenderedPageBreak/>
        <w:tab/>
      </w:r>
      <w:r w:rsidR="00F3511A" w:rsidRPr="00ED2722">
        <w:rPr>
          <w:lang w:val="fr-FR"/>
        </w:rPr>
        <w:t>Parmi ces circonstances, mentionnons les ententes susceptibles de conférer des droits et des avantages e</w:t>
      </w:r>
      <w:r w:rsidR="00B913B9" w:rsidRPr="00ED2722">
        <w:rPr>
          <w:lang w:val="fr-FR"/>
        </w:rPr>
        <w:t>n</w:t>
      </w:r>
      <w:r w:rsidR="00F3511A" w:rsidRPr="00ED2722">
        <w:rPr>
          <w:lang w:val="fr-FR"/>
        </w:rPr>
        <w:t xml:space="preserve"> sus du bien acheté, lorsque ces ententes sont liées au contrat d’achat</w:t>
      </w:r>
      <w:r w:rsidR="00B913B9" w:rsidRPr="00ED2722">
        <w:rPr>
          <w:lang w:val="fr-FR"/>
        </w:rPr>
        <w:t xml:space="preserve">. </w:t>
      </w:r>
      <w:r w:rsidR="000F4A76" w:rsidRPr="00ED2722">
        <w:rPr>
          <w:lang w:val="fr-FR"/>
        </w:rPr>
        <w:t xml:space="preserve"> L’objectif de cet examen consiste à déterminer ce qu’un acheteur sans lien de dépendance paierait à la f</w:t>
      </w:r>
      <w:r w:rsidR="001930FC" w:rsidRPr="00ED2722">
        <w:rPr>
          <w:lang w:val="fr-FR"/>
        </w:rPr>
        <w:t>ois pour le bien et pour de tel</w:t>
      </w:r>
      <w:r w:rsidR="000F4A76" w:rsidRPr="00ED2722">
        <w:rPr>
          <w:lang w:val="fr-FR"/>
        </w:rPr>
        <w:t xml:space="preserve">s droits et avantages lorsqu’il existe un lien entre </w:t>
      </w:r>
      <w:proofErr w:type="spellStart"/>
      <w:r w:rsidR="000F4A76" w:rsidRPr="00ED2722">
        <w:rPr>
          <w:lang w:val="fr-FR"/>
        </w:rPr>
        <w:t>ceux</w:t>
      </w:r>
      <w:r w:rsidR="001E451F" w:rsidRPr="00ED2722">
        <w:rPr>
          <w:lang w:val="fr-FR"/>
        </w:rPr>
        <w:noBreakHyphen/>
      </w:r>
      <w:r w:rsidR="00E50EF3" w:rsidRPr="00ED2722">
        <w:rPr>
          <w:lang w:val="fr-FR"/>
        </w:rPr>
        <w:t>ci</w:t>
      </w:r>
      <w:proofErr w:type="spellEnd"/>
      <w:r w:rsidR="00E50EF3" w:rsidRPr="00ED2722">
        <w:rPr>
          <w:lang w:val="fr-FR"/>
        </w:rPr>
        <w:t xml:space="preserve"> et le prix payé pour le bien en question. </w:t>
      </w:r>
      <w:r w:rsidR="001E451F" w:rsidRPr="00ED2722">
        <w:rPr>
          <w:lang w:val="fr-FR"/>
        </w:rPr>
        <w:t xml:space="preserve"> </w:t>
      </w:r>
      <w:r w:rsidR="00E50EF3" w:rsidRPr="00ED2722">
        <w:rPr>
          <w:szCs w:val="24"/>
          <w:lang w:val="fr-FR"/>
        </w:rPr>
        <w:t>Toutefois, la fixation de prix de transfert n’est pas une science exacte et</w:t>
      </w:r>
      <w:r w:rsidRPr="00ED2722">
        <w:rPr>
          <w:szCs w:val="24"/>
          <w:lang w:val="fr-FR"/>
        </w:rPr>
        <w:t xml:space="preserve">, comme </w:t>
      </w:r>
      <w:r w:rsidR="00E50EF3" w:rsidRPr="00ED2722">
        <w:rPr>
          <w:szCs w:val="24"/>
          <w:lang w:val="fr-FR"/>
        </w:rPr>
        <w:t xml:space="preserve">il est fort peu probable que, quelle que soit la situation comparable choisie, </w:t>
      </w:r>
      <w:proofErr w:type="spellStart"/>
      <w:r w:rsidR="00E50EF3" w:rsidRPr="00ED2722">
        <w:rPr>
          <w:szCs w:val="24"/>
          <w:lang w:val="fr-FR"/>
        </w:rPr>
        <w:t>celle</w:t>
      </w:r>
      <w:r w:rsidR="001E451F" w:rsidRPr="00ED2722">
        <w:rPr>
          <w:szCs w:val="24"/>
          <w:lang w:val="fr-FR"/>
        </w:rPr>
        <w:noBreakHyphen/>
      </w:r>
      <w:r w:rsidR="00E50EF3" w:rsidRPr="00ED2722">
        <w:rPr>
          <w:szCs w:val="24"/>
          <w:lang w:val="fr-FR"/>
        </w:rPr>
        <w:t>ci</w:t>
      </w:r>
      <w:proofErr w:type="spellEnd"/>
      <w:r w:rsidR="00E50EF3" w:rsidRPr="00ED2722">
        <w:rPr>
          <w:szCs w:val="24"/>
          <w:lang w:val="fr-FR"/>
        </w:rPr>
        <w:t xml:space="preserve"> présente des circonstances identiques</w:t>
      </w:r>
      <w:r w:rsidRPr="00ED2722">
        <w:rPr>
          <w:szCs w:val="24"/>
          <w:lang w:val="fr-FR"/>
        </w:rPr>
        <w:t xml:space="preserve">, </w:t>
      </w:r>
      <w:r w:rsidR="00E50EF3" w:rsidRPr="00ED2722">
        <w:rPr>
          <w:szCs w:val="24"/>
          <w:lang w:val="fr-FR"/>
        </w:rPr>
        <w:t xml:space="preserve">le tribunal devra exercer un jugement éclairé pour établir un prix de pleine concurrence satisfaisant. </w:t>
      </w:r>
    </w:p>
    <w:p w:rsidR="00FC1AEF" w:rsidRPr="00ED2722" w:rsidRDefault="00B913B9" w:rsidP="001E451F">
      <w:pPr>
        <w:pStyle w:val="SCCNormalDoubleSpacing"/>
        <w:spacing w:after="480"/>
        <w:rPr>
          <w:lang w:val="fr-CA"/>
        </w:rPr>
      </w:pPr>
      <w:r w:rsidRPr="00ED2722">
        <w:rPr>
          <w:lang w:val="fr-FR"/>
        </w:rPr>
        <w:tab/>
      </w:r>
      <w:r w:rsidR="00E50EF3" w:rsidRPr="00ED2722">
        <w:rPr>
          <w:lang w:val="fr-FR"/>
        </w:rPr>
        <w:t xml:space="preserve">En l’espèce, une partie des prix d’achat versés par Glaxo Canada à </w:t>
      </w:r>
      <w:proofErr w:type="spellStart"/>
      <w:r w:rsidR="00E50EF3" w:rsidRPr="00ED2722">
        <w:rPr>
          <w:lang w:val="fr-FR"/>
        </w:rPr>
        <w:t>Adechsa</w:t>
      </w:r>
      <w:proofErr w:type="spellEnd"/>
      <w:r w:rsidR="00E50EF3" w:rsidRPr="00ED2722">
        <w:rPr>
          <w:lang w:val="fr-FR"/>
        </w:rPr>
        <w:t xml:space="preserve"> pour la </w:t>
      </w:r>
      <w:proofErr w:type="spellStart"/>
      <w:r w:rsidR="00E50EF3" w:rsidRPr="00ED2722">
        <w:rPr>
          <w:lang w:val="fr-FR"/>
        </w:rPr>
        <w:t>ranitidine</w:t>
      </w:r>
      <w:proofErr w:type="spellEnd"/>
      <w:r w:rsidR="00E50EF3" w:rsidRPr="00ED2722">
        <w:rPr>
          <w:lang w:val="fr-FR"/>
        </w:rPr>
        <w:t xml:space="preserve"> servait de contrepartie pour au moins certains des droits et avantages conférés par le contrat de licence.  </w:t>
      </w:r>
      <w:r w:rsidR="00A53336" w:rsidRPr="00ED2722">
        <w:rPr>
          <w:lang w:val="fr-FR"/>
        </w:rPr>
        <w:t>Par conséquent</w:t>
      </w:r>
      <w:r w:rsidRPr="00ED2722">
        <w:rPr>
          <w:lang w:val="fr-FR"/>
        </w:rPr>
        <w:t xml:space="preserve">, </w:t>
      </w:r>
      <w:r w:rsidR="00A53336" w:rsidRPr="00ED2722">
        <w:rPr>
          <w:lang w:val="fr-FR"/>
        </w:rPr>
        <w:t xml:space="preserve">le tribunal ne </w:t>
      </w:r>
      <w:r w:rsidR="00041872" w:rsidRPr="00ED2722">
        <w:rPr>
          <w:lang w:val="fr-FR"/>
        </w:rPr>
        <w:t>pouvait pas faire abstraction du</w:t>
      </w:r>
      <w:r w:rsidR="00A53336" w:rsidRPr="00ED2722">
        <w:rPr>
          <w:lang w:val="fr-FR"/>
        </w:rPr>
        <w:t xml:space="preserve"> contrat</w:t>
      </w:r>
      <w:r w:rsidR="00041872" w:rsidRPr="00ED2722">
        <w:rPr>
          <w:lang w:val="fr-FR"/>
        </w:rPr>
        <w:t xml:space="preserve"> de licence</w:t>
      </w:r>
      <w:r w:rsidR="00A53336" w:rsidRPr="00ED2722">
        <w:rPr>
          <w:lang w:val="fr-FR"/>
        </w:rPr>
        <w:t xml:space="preserve"> lorsqu’il déterminait le montant raisonnable qui devait être payé à </w:t>
      </w:r>
      <w:proofErr w:type="spellStart"/>
      <w:r w:rsidR="00A53336" w:rsidRPr="00ED2722">
        <w:rPr>
          <w:lang w:val="fr-FR"/>
        </w:rPr>
        <w:t>Ade</w:t>
      </w:r>
      <w:r w:rsidRPr="00ED2722">
        <w:rPr>
          <w:lang w:val="fr-FR"/>
        </w:rPr>
        <w:t>chsa</w:t>
      </w:r>
      <w:proofErr w:type="spellEnd"/>
      <w:r w:rsidR="00A53336" w:rsidRPr="00ED2722">
        <w:rPr>
          <w:lang w:val="fr-FR"/>
        </w:rPr>
        <w:t xml:space="preserve"> au sens du </w:t>
      </w:r>
      <w:r w:rsidR="001E451F" w:rsidRPr="00ED2722">
        <w:rPr>
          <w:lang w:val="fr-FR"/>
        </w:rPr>
        <w:t>par. </w:t>
      </w:r>
      <w:r w:rsidRPr="00ED2722">
        <w:rPr>
          <w:lang w:val="fr-FR"/>
        </w:rPr>
        <w:t>69(2),</w:t>
      </w:r>
      <w:r w:rsidR="00282330" w:rsidRPr="00ED2722">
        <w:rPr>
          <w:lang w:val="fr-FR"/>
        </w:rPr>
        <w:t xml:space="preserve"> lequel </w:t>
      </w:r>
      <w:proofErr w:type="gramStart"/>
      <w:r w:rsidR="00282330" w:rsidRPr="00ED2722">
        <w:rPr>
          <w:lang w:val="fr-FR"/>
        </w:rPr>
        <w:t>s’applique</w:t>
      </w:r>
      <w:proofErr w:type="gramEnd"/>
      <w:r w:rsidR="00A53336" w:rsidRPr="00ED2722">
        <w:rPr>
          <w:lang w:val="fr-FR"/>
        </w:rPr>
        <w:t xml:space="preserve"> non seulement </w:t>
      </w:r>
      <w:r w:rsidR="00282330" w:rsidRPr="00ED2722">
        <w:rPr>
          <w:lang w:val="fr-FR"/>
        </w:rPr>
        <w:t xml:space="preserve">aux paiements </w:t>
      </w:r>
      <w:r w:rsidR="00EA1B04" w:rsidRPr="00ED2722">
        <w:rPr>
          <w:lang w:val="fr-FR"/>
        </w:rPr>
        <w:t>faits</w:t>
      </w:r>
      <w:r w:rsidR="00282330" w:rsidRPr="00ED2722">
        <w:rPr>
          <w:lang w:val="fr-FR"/>
        </w:rPr>
        <w:t xml:space="preserve"> </w:t>
      </w:r>
      <w:r w:rsidR="00A53336" w:rsidRPr="00ED2722">
        <w:rPr>
          <w:lang w:val="fr-FR"/>
        </w:rPr>
        <w:t>pour des biens mais également</w:t>
      </w:r>
      <w:r w:rsidR="00282330" w:rsidRPr="00ED2722">
        <w:rPr>
          <w:lang w:val="fr-FR"/>
        </w:rPr>
        <w:t xml:space="preserve"> à ceux </w:t>
      </w:r>
      <w:r w:rsidR="00EA1B04" w:rsidRPr="00ED2722">
        <w:rPr>
          <w:lang w:val="fr-FR"/>
        </w:rPr>
        <w:t>faits</w:t>
      </w:r>
      <w:r w:rsidR="00A53336" w:rsidRPr="00ED2722">
        <w:rPr>
          <w:lang w:val="fr-FR"/>
        </w:rPr>
        <w:t xml:space="preserve"> pour des services</w:t>
      </w:r>
      <w:r w:rsidRPr="00ED2722">
        <w:rPr>
          <w:lang w:val="fr-FR"/>
        </w:rPr>
        <w:t xml:space="preserve">. </w:t>
      </w:r>
      <w:r w:rsidR="00924CD4" w:rsidRPr="00ED2722">
        <w:rPr>
          <w:lang w:val="fr-FR"/>
        </w:rPr>
        <w:t xml:space="preserve"> </w:t>
      </w:r>
      <w:r w:rsidR="00A53336" w:rsidRPr="00ED2722">
        <w:rPr>
          <w:lang w:val="fr-FR"/>
        </w:rPr>
        <w:t xml:space="preserve">L’examen </w:t>
      </w:r>
      <w:r w:rsidR="00DD4950" w:rsidRPr="00ED2722">
        <w:rPr>
          <w:lang w:val="fr-FR"/>
        </w:rPr>
        <w:t>corrélatif du contrat de licence et du contrat de fourniture permet de brosser un tableau réaliste des bénéfices réalisés par</w:t>
      </w:r>
      <w:r w:rsidR="00A53336" w:rsidRPr="00ED2722">
        <w:rPr>
          <w:lang w:val="fr-FR"/>
        </w:rPr>
        <w:t xml:space="preserve"> </w:t>
      </w:r>
      <w:r w:rsidRPr="00ED2722">
        <w:rPr>
          <w:lang w:val="fr-FR"/>
        </w:rPr>
        <w:t xml:space="preserve">Glaxo Canada.  </w:t>
      </w:r>
      <w:r w:rsidR="00DD4950" w:rsidRPr="00ED2722">
        <w:rPr>
          <w:lang w:val="fr-FR"/>
        </w:rPr>
        <w:t xml:space="preserve">Les prix payés par </w:t>
      </w:r>
      <w:r w:rsidRPr="00ED2722">
        <w:rPr>
          <w:lang w:val="fr-FR"/>
        </w:rPr>
        <w:t>Glaxo Canada</w:t>
      </w:r>
      <w:r w:rsidR="00502229" w:rsidRPr="00ED2722">
        <w:rPr>
          <w:lang w:val="fr-FR"/>
        </w:rPr>
        <w:t xml:space="preserve"> à</w:t>
      </w:r>
      <w:r w:rsidRPr="00ED2722">
        <w:rPr>
          <w:lang w:val="fr-FR"/>
        </w:rPr>
        <w:t xml:space="preserve"> </w:t>
      </w:r>
      <w:proofErr w:type="spellStart"/>
      <w:r w:rsidRPr="00ED2722">
        <w:rPr>
          <w:lang w:val="fr-FR"/>
        </w:rPr>
        <w:t>Adechsa</w:t>
      </w:r>
      <w:proofErr w:type="spellEnd"/>
      <w:r w:rsidR="00502229" w:rsidRPr="00ED2722">
        <w:rPr>
          <w:lang w:val="fr-FR"/>
        </w:rPr>
        <w:t xml:space="preserve"> l’étaient en contrepartie d’un ensemble de choses, à savoir au moins un certain nombre de droits et avantages prévus par le contrat de licence et le produit visé par le contrat de fourniture. </w:t>
      </w:r>
      <w:r w:rsidRPr="00ED2722">
        <w:rPr>
          <w:lang w:val="fr-FR"/>
        </w:rPr>
        <w:t xml:space="preserve"> </w:t>
      </w:r>
      <w:r w:rsidR="008F37D5" w:rsidRPr="00ED2722">
        <w:rPr>
          <w:lang w:val="fr-FR"/>
        </w:rPr>
        <w:t xml:space="preserve">Les comparaisons faites par la Cour de l’impôt avec les fabricants de produits pharmaceutiques génériques ne correspondent pas à la réalité économique et commerciale de </w:t>
      </w:r>
      <w:r w:rsidRPr="00ED2722">
        <w:rPr>
          <w:lang w:val="fr-FR"/>
        </w:rPr>
        <w:t>Glaxo Canada</w:t>
      </w:r>
      <w:r w:rsidR="008F37D5" w:rsidRPr="00ED2722">
        <w:rPr>
          <w:lang w:val="fr-FR"/>
        </w:rPr>
        <w:t xml:space="preserve"> et, à tout </w:t>
      </w:r>
      <w:r w:rsidR="008F37D5" w:rsidRPr="00ED2722">
        <w:rPr>
          <w:lang w:val="fr-FR"/>
        </w:rPr>
        <w:lastRenderedPageBreak/>
        <w:t xml:space="preserve">le moins à défaut d’ajustements, ne permettent pas de déterminer si le prix qui aurait été raisonnable dans les </w:t>
      </w:r>
      <w:r w:rsidRPr="00ED2722">
        <w:rPr>
          <w:lang w:val="fr-FR"/>
        </w:rPr>
        <w:t>circ</w:t>
      </w:r>
      <w:r w:rsidR="008F37D5" w:rsidRPr="00ED2722">
        <w:rPr>
          <w:lang w:val="fr-FR"/>
        </w:rPr>
        <w:t>onstances si</w:t>
      </w:r>
      <w:r w:rsidRPr="00ED2722">
        <w:rPr>
          <w:lang w:val="fr-FR"/>
        </w:rPr>
        <w:t xml:space="preserve"> Glaxo Canada </w:t>
      </w:r>
      <w:r w:rsidR="008F37D5" w:rsidRPr="00ED2722">
        <w:rPr>
          <w:lang w:val="fr-FR"/>
        </w:rPr>
        <w:t xml:space="preserve">et </w:t>
      </w:r>
      <w:proofErr w:type="spellStart"/>
      <w:r w:rsidR="008F37D5" w:rsidRPr="00ED2722">
        <w:rPr>
          <w:lang w:val="fr-FR"/>
        </w:rPr>
        <w:t>Adechsa</w:t>
      </w:r>
      <w:proofErr w:type="spellEnd"/>
      <w:r w:rsidR="008F37D5" w:rsidRPr="00ED2722">
        <w:rPr>
          <w:lang w:val="fr-FR"/>
        </w:rPr>
        <w:t xml:space="preserve"> n’avaient pas eu de lien de dépendance</w:t>
      </w:r>
      <w:r w:rsidRPr="00ED2722">
        <w:rPr>
          <w:lang w:val="fr-FR"/>
        </w:rPr>
        <w:t xml:space="preserve">. </w:t>
      </w:r>
      <w:r w:rsidR="001E451F" w:rsidRPr="00ED2722">
        <w:rPr>
          <w:lang w:val="fr-FR"/>
        </w:rPr>
        <w:t xml:space="preserve"> </w:t>
      </w:r>
      <w:r w:rsidR="00FC1AEF" w:rsidRPr="00ED2722">
        <w:rPr>
          <w:szCs w:val="24"/>
          <w:lang w:val="fr-CA"/>
        </w:rPr>
        <w:t>C’est uniquement après avoir dégagé les circonstances relatives au contrat de licence qui peuvent être rattachées au contrat de fourniture que des comparaisons au regard de situations de libre concurrence peuvent être effectuées au moyen de l’une ou l’autre des méthodes proposées par l’OCDE, ou de toute autre méthode.</w:t>
      </w:r>
    </w:p>
    <w:p w:rsidR="00B913B9" w:rsidRPr="00ED2722" w:rsidRDefault="00B913B9" w:rsidP="001E451F">
      <w:pPr>
        <w:pStyle w:val="SCCNormalDoubleSpacing"/>
        <w:spacing w:after="480"/>
        <w:rPr>
          <w:lang w:val="fr-FR"/>
        </w:rPr>
      </w:pPr>
      <w:r w:rsidRPr="00ED2722">
        <w:rPr>
          <w:szCs w:val="24"/>
          <w:lang w:val="fr-CA"/>
        </w:rPr>
        <w:tab/>
      </w:r>
      <w:r w:rsidR="00FC1AEF" w:rsidRPr="00ED2722">
        <w:rPr>
          <w:szCs w:val="24"/>
          <w:lang w:val="fr-FR"/>
        </w:rPr>
        <w:t xml:space="preserve">L’hypothèse suivant laquelle les prix que </w:t>
      </w:r>
      <w:r w:rsidRPr="00ED2722">
        <w:rPr>
          <w:lang w:val="fr-FR"/>
        </w:rPr>
        <w:t>Glaxo Canada</w:t>
      </w:r>
      <w:r w:rsidR="00BF5A4A" w:rsidRPr="00ED2722">
        <w:rPr>
          <w:lang w:val="fr-FR"/>
        </w:rPr>
        <w:t xml:space="preserve"> a payés pour se procurer de la </w:t>
      </w:r>
      <w:proofErr w:type="spellStart"/>
      <w:r w:rsidRPr="00ED2722">
        <w:rPr>
          <w:lang w:val="fr-FR"/>
        </w:rPr>
        <w:t>ranitidine</w:t>
      </w:r>
      <w:proofErr w:type="spellEnd"/>
      <w:r w:rsidR="00BF5A4A" w:rsidRPr="00ED2722">
        <w:rPr>
          <w:lang w:val="fr-FR"/>
        </w:rPr>
        <w:t xml:space="preserve"> étaient plus élevés que ceux qui auraient été raisonnables dans les </w:t>
      </w:r>
      <w:r w:rsidRPr="00ED2722">
        <w:rPr>
          <w:lang w:val="fr-FR"/>
        </w:rPr>
        <w:t>circ</w:t>
      </w:r>
      <w:r w:rsidR="00BF5A4A" w:rsidRPr="00ED2722">
        <w:rPr>
          <w:lang w:val="fr-FR"/>
        </w:rPr>
        <w:t>ons</w:t>
      </w:r>
      <w:r w:rsidRPr="00ED2722">
        <w:rPr>
          <w:lang w:val="fr-FR"/>
        </w:rPr>
        <w:t>tances</w:t>
      </w:r>
      <w:r w:rsidR="00BF5A4A" w:rsidRPr="00ED2722">
        <w:rPr>
          <w:lang w:val="fr-FR"/>
        </w:rPr>
        <w:t xml:space="preserve"> si </w:t>
      </w:r>
      <w:proofErr w:type="spellStart"/>
      <w:r w:rsidRPr="00ED2722">
        <w:rPr>
          <w:lang w:val="fr-FR"/>
        </w:rPr>
        <w:t>Adechsa</w:t>
      </w:r>
      <w:proofErr w:type="spellEnd"/>
      <w:r w:rsidR="00BF5A4A" w:rsidRPr="00ED2722">
        <w:rPr>
          <w:lang w:val="fr-FR"/>
        </w:rPr>
        <w:t xml:space="preserve"> et elle n’avaient pas eu de lien de dépendance entre elles n’a pas été démolie. </w:t>
      </w:r>
      <w:r w:rsidR="001E451F" w:rsidRPr="00ED2722">
        <w:rPr>
          <w:lang w:val="fr-FR"/>
        </w:rPr>
        <w:t xml:space="preserve"> </w:t>
      </w:r>
      <w:r w:rsidR="00BF5A4A" w:rsidRPr="00ED2722">
        <w:rPr>
          <w:szCs w:val="24"/>
          <w:lang w:val="fr-FR"/>
        </w:rPr>
        <w:t xml:space="preserve">Comme a conclu la Cour d’appel fédérale, l’affaire </w:t>
      </w:r>
      <w:r w:rsidR="00216C8D" w:rsidRPr="00ED2722">
        <w:rPr>
          <w:szCs w:val="24"/>
          <w:lang w:val="fr-FR"/>
        </w:rPr>
        <w:t xml:space="preserve">doit être renvoyée </w:t>
      </w:r>
      <w:r w:rsidR="00BF5A4A" w:rsidRPr="00ED2722">
        <w:rPr>
          <w:szCs w:val="24"/>
          <w:lang w:val="fr-FR"/>
        </w:rPr>
        <w:t xml:space="preserve">à la Cour de l’impôt pour qu’elle réexamine la question en tenant compte de l’incidence du contrat de licence sur les prix payés par </w:t>
      </w:r>
      <w:r w:rsidR="00BF5A4A" w:rsidRPr="00ED2722">
        <w:rPr>
          <w:lang w:val="fr-FR"/>
        </w:rPr>
        <w:t>Glaxo </w:t>
      </w:r>
      <w:r w:rsidRPr="00ED2722">
        <w:rPr>
          <w:lang w:val="fr-FR"/>
        </w:rPr>
        <w:t>Canada</w:t>
      </w:r>
      <w:r w:rsidR="00BF5A4A" w:rsidRPr="00ED2722">
        <w:rPr>
          <w:lang w:val="fr-FR"/>
        </w:rPr>
        <w:t xml:space="preserve"> pour se procurer de la </w:t>
      </w:r>
      <w:proofErr w:type="spellStart"/>
      <w:r w:rsidRPr="00ED2722">
        <w:rPr>
          <w:lang w:val="fr-FR"/>
        </w:rPr>
        <w:t>ranitidine</w:t>
      </w:r>
      <w:proofErr w:type="spellEnd"/>
      <w:r w:rsidR="00BF5A4A" w:rsidRPr="00ED2722">
        <w:rPr>
          <w:lang w:val="fr-FR"/>
        </w:rPr>
        <w:t xml:space="preserve"> auprès d’</w:t>
      </w:r>
      <w:proofErr w:type="spellStart"/>
      <w:r w:rsidR="00BF5A4A" w:rsidRPr="00ED2722">
        <w:rPr>
          <w:lang w:val="fr-FR"/>
        </w:rPr>
        <w:t>A</w:t>
      </w:r>
      <w:r w:rsidRPr="00ED2722">
        <w:rPr>
          <w:lang w:val="fr-FR"/>
        </w:rPr>
        <w:t>dechsa</w:t>
      </w:r>
      <w:proofErr w:type="spellEnd"/>
      <w:r w:rsidRPr="00ED2722">
        <w:rPr>
          <w:lang w:val="fr-FR"/>
        </w:rPr>
        <w:t xml:space="preserve">. </w:t>
      </w:r>
      <w:r w:rsidR="001E451F" w:rsidRPr="00ED2722">
        <w:rPr>
          <w:lang w:val="fr-FR"/>
        </w:rPr>
        <w:t xml:space="preserve"> </w:t>
      </w:r>
      <w:r w:rsidR="00BF5A4A" w:rsidRPr="00ED2722">
        <w:rPr>
          <w:lang w:val="fr-FR"/>
        </w:rPr>
        <w:t xml:space="preserve">C’est à la Cour de l’impôt qu’il appartiendra de décider s’il est justifié ou non en l’espèce de reconnaître l’existence d’une contrepartie pour les droits de propriété intellectuelle. </w:t>
      </w:r>
    </w:p>
    <w:p w:rsidR="004D7D95" w:rsidRPr="00ED2722" w:rsidRDefault="004D7D95" w:rsidP="00AA579C">
      <w:pPr>
        <w:pStyle w:val="SCCNormalDoubleSpacing"/>
        <w:keepNext/>
        <w:spacing w:after="720" w:line="240" w:lineRule="auto"/>
        <w:rPr>
          <w:b/>
          <w:lang w:val="fr-CA"/>
        </w:rPr>
      </w:pPr>
      <w:r w:rsidRPr="00ED2722">
        <w:rPr>
          <w:b/>
          <w:lang w:val="fr-CA"/>
        </w:rPr>
        <w:t>Jurisprudence</w:t>
      </w:r>
    </w:p>
    <w:p w:rsidR="004D7D95" w:rsidRPr="00ED2722" w:rsidRDefault="004D7D95" w:rsidP="00AA579C">
      <w:pPr>
        <w:pStyle w:val="SCCNormalDoubleSpacing"/>
        <w:spacing w:after="480"/>
        <w:rPr>
          <w:b/>
          <w:lang w:val="fr-CA"/>
        </w:rPr>
      </w:pPr>
      <w:r w:rsidRPr="00ED2722">
        <w:rPr>
          <w:lang w:val="fr-CA"/>
        </w:rPr>
        <w:tab/>
      </w:r>
      <w:r w:rsidR="00AE3894" w:rsidRPr="00ED2722">
        <w:rPr>
          <w:b/>
          <w:szCs w:val="24"/>
          <w:lang w:val="fr-CA"/>
        </w:rPr>
        <w:t>Distinction d’avec les arrêts</w:t>
      </w:r>
      <w:r w:rsidR="001E451F" w:rsidRPr="00ED2722">
        <w:rPr>
          <w:b/>
          <w:szCs w:val="24"/>
          <w:lang w:val="fr-CA"/>
        </w:rPr>
        <w:t> :</w:t>
      </w:r>
      <w:r w:rsidR="00AE3894" w:rsidRPr="00ED2722">
        <w:rPr>
          <w:szCs w:val="24"/>
          <w:lang w:val="fr-CA"/>
        </w:rPr>
        <w:t xml:space="preserve"> </w:t>
      </w:r>
      <w:r w:rsidR="00AE3894" w:rsidRPr="00ED2722">
        <w:rPr>
          <w:i/>
          <w:lang w:val="fr-CA"/>
        </w:rPr>
        <w:t>Singleton c. Canada</w:t>
      </w:r>
      <w:r w:rsidR="00AE3894" w:rsidRPr="00ED2722">
        <w:rPr>
          <w:lang w:val="fr-CA"/>
        </w:rPr>
        <w:t xml:space="preserve">, 2001 CSC 61, [2001] 2 R.C.S. 1046; </w:t>
      </w:r>
      <w:r w:rsidR="00AE3894" w:rsidRPr="00ED2722">
        <w:rPr>
          <w:i/>
          <w:lang w:val="fr-CA"/>
        </w:rPr>
        <w:t xml:space="preserve">Shell Canada </w:t>
      </w:r>
      <w:proofErr w:type="spellStart"/>
      <w:r w:rsidR="00AE3894" w:rsidRPr="00ED2722">
        <w:rPr>
          <w:i/>
          <w:lang w:val="fr-CA"/>
        </w:rPr>
        <w:t>Ltée</w:t>
      </w:r>
      <w:proofErr w:type="spellEnd"/>
      <w:r w:rsidR="00AE3894" w:rsidRPr="00ED2722">
        <w:rPr>
          <w:i/>
          <w:lang w:val="fr-CA"/>
        </w:rPr>
        <w:t xml:space="preserve"> c. Canada</w:t>
      </w:r>
      <w:r w:rsidR="00AE3894" w:rsidRPr="00ED2722">
        <w:rPr>
          <w:lang w:val="fr-CA"/>
        </w:rPr>
        <w:t xml:space="preserve">, [1999] 3 R.C.S. 622; </w:t>
      </w:r>
      <w:r w:rsidR="00AE3894" w:rsidRPr="00ED2722">
        <w:rPr>
          <w:b/>
          <w:lang w:val="fr-CA"/>
        </w:rPr>
        <w:t>a</w:t>
      </w:r>
      <w:r w:rsidRPr="00ED2722">
        <w:rPr>
          <w:b/>
          <w:lang w:val="fr-CA"/>
        </w:rPr>
        <w:t>rrêts mentionnés</w:t>
      </w:r>
      <w:r w:rsidR="001E451F" w:rsidRPr="00ED2722">
        <w:rPr>
          <w:b/>
          <w:lang w:val="fr-CA"/>
        </w:rPr>
        <w:t> :</w:t>
      </w:r>
      <w:r w:rsidRPr="00ED2722">
        <w:rPr>
          <w:lang w:val="fr-CA"/>
        </w:rPr>
        <w:t xml:space="preserve"> </w:t>
      </w:r>
      <w:proofErr w:type="spellStart"/>
      <w:r w:rsidR="002D5DCF" w:rsidRPr="00ED2722">
        <w:rPr>
          <w:i/>
          <w:lang w:val="fr-CA"/>
        </w:rPr>
        <w:t>Gabco</w:t>
      </w:r>
      <w:proofErr w:type="spellEnd"/>
      <w:r w:rsidR="002D5DCF" w:rsidRPr="00ED2722">
        <w:rPr>
          <w:i/>
          <w:lang w:val="fr-CA"/>
        </w:rPr>
        <w:t xml:space="preserve"> </w:t>
      </w:r>
      <w:r w:rsidR="00737F49" w:rsidRPr="00ED2722">
        <w:rPr>
          <w:i/>
          <w:lang w:val="fr-CA"/>
        </w:rPr>
        <w:t xml:space="preserve">Ltd. </w:t>
      </w:r>
      <w:r w:rsidR="002D5DCF" w:rsidRPr="00ED2722">
        <w:rPr>
          <w:i/>
          <w:lang w:val="fr-CA"/>
        </w:rPr>
        <w:t xml:space="preserve">c. </w:t>
      </w:r>
      <w:proofErr w:type="spellStart"/>
      <w:r w:rsidR="002D5DCF" w:rsidRPr="00ED2722">
        <w:rPr>
          <w:i/>
          <w:lang w:val="fr-CA"/>
        </w:rPr>
        <w:t>Minister</w:t>
      </w:r>
      <w:proofErr w:type="spellEnd"/>
      <w:r w:rsidR="002D5DCF" w:rsidRPr="00ED2722">
        <w:rPr>
          <w:i/>
          <w:lang w:val="fr-CA"/>
        </w:rPr>
        <w:t xml:space="preserve"> of National Revenue</w:t>
      </w:r>
      <w:r w:rsidR="002D5DCF" w:rsidRPr="00ED2722">
        <w:rPr>
          <w:lang w:val="fr-CA"/>
        </w:rPr>
        <w:t xml:space="preserve"> (1968), 68 D.T.C. 5210; </w:t>
      </w:r>
      <w:proofErr w:type="spellStart"/>
      <w:r w:rsidR="0018116C" w:rsidRPr="00ED2722">
        <w:rPr>
          <w:i/>
          <w:lang w:val="fr-CA"/>
        </w:rPr>
        <w:t>Hickman</w:t>
      </w:r>
      <w:proofErr w:type="spellEnd"/>
      <w:r w:rsidR="0018116C" w:rsidRPr="00ED2722">
        <w:rPr>
          <w:i/>
          <w:lang w:val="fr-CA"/>
        </w:rPr>
        <w:t xml:space="preserve"> Motors Ltd. c. Canada</w:t>
      </w:r>
      <w:r w:rsidR="0018116C" w:rsidRPr="00ED2722">
        <w:rPr>
          <w:lang w:val="fr-CA"/>
        </w:rPr>
        <w:t>, [1997] 2 R.C.S. 336.</w:t>
      </w:r>
    </w:p>
    <w:p w:rsidR="004D7D95" w:rsidRPr="00ED2722" w:rsidRDefault="004D7D95" w:rsidP="00AA579C">
      <w:pPr>
        <w:pStyle w:val="SCCNormalDoubleSpacing"/>
        <w:keepNext/>
        <w:spacing w:after="720" w:line="240" w:lineRule="auto"/>
        <w:rPr>
          <w:b/>
          <w:lang w:val="fr-CA"/>
        </w:rPr>
      </w:pPr>
      <w:r w:rsidRPr="00ED2722">
        <w:rPr>
          <w:b/>
          <w:lang w:val="fr-CA"/>
        </w:rPr>
        <w:lastRenderedPageBreak/>
        <w:t>Lois et règlements cités</w:t>
      </w:r>
    </w:p>
    <w:p w:rsidR="002D5DCF" w:rsidRPr="00ED2722" w:rsidRDefault="00E75656" w:rsidP="00AA579C">
      <w:pPr>
        <w:pStyle w:val="SCCNormalDoubleSpacing"/>
        <w:spacing w:after="240" w:line="240" w:lineRule="auto"/>
        <w:ind w:left="547" w:hanging="547"/>
        <w:rPr>
          <w:lang w:val="fr-CA"/>
        </w:rPr>
      </w:pPr>
      <w:r w:rsidRPr="00ED2722">
        <w:rPr>
          <w:i/>
          <w:lang w:val="fr-CA"/>
        </w:rPr>
        <w:t xml:space="preserve">Loi </w:t>
      </w:r>
      <w:r w:rsidR="00737F49" w:rsidRPr="00ED2722">
        <w:rPr>
          <w:i/>
          <w:lang w:val="fr-CA"/>
        </w:rPr>
        <w:t>de l’impôt</w:t>
      </w:r>
      <w:r w:rsidRPr="00ED2722">
        <w:rPr>
          <w:i/>
          <w:lang w:val="fr-CA"/>
        </w:rPr>
        <w:t xml:space="preserve"> sur le revenu</w:t>
      </w:r>
      <w:r w:rsidRPr="00ED2722">
        <w:rPr>
          <w:lang w:val="fr-CA"/>
        </w:rPr>
        <w:t xml:space="preserve">, S.C. 1948, </w:t>
      </w:r>
      <w:r w:rsidR="001E451F" w:rsidRPr="00ED2722">
        <w:rPr>
          <w:lang w:val="fr-CA"/>
        </w:rPr>
        <w:t>ch. </w:t>
      </w:r>
      <w:r w:rsidRPr="00ED2722">
        <w:rPr>
          <w:lang w:val="fr-CA"/>
        </w:rPr>
        <w:t xml:space="preserve">52, </w:t>
      </w:r>
      <w:r w:rsidR="001E451F" w:rsidRPr="00ED2722">
        <w:rPr>
          <w:lang w:val="fr-CA"/>
        </w:rPr>
        <w:t>art. </w:t>
      </w:r>
      <w:r w:rsidRPr="00ED2722">
        <w:rPr>
          <w:lang w:val="fr-CA"/>
        </w:rPr>
        <w:t>17(3).</w:t>
      </w:r>
    </w:p>
    <w:p w:rsidR="00E75656" w:rsidRPr="00ED2722" w:rsidRDefault="00E75656" w:rsidP="00AA579C">
      <w:pPr>
        <w:pStyle w:val="SCCNormalDoubleSpacing"/>
        <w:spacing w:after="240" w:line="240" w:lineRule="auto"/>
        <w:ind w:left="547" w:hanging="547"/>
        <w:rPr>
          <w:lang w:val="fr-CA"/>
        </w:rPr>
      </w:pPr>
      <w:r w:rsidRPr="00ED2722">
        <w:rPr>
          <w:i/>
          <w:lang w:val="fr-CA"/>
        </w:rPr>
        <w:t xml:space="preserve">Loi </w:t>
      </w:r>
      <w:r w:rsidR="00737F49" w:rsidRPr="00ED2722">
        <w:rPr>
          <w:i/>
          <w:lang w:val="fr-CA"/>
        </w:rPr>
        <w:t>de l’impôt</w:t>
      </w:r>
      <w:r w:rsidRPr="00ED2722">
        <w:rPr>
          <w:i/>
          <w:lang w:val="fr-CA"/>
        </w:rPr>
        <w:t xml:space="preserve"> sur le revenu</w:t>
      </w:r>
      <w:r w:rsidRPr="00ED2722">
        <w:rPr>
          <w:lang w:val="fr-CA"/>
        </w:rPr>
        <w:t xml:space="preserve">, S.R.C. 1952, </w:t>
      </w:r>
      <w:r w:rsidR="001E451F" w:rsidRPr="00ED2722">
        <w:rPr>
          <w:lang w:val="fr-CA"/>
        </w:rPr>
        <w:t>ch. </w:t>
      </w:r>
      <w:r w:rsidRPr="00ED2722">
        <w:rPr>
          <w:lang w:val="fr-CA"/>
        </w:rPr>
        <w:t xml:space="preserve">148, </w:t>
      </w:r>
      <w:r w:rsidR="001E451F" w:rsidRPr="00ED2722">
        <w:rPr>
          <w:lang w:val="fr-CA"/>
        </w:rPr>
        <w:t>art. </w:t>
      </w:r>
      <w:r w:rsidRPr="00ED2722">
        <w:rPr>
          <w:lang w:val="fr-CA"/>
        </w:rPr>
        <w:t>17(3) [</w:t>
      </w:r>
      <w:proofErr w:type="spellStart"/>
      <w:r w:rsidRPr="00ED2722">
        <w:rPr>
          <w:lang w:val="fr-CA"/>
        </w:rPr>
        <w:t>abr</w:t>
      </w:r>
      <w:proofErr w:type="spellEnd"/>
      <w:r w:rsidRPr="00ED2722">
        <w:rPr>
          <w:lang w:val="fr-CA"/>
        </w:rPr>
        <w:t>. 1970</w:t>
      </w:r>
      <w:r w:rsidR="001E451F" w:rsidRPr="00ED2722">
        <w:rPr>
          <w:lang w:val="fr-CA"/>
        </w:rPr>
        <w:noBreakHyphen/>
      </w:r>
      <w:r w:rsidRPr="00ED2722">
        <w:rPr>
          <w:lang w:val="fr-CA"/>
        </w:rPr>
        <w:t>71</w:t>
      </w:r>
      <w:r w:rsidR="001E451F" w:rsidRPr="00ED2722">
        <w:rPr>
          <w:lang w:val="fr-CA"/>
        </w:rPr>
        <w:noBreakHyphen/>
      </w:r>
      <w:r w:rsidRPr="00ED2722">
        <w:rPr>
          <w:lang w:val="fr-CA"/>
        </w:rPr>
        <w:t xml:space="preserve">72, </w:t>
      </w:r>
      <w:r w:rsidR="001E451F" w:rsidRPr="00ED2722">
        <w:rPr>
          <w:lang w:val="fr-CA"/>
        </w:rPr>
        <w:t>ch. </w:t>
      </w:r>
      <w:r w:rsidRPr="00ED2722">
        <w:rPr>
          <w:lang w:val="fr-CA"/>
        </w:rPr>
        <w:t xml:space="preserve">63, </w:t>
      </w:r>
      <w:r w:rsidR="001E451F" w:rsidRPr="00ED2722">
        <w:rPr>
          <w:lang w:val="fr-CA"/>
        </w:rPr>
        <w:t>art. </w:t>
      </w:r>
      <w:r w:rsidRPr="00ED2722">
        <w:rPr>
          <w:lang w:val="fr-CA"/>
        </w:rPr>
        <w:t>1], 69(2) [</w:t>
      </w:r>
      <w:proofErr w:type="spellStart"/>
      <w:r w:rsidRPr="00ED2722">
        <w:rPr>
          <w:lang w:val="fr-CA"/>
        </w:rPr>
        <w:t>aj</w:t>
      </w:r>
      <w:proofErr w:type="spellEnd"/>
      <w:r w:rsidRPr="00ED2722">
        <w:rPr>
          <w:lang w:val="fr-CA"/>
        </w:rPr>
        <w:t xml:space="preserve">. </w:t>
      </w:r>
      <w:r w:rsidRPr="00ED2722">
        <w:rPr>
          <w:i/>
          <w:lang w:val="fr-CA"/>
        </w:rPr>
        <w:t>idem</w:t>
      </w:r>
      <w:r w:rsidRPr="00ED2722">
        <w:rPr>
          <w:lang w:val="fr-CA"/>
        </w:rPr>
        <w:t>].</w:t>
      </w:r>
    </w:p>
    <w:p w:rsidR="00AE3894" w:rsidRPr="00ED2722" w:rsidRDefault="00AE3894" w:rsidP="00AE3894">
      <w:pPr>
        <w:pStyle w:val="SCCNormalDoubleSpacing"/>
        <w:spacing w:after="240" w:line="240" w:lineRule="auto"/>
        <w:ind w:left="547" w:hanging="547"/>
        <w:rPr>
          <w:lang w:val="fr-FR"/>
        </w:rPr>
      </w:pPr>
      <w:r w:rsidRPr="00ED2722">
        <w:rPr>
          <w:i/>
          <w:lang w:val="fr-FR"/>
        </w:rPr>
        <w:t>Loi de 1992 modifiant la Loi sur les brevets</w:t>
      </w:r>
      <w:r w:rsidRPr="00ED2722">
        <w:rPr>
          <w:lang w:val="fr-FR"/>
        </w:rPr>
        <w:t xml:space="preserve">, L.C. 1993, </w:t>
      </w:r>
      <w:r w:rsidR="001E451F" w:rsidRPr="00ED2722">
        <w:rPr>
          <w:lang w:val="fr-FR"/>
        </w:rPr>
        <w:t>ch. </w:t>
      </w:r>
      <w:r w:rsidRPr="00ED2722">
        <w:rPr>
          <w:lang w:val="fr-FR"/>
        </w:rPr>
        <w:t xml:space="preserve">2, </w:t>
      </w:r>
      <w:r w:rsidR="001E451F" w:rsidRPr="00ED2722">
        <w:rPr>
          <w:lang w:val="fr-FR"/>
        </w:rPr>
        <w:t>art. </w:t>
      </w:r>
      <w:r w:rsidRPr="00ED2722">
        <w:rPr>
          <w:lang w:val="fr-FR"/>
        </w:rPr>
        <w:t>11(1).</w:t>
      </w:r>
    </w:p>
    <w:p w:rsidR="00737F49" w:rsidRPr="00ED2722" w:rsidRDefault="00737F49" w:rsidP="00737F49">
      <w:pPr>
        <w:pStyle w:val="SCCNormalDoubleSpacing"/>
        <w:spacing w:after="240" w:line="240" w:lineRule="auto"/>
        <w:ind w:left="547" w:hanging="547"/>
        <w:rPr>
          <w:lang w:val="fr-CA"/>
        </w:rPr>
      </w:pPr>
      <w:r w:rsidRPr="00ED2722">
        <w:rPr>
          <w:i/>
          <w:lang w:val="fr-CA"/>
        </w:rPr>
        <w:t>Loi de 1997 modifiant l’impôt sur le revenu</w:t>
      </w:r>
      <w:r w:rsidRPr="00ED2722">
        <w:rPr>
          <w:lang w:val="fr-CA"/>
        </w:rPr>
        <w:t>, L.C. 1998, ch. 19, art. 107, 238.</w:t>
      </w:r>
    </w:p>
    <w:p w:rsidR="002D5DCF" w:rsidRPr="00ED2722" w:rsidRDefault="002D5DCF" w:rsidP="00AA579C">
      <w:pPr>
        <w:pStyle w:val="SCCNormalDoubleSpacing"/>
        <w:spacing w:after="240" w:line="240" w:lineRule="auto"/>
        <w:ind w:left="547" w:hanging="547"/>
        <w:rPr>
          <w:lang w:val="fr-CA"/>
        </w:rPr>
      </w:pPr>
      <w:r w:rsidRPr="00ED2722">
        <w:rPr>
          <w:i/>
          <w:lang w:val="fr-CA"/>
        </w:rPr>
        <w:t>Loi de l’impôt de guerre sur le revenu</w:t>
      </w:r>
      <w:r w:rsidRPr="00ED2722">
        <w:rPr>
          <w:lang w:val="fr-CA"/>
        </w:rPr>
        <w:t xml:space="preserve">, S.R.C. 1927, </w:t>
      </w:r>
      <w:r w:rsidR="001E451F" w:rsidRPr="00ED2722">
        <w:rPr>
          <w:lang w:val="fr-CA"/>
        </w:rPr>
        <w:t>ch. </w:t>
      </w:r>
      <w:r w:rsidRPr="00ED2722">
        <w:rPr>
          <w:lang w:val="fr-CA"/>
        </w:rPr>
        <w:t>97</w:t>
      </w:r>
      <w:r w:rsidR="009B2AAB" w:rsidRPr="00ED2722">
        <w:rPr>
          <w:lang w:val="fr-CA"/>
        </w:rPr>
        <w:t xml:space="preserve">, </w:t>
      </w:r>
      <w:r w:rsidR="001E451F" w:rsidRPr="00ED2722">
        <w:rPr>
          <w:lang w:val="fr-CA"/>
        </w:rPr>
        <w:t>art. </w:t>
      </w:r>
      <w:r w:rsidR="009B2AAB" w:rsidRPr="00ED2722">
        <w:rPr>
          <w:lang w:val="fr-CA"/>
        </w:rPr>
        <w:t>23B [</w:t>
      </w:r>
      <w:proofErr w:type="spellStart"/>
      <w:r w:rsidR="009B2AAB" w:rsidRPr="00ED2722">
        <w:rPr>
          <w:lang w:val="fr-CA"/>
        </w:rPr>
        <w:t>aj</w:t>
      </w:r>
      <w:proofErr w:type="spellEnd"/>
      <w:r w:rsidR="009B2AAB" w:rsidRPr="00ED2722">
        <w:rPr>
          <w:lang w:val="fr-CA"/>
        </w:rPr>
        <w:t xml:space="preserve">. 1939, </w:t>
      </w:r>
      <w:r w:rsidR="001E451F" w:rsidRPr="00ED2722">
        <w:rPr>
          <w:lang w:val="fr-CA"/>
        </w:rPr>
        <w:t>ch. </w:t>
      </w:r>
      <w:r w:rsidR="009B2AAB" w:rsidRPr="00ED2722">
        <w:rPr>
          <w:lang w:val="fr-CA"/>
        </w:rPr>
        <w:t xml:space="preserve">46, </w:t>
      </w:r>
      <w:r w:rsidR="001E451F" w:rsidRPr="00ED2722">
        <w:rPr>
          <w:lang w:val="fr-CA"/>
        </w:rPr>
        <w:t>art. </w:t>
      </w:r>
      <w:r w:rsidR="009B2AAB" w:rsidRPr="00ED2722">
        <w:rPr>
          <w:lang w:val="fr-CA"/>
        </w:rPr>
        <w:t>13]</w:t>
      </w:r>
      <w:r w:rsidRPr="00ED2722">
        <w:rPr>
          <w:lang w:val="fr-CA"/>
        </w:rPr>
        <w:t>.</w:t>
      </w:r>
    </w:p>
    <w:p w:rsidR="004D7D95" w:rsidRPr="00ED2722" w:rsidRDefault="00052552" w:rsidP="00AA579C">
      <w:pPr>
        <w:pStyle w:val="SCCNormalDoubleSpacing"/>
        <w:spacing w:after="240" w:line="240" w:lineRule="auto"/>
        <w:ind w:left="547" w:hanging="547"/>
        <w:rPr>
          <w:lang w:val="fr-CA"/>
        </w:rPr>
      </w:pPr>
      <w:r w:rsidRPr="00ED2722">
        <w:rPr>
          <w:i/>
          <w:lang w:val="fr-CA"/>
        </w:rPr>
        <w:t>Loi de l’impôt sur le revenu</w:t>
      </w:r>
      <w:r w:rsidRPr="00ED2722">
        <w:rPr>
          <w:lang w:val="fr-CA"/>
        </w:rPr>
        <w:t xml:space="preserve">, L.R.C. 1985, </w:t>
      </w:r>
      <w:r w:rsidR="001E451F" w:rsidRPr="00ED2722">
        <w:rPr>
          <w:lang w:val="fr-CA"/>
        </w:rPr>
        <w:t>ch. </w:t>
      </w:r>
      <w:r w:rsidRPr="00ED2722">
        <w:rPr>
          <w:lang w:val="fr-CA"/>
        </w:rPr>
        <w:t>1 (5</w:t>
      </w:r>
      <w:r w:rsidRPr="00ED2722">
        <w:rPr>
          <w:vertAlign w:val="superscript"/>
          <w:lang w:val="fr-CA"/>
        </w:rPr>
        <w:t>e</w:t>
      </w:r>
      <w:r w:rsidRPr="00ED2722">
        <w:rPr>
          <w:lang w:val="fr-CA"/>
        </w:rPr>
        <w:t xml:space="preserve"> suppl.), </w:t>
      </w:r>
      <w:r w:rsidR="001E451F" w:rsidRPr="00ED2722">
        <w:rPr>
          <w:lang w:val="fr-CA"/>
        </w:rPr>
        <w:t>art. </w:t>
      </w:r>
      <w:r w:rsidR="002D5DCF" w:rsidRPr="00ED2722">
        <w:rPr>
          <w:lang w:val="fr-CA"/>
        </w:rPr>
        <w:t>20(1)</w:t>
      </w:r>
      <w:r w:rsidR="002D5DCF" w:rsidRPr="00ED2722">
        <w:rPr>
          <w:i/>
          <w:lang w:val="fr-CA"/>
        </w:rPr>
        <w:t>c</w:t>
      </w:r>
      <w:r w:rsidR="002D5DCF" w:rsidRPr="00ED2722">
        <w:rPr>
          <w:lang w:val="fr-CA"/>
        </w:rPr>
        <w:t>)(i), 69(2)</w:t>
      </w:r>
      <w:r w:rsidR="009B2AAB" w:rsidRPr="00ED2722">
        <w:rPr>
          <w:lang w:val="fr-CA"/>
        </w:rPr>
        <w:t xml:space="preserve"> [</w:t>
      </w:r>
      <w:proofErr w:type="spellStart"/>
      <w:r w:rsidR="009B2AAB" w:rsidRPr="00ED2722">
        <w:rPr>
          <w:lang w:val="fr-CA"/>
        </w:rPr>
        <w:t>abr</w:t>
      </w:r>
      <w:proofErr w:type="spellEnd"/>
      <w:r w:rsidR="009B2AAB" w:rsidRPr="00ED2722">
        <w:rPr>
          <w:lang w:val="fr-CA"/>
        </w:rPr>
        <w:t xml:space="preserve">. 1998, </w:t>
      </w:r>
      <w:r w:rsidR="001E451F" w:rsidRPr="00ED2722">
        <w:rPr>
          <w:lang w:val="fr-CA"/>
        </w:rPr>
        <w:t>ch. </w:t>
      </w:r>
      <w:r w:rsidR="009B2AAB" w:rsidRPr="00ED2722">
        <w:rPr>
          <w:lang w:val="fr-CA"/>
        </w:rPr>
        <w:t xml:space="preserve">19, </w:t>
      </w:r>
      <w:r w:rsidR="001E451F" w:rsidRPr="00ED2722">
        <w:rPr>
          <w:lang w:val="fr-CA"/>
        </w:rPr>
        <w:t>art. </w:t>
      </w:r>
      <w:r w:rsidR="009B2AAB" w:rsidRPr="00ED2722">
        <w:rPr>
          <w:lang w:val="fr-CA"/>
        </w:rPr>
        <w:t>107]</w:t>
      </w:r>
      <w:r w:rsidR="002D5DCF" w:rsidRPr="00ED2722">
        <w:rPr>
          <w:lang w:val="fr-CA"/>
        </w:rPr>
        <w:t>, 212(1)</w:t>
      </w:r>
      <w:r w:rsidR="002D5DCF" w:rsidRPr="00ED2722">
        <w:rPr>
          <w:i/>
          <w:lang w:val="fr-CA"/>
        </w:rPr>
        <w:t>d</w:t>
      </w:r>
      <w:r w:rsidR="002D5DCF" w:rsidRPr="00ED2722">
        <w:rPr>
          <w:lang w:val="fr-CA"/>
        </w:rPr>
        <w:t>), 215(1), 247(2)</w:t>
      </w:r>
      <w:r w:rsidR="009B2AAB" w:rsidRPr="00ED2722">
        <w:rPr>
          <w:lang w:val="fr-CA"/>
        </w:rPr>
        <w:t xml:space="preserve"> [</w:t>
      </w:r>
      <w:proofErr w:type="spellStart"/>
      <w:r w:rsidR="009B2AAB" w:rsidRPr="00ED2722">
        <w:rPr>
          <w:lang w:val="fr-CA"/>
        </w:rPr>
        <w:t>aj</w:t>
      </w:r>
      <w:proofErr w:type="spellEnd"/>
      <w:r w:rsidR="009B2AAB" w:rsidRPr="00ED2722">
        <w:rPr>
          <w:lang w:val="fr-CA"/>
        </w:rPr>
        <w:t xml:space="preserve">. </w:t>
      </w:r>
      <w:r w:rsidR="009B2AAB" w:rsidRPr="00ED2722">
        <w:rPr>
          <w:i/>
          <w:lang w:val="fr-CA"/>
        </w:rPr>
        <w:t>idem</w:t>
      </w:r>
      <w:r w:rsidR="009B2AAB" w:rsidRPr="00ED2722">
        <w:rPr>
          <w:lang w:val="fr-CA"/>
        </w:rPr>
        <w:t xml:space="preserve">, </w:t>
      </w:r>
      <w:r w:rsidR="001E451F" w:rsidRPr="00ED2722">
        <w:rPr>
          <w:lang w:val="fr-CA"/>
        </w:rPr>
        <w:t>art. </w:t>
      </w:r>
      <w:r w:rsidR="009B2AAB" w:rsidRPr="00ED2722">
        <w:rPr>
          <w:lang w:val="fr-CA"/>
        </w:rPr>
        <w:t>238]</w:t>
      </w:r>
      <w:r w:rsidRPr="00ED2722">
        <w:rPr>
          <w:lang w:val="fr-CA"/>
        </w:rPr>
        <w:t>.</w:t>
      </w:r>
    </w:p>
    <w:p w:rsidR="002D5DCF" w:rsidRPr="00ED2722" w:rsidRDefault="009B2AAB" w:rsidP="00AA579C">
      <w:pPr>
        <w:pStyle w:val="SCCNormalDoubleSpacing"/>
        <w:spacing w:after="240" w:line="240" w:lineRule="auto"/>
        <w:ind w:left="547" w:hanging="547"/>
        <w:rPr>
          <w:lang w:val="fr-CA"/>
        </w:rPr>
      </w:pPr>
      <w:r w:rsidRPr="00ED2722">
        <w:rPr>
          <w:i/>
          <w:lang w:val="fr-CA"/>
        </w:rPr>
        <w:t>Loi modifiant la Loi de l’impôt de guerre sur le revenu</w:t>
      </w:r>
      <w:r w:rsidRPr="00ED2722">
        <w:rPr>
          <w:lang w:val="fr-CA"/>
        </w:rPr>
        <w:t xml:space="preserve">, S.C. 1939, </w:t>
      </w:r>
      <w:r w:rsidR="001E451F" w:rsidRPr="00ED2722">
        <w:rPr>
          <w:lang w:val="fr-CA"/>
        </w:rPr>
        <w:t>ch. </w:t>
      </w:r>
      <w:r w:rsidRPr="00ED2722">
        <w:rPr>
          <w:lang w:val="fr-CA"/>
        </w:rPr>
        <w:t xml:space="preserve">46, </w:t>
      </w:r>
      <w:r w:rsidR="001E451F" w:rsidRPr="00ED2722">
        <w:rPr>
          <w:lang w:val="fr-CA"/>
        </w:rPr>
        <w:t>art. </w:t>
      </w:r>
      <w:r w:rsidR="00E75656" w:rsidRPr="00ED2722">
        <w:rPr>
          <w:lang w:val="fr-CA"/>
        </w:rPr>
        <w:t>13.</w:t>
      </w:r>
    </w:p>
    <w:p w:rsidR="00E75656" w:rsidRPr="00ED2722" w:rsidRDefault="00E75656" w:rsidP="00AE3894">
      <w:pPr>
        <w:pStyle w:val="SCCNormalDoubleSpacing"/>
        <w:spacing w:after="720" w:line="240" w:lineRule="auto"/>
        <w:ind w:left="547" w:hanging="547"/>
        <w:rPr>
          <w:lang w:val="fr-CA"/>
        </w:rPr>
      </w:pPr>
      <w:r w:rsidRPr="00ED2722">
        <w:rPr>
          <w:i/>
          <w:lang w:val="fr-CA"/>
        </w:rPr>
        <w:t>Loi modifiant la Loi de l’impôt sur le revenu, effectuant certains changements et introduisant certaines dispositions dans la législation relatifs ou consécutifs aux modifications apportées à la présente loi</w:t>
      </w:r>
      <w:r w:rsidRPr="00ED2722">
        <w:rPr>
          <w:lang w:val="fr-CA"/>
        </w:rPr>
        <w:t>, L.C. 1970</w:t>
      </w:r>
      <w:r w:rsidR="001E451F" w:rsidRPr="00ED2722">
        <w:rPr>
          <w:lang w:val="fr-CA"/>
        </w:rPr>
        <w:noBreakHyphen/>
      </w:r>
      <w:r w:rsidRPr="00ED2722">
        <w:rPr>
          <w:lang w:val="fr-CA"/>
        </w:rPr>
        <w:t>71</w:t>
      </w:r>
      <w:r w:rsidR="001E451F" w:rsidRPr="00ED2722">
        <w:rPr>
          <w:lang w:val="fr-CA"/>
        </w:rPr>
        <w:noBreakHyphen/>
      </w:r>
      <w:r w:rsidRPr="00ED2722">
        <w:rPr>
          <w:lang w:val="fr-CA"/>
        </w:rPr>
        <w:t xml:space="preserve">72, </w:t>
      </w:r>
      <w:r w:rsidR="001E451F" w:rsidRPr="00ED2722">
        <w:rPr>
          <w:lang w:val="fr-CA"/>
        </w:rPr>
        <w:t>ch. </w:t>
      </w:r>
      <w:r w:rsidRPr="00ED2722">
        <w:rPr>
          <w:lang w:val="fr-CA"/>
        </w:rPr>
        <w:t xml:space="preserve">63, </w:t>
      </w:r>
      <w:r w:rsidR="001E451F" w:rsidRPr="00ED2722">
        <w:rPr>
          <w:lang w:val="fr-CA"/>
        </w:rPr>
        <w:t>art. </w:t>
      </w:r>
      <w:r w:rsidRPr="00ED2722">
        <w:rPr>
          <w:lang w:val="fr-CA"/>
        </w:rPr>
        <w:t>1.</w:t>
      </w:r>
    </w:p>
    <w:p w:rsidR="004D7D95" w:rsidRPr="00ED2722" w:rsidRDefault="004D7D95" w:rsidP="00AA579C">
      <w:pPr>
        <w:pStyle w:val="SCCNormalDoubleSpacing"/>
        <w:keepNext/>
        <w:spacing w:after="720" w:line="240" w:lineRule="auto"/>
        <w:rPr>
          <w:b/>
          <w:lang w:val="fr-CA"/>
        </w:rPr>
      </w:pPr>
      <w:r w:rsidRPr="00ED2722">
        <w:rPr>
          <w:b/>
          <w:lang w:val="fr-CA"/>
        </w:rPr>
        <w:t>Doctrine et autres documents cités</w:t>
      </w:r>
    </w:p>
    <w:p w:rsidR="00005148" w:rsidRPr="00ED2722" w:rsidRDefault="00005148" w:rsidP="00AA579C">
      <w:pPr>
        <w:pStyle w:val="SCCNormalDoubleSpacing"/>
        <w:spacing w:after="240" w:line="240" w:lineRule="auto"/>
        <w:ind w:left="547" w:hanging="547"/>
        <w:rPr>
          <w:lang w:val="fr-CA"/>
        </w:rPr>
      </w:pPr>
      <w:r w:rsidRPr="00ED2722">
        <w:rPr>
          <w:lang w:val="fr-CA"/>
        </w:rPr>
        <w:t xml:space="preserve">Organisation de Coopération et de Développement Économiques.  </w:t>
      </w:r>
      <w:r w:rsidRPr="00ED2722">
        <w:rPr>
          <w:i/>
          <w:lang w:val="fr-CA"/>
        </w:rPr>
        <w:t>Principes applicables en matière de prix de transfert à l’intention des entreprises multinationales et des administrations fiscales</w:t>
      </w:r>
      <w:r w:rsidRPr="00ED2722">
        <w:rPr>
          <w:lang w:val="fr-CA"/>
        </w:rPr>
        <w:t>.  Paris</w:t>
      </w:r>
      <w:r w:rsidR="001E451F" w:rsidRPr="00ED2722">
        <w:rPr>
          <w:lang w:val="fr-CA"/>
        </w:rPr>
        <w:t> :</w:t>
      </w:r>
      <w:r w:rsidR="00737F49" w:rsidRPr="00ED2722">
        <w:rPr>
          <w:lang w:val="fr-CA"/>
        </w:rPr>
        <w:t xml:space="preserve"> L’Organisation, 1995</w:t>
      </w:r>
      <w:r w:rsidRPr="00ED2722">
        <w:rPr>
          <w:lang w:val="fr-CA"/>
        </w:rPr>
        <w:t>.</w:t>
      </w:r>
    </w:p>
    <w:p w:rsidR="004D7D95" w:rsidRPr="00ED2722" w:rsidRDefault="00D33C8D" w:rsidP="00AA579C">
      <w:pPr>
        <w:pStyle w:val="SCCNormalDoubleSpacing"/>
        <w:spacing w:after="720" w:line="240" w:lineRule="auto"/>
        <w:ind w:left="547" w:hanging="547"/>
        <w:rPr>
          <w:lang w:val="fr-CA"/>
        </w:rPr>
      </w:pPr>
      <w:r w:rsidRPr="00ED2722">
        <w:rPr>
          <w:lang w:val="fr-CA"/>
        </w:rPr>
        <w:t xml:space="preserve">Organisation de Coopération et de Développement Économiques.  </w:t>
      </w:r>
      <w:r w:rsidRPr="00ED2722">
        <w:rPr>
          <w:i/>
          <w:lang w:val="fr-CA"/>
        </w:rPr>
        <w:t>Prix de transfert et entreprises multinationales</w:t>
      </w:r>
      <w:r w:rsidR="001E451F" w:rsidRPr="00ED2722">
        <w:rPr>
          <w:i/>
          <w:lang w:val="fr-CA"/>
        </w:rPr>
        <w:t> :</w:t>
      </w:r>
      <w:r w:rsidRPr="00ED2722">
        <w:rPr>
          <w:i/>
          <w:lang w:val="fr-CA"/>
        </w:rPr>
        <w:t xml:space="preserve"> Rapport du Comité des Affaires Fiscales de l’OCDE</w:t>
      </w:r>
      <w:r w:rsidRPr="00ED2722">
        <w:rPr>
          <w:lang w:val="fr-CA"/>
        </w:rPr>
        <w:t>.  Paris</w:t>
      </w:r>
      <w:r w:rsidR="001E451F" w:rsidRPr="00ED2722">
        <w:rPr>
          <w:lang w:val="fr-CA"/>
        </w:rPr>
        <w:t> :</w:t>
      </w:r>
      <w:r w:rsidRPr="00ED2722">
        <w:rPr>
          <w:lang w:val="fr-CA"/>
        </w:rPr>
        <w:t xml:space="preserve"> L’Organisation, 1979.</w:t>
      </w:r>
    </w:p>
    <w:p w:rsidR="004D7D95" w:rsidRPr="00ED2722" w:rsidRDefault="0018116C" w:rsidP="00AA579C">
      <w:pPr>
        <w:pStyle w:val="SCCNormalDoubleSpacing"/>
        <w:spacing w:after="480"/>
        <w:rPr>
          <w:lang w:val="fr-CA"/>
        </w:rPr>
      </w:pPr>
      <w:r w:rsidRPr="00ED2722">
        <w:rPr>
          <w:lang w:val="fr-CA"/>
        </w:rPr>
        <w:tab/>
      </w:r>
      <w:r w:rsidR="004D7D95" w:rsidRPr="00ED2722">
        <w:rPr>
          <w:lang w:val="fr-CA"/>
        </w:rPr>
        <w:t>POURVOI</w:t>
      </w:r>
      <w:r w:rsidR="005501EC" w:rsidRPr="00ED2722">
        <w:rPr>
          <w:lang w:val="fr-CA"/>
        </w:rPr>
        <w:t xml:space="preserve"> </w:t>
      </w:r>
      <w:r w:rsidR="00941C3F">
        <w:rPr>
          <w:lang w:val="fr-CA"/>
        </w:rPr>
        <w:t xml:space="preserve">et </w:t>
      </w:r>
      <w:r w:rsidR="005501EC" w:rsidRPr="00ED2722">
        <w:rPr>
          <w:lang w:val="fr-CA"/>
        </w:rPr>
        <w:t>POURVOI INCIDENT</w:t>
      </w:r>
      <w:r w:rsidR="004D7D95" w:rsidRPr="00ED2722">
        <w:rPr>
          <w:lang w:val="fr-CA"/>
        </w:rPr>
        <w:t xml:space="preserve"> contre un arrêt de la Cour d’appel fédérale</w:t>
      </w:r>
      <w:r w:rsidR="00C602EC" w:rsidRPr="00ED2722">
        <w:rPr>
          <w:lang w:val="fr-CA"/>
        </w:rPr>
        <w:t xml:space="preserve"> (les juges Nadon, </w:t>
      </w:r>
      <w:proofErr w:type="spellStart"/>
      <w:r w:rsidR="00C602EC" w:rsidRPr="00ED2722">
        <w:rPr>
          <w:lang w:val="fr-CA"/>
        </w:rPr>
        <w:t>Layden</w:t>
      </w:r>
      <w:r w:rsidR="001E451F" w:rsidRPr="00ED2722">
        <w:rPr>
          <w:lang w:val="fr-CA"/>
        </w:rPr>
        <w:noBreakHyphen/>
      </w:r>
      <w:r w:rsidR="00C602EC" w:rsidRPr="00ED2722">
        <w:rPr>
          <w:lang w:val="fr-CA"/>
        </w:rPr>
        <w:t>Stevenson</w:t>
      </w:r>
      <w:proofErr w:type="spellEnd"/>
      <w:r w:rsidR="00C602EC" w:rsidRPr="00ED2722">
        <w:rPr>
          <w:lang w:val="fr-CA"/>
        </w:rPr>
        <w:t xml:space="preserve"> et </w:t>
      </w:r>
      <w:proofErr w:type="spellStart"/>
      <w:r w:rsidR="00C602EC" w:rsidRPr="00ED2722">
        <w:rPr>
          <w:lang w:val="fr-CA"/>
        </w:rPr>
        <w:t>Stratas</w:t>
      </w:r>
      <w:proofErr w:type="spellEnd"/>
      <w:r w:rsidR="00C602EC" w:rsidRPr="00ED2722">
        <w:rPr>
          <w:lang w:val="fr-CA"/>
        </w:rPr>
        <w:t>), 2010 CAF 201, 405 N.R. 307, 2010 D.T.C. 5124, [2010] 6 C.T.C. 220, [2010] A.C.F. n</w:t>
      </w:r>
      <w:r w:rsidR="00C602EC" w:rsidRPr="00ED2722">
        <w:rPr>
          <w:vertAlign w:val="superscript"/>
          <w:lang w:val="fr-CA"/>
        </w:rPr>
        <w:t>o</w:t>
      </w:r>
      <w:r w:rsidR="00AA579C" w:rsidRPr="00ED2722">
        <w:rPr>
          <w:lang w:val="fr-CA"/>
        </w:rPr>
        <w:t> </w:t>
      </w:r>
      <w:r w:rsidR="00C602EC" w:rsidRPr="00ED2722">
        <w:rPr>
          <w:lang w:val="fr-CA"/>
        </w:rPr>
        <w:t xml:space="preserve">953 (QL), 2010 </w:t>
      </w:r>
      <w:proofErr w:type="spellStart"/>
      <w:r w:rsidR="00C602EC" w:rsidRPr="00ED2722">
        <w:rPr>
          <w:lang w:val="fr-CA"/>
        </w:rPr>
        <w:t>CarswellNat</w:t>
      </w:r>
      <w:proofErr w:type="spellEnd"/>
      <w:r w:rsidR="00C602EC" w:rsidRPr="00ED2722">
        <w:rPr>
          <w:lang w:val="fr-CA"/>
        </w:rPr>
        <w:t xml:space="preserve"> 5563, qui a infirmé une décision du juge en chef adjoint </w:t>
      </w:r>
      <w:proofErr w:type="spellStart"/>
      <w:r w:rsidR="00C602EC" w:rsidRPr="00ED2722">
        <w:rPr>
          <w:lang w:val="fr-CA"/>
        </w:rPr>
        <w:t>Rip</w:t>
      </w:r>
      <w:proofErr w:type="spellEnd"/>
      <w:r w:rsidR="00C602EC" w:rsidRPr="00ED2722">
        <w:rPr>
          <w:lang w:val="fr-CA"/>
        </w:rPr>
        <w:t xml:space="preserve">, 2008 CCI </w:t>
      </w:r>
      <w:r w:rsidR="00C602EC" w:rsidRPr="00ED2722">
        <w:rPr>
          <w:lang w:val="fr-CA"/>
        </w:rPr>
        <w:lastRenderedPageBreak/>
        <w:t>324, 2008 D.T.C. 3957, [2008] A.C.I. n</w:t>
      </w:r>
      <w:r w:rsidR="00C602EC" w:rsidRPr="00ED2722">
        <w:rPr>
          <w:vertAlign w:val="superscript"/>
          <w:lang w:val="fr-CA"/>
        </w:rPr>
        <w:t>o</w:t>
      </w:r>
      <w:r w:rsidR="00AA579C" w:rsidRPr="00ED2722">
        <w:rPr>
          <w:lang w:val="fr-CA"/>
        </w:rPr>
        <w:t> </w:t>
      </w:r>
      <w:r w:rsidR="00C602EC" w:rsidRPr="00ED2722">
        <w:rPr>
          <w:lang w:val="fr-CA"/>
        </w:rPr>
        <w:t xml:space="preserve">249 (QL), 2008 </w:t>
      </w:r>
      <w:proofErr w:type="spellStart"/>
      <w:r w:rsidR="00C602EC" w:rsidRPr="00ED2722">
        <w:rPr>
          <w:lang w:val="fr-CA"/>
        </w:rPr>
        <w:t>CarswellNat</w:t>
      </w:r>
      <w:proofErr w:type="spellEnd"/>
      <w:r w:rsidR="00C602EC" w:rsidRPr="00ED2722">
        <w:rPr>
          <w:lang w:val="fr-CA"/>
        </w:rPr>
        <w:t xml:space="preserve"> </w:t>
      </w:r>
      <w:r w:rsidR="00737F49" w:rsidRPr="00ED2722">
        <w:rPr>
          <w:lang w:val="fr-CA"/>
        </w:rPr>
        <w:t>6307</w:t>
      </w:r>
      <w:r w:rsidR="00C602EC" w:rsidRPr="00ED2722">
        <w:rPr>
          <w:lang w:val="fr-CA"/>
        </w:rPr>
        <w:t xml:space="preserve">.  Pourvoi </w:t>
      </w:r>
      <w:r w:rsidR="005828B3" w:rsidRPr="00ED2722">
        <w:rPr>
          <w:lang w:val="fr-CA"/>
        </w:rPr>
        <w:t>et pourvoi incident rejetés</w:t>
      </w:r>
      <w:r w:rsidR="00C602EC" w:rsidRPr="00ED2722">
        <w:rPr>
          <w:lang w:val="fr-CA"/>
        </w:rPr>
        <w:t>.</w:t>
      </w:r>
    </w:p>
    <w:p w:rsidR="00FA606A" w:rsidRPr="00ED2722" w:rsidRDefault="00CF2A09" w:rsidP="00AA579C">
      <w:pPr>
        <w:pStyle w:val="SCCNormalDoubleSpacing"/>
        <w:spacing w:after="480"/>
        <w:rPr>
          <w:lang w:val="fr-CA"/>
        </w:rPr>
      </w:pPr>
      <w:r w:rsidRPr="00ED2722">
        <w:rPr>
          <w:i/>
          <w:lang w:val="fr-CA"/>
        </w:rPr>
        <w:tab/>
        <w:t>Wendy Burnham</w:t>
      </w:r>
      <w:r w:rsidRPr="00ED2722">
        <w:rPr>
          <w:lang w:val="fr-CA"/>
        </w:rPr>
        <w:t xml:space="preserve">, </w:t>
      </w:r>
      <w:proofErr w:type="spellStart"/>
      <w:r w:rsidRPr="00ED2722">
        <w:rPr>
          <w:i/>
          <w:lang w:val="fr-CA"/>
        </w:rPr>
        <w:t>Eric</w:t>
      </w:r>
      <w:proofErr w:type="spellEnd"/>
      <w:r w:rsidRPr="00ED2722">
        <w:rPr>
          <w:i/>
          <w:lang w:val="fr-CA"/>
        </w:rPr>
        <w:t xml:space="preserve"> Noble</w:t>
      </w:r>
      <w:r w:rsidRPr="00ED2722">
        <w:rPr>
          <w:lang w:val="fr-CA"/>
        </w:rPr>
        <w:t xml:space="preserve"> et </w:t>
      </w:r>
      <w:r w:rsidRPr="00ED2722">
        <w:rPr>
          <w:i/>
          <w:lang w:val="fr-CA"/>
        </w:rPr>
        <w:t xml:space="preserve">Karen </w:t>
      </w:r>
      <w:proofErr w:type="spellStart"/>
      <w:r w:rsidRPr="00ED2722">
        <w:rPr>
          <w:i/>
          <w:lang w:val="fr-CA"/>
        </w:rPr>
        <w:t>Janke</w:t>
      </w:r>
      <w:r w:rsidR="001E451F" w:rsidRPr="00ED2722">
        <w:rPr>
          <w:i/>
          <w:lang w:val="fr-CA"/>
        </w:rPr>
        <w:noBreakHyphen/>
      </w:r>
      <w:r w:rsidRPr="00ED2722">
        <w:rPr>
          <w:i/>
          <w:lang w:val="fr-CA"/>
        </w:rPr>
        <w:t>Curliss</w:t>
      </w:r>
      <w:proofErr w:type="spellEnd"/>
      <w:r w:rsidR="00052552" w:rsidRPr="00ED2722">
        <w:rPr>
          <w:lang w:val="fr-CA"/>
        </w:rPr>
        <w:t>, pour l’</w:t>
      </w:r>
      <w:r w:rsidRPr="00ED2722">
        <w:rPr>
          <w:lang w:val="fr-CA"/>
        </w:rPr>
        <w:t>appelante/</w:t>
      </w:r>
      <w:r w:rsidR="00052552" w:rsidRPr="00ED2722">
        <w:rPr>
          <w:lang w:val="fr-CA"/>
        </w:rPr>
        <w:t>intimé</w:t>
      </w:r>
      <w:r w:rsidRPr="00ED2722">
        <w:rPr>
          <w:lang w:val="fr-CA"/>
        </w:rPr>
        <w:t xml:space="preserve">e </w:t>
      </w:r>
      <w:r w:rsidR="00052552" w:rsidRPr="00ED2722">
        <w:rPr>
          <w:lang w:val="fr-CA"/>
        </w:rPr>
        <w:t>au pourvoi</w:t>
      </w:r>
      <w:r w:rsidRPr="00ED2722">
        <w:rPr>
          <w:lang w:val="fr-CA"/>
        </w:rPr>
        <w:t xml:space="preserve"> incident.</w:t>
      </w:r>
    </w:p>
    <w:p w:rsidR="006B671D" w:rsidRPr="00ED2722" w:rsidRDefault="00CF2A09" w:rsidP="006B671D">
      <w:pPr>
        <w:pStyle w:val="SCCNormalDoubleSpacing"/>
        <w:spacing w:after="480"/>
        <w:rPr>
          <w:lang w:val="fr-CA"/>
        </w:rPr>
      </w:pPr>
      <w:r w:rsidRPr="00ED2722">
        <w:rPr>
          <w:i/>
          <w:lang w:val="fr-CA"/>
        </w:rPr>
        <w:tab/>
        <w:t xml:space="preserve">Al </w:t>
      </w:r>
      <w:proofErr w:type="spellStart"/>
      <w:r w:rsidRPr="00ED2722">
        <w:rPr>
          <w:i/>
          <w:lang w:val="fr-CA"/>
        </w:rPr>
        <w:t>Meghji</w:t>
      </w:r>
      <w:proofErr w:type="spellEnd"/>
      <w:r w:rsidRPr="00ED2722">
        <w:rPr>
          <w:lang w:val="fr-CA"/>
        </w:rPr>
        <w:t xml:space="preserve">, </w:t>
      </w:r>
      <w:r w:rsidR="00AA579C" w:rsidRPr="00ED2722">
        <w:rPr>
          <w:i/>
          <w:lang w:val="fr-CA"/>
        </w:rPr>
        <w:t>Joseph </w:t>
      </w:r>
      <w:r w:rsidRPr="00ED2722">
        <w:rPr>
          <w:i/>
          <w:lang w:val="fr-CA"/>
        </w:rPr>
        <w:t>M. Steiner</w:t>
      </w:r>
      <w:r w:rsidRPr="00ED2722">
        <w:rPr>
          <w:lang w:val="fr-CA"/>
        </w:rPr>
        <w:t xml:space="preserve">, </w:t>
      </w:r>
      <w:r w:rsidRPr="00ED2722">
        <w:rPr>
          <w:i/>
          <w:lang w:val="fr-CA"/>
        </w:rPr>
        <w:t xml:space="preserve">Amanda </w:t>
      </w:r>
      <w:proofErr w:type="spellStart"/>
      <w:r w:rsidRPr="00ED2722">
        <w:rPr>
          <w:i/>
          <w:lang w:val="fr-CA"/>
        </w:rPr>
        <w:t>Heale</w:t>
      </w:r>
      <w:proofErr w:type="spellEnd"/>
      <w:r w:rsidRPr="00ED2722">
        <w:rPr>
          <w:lang w:val="fr-CA"/>
        </w:rPr>
        <w:t xml:space="preserve"> et </w:t>
      </w:r>
      <w:proofErr w:type="spellStart"/>
      <w:r w:rsidRPr="00ED2722">
        <w:rPr>
          <w:i/>
          <w:lang w:val="fr-CA"/>
        </w:rPr>
        <w:t>Pooja</w:t>
      </w:r>
      <w:proofErr w:type="spellEnd"/>
      <w:r w:rsidRPr="00ED2722">
        <w:rPr>
          <w:i/>
          <w:lang w:val="fr-CA"/>
        </w:rPr>
        <w:t xml:space="preserve"> </w:t>
      </w:r>
      <w:proofErr w:type="spellStart"/>
      <w:r w:rsidRPr="00ED2722">
        <w:rPr>
          <w:i/>
          <w:lang w:val="fr-CA"/>
        </w:rPr>
        <w:t>Samtani</w:t>
      </w:r>
      <w:proofErr w:type="spellEnd"/>
      <w:r w:rsidRPr="00ED2722">
        <w:rPr>
          <w:lang w:val="fr-CA"/>
        </w:rPr>
        <w:t>, pour l</w:t>
      </w:r>
      <w:r w:rsidR="00C120F5" w:rsidRPr="00ED2722">
        <w:rPr>
          <w:lang w:val="fr-CA"/>
        </w:rPr>
        <w:t>’</w:t>
      </w:r>
      <w:r w:rsidRPr="00ED2722">
        <w:rPr>
          <w:lang w:val="fr-CA"/>
        </w:rPr>
        <w:t xml:space="preserve">intimée/appelante </w:t>
      </w:r>
      <w:r w:rsidR="00052552" w:rsidRPr="00ED2722">
        <w:rPr>
          <w:lang w:val="fr-CA"/>
        </w:rPr>
        <w:t>au pourvoi</w:t>
      </w:r>
      <w:r w:rsidRPr="00ED2722">
        <w:rPr>
          <w:lang w:val="fr-CA"/>
        </w:rPr>
        <w:t xml:space="preserve"> incident.</w:t>
      </w:r>
      <w:r w:rsidR="006B671D" w:rsidRPr="00ED2722">
        <w:rPr>
          <w:lang w:val="fr-CA"/>
        </w:rPr>
        <w:t xml:space="preserve"> </w:t>
      </w:r>
    </w:p>
    <w:p w:rsidR="006B671D" w:rsidRPr="00ED2722" w:rsidRDefault="00D87D66" w:rsidP="006B671D">
      <w:pPr>
        <w:pStyle w:val="SCCNormalDoubleSpacing"/>
        <w:spacing w:after="480"/>
        <w:rPr>
          <w:lang w:val="fr-CA"/>
        </w:rPr>
      </w:pPr>
      <w:r w:rsidRPr="00ED2722">
        <w:rPr>
          <w:lang w:val="fr-CA"/>
        </w:rPr>
        <w:tab/>
        <w:t>Version française de jugement de la Cour rendu par</w:t>
      </w:r>
    </w:p>
    <w:p w:rsidR="006B671D" w:rsidRPr="00ED2722" w:rsidRDefault="006B671D" w:rsidP="006B671D">
      <w:pPr>
        <w:pStyle w:val="JudgeJuge"/>
        <w:rPr>
          <w:lang w:val="fr-CA"/>
        </w:rPr>
      </w:pPr>
      <w:r w:rsidRPr="00ED2722">
        <w:rPr>
          <w:lang w:val="fr-CA"/>
        </w:rPr>
        <w:tab/>
        <w:t xml:space="preserve">Le juge </w:t>
      </w:r>
      <w:proofErr w:type="spellStart"/>
      <w:r w:rsidRPr="00ED2722">
        <w:rPr>
          <w:lang w:val="fr-CA"/>
        </w:rPr>
        <w:t>Rothstein</w:t>
      </w:r>
      <w:proofErr w:type="spellEnd"/>
      <w:r w:rsidRPr="00ED2722">
        <w:rPr>
          <w:lang w:val="fr-CA"/>
        </w:rPr>
        <w:t xml:space="preserve"> — </w:t>
      </w:r>
    </w:p>
    <w:p w:rsidR="006B671D" w:rsidRPr="00ED2722" w:rsidRDefault="006B671D" w:rsidP="00D87D66">
      <w:pPr>
        <w:pStyle w:val="TitleTitre-AltT"/>
        <w:keepNext/>
        <w:tabs>
          <w:tab w:val="clear" w:pos="360"/>
          <w:tab w:val="left" w:pos="540"/>
        </w:tabs>
        <w:ind w:left="540" w:hanging="540"/>
        <w:rPr>
          <w:rFonts w:cs="Times New Roman"/>
          <w:u w:val="single"/>
          <w:lang w:val="fr-CA"/>
        </w:rPr>
      </w:pPr>
      <w:r w:rsidRPr="00ED2722">
        <w:rPr>
          <w:rFonts w:cs="Times New Roman"/>
          <w:lang w:val="fr-CA"/>
        </w:rPr>
        <w:t>I.</w:t>
      </w:r>
      <w:r w:rsidRPr="00ED2722">
        <w:rPr>
          <w:rFonts w:cs="Times New Roman"/>
          <w:lang w:val="fr-CA"/>
        </w:rPr>
        <w:tab/>
      </w:r>
      <w:r w:rsidRPr="00ED2722">
        <w:rPr>
          <w:rFonts w:cs="Times New Roman"/>
          <w:u w:val="single"/>
          <w:lang w:val="fr-CA"/>
        </w:rPr>
        <w:t>Introduction</w:t>
      </w:r>
    </w:p>
    <w:p w:rsidR="006B671D" w:rsidRPr="00ED2722" w:rsidRDefault="006B671D" w:rsidP="006B671D">
      <w:pPr>
        <w:pStyle w:val="ParaNoNdepar-AltN"/>
        <w:rPr>
          <w:rFonts w:cs="Times New Roman"/>
          <w:lang w:val="fr-CA"/>
        </w:rPr>
      </w:pPr>
      <w:r w:rsidRPr="00ED2722">
        <w:rPr>
          <w:rFonts w:cs="Times New Roman"/>
          <w:lang w:val="fr-CA"/>
        </w:rPr>
        <w:t>Lorsque des entités faisant partie de sociétés multinationales résidant dans divers pays se transfèrent des biens ou se fournissent des services réciproquement, il peut se soulever des questions relativement à l’établissement des prix de transfert ou de fourniture</w:t>
      </w:r>
      <w:r w:rsidRPr="00ED2722">
        <w:rPr>
          <w:rFonts w:cs="Times New Roman"/>
          <w:szCs w:val="24"/>
          <w:lang w:val="fr-CA"/>
        </w:rPr>
        <w:t xml:space="preserve">.  En effet, de telles entités n’agissent pas sans lien de dépendance et, de ce fait, les opérations ou </w:t>
      </w:r>
      <w:r w:rsidRPr="00ED2722">
        <w:rPr>
          <w:rFonts w:cs="Times New Roman"/>
          <w:lang w:val="fr-FR"/>
        </w:rPr>
        <w:t xml:space="preserve">transactions </w:t>
      </w:r>
      <w:r w:rsidRPr="00ED2722">
        <w:rPr>
          <w:rFonts w:cs="Times New Roman"/>
          <w:szCs w:val="24"/>
          <w:lang w:val="fr-CA"/>
        </w:rPr>
        <w:t>qu’elles effectuent entre elles ne</w:t>
      </w:r>
      <w:r w:rsidRPr="00ED2722">
        <w:rPr>
          <w:rFonts w:cs="Times New Roman"/>
          <w:szCs w:val="24"/>
          <w:lang w:val="fr-FR"/>
        </w:rPr>
        <w:t xml:space="preserve"> sont pas forcément soumises aux </w:t>
      </w:r>
      <w:r w:rsidRPr="00ED2722">
        <w:rPr>
          <w:rFonts w:cs="Times New Roman"/>
          <w:szCs w:val="24"/>
          <w:lang w:val="fr-CA"/>
        </w:rPr>
        <w:t>forces ordinaires du marché</w:t>
      </w:r>
      <w:r w:rsidRPr="00ED2722">
        <w:rPr>
          <w:rFonts w:cs="Times New Roman"/>
          <w:szCs w:val="24"/>
          <w:lang w:val="fr-FR"/>
        </w:rPr>
        <w:t>.</w:t>
      </w:r>
      <w:r w:rsidRPr="00ED2722">
        <w:rPr>
          <w:rFonts w:cs="Times New Roman"/>
          <w:sz w:val="28"/>
          <w:szCs w:val="28"/>
          <w:lang w:val="fr-FR"/>
        </w:rPr>
        <w:t xml:space="preserve">  </w:t>
      </w:r>
      <w:r w:rsidRPr="00ED2722">
        <w:rPr>
          <w:rFonts w:cs="Times New Roman"/>
          <w:szCs w:val="24"/>
          <w:lang w:val="fr-FR"/>
        </w:rPr>
        <w:t xml:space="preserve">Lorsque ces forces ne jouent pas, il peut arriver que les prix soient fixés </w:t>
      </w:r>
      <w:r w:rsidRPr="00ED2722">
        <w:rPr>
          <w:rFonts w:cs="Times New Roman"/>
          <w:szCs w:val="24"/>
          <w:lang w:val="fr-CA"/>
        </w:rPr>
        <w:t xml:space="preserve">de manière à soustraire des bénéfices aux administrations fiscales compétentes.  Or, depuis 1939, la </w:t>
      </w:r>
      <w:r w:rsidRPr="00ED2722">
        <w:rPr>
          <w:rFonts w:cs="Times New Roman"/>
          <w:i/>
          <w:szCs w:val="24"/>
          <w:lang w:val="fr-CA"/>
        </w:rPr>
        <w:t>Loi de l’impôt sur le revenu</w:t>
      </w:r>
      <w:r w:rsidRPr="00ED2722">
        <w:rPr>
          <w:rFonts w:cs="Times New Roman"/>
          <w:szCs w:val="24"/>
          <w:lang w:val="fr-CA"/>
        </w:rPr>
        <w:t xml:space="preserve"> comporte des dispositions qui permettent d’établir, à l’égard d’un </w:t>
      </w:r>
      <w:r w:rsidRPr="00ED2722">
        <w:rPr>
          <w:rFonts w:cs="Times New Roman"/>
          <w:lang w:val="fr-CA"/>
        </w:rPr>
        <w:t xml:space="preserve">contribuable </w:t>
      </w:r>
      <w:r w:rsidRPr="00ED2722">
        <w:rPr>
          <w:rFonts w:cs="Times New Roman"/>
          <w:lang w:val="fr-CA"/>
        </w:rPr>
        <w:lastRenderedPageBreak/>
        <w:t xml:space="preserve">canadien, </w:t>
      </w:r>
      <w:r w:rsidRPr="00ED2722">
        <w:rPr>
          <w:rFonts w:cs="Times New Roman"/>
          <w:szCs w:val="24"/>
          <w:lang w:val="fr-CA"/>
        </w:rPr>
        <w:t>une nouvelle cotisation</w:t>
      </w:r>
      <w:r w:rsidRPr="00ED2722">
        <w:rPr>
          <w:rFonts w:cs="Times New Roman"/>
          <w:lang w:val="fr-CA"/>
        </w:rPr>
        <w:t xml:space="preserve"> tenant compte, dans les bénéfices qu’il a réalisés au Canada, de la différence entre le prix qu’il a payé pour acquérir un bien d’un </w:t>
      </w:r>
      <w:proofErr w:type="spellStart"/>
      <w:r w:rsidRPr="00ED2722">
        <w:rPr>
          <w:rFonts w:cs="Times New Roman"/>
          <w:lang w:val="fr-CA"/>
        </w:rPr>
        <w:t>non</w:t>
      </w:r>
      <w:r w:rsidRPr="00ED2722">
        <w:rPr>
          <w:rFonts w:cs="Times New Roman"/>
          <w:lang w:val="fr-CA"/>
        </w:rPr>
        <w:noBreakHyphen/>
        <w:t>résident</w:t>
      </w:r>
      <w:proofErr w:type="spellEnd"/>
      <w:r w:rsidRPr="00ED2722">
        <w:rPr>
          <w:rFonts w:cs="Times New Roman"/>
          <w:lang w:val="fr-CA"/>
        </w:rPr>
        <w:t xml:space="preserve"> avec lequel il a un lien de dépendance et celui qu’il aurait payé en l’absence d’un tel lien.</w:t>
      </w:r>
    </w:p>
    <w:p w:rsidR="006B671D" w:rsidRPr="00ED2722" w:rsidRDefault="006B671D" w:rsidP="006B671D">
      <w:pPr>
        <w:pStyle w:val="ParaNoNdepar-AltN"/>
        <w:rPr>
          <w:rFonts w:cs="Times New Roman"/>
          <w:lang w:val="fr-CA"/>
        </w:rPr>
      </w:pPr>
      <w:r w:rsidRPr="00ED2722">
        <w:rPr>
          <w:rFonts w:cs="Times New Roman"/>
          <w:lang w:val="fr-CA"/>
        </w:rPr>
        <w:t>Le ministre du Revenu national a établi à l’égard de GlaxoSmithKline Inc. («</w:t>
      </w:r>
      <w:r w:rsidRPr="00ED2722">
        <w:rPr>
          <w:rFonts w:cs="Times New Roman"/>
          <w:b/>
          <w:lang w:val="fr-CA"/>
        </w:rPr>
        <w:t> </w:t>
      </w:r>
      <w:r w:rsidRPr="00ED2722">
        <w:rPr>
          <w:rFonts w:cs="Times New Roman"/>
          <w:lang w:val="fr-CA"/>
        </w:rPr>
        <w:t xml:space="preserve">Glaxo Canada ») de nouvelles cotisations pour les années d’imposition 1990, 1991, 1992 et 1993, en vertu de la version applicable alors du par. 69(2) de la </w:t>
      </w:r>
      <w:r w:rsidRPr="00ED2722">
        <w:rPr>
          <w:rFonts w:cs="Times New Roman"/>
          <w:i/>
          <w:lang w:val="fr-CA"/>
        </w:rPr>
        <w:t>Loi de l’impôt sur le revenu</w:t>
      </w:r>
      <w:r w:rsidRPr="00ED2722">
        <w:rPr>
          <w:rFonts w:cs="Times New Roman"/>
          <w:lang w:val="fr-CA"/>
        </w:rPr>
        <w:t>, L.R.C. 1985, ch. 1 (5</w:t>
      </w:r>
      <w:r w:rsidRPr="00ED2722">
        <w:rPr>
          <w:rFonts w:cs="Times New Roman"/>
          <w:vertAlign w:val="superscript"/>
          <w:lang w:val="fr-CA"/>
        </w:rPr>
        <w:t>e</w:t>
      </w:r>
      <w:r w:rsidRPr="00ED2722">
        <w:rPr>
          <w:rFonts w:cs="Times New Roman"/>
          <w:lang w:val="fr-CA"/>
        </w:rPr>
        <w:t xml:space="preserve"> suppl.) (la « Loi »), au motif que les prix payés par cette société pour se procurer de la </w:t>
      </w:r>
      <w:proofErr w:type="spellStart"/>
      <w:r w:rsidRPr="00ED2722">
        <w:rPr>
          <w:rFonts w:cs="Times New Roman"/>
          <w:lang w:val="fr-CA"/>
        </w:rPr>
        <w:t>ranitidine</w:t>
      </w:r>
      <w:proofErr w:type="spellEnd"/>
      <w:r w:rsidRPr="00ED2722">
        <w:rPr>
          <w:rFonts w:cs="Times New Roman"/>
          <w:lang w:val="fr-CA"/>
        </w:rPr>
        <w:t xml:space="preserve"> — l’ingrédient actif du médicament antiulcéreux Zantac — auprès d’u</w:t>
      </w:r>
      <w:r w:rsidR="00ED2722" w:rsidRPr="00ED2722">
        <w:rPr>
          <w:rFonts w:cs="Times New Roman"/>
          <w:lang w:val="fr-CA"/>
        </w:rPr>
        <w:t>n</w:t>
      </w:r>
      <w:r w:rsidR="00ED2722">
        <w:rPr>
          <w:rFonts w:cs="Times New Roman"/>
          <w:lang w:val="fr-CA"/>
        </w:rPr>
        <w:t xml:space="preserve"> </w:t>
      </w:r>
      <w:r w:rsidR="00ED2722" w:rsidRPr="00ED2722">
        <w:rPr>
          <w:rFonts w:cs="Times New Roman"/>
          <w:lang w:val="fr-CA"/>
        </w:rPr>
        <w:t>f</w:t>
      </w:r>
      <w:r w:rsidRPr="00ED2722">
        <w:rPr>
          <w:rFonts w:cs="Times New Roman"/>
          <w:lang w:val="fr-CA"/>
        </w:rPr>
        <w:t>ournisseur avec lequel elle avait un lien de dépendance étaient plus élevés que ceux qui auraient été raisonnables dans les circonstances s’ils n’avaient pas eu ce lien de dépendance (le par. 69(2) de la Loi a été abrogé en 1998 (L.C. 1998, ch. 19, art.</w:t>
      </w:r>
      <w:r w:rsidR="00D87D66" w:rsidRPr="00ED2722">
        <w:rPr>
          <w:rFonts w:cs="Times New Roman"/>
          <w:lang w:val="fr-CA"/>
        </w:rPr>
        <w:t xml:space="preserve"> </w:t>
      </w:r>
      <w:r w:rsidRPr="00ED2722">
        <w:rPr>
          <w:rFonts w:cs="Times New Roman"/>
          <w:lang w:val="fr-CA"/>
        </w:rPr>
        <w:t>107) et remplacé par le par. 247(2) de la Loi (</w:t>
      </w:r>
      <w:proofErr w:type="spellStart"/>
      <w:r w:rsidRPr="00ED2722">
        <w:rPr>
          <w:rFonts w:cs="Times New Roman"/>
          <w:lang w:val="fr-CA"/>
        </w:rPr>
        <w:t>aj</w:t>
      </w:r>
      <w:proofErr w:type="spellEnd"/>
      <w:r w:rsidRPr="00ED2722">
        <w:rPr>
          <w:rFonts w:cs="Times New Roman"/>
          <w:lang w:val="fr-CA"/>
        </w:rPr>
        <w:t xml:space="preserve">. </w:t>
      </w:r>
      <w:r w:rsidRPr="00ED2722">
        <w:rPr>
          <w:rFonts w:cs="Times New Roman"/>
          <w:i/>
          <w:lang w:val="fr-CA"/>
        </w:rPr>
        <w:t>idem</w:t>
      </w:r>
      <w:r w:rsidRPr="00ED2722">
        <w:rPr>
          <w:rFonts w:cs="Times New Roman"/>
          <w:lang w:val="fr-CA"/>
        </w:rPr>
        <w:t xml:space="preserve">, art. 238)).  La nouvelle cotisation a eu pour effet d’augmenter le revenu de Glaxo Canada d’une somme correspondant à </w:t>
      </w:r>
      <w:r w:rsidRPr="00ED2722">
        <w:rPr>
          <w:rFonts w:cs="Times New Roman"/>
          <w:lang w:val="fr-FR"/>
        </w:rPr>
        <w:t xml:space="preserve">la différence entre le prix le plus élevé payé pour la </w:t>
      </w:r>
      <w:proofErr w:type="spellStart"/>
      <w:r w:rsidRPr="00ED2722">
        <w:rPr>
          <w:rFonts w:cs="Times New Roman"/>
          <w:lang w:val="fr-FR"/>
        </w:rPr>
        <w:t>ranitidine</w:t>
      </w:r>
      <w:proofErr w:type="spellEnd"/>
      <w:r w:rsidRPr="00ED2722">
        <w:rPr>
          <w:rFonts w:cs="Times New Roman"/>
          <w:lang w:val="fr-FR"/>
        </w:rPr>
        <w:t xml:space="preserve"> par des sociétés pharmaceutiques fabriquant des produits génériques et celui payé par Glaxo Canada. Cette dernière </w:t>
      </w:r>
      <w:r w:rsidRPr="00ED2722">
        <w:rPr>
          <w:rFonts w:cs="Times New Roman"/>
          <w:lang w:val="fr-CA"/>
        </w:rPr>
        <w:t xml:space="preserve">a interjeté appel à la Cour canadienne de l’impôt.  Le </w:t>
      </w:r>
      <w:r w:rsidRPr="00ED2722">
        <w:rPr>
          <w:rFonts w:cs="Times New Roman"/>
          <w:lang w:val="fr-FR"/>
        </w:rPr>
        <w:t xml:space="preserve">juge en chef adjoint </w:t>
      </w:r>
      <w:proofErr w:type="spellStart"/>
      <w:r w:rsidRPr="00ED2722">
        <w:rPr>
          <w:rFonts w:cs="Times New Roman"/>
          <w:lang w:val="fr-FR"/>
        </w:rPr>
        <w:t>Rip</w:t>
      </w:r>
      <w:proofErr w:type="spellEnd"/>
      <w:r w:rsidRPr="00ED2722">
        <w:rPr>
          <w:rFonts w:cs="Times New Roman"/>
          <w:lang w:val="fr-FR"/>
        </w:rPr>
        <w:t xml:space="preserve"> (maintenant juge en chef) a confirmé la nouvelle cotisation, sauf pour un ajustement mineur.  Glaxo Canada a fait appel de ce jugement à la Cour d’appel fédérale, qui lui a donné gain de cause et a renvoyé l’affaire à la Cour de l’impôt pour réexamen.  Le ministre se pourvoit contre cette décision devant notre Cour</w:t>
      </w:r>
      <w:r w:rsidRPr="00ED2722">
        <w:rPr>
          <w:rFonts w:cs="Times New Roman"/>
          <w:lang w:val="fr-CA"/>
        </w:rPr>
        <w:t>.</w:t>
      </w:r>
    </w:p>
    <w:p w:rsidR="006B671D" w:rsidRPr="00ED2722" w:rsidRDefault="006B671D" w:rsidP="006B671D">
      <w:pPr>
        <w:pStyle w:val="ParaNoNdepar-AltN"/>
        <w:rPr>
          <w:rFonts w:cs="Times New Roman"/>
          <w:lang w:val="fr-CA"/>
        </w:rPr>
      </w:pPr>
      <w:r w:rsidRPr="00ED2722">
        <w:rPr>
          <w:rFonts w:cs="Times New Roman"/>
          <w:lang w:val="fr-CA"/>
        </w:rPr>
        <w:lastRenderedPageBreak/>
        <w:t>La question en litige dans le présent pourvoi est celle de savoir comment il convient d’appliquer le par. </w:t>
      </w:r>
      <w:r w:rsidR="00702EE9">
        <w:rPr>
          <w:rFonts w:cs="Times New Roman"/>
          <w:lang w:val="fr-CA"/>
        </w:rPr>
        <w:t>l'é6</w:t>
      </w:r>
      <w:r w:rsidRPr="00ED2722">
        <w:rPr>
          <w:rFonts w:cs="Times New Roman"/>
          <w:lang w:val="fr-CA"/>
        </w:rPr>
        <w:t xml:space="preserve">9(2) et, en particulier, quelles sont les circonstances à prendre en compte dans la détermination du prix raisonnable de pleine concurrence avec lequel peut être comparé le prix de transfert qui n’a pas été établi dans des conditions de pleine concurrence.  Glaxo Canada a formé un pourvoi incident contre la décision de la Cour d’appel fédérale renvoyant l’affaire à la Cour de l’impôt pour </w:t>
      </w:r>
      <w:r w:rsidRPr="00ED2722">
        <w:rPr>
          <w:rFonts w:cs="Times New Roman"/>
          <w:lang w:val="fr-FR"/>
        </w:rPr>
        <w:t>nouvelle audience et réexamen</w:t>
      </w:r>
      <w:r w:rsidRPr="00ED2722">
        <w:rPr>
          <w:rFonts w:cs="Times New Roman"/>
          <w:lang w:val="fr-CA"/>
        </w:rPr>
        <w:t xml:space="preserve">.  Glaxo Canada soutient que si notre Cour déboute le ministre de son pourvoi, l’affaire ne devrait pas être renvoyée à la Cour de l’impôt, étant donné que Glaxo Canada aurait alors réfuté avec succès les hypothèses formulées par le ministre, s’acquittant ainsi pleinement du fardeau imposé à tout contribuable qui interjette appel d’une nouvelle cotisation.  Pour les motifs qui suivent, je suis d’avis de rejeter à la fois le pourvoi et le pourvoi incident. </w:t>
      </w:r>
    </w:p>
    <w:p w:rsidR="006B671D" w:rsidRPr="00ED2722" w:rsidRDefault="006B671D" w:rsidP="009D0EBA">
      <w:pPr>
        <w:pStyle w:val="TitleTitre-AltT"/>
        <w:keepNext/>
        <w:tabs>
          <w:tab w:val="clear" w:pos="360"/>
          <w:tab w:val="left" w:pos="540"/>
        </w:tabs>
        <w:ind w:left="540" w:hanging="540"/>
        <w:rPr>
          <w:rFonts w:cs="Times New Roman"/>
          <w:u w:val="single"/>
          <w:lang w:val="fr-CA"/>
        </w:rPr>
      </w:pPr>
      <w:r w:rsidRPr="00ED2722">
        <w:rPr>
          <w:rFonts w:cs="Times New Roman"/>
          <w:lang w:val="fr-CA"/>
        </w:rPr>
        <w:t>II.</w:t>
      </w:r>
      <w:r w:rsidRPr="00ED2722">
        <w:rPr>
          <w:rFonts w:cs="Times New Roman"/>
          <w:lang w:val="fr-CA"/>
        </w:rPr>
        <w:tab/>
      </w:r>
      <w:r w:rsidRPr="00ED2722">
        <w:rPr>
          <w:rFonts w:cs="Times New Roman"/>
          <w:u w:val="single"/>
          <w:lang w:val="fr-CA"/>
        </w:rPr>
        <w:t>Les faits</w:t>
      </w:r>
    </w:p>
    <w:p w:rsidR="006B671D" w:rsidRPr="00ED2722" w:rsidRDefault="006B671D" w:rsidP="006B671D">
      <w:pPr>
        <w:pStyle w:val="ParaNoNdepar-AltN"/>
        <w:rPr>
          <w:rFonts w:cs="Times New Roman"/>
          <w:lang w:val="fr-CA"/>
        </w:rPr>
      </w:pPr>
      <w:r w:rsidRPr="00ED2722">
        <w:rPr>
          <w:rFonts w:cs="Times New Roman"/>
          <w:lang w:val="fr-FR"/>
        </w:rPr>
        <w:t xml:space="preserve">De 1990 à 1993, l’intimée, Glaxo Canada, a acheté de la </w:t>
      </w:r>
      <w:proofErr w:type="spellStart"/>
      <w:r w:rsidRPr="00ED2722">
        <w:rPr>
          <w:rFonts w:cs="Times New Roman"/>
          <w:lang w:val="fr-FR"/>
        </w:rPr>
        <w:t>ranitidine</w:t>
      </w:r>
      <w:proofErr w:type="spellEnd"/>
      <w:r w:rsidRPr="00ED2722">
        <w:rPr>
          <w:rFonts w:cs="Times New Roman"/>
          <w:lang w:val="fr-FR"/>
        </w:rPr>
        <w:t xml:space="preserve"> — l’ingrédient pharmaceutique actif d’un médicament antiulcéreu</w:t>
      </w:r>
      <w:r w:rsidR="00ED2722" w:rsidRPr="00ED2722">
        <w:rPr>
          <w:rFonts w:cs="Times New Roman"/>
          <w:lang w:val="fr-FR"/>
        </w:rPr>
        <w:t>x</w:t>
      </w:r>
      <w:r w:rsidR="00ED2722">
        <w:rPr>
          <w:rFonts w:cs="Times New Roman"/>
          <w:lang w:val="fr-FR"/>
        </w:rPr>
        <w:t xml:space="preserve"> </w:t>
      </w:r>
      <w:r w:rsidR="00ED2722" w:rsidRPr="00ED2722">
        <w:rPr>
          <w:rFonts w:cs="Times New Roman"/>
          <w:lang w:val="fr-FR"/>
        </w:rPr>
        <w:t>c</w:t>
      </w:r>
      <w:r w:rsidRPr="00ED2722">
        <w:rPr>
          <w:rFonts w:cs="Times New Roman"/>
          <w:lang w:val="fr-FR"/>
        </w:rPr>
        <w:t xml:space="preserve">ommercialisé sous la marque nominale Zantac — de </w:t>
      </w:r>
      <w:proofErr w:type="spellStart"/>
      <w:r w:rsidRPr="00ED2722">
        <w:rPr>
          <w:rFonts w:cs="Times New Roman"/>
          <w:lang w:val="fr-FR"/>
        </w:rPr>
        <w:t>Adechsa</w:t>
      </w:r>
      <w:proofErr w:type="spellEnd"/>
      <w:r w:rsidRPr="00ED2722">
        <w:rPr>
          <w:rFonts w:cs="Times New Roman"/>
          <w:lang w:val="fr-FR"/>
        </w:rPr>
        <w:t xml:space="preserve"> S.A., une société affiliée non-résidente, à des prix variant entre 1 512 $ et 1 651 $ le kilogramme.  Durant la même période, deux sociétés pharmaceutiques canadiennes fabriquant des produits génériques, à savoir </w:t>
      </w:r>
      <w:proofErr w:type="spellStart"/>
      <w:r w:rsidRPr="00ED2722">
        <w:rPr>
          <w:rFonts w:cs="Times New Roman"/>
          <w:lang w:val="fr-FR"/>
        </w:rPr>
        <w:t>Apotex</w:t>
      </w:r>
      <w:proofErr w:type="spellEnd"/>
      <w:r w:rsidRPr="00ED2722">
        <w:rPr>
          <w:rFonts w:cs="Times New Roman"/>
          <w:lang w:val="fr-FR"/>
        </w:rPr>
        <w:t xml:space="preserve"> Inc. et </w:t>
      </w:r>
      <w:proofErr w:type="spellStart"/>
      <w:r w:rsidRPr="00ED2722">
        <w:rPr>
          <w:rFonts w:cs="Times New Roman"/>
          <w:lang w:val="fr-FR"/>
        </w:rPr>
        <w:t>Novopharm</w:t>
      </w:r>
      <w:proofErr w:type="spellEnd"/>
      <w:r w:rsidRPr="00ED2722">
        <w:rPr>
          <w:rFonts w:cs="Times New Roman"/>
          <w:lang w:val="fr-FR"/>
        </w:rPr>
        <w:t xml:space="preserve"> Ltd., ont acheté auprès d’autres fournisseurs de la </w:t>
      </w:r>
      <w:proofErr w:type="spellStart"/>
      <w:r w:rsidRPr="00ED2722">
        <w:rPr>
          <w:rFonts w:cs="Times New Roman"/>
          <w:lang w:val="fr-FR"/>
        </w:rPr>
        <w:t>ranitidine</w:t>
      </w:r>
      <w:proofErr w:type="spellEnd"/>
      <w:r w:rsidRPr="00ED2722">
        <w:rPr>
          <w:rFonts w:cs="Times New Roman"/>
          <w:lang w:val="fr-FR"/>
        </w:rPr>
        <w:t xml:space="preserve"> à des prix variant entre 194 $ et 304 $ le kilogramme</w:t>
      </w:r>
      <w:r w:rsidRPr="00ED2722">
        <w:rPr>
          <w:rFonts w:cs="Times New Roman"/>
          <w:lang w:val="fr-CA"/>
        </w:rPr>
        <w:t xml:space="preserve"> pour leurs médicaments antiulcéreux génériques.</w:t>
      </w:r>
    </w:p>
    <w:p w:rsidR="006B671D" w:rsidRPr="00ED2722" w:rsidRDefault="006B671D" w:rsidP="006B671D">
      <w:pPr>
        <w:pStyle w:val="ParaNoNdepar-AltN"/>
        <w:rPr>
          <w:rFonts w:cs="Times New Roman"/>
          <w:lang w:val="fr-CA"/>
        </w:rPr>
      </w:pPr>
      <w:r w:rsidRPr="00ED2722">
        <w:rPr>
          <w:rFonts w:cs="Times New Roman"/>
          <w:lang w:val="fr-CA"/>
        </w:rPr>
        <w:lastRenderedPageBreak/>
        <w:t xml:space="preserve">Au cours de la période pertinente, Glaxo Canada </w:t>
      </w:r>
      <w:r w:rsidRPr="00ED2722">
        <w:rPr>
          <w:rFonts w:cs="Times New Roman"/>
          <w:lang w:val="fr-FR"/>
        </w:rPr>
        <w:t xml:space="preserve">était une filiale à </w:t>
      </w:r>
      <w:r w:rsidR="008E50C2">
        <w:rPr>
          <w:rFonts w:cs="Times New Roman"/>
          <w:lang w:val="fr-FR"/>
        </w:rPr>
        <w:t>100</w:t>
      </w:r>
      <w:r w:rsidRPr="00ED2722">
        <w:rPr>
          <w:rFonts w:cs="Times New Roman"/>
          <w:lang w:val="fr-FR"/>
        </w:rPr>
        <w:t xml:space="preserve"> p</w:t>
      </w:r>
      <w:r w:rsidR="00973FFE">
        <w:rPr>
          <w:rFonts w:cs="Times New Roman"/>
          <w:lang w:val="fr-FR"/>
        </w:rPr>
        <w:t>.</w:t>
      </w:r>
      <w:r w:rsidRPr="00ED2722">
        <w:rPr>
          <w:rFonts w:cs="Times New Roman"/>
          <w:lang w:val="fr-FR"/>
        </w:rPr>
        <w:t xml:space="preserve"> </w:t>
      </w:r>
      <w:r w:rsidR="008E50C2">
        <w:rPr>
          <w:rFonts w:cs="Times New Roman"/>
          <w:lang w:val="fr-FR"/>
        </w:rPr>
        <w:t>100</w:t>
      </w:r>
      <w:r w:rsidRPr="00ED2722">
        <w:rPr>
          <w:rFonts w:cs="Times New Roman"/>
          <w:lang w:val="fr-FR"/>
        </w:rPr>
        <w:t xml:space="preserve"> de Glaxo Group Ltd</w:t>
      </w:r>
      <w:r w:rsidR="009D0EBA" w:rsidRPr="00ED2722">
        <w:rPr>
          <w:rFonts w:cs="Times New Roman"/>
          <w:lang w:val="fr-FR"/>
        </w:rPr>
        <w:t>.</w:t>
      </w:r>
      <w:r w:rsidRPr="00ED2722">
        <w:rPr>
          <w:rFonts w:cs="Times New Roman"/>
          <w:lang w:val="fr-FR"/>
        </w:rPr>
        <w:t xml:space="preserve"> (le « groupe Glaxo »), lui-même une filiale à </w:t>
      </w:r>
      <w:r w:rsidR="008E50C2">
        <w:rPr>
          <w:rFonts w:cs="Times New Roman"/>
          <w:lang w:val="fr-FR"/>
        </w:rPr>
        <w:t>100</w:t>
      </w:r>
      <w:r w:rsidRPr="00ED2722">
        <w:rPr>
          <w:rFonts w:cs="Times New Roman"/>
          <w:lang w:val="fr-FR"/>
        </w:rPr>
        <w:t xml:space="preserve"> p</w:t>
      </w:r>
      <w:r w:rsidR="00973FFE">
        <w:rPr>
          <w:rFonts w:cs="Times New Roman"/>
          <w:lang w:val="fr-FR"/>
        </w:rPr>
        <w:t>.</w:t>
      </w:r>
      <w:r w:rsidRPr="00ED2722">
        <w:rPr>
          <w:rFonts w:cs="Times New Roman"/>
          <w:lang w:val="fr-FR"/>
        </w:rPr>
        <w:t xml:space="preserve"> </w:t>
      </w:r>
      <w:r w:rsidR="008E50C2">
        <w:rPr>
          <w:rFonts w:cs="Times New Roman"/>
          <w:lang w:val="fr-FR"/>
        </w:rPr>
        <w:t>100</w:t>
      </w:r>
      <w:r w:rsidRPr="00ED2722">
        <w:rPr>
          <w:rFonts w:cs="Times New Roman"/>
          <w:lang w:val="fr-FR"/>
        </w:rPr>
        <w:t xml:space="preserve"> de Glaxo Holdings </w:t>
      </w:r>
      <w:proofErr w:type="spellStart"/>
      <w:r w:rsidRPr="00ED2722">
        <w:rPr>
          <w:rFonts w:cs="Times New Roman"/>
          <w:lang w:val="fr-FR"/>
        </w:rPr>
        <w:t>plc</w:t>
      </w:r>
      <w:proofErr w:type="spellEnd"/>
      <w:r w:rsidRPr="00ED2722">
        <w:rPr>
          <w:rFonts w:cs="Times New Roman"/>
          <w:lang w:val="fr-FR"/>
        </w:rPr>
        <w:t xml:space="preserve">, une société du </w:t>
      </w:r>
      <w:proofErr w:type="spellStart"/>
      <w:r w:rsidRPr="00ED2722">
        <w:rPr>
          <w:rFonts w:cs="Times New Roman"/>
          <w:lang w:val="fr-FR"/>
        </w:rPr>
        <w:t>Royaume</w:t>
      </w:r>
      <w:r w:rsidRPr="00ED2722">
        <w:rPr>
          <w:rFonts w:cs="Times New Roman"/>
          <w:lang w:val="fr-FR"/>
        </w:rPr>
        <w:noBreakHyphen/>
        <w:t>Uni</w:t>
      </w:r>
      <w:proofErr w:type="spellEnd"/>
      <w:r w:rsidRPr="00ED2722">
        <w:rPr>
          <w:rFonts w:cs="Times New Roman"/>
          <w:lang w:val="fr-FR"/>
        </w:rPr>
        <w:t xml:space="preserve">. En plus d’être propriétaire de </w:t>
      </w:r>
      <w:r w:rsidRPr="00ED2722">
        <w:rPr>
          <w:rFonts w:cs="Times New Roman"/>
          <w:lang w:val="fr-CA"/>
        </w:rPr>
        <w:t xml:space="preserve">Glaxo Canada, le groupe </w:t>
      </w:r>
      <w:r w:rsidRPr="00ED2722">
        <w:rPr>
          <w:rFonts w:cs="Times New Roman"/>
          <w:lang w:val="fr-FR"/>
        </w:rPr>
        <w:t>Glaxo était la société mère d’autres sociétés, qui s’occupaient de recherche, de développement, de fabrication et de commercialisation de divers produits pharmaceutiques d’origine.  Ces produits étaient ensuite soumis à un processus permettant leur administration sous forme de comprimés, de liquide ou de gel, puis ils étaient commercialisés et vendus partout dans le monde par l’entremise de filiales comme Glaxo Canada ou de distributeurs indépendants sans lien de dépendance</w:t>
      </w:r>
      <w:r w:rsidRPr="00ED2722">
        <w:rPr>
          <w:rFonts w:cs="Times New Roman"/>
          <w:lang w:val="fr-CA"/>
        </w:rPr>
        <w:t>.</w:t>
      </w:r>
    </w:p>
    <w:p w:rsidR="006B671D" w:rsidRPr="00ED2722" w:rsidRDefault="006B671D" w:rsidP="006B671D">
      <w:pPr>
        <w:pStyle w:val="ParaNoNdepar-AltN"/>
        <w:rPr>
          <w:rFonts w:cs="Times New Roman"/>
          <w:lang w:val="fr-CA"/>
        </w:rPr>
      </w:pPr>
      <w:r w:rsidRPr="00ED2722">
        <w:rPr>
          <w:rFonts w:cs="Times New Roman"/>
          <w:lang w:val="fr-CA"/>
        </w:rPr>
        <w:t xml:space="preserve">Au cours des années d’imposition en cause, </w:t>
      </w:r>
      <w:r w:rsidRPr="00ED2722">
        <w:rPr>
          <w:rFonts w:cs="Times New Roman"/>
          <w:szCs w:val="24"/>
          <w:lang w:val="fr-CA"/>
        </w:rPr>
        <w:t xml:space="preserve">Glaxo Canada agissait comme fabricant et distributeur secondaires, c’est-à-dire qu’elle se procurait l’ingrédient pharmaceutique actif, la </w:t>
      </w:r>
      <w:proofErr w:type="spellStart"/>
      <w:r w:rsidRPr="00ED2722">
        <w:rPr>
          <w:rFonts w:cs="Times New Roman"/>
          <w:szCs w:val="24"/>
          <w:lang w:val="fr-CA"/>
        </w:rPr>
        <w:t>ranitidine</w:t>
      </w:r>
      <w:proofErr w:type="spellEnd"/>
      <w:r w:rsidRPr="00ED2722">
        <w:rPr>
          <w:rFonts w:cs="Times New Roman"/>
          <w:szCs w:val="24"/>
          <w:lang w:val="fr-CA"/>
        </w:rPr>
        <w:t xml:space="preserve">, le soumettait à un </w:t>
      </w:r>
      <w:r w:rsidRPr="00ED2722">
        <w:rPr>
          <w:rFonts w:cs="Times New Roman"/>
          <w:lang w:val="fr-FR"/>
        </w:rPr>
        <w:t xml:space="preserve">processus permettant son administration, puis l’emballait et le commercialisait sous le nom de </w:t>
      </w:r>
      <w:r w:rsidRPr="00ED2722">
        <w:rPr>
          <w:rFonts w:cs="Times New Roman"/>
          <w:lang w:val="fr-CA"/>
        </w:rPr>
        <w:t xml:space="preserve">Zantac, un </w:t>
      </w:r>
      <w:r w:rsidRPr="00ED2722">
        <w:rPr>
          <w:rFonts w:cs="Times New Roman"/>
          <w:szCs w:val="24"/>
          <w:lang w:val="fr-CA"/>
        </w:rPr>
        <w:t xml:space="preserve">médicament breveté et portant </w:t>
      </w:r>
      <w:r w:rsidRPr="00ED2722">
        <w:rPr>
          <w:rStyle w:val="complet"/>
          <w:rFonts w:cs="Times New Roman"/>
          <w:szCs w:val="24"/>
          <w:lang w:val="fr-CA"/>
        </w:rPr>
        <w:t xml:space="preserve">une marque </w:t>
      </w:r>
      <w:r w:rsidRPr="00ED2722">
        <w:rPr>
          <w:rFonts w:cs="Times New Roman"/>
          <w:bCs/>
          <w:szCs w:val="24"/>
          <w:lang w:val="fr-CA"/>
        </w:rPr>
        <w:t>de commerce</w:t>
      </w:r>
      <w:r w:rsidRPr="00ED2722">
        <w:rPr>
          <w:rFonts w:cs="Times New Roman"/>
          <w:lang w:val="fr-CA"/>
        </w:rPr>
        <w:t xml:space="preserve"> qui est </w:t>
      </w:r>
      <w:r w:rsidRPr="00ED2722">
        <w:rPr>
          <w:rFonts w:cs="Times New Roman"/>
          <w:szCs w:val="24"/>
          <w:lang w:val="fr-CA"/>
        </w:rPr>
        <w:t>utilisé</w:t>
      </w:r>
      <w:r w:rsidRPr="00ED2722">
        <w:rPr>
          <w:rFonts w:cs="Times New Roman"/>
          <w:lang w:val="fr-CA"/>
        </w:rPr>
        <w:t xml:space="preserve"> pour </w:t>
      </w:r>
      <w:r w:rsidRPr="00ED2722">
        <w:rPr>
          <w:rFonts w:cs="Times New Roman"/>
          <w:szCs w:val="24"/>
          <w:lang w:val="fr-FR"/>
        </w:rPr>
        <w:t>traiter les ulcères d’estomac</w:t>
      </w:r>
      <w:r w:rsidRPr="00ED2722">
        <w:rPr>
          <w:rFonts w:cs="Times New Roman"/>
          <w:lang w:val="fr-CA"/>
        </w:rPr>
        <w:t xml:space="preserve">.  Le groupe Glaxo était propriétaire de la marque de commerce Zantac et du brevet portant sur son ingrédient actif, la </w:t>
      </w:r>
      <w:proofErr w:type="spellStart"/>
      <w:r w:rsidRPr="00ED2722">
        <w:rPr>
          <w:rFonts w:cs="Times New Roman"/>
          <w:lang w:val="fr-CA"/>
        </w:rPr>
        <w:t>ranitidine</w:t>
      </w:r>
      <w:proofErr w:type="spellEnd"/>
      <w:r w:rsidRPr="00ED2722">
        <w:rPr>
          <w:rFonts w:cs="Times New Roman"/>
          <w:lang w:val="fr-CA"/>
        </w:rPr>
        <w:t xml:space="preserve">.  Aux termes d’un contrat de licence, il accordait à Glaxo Canada certains des droits liés au brevet et à la marque de commerce.  Glaxo Canada achetait sa </w:t>
      </w:r>
      <w:proofErr w:type="spellStart"/>
      <w:r w:rsidRPr="00ED2722">
        <w:rPr>
          <w:rFonts w:cs="Times New Roman"/>
          <w:lang w:val="fr-FR"/>
        </w:rPr>
        <w:t>ranitidine</w:t>
      </w:r>
      <w:proofErr w:type="spellEnd"/>
      <w:r w:rsidRPr="00ED2722">
        <w:rPr>
          <w:rFonts w:cs="Times New Roman"/>
          <w:lang w:val="fr-FR"/>
        </w:rPr>
        <w:t xml:space="preserve"> </w:t>
      </w:r>
      <w:proofErr w:type="gramStart"/>
      <w:r w:rsidRPr="00ED2722">
        <w:rPr>
          <w:rFonts w:cs="Times New Roman"/>
          <w:lang w:val="fr-FR"/>
        </w:rPr>
        <w:t xml:space="preserve">de </w:t>
      </w:r>
      <w:proofErr w:type="spellStart"/>
      <w:r w:rsidRPr="00ED2722">
        <w:rPr>
          <w:rFonts w:cs="Times New Roman"/>
          <w:lang w:val="fr-FR"/>
        </w:rPr>
        <w:t>Adechsa</w:t>
      </w:r>
      <w:proofErr w:type="spellEnd"/>
      <w:proofErr w:type="gramEnd"/>
      <w:r w:rsidRPr="00ED2722">
        <w:rPr>
          <w:rFonts w:cs="Times New Roman"/>
          <w:lang w:val="fr-FR"/>
        </w:rPr>
        <w:t xml:space="preserve">, une société suisse de distribution du groupe Glaxo, en vertu d’un </w:t>
      </w:r>
      <w:r w:rsidRPr="00ED2722">
        <w:rPr>
          <w:rFonts w:cs="Times New Roman"/>
          <w:lang w:val="fr-CA"/>
        </w:rPr>
        <w:t>contrat de fourniture.</w:t>
      </w:r>
    </w:p>
    <w:p w:rsidR="006B671D" w:rsidRPr="00ED2722" w:rsidRDefault="006B671D" w:rsidP="006B671D">
      <w:pPr>
        <w:pStyle w:val="ParaNoNdepar-AltN"/>
        <w:rPr>
          <w:rFonts w:cs="Times New Roman"/>
          <w:lang w:val="fr-CA"/>
        </w:rPr>
      </w:pPr>
      <w:r w:rsidRPr="00ED2722">
        <w:rPr>
          <w:rFonts w:cs="Times New Roman"/>
          <w:lang w:val="fr-CA"/>
        </w:rPr>
        <w:lastRenderedPageBreak/>
        <w:t>Les deux contrats en question sont au cœur du présent pourvoi.  Le contrat de licence a concédé à Glaxo Canada les droits et avantages suivants :</w:t>
      </w:r>
    </w:p>
    <w:p w:rsidR="006B671D" w:rsidRPr="00ED2722" w:rsidRDefault="006B671D" w:rsidP="009D0EBA">
      <w:pPr>
        <w:pStyle w:val="Citation-AltC"/>
        <w:numPr>
          <w:ilvl w:val="6"/>
          <w:numId w:val="1"/>
        </w:numPr>
        <w:spacing w:after="480" w:line="480" w:lineRule="auto"/>
        <w:ind w:left="990" w:hanging="990"/>
        <w:contextualSpacing w:val="0"/>
        <w:rPr>
          <w:szCs w:val="24"/>
          <w:lang w:val="fr-CA"/>
        </w:rPr>
      </w:pPr>
      <w:r w:rsidRPr="00ED2722">
        <w:rPr>
          <w:szCs w:val="24"/>
          <w:lang w:val="fr-FR"/>
        </w:rPr>
        <w:t>le droit conféré par les brevets de fabriquer, d’utiliser et de vendre les produits</w:t>
      </w:r>
      <w:r w:rsidR="0036133A">
        <w:rPr>
          <w:szCs w:val="24"/>
          <w:lang w:val="fr-CA"/>
        </w:rPr>
        <w:t xml:space="preserve"> du groupe Glaxo (al. 3(1</w:t>
      </w:r>
      <w:proofErr w:type="gramStart"/>
      <w:r w:rsidR="0036133A">
        <w:rPr>
          <w:szCs w:val="24"/>
          <w:lang w:val="fr-CA"/>
        </w:rPr>
        <w:t>)</w:t>
      </w:r>
      <w:r w:rsidRPr="00ED2722">
        <w:rPr>
          <w:szCs w:val="24"/>
          <w:lang w:val="fr-CA"/>
        </w:rPr>
        <w:t>a</w:t>
      </w:r>
      <w:proofErr w:type="gramEnd"/>
      <w:r w:rsidRPr="00ED2722">
        <w:rPr>
          <w:szCs w:val="24"/>
          <w:lang w:val="fr-CA"/>
        </w:rPr>
        <w:t>));</w:t>
      </w:r>
    </w:p>
    <w:p w:rsidR="006B671D" w:rsidRPr="00ED2722" w:rsidRDefault="006B671D" w:rsidP="009D0EBA">
      <w:pPr>
        <w:pStyle w:val="Citation-AltC"/>
        <w:numPr>
          <w:ilvl w:val="6"/>
          <w:numId w:val="1"/>
        </w:numPr>
        <w:spacing w:after="480" w:line="480" w:lineRule="auto"/>
        <w:ind w:left="990" w:hanging="990"/>
        <w:contextualSpacing w:val="0"/>
        <w:rPr>
          <w:szCs w:val="24"/>
          <w:lang w:val="fr-CA"/>
        </w:rPr>
      </w:pPr>
      <w:r w:rsidRPr="00ED2722">
        <w:rPr>
          <w:szCs w:val="24"/>
          <w:lang w:val="fr-FR"/>
        </w:rPr>
        <w:t xml:space="preserve">le droit exclusif d’utiliser les marques de commerce appartenant au groupe Glaxo, y compris la marque Zantac </w:t>
      </w:r>
      <w:r w:rsidR="0036133A">
        <w:rPr>
          <w:szCs w:val="24"/>
          <w:lang w:val="fr-FR"/>
        </w:rPr>
        <w:t>(al. 3(1</w:t>
      </w:r>
      <w:proofErr w:type="gramStart"/>
      <w:r w:rsidR="0036133A">
        <w:rPr>
          <w:szCs w:val="24"/>
          <w:lang w:val="fr-FR"/>
        </w:rPr>
        <w:t>)</w:t>
      </w:r>
      <w:r w:rsidRPr="00ED2722">
        <w:rPr>
          <w:szCs w:val="24"/>
          <w:lang w:val="fr-FR"/>
        </w:rPr>
        <w:t>b</w:t>
      </w:r>
      <w:proofErr w:type="gramEnd"/>
      <w:r w:rsidRPr="00ED2722">
        <w:rPr>
          <w:szCs w:val="24"/>
          <w:lang w:val="fr-FR"/>
        </w:rPr>
        <w:t>))</w:t>
      </w:r>
      <w:r w:rsidRPr="00ED2722">
        <w:rPr>
          <w:szCs w:val="24"/>
          <w:lang w:val="fr-CA"/>
        </w:rPr>
        <w:t>;</w:t>
      </w:r>
    </w:p>
    <w:p w:rsidR="006B671D" w:rsidRPr="00ED2722" w:rsidRDefault="006B671D" w:rsidP="009D0EBA">
      <w:pPr>
        <w:pStyle w:val="Citation-AltC"/>
        <w:numPr>
          <w:ilvl w:val="6"/>
          <w:numId w:val="1"/>
        </w:numPr>
        <w:spacing w:after="480" w:line="480" w:lineRule="auto"/>
        <w:ind w:left="990" w:hanging="990"/>
        <w:contextualSpacing w:val="0"/>
        <w:rPr>
          <w:szCs w:val="24"/>
          <w:lang w:val="fr-CA"/>
        </w:rPr>
      </w:pPr>
      <w:r w:rsidRPr="00ED2722">
        <w:rPr>
          <w:szCs w:val="24"/>
          <w:lang w:val="fr-FR"/>
        </w:rPr>
        <w:t>le droit d’obtenir de l’assistance technique pour ses besoins touchant la fabrication secondaire (par. 3(4));</w:t>
      </w:r>
    </w:p>
    <w:p w:rsidR="006B671D" w:rsidRPr="00ED2722" w:rsidRDefault="006B671D" w:rsidP="009D0EBA">
      <w:pPr>
        <w:pStyle w:val="Citation-AltC"/>
        <w:numPr>
          <w:ilvl w:val="6"/>
          <w:numId w:val="1"/>
        </w:numPr>
        <w:spacing w:after="480" w:line="480" w:lineRule="auto"/>
        <w:ind w:left="990" w:hanging="990"/>
        <w:contextualSpacing w:val="0"/>
        <w:rPr>
          <w:szCs w:val="24"/>
          <w:lang w:val="fr-CA"/>
        </w:rPr>
      </w:pPr>
      <w:r w:rsidRPr="00ED2722">
        <w:rPr>
          <w:szCs w:val="24"/>
          <w:lang w:val="fr-FR"/>
        </w:rPr>
        <w:t>l’utilisation des documents d’enregistrement préparés par le groupe Glaxo, lesquels devaient être adaptés pour le Canada et soumis à la Direction générale de la protection de la santé (par. 4(2));</w:t>
      </w:r>
    </w:p>
    <w:p w:rsidR="006B671D" w:rsidRPr="00ED2722" w:rsidRDefault="006B671D" w:rsidP="009D0EBA">
      <w:pPr>
        <w:pStyle w:val="Citation-AltC"/>
        <w:numPr>
          <w:ilvl w:val="6"/>
          <w:numId w:val="1"/>
        </w:numPr>
        <w:spacing w:after="480" w:line="480" w:lineRule="auto"/>
        <w:ind w:left="990" w:hanging="990"/>
        <w:contextualSpacing w:val="0"/>
        <w:rPr>
          <w:szCs w:val="24"/>
          <w:lang w:val="fr-CA"/>
        </w:rPr>
      </w:pPr>
      <w:r w:rsidRPr="00ED2722">
        <w:rPr>
          <w:szCs w:val="24"/>
          <w:lang w:val="fr-FR"/>
        </w:rPr>
        <w:t>l’accès à de nouveaux produits, y compris un élargissement de la gamme de produits (par. 4(1));</w:t>
      </w:r>
    </w:p>
    <w:p w:rsidR="006B671D" w:rsidRPr="00ED2722" w:rsidRDefault="006B671D" w:rsidP="009D0EBA">
      <w:pPr>
        <w:pStyle w:val="Citation-AltC"/>
        <w:numPr>
          <w:ilvl w:val="6"/>
          <w:numId w:val="1"/>
        </w:numPr>
        <w:spacing w:after="480" w:line="480" w:lineRule="auto"/>
        <w:ind w:left="990" w:hanging="990"/>
        <w:contextualSpacing w:val="0"/>
        <w:rPr>
          <w:szCs w:val="24"/>
          <w:lang w:val="fr-CA"/>
        </w:rPr>
      </w:pPr>
      <w:r w:rsidRPr="00ED2722">
        <w:rPr>
          <w:szCs w:val="24"/>
          <w:lang w:val="fr-FR"/>
        </w:rPr>
        <w:t>l’accès aux inventions ou aux améliorations touchant les médicaments existants (par. 6(1));</w:t>
      </w:r>
    </w:p>
    <w:p w:rsidR="006B671D" w:rsidRPr="00ED2722" w:rsidRDefault="006B671D" w:rsidP="009D0EBA">
      <w:pPr>
        <w:pStyle w:val="Citation-AltC"/>
        <w:numPr>
          <w:ilvl w:val="6"/>
          <w:numId w:val="1"/>
        </w:numPr>
        <w:spacing w:after="480" w:line="480" w:lineRule="auto"/>
        <w:ind w:left="990" w:hanging="990"/>
        <w:contextualSpacing w:val="0"/>
        <w:rPr>
          <w:szCs w:val="24"/>
          <w:lang w:val="fr-CA"/>
        </w:rPr>
      </w:pPr>
      <w:r w:rsidRPr="00ED2722">
        <w:rPr>
          <w:szCs w:val="24"/>
          <w:lang w:val="fr-FR"/>
        </w:rPr>
        <w:t>le droit à ce qu’une société du groupe Glaxo World vende à Glaxo Canada quelque matière première ou produit en vrac (par. 7(1));</w:t>
      </w:r>
    </w:p>
    <w:p w:rsidR="006B671D" w:rsidRPr="00ED2722" w:rsidRDefault="006B671D" w:rsidP="009D0EBA">
      <w:pPr>
        <w:pStyle w:val="Citation-AltC"/>
        <w:numPr>
          <w:ilvl w:val="6"/>
          <w:numId w:val="1"/>
        </w:numPr>
        <w:spacing w:after="480" w:line="480" w:lineRule="auto"/>
        <w:ind w:left="990" w:hanging="990"/>
        <w:contextualSpacing w:val="0"/>
        <w:rPr>
          <w:szCs w:val="24"/>
          <w:lang w:val="fr-CA"/>
        </w:rPr>
      </w:pPr>
      <w:r w:rsidRPr="00ED2722">
        <w:rPr>
          <w:szCs w:val="24"/>
          <w:lang w:val="fr-FR"/>
        </w:rPr>
        <w:lastRenderedPageBreak/>
        <w:t xml:space="preserve">l’appui à la commercialisation par divers moyens — documents de promotion, littérature médicale, données </w:t>
      </w:r>
      <w:r w:rsidRPr="00ED2722">
        <w:rPr>
          <w:szCs w:val="24"/>
          <w:lang w:val="fr-CA"/>
        </w:rPr>
        <w:t>d’études de marché et tout autre renseignement pouvant faciliter la mise en marché des produits (par. 10(1));</w:t>
      </w:r>
    </w:p>
    <w:p w:rsidR="006B671D" w:rsidRPr="00ED2722" w:rsidRDefault="006B671D" w:rsidP="009D0EBA">
      <w:pPr>
        <w:pStyle w:val="Citation-AltC"/>
        <w:numPr>
          <w:ilvl w:val="6"/>
          <w:numId w:val="1"/>
        </w:numPr>
        <w:spacing w:after="480" w:line="480" w:lineRule="auto"/>
        <w:ind w:left="990" w:hanging="990"/>
        <w:contextualSpacing w:val="0"/>
        <w:rPr>
          <w:szCs w:val="24"/>
          <w:lang w:val="fr-CA"/>
        </w:rPr>
      </w:pPr>
      <w:r w:rsidRPr="00ED2722">
        <w:rPr>
          <w:szCs w:val="24"/>
          <w:lang w:val="fr-FR"/>
        </w:rPr>
        <w:t>l’indemnisation des dommages-intérêts découlant d’actions en contrefaçon de brevet ou de marque de commerce (par. 13(2));</w:t>
      </w:r>
    </w:p>
    <w:p w:rsidR="006B671D" w:rsidRPr="00ED2722" w:rsidRDefault="006B671D" w:rsidP="009D0EBA">
      <w:pPr>
        <w:pStyle w:val="Citation-AltC"/>
        <w:numPr>
          <w:ilvl w:val="6"/>
          <w:numId w:val="1"/>
        </w:numPr>
        <w:spacing w:after="480" w:line="480" w:lineRule="auto"/>
        <w:ind w:left="990" w:hanging="990"/>
        <w:contextualSpacing w:val="0"/>
        <w:rPr>
          <w:lang w:val="fr-CA"/>
        </w:rPr>
      </w:pPr>
      <w:r w:rsidRPr="00ED2722">
        <w:rPr>
          <w:lang w:val="fr-CA"/>
        </w:rPr>
        <w:t xml:space="preserve">de l’assistance </w:t>
      </w:r>
      <w:r w:rsidRPr="00ED2722">
        <w:rPr>
          <w:szCs w:val="24"/>
          <w:lang w:val="fr-FR"/>
        </w:rPr>
        <w:t>technique</w:t>
      </w:r>
      <w:r w:rsidRPr="00ED2722">
        <w:rPr>
          <w:lang w:val="fr-CA"/>
        </w:rPr>
        <w:t xml:space="preserve"> pour établir de nouvelles gammes de produits dans les installations de fabrication de Glaxo Canada (par. 4(3));</w:t>
      </w:r>
    </w:p>
    <w:p w:rsidR="006B671D" w:rsidRPr="00ED2722" w:rsidRDefault="006B671D" w:rsidP="009D0EBA">
      <w:pPr>
        <w:pStyle w:val="Citation-AltC"/>
        <w:numPr>
          <w:ilvl w:val="6"/>
          <w:numId w:val="1"/>
        </w:numPr>
        <w:spacing w:after="480" w:line="480" w:lineRule="auto"/>
        <w:ind w:left="990" w:hanging="990"/>
        <w:contextualSpacing w:val="0"/>
        <w:rPr>
          <w:lang w:val="fr-CA"/>
        </w:rPr>
      </w:pPr>
      <w:r w:rsidRPr="00ED2722">
        <w:rPr>
          <w:lang w:val="fr-CA"/>
        </w:rPr>
        <w:t xml:space="preserve">si la marque de </w:t>
      </w:r>
      <w:r w:rsidRPr="00ED2722">
        <w:rPr>
          <w:szCs w:val="24"/>
          <w:lang w:val="fr-FR"/>
        </w:rPr>
        <w:t>commerce</w:t>
      </w:r>
      <w:r w:rsidRPr="00ED2722">
        <w:rPr>
          <w:lang w:val="fr-CA"/>
        </w:rPr>
        <w:t xml:space="preserve"> originale d’un nouveau produit ne pouvait être enregistrée ou si d’autres marques de commerce étaient nécessaires, l’engagement du groupe Glaxo à entreprendre les démarches nécessaires (par. 4(4));</w:t>
      </w:r>
    </w:p>
    <w:p w:rsidR="006B671D" w:rsidRPr="00ED2722" w:rsidRDefault="006B671D" w:rsidP="009D0EBA">
      <w:pPr>
        <w:pStyle w:val="Citation-AltC"/>
        <w:numPr>
          <w:ilvl w:val="6"/>
          <w:numId w:val="1"/>
        </w:numPr>
        <w:spacing w:after="480" w:line="480" w:lineRule="auto"/>
        <w:ind w:left="990" w:hanging="990"/>
        <w:contextualSpacing w:val="0"/>
        <w:rPr>
          <w:lang w:val="fr-CA"/>
        </w:rPr>
      </w:pPr>
      <w:r w:rsidRPr="00ED2722">
        <w:rPr>
          <w:lang w:val="fr-CA"/>
        </w:rPr>
        <w:t xml:space="preserve">la possibilité pour Glaxo Canada de concéder une </w:t>
      </w:r>
      <w:proofErr w:type="spellStart"/>
      <w:r w:rsidRPr="00ED2722">
        <w:rPr>
          <w:lang w:val="fr-CA"/>
        </w:rPr>
        <w:t>sous</w:t>
      </w:r>
      <w:r w:rsidRPr="00ED2722">
        <w:rPr>
          <w:lang w:val="fr-CA"/>
        </w:rPr>
        <w:noBreakHyphen/>
        <w:t>licence</w:t>
      </w:r>
      <w:proofErr w:type="spellEnd"/>
      <w:r w:rsidRPr="00ED2722">
        <w:rPr>
          <w:lang w:val="fr-CA"/>
        </w:rPr>
        <w:t xml:space="preserve"> relativement à tout nouveau produit obtenu d’un tiers par le groupe Glaxo (par. 5(1));</w:t>
      </w:r>
    </w:p>
    <w:p w:rsidR="006B671D" w:rsidRPr="00ED2722" w:rsidRDefault="006B671D" w:rsidP="009D0EBA">
      <w:pPr>
        <w:pStyle w:val="Citation-AltC"/>
        <w:numPr>
          <w:ilvl w:val="6"/>
          <w:numId w:val="1"/>
        </w:numPr>
        <w:spacing w:after="480" w:line="480" w:lineRule="auto"/>
        <w:ind w:left="990" w:hanging="990"/>
        <w:contextualSpacing w:val="0"/>
        <w:rPr>
          <w:lang w:val="fr-CA"/>
        </w:rPr>
      </w:pPr>
      <w:r w:rsidRPr="00ED2722">
        <w:rPr>
          <w:lang w:val="fr-CA"/>
        </w:rPr>
        <w:t xml:space="preserve">en ce qui concerne les produits de tiers, la fourniture par le groupe Glaxo de tout renseignement utile pour l’approbation des produits par </w:t>
      </w:r>
      <w:r w:rsidRPr="00ED2722">
        <w:rPr>
          <w:szCs w:val="24"/>
          <w:lang w:val="fr-FR"/>
        </w:rPr>
        <w:t xml:space="preserve">la Direction générale de la protection de la santé du </w:t>
      </w:r>
      <w:r w:rsidRPr="00ED2722">
        <w:rPr>
          <w:lang w:val="fr-CA"/>
        </w:rPr>
        <w:t>Canada (pa</w:t>
      </w:r>
      <w:r w:rsidR="009D0EBA" w:rsidRPr="00ED2722">
        <w:rPr>
          <w:lang w:val="fr-CA"/>
        </w:rPr>
        <w:t>r</w:t>
      </w:r>
      <w:r w:rsidRPr="00ED2722">
        <w:rPr>
          <w:lang w:val="fr-CA"/>
        </w:rPr>
        <w:t>. 5(2));</w:t>
      </w:r>
    </w:p>
    <w:p w:rsidR="006B671D" w:rsidRPr="00ED2722" w:rsidRDefault="006B671D" w:rsidP="009D0EBA">
      <w:pPr>
        <w:pStyle w:val="Citation-AltC"/>
        <w:numPr>
          <w:ilvl w:val="6"/>
          <w:numId w:val="1"/>
        </w:numPr>
        <w:spacing w:after="480" w:line="480" w:lineRule="auto"/>
        <w:ind w:left="990" w:hanging="990"/>
        <w:contextualSpacing w:val="0"/>
        <w:rPr>
          <w:lang w:val="fr-CA"/>
        </w:rPr>
      </w:pPr>
      <w:r w:rsidRPr="00ED2722">
        <w:rPr>
          <w:lang w:val="fr-CA"/>
        </w:rPr>
        <w:lastRenderedPageBreak/>
        <w:t>l’engagement par le groupe Glaxo à faire le nécessaire pour assurer la transmission à Glaxo Canada des renseignements techniques se rapportant aux produits de tiers (par. 5(4)).</w:t>
      </w:r>
    </w:p>
    <w:p w:rsidR="006B671D" w:rsidRPr="00ED2722" w:rsidRDefault="006B671D" w:rsidP="006B671D">
      <w:pPr>
        <w:pStyle w:val="ParaNoNdepar-AltN"/>
        <w:rPr>
          <w:rFonts w:cs="Times New Roman"/>
          <w:lang w:val="fr-CA"/>
        </w:rPr>
      </w:pPr>
      <w:r w:rsidRPr="00ED2722">
        <w:rPr>
          <w:rFonts w:cs="Times New Roman"/>
          <w:lang w:val="fr-CA"/>
        </w:rPr>
        <w:t xml:space="preserve">Suivant le contrat de fourniture, le groupe Glaxo a fixé les prix de transfert de l’ingrédient actif, la </w:t>
      </w:r>
      <w:proofErr w:type="spellStart"/>
      <w:r w:rsidRPr="00ED2722">
        <w:rPr>
          <w:rFonts w:cs="Times New Roman"/>
          <w:lang w:val="fr-CA"/>
        </w:rPr>
        <w:t>ranitidine</w:t>
      </w:r>
      <w:proofErr w:type="spellEnd"/>
      <w:r w:rsidRPr="00ED2722">
        <w:rPr>
          <w:rFonts w:cs="Times New Roman"/>
          <w:lang w:val="fr-CA"/>
        </w:rPr>
        <w:t xml:space="preserve">, en appliquant la méthode du prix de revente, méthode que le juge en chef adjoint </w:t>
      </w:r>
      <w:proofErr w:type="spellStart"/>
      <w:r w:rsidRPr="00ED2722">
        <w:rPr>
          <w:rFonts w:cs="Times New Roman"/>
          <w:lang w:val="fr-CA"/>
        </w:rPr>
        <w:t>Rip</w:t>
      </w:r>
      <w:proofErr w:type="spellEnd"/>
      <w:r w:rsidRPr="00ED2722">
        <w:rPr>
          <w:rFonts w:cs="Times New Roman"/>
          <w:lang w:val="fr-CA"/>
        </w:rPr>
        <w:t xml:space="preserve"> a décrite ainsi : </w:t>
      </w:r>
    </w:p>
    <w:p w:rsidR="006B671D" w:rsidRPr="00ED2722" w:rsidRDefault="006B671D" w:rsidP="009D0EBA">
      <w:pPr>
        <w:pStyle w:val="Citation-AltC"/>
        <w:tabs>
          <w:tab w:val="left" w:pos="1620"/>
        </w:tabs>
        <w:spacing w:after="240"/>
        <w:ind w:hanging="1166"/>
        <w:contextualSpacing w:val="0"/>
        <w:rPr>
          <w:lang w:val="fr-FR" w:eastAsia="fr-CA"/>
        </w:rPr>
      </w:pPr>
      <w:r w:rsidRPr="00ED2722">
        <w:rPr>
          <w:lang w:val="fr-CA"/>
        </w:rPr>
        <w:tab/>
      </w:r>
      <w:r w:rsidRPr="00ED2722">
        <w:rPr>
          <w:lang w:val="fr-CA"/>
        </w:rPr>
        <w:tab/>
      </w:r>
      <w:r w:rsidRPr="00ED2722">
        <w:rPr>
          <w:lang w:val="fr-FR" w:eastAsia="fr-CA"/>
        </w:rPr>
        <w:t>Glaxo World a utilisé ce qui est connu sous le n</w:t>
      </w:r>
      <w:bookmarkStart w:id="0" w:name="_ftnref11"/>
      <w:r w:rsidRPr="00ED2722">
        <w:rPr>
          <w:lang w:val="fr-FR" w:eastAsia="fr-CA"/>
        </w:rPr>
        <w:t xml:space="preserve">om de méthode du prix de revente </w:t>
      </w:r>
      <w:bookmarkEnd w:id="0"/>
      <w:r w:rsidRPr="00ED2722">
        <w:rPr>
          <w:lang w:val="fr-FR" w:eastAsia="fr-CA"/>
        </w:rPr>
        <w:t xml:space="preserve">en vue de fixer le prix de transfert de l’IPA </w:t>
      </w:r>
      <w:r w:rsidRPr="00ED2722">
        <w:rPr>
          <w:lang w:val="fr-CA"/>
        </w:rPr>
        <w:t>[ingrédient pharmaceutique actif].</w:t>
      </w:r>
      <w:r w:rsidRPr="00ED2722">
        <w:rPr>
          <w:lang w:val="fr-FR" w:eastAsia="fr-CA"/>
        </w:rPr>
        <w:t xml:space="preserve"> Glaxo World et ses distributeurs s’étaient entendus pour que les distributeurs conservent une marge brute de 60 p. 100 et ils avaient fixé le prix de la </w:t>
      </w:r>
      <w:proofErr w:type="spellStart"/>
      <w:r w:rsidRPr="00ED2722">
        <w:rPr>
          <w:lang w:val="fr-FR" w:eastAsia="fr-CA"/>
        </w:rPr>
        <w:t>ranitidine</w:t>
      </w:r>
      <w:proofErr w:type="spellEnd"/>
      <w:r w:rsidRPr="00ED2722">
        <w:rPr>
          <w:lang w:val="fr-FR" w:eastAsia="fr-CA"/>
        </w:rPr>
        <w:t xml:space="preserve"> en conséquence.  Il est possible d’illustrer la chose au moyen d’un exemple fort simple : si le produit à base de </w:t>
      </w:r>
      <w:proofErr w:type="spellStart"/>
      <w:r w:rsidRPr="00ED2722">
        <w:rPr>
          <w:lang w:val="fr-FR" w:eastAsia="fr-CA"/>
        </w:rPr>
        <w:t>ranitidine</w:t>
      </w:r>
      <w:proofErr w:type="spellEnd"/>
      <w:r w:rsidRPr="00ED2722">
        <w:rPr>
          <w:lang w:val="fr-FR" w:eastAsia="fr-CA"/>
        </w:rPr>
        <w:t xml:space="preserve"> coûtait dix dollars en Italie, le prix de transfert était de quatre dollars; si le produit à base de </w:t>
      </w:r>
      <w:proofErr w:type="spellStart"/>
      <w:r w:rsidRPr="00ED2722">
        <w:rPr>
          <w:lang w:val="fr-FR" w:eastAsia="fr-CA"/>
        </w:rPr>
        <w:t>ranitidine</w:t>
      </w:r>
      <w:proofErr w:type="spellEnd"/>
      <w:r w:rsidRPr="00ED2722">
        <w:rPr>
          <w:lang w:val="fr-FR" w:eastAsia="fr-CA"/>
        </w:rPr>
        <w:t xml:space="preserve"> coûtait vingt dollars en France, le prix de transfert s’élevait à huit dollars.  L’avocat de l’appelante a décrit le processus en ces termes :</w:t>
      </w:r>
    </w:p>
    <w:p w:rsidR="006B671D" w:rsidRPr="00ED2722" w:rsidRDefault="006B671D" w:rsidP="009D0EBA">
      <w:pPr>
        <w:pStyle w:val="Citation-AltC"/>
        <w:keepNext/>
        <w:tabs>
          <w:tab w:val="left" w:pos="1620"/>
        </w:tabs>
        <w:spacing w:after="240"/>
        <w:ind w:left="1620" w:hanging="1620"/>
        <w:contextualSpacing w:val="0"/>
        <w:rPr>
          <w:spacing w:val="-3"/>
          <w:lang w:val="fr-FR" w:eastAsia="fr-CA"/>
        </w:rPr>
      </w:pPr>
      <w:r w:rsidRPr="00ED2722">
        <w:rPr>
          <w:lang w:val="fr-FR" w:eastAsia="fr-CA"/>
        </w:rPr>
        <w:tab/>
        <w:t>[</w:t>
      </w:r>
      <w:r w:rsidRPr="00ED2722">
        <w:rPr>
          <w:smallCaps/>
          <w:lang w:val="fr-FR" w:eastAsia="fr-CA"/>
        </w:rPr>
        <w:t>traduction</w:t>
      </w:r>
      <w:r w:rsidRPr="00ED2722">
        <w:rPr>
          <w:lang w:val="fr-FR" w:eastAsia="fr-CA"/>
        </w:rPr>
        <w:t>]</w:t>
      </w:r>
    </w:p>
    <w:p w:rsidR="006B671D" w:rsidRPr="00ED2722" w:rsidRDefault="006B671D" w:rsidP="009D0EBA">
      <w:pPr>
        <w:pStyle w:val="Citation-AltC"/>
        <w:tabs>
          <w:tab w:val="left" w:pos="1620"/>
        </w:tabs>
        <w:spacing w:after="240"/>
        <w:ind w:left="1620" w:hanging="1800"/>
        <w:contextualSpacing w:val="0"/>
        <w:rPr>
          <w:lang w:val="fr-FR" w:eastAsia="fr-CA"/>
        </w:rPr>
      </w:pPr>
      <w:r w:rsidRPr="00ED2722">
        <w:rPr>
          <w:lang w:val="fr-FR" w:eastAsia="fr-CA"/>
        </w:rPr>
        <w:tab/>
      </w:r>
      <w:proofErr w:type="gramStart"/>
      <w:r w:rsidRPr="00ED2722">
        <w:rPr>
          <w:lang w:val="fr-FR" w:eastAsia="fr-CA"/>
        </w:rPr>
        <w:t>le</w:t>
      </w:r>
      <w:proofErr w:type="gramEnd"/>
      <w:r w:rsidRPr="00ED2722">
        <w:rPr>
          <w:lang w:val="fr-FR" w:eastAsia="fr-CA"/>
        </w:rPr>
        <w:t xml:space="preserve"> point de départ aux fins de la détermination du prix pour le distributeur était le prix de détail du produit à base de </w:t>
      </w:r>
      <w:proofErr w:type="spellStart"/>
      <w:r w:rsidRPr="00ED2722">
        <w:rPr>
          <w:lang w:val="fr-FR" w:eastAsia="fr-CA"/>
        </w:rPr>
        <w:t>ranitidine</w:t>
      </w:r>
      <w:proofErr w:type="spellEnd"/>
      <w:r w:rsidRPr="00ED2722">
        <w:rPr>
          <w:lang w:val="fr-FR" w:eastAsia="fr-CA"/>
        </w:rPr>
        <w:t xml:space="preserve"> fini;</w:t>
      </w:r>
    </w:p>
    <w:p w:rsidR="006B671D" w:rsidRPr="00ED2722" w:rsidRDefault="006B671D" w:rsidP="009D0EBA">
      <w:pPr>
        <w:pStyle w:val="Citation-AltC"/>
        <w:tabs>
          <w:tab w:val="left" w:pos="1620"/>
        </w:tabs>
        <w:spacing w:after="240"/>
        <w:ind w:left="1620" w:hanging="1800"/>
        <w:contextualSpacing w:val="0"/>
        <w:rPr>
          <w:lang w:val="fr-FR" w:eastAsia="fr-CA"/>
        </w:rPr>
      </w:pPr>
      <w:r w:rsidRPr="00ED2722">
        <w:rPr>
          <w:lang w:val="fr-FR" w:eastAsia="fr-CA"/>
        </w:rPr>
        <w:tab/>
      </w:r>
      <w:proofErr w:type="gramStart"/>
      <w:r w:rsidRPr="00ED2722">
        <w:rPr>
          <w:lang w:val="fr-FR" w:eastAsia="fr-CA"/>
        </w:rPr>
        <w:t>à</w:t>
      </w:r>
      <w:proofErr w:type="gramEnd"/>
      <w:r w:rsidRPr="00ED2722">
        <w:rPr>
          <w:lang w:val="fr-FR" w:eastAsia="fr-CA"/>
        </w:rPr>
        <w:t xml:space="preserve"> partir du prix de détail, les parties s’entendaient, à supposer que des conditions précises soient remplies, sur la marge bénéficiaire brute que le distributeur devait conserver (soit environ 60 p. 100);</w:t>
      </w:r>
    </w:p>
    <w:p w:rsidR="006B671D" w:rsidRPr="00ED2722" w:rsidRDefault="006B671D" w:rsidP="009D0EBA">
      <w:pPr>
        <w:pStyle w:val="Citation-AltC"/>
        <w:tabs>
          <w:tab w:val="left" w:pos="1620"/>
        </w:tabs>
        <w:spacing w:after="240"/>
        <w:ind w:left="1613" w:hanging="1800"/>
        <w:contextualSpacing w:val="0"/>
        <w:rPr>
          <w:lang w:val="fr-CA"/>
        </w:rPr>
      </w:pPr>
      <w:r w:rsidRPr="00ED2722">
        <w:rPr>
          <w:lang w:val="fr-FR" w:eastAsia="fr-CA"/>
        </w:rPr>
        <w:tab/>
      </w:r>
      <w:proofErr w:type="gramStart"/>
      <w:r w:rsidRPr="00ED2722">
        <w:rPr>
          <w:lang w:val="fr-FR" w:eastAsia="fr-CA"/>
        </w:rPr>
        <w:t>le</w:t>
      </w:r>
      <w:proofErr w:type="gramEnd"/>
      <w:r w:rsidRPr="00ED2722">
        <w:rPr>
          <w:lang w:val="fr-FR" w:eastAsia="fr-CA"/>
        </w:rPr>
        <w:t xml:space="preserve"> restant était remis à Glaxo Group sous la forme de prix de transfert, de redevances [ou des deux].  Lorsque le distributeur devait payer à la fois un prix de transfert et des redevances, il était tenu compte tant du prix que de la redevance pour déterminer la marge bénéficiaire brute du distributeur une fois la redevance payée.  </w:t>
      </w:r>
      <w:r w:rsidRPr="00ED2722">
        <w:rPr>
          <w:lang w:val="fr-CA"/>
        </w:rPr>
        <w:t>[</w:t>
      </w:r>
      <w:proofErr w:type="gramStart"/>
      <w:r w:rsidRPr="00ED2722">
        <w:rPr>
          <w:lang w:val="fr-CA"/>
        </w:rPr>
        <w:t>par</w:t>
      </w:r>
      <w:proofErr w:type="gramEnd"/>
      <w:r w:rsidRPr="00ED2722">
        <w:rPr>
          <w:lang w:val="fr-CA"/>
        </w:rPr>
        <w:t>. 47]</w:t>
      </w:r>
    </w:p>
    <w:p w:rsidR="009D0EBA" w:rsidRPr="00ED2722" w:rsidRDefault="009D0EBA" w:rsidP="009D0EBA">
      <w:pPr>
        <w:pStyle w:val="Citation-AltC"/>
        <w:tabs>
          <w:tab w:val="left" w:pos="1170"/>
          <w:tab w:val="left" w:pos="1620"/>
        </w:tabs>
        <w:ind w:left="1613" w:hanging="1800"/>
        <w:contextualSpacing w:val="0"/>
        <w:rPr>
          <w:spacing w:val="-3"/>
          <w:lang w:val="fr-FR" w:eastAsia="fr-CA"/>
        </w:rPr>
      </w:pPr>
      <w:r w:rsidRPr="00ED2722">
        <w:rPr>
          <w:lang w:val="fr-CA"/>
        </w:rPr>
        <w:tab/>
        <w:t>(2008 CCI 324 (</w:t>
      </w:r>
      <w:proofErr w:type="spellStart"/>
      <w:r w:rsidRPr="00ED2722">
        <w:rPr>
          <w:lang w:val="fr-CA"/>
        </w:rPr>
        <w:t>CanLII</w:t>
      </w:r>
      <w:proofErr w:type="spellEnd"/>
      <w:r w:rsidRPr="00ED2722">
        <w:rPr>
          <w:lang w:val="fr-CA"/>
        </w:rPr>
        <w:t>))</w:t>
      </w:r>
    </w:p>
    <w:p w:rsidR="006B671D" w:rsidRPr="00ED2722" w:rsidRDefault="006B671D" w:rsidP="006B671D">
      <w:pPr>
        <w:pStyle w:val="ContinueParaSuitedupar-AltP"/>
        <w:rPr>
          <w:rFonts w:cs="Times New Roman"/>
          <w:lang w:val="fr-CA"/>
        </w:rPr>
      </w:pPr>
      <w:r w:rsidRPr="00ED2722">
        <w:rPr>
          <w:rFonts w:cs="Times New Roman"/>
          <w:lang w:val="fr-FR"/>
        </w:rPr>
        <w:lastRenderedPageBreak/>
        <w:t>L’application de</w:t>
      </w:r>
      <w:r w:rsidRPr="00ED2722">
        <w:rPr>
          <w:rFonts w:cs="Times New Roman"/>
          <w:lang w:val="fr-CA"/>
        </w:rPr>
        <w:t xml:space="preserve"> cette méthode s’est traduite par des prix excédant 1 500 $ le kilogramme dans le cas de la </w:t>
      </w:r>
      <w:proofErr w:type="spellStart"/>
      <w:r w:rsidRPr="00ED2722">
        <w:rPr>
          <w:rFonts w:cs="Times New Roman"/>
          <w:lang w:val="fr-CA"/>
        </w:rPr>
        <w:t>ranitidine</w:t>
      </w:r>
      <w:proofErr w:type="spellEnd"/>
      <w:r w:rsidRPr="00ED2722">
        <w:rPr>
          <w:rFonts w:cs="Times New Roman"/>
          <w:lang w:val="fr-CA"/>
        </w:rPr>
        <w:t xml:space="preserve"> achetée par Glaxo Canada à </w:t>
      </w:r>
      <w:proofErr w:type="spellStart"/>
      <w:r w:rsidRPr="00ED2722">
        <w:rPr>
          <w:rFonts w:cs="Times New Roman"/>
          <w:lang w:val="fr-CA"/>
        </w:rPr>
        <w:t>Adechsa</w:t>
      </w:r>
      <w:proofErr w:type="spellEnd"/>
      <w:r w:rsidRPr="00ED2722">
        <w:rPr>
          <w:rFonts w:cs="Times New Roman"/>
          <w:lang w:val="fr-CA"/>
        </w:rPr>
        <w:t xml:space="preserve">.  L’effet combiné du contrat de licence et du contrat de fourniture permettait entre autres à Glaxo Canada d’acheter l’ingrédient actif, la </w:t>
      </w:r>
      <w:proofErr w:type="spellStart"/>
      <w:r w:rsidRPr="00ED2722">
        <w:rPr>
          <w:rFonts w:cs="Times New Roman"/>
          <w:lang w:val="fr-CA"/>
        </w:rPr>
        <w:t>ranitidine</w:t>
      </w:r>
      <w:proofErr w:type="spellEnd"/>
      <w:r w:rsidRPr="00ED2722">
        <w:rPr>
          <w:rFonts w:cs="Times New Roman"/>
          <w:lang w:val="fr-CA"/>
        </w:rPr>
        <w:t xml:space="preserve">, de le soumettre </w:t>
      </w:r>
      <w:r w:rsidRPr="00ED2722">
        <w:rPr>
          <w:rFonts w:cs="Times New Roman"/>
          <w:lang w:val="fr-FR"/>
        </w:rPr>
        <w:t xml:space="preserve">à un processus permettant son administration et de le commercialiser sous la marque de </w:t>
      </w:r>
      <w:r w:rsidRPr="00ED2722">
        <w:rPr>
          <w:rFonts w:cs="Times New Roman"/>
          <w:lang w:val="fr-CA"/>
        </w:rPr>
        <w:t>commerce Zantac.</w:t>
      </w:r>
    </w:p>
    <w:p w:rsidR="006B671D" w:rsidRPr="00ED2722" w:rsidRDefault="006B671D" w:rsidP="006B671D">
      <w:pPr>
        <w:pStyle w:val="ParaNoNdepar-AltN"/>
        <w:rPr>
          <w:rFonts w:cs="Times New Roman"/>
          <w:lang w:val="fr-CA"/>
        </w:rPr>
      </w:pPr>
      <w:r w:rsidRPr="00ED2722">
        <w:rPr>
          <w:rFonts w:cs="Times New Roman"/>
          <w:lang w:val="fr-CA"/>
        </w:rPr>
        <w:t xml:space="preserve">Au cours des années d’imposition en cause, deux fabricants canadiens de produits pharmaceutiques génériques, </w:t>
      </w:r>
      <w:proofErr w:type="spellStart"/>
      <w:r w:rsidRPr="00ED2722">
        <w:rPr>
          <w:rFonts w:cs="Times New Roman"/>
          <w:lang w:val="fr-CA"/>
        </w:rPr>
        <w:t>Apotex</w:t>
      </w:r>
      <w:proofErr w:type="spellEnd"/>
      <w:r w:rsidRPr="00ED2722">
        <w:rPr>
          <w:rFonts w:cs="Times New Roman"/>
          <w:lang w:val="fr-CA"/>
        </w:rPr>
        <w:t xml:space="preserve"> et </w:t>
      </w:r>
      <w:proofErr w:type="spellStart"/>
      <w:r w:rsidRPr="00ED2722">
        <w:rPr>
          <w:rFonts w:cs="Times New Roman"/>
          <w:lang w:val="fr-CA"/>
        </w:rPr>
        <w:t>Novopharm</w:t>
      </w:r>
      <w:proofErr w:type="spellEnd"/>
      <w:r w:rsidRPr="00ED2722">
        <w:rPr>
          <w:rFonts w:cs="Times New Roman"/>
          <w:lang w:val="fr-CA"/>
        </w:rPr>
        <w:t xml:space="preserve">, vendaient des produits pharmaceutiques antiulcéreux génériques au Canada.  Ces sociétés se procuraient auprès de fournisseurs avec lesquels elles n’avaient pas de lien de dépendance de la </w:t>
      </w:r>
      <w:proofErr w:type="spellStart"/>
      <w:r w:rsidRPr="00ED2722">
        <w:rPr>
          <w:rFonts w:cs="Times New Roman"/>
          <w:lang w:val="fr-CA"/>
        </w:rPr>
        <w:t>ranitidine</w:t>
      </w:r>
      <w:proofErr w:type="spellEnd"/>
      <w:r w:rsidRPr="00ED2722">
        <w:rPr>
          <w:rFonts w:cs="Times New Roman"/>
          <w:lang w:val="fr-CA"/>
        </w:rPr>
        <w:t xml:space="preserve"> à des prix inférieurs à ceux payés par Glaxo Canada, soit entre 194 $ et 304 $ le kilogramme.  Rien n’indique que les contrats de fourniture d’</w:t>
      </w:r>
      <w:proofErr w:type="spellStart"/>
      <w:r w:rsidRPr="00ED2722">
        <w:rPr>
          <w:rFonts w:cs="Times New Roman"/>
          <w:lang w:val="fr-CA"/>
        </w:rPr>
        <w:t>Apotex</w:t>
      </w:r>
      <w:proofErr w:type="spellEnd"/>
      <w:r w:rsidRPr="00ED2722">
        <w:rPr>
          <w:rFonts w:cs="Times New Roman"/>
          <w:lang w:val="fr-CA"/>
        </w:rPr>
        <w:t xml:space="preserve"> ou de </w:t>
      </w:r>
      <w:proofErr w:type="spellStart"/>
      <w:r w:rsidRPr="00ED2722">
        <w:rPr>
          <w:rFonts w:cs="Times New Roman"/>
          <w:lang w:val="fr-CA"/>
        </w:rPr>
        <w:t>Novopharm</w:t>
      </w:r>
      <w:proofErr w:type="spellEnd"/>
      <w:r w:rsidRPr="00ED2722">
        <w:rPr>
          <w:rFonts w:cs="Times New Roman"/>
          <w:lang w:val="fr-CA"/>
        </w:rPr>
        <w:t xml:space="preserve"> leur conféraient quelque autre avantage que la </w:t>
      </w:r>
      <w:proofErr w:type="spellStart"/>
      <w:r w:rsidRPr="00ED2722">
        <w:rPr>
          <w:rFonts w:cs="Times New Roman"/>
          <w:lang w:val="fr-CA"/>
        </w:rPr>
        <w:t>ranitidine</w:t>
      </w:r>
      <w:proofErr w:type="spellEnd"/>
      <w:r w:rsidRPr="00ED2722">
        <w:rPr>
          <w:rFonts w:cs="Times New Roman"/>
          <w:lang w:val="fr-CA"/>
        </w:rPr>
        <w:t>.</w:t>
      </w:r>
    </w:p>
    <w:p w:rsidR="006B671D" w:rsidRPr="00ED2722" w:rsidRDefault="006B671D" w:rsidP="006B671D">
      <w:pPr>
        <w:pStyle w:val="ParaNoNdepar-AltN"/>
        <w:rPr>
          <w:rFonts w:cs="Times New Roman"/>
          <w:lang w:val="fr-CA"/>
        </w:rPr>
      </w:pPr>
      <w:r w:rsidRPr="00ED2722">
        <w:rPr>
          <w:rFonts w:cs="Times New Roman"/>
          <w:lang w:val="fr-CA"/>
        </w:rPr>
        <w:t>Ces fabricants de médicaments génériques étaient en mesure de commercialiser des versions génériques de médicaments dont le brevet était toujours en cours de validité en raison du régime des licences obligatoires auquel tous les produits pharmaceutiques étaient assujettis au Canada jusqu’en février 1993 (</w:t>
      </w:r>
      <w:r w:rsidRPr="00ED2722">
        <w:rPr>
          <w:rFonts w:cs="Times New Roman"/>
          <w:i/>
          <w:lang w:val="fr-CA"/>
        </w:rPr>
        <w:t>Loi de 1992 modifiant la Loi sur les brevets</w:t>
      </w:r>
      <w:r w:rsidRPr="00ED2722">
        <w:rPr>
          <w:rFonts w:cs="Times New Roman"/>
          <w:lang w:val="fr-CA"/>
        </w:rPr>
        <w:t xml:space="preserve">, L.C. 1993, ch. 2).  Ce régime permettait de commercialiser et de vendre au Canada des versions génériques de produits pharmaceutiques brevetés moyennant paiement de redevances aux titulaires des brevets.  Comme les licences octroyées à </w:t>
      </w:r>
      <w:proofErr w:type="spellStart"/>
      <w:r w:rsidRPr="00ED2722">
        <w:rPr>
          <w:rFonts w:cs="Times New Roman"/>
          <w:lang w:val="fr-CA"/>
        </w:rPr>
        <w:t>Apotex</w:t>
      </w:r>
      <w:proofErr w:type="spellEnd"/>
      <w:r w:rsidRPr="00ED2722">
        <w:rPr>
          <w:rFonts w:cs="Times New Roman"/>
          <w:lang w:val="fr-CA"/>
        </w:rPr>
        <w:t xml:space="preserve"> et à </w:t>
      </w:r>
      <w:proofErr w:type="spellStart"/>
      <w:r w:rsidRPr="00ED2722">
        <w:rPr>
          <w:rFonts w:cs="Times New Roman"/>
          <w:lang w:val="fr-CA"/>
        </w:rPr>
        <w:t>Novopharm</w:t>
      </w:r>
      <w:proofErr w:type="spellEnd"/>
      <w:r w:rsidRPr="00ED2722">
        <w:rPr>
          <w:rFonts w:cs="Times New Roman"/>
          <w:lang w:val="fr-CA"/>
        </w:rPr>
        <w:t xml:space="preserve"> étaient antérieures </w:t>
      </w:r>
      <w:r w:rsidRPr="00ED2722">
        <w:rPr>
          <w:rFonts w:cs="Times New Roman"/>
          <w:lang w:val="fr-CA"/>
        </w:rPr>
        <w:lastRenderedPageBreak/>
        <w:t>au 20 décembre 1991, elles sont demeurées valides malgré l’abrogation du régime des licences obligatoires en février 1993 (</w:t>
      </w:r>
      <w:proofErr w:type="spellStart"/>
      <w:r w:rsidRPr="00ED2722">
        <w:rPr>
          <w:rFonts w:cs="Times New Roman"/>
          <w:lang w:val="fr-CA"/>
        </w:rPr>
        <w:t>aj</w:t>
      </w:r>
      <w:proofErr w:type="spellEnd"/>
      <w:r w:rsidRPr="00ED2722">
        <w:rPr>
          <w:rFonts w:cs="Times New Roman"/>
          <w:lang w:val="fr-CA"/>
        </w:rPr>
        <w:t xml:space="preserve">. </w:t>
      </w:r>
      <w:r w:rsidRPr="00ED2722">
        <w:rPr>
          <w:rFonts w:cs="Times New Roman"/>
          <w:i/>
          <w:lang w:val="fr-CA"/>
        </w:rPr>
        <w:t>idem</w:t>
      </w:r>
      <w:r w:rsidRPr="00ED2722">
        <w:rPr>
          <w:rFonts w:cs="Times New Roman"/>
          <w:lang w:val="fr-CA"/>
        </w:rPr>
        <w:t>, par. 11(1)).</w:t>
      </w:r>
    </w:p>
    <w:p w:rsidR="006B671D" w:rsidRPr="00ED2722" w:rsidRDefault="006B671D" w:rsidP="006B671D">
      <w:pPr>
        <w:pStyle w:val="ParaNoNdepar-AltN"/>
        <w:rPr>
          <w:rFonts w:cs="Times New Roman"/>
          <w:lang w:val="fr-CA"/>
        </w:rPr>
      </w:pPr>
      <w:r w:rsidRPr="00ED2722">
        <w:rPr>
          <w:rFonts w:cs="Times New Roman"/>
          <w:lang w:val="fr-CA"/>
        </w:rPr>
        <w:t xml:space="preserve">Le ministre a établi à l’égard de Glaxo Canada de nouvelles cotisations pour les années d’imposition 1990, 1991, 1992 et 1993, augmentant le revenu de celle-ci d’environ 51 millions de dollars en vertu du par. 69(2) de la Loi, au motif qu’elle avait versé à </w:t>
      </w:r>
      <w:proofErr w:type="spellStart"/>
      <w:r w:rsidRPr="00ED2722">
        <w:rPr>
          <w:rFonts w:cs="Times New Roman"/>
          <w:lang w:val="fr-CA"/>
        </w:rPr>
        <w:t>Adechsa</w:t>
      </w:r>
      <w:proofErr w:type="spellEnd"/>
      <w:r w:rsidRPr="00ED2722">
        <w:rPr>
          <w:rFonts w:cs="Times New Roman"/>
          <w:lang w:val="fr-CA"/>
        </w:rPr>
        <w:t xml:space="preserve"> une somme plus élevée que le montant qui aurait été raisonnable pour acheter la </w:t>
      </w:r>
      <w:proofErr w:type="spellStart"/>
      <w:r w:rsidRPr="00ED2722">
        <w:rPr>
          <w:rFonts w:cs="Times New Roman"/>
          <w:lang w:val="fr-CA"/>
        </w:rPr>
        <w:t>ranitidine</w:t>
      </w:r>
      <w:proofErr w:type="spellEnd"/>
      <w:r w:rsidRPr="00ED2722">
        <w:rPr>
          <w:rFonts w:cs="Times New Roman"/>
          <w:lang w:val="fr-CA"/>
        </w:rPr>
        <w:t xml:space="preserve">. </w:t>
      </w:r>
    </w:p>
    <w:p w:rsidR="006B671D" w:rsidRPr="00ED2722" w:rsidRDefault="006B671D" w:rsidP="009D0EBA">
      <w:pPr>
        <w:pStyle w:val="TitleTitre-AltT"/>
        <w:keepNext/>
        <w:tabs>
          <w:tab w:val="clear" w:pos="360"/>
          <w:tab w:val="left" w:pos="540"/>
        </w:tabs>
        <w:ind w:left="540" w:hanging="540"/>
        <w:rPr>
          <w:rFonts w:cs="Times New Roman"/>
          <w:u w:val="single"/>
          <w:lang w:val="fr-CA"/>
        </w:rPr>
      </w:pPr>
      <w:r w:rsidRPr="00ED2722">
        <w:rPr>
          <w:rFonts w:cs="Times New Roman"/>
          <w:lang w:val="fr-CA"/>
        </w:rPr>
        <w:t>III.</w:t>
      </w:r>
      <w:r w:rsidRPr="00ED2722">
        <w:rPr>
          <w:rFonts w:cs="Times New Roman"/>
          <w:lang w:val="fr-CA"/>
        </w:rPr>
        <w:tab/>
      </w:r>
      <w:r w:rsidRPr="00ED2722">
        <w:rPr>
          <w:rFonts w:cs="Times New Roman"/>
          <w:u w:val="single"/>
          <w:lang w:val="fr-CA"/>
        </w:rPr>
        <w:t>Cour canadienne de l’impôt, 2008 CCI 324</w:t>
      </w:r>
      <w:r w:rsidR="009D0EBA" w:rsidRPr="00ED2722">
        <w:rPr>
          <w:rFonts w:cs="Times New Roman"/>
          <w:u w:val="single"/>
          <w:lang w:val="fr-CA"/>
        </w:rPr>
        <w:t xml:space="preserve"> (</w:t>
      </w:r>
      <w:proofErr w:type="spellStart"/>
      <w:r w:rsidR="009D0EBA" w:rsidRPr="00ED2722">
        <w:rPr>
          <w:rFonts w:cs="Times New Roman"/>
          <w:u w:val="single"/>
          <w:lang w:val="fr-CA"/>
        </w:rPr>
        <w:t>CanLII</w:t>
      </w:r>
      <w:proofErr w:type="spellEnd"/>
      <w:r w:rsidR="009D0EBA" w:rsidRPr="00ED2722">
        <w:rPr>
          <w:rFonts w:cs="Times New Roman"/>
          <w:u w:val="single"/>
          <w:lang w:val="fr-CA"/>
        </w:rPr>
        <w:t>)</w:t>
      </w:r>
      <w:r w:rsidRPr="00ED2722">
        <w:rPr>
          <w:rFonts w:cs="Times New Roman"/>
          <w:u w:val="single"/>
          <w:lang w:val="fr-CA"/>
        </w:rPr>
        <w:t xml:space="preserve"> (le juge en chef adjoint </w:t>
      </w:r>
      <w:proofErr w:type="spellStart"/>
      <w:r w:rsidRPr="00ED2722">
        <w:rPr>
          <w:rFonts w:cs="Times New Roman"/>
          <w:u w:val="single"/>
          <w:lang w:val="fr-CA"/>
        </w:rPr>
        <w:t>Rip</w:t>
      </w:r>
      <w:proofErr w:type="spellEnd"/>
      <w:r w:rsidRPr="00ED2722">
        <w:rPr>
          <w:rFonts w:cs="Times New Roman"/>
          <w:u w:val="single"/>
          <w:lang w:val="fr-CA"/>
        </w:rPr>
        <w:t>)</w:t>
      </w:r>
    </w:p>
    <w:p w:rsidR="006B671D" w:rsidRPr="00ED2722" w:rsidRDefault="006B671D" w:rsidP="006B671D">
      <w:pPr>
        <w:pStyle w:val="ParaNoNdepar-AltN"/>
        <w:rPr>
          <w:rFonts w:cs="Times New Roman"/>
          <w:lang w:val="fr-CA"/>
        </w:rPr>
      </w:pPr>
      <w:r w:rsidRPr="00ED2722">
        <w:rPr>
          <w:rFonts w:cs="Times New Roman"/>
          <w:lang w:val="fr-CA"/>
        </w:rPr>
        <w:t xml:space="preserve">Le juge en chef adjoint </w:t>
      </w:r>
      <w:proofErr w:type="spellStart"/>
      <w:r w:rsidRPr="00ED2722">
        <w:rPr>
          <w:rFonts w:cs="Times New Roman"/>
          <w:lang w:val="fr-CA"/>
        </w:rPr>
        <w:t>Rip</w:t>
      </w:r>
      <w:proofErr w:type="spellEnd"/>
      <w:r w:rsidRPr="00ED2722">
        <w:rPr>
          <w:rFonts w:cs="Times New Roman"/>
          <w:lang w:val="fr-CA"/>
        </w:rPr>
        <w:t xml:space="preserve"> a confirmé la nouvelle cotisation établie par le ministre.  Il a conclu que l’arrêt </w:t>
      </w:r>
      <w:r w:rsidRPr="00ED2722">
        <w:rPr>
          <w:rFonts w:cs="Times New Roman"/>
          <w:i/>
          <w:lang w:val="fr-CA"/>
        </w:rPr>
        <w:t>Singleton c. Canada</w:t>
      </w:r>
      <w:r w:rsidRPr="00ED2722">
        <w:rPr>
          <w:rFonts w:cs="Times New Roman"/>
          <w:lang w:val="fr-CA"/>
        </w:rPr>
        <w:t xml:space="preserve">, 2001 CSC 61, [2001] 2 R.C.S. 1046, exigeait un examen séparé du contrat de licence et du contrat de fourniture.  Il ne s’est donc pas demandé si les droits et les avantages conférés par le contrat de licence constituaient une circonstance pertinente pour déterminer le prix de pleine concurrence approprié à payer pour se procurer de la </w:t>
      </w:r>
      <w:proofErr w:type="spellStart"/>
      <w:r w:rsidRPr="00ED2722">
        <w:rPr>
          <w:rFonts w:cs="Times New Roman"/>
          <w:lang w:val="fr-CA"/>
        </w:rPr>
        <w:t>ranitidine</w:t>
      </w:r>
      <w:proofErr w:type="spellEnd"/>
      <w:r w:rsidRPr="00ED2722">
        <w:rPr>
          <w:rFonts w:cs="Times New Roman"/>
          <w:lang w:val="fr-CA"/>
        </w:rPr>
        <w:t>.</w:t>
      </w:r>
    </w:p>
    <w:p w:rsidR="006B671D" w:rsidRPr="00ED2722" w:rsidRDefault="006B671D" w:rsidP="006B671D">
      <w:pPr>
        <w:pStyle w:val="ParaNoNdepar-AltN"/>
        <w:autoSpaceDE w:val="0"/>
        <w:autoSpaceDN w:val="0"/>
        <w:adjustRightInd w:val="0"/>
        <w:rPr>
          <w:rFonts w:cs="Times New Roman"/>
          <w:lang w:val="fr-CA"/>
        </w:rPr>
      </w:pPr>
      <w:r w:rsidRPr="00ED2722">
        <w:rPr>
          <w:rFonts w:cs="Times New Roman"/>
          <w:lang w:val="fr-FR"/>
        </w:rPr>
        <w:t xml:space="preserve">Pour vérifier le caractère raisonnable des opérations de </w:t>
      </w:r>
      <w:r w:rsidRPr="00ED2722">
        <w:rPr>
          <w:rFonts w:cs="Times New Roman"/>
          <w:lang w:val="fr-CA"/>
        </w:rPr>
        <w:t xml:space="preserve">Glaxo Canada relatives à la </w:t>
      </w:r>
      <w:proofErr w:type="spellStart"/>
      <w:r w:rsidRPr="00ED2722">
        <w:rPr>
          <w:rFonts w:cs="Times New Roman"/>
          <w:lang w:val="fr-CA"/>
        </w:rPr>
        <w:t>ranitidine</w:t>
      </w:r>
      <w:proofErr w:type="spellEnd"/>
      <w:r w:rsidRPr="00ED2722">
        <w:rPr>
          <w:rFonts w:cs="Times New Roman"/>
          <w:lang w:val="fr-CA"/>
        </w:rPr>
        <w:t xml:space="preserve">, le juge en chef adjoint </w:t>
      </w:r>
      <w:proofErr w:type="spellStart"/>
      <w:r w:rsidRPr="00ED2722">
        <w:rPr>
          <w:rFonts w:cs="Times New Roman"/>
          <w:lang w:val="fr-CA"/>
        </w:rPr>
        <w:t>Rip</w:t>
      </w:r>
      <w:proofErr w:type="spellEnd"/>
      <w:r w:rsidRPr="00ED2722">
        <w:rPr>
          <w:rFonts w:cs="Times New Roman"/>
          <w:lang w:val="fr-CA"/>
        </w:rPr>
        <w:t xml:space="preserve"> a utilisé la méthode du prix comparable sur le marché libre (la « méthode du PCML ») dont il est question dans une publication de l’Organisation </w:t>
      </w:r>
      <w:r w:rsidRPr="00ED2722">
        <w:rPr>
          <w:rFonts w:cs="Times New Roman"/>
          <w:lang w:val="fr-FR"/>
        </w:rPr>
        <w:t>de coopération et de développement économiques (« OCDE »)</w:t>
      </w:r>
      <w:r w:rsidRPr="00ED2722">
        <w:rPr>
          <w:rFonts w:cs="Times New Roman"/>
          <w:lang w:val="fr-CA"/>
        </w:rPr>
        <w:t xml:space="preserve"> intitulée </w:t>
      </w:r>
      <w:r w:rsidRPr="00ED2722">
        <w:rPr>
          <w:rFonts w:cs="Times New Roman"/>
          <w:i/>
          <w:iCs/>
          <w:lang w:val="fr-FR"/>
        </w:rPr>
        <w:t xml:space="preserve">Prix de transfert et entreprises multinationales : Rapport du </w:t>
      </w:r>
      <w:r w:rsidRPr="00ED2722">
        <w:rPr>
          <w:rFonts w:cs="Times New Roman"/>
          <w:i/>
          <w:iCs/>
          <w:lang w:val="fr-FR"/>
        </w:rPr>
        <w:lastRenderedPageBreak/>
        <w:t>Comité des Affaires Fiscales de l’OCDE</w:t>
      </w:r>
      <w:r w:rsidRPr="00ED2722">
        <w:rPr>
          <w:rFonts w:cs="Times New Roman"/>
          <w:lang w:val="fr-FR"/>
        </w:rPr>
        <w:t xml:space="preserve"> </w:t>
      </w:r>
      <w:r w:rsidR="0036133A">
        <w:rPr>
          <w:rFonts w:cs="Times New Roman"/>
          <w:lang w:val="fr-FR"/>
        </w:rPr>
        <w:t>(</w:t>
      </w:r>
      <w:r w:rsidRPr="00ED2722">
        <w:rPr>
          <w:rFonts w:cs="Times New Roman"/>
          <w:lang w:val="fr-FR"/>
        </w:rPr>
        <w:t>1979</w:t>
      </w:r>
      <w:r w:rsidR="0036133A">
        <w:rPr>
          <w:rFonts w:cs="Times New Roman"/>
          <w:lang w:val="fr-FR"/>
        </w:rPr>
        <w:t>)</w:t>
      </w:r>
      <w:r w:rsidRPr="00ED2722">
        <w:rPr>
          <w:rFonts w:cs="Times New Roman"/>
          <w:lang w:val="fr-FR"/>
        </w:rPr>
        <w:t xml:space="preserve"> (les « </w:t>
      </w:r>
      <w:r w:rsidRPr="00ED2722">
        <w:rPr>
          <w:rFonts w:cs="Times New Roman"/>
          <w:i/>
          <w:lang w:val="fr-FR"/>
        </w:rPr>
        <w:t>Principes</w:t>
      </w:r>
      <w:r w:rsidRPr="00ED2722">
        <w:rPr>
          <w:rFonts w:cs="Times New Roman"/>
          <w:lang w:val="fr-FR"/>
        </w:rPr>
        <w:t xml:space="preserve"> de 1979 ») et la révision de ces principes publiée en 1995 par l’OCDE sous le titre </w:t>
      </w:r>
      <w:r w:rsidRPr="00ED2722">
        <w:rPr>
          <w:rFonts w:cs="Times New Roman"/>
          <w:i/>
          <w:lang w:val="fr-FR"/>
        </w:rPr>
        <w:t>Principes applicables en matière de prix de transfert à l’intention des entreprises multinationales et des administrations fiscales</w:t>
      </w:r>
      <w:r w:rsidRPr="00ED2722">
        <w:rPr>
          <w:rFonts w:cs="Times New Roman"/>
          <w:lang w:val="fr-FR"/>
        </w:rPr>
        <w:t xml:space="preserve"> (1995) (les « </w:t>
      </w:r>
      <w:r w:rsidRPr="00ED2722">
        <w:rPr>
          <w:rFonts w:cs="Times New Roman"/>
          <w:i/>
          <w:lang w:val="fr-FR"/>
        </w:rPr>
        <w:t>Principes</w:t>
      </w:r>
      <w:r w:rsidRPr="00ED2722">
        <w:rPr>
          <w:rFonts w:cs="Times New Roman"/>
          <w:lang w:val="fr-FR"/>
        </w:rPr>
        <w:t>  de 1995 »).</w:t>
      </w:r>
      <w:r w:rsidRPr="00ED2722">
        <w:rPr>
          <w:rFonts w:cs="Times New Roman"/>
          <w:lang w:val="fr-CA"/>
        </w:rPr>
        <w:t xml:space="preserve">  Il a estimé que le facteur de comparaison approprié était le prix le plus élevé </w:t>
      </w:r>
      <w:r w:rsidRPr="00ED2722">
        <w:rPr>
          <w:rFonts w:cs="Times New Roman"/>
          <w:szCs w:val="24"/>
          <w:lang w:val="fr-CA"/>
        </w:rPr>
        <w:t xml:space="preserve">payé pour la </w:t>
      </w:r>
      <w:proofErr w:type="spellStart"/>
      <w:r w:rsidRPr="00ED2722">
        <w:rPr>
          <w:rFonts w:cs="Times New Roman"/>
          <w:szCs w:val="24"/>
          <w:lang w:val="fr-CA"/>
        </w:rPr>
        <w:t>ranitidine</w:t>
      </w:r>
      <w:proofErr w:type="spellEnd"/>
      <w:r w:rsidRPr="00ED2722">
        <w:rPr>
          <w:rFonts w:cs="Times New Roman"/>
          <w:szCs w:val="24"/>
          <w:lang w:val="fr-CA"/>
        </w:rPr>
        <w:t xml:space="preserve"> par les fabricants de produits pharmaceutiques génériques à des fournisseurs avec lesquels ils n’avaient pas de lien de dépendance.</w:t>
      </w:r>
      <w:r w:rsidRPr="00ED2722">
        <w:rPr>
          <w:rFonts w:cs="Times New Roman"/>
          <w:lang w:val="fr-CA"/>
        </w:rPr>
        <w:t xml:space="preserve">  Suivant cette méthode, il a conclu que les prix payés par Glaxo Canada à </w:t>
      </w:r>
      <w:proofErr w:type="spellStart"/>
      <w:r w:rsidRPr="00ED2722">
        <w:rPr>
          <w:rFonts w:cs="Times New Roman"/>
          <w:lang w:val="fr-CA"/>
        </w:rPr>
        <w:t>Adechsa</w:t>
      </w:r>
      <w:proofErr w:type="spellEnd"/>
      <w:r w:rsidRPr="00ED2722">
        <w:rPr>
          <w:rFonts w:cs="Times New Roman"/>
          <w:lang w:val="fr-CA"/>
        </w:rPr>
        <w:t xml:space="preserve"> pour l’achat de la </w:t>
      </w:r>
      <w:proofErr w:type="spellStart"/>
      <w:r w:rsidRPr="00ED2722">
        <w:rPr>
          <w:rFonts w:cs="Times New Roman"/>
          <w:lang w:val="fr-CA"/>
        </w:rPr>
        <w:t>ranitidine</w:t>
      </w:r>
      <w:proofErr w:type="spellEnd"/>
      <w:r w:rsidRPr="00ED2722">
        <w:rPr>
          <w:rFonts w:cs="Times New Roman"/>
          <w:lang w:val="fr-CA"/>
        </w:rPr>
        <w:t xml:space="preserve"> étaient plus élevés que ceux qui auraient été raisonnables si ces deux sociétés n’avaient pas eu de lien de dépendance. Le juge a donc confirmé la nouvelle cotisation du ministre, sauf pour un ajustement à la hausse de 25 $ le kilogramme pour la granulation.</w:t>
      </w:r>
    </w:p>
    <w:p w:rsidR="006B671D" w:rsidRPr="00ED2722" w:rsidRDefault="006B671D" w:rsidP="00DD5B44">
      <w:pPr>
        <w:pStyle w:val="TitleTitre-AltT"/>
        <w:keepNext/>
        <w:tabs>
          <w:tab w:val="clear" w:pos="360"/>
          <w:tab w:val="left" w:pos="540"/>
        </w:tabs>
        <w:ind w:left="540" w:hanging="540"/>
        <w:rPr>
          <w:rFonts w:cs="Times New Roman"/>
          <w:u w:val="single"/>
          <w:lang w:val="fr-CA"/>
        </w:rPr>
      </w:pPr>
      <w:r w:rsidRPr="00ED2722">
        <w:rPr>
          <w:rFonts w:cs="Times New Roman"/>
          <w:lang w:val="fr-CA"/>
        </w:rPr>
        <w:t>IV.</w:t>
      </w:r>
      <w:r w:rsidRPr="00ED2722">
        <w:rPr>
          <w:rFonts w:cs="Times New Roman"/>
          <w:lang w:val="fr-CA"/>
        </w:rPr>
        <w:tab/>
      </w:r>
      <w:r w:rsidRPr="00ED2722">
        <w:rPr>
          <w:rFonts w:cs="Times New Roman"/>
          <w:u w:val="single"/>
          <w:lang w:val="fr-CA"/>
        </w:rPr>
        <w:t>Cour d’appel fédérale, 2010 CAF 201</w:t>
      </w:r>
      <w:r w:rsidR="00DD5B44" w:rsidRPr="00ED2722">
        <w:rPr>
          <w:rFonts w:cs="Times New Roman"/>
          <w:u w:val="single"/>
          <w:lang w:val="fr-CA"/>
        </w:rPr>
        <w:t xml:space="preserve"> (</w:t>
      </w:r>
      <w:proofErr w:type="spellStart"/>
      <w:r w:rsidR="00DD5B44" w:rsidRPr="00ED2722">
        <w:rPr>
          <w:rFonts w:cs="Times New Roman"/>
          <w:u w:val="single"/>
          <w:lang w:val="fr-CA"/>
        </w:rPr>
        <w:t>CanLII</w:t>
      </w:r>
      <w:proofErr w:type="spellEnd"/>
      <w:r w:rsidR="00DD5B44" w:rsidRPr="00ED2722">
        <w:rPr>
          <w:rFonts w:cs="Times New Roman"/>
          <w:u w:val="single"/>
          <w:lang w:val="fr-CA"/>
        </w:rPr>
        <w:t>)</w:t>
      </w:r>
      <w:r w:rsidRPr="00ED2722">
        <w:rPr>
          <w:rFonts w:cs="Times New Roman"/>
          <w:u w:val="single"/>
          <w:lang w:val="fr-CA"/>
        </w:rPr>
        <w:t xml:space="preserve"> (les juges Nadon, </w:t>
      </w:r>
      <w:proofErr w:type="spellStart"/>
      <w:r w:rsidRPr="00ED2722">
        <w:rPr>
          <w:rFonts w:cs="Times New Roman"/>
          <w:u w:val="single"/>
          <w:lang w:val="fr-CA"/>
        </w:rPr>
        <w:t>Layden</w:t>
      </w:r>
      <w:r w:rsidRPr="00ED2722">
        <w:rPr>
          <w:rFonts w:cs="Times New Roman"/>
          <w:u w:val="single"/>
          <w:lang w:val="fr-CA"/>
        </w:rPr>
        <w:noBreakHyphen/>
        <w:t>Stevenson</w:t>
      </w:r>
      <w:proofErr w:type="spellEnd"/>
      <w:r w:rsidRPr="00ED2722">
        <w:rPr>
          <w:rFonts w:cs="Times New Roman"/>
          <w:u w:val="single"/>
          <w:lang w:val="fr-CA"/>
        </w:rPr>
        <w:t xml:space="preserve"> et </w:t>
      </w:r>
      <w:proofErr w:type="spellStart"/>
      <w:r w:rsidRPr="00ED2722">
        <w:rPr>
          <w:rFonts w:cs="Times New Roman"/>
          <w:u w:val="single"/>
          <w:lang w:val="fr-CA"/>
        </w:rPr>
        <w:t>Stratas</w:t>
      </w:r>
      <w:proofErr w:type="spellEnd"/>
      <w:r w:rsidRPr="00ED2722">
        <w:rPr>
          <w:rFonts w:cs="Times New Roman"/>
          <w:u w:val="single"/>
          <w:lang w:val="fr-CA"/>
        </w:rPr>
        <w:t>)</w:t>
      </w:r>
    </w:p>
    <w:p w:rsidR="006B671D" w:rsidRPr="00ED2722" w:rsidRDefault="006B671D" w:rsidP="006B671D">
      <w:pPr>
        <w:pStyle w:val="ParaNoNdepar-AltN"/>
        <w:rPr>
          <w:rFonts w:cs="Times New Roman"/>
          <w:lang w:val="fr-CA"/>
        </w:rPr>
      </w:pPr>
      <w:r w:rsidRPr="00ED2722">
        <w:rPr>
          <w:rFonts w:cs="Times New Roman"/>
          <w:lang w:val="fr-CA"/>
        </w:rPr>
        <w:t xml:space="preserve">Le juge Nadon, qui s’exprimait au nom d’une formation unanime, a conclu que la Cour de l’impôt avait commis une erreur en ne tenant pas compte du contrat de licence pour déterminer si les prix payés par Glaxo Canada pour la </w:t>
      </w:r>
      <w:proofErr w:type="spellStart"/>
      <w:r w:rsidRPr="00ED2722">
        <w:rPr>
          <w:rFonts w:cs="Times New Roman"/>
          <w:lang w:val="fr-CA"/>
        </w:rPr>
        <w:t>ranitidine</w:t>
      </w:r>
      <w:proofErr w:type="spellEnd"/>
      <w:r w:rsidRPr="00ED2722">
        <w:rPr>
          <w:rFonts w:cs="Times New Roman"/>
          <w:lang w:val="fr-CA"/>
        </w:rPr>
        <w:t xml:space="preserve"> étaient raisonnables au sens du par. 69(2).  Il a de plus affirmé que l’arrêt </w:t>
      </w:r>
      <w:r w:rsidRPr="00ED2722">
        <w:rPr>
          <w:rFonts w:cs="Times New Roman"/>
          <w:i/>
          <w:lang w:val="fr-CA"/>
        </w:rPr>
        <w:t>Singleton</w:t>
      </w:r>
      <w:r w:rsidRPr="00ED2722">
        <w:rPr>
          <w:rFonts w:cs="Times New Roman"/>
          <w:lang w:val="fr-CA"/>
        </w:rPr>
        <w:t xml:space="preserve"> ne s’appliquait pas et que, pour </w:t>
      </w:r>
      <w:r w:rsidRPr="00ED2722">
        <w:rPr>
          <w:rFonts w:cs="Times New Roman"/>
          <w:lang w:val="fr-FR"/>
        </w:rPr>
        <w:t>déterminer le montant qui aurait été « raisonnable dans les circonstances », il fallait prendre en considération l’ensemble des circonstances dont un acheteur sans lien de dépendance aurait eu à tenir compte</w:t>
      </w:r>
      <w:r w:rsidRPr="00ED2722">
        <w:rPr>
          <w:rFonts w:cs="Times New Roman"/>
          <w:lang w:val="fr-CA"/>
        </w:rPr>
        <w:t xml:space="preserve">.  Se fondant sur la </w:t>
      </w:r>
      <w:r w:rsidRPr="00ED2722">
        <w:rPr>
          <w:rFonts w:cs="Times New Roman"/>
          <w:lang w:val="fr-FR"/>
        </w:rPr>
        <w:t xml:space="preserve">décision </w:t>
      </w:r>
      <w:proofErr w:type="spellStart"/>
      <w:r w:rsidRPr="00ED2722">
        <w:rPr>
          <w:rFonts w:cs="Times New Roman"/>
          <w:i/>
          <w:iCs/>
          <w:lang w:val="fr-FR"/>
        </w:rPr>
        <w:t>Gabco</w:t>
      </w:r>
      <w:proofErr w:type="spellEnd"/>
      <w:r w:rsidRPr="00ED2722">
        <w:rPr>
          <w:rFonts w:cs="Times New Roman"/>
          <w:i/>
          <w:iCs/>
          <w:lang w:val="fr-FR"/>
        </w:rPr>
        <w:t xml:space="preserve"> L</w:t>
      </w:r>
      <w:r w:rsidR="00DD5B44" w:rsidRPr="00ED2722">
        <w:rPr>
          <w:rFonts w:cs="Times New Roman"/>
          <w:i/>
          <w:iCs/>
          <w:lang w:val="fr-FR"/>
        </w:rPr>
        <w:t>td.</w:t>
      </w:r>
      <w:r w:rsidRPr="00ED2722">
        <w:rPr>
          <w:rFonts w:cs="Times New Roman"/>
          <w:i/>
          <w:iCs/>
          <w:lang w:val="fr-FR"/>
        </w:rPr>
        <w:t xml:space="preserve"> c. </w:t>
      </w:r>
      <w:proofErr w:type="spellStart"/>
      <w:r w:rsidRPr="00ED2722">
        <w:rPr>
          <w:rFonts w:cs="Times New Roman"/>
          <w:i/>
          <w:iCs/>
          <w:lang w:val="fr-FR"/>
        </w:rPr>
        <w:t>Minister</w:t>
      </w:r>
      <w:proofErr w:type="spellEnd"/>
      <w:r w:rsidRPr="00ED2722">
        <w:rPr>
          <w:rFonts w:cs="Times New Roman"/>
          <w:i/>
          <w:iCs/>
          <w:lang w:val="fr-FR"/>
        </w:rPr>
        <w:t xml:space="preserve"> of National Revenue</w:t>
      </w:r>
      <w:r w:rsidRPr="00ED2722">
        <w:rPr>
          <w:rFonts w:cs="Times New Roman"/>
          <w:lang w:val="fr-FR"/>
        </w:rPr>
        <w:t xml:space="preserve"> </w:t>
      </w:r>
      <w:bookmarkStart w:id="1" w:name="reflex-caselaw-68191976"/>
      <w:bookmarkEnd w:id="1"/>
      <w:r w:rsidRPr="00ED2722">
        <w:rPr>
          <w:rFonts w:cs="Times New Roman"/>
          <w:lang w:val="fr-FR"/>
        </w:rPr>
        <w:t xml:space="preserve">(1968), 68 </w:t>
      </w:r>
      <w:r w:rsidRPr="00ED2722">
        <w:rPr>
          <w:rFonts w:cs="Times New Roman"/>
          <w:lang w:val="fr-FR"/>
        </w:rPr>
        <w:lastRenderedPageBreak/>
        <w:t>D.T.C. 5210</w:t>
      </w:r>
      <w:r w:rsidR="00DD5B44" w:rsidRPr="00ED2722">
        <w:rPr>
          <w:rFonts w:cs="Times New Roman"/>
          <w:lang w:val="fr-FR"/>
        </w:rPr>
        <w:t xml:space="preserve"> (C. de l’É.)</w:t>
      </w:r>
      <w:r w:rsidRPr="00ED2722">
        <w:rPr>
          <w:rFonts w:cs="Times New Roman"/>
          <w:lang w:val="fr-CA"/>
        </w:rPr>
        <w:t xml:space="preserve">, le juge Nadon a adopté le critère « de </w:t>
      </w:r>
      <w:r w:rsidRPr="00ED2722">
        <w:rPr>
          <w:rFonts w:cs="Times New Roman"/>
          <w:lang w:val="fr-FR"/>
        </w:rPr>
        <w:t xml:space="preserve">l’homme ou de la femme d’affaires raisonnable », critère qui commande l’examen des circonstances que l’acheteur sans lien de dépendance jugerait pertinentes pour décider du prix à payer (par. 69).  Il a conclu que le </w:t>
      </w:r>
      <w:r w:rsidRPr="00ED2722">
        <w:rPr>
          <w:rFonts w:cs="Times New Roman"/>
          <w:lang w:val="fr-CA"/>
        </w:rPr>
        <w:t xml:space="preserve">juge en chef adjoint </w:t>
      </w:r>
      <w:proofErr w:type="spellStart"/>
      <w:r w:rsidRPr="00ED2722">
        <w:rPr>
          <w:rFonts w:cs="Times New Roman"/>
          <w:lang w:val="fr-CA"/>
        </w:rPr>
        <w:t>Rip</w:t>
      </w:r>
      <w:proofErr w:type="spellEnd"/>
      <w:r w:rsidRPr="00ED2722">
        <w:rPr>
          <w:rFonts w:cs="Times New Roman"/>
          <w:lang w:val="fr-CA"/>
        </w:rPr>
        <w:t xml:space="preserve"> avait commis une erreur lorsqu’il avait calculé la « juste valeur marchande » de la </w:t>
      </w:r>
      <w:proofErr w:type="spellStart"/>
      <w:r w:rsidRPr="00ED2722">
        <w:rPr>
          <w:rFonts w:cs="Times New Roman"/>
          <w:lang w:val="fr-CA"/>
        </w:rPr>
        <w:t>ranitidine</w:t>
      </w:r>
      <w:proofErr w:type="spellEnd"/>
      <w:r w:rsidRPr="00ED2722">
        <w:rPr>
          <w:rFonts w:cs="Times New Roman"/>
          <w:lang w:val="fr-CA"/>
        </w:rPr>
        <w:t xml:space="preserve"> en se basant sur les sommes payées par les fabricants de produits pharmaceutiques génériques à des fournisseurs avec lesquels ils n’avaient aucun lien de dépendance. </w:t>
      </w:r>
    </w:p>
    <w:p w:rsidR="006B671D" w:rsidRPr="00ED2722" w:rsidRDefault="006B671D" w:rsidP="006B671D">
      <w:pPr>
        <w:pStyle w:val="ParaNoNdepar-AltN"/>
        <w:rPr>
          <w:rFonts w:cs="Times New Roman"/>
          <w:lang w:val="fr-CA"/>
        </w:rPr>
      </w:pPr>
      <w:r w:rsidRPr="00ED2722">
        <w:rPr>
          <w:rFonts w:cs="Times New Roman"/>
          <w:lang w:val="fr-CA"/>
        </w:rPr>
        <w:t xml:space="preserve">Après avoir décidé que l’arrêt </w:t>
      </w:r>
      <w:r w:rsidRPr="00ED2722">
        <w:rPr>
          <w:rFonts w:cs="Times New Roman"/>
          <w:i/>
          <w:lang w:val="fr-CA"/>
        </w:rPr>
        <w:t>Singleton</w:t>
      </w:r>
      <w:r w:rsidRPr="00ED2722">
        <w:rPr>
          <w:rFonts w:cs="Times New Roman"/>
          <w:lang w:val="fr-CA"/>
        </w:rPr>
        <w:t xml:space="preserve"> n’empêchait pas d’examiner à la fois le contrat de fourniture et le contrat de licence ni d’appliquer le critère de « </w:t>
      </w:r>
      <w:r w:rsidRPr="00ED2722">
        <w:rPr>
          <w:rFonts w:cs="Times New Roman"/>
          <w:lang w:val="fr-FR"/>
        </w:rPr>
        <w:t>l’homme ou de la femme d’affaires raisonnable »</w:t>
      </w:r>
      <w:r w:rsidRPr="00ED2722">
        <w:rPr>
          <w:rFonts w:cs="Times New Roman"/>
          <w:lang w:val="fr-CA"/>
        </w:rPr>
        <w:t xml:space="preserve">, le juge Nadon a conclu que le contrat de licence </w:t>
      </w:r>
      <w:r w:rsidRPr="00ED2722">
        <w:rPr>
          <w:rFonts w:cs="Times New Roman"/>
          <w:lang w:val="fr-FR"/>
        </w:rPr>
        <w:t xml:space="preserve">occupait une place centrale dans la réalité commerciale de Glaxo Canada et qu’il en serait ainsi même si Glaxo Canada n’avait pas de lien de dépendance avec </w:t>
      </w:r>
      <w:proofErr w:type="spellStart"/>
      <w:r w:rsidRPr="00ED2722">
        <w:rPr>
          <w:rFonts w:cs="Times New Roman"/>
          <w:lang w:val="fr-FR"/>
        </w:rPr>
        <w:t>Adechsa</w:t>
      </w:r>
      <w:proofErr w:type="spellEnd"/>
      <w:r w:rsidRPr="00ED2722">
        <w:rPr>
          <w:rFonts w:cs="Times New Roman"/>
          <w:lang w:val="fr-FR"/>
        </w:rPr>
        <w:t xml:space="preserve">.  Le contrat de licence constituait donc une « circonstance » dont il fallait tenir compte </w:t>
      </w:r>
      <w:r w:rsidRPr="00ED2722">
        <w:rPr>
          <w:rFonts w:cs="Times New Roman"/>
          <w:lang w:val="fr-CA"/>
        </w:rPr>
        <w:t xml:space="preserve">pour déterminer si les prix payés par Glaxo Canada pour la </w:t>
      </w:r>
      <w:proofErr w:type="spellStart"/>
      <w:r w:rsidRPr="00ED2722">
        <w:rPr>
          <w:rFonts w:cs="Times New Roman"/>
          <w:lang w:val="fr-CA"/>
        </w:rPr>
        <w:t>ranitidine</w:t>
      </w:r>
      <w:proofErr w:type="spellEnd"/>
      <w:r w:rsidRPr="00ED2722">
        <w:rPr>
          <w:rFonts w:cs="Times New Roman"/>
          <w:lang w:val="fr-CA"/>
        </w:rPr>
        <w:t xml:space="preserve"> étaient raisonnables.  De l’avis du juge Nadon, la Cour de l’impôt avait commis une erreur en utilisant les prix d’achat payés pour la </w:t>
      </w:r>
      <w:proofErr w:type="spellStart"/>
      <w:r w:rsidRPr="00ED2722">
        <w:rPr>
          <w:rFonts w:cs="Times New Roman"/>
          <w:lang w:val="fr-CA"/>
        </w:rPr>
        <w:t>ranitidine</w:t>
      </w:r>
      <w:proofErr w:type="spellEnd"/>
      <w:r w:rsidRPr="00ED2722">
        <w:rPr>
          <w:rFonts w:cs="Times New Roman"/>
          <w:lang w:val="fr-CA"/>
        </w:rPr>
        <w:t xml:space="preserve"> par les fabricants de produits pharmaceutiques génériques pour déterminer si ceux payés par Glaxo Canada étaient raisonnables, étant donné que le contrat de licence créait une situation tout à fait différente dans le cas des opérations réalisées par Glaxo Canada.</w:t>
      </w:r>
    </w:p>
    <w:p w:rsidR="006B671D" w:rsidRPr="00ED2722" w:rsidRDefault="006B671D" w:rsidP="006B671D">
      <w:pPr>
        <w:pStyle w:val="ParaNoNdepar-AltN"/>
        <w:rPr>
          <w:rFonts w:cs="Times New Roman"/>
          <w:lang w:val="fr-CA"/>
        </w:rPr>
      </w:pPr>
      <w:r w:rsidRPr="00ED2722">
        <w:rPr>
          <w:rFonts w:cs="Times New Roman"/>
          <w:lang w:val="fr-CA"/>
        </w:rPr>
        <w:lastRenderedPageBreak/>
        <w:t xml:space="preserve">Le juge Nadon a toutefois conclu que le contribuable ne s’était pas entièrement acquitté du fardeau qui lui incombait, puisque le « montant raisonnable » n’avait pas encore été déterminé dans le cas des opérations effectuées par Glaxo Canada pour acquérir de la </w:t>
      </w:r>
      <w:proofErr w:type="spellStart"/>
      <w:r w:rsidRPr="00ED2722">
        <w:rPr>
          <w:rFonts w:cs="Times New Roman"/>
          <w:lang w:val="fr-CA"/>
        </w:rPr>
        <w:t>ranitidine</w:t>
      </w:r>
      <w:proofErr w:type="spellEnd"/>
      <w:r w:rsidRPr="00ED2722">
        <w:rPr>
          <w:rFonts w:cs="Times New Roman"/>
          <w:lang w:val="fr-CA"/>
        </w:rPr>
        <w:t>.  Il a donc renvoyé l’affaire à la Cour de l’impôt pour réexamen.</w:t>
      </w:r>
    </w:p>
    <w:p w:rsidR="006B671D" w:rsidRPr="00ED2722" w:rsidRDefault="006B671D" w:rsidP="00942FBD">
      <w:pPr>
        <w:pStyle w:val="TitleTitre-AltT"/>
        <w:keepNext/>
        <w:tabs>
          <w:tab w:val="clear" w:pos="360"/>
          <w:tab w:val="left" w:pos="540"/>
        </w:tabs>
        <w:ind w:left="540" w:hanging="540"/>
        <w:rPr>
          <w:rFonts w:cs="Times New Roman"/>
          <w:lang w:val="fr-CA"/>
        </w:rPr>
      </w:pPr>
      <w:r w:rsidRPr="00ED2722">
        <w:rPr>
          <w:rFonts w:cs="Times New Roman"/>
          <w:lang w:val="fr-CA"/>
        </w:rPr>
        <w:t>V.</w:t>
      </w:r>
      <w:r w:rsidRPr="00ED2722">
        <w:rPr>
          <w:rFonts w:cs="Times New Roman"/>
          <w:lang w:val="fr-CA"/>
        </w:rPr>
        <w:tab/>
      </w:r>
      <w:r w:rsidRPr="00ED2722">
        <w:rPr>
          <w:rFonts w:cs="Times New Roman"/>
          <w:u w:val="single"/>
          <w:lang w:val="fr-CA"/>
        </w:rPr>
        <w:t>Analyse</w:t>
      </w:r>
    </w:p>
    <w:p w:rsidR="006B671D" w:rsidRPr="00ED2722" w:rsidRDefault="006B671D" w:rsidP="00942FBD">
      <w:pPr>
        <w:pStyle w:val="TitleTitre-AltT"/>
        <w:keepNext/>
        <w:tabs>
          <w:tab w:val="clear" w:pos="360"/>
          <w:tab w:val="left" w:pos="540"/>
        </w:tabs>
        <w:ind w:left="540" w:hanging="540"/>
        <w:rPr>
          <w:rFonts w:cs="Times New Roman"/>
          <w:i/>
          <w:lang w:val="fr-CA"/>
        </w:rPr>
      </w:pPr>
      <w:r w:rsidRPr="00ED2722">
        <w:rPr>
          <w:rFonts w:cs="Times New Roman"/>
          <w:lang w:val="fr-CA"/>
        </w:rPr>
        <w:t>A.</w:t>
      </w:r>
      <w:r w:rsidRPr="00ED2722">
        <w:rPr>
          <w:rFonts w:cs="Times New Roman"/>
          <w:lang w:val="fr-CA"/>
        </w:rPr>
        <w:tab/>
      </w:r>
      <w:r w:rsidRPr="00ED2722">
        <w:rPr>
          <w:rFonts w:cs="Times New Roman"/>
          <w:i/>
          <w:lang w:val="fr-CA"/>
        </w:rPr>
        <w:t>Établissement du prix de transfert dans la Loi de l’impôt sur le revenu</w:t>
      </w:r>
    </w:p>
    <w:p w:rsidR="006B671D" w:rsidRPr="00ED2722" w:rsidRDefault="006B671D" w:rsidP="006B671D">
      <w:pPr>
        <w:pStyle w:val="ParaNoNdepar-AltN"/>
        <w:rPr>
          <w:rFonts w:cs="Times New Roman"/>
          <w:lang w:val="fr-CA"/>
        </w:rPr>
      </w:pPr>
      <w:r w:rsidRPr="00ED2722">
        <w:rPr>
          <w:rFonts w:cs="Times New Roman"/>
          <w:lang w:val="fr-CA"/>
        </w:rPr>
        <w:t xml:space="preserve">La première disposition législative fiscale canadienne concernant l’établissement du prix de transfert a été l’art. 23B de la </w:t>
      </w:r>
      <w:r w:rsidRPr="00ED2722">
        <w:rPr>
          <w:rFonts w:cs="Times New Roman"/>
          <w:i/>
          <w:lang w:val="fr-CA"/>
        </w:rPr>
        <w:t>Loi de l’impôt de guerre sur le revenu</w:t>
      </w:r>
      <w:r w:rsidRPr="00ED2722">
        <w:rPr>
          <w:rFonts w:cs="Times New Roman"/>
          <w:lang w:val="fr-CA"/>
        </w:rPr>
        <w:t xml:space="preserve">, S.R.C. 1927, ch. 97, édictée par la </w:t>
      </w:r>
      <w:r w:rsidRPr="00ED2722">
        <w:rPr>
          <w:rFonts w:cs="Times New Roman"/>
          <w:i/>
          <w:lang w:val="fr-CA"/>
        </w:rPr>
        <w:t>Loi modifiant la Loi de l’impôt de guerre sur le revenu</w:t>
      </w:r>
      <w:r w:rsidRPr="00ED2722">
        <w:rPr>
          <w:rFonts w:cs="Times New Roman"/>
          <w:lang w:val="fr-CA"/>
        </w:rPr>
        <w:t xml:space="preserve">, S.C. 1939, ch. 46, art. 13.  Cette disposition a été édictée de nouveau par le par. 17(3) de la </w:t>
      </w:r>
      <w:r w:rsidRPr="00ED2722">
        <w:rPr>
          <w:rFonts w:cs="Times New Roman"/>
          <w:i/>
          <w:lang w:val="fr-CA"/>
        </w:rPr>
        <w:t>Loi de l’impôt sur le revenu</w:t>
      </w:r>
      <w:r w:rsidRPr="00ED2722">
        <w:rPr>
          <w:rFonts w:cs="Times New Roman"/>
          <w:lang w:val="fr-CA"/>
        </w:rPr>
        <w:t xml:space="preserve">, S.C. 1948, ch. 52, puis par le par. 17(3) de la </w:t>
      </w:r>
      <w:r w:rsidRPr="00ED2722">
        <w:rPr>
          <w:rFonts w:cs="Times New Roman"/>
          <w:i/>
          <w:lang w:val="fr-CA"/>
        </w:rPr>
        <w:t>Loi de l’impôt sur le revenu</w:t>
      </w:r>
      <w:r w:rsidRPr="00ED2722">
        <w:rPr>
          <w:rFonts w:cs="Times New Roman"/>
          <w:lang w:val="fr-CA"/>
        </w:rPr>
        <w:t>, S.R.C. 1952, ch. 148.  Le paragraphe 17(3) de la Loi de 1952 était presque identique au par. 69(2), lequel a été édicté pour la première fois en 1971 (S.C. 1970</w:t>
      </w:r>
      <w:r w:rsidRPr="00ED2722">
        <w:rPr>
          <w:rFonts w:cs="Times New Roman"/>
          <w:lang w:val="fr-CA"/>
        </w:rPr>
        <w:noBreakHyphen/>
        <w:t>71</w:t>
      </w:r>
      <w:r w:rsidRPr="00ED2722">
        <w:rPr>
          <w:rFonts w:cs="Times New Roman"/>
          <w:lang w:val="fr-CA"/>
        </w:rPr>
        <w:noBreakHyphen/>
        <w:t>72, ch. 63, art. 1) et a fait l’objet de modifications mineures en 1985 (L.R.C. 1985, ch. 1 (5</w:t>
      </w:r>
      <w:r w:rsidRPr="00ED2722">
        <w:rPr>
          <w:rFonts w:cs="Times New Roman"/>
          <w:vertAlign w:val="superscript"/>
          <w:lang w:val="fr-CA"/>
        </w:rPr>
        <w:t>e</w:t>
      </w:r>
      <w:r w:rsidRPr="00ED2722">
        <w:rPr>
          <w:rFonts w:cs="Times New Roman"/>
          <w:lang w:val="fr-CA"/>
        </w:rPr>
        <w:t xml:space="preserve"> suppl.)).</w:t>
      </w:r>
    </w:p>
    <w:p w:rsidR="006B671D" w:rsidRPr="00ED2722" w:rsidRDefault="006B671D" w:rsidP="006B671D">
      <w:pPr>
        <w:pStyle w:val="ParaNoNdepar-AltN"/>
        <w:rPr>
          <w:rFonts w:cs="Times New Roman"/>
          <w:lang w:val="fr-CA"/>
        </w:rPr>
      </w:pPr>
      <w:r w:rsidRPr="00ED2722">
        <w:rPr>
          <w:rFonts w:cs="Times New Roman"/>
          <w:lang w:val="fr-CA"/>
        </w:rPr>
        <w:t xml:space="preserve">Voici le texte du par. 69(2) qui était en vigueur en 1985 et s’appliquait aux années 1990 à 1993 : </w:t>
      </w:r>
    </w:p>
    <w:p w:rsidR="006B671D" w:rsidRPr="00ED2722" w:rsidRDefault="006B671D" w:rsidP="00A15500">
      <w:pPr>
        <w:pStyle w:val="Citation-AltC"/>
        <w:tabs>
          <w:tab w:val="left" w:pos="1620"/>
        </w:tabs>
        <w:ind w:hanging="1166"/>
        <w:rPr>
          <w:lang w:val="fr-CA"/>
        </w:rPr>
      </w:pPr>
      <w:r w:rsidRPr="00ED2722">
        <w:rPr>
          <w:lang w:val="fr-CA"/>
        </w:rPr>
        <w:lastRenderedPageBreak/>
        <w:tab/>
      </w:r>
      <w:r w:rsidRPr="00ED2722">
        <w:rPr>
          <w:lang w:val="fr-CA"/>
        </w:rPr>
        <w:tab/>
        <w:t>(2)  </w:t>
      </w:r>
      <w:r w:rsidRPr="00ED2722">
        <w:rPr>
          <w:u w:val="single"/>
          <w:lang w:val="fr-CA"/>
        </w:rPr>
        <w:t>Lorsqu’un contribuable a payé</w:t>
      </w:r>
      <w:r w:rsidRPr="00ED2722">
        <w:rPr>
          <w:lang w:val="fr-CA"/>
        </w:rPr>
        <w:t xml:space="preserve"> ou est convenu de payer </w:t>
      </w:r>
      <w:r w:rsidRPr="00ED2722">
        <w:rPr>
          <w:u w:val="single"/>
          <w:lang w:val="fr-CA"/>
        </w:rPr>
        <w:t xml:space="preserve">à une personne </w:t>
      </w:r>
      <w:proofErr w:type="spellStart"/>
      <w:r w:rsidRPr="00ED2722">
        <w:rPr>
          <w:u w:val="single"/>
          <w:lang w:val="fr-CA"/>
        </w:rPr>
        <w:t>non</w:t>
      </w:r>
      <w:r w:rsidRPr="00ED2722">
        <w:rPr>
          <w:u w:val="single"/>
          <w:lang w:val="fr-CA"/>
        </w:rPr>
        <w:noBreakHyphen/>
        <w:t>résidente</w:t>
      </w:r>
      <w:proofErr w:type="spellEnd"/>
      <w:r w:rsidRPr="00ED2722">
        <w:rPr>
          <w:u w:val="single"/>
          <w:lang w:val="fr-CA"/>
        </w:rPr>
        <w:t xml:space="preserve"> avec qui il avait un lien de dépendance, soit à titre de prix</w:t>
      </w:r>
      <w:r w:rsidRPr="00ED2722">
        <w:rPr>
          <w:lang w:val="fr-CA"/>
        </w:rPr>
        <w:t xml:space="preserve">, loyer, redevance ou autre paiement </w:t>
      </w:r>
      <w:r w:rsidRPr="00ED2722">
        <w:rPr>
          <w:u w:val="single"/>
          <w:lang w:val="fr-CA"/>
        </w:rPr>
        <w:t>pour un bien</w:t>
      </w:r>
      <w:r w:rsidRPr="00ED2722">
        <w:rPr>
          <w:lang w:val="fr-CA"/>
        </w:rPr>
        <w:t xml:space="preserve"> ou pour l’usage ou la reproduction d’un bien, soit en contrepartie du transport de marchandises ou de voyageurs ou d’autres services, </w:t>
      </w:r>
      <w:r w:rsidRPr="00ED2722">
        <w:rPr>
          <w:u w:val="single"/>
          <w:lang w:val="fr-CA"/>
        </w:rPr>
        <w:t xml:space="preserve">une somme supérieure au montant qui aurait été raisonnable dans les circonstances si la personne </w:t>
      </w:r>
      <w:proofErr w:type="spellStart"/>
      <w:r w:rsidRPr="00ED2722">
        <w:rPr>
          <w:u w:val="single"/>
          <w:lang w:val="fr-CA"/>
        </w:rPr>
        <w:t>non</w:t>
      </w:r>
      <w:r w:rsidRPr="00ED2722">
        <w:rPr>
          <w:u w:val="single"/>
          <w:lang w:val="fr-CA"/>
        </w:rPr>
        <w:noBreakHyphen/>
        <w:t>résidente</w:t>
      </w:r>
      <w:proofErr w:type="spellEnd"/>
      <w:r w:rsidRPr="00ED2722">
        <w:rPr>
          <w:u w:val="single"/>
          <w:lang w:val="fr-CA"/>
        </w:rPr>
        <w:t xml:space="preserve"> et le contribuable n’avaient eu aucun lien de dépendance, ce montant raisonnable est réputé, pour le calcul du revenu du contribuable en vertu de la présente partie, correspondre à la somme ainsi payée ou payable</w:t>
      </w:r>
      <w:r w:rsidRPr="00ED2722">
        <w:rPr>
          <w:lang w:val="fr-CA"/>
        </w:rPr>
        <w:t>.</w:t>
      </w:r>
    </w:p>
    <w:p w:rsidR="006B671D" w:rsidRPr="00ED2722" w:rsidRDefault="006B671D" w:rsidP="006B671D">
      <w:pPr>
        <w:pStyle w:val="ParaNoNdepar-AltN"/>
        <w:rPr>
          <w:rFonts w:cs="Times New Roman"/>
          <w:lang w:val="fr-CA"/>
        </w:rPr>
      </w:pPr>
      <w:r w:rsidRPr="00ED2722">
        <w:rPr>
          <w:rFonts w:cs="Times New Roman"/>
          <w:lang w:val="fr-CA"/>
        </w:rPr>
        <w:t xml:space="preserve">Eu égard aux faits de la présente affaire, il faut, pour l’application de cette disposition, se demander si les prix que Glaxo Canada a payés à </w:t>
      </w:r>
      <w:proofErr w:type="spellStart"/>
      <w:r w:rsidRPr="00ED2722">
        <w:rPr>
          <w:rFonts w:cs="Times New Roman"/>
          <w:lang w:val="fr-CA"/>
        </w:rPr>
        <w:t>Adechsa</w:t>
      </w:r>
      <w:proofErr w:type="spellEnd"/>
      <w:r w:rsidRPr="00ED2722">
        <w:rPr>
          <w:rFonts w:cs="Times New Roman"/>
          <w:lang w:val="fr-CA"/>
        </w:rPr>
        <w:t xml:space="preserve"> pour acquérir sa </w:t>
      </w:r>
      <w:proofErr w:type="spellStart"/>
      <w:r w:rsidRPr="00ED2722">
        <w:rPr>
          <w:rFonts w:cs="Times New Roman"/>
          <w:lang w:val="fr-CA"/>
        </w:rPr>
        <w:t>ranitidine</w:t>
      </w:r>
      <w:proofErr w:type="spellEnd"/>
      <w:r w:rsidRPr="00ED2722">
        <w:rPr>
          <w:rFonts w:cs="Times New Roman"/>
          <w:lang w:val="fr-CA"/>
        </w:rPr>
        <w:t xml:space="preserve"> étaient </w:t>
      </w:r>
      <w:r w:rsidRPr="00ED2722">
        <w:rPr>
          <w:rFonts w:cs="Times New Roman"/>
          <w:szCs w:val="24"/>
          <w:lang w:val="fr-CA"/>
        </w:rPr>
        <w:t xml:space="preserve">supérieurs au montant qui aurait été raisonnable dans les circonstances si </w:t>
      </w:r>
      <w:proofErr w:type="spellStart"/>
      <w:r w:rsidRPr="00ED2722">
        <w:rPr>
          <w:rFonts w:cs="Times New Roman"/>
          <w:lang w:val="fr-CA"/>
        </w:rPr>
        <w:t>Adechsa</w:t>
      </w:r>
      <w:proofErr w:type="spellEnd"/>
      <w:r w:rsidRPr="00ED2722">
        <w:rPr>
          <w:rFonts w:cs="Times New Roman"/>
          <w:lang w:val="fr-CA"/>
        </w:rPr>
        <w:t xml:space="preserve"> et Glaxo Canada </w:t>
      </w:r>
      <w:r w:rsidRPr="00ED2722">
        <w:rPr>
          <w:rFonts w:cs="Times New Roman"/>
          <w:szCs w:val="24"/>
          <w:lang w:val="fr-CA"/>
        </w:rPr>
        <w:t>n’avaient eu aucun lien de dépendance</w:t>
      </w:r>
      <w:r w:rsidRPr="00ED2722">
        <w:rPr>
          <w:rFonts w:cs="Times New Roman"/>
          <w:lang w:val="fr-CA"/>
        </w:rPr>
        <w:t xml:space="preserve">.  La difficulté consiste à trouver une situation comparable où le vendeur n’aurait pas eu de lien de dépendance et où les circonstances correspondent le plus possible à celles de Glaxo Canada en ce qui concerne l’acquisition de </w:t>
      </w:r>
      <w:proofErr w:type="spellStart"/>
      <w:r w:rsidRPr="00ED2722">
        <w:rPr>
          <w:rFonts w:cs="Times New Roman"/>
          <w:lang w:val="fr-CA"/>
        </w:rPr>
        <w:t>ranitidine</w:t>
      </w:r>
      <w:proofErr w:type="spellEnd"/>
      <w:r w:rsidRPr="00ED2722">
        <w:rPr>
          <w:rFonts w:cs="Times New Roman"/>
          <w:lang w:val="fr-CA"/>
        </w:rPr>
        <w:t>.</w:t>
      </w:r>
    </w:p>
    <w:p w:rsidR="006B671D" w:rsidRPr="00ED2722" w:rsidRDefault="006B671D" w:rsidP="0050484E">
      <w:pPr>
        <w:pStyle w:val="TitleTitre-AltT"/>
        <w:keepNext/>
        <w:tabs>
          <w:tab w:val="clear" w:pos="360"/>
          <w:tab w:val="left" w:pos="540"/>
        </w:tabs>
        <w:ind w:left="540" w:hanging="540"/>
        <w:rPr>
          <w:rFonts w:cs="Times New Roman"/>
          <w:lang w:val="fr-CA"/>
        </w:rPr>
      </w:pPr>
      <w:r w:rsidRPr="00ED2722">
        <w:rPr>
          <w:rFonts w:cs="Times New Roman"/>
          <w:lang w:val="fr-CA"/>
        </w:rPr>
        <w:t>B.</w:t>
      </w:r>
      <w:r w:rsidRPr="00ED2722">
        <w:rPr>
          <w:rFonts w:cs="Times New Roman"/>
          <w:lang w:val="fr-CA"/>
        </w:rPr>
        <w:tab/>
      </w:r>
      <w:r w:rsidRPr="00ED2722">
        <w:rPr>
          <w:rFonts w:cs="Times New Roman"/>
          <w:i/>
          <w:lang w:val="fr-CA"/>
        </w:rPr>
        <w:t>Méthodes proposées par l’OCDE pour déterminer des prix de transfert raisonnables</w:t>
      </w:r>
    </w:p>
    <w:p w:rsidR="006B671D" w:rsidRPr="00ED2722" w:rsidRDefault="006B671D" w:rsidP="006B671D">
      <w:pPr>
        <w:pStyle w:val="ParaNoNdepar-AltN"/>
        <w:rPr>
          <w:rFonts w:cs="Times New Roman"/>
          <w:lang w:val="fr-CA"/>
        </w:rPr>
      </w:pPr>
      <w:r w:rsidRPr="00ED2722">
        <w:rPr>
          <w:rFonts w:cs="Times New Roman"/>
          <w:lang w:val="fr-CA"/>
        </w:rPr>
        <w:t xml:space="preserve">Devant les juridictions inférieures et devant notre Cour, on s’est référé aux </w:t>
      </w:r>
      <w:r w:rsidRPr="00ED2722">
        <w:rPr>
          <w:rFonts w:cs="Times New Roman"/>
          <w:i/>
          <w:lang w:val="fr-CA"/>
        </w:rPr>
        <w:t>Principes</w:t>
      </w:r>
      <w:r w:rsidRPr="00ED2722">
        <w:rPr>
          <w:rFonts w:cs="Times New Roman"/>
          <w:lang w:val="fr-CA"/>
        </w:rPr>
        <w:t xml:space="preserve"> de 1979 et aux </w:t>
      </w:r>
      <w:r w:rsidRPr="00ED2722">
        <w:rPr>
          <w:rFonts w:cs="Times New Roman"/>
          <w:i/>
          <w:lang w:val="fr-CA"/>
        </w:rPr>
        <w:t>Principes</w:t>
      </w:r>
      <w:r w:rsidRPr="00ED2722">
        <w:rPr>
          <w:rFonts w:cs="Times New Roman"/>
          <w:lang w:val="fr-FR"/>
        </w:rPr>
        <w:t xml:space="preserve"> de 1995 (les « </w:t>
      </w:r>
      <w:r w:rsidRPr="00ED2722">
        <w:rPr>
          <w:rFonts w:cs="Times New Roman"/>
          <w:i/>
          <w:lang w:val="fr-FR"/>
        </w:rPr>
        <w:t>Principes</w:t>
      </w:r>
      <w:r w:rsidRPr="00ED2722">
        <w:rPr>
          <w:rFonts w:cs="Times New Roman"/>
          <w:lang w:val="fr-FR"/>
        </w:rPr>
        <w:t xml:space="preserve"> »).  Les </w:t>
      </w:r>
      <w:r w:rsidRPr="00ED2722">
        <w:rPr>
          <w:rFonts w:cs="Times New Roman"/>
          <w:i/>
          <w:lang w:val="fr-FR"/>
        </w:rPr>
        <w:t>Principes</w:t>
      </w:r>
      <w:r w:rsidRPr="00ED2722">
        <w:rPr>
          <w:rFonts w:cs="Times New Roman"/>
          <w:lang w:val="fr-FR"/>
        </w:rPr>
        <w:t xml:space="preserve"> font état de</w:t>
      </w:r>
      <w:r w:rsidRPr="00ED2722">
        <w:rPr>
          <w:rFonts w:cs="Times New Roman"/>
          <w:lang w:val="fr-CA"/>
        </w:rPr>
        <w:t xml:space="preserve"> méthodes de fixation du prix de transfert et de commentaires à cet égard.  Ils n’ont cependant pas la même force contraignante qu’une loi canadienne et, en dernière analyse, le critère à appliquer à un ensemble d’opérations ou de prix doit être établi suivant le par. 69(2) et non pas selon quelque commentaire ou méthode énoncé dans les </w:t>
      </w:r>
      <w:r w:rsidRPr="00ED2722">
        <w:rPr>
          <w:rFonts w:cs="Times New Roman"/>
          <w:i/>
          <w:lang w:val="fr-CA"/>
        </w:rPr>
        <w:t>Principes</w:t>
      </w:r>
      <w:r w:rsidRPr="00ED2722">
        <w:rPr>
          <w:rFonts w:cs="Times New Roman"/>
          <w:lang w:val="fr-CA"/>
        </w:rPr>
        <w:t xml:space="preserve">. </w:t>
      </w:r>
    </w:p>
    <w:p w:rsidR="006B671D" w:rsidRPr="00ED2722" w:rsidRDefault="006B671D" w:rsidP="006B671D">
      <w:pPr>
        <w:pStyle w:val="ParaNoNdepar-AltN"/>
        <w:autoSpaceDE w:val="0"/>
        <w:autoSpaceDN w:val="0"/>
        <w:adjustRightInd w:val="0"/>
        <w:rPr>
          <w:rFonts w:cs="Times New Roman"/>
          <w:lang w:val="fr-CA"/>
        </w:rPr>
      </w:pPr>
      <w:r w:rsidRPr="00ED2722">
        <w:rPr>
          <w:rFonts w:cs="Times New Roman"/>
          <w:lang w:val="fr-CA"/>
        </w:rPr>
        <w:lastRenderedPageBreak/>
        <w:t xml:space="preserve">Le paragraphe 69(2) ne donne pas en soi d’indications sur la façon de déterminer le « montant raisonnable » qui aurait été payable si les parties n’avaient eu aucun lien de dépendance.  En revanche, les </w:t>
      </w:r>
      <w:r w:rsidRPr="00ED2722">
        <w:rPr>
          <w:rFonts w:cs="Times New Roman"/>
          <w:i/>
          <w:lang w:val="fr-CA"/>
        </w:rPr>
        <w:t>Principes</w:t>
      </w:r>
      <w:r w:rsidRPr="00ED2722">
        <w:rPr>
          <w:rFonts w:cs="Times New Roman"/>
          <w:lang w:val="fr-CA"/>
        </w:rPr>
        <w:t xml:space="preserve"> proposent un certain nombre de méthodes pour déterminer si des prix de transfert sont compatibles avec ceux dont ont convenu des parties n’ayant aucun lien de dépendance. </w:t>
      </w:r>
    </w:p>
    <w:p w:rsidR="006B671D" w:rsidRPr="00ED2722" w:rsidRDefault="006B671D" w:rsidP="006B671D">
      <w:pPr>
        <w:pStyle w:val="ParaNoNdepar-AltN"/>
        <w:rPr>
          <w:rFonts w:cs="Times New Roman"/>
          <w:lang w:val="fr-CA"/>
        </w:rPr>
      </w:pPr>
      <w:r w:rsidRPr="00ED2722">
        <w:rPr>
          <w:rFonts w:cs="Times New Roman"/>
          <w:lang w:val="fr-CA"/>
        </w:rPr>
        <w:t xml:space="preserve">Devant la Cour de l’impôt, les parties se sont fondées sur quatre méthodes proposées dans les </w:t>
      </w:r>
      <w:r w:rsidRPr="00ED2722">
        <w:rPr>
          <w:rFonts w:cs="Times New Roman"/>
          <w:i/>
          <w:lang w:val="fr-CA"/>
        </w:rPr>
        <w:t>Principes</w:t>
      </w:r>
      <w:r w:rsidRPr="00ED2722">
        <w:rPr>
          <w:rFonts w:cs="Times New Roman"/>
          <w:lang w:val="fr-CA"/>
        </w:rPr>
        <w:t xml:space="preserve"> pour évaluer le caractère raisonnable des prix payés par Glaxo Canada à </w:t>
      </w:r>
      <w:proofErr w:type="spellStart"/>
      <w:r w:rsidRPr="00ED2722">
        <w:rPr>
          <w:rFonts w:cs="Times New Roman"/>
          <w:lang w:val="fr-CA"/>
        </w:rPr>
        <w:t>Adechsa</w:t>
      </w:r>
      <w:proofErr w:type="spellEnd"/>
      <w:r w:rsidRPr="00ED2722">
        <w:rPr>
          <w:rFonts w:cs="Times New Roman"/>
          <w:lang w:val="fr-CA"/>
        </w:rPr>
        <w:t xml:space="preserve">.  Le ministre s’est appuyé sur la </w:t>
      </w:r>
      <w:r w:rsidRPr="00ED2722">
        <w:rPr>
          <w:rFonts w:cs="Times New Roman"/>
          <w:lang w:val="fr-FR"/>
        </w:rPr>
        <w:t xml:space="preserve">méthode du PCML et sur celle du prix de revient majoré (voir les </w:t>
      </w:r>
      <w:r w:rsidRPr="00ED2722">
        <w:rPr>
          <w:rFonts w:cs="Times New Roman"/>
          <w:i/>
          <w:lang w:val="fr-FR"/>
        </w:rPr>
        <w:t>Principes</w:t>
      </w:r>
      <w:r w:rsidRPr="00ED2722">
        <w:rPr>
          <w:rFonts w:cs="Times New Roman"/>
          <w:lang w:val="fr-FR"/>
        </w:rPr>
        <w:t xml:space="preserve"> de 1979, </w:t>
      </w:r>
      <w:r w:rsidRPr="00ED2722">
        <w:rPr>
          <w:rFonts w:cs="Times New Roman"/>
          <w:lang w:val="fr-CA"/>
        </w:rPr>
        <w:t xml:space="preserve">par. 48 et 63).  Dans le cas de la méthode du PCML, on compare les prix payés dans le cadre d’opérations </w:t>
      </w:r>
      <w:r w:rsidRPr="00ED2722">
        <w:rPr>
          <w:rFonts w:cs="Times New Roman"/>
          <w:lang w:val="fr-FR"/>
        </w:rPr>
        <w:t xml:space="preserve">comparables réalisées par des parties sans lien de dépendance à ceux qu’a payés le contribuable faisant l’objet de la nouvelle cotisation.  Aux termes des </w:t>
      </w:r>
      <w:r w:rsidRPr="00ED2722">
        <w:rPr>
          <w:rFonts w:cs="Times New Roman"/>
          <w:i/>
          <w:lang w:val="fr-FR"/>
        </w:rPr>
        <w:t>Principes</w:t>
      </w:r>
      <w:r w:rsidRPr="00ED2722">
        <w:rPr>
          <w:rFonts w:cs="Times New Roman"/>
          <w:lang w:val="fr-FR"/>
        </w:rPr>
        <w:t>, il s’agit de la méthode la plus directe pour déterminer le prix de pleine concurrence.</w:t>
      </w:r>
      <w:r w:rsidRPr="00ED2722">
        <w:rPr>
          <w:rFonts w:cs="Times New Roman"/>
          <w:lang w:val="fr-CA"/>
        </w:rPr>
        <w:t xml:space="preserve">  C’est celle qu’a utilisée le ministre pour comparer les prix de transfert payés par Glaxo Canada à ceux payés par </w:t>
      </w:r>
      <w:proofErr w:type="spellStart"/>
      <w:r w:rsidRPr="00ED2722">
        <w:rPr>
          <w:rFonts w:cs="Times New Roman"/>
          <w:lang w:val="fr-CA"/>
        </w:rPr>
        <w:t>Apotex</w:t>
      </w:r>
      <w:proofErr w:type="spellEnd"/>
      <w:r w:rsidRPr="00ED2722">
        <w:rPr>
          <w:rFonts w:cs="Times New Roman"/>
          <w:lang w:val="fr-CA"/>
        </w:rPr>
        <w:t xml:space="preserve"> et par </w:t>
      </w:r>
      <w:proofErr w:type="spellStart"/>
      <w:r w:rsidRPr="00ED2722">
        <w:rPr>
          <w:rFonts w:cs="Times New Roman"/>
          <w:lang w:val="fr-CA"/>
        </w:rPr>
        <w:t>Novopharm</w:t>
      </w:r>
      <w:proofErr w:type="spellEnd"/>
      <w:r w:rsidRPr="00ED2722">
        <w:rPr>
          <w:rFonts w:cs="Times New Roman"/>
          <w:lang w:val="fr-CA"/>
        </w:rPr>
        <w:t>.</w:t>
      </w:r>
    </w:p>
    <w:p w:rsidR="006B671D" w:rsidRPr="00ED2722" w:rsidRDefault="006B671D" w:rsidP="006B671D">
      <w:pPr>
        <w:pStyle w:val="ParaNoNdepar-AltN"/>
        <w:rPr>
          <w:rFonts w:cs="Times New Roman"/>
          <w:lang w:val="fr-CA"/>
        </w:rPr>
      </w:pPr>
      <w:r w:rsidRPr="00ED2722">
        <w:rPr>
          <w:rFonts w:cs="Times New Roman"/>
          <w:lang w:val="fr-CA"/>
        </w:rPr>
        <w:t xml:space="preserve">Les </w:t>
      </w:r>
      <w:r w:rsidRPr="00ED2722">
        <w:rPr>
          <w:rFonts w:cs="Times New Roman"/>
          <w:i/>
          <w:lang w:val="fr-FR"/>
        </w:rPr>
        <w:t>Principes</w:t>
      </w:r>
      <w:r w:rsidRPr="00ED2722">
        <w:rPr>
          <w:rFonts w:cs="Times New Roman"/>
          <w:lang w:val="fr-CA"/>
        </w:rPr>
        <w:t xml:space="preserve"> de 1995 précisent toutefois qu’il faut étudier attentivement les opérations réalisées entre parties sans lien de dépendance pour s’assurer de leur comparabilité avec celles impliquant un prix de transfert.  Des opérations ne sont comparables que si l’une des conditions suivantes est remplie : </w:t>
      </w:r>
    </w:p>
    <w:p w:rsidR="006B671D" w:rsidRPr="00ED2722" w:rsidRDefault="006B671D" w:rsidP="000A3E35">
      <w:pPr>
        <w:pStyle w:val="Citation-AltC"/>
        <w:spacing w:after="240" w:line="480" w:lineRule="auto"/>
        <w:ind w:left="720" w:hanging="720"/>
        <w:contextualSpacing w:val="0"/>
        <w:rPr>
          <w:lang w:val="fr-CA"/>
        </w:rPr>
      </w:pPr>
      <w:r w:rsidRPr="00ED2722">
        <w:rPr>
          <w:lang w:val="fr-CA"/>
        </w:rPr>
        <w:t>1.</w:t>
      </w:r>
      <w:r w:rsidRPr="00ED2722">
        <w:rPr>
          <w:lang w:val="fr-CA"/>
        </w:rPr>
        <w:tab/>
        <w:t xml:space="preserve">Aucune différence (s’il en existe) entre les transactions faisant l’objet de la comparaison ou entre les entreprises effectuant ces transactions, n’est </w:t>
      </w:r>
      <w:r w:rsidRPr="00ED2722">
        <w:rPr>
          <w:lang w:val="fr-CA"/>
        </w:rPr>
        <w:lastRenderedPageBreak/>
        <w:t xml:space="preserve">susceptible d’avoir une incidence sensible sur la marge sur le prix pratiqué sur le marché libre, ou </w:t>
      </w:r>
    </w:p>
    <w:p w:rsidR="006B671D" w:rsidRPr="00ED2722" w:rsidRDefault="006B671D" w:rsidP="000A3E35">
      <w:pPr>
        <w:pStyle w:val="Citation-AltC"/>
        <w:spacing w:after="240" w:line="480" w:lineRule="auto"/>
        <w:ind w:left="720" w:hanging="720"/>
        <w:contextualSpacing w:val="0"/>
        <w:rPr>
          <w:lang w:val="fr-CA"/>
        </w:rPr>
      </w:pPr>
      <w:r w:rsidRPr="00ED2722">
        <w:rPr>
          <w:lang w:val="fr-CA"/>
        </w:rPr>
        <w:t>2.</w:t>
      </w:r>
      <w:r w:rsidRPr="00ED2722">
        <w:rPr>
          <w:lang w:val="fr-CA"/>
        </w:rPr>
        <w:tab/>
        <w:t>des correctifs suffisamm</w:t>
      </w:r>
      <w:r w:rsidR="000A3E35" w:rsidRPr="00ED2722">
        <w:rPr>
          <w:lang w:val="fr-CA"/>
        </w:rPr>
        <w:t>ent exacts peuvent être apporté</w:t>
      </w:r>
      <w:r w:rsidRPr="00ED2722">
        <w:rPr>
          <w:lang w:val="fr-CA"/>
        </w:rPr>
        <w:t xml:space="preserve">s pour supprimer les effets matériels de ces différences.  (Voir les </w:t>
      </w:r>
      <w:r w:rsidRPr="00ED2722">
        <w:rPr>
          <w:i/>
          <w:lang w:val="fr-CA"/>
        </w:rPr>
        <w:t>Principes</w:t>
      </w:r>
      <w:r w:rsidRPr="00ED2722">
        <w:rPr>
          <w:lang w:val="fr-CA"/>
        </w:rPr>
        <w:t xml:space="preserve"> de 1995, par. 1.15.)</w:t>
      </w:r>
    </w:p>
    <w:p w:rsidR="006B671D" w:rsidRPr="00ED2722" w:rsidRDefault="006B671D" w:rsidP="006B671D">
      <w:pPr>
        <w:pStyle w:val="ParaNoNdepar-AltN"/>
        <w:rPr>
          <w:rFonts w:cs="Times New Roman"/>
          <w:lang w:val="fr-CA"/>
        </w:rPr>
      </w:pPr>
      <w:r w:rsidRPr="00ED2722">
        <w:rPr>
          <w:rFonts w:cs="Times New Roman"/>
          <w:lang w:val="fr-FR"/>
        </w:rPr>
        <w:t xml:space="preserve">La méthode du prix de revient majoré est fondée sur le prix de revient du fournisseur étranger, majoré d’une marge bénéficiaire appropriée.  Les </w:t>
      </w:r>
      <w:r w:rsidRPr="00ED2722">
        <w:rPr>
          <w:rFonts w:cs="Times New Roman"/>
          <w:i/>
          <w:lang w:val="fr-FR"/>
        </w:rPr>
        <w:t>Principes</w:t>
      </w:r>
      <w:r w:rsidRPr="00ED2722">
        <w:rPr>
          <w:rFonts w:cs="Times New Roman"/>
          <w:lang w:val="fr-FR"/>
        </w:rPr>
        <w:t xml:space="preserve"> de 1979 soulignent toutefois que « </w:t>
      </w:r>
      <w:r w:rsidR="000A3E35" w:rsidRPr="00ED2722">
        <w:rPr>
          <w:rFonts w:cs="Times New Roman"/>
          <w:lang w:val="fr-FR"/>
        </w:rPr>
        <w:t>[</w:t>
      </w:r>
      <w:r w:rsidRPr="00ED2722">
        <w:rPr>
          <w:rFonts w:cs="Times New Roman"/>
          <w:lang w:val="fr-FR"/>
        </w:rPr>
        <w:t>l</w:t>
      </w:r>
      <w:r w:rsidR="000A3E35" w:rsidRPr="00ED2722">
        <w:rPr>
          <w:rFonts w:cs="Times New Roman"/>
          <w:lang w:val="fr-FR"/>
        </w:rPr>
        <w:t>]</w:t>
      </w:r>
      <w:r w:rsidRPr="00ED2722">
        <w:rPr>
          <w:rFonts w:cs="Times New Roman"/>
          <w:lang w:val="fr-FR"/>
        </w:rPr>
        <w:t xml:space="preserve">es problèmes posés par cette méthode concernent le calcul des coûts [. . .] et la marge bénéficiaire normale » (par. 63).  On y mentionne qu’elle peut être utile pour vérifier des prix à la suite de l’application d’autres méthodes.  </w:t>
      </w:r>
      <w:r w:rsidRPr="00ED2722">
        <w:rPr>
          <w:rFonts w:cs="Times New Roman"/>
          <w:lang w:val="fr-CA"/>
        </w:rPr>
        <w:t>Le ministre a utilisé cette méthode du prix de revient majoré pour vérifier le bien-fondé des prix de pleine concurrence qu’il avait déterminés selon la méthode du PCML.</w:t>
      </w:r>
    </w:p>
    <w:p w:rsidR="006B671D" w:rsidRPr="00ED2722" w:rsidRDefault="006B671D" w:rsidP="006B671D">
      <w:pPr>
        <w:pStyle w:val="ParaNoNdepar-AltN"/>
        <w:rPr>
          <w:rFonts w:cs="Times New Roman"/>
          <w:lang w:val="fr-CA"/>
        </w:rPr>
      </w:pPr>
      <w:r w:rsidRPr="00ED2722">
        <w:rPr>
          <w:rFonts w:cs="Times New Roman"/>
          <w:lang w:val="fr-CA"/>
        </w:rPr>
        <w:t>Pour sa part, Glaxo Canada s’est fondée sur la méthode du prix de revente, sur la méthode transactionnelle de la marge nette et sur la méthode du PCML, en appliquant une série d’éléments de comparaison européens.  Comme il a été expliqué précédemment, la méthode du prix de revente</w:t>
      </w:r>
      <w:r w:rsidRPr="00ED2722">
        <w:rPr>
          <w:rFonts w:cs="Times New Roman"/>
          <w:lang w:val="fr-FR"/>
        </w:rPr>
        <w:t xml:space="preserve"> part du prix demandé par le revendeur (Glaxo Canada) sur le marché pour le produit (Zantac).  Ce prix est ensuite réduit d’un montant correspondant aux frais et au bénéfice approprié du revendeur, c’est</w:t>
      </w:r>
      <w:r w:rsidRPr="00ED2722">
        <w:rPr>
          <w:rFonts w:cs="Times New Roman"/>
          <w:lang w:val="fr-FR"/>
        </w:rPr>
        <w:noBreakHyphen/>
      </w:r>
      <w:proofErr w:type="spellStart"/>
      <w:r w:rsidRPr="00ED2722">
        <w:rPr>
          <w:rFonts w:cs="Times New Roman"/>
          <w:lang w:val="fr-FR"/>
        </w:rPr>
        <w:t>à</w:t>
      </w:r>
      <w:r w:rsidRPr="00ED2722">
        <w:rPr>
          <w:rFonts w:cs="Times New Roman"/>
          <w:lang w:val="fr-FR"/>
        </w:rPr>
        <w:noBreakHyphen/>
        <w:t>dire</w:t>
      </w:r>
      <w:proofErr w:type="spellEnd"/>
      <w:r w:rsidRPr="00ED2722">
        <w:rPr>
          <w:rFonts w:cs="Times New Roman"/>
          <w:lang w:val="fr-FR"/>
        </w:rPr>
        <w:t xml:space="preserve"> à la marge bénéficiaire brute de ce dernier.  Le reste est considéré comme le prix de transfert du produit acheté au fournisseur </w:t>
      </w:r>
      <w:proofErr w:type="spellStart"/>
      <w:r w:rsidRPr="00ED2722">
        <w:rPr>
          <w:rFonts w:cs="Times New Roman"/>
          <w:lang w:val="fr-FR"/>
        </w:rPr>
        <w:t>non</w:t>
      </w:r>
      <w:r w:rsidRPr="00ED2722">
        <w:rPr>
          <w:rFonts w:cs="Times New Roman"/>
          <w:lang w:val="fr-FR"/>
        </w:rPr>
        <w:noBreakHyphen/>
        <w:t>résident</w:t>
      </w:r>
      <w:proofErr w:type="spellEnd"/>
      <w:r w:rsidRPr="00ED2722">
        <w:rPr>
          <w:rFonts w:cs="Times New Roman"/>
          <w:lang w:val="fr-FR"/>
        </w:rPr>
        <w:t xml:space="preserve"> apparenté (</w:t>
      </w:r>
      <w:proofErr w:type="spellStart"/>
      <w:r w:rsidRPr="00ED2722">
        <w:rPr>
          <w:rFonts w:cs="Times New Roman"/>
          <w:lang w:val="fr-FR"/>
        </w:rPr>
        <w:t>Adechsa</w:t>
      </w:r>
      <w:proofErr w:type="spellEnd"/>
      <w:r w:rsidRPr="00ED2722">
        <w:rPr>
          <w:rFonts w:cs="Times New Roman"/>
          <w:lang w:val="fr-FR"/>
        </w:rPr>
        <w:t xml:space="preserve">).  La </w:t>
      </w:r>
      <w:r w:rsidRPr="00ED2722">
        <w:rPr>
          <w:rFonts w:cs="Times New Roman"/>
          <w:lang w:val="fr-CA"/>
        </w:rPr>
        <w:t xml:space="preserve">marge bénéficiaire brute est ensuite comparée à celle </w:t>
      </w:r>
      <w:r w:rsidRPr="00ED2722">
        <w:rPr>
          <w:rFonts w:cs="Times New Roman"/>
          <w:lang w:val="fr-CA"/>
        </w:rPr>
        <w:lastRenderedPageBreak/>
        <w:t xml:space="preserve">réalisée par des revendeurs indépendants sans lien de dépendance.  On souligne dans les </w:t>
      </w:r>
      <w:r w:rsidRPr="00ED2722">
        <w:rPr>
          <w:rFonts w:cs="Times New Roman"/>
          <w:i/>
          <w:lang w:val="fr-CA"/>
        </w:rPr>
        <w:t>Principes</w:t>
      </w:r>
      <w:r w:rsidRPr="00ED2722">
        <w:rPr>
          <w:rFonts w:cs="Times New Roman"/>
          <w:lang w:val="fr-CA"/>
        </w:rPr>
        <w:t xml:space="preserve"> de 1979 que cette </w:t>
      </w:r>
      <w:r w:rsidRPr="00ED2722">
        <w:rPr>
          <w:rFonts w:cs="Times New Roman"/>
          <w:lang w:val="fr-FR"/>
        </w:rPr>
        <w:t xml:space="preserve">méthode est particulièrement utile lorsqu’elle est appliquée à des opérations de commercialisation. </w:t>
      </w:r>
      <w:r w:rsidRPr="00ED2722">
        <w:rPr>
          <w:rFonts w:cs="Times New Roman"/>
          <w:lang w:val="fr-CA"/>
        </w:rPr>
        <w:t>Glaxo Canada a comparé sa marge bénéficiaire brute à celle des distributeurs européens indépendants de Zantac.</w:t>
      </w:r>
    </w:p>
    <w:p w:rsidR="006B671D" w:rsidRPr="00ED2722" w:rsidRDefault="006B671D" w:rsidP="006B671D">
      <w:pPr>
        <w:pStyle w:val="ParaNoNdepar-AltN"/>
        <w:rPr>
          <w:rFonts w:cs="Times New Roman"/>
          <w:lang w:val="fr-CA"/>
        </w:rPr>
      </w:pPr>
      <w:r w:rsidRPr="00ED2722">
        <w:rPr>
          <w:rFonts w:cs="Times New Roman"/>
          <w:lang w:val="fr-FR"/>
        </w:rPr>
        <w:t>La méthode transactionnelle de la marge nette consiste à déterminer, à partir d’une base —</w:t>
      </w:r>
      <w:r w:rsidRPr="00ED2722">
        <w:rPr>
          <w:rFonts w:cs="Times New Roman"/>
          <w:szCs w:val="24"/>
          <w:lang w:val="fr-FR"/>
        </w:rPr>
        <w:t xml:space="preserve"> par exemple </w:t>
      </w:r>
      <w:r w:rsidRPr="00ED2722">
        <w:rPr>
          <w:rFonts w:cs="Times New Roman"/>
          <w:lang w:val="fr-FR"/>
        </w:rPr>
        <w:t xml:space="preserve">les coûts, les ventes ou l’actif </w:t>
      </w:r>
      <w:r w:rsidRPr="00ED2722">
        <w:rPr>
          <w:rFonts w:cs="Times New Roman"/>
          <w:szCs w:val="24"/>
          <w:lang w:val="fr-FR"/>
        </w:rPr>
        <w:t>—</w:t>
      </w:r>
      <w:r w:rsidRPr="00ED2722">
        <w:rPr>
          <w:rFonts w:cs="Times New Roman"/>
          <w:szCs w:val="24"/>
          <w:lang w:val="fr-CA"/>
        </w:rPr>
        <w:t>,</w:t>
      </w:r>
      <w:r w:rsidRPr="00ED2722">
        <w:rPr>
          <w:rFonts w:cs="Times New Roman"/>
          <w:lang w:val="fr-FR"/>
        </w:rPr>
        <w:t xml:space="preserve"> la marge bénéficiaire nette obtenue par le contribuable au titre d’une opération entre entreprises associées</w:t>
      </w:r>
      <w:r w:rsidRPr="00ED2722">
        <w:rPr>
          <w:rFonts w:cs="Times New Roman"/>
          <w:lang w:val="fr-CA"/>
        </w:rPr>
        <w:t xml:space="preserve"> par référence à la marge bénéficiaire nette que le même contribuable réalise au titre d’opérations comparables sur le marché libre. Lorsque ce n’est pas possible, on peut tenir compte du bénéfice net par rapport aux </w:t>
      </w:r>
      <w:r w:rsidRPr="00ED2722">
        <w:rPr>
          <w:rFonts w:cs="Times New Roman"/>
          <w:lang w:val="fr-FR"/>
        </w:rPr>
        <w:t>coûts, aux ventes ou à l’actif</w:t>
      </w:r>
      <w:r w:rsidRPr="00ED2722">
        <w:rPr>
          <w:rFonts w:cs="Times New Roman"/>
          <w:lang w:val="fr-CA"/>
        </w:rPr>
        <w:t xml:space="preserve"> d’une entreprise indépendante, à condition que la situation soit comparable et que des correctifs puissent être apportés en vue d’obtenir des résultats fiables.</w:t>
      </w:r>
    </w:p>
    <w:p w:rsidR="006B671D" w:rsidRPr="00ED2722" w:rsidRDefault="006B671D" w:rsidP="006B671D">
      <w:pPr>
        <w:pStyle w:val="ParaNoNdepar-AltN"/>
        <w:rPr>
          <w:rFonts w:cs="Times New Roman"/>
          <w:lang w:val="fr-CA"/>
        </w:rPr>
      </w:pPr>
      <w:r w:rsidRPr="00ED2722">
        <w:rPr>
          <w:rFonts w:cs="Times New Roman"/>
          <w:lang w:val="fr-CA"/>
        </w:rPr>
        <w:t xml:space="preserve">Dans son application de la méthode du PCML, Glaxo Canada a utilisé les prix payés par des distributeurs européens indépendants de Zantac, prix qui selon </w:t>
      </w:r>
      <w:proofErr w:type="gramStart"/>
      <w:r w:rsidRPr="00ED2722">
        <w:rPr>
          <w:rFonts w:cs="Times New Roman"/>
          <w:lang w:val="fr-CA"/>
        </w:rPr>
        <w:t>elle correspondaient</w:t>
      </w:r>
      <w:proofErr w:type="gramEnd"/>
      <w:r w:rsidRPr="00ED2722">
        <w:rPr>
          <w:rFonts w:cs="Times New Roman"/>
          <w:lang w:val="fr-CA"/>
        </w:rPr>
        <w:t xml:space="preserve"> en gros à ceux qu’elle avait payés à </w:t>
      </w:r>
      <w:proofErr w:type="spellStart"/>
      <w:r w:rsidRPr="00ED2722">
        <w:rPr>
          <w:rFonts w:cs="Times New Roman"/>
          <w:lang w:val="fr-CA"/>
        </w:rPr>
        <w:t>Adechsa</w:t>
      </w:r>
      <w:proofErr w:type="spellEnd"/>
      <w:r w:rsidRPr="00ED2722">
        <w:rPr>
          <w:rFonts w:cs="Times New Roman"/>
          <w:lang w:val="fr-CA"/>
        </w:rPr>
        <w:t>.</w:t>
      </w:r>
    </w:p>
    <w:p w:rsidR="006B671D" w:rsidRPr="00ED2722" w:rsidRDefault="006B671D" w:rsidP="000A3E35">
      <w:pPr>
        <w:pStyle w:val="TitleTitre-AltT"/>
        <w:keepNext/>
        <w:tabs>
          <w:tab w:val="clear" w:pos="360"/>
          <w:tab w:val="left" w:pos="540"/>
        </w:tabs>
        <w:ind w:left="540" w:hanging="540"/>
        <w:rPr>
          <w:rFonts w:cs="Times New Roman"/>
          <w:lang w:val="fr-CA"/>
        </w:rPr>
      </w:pPr>
      <w:r w:rsidRPr="00ED2722">
        <w:rPr>
          <w:rFonts w:cs="Times New Roman"/>
          <w:lang w:val="fr-CA"/>
        </w:rPr>
        <w:t>C.</w:t>
      </w:r>
      <w:r w:rsidRPr="00ED2722">
        <w:rPr>
          <w:rFonts w:cs="Times New Roman"/>
          <w:lang w:val="fr-CA"/>
        </w:rPr>
        <w:tab/>
      </w:r>
      <w:r w:rsidRPr="00ED2722">
        <w:rPr>
          <w:rFonts w:cs="Times New Roman"/>
          <w:i/>
          <w:lang w:val="fr-CA"/>
        </w:rPr>
        <w:t>La méthode transactionnelle adoptée par la Cour de l’impôt</w:t>
      </w:r>
    </w:p>
    <w:p w:rsidR="006B671D" w:rsidRPr="00ED2722" w:rsidRDefault="006B671D" w:rsidP="006B671D">
      <w:pPr>
        <w:pStyle w:val="ParaNoNdepar-AltN"/>
        <w:widowControl w:val="0"/>
        <w:rPr>
          <w:rFonts w:cs="Times New Roman"/>
          <w:lang w:val="fr-CA"/>
        </w:rPr>
      </w:pPr>
      <w:r w:rsidRPr="00ED2722">
        <w:rPr>
          <w:rFonts w:cs="Times New Roman"/>
          <w:lang w:val="fr-CA"/>
        </w:rPr>
        <w:t xml:space="preserve">Le juge en chef adjoint </w:t>
      </w:r>
      <w:proofErr w:type="spellStart"/>
      <w:r w:rsidRPr="00ED2722">
        <w:rPr>
          <w:rFonts w:cs="Times New Roman"/>
          <w:lang w:val="fr-CA"/>
        </w:rPr>
        <w:t>Rip</w:t>
      </w:r>
      <w:proofErr w:type="spellEnd"/>
      <w:r w:rsidRPr="00ED2722">
        <w:rPr>
          <w:rFonts w:cs="Times New Roman"/>
          <w:lang w:val="fr-CA"/>
        </w:rPr>
        <w:t xml:space="preserve"> a rejeté les éléments de preuve et les arguments présentés par Glaxo Canada.  Appliquant la méthode du PCML, il a comparé les prix payés par Glaxo Canada pour la </w:t>
      </w:r>
      <w:proofErr w:type="spellStart"/>
      <w:r w:rsidRPr="00ED2722">
        <w:rPr>
          <w:rFonts w:cs="Times New Roman"/>
          <w:lang w:val="fr-CA"/>
        </w:rPr>
        <w:t>ranitidine</w:t>
      </w:r>
      <w:proofErr w:type="spellEnd"/>
      <w:r w:rsidRPr="00ED2722">
        <w:rPr>
          <w:rFonts w:cs="Times New Roman"/>
          <w:lang w:val="fr-CA"/>
        </w:rPr>
        <w:t xml:space="preserve"> à ceux payés par des </w:t>
      </w:r>
      <w:r w:rsidRPr="00ED2722">
        <w:rPr>
          <w:rFonts w:cs="Times New Roman"/>
          <w:lang w:val="fr-CA"/>
        </w:rPr>
        <w:lastRenderedPageBreak/>
        <w:t xml:space="preserve">fabricants canadiens de produits génériques, et il a conclu que </w:t>
      </w:r>
      <w:r w:rsidRPr="00ED2722">
        <w:rPr>
          <w:rFonts w:cs="Times New Roman"/>
          <w:szCs w:val="24"/>
          <w:lang w:val="fr-FR"/>
        </w:rPr>
        <w:t xml:space="preserve">les prix les plus élevés payés par ces derniers avoisinaient </w:t>
      </w:r>
      <w:r w:rsidRPr="00ED2722">
        <w:rPr>
          <w:rFonts w:cs="Times New Roman"/>
          <w:lang w:val="fr-CA"/>
        </w:rPr>
        <w:t>300 $ le kilogramme, alors que Glaxo Canada payait plus de 1 500 $ le kilogramme.</w:t>
      </w:r>
    </w:p>
    <w:p w:rsidR="006B671D" w:rsidRPr="00ED2722" w:rsidRDefault="006B671D" w:rsidP="006B671D">
      <w:pPr>
        <w:pStyle w:val="ParaNoNdepar-AltN"/>
        <w:rPr>
          <w:rFonts w:cs="Times New Roman"/>
          <w:lang w:val="fr-CA"/>
        </w:rPr>
      </w:pPr>
      <w:r w:rsidRPr="00ED2722">
        <w:rPr>
          <w:rFonts w:cs="Times New Roman"/>
          <w:lang w:val="fr-CA"/>
        </w:rPr>
        <w:t xml:space="preserve">Glaxo Canada avait soutenu que la comparaison avec les fabricants de médicaments génériques n’était pas pertinente.  Elle affirmait qu’il fallait tenir compte du contrat de licence, étant donné qu’il conférait certains droits et avantages liés à l’objet pour lequel elle avait acheté sa </w:t>
      </w:r>
      <w:proofErr w:type="spellStart"/>
      <w:r w:rsidRPr="00ED2722">
        <w:rPr>
          <w:rFonts w:cs="Times New Roman"/>
          <w:lang w:val="fr-CA"/>
        </w:rPr>
        <w:t>ranitidine</w:t>
      </w:r>
      <w:proofErr w:type="spellEnd"/>
      <w:r w:rsidRPr="00ED2722">
        <w:rPr>
          <w:rFonts w:cs="Times New Roman"/>
          <w:lang w:val="fr-CA"/>
        </w:rPr>
        <w:t>.</w:t>
      </w:r>
    </w:p>
    <w:p w:rsidR="006B671D" w:rsidRPr="00ED2722" w:rsidRDefault="006B671D" w:rsidP="006B671D">
      <w:pPr>
        <w:pStyle w:val="ParaNoNdepar-AltN"/>
        <w:rPr>
          <w:rFonts w:cs="Times New Roman"/>
          <w:lang w:val="fr-CA"/>
        </w:rPr>
      </w:pPr>
      <w:r w:rsidRPr="00ED2722">
        <w:rPr>
          <w:rFonts w:cs="Times New Roman"/>
          <w:lang w:val="fr-CA"/>
        </w:rPr>
        <w:t xml:space="preserve">Le juge en chef adjoint </w:t>
      </w:r>
      <w:proofErr w:type="spellStart"/>
      <w:r w:rsidRPr="00ED2722">
        <w:rPr>
          <w:rFonts w:cs="Times New Roman"/>
          <w:lang w:val="fr-CA"/>
        </w:rPr>
        <w:t>Rip</w:t>
      </w:r>
      <w:proofErr w:type="spellEnd"/>
      <w:r w:rsidRPr="00ED2722">
        <w:rPr>
          <w:rFonts w:cs="Times New Roman"/>
          <w:lang w:val="fr-CA"/>
        </w:rPr>
        <w:t xml:space="preserve"> a toutefois conclu que l’arrêt </w:t>
      </w:r>
      <w:r w:rsidRPr="00ED2722">
        <w:rPr>
          <w:rFonts w:cs="Times New Roman"/>
          <w:i/>
          <w:lang w:val="fr-CA"/>
        </w:rPr>
        <w:t>Singleton</w:t>
      </w:r>
      <w:r w:rsidRPr="00ED2722">
        <w:rPr>
          <w:rFonts w:cs="Times New Roman"/>
          <w:lang w:val="fr-CA"/>
        </w:rPr>
        <w:t xml:space="preserve"> l’empêchait de tenir compte du contrat de licence.  Sans le contrat de licence, il fallait considérer que les prix payés en application du contrat de fourniture visaient uniquement l’achat de la </w:t>
      </w:r>
      <w:proofErr w:type="spellStart"/>
      <w:r w:rsidRPr="00ED2722">
        <w:rPr>
          <w:rFonts w:cs="Times New Roman"/>
          <w:lang w:val="fr-CA"/>
        </w:rPr>
        <w:t>ranitidine</w:t>
      </w:r>
      <w:proofErr w:type="spellEnd"/>
      <w:r w:rsidRPr="00ED2722">
        <w:rPr>
          <w:rFonts w:cs="Times New Roman"/>
          <w:lang w:val="fr-CA"/>
        </w:rPr>
        <w:t xml:space="preserve">.  Ce contrat ne prévoyait donc pas de contrepartie pour d’autres droits ou avantages.  Comme les prix payés par Glaxo Canada et les fabricants de médicaments génériques ne visaient dans les deux cas que la </w:t>
      </w:r>
      <w:proofErr w:type="spellStart"/>
      <w:r w:rsidRPr="00ED2722">
        <w:rPr>
          <w:rFonts w:cs="Times New Roman"/>
          <w:lang w:val="fr-CA"/>
        </w:rPr>
        <w:t>ranitidine</w:t>
      </w:r>
      <w:proofErr w:type="spellEnd"/>
      <w:r w:rsidRPr="00ED2722">
        <w:rPr>
          <w:rFonts w:cs="Times New Roman"/>
          <w:lang w:val="fr-CA"/>
        </w:rPr>
        <w:t xml:space="preserve">, il n’existait entre ces opérations aucune différence susceptible de justifier l’établissement de prix de transfert plus élevés que ceux payés par </w:t>
      </w:r>
      <w:proofErr w:type="spellStart"/>
      <w:r w:rsidRPr="00ED2722">
        <w:rPr>
          <w:rFonts w:cs="Times New Roman"/>
          <w:lang w:val="fr-CA"/>
        </w:rPr>
        <w:t>Apotex</w:t>
      </w:r>
      <w:proofErr w:type="spellEnd"/>
      <w:r w:rsidRPr="00ED2722">
        <w:rPr>
          <w:rFonts w:cs="Times New Roman"/>
          <w:lang w:val="fr-CA"/>
        </w:rPr>
        <w:t xml:space="preserve"> et par </w:t>
      </w:r>
      <w:proofErr w:type="spellStart"/>
      <w:r w:rsidRPr="00ED2722">
        <w:rPr>
          <w:rFonts w:cs="Times New Roman"/>
          <w:lang w:val="fr-CA"/>
        </w:rPr>
        <w:t>Novopharm</w:t>
      </w:r>
      <w:proofErr w:type="spellEnd"/>
      <w:r w:rsidRPr="00ED2722">
        <w:rPr>
          <w:rFonts w:cs="Times New Roman"/>
          <w:lang w:val="fr-CA"/>
        </w:rPr>
        <w:t xml:space="preserve"> (abstraction faite des frais de granulation de 25 $ le kilogramme accordés à Glaxo Canada). </w:t>
      </w:r>
    </w:p>
    <w:p w:rsidR="006B671D" w:rsidRPr="00ED2722" w:rsidRDefault="006B671D" w:rsidP="006B671D">
      <w:pPr>
        <w:pStyle w:val="ParaNoNdepar-AltN"/>
        <w:rPr>
          <w:rFonts w:cs="Times New Roman"/>
          <w:u w:val="single"/>
          <w:lang w:val="fr-CA"/>
        </w:rPr>
      </w:pPr>
      <w:r w:rsidRPr="00ED2722">
        <w:rPr>
          <w:rFonts w:cs="Times New Roman"/>
          <w:lang w:val="fr-CA"/>
        </w:rPr>
        <w:t xml:space="preserve">La question à laquelle le juge en chef adjoint </w:t>
      </w:r>
      <w:proofErr w:type="spellStart"/>
      <w:r w:rsidRPr="00ED2722">
        <w:rPr>
          <w:rFonts w:cs="Times New Roman"/>
          <w:lang w:val="fr-CA"/>
        </w:rPr>
        <w:t>Rip</w:t>
      </w:r>
      <w:proofErr w:type="spellEnd"/>
      <w:r w:rsidRPr="00ED2722">
        <w:rPr>
          <w:rFonts w:cs="Times New Roman"/>
          <w:lang w:val="fr-CA"/>
        </w:rPr>
        <w:t xml:space="preserve"> devait répondre concernait l’établissement du prix raisonnable au sens du par. 69(2).  Pour ce faire, il était essentiel de décider si le contrat de licence était une circonstance dont il fallait tenir compte.</w:t>
      </w:r>
    </w:p>
    <w:p w:rsidR="006B671D" w:rsidRPr="00ED2722" w:rsidRDefault="006B671D" w:rsidP="006B671D">
      <w:pPr>
        <w:pStyle w:val="ParaNoNdepar-AltN"/>
        <w:rPr>
          <w:rFonts w:cs="Times New Roman"/>
          <w:u w:val="single"/>
          <w:lang w:val="fr-CA"/>
        </w:rPr>
      </w:pPr>
      <w:r w:rsidRPr="00ED2722">
        <w:rPr>
          <w:rFonts w:cs="Times New Roman"/>
          <w:lang w:val="fr-CA"/>
        </w:rPr>
        <w:lastRenderedPageBreak/>
        <w:t xml:space="preserve">Le ministre soutient que, conjugués aux </w:t>
      </w:r>
      <w:r w:rsidRPr="00ED2722">
        <w:rPr>
          <w:rFonts w:cs="Times New Roman"/>
          <w:i/>
          <w:lang w:val="fr-CA"/>
        </w:rPr>
        <w:t>Principes</w:t>
      </w:r>
      <w:r w:rsidRPr="00ED2722">
        <w:rPr>
          <w:rFonts w:cs="Times New Roman"/>
          <w:lang w:val="fr-CA"/>
        </w:rPr>
        <w:t xml:space="preserve">, les arrêts rendus par notre Cour dans les affaires </w:t>
      </w:r>
      <w:r w:rsidRPr="00ED2722">
        <w:rPr>
          <w:rFonts w:cs="Times New Roman"/>
          <w:i/>
          <w:iCs/>
          <w:lang w:val="fr-CA"/>
        </w:rPr>
        <w:t>Singleton</w:t>
      </w:r>
      <w:r w:rsidRPr="00ED2722">
        <w:rPr>
          <w:rFonts w:cs="Times New Roman"/>
          <w:lang w:val="fr-CA"/>
        </w:rPr>
        <w:t xml:space="preserve"> et </w:t>
      </w:r>
      <w:r w:rsidRPr="00ED2722">
        <w:rPr>
          <w:rFonts w:cs="Times New Roman"/>
          <w:i/>
          <w:iCs/>
          <w:lang w:val="fr-CA"/>
        </w:rPr>
        <w:t xml:space="preserve">Shell Canada </w:t>
      </w:r>
      <w:proofErr w:type="spellStart"/>
      <w:r w:rsidRPr="00ED2722">
        <w:rPr>
          <w:rFonts w:cs="Times New Roman"/>
          <w:i/>
          <w:iCs/>
          <w:lang w:val="fr-CA"/>
        </w:rPr>
        <w:t>Ltée</w:t>
      </w:r>
      <w:proofErr w:type="spellEnd"/>
      <w:r w:rsidRPr="00ED2722">
        <w:rPr>
          <w:rFonts w:cs="Times New Roman"/>
          <w:i/>
          <w:iCs/>
          <w:lang w:val="fr-CA"/>
        </w:rPr>
        <w:t xml:space="preserve"> </w:t>
      </w:r>
      <w:r w:rsidRPr="00ED2722">
        <w:rPr>
          <w:rFonts w:cs="Times New Roman"/>
          <w:i/>
          <w:lang w:val="fr-CA"/>
        </w:rPr>
        <w:t>c.</w:t>
      </w:r>
      <w:r w:rsidRPr="00ED2722">
        <w:rPr>
          <w:rFonts w:cs="Times New Roman"/>
          <w:lang w:val="fr-CA"/>
        </w:rPr>
        <w:t xml:space="preserve"> </w:t>
      </w:r>
      <w:r w:rsidRPr="00ED2722">
        <w:rPr>
          <w:rFonts w:cs="Times New Roman"/>
          <w:i/>
          <w:iCs/>
          <w:lang w:val="fr-CA"/>
        </w:rPr>
        <w:t>Canada</w:t>
      </w:r>
      <w:r w:rsidRPr="00ED2722">
        <w:rPr>
          <w:rFonts w:cs="Times New Roman"/>
          <w:iCs/>
          <w:lang w:val="fr-CA"/>
        </w:rPr>
        <w:t>,</w:t>
      </w:r>
      <w:r w:rsidRPr="00ED2722">
        <w:rPr>
          <w:rFonts w:cs="Times New Roman"/>
          <w:i/>
          <w:iCs/>
          <w:lang w:val="fr-CA"/>
        </w:rPr>
        <w:t xml:space="preserve"> </w:t>
      </w:r>
      <w:r w:rsidRPr="00ED2722">
        <w:rPr>
          <w:rFonts w:cs="Times New Roman"/>
          <w:lang w:val="fr-CA"/>
        </w:rPr>
        <w:t xml:space="preserve">[1999] 3 R.C.S. 622, requièrent l’application de la méthode transactionnelle, parfois appelée méthode transaction par transaction, pour déterminer le prix de transfert raisonnable au sens du par. 69(2).  Devant la Cour de l’impôt, le ministre a expliqué que, selon la méthode transaction par transaction, </w:t>
      </w:r>
      <w:r w:rsidRPr="00ED2722">
        <w:rPr>
          <w:rFonts w:cs="Times New Roman"/>
          <w:szCs w:val="24"/>
          <w:lang w:val="fr-FR"/>
        </w:rPr>
        <w:t xml:space="preserve">l’opération en litige doit être examinée indépendamment des circonstances de l’affaire, d’autres opérations ou d’autres réalités.  Devant notre Cour, il a fait valoir que </w:t>
      </w:r>
      <w:r w:rsidRPr="00ED2722">
        <w:rPr>
          <w:rFonts w:cs="Times New Roman"/>
          <w:smallCaps/>
          <w:szCs w:val="24"/>
          <w:lang w:val="fr-FR"/>
        </w:rPr>
        <w:t>[traduction]</w:t>
      </w:r>
      <w:r w:rsidRPr="00ED2722">
        <w:rPr>
          <w:rFonts w:cs="Times New Roman"/>
          <w:szCs w:val="24"/>
          <w:lang w:val="fr-FR"/>
        </w:rPr>
        <w:t xml:space="preserve"> « chaque transfert doit être considéré comme une opération distincte »</w:t>
      </w:r>
      <w:r w:rsidRPr="00ED2722">
        <w:rPr>
          <w:rFonts w:cs="Times New Roman"/>
          <w:lang w:val="fr-CA"/>
        </w:rPr>
        <w:t xml:space="preserve"> (</w:t>
      </w:r>
      <w:proofErr w:type="gramStart"/>
      <w:r w:rsidR="000A3E35" w:rsidRPr="00ED2722">
        <w:rPr>
          <w:rFonts w:cs="Times New Roman"/>
          <w:lang w:val="fr-CA"/>
        </w:rPr>
        <w:t>m.a.</w:t>
      </w:r>
      <w:r w:rsidRPr="00ED2722">
        <w:rPr>
          <w:rFonts w:cs="Times New Roman"/>
          <w:lang w:val="fr-CA"/>
        </w:rPr>
        <w:t>,</w:t>
      </w:r>
      <w:proofErr w:type="gramEnd"/>
      <w:r w:rsidRPr="00ED2722">
        <w:rPr>
          <w:rFonts w:cs="Times New Roman"/>
          <w:lang w:val="fr-CA"/>
        </w:rPr>
        <w:t xml:space="preserve"> par. 46).  En conséquence, le contrat de licence ne serait pas pertinent.</w:t>
      </w:r>
    </w:p>
    <w:p w:rsidR="006B671D" w:rsidRPr="00ED2722" w:rsidRDefault="006B671D" w:rsidP="006B671D">
      <w:pPr>
        <w:pStyle w:val="TitleTitre-AltT"/>
        <w:keepNext/>
        <w:tabs>
          <w:tab w:val="clear" w:pos="360"/>
          <w:tab w:val="left" w:pos="1170"/>
          <w:tab w:val="left" w:pos="1620"/>
        </w:tabs>
        <w:ind w:left="1166" w:hanging="1166"/>
        <w:rPr>
          <w:rFonts w:cs="Times New Roman"/>
          <w:u w:val="single"/>
          <w:lang w:val="fr-CA"/>
        </w:rPr>
      </w:pPr>
      <w:r w:rsidRPr="00ED2722">
        <w:rPr>
          <w:rFonts w:cs="Times New Roman"/>
          <w:lang w:val="fr-CA"/>
        </w:rPr>
        <w:tab/>
        <w:t>(1)</w:t>
      </w:r>
      <w:r w:rsidRPr="00ED2722">
        <w:rPr>
          <w:rFonts w:cs="Times New Roman"/>
          <w:lang w:val="fr-CA"/>
        </w:rPr>
        <w:tab/>
      </w:r>
      <w:r w:rsidRPr="00ED2722">
        <w:rPr>
          <w:rFonts w:cs="Times New Roman"/>
          <w:i/>
          <w:u w:val="single"/>
          <w:lang w:val="fr-CA"/>
        </w:rPr>
        <w:t>Singleton</w:t>
      </w:r>
    </w:p>
    <w:p w:rsidR="006B671D" w:rsidRPr="00ED2722" w:rsidRDefault="006B671D" w:rsidP="006B671D">
      <w:pPr>
        <w:pStyle w:val="ParaNoNdepar-AltN"/>
        <w:rPr>
          <w:rFonts w:cs="Times New Roman"/>
          <w:lang w:val="fr-CA"/>
        </w:rPr>
      </w:pPr>
      <w:r w:rsidRPr="00ED2722">
        <w:rPr>
          <w:rFonts w:cs="Times New Roman"/>
          <w:lang w:val="fr-CA"/>
        </w:rPr>
        <w:t xml:space="preserve">Le ministre soutient que les arrêts </w:t>
      </w:r>
      <w:r w:rsidRPr="00ED2722">
        <w:rPr>
          <w:rFonts w:cs="Times New Roman"/>
          <w:i/>
          <w:lang w:val="fr-CA"/>
        </w:rPr>
        <w:t>Singleton</w:t>
      </w:r>
      <w:r w:rsidRPr="00ED2722">
        <w:rPr>
          <w:rFonts w:cs="Times New Roman"/>
          <w:lang w:val="fr-CA"/>
        </w:rPr>
        <w:t xml:space="preserve"> et </w:t>
      </w:r>
      <w:r w:rsidRPr="00ED2722">
        <w:rPr>
          <w:rFonts w:cs="Times New Roman"/>
          <w:i/>
          <w:lang w:val="fr-CA"/>
        </w:rPr>
        <w:t>Shell</w:t>
      </w:r>
      <w:r w:rsidRPr="00ED2722">
        <w:rPr>
          <w:rFonts w:cs="Times New Roman"/>
          <w:lang w:val="fr-CA"/>
        </w:rPr>
        <w:t xml:space="preserve">, qui portaient sur l’application du </w:t>
      </w:r>
      <w:proofErr w:type="spellStart"/>
      <w:r w:rsidRPr="00ED2722">
        <w:rPr>
          <w:rFonts w:cs="Times New Roman"/>
          <w:lang w:val="fr-CA"/>
        </w:rPr>
        <w:t>sous</w:t>
      </w:r>
      <w:r w:rsidRPr="00ED2722">
        <w:rPr>
          <w:rFonts w:cs="Times New Roman"/>
          <w:lang w:val="fr-CA"/>
        </w:rPr>
        <w:noBreakHyphen/>
        <w:t>al</w:t>
      </w:r>
      <w:proofErr w:type="spellEnd"/>
      <w:r w:rsidRPr="00ED2722">
        <w:rPr>
          <w:rFonts w:cs="Times New Roman"/>
          <w:lang w:val="fr-CA"/>
        </w:rPr>
        <w:t>. 20(1)</w:t>
      </w:r>
      <w:r w:rsidRPr="00ED2722">
        <w:rPr>
          <w:rFonts w:cs="Times New Roman"/>
          <w:i/>
          <w:lang w:val="fr-CA"/>
        </w:rPr>
        <w:t>c</w:t>
      </w:r>
      <w:r w:rsidRPr="00ED2722">
        <w:rPr>
          <w:rFonts w:cs="Times New Roman"/>
          <w:lang w:val="fr-CA"/>
        </w:rPr>
        <w:t xml:space="preserve">)(i) de la Loi, permettent d’affirmer que le par. 69(2) exige l’application de la méthode transaction par transaction.  L’affaire </w:t>
      </w:r>
      <w:r w:rsidRPr="00ED2722">
        <w:rPr>
          <w:rFonts w:cs="Times New Roman"/>
          <w:i/>
          <w:lang w:val="fr-CA"/>
        </w:rPr>
        <w:t>Singleton</w:t>
      </w:r>
      <w:r w:rsidRPr="00ED2722">
        <w:rPr>
          <w:rFonts w:cs="Times New Roman"/>
          <w:lang w:val="fr-CA"/>
        </w:rPr>
        <w:t xml:space="preserve"> concernait la possibilité pour un contribuable de déduire de son revenu, en vertu du </w:t>
      </w:r>
      <w:proofErr w:type="spellStart"/>
      <w:r w:rsidRPr="00ED2722">
        <w:rPr>
          <w:rFonts w:cs="Times New Roman"/>
          <w:lang w:val="fr-CA"/>
        </w:rPr>
        <w:t>sous</w:t>
      </w:r>
      <w:r w:rsidRPr="00ED2722">
        <w:rPr>
          <w:rFonts w:cs="Times New Roman"/>
          <w:lang w:val="fr-CA"/>
        </w:rPr>
        <w:noBreakHyphen/>
        <w:t>al</w:t>
      </w:r>
      <w:proofErr w:type="spellEnd"/>
      <w:r w:rsidRPr="00ED2722">
        <w:rPr>
          <w:rFonts w:cs="Times New Roman"/>
          <w:lang w:val="fr-CA"/>
        </w:rPr>
        <w:t>. 20(1)</w:t>
      </w:r>
      <w:r w:rsidRPr="00ED2722">
        <w:rPr>
          <w:rFonts w:cs="Times New Roman"/>
          <w:i/>
          <w:lang w:val="fr-CA"/>
        </w:rPr>
        <w:t>c</w:t>
      </w:r>
      <w:r w:rsidRPr="00ED2722">
        <w:rPr>
          <w:rFonts w:cs="Times New Roman"/>
          <w:lang w:val="fr-CA"/>
        </w:rPr>
        <w:t xml:space="preserve">)(i) de la </w:t>
      </w:r>
      <w:r w:rsidRPr="00ED2722">
        <w:rPr>
          <w:rFonts w:cs="Times New Roman"/>
          <w:i/>
          <w:lang w:val="fr-CA"/>
        </w:rPr>
        <w:t>Loi de l’impôt sur le revenu</w:t>
      </w:r>
      <w:r w:rsidRPr="00ED2722">
        <w:rPr>
          <w:rFonts w:cs="Times New Roman"/>
          <w:lang w:val="fr-CA"/>
        </w:rPr>
        <w:t xml:space="preserve">, des intérêts payés et payables sur de l’argent emprunté.  Le contribuable en question avait </w:t>
      </w:r>
      <w:r w:rsidRPr="00ED2722">
        <w:rPr>
          <w:rFonts w:cs="Times New Roman"/>
          <w:lang w:val="fr-FR"/>
        </w:rPr>
        <w:t xml:space="preserve">utilisé une partie des fonds du compte de capital qu’il possédait dans son cabinet d’avocats pour financer l’achat d’une maison.  Il avait </w:t>
      </w:r>
      <w:r w:rsidRPr="00ED2722">
        <w:rPr>
          <w:rFonts w:cs="Times New Roman"/>
          <w:iCs/>
          <w:lang w:val="fr-FR"/>
        </w:rPr>
        <w:t xml:space="preserve">par la suite emprunté de l’argent pour remplacer les sommes qu’il avait retirées de son compte de capital.  La seule question en litige était celle de savoir si </w:t>
      </w:r>
      <w:r w:rsidRPr="00ED2722">
        <w:rPr>
          <w:rFonts w:cs="Times New Roman"/>
          <w:lang w:val="fr-FR"/>
        </w:rPr>
        <w:t xml:space="preserve">l’argent emprunté avait été « utilisé en vue de tirer un revenu ». </w:t>
      </w:r>
      <w:r w:rsidRPr="00ED2722">
        <w:rPr>
          <w:rFonts w:cs="Times New Roman"/>
          <w:lang w:val="fr-FR"/>
        </w:rPr>
        <w:lastRenderedPageBreak/>
        <w:t>Notre Cour a conclu que l’argent emprunté avait été utilisé pour être investi dans le cabinet d’avocats en vue de tirer un revenu et que, par conséquent, les intérêts payables sur ce prêt étaient déductibles sur le plan fiscal.  Le fait que le contribuable avait contracté l’emprunt en vue d’</w:t>
      </w:r>
      <w:r w:rsidRPr="00ED2722">
        <w:rPr>
          <w:rFonts w:cs="Times New Roman"/>
          <w:lang w:val="fr-CA"/>
        </w:rPr>
        <w:t xml:space="preserve">utiliser </w:t>
      </w:r>
      <w:r w:rsidRPr="00ED2722">
        <w:rPr>
          <w:rFonts w:cs="Times New Roman"/>
          <w:iCs/>
          <w:lang w:val="fr-FR"/>
        </w:rPr>
        <w:t xml:space="preserve">son avoir dans le cabinet d’avocats pour acheter une maison n’était pas pertinent pour déterminer l’utilisation de l’argent emprunté.  Il serait erroné, pour l’application </w:t>
      </w:r>
      <w:r w:rsidRPr="00ED2722">
        <w:rPr>
          <w:rFonts w:cs="Times New Roman"/>
          <w:lang w:val="fr-CA"/>
        </w:rPr>
        <w:t xml:space="preserve">du </w:t>
      </w:r>
      <w:proofErr w:type="spellStart"/>
      <w:r w:rsidRPr="00ED2722">
        <w:rPr>
          <w:rFonts w:cs="Times New Roman"/>
          <w:lang w:val="fr-CA"/>
        </w:rPr>
        <w:t>sous</w:t>
      </w:r>
      <w:r w:rsidRPr="00ED2722">
        <w:rPr>
          <w:rFonts w:cs="Times New Roman"/>
          <w:lang w:val="fr-CA"/>
        </w:rPr>
        <w:noBreakHyphen/>
        <w:t>al</w:t>
      </w:r>
      <w:proofErr w:type="spellEnd"/>
      <w:r w:rsidRPr="00ED2722">
        <w:rPr>
          <w:rFonts w:cs="Times New Roman"/>
          <w:lang w:val="fr-CA"/>
        </w:rPr>
        <w:t>. 20(1)</w:t>
      </w:r>
      <w:r w:rsidRPr="00ED2722">
        <w:rPr>
          <w:rFonts w:cs="Times New Roman"/>
          <w:i/>
          <w:lang w:val="fr-CA"/>
        </w:rPr>
        <w:t>c</w:t>
      </w:r>
      <w:r w:rsidRPr="00ED2722">
        <w:rPr>
          <w:rFonts w:cs="Times New Roman"/>
          <w:lang w:val="fr-CA"/>
        </w:rPr>
        <w:t xml:space="preserve">)(i), de considérer comme un tout l’opération par laquelle le contribuable avait retiré de l’argent qu’il possédait dans le cabinet d’avocats pour acheter une maison et le prêt qu’il avait contracté pour renflouer le compte en capital de ce même cabinet.  Ce serait l’obligation de considérer les deux opérations séparément qui a amené le juge en chef adjoint </w:t>
      </w:r>
      <w:proofErr w:type="spellStart"/>
      <w:r w:rsidRPr="00ED2722">
        <w:rPr>
          <w:rFonts w:cs="Times New Roman"/>
          <w:lang w:val="fr-CA"/>
        </w:rPr>
        <w:t>Rip</w:t>
      </w:r>
      <w:proofErr w:type="spellEnd"/>
      <w:r w:rsidRPr="00ED2722">
        <w:rPr>
          <w:rFonts w:cs="Times New Roman"/>
          <w:lang w:val="fr-CA"/>
        </w:rPr>
        <w:t xml:space="preserve"> à déclarer, au par. 78, que le par. 69(2) commandait que le contrat de fourniture et le contrat de licence soient considérés séparément. </w:t>
      </w:r>
    </w:p>
    <w:p w:rsidR="006B671D" w:rsidRPr="00ED2722" w:rsidRDefault="006B671D" w:rsidP="006B671D">
      <w:pPr>
        <w:pStyle w:val="ParaNoNdepar-AltN"/>
        <w:rPr>
          <w:rFonts w:cs="Times New Roman"/>
          <w:lang w:val="fr-CA"/>
        </w:rPr>
      </w:pPr>
      <w:r w:rsidRPr="00ED2722">
        <w:rPr>
          <w:rFonts w:cs="Times New Roman"/>
          <w:lang w:val="fr-CA"/>
        </w:rPr>
        <w:t xml:space="preserve">En toute déférence, le raisonnement suivi par le juge de la Cour de l’impôt et l’argument présenté par le ministre font abstraction de la différence qui existe entre le </w:t>
      </w:r>
      <w:proofErr w:type="spellStart"/>
      <w:r w:rsidRPr="00ED2722">
        <w:rPr>
          <w:rFonts w:cs="Times New Roman"/>
          <w:lang w:val="fr-CA"/>
        </w:rPr>
        <w:t>sous</w:t>
      </w:r>
      <w:r w:rsidRPr="00ED2722">
        <w:rPr>
          <w:rFonts w:cs="Times New Roman"/>
          <w:lang w:val="fr-CA"/>
        </w:rPr>
        <w:noBreakHyphen/>
        <w:t>al</w:t>
      </w:r>
      <w:proofErr w:type="spellEnd"/>
      <w:r w:rsidRPr="00ED2722">
        <w:rPr>
          <w:rFonts w:cs="Times New Roman"/>
          <w:lang w:val="fr-CA"/>
        </w:rPr>
        <w:t>. 20(1)</w:t>
      </w:r>
      <w:r w:rsidRPr="00ED2722">
        <w:rPr>
          <w:rFonts w:cs="Times New Roman"/>
          <w:i/>
          <w:lang w:val="fr-CA"/>
        </w:rPr>
        <w:t>c</w:t>
      </w:r>
      <w:r w:rsidRPr="00ED2722">
        <w:rPr>
          <w:rFonts w:cs="Times New Roman"/>
          <w:lang w:val="fr-CA"/>
        </w:rPr>
        <w:t xml:space="preserve">)(i) et le par. 69(2).  La première disposition n’a pas pour effet d’autoriser le tribunal à s’interroger sur autre chose que l’utilisation qui a été faite de l’argent emprunté.  La question de fait à trancher consiste simplement à se demander si l’argent emprunté a servi ou non à tirer un revenu. </w:t>
      </w:r>
    </w:p>
    <w:p w:rsidR="006B671D" w:rsidRPr="00ED2722" w:rsidRDefault="006B671D" w:rsidP="006B671D">
      <w:pPr>
        <w:pStyle w:val="ParaNoNdepar-AltN"/>
        <w:rPr>
          <w:rFonts w:cs="Times New Roman"/>
          <w:lang w:val="fr-CA"/>
        </w:rPr>
      </w:pPr>
      <w:r w:rsidRPr="00ED2722">
        <w:rPr>
          <w:rFonts w:cs="Times New Roman"/>
          <w:lang w:val="fr-CA"/>
        </w:rPr>
        <w:t xml:space="preserve">La question à laquelle il faut répondre pour l’application du </w:t>
      </w:r>
      <w:proofErr w:type="spellStart"/>
      <w:r w:rsidRPr="00ED2722">
        <w:rPr>
          <w:rFonts w:cs="Times New Roman"/>
          <w:lang w:val="fr-CA"/>
        </w:rPr>
        <w:t>sous</w:t>
      </w:r>
      <w:r w:rsidRPr="00ED2722">
        <w:rPr>
          <w:rFonts w:cs="Times New Roman"/>
          <w:lang w:val="fr-CA"/>
        </w:rPr>
        <w:noBreakHyphen/>
        <w:t>al</w:t>
      </w:r>
      <w:proofErr w:type="spellEnd"/>
      <w:r w:rsidRPr="00ED2722">
        <w:rPr>
          <w:rFonts w:cs="Times New Roman"/>
          <w:lang w:val="fr-CA"/>
        </w:rPr>
        <w:t>. 20(1)</w:t>
      </w:r>
      <w:r w:rsidRPr="00ED2722">
        <w:rPr>
          <w:rFonts w:cs="Times New Roman"/>
          <w:i/>
          <w:lang w:val="fr-CA"/>
        </w:rPr>
        <w:t>c</w:t>
      </w:r>
      <w:r w:rsidRPr="00ED2722">
        <w:rPr>
          <w:rFonts w:cs="Times New Roman"/>
          <w:lang w:val="fr-CA"/>
        </w:rPr>
        <w:t xml:space="preserve">)(i) n’est pas de savoir s’il est déraisonnable de réclamer la déduction d’intérêts; cette disposition n’exige pas non plus que le tribunal compare des </w:t>
      </w:r>
      <w:r w:rsidRPr="00ED2722">
        <w:rPr>
          <w:rFonts w:cs="Times New Roman"/>
          <w:lang w:val="fr-CA"/>
        </w:rPr>
        <w:lastRenderedPageBreak/>
        <w:t xml:space="preserve">opérations pour décider si la déduction est raisonnable.  En revanche, le par. 69(2) oblige le tribunal à déterminer si le prix de transfert était supérieur au montant qui aurait été raisonnable dans les circonstances si les parties n’avaient eu aucun lien de dépendance entre elles.  S’il existe des opérations autres que l’achat qui sont pertinentes pour trancher cette question, elles ne doivent pas être négligées. </w:t>
      </w:r>
    </w:p>
    <w:p w:rsidR="006B671D" w:rsidRPr="00ED2722" w:rsidRDefault="006B671D" w:rsidP="006B671D">
      <w:pPr>
        <w:pStyle w:val="TitleTitre-AltT"/>
        <w:keepNext/>
        <w:tabs>
          <w:tab w:val="clear" w:pos="360"/>
          <w:tab w:val="left" w:pos="1170"/>
        </w:tabs>
        <w:ind w:left="1620" w:hanging="1620"/>
        <w:rPr>
          <w:rFonts w:cs="Times New Roman"/>
          <w:u w:val="single"/>
          <w:lang w:val="en-US"/>
        </w:rPr>
      </w:pPr>
      <w:r w:rsidRPr="00ED2722">
        <w:rPr>
          <w:rFonts w:cs="Times New Roman"/>
          <w:lang w:val="fr-CA"/>
        </w:rPr>
        <w:tab/>
      </w:r>
      <w:r w:rsidRPr="00ED2722">
        <w:rPr>
          <w:rFonts w:cs="Times New Roman"/>
          <w:lang w:val="en-US"/>
        </w:rPr>
        <w:t>(2)</w:t>
      </w:r>
      <w:r w:rsidRPr="00ED2722">
        <w:rPr>
          <w:rFonts w:cs="Times New Roman"/>
          <w:lang w:val="en-US"/>
        </w:rPr>
        <w:tab/>
      </w:r>
      <w:r w:rsidRPr="00ED2722">
        <w:rPr>
          <w:rFonts w:cs="Times New Roman"/>
          <w:i/>
          <w:u w:val="single"/>
          <w:lang w:val="en-US"/>
        </w:rPr>
        <w:t>Shell</w:t>
      </w:r>
    </w:p>
    <w:p w:rsidR="006B671D" w:rsidRPr="00ED2722" w:rsidRDefault="006B671D" w:rsidP="006B671D">
      <w:pPr>
        <w:pStyle w:val="ParaNoNdepar-AltN"/>
        <w:rPr>
          <w:rFonts w:cs="Times New Roman"/>
          <w:szCs w:val="24"/>
          <w:lang w:val="fr-CA"/>
        </w:rPr>
      </w:pPr>
      <w:r w:rsidRPr="00ED2722">
        <w:rPr>
          <w:rFonts w:cs="Times New Roman"/>
          <w:lang w:val="fr-CA"/>
        </w:rPr>
        <w:t xml:space="preserve">Dans l’affaire </w:t>
      </w:r>
      <w:r w:rsidRPr="00ED2722">
        <w:rPr>
          <w:rFonts w:cs="Times New Roman"/>
          <w:i/>
          <w:lang w:val="fr-CA"/>
        </w:rPr>
        <w:t>Shell</w:t>
      </w:r>
      <w:r w:rsidRPr="00ED2722">
        <w:rPr>
          <w:rFonts w:cs="Times New Roman"/>
          <w:lang w:val="fr-CA"/>
        </w:rPr>
        <w:t>, le l</w:t>
      </w:r>
      <w:r w:rsidR="00E5456B" w:rsidRPr="00ED2722">
        <w:rPr>
          <w:rFonts w:cs="Times New Roman"/>
          <w:lang w:val="fr-CA"/>
        </w:rPr>
        <w:t>itige portait aussi sur le sous-</w:t>
      </w:r>
      <w:r w:rsidRPr="00ED2722">
        <w:rPr>
          <w:rFonts w:cs="Times New Roman"/>
          <w:lang w:val="fr-CA"/>
        </w:rPr>
        <w:t>al</w:t>
      </w:r>
      <w:r w:rsidR="00E5456B" w:rsidRPr="00ED2722">
        <w:rPr>
          <w:rFonts w:cs="Times New Roman"/>
          <w:lang w:val="fr-CA"/>
        </w:rPr>
        <w:t xml:space="preserve">. </w:t>
      </w:r>
      <w:r w:rsidRPr="00ED2722">
        <w:rPr>
          <w:rFonts w:cs="Times New Roman"/>
          <w:lang w:val="fr-CA"/>
        </w:rPr>
        <w:t>20(1)</w:t>
      </w:r>
      <w:r w:rsidRPr="00ED2722">
        <w:rPr>
          <w:rFonts w:cs="Times New Roman"/>
          <w:i/>
          <w:lang w:val="fr-CA"/>
        </w:rPr>
        <w:t>c</w:t>
      </w:r>
      <w:r w:rsidRPr="00ED2722">
        <w:rPr>
          <w:rFonts w:cs="Times New Roman"/>
          <w:lang w:val="fr-CA"/>
        </w:rPr>
        <w:t xml:space="preserve">)(i).  Là encore, il s’agissait de déterminer si l’argent emprunté avait servi à tirer un revenu.  Le contribuable </w:t>
      </w:r>
      <w:r w:rsidRPr="00ED2722">
        <w:rPr>
          <w:rFonts w:cs="Times New Roman"/>
          <w:lang w:val="fr-FR"/>
        </w:rPr>
        <w:t xml:space="preserve">avait emprunté 150 millions de dollars en devises de la </w:t>
      </w:r>
      <w:proofErr w:type="spellStart"/>
      <w:r w:rsidRPr="00ED2722">
        <w:rPr>
          <w:rFonts w:cs="Times New Roman"/>
          <w:lang w:val="fr-FR"/>
        </w:rPr>
        <w:t>Nouvelle</w:t>
      </w:r>
      <w:r w:rsidRPr="00ED2722">
        <w:rPr>
          <w:rFonts w:cs="Times New Roman"/>
          <w:lang w:val="fr-FR"/>
        </w:rPr>
        <w:noBreakHyphen/>
        <w:t>Zélande</w:t>
      </w:r>
      <w:proofErr w:type="spellEnd"/>
      <w:r w:rsidRPr="00ED2722">
        <w:rPr>
          <w:rFonts w:cs="Times New Roman"/>
          <w:lang w:val="fr-FR"/>
        </w:rPr>
        <w:t xml:space="preserve"> à un taux d’intérêt de 15,4 p. 100, puis converti ces fonds en devises américaines, qui avaient ensuite été utilisées à des fins commerciales. Par une série d’opérations en devises étrangères tablant sur la dépréciation de la devise </w:t>
      </w:r>
      <w:proofErr w:type="spellStart"/>
      <w:r w:rsidRPr="00ED2722">
        <w:rPr>
          <w:rFonts w:cs="Times New Roman"/>
          <w:lang w:val="fr-FR"/>
        </w:rPr>
        <w:t>néo</w:t>
      </w:r>
      <w:r w:rsidRPr="00ED2722">
        <w:rPr>
          <w:rFonts w:cs="Times New Roman"/>
          <w:lang w:val="fr-FR"/>
        </w:rPr>
        <w:noBreakHyphen/>
        <w:t>zélandaise</w:t>
      </w:r>
      <w:proofErr w:type="spellEnd"/>
      <w:r w:rsidRPr="00ED2722">
        <w:rPr>
          <w:rFonts w:cs="Times New Roman"/>
          <w:lang w:val="fr-FR"/>
        </w:rPr>
        <w:t xml:space="preserve"> pendant la durée du prêt, </w:t>
      </w:r>
      <w:r w:rsidRPr="00ED2722">
        <w:rPr>
          <w:rFonts w:cs="Times New Roman"/>
          <w:szCs w:val="24"/>
          <w:lang w:val="fr-CA"/>
        </w:rPr>
        <w:t>Shell avait réussi à ramener son taux d’intérêt réel à 9,1 p. 100, tout en continuant à réclamer une déduction d’impôt sur le revenu en fonction du taux d’intérêt de 15,4 p. 100 applicable à l’opération initiale.</w:t>
      </w:r>
    </w:p>
    <w:p w:rsidR="006B671D" w:rsidRPr="00ED2722" w:rsidRDefault="006B671D" w:rsidP="006B671D">
      <w:pPr>
        <w:pStyle w:val="ParaNoNdepar-AltN"/>
        <w:rPr>
          <w:rFonts w:cs="Times New Roman"/>
          <w:lang w:val="fr-CA"/>
        </w:rPr>
      </w:pPr>
      <w:r w:rsidRPr="00ED2722">
        <w:rPr>
          <w:rFonts w:cs="Times New Roman"/>
          <w:lang w:val="fr-CA"/>
        </w:rPr>
        <w:t xml:space="preserve">Dans </w:t>
      </w:r>
      <w:r w:rsidRPr="00ED2722">
        <w:rPr>
          <w:rFonts w:cs="Times New Roman"/>
          <w:i/>
          <w:lang w:val="fr-CA"/>
        </w:rPr>
        <w:t>Shell</w:t>
      </w:r>
      <w:r w:rsidRPr="00ED2722">
        <w:rPr>
          <w:rFonts w:cs="Times New Roman"/>
          <w:lang w:val="fr-CA"/>
        </w:rPr>
        <w:t xml:space="preserve">, tout comme dans </w:t>
      </w:r>
      <w:r w:rsidRPr="00ED2722">
        <w:rPr>
          <w:rFonts w:cs="Times New Roman"/>
          <w:i/>
          <w:lang w:val="fr-CA"/>
        </w:rPr>
        <w:t>Singleton</w:t>
      </w:r>
      <w:r w:rsidRPr="00ED2722">
        <w:rPr>
          <w:rFonts w:cs="Times New Roman"/>
          <w:lang w:val="fr-CA"/>
        </w:rPr>
        <w:t xml:space="preserve">, il s’agissait de décider si, à la suite de sa conversion en dollars américains, l’argent emprunté pouvait à juste titre être considéré comme ayant été utilisé en vue de tirer un revenu.  La Cour a conclu qu’il importait peu que les fonds aient été convertis en devises américaines dans le cadre d’un montage fiscal complexe.  Le ministre </w:t>
      </w:r>
      <w:r w:rsidRPr="00ED2722">
        <w:rPr>
          <w:rFonts w:cs="Times New Roman"/>
          <w:lang w:val="fr-FR"/>
        </w:rPr>
        <w:t>ne pouvait procéder à une nouvelle qualification des rapports juridiques véritables établis par le contribuable</w:t>
      </w:r>
      <w:r w:rsidRPr="00ED2722">
        <w:rPr>
          <w:rFonts w:cs="Times New Roman"/>
          <w:lang w:val="fr-CA"/>
        </w:rPr>
        <w:t>.</w:t>
      </w:r>
    </w:p>
    <w:p w:rsidR="006B671D" w:rsidRPr="00ED2722" w:rsidRDefault="006B671D" w:rsidP="006B671D">
      <w:pPr>
        <w:pStyle w:val="ParaNoNdepar-AltN"/>
        <w:rPr>
          <w:rFonts w:cs="Times New Roman"/>
          <w:lang w:val="fr-CA"/>
        </w:rPr>
      </w:pPr>
      <w:r w:rsidRPr="00ED2722">
        <w:rPr>
          <w:rFonts w:cs="Times New Roman"/>
          <w:lang w:val="fr-CA"/>
        </w:rPr>
        <w:lastRenderedPageBreak/>
        <w:t xml:space="preserve">La situation est radicalement différente dans le cas du par. 69(2). Cette disposition requiert en effet que le prix établi lors d’une opération de transfert avec lien de dépendance soit fixé à nouveau, comme si cette opération avait été conclue par des parties sans lien de dépendance.  Si les circonstances l’exigent, d’autres opérations que les opérations d’achat pourraient devoir être prises en compte afin de déterminer si le prix effectivement payé était ou non supérieur au montant qui aurait été raisonnable si les parties n’avaient pas eu de lien de dépendance.  L’arrêt </w:t>
      </w:r>
      <w:r w:rsidRPr="00ED2722">
        <w:rPr>
          <w:rFonts w:cs="Times New Roman"/>
          <w:i/>
          <w:lang w:val="fr-CA"/>
        </w:rPr>
        <w:t>Shell</w:t>
      </w:r>
      <w:r w:rsidRPr="00ED2722">
        <w:rPr>
          <w:rFonts w:cs="Times New Roman"/>
          <w:lang w:val="fr-CA"/>
        </w:rPr>
        <w:t xml:space="preserve"> ne s’applique donc pas pour trancher un litige fondé sur le par. 69(2).</w:t>
      </w:r>
    </w:p>
    <w:p w:rsidR="006B671D" w:rsidRPr="00ED2722" w:rsidRDefault="00E5456B" w:rsidP="00E5456B">
      <w:pPr>
        <w:pStyle w:val="TitleTitre-AltT"/>
        <w:keepNext/>
        <w:tabs>
          <w:tab w:val="clear" w:pos="360"/>
          <w:tab w:val="left" w:pos="1170"/>
        </w:tabs>
        <w:ind w:left="1710" w:hanging="1710"/>
        <w:rPr>
          <w:rFonts w:cs="Times New Roman"/>
          <w:szCs w:val="24"/>
          <w:u w:val="single"/>
          <w:lang w:val="fr-CA"/>
        </w:rPr>
      </w:pPr>
      <w:r w:rsidRPr="00ED2722">
        <w:rPr>
          <w:rFonts w:cs="Times New Roman"/>
          <w:szCs w:val="24"/>
          <w:lang w:val="fr-CA"/>
        </w:rPr>
        <w:tab/>
      </w:r>
      <w:r w:rsidR="006B671D" w:rsidRPr="00ED2722">
        <w:rPr>
          <w:rFonts w:cs="Times New Roman"/>
          <w:szCs w:val="24"/>
          <w:lang w:val="fr-CA"/>
        </w:rPr>
        <w:t>(3)</w:t>
      </w:r>
      <w:r w:rsidR="006B671D" w:rsidRPr="00ED2722">
        <w:rPr>
          <w:rFonts w:cs="Times New Roman"/>
          <w:szCs w:val="24"/>
          <w:lang w:val="fr-CA"/>
        </w:rPr>
        <w:tab/>
      </w:r>
      <w:r w:rsidR="006B671D" w:rsidRPr="00ED2722">
        <w:rPr>
          <w:rFonts w:cs="Times New Roman"/>
          <w:szCs w:val="24"/>
          <w:u w:val="single"/>
          <w:lang w:val="fr-CA"/>
        </w:rPr>
        <w:t xml:space="preserve">Les </w:t>
      </w:r>
      <w:r w:rsidR="006B671D" w:rsidRPr="00ED2722">
        <w:rPr>
          <w:rFonts w:cs="Times New Roman"/>
          <w:i/>
          <w:szCs w:val="24"/>
          <w:u w:val="single"/>
          <w:lang w:val="fr-CA"/>
        </w:rPr>
        <w:t>Principes</w:t>
      </w:r>
      <w:r w:rsidR="006B671D" w:rsidRPr="00ED2722">
        <w:rPr>
          <w:rFonts w:cs="Times New Roman"/>
          <w:szCs w:val="24"/>
          <w:u w:val="single"/>
          <w:lang w:val="fr-CA"/>
        </w:rPr>
        <w:t xml:space="preserve"> n’exigent pas l’application de la méthode transaction par transaction</w:t>
      </w:r>
    </w:p>
    <w:p w:rsidR="006B671D" w:rsidRPr="00ED2722" w:rsidRDefault="006B671D" w:rsidP="006B671D">
      <w:pPr>
        <w:pStyle w:val="ParaNoNdepar-AltN"/>
        <w:rPr>
          <w:rFonts w:cs="Times New Roman"/>
          <w:lang w:val="fr-CA"/>
        </w:rPr>
      </w:pPr>
      <w:r w:rsidRPr="00ED2722">
        <w:rPr>
          <w:rFonts w:cs="Times New Roman"/>
          <w:lang w:val="fr-CA"/>
        </w:rPr>
        <w:t xml:space="preserve">Le ministre a aussi invoqué le passage suivant du par. 1.42 des </w:t>
      </w:r>
      <w:r w:rsidRPr="00ED2722">
        <w:rPr>
          <w:rFonts w:cs="Times New Roman"/>
          <w:i/>
          <w:lang w:val="fr-CA"/>
        </w:rPr>
        <w:t>Principes</w:t>
      </w:r>
      <w:r w:rsidRPr="00ED2722">
        <w:rPr>
          <w:rFonts w:cs="Times New Roman"/>
          <w:lang w:val="fr-CA"/>
        </w:rPr>
        <w:t xml:space="preserve"> de 1995 pour justifier le recours à la méthode transaction par transaction : </w:t>
      </w:r>
    </w:p>
    <w:p w:rsidR="006B671D" w:rsidRPr="00ED2722" w:rsidRDefault="006B671D" w:rsidP="00E5456B">
      <w:pPr>
        <w:pStyle w:val="Citation-AltC"/>
        <w:tabs>
          <w:tab w:val="left" w:pos="1620"/>
        </w:tabs>
        <w:ind w:left="1170" w:hanging="1166"/>
        <w:rPr>
          <w:lang w:val="fr-CA"/>
        </w:rPr>
      </w:pPr>
      <w:r w:rsidRPr="00ED2722">
        <w:rPr>
          <w:lang w:val="fr-CA"/>
        </w:rPr>
        <w:tab/>
      </w:r>
      <w:r w:rsidRPr="00ED2722">
        <w:rPr>
          <w:lang w:val="fr-CA"/>
        </w:rPr>
        <w:tab/>
        <w:t>En théorie, pour se rapprocher le plus possible de la juste valeur du marché, le principe de pleine concurrence doit être appliqué transaction par transaction.</w:t>
      </w:r>
    </w:p>
    <w:p w:rsidR="006B671D" w:rsidRPr="00ED2722" w:rsidRDefault="006B671D" w:rsidP="006B671D">
      <w:pPr>
        <w:pStyle w:val="ContinueParaSuitedupar-AltP"/>
        <w:rPr>
          <w:rFonts w:cs="Times New Roman"/>
          <w:lang w:val="fr-CA"/>
        </w:rPr>
      </w:pPr>
      <w:r w:rsidRPr="00ED2722">
        <w:rPr>
          <w:rFonts w:cs="Times New Roman"/>
          <w:lang w:val="fr-CA"/>
        </w:rPr>
        <w:t xml:space="preserve">Suivant le ministre, le par. 1.42 oblige le tribunal à se concentrer uniquement sur l’opération en cause, de sorte que le contrat de licence ne saurait influer sur l’évaluation du caractère raisonnable des prix payés pour la </w:t>
      </w:r>
      <w:proofErr w:type="spellStart"/>
      <w:r w:rsidRPr="00ED2722">
        <w:rPr>
          <w:rFonts w:cs="Times New Roman"/>
          <w:lang w:val="fr-CA"/>
        </w:rPr>
        <w:t>ranitidine</w:t>
      </w:r>
      <w:proofErr w:type="spellEnd"/>
      <w:r w:rsidRPr="00ED2722">
        <w:rPr>
          <w:rFonts w:cs="Times New Roman"/>
          <w:lang w:val="fr-CA"/>
        </w:rPr>
        <w:t xml:space="preserve"> aux termes du contrat de fourniture.</w:t>
      </w:r>
    </w:p>
    <w:p w:rsidR="006B671D" w:rsidRPr="00ED2722" w:rsidRDefault="006B671D" w:rsidP="006B671D">
      <w:pPr>
        <w:pStyle w:val="ParaNoNdepar-AltN"/>
        <w:rPr>
          <w:rFonts w:cs="Times New Roman"/>
          <w:lang w:val="fr-CA"/>
        </w:rPr>
      </w:pPr>
      <w:r w:rsidRPr="00ED2722">
        <w:rPr>
          <w:rFonts w:cs="Times New Roman"/>
          <w:lang w:val="fr-CA"/>
        </w:rPr>
        <w:lastRenderedPageBreak/>
        <w:t xml:space="preserve">Le paragraphe 1.42 n’est toutefois pas aussi restrictif que le prétend le ministre.  En effet, il prévoit également ce qui suit : </w:t>
      </w:r>
    </w:p>
    <w:p w:rsidR="006B671D" w:rsidRPr="00ED2722" w:rsidRDefault="006B671D" w:rsidP="006B671D">
      <w:pPr>
        <w:pStyle w:val="Citation-AltC"/>
        <w:ind w:hanging="1166"/>
        <w:rPr>
          <w:lang w:val="fr-CA"/>
        </w:rPr>
      </w:pPr>
      <w:r w:rsidRPr="00ED2722">
        <w:rPr>
          <w:lang w:val="fr-CA"/>
        </w:rPr>
        <w:tab/>
        <w:t>. . . bien souvent des transactions distinctes sont si étroitement liées ou continues qu’il n’est pas possible de se prononcer correctement sans les prendre en compte dans leur ensemble.</w:t>
      </w:r>
    </w:p>
    <w:p w:rsidR="006B671D" w:rsidRPr="00ED2722" w:rsidRDefault="006B671D" w:rsidP="006B671D">
      <w:pPr>
        <w:pStyle w:val="ContinueParaSuitedupar-AltP"/>
        <w:rPr>
          <w:rFonts w:cs="Times New Roman"/>
          <w:lang w:val="fr-CA"/>
        </w:rPr>
      </w:pPr>
      <w:r w:rsidRPr="00ED2722">
        <w:rPr>
          <w:rFonts w:cs="Times New Roman"/>
          <w:lang w:val="fr-CA"/>
        </w:rPr>
        <w:t xml:space="preserve">En conséquence, bien que la méthode transaction par transaction puisse en théorie être la méthode idéale, les </w:t>
      </w:r>
      <w:r w:rsidRPr="00ED2722">
        <w:rPr>
          <w:rFonts w:cs="Times New Roman"/>
          <w:i/>
          <w:lang w:val="fr-CA"/>
        </w:rPr>
        <w:t>Principes</w:t>
      </w:r>
      <w:r w:rsidRPr="00ED2722">
        <w:rPr>
          <w:rFonts w:cs="Times New Roman"/>
          <w:lang w:val="fr-CA"/>
        </w:rPr>
        <w:t xml:space="preserve"> de 1995 reconnaissent </w:t>
      </w:r>
      <w:proofErr w:type="spellStart"/>
      <w:r w:rsidRPr="00ED2722">
        <w:rPr>
          <w:rFonts w:cs="Times New Roman"/>
          <w:lang w:val="fr-CA"/>
        </w:rPr>
        <w:t>eux</w:t>
      </w:r>
      <w:r w:rsidRPr="00ED2722">
        <w:rPr>
          <w:rFonts w:cs="Times New Roman"/>
          <w:lang w:val="fr-CA"/>
        </w:rPr>
        <w:noBreakHyphen/>
        <w:t>mêmes</w:t>
      </w:r>
      <w:proofErr w:type="spellEnd"/>
      <w:r w:rsidRPr="00ED2722">
        <w:rPr>
          <w:rFonts w:cs="Times New Roman"/>
          <w:lang w:val="fr-CA"/>
        </w:rPr>
        <w:t xml:space="preserve"> qu’elle ne convient pas dans tous les cas.</w:t>
      </w:r>
    </w:p>
    <w:p w:rsidR="006B671D" w:rsidRPr="00ED2722" w:rsidRDefault="006B671D" w:rsidP="006B671D">
      <w:pPr>
        <w:pStyle w:val="ParaNoNdepar-AltN"/>
        <w:rPr>
          <w:rFonts w:cs="Times New Roman"/>
          <w:szCs w:val="24"/>
          <w:lang w:val="fr-CA"/>
        </w:rPr>
      </w:pPr>
      <w:r w:rsidRPr="00ED2722">
        <w:rPr>
          <w:rFonts w:cs="Times New Roman"/>
          <w:lang w:val="fr-CA"/>
        </w:rPr>
        <w:t xml:space="preserve">En outre, l’énoncé général figurant au par. 1.15 des </w:t>
      </w:r>
      <w:r w:rsidRPr="00ED2722">
        <w:rPr>
          <w:rFonts w:cs="Times New Roman"/>
          <w:i/>
          <w:lang w:val="fr-CA"/>
        </w:rPr>
        <w:t>Principes</w:t>
      </w:r>
      <w:r w:rsidRPr="00ED2722">
        <w:rPr>
          <w:rFonts w:cs="Times New Roman"/>
          <w:lang w:val="fr-CA"/>
        </w:rPr>
        <w:t xml:space="preserve"> de 1995 relativement au principe de pleine concurrence donne lui aussi des indications sur les situations dans lesquelles il convient de tenir compte d’opérations liées :</w:t>
      </w:r>
      <w:r w:rsidRPr="00ED2722">
        <w:rPr>
          <w:rFonts w:cs="Times New Roman"/>
          <w:szCs w:val="24"/>
          <w:lang w:val="fr-CA"/>
        </w:rPr>
        <w:t xml:space="preserve"> </w:t>
      </w:r>
    </w:p>
    <w:p w:rsidR="006B671D" w:rsidRPr="00ED2722" w:rsidRDefault="006B671D" w:rsidP="00E5456B">
      <w:pPr>
        <w:pStyle w:val="Citation-AltC"/>
        <w:tabs>
          <w:tab w:val="left" w:pos="1620"/>
        </w:tabs>
        <w:ind w:hanging="1166"/>
        <w:rPr>
          <w:lang w:val="fr-CA"/>
        </w:rPr>
      </w:pPr>
      <w:r w:rsidRPr="00ED2722">
        <w:rPr>
          <w:lang w:val="fr-CA"/>
        </w:rPr>
        <w:tab/>
      </w:r>
      <w:r w:rsidRPr="00ED2722">
        <w:rPr>
          <w:lang w:val="fr-CA"/>
        </w:rPr>
        <w:tab/>
        <w:t xml:space="preserve">L’application du principe de pleine concurrence se fonde généralement sur une comparaison entre les conditions pratiquées pour une transaction entre entreprises associées et celles pratiquées pour une transaction entre entreprises indépendantes.  </w:t>
      </w:r>
      <w:r w:rsidRPr="00ED2722">
        <w:rPr>
          <w:u w:val="single"/>
          <w:lang w:val="fr-CA"/>
        </w:rPr>
        <w:t>Pour qu’une telle comparaison soit significative, il faut que les caractéristiques économiques des situations prises en compte soient suffisamment comparables.</w:t>
      </w:r>
      <w:r w:rsidRPr="00ED2722">
        <w:rPr>
          <w:lang w:val="fr-CA"/>
        </w:rPr>
        <w:t xml:space="preserve">  Cela signifie qu’il ne doit pas y avoir de différences entre les situations comparées pouvant notablement influer sur l’élément examiné du point de vue méthodologique (par exemple le prix ou la marge bénéficiaire) ou si des correctifs suffisamment fiables peuvent être utilisés pour éliminer l’incidence de telles différences.  [Je souligne.]</w:t>
      </w:r>
    </w:p>
    <w:p w:rsidR="006B671D" w:rsidRPr="00ED2722" w:rsidRDefault="006B671D" w:rsidP="006B671D">
      <w:pPr>
        <w:pStyle w:val="ParaNoNdepar-AltN"/>
        <w:rPr>
          <w:rFonts w:cs="Times New Roman"/>
          <w:lang w:val="fr-CA"/>
        </w:rPr>
      </w:pPr>
      <w:r w:rsidRPr="00ED2722">
        <w:rPr>
          <w:rFonts w:cs="Times New Roman"/>
          <w:lang w:val="fr-CA"/>
        </w:rPr>
        <w:t xml:space="preserve">Par conséquent, suivant les </w:t>
      </w:r>
      <w:r w:rsidRPr="00ED2722">
        <w:rPr>
          <w:rFonts w:cs="Times New Roman"/>
          <w:i/>
          <w:lang w:val="fr-CA"/>
        </w:rPr>
        <w:t>Principes</w:t>
      </w:r>
      <w:r w:rsidRPr="00ED2722">
        <w:rPr>
          <w:rFonts w:cs="Times New Roman"/>
          <w:lang w:val="fr-CA"/>
        </w:rPr>
        <w:t xml:space="preserve"> de 1995, pour bien appliquer le principe de pleine concurrence, il est nécessaire de tenir compte des « caractéristiques économiques » des opérations effectuées avec ou sans lien de dépendance pour </w:t>
      </w:r>
      <w:r w:rsidRPr="00ED2722">
        <w:rPr>
          <w:rFonts w:cs="Times New Roman"/>
          <w:lang w:val="fr-CA"/>
        </w:rPr>
        <w:lastRenderedPageBreak/>
        <w:t>s’assurer que ces caractéristiques sont « suffisamment comparables ».  Lorsqu’il n’y a pas d’opération liée, ou lorsque les opérations liées ne sont pas pertinentes dans la détermination du caractère raisonnable du prix en cause, la méthode transaction par transaction peut convenir.  Toutefois, « les caractéristiques économiques des situations prises en compte » peuvent rendre nécessaire l’examen d’autres opérations ayant une incidence sur le prix de transfert en cause.  Dans chaque cas, il est nécessaire d’aborder cette question à la lumière des circonstances pertinentes.</w:t>
      </w:r>
    </w:p>
    <w:p w:rsidR="006B671D" w:rsidRPr="00ED2722" w:rsidRDefault="006B671D" w:rsidP="006B671D">
      <w:pPr>
        <w:pStyle w:val="TitleTitre-AltT"/>
        <w:keepNext/>
        <w:tabs>
          <w:tab w:val="clear" w:pos="360"/>
          <w:tab w:val="left" w:pos="450"/>
          <w:tab w:val="left" w:pos="1440"/>
        </w:tabs>
        <w:ind w:left="0" w:firstLine="0"/>
        <w:rPr>
          <w:rFonts w:cs="Times New Roman"/>
          <w:i/>
          <w:lang w:val="fr-CA"/>
        </w:rPr>
      </w:pPr>
      <w:r w:rsidRPr="00ED2722">
        <w:rPr>
          <w:rFonts w:cs="Times New Roman"/>
          <w:lang w:val="fr-CA"/>
        </w:rPr>
        <w:t>D.</w:t>
      </w:r>
      <w:r w:rsidRPr="00ED2722">
        <w:rPr>
          <w:rFonts w:cs="Times New Roman"/>
          <w:lang w:val="fr-CA"/>
        </w:rPr>
        <w:tab/>
      </w:r>
      <w:r w:rsidRPr="00ED2722">
        <w:rPr>
          <w:rFonts w:cs="Times New Roman"/>
          <w:i/>
          <w:lang w:val="fr-CA"/>
        </w:rPr>
        <w:t>Le contrat de licence est pertinent dans les circonstances</w:t>
      </w:r>
    </w:p>
    <w:p w:rsidR="006B671D" w:rsidRPr="00ED2722" w:rsidRDefault="006B671D" w:rsidP="006B671D">
      <w:pPr>
        <w:pStyle w:val="ParaNoNdepar-AltN"/>
        <w:rPr>
          <w:rFonts w:cs="Times New Roman"/>
          <w:lang w:val="fr-CA"/>
        </w:rPr>
      </w:pPr>
      <w:r w:rsidRPr="00ED2722">
        <w:rPr>
          <w:rFonts w:cs="Times New Roman"/>
          <w:lang w:val="fr-CA"/>
        </w:rPr>
        <w:t xml:space="preserve">En toute déférence et pour les motifs que je viens d’exposer, le juge en chef adjoint </w:t>
      </w:r>
      <w:proofErr w:type="spellStart"/>
      <w:r w:rsidRPr="00ED2722">
        <w:rPr>
          <w:rFonts w:cs="Times New Roman"/>
          <w:lang w:val="fr-CA"/>
        </w:rPr>
        <w:t>Rip</w:t>
      </w:r>
      <w:proofErr w:type="spellEnd"/>
      <w:r w:rsidRPr="00ED2722">
        <w:rPr>
          <w:rFonts w:cs="Times New Roman"/>
          <w:lang w:val="fr-CA"/>
        </w:rPr>
        <w:t xml:space="preserve"> a fait erreur en concluant qu’il n’était pas autorisé à tenir compte du contrat de licence.  Cependant, même si rien ne s’opposait à la prise en considération de ce contrat, il faut néanmoins se demander si le juge aurait dû le faire.</w:t>
      </w:r>
    </w:p>
    <w:p w:rsidR="006B671D" w:rsidRPr="00ED2722" w:rsidRDefault="006B671D" w:rsidP="006B671D">
      <w:pPr>
        <w:pStyle w:val="ParaNoNdepar-AltN"/>
        <w:rPr>
          <w:rFonts w:cs="Times New Roman"/>
          <w:lang w:val="fr-CA"/>
        </w:rPr>
      </w:pPr>
      <w:r w:rsidRPr="00ED2722">
        <w:rPr>
          <w:rFonts w:cs="Times New Roman"/>
          <w:lang w:val="fr-CA"/>
        </w:rPr>
        <w:t xml:space="preserve">Comme </w:t>
      </w:r>
      <w:r w:rsidRPr="00ED2722">
        <w:rPr>
          <w:rFonts w:cs="Times New Roman"/>
          <w:szCs w:val="24"/>
          <w:lang w:val="fr-CA"/>
        </w:rPr>
        <w:t>le par</w:t>
      </w:r>
      <w:r w:rsidR="00E5456B" w:rsidRPr="00ED2722">
        <w:rPr>
          <w:rFonts w:cs="Times New Roman"/>
          <w:szCs w:val="24"/>
          <w:lang w:val="fr-CA"/>
        </w:rPr>
        <w:t>.</w:t>
      </w:r>
      <w:r w:rsidRPr="00ED2722">
        <w:rPr>
          <w:rFonts w:cs="Times New Roman"/>
          <w:szCs w:val="24"/>
          <w:lang w:val="fr-CA"/>
        </w:rPr>
        <w:t xml:space="preserve"> 69(2) </w:t>
      </w:r>
      <w:r w:rsidRPr="00ED2722">
        <w:rPr>
          <w:rFonts w:cs="Times New Roman"/>
          <w:lang w:val="fr-CA"/>
        </w:rPr>
        <w:t xml:space="preserve">exige que le tribunal s’interroge sur le prix qui aurait été raisonnable dans les circonstances si le fournisseur </w:t>
      </w:r>
      <w:proofErr w:type="spellStart"/>
      <w:r w:rsidRPr="00ED2722">
        <w:rPr>
          <w:rFonts w:cs="Times New Roman"/>
          <w:szCs w:val="24"/>
          <w:lang w:val="fr-CA"/>
        </w:rPr>
        <w:t>non</w:t>
      </w:r>
      <w:r w:rsidRPr="00ED2722">
        <w:rPr>
          <w:rFonts w:cs="Times New Roman"/>
          <w:szCs w:val="24"/>
          <w:lang w:val="fr-CA"/>
        </w:rPr>
        <w:noBreakHyphen/>
        <w:t>résident</w:t>
      </w:r>
      <w:proofErr w:type="spellEnd"/>
      <w:r w:rsidRPr="00ED2722">
        <w:rPr>
          <w:rFonts w:cs="Times New Roman"/>
          <w:szCs w:val="24"/>
          <w:lang w:val="fr-CA"/>
        </w:rPr>
        <w:t xml:space="preserve"> et le contribuable canadien n’avaient eu aucun lien de dépendance entre eux, son application suppose nécessairement l’examen de</w:t>
      </w:r>
      <w:r w:rsidRPr="00ED2722">
        <w:rPr>
          <w:rFonts w:cs="Times New Roman"/>
          <w:lang w:val="fr-CA"/>
        </w:rPr>
        <w:t xml:space="preserve"> toutes les circonstances relatives au contribuable canadien qui sont pertinentes à l’égard du prix payé par ce dernier au fournisseur </w:t>
      </w:r>
      <w:proofErr w:type="spellStart"/>
      <w:r w:rsidRPr="00ED2722">
        <w:rPr>
          <w:rFonts w:cs="Times New Roman"/>
          <w:lang w:val="fr-CA"/>
        </w:rPr>
        <w:t>non</w:t>
      </w:r>
      <w:r w:rsidRPr="00ED2722">
        <w:rPr>
          <w:rFonts w:cs="Times New Roman"/>
          <w:lang w:val="fr-CA"/>
        </w:rPr>
        <w:noBreakHyphen/>
        <w:t>résident</w:t>
      </w:r>
      <w:proofErr w:type="spellEnd"/>
      <w:r w:rsidRPr="00ED2722">
        <w:rPr>
          <w:rFonts w:cs="Times New Roman"/>
          <w:lang w:val="fr-CA"/>
        </w:rPr>
        <w:t xml:space="preserve">.  Parmi ces circonstances, mentionnons les ententes susceptibles de conférer des droits et des avantages en sus du bien acheté, lorsque ces ententes sont liées au contrat d’achat.  L’objectif de cet examen consiste à déterminer ce qu’un acheteur sans lien de dépendance paierait à la fois pour le bien et pour de </w:t>
      </w:r>
      <w:r w:rsidRPr="00ED2722">
        <w:rPr>
          <w:rFonts w:cs="Times New Roman"/>
          <w:lang w:val="fr-CA"/>
        </w:rPr>
        <w:lastRenderedPageBreak/>
        <w:t>tels droits et avantages lorsqu’il existe un lien entre ceux-ci et le prix payé pour le bien en question.</w:t>
      </w:r>
    </w:p>
    <w:p w:rsidR="006B671D" w:rsidRPr="00ED2722" w:rsidRDefault="006B671D" w:rsidP="006B671D">
      <w:pPr>
        <w:pStyle w:val="ParaNoNdepar-AltN"/>
        <w:rPr>
          <w:rFonts w:cs="Times New Roman"/>
          <w:lang w:val="fr-CA"/>
        </w:rPr>
      </w:pPr>
      <w:r w:rsidRPr="00ED2722">
        <w:rPr>
          <w:rFonts w:cs="Times New Roman"/>
          <w:lang w:val="fr-CA"/>
        </w:rPr>
        <w:t xml:space="preserve">Glaxo Canada exerçait des activités de fabrication et de commercialisation secondaires de produits pharmaceutiques d’origine, dont le Zantac. Elle menait aussi des activités de recherche et de développement, bien que rien n’indique que ces activités concernaient le Zantac.  C’est donc dans le contexte de cette réalité commerciale qu’il faut examiner les achats de </w:t>
      </w:r>
      <w:proofErr w:type="spellStart"/>
      <w:r w:rsidRPr="00ED2722">
        <w:rPr>
          <w:rFonts w:cs="Times New Roman"/>
          <w:lang w:val="fr-CA"/>
        </w:rPr>
        <w:t>ranitidine</w:t>
      </w:r>
      <w:proofErr w:type="spellEnd"/>
      <w:r w:rsidRPr="00ED2722">
        <w:rPr>
          <w:rFonts w:cs="Times New Roman"/>
          <w:lang w:val="fr-CA"/>
        </w:rPr>
        <w:t xml:space="preserve"> effectués par Glaxo Canada.</w:t>
      </w:r>
    </w:p>
    <w:p w:rsidR="006B671D" w:rsidRPr="00ED2722" w:rsidRDefault="006B671D" w:rsidP="006B671D">
      <w:pPr>
        <w:pStyle w:val="ParaNoNdepar-AltN"/>
        <w:rPr>
          <w:rFonts w:cs="Times New Roman"/>
          <w:lang w:val="fr-CA"/>
        </w:rPr>
      </w:pPr>
      <w:r w:rsidRPr="00ED2722">
        <w:rPr>
          <w:rFonts w:cs="Times New Roman"/>
          <w:lang w:val="fr-CA"/>
        </w:rPr>
        <w:t xml:space="preserve">Le juge en chef adjoint </w:t>
      </w:r>
      <w:proofErr w:type="spellStart"/>
      <w:r w:rsidRPr="00ED2722">
        <w:rPr>
          <w:rFonts w:cs="Times New Roman"/>
          <w:lang w:val="fr-CA"/>
        </w:rPr>
        <w:t>Rip</w:t>
      </w:r>
      <w:proofErr w:type="spellEnd"/>
      <w:r w:rsidRPr="00ED2722">
        <w:rPr>
          <w:rFonts w:cs="Times New Roman"/>
          <w:lang w:val="fr-CA"/>
        </w:rPr>
        <w:t xml:space="preserve"> a conclu, au </w:t>
      </w:r>
      <w:r w:rsidRPr="00ED2722">
        <w:rPr>
          <w:rFonts w:cs="Times New Roman"/>
          <w:szCs w:val="24"/>
          <w:lang w:val="fr-CA"/>
        </w:rPr>
        <w:t>par. 86, qu’« </w:t>
      </w:r>
      <w:r w:rsidRPr="00ED2722">
        <w:rPr>
          <w:rFonts w:cs="Times New Roman"/>
          <w:szCs w:val="24"/>
          <w:lang w:val="fr-FR"/>
        </w:rPr>
        <w:t xml:space="preserve">aux termes du contrat de licence, l’appelante était tenue d’acheter sa </w:t>
      </w:r>
      <w:proofErr w:type="spellStart"/>
      <w:r w:rsidRPr="00ED2722">
        <w:rPr>
          <w:rFonts w:cs="Times New Roman"/>
          <w:szCs w:val="24"/>
          <w:lang w:val="fr-FR"/>
        </w:rPr>
        <w:t>ranitidine</w:t>
      </w:r>
      <w:proofErr w:type="spellEnd"/>
      <w:r w:rsidRPr="00ED2722">
        <w:rPr>
          <w:rFonts w:cs="Times New Roman"/>
          <w:szCs w:val="24"/>
          <w:lang w:val="fr-FR"/>
        </w:rPr>
        <w:t xml:space="preserve"> de sources approuvées par Glaxo</w:t>
      </w:r>
      <w:r w:rsidR="0036133A">
        <w:rPr>
          <w:rFonts w:cs="Times New Roman"/>
          <w:szCs w:val="24"/>
          <w:lang w:val="fr-FR"/>
        </w:rPr>
        <w:t> </w:t>
      </w:r>
      <w:r w:rsidRPr="00ED2722">
        <w:rPr>
          <w:rFonts w:cs="Times New Roman"/>
          <w:szCs w:val="24"/>
          <w:lang w:val="fr-FR"/>
        </w:rPr>
        <w:t xml:space="preserve">».  Les parties n’ont pas contesté cette conclusion. </w:t>
      </w:r>
    </w:p>
    <w:p w:rsidR="006B671D" w:rsidRPr="00ED2722" w:rsidRDefault="006B671D" w:rsidP="006B671D">
      <w:pPr>
        <w:pStyle w:val="ParaNoNdepar-AltN"/>
        <w:rPr>
          <w:rFonts w:cs="Times New Roman"/>
          <w:lang w:val="fr-CA"/>
        </w:rPr>
      </w:pPr>
      <w:r w:rsidRPr="00ED2722">
        <w:rPr>
          <w:rFonts w:cs="Times New Roman"/>
          <w:lang w:val="fr-CA"/>
        </w:rPr>
        <w:t xml:space="preserve">Or, il n’existait que deux sources approuvées, dont l’une était </w:t>
      </w:r>
      <w:proofErr w:type="spellStart"/>
      <w:r w:rsidRPr="00ED2722">
        <w:rPr>
          <w:rFonts w:cs="Times New Roman"/>
          <w:lang w:val="fr-CA"/>
        </w:rPr>
        <w:t>Adechsa</w:t>
      </w:r>
      <w:proofErr w:type="spellEnd"/>
      <w:r w:rsidRPr="00ED2722">
        <w:rPr>
          <w:rFonts w:cs="Times New Roman"/>
          <w:lang w:val="fr-CA"/>
        </w:rPr>
        <w:t xml:space="preserve">. En conséquence, pour être en mesure de se prévaloir des avantages conférés par le contrat de licence, Glaxo avait l’obligation de se procurer l’ingrédient actif auprès de l’une ou l’autre de ces sources.  Cette obligation ne résultait pas des liens de dépendance existant entre Glaxo Canada et le groupe Glaxo ou </w:t>
      </w:r>
      <w:proofErr w:type="spellStart"/>
      <w:r w:rsidRPr="00ED2722">
        <w:rPr>
          <w:rFonts w:cs="Times New Roman"/>
          <w:lang w:val="fr-CA"/>
        </w:rPr>
        <w:t>Adechsa</w:t>
      </w:r>
      <w:proofErr w:type="spellEnd"/>
      <w:r w:rsidRPr="00ED2722">
        <w:rPr>
          <w:rFonts w:cs="Times New Roman"/>
          <w:lang w:val="fr-CA"/>
        </w:rPr>
        <w:t xml:space="preserve">, mais plutôt du contrôle que le groupe Glaxo exerçait sur la marque de commerce et le brevet relatifs au produit pharmaceutique d’origine que Glaxo Canada souhaitait commercialiser.  Tout distributeur sans lien de dépendance qui souhaiterait commercialiser le Zantac pourrait fort bien être astreint à la même obligation. </w:t>
      </w:r>
    </w:p>
    <w:p w:rsidR="006B671D" w:rsidRPr="00ED2722" w:rsidRDefault="006B671D" w:rsidP="006B671D">
      <w:pPr>
        <w:pStyle w:val="ParaNoNdepar-AltN"/>
        <w:rPr>
          <w:rFonts w:cs="Times New Roman"/>
          <w:lang w:val="fr-CA"/>
        </w:rPr>
      </w:pPr>
      <w:r w:rsidRPr="00ED2722">
        <w:rPr>
          <w:rFonts w:cs="Times New Roman"/>
          <w:lang w:val="fr-CA"/>
        </w:rPr>
        <w:lastRenderedPageBreak/>
        <w:t xml:space="preserve">Vu le lien entre le contrat de licence et le contrat de fourniture, les entités qui souhaitaient commercialiser le Zantac étaient assujetties à des modalités contractuelles ayant une incidence sur le prix de la </w:t>
      </w:r>
      <w:proofErr w:type="spellStart"/>
      <w:r w:rsidRPr="00ED2722">
        <w:rPr>
          <w:rFonts w:cs="Times New Roman"/>
          <w:lang w:val="fr-CA"/>
        </w:rPr>
        <w:t>ranitidine</w:t>
      </w:r>
      <w:proofErr w:type="spellEnd"/>
      <w:r w:rsidRPr="00ED2722">
        <w:rPr>
          <w:rFonts w:cs="Times New Roman"/>
          <w:lang w:val="fr-CA"/>
        </w:rPr>
        <w:t xml:space="preserve">, modalités auxquelles les distributeurs de produits génériques à base de </w:t>
      </w:r>
      <w:proofErr w:type="spellStart"/>
      <w:r w:rsidRPr="00ED2722">
        <w:rPr>
          <w:rFonts w:cs="Times New Roman"/>
          <w:lang w:val="fr-CA"/>
        </w:rPr>
        <w:t>ranitidine</w:t>
      </w:r>
      <w:proofErr w:type="spellEnd"/>
      <w:r w:rsidRPr="00ED2722">
        <w:rPr>
          <w:rFonts w:cs="Times New Roman"/>
          <w:lang w:val="fr-CA"/>
        </w:rPr>
        <w:t xml:space="preserve"> n’étaient pour leur part pas soumis.</w:t>
      </w:r>
    </w:p>
    <w:p w:rsidR="006B671D" w:rsidRPr="00ED2722" w:rsidRDefault="006B671D" w:rsidP="006B671D">
      <w:pPr>
        <w:pStyle w:val="ParaNoNdepar-AltN"/>
        <w:rPr>
          <w:rFonts w:cs="Times New Roman"/>
          <w:lang w:val="fr-CA"/>
        </w:rPr>
      </w:pPr>
      <w:r w:rsidRPr="00ED2722">
        <w:rPr>
          <w:rFonts w:cs="Times New Roman"/>
          <w:lang w:val="fr-CA"/>
        </w:rPr>
        <w:t xml:space="preserve">Par conséquent, le bénéfice des droits et des avantages conférés par le contrat de licence dépendait de la signature, par Glaxo Canada, d’un contrat de fourniture avec des fournisseurs désignés par le groupe Glaxo.  Le prix payé avait pour effet d’accorder à Glaxo Canada une contrepartie que le groupe Glaxo estimait être </w:t>
      </w:r>
      <w:proofErr w:type="gramStart"/>
      <w:r w:rsidRPr="00ED2722">
        <w:rPr>
          <w:rFonts w:cs="Times New Roman"/>
          <w:lang w:val="fr-CA"/>
        </w:rPr>
        <w:t>appropriée</w:t>
      </w:r>
      <w:proofErr w:type="gramEnd"/>
      <w:r w:rsidRPr="00ED2722">
        <w:rPr>
          <w:rFonts w:cs="Times New Roman"/>
          <w:lang w:val="fr-CA"/>
        </w:rPr>
        <w:t xml:space="preserve"> pour les fonctions de fabrication et de commercialisation secondaires exercées par Glaxo Canada relativement à la </w:t>
      </w:r>
      <w:proofErr w:type="spellStart"/>
      <w:r w:rsidRPr="00ED2722">
        <w:rPr>
          <w:rFonts w:cs="Times New Roman"/>
          <w:lang w:val="fr-CA"/>
        </w:rPr>
        <w:t>ranitidine</w:t>
      </w:r>
      <w:proofErr w:type="spellEnd"/>
      <w:r w:rsidRPr="00ED2722">
        <w:rPr>
          <w:rFonts w:cs="Times New Roman"/>
          <w:lang w:val="fr-CA"/>
        </w:rPr>
        <w:t xml:space="preserve"> et au Zantac.</w:t>
      </w:r>
    </w:p>
    <w:p w:rsidR="006B671D" w:rsidRPr="00ED2722" w:rsidRDefault="006B671D" w:rsidP="006B671D">
      <w:pPr>
        <w:pStyle w:val="ParaNoNdepar-AltN"/>
        <w:rPr>
          <w:rFonts w:cs="Times New Roman"/>
          <w:szCs w:val="24"/>
          <w:lang w:val="fr-CA"/>
        </w:rPr>
      </w:pPr>
      <w:r w:rsidRPr="00ED2722">
        <w:rPr>
          <w:rFonts w:cs="Times New Roman"/>
          <w:szCs w:val="24"/>
          <w:lang w:val="fr-CA"/>
        </w:rPr>
        <w:t xml:space="preserve">Il semble que le juge en chef adjoint </w:t>
      </w:r>
      <w:proofErr w:type="spellStart"/>
      <w:r w:rsidRPr="00ED2722">
        <w:rPr>
          <w:rFonts w:cs="Times New Roman"/>
          <w:szCs w:val="24"/>
          <w:lang w:val="fr-CA"/>
        </w:rPr>
        <w:t>Rip</w:t>
      </w:r>
      <w:proofErr w:type="spellEnd"/>
      <w:r w:rsidRPr="00ED2722">
        <w:rPr>
          <w:rFonts w:cs="Times New Roman"/>
          <w:szCs w:val="24"/>
          <w:lang w:val="fr-CA"/>
        </w:rPr>
        <w:t xml:space="preserve"> ait été préoccupé par le fait qu’une entreprise multinationale pourrait éviter, en obligeant une filiale canadienne à se procurer un produit auprès d’un fournisseur déterminé, que ses prix soient mesurés par rapport à des prix de pleine concurrence (par. 89).</w:t>
      </w:r>
      <w:r w:rsidRPr="00ED2722">
        <w:rPr>
          <w:rFonts w:cs="Times New Roman"/>
          <w:szCs w:val="24"/>
          <w:lang w:val="fr-FR"/>
        </w:rPr>
        <w:t xml:space="preserve">  Cependant, tout prix fixé par </w:t>
      </w:r>
      <w:r w:rsidRPr="00ED2722">
        <w:rPr>
          <w:rFonts w:cs="Times New Roman"/>
          <w:szCs w:val="24"/>
          <w:lang w:val="fr-CA"/>
        </w:rPr>
        <w:t>le groupe Glaxo aurait été assujetti au par. 69(2) et à l’obligation que les opérations impliquant des prix de transfert soient mesurées par rapport à des opérations conclues entre des parties n’ayant aucun lien de dépendance.</w:t>
      </w:r>
    </w:p>
    <w:p w:rsidR="006B671D" w:rsidRPr="00ED2722" w:rsidRDefault="006B671D" w:rsidP="006B671D">
      <w:pPr>
        <w:pStyle w:val="ParaNoNdepar-AltN"/>
        <w:rPr>
          <w:rFonts w:cs="Times New Roman"/>
          <w:lang w:val="fr-CA"/>
        </w:rPr>
      </w:pPr>
      <w:r w:rsidRPr="00ED2722">
        <w:rPr>
          <w:rFonts w:cs="Times New Roman"/>
          <w:lang w:val="fr-CA"/>
        </w:rPr>
        <w:t xml:space="preserve">En conséquence, il semble qu’une partie des prix d’achat versés à </w:t>
      </w:r>
      <w:proofErr w:type="spellStart"/>
      <w:r w:rsidRPr="00ED2722">
        <w:rPr>
          <w:rFonts w:cs="Times New Roman"/>
          <w:lang w:val="fr-CA"/>
        </w:rPr>
        <w:t>Adechsa</w:t>
      </w:r>
      <w:proofErr w:type="spellEnd"/>
      <w:r w:rsidRPr="00ED2722">
        <w:rPr>
          <w:rFonts w:cs="Times New Roman"/>
          <w:lang w:val="fr-CA"/>
        </w:rPr>
        <w:t xml:space="preserve"> pour la </w:t>
      </w:r>
      <w:proofErr w:type="spellStart"/>
      <w:r w:rsidRPr="00ED2722">
        <w:rPr>
          <w:rFonts w:cs="Times New Roman"/>
          <w:lang w:val="fr-CA"/>
        </w:rPr>
        <w:t>ranitidine</w:t>
      </w:r>
      <w:proofErr w:type="spellEnd"/>
      <w:r w:rsidRPr="00ED2722">
        <w:rPr>
          <w:rFonts w:cs="Times New Roman"/>
          <w:lang w:val="fr-CA"/>
        </w:rPr>
        <w:t xml:space="preserve"> servait de contrepartie pour au moins certains des droits et avantages conférés par le contrat de licence.  Parce que les prix payés à </w:t>
      </w:r>
      <w:proofErr w:type="spellStart"/>
      <w:r w:rsidRPr="00ED2722">
        <w:rPr>
          <w:rFonts w:cs="Times New Roman"/>
          <w:lang w:val="fr-CA"/>
        </w:rPr>
        <w:t>Adechsa</w:t>
      </w:r>
      <w:proofErr w:type="spellEnd"/>
      <w:r w:rsidRPr="00ED2722">
        <w:rPr>
          <w:rFonts w:cs="Times New Roman"/>
          <w:lang w:val="fr-CA"/>
        </w:rPr>
        <w:t xml:space="preserve"> </w:t>
      </w:r>
      <w:r w:rsidRPr="00ED2722">
        <w:rPr>
          <w:rFonts w:cs="Times New Roman"/>
          <w:lang w:val="fr-CA"/>
        </w:rPr>
        <w:lastRenderedPageBreak/>
        <w:t xml:space="preserve">visaient donc en partie à compenser le groupe Glaxo pour les droits et les avantages conférés à Glaxo Canada par le contrat de licence, le tribunal ne pouvait faire abstraction de ce contrat lorsqu’il déterminait le montant raisonnable qui devait être payé à </w:t>
      </w:r>
      <w:proofErr w:type="spellStart"/>
      <w:r w:rsidRPr="00ED2722">
        <w:rPr>
          <w:rFonts w:cs="Times New Roman"/>
          <w:lang w:val="fr-CA"/>
        </w:rPr>
        <w:t>Adechsa</w:t>
      </w:r>
      <w:proofErr w:type="spellEnd"/>
      <w:r w:rsidRPr="00ED2722">
        <w:rPr>
          <w:rFonts w:cs="Times New Roman"/>
          <w:lang w:val="fr-CA"/>
        </w:rPr>
        <w:t xml:space="preserve"> au sens du par. 69(2), lequel </w:t>
      </w:r>
      <w:proofErr w:type="gramStart"/>
      <w:r w:rsidRPr="00ED2722">
        <w:rPr>
          <w:rFonts w:cs="Times New Roman"/>
          <w:lang w:val="fr-CA"/>
        </w:rPr>
        <w:t>s’applique</w:t>
      </w:r>
      <w:proofErr w:type="gramEnd"/>
      <w:r w:rsidRPr="00ED2722">
        <w:rPr>
          <w:rFonts w:cs="Times New Roman"/>
          <w:lang w:val="fr-CA"/>
        </w:rPr>
        <w:t xml:space="preserve"> non seulement aux paiements faits pour des biens mais également à ceux faits pour des services.</w:t>
      </w:r>
    </w:p>
    <w:p w:rsidR="006B671D" w:rsidRPr="00ED2722" w:rsidRDefault="006B671D" w:rsidP="006B671D">
      <w:pPr>
        <w:pStyle w:val="ParaNoNdepar-AltN"/>
        <w:rPr>
          <w:rFonts w:cs="Times New Roman"/>
          <w:lang w:val="fr-CA"/>
        </w:rPr>
      </w:pPr>
      <w:r w:rsidRPr="00ED2722">
        <w:rPr>
          <w:rFonts w:cs="Times New Roman"/>
          <w:lang w:val="fr-CA"/>
        </w:rPr>
        <w:t xml:space="preserve">L’examen corrélatif du contrat de licence et du contrat de fourniture permet de brosser un tableau réaliste des bénéfices réalisés par Glaxo Canada.  Le fait que cette dernière agissait principalement comme fabricant et distributeur secondaires n’est pas sans pertinence.  Glaxo Canada ne créait pas de nouveaux produits et n’était pas l’origine des droits de propriété intellectuelle associés à de tels produits.  Elle ne faisait pas les investissements requis pour la création de nouveaux produits et ne courait pas les risques liés à ces activités.  Elle n’assumait pas non plus les autres risques et frais d’investissement que le groupe Glaxo avait pris à sa charge aux termes du contrat de licence.  Les prix payés par Glaxo Canada à </w:t>
      </w:r>
      <w:proofErr w:type="spellStart"/>
      <w:r w:rsidRPr="00ED2722">
        <w:rPr>
          <w:rFonts w:cs="Times New Roman"/>
          <w:lang w:val="fr-CA"/>
        </w:rPr>
        <w:t>Adechsa</w:t>
      </w:r>
      <w:proofErr w:type="spellEnd"/>
      <w:r w:rsidRPr="00ED2722">
        <w:rPr>
          <w:rFonts w:cs="Times New Roman"/>
          <w:lang w:val="fr-CA"/>
        </w:rPr>
        <w:t xml:space="preserve"> l’étaient en contrepartie d’un ensemble de choses, à savoir au moins un certain nombre de droits et avantages prévus par le contrat de licence et le produit visé par le contrat de fourniture.</w:t>
      </w:r>
    </w:p>
    <w:p w:rsidR="006B671D" w:rsidRPr="00ED2722" w:rsidRDefault="006B671D" w:rsidP="006B671D">
      <w:pPr>
        <w:pStyle w:val="ParaNoNdepar-AltN"/>
        <w:rPr>
          <w:rFonts w:cs="Times New Roman"/>
          <w:lang w:val="fr-CA"/>
        </w:rPr>
      </w:pPr>
      <w:r w:rsidRPr="00ED2722">
        <w:rPr>
          <w:rFonts w:cs="Times New Roman"/>
          <w:lang w:val="fr-CA"/>
        </w:rPr>
        <w:t xml:space="preserve">À l’instar de la Cour d’appel fédérale, je suis d’avis que le juge en chef adjoint </w:t>
      </w:r>
      <w:proofErr w:type="spellStart"/>
      <w:r w:rsidRPr="00ED2722">
        <w:rPr>
          <w:rFonts w:cs="Times New Roman"/>
          <w:lang w:val="fr-CA"/>
        </w:rPr>
        <w:t>Rip</w:t>
      </w:r>
      <w:proofErr w:type="spellEnd"/>
      <w:r w:rsidRPr="00ED2722">
        <w:rPr>
          <w:rFonts w:cs="Times New Roman"/>
          <w:lang w:val="fr-CA"/>
        </w:rPr>
        <w:t xml:space="preserve"> a commis une erreur en refusant de tenir compte du contrat de licence. C’est ce refus qui l’a amené à conclure que les prix payés par les fabricants de produits pharmaceutiques génériques pour la </w:t>
      </w:r>
      <w:proofErr w:type="spellStart"/>
      <w:r w:rsidRPr="00ED2722">
        <w:rPr>
          <w:rFonts w:cs="Times New Roman"/>
          <w:lang w:val="fr-CA"/>
        </w:rPr>
        <w:t>ranitidine</w:t>
      </w:r>
      <w:proofErr w:type="spellEnd"/>
      <w:r w:rsidRPr="00ED2722">
        <w:rPr>
          <w:rFonts w:cs="Times New Roman"/>
          <w:lang w:val="fr-CA"/>
        </w:rPr>
        <w:t xml:space="preserve"> constituaient des éléments </w:t>
      </w:r>
      <w:r w:rsidRPr="00ED2722">
        <w:rPr>
          <w:rFonts w:cs="Times New Roman"/>
          <w:lang w:val="fr-CA"/>
        </w:rPr>
        <w:lastRenderedPageBreak/>
        <w:t xml:space="preserve">comparables pour l’application de la méthode du PCML.  Toutefois, les comparaisons faites avec de tels fabricants ne correspondent pas à la réalité économique et commerciale de Glaxo Canada et, à tout le moins à défaut d’ajustements, ne permettent pas de déterminer les prix qui auraient été raisonnables dans les circonstances si Glaxo Canada et </w:t>
      </w:r>
      <w:proofErr w:type="spellStart"/>
      <w:r w:rsidRPr="00ED2722">
        <w:rPr>
          <w:rFonts w:cs="Times New Roman"/>
          <w:lang w:val="fr-CA"/>
        </w:rPr>
        <w:t>Adechsa</w:t>
      </w:r>
      <w:proofErr w:type="spellEnd"/>
      <w:r w:rsidRPr="00ED2722">
        <w:rPr>
          <w:rFonts w:cs="Times New Roman"/>
          <w:lang w:val="fr-CA"/>
        </w:rPr>
        <w:t xml:space="preserve"> n’avaient pas eu de lien de dépendance.</w:t>
      </w:r>
    </w:p>
    <w:p w:rsidR="006B671D" w:rsidRPr="00ED2722" w:rsidRDefault="006B671D" w:rsidP="006B671D">
      <w:pPr>
        <w:pStyle w:val="ParaNoNdepar-AltN"/>
        <w:rPr>
          <w:rFonts w:cs="Times New Roman"/>
          <w:lang w:val="fr-CA"/>
        </w:rPr>
      </w:pPr>
      <w:r w:rsidRPr="00ED2722">
        <w:rPr>
          <w:rFonts w:cs="Times New Roman"/>
          <w:lang w:val="fr-CA"/>
        </w:rPr>
        <w:t>Je souscris également à la conclusion du juge d’appel Nadon selon laquelle « </w:t>
      </w:r>
      <w:r w:rsidR="00E5456B" w:rsidRPr="00ED2722">
        <w:rPr>
          <w:rFonts w:cs="Times New Roman"/>
          <w:lang w:val="fr-CA"/>
        </w:rPr>
        <w:t>la somme</w:t>
      </w:r>
      <w:r w:rsidRPr="00ED2722">
        <w:rPr>
          <w:rFonts w:cs="Times New Roman"/>
          <w:lang w:val="fr-CA"/>
        </w:rPr>
        <w:t xml:space="preserve"> qui aurait été </w:t>
      </w:r>
      <w:r w:rsidRPr="00ED2722">
        <w:rPr>
          <w:rFonts w:cs="Times New Roman"/>
          <w:lang w:val="fr-FR"/>
        </w:rPr>
        <w:t xml:space="preserve">raisonnable dans les circonstances » si l’appelante et </w:t>
      </w:r>
      <w:proofErr w:type="spellStart"/>
      <w:r w:rsidRPr="00ED2722">
        <w:rPr>
          <w:rFonts w:cs="Times New Roman"/>
          <w:lang w:val="fr-FR"/>
        </w:rPr>
        <w:t>Adechsa</w:t>
      </w:r>
      <w:proofErr w:type="spellEnd"/>
      <w:r w:rsidRPr="00ED2722">
        <w:rPr>
          <w:rFonts w:cs="Times New Roman"/>
          <w:lang w:val="fr-FR"/>
        </w:rPr>
        <w:t xml:space="preserve"> n’avaient pas eu de lien de dépendance  </w:t>
      </w:r>
      <w:r w:rsidRPr="00ED2722">
        <w:rPr>
          <w:rFonts w:cs="Times New Roman"/>
          <w:lang w:val="fr-CA"/>
        </w:rPr>
        <w:t>reste à déterminer</w:t>
      </w:r>
      <w:r w:rsidR="00E5456B" w:rsidRPr="00ED2722">
        <w:rPr>
          <w:rFonts w:cs="Times New Roman"/>
          <w:lang w:val="fr-CA"/>
        </w:rPr>
        <w:t xml:space="preserve"> (par. 79)</w:t>
      </w:r>
      <w:r w:rsidRPr="00ED2722">
        <w:rPr>
          <w:rFonts w:cs="Times New Roman"/>
          <w:lang w:val="fr-CA"/>
        </w:rPr>
        <w:t xml:space="preserve">.  Pour ce faire, il faudra examiner attentivement les modalités du </w:t>
      </w:r>
      <w:r w:rsidRPr="00ED2722">
        <w:rPr>
          <w:rFonts w:cs="Times New Roman"/>
          <w:szCs w:val="24"/>
          <w:lang w:val="fr-CA"/>
        </w:rPr>
        <w:t>contrat de licence ainsi que les droits et les avantages conférés à Glaxo Canada par ce contrat.</w:t>
      </w:r>
    </w:p>
    <w:p w:rsidR="006B671D" w:rsidRPr="00ED2722" w:rsidRDefault="006B671D" w:rsidP="006B671D">
      <w:pPr>
        <w:pStyle w:val="ParaNoNdepar-AltN"/>
        <w:rPr>
          <w:rFonts w:cs="Times New Roman"/>
          <w:lang w:val="fr-CA"/>
        </w:rPr>
      </w:pPr>
      <w:r w:rsidRPr="00ED2722">
        <w:rPr>
          <w:rFonts w:cs="Times New Roman"/>
          <w:szCs w:val="24"/>
          <w:lang w:val="fr-CA"/>
        </w:rPr>
        <w:t xml:space="preserve">Toutefois, en ce qui concerne les redevances, je tiens à signaler que le contrat de licence prévoit expressément ce qui suit à l’article 11(1)b) : </w:t>
      </w:r>
    </w:p>
    <w:p w:rsidR="006B671D" w:rsidRPr="00ED2722" w:rsidRDefault="006B671D" w:rsidP="006B671D">
      <w:pPr>
        <w:pStyle w:val="Citation-AltC"/>
        <w:keepNext/>
        <w:spacing w:after="240"/>
        <w:ind w:hanging="1166"/>
        <w:contextualSpacing w:val="0"/>
        <w:rPr>
          <w:smallCaps/>
          <w:lang w:val="fr-CA"/>
        </w:rPr>
      </w:pPr>
      <w:r w:rsidRPr="00ED2722">
        <w:rPr>
          <w:smallCaps/>
          <w:lang w:val="fr-CA"/>
        </w:rPr>
        <w:tab/>
        <w:t>[traduction]</w:t>
      </w:r>
    </w:p>
    <w:p w:rsidR="006B671D" w:rsidRPr="00ED2722" w:rsidRDefault="006B671D" w:rsidP="00280CD2">
      <w:pPr>
        <w:pStyle w:val="Citation-AltC"/>
        <w:tabs>
          <w:tab w:val="left" w:pos="1170"/>
          <w:tab w:val="left" w:pos="1620"/>
        </w:tabs>
        <w:spacing w:after="240"/>
        <w:ind w:left="1620" w:hanging="1620"/>
        <w:contextualSpacing w:val="0"/>
        <w:rPr>
          <w:szCs w:val="22"/>
          <w:lang w:val="fr-CA"/>
        </w:rPr>
      </w:pPr>
      <w:r w:rsidRPr="00ED2722">
        <w:rPr>
          <w:lang w:val="fr-CA"/>
        </w:rPr>
        <w:tab/>
        <w:t>(ii)</w:t>
      </w:r>
      <w:r w:rsidRPr="00ED2722">
        <w:rPr>
          <w:lang w:val="fr-CA"/>
        </w:rPr>
        <w:tab/>
        <w:t xml:space="preserve">pour le cas où </w:t>
      </w:r>
      <w:r w:rsidRPr="00ED2722">
        <w:rPr>
          <w:caps/>
          <w:lang w:val="fr-CA"/>
        </w:rPr>
        <w:t>Glaxo Canada</w:t>
      </w:r>
      <w:r w:rsidRPr="00ED2722">
        <w:rPr>
          <w:lang w:val="fr-CA"/>
        </w:rPr>
        <w:t xml:space="preserve"> achète des matières premières ou un Produit en vrac ou fini au GROUPE ou à une entreprise associée, les parties conviennent expressément qu’aucune redevance n’est payable par </w:t>
      </w:r>
      <w:r w:rsidRPr="00ED2722">
        <w:rPr>
          <w:caps/>
          <w:lang w:val="fr-CA"/>
        </w:rPr>
        <w:t>Glaxo Canada</w:t>
      </w:r>
      <w:r w:rsidRPr="00ED2722">
        <w:rPr>
          <w:lang w:val="fr-CA"/>
        </w:rPr>
        <w:t xml:space="preserve"> au titre de l’importation de ces matières ou Produit et que des redevances ne sont payables que sur les ventes nettes par GLAXO CANADA du Produit sur le territoire; </w:t>
      </w:r>
    </w:p>
    <w:p w:rsidR="006B671D" w:rsidRPr="00ED2722" w:rsidRDefault="006B671D" w:rsidP="00280CD2">
      <w:pPr>
        <w:pStyle w:val="Citation-AltC"/>
        <w:tabs>
          <w:tab w:val="left" w:pos="1170"/>
          <w:tab w:val="left" w:pos="1620"/>
        </w:tabs>
        <w:spacing w:after="240"/>
        <w:ind w:left="1620" w:hanging="1620"/>
        <w:contextualSpacing w:val="0"/>
        <w:rPr>
          <w:lang w:val="fr-CA"/>
        </w:rPr>
      </w:pPr>
      <w:r w:rsidRPr="00ED2722">
        <w:rPr>
          <w:lang w:val="fr-CA"/>
        </w:rPr>
        <w:tab/>
        <w:t>(iii)</w:t>
      </w:r>
      <w:r w:rsidRPr="00ED2722">
        <w:rPr>
          <w:lang w:val="fr-CA"/>
        </w:rPr>
        <w:tab/>
      </w:r>
      <w:r w:rsidRPr="00ED2722">
        <w:rPr>
          <w:caps/>
          <w:lang w:val="fr-CA"/>
        </w:rPr>
        <w:t>Glaxo Canada</w:t>
      </w:r>
      <w:r w:rsidRPr="00ED2722">
        <w:rPr>
          <w:lang w:val="fr-CA"/>
        </w:rPr>
        <w:t xml:space="preserve"> n’est pas tenue de payer quelque redevance ou droit de licence que ce soit comme condition de la vente à </w:t>
      </w:r>
      <w:r w:rsidRPr="00ED2722">
        <w:rPr>
          <w:caps/>
          <w:lang w:val="fr-CA"/>
        </w:rPr>
        <w:t>Glaxo Canada</w:t>
      </w:r>
      <w:r w:rsidRPr="00ED2722">
        <w:rPr>
          <w:lang w:val="fr-CA"/>
        </w:rPr>
        <w:t xml:space="preserve">, par le </w:t>
      </w:r>
      <w:r w:rsidRPr="00ED2722">
        <w:rPr>
          <w:caps/>
          <w:lang w:val="fr-CA"/>
        </w:rPr>
        <w:t>Groupe</w:t>
      </w:r>
      <w:r w:rsidRPr="00ED2722">
        <w:rPr>
          <w:lang w:val="fr-CA"/>
        </w:rPr>
        <w:t xml:space="preserve"> ou par ses entreprises associées, d’une marchandise à exporter sur le territoire, et le prix de cette marchandise doit être établi conformément à un accord distinct conclu par les parties indépendamment des redevances payables au titre des présentes [ainsi qu’il est prévu au paragraphe 7(1)]; </w:t>
      </w:r>
    </w:p>
    <w:p w:rsidR="006B671D" w:rsidRPr="00ED2722" w:rsidRDefault="006B671D" w:rsidP="00280CD2">
      <w:pPr>
        <w:pStyle w:val="Citation-AltC"/>
        <w:tabs>
          <w:tab w:val="left" w:pos="1170"/>
          <w:tab w:val="left" w:pos="1620"/>
        </w:tabs>
        <w:ind w:left="1627" w:hanging="1627"/>
        <w:contextualSpacing w:val="0"/>
        <w:rPr>
          <w:lang w:val="fr-CA"/>
        </w:rPr>
      </w:pPr>
      <w:r w:rsidRPr="00ED2722">
        <w:rPr>
          <w:lang w:val="fr-CA"/>
        </w:rPr>
        <w:lastRenderedPageBreak/>
        <w:tab/>
        <w:t>(iv)</w:t>
      </w:r>
      <w:r w:rsidRPr="00ED2722">
        <w:rPr>
          <w:lang w:val="fr-CA"/>
        </w:rPr>
        <w:tab/>
        <w:t xml:space="preserve">des redevances ne sont payables par </w:t>
      </w:r>
      <w:r w:rsidRPr="00ED2722">
        <w:rPr>
          <w:caps/>
          <w:lang w:val="fr-CA"/>
        </w:rPr>
        <w:t>Glaxo Canada</w:t>
      </w:r>
      <w:r w:rsidRPr="00ED2722">
        <w:rPr>
          <w:lang w:val="fr-CA"/>
        </w:rPr>
        <w:t xml:space="preserve"> que sur ses ventes de Produits et non au titre de la fabrication ou de l’utilisation par elle des Produits; [</w:t>
      </w:r>
      <w:r w:rsidR="0036133A">
        <w:rPr>
          <w:lang w:val="fr-CA"/>
        </w:rPr>
        <w:t>Texte</w:t>
      </w:r>
      <w:r w:rsidRPr="00ED2722">
        <w:rPr>
          <w:lang w:val="fr-CA"/>
        </w:rPr>
        <w:t xml:space="preserve"> entre crochets dans l’original.]</w:t>
      </w:r>
    </w:p>
    <w:p w:rsidR="006B671D" w:rsidRPr="00ED2722" w:rsidRDefault="006B671D" w:rsidP="006B671D">
      <w:pPr>
        <w:pStyle w:val="ParaNoNdepar-AltN"/>
        <w:rPr>
          <w:rFonts w:cs="Times New Roman"/>
          <w:lang w:val="fr-CA"/>
        </w:rPr>
      </w:pPr>
      <w:r w:rsidRPr="00ED2722">
        <w:rPr>
          <w:rFonts w:cs="Times New Roman"/>
          <w:szCs w:val="24"/>
          <w:lang w:val="fr-CA"/>
        </w:rPr>
        <w:t>Dans ses actes de procédure devant la Cour de l’impôt, Glaxo Canada n’a invoqué ni l’al. 212(1)</w:t>
      </w:r>
      <w:r w:rsidRPr="00ED2722">
        <w:rPr>
          <w:rFonts w:cs="Times New Roman"/>
          <w:i/>
          <w:szCs w:val="24"/>
          <w:lang w:val="fr-CA"/>
        </w:rPr>
        <w:t>d</w:t>
      </w:r>
      <w:r w:rsidRPr="00ED2722">
        <w:rPr>
          <w:rFonts w:cs="Times New Roman"/>
          <w:szCs w:val="24"/>
          <w:lang w:val="fr-CA"/>
        </w:rPr>
        <w:t xml:space="preserve">) ni le par. 215(1) de la Loi, lesquels prévoient, dans le premier cas, l’impôt payable par les </w:t>
      </w:r>
      <w:proofErr w:type="spellStart"/>
      <w:r w:rsidRPr="00ED2722">
        <w:rPr>
          <w:rFonts w:cs="Times New Roman"/>
          <w:szCs w:val="24"/>
          <w:lang w:val="fr-CA"/>
        </w:rPr>
        <w:t>non</w:t>
      </w:r>
      <w:r w:rsidRPr="00ED2722">
        <w:rPr>
          <w:rFonts w:cs="Times New Roman"/>
          <w:szCs w:val="24"/>
          <w:lang w:val="fr-CA"/>
        </w:rPr>
        <w:noBreakHyphen/>
        <w:t>résidents</w:t>
      </w:r>
      <w:proofErr w:type="spellEnd"/>
      <w:r w:rsidRPr="00ED2722">
        <w:rPr>
          <w:rFonts w:cs="Times New Roman"/>
          <w:szCs w:val="24"/>
          <w:lang w:val="fr-CA"/>
        </w:rPr>
        <w:t xml:space="preserve"> sur les redevances ou paiements semblables qui leur sont faits en vue d’obtenir le droit d’utiliser un brevet ou une marque de commerce au Canada, et, dans le second cas, les retenues fiscales qui doivent être faites au nom des </w:t>
      </w:r>
      <w:proofErr w:type="spellStart"/>
      <w:r w:rsidRPr="00ED2722">
        <w:rPr>
          <w:rFonts w:cs="Times New Roman"/>
          <w:szCs w:val="24"/>
          <w:lang w:val="fr-CA"/>
        </w:rPr>
        <w:t>non</w:t>
      </w:r>
      <w:r w:rsidRPr="00ED2722">
        <w:rPr>
          <w:rFonts w:cs="Times New Roman"/>
          <w:szCs w:val="24"/>
          <w:lang w:val="fr-CA"/>
        </w:rPr>
        <w:noBreakHyphen/>
        <w:t>résidents</w:t>
      </w:r>
      <w:proofErr w:type="spellEnd"/>
      <w:r w:rsidRPr="00ED2722">
        <w:rPr>
          <w:rFonts w:cs="Times New Roman"/>
          <w:szCs w:val="24"/>
          <w:lang w:val="fr-CA"/>
        </w:rPr>
        <w:t xml:space="preserve">.  Il n’y a aucune preuve indiquant que Glaxo Canada a retenu, sur les paiements effectués à </w:t>
      </w:r>
      <w:proofErr w:type="spellStart"/>
      <w:r w:rsidRPr="00ED2722">
        <w:rPr>
          <w:rFonts w:cs="Times New Roman"/>
          <w:szCs w:val="24"/>
          <w:lang w:val="fr-CA"/>
        </w:rPr>
        <w:t>Adechsa</w:t>
      </w:r>
      <w:proofErr w:type="spellEnd"/>
      <w:r w:rsidRPr="00ED2722">
        <w:rPr>
          <w:rFonts w:cs="Times New Roman"/>
          <w:szCs w:val="24"/>
          <w:lang w:val="fr-CA"/>
        </w:rPr>
        <w:t xml:space="preserve"> au titre des prix d’achat, quelque somme que ce soit à l’égard de redevances versées en vue d’utiliser, ou d’obtenir le droit d’utiliser, le brevet relatif à la </w:t>
      </w:r>
      <w:proofErr w:type="spellStart"/>
      <w:r w:rsidRPr="00ED2722">
        <w:rPr>
          <w:rFonts w:cs="Times New Roman"/>
          <w:szCs w:val="24"/>
          <w:lang w:val="fr-CA"/>
        </w:rPr>
        <w:t>ranitidine</w:t>
      </w:r>
      <w:proofErr w:type="spellEnd"/>
      <w:r w:rsidRPr="00ED2722">
        <w:rPr>
          <w:rFonts w:cs="Times New Roman"/>
          <w:szCs w:val="24"/>
          <w:lang w:val="fr-CA"/>
        </w:rPr>
        <w:t xml:space="preserve"> ou la marque de commerce Zantac.</w:t>
      </w:r>
    </w:p>
    <w:p w:rsidR="006B671D" w:rsidRPr="00ED2722" w:rsidRDefault="006B671D" w:rsidP="006B671D">
      <w:pPr>
        <w:pStyle w:val="ParaNoNdepar-AltN"/>
        <w:rPr>
          <w:rFonts w:cs="Times New Roman"/>
          <w:lang w:val="fr-CA"/>
        </w:rPr>
      </w:pPr>
      <w:r w:rsidRPr="00ED2722">
        <w:rPr>
          <w:rFonts w:cs="Times New Roman"/>
          <w:szCs w:val="24"/>
          <w:lang w:val="fr-CA"/>
        </w:rPr>
        <w:t xml:space="preserve">Bien que j’aie dit précédemment qu’il semble exister un lien entre le prix d’achat et certains des droits et avantages conférés par le contrat de licence, je ne me prononce pas dans les présents motifs sur la question de savoir si les droits découlant du brevet relatif à la </w:t>
      </w:r>
      <w:proofErr w:type="spellStart"/>
      <w:r w:rsidRPr="00ED2722">
        <w:rPr>
          <w:rFonts w:cs="Times New Roman"/>
          <w:szCs w:val="24"/>
          <w:lang w:val="fr-CA"/>
        </w:rPr>
        <w:t>ranitidine</w:t>
      </w:r>
      <w:proofErr w:type="spellEnd"/>
      <w:r w:rsidRPr="00ED2722">
        <w:rPr>
          <w:rFonts w:cs="Times New Roman"/>
          <w:szCs w:val="24"/>
          <w:lang w:val="fr-CA"/>
        </w:rPr>
        <w:t xml:space="preserve"> qui sont concédés à Glaxo Canada pour l’autoriser à fabriquer et à vendre du Zantac, ainsi que le droit exclusif d’utiliser la marque de commerce Zantac, sont liés ou non au prix d’achat payé par Glaxo Canada à </w:t>
      </w:r>
      <w:proofErr w:type="spellStart"/>
      <w:r w:rsidRPr="00ED2722">
        <w:rPr>
          <w:rFonts w:cs="Times New Roman"/>
          <w:szCs w:val="24"/>
          <w:lang w:val="fr-CA"/>
        </w:rPr>
        <w:t>Adechsa</w:t>
      </w:r>
      <w:proofErr w:type="spellEnd"/>
      <w:r w:rsidRPr="00ED2722">
        <w:rPr>
          <w:rFonts w:cs="Times New Roman"/>
          <w:szCs w:val="24"/>
          <w:lang w:val="fr-CA"/>
        </w:rPr>
        <w:t xml:space="preserve">.  Il est cependant permis de soutenir que, si ce prix d’achat comprend une contrepartie pour les droits accordés à Glaxo Canada en matière de propriété intellectuelle, il faudrait alors que la position de cette dernière à l’égard de la retenue fiscale prévue à </w:t>
      </w:r>
      <w:r w:rsidRPr="00ED2722">
        <w:rPr>
          <w:rFonts w:cs="Times New Roman"/>
          <w:szCs w:val="24"/>
          <w:lang w:val="fr-CA"/>
        </w:rPr>
        <w:lastRenderedPageBreak/>
        <w:t xml:space="preserve">la partie XIII soit compatible avec une telle conclusion.  Cette question n’a pas été explicitement débattue devant notre Cour.  Elle pourra l’être par les parties devant la Cour de l’impôt, et le juge de cette cour pourra en tenir compte lorsqu’il déterminera si certains droits et avantages précis conférés à Glaxo Canada aux termes du contrat de licence sont liés au prix payé à </w:t>
      </w:r>
      <w:proofErr w:type="spellStart"/>
      <w:r w:rsidRPr="00ED2722">
        <w:rPr>
          <w:rFonts w:cs="Times New Roman"/>
          <w:szCs w:val="24"/>
          <w:lang w:val="fr-CA"/>
        </w:rPr>
        <w:t>Adechsa</w:t>
      </w:r>
      <w:proofErr w:type="spellEnd"/>
      <w:r w:rsidRPr="00ED2722">
        <w:rPr>
          <w:rFonts w:cs="Times New Roman"/>
          <w:szCs w:val="24"/>
          <w:lang w:val="fr-CA"/>
        </w:rPr>
        <w:t xml:space="preserve"> pour la </w:t>
      </w:r>
      <w:proofErr w:type="spellStart"/>
      <w:r w:rsidRPr="00ED2722">
        <w:rPr>
          <w:rFonts w:cs="Times New Roman"/>
          <w:szCs w:val="24"/>
          <w:lang w:val="fr-CA"/>
        </w:rPr>
        <w:t>ranitidine</w:t>
      </w:r>
      <w:proofErr w:type="spellEnd"/>
      <w:r w:rsidRPr="00ED2722">
        <w:rPr>
          <w:rFonts w:cs="Times New Roman"/>
          <w:szCs w:val="24"/>
          <w:lang w:val="fr-CA"/>
        </w:rPr>
        <w:t xml:space="preserve">. </w:t>
      </w:r>
    </w:p>
    <w:p w:rsidR="006B671D" w:rsidRPr="00ED2722" w:rsidRDefault="006B671D" w:rsidP="006B671D">
      <w:pPr>
        <w:pStyle w:val="ParaNoNdepar-AltN"/>
        <w:rPr>
          <w:rFonts w:cs="Times New Roman"/>
          <w:lang w:val="fr-CA"/>
        </w:rPr>
      </w:pPr>
      <w:r w:rsidRPr="00ED2722">
        <w:rPr>
          <w:rFonts w:cs="Times New Roman"/>
          <w:szCs w:val="24"/>
          <w:lang w:val="fr-CA"/>
        </w:rPr>
        <w:t xml:space="preserve">Quoi qu’il en soit, les droits et les avantages conférés par le contrat de licence dont il est question au par. 7 des présents motifs ne se limitent pas aux droits accordés à Glaxo Canada par le brevet et la marque de commerce.  Par exemple, il semble que l’accès garanti à de nouveaux produits, le droit d’être approvisionnée en matières premières et produits en vrac, </w:t>
      </w:r>
      <w:r w:rsidRPr="00ED2722">
        <w:rPr>
          <w:rFonts w:cs="Times New Roman"/>
          <w:szCs w:val="24"/>
          <w:lang w:val="fr-FR"/>
        </w:rPr>
        <w:t xml:space="preserve">l’appui à la commercialisation </w:t>
      </w:r>
      <w:r w:rsidRPr="00ED2722">
        <w:rPr>
          <w:rFonts w:cs="Times New Roman"/>
          <w:szCs w:val="24"/>
          <w:lang w:val="fr-CA"/>
        </w:rPr>
        <w:t>et l’</w:t>
      </w:r>
      <w:r w:rsidRPr="00ED2722">
        <w:rPr>
          <w:rFonts w:cs="Times New Roman"/>
          <w:lang w:val="fr-CA"/>
        </w:rPr>
        <w:t>assistance technique pour établir de nouvelles gammes de produits revêtent tous une certaine valeur</w:t>
      </w:r>
      <w:r w:rsidRPr="00ED2722">
        <w:rPr>
          <w:rFonts w:cs="Times New Roman"/>
          <w:szCs w:val="24"/>
          <w:lang w:val="fr-CA"/>
        </w:rPr>
        <w:t>.</w:t>
      </w:r>
    </w:p>
    <w:p w:rsidR="006B671D" w:rsidRPr="00ED2722" w:rsidRDefault="006B671D" w:rsidP="006B671D">
      <w:pPr>
        <w:pStyle w:val="ParaNoNdepar-AltN"/>
        <w:rPr>
          <w:rFonts w:cs="Times New Roman"/>
          <w:lang w:val="fr-CA"/>
        </w:rPr>
      </w:pPr>
      <w:r w:rsidRPr="00ED2722">
        <w:rPr>
          <w:rFonts w:cs="Times New Roman"/>
          <w:szCs w:val="24"/>
          <w:lang w:val="fr-CA"/>
        </w:rPr>
        <w:t xml:space="preserve">En outre, bien que, comme a conclu le juge en chef adjoint </w:t>
      </w:r>
      <w:proofErr w:type="spellStart"/>
      <w:r w:rsidRPr="00ED2722">
        <w:rPr>
          <w:rFonts w:cs="Times New Roman"/>
          <w:szCs w:val="24"/>
          <w:lang w:val="fr-CA"/>
        </w:rPr>
        <w:t>Rip</w:t>
      </w:r>
      <w:proofErr w:type="spellEnd"/>
      <w:r w:rsidRPr="00ED2722">
        <w:rPr>
          <w:rFonts w:cs="Times New Roman"/>
          <w:szCs w:val="24"/>
          <w:lang w:val="fr-CA"/>
        </w:rPr>
        <w:t xml:space="preserve">, la </w:t>
      </w:r>
      <w:proofErr w:type="spellStart"/>
      <w:r w:rsidRPr="00ED2722">
        <w:rPr>
          <w:rFonts w:cs="Times New Roman"/>
          <w:lang w:val="fr-FR"/>
        </w:rPr>
        <w:t>ranitidine</w:t>
      </w:r>
      <w:proofErr w:type="spellEnd"/>
      <w:r w:rsidRPr="00ED2722">
        <w:rPr>
          <w:rFonts w:cs="Times New Roman"/>
          <w:lang w:val="fr-FR"/>
        </w:rPr>
        <w:t xml:space="preserve"> générique est chimiquement équivalente et </w:t>
      </w:r>
      <w:proofErr w:type="spellStart"/>
      <w:r w:rsidRPr="00ED2722">
        <w:rPr>
          <w:rFonts w:cs="Times New Roman"/>
          <w:lang w:val="fr-FR"/>
        </w:rPr>
        <w:t>bioéquivalente</w:t>
      </w:r>
      <w:proofErr w:type="spellEnd"/>
      <w:r w:rsidRPr="00ED2722">
        <w:rPr>
          <w:rFonts w:cs="Times New Roman"/>
          <w:lang w:val="fr-FR"/>
        </w:rPr>
        <w:t xml:space="preserve"> à la </w:t>
      </w:r>
      <w:proofErr w:type="spellStart"/>
      <w:r w:rsidRPr="00ED2722">
        <w:rPr>
          <w:rFonts w:cs="Times New Roman"/>
          <w:lang w:val="fr-FR"/>
        </w:rPr>
        <w:t>ranitidine</w:t>
      </w:r>
      <w:proofErr w:type="spellEnd"/>
      <w:r w:rsidRPr="00ED2722">
        <w:rPr>
          <w:rFonts w:cs="Times New Roman"/>
          <w:lang w:val="fr-FR"/>
        </w:rPr>
        <w:t xml:space="preserve"> de Glaxo Canada, il a également reconnu une certaine valeur au fait que la </w:t>
      </w:r>
      <w:proofErr w:type="spellStart"/>
      <w:r w:rsidRPr="00ED2722">
        <w:rPr>
          <w:rFonts w:cs="Times New Roman"/>
          <w:szCs w:val="24"/>
          <w:lang w:val="fr-CA"/>
        </w:rPr>
        <w:t>ranitidine</w:t>
      </w:r>
      <w:proofErr w:type="spellEnd"/>
      <w:r w:rsidRPr="00ED2722">
        <w:rPr>
          <w:rFonts w:cs="Times New Roman"/>
          <w:szCs w:val="24"/>
          <w:lang w:val="fr-CA"/>
        </w:rPr>
        <w:t xml:space="preserve"> d’</w:t>
      </w:r>
      <w:proofErr w:type="spellStart"/>
      <w:r w:rsidRPr="00ED2722">
        <w:rPr>
          <w:rFonts w:cs="Times New Roman"/>
          <w:szCs w:val="24"/>
          <w:lang w:val="fr-CA"/>
        </w:rPr>
        <w:t>Adechsa</w:t>
      </w:r>
      <w:proofErr w:type="spellEnd"/>
      <w:r w:rsidRPr="00ED2722">
        <w:rPr>
          <w:rFonts w:cs="Times New Roman"/>
          <w:szCs w:val="24"/>
          <w:lang w:val="fr-CA"/>
        </w:rPr>
        <w:t xml:space="preserve"> fabriquée conformément aux </w:t>
      </w:r>
      <w:r w:rsidRPr="00ED2722">
        <w:rPr>
          <w:rFonts w:cs="Times New Roman"/>
          <w:szCs w:val="24"/>
          <w:lang w:val="fr-FR"/>
        </w:rPr>
        <w:t>« bonnes pratiques de fabrication » du groupe Glaxo était susceptible de « conférer un certain degré d’assurance en ce qui concerne le fait que la marchandise renferme fort peu d’impuretés et qu’elle est fabriquée d’une façon responsable »</w:t>
      </w:r>
      <w:r w:rsidRPr="00ED2722">
        <w:rPr>
          <w:rFonts w:cs="Times New Roman"/>
          <w:sz w:val="28"/>
          <w:szCs w:val="28"/>
          <w:lang w:val="fr-FR"/>
        </w:rPr>
        <w:t xml:space="preserve"> </w:t>
      </w:r>
      <w:r w:rsidRPr="00ED2722">
        <w:rPr>
          <w:rFonts w:cs="Times New Roman"/>
          <w:szCs w:val="24"/>
          <w:lang w:val="fr-CA"/>
        </w:rPr>
        <w:t xml:space="preserve">(par. 118).  On peut supposer que le prix plus élevé du Zantac par rapport à celui des produits génériques s’explique, en partie du moins, par ce « degré d’assurance » mentionné par le juge en chef adjoint </w:t>
      </w:r>
      <w:proofErr w:type="spellStart"/>
      <w:r w:rsidRPr="00ED2722">
        <w:rPr>
          <w:rFonts w:cs="Times New Roman"/>
          <w:szCs w:val="24"/>
          <w:lang w:val="fr-CA"/>
        </w:rPr>
        <w:t>Rip</w:t>
      </w:r>
      <w:proofErr w:type="spellEnd"/>
      <w:r w:rsidRPr="00ED2722">
        <w:rPr>
          <w:rFonts w:cs="Times New Roman"/>
          <w:szCs w:val="24"/>
          <w:lang w:val="fr-CA"/>
        </w:rPr>
        <w:t>.</w:t>
      </w:r>
    </w:p>
    <w:p w:rsidR="006B671D" w:rsidRPr="00ED2722" w:rsidRDefault="006B671D" w:rsidP="006B671D">
      <w:pPr>
        <w:pStyle w:val="ParaNoNdepar-AltN"/>
        <w:rPr>
          <w:rFonts w:cs="Times New Roman"/>
          <w:lang w:val="fr-CA"/>
        </w:rPr>
      </w:pPr>
      <w:r w:rsidRPr="00ED2722">
        <w:rPr>
          <w:rFonts w:cs="Times New Roman"/>
          <w:szCs w:val="24"/>
          <w:lang w:val="fr-CA"/>
        </w:rPr>
        <w:lastRenderedPageBreak/>
        <w:t xml:space="preserve">Ces diverses caractéristiques du contrat de licence et de l’obligation d’acheter de sources approuvées par Glaxo sont autant d’aspects qui ajoutent à la valeur de la </w:t>
      </w:r>
      <w:proofErr w:type="spellStart"/>
      <w:r w:rsidRPr="00ED2722">
        <w:rPr>
          <w:rFonts w:cs="Times New Roman"/>
          <w:szCs w:val="24"/>
          <w:lang w:val="fr-CA"/>
        </w:rPr>
        <w:t>ranitidine</w:t>
      </w:r>
      <w:proofErr w:type="spellEnd"/>
      <w:r w:rsidRPr="00ED2722">
        <w:rPr>
          <w:rFonts w:cs="Times New Roman"/>
          <w:szCs w:val="24"/>
          <w:lang w:val="fr-CA"/>
        </w:rPr>
        <w:t xml:space="preserve"> achetée par Glaxo Canada à </w:t>
      </w:r>
      <w:proofErr w:type="spellStart"/>
      <w:r w:rsidRPr="00ED2722">
        <w:rPr>
          <w:rFonts w:cs="Times New Roman"/>
          <w:szCs w:val="24"/>
          <w:lang w:val="fr-CA"/>
        </w:rPr>
        <w:t>Adechsa</w:t>
      </w:r>
      <w:proofErr w:type="spellEnd"/>
      <w:r w:rsidRPr="00ED2722">
        <w:rPr>
          <w:rFonts w:cs="Times New Roman"/>
          <w:szCs w:val="24"/>
          <w:lang w:val="fr-CA"/>
        </w:rPr>
        <w:t xml:space="preserve"> par rapport à celle de la </w:t>
      </w:r>
      <w:proofErr w:type="spellStart"/>
      <w:r w:rsidRPr="00ED2722">
        <w:rPr>
          <w:rFonts w:cs="Times New Roman"/>
          <w:szCs w:val="24"/>
          <w:lang w:val="fr-CA"/>
        </w:rPr>
        <w:t>ranitidine</w:t>
      </w:r>
      <w:proofErr w:type="spellEnd"/>
      <w:r w:rsidRPr="00ED2722">
        <w:rPr>
          <w:rFonts w:cs="Times New Roman"/>
          <w:szCs w:val="24"/>
          <w:lang w:val="fr-CA"/>
        </w:rPr>
        <w:t xml:space="preserve"> générique, laquelle n’est pas assortie de tels droits et avantages.  Ces caractéristiques devraient se voir accorder une certaine considération dans la détermination du prix qu’un acheteur sans lien de dépendance serait disposé à payer pour obtenir les mêmes droits et avantages et pour se procurer de la </w:t>
      </w:r>
      <w:proofErr w:type="spellStart"/>
      <w:r w:rsidRPr="00ED2722">
        <w:rPr>
          <w:rFonts w:cs="Times New Roman"/>
          <w:szCs w:val="24"/>
          <w:lang w:val="fr-CA"/>
        </w:rPr>
        <w:t>ranitidine</w:t>
      </w:r>
      <w:proofErr w:type="spellEnd"/>
      <w:r w:rsidRPr="00ED2722">
        <w:rPr>
          <w:rFonts w:cs="Times New Roman"/>
          <w:szCs w:val="24"/>
          <w:lang w:val="fr-CA"/>
        </w:rPr>
        <w:t xml:space="preserve"> auprès d’une source approuvée par le groupe Glaxo.  C’est uniquement après avoir dégagé les circonstances relatives au contrat de licence qui peuvent être rattachées au contrat de fourniture que des comparaisons au regard de situations de libre concurrence peuvent être effectuées au moyen de l’une ou l’autre des méthodes proposées par l’OCDE, ou de toute autre méthode.</w:t>
      </w:r>
    </w:p>
    <w:p w:rsidR="006B671D" w:rsidRPr="00ED2722" w:rsidRDefault="006B671D" w:rsidP="006B671D">
      <w:pPr>
        <w:pStyle w:val="ParaNoNdepar-AltN"/>
        <w:rPr>
          <w:rFonts w:cs="Times New Roman"/>
          <w:lang w:val="fr-CA"/>
        </w:rPr>
      </w:pPr>
      <w:r w:rsidRPr="00ED2722">
        <w:rPr>
          <w:rFonts w:cs="Times New Roman"/>
          <w:szCs w:val="24"/>
          <w:lang w:val="fr-CA"/>
        </w:rPr>
        <w:t xml:space="preserve">J’aimerais formuler les indications additionnelles suivantes en vue du réexamen de la question.  Premièrement, le par. 69(2) emploie les mots « montant raisonnable », expression qui reflète le fait que, pour reprendre les mots mêmes des </w:t>
      </w:r>
      <w:r w:rsidRPr="00ED2722">
        <w:rPr>
          <w:rFonts w:cs="Times New Roman"/>
          <w:i/>
          <w:szCs w:val="24"/>
          <w:lang w:val="fr-CA"/>
        </w:rPr>
        <w:t>Principes</w:t>
      </w:r>
      <w:r w:rsidRPr="00ED2722">
        <w:rPr>
          <w:rFonts w:cs="Times New Roman"/>
          <w:szCs w:val="24"/>
          <w:lang w:val="fr-CA"/>
        </w:rPr>
        <w:t xml:space="preserve"> de 1995, « la fixation de prix de transfert n’est pas une science exacte » (par. 1.45).  Il y a peu de chances que dans pratiquement tous les cas, les situations comparables retenues soient identiques à tous égards.  Il convient donc de laisser place à une certaine latitude dans la détermination du montant raisonnable.  Dès lors que le prix de transfert se situe à l’intérieur de ce que le tribunal estime être une fourchette raisonnable, les conditions prévues au par. 69(2) seraient respectées. Dans le cas contraire, le tribunal pourrait retenir, à l’intérieur de cette fourchette, un </w:t>
      </w:r>
      <w:r w:rsidRPr="00ED2722">
        <w:rPr>
          <w:rFonts w:cs="Times New Roman"/>
          <w:szCs w:val="24"/>
          <w:lang w:val="fr-CA"/>
        </w:rPr>
        <w:lastRenderedPageBreak/>
        <w:t>montant qu’il considère raisonnable dans les circonstances en appliquant une mesure statistique appropriée — par exemple une moyenne, une médiane ou une valeur modale —, eu égard aux éléments de preuve qu’il a jugé pertinents.  Je tiens à réitérer que comme il est fort peu probable que, quelle que soit la situation comparable choisie, celle-ci présente des circonstances identiques, le juge de la Cour de l’impôt devra exercer un jugement éclairé pour établir un prix de pleine concurrence satisfaisant.</w:t>
      </w:r>
    </w:p>
    <w:p w:rsidR="006B671D" w:rsidRPr="00ED2722" w:rsidRDefault="006B671D" w:rsidP="006B671D">
      <w:pPr>
        <w:pStyle w:val="ParaNoNdepar-AltN"/>
        <w:rPr>
          <w:rFonts w:cs="Times New Roman"/>
          <w:lang w:val="fr-CA"/>
        </w:rPr>
      </w:pPr>
      <w:r w:rsidRPr="00ED2722">
        <w:rPr>
          <w:rFonts w:cs="Times New Roman"/>
          <w:szCs w:val="24"/>
          <w:lang w:val="fr-CA"/>
        </w:rPr>
        <w:t>Deuxièmement, bien que l’appréciation de la preuve relève du juge de première instance, je soulignerai qu’il ne faut pas perdre de vue les fonctions et les rôles respectifs de Glaxo Canada et du groupe Glaxo.  La première exerçait des activités de fabrication et de commercialisation secondaires du Zantac.  Le second, auquel appartiennent les droits de propriété intellectuelle, accordait d’autres droits et avantages à Glaxo Canada.  La détermination du prix de transfert ne devrait pas se traduire par une mauvaise répartition des gains, qui ne tiendrait pas compte de ces différentes fonctions ainsi que des ressources et des risques inhérents à chacune. Comme il a été mentionné précédemment, c’est au juge de la Cour de l’impôt qu’il appartiendra de décider s’il est justifié ou non en l’espèce de reconnaître l’existence d’une contrepartie pour les droits de propriété intellectuelle.</w:t>
      </w:r>
    </w:p>
    <w:p w:rsidR="006B671D" w:rsidRPr="00ED2722" w:rsidRDefault="006B671D" w:rsidP="006B671D">
      <w:pPr>
        <w:pStyle w:val="ParaNoNdepar-AltN"/>
        <w:rPr>
          <w:rFonts w:cs="Times New Roman"/>
          <w:lang w:val="fr-CA"/>
        </w:rPr>
      </w:pPr>
      <w:r w:rsidRPr="00ED2722">
        <w:rPr>
          <w:rFonts w:cs="Times New Roman"/>
          <w:szCs w:val="24"/>
          <w:lang w:val="fr-CA"/>
        </w:rPr>
        <w:t xml:space="preserve">Troisièmement, les prix fixés par des parties n’ayant pas de lien de dépendance seront établis eu égard aux intérêts propres de chacune des parties à l’opération.  Il s’ensuit qu’il faut tenir compte à la fois des intérêts du groupe Glaxo et </w:t>
      </w:r>
      <w:r w:rsidRPr="00ED2722">
        <w:rPr>
          <w:rFonts w:cs="Times New Roman"/>
          <w:szCs w:val="24"/>
          <w:lang w:val="fr-CA"/>
        </w:rPr>
        <w:lastRenderedPageBreak/>
        <w:t>de ceux de Glaxo Canada.  Le calcul qui sera effectué conformément au critère de l’absence de lien de dépendance prévu au par. 69(2) devrait refléter ces réalités.</w:t>
      </w:r>
    </w:p>
    <w:p w:rsidR="006B671D" w:rsidRPr="00ED2722" w:rsidRDefault="006B671D" w:rsidP="006B671D">
      <w:pPr>
        <w:pStyle w:val="ParaNoNdepar-AltN"/>
        <w:rPr>
          <w:rFonts w:cs="Times New Roman"/>
          <w:lang w:val="fr-CA"/>
        </w:rPr>
      </w:pPr>
      <w:r w:rsidRPr="00ED2722">
        <w:rPr>
          <w:rFonts w:cs="Times New Roman"/>
          <w:szCs w:val="24"/>
          <w:lang w:val="fr-CA"/>
        </w:rPr>
        <w:t xml:space="preserve">Quatrièmement, il existe en l’espèce certains éléments de preuve tendant à indiquer que des distributeurs sans lien de dépendance ont estimé qu’il était dans leur intérêt de se procurer leur </w:t>
      </w:r>
      <w:proofErr w:type="spellStart"/>
      <w:r w:rsidRPr="00ED2722">
        <w:rPr>
          <w:rFonts w:cs="Times New Roman"/>
          <w:szCs w:val="24"/>
          <w:lang w:val="fr-CA"/>
        </w:rPr>
        <w:t>ranitidine</w:t>
      </w:r>
      <w:proofErr w:type="spellEnd"/>
      <w:r w:rsidRPr="00ED2722">
        <w:rPr>
          <w:rFonts w:cs="Times New Roman"/>
          <w:szCs w:val="24"/>
          <w:lang w:val="fr-CA"/>
        </w:rPr>
        <w:t xml:space="preserve"> auprès de l’un des fournisseurs du groupe Glaxo plutôt que de sources de produits génériques.  Ce fait donne à penser que des prix de transfert plus élevés que ceux de produits génériques sont justifiés et ne sont pas forcément supérieurs au montant raisonnable visé au par. 69(2).</w:t>
      </w:r>
    </w:p>
    <w:p w:rsidR="006B671D" w:rsidRPr="00ED2722" w:rsidRDefault="006B671D" w:rsidP="006B671D">
      <w:pPr>
        <w:pStyle w:val="ParaNoNdepar-AltN"/>
        <w:rPr>
          <w:rFonts w:cs="Times New Roman"/>
          <w:lang w:val="fr-CA"/>
        </w:rPr>
      </w:pPr>
      <w:r w:rsidRPr="00ED2722">
        <w:rPr>
          <w:rFonts w:cs="Times New Roman"/>
          <w:szCs w:val="24"/>
          <w:lang w:val="fr-CA"/>
        </w:rPr>
        <w:t xml:space="preserve">Je suis d’avis de rejeter le pourvoi et, pour les motifs qui suivent, de rejeter également le pourvoi incident et de renvoyer l’affaire au juge en chef adjoint </w:t>
      </w:r>
      <w:proofErr w:type="spellStart"/>
      <w:r w:rsidRPr="00ED2722">
        <w:rPr>
          <w:rFonts w:cs="Times New Roman"/>
          <w:szCs w:val="24"/>
          <w:lang w:val="fr-CA"/>
        </w:rPr>
        <w:t>Rip</w:t>
      </w:r>
      <w:proofErr w:type="spellEnd"/>
      <w:r w:rsidRPr="00ED2722">
        <w:rPr>
          <w:rFonts w:cs="Times New Roman"/>
          <w:szCs w:val="24"/>
          <w:lang w:val="fr-CA"/>
        </w:rPr>
        <w:t xml:space="preserve"> (maintenant juge en chef) pour réexamen.</w:t>
      </w:r>
    </w:p>
    <w:p w:rsidR="006B671D" w:rsidRPr="00ED2722" w:rsidRDefault="006B671D" w:rsidP="006C4366">
      <w:pPr>
        <w:pStyle w:val="TitleTitre-AltT"/>
        <w:keepNext/>
        <w:tabs>
          <w:tab w:val="clear" w:pos="360"/>
          <w:tab w:val="left" w:pos="540"/>
        </w:tabs>
        <w:ind w:left="540" w:hanging="540"/>
        <w:rPr>
          <w:rFonts w:cs="Times New Roman"/>
          <w:u w:val="single"/>
          <w:lang w:val="fr-CA"/>
        </w:rPr>
      </w:pPr>
      <w:r w:rsidRPr="00ED2722">
        <w:rPr>
          <w:rFonts w:cs="Times New Roman"/>
          <w:lang w:val="fr-CA"/>
        </w:rPr>
        <w:t>VI.</w:t>
      </w:r>
      <w:r w:rsidRPr="00ED2722">
        <w:rPr>
          <w:rFonts w:cs="Times New Roman"/>
          <w:lang w:val="fr-CA"/>
        </w:rPr>
        <w:tab/>
      </w:r>
      <w:r w:rsidRPr="00ED2722">
        <w:rPr>
          <w:rFonts w:cs="Times New Roman"/>
          <w:u w:val="single"/>
          <w:lang w:val="fr-CA"/>
        </w:rPr>
        <w:t>Le pourvoi incident</w:t>
      </w:r>
    </w:p>
    <w:p w:rsidR="006B671D" w:rsidRPr="00ED2722" w:rsidRDefault="006B671D" w:rsidP="006B671D">
      <w:pPr>
        <w:pStyle w:val="ParaNoNdepar-AltN"/>
        <w:rPr>
          <w:rFonts w:cs="Times New Roman"/>
          <w:lang w:val="fr-CA"/>
        </w:rPr>
      </w:pPr>
      <w:r w:rsidRPr="00ED2722">
        <w:rPr>
          <w:rFonts w:cs="Times New Roman"/>
          <w:lang w:val="fr-CA"/>
        </w:rPr>
        <w:t xml:space="preserve">Glaxo Canada a formé un pourvoi incident dans lequel elle soutient que la décision de la Cour d’appel fédérale de renvoyer l’affaire à la Cour de l’impôt pour réexamen devrait être infirmée.  Elle demande à notre Cour d’annuler la nouvelle cotisation au motif que, ayant </w:t>
      </w:r>
      <w:r w:rsidRPr="00ED2722">
        <w:rPr>
          <w:rFonts w:cs="Times New Roman"/>
          <w:smallCaps/>
          <w:lang w:val="fr-CA"/>
        </w:rPr>
        <w:t>[traduction]</w:t>
      </w:r>
      <w:r w:rsidRPr="00ED2722">
        <w:rPr>
          <w:rFonts w:cs="Times New Roman"/>
          <w:lang w:val="fr-CA"/>
        </w:rPr>
        <w:t xml:space="preserve"> « démoli » les hypothèses du ministre, elle s’est acquittée du fardeau qui lui incombait en tant que contribuable</w:t>
      </w:r>
      <w:r w:rsidR="0036133A">
        <w:rPr>
          <w:rFonts w:cs="Times New Roman"/>
          <w:lang w:val="fr-CA"/>
        </w:rPr>
        <w:t>.</w:t>
      </w:r>
    </w:p>
    <w:p w:rsidR="006B671D" w:rsidRPr="00ED2722" w:rsidRDefault="006B671D" w:rsidP="006B671D">
      <w:pPr>
        <w:pStyle w:val="ParaNoNdepar-AltN"/>
        <w:rPr>
          <w:rFonts w:cs="Times New Roman"/>
          <w:lang w:val="fr-CA"/>
        </w:rPr>
      </w:pPr>
      <w:r w:rsidRPr="00ED2722">
        <w:rPr>
          <w:rFonts w:cs="Times New Roman"/>
          <w:lang w:val="fr-CA"/>
        </w:rPr>
        <w:t xml:space="preserve">La Cour d’appel fédérale a renvoyé l’affaire à la Cour de l’impôt au motif que Glaxo Canada ne s’était pas acquittée du fardeau qui lui incombait de démontrer </w:t>
      </w:r>
      <w:r w:rsidRPr="00ED2722">
        <w:rPr>
          <w:rFonts w:cs="Times New Roman"/>
          <w:lang w:val="fr-CA"/>
        </w:rPr>
        <w:lastRenderedPageBreak/>
        <w:t xml:space="preserve">que les prix qu’elle avait payés à </w:t>
      </w:r>
      <w:proofErr w:type="spellStart"/>
      <w:r w:rsidRPr="00ED2722">
        <w:rPr>
          <w:rFonts w:cs="Times New Roman"/>
          <w:lang w:val="fr-CA"/>
        </w:rPr>
        <w:t>Adechsa</w:t>
      </w:r>
      <w:proofErr w:type="spellEnd"/>
      <w:r w:rsidRPr="00ED2722">
        <w:rPr>
          <w:rFonts w:cs="Times New Roman"/>
          <w:lang w:val="fr-CA"/>
        </w:rPr>
        <w:t xml:space="preserve"> pour la </w:t>
      </w:r>
      <w:proofErr w:type="spellStart"/>
      <w:r w:rsidRPr="00ED2722">
        <w:rPr>
          <w:rFonts w:cs="Times New Roman"/>
          <w:lang w:val="fr-CA"/>
        </w:rPr>
        <w:t>ranitidine</w:t>
      </w:r>
      <w:proofErr w:type="spellEnd"/>
      <w:r w:rsidRPr="00ED2722">
        <w:rPr>
          <w:rFonts w:cs="Times New Roman"/>
          <w:lang w:val="fr-CA"/>
        </w:rPr>
        <w:t xml:space="preserve"> étaient raisonnables au sens du par. 69(2) :</w:t>
      </w:r>
    </w:p>
    <w:p w:rsidR="006B671D" w:rsidRPr="00ED2722" w:rsidRDefault="006B671D" w:rsidP="000B4949">
      <w:pPr>
        <w:pStyle w:val="Citation-AltC"/>
        <w:tabs>
          <w:tab w:val="left" w:pos="1620"/>
        </w:tabs>
        <w:ind w:hanging="1166"/>
        <w:rPr>
          <w:lang w:val="fr-CA"/>
        </w:rPr>
      </w:pPr>
      <w:r w:rsidRPr="00ED2722">
        <w:rPr>
          <w:lang w:val="fr-CA"/>
        </w:rPr>
        <w:tab/>
      </w:r>
      <w:r w:rsidRPr="00ED2722">
        <w:rPr>
          <w:lang w:val="fr-CA"/>
        </w:rPr>
        <w:tab/>
      </w:r>
      <w:r w:rsidRPr="00ED2722">
        <w:rPr>
          <w:lang w:val="fr-FR"/>
        </w:rPr>
        <w:t xml:space="preserve">Je conclus donc que le juge a commis une erreur de droit en n’appliquant pas le bon critère pour déterminer « la somme qui aurait été raisonnable dans les circonstances » si l’appelante et </w:t>
      </w:r>
      <w:proofErr w:type="spellStart"/>
      <w:r w:rsidRPr="00ED2722">
        <w:rPr>
          <w:lang w:val="fr-FR"/>
        </w:rPr>
        <w:t>Adechsa</w:t>
      </w:r>
      <w:proofErr w:type="spellEnd"/>
      <w:r w:rsidRPr="00ED2722">
        <w:rPr>
          <w:lang w:val="fr-FR"/>
        </w:rPr>
        <w:t xml:space="preserve"> n’avaient pas eu de lien de dépendance.  L’avocat de l’appelante a fait valoir que, pour le cas où nous serions d’accord avec lui pour dire que le juge a commis une erreur en ne tenant pas compte du contrat de licence, nous devrions ensuite déterminer ce qui constitue « la somme raisonnable ».  À mon avis, il incombait non pas à nous mais au juge, qui a entendu les parties pendant plus d’une quarantaine de jours, de tirer cette conclusion. </w:t>
      </w:r>
      <w:r w:rsidRPr="00ED2722">
        <w:rPr>
          <w:lang w:val="fr-CA"/>
        </w:rPr>
        <w:t xml:space="preserve"> [</w:t>
      </w:r>
      <w:proofErr w:type="gramStart"/>
      <w:r w:rsidRPr="00ED2722">
        <w:rPr>
          <w:lang w:val="fr-CA"/>
        </w:rPr>
        <w:t>par</w:t>
      </w:r>
      <w:proofErr w:type="gramEnd"/>
      <w:r w:rsidRPr="00ED2722">
        <w:rPr>
          <w:lang w:val="fr-CA"/>
        </w:rPr>
        <w:t xml:space="preserve">. 82]  </w:t>
      </w:r>
    </w:p>
    <w:p w:rsidR="006B671D" w:rsidRPr="00ED2722" w:rsidRDefault="006B671D" w:rsidP="006B671D">
      <w:pPr>
        <w:pStyle w:val="ContinueParaSuitedupar-AltP"/>
        <w:rPr>
          <w:rFonts w:cs="Times New Roman"/>
          <w:lang w:val="fr-CA"/>
        </w:rPr>
      </w:pPr>
      <w:r w:rsidRPr="00ED2722">
        <w:rPr>
          <w:rFonts w:cs="Times New Roman"/>
          <w:lang w:val="fr-CA"/>
        </w:rPr>
        <w:t xml:space="preserve">La Cour d’appel fédérale a refusé de procéder à une telle détermination, expliquant qu’elle n’était pas en mesure de dire si le dossier était suffisant à cet égard.  Elle a renvoyé l’affaire au juge de la Cour de l’impôt pour qu’il décide si la détermination pouvait être effectuée à la lumière du dossier existant ou </w:t>
      </w:r>
      <w:r w:rsidRPr="00ED2722">
        <w:rPr>
          <w:rFonts w:cs="Times New Roman"/>
          <w:lang w:val="fr-FR"/>
        </w:rPr>
        <w:t>si des éléments de preuve supplémentaires étaient nécessaires.</w:t>
      </w:r>
    </w:p>
    <w:p w:rsidR="006B671D" w:rsidRPr="00ED2722" w:rsidRDefault="006B671D" w:rsidP="006B671D">
      <w:pPr>
        <w:pStyle w:val="ParaNoNdepar-AltN"/>
        <w:rPr>
          <w:rFonts w:cs="Times New Roman"/>
          <w:lang w:val="fr-CA"/>
        </w:rPr>
      </w:pPr>
      <w:r w:rsidRPr="00ED2722">
        <w:rPr>
          <w:rFonts w:cs="Times New Roman"/>
          <w:lang w:val="fr-CA"/>
        </w:rPr>
        <w:t>Glaxo Canada prétend que, comme le choix par le ministre d’opérations réalisées par des sociétés pharmaceutiques fabriquant des produits génériques comme situations comparables est à la base de la cotisation qu’il a établie, il lui incombait uniquement de démontrer que ces opérations ne constituaient pas le bon élément de comparaison.  De l’avis de Glaxo Canada, si le tribunal conclut en ce sens</w:t>
      </w:r>
      <w:r w:rsidR="000B4949" w:rsidRPr="00ED2722">
        <w:rPr>
          <w:rFonts w:cs="Times New Roman"/>
          <w:lang w:val="fr-CA"/>
        </w:rPr>
        <w:t>,</w:t>
      </w:r>
      <w:r w:rsidRPr="00ED2722">
        <w:rPr>
          <w:rFonts w:cs="Times New Roman"/>
          <w:lang w:val="fr-CA"/>
        </w:rPr>
        <w:t xml:space="preserve"> elle aura démoli le fondement de la cotisation et se sera ainsi acquittée de son fardeau de preuve.</w:t>
      </w:r>
    </w:p>
    <w:p w:rsidR="006B671D" w:rsidRPr="00ED2722" w:rsidRDefault="006B671D" w:rsidP="006B671D">
      <w:pPr>
        <w:pStyle w:val="ParaNoNdepar-AltN"/>
        <w:rPr>
          <w:rFonts w:cs="Times New Roman"/>
          <w:lang w:val="fr-CA"/>
        </w:rPr>
      </w:pPr>
      <w:r w:rsidRPr="00ED2722">
        <w:rPr>
          <w:rFonts w:cs="Times New Roman"/>
          <w:lang w:val="fr-CA"/>
        </w:rPr>
        <w:lastRenderedPageBreak/>
        <w:t xml:space="preserve">Le ministre affirme de son côté que le fondement de la cotisation est sa conclusion que les prix payés par Glaxo Canada pour la </w:t>
      </w:r>
      <w:proofErr w:type="spellStart"/>
      <w:r w:rsidRPr="00ED2722">
        <w:rPr>
          <w:rFonts w:cs="Times New Roman"/>
          <w:lang w:val="fr-CA"/>
        </w:rPr>
        <w:t>ranitidine</w:t>
      </w:r>
      <w:proofErr w:type="spellEnd"/>
      <w:r w:rsidRPr="00ED2722">
        <w:rPr>
          <w:rFonts w:cs="Times New Roman"/>
          <w:lang w:val="fr-CA"/>
        </w:rPr>
        <w:t xml:space="preserve"> n’étaient pas raisonnables.  Sa décision de choisir des fabricants de produits génériques comme élément de comparaison était simplement un moyen qu’il avait retenu pour démontrer le caractère déraisonnable des prix.</w:t>
      </w:r>
    </w:p>
    <w:p w:rsidR="006B671D" w:rsidRPr="00ED2722" w:rsidRDefault="006B671D" w:rsidP="006B671D">
      <w:pPr>
        <w:pStyle w:val="ParaNoNdepar-AltN"/>
        <w:rPr>
          <w:rFonts w:cs="Times New Roman"/>
          <w:lang w:val="fr-CA"/>
        </w:rPr>
      </w:pPr>
      <w:r w:rsidRPr="00ED2722">
        <w:rPr>
          <w:rFonts w:cs="Times New Roman"/>
          <w:lang w:val="fr-CA"/>
        </w:rPr>
        <w:t xml:space="preserve">Le fondement de la cotisation se trouve dans les hypothèses formulées par le ministre dans sa Réponse modifiée à l’Avis d’appel modifié de Glaxo Canada.  Voici les hypothèses 14p) et </w:t>
      </w:r>
      <w:proofErr w:type="spellStart"/>
      <w:r w:rsidRPr="00ED2722">
        <w:rPr>
          <w:rFonts w:cs="Times New Roman"/>
          <w:lang w:val="fr-CA"/>
        </w:rPr>
        <w:t>r.A</w:t>
      </w:r>
      <w:proofErr w:type="spellEnd"/>
      <w:r w:rsidRPr="00ED2722">
        <w:rPr>
          <w:rFonts w:cs="Times New Roman"/>
          <w:lang w:val="fr-CA"/>
        </w:rPr>
        <w:t>) :</w:t>
      </w:r>
    </w:p>
    <w:p w:rsidR="006B671D" w:rsidRPr="00ED2722" w:rsidRDefault="006B671D" w:rsidP="006B671D">
      <w:pPr>
        <w:pStyle w:val="Citation-AltC"/>
        <w:keepNext/>
        <w:spacing w:after="240"/>
        <w:contextualSpacing w:val="0"/>
        <w:rPr>
          <w:smallCaps/>
          <w:lang w:val="fr-CA"/>
        </w:rPr>
      </w:pPr>
      <w:r w:rsidRPr="00ED2722">
        <w:rPr>
          <w:smallCaps/>
          <w:lang w:val="fr-CA"/>
        </w:rPr>
        <w:t>[traduction]</w:t>
      </w:r>
    </w:p>
    <w:p w:rsidR="006B671D" w:rsidRPr="00ED2722" w:rsidRDefault="000B4949" w:rsidP="000B4949">
      <w:pPr>
        <w:pStyle w:val="Citation-AltC"/>
        <w:tabs>
          <w:tab w:val="left" w:pos="1170"/>
          <w:tab w:val="left" w:pos="1620"/>
        </w:tabs>
        <w:spacing w:after="240"/>
        <w:ind w:left="1620" w:hanging="1620"/>
        <w:contextualSpacing w:val="0"/>
        <w:rPr>
          <w:lang w:val="fr-CA"/>
        </w:rPr>
      </w:pPr>
      <w:r w:rsidRPr="00ED2722">
        <w:rPr>
          <w:lang w:val="fr-CA"/>
        </w:rPr>
        <w:tab/>
        <w:t>p)</w:t>
      </w:r>
      <w:r w:rsidRPr="00ED2722">
        <w:rPr>
          <w:lang w:val="fr-CA"/>
        </w:rPr>
        <w:tab/>
        <w:t>l’A</w:t>
      </w:r>
      <w:r w:rsidR="006B671D" w:rsidRPr="00ED2722">
        <w:rPr>
          <w:lang w:val="fr-CA"/>
        </w:rPr>
        <w:t xml:space="preserve">ppelante a payé à </w:t>
      </w:r>
      <w:proofErr w:type="spellStart"/>
      <w:r w:rsidR="006B671D" w:rsidRPr="00ED2722">
        <w:rPr>
          <w:lang w:val="fr-CA"/>
        </w:rPr>
        <w:t>Adechsa</w:t>
      </w:r>
      <w:proofErr w:type="spellEnd"/>
      <w:r w:rsidR="006B671D" w:rsidRPr="00ED2722">
        <w:rPr>
          <w:lang w:val="fr-CA"/>
        </w:rPr>
        <w:t xml:space="preserve">, avec qui elle avait un lien de dépendance, un prix pour la </w:t>
      </w:r>
      <w:proofErr w:type="spellStart"/>
      <w:r w:rsidR="006B671D" w:rsidRPr="00ED2722">
        <w:rPr>
          <w:lang w:val="fr-CA"/>
        </w:rPr>
        <w:t>ranitidine</w:t>
      </w:r>
      <w:proofErr w:type="spellEnd"/>
      <w:r w:rsidR="006B671D" w:rsidRPr="00ED2722">
        <w:rPr>
          <w:lang w:val="fr-CA"/>
        </w:rPr>
        <w:t xml:space="preserve"> qui était supérieur au montant </w:t>
      </w:r>
      <w:r w:rsidR="006B671D" w:rsidRPr="00ED2722">
        <w:rPr>
          <w:szCs w:val="24"/>
          <w:lang w:val="fr-CA"/>
        </w:rPr>
        <w:t xml:space="preserve">qui aurait été raisonnable dans les circonstances si </w:t>
      </w:r>
      <w:r w:rsidRPr="00ED2722">
        <w:rPr>
          <w:szCs w:val="24"/>
          <w:lang w:val="fr-CA"/>
        </w:rPr>
        <w:t>l’A</w:t>
      </w:r>
      <w:r w:rsidR="006B671D" w:rsidRPr="00ED2722">
        <w:rPr>
          <w:szCs w:val="24"/>
          <w:lang w:val="fr-CA"/>
        </w:rPr>
        <w:t xml:space="preserve">ppelante et </w:t>
      </w:r>
      <w:proofErr w:type="spellStart"/>
      <w:r w:rsidR="006B671D" w:rsidRPr="00ED2722">
        <w:rPr>
          <w:szCs w:val="24"/>
          <w:lang w:val="fr-CA"/>
        </w:rPr>
        <w:t>Adechsa</w:t>
      </w:r>
      <w:proofErr w:type="spellEnd"/>
      <w:r w:rsidR="006B671D" w:rsidRPr="00ED2722">
        <w:rPr>
          <w:szCs w:val="24"/>
          <w:lang w:val="fr-CA"/>
        </w:rPr>
        <w:t xml:space="preserve"> n’avaient eu aucun lien de dépendance;</w:t>
      </w:r>
      <w:r w:rsidR="006B671D" w:rsidRPr="00ED2722">
        <w:rPr>
          <w:lang w:val="fr-CA"/>
        </w:rPr>
        <w:t xml:space="preserve"> </w:t>
      </w:r>
    </w:p>
    <w:p w:rsidR="006B671D" w:rsidRPr="00ED2722" w:rsidRDefault="000B4949" w:rsidP="000B4949">
      <w:pPr>
        <w:pStyle w:val="Citation-AltC"/>
        <w:tabs>
          <w:tab w:val="left" w:pos="1170"/>
          <w:tab w:val="left" w:pos="1620"/>
        </w:tabs>
        <w:ind w:left="1627" w:hanging="1627"/>
        <w:contextualSpacing w:val="0"/>
        <w:rPr>
          <w:lang w:val="fr-CA"/>
        </w:rPr>
      </w:pPr>
      <w:r w:rsidRPr="00ED2722">
        <w:rPr>
          <w:lang w:val="fr-CA"/>
        </w:rPr>
        <w:tab/>
      </w:r>
      <w:proofErr w:type="spellStart"/>
      <w:proofErr w:type="gramStart"/>
      <w:r w:rsidRPr="00ED2722">
        <w:rPr>
          <w:lang w:val="fr-CA"/>
        </w:rPr>
        <w:t>r.A</w:t>
      </w:r>
      <w:proofErr w:type="spellEnd"/>
      <w:proofErr w:type="gramEnd"/>
      <w:r w:rsidRPr="00ED2722">
        <w:rPr>
          <w:lang w:val="fr-CA"/>
        </w:rPr>
        <w:t>)</w:t>
      </w:r>
      <w:r w:rsidRPr="00ED2722">
        <w:rPr>
          <w:lang w:val="fr-CA"/>
        </w:rPr>
        <w:tab/>
        <w:t>les sommes payées par l’A</w:t>
      </w:r>
      <w:r w:rsidR="006B671D" w:rsidRPr="00ED2722">
        <w:rPr>
          <w:lang w:val="fr-CA"/>
        </w:rPr>
        <w:t xml:space="preserve">ppelante à </w:t>
      </w:r>
      <w:proofErr w:type="spellStart"/>
      <w:r w:rsidR="006B671D" w:rsidRPr="00ED2722">
        <w:rPr>
          <w:lang w:val="fr-CA"/>
        </w:rPr>
        <w:t>Adechsa</w:t>
      </w:r>
      <w:proofErr w:type="spellEnd"/>
      <w:r w:rsidR="006B671D" w:rsidRPr="00ED2722">
        <w:rPr>
          <w:lang w:val="fr-CA"/>
        </w:rPr>
        <w:t xml:space="preserve"> en sus des prix payés par d’autres sociétés pharmaceutiques canadiennes (ainsi qu’il est précisé à l’annexe A </w:t>
      </w:r>
      <w:proofErr w:type="spellStart"/>
      <w:r w:rsidR="006B671D" w:rsidRPr="00ED2722">
        <w:rPr>
          <w:lang w:val="fr-CA"/>
        </w:rPr>
        <w:t>ci</w:t>
      </w:r>
      <w:r w:rsidR="006B671D" w:rsidRPr="00ED2722">
        <w:rPr>
          <w:lang w:val="fr-CA"/>
        </w:rPr>
        <w:noBreakHyphen/>
        <w:t>jointe</w:t>
      </w:r>
      <w:proofErr w:type="spellEnd"/>
      <w:r w:rsidR="006B671D" w:rsidRPr="00ED2722">
        <w:rPr>
          <w:lang w:val="fr-CA"/>
        </w:rPr>
        <w:t xml:space="preserve">) n’étaient pas versées pour la </w:t>
      </w:r>
      <w:proofErr w:type="spellStart"/>
      <w:r w:rsidR="006B671D" w:rsidRPr="00ED2722">
        <w:rPr>
          <w:lang w:val="fr-CA"/>
        </w:rPr>
        <w:t>ranitidine</w:t>
      </w:r>
      <w:proofErr w:type="spellEnd"/>
      <w:r w:rsidR="006B671D" w:rsidRPr="00ED2722">
        <w:rPr>
          <w:lang w:val="fr-CA"/>
        </w:rPr>
        <w:t xml:space="preserve"> fournie;</w:t>
      </w:r>
    </w:p>
    <w:p w:rsidR="006B671D" w:rsidRPr="00ED2722" w:rsidRDefault="006B671D" w:rsidP="006B671D">
      <w:pPr>
        <w:pStyle w:val="ParaNoNdepar-AltN"/>
        <w:rPr>
          <w:rFonts w:cs="Times New Roman"/>
          <w:lang w:val="fr-CA"/>
        </w:rPr>
      </w:pPr>
      <w:r w:rsidRPr="00ED2722">
        <w:rPr>
          <w:rFonts w:cs="Times New Roman"/>
          <w:lang w:val="fr-CA"/>
        </w:rPr>
        <w:t>Glaxo Canada soutient en fait que l’hypothèse </w:t>
      </w:r>
      <w:proofErr w:type="spellStart"/>
      <w:r w:rsidRPr="00ED2722">
        <w:rPr>
          <w:rFonts w:cs="Times New Roman"/>
          <w:lang w:val="fr-CA"/>
        </w:rPr>
        <w:t>14r.A</w:t>
      </w:r>
      <w:proofErr w:type="spellEnd"/>
      <w:r w:rsidRPr="00ED2722">
        <w:rPr>
          <w:rFonts w:cs="Times New Roman"/>
          <w:lang w:val="fr-CA"/>
        </w:rPr>
        <w:t xml:space="preserve">) constitue le seul fondement de la cotisation et qu’elle a démoli cette hypothèse. Le ministre affirme pour sa part que l’hypothèse 14p) est le fondement de la cotisation. Le texte des hypothèses étaye la position du ministre. Dans le cas qui nous occupe, l’hypothèse 14p) énonce la disposition législative sur laquelle repose la nouvelle cotisation, qu’elle fait carrément relever du par. 69(2).  L’obligation du contribuable </w:t>
      </w:r>
      <w:r w:rsidRPr="00ED2722">
        <w:rPr>
          <w:rFonts w:cs="Times New Roman"/>
          <w:lang w:val="fr-CA"/>
        </w:rPr>
        <w:lastRenderedPageBreak/>
        <w:t>est régie par la Loi et le ministre tient son pouvoir d’établir une nouvelle cotisation d’une ou de plusieurs dispositions particulières de celle-ci.</w:t>
      </w:r>
    </w:p>
    <w:p w:rsidR="006B671D" w:rsidRPr="00ED2722" w:rsidRDefault="006B671D" w:rsidP="006B671D">
      <w:pPr>
        <w:pStyle w:val="ParaNoNdepar-AltN"/>
        <w:rPr>
          <w:rFonts w:cs="Times New Roman"/>
          <w:lang w:val="fr-CA"/>
        </w:rPr>
      </w:pPr>
      <w:r w:rsidRPr="00ED2722">
        <w:rPr>
          <w:rFonts w:cs="Times New Roman"/>
          <w:lang w:val="fr-CA"/>
        </w:rPr>
        <w:t xml:space="preserve">Dans l’arrêt </w:t>
      </w:r>
      <w:proofErr w:type="spellStart"/>
      <w:r w:rsidRPr="00ED2722">
        <w:rPr>
          <w:rFonts w:cs="Times New Roman"/>
          <w:i/>
          <w:lang w:val="fr-CA"/>
        </w:rPr>
        <w:t>Hickman</w:t>
      </w:r>
      <w:proofErr w:type="spellEnd"/>
      <w:r w:rsidRPr="00ED2722">
        <w:rPr>
          <w:rFonts w:cs="Times New Roman"/>
          <w:i/>
          <w:lang w:val="fr-CA"/>
        </w:rPr>
        <w:t xml:space="preserve"> Motors Ltd. c. Canada</w:t>
      </w:r>
      <w:r w:rsidRPr="00ED2722">
        <w:rPr>
          <w:rFonts w:cs="Times New Roman"/>
          <w:lang w:val="fr-CA"/>
        </w:rPr>
        <w:t>, [1997] 2 R.C.S. 336, la juge L’</w:t>
      </w:r>
      <w:proofErr w:type="spellStart"/>
      <w:r w:rsidRPr="00ED2722">
        <w:rPr>
          <w:rFonts w:cs="Times New Roman"/>
          <w:lang w:val="fr-CA"/>
        </w:rPr>
        <w:t>Heureux</w:t>
      </w:r>
      <w:r w:rsidRPr="00ED2722">
        <w:rPr>
          <w:rFonts w:cs="Times New Roman"/>
          <w:lang w:val="fr-CA"/>
        </w:rPr>
        <w:noBreakHyphen/>
        <w:t>Dubé</w:t>
      </w:r>
      <w:proofErr w:type="spellEnd"/>
      <w:r w:rsidRPr="00ED2722">
        <w:rPr>
          <w:rFonts w:cs="Times New Roman"/>
          <w:lang w:val="fr-CA"/>
        </w:rPr>
        <w:t xml:space="preserve"> affirme que le fardeau du contribuable « consiste [. . .] à </w:t>
      </w:r>
      <w:r w:rsidR="000B4949" w:rsidRPr="00ED2722">
        <w:rPr>
          <w:rFonts w:cs="Times New Roman"/>
          <w:lang w:val="fr-CA"/>
        </w:rPr>
        <w:t>“</w:t>
      </w:r>
      <w:r w:rsidRPr="00ED2722">
        <w:rPr>
          <w:rFonts w:cs="Times New Roman"/>
          <w:lang w:val="fr-CA"/>
        </w:rPr>
        <w:t>démolir</w:t>
      </w:r>
      <w:r w:rsidR="000B4949" w:rsidRPr="00ED2722">
        <w:rPr>
          <w:rFonts w:cs="Times New Roman"/>
          <w:lang w:val="fr-CA"/>
        </w:rPr>
        <w:t>”</w:t>
      </w:r>
      <w:r w:rsidRPr="00ED2722">
        <w:rPr>
          <w:rFonts w:cs="Times New Roman"/>
          <w:lang w:val="fr-CA"/>
        </w:rPr>
        <w:t> les présomptions exactes qu’a utilisées le ministre, mais rien de plus » (par. 92 (soulignements omis)).  En l’espèce, on peut sans crainte affirmer que l’hypothèse </w:t>
      </w:r>
      <w:proofErr w:type="spellStart"/>
      <w:r w:rsidRPr="00ED2722">
        <w:rPr>
          <w:rFonts w:cs="Times New Roman"/>
          <w:lang w:val="fr-CA"/>
        </w:rPr>
        <w:t>14r.A</w:t>
      </w:r>
      <w:proofErr w:type="spellEnd"/>
      <w:r w:rsidRPr="00ED2722">
        <w:rPr>
          <w:rFonts w:cs="Times New Roman"/>
          <w:lang w:val="fr-CA"/>
        </w:rPr>
        <w:t xml:space="preserve">) du ministre selon laquelle les prix payés par </w:t>
      </w:r>
      <w:proofErr w:type="spellStart"/>
      <w:r w:rsidRPr="00ED2722">
        <w:rPr>
          <w:rFonts w:cs="Times New Roman"/>
          <w:lang w:val="fr-CA"/>
        </w:rPr>
        <w:t>Apotex</w:t>
      </w:r>
      <w:proofErr w:type="spellEnd"/>
      <w:r w:rsidRPr="00ED2722">
        <w:rPr>
          <w:rFonts w:cs="Times New Roman"/>
          <w:lang w:val="fr-CA"/>
        </w:rPr>
        <w:t xml:space="preserve"> et par </w:t>
      </w:r>
      <w:proofErr w:type="spellStart"/>
      <w:r w:rsidRPr="00ED2722">
        <w:rPr>
          <w:rFonts w:cs="Times New Roman"/>
          <w:lang w:val="fr-CA"/>
        </w:rPr>
        <w:t>Novopharm</w:t>
      </w:r>
      <w:proofErr w:type="spellEnd"/>
      <w:r w:rsidRPr="00ED2722">
        <w:rPr>
          <w:rFonts w:cs="Times New Roman"/>
          <w:lang w:val="fr-CA"/>
        </w:rPr>
        <w:t xml:space="preserve"> constituent, sans ajustement, des opérations comparables pour l’application de la méthode du PCML a effectivement été démolie.  Par contre, l’hypothèse 14p) ne l’a pas été.</w:t>
      </w:r>
    </w:p>
    <w:p w:rsidR="006B671D" w:rsidRPr="00ED2722" w:rsidRDefault="006B671D" w:rsidP="006B671D">
      <w:pPr>
        <w:pStyle w:val="ParaNoNdepar-AltN"/>
        <w:rPr>
          <w:rFonts w:cs="Times New Roman"/>
          <w:lang w:val="fr-CA"/>
        </w:rPr>
      </w:pPr>
      <w:r w:rsidRPr="00ED2722">
        <w:rPr>
          <w:rFonts w:cs="Times New Roman"/>
          <w:lang w:val="fr-CA"/>
        </w:rPr>
        <w:t>D’ailleurs, devant la Cour de l’impôt, Glaxo Canada a tenté de démontrer le caractère raisonnable des prix qu’elle avait payés, mais le juge de la Cour de l’impôt n’a pas retenu les éléments de preuve ni les arguments qu’elle avait présentés.  En d’autres termes, Glaxo Canada a accepté qu’il lui incombait de démontrer que les prix qu’elle avait payés étaient raisonnables au sens du par. 69(2).  Si elle avait réussi à le faire, l’hypothèse 14p) ainsi que l’hypothèse </w:t>
      </w:r>
      <w:proofErr w:type="spellStart"/>
      <w:r w:rsidRPr="00ED2722">
        <w:rPr>
          <w:rFonts w:cs="Times New Roman"/>
          <w:lang w:val="fr-CA"/>
        </w:rPr>
        <w:t>14r.A</w:t>
      </w:r>
      <w:proofErr w:type="spellEnd"/>
      <w:r w:rsidRPr="00ED2722">
        <w:rPr>
          <w:rFonts w:cs="Times New Roman"/>
          <w:lang w:val="fr-CA"/>
        </w:rPr>
        <w:t>) auraient toutes les deux été démolies.</w:t>
      </w:r>
    </w:p>
    <w:p w:rsidR="006B671D" w:rsidRPr="00ED2722" w:rsidRDefault="006B671D" w:rsidP="006B671D">
      <w:pPr>
        <w:pStyle w:val="ParaNoNdepar-AltN"/>
        <w:rPr>
          <w:rFonts w:cs="Times New Roman"/>
          <w:lang w:val="fr-CA"/>
        </w:rPr>
      </w:pPr>
      <w:r w:rsidRPr="00ED2722">
        <w:rPr>
          <w:rFonts w:cs="Times New Roman"/>
          <w:lang w:val="fr-CA"/>
        </w:rPr>
        <w:t xml:space="preserve">Pour l’heure, l’hypothèse suivant laquelle les prix que Glaxo Canada a payés pour se procurer de la </w:t>
      </w:r>
      <w:proofErr w:type="spellStart"/>
      <w:r w:rsidRPr="00ED2722">
        <w:rPr>
          <w:rFonts w:cs="Times New Roman"/>
          <w:lang w:val="fr-CA"/>
        </w:rPr>
        <w:t>ranitidine</w:t>
      </w:r>
      <w:proofErr w:type="spellEnd"/>
      <w:r w:rsidRPr="00ED2722">
        <w:rPr>
          <w:rFonts w:cs="Times New Roman"/>
          <w:lang w:val="fr-CA"/>
        </w:rPr>
        <w:t xml:space="preserve"> étaient plus élevés que ceux qui auraient été raisonnables dans les circonstances si </w:t>
      </w:r>
      <w:proofErr w:type="spellStart"/>
      <w:r w:rsidRPr="00ED2722">
        <w:rPr>
          <w:rFonts w:cs="Times New Roman"/>
          <w:lang w:val="fr-CA"/>
        </w:rPr>
        <w:t>Adechsa</w:t>
      </w:r>
      <w:proofErr w:type="spellEnd"/>
      <w:r w:rsidRPr="00ED2722">
        <w:rPr>
          <w:rFonts w:cs="Times New Roman"/>
          <w:lang w:val="fr-CA"/>
        </w:rPr>
        <w:t xml:space="preserve"> et elle n’avaient pas eu de lien de </w:t>
      </w:r>
      <w:r w:rsidRPr="00ED2722">
        <w:rPr>
          <w:rFonts w:cs="Times New Roman"/>
          <w:lang w:val="fr-CA"/>
        </w:rPr>
        <w:lastRenderedPageBreak/>
        <w:t>dépendance entre elles n’a pas été démolie.  Par conséquent, l’hypothèse 14p) tient toujours.</w:t>
      </w:r>
    </w:p>
    <w:p w:rsidR="006B671D" w:rsidRPr="00ED2722" w:rsidRDefault="006B671D" w:rsidP="006B671D">
      <w:pPr>
        <w:pStyle w:val="ParaNoNdepar-AltN"/>
        <w:rPr>
          <w:rFonts w:cs="Times New Roman"/>
          <w:lang w:val="fr-CA"/>
        </w:rPr>
      </w:pPr>
      <w:r w:rsidRPr="00ED2722">
        <w:rPr>
          <w:rFonts w:cs="Times New Roman"/>
          <w:lang w:val="fr-CA"/>
        </w:rPr>
        <w:t>Devant la Cour d’appel fédérale, Glaxo Canada a fait valoir que celle-ci pouvait déterminer « le montant raisonnable ».  Si la Cour d’appel fédérale pouvait déterminer le montant raisonnable, je ne vois pas pourquoi elle ne pouvait pas renvoyer l’affaire à la Cour de l’impôt pour qu’elle se prononce sur cette question précise.</w:t>
      </w:r>
    </w:p>
    <w:p w:rsidR="006B671D" w:rsidRPr="00ED2722" w:rsidRDefault="006B671D" w:rsidP="006B671D">
      <w:pPr>
        <w:pStyle w:val="ParaNoNdepar-AltN"/>
        <w:rPr>
          <w:rFonts w:cs="Times New Roman"/>
          <w:lang w:val="fr-CA"/>
        </w:rPr>
      </w:pPr>
      <w:r w:rsidRPr="00ED2722">
        <w:rPr>
          <w:rFonts w:cs="Times New Roman"/>
          <w:lang w:val="fr-CA"/>
        </w:rPr>
        <w:t xml:space="preserve">À l’instar de la Cour d’appel fédérale, je suis d’avis de renvoyer l’affaire à la Cour de l’impôt pour qu’elle réexamine la question en tenant compte de l’incidence du contrat de licence sur les prix payés par Glaxo Canada pour se procurer de la </w:t>
      </w:r>
      <w:proofErr w:type="spellStart"/>
      <w:r w:rsidRPr="00ED2722">
        <w:rPr>
          <w:rFonts w:cs="Times New Roman"/>
          <w:lang w:val="fr-CA"/>
        </w:rPr>
        <w:t>ranitidine</w:t>
      </w:r>
      <w:proofErr w:type="spellEnd"/>
      <w:r w:rsidRPr="00ED2722">
        <w:rPr>
          <w:rFonts w:cs="Times New Roman"/>
          <w:lang w:val="fr-CA"/>
        </w:rPr>
        <w:t xml:space="preserve"> auprès d’</w:t>
      </w:r>
      <w:proofErr w:type="spellStart"/>
      <w:r w:rsidRPr="00ED2722">
        <w:rPr>
          <w:rFonts w:cs="Times New Roman"/>
          <w:lang w:val="fr-CA"/>
        </w:rPr>
        <w:t>Adechsa</w:t>
      </w:r>
      <w:proofErr w:type="spellEnd"/>
      <w:r w:rsidRPr="00ED2722">
        <w:rPr>
          <w:rFonts w:cs="Times New Roman"/>
          <w:lang w:val="fr-CA"/>
        </w:rPr>
        <w:t xml:space="preserve">.  Le juge de la Cour de l’impôt devrait examiner les nouveaux éléments de preuve que les parties demanderont à lui présenter et qu’il voudra recevoir. </w:t>
      </w:r>
    </w:p>
    <w:p w:rsidR="006B671D" w:rsidRPr="00ED2722" w:rsidRDefault="006B671D" w:rsidP="00942FBD">
      <w:pPr>
        <w:pStyle w:val="TitleTitre-AltT"/>
        <w:keepNext/>
        <w:tabs>
          <w:tab w:val="clear" w:pos="360"/>
        </w:tabs>
        <w:ind w:left="540" w:hanging="540"/>
        <w:rPr>
          <w:rFonts w:cs="Times New Roman"/>
          <w:lang w:val="fr-CA"/>
        </w:rPr>
      </w:pPr>
      <w:r w:rsidRPr="00ED2722">
        <w:rPr>
          <w:rFonts w:cs="Times New Roman"/>
          <w:lang w:val="fr-CA"/>
        </w:rPr>
        <w:t>VII.</w:t>
      </w:r>
      <w:r w:rsidRPr="00ED2722">
        <w:rPr>
          <w:rFonts w:cs="Times New Roman"/>
          <w:lang w:val="fr-CA"/>
        </w:rPr>
        <w:tab/>
      </w:r>
      <w:r w:rsidRPr="00ED2722">
        <w:rPr>
          <w:rFonts w:cs="Times New Roman"/>
          <w:u w:val="single"/>
          <w:lang w:val="fr-CA"/>
        </w:rPr>
        <w:t>Conclusion</w:t>
      </w:r>
    </w:p>
    <w:p w:rsidR="006B671D" w:rsidRPr="00ED2722" w:rsidRDefault="006B671D" w:rsidP="006B671D">
      <w:pPr>
        <w:pStyle w:val="ParaNoNdepar-AltN"/>
        <w:rPr>
          <w:rFonts w:cs="Times New Roman"/>
          <w:lang w:val="fr-CA"/>
        </w:rPr>
      </w:pPr>
      <w:r w:rsidRPr="00ED2722">
        <w:rPr>
          <w:rFonts w:cs="Times New Roman"/>
          <w:lang w:val="fr-CA"/>
        </w:rPr>
        <w:t xml:space="preserve">Je suis d’avis de rejeter le pourvoi avec dépens devant toutes les cours, de rejeter le pourvoi incident avec dépens devant notre Cour et de renvoyer l’affaire à la Cour de l’impôt pour réexamen. </w:t>
      </w:r>
    </w:p>
    <w:p w:rsidR="006B671D" w:rsidRPr="00ED2722" w:rsidRDefault="006B671D" w:rsidP="006B671D">
      <w:pPr>
        <w:pStyle w:val="ParaNoNdepar-AltN"/>
        <w:numPr>
          <w:ilvl w:val="0"/>
          <w:numId w:val="0"/>
        </w:numPr>
        <w:rPr>
          <w:rFonts w:cs="Times New Roman"/>
          <w:lang w:val="fr-CA"/>
        </w:rPr>
      </w:pPr>
    </w:p>
    <w:p w:rsidR="004D7D95" w:rsidRPr="00ED2722" w:rsidRDefault="004D7D95" w:rsidP="006B671D">
      <w:pPr>
        <w:pStyle w:val="SCCNormalDoubleSpacing"/>
        <w:spacing w:after="480"/>
        <w:rPr>
          <w:lang w:val="fr-CA"/>
        </w:rPr>
      </w:pPr>
      <w:r w:rsidRPr="00ED2722">
        <w:rPr>
          <w:lang w:val="fr-CA"/>
        </w:rPr>
        <w:lastRenderedPageBreak/>
        <w:tab/>
      </w:r>
      <w:r w:rsidR="005828B3" w:rsidRPr="00ED2722">
        <w:rPr>
          <w:i/>
          <w:lang w:val="fr-CA"/>
        </w:rPr>
        <w:t>Pourvoi et pourvoi incident rejetés</w:t>
      </w:r>
      <w:r w:rsidR="007A6CBF" w:rsidRPr="00ED2722">
        <w:rPr>
          <w:i/>
          <w:lang w:val="fr-CA"/>
        </w:rPr>
        <w:t xml:space="preserve"> avec dépens</w:t>
      </w:r>
      <w:r w:rsidR="00052552" w:rsidRPr="00ED2722">
        <w:rPr>
          <w:i/>
          <w:lang w:val="fr-CA"/>
        </w:rPr>
        <w:t>.</w:t>
      </w:r>
    </w:p>
    <w:p w:rsidR="00052552" w:rsidRPr="00ED2722" w:rsidRDefault="00052552" w:rsidP="00AA579C">
      <w:pPr>
        <w:pStyle w:val="SCCLawFirm"/>
        <w:spacing w:after="480"/>
        <w:rPr>
          <w:lang w:val="fr-CA"/>
        </w:rPr>
      </w:pPr>
      <w:r w:rsidRPr="00ED2722">
        <w:rPr>
          <w:lang w:val="fr-CA"/>
        </w:rPr>
        <w:tab/>
        <w:t>Procureur de l’appelante/intimée au pourvoi incident</w:t>
      </w:r>
      <w:r w:rsidR="001E451F" w:rsidRPr="00ED2722">
        <w:rPr>
          <w:lang w:val="fr-CA"/>
        </w:rPr>
        <w:t> :</w:t>
      </w:r>
      <w:r w:rsidR="00AA579C" w:rsidRPr="00ED2722">
        <w:rPr>
          <w:lang w:val="fr-CA"/>
        </w:rPr>
        <w:t> </w:t>
      </w:r>
      <w:r w:rsidRPr="00ED2722">
        <w:rPr>
          <w:lang w:val="fr-CA"/>
        </w:rPr>
        <w:t>Procureur général du Canada, Ottawa.</w:t>
      </w:r>
    </w:p>
    <w:p w:rsidR="009B57B3" w:rsidRPr="00ED2722" w:rsidRDefault="00052552" w:rsidP="007D0BFE">
      <w:pPr>
        <w:pStyle w:val="SCCLawFirm"/>
        <w:rPr>
          <w:b/>
          <w:i w:val="0"/>
          <w:lang w:val="fr-CA"/>
        </w:rPr>
      </w:pPr>
      <w:r w:rsidRPr="00ED2722">
        <w:rPr>
          <w:lang w:val="fr-CA"/>
        </w:rPr>
        <w:tab/>
        <w:t>Procureurs de l’intimée/appelante au pourvoi incident</w:t>
      </w:r>
      <w:r w:rsidR="001E451F" w:rsidRPr="00ED2722">
        <w:rPr>
          <w:lang w:val="fr-CA"/>
        </w:rPr>
        <w:t> :</w:t>
      </w:r>
      <w:r w:rsidR="00AA579C" w:rsidRPr="00ED2722">
        <w:rPr>
          <w:lang w:val="fr-CA"/>
        </w:rPr>
        <w:t> </w:t>
      </w:r>
      <w:r w:rsidRPr="00ED2722">
        <w:rPr>
          <w:lang w:val="fr-CA"/>
        </w:rPr>
        <w:t xml:space="preserve">Osler, </w:t>
      </w:r>
      <w:proofErr w:type="spellStart"/>
      <w:r w:rsidRPr="00ED2722">
        <w:rPr>
          <w:lang w:val="fr-CA"/>
        </w:rPr>
        <w:t>Hoskin</w:t>
      </w:r>
      <w:proofErr w:type="spellEnd"/>
      <w:r w:rsidRPr="00ED2722">
        <w:rPr>
          <w:lang w:val="fr-CA"/>
        </w:rPr>
        <w:t xml:space="preserve"> &amp; Harcourt, Toronto.</w:t>
      </w:r>
    </w:p>
    <w:p w:rsidR="007D0BFE" w:rsidRPr="00ED2722" w:rsidRDefault="007D0BFE" w:rsidP="007D0BFE">
      <w:pPr>
        <w:pStyle w:val="SCCNormalDoubleSpacing"/>
        <w:rPr>
          <w:lang w:val="fr-CA"/>
        </w:rPr>
      </w:pPr>
    </w:p>
    <w:sectPr w:rsidR="007D0BFE" w:rsidRPr="00ED2722" w:rsidSect="00737F49">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EE9" w:rsidRDefault="00702EE9">
      <w:r>
        <w:separator/>
      </w:r>
    </w:p>
  </w:endnote>
  <w:endnote w:type="continuationSeparator" w:id="0">
    <w:p w:rsidR="00702EE9" w:rsidRDefault="00702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EE9" w:rsidRDefault="00702EE9">
      <w:r>
        <w:separator/>
      </w:r>
    </w:p>
  </w:footnote>
  <w:footnote w:type="continuationSeparator" w:id="0">
    <w:p w:rsidR="00702EE9" w:rsidRDefault="00702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584"/>
      <w:docPartObj>
        <w:docPartGallery w:val="Page Numbers (Top of Page)"/>
        <w:docPartUnique/>
      </w:docPartObj>
    </w:sdtPr>
    <w:sdtContent>
      <w:p w:rsidR="00702EE9" w:rsidRDefault="00702EE9">
        <w:pPr>
          <w:pStyle w:val="Header"/>
          <w:jc w:val="center"/>
        </w:pPr>
        <w:r>
          <w:t xml:space="preserve">- </w:t>
        </w:r>
        <w:fldSimple w:instr=" PAGE   \* MERGEFORMAT ">
          <w:r w:rsidR="00D634BD">
            <w:rPr>
              <w:noProof/>
            </w:rPr>
            <w:t>2</w:t>
          </w:r>
        </w:fldSimple>
        <w:r>
          <w:t xml:space="preserve"> -</w:t>
        </w:r>
      </w:p>
    </w:sdtContent>
  </w:sdt>
  <w:p w:rsidR="00702EE9" w:rsidRPr="00450352" w:rsidRDefault="00702EE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473BBC"/>
    <w:multiLevelType w:val="hybridMultilevel"/>
    <w:tmpl w:val="60A06E50"/>
    <w:lvl w:ilvl="0" w:tplc="857C7A0A">
      <w:start w:val="1"/>
      <w:numFmt w:val="decimal"/>
      <w:lvlText w:val="%1."/>
      <w:lvlJc w:val="left"/>
      <w:pPr>
        <w:ind w:left="1526"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09F63F8"/>
    <w:multiLevelType w:val="multilevel"/>
    <w:tmpl w:val="B52CE55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caps w:val="0"/>
        <w:u w:val="none"/>
      </w:rPr>
    </w:lvl>
    <w:lvl w:ilvl="2">
      <w:start w:val="1"/>
      <w:numFmt w:val="lowerLetter"/>
      <w:lvlText w:val="%3)"/>
      <w:lvlJc w:val="left"/>
      <w:pPr>
        <w:tabs>
          <w:tab w:val="num" w:pos="1800"/>
        </w:tabs>
        <w:ind w:left="1800" w:hanging="360"/>
      </w:pPr>
      <w:rPr>
        <w:rFonts w:hint="default"/>
        <w:u w:val="none"/>
      </w:rPr>
    </w:lvl>
    <w:lvl w:ilvl="3">
      <w:start w:val="1"/>
      <w:numFmt w:val="decimal"/>
      <w:lvlText w:val="(%4)"/>
      <w:lvlJc w:val="left"/>
      <w:pPr>
        <w:tabs>
          <w:tab w:val="num" w:pos="1440"/>
        </w:tabs>
        <w:ind w:left="1440" w:hanging="1080"/>
      </w:pPr>
      <w:rPr>
        <w:rFonts w:hint="default"/>
        <w:u w:val="none"/>
      </w:rPr>
    </w:lvl>
    <w:lvl w:ilvl="4">
      <w:start w:val="1"/>
      <w:numFmt w:val="lowerLetter"/>
      <w:lvlText w:val="(%5)"/>
      <w:lvlJc w:val="left"/>
      <w:pPr>
        <w:tabs>
          <w:tab w:val="num" w:pos="1800"/>
        </w:tabs>
        <w:ind w:left="1800" w:hanging="1440"/>
      </w:pPr>
      <w:rPr>
        <w:rFonts w:hint="default"/>
        <w:u w:val="none"/>
      </w:rPr>
    </w:lvl>
    <w:lvl w:ilvl="5">
      <w:start w:val="1"/>
      <w:numFmt w:val="lowerRoman"/>
      <w:lvlText w:val="(%6)"/>
      <w:lvlJc w:val="left"/>
      <w:pPr>
        <w:tabs>
          <w:tab w:val="num" w:pos="2520"/>
        </w:tabs>
        <w:ind w:left="2520" w:hanging="2160"/>
      </w:pPr>
      <w:rPr>
        <w:rFonts w:hint="default"/>
        <w:u w:val="none"/>
      </w:rPr>
    </w:lvl>
    <w:lvl w:ilvl="6">
      <w:start w:val="1"/>
      <w:numFmt w:val="decimal"/>
      <w:lvlText w:val="%7."/>
      <w:lvlJc w:val="left"/>
      <w:pPr>
        <w:tabs>
          <w:tab w:val="num" w:pos="2520"/>
        </w:tabs>
        <w:ind w:left="2520" w:hanging="2160"/>
      </w:pPr>
      <w:rPr>
        <w:rFonts w:hint="default"/>
        <w:u w:val="none"/>
      </w:rPr>
    </w:lvl>
    <w:lvl w:ilvl="7">
      <w:start w:val="1"/>
      <w:numFmt w:val="lowerLetter"/>
      <w:lvlText w:val="%8."/>
      <w:lvlJc w:val="left"/>
      <w:pPr>
        <w:tabs>
          <w:tab w:val="num" w:pos="2880"/>
        </w:tabs>
        <w:ind w:left="2880" w:hanging="2520"/>
      </w:pPr>
      <w:rPr>
        <w:rFonts w:hint="default"/>
        <w:u w:val="none"/>
      </w:rPr>
    </w:lvl>
    <w:lvl w:ilvl="8">
      <w:start w:val="1"/>
      <w:numFmt w:val="lowerRoman"/>
      <w:lvlText w:val="%9."/>
      <w:lvlJc w:val="left"/>
      <w:pPr>
        <w:tabs>
          <w:tab w:val="num" w:pos="3240"/>
        </w:tabs>
        <w:ind w:left="3240" w:hanging="2880"/>
      </w:pPr>
      <w:rPr>
        <w:rFonts w:hint="default"/>
        <w:u w:val="none"/>
      </w:rPr>
    </w:lvl>
  </w:abstractNum>
  <w:abstractNum w:abstractNumId="4">
    <w:nsid w:val="4B2807B7"/>
    <w:multiLevelType w:val="hybridMultilevel"/>
    <w:tmpl w:val="4F82B808"/>
    <w:lvl w:ilvl="0" w:tplc="DB52644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EC1766A"/>
    <w:multiLevelType w:val="hybridMultilevel"/>
    <w:tmpl w:val="2D6031C0"/>
    <w:lvl w:ilvl="0" w:tplc="29F6138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CA03D94"/>
    <w:multiLevelType w:val="hybridMultilevel"/>
    <w:tmpl w:val="446E8C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B624E08"/>
    <w:multiLevelType w:val="hybridMultilevel"/>
    <w:tmpl w:val="7F126448"/>
    <w:lvl w:ilvl="0" w:tplc="6980F070">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0"/>
  </w:num>
  <w:num w:numId="5">
    <w:abstractNumId w:val="5"/>
  </w:num>
  <w:num w:numId="6">
    <w:abstractNumId w:val="6"/>
  </w:num>
  <w:num w:numId="7">
    <w:abstractNumId w:val="9"/>
  </w:num>
  <w:num w:numId="8">
    <w:abstractNumId w:val="4"/>
  </w:num>
  <w:num w:numId="9">
    <w:abstractNumId w:val="11"/>
  </w:num>
  <w:num w:numId="10">
    <w:abstractNumId w:val="7"/>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rsids>
    <w:rsidRoot w:val="0031414C"/>
    <w:rsid w:val="00000ED4"/>
    <w:rsid w:val="00005148"/>
    <w:rsid w:val="00023FC7"/>
    <w:rsid w:val="00025198"/>
    <w:rsid w:val="00041872"/>
    <w:rsid w:val="00044459"/>
    <w:rsid w:val="00052552"/>
    <w:rsid w:val="000578A3"/>
    <w:rsid w:val="000648CC"/>
    <w:rsid w:val="00067818"/>
    <w:rsid w:val="000A3E35"/>
    <w:rsid w:val="000A67A0"/>
    <w:rsid w:val="000B4949"/>
    <w:rsid w:val="000C59B8"/>
    <w:rsid w:val="000C6AF0"/>
    <w:rsid w:val="000D0A77"/>
    <w:rsid w:val="000F4A76"/>
    <w:rsid w:val="000F7993"/>
    <w:rsid w:val="00104F33"/>
    <w:rsid w:val="00111DE2"/>
    <w:rsid w:val="00116B38"/>
    <w:rsid w:val="00130B1D"/>
    <w:rsid w:val="00135406"/>
    <w:rsid w:val="00135972"/>
    <w:rsid w:val="001426A9"/>
    <w:rsid w:val="00154D7C"/>
    <w:rsid w:val="001570B0"/>
    <w:rsid w:val="0015752C"/>
    <w:rsid w:val="00157737"/>
    <w:rsid w:val="0016307C"/>
    <w:rsid w:val="00165277"/>
    <w:rsid w:val="00170592"/>
    <w:rsid w:val="001720F7"/>
    <w:rsid w:val="0018116C"/>
    <w:rsid w:val="00192276"/>
    <w:rsid w:val="001930FC"/>
    <w:rsid w:val="00195D83"/>
    <w:rsid w:val="001A00C1"/>
    <w:rsid w:val="001B33E0"/>
    <w:rsid w:val="001B4573"/>
    <w:rsid w:val="001C779F"/>
    <w:rsid w:val="001D1219"/>
    <w:rsid w:val="001D2AC1"/>
    <w:rsid w:val="001D4E88"/>
    <w:rsid w:val="001E2017"/>
    <w:rsid w:val="001E451F"/>
    <w:rsid w:val="001E6BCF"/>
    <w:rsid w:val="00216C8D"/>
    <w:rsid w:val="00220FC2"/>
    <w:rsid w:val="002222F4"/>
    <w:rsid w:val="00224FC0"/>
    <w:rsid w:val="00225EA4"/>
    <w:rsid w:val="00226EAF"/>
    <w:rsid w:val="00231F3A"/>
    <w:rsid w:val="002406EE"/>
    <w:rsid w:val="00241D83"/>
    <w:rsid w:val="00243EC8"/>
    <w:rsid w:val="00270D93"/>
    <w:rsid w:val="002745CC"/>
    <w:rsid w:val="00275660"/>
    <w:rsid w:val="00280CD2"/>
    <w:rsid w:val="00282330"/>
    <w:rsid w:val="002B6FBE"/>
    <w:rsid w:val="002B7924"/>
    <w:rsid w:val="002C10A6"/>
    <w:rsid w:val="002C4C12"/>
    <w:rsid w:val="002D28C3"/>
    <w:rsid w:val="002D39A4"/>
    <w:rsid w:val="002D5DCF"/>
    <w:rsid w:val="002E6705"/>
    <w:rsid w:val="002F51DA"/>
    <w:rsid w:val="0030329A"/>
    <w:rsid w:val="0031086F"/>
    <w:rsid w:val="003129F6"/>
    <w:rsid w:val="0031414C"/>
    <w:rsid w:val="00314E01"/>
    <w:rsid w:val="0032089D"/>
    <w:rsid w:val="003310DE"/>
    <w:rsid w:val="003323B0"/>
    <w:rsid w:val="00336A72"/>
    <w:rsid w:val="00340A49"/>
    <w:rsid w:val="0035169A"/>
    <w:rsid w:val="0035259D"/>
    <w:rsid w:val="0036133A"/>
    <w:rsid w:val="00364B18"/>
    <w:rsid w:val="00366647"/>
    <w:rsid w:val="003A125D"/>
    <w:rsid w:val="003A4C70"/>
    <w:rsid w:val="003B215F"/>
    <w:rsid w:val="003C1AC9"/>
    <w:rsid w:val="003C799C"/>
    <w:rsid w:val="003D0399"/>
    <w:rsid w:val="003D03C4"/>
    <w:rsid w:val="003E1C71"/>
    <w:rsid w:val="003F327B"/>
    <w:rsid w:val="003F34D8"/>
    <w:rsid w:val="00406166"/>
    <w:rsid w:val="0040704B"/>
    <w:rsid w:val="00410A55"/>
    <w:rsid w:val="00411300"/>
    <w:rsid w:val="00413F17"/>
    <w:rsid w:val="00414BA6"/>
    <w:rsid w:val="00415417"/>
    <w:rsid w:val="00426659"/>
    <w:rsid w:val="004369BD"/>
    <w:rsid w:val="00440AB9"/>
    <w:rsid w:val="00450352"/>
    <w:rsid w:val="00454BDB"/>
    <w:rsid w:val="00465132"/>
    <w:rsid w:val="00467A9B"/>
    <w:rsid w:val="00480C90"/>
    <w:rsid w:val="0048396F"/>
    <w:rsid w:val="00493C18"/>
    <w:rsid w:val="004A600C"/>
    <w:rsid w:val="004A6118"/>
    <w:rsid w:val="004C478D"/>
    <w:rsid w:val="004D7D95"/>
    <w:rsid w:val="004E2C26"/>
    <w:rsid w:val="00500AE8"/>
    <w:rsid w:val="00502229"/>
    <w:rsid w:val="0050484E"/>
    <w:rsid w:val="005125A8"/>
    <w:rsid w:val="00513137"/>
    <w:rsid w:val="00517549"/>
    <w:rsid w:val="00520ABC"/>
    <w:rsid w:val="00521AE8"/>
    <w:rsid w:val="00527180"/>
    <w:rsid w:val="00535C06"/>
    <w:rsid w:val="005501EC"/>
    <w:rsid w:val="00553780"/>
    <w:rsid w:val="00555291"/>
    <w:rsid w:val="00566AD1"/>
    <w:rsid w:val="00573836"/>
    <w:rsid w:val="00575187"/>
    <w:rsid w:val="005828B3"/>
    <w:rsid w:val="00583EDE"/>
    <w:rsid w:val="005A6079"/>
    <w:rsid w:val="005B3D2E"/>
    <w:rsid w:val="005E4698"/>
    <w:rsid w:val="005F4F4A"/>
    <w:rsid w:val="00603924"/>
    <w:rsid w:val="00610539"/>
    <w:rsid w:val="00613969"/>
    <w:rsid w:val="006152CE"/>
    <w:rsid w:val="0062423F"/>
    <w:rsid w:val="00625C35"/>
    <w:rsid w:val="00647E49"/>
    <w:rsid w:val="00656313"/>
    <w:rsid w:val="006565F4"/>
    <w:rsid w:val="00661DEB"/>
    <w:rsid w:val="00684EEA"/>
    <w:rsid w:val="0069689B"/>
    <w:rsid w:val="006B5FF5"/>
    <w:rsid w:val="006B671D"/>
    <w:rsid w:val="006C05DA"/>
    <w:rsid w:val="006C2563"/>
    <w:rsid w:val="006C4366"/>
    <w:rsid w:val="006F30AF"/>
    <w:rsid w:val="00701759"/>
    <w:rsid w:val="00702EE9"/>
    <w:rsid w:val="00705C15"/>
    <w:rsid w:val="007110F6"/>
    <w:rsid w:val="007208D1"/>
    <w:rsid w:val="00737F49"/>
    <w:rsid w:val="007412E6"/>
    <w:rsid w:val="0074398B"/>
    <w:rsid w:val="00744518"/>
    <w:rsid w:val="00747288"/>
    <w:rsid w:val="00747DD3"/>
    <w:rsid w:val="007549C8"/>
    <w:rsid w:val="00762BC2"/>
    <w:rsid w:val="00766D14"/>
    <w:rsid w:val="00767A0F"/>
    <w:rsid w:val="00791272"/>
    <w:rsid w:val="007A05F6"/>
    <w:rsid w:val="007A6CBF"/>
    <w:rsid w:val="007B4FC2"/>
    <w:rsid w:val="007B6F4A"/>
    <w:rsid w:val="007D0BFE"/>
    <w:rsid w:val="007E1C47"/>
    <w:rsid w:val="007E337A"/>
    <w:rsid w:val="007E3EEF"/>
    <w:rsid w:val="007E5C70"/>
    <w:rsid w:val="007F2FF5"/>
    <w:rsid w:val="007F3F08"/>
    <w:rsid w:val="00804CC6"/>
    <w:rsid w:val="00811FAA"/>
    <w:rsid w:val="00817190"/>
    <w:rsid w:val="008260E2"/>
    <w:rsid w:val="008322BD"/>
    <w:rsid w:val="00834F73"/>
    <w:rsid w:val="0084287D"/>
    <w:rsid w:val="008628CF"/>
    <w:rsid w:val="00864C8A"/>
    <w:rsid w:val="00864CF8"/>
    <w:rsid w:val="00874914"/>
    <w:rsid w:val="00891422"/>
    <w:rsid w:val="00892E1A"/>
    <w:rsid w:val="00894257"/>
    <w:rsid w:val="008A00B7"/>
    <w:rsid w:val="008A57BD"/>
    <w:rsid w:val="008B660A"/>
    <w:rsid w:val="008C01DA"/>
    <w:rsid w:val="008E50C2"/>
    <w:rsid w:val="008F2674"/>
    <w:rsid w:val="008F37D5"/>
    <w:rsid w:val="008F78E9"/>
    <w:rsid w:val="009179F9"/>
    <w:rsid w:val="00917C7A"/>
    <w:rsid w:val="00924CD4"/>
    <w:rsid w:val="00933E5E"/>
    <w:rsid w:val="00935218"/>
    <w:rsid w:val="009363AD"/>
    <w:rsid w:val="00937C52"/>
    <w:rsid w:val="009403F3"/>
    <w:rsid w:val="00941C3F"/>
    <w:rsid w:val="00942FBD"/>
    <w:rsid w:val="009555B7"/>
    <w:rsid w:val="009567AA"/>
    <w:rsid w:val="009602C9"/>
    <w:rsid w:val="00967374"/>
    <w:rsid w:val="00970B58"/>
    <w:rsid w:val="00973FFE"/>
    <w:rsid w:val="00994B65"/>
    <w:rsid w:val="009A343A"/>
    <w:rsid w:val="009B2AAB"/>
    <w:rsid w:val="009B2F23"/>
    <w:rsid w:val="009B57B3"/>
    <w:rsid w:val="009D0EBA"/>
    <w:rsid w:val="009D1562"/>
    <w:rsid w:val="009D2920"/>
    <w:rsid w:val="009D5AEB"/>
    <w:rsid w:val="009E5631"/>
    <w:rsid w:val="009F0E33"/>
    <w:rsid w:val="00A149DF"/>
    <w:rsid w:val="00A15500"/>
    <w:rsid w:val="00A1755C"/>
    <w:rsid w:val="00A21B90"/>
    <w:rsid w:val="00A22AAC"/>
    <w:rsid w:val="00A36448"/>
    <w:rsid w:val="00A41805"/>
    <w:rsid w:val="00A51882"/>
    <w:rsid w:val="00A52AFB"/>
    <w:rsid w:val="00A53336"/>
    <w:rsid w:val="00A548CB"/>
    <w:rsid w:val="00A5521C"/>
    <w:rsid w:val="00A643E7"/>
    <w:rsid w:val="00A73C38"/>
    <w:rsid w:val="00AA579C"/>
    <w:rsid w:val="00AA603E"/>
    <w:rsid w:val="00AB670D"/>
    <w:rsid w:val="00AC1102"/>
    <w:rsid w:val="00AC6809"/>
    <w:rsid w:val="00AE3894"/>
    <w:rsid w:val="00AF03C5"/>
    <w:rsid w:val="00B000D8"/>
    <w:rsid w:val="00B00F75"/>
    <w:rsid w:val="00B02815"/>
    <w:rsid w:val="00B145B6"/>
    <w:rsid w:val="00B279EB"/>
    <w:rsid w:val="00B3360B"/>
    <w:rsid w:val="00B50C81"/>
    <w:rsid w:val="00B557F8"/>
    <w:rsid w:val="00B744B8"/>
    <w:rsid w:val="00B75486"/>
    <w:rsid w:val="00B815FC"/>
    <w:rsid w:val="00B82E8C"/>
    <w:rsid w:val="00B913B9"/>
    <w:rsid w:val="00B93FBC"/>
    <w:rsid w:val="00BA5C83"/>
    <w:rsid w:val="00BA65BC"/>
    <w:rsid w:val="00BA7DA0"/>
    <w:rsid w:val="00BB2EE4"/>
    <w:rsid w:val="00BB4C92"/>
    <w:rsid w:val="00BB51E0"/>
    <w:rsid w:val="00BC2108"/>
    <w:rsid w:val="00BD0E9E"/>
    <w:rsid w:val="00BD1BEC"/>
    <w:rsid w:val="00BD32FF"/>
    <w:rsid w:val="00BE5CCD"/>
    <w:rsid w:val="00BF5A4A"/>
    <w:rsid w:val="00BF6FE9"/>
    <w:rsid w:val="00C02092"/>
    <w:rsid w:val="00C120F5"/>
    <w:rsid w:val="00C24D91"/>
    <w:rsid w:val="00C26DB2"/>
    <w:rsid w:val="00C53F14"/>
    <w:rsid w:val="00C600CF"/>
    <w:rsid w:val="00C602EC"/>
    <w:rsid w:val="00C6084F"/>
    <w:rsid w:val="00C62A66"/>
    <w:rsid w:val="00C66359"/>
    <w:rsid w:val="00C70BFC"/>
    <w:rsid w:val="00C71458"/>
    <w:rsid w:val="00C75602"/>
    <w:rsid w:val="00C77613"/>
    <w:rsid w:val="00C828E7"/>
    <w:rsid w:val="00C86719"/>
    <w:rsid w:val="00C921DD"/>
    <w:rsid w:val="00CA6391"/>
    <w:rsid w:val="00CB7D88"/>
    <w:rsid w:val="00CC0E1C"/>
    <w:rsid w:val="00CD1E73"/>
    <w:rsid w:val="00CD53FF"/>
    <w:rsid w:val="00CE036E"/>
    <w:rsid w:val="00CE3171"/>
    <w:rsid w:val="00CF1601"/>
    <w:rsid w:val="00CF2A09"/>
    <w:rsid w:val="00D0172F"/>
    <w:rsid w:val="00D01E33"/>
    <w:rsid w:val="00D068A7"/>
    <w:rsid w:val="00D17476"/>
    <w:rsid w:val="00D32086"/>
    <w:rsid w:val="00D33C8D"/>
    <w:rsid w:val="00D37A3F"/>
    <w:rsid w:val="00D4431D"/>
    <w:rsid w:val="00D4667A"/>
    <w:rsid w:val="00D634BD"/>
    <w:rsid w:val="00D63A1C"/>
    <w:rsid w:val="00D7516F"/>
    <w:rsid w:val="00D81CBF"/>
    <w:rsid w:val="00D87D66"/>
    <w:rsid w:val="00D95F8E"/>
    <w:rsid w:val="00DA0590"/>
    <w:rsid w:val="00DA1598"/>
    <w:rsid w:val="00DC1739"/>
    <w:rsid w:val="00DC1788"/>
    <w:rsid w:val="00DD4950"/>
    <w:rsid w:val="00DD5B44"/>
    <w:rsid w:val="00DE319C"/>
    <w:rsid w:val="00DF0CA8"/>
    <w:rsid w:val="00DF2B48"/>
    <w:rsid w:val="00DF49A7"/>
    <w:rsid w:val="00DF6CB2"/>
    <w:rsid w:val="00E07EE2"/>
    <w:rsid w:val="00E07FD1"/>
    <w:rsid w:val="00E22EA0"/>
    <w:rsid w:val="00E24573"/>
    <w:rsid w:val="00E25E1E"/>
    <w:rsid w:val="00E27EE7"/>
    <w:rsid w:val="00E35404"/>
    <w:rsid w:val="00E45109"/>
    <w:rsid w:val="00E47B7A"/>
    <w:rsid w:val="00E50EF3"/>
    <w:rsid w:val="00E5456B"/>
    <w:rsid w:val="00E56A44"/>
    <w:rsid w:val="00E60269"/>
    <w:rsid w:val="00E75656"/>
    <w:rsid w:val="00E80CAD"/>
    <w:rsid w:val="00E97830"/>
    <w:rsid w:val="00EA1B04"/>
    <w:rsid w:val="00EB1354"/>
    <w:rsid w:val="00EC0C33"/>
    <w:rsid w:val="00ED2722"/>
    <w:rsid w:val="00EE0830"/>
    <w:rsid w:val="00EE6CB8"/>
    <w:rsid w:val="00EF0683"/>
    <w:rsid w:val="00F0070C"/>
    <w:rsid w:val="00F00EB7"/>
    <w:rsid w:val="00F3511A"/>
    <w:rsid w:val="00F36AB6"/>
    <w:rsid w:val="00F37A09"/>
    <w:rsid w:val="00F409CE"/>
    <w:rsid w:val="00F4379D"/>
    <w:rsid w:val="00F50D2D"/>
    <w:rsid w:val="00F56C8B"/>
    <w:rsid w:val="00F62639"/>
    <w:rsid w:val="00F66810"/>
    <w:rsid w:val="00F84DF4"/>
    <w:rsid w:val="00F85C97"/>
    <w:rsid w:val="00F87602"/>
    <w:rsid w:val="00FA4E93"/>
    <w:rsid w:val="00FA606A"/>
    <w:rsid w:val="00FB37D2"/>
    <w:rsid w:val="00FC1AEF"/>
    <w:rsid w:val="00FC4EFB"/>
    <w:rsid w:val="00FD068D"/>
    <w:rsid w:val="00FD4F28"/>
    <w:rsid w:val="00FE02D2"/>
    <w:rsid w:val="00FE65DD"/>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6B671D"/>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B913B9"/>
    <w:pPr>
      <w:numPr>
        <w:numId w:val="1"/>
      </w:numPr>
      <w:spacing w:before="480" w:after="480" w:line="480" w:lineRule="auto"/>
      <w:jc w:val="both"/>
    </w:pPr>
    <w:rPr>
      <w:rFonts w:eastAsiaTheme="minorEastAsia" w:cstheme="minorBidi"/>
      <w:sz w:val="24"/>
      <w:szCs w:val="22"/>
      <w:lang w:eastAsia="en-US"/>
    </w:rPr>
  </w:style>
  <w:style w:type="paragraph" w:customStyle="1" w:styleId="ContinueParaSuitedupar-AltP">
    <w:name w:val="Continue Para. / Suite du par. - Alt P"/>
    <w:next w:val="ParaNoNdepar-AltN"/>
    <w:uiPriority w:val="1"/>
    <w:qFormat/>
    <w:rsid w:val="00B913B9"/>
    <w:pPr>
      <w:spacing w:before="480" w:after="480" w:line="480" w:lineRule="auto"/>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uiPriority w:val="99"/>
    <w:rsid w:val="006B671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uiPriority w:val="99"/>
    <w:rsid w:val="006B671D"/>
    <w:rPr>
      <w:rFonts w:eastAsiaTheme="minorHAnsi" w:cstheme="minorBidi"/>
      <w:sz w:val="24"/>
      <w:szCs w:val="22"/>
      <w:lang w:eastAsia="en-US"/>
    </w:rPr>
  </w:style>
  <w:style w:type="table" w:styleId="TableGrid">
    <w:name w:val="Table Grid"/>
    <w:basedOn w:val="TableNormal"/>
    <w:uiPriority w:val="59"/>
    <w:rsid w:val="006B67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B671D"/>
    <w:pPr>
      <w:spacing w:after="720"/>
      <w:ind w:left="1166"/>
      <w:contextualSpacing/>
      <w:jc w:val="both"/>
    </w:pPr>
    <w:rPr>
      <w:sz w:val="24"/>
    </w:rPr>
  </w:style>
  <w:style w:type="paragraph" w:customStyle="1" w:styleId="JudgeJuge">
    <w:name w:val="Judge / Juge"/>
    <w:uiPriority w:val="3"/>
    <w:rsid w:val="006B671D"/>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6B671D"/>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6B671D"/>
    <w:pPr>
      <w:ind w:left="720"/>
      <w:contextualSpacing/>
    </w:pPr>
    <w:rPr>
      <w:rFonts w:eastAsiaTheme="minorHAnsi" w:cstheme="minorBidi"/>
      <w:szCs w:val="22"/>
      <w:lang w:eastAsia="en-US"/>
    </w:rPr>
  </w:style>
  <w:style w:type="paragraph" w:styleId="FootnoteText">
    <w:name w:val="footnote text"/>
    <w:basedOn w:val="Normal"/>
    <w:link w:val="FootnoteTextChar"/>
    <w:unhideWhenUsed/>
    <w:rsid w:val="006B671D"/>
    <w:rPr>
      <w:rFonts w:eastAsiaTheme="minorEastAsia" w:cstheme="minorBidi"/>
      <w:sz w:val="20"/>
      <w:lang w:val="en-US" w:eastAsia="en-US" w:bidi="en-US"/>
    </w:rPr>
  </w:style>
  <w:style w:type="character" w:customStyle="1" w:styleId="FootnoteTextChar">
    <w:name w:val="Footnote Text Char"/>
    <w:basedOn w:val="DefaultParagraphFont"/>
    <w:link w:val="FootnoteText"/>
    <w:rsid w:val="006B671D"/>
    <w:rPr>
      <w:rFonts w:eastAsiaTheme="minorEastAsia" w:cstheme="minorBidi"/>
      <w:lang w:val="en-US" w:eastAsia="en-US" w:bidi="en-US"/>
    </w:rPr>
  </w:style>
  <w:style w:type="character" w:styleId="FootnoteReference">
    <w:name w:val="footnote reference"/>
    <w:basedOn w:val="DefaultParagraphFont"/>
    <w:uiPriority w:val="99"/>
    <w:unhideWhenUsed/>
    <w:rsid w:val="006B671D"/>
    <w:rPr>
      <w:vertAlign w:val="superscript"/>
    </w:rPr>
  </w:style>
  <w:style w:type="paragraph" w:styleId="CommentText">
    <w:name w:val="annotation text"/>
    <w:basedOn w:val="Normal"/>
    <w:link w:val="CommentTextChar"/>
    <w:uiPriority w:val="99"/>
    <w:semiHidden/>
    <w:unhideWhenUsed/>
    <w:rsid w:val="006B671D"/>
    <w:rPr>
      <w:sz w:val="20"/>
    </w:rPr>
  </w:style>
  <w:style w:type="character" w:customStyle="1" w:styleId="CommentTextChar">
    <w:name w:val="Comment Text Char"/>
    <w:basedOn w:val="DefaultParagraphFont"/>
    <w:link w:val="CommentText"/>
    <w:uiPriority w:val="99"/>
    <w:semiHidden/>
    <w:rsid w:val="006B671D"/>
  </w:style>
  <w:style w:type="character" w:customStyle="1" w:styleId="CommentSubjectChar">
    <w:name w:val="Comment Subject Char"/>
    <w:basedOn w:val="CommentTextChar"/>
    <w:link w:val="CommentSubject"/>
    <w:uiPriority w:val="99"/>
    <w:semiHidden/>
    <w:rsid w:val="006B671D"/>
    <w:rPr>
      <w:b/>
      <w:bCs/>
    </w:rPr>
  </w:style>
  <w:style w:type="paragraph" w:styleId="CommentSubject">
    <w:name w:val="annotation subject"/>
    <w:basedOn w:val="CommentText"/>
    <w:next w:val="CommentText"/>
    <w:link w:val="CommentSubjectChar"/>
    <w:uiPriority w:val="99"/>
    <w:semiHidden/>
    <w:unhideWhenUsed/>
    <w:rsid w:val="006B671D"/>
    <w:rPr>
      <w:b/>
      <w:bCs/>
    </w:rPr>
  </w:style>
  <w:style w:type="character" w:styleId="SubtleEmphasis">
    <w:name w:val="Subtle Emphasis"/>
    <w:uiPriority w:val="19"/>
    <w:qFormat/>
    <w:rsid w:val="006B671D"/>
    <w:rPr>
      <w:i/>
      <w:iCs/>
    </w:rPr>
  </w:style>
  <w:style w:type="paragraph" w:customStyle="1" w:styleId="StandardL1">
    <w:name w:val="Standard_L1"/>
    <w:basedOn w:val="Normal"/>
    <w:rsid w:val="006B671D"/>
    <w:pPr>
      <w:tabs>
        <w:tab w:val="num" w:pos="720"/>
      </w:tabs>
      <w:spacing w:after="240" w:line="360" w:lineRule="auto"/>
      <w:jc w:val="both"/>
      <w:outlineLvl w:val="0"/>
    </w:pPr>
    <w:rPr>
      <w:szCs w:val="24"/>
      <w:lang w:val="en-US" w:eastAsia="en-US"/>
    </w:rPr>
  </w:style>
  <w:style w:type="paragraph" w:customStyle="1" w:styleId="StandardL2">
    <w:name w:val="Standard_L2"/>
    <w:basedOn w:val="StandardL1"/>
    <w:rsid w:val="006B671D"/>
    <w:pPr>
      <w:numPr>
        <w:ilvl w:val="1"/>
      </w:numPr>
      <w:tabs>
        <w:tab w:val="num" w:pos="720"/>
      </w:tabs>
      <w:outlineLvl w:val="1"/>
    </w:pPr>
  </w:style>
  <w:style w:type="paragraph" w:customStyle="1" w:styleId="StandardL3">
    <w:name w:val="Standard_L3"/>
    <w:basedOn w:val="StandardL2"/>
    <w:rsid w:val="006B671D"/>
    <w:pPr>
      <w:numPr>
        <w:ilvl w:val="2"/>
      </w:numPr>
      <w:tabs>
        <w:tab w:val="num" w:pos="720"/>
      </w:tabs>
      <w:spacing w:line="240" w:lineRule="auto"/>
      <w:outlineLvl w:val="2"/>
    </w:pPr>
  </w:style>
  <w:style w:type="paragraph" w:customStyle="1" w:styleId="StandardL4">
    <w:name w:val="Standard_L4"/>
    <w:basedOn w:val="StandardL3"/>
    <w:rsid w:val="006B671D"/>
    <w:pPr>
      <w:numPr>
        <w:ilvl w:val="3"/>
      </w:numPr>
      <w:tabs>
        <w:tab w:val="num" w:pos="720"/>
      </w:tabs>
      <w:outlineLvl w:val="3"/>
    </w:pPr>
  </w:style>
  <w:style w:type="paragraph" w:customStyle="1" w:styleId="StandardL5">
    <w:name w:val="Standard_L5"/>
    <w:basedOn w:val="StandardL4"/>
    <w:rsid w:val="006B671D"/>
    <w:pPr>
      <w:numPr>
        <w:ilvl w:val="4"/>
      </w:numPr>
      <w:tabs>
        <w:tab w:val="num" w:pos="720"/>
      </w:tabs>
      <w:outlineLvl w:val="4"/>
    </w:pPr>
  </w:style>
  <w:style w:type="paragraph" w:customStyle="1" w:styleId="StandardL6">
    <w:name w:val="Standard_L6"/>
    <w:basedOn w:val="StandardL5"/>
    <w:rsid w:val="006B671D"/>
    <w:pPr>
      <w:numPr>
        <w:ilvl w:val="5"/>
      </w:numPr>
      <w:tabs>
        <w:tab w:val="num" w:pos="720"/>
      </w:tabs>
      <w:outlineLvl w:val="5"/>
    </w:pPr>
  </w:style>
  <w:style w:type="paragraph" w:customStyle="1" w:styleId="StandardL7">
    <w:name w:val="Standard_L7"/>
    <w:basedOn w:val="StandardL6"/>
    <w:rsid w:val="006B671D"/>
    <w:pPr>
      <w:numPr>
        <w:ilvl w:val="6"/>
      </w:numPr>
      <w:tabs>
        <w:tab w:val="num" w:pos="720"/>
      </w:tabs>
      <w:outlineLvl w:val="6"/>
    </w:pPr>
  </w:style>
  <w:style w:type="paragraph" w:customStyle="1" w:styleId="StandardL8">
    <w:name w:val="Standard_L8"/>
    <w:basedOn w:val="StandardL7"/>
    <w:rsid w:val="006B671D"/>
    <w:pPr>
      <w:numPr>
        <w:ilvl w:val="7"/>
      </w:numPr>
      <w:tabs>
        <w:tab w:val="num" w:pos="720"/>
      </w:tabs>
      <w:outlineLvl w:val="7"/>
    </w:pPr>
  </w:style>
  <w:style w:type="paragraph" w:customStyle="1" w:styleId="StandardL9">
    <w:name w:val="Standard_L9"/>
    <w:basedOn w:val="StandardL8"/>
    <w:rsid w:val="006B671D"/>
    <w:pPr>
      <w:numPr>
        <w:ilvl w:val="8"/>
      </w:numPr>
      <w:tabs>
        <w:tab w:val="num" w:pos="720"/>
      </w:tabs>
      <w:outlineLvl w:val="8"/>
    </w:pPr>
  </w:style>
  <w:style w:type="character" w:customStyle="1" w:styleId="reflex2-link">
    <w:name w:val="reflex2-link"/>
    <w:basedOn w:val="DefaultParagraphFont"/>
    <w:rsid w:val="006B671D"/>
  </w:style>
  <w:style w:type="character" w:styleId="Hyperlink">
    <w:name w:val="Hyperlink"/>
    <w:basedOn w:val="DefaultParagraphFont"/>
    <w:uiPriority w:val="99"/>
    <w:unhideWhenUsed/>
    <w:rsid w:val="006B671D"/>
    <w:rPr>
      <w:color w:val="B96E2B"/>
      <w:u w:val="single"/>
    </w:rPr>
  </w:style>
  <w:style w:type="character" w:customStyle="1" w:styleId="complet">
    <w:name w:val="complet"/>
    <w:basedOn w:val="DefaultParagraphFont"/>
    <w:rsid w:val="006B671D"/>
  </w:style>
  <w:style w:type="table" w:customStyle="1" w:styleId="TableGrid1">
    <w:name w:val="Table Grid1"/>
    <w:basedOn w:val="TableNormal"/>
    <w:next w:val="TableGrid"/>
    <w:uiPriority w:val="59"/>
    <w:rsid w:val="00D634B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10890</Words>
  <Characters>56463</Characters>
  <Application>Microsoft Office Word</Application>
  <DocSecurity>0</DocSecurity>
  <Lines>470</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2012-12-13T18:08:00Z</dcterms:created>
  <dcterms:modified xsi:type="dcterms:W3CDTF">2013-04-08T21:06:00Z</dcterms:modified>
</cp:coreProperties>
</file>