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6E" w:rsidRDefault="00931C6E" w:rsidP="00931C6E"/>
    <w:p w:rsidR="00931C6E" w:rsidRPr="005B4C3C" w:rsidRDefault="00931C6E" w:rsidP="00931C6E">
      <w:pPr>
        <w:tabs>
          <w:tab w:val="center" w:pos="4680"/>
          <w:tab w:val="right" w:pos="9360"/>
        </w:tabs>
        <w:jc w:val="center"/>
        <w:rPr>
          <w:rFonts w:eastAsiaTheme="minorHAnsi" w:cstheme="minorBidi"/>
          <w:szCs w:val="24"/>
          <w:lang w:eastAsia="en-US"/>
        </w:rPr>
      </w:pPr>
      <w:r w:rsidRPr="005B4C3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5.4pt" o:ole="">
            <v:imagedata r:id="rId7" o:title=""/>
          </v:shape>
          <o:OLEObject Type="Embed" ProgID="Presentations.Drawing.13" ShapeID="_x0000_i1025" DrawAspect="Content" ObjectID="_1436351769" r:id="rId8"/>
        </w:object>
      </w:r>
    </w:p>
    <w:p w:rsidR="00931C6E" w:rsidRPr="005B4C3C" w:rsidRDefault="00931C6E" w:rsidP="00931C6E">
      <w:pPr>
        <w:tabs>
          <w:tab w:val="center" w:pos="4680"/>
          <w:tab w:val="right" w:pos="9360"/>
        </w:tabs>
        <w:rPr>
          <w:rFonts w:eastAsiaTheme="minorHAnsi" w:cstheme="minorBidi"/>
          <w:szCs w:val="24"/>
          <w:lang w:eastAsia="en-US"/>
        </w:rPr>
      </w:pPr>
    </w:p>
    <w:p w:rsidR="00931C6E" w:rsidRPr="005B4C3C" w:rsidRDefault="00931C6E" w:rsidP="00931C6E">
      <w:pPr>
        <w:jc w:val="center"/>
        <w:rPr>
          <w:rFonts w:eastAsiaTheme="minorHAnsi" w:cstheme="minorBidi"/>
          <w:b/>
          <w:szCs w:val="24"/>
          <w:lang w:eastAsia="en-US"/>
        </w:rPr>
      </w:pPr>
      <w:r w:rsidRPr="005B4C3C">
        <w:rPr>
          <w:rFonts w:eastAsiaTheme="minorHAnsi" w:cstheme="minorBidi"/>
          <w:b/>
          <w:szCs w:val="24"/>
          <w:lang w:eastAsia="en-US"/>
        </w:rPr>
        <w:t>COUR SUPRÊME DU CANADA</w:t>
      </w:r>
    </w:p>
    <w:p w:rsidR="00931C6E" w:rsidRPr="005B4C3C" w:rsidRDefault="00931C6E" w:rsidP="00931C6E">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31C6E" w:rsidRPr="005B4C3C" w:rsidTr="004B1F24">
        <w:trPr>
          <w:cantSplit/>
        </w:trPr>
        <w:tc>
          <w:tcPr>
            <w:tcW w:w="6768" w:type="dxa"/>
          </w:tcPr>
          <w:p w:rsidR="00931C6E" w:rsidRPr="005B4C3C" w:rsidRDefault="00931C6E" w:rsidP="004B1F24">
            <w:r w:rsidRPr="005B4C3C">
              <w:rPr>
                <w:b/>
                <w:smallCaps/>
              </w:rPr>
              <w:t>Référence :</w:t>
            </w:r>
            <w:r w:rsidRPr="005B4C3C">
              <w:t xml:space="preserve"> R. </w:t>
            </w:r>
            <w:r w:rsidRPr="00A974DB">
              <w:rPr>
                <w:i/>
              </w:rPr>
              <w:t>c</w:t>
            </w:r>
            <w:r w:rsidRPr="005B4C3C">
              <w:t xml:space="preserve">. </w:t>
            </w:r>
            <w:r>
              <w:t>D.J.W.,</w:t>
            </w:r>
            <w:r w:rsidRPr="00527758">
              <w:t xml:space="preserve"> </w:t>
            </w:r>
            <w:r>
              <w:rPr>
                <w:lang w:val="fr-FR"/>
              </w:rPr>
              <w:t>2012 CSC 63,</w:t>
            </w:r>
            <w:r w:rsidRPr="00527758">
              <w:rPr>
                <w:lang w:val="fr-FR"/>
              </w:rPr>
              <w:t xml:space="preserve"> [2012] 3 R.C.S. 396</w:t>
            </w:r>
          </w:p>
        </w:tc>
        <w:tc>
          <w:tcPr>
            <w:tcW w:w="2808" w:type="dxa"/>
          </w:tcPr>
          <w:p w:rsidR="00931C6E" w:rsidRPr="005B4C3C" w:rsidRDefault="00931C6E" w:rsidP="004B1F24">
            <w:r w:rsidRPr="005B4C3C">
              <w:rPr>
                <w:b/>
                <w:smallCaps/>
              </w:rPr>
              <w:t>Date :</w:t>
            </w:r>
            <w:r>
              <w:t xml:space="preserve"> 201211</w:t>
            </w:r>
            <w:r w:rsidRPr="005B4C3C">
              <w:t>1</w:t>
            </w:r>
            <w:r>
              <w:t>6</w:t>
            </w:r>
          </w:p>
          <w:p w:rsidR="00931C6E" w:rsidRPr="005B4C3C" w:rsidRDefault="00931C6E" w:rsidP="004B1F24">
            <w:r w:rsidRPr="005B4C3C">
              <w:rPr>
                <w:b/>
                <w:smallCaps/>
              </w:rPr>
              <w:t>Dossier :</w:t>
            </w:r>
            <w:r w:rsidRPr="005B4C3C">
              <w:t xml:space="preserve"> 34</w:t>
            </w:r>
            <w:r>
              <w:t>623</w:t>
            </w:r>
          </w:p>
        </w:tc>
      </w:tr>
    </w:tbl>
    <w:p w:rsidR="00931C6E" w:rsidRPr="005B4C3C" w:rsidRDefault="00931C6E" w:rsidP="00931C6E">
      <w:pPr>
        <w:rPr>
          <w:rFonts w:eastAsiaTheme="minorHAnsi" w:cstheme="minorBidi"/>
          <w:szCs w:val="24"/>
          <w:lang w:eastAsia="en-US"/>
        </w:rPr>
      </w:pPr>
    </w:p>
    <w:p w:rsidR="00931C6E" w:rsidRDefault="00931C6E" w:rsidP="00931C6E">
      <w:pPr>
        <w:rPr>
          <w:rFonts w:eastAsiaTheme="minorHAnsi" w:cstheme="minorBidi"/>
          <w:b/>
          <w:smallCaps/>
          <w:szCs w:val="24"/>
          <w:lang w:eastAsia="en-US"/>
        </w:rPr>
      </w:pPr>
      <w:r w:rsidRPr="005B4C3C">
        <w:rPr>
          <w:rFonts w:eastAsiaTheme="minorHAnsi" w:cstheme="minorBidi"/>
          <w:b/>
          <w:smallCaps/>
          <w:szCs w:val="24"/>
          <w:lang w:eastAsia="en-US"/>
        </w:rPr>
        <w:t>Entre :</w:t>
      </w:r>
    </w:p>
    <w:p w:rsidR="00931C6E" w:rsidRPr="005B4C3C" w:rsidRDefault="00931C6E" w:rsidP="00931C6E">
      <w:pPr>
        <w:jc w:val="center"/>
        <w:rPr>
          <w:rFonts w:eastAsiaTheme="minorHAnsi" w:cstheme="minorBidi"/>
          <w:b/>
          <w:smallCaps/>
          <w:szCs w:val="24"/>
          <w:lang w:eastAsia="en-US"/>
        </w:rPr>
      </w:pPr>
      <w:r>
        <w:rPr>
          <w:rFonts w:eastAsiaTheme="minorHAnsi" w:cstheme="minorBidi"/>
          <w:b/>
          <w:smallCaps/>
          <w:szCs w:val="24"/>
          <w:lang w:eastAsia="en-US"/>
        </w:rPr>
        <w:t>D.J.W.</w:t>
      </w:r>
    </w:p>
    <w:p w:rsidR="00931C6E" w:rsidRPr="005B4C3C" w:rsidRDefault="00931C6E" w:rsidP="00931C6E">
      <w:pPr>
        <w:jc w:val="center"/>
        <w:rPr>
          <w:rFonts w:eastAsiaTheme="minorHAnsi" w:cstheme="minorBidi"/>
          <w:szCs w:val="24"/>
          <w:lang w:eastAsia="en-US"/>
        </w:rPr>
      </w:pPr>
      <w:r>
        <w:rPr>
          <w:rFonts w:eastAsiaTheme="minorHAnsi" w:cstheme="minorBidi"/>
          <w:szCs w:val="24"/>
          <w:lang w:eastAsia="en-US"/>
        </w:rPr>
        <w:t>Appelant</w:t>
      </w:r>
    </w:p>
    <w:p w:rsidR="00931C6E" w:rsidRPr="005B4C3C" w:rsidRDefault="00931C6E" w:rsidP="00931C6E">
      <w:pPr>
        <w:jc w:val="center"/>
        <w:rPr>
          <w:rFonts w:eastAsiaTheme="minorHAnsi" w:cstheme="minorBidi"/>
          <w:szCs w:val="24"/>
          <w:lang w:eastAsia="en-US"/>
        </w:rPr>
      </w:pPr>
      <w:proofErr w:type="gramStart"/>
      <w:r w:rsidRPr="005B4C3C">
        <w:rPr>
          <w:rFonts w:eastAsiaTheme="minorHAnsi" w:cstheme="minorBidi"/>
          <w:szCs w:val="24"/>
          <w:lang w:eastAsia="en-US"/>
        </w:rPr>
        <w:t>et</w:t>
      </w:r>
      <w:proofErr w:type="gramEnd"/>
    </w:p>
    <w:p w:rsidR="00931C6E" w:rsidRPr="005B4C3C" w:rsidRDefault="00931C6E" w:rsidP="00931C6E">
      <w:pPr>
        <w:jc w:val="center"/>
        <w:rPr>
          <w:rFonts w:eastAsiaTheme="minorHAnsi" w:cstheme="minorBidi"/>
          <w:b/>
          <w:szCs w:val="24"/>
          <w:lang w:eastAsia="en-US"/>
        </w:rPr>
      </w:pPr>
      <w:r w:rsidRPr="005B4C3C">
        <w:rPr>
          <w:rFonts w:eastAsiaTheme="minorHAnsi" w:cstheme="minorBidi"/>
          <w:b/>
          <w:szCs w:val="24"/>
          <w:lang w:eastAsia="en-US"/>
        </w:rPr>
        <w:t>Sa Majesté la Reine</w:t>
      </w:r>
    </w:p>
    <w:p w:rsidR="00931C6E" w:rsidRPr="005B4C3C" w:rsidRDefault="00931C6E" w:rsidP="00931C6E">
      <w:pPr>
        <w:jc w:val="center"/>
        <w:rPr>
          <w:rFonts w:eastAsiaTheme="minorHAnsi" w:cstheme="minorBidi"/>
          <w:szCs w:val="24"/>
          <w:lang w:eastAsia="en-US"/>
        </w:rPr>
      </w:pPr>
      <w:r w:rsidRPr="005B4C3C">
        <w:rPr>
          <w:rFonts w:eastAsiaTheme="minorHAnsi" w:cstheme="minorBidi"/>
          <w:szCs w:val="24"/>
          <w:lang w:eastAsia="en-US"/>
        </w:rPr>
        <w:t>Intimé</w:t>
      </w:r>
      <w:r>
        <w:rPr>
          <w:rFonts w:eastAsiaTheme="minorHAnsi" w:cstheme="minorBidi"/>
          <w:szCs w:val="24"/>
          <w:lang w:eastAsia="en-US"/>
        </w:rPr>
        <w:t>e</w:t>
      </w:r>
    </w:p>
    <w:p w:rsidR="00931C6E" w:rsidRDefault="00931C6E" w:rsidP="00931C6E">
      <w:pPr>
        <w:jc w:val="center"/>
        <w:rPr>
          <w:rFonts w:eastAsiaTheme="minorHAnsi" w:cstheme="minorBidi"/>
          <w:szCs w:val="24"/>
          <w:lang w:eastAsia="en-US"/>
        </w:rPr>
      </w:pPr>
    </w:p>
    <w:p w:rsidR="00931C6E" w:rsidRPr="001E12E2" w:rsidRDefault="00931C6E" w:rsidP="00931C6E"/>
    <w:p w:rsidR="00931C6E" w:rsidRPr="001E12E2" w:rsidRDefault="00931C6E" w:rsidP="00931C6E">
      <w:pPr>
        <w:jc w:val="center"/>
        <w:rPr>
          <w:b/>
          <w:smallCaps/>
        </w:rPr>
      </w:pPr>
      <w:r>
        <w:rPr>
          <w:b/>
          <w:smallCaps/>
        </w:rPr>
        <w:t>Traduction française o</w:t>
      </w:r>
      <w:r w:rsidRPr="001E12E2">
        <w:rPr>
          <w:b/>
          <w:smallCaps/>
        </w:rPr>
        <w:t>ffici</w:t>
      </w:r>
      <w:r>
        <w:rPr>
          <w:b/>
          <w:smallCaps/>
        </w:rPr>
        <w:t>elle</w:t>
      </w:r>
    </w:p>
    <w:p w:rsidR="00931C6E" w:rsidRPr="005B4C3C" w:rsidRDefault="00931C6E" w:rsidP="00931C6E">
      <w:pPr>
        <w:rPr>
          <w:rFonts w:eastAsiaTheme="minorHAnsi" w:cstheme="minorBidi"/>
          <w:szCs w:val="24"/>
          <w:lang w:eastAsia="en-US"/>
        </w:rPr>
      </w:pPr>
    </w:p>
    <w:p w:rsidR="00931C6E" w:rsidRPr="005B4C3C" w:rsidRDefault="00931C6E" w:rsidP="00931C6E">
      <w:pPr>
        <w:rPr>
          <w:rFonts w:eastAsiaTheme="minorHAnsi" w:cstheme="minorBidi"/>
          <w:szCs w:val="24"/>
          <w:lang w:eastAsia="en-US"/>
        </w:rPr>
      </w:pPr>
      <w:r w:rsidRPr="005B4C3C">
        <w:rPr>
          <w:rFonts w:eastAsiaTheme="minorHAnsi" w:cstheme="minorBidi"/>
          <w:b/>
          <w:smallCaps/>
          <w:szCs w:val="24"/>
          <w:lang w:eastAsia="en-US"/>
        </w:rPr>
        <w:t>Coram :</w:t>
      </w:r>
      <w:r w:rsidRPr="005B4C3C">
        <w:rPr>
          <w:rFonts w:eastAsiaTheme="minorHAnsi" w:cstheme="minorBidi"/>
          <w:szCs w:val="24"/>
          <w:lang w:eastAsia="en-US"/>
        </w:rPr>
        <w:t xml:space="preserve"> </w:t>
      </w:r>
      <w:r>
        <w:rPr>
          <w:rFonts w:eastAsiaTheme="minorHAnsi" w:cstheme="minorBidi"/>
          <w:szCs w:val="24"/>
          <w:lang w:eastAsia="en-US"/>
        </w:rPr>
        <w:t>L</w:t>
      </w:r>
      <w:r w:rsidRPr="005B4C3C">
        <w:rPr>
          <w:rFonts w:eastAsiaTheme="minorHAnsi" w:cstheme="minorBidi"/>
          <w:szCs w:val="24"/>
          <w:lang w:eastAsia="en-US"/>
        </w:rPr>
        <w:t xml:space="preserve">es </w:t>
      </w:r>
      <w:r w:rsidRPr="00527758">
        <w:rPr>
          <w:rFonts w:eastAsiaTheme="minorHAnsi" w:cstheme="minorBidi"/>
          <w:szCs w:val="24"/>
          <w:lang w:val="fr-FR" w:eastAsia="en-US"/>
        </w:rPr>
        <w:t xml:space="preserve">juges </w:t>
      </w:r>
      <w:proofErr w:type="spellStart"/>
      <w:r w:rsidRPr="00527758">
        <w:rPr>
          <w:rFonts w:eastAsiaTheme="minorHAnsi" w:cstheme="minorBidi"/>
          <w:szCs w:val="24"/>
          <w:lang w:val="fr-FR" w:eastAsia="en-US"/>
        </w:rPr>
        <w:t>LeBel</w:t>
      </w:r>
      <w:proofErr w:type="spellEnd"/>
      <w:r w:rsidRPr="00527758">
        <w:rPr>
          <w:rFonts w:eastAsiaTheme="minorHAnsi" w:cstheme="minorBidi"/>
          <w:szCs w:val="24"/>
          <w:lang w:val="fr-FR" w:eastAsia="en-US"/>
        </w:rPr>
        <w:t xml:space="preserve">, Fish, </w:t>
      </w:r>
      <w:proofErr w:type="spellStart"/>
      <w:r w:rsidRPr="00527758">
        <w:rPr>
          <w:rFonts w:eastAsiaTheme="minorHAnsi" w:cstheme="minorBidi"/>
          <w:szCs w:val="24"/>
          <w:lang w:val="fr-FR" w:eastAsia="en-US"/>
        </w:rPr>
        <w:t>Rothstein</w:t>
      </w:r>
      <w:proofErr w:type="spellEnd"/>
      <w:r w:rsidRPr="00527758">
        <w:rPr>
          <w:rFonts w:eastAsiaTheme="minorHAnsi" w:cstheme="minorBidi"/>
          <w:szCs w:val="24"/>
          <w:lang w:val="fr-FR" w:eastAsia="en-US"/>
        </w:rPr>
        <w:t xml:space="preserve">, Cromwell, </w:t>
      </w:r>
      <w:proofErr w:type="spellStart"/>
      <w:r w:rsidRPr="00527758">
        <w:rPr>
          <w:rFonts w:eastAsiaTheme="minorHAnsi" w:cstheme="minorBidi"/>
          <w:szCs w:val="24"/>
          <w:lang w:val="fr-FR" w:eastAsia="en-US"/>
        </w:rPr>
        <w:t>Moldaver</w:t>
      </w:r>
      <w:proofErr w:type="spellEnd"/>
      <w:r w:rsidRPr="00527758">
        <w:rPr>
          <w:rFonts w:eastAsiaTheme="minorHAnsi" w:cstheme="minorBidi"/>
          <w:szCs w:val="24"/>
          <w:lang w:val="fr-FR" w:eastAsia="en-US"/>
        </w:rPr>
        <w:t xml:space="preserve">, </w:t>
      </w:r>
      <w:proofErr w:type="spellStart"/>
      <w:r w:rsidRPr="00527758">
        <w:rPr>
          <w:rFonts w:eastAsiaTheme="minorHAnsi" w:cstheme="minorBidi"/>
          <w:szCs w:val="24"/>
          <w:lang w:val="fr-FR" w:eastAsia="en-US"/>
        </w:rPr>
        <w:t>Karakatsanis</w:t>
      </w:r>
      <w:proofErr w:type="spellEnd"/>
      <w:r w:rsidRPr="00527758">
        <w:rPr>
          <w:rFonts w:eastAsiaTheme="minorHAnsi" w:cstheme="minorBidi"/>
          <w:szCs w:val="24"/>
          <w:lang w:val="fr-FR" w:eastAsia="en-US"/>
        </w:rPr>
        <w:t xml:space="preserve"> et Wagner</w:t>
      </w:r>
      <w:r>
        <w:rPr>
          <w:rFonts w:eastAsiaTheme="minorHAnsi" w:cstheme="minorBidi"/>
          <w:szCs w:val="24"/>
          <w:lang w:val="fr-FR" w:eastAsia="en-US"/>
        </w:rPr>
        <w:t>.</w:t>
      </w:r>
    </w:p>
    <w:p w:rsidR="00931C6E" w:rsidRPr="005B4C3C" w:rsidRDefault="00931C6E" w:rsidP="00931C6E">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31C6E" w:rsidRPr="005B4C3C" w:rsidTr="004B1F24">
        <w:trPr>
          <w:cantSplit/>
        </w:trPr>
        <w:tc>
          <w:tcPr>
            <w:tcW w:w="3618" w:type="dxa"/>
          </w:tcPr>
          <w:p w:rsidR="00931C6E" w:rsidRPr="005B4C3C" w:rsidRDefault="00931C6E" w:rsidP="004B1F24">
            <w:pPr>
              <w:rPr>
                <w:b/>
                <w:smallCaps/>
              </w:rPr>
            </w:pPr>
            <w:r w:rsidRPr="005B4C3C">
              <w:rPr>
                <w:b/>
                <w:smallCaps/>
              </w:rPr>
              <w:t>Motifs de jugement :</w:t>
            </w:r>
          </w:p>
          <w:p w:rsidR="00931C6E" w:rsidRPr="005B4C3C" w:rsidRDefault="00931C6E" w:rsidP="004B1F24">
            <w:pPr>
              <w:rPr>
                <w:b/>
                <w:smallCaps/>
              </w:rPr>
            </w:pPr>
            <w:r>
              <w:t>(par. 1</w:t>
            </w:r>
            <w:r w:rsidRPr="005B4C3C">
              <w:t>):</w:t>
            </w:r>
          </w:p>
          <w:p w:rsidR="00931C6E" w:rsidRPr="005B4C3C" w:rsidRDefault="00931C6E" w:rsidP="004B1F24"/>
        </w:tc>
        <w:tc>
          <w:tcPr>
            <w:tcW w:w="5958" w:type="dxa"/>
          </w:tcPr>
          <w:p w:rsidR="00931C6E" w:rsidRPr="005B4C3C" w:rsidRDefault="00931C6E" w:rsidP="004B1F24">
            <w:r w:rsidRPr="005B4C3C">
              <w:t xml:space="preserve">Le juge </w:t>
            </w:r>
            <w:proofErr w:type="spellStart"/>
            <w:r>
              <w:t>LeBel</w:t>
            </w:r>
            <w:proofErr w:type="spellEnd"/>
            <w:r w:rsidRPr="005B4C3C">
              <w:t xml:space="preserve"> (avec l’accord </w:t>
            </w:r>
            <w:r>
              <w:t>des juges</w:t>
            </w:r>
            <w:r w:rsidRPr="00527758">
              <w:rPr>
                <w:lang w:val="fr-FR"/>
              </w:rPr>
              <w:t xml:space="preserve"> Fish, </w:t>
            </w:r>
            <w:proofErr w:type="spellStart"/>
            <w:r w:rsidRPr="00527758">
              <w:rPr>
                <w:lang w:val="fr-FR"/>
              </w:rPr>
              <w:t>Rothstein</w:t>
            </w:r>
            <w:proofErr w:type="spellEnd"/>
            <w:r w:rsidRPr="00527758">
              <w:rPr>
                <w:lang w:val="fr-FR"/>
              </w:rPr>
              <w:t xml:space="preserve">, Cromwell, </w:t>
            </w:r>
            <w:proofErr w:type="spellStart"/>
            <w:r w:rsidRPr="00527758">
              <w:rPr>
                <w:lang w:val="fr-FR"/>
              </w:rPr>
              <w:t>Moldaver</w:t>
            </w:r>
            <w:proofErr w:type="spellEnd"/>
            <w:r w:rsidRPr="00527758">
              <w:rPr>
                <w:lang w:val="fr-FR"/>
              </w:rPr>
              <w:t xml:space="preserve">, </w:t>
            </w:r>
            <w:proofErr w:type="spellStart"/>
            <w:r w:rsidRPr="00527758">
              <w:rPr>
                <w:lang w:val="fr-FR"/>
              </w:rPr>
              <w:t>Karakatsanis</w:t>
            </w:r>
            <w:proofErr w:type="spellEnd"/>
            <w:r w:rsidRPr="00527758">
              <w:rPr>
                <w:lang w:val="fr-FR"/>
              </w:rPr>
              <w:t xml:space="preserve"> et Wagner</w:t>
            </w:r>
            <w:r w:rsidRPr="005B4C3C">
              <w:t>)</w:t>
            </w:r>
          </w:p>
          <w:p w:rsidR="00931C6E" w:rsidRPr="005B4C3C" w:rsidRDefault="00931C6E" w:rsidP="004B1F24"/>
          <w:p w:rsidR="00931C6E" w:rsidRPr="005B4C3C" w:rsidRDefault="00931C6E" w:rsidP="004B1F24"/>
        </w:tc>
      </w:tr>
    </w:tbl>
    <w:p w:rsidR="00931C6E" w:rsidRPr="005B4C3C" w:rsidRDefault="00931C6E" w:rsidP="00931C6E">
      <w:pPr>
        <w:rPr>
          <w:rFonts w:eastAsiaTheme="minorHAnsi" w:cstheme="minorBidi"/>
          <w:szCs w:val="24"/>
          <w:lang w:eastAsia="en-US"/>
        </w:rPr>
      </w:pPr>
    </w:p>
    <w:p w:rsidR="00931C6E" w:rsidRPr="005B4C3C" w:rsidRDefault="00931C6E" w:rsidP="00931C6E">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31C6E" w:rsidRDefault="00931C6E" w:rsidP="00931C6E">
      <w:pPr>
        <w:rPr>
          <w:smallCaps/>
        </w:rPr>
      </w:pPr>
    </w:p>
    <w:p w:rsidR="00931C6E" w:rsidRDefault="00931C6E" w:rsidP="00931C6E"/>
    <w:p w:rsidR="00931C6E" w:rsidRDefault="00931C6E">
      <w:r>
        <w:br w:type="page"/>
      </w:r>
    </w:p>
    <w:p w:rsidR="003A4D9F" w:rsidRPr="003A4D9F" w:rsidRDefault="003A4D9F" w:rsidP="003A4D9F">
      <w:pPr>
        <w:spacing w:after="720"/>
        <w:jc w:val="both"/>
        <w:rPr>
          <w:lang w:val="fr-FR"/>
        </w:rPr>
      </w:pPr>
      <w:r w:rsidRPr="003A4D9F">
        <w:lastRenderedPageBreak/>
        <w:t xml:space="preserve">R. </w:t>
      </w:r>
      <w:r w:rsidRPr="003A4D9F">
        <w:rPr>
          <w:i/>
        </w:rPr>
        <w:t>c.</w:t>
      </w:r>
      <w:r w:rsidRPr="003A4D9F">
        <w:t xml:space="preserve"> D.J.W., </w:t>
      </w:r>
      <w:r w:rsidR="001309E2">
        <w:rPr>
          <w:lang w:val="fr-FR"/>
        </w:rPr>
        <w:t>2012 CSC 63,</w:t>
      </w:r>
      <w:r w:rsidRPr="003A4D9F">
        <w:rPr>
          <w:lang w:val="fr-FR"/>
        </w:rPr>
        <w:t xml:space="preserve"> [2012] 3 R.C.S. 396</w:t>
      </w:r>
    </w:p>
    <w:p w:rsidR="00127053" w:rsidRDefault="00766132" w:rsidP="00127053">
      <w:pPr>
        <w:pStyle w:val="SCCLsocParty"/>
        <w:tabs>
          <w:tab w:val="right" w:pos="8280"/>
        </w:tabs>
        <w:spacing w:after="720"/>
      </w:pPr>
      <w:r>
        <w:rPr>
          <w:lang w:val="fr-FR"/>
        </w:rPr>
        <w:t>D.J.W.</w:t>
      </w:r>
      <w:r w:rsidR="00127053">
        <w:rPr>
          <w:lang w:val="fr-FR"/>
        </w:rPr>
        <w:tab/>
      </w:r>
      <w:r w:rsidR="00127053">
        <w:rPr>
          <w:b w:val="0"/>
          <w:i/>
          <w:lang w:val="fr-FR"/>
        </w:rPr>
        <w:t>Appelant</w:t>
      </w:r>
    </w:p>
    <w:p w:rsidR="00127053" w:rsidRDefault="00127053" w:rsidP="00127053">
      <w:pPr>
        <w:pStyle w:val="SCCLsocVersus"/>
        <w:spacing w:after="720"/>
        <w:rPr>
          <w:lang w:val="fr-FR"/>
        </w:rPr>
      </w:pPr>
      <w:proofErr w:type="gramStart"/>
      <w:r>
        <w:rPr>
          <w:lang w:val="fr-FR"/>
        </w:rPr>
        <w:t>c</w:t>
      </w:r>
      <w:proofErr w:type="gramEnd"/>
      <w:r>
        <w:rPr>
          <w:lang w:val="fr-FR"/>
        </w:rPr>
        <w:t>.</w:t>
      </w:r>
    </w:p>
    <w:p w:rsidR="00127053" w:rsidRDefault="00127053" w:rsidP="00127053">
      <w:pPr>
        <w:pStyle w:val="SCCLsocParty"/>
        <w:tabs>
          <w:tab w:val="right" w:pos="8280"/>
        </w:tabs>
        <w:spacing w:after="720"/>
        <w:rPr>
          <w:lang w:val="fr-FR"/>
        </w:rPr>
      </w:pPr>
      <w:r>
        <w:rPr>
          <w:lang w:val="fr-FR"/>
        </w:rPr>
        <w:t>Sa Majesté la Reine</w:t>
      </w:r>
      <w:r>
        <w:rPr>
          <w:i/>
          <w:lang w:val="fr-FR"/>
        </w:rPr>
        <w:tab/>
      </w:r>
      <w:r>
        <w:rPr>
          <w:b w:val="0"/>
          <w:i/>
          <w:lang w:val="fr-FR"/>
        </w:rPr>
        <w:t>Intimée</w:t>
      </w:r>
    </w:p>
    <w:p w:rsidR="00127053" w:rsidRDefault="00127053" w:rsidP="00127053">
      <w:pPr>
        <w:spacing w:after="720"/>
        <w:jc w:val="both"/>
        <w:rPr>
          <w:b/>
          <w:lang w:val="fr-FR"/>
        </w:rPr>
      </w:pPr>
      <w:r>
        <w:rPr>
          <w:b/>
        </w:rPr>
        <w:t xml:space="preserve">Répertorié : R. </w:t>
      </w:r>
      <w:r w:rsidRPr="00D423CE">
        <w:rPr>
          <w:b/>
          <w:i/>
        </w:rPr>
        <w:t>c.</w:t>
      </w:r>
      <w:r>
        <w:rPr>
          <w:b/>
        </w:rPr>
        <w:t xml:space="preserve"> </w:t>
      </w:r>
      <w:r w:rsidR="00766132">
        <w:rPr>
          <w:b/>
        </w:rPr>
        <w:t>D.J.W.</w:t>
      </w:r>
    </w:p>
    <w:p w:rsidR="00127053" w:rsidRDefault="00127053" w:rsidP="00127053">
      <w:pPr>
        <w:pStyle w:val="SCCSystemYear"/>
        <w:spacing w:after="720"/>
        <w:jc w:val="both"/>
        <w:rPr>
          <w:lang w:val="fr-FR"/>
        </w:rPr>
      </w:pPr>
      <w:r>
        <w:rPr>
          <w:lang w:val="fr-FR"/>
        </w:rPr>
        <w:t>2012 CSC </w:t>
      </w:r>
      <w:r w:rsidR="00766132">
        <w:rPr>
          <w:lang w:val="fr-FR"/>
        </w:rPr>
        <w:t>63</w:t>
      </w:r>
    </w:p>
    <w:p w:rsidR="00127053" w:rsidRDefault="00127053" w:rsidP="00127053">
      <w:pPr>
        <w:spacing w:after="720"/>
        <w:jc w:val="both"/>
        <w:rPr>
          <w:lang w:val="fr-FR"/>
        </w:rPr>
      </w:pPr>
      <w:r>
        <w:t>N</w:t>
      </w:r>
      <w:r>
        <w:rPr>
          <w:vertAlign w:val="superscript"/>
        </w:rPr>
        <w:t>o</w:t>
      </w:r>
      <w:r>
        <w:t xml:space="preserve"> du greffe : </w:t>
      </w:r>
      <w:r>
        <w:rPr>
          <w:lang w:val="fr-FR"/>
        </w:rPr>
        <w:t>34</w:t>
      </w:r>
      <w:r w:rsidR="00D07DE9">
        <w:rPr>
          <w:lang w:val="fr-FR"/>
        </w:rPr>
        <w:t>623</w:t>
      </w:r>
      <w:r>
        <w:rPr>
          <w:lang w:val="fr-FR"/>
        </w:rPr>
        <w:t>.</w:t>
      </w:r>
    </w:p>
    <w:p w:rsidR="00127053" w:rsidRDefault="00127053" w:rsidP="00127053">
      <w:pPr>
        <w:spacing w:after="720"/>
        <w:jc w:val="both"/>
        <w:rPr>
          <w:lang w:val="fr-FR"/>
        </w:rPr>
      </w:pPr>
      <w:r>
        <w:rPr>
          <w:lang w:val="fr-FR"/>
        </w:rPr>
        <w:t>2012 : 1</w:t>
      </w:r>
      <w:r w:rsidR="00D07DE9">
        <w:rPr>
          <w:lang w:val="fr-FR"/>
        </w:rPr>
        <w:t>6 novembre</w:t>
      </w:r>
      <w:r>
        <w:rPr>
          <w:lang w:val="fr-FR"/>
        </w:rPr>
        <w:t>.</w:t>
      </w:r>
    </w:p>
    <w:p w:rsidR="00127053" w:rsidRDefault="00127053" w:rsidP="00127053">
      <w:pPr>
        <w:spacing w:after="720"/>
        <w:jc w:val="both"/>
        <w:rPr>
          <w:lang w:val="fr-FR"/>
        </w:rPr>
      </w:pPr>
      <w:r>
        <w:rPr>
          <w:lang w:val="fr-FR"/>
        </w:rPr>
        <w:t>Présents :</w:t>
      </w:r>
      <w:proofErr w:type="gramStart"/>
      <w:r>
        <w:rPr>
          <w:lang w:val="fr-FR"/>
        </w:rPr>
        <w:t>  Les</w:t>
      </w:r>
      <w:proofErr w:type="gramEnd"/>
      <w:r>
        <w:rPr>
          <w:lang w:val="fr-FR"/>
        </w:rPr>
        <w:t xml:space="preserve"> juges </w:t>
      </w:r>
      <w:proofErr w:type="spellStart"/>
      <w:r>
        <w:rPr>
          <w:lang w:val="fr-FR"/>
        </w:rPr>
        <w:t>LeBel</w:t>
      </w:r>
      <w:proofErr w:type="spellEnd"/>
      <w:r>
        <w:rPr>
          <w:lang w:val="fr-FR"/>
        </w:rPr>
        <w:t xml:space="preserve">, Fish, </w:t>
      </w:r>
      <w:proofErr w:type="spellStart"/>
      <w:r>
        <w:rPr>
          <w:lang w:val="fr-FR"/>
        </w:rPr>
        <w:t>Rothstein</w:t>
      </w:r>
      <w:proofErr w:type="spellEnd"/>
      <w:r>
        <w:rPr>
          <w:lang w:val="fr-FR"/>
        </w:rPr>
        <w:t>, Cromwell</w:t>
      </w:r>
      <w:r w:rsidR="006A6A63">
        <w:rPr>
          <w:lang w:val="fr-FR"/>
        </w:rPr>
        <w:t xml:space="preserve">, </w:t>
      </w:r>
      <w:proofErr w:type="spellStart"/>
      <w:r w:rsidR="006A6A63">
        <w:rPr>
          <w:lang w:val="fr-FR"/>
        </w:rPr>
        <w:t>Moldaver</w:t>
      </w:r>
      <w:proofErr w:type="spellEnd"/>
      <w:r w:rsidR="006A6A63">
        <w:rPr>
          <w:lang w:val="fr-FR"/>
        </w:rPr>
        <w:t>,</w:t>
      </w:r>
      <w:r>
        <w:rPr>
          <w:lang w:val="fr-FR"/>
        </w:rPr>
        <w:t xml:space="preserve"> </w:t>
      </w:r>
      <w:proofErr w:type="spellStart"/>
      <w:r>
        <w:rPr>
          <w:lang w:val="fr-FR"/>
        </w:rPr>
        <w:t>Karakatsanis</w:t>
      </w:r>
      <w:proofErr w:type="spellEnd"/>
      <w:r w:rsidR="006A6A63">
        <w:rPr>
          <w:lang w:val="fr-FR"/>
        </w:rPr>
        <w:t xml:space="preserve"> </w:t>
      </w:r>
      <w:r w:rsidR="006010F6">
        <w:rPr>
          <w:lang w:val="fr-FR"/>
        </w:rPr>
        <w:t>et</w:t>
      </w:r>
      <w:r w:rsidR="006A6A63">
        <w:rPr>
          <w:lang w:val="fr-FR"/>
        </w:rPr>
        <w:t xml:space="preserve"> Wagner</w:t>
      </w:r>
      <w:r>
        <w:rPr>
          <w:lang w:val="fr-FR"/>
        </w:rPr>
        <w:t>.</w:t>
      </w:r>
    </w:p>
    <w:p w:rsidR="00127053" w:rsidRDefault="00127053" w:rsidP="00127053">
      <w:pPr>
        <w:spacing w:after="480" w:line="480" w:lineRule="auto"/>
        <w:jc w:val="both"/>
        <w:rPr>
          <w:smallCaps/>
          <w:szCs w:val="24"/>
          <w:lang w:val="fr-FR"/>
        </w:rPr>
      </w:pPr>
      <w:r>
        <w:rPr>
          <w:smallCaps/>
          <w:szCs w:val="24"/>
        </w:rPr>
        <w:t>en appel de la cour d’appel d</w:t>
      </w:r>
      <w:r w:rsidR="00D25B1B">
        <w:rPr>
          <w:smallCaps/>
          <w:szCs w:val="24"/>
        </w:rPr>
        <w:t xml:space="preserve">e la </w:t>
      </w:r>
      <w:proofErr w:type="spellStart"/>
      <w:r w:rsidR="00D25B1B">
        <w:rPr>
          <w:smallCaps/>
          <w:szCs w:val="24"/>
        </w:rPr>
        <w:t>colombie-britannique</w:t>
      </w:r>
      <w:proofErr w:type="spellEnd"/>
    </w:p>
    <w:p w:rsidR="003F7903" w:rsidRPr="002200A9" w:rsidRDefault="003F7903" w:rsidP="00823BB7">
      <w:pPr>
        <w:spacing w:after="720" w:line="480" w:lineRule="auto"/>
        <w:jc w:val="both"/>
        <w:rPr>
          <w:i/>
        </w:rPr>
      </w:pPr>
      <w:r>
        <w:rPr>
          <w:szCs w:val="24"/>
        </w:rPr>
        <w:tab/>
      </w:r>
      <w:r w:rsidRPr="002200A9">
        <w:rPr>
          <w:i/>
        </w:rPr>
        <w:t xml:space="preserve">Droit criminel </w:t>
      </w:r>
      <w:bookmarkStart w:id="0" w:name="OLE_LINK1"/>
      <w:bookmarkStart w:id="1" w:name="OLE_LINK2"/>
      <w:r w:rsidRPr="002200A9">
        <w:rPr>
          <w:i/>
        </w:rPr>
        <w:t>—</w:t>
      </w:r>
      <w:bookmarkEnd w:id="0"/>
      <w:bookmarkEnd w:id="1"/>
      <w:r w:rsidR="002200A9" w:rsidRPr="002200A9">
        <w:rPr>
          <w:i/>
        </w:rPr>
        <w:t xml:space="preserve"> Voies de fait graves</w:t>
      </w:r>
      <w:r w:rsidRPr="002200A9">
        <w:rPr>
          <w:i/>
        </w:rPr>
        <w:t xml:space="preserve"> — A</w:t>
      </w:r>
      <w:r w:rsidR="002200A9" w:rsidRPr="002200A9">
        <w:rPr>
          <w:i/>
        </w:rPr>
        <w:t>gression armée — Éléments de l’infraction — Tentative par l’accusé de circoncire son fils de quatre ans</w:t>
      </w:r>
      <w:r w:rsidRPr="002200A9">
        <w:rPr>
          <w:i/>
        </w:rPr>
        <w:t xml:space="preserve"> </w:t>
      </w:r>
      <w:r w:rsidR="002200A9" w:rsidRPr="002200A9">
        <w:rPr>
          <w:i/>
        </w:rPr>
        <w:t>— Accusé déclaré coupable par le juge du procès d’avoir causé des lésions corporelles par négligence criminelle</w:t>
      </w:r>
      <w:r w:rsidR="00814191">
        <w:rPr>
          <w:i/>
        </w:rPr>
        <w:t>,</w:t>
      </w:r>
      <w:r w:rsidR="002200A9" w:rsidRPr="002200A9">
        <w:rPr>
          <w:i/>
        </w:rPr>
        <w:t xml:space="preserve"> </w:t>
      </w:r>
      <w:r w:rsidR="002200A9">
        <w:rPr>
          <w:i/>
        </w:rPr>
        <w:t>mais acquitté de voies de fait graves et d</w:t>
      </w:r>
      <w:r w:rsidR="00625FFC">
        <w:rPr>
          <w:i/>
        </w:rPr>
        <w:t>’agr</w:t>
      </w:r>
      <w:r w:rsidR="002200A9">
        <w:rPr>
          <w:i/>
        </w:rPr>
        <w:t>e</w:t>
      </w:r>
      <w:r w:rsidR="00625FFC">
        <w:rPr>
          <w:i/>
        </w:rPr>
        <w:t xml:space="preserve">ssion armée, une </w:t>
      </w:r>
      <w:r w:rsidR="002200A9">
        <w:rPr>
          <w:i/>
        </w:rPr>
        <w:t>infraction moindre et incluse</w:t>
      </w:r>
      <w:r w:rsidR="00625FFC">
        <w:rPr>
          <w:i/>
        </w:rPr>
        <w:t xml:space="preserve"> — Inscription par la Cour d’appel de déclarations de culpabilité pour voies de fait graves et agression armée </w:t>
      </w:r>
      <w:r w:rsidR="00D4188C">
        <w:rPr>
          <w:i/>
        </w:rPr>
        <w:t xml:space="preserve">ainsi </w:t>
      </w:r>
      <w:r w:rsidR="00D4188C">
        <w:rPr>
          <w:i/>
        </w:rPr>
        <w:lastRenderedPageBreak/>
        <w:t xml:space="preserve">que </w:t>
      </w:r>
      <w:r w:rsidR="00625FFC">
        <w:rPr>
          <w:i/>
        </w:rPr>
        <w:t xml:space="preserve"> d’un</w:t>
      </w:r>
      <w:r w:rsidR="006350FF">
        <w:rPr>
          <w:i/>
        </w:rPr>
        <w:t xml:space="preserve">e suspension de la déclaration de culpabilité </w:t>
      </w:r>
      <w:r w:rsidR="00D4188C">
        <w:rPr>
          <w:i/>
        </w:rPr>
        <w:t xml:space="preserve">pour négligence criminelle ayant </w:t>
      </w:r>
      <w:r w:rsidR="006350FF">
        <w:rPr>
          <w:i/>
        </w:rPr>
        <w:t xml:space="preserve">causé des lésions corporelles </w:t>
      </w:r>
      <w:r w:rsidR="00C96620">
        <w:rPr>
          <w:i/>
        </w:rPr>
        <w:t>— Tous les éléments des infractions reproché</w:t>
      </w:r>
      <w:r w:rsidR="00263B34">
        <w:rPr>
          <w:i/>
        </w:rPr>
        <w:t>e</w:t>
      </w:r>
      <w:r w:rsidR="00C96620">
        <w:rPr>
          <w:i/>
        </w:rPr>
        <w:t>s à l’accusé avaient été établis</w:t>
      </w:r>
      <w:r w:rsidRPr="002200A9">
        <w:rPr>
          <w:i/>
        </w:rPr>
        <w:t>.</w:t>
      </w:r>
    </w:p>
    <w:p w:rsidR="00127053" w:rsidRDefault="00127053" w:rsidP="00127053">
      <w:pPr>
        <w:pStyle w:val="SCCNormalDoubleSpacing"/>
        <w:tabs>
          <w:tab w:val="left" w:pos="1170"/>
        </w:tabs>
        <w:spacing w:after="480"/>
        <w:rPr>
          <w:lang w:val="fr-FR"/>
        </w:rPr>
      </w:pPr>
      <w:r>
        <w:tab/>
        <w:t xml:space="preserve">POURVOI contre un arrêt de la Cour d’appel </w:t>
      </w:r>
      <w:r w:rsidR="009A20D9">
        <w:t>de la Colombie-Britannique</w:t>
      </w:r>
      <w:r>
        <w:t xml:space="preserve"> </w:t>
      </w:r>
      <w:r>
        <w:rPr>
          <w:lang w:val="fr-FR"/>
        </w:rPr>
        <w:t>(</w:t>
      </w:r>
      <w:r w:rsidR="00134D3C">
        <w:rPr>
          <w:lang w:val="fr-FR"/>
        </w:rPr>
        <w:t xml:space="preserve">le juge en chef </w:t>
      </w:r>
      <w:proofErr w:type="spellStart"/>
      <w:r w:rsidR="00134D3C">
        <w:rPr>
          <w:lang w:val="fr-FR"/>
        </w:rPr>
        <w:t>Finch</w:t>
      </w:r>
      <w:proofErr w:type="spellEnd"/>
      <w:r w:rsidR="00134D3C">
        <w:rPr>
          <w:lang w:val="fr-FR"/>
        </w:rPr>
        <w:t xml:space="preserve"> et </w:t>
      </w:r>
      <w:r>
        <w:rPr>
          <w:lang w:val="fr-FR"/>
        </w:rPr>
        <w:t xml:space="preserve">les juges </w:t>
      </w:r>
      <w:proofErr w:type="spellStart"/>
      <w:r w:rsidR="00134D3C">
        <w:rPr>
          <w:lang w:val="fr-FR"/>
        </w:rPr>
        <w:t>Kirkpatrick</w:t>
      </w:r>
      <w:proofErr w:type="spellEnd"/>
      <w:r>
        <w:rPr>
          <w:lang w:val="fr-FR"/>
        </w:rPr>
        <w:t xml:space="preserve"> et </w:t>
      </w:r>
      <w:proofErr w:type="spellStart"/>
      <w:r w:rsidR="00134D3C">
        <w:rPr>
          <w:lang w:val="fr-FR"/>
        </w:rPr>
        <w:t>Hinkson</w:t>
      </w:r>
      <w:proofErr w:type="spellEnd"/>
      <w:r>
        <w:rPr>
          <w:lang w:val="fr-FR"/>
        </w:rPr>
        <w:t>),</w:t>
      </w:r>
      <w:r w:rsidR="00134D3C">
        <w:rPr>
          <w:lang w:val="fr-FR"/>
        </w:rPr>
        <w:t xml:space="preserve"> </w:t>
      </w:r>
      <w:r w:rsidR="00134D3C">
        <w:t xml:space="preserve">2011 BCCA 522, 314 B.C.A.C. 209, </w:t>
      </w:r>
      <w:r w:rsidR="001102EC">
        <w:t xml:space="preserve">534 W.A.C. 209, </w:t>
      </w:r>
      <w:r w:rsidR="00134D3C">
        <w:t>282 C.C.C. (3d) 352, [2011] B.C.J. No. 2463 (QL)</w:t>
      </w:r>
      <w:r w:rsidR="00134D3C">
        <w:rPr>
          <w:lang w:val="fr-FR"/>
        </w:rPr>
        <w:t xml:space="preserve">, </w:t>
      </w:r>
      <w:r w:rsidR="001102EC">
        <w:rPr>
          <w:lang w:val="fr-FR"/>
        </w:rPr>
        <w:t xml:space="preserve">2011 </w:t>
      </w:r>
      <w:proofErr w:type="spellStart"/>
      <w:r w:rsidR="001102EC">
        <w:rPr>
          <w:lang w:val="fr-FR"/>
        </w:rPr>
        <w:t>CarswellBC</w:t>
      </w:r>
      <w:proofErr w:type="spellEnd"/>
      <w:r w:rsidR="001102EC">
        <w:rPr>
          <w:lang w:val="fr-FR"/>
        </w:rPr>
        <w:t xml:space="preserve"> 3547, </w:t>
      </w:r>
      <w:r w:rsidR="00D43F53">
        <w:rPr>
          <w:lang w:val="fr-FR"/>
        </w:rPr>
        <w:t>qui</w:t>
      </w:r>
      <w:r w:rsidR="00D43F53">
        <w:t xml:space="preserve"> a écarté l’acquittement prononcé en faveur de l’accusé relativement aux accusations de voies de fait graves</w:t>
      </w:r>
      <w:r w:rsidR="000058FA">
        <w:t xml:space="preserve"> et d’agression armée</w:t>
      </w:r>
      <w:r w:rsidR="00D43F53">
        <w:t xml:space="preserve">, inscrit des </w:t>
      </w:r>
      <w:r w:rsidR="00FC61EA">
        <w:t>déclaration</w:t>
      </w:r>
      <w:r w:rsidR="00D43F53">
        <w:t>s</w:t>
      </w:r>
      <w:r w:rsidR="00FC61EA">
        <w:t xml:space="preserve"> de culpabilité </w:t>
      </w:r>
      <w:r w:rsidR="00D43F53">
        <w:t xml:space="preserve">à l’égard de ces chefs d’accusation et suspendu la déclaration de culpabilité pour </w:t>
      </w:r>
      <w:r w:rsidR="00FC61EA">
        <w:t>négligence ayant causé des lésions corporelles</w:t>
      </w:r>
      <w:r>
        <w:t xml:space="preserve">.  Pourvoi </w:t>
      </w:r>
      <w:r w:rsidR="009A20D9">
        <w:t>rejeté</w:t>
      </w:r>
      <w:r>
        <w:t>.</w:t>
      </w:r>
    </w:p>
    <w:p w:rsidR="00127053" w:rsidRDefault="00127053" w:rsidP="00127053">
      <w:pPr>
        <w:pStyle w:val="SCCNormalDoubleSpacing"/>
        <w:tabs>
          <w:tab w:val="left" w:pos="1170"/>
        </w:tabs>
        <w:spacing w:after="480"/>
        <w:rPr>
          <w:rStyle w:val="SCCCounselPartyRoleChar"/>
          <w:lang w:val="fr-FR"/>
        </w:rPr>
      </w:pPr>
      <w:r>
        <w:rPr>
          <w:rStyle w:val="SCCCounselNameChar"/>
          <w:lang w:val="fr-FR"/>
        </w:rPr>
        <w:tab/>
      </w:r>
      <w:r w:rsidR="007555F6">
        <w:rPr>
          <w:rStyle w:val="SCCCounselNameChar"/>
          <w:lang w:val="fr-FR"/>
        </w:rPr>
        <w:t>Douglas H. Christie</w:t>
      </w:r>
      <w:r>
        <w:rPr>
          <w:rStyle w:val="SCCCounselPartyRoleChar"/>
          <w:lang w:val="fr-FR"/>
        </w:rPr>
        <w:t xml:space="preserve">, </w:t>
      </w:r>
      <w:r>
        <w:rPr>
          <w:rStyle w:val="SCCCounselPartyRoleChar"/>
        </w:rPr>
        <w:t>pour l’appelant</w:t>
      </w:r>
      <w:r>
        <w:rPr>
          <w:rStyle w:val="SCCCounselPartyRoleChar"/>
          <w:lang w:val="fr-FR"/>
        </w:rPr>
        <w:t>.</w:t>
      </w:r>
    </w:p>
    <w:p w:rsidR="00127053" w:rsidRDefault="00127053" w:rsidP="00127053">
      <w:pPr>
        <w:pStyle w:val="SCCNormalDoubleSpacing"/>
        <w:tabs>
          <w:tab w:val="left" w:pos="1170"/>
        </w:tabs>
        <w:spacing w:after="480"/>
        <w:rPr>
          <w:rStyle w:val="SCCCounselPartyRoleChar"/>
          <w:lang w:val="fr-FR"/>
        </w:rPr>
      </w:pPr>
      <w:r>
        <w:rPr>
          <w:rStyle w:val="SCCCounselPartyRoleChar"/>
          <w:lang w:val="fr-FR"/>
        </w:rPr>
        <w:tab/>
      </w:r>
      <w:r w:rsidR="007555F6">
        <w:rPr>
          <w:rStyle w:val="SCCCounselPartyRoleChar"/>
          <w:i/>
          <w:lang w:val="fr-FR"/>
        </w:rPr>
        <w:t xml:space="preserve">Margaret A. </w:t>
      </w:r>
      <w:proofErr w:type="spellStart"/>
      <w:r w:rsidR="007555F6">
        <w:rPr>
          <w:rStyle w:val="SCCCounselPartyRoleChar"/>
          <w:i/>
          <w:lang w:val="fr-FR"/>
        </w:rPr>
        <w:t>Mereigh</w:t>
      </w:r>
      <w:proofErr w:type="spellEnd"/>
      <w:r w:rsidR="007555F6" w:rsidRPr="007555F6">
        <w:rPr>
          <w:rStyle w:val="SCCCounselPartyRoleChar"/>
          <w:lang w:val="fr-FR"/>
        </w:rPr>
        <w:t>,</w:t>
      </w:r>
      <w:r>
        <w:rPr>
          <w:rStyle w:val="SCCCounselPartyRoleChar"/>
          <w:lang w:val="fr-FR"/>
        </w:rPr>
        <w:t xml:space="preserve"> </w:t>
      </w:r>
      <w:r>
        <w:rPr>
          <w:rStyle w:val="SCCCounselPartyRoleChar"/>
        </w:rPr>
        <w:t>pour l’intimée</w:t>
      </w:r>
      <w:r>
        <w:rPr>
          <w:rStyle w:val="SCCCounselPartyRoleChar"/>
          <w:lang w:val="fr-FR"/>
        </w:rPr>
        <w:t>.</w:t>
      </w:r>
    </w:p>
    <w:p w:rsidR="00127053" w:rsidRDefault="00127053" w:rsidP="00127053">
      <w:pPr>
        <w:pStyle w:val="SCCNormalDoubleSpacing"/>
        <w:tabs>
          <w:tab w:val="left" w:pos="1170"/>
        </w:tabs>
        <w:spacing w:after="480"/>
        <w:rPr>
          <w:szCs w:val="24"/>
        </w:rPr>
      </w:pPr>
      <w:r>
        <w:rPr>
          <w:szCs w:val="24"/>
        </w:rPr>
        <w:tab/>
      </w:r>
      <w:r w:rsidR="007555F6">
        <w:rPr>
          <w:szCs w:val="24"/>
        </w:rPr>
        <w:t>Version française du</w:t>
      </w:r>
      <w:r>
        <w:rPr>
          <w:szCs w:val="24"/>
        </w:rPr>
        <w:t xml:space="preserve"> jugement</w:t>
      </w:r>
      <w:r w:rsidR="00823BB7">
        <w:rPr>
          <w:szCs w:val="24"/>
        </w:rPr>
        <w:t xml:space="preserve"> de la Cour rendu oralement par</w:t>
      </w:r>
    </w:p>
    <w:p w:rsidR="00127053" w:rsidRPr="00774E06" w:rsidRDefault="00127053" w:rsidP="00127053">
      <w:pPr>
        <w:pStyle w:val="ParaNoNdepar-AltN"/>
        <w:tabs>
          <w:tab w:val="clear" w:pos="1512"/>
          <w:tab w:val="num" w:pos="1152"/>
        </w:tabs>
        <w:ind w:left="0"/>
        <w:rPr>
          <w:i/>
          <w:lang w:val="fr-FR"/>
        </w:rPr>
      </w:pPr>
      <w:r w:rsidRPr="007E0ED9">
        <w:rPr>
          <w:smallCaps/>
          <w:lang w:val="fr-CA"/>
        </w:rPr>
        <w:t>Le juge LeBel</w:t>
      </w:r>
      <w:r w:rsidRPr="007E0ED9">
        <w:rPr>
          <w:lang w:val="fr-CA"/>
        </w:rPr>
        <w:t xml:space="preserve"> — </w:t>
      </w:r>
      <w:r w:rsidR="00005FE9" w:rsidRPr="00722E39">
        <w:rPr>
          <w:lang w:val="fr-CA"/>
        </w:rPr>
        <w:t>Nous convenons tous avec</w:t>
      </w:r>
      <w:r w:rsidR="00005FE9">
        <w:rPr>
          <w:lang w:val="fr-CA"/>
        </w:rPr>
        <w:t xml:space="preserve"> le juge </w:t>
      </w:r>
      <w:proofErr w:type="spellStart"/>
      <w:r w:rsidR="00005FE9">
        <w:rPr>
          <w:lang w:val="fr-CA"/>
        </w:rPr>
        <w:t>Hinkson</w:t>
      </w:r>
      <w:proofErr w:type="spellEnd"/>
      <w:r w:rsidR="00005FE9">
        <w:rPr>
          <w:lang w:val="fr-CA"/>
        </w:rPr>
        <w:t>, auteur des motifs unanimes de la Cour d’appel, que chacun des éléments des infractions reprochées à l’appelant a été établi. Nous ne nous prononçons pas s</w:t>
      </w:r>
      <w:r w:rsidR="00814191">
        <w:rPr>
          <w:lang w:val="fr-CA"/>
        </w:rPr>
        <w:t xml:space="preserve">ur la question de savoir s’il </w:t>
      </w:r>
      <w:r w:rsidR="00005FE9">
        <w:rPr>
          <w:lang w:val="fr-CA"/>
        </w:rPr>
        <w:t xml:space="preserve">aurait dû y avoir arrêt des procédures relativement à l’accusation d’agression armée, car elle ne fait pas l’objet du pourvoi. Point n’est besoin non plus, étant donné les faits particuliers de l’affaire, de trancher </w:t>
      </w:r>
      <w:r w:rsidR="00005FE9">
        <w:rPr>
          <w:lang w:val="fr-CA"/>
        </w:rPr>
        <w:lastRenderedPageBreak/>
        <w:t>définitivement la question de savoir s’il pourrait jamais être raisonnable et dans son intérêt qu’un enfant soit circoncis par une personne qui n’a pas de formation médicale. Pour ces motifs, le pourvoi est rejeté.</w:t>
      </w:r>
    </w:p>
    <w:p w:rsidR="00127053" w:rsidRPr="00774E06" w:rsidRDefault="00127053" w:rsidP="00127053">
      <w:pPr>
        <w:pStyle w:val="ParaNoNdepar-AltN"/>
        <w:numPr>
          <w:ilvl w:val="0"/>
          <w:numId w:val="0"/>
        </w:numPr>
        <w:tabs>
          <w:tab w:val="left" w:pos="1170"/>
        </w:tabs>
        <w:rPr>
          <w:rStyle w:val="SCCCounselPartyRoleChar"/>
          <w:i/>
          <w:lang w:val="fr-FR"/>
        </w:rPr>
      </w:pPr>
      <w:r w:rsidRPr="00774E06">
        <w:rPr>
          <w:i/>
          <w:lang w:val="fr-FR"/>
        </w:rPr>
        <w:tab/>
      </w:r>
      <w:r w:rsidRPr="000E2D69">
        <w:rPr>
          <w:i/>
          <w:lang w:val="fr-CA"/>
        </w:rPr>
        <w:t>Jugement en conséquence</w:t>
      </w:r>
      <w:r w:rsidRPr="00E120C4">
        <w:rPr>
          <w:i/>
          <w:lang w:val="fr-CA"/>
        </w:rPr>
        <w:t>.</w:t>
      </w:r>
    </w:p>
    <w:p w:rsidR="00127053" w:rsidRPr="004B29F7" w:rsidRDefault="00127053" w:rsidP="00127053">
      <w:pPr>
        <w:pStyle w:val="SCCNormalDoubleSpacing"/>
        <w:tabs>
          <w:tab w:val="left" w:pos="1170"/>
        </w:tabs>
        <w:spacing w:after="480"/>
      </w:pPr>
      <w:r>
        <w:rPr>
          <w:lang w:val="fr-FR"/>
        </w:rPr>
        <w:tab/>
      </w:r>
      <w:r w:rsidRPr="004B29F7">
        <w:rPr>
          <w:i/>
        </w:rPr>
        <w:t>Procureur</w:t>
      </w:r>
      <w:r w:rsidR="00767F4C">
        <w:rPr>
          <w:i/>
        </w:rPr>
        <w:t xml:space="preserve"> </w:t>
      </w:r>
      <w:r>
        <w:rPr>
          <w:i/>
        </w:rPr>
        <w:t>de l’appelant : </w:t>
      </w:r>
      <w:r w:rsidR="00767F4C">
        <w:rPr>
          <w:i/>
        </w:rPr>
        <w:t>Douglas H. Christie</w:t>
      </w:r>
      <w:r w:rsidRPr="004B29F7">
        <w:rPr>
          <w:i/>
        </w:rPr>
        <w:t xml:space="preserve">, </w:t>
      </w:r>
      <w:r w:rsidR="00767F4C">
        <w:rPr>
          <w:i/>
        </w:rPr>
        <w:t>Victoria</w:t>
      </w:r>
      <w:r w:rsidRPr="004B29F7">
        <w:rPr>
          <w:i/>
        </w:rPr>
        <w:t>.</w:t>
      </w:r>
    </w:p>
    <w:p w:rsidR="00127053" w:rsidRPr="006102A9" w:rsidRDefault="00127053" w:rsidP="00127053">
      <w:pPr>
        <w:pStyle w:val="SCCNormalDoubleSpacing"/>
        <w:tabs>
          <w:tab w:val="left" w:pos="1170"/>
        </w:tabs>
        <w:spacing w:after="480"/>
        <w:rPr>
          <w:i/>
        </w:rPr>
      </w:pPr>
      <w:r w:rsidRPr="004B29F7">
        <w:tab/>
      </w:r>
      <w:r>
        <w:rPr>
          <w:i/>
        </w:rPr>
        <w:t>Procureur de l’intimée : </w:t>
      </w:r>
      <w:r w:rsidRPr="0045555D">
        <w:rPr>
          <w:i/>
        </w:rPr>
        <w:t xml:space="preserve">Procureur </w:t>
      </w:r>
      <w:r>
        <w:rPr>
          <w:i/>
        </w:rPr>
        <w:t>géné</w:t>
      </w:r>
      <w:r w:rsidRPr="0045555D">
        <w:rPr>
          <w:i/>
        </w:rPr>
        <w:t xml:space="preserve">ral </w:t>
      </w:r>
      <w:r w:rsidR="00767F4C">
        <w:rPr>
          <w:i/>
        </w:rPr>
        <w:t>de la Colombie-Britannique</w:t>
      </w:r>
      <w:r w:rsidRPr="0045555D">
        <w:rPr>
          <w:i/>
        </w:rPr>
        <w:t xml:space="preserve">, </w:t>
      </w:r>
      <w:r w:rsidR="00767F4C">
        <w:rPr>
          <w:i/>
        </w:rPr>
        <w:t>Vancouver</w:t>
      </w:r>
      <w:r w:rsidRPr="0045555D">
        <w:rPr>
          <w:i/>
        </w:rPr>
        <w:t>.</w:t>
      </w:r>
    </w:p>
    <w:p w:rsidR="00127053" w:rsidRDefault="00127053" w:rsidP="00127053"/>
    <w:p w:rsidR="00E005E9" w:rsidRDefault="00E005E9"/>
    <w:sectPr w:rsidR="00E005E9" w:rsidSect="009A20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E2" w:rsidRDefault="001309E2" w:rsidP="008B3952">
      <w:r>
        <w:separator/>
      </w:r>
    </w:p>
  </w:endnote>
  <w:endnote w:type="continuationSeparator" w:id="0">
    <w:p w:rsidR="001309E2" w:rsidRDefault="001309E2" w:rsidP="008B3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E2" w:rsidRDefault="001309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E2" w:rsidRDefault="001309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E2" w:rsidRDefault="00130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E2" w:rsidRDefault="001309E2" w:rsidP="008B3952">
      <w:r>
        <w:separator/>
      </w:r>
    </w:p>
  </w:footnote>
  <w:footnote w:type="continuationSeparator" w:id="0">
    <w:p w:rsidR="001309E2" w:rsidRDefault="001309E2" w:rsidP="008B3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E2" w:rsidRDefault="001309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532"/>
      <w:docPartObj>
        <w:docPartGallery w:val="Page Numbers (Top of Page)"/>
        <w:docPartUnique/>
      </w:docPartObj>
    </w:sdtPr>
    <w:sdtContent>
      <w:p w:rsidR="001309E2" w:rsidRDefault="001309E2" w:rsidP="009A20D9">
        <w:pPr>
          <w:pStyle w:val="Header"/>
          <w:spacing w:after="720"/>
          <w:jc w:val="center"/>
        </w:pPr>
        <w:r>
          <w:t xml:space="preserve">- </w:t>
        </w:r>
        <w:fldSimple w:instr=" PAGE   \* MERGEFORMAT ">
          <w:r w:rsidR="00931C6E">
            <w:rPr>
              <w:noProof/>
            </w:rPr>
            <w:t>2</w:t>
          </w:r>
        </w:fldSimple>
        <w:r>
          <w:t xml:space="preserve"> -</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E2" w:rsidRDefault="001309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05C00208"/>
    <w:lvl w:ilvl="0">
      <w:start w:val="1"/>
      <w:numFmt w:val="decimal"/>
      <w:pStyle w:val="ParaNoNdepar-AltN"/>
      <w:lvlText w:val="[%1]"/>
      <w:lvlJc w:val="left"/>
      <w:pPr>
        <w:tabs>
          <w:tab w:val="num" w:pos="1512"/>
        </w:tabs>
        <w:ind w:left="36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rsids>
    <w:rsidRoot w:val="00127053"/>
    <w:rsid w:val="000040D0"/>
    <w:rsid w:val="000058FA"/>
    <w:rsid w:val="00005FE9"/>
    <w:rsid w:val="00096517"/>
    <w:rsid w:val="000E4863"/>
    <w:rsid w:val="001102EC"/>
    <w:rsid w:val="00127053"/>
    <w:rsid w:val="001309E2"/>
    <w:rsid w:val="00134D3C"/>
    <w:rsid w:val="00145655"/>
    <w:rsid w:val="00150E8F"/>
    <w:rsid w:val="00160E84"/>
    <w:rsid w:val="00217496"/>
    <w:rsid w:val="002200A9"/>
    <w:rsid w:val="00263B34"/>
    <w:rsid w:val="00293A64"/>
    <w:rsid w:val="00295F78"/>
    <w:rsid w:val="002A0198"/>
    <w:rsid w:val="002B157C"/>
    <w:rsid w:val="0030585A"/>
    <w:rsid w:val="003A4D9F"/>
    <w:rsid w:val="003D674C"/>
    <w:rsid w:val="003F7903"/>
    <w:rsid w:val="00406986"/>
    <w:rsid w:val="005008CF"/>
    <w:rsid w:val="00552427"/>
    <w:rsid w:val="005A5FD9"/>
    <w:rsid w:val="005B15D0"/>
    <w:rsid w:val="005C73DF"/>
    <w:rsid w:val="006010F6"/>
    <w:rsid w:val="00625FFC"/>
    <w:rsid w:val="006350FF"/>
    <w:rsid w:val="00697D41"/>
    <w:rsid w:val="006A6A63"/>
    <w:rsid w:val="006B20A1"/>
    <w:rsid w:val="0070370B"/>
    <w:rsid w:val="007555F6"/>
    <w:rsid w:val="00766132"/>
    <w:rsid w:val="00767F4C"/>
    <w:rsid w:val="007A3905"/>
    <w:rsid w:val="00814191"/>
    <w:rsid w:val="00823BB7"/>
    <w:rsid w:val="00825940"/>
    <w:rsid w:val="008A660E"/>
    <w:rsid w:val="008B3952"/>
    <w:rsid w:val="008E6D14"/>
    <w:rsid w:val="00931C6E"/>
    <w:rsid w:val="009A20D9"/>
    <w:rsid w:val="00A643D4"/>
    <w:rsid w:val="00B71B15"/>
    <w:rsid w:val="00C078BF"/>
    <w:rsid w:val="00C334D8"/>
    <w:rsid w:val="00C823BA"/>
    <w:rsid w:val="00C96620"/>
    <w:rsid w:val="00CB54FB"/>
    <w:rsid w:val="00D07DE9"/>
    <w:rsid w:val="00D25B1B"/>
    <w:rsid w:val="00D4188C"/>
    <w:rsid w:val="00D43F53"/>
    <w:rsid w:val="00DC1D62"/>
    <w:rsid w:val="00E005E9"/>
    <w:rsid w:val="00E23DE9"/>
    <w:rsid w:val="00EA4700"/>
    <w:rsid w:val="00EE3FC6"/>
    <w:rsid w:val="00F1312C"/>
    <w:rsid w:val="00F63E92"/>
    <w:rsid w:val="00F7019D"/>
    <w:rsid w:val="00F81AFB"/>
    <w:rsid w:val="00F93CDA"/>
    <w:rsid w:val="00FC6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53"/>
    <w:rPr>
      <w:sz w:val="24"/>
      <w:lang w:val="fr-CA"/>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character" w:customStyle="1" w:styleId="SCCNormalDoubleSpacingChar">
    <w:name w:val="SCC.Normal.DoubleSpacing Char"/>
    <w:basedOn w:val="DefaultParagraphFont"/>
    <w:link w:val="SCCNormalDoubleSpacing"/>
    <w:locked/>
    <w:rsid w:val="00127053"/>
    <w:rPr>
      <w:sz w:val="24"/>
      <w:lang w:val="fr-CA"/>
    </w:rPr>
  </w:style>
  <w:style w:type="paragraph" w:customStyle="1" w:styleId="SCCNormalDoubleSpacing">
    <w:name w:val="SCC.Normal.DoubleSpacing"/>
    <w:basedOn w:val="Normal"/>
    <w:link w:val="SCCNormalDoubleSpacingChar"/>
    <w:rsid w:val="00127053"/>
    <w:pPr>
      <w:spacing w:line="480" w:lineRule="auto"/>
      <w:jc w:val="both"/>
    </w:pPr>
  </w:style>
  <w:style w:type="character" w:customStyle="1" w:styleId="SCCLsocPartyChar">
    <w:name w:val="SCC.Lsoc.Party Char"/>
    <w:basedOn w:val="DefaultParagraphFont"/>
    <w:link w:val="SCCLsocParty"/>
    <w:locked/>
    <w:rsid w:val="00127053"/>
    <w:rPr>
      <w:b/>
      <w:sz w:val="24"/>
      <w:lang w:val="fr-CA"/>
    </w:rPr>
  </w:style>
  <w:style w:type="paragraph" w:customStyle="1" w:styleId="SCCLsocParty">
    <w:name w:val="SCC.Lsoc.Party"/>
    <w:basedOn w:val="Normal"/>
    <w:next w:val="Normal"/>
    <w:link w:val="SCCLsocPartyChar"/>
    <w:rsid w:val="00127053"/>
    <w:pPr>
      <w:jc w:val="both"/>
    </w:pPr>
    <w:rPr>
      <w:b/>
    </w:rPr>
  </w:style>
  <w:style w:type="character" w:customStyle="1" w:styleId="SCCLsocVersusChar">
    <w:name w:val="SCC.Lsoc.Versus Char"/>
    <w:basedOn w:val="DefaultParagraphFont"/>
    <w:link w:val="SCCLsocVersus"/>
    <w:locked/>
    <w:rsid w:val="00127053"/>
    <w:rPr>
      <w:i/>
      <w:sz w:val="24"/>
      <w:lang w:val="fr-CA"/>
    </w:rPr>
  </w:style>
  <w:style w:type="paragraph" w:customStyle="1" w:styleId="SCCLsocVersus">
    <w:name w:val="SCC.Lsoc.Versus"/>
    <w:basedOn w:val="Normal"/>
    <w:next w:val="Normal"/>
    <w:link w:val="SCCLsocVersusChar"/>
    <w:rsid w:val="00127053"/>
    <w:rPr>
      <w:i/>
    </w:rPr>
  </w:style>
  <w:style w:type="character" w:customStyle="1" w:styleId="SCCRespondentForRunningHeadChar">
    <w:name w:val="SCC.RespondentForRunningHead Char"/>
    <w:basedOn w:val="DefaultParagraphFont"/>
    <w:link w:val="SCCRespondentForRunningHead"/>
    <w:locked/>
    <w:rsid w:val="00127053"/>
    <w:rPr>
      <w:smallCaps/>
      <w:sz w:val="24"/>
      <w:lang w:val="fr-CA"/>
    </w:rPr>
  </w:style>
  <w:style w:type="paragraph" w:customStyle="1" w:styleId="SCCRespondentForRunningHead">
    <w:name w:val="SCC.RespondentForRunningHead"/>
    <w:basedOn w:val="Normal"/>
    <w:next w:val="Normal"/>
    <w:link w:val="SCCRespondentForRunningHeadChar"/>
    <w:rsid w:val="00127053"/>
    <w:rPr>
      <w:smallCaps/>
    </w:rPr>
  </w:style>
  <w:style w:type="character" w:customStyle="1" w:styleId="SCCSystemYearChar">
    <w:name w:val="SCC.SystemYear Char"/>
    <w:basedOn w:val="DefaultParagraphFont"/>
    <w:link w:val="SCCSystemYear"/>
    <w:locked/>
    <w:rsid w:val="00127053"/>
    <w:rPr>
      <w:b/>
      <w:sz w:val="24"/>
      <w:lang w:val="fr-CA"/>
    </w:rPr>
  </w:style>
  <w:style w:type="paragraph" w:customStyle="1" w:styleId="SCCSystemYear">
    <w:name w:val="SCC.SystemYear"/>
    <w:basedOn w:val="Normal"/>
    <w:next w:val="Normal"/>
    <w:link w:val="SCCSystemYearChar"/>
    <w:rsid w:val="00127053"/>
    <w:rPr>
      <w:b/>
    </w:rPr>
  </w:style>
  <w:style w:type="character" w:customStyle="1" w:styleId="SCCCounselNameChar">
    <w:name w:val="SCC.CounselName Char"/>
    <w:basedOn w:val="SCCNormalDoubleSpacingChar"/>
    <w:link w:val="SCCCounselName"/>
    <w:locked/>
    <w:rsid w:val="00127053"/>
    <w:rPr>
      <w:i/>
    </w:rPr>
  </w:style>
  <w:style w:type="paragraph" w:customStyle="1" w:styleId="SCCCounselName">
    <w:name w:val="SCC.CounselName"/>
    <w:basedOn w:val="SCCNormalDoubleSpacing"/>
    <w:next w:val="SCCNormalDoubleSpacing"/>
    <w:link w:val="SCCCounselNameChar"/>
    <w:rsid w:val="00127053"/>
    <w:rPr>
      <w:i/>
    </w:rPr>
  </w:style>
  <w:style w:type="character" w:customStyle="1" w:styleId="SCCCounselPartyRoleChar">
    <w:name w:val="SCC.CounselPartyRole Char"/>
    <w:basedOn w:val="SCCNormalDoubleSpacingChar"/>
    <w:link w:val="SCCCounselPartyRole"/>
    <w:locked/>
    <w:rsid w:val="00127053"/>
  </w:style>
  <w:style w:type="paragraph" w:customStyle="1" w:styleId="SCCCounselPartyRole">
    <w:name w:val="SCC.CounselPartyRole"/>
    <w:basedOn w:val="SCCNormalDoubleSpacing"/>
    <w:next w:val="SCCNormalDoubleSpacing"/>
    <w:link w:val="SCCCounselPartyRoleChar"/>
    <w:rsid w:val="00127053"/>
  </w:style>
  <w:style w:type="paragraph" w:customStyle="1" w:styleId="ParaNoNdepar-AltN">
    <w:name w:val="Para. No. / Nº de par. - Alt N"/>
    <w:qFormat/>
    <w:rsid w:val="00127053"/>
    <w:pPr>
      <w:numPr>
        <w:numId w:val="1"/>
      </w:numPr>
      <w:spacing w:before="480" w:after="480" w:line="480" w:lineRule="auto"/>
      <w:jc w:val="both"/>
    </w:pPr>
    <w:rPr>
      <w:rFonts w:eastAsiaTheme="minorEastAsia" w:cstheme="minorBidi"/>
      <w:sz w:val="24"/>
      <w:szCs w:val="22"/>
      <w:lang w:eastAsia="en-US"/>
    </w:rPr>
  </w:style>
  <w:style w:type="paragraph" w:styleId="Header">
    <w:name w:val="header"/>
    <w:basedOn w:val="Normal"/>
    <w:link w:val="HeaderChar"/>
    <w:uiPriority w:val="99"/>
    <w:unhideWhenUsed/>
    <w:rsid w:val="00127053"/>
    <w:pPr>
      <w:tabs>
        <w:tab w:val="center" w:pos="4680"/>
        <w:tab w:val="right" w:pos="9360"/>
      </w:tabs>
    </w:pPr>
  </w:style>
  <w:style w:type="character" w:customStyle="1" w:styleId="HeaderChar">
    <w:name w:val="Header Char"/>
    <w:basedOn w:val="DefaultParagraphFont"/>
    <w:link w:val="Header"/>
    <w:uiPriority w:val="99"/>
    <w:rsid w:val="00127053"/>
    <w:rPr>
      <w:sz w:val="24"/>
      <w:lang w:val="fr-CA"/>
    </w:rPr>
  </w:style>
  <w:style w:type="paragraph" w:styleId="Footer">
    <w:name w:val="footer"/>
    <w:basedOn w:val="Normal"/>
    <w:link w:val="FooterChar"/>
    <w:uiPriority w:val="99"/>
    <w:semiHidden/>
    <w:unhideWhenUsed/>
    <w:rsid w:val="00005FE9"/>
    <w:pPr>
      <w:tabs>
        <w:tab w:val="center" w:pos="4680"/>
        <w:tab w:val="right" w:pos="9360"/>
      </w:tabs>
    </w:pPr>
  </w:style>
  <w:style w:type="character" w:customStyle="1" w:styleId="FooterChar">
    <w:name w:val="Footer Char"/>
    <w:basedOn w:val="DefaultParagraphFont"/>
    <w:link w:val="Footer"/>
    <w:uiPriority w:val="99"/>
    <w:semiHidden/>
    <w:rsid w:val="00005FE9"/>
    <w:rPr>
      <w:sz w:val="24"/>
      <w:lang w:val="fr-CA"/>
    </w:rPr>
  </w:style>
  <w:style w:type="table" w:styleId="TableGrid">
    <w:name w:val="Table Grid"/>
    <w:basedOn w:val="TableNormal"/>
    <w:uiPriority w:val="59"/>
    <w:rsid w:val="00931C6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464</Words>
  <Characters>2553</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SCC-CSC</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33</cp:revision>
  <cp:lastPrinted>2012-12-06T15:52:00Z</cp:lastPrinted>
  <dcterms:created xsi:type="dcterms:W3CDTF">2012-12-05T21:02:00Z</dcterms:created>
  <dcterms:modified xsi:type="dcterms:W3CDTF">2013-07-26T17:49:00Z</dcterms:modified>
</cp:coreProperties>
</file>