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7D" w:rsidRPr="001E4759" w:rsidRDefault="0096047D" w:rsidP="0096047D">
      <w:pPr>
        <w:tabs>
          <w:tab w:val="center" w:pos="4680"/>
          <w:tab w:val="right" w:pos="9360"/>
        </w:tabs>
        <w:jc w:val="center"/>
        <w:rPr>
          <w:rFonts w:eastAsiaTheme="minorHAnsi" w:cstheme="minorBidi"/>
          <w:color w:val="000000" w:themeColor="text1"/>
          <w:szCs w:val="24"/>
          <w:lang w:val="fr-CA" w:eastAsia="en-US"/>
        </w:rPr>
      </w:pPr>
      <w:r w:rsidRPr="001E4759">
        <w:rPr>
          <w:rFonts w:eastAsiaTheme="minorHAnsi" w:cstheme="minorBidi"/>
          <w:color w:val="000000" w:themeColor="text1"/>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36353572" r:id="rId8"/>
        </w:object>
      </w:r>
    </w:p>
    <w:p w:rsidR="0096047D" w:rsidRPr="001E4759" w:rsidRDefault="0096047D" w:rsidP="0096047D">
      <w:pPr>
        <w:tabs>
          <w:tab w:val="center" w:pos="4680"/>
          <w:tab w:val="right" w:pos="9360"/>
        </w:tabs>
        <w:rPr>
          <w:rFonts w:eastAsiaTheme="minorHAnsi" w:cstheme="minorBidi"/>
          <w:color w:val="000000" w:themeColor="text1"/>
          <w:szCs w:val="24"/>
          <w:lang w:val="fr-CA" w:eastAsia="en-US"/>
        </w:rPr>
      </w:pPr>
    </w:p>
    <w:p w:rsidR="0096047D" w:rsidRPr="001E4759" w:rsidRDefault="0096047D" w:rsidP="0096047D">
      <w:pPr>
        <w:jc w:val="center"/>
        <w:rPr>
          <w:rFonts w:eastAsiaTheme="minorHAnsi" w:cstheme="minorBidi"/>
          <w:b/>
          <w:color w:val="000000" w:themeColor="text1"/>
          <w:szCs w:val="24"/>
          <w:lang w:val="fr-CA" w:eastAsia="en-US"/>
        </w:rPr>
      </w:pPr>
      <w:r w:rsidRPr="001E4759">
        <w:rPr>
          <w:rFonts w:eastAsiaTheme="minorHAnsi" w:cstheme="minorBidi"/>
          <w:b/>
          <w:color w:val="000000" w:themeColor="text1"/>
          <w:szCs w:val="24"/>
          <w:lang w:val="fr-CA" w:eastAsia="en-US"/>
        </w:rPr>
        <w:t>COUR SUPRÊME DU CANADA</w:t>
      </w:r>
    </w:p>
    <w:p w:rsidR="0096047D" w:rsidRPr="001E4759" w:rsidRDefault="0096047D" w:rsidP="0096047D">
      <w:pPr>
        <w:rPr>
          <w:rFonts w:eastAsiaTheme="minorHAnsi" w:cstheme="minorBidi"/>
          <w:color w:val="000000" w:themeColor="text1"/>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6047D" w:rsidRPr="001E4759" w:rsidTr="004B1F24">
        <w:trPr>
          <w:cantSplit/>
        </w:trPr>
        <w:tc>
          <w:tcPr>
            <w:tcW w:w="6768" w:type="dxa"/>
          </w:tcPr>
          <w:p w:rsidR="0096047D" w:rsidRPr="001E4759" w:rsidRDefault="0096047D" w:rsidP="004B1F24">
            <w:pPr>
              <w:rPr>
                <w:color w:val="000000" w:themeColor="text1"/>
                <w:lang w:val="fr-CA"/>
              </w:rPr>
            </w:pPr>
            <w:r w:rsidRPr="001E4759">
              <w:rPr>
                <w:b/>
                <w:smallCaps/>
                <w:color w:val="000000" w:themeColor="text1"/>
                <w:lang w:val="fr-CA"/>
              </w:rPr>
              <w:t>Référence :</w:t>
            </w:r>
            <w:r w:rsidRPr="001E4759">
              <w:rPr>
                <w:color w:val="000000" w:themeColor="text1"/>
                <w:lang w:val="fr-CA"/>
              </w:rPr>
              <w:t xml:space="preserve"> Canada (Procureur général)</w:t>
            </w:r>
            <w:r w:rsidRPr="001E4759">
              <w:rPr>
                <w:b/>
                <w:color w:val="000000" w:themeColor="text1"/>
                <w:lang w:val="fr-CA"/>
              </w:rPr>
              <w:t xml:space="preserve"> </w:t>
            </w:r>
            <w:r w:rsidRPr="001E4759">
              <w:rPr>
                <w:i/>
                <w:color w:val="000000" w:themeColor="text1"/>
                <w:lang w:val="fr-CA"/>
              </w:rPr>
              <w:t>c.</w:t>
            </w:r>
            <w:r w:rsidRPr="001E4759">
              <w:rPr>
                <w:b/>
                <w:color w:val="000000" w:themeColor="text1"/>
                <w:lang w:val="fr-CA"/>
              </w:rPr>
              <w:t xml:space="preserve"> </w:t>
            </w:r>
            <w:r w:rsidRPr="001E4759">
              <w:rPr>
                <w:color w:val="000000" w:themeColor="text1"/>
                <w:lang w:val="fr-CA"/>
              </w:rPr>
              <w:t xml:space="preserve">Kane, </w:t>
            </w:r>
            <w:r w:rsidRPr="002128B5">
              <w:rPr>
                <w:lang w:val="fr-CA"/>
              </w:rPr>
              <w:t>2012 CSC 64, [2012] 3 R.C.S. 398</w:t>
            </w:r>
          </w:p>
        </w:tc>
        <w:tc>
          <w:tcPr>
            <w:tcW w:w="2808" w:type="dxa"/>
          </w:tcPr>
          <w:p w:rsidR="0096047D" w:rsidRPr="001E4759" w:rsidRDefault="0096047D" w:rsidP="004B1F24">
            <w:pPr>
              <w:rPr>
                <w:color w:val="000000" w:themeColor="text1"/>
                <w:lang w:val="fr-CA"/>
              </w:rPr>
            </w:pPr>
            <w:r w:rsidRPr="001E4759">
              <w:rPr>
                <w:b/>
                <w:smallCaps/>
                <w:color w:val="000000" w:themeColor="text1"/>
                <w:lang w:val="fr-CA"/>
              </w:rPr>
              <w:t>Date :</w:t>
            </w:r>
            <w:r w:rsidRPr="001E4759">
              <w:rPr>
                <w:color w:val="000000" w:themeColor="text1"/>
                <w:lang w:val="fr-CA"/>
              </w:rPr>
              <w:t xml:space="preserve"> 20121123</w:t>
            </w:r>
          </w:p>
          <w:p w:rsidR="0096047D" w:rsidRPr="001E4759" w:rsidRDefault="0096047D" w:rsidP="004B1F24">
            <w:pPr>
              <w:rPr>
                <w:color w:val="000000" w:themeColor="text1"/>
                <w:lang w:val="fr-CA"/>
              </w:rPr>
            </w:pPr>
            <w:r w:rsidRPr="001E4759">
              <w:rPr>
                <w:b/>
                <w:smallCaps/>
                <w:color w:val="000000" w:themeColor="text1"/>
                <w:lang w:val="fr-CA"/>
              </w:rPr>
              <w:t>Dossier :</w:t>
            </w:r>
            <w:r w:rsidRPr="001E4759">
              <w:rPr>
                <w:color w:val="000000" w:themeColor="text1"/>
                <w:lang w:val="fr-CA"/>
              </w:rPr>
              <w:t xml:space="preserve"> 34147</w:t>
            </w:r>
          </w:p>
        </w:tc>
      </w:tr>
    </w:tbl>
    <w:p w:rsidR="0096047D" w:rsidRPr="001E4759" w:rsidRDefault="0096047D" w:rsidP="0096047D">
      <w:pPr>
        <w:rPr>
          <w:rFonts w:eastAsiaTheme="minorHAnsi" w:cstheme="minorBidi"/>
          <w:color w:val="000000" w:themeColor="text1"/>
          <w:szCs w:val="24"/>
          <w:lang w:val="fr-CA" w:eastAsia="en-US"/>
        </w:rPr>
      </w:pPr>
    </w:p>
    <w:p w:rsidR="0096047D" w:rsidRPr="001E4759" w:rsidRDefault="0096047D" w:rsidP="0096047D">
      <w:pPr>
        <w:rPr>
          <w:rFonts w:eastAsiaTheme="minorHAnsi" w:cstheme="minorBidi"/>
          <w:b/>
          <w:smallCaps/>
          <w:color w:val="000000" w:themeColor="text1"/>
          <w:szCs w:val="24"/>
          <w:lang w:val="fr-CA" w:eastAsia="en-US"/>
        </w:rPr>
      </w:pPr>
      <w:r w:rsidRPr="001E4759">
        <w:rPr>
          <w:rFonts w:eastAsiaTheme="minorHAnsi" w:cstheme="minorBidi"/>
          <w:b/>
          <w:smallCaps/>
          <w:color w:val="000000" w:themeColor="text1"/>
          <w:szCs w:val="24"/>
          <w:lang w:val="fr-CA" w:eastAsia="en-US"/>
        </w:rPr>
        <w:t>Entre :</w:t>
      </w:r>
    </w:p>
    <w:p w:rsidR="0096047D" w:rsidRPr="001E4759" w:rsidRDefault="0096047D" w:rsidP="0096047D">
      <w:pPr>
        <w:jc w:val="center"/>
        <w:rPr>
          <w:rFonts w:eastAsiaTheme="minorHAnsi" w:cstheme="minorBidi"/>
          <w:b/>
          <w:color w:val="000000" w:themeColor="text1"/>
          <w:szCs w:val="24"/>
          <w:lang w:val="fr-CA" w:eastAsia="en-US"/>
        </w:rPr>
      </w:pPr>
      <w:r w:rsidRPr="001E4759">
        <w:rPr>
          <w:rFonts w:eastAsiaTheme="minorHAnsi" w:cstheme="minorBidi"/>
          <w:b/>
          <w:color w:val="000000" w:themeColor="text1"/>
          <w:szCs w:val="24"/>
          <w:lang w:val="fr-CA" w:eastAsia="en-US"/>
        </w:rPr>
        <w:t>Procureur général du Canada</w:t>
      </w:r>
    </w:p>
    <w:p w:rsidR="0096047D" w:rsidRPr="001E4759" w:rsidRDefault="0096047D" w:rsidP="0096047D">
      <w:pPr>
        <w:jc w:val="center"/>
        <w:rPr>
          <w:rFonts w:eastAsiaTheme="minorHAnsi" w:cstheme="minorBidi"/>
          <w:color w:val="000000" w:themeColor="text1"/>
          <w:szCs w:val="24"/>
          <w:lang w:val="fr-CA" w:eastAsia="en-US"/>
        </w:rPr>
      </w:pPr>
      <w:r w:rsidRPr="001E4759">
        <w:rPr>
          <w:rFonts w:eastAsiaTheme="minorHAnsi" w:cstheme="minorBidi"/>
          <w:color w:val="000000" w:themeColor="text1"/>
          <w:szCs w:val="24"/>
          <w:lang w:val="fr-CA" w:eastAsia="en-US"/>
        </w:rPr>
        <w:t>Appelant</w:t>
      </w:r>
    </w:p>
    <w:p w:rsidR="0096047D" w:rsidRPr="001E4759" w:rsidRDefault="0096047D" w:rsidP="0096047D">
      <w:pPr>
        <w:jc w:val="center"/>
        <w:rPr>
          <w:rFonts w:eastAsiaTheme="minorHAnsi" w:cstheme="minorBidi"/>
          <w:color w:val="000000" w:themeColor="text1"/>
          <w:szCs w:val="24"/>
          <w:lang w:val="fr-CA" w:eastAsia="en-US"/>
        </w:rPr>
      </w:pPr>
      <w:proofErr w:type="gramStart"/>
      <w:r w:rsidRPr="001E4759">
        <w:rPr>
          <w:rFonts w:eastAsiaTheme="minorHAnsi" w:cstheme="minorBidi"/>
          <w:color w:val="000000" w:themeColor="text1"/>
          <w:szCs w:val="24"/>
          <w:lang w:val="fr-CA" w:eastAsia="en-US"/>
        </w:rPr>
        <w:t>et</w:t>
      </w:r>
      <w:proofErr w:type="gramEnd"/>
    </w:p>
    <w:p w:rsidR="0096047D" w:rsidRPr="001E4759" w:rsidRDefault="0096047D" w:rsidP="0096047D">
      <w:pPr>
        <w:jc w:val="center"/>
        <w:rPr>
          <w:rFonts w:eastAsiaTheme="minorHAnsi" w:cstheme="minorBidi"/>
          <w:b/>
          <w:color w:val="000000" w:themeColor="text1"/>
          <w:szCs w:val="24"/>
          <w:lang w:val="fr-CA" w:eastAsia="en-US"/>
        </w:rPr>
      </w:pPr>
      <w:r w:rsidRPr="001E4759">
        <w:rPr>
          <w:rFonts w:eastAsiaTheme="minorHAnsi" w:cstheme="minorBidi"/>
          <w:b/>
          <w:color w:val="000000" w:themeColor="text1"/>
          <w:szCs w:val="24"/>
          <w:lang w:val="fr-CA" w:eastAsia="en-US"/>
        </w:rPr>
        <w:t>Robert Kane</w:t>
      </w:r>
    </w:p>
    <w:p w:rsidR="0096047D" w:rsidRPr="001E4759" w:rsidRDefault="0096047D" w:rsidP="0096047D">
      <w:pPr>
        <w:jc w:val="center"/>
        <w:rPr>
          <w:rFonts w:eastAsiaTheme="minorHAnsi" w:cstheme="minorBidi"/>
          <w:color w:val="000000" w:themeColor="text1"/>
          <w:szCs w:val="24"/>
          <w:lang w:val="fr-CA" w:eastAsia="en-US"/>
        </w:rPr>
      </w:pPr>
      <w:r w:rsidRPr="001E4759">
        <w:rPr>
          <w:rFonts w:eastAsiaTheme="minorHAnsi" w:cstheme="minorBidi"/>
          <w:color w:val="000000" w:themeColor="text1"/>
          <w:szCs w:val="24"/>
          <w:lang w:val="fr-CA" w:eastAsia="en-US"/>
        </w:rPr>
        <w:t>Intimé</w:t>
      </w:r>
    </w:p>
    <w:p w:rsidR="0096047D" w:rsidRPr="001E4759" w:rsidRDefault="0096047D" w:rsidP="0096047D">
      <w:pPr>
        <w:rPr>
          <w:rFonts w:eastAsiaTheme="minorHAnsi" w:cstheme="minorBidi"/>
          <w:color w:val="000000" w:themeColor="text1"/>
          <w:szCs w:val="24"/>
          <w:lang w:val="fr-CA" w:eastAsia="en-US"/>
        </w:rPr>
      </w:pPr>
    </w:p>
    <w:p w:rsidR="0096047D" w:rsidRPr="001E4759" w:rsidRDefault="0096047D" w:rsidP="0096047D">
      <w:pPr>
        <w:rPr>
          <w:rFonts w:eastAsiaTheme="minorHAnsi" w:cstheme="minorBidi"/>
          <w:color w:val="000000" w:themeColor="text1"/>
          <w:szCs w:val="24"/>
          <w:lang w:val="fr-CA" w:eastAsia="en-US"/>
        </w:rPr>
      </w:pPr>
    </w:p>
    <w:p w:rsidR="0096047D" w:rsidRPr="001E4759" w:rsidRDefault="0096047D" w:rsidP="0096047D">
      <w:pPr>
        <w:jc w:val="center"/>
        <w:rPr>
          <w:rFonts w:eastAsiaTheme="minorHAnsi" w:cstheme="minorBidi"/>
          <w:b/>
          <w:smallCaps/>
          <w:color w:val="000000" w:themeColor="text1"/>
          <w:szCs w:val="24"/>
          <w:lang w:val="fr-CA" w:eastAsia="en-US"/>
        </w:rPr>
      </w:pPr>
      <w:r w:rsidRPr="001E4759">
        <w:rPr>
          <w:rFonts w:eastAsiaTheme="minorHAnsi" w:cstheme="minorBidi"/>
          <w:b/>
          <w:smallCaps/>
          <w:color w:val="000000" w:themeColor="text1"/>
          <w:szCs w:val="24"/>
          <w:lang w:val="fr-CA" w:eastAsia="en-US"/>
        </w:rPr>
        <w:t>Traduction française officielle</w:t>
      </w:r>
    </w:p>
    <w:p w:rsidR="0096047D" w:rsidRPr="001E4759" w:rsidRDefault="0096047D" w:rsidP="0096047D">
      <w:pPr>
        <w:rPr>
          <w:rFonts w:eastAsiaTheme="minorHAnsi" w:cstheme="minorBidi"/>
          <w:color w:val="000000" w:themeColor="text1"/>
          <w:szCs w:val="24"/>
          <w:lang w:val="fr-CA" w:eastAsia="en-US"/>
        </w:rPr>
      </w:pPr>
    </w:p>
    <w:p w:rsidR="0096047D" w:rsidRPr="001E4759" w:rsidRDefault="0096047D" w:rsidP="0096047D">
      <w:pPr>
        <w:rPr>
          <w:rFonts w:eastAsiaTheme="minorHAnsi" w:cstheme="minorBidi"/>
          <w:color w:val="000000" w:themeColor="text1"/>
          <w:szCs w:val="24"/>
          <w:lang w:val="fr-CA" w:eastAsia="en-US"/>
        </w:rPr>
      </w:pPr>
      <w:r w:rsidRPr="001E4759">
        <w:rPr>
          <w:rFonts w:eastAsiaTheme="minorHAnsi" w:cstheme="minorBidi"/>
          <w:b/>
          <w:smallCaps/>
          <w:color w:val="000000" w:themeColor="text1"/>
          <w:szCs w:val="24"/>
          <w:lang w:val="fr-CA" w:eastAsia="en-US"/>
        </w:rPr>
        <w:t>Coram :</w:t>
      </w:r>
      <w:r w:rsidRPr="001E4759">
        <w:rPr>
          <w:rFonts w:eastAsiaTheme="minorHAnsi" w:cstheme="minorBidi"/>
          <w:color w:val="000000" w:themeColor="text1"/>
          <w:szCs w:val="24"/>
          <w:lang w:val="fr-CA" w:eastAsia="en-US"/>
        </w:rPr>
        <w:t xml:space="preserve"> La juge en chef </w:t>
      </w:r>
      <w:proofErr w:type="spellStart"/>
      <w:r w:rsidRPr="001E4759">
        <w:rPr>
          <w:rFonts w:eastAsiaTheme="minorHAnsi" w:cstheme="minorBidi"/>
          <w:color w:val="000000" w:themeColor="text1"/>
          <w:szCs w:val="24"/>
          <w:lang w:val="fr-CA" w:eastAsia="en-US"/>
        </w:rPr>
        <w:t>McLachlin</w:t>
      </w:r>
      <w:proofErr w:type="spellEnd"/>
      <w:r w:rsidRPr="001E4759">
        <w:rPr>
          <w:rFonts w:eastAsiaTheme="minorHAnsi" w:cstheme="minorBidi"/>
          <w:color w:val="000000" w:themeColor="text1"/>
          <w:szCs w:val="24"/>
          <w:lang w:val="fr-CA" w:eastAsia="en-US"/>
        </w:rPr>
        <w:t xml:space="preserve"> et les juges </w:t>
      </w:r>
      <w:proofErr w:type="spellStart"/>
      <w:r w:rsidRPr="001E4759">
        <w:rPr>
          <w:rFonts w:eastAsiaTheme="minorHAnsi" w:cstheme="minorBidi"/>
          <w:color w:val="000000" w:themeColor="text1"/>
          <w:szCs w:val="24"/>
          <w:lang w:val="fr-CA" w:eastAsia="en-US"/>
        </w:rPr>
        <w:t>LeBel</w:t>
      </w:r>
      <w:proofErr w:type="spellEnd"/>
      <w:r w:rsidRPr="001E4759">
        <w:rPr>
          <w:rFonts w:eastAsiaTheme="minorHAnsi" w:cstheme="minorBidi"/>
          <w:color w:val="000000" w:themeColor="text1"/>
          <w:szCs w:val="24"/>
          <w:lang w:val="fr-CA" w:eastAsia="en-US"/>
        </w:rPr>
        <w:t xml:space="preserve">, Abella, </w:t>
      </w:r>
      <w:proofErr w:type="spellStart"/>
      <w:r w:rsidRPr="001E4759">
        <w:rPr>
          <w:rFonts w:eastAsiaTheme="minorHAnsi" w:cstheme="minorBidi"/>
          <w:color w:val="000000" w:themeColor="text1"/>
          <w:szCs w:val="24"/>
          <w:lang w:val="fr-CA" w:eastAsia="en-US"/>
        </w:rPr>
        <w:t>Rothstein</w:t>
      </w:r>
      <w:proofErr w:type="spellEnd"/>
      <w:r w:rsidRPr="001E4759">
        <w:rPr>
          <w:rFonts w:eastAsiaTheme="minorHAnsi" w:cstheme="minorBidi"/>
          <w:color w:val="000000" w:themeColor="text1"/>
          <w:szCs w:val="24"/>
          <w:lang w:val="fr-CA" w:eastAsia="en-US"/>
        </w:rPr>
        <w:t xml:space="preserve">, Cromwell, </w:t>
      </w:r>
      <w:proofErr w:type="spellStart"/>
      <w:r w:rsidRPr="001E4759">
        <w:rPr>
          <w:rFonts w:eastAsiaTheme="minorHAnsi" w:cstheme="minorBidi"/>
          <w:color w:val="000000" w:themeColor="text1"/>
          <w:szCs w:val="24"/>
          <w:lang w:val="fr-CA" w:eastAsia="en-US"/>
        </w:rPr>
        <w:t>Moldaver</w:t>
      </w:r>
      <w:proofErr w:type="spellEnd"/>
      <w:r w:rsidRPr="001E4759">
        <w:rPr>
          <w:rFonts w:eastAsiaTheme="minorHAnsi" w:cstheme="minorBidi"/>
          <w:color w:val="000000" w:themeColor="text1"/>
          <w:szCs w:val="24"/>
          <w:lang w:val="fr-CA" w:eastAsia="en-US"/>
        </w:rPr>
        <w:t xml:space="preserve"> et </w:t>
      </w:r>
      <w:proofErr w:type="spellStart"/>
      <w:r w:rsidRPr="001E4759">
        <w:rPr>
          <w:rFonts w:eastAsiaTheme="minorHAnsi" w:cstheme="minorBidi"/>
          <w:color w:val="000000" w:themeColor="text1"/>
          <w:szCs w:val="24"/>
          <w:lang w:val="fr-CA" w:eastAsia="en-US"/>
        </w:rPr>
        <w:t>Karakatsanis</w:t>
      </w:r>
      <w:proofErr w:type="spellEnd"/>
    </w:p>
    <w:p w:rsidR="0096047D" w:rsidRPr="001E4759" w:rsidRDefault="0096047D" w:rsidP="0096047D">
      <w:pPr>
        <w:rPr>
          <w:rFonts w:eastAsiaTheme="minorHAnsi" w:cstheme="minorBidi"/>
          <w:color w:val="000000" w:themeColor="text1"/>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6047D" w:rsidRPr="001E4759" w:rsidTr="004B1F24">
        <w:trPr>
          <w:cantSplit/>
        </w:trPr>
        <w:tc>
          <w:tcPr>
            <w:tcW w:w="3618" w:type="dxa"/>
          </w:tcPr>
          <w:p w:rsidR="0096047D" w:rsidRPr="001E4759" w:rsidRDefault="0096047D" w:rsidP="004B1F24">
            <w:pPr>
              <w:rPr>
                <w:b/>
                <w:smallCaps/>
                <w:color w:val="000000" w:themeColor="text1"/>
                <w:lang w:val="fr-CA"/>
              </w:rPr>
            </w:pPr>
            <w:r w:rsidRPr="001E4759">
              <w:rPr>
                <w:b/>
                <w:smallCaps/>
                <w:color w:val="000000" w:themeColor="text1"/>
                <w:lang w:val="fr-CA"/>
              </w:rPr>
              <w:t>Motifs de jugement :</w:t>
            </w:r>
          </w:p>
          <w:p w:rsidR="0096047D" w:rsidRPr="001E4759" w:rsidRDefault="0096047D" w:rsidP="004B1F24">
            <w:pPr>
              <w:rPr>
                <w:color w:val="000000" w:themeColor="text1"/>
                <w:lang w:val="fr-CA"/>
              </w:rPr>
            </w:pPr>
            <w:r w:rsidRPr="001E4759">
              <w:rPr>
                <w:color w:val="000000" w:themeColor="text1"/>
                <w:lang w:val="fr-CA"/>
              </w:rPr>
              <w:t>(par. 1 à 11):</w:t>
            </w:r>
          </w:p>
        </w:tc>
        <w:tc>
          <w:tcPr>
            <w:tcW w:w="5958" w:type="dxa"/>
          </w:tcPr>
          <w:p w:rsidR="0096047D" w:rsidRPr="001E4759" w:rsidRDefault="0096047D" w:rsidP="004B1F24">
            <w:pPr>
              <w:rPr>
                <w:color w:val="000000" w:themeColor="text1"/>
                <w:lang w:val="fr-CA"/>
              </w:rPr>
            </w:pPr>
            <w:r w:rsidRPr="001E4759">
              <w:rPr>
                <w:color w:val="000000" w:themeColor="text1"/>
                <w:lang w:val="fr-CA"/>
              </w:rPr>
              <w:t>La Cour</w:t>
            </w:r>
          </w:p>
        </w:tc>
      </w:tr>
    </w:tbl>
    <w:p w:rsidR="0096047D" w:rsidRPr="001E4759" w:rsidRDefault="0096047D" w:rsidP="0096047D">
      <w:pPr>
        <w:rPr>
          <w:rFonts w:eastAsiaTheme="minorHAnsi" w:cstheme="minorBidi"/>
          <w:color w:val="000000" w:themeColor="text1"/>
          <w:szCs w:val="24"/>
          <w:lang w:val="fr-CA" w:eastAsia="en-US"/>
        </w:rPr>
      </w:pPr>
    </w:p>
    <w:p w:rsidR="0096047D" w:rsidRPr="001E4759" w:rsidRDefault="0096047D" w:rsidP="0096047D">
      <w:pPr>
        <w:rPr>
          <w:rFonts w:eastAsiaTheme="minorHAnsi" w:cstheme="minorBidi"/>
          <w:color w:val="000000" w:themeColor="text1"/>
          <w:szCs w:val="24"/>
          <w:lang w:val="fr-CA" w:eastAsia="en-US"/>
        </w:rPr>
      </w:pPr>
    </w:p>
    <w:p w:rsidR="0096047D" w:rsidRPr="001E4759" w:rsidRDefault="0096047D" w:rsidP="0096047D">
      <w:pPr>
        <w:rPr>
          <w:rFonts w:eastAsiaTheme="minorHAnsi" w:cstheme="minorBidi"/>
          <w:color w:val="000000" w:themeColor="text1"/>
          <w:szCs w:val="24"/>
          <w:lang w:val="fr-CA" w:eastAsia="en-US"/>
        </w:rPr>
      </w:pPr>
      <w:r>
        <w:rPr>
          <w:rFonts w:eastAsiaTheme="minorHAnsi" w:cstheme="minorBidi"/>
          <w:noProof/>
          <w:color w:val="000000" w:themeColor="text1"/>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6047D" w:rsidRPr="001E4759" w:rsidRDefault="0096047D" w:rsidP="0096047D">
      <w:pPr>
        <w:rPr>
          <w:smallCaps/>
          <w:color w:val="000000" w:themeColor="text1"/>
          <w:szCs w:val="24"/>
          <w:lang w:val="fr-CA"/>
        </w:rPr>
      </w:pPr>
      <w:r w:rsidRPr="001E4759">
        <w:rPr>
          <w:smallCaps/>
          <w:color w:val="000000" w:themeColor="text1"/>
          <w:szCs w:val="24"/>
          <w:lang w:val="fr-CA"/>
        </w:rPr>
        <w:br w:type="page"/>
      </w:r>
    </w:p>
    <w:p w:rsidR="002128B5" w:rsidRPr="002128B5" w:rsidRDefault="002128B5" w:rsidP="002128B5">
      <w:pPr>
        <w:spacing w:after="720"/>
        <w:jc w:val="both"/>
        <w:rPr>
          <w:szCs w:val="24"/>
          <w:lang w:val="fr-CA"/>
        </w:rPr>
      </w:pPr>
      <w:r w:rsidRPr="002128B5">
        <w:rPr>
          <w:szCs w:val="24"/>
          <w:lang w:val="fr-CA"/>
        </w:rPr>
        <w:lastRenderedPageBreak/>
        <w:t xml:space="preserve">Canada (Procureur général) </w:t>
      </w:r>
      <w:r w:rsidRPr="002128B5">
        <w:rPr>
          <w:i/>
          <w:szCs w:val="24"/>
          <w:lang w:val="fr-CA"/>
        </w:rPr>
        <w:t>c.</w:t>
      </w:r>
      <w:r w:rsidRPr="002128B5">
        <w:rPr>
          <w:szCs w:val="24"/>
          <w:lang w:val="fr-CA"/>
        </w:rPr>
        <w:t xml:space="preserve"> Kane, 2012 CSC 64, [2012] 3 R.C.S. 398</w:t>
      </w:r>
    </w:p>
    <w:p w:rsidR="0043555C" w:rsidRPr="00E44D3A" w:rsidRDefault="000C56AB" w:rsidP="00AF4DC8">
      <w:pPr>
        <w:pStyle w:val="SCCLsocLastPartyInRole"/>
        <w:rPr>
          <w:szCs w:val="24"/>
          <w:lang w:val="fr-CA"/>
        </w:rPr>
      </w:pPr>
      <w:r w:rsidRPr="00E44D3A">
        <w:rPr>
          <w:szCs w:val="24"/>
          <w:lang w:val="fr-CA"/>
        </w:rPr>
        <w:t>Procureur général du Canada</w:t>
      </w:r>
      <w:r w:rsidRPr="00E44D3A">
        <w:rPr>
          <w:rStyle w:val="SCCLsocPartyRole"/>
          <w:szCs w:val="24"/>
          <w:lang w:val="fr-CA"/>
        </w:rPr>
        <w:tab/>
        <w:t>Appelant</w:t>
      </w:r>
    </w:p>
    <w:p w:rsidR="0043555C" w:rsidRPr="00E44D3A" w:rsidRDefault="000C56AB" w:rsidP="00AF4DC8">
      <w:pPr>
        <w:pStyle w:val="SCCLsocVersus"/>
        <w:rPr>
          <w:szCs w:val="24"/>
          <w:lang w:val="fr-CA"/>
        </w:rPr>
      </w:pPr>
      <w:proofErr w:type="gramStart"/>
      <w:r w:rsidRPr="00E44D3A">
        <w:rPr>
          <w:szCs w:val="24"/>
          <w:lang w:val="fr-CA"/>
        </w:rPr>
        <w:t>c</w:t>
      </w:r>
      <w:proofErr w:type="gramEnd"/>
      <w:r w:rsidRPr="00E44D3A">
        <w:rPr>
          <w:szCs w:val="24"/>
          <w:lang w:val="fr-CA"/>
        </w:rPr>
        <w:t>.</w:t>
      </w:r>
    </w:p>
    <w:p w:rsidR="0043555C" w:rsidRPr="00E44D3A" w:rsidRDefault="000C56AB" w:rsidP="00AF4DC8">
      <w:pPr>
        <w:pStyle w:val="SCCLsocLastPartyInRole"/>
        <w:rPr>
          <w:szCs w:val="24"/>
          <w:lang w:val="fr-CA"/>
        </w:rPr>
      </w:pPr>
      <w:r w:rsidRPr="00E44D3A">
        <w:rPr>
          <w:szCs w:val="24"/>
          <w:lang w:val="fr-CA"/>
        </w:rPr>
        <w:t>Robert Kane</w:t>
      </w:r>
      <w:r w:rsidRPr="00E44D3A">
        <w:rPr>
          <w:rStyle w:val="SCCLsocPartyRole"/>
          <w:szCs w:val="24"/>
          <w:lang w:val="fr-CA"/>
        </w:rPr>
        <w:tab/>
        <w:t>Intimé</w:t>
      </w:r>
    </w:p>
    <w:p w:rsidR="004D7D95" w:rsidRPr="00E44D3A" w:rsidRDefault="004D7D95" w:rsidP="00AF4DC8">
      <w:pPr>
        <w:spacing w:after="720"/>
        <w:jc w:val="both"/>
        <w:rPr>
          <w:b/>
          <w:szCs w:val="24"/>
          <w:lang w:val="fr-CA"/>
        </w:rPr>
      </w:pPr>
      <w:r w:rsidRPr="00E44D3A">
        <w:rPr>
          <w:b/>
          <w:szCs w:val="24"/>
          <w:lang w:val="fr-CA"/>
        </w:rPr>
        <w:t>Répertorié</w:t>
      </w:r>
      <w:r w:rsidR="008924AB" w:rsidRPr="00E44D3A">
        <w:rPr>
          <w:b/>
          <w:szCs w:val="24"/>
          <w:lang w:val="fr-CA"/>
        </w:rPr>
        <w:t> :</w:t>
      </w:r>
      <w:r w:rsidRPr="00E44D3A">
        <w:rPr>
          <w:b/>
          <w:szCs w:val="24"/>
          <w:lang w:val="fr-CA"/>
        </w:rPr>
        <w:t> Canada</w:t>
      </w:r>
      <w:r w:rsidR="00933343" w:rsidRPr="00E44D3A">
        <w:rPr>
          <w:b/>
          <w:szCs w:val="24"/>
          <w:lang w:val="fr-CA"/>
        </w:rPr>
        <w:t xml:space="preserve"> (Procureur général)</w:t>
      </w:r>
      <w:r w:rsidRPr="00E44D3A">
        <w:rPr>
          <w:b/>
          <w:szCs w:val="24"/>
          <w:lang w:val="fr-CA"/>
        </w:rPr>
        <w:t xml:space="preserve"> </w:t>
      </w:r>
      <w:r w:rsidRPr="00E44D3A">
        <w:rPr>
          <w:b/>
          <w:i/>
          <w:szCs w:val="24"/>
          <w:lang w:val="fr-CA"/>
        </w:rPr>
        <w:t>c.</w:t>
      </w:r>
      <w:r w:rsidRPr="00E44D3A">
        <w:rPr>
          <w:b/>
          <w:szCs w:val="24"/>
          <w:lang w:val="fr-CA"/>
        </w:rPr>
        <w:t xml:space="preserve"> Kane</w:t>
      </w:r>
    </w:p>
    <w:p w:rsidR="004D7D95" w:rsidRPr="00E44D3A" w:rsidRDefault="00F62639" w:rsidP="00AF4DC8">
      <w:pPr>
        <w:pStyle w:val="SCCSystemYear"/>
        <w:spacing w:after="720"/>
        <w:jc w:val="both"/>
        <w:rPr>
          <w:szCs w:val="24"/>
          <w:lang w:val="fr-CA"/>
        </w:rPr>
      </w:pPr>
      <w:r w:rsidRPr="00E44D3A">
        <w:rPr>
          <w:szCs w:val="24"/>
          <w:lang w:val="fr-CA"/>
        </w:rPr>
        <w:t>2012</w:t>
      </w:r>
      <w:r w:rsidR="002F420B" w:rsidRPr="00E44D3A">
        <w:rPr>
          <w:szCs w:val="24"/>
          <w:lang w:val="fr-CA"/>
        </w:rPr>
        <w:t xml:space="preserve"> CSC 64</w:t>
      </w:r>
    </w:p>
    <w:p w:rsidR="004D7D95" w:rsidRPr="00E44D3A" w:rsidRDefault="004D7D95" w:rsidP="00AF4DC8">
      <w:pPr>
        <w:spacing w:after="720"/>
        <w:jc w:val="both"/>
        <w:rPr>
          <w:szCs w:val="24"/>
          <w:lang w:val="fr-CA"/>
        </w:rPr>
      </w:pPr>
      <w:r w:rsidRPr="00E44D3A">
        <w:rPr>
          <w:szCs w:val="24"/>
          <w:lang w:val="fr-CA"/>
        </w:rPr>
        <w:t>N</w:t>
      </w:r>
      <w:r w:rsidRPr="00E44D3A">
        <w:rPr>
          <w:szCs w:val="24"/>
          <w:vertAlign w:val="superscript"/>
          <w:lang w:val="fr-CA"/>
        </w:rPr>
        <w:t>o</w:t>
      </w:r>
      <w:r w:rsidRPr="00E44D3A">
        <w:rPr>
          <w:szCs w:val="24"/>
          <w:lang w:val="fr-CA"/>
        </w:rPr>
        <w:t xml:space="preserve"> du greffe</w:t>
      </w:r>
      <w:r w:rsidR="008924AB" w:rsidRPr="00E44D3A">
        <w:rPr>
          <w:szCs w:val="24"/>
          <w:lang w:val="fr-CA"/>
        </w:rPr>
        <w:t> :</w:t>
      </w:r>
      <w:r w:rsidRPr="00E44D3A">
        <w:rPr>
          <w:szCs w:val="24"/>
          <w:lang w:val="fr-CA"/>
        </w:rPr>
        <w:t> 34147.</w:t>
      </w:r>
    </w:p>
    <w:p w:rsidR="004D7D95" w:rsidRPr="00E44D3A" w:rsidRDefault="00AF4DC8" w:rsidP="00AF4DC8">
      <w:pPr>
        <w:spacing w:after="720"/>
        <w:jc w:val="both"/>
        <w:rPr>
          <w:szCs w:val="24"/>
          <w:lang w:val="fr-CA"/>
        </w:rPr>
      </w:pPr>
      <w:r w:rsidRPr="00E44D3A">
        <w:rPr>
          <w:szCs w:val="24"/>
          <w:lang w:val="fr-CA"/>
        </w:rPr>
        <w:t>2012</w:t>
      </w:r>
      <w:r w:rsidR="008924AB" w:rsidRPr="00E44D3A">
        <w:rPr>
          <w:szCs w:val="24"/>
          <w:lang w:val="fr-CA"/>
        </w:rPr>
        <w:t> :</w:t>
      </w:r>
      <w:r w:rsidRPr="00E44D3A">
        <w:rPr>
          <w:szCs w:val="24"/>
          <w:lang w:val="fr-CA"/>
        </w:rPr>
        <w:t> 6 </w:t>
      </w:r>
      <w:r w:rsidR="00F62639" w:rsidRPr="00E44D3A">
        <w:rPr>
          <w:szCs w:val="24"/>
          <w:lang w:val="fr-CA"/>
        </w:rPr>
        <w:t>novembre</w:t>
      </w:r>
      <w:r w:rsidRPr="00E44D3A">
        <w:rPr>
          <w:szCs w:val="24"/>
          <w:lang w:val="fr-CA"/>
        </w:rPr>
        <w:t>; 2012</w:t>
      </w:r>
      <w:r w:rsidR="008924AB" w:rsidRPr="00E44D3A">
        <w:rPr>
          <w:szCs w:val="24"/>
          <w:lang w:val="fr-CA"/>
        </w:rPr>
        <w:t> :</w:t>
      </w:r>
      <w:r w:rsidRPr="00E44D3A">
        <w:rPr>
          <w:szCs w:val="24"/>
          <w:lang w:val="fr-CA"/>
        </w:rPr>
        <w:t> 23 </w:t>
      </w:r>
      <w:r w:rsidR="00DA6DFC" w:rsidRPr="00E44D3A">
        <w:rPr>
          <w:szCs w:val="24"/>
          <w:lang w:val="fr-CA"/>
        </w:rPr>
        <w:t>novembre.</w:t>
      </w:r>
    </w:p>
    <w:p w:rsidR="004D7D95" w:rsidRPr="00E44D3A" w:rsidRDefault="004D7D95" w:rsidP="00AF4DC8">
      <w:pPr>
        <w:spacing w:after="720"/>
        <w:jc w:val="both"/>
        <w:rPr>
          <w:szCs w:val="24"/>
          <w:lang w:val="fr-CA"/>
        </w:rPr>
      </w:pPr>
      <w:r w:rsidRPr="00E44D3A">
        <w:rPr>
          <w:szCs w:val="24"/>
          <w:lang w:val="fr-CA"/>
        </w:rPr>
        <w:t>Présents</w:t>
      </w:r>
      <w:r w:rsidR="008924AB" w:rsidRPr="00E44D3A">
        <w:rPr>
          <w:szCs w:val="24"/>
          <w:lang w:val="fr-CA"/>
        </w:rPr>
        <w:t> :</w:t>
      </w:r>
      <w:r w:rsidRPr="00E44D3A">
        <w:rPr>
          <w:szCs w:val="24"/>
          <w:lang w:val="fr-CA"/>
        </w:rPr>
        <w:t> La juge en chef McLachlin et les juges LeBel, Abella, Rothstein, Cromwell, Moldaver et Karakatsanis.</w:t>
      </w:r>
    </w:p>
    <w:p w:rsidR="004D7D95" w:rsidRPr="00E44D3A" w:rsidRDefault="004841A2" w:rsidP="00AF4DC8">
      <w:pPr>
        <w:spacing w:after="720"/>
        <w:jc w:val="both"/>
        <w:rPr>
          <w:smallCaps/>
          <w:szCs w:val="24"/>
          <w:lang w:val="fr-CA"/>
        </w:rPr>
      </w:pPr>
      <w:r w:rsidRPr="00E44D3A">
        <w:rPr>
          <w:smallCaps/>
          <w:szCs w:val="24"/>
          <w:lang w:val="fr-CA"/>
        </w:rPr>
        <w:t>e</w:t>
      </w:r>
      <w:r w:rsidR="004C411A" w:rsidRPr="00E44D3A">
        <w:rPr>
          <w:smallCaps/>
          <w:szCs w:val="24"/>
          <w:lang w:val="fr-CA"/>
        </w:rPr>
        <w:t>n appel de la cour d</w:t>
      </w:r>
      <w:r w:rsidR="0089776C" w:rsidRPr="00E44D3A">
        <w:rPr>
          <w:smallCaps/>
          <w:szCs w:val="24"/>
          <w:lang w:val="fr-CA"/>
        </w:rPr>
        <w:t>’</w:t>
      </w:r>
      <w:r w:rsidR="004D7D95" w:rsidRPr="00E44D3A">
        <w:rPr>
          <w:smallCaps/>
          <w:szCs w:val="24"/>
          <w:lang w:val="fr-CA"/>
        </w:rPr>
        <w:t>appel fédérale</w:t>
      </w:r>
    </w:p>
    <w:p w:rsidR="00D87BB0" w:rsidRPr="00E44D3A" w:rsidRDefault="004C46DF" w:rsidP="00AF4DC8">
      <w:pPr>
        <w:pStyle w:val="SCCNormalDoubleSpacing"/>
        <w:spacing w:after="480"/>
        <w:rPr>
          <w:i/>
          <w:szCs w:val="24"/>
          <w:lang w:val="fr-CA"/>
        </w:rPr>
      </w:pPr>
      <w:r w:rsidRPr="00E44D3A">
        <w:rPr>
          <w:szCs w:val="24"/>
          <w:lang w:val="fr-CA"/>
        </w:rPr>
        <w:tab/>
      </w:r>
      <w:r w:rsidRPr="00E44D3A">
        <w:rPr>
          <w:i/>
          <w:szCs w:val="24"/>
          <w:lang w:val="fr-CA"/>
        </w:rPr>
        <w:t>Droit a</w:t>
      </w:r>
      <w:r w:rsidR="00D87BB0" w:rsidRPr="00E44D3A">
        <w:rPr>
          <w:i/>
          <w:szCs w:val="24"/>
          <w:lang w:val="fr-CA"/>
        </w:rPr>
        <w:t>dministrati</w:t>
      </w:r>
      <w:r w:rsidRPr="00E44D3A">
        <w:rPr>
          <w:i/>
          <w:szCs w:val="24"/>
          <w:lang w:val="fr-CA"/>
        </w:rPr>
        <w:t>f</w:t>
      </w:r>
      <w:r w:rsidR="00D87BB0" w:rsidRPr="00E44D3A">
        <w:rPr>
          <w:i/>
          <w:szCs w:val="24"/>
          <w:lang w:val="fr-CA"/>
        </w:rPr>
        <w:t xml:space="preserve"> </w:t>
      </w:r>
      <w:r w:rsidR="00DA6DFC" w:rsidRPr="00E44D3A">
        <w:rPr>
          <w:i/>
          <w:szCs w:val="24"/>
          <w:lang w:val="fr-CA"/>
        </w:rPr>
        <w:t>—</w:t>
      </w:r>
      <w:r w:rsidR="00D87BB0" w:rsidRPr="00E44D3A">
        <w:rPr>
          <w:i/>
          <w:szCs w:val="24"/>
          <w:lang w:val="fr-CA"/>
        </w:rPr>
        <w:t xml:space="preserve"> </w:t>
      </w:r>
      <w:r w:rsidRPr="00E44D3A">
        <w:rPr>
          <w:i/>
          <w:szCs w:val="24"/>
          <w:lang w:val="fr-CA"/>
        </w:rPr>
        <w:t>Contrôle judiciaire</w:t>
      </w:r>
      <w:r w:rsidR="00D87BB0" w:rsidRPr="00E44D3A">
        <w:rPr>
          <w:i/>
          <w:szCs w:val="24"/>
          <w:lang w:val="fr-CA"/>
        </w:rPr>
        <w:t xml:space="preserve"> </w:t>
      </w:r>
      <w:r w:rsidR="00DA6DFC" w:rsidRPr="00E44D3A">
        <w:rPr>
          <w:i/>
          <w:szCs w:val="24"/>
          <w:lang w:val="fr-CA"/>
        </w:rPr>
        <w:t>—</w:t>
      </w:r>
      <w:r w:rsidR="00D87BB0" w:rsidRPr="00E44D3A">
        <w:rPr>
          <w:i/>
          <w:szCs w:val="24"/>
          <w:lang w:val="fr-CA"/>
        </w:rPr>
        <w:t xml:space="preserve"> </w:t>
      </w:r>
      <w:r w:rsidRPr="00E44D3A">
        <w:rPr>
          <w:i/>
          <w:szCs w:val="24"/>
          <w:lang w:val="fr-CA"/>
        </w:rPr>
        <w:t>Norme de contrôle</w:t>
      </w:r>
      <w:r w:rsidR="00D87BB0" w:rsidRPr="00E44D3A">
        <w:rPr>
          <w:i/>
          <w:szCs w:val="24"/>
          <w:lang w:val="fr-CA"/>
        </w:rPr>
        <w:t xml:space="preserve"> </w:t>
      </w:r>
      <w:r w:rsidR="00DA6DFC" w:rsidRPr="00E44D3A">
        <w:rPr>
          <w:i/>
          <w:szCs w:val="24"/>
          <w:lang w:val="fr-CA"/>
        </w:rPr>
        <w:t>—</w:t>
      </w:r>
      <w:r w:rsidR="00D87BB0" w:rsidRPr="00E44D3A">
        <w:rPr>
          <w:i/>
          <w:szCs w:val="24"/>
          <w:lang w:val="fr-CA"/>
        </w:rPr>
        <w:t xml:space="preserve"> </w:t>
      </w:r>
      <w:r w:rsidR="00070EC0" w:rsidRPr="00E44D3A">
        <w:rPr>
          <w:i/>
          <w:szCs w:val="24"/>
          <w:lang w:val="fr-CA"/>
        </w:rPr>
        <w:t>Conclusion du Tribunal de la dotation de la fonction publique portant que la décision de l</w:t>
      </w:r>
      <w:r w:rsidR="0089776C" w:rsidRPr="00E44D3A">
        <w:rPr>
          <w:i/>
          <w:szCs w:val="24"/>
          <w:lang w:val="fr-CA"/>
        </w:rPr>
        <w:t>’</w:t>
      </w:r>
      <w:r w:rsidR="00070EC0" w:rsidRPr="00E44D3A">
        <w:rPr>
          <w:i/>
          <w:szCs w:val="24"/>
          <w:lang w:val="fr-CA"/>
        </w:rPr>
        <w:t>employeur de doter le poste au moyen d</w:t>
      </w:r>
      <w:r w:rsidR="0089776C" w:rsidRPr="00E44D3A">
        <w:rPr>
          <w:i/>
          <w:szCs w:val="24"/>
          <w:lang w:val="fr-CA"/>
        </w:rPr>
        <w:t>’</w:t>
      </w:r>
      <w:r w:rsidR="00070EC0" w:rsidRPr="00E44D3A">
        <w:rPr>
          <w:i/>
          <w:szCs w:val="24"/>
          <w:lang w:val="fr-CA"/>
        </w:rPr>
        <w:t xml:space="preserve">un processus de nomination annoncé ne constituait pas un abus de pouvoir </w:t>
      </w:r>
      <w:r w:rsidR="00DA6DFC" w:rsidRPr="00E44D3A">
        <w:rPr>
          <w:i/>
          <w:szCs w:val="24"/>
          <w:lang w:val="fr-CA"/>
        </w:rPr>
        <w:t>—</w:t>
      </w:r>
      <w:r w:rsidR="00070EC0" w:rsidRPr="00E44D3A">
        <w:rPr>
          <w:i/>
          <w:szCs w:val="24"/>
          <w:lang w:val="fr-CA"/>
        </w:rPr>
        <w:t xml:space="preserve"> </w:t>
      </w:r>
      <w:proofErr w:type="spellStart"/>
      <w:r w:rsidR="00070EC0" w:rsidRPr="00E44D3A">
        <w:rPr>
          <w:i/>
          <w:szCs w:val="24"/>
          <w:lang w:val="fr-CA"/>
        </w:rPr>
        <w:t>Est</w:t>
      </w:r>
      <w:r w:rsidR="008924AB" w:rsidRPr="00E44D3A">
        <w:rPr>
          <w:i/>
          <w:szCs w:val="24"/>
          <w:lang w:val="fr-CA"/>
        </w:rPr>
        <w:noBreakHyphen/>
      </w:r>
      <w:r w:rsidR="00070EC0" w:rsidRPr="00E44D3A">
        <w:rPr>
          <w:i/>
          <w:szCs w:val="24"/>
          <w:lang w:val="fr-CA"/>
        </w:rPr>
        <w:t>ce</w:t>
      </w:r>
      <w:proofErr w:type="spellEnd"/>
      <w:r w:rsidR="00070EC0" w:rsidRPr="00E44D3A">
        <w:rPr>
          <w:i/>
          <w:szCs w:val="24"/>
          <w:lang w:val="fr-CA"/>
        </w:rPr>
        <w:t xml:space="preserve"> que la décision du </w:t>
      </w:r>
      <w:r w:rsidR="00D87BB0" w:rsidRPr="00E44D3A">
        <w:rPr>
          <w:i/>
          <w:szCs w:val="24"/>
          <w:lang w:val="fr-CA"/>
        </w:rPr>
        <w:t xml:space="preserve">Tribunal </w:t>
      </w:r>
      <w:r w:rsidR="00070EC0" w:rsidRPr="00E44D3A">
        <w:rPr>
          <w:i/>
          <w:szCs w:val="24"/>
          <w:lang w:val="fr-CA"/>
        </w:rPr>
        <w:t>est susceptible de contrôle suivant la norme de la décision raisonnable?</w:t>
      </w:r>
      <w:r w:rsidR="00D87BB0" w:rsidRPr="00E44D3A">
        <w:rPr>
          <w:i/>
          <w:szCs w:val="24"/>
          <w:lang w:val="fr-CA"/>
        </w:rPr>
        <w:t xml:space="preserve"> </w:t>
      </w:r>
    </w:p>
    <w:p w:rsidR="00D87BB0" w:rsidRPr="00E44D3A" w:rsidRDefault="00D87BB0" w:rsidP="00AF4DC8">
      <w:pPr>
        <w:pStyle w:val="SCCNormalDoubleSpacing"/>
        <w:spacing w:after="480"/>
        <w:rPr>
          <w:szCs w:val="24"/>
          <w:lang w:val="fr-CA"/>
        </w:rPr>
      </w:pPr>
      <w:r w:rsidRPr="00E44D3A">
        <w:rPr>
          <w:szCs w:val="24"/>
          <w:lang w:val="fr-CA"/>
        </w:rPr>
        <w:lastRenderedPageBreak/>
        <w:tab/>
        <w:t>K travaillait pour Service Canada et occupa</w:t>
      </w:r>
      <w:r w:rsidR="00A508CE" w:rsidRPr="00E44D3A">
        <w:rPr>
          <w:szCs w:val="24"/>
          <w:lang w:val="fr-CA"/>
        </w:rPr>
        <w:t>it un poste classé au niveau PM</w:t>
      </w:r>
      <w:r w:rsidR="00A508CE" w:rsidRPr="00E44D3A">
        <w:rPr>
          <w:szCs w:val="24"/>
          <w:lang w:val="fr-CA"/>
        </w:rPr>
        <w:noBreakHyphen/>
      </w:r>
      <w:r w:rsidRPr="00E44D3A">
        <w:rPr>
          <w:szCs w:val="24"/>
          <w:lang w:val="fr-CA"/>
        </w:rPr>
        <w:t>05.  Dans le cadre d</w:t>
      </w:r>
      <w:r w:rsidR="0089776C" w:rsidRPr="00E44D3A">
        <w:rPr>
          <w:szCs w:val="24"/>
          <w:lang w:val="fr-CA"/>
        </w:rPr>
        <w:t>’</w:t>
      </w:r>
      <w:r w:rsidRPr="00E44D3A">
        <w:rPr>
          <w:szCs w:val="24"/>
          <w:lang w:val="fr-CA"/>
        </w:rPr>
        <w:t>une réorganisation, le poste de ges</w:t>
      </w:r>
      <w:r w:rsidR="00A508CE" w:rsidRPr="00E44D3A">
        <w:rPr>
          <w:szCs w:val="24"/>
          <w:lang w:val="fr-CA"/>
        </w:rPr>
        <w:t>tionnaire régional de niveau PM</w:t>
      </w:r>
      <w:r w:rsidR="00A508CE" w:rsidRPr="00E44D3A">
        <w:rPr>
          <w:szCs w:val="24"/>
          <w:lang w:val="fr-CA"/>
        </w:rPr>
        <w:noBreakHyphen/>
      </w:r>
      <w:r w:rsidRPr="00E44D3A">
        <w:rPr>
          <w:szCs w:val="24"/>
          <w:lang w:val="fr-CA"/>
        </w:rPr>
        <w:t xml:space="preserve">06 a été créé.  </w:t>
      </w:r>
      <w:r w:rsidR="00070EC0" w:rsidRPr="00E44D3A">
        <w:rPr>
          <w:szCs w:val="24"/>
          <w:lang w:val="fr-CA"/>
        </w:rPr>
        <w:t>L</w:t>
      </w:r>
      <w:r w:rsidR="0089776C" w:rsidRPr="00E44D3A">
        <w:rPr>
          <w:szCs w:val="24"/>
          <w:lang w:val="fr-CA"/>
        </w:rPr>
        <w:t>’</w:t>
      </w:r>
      <w:r w:rsidR="00070EC0" w:rsidRPr="00E44D3A">
        <w:rPr>
          <w:szCs w:val="24"/>
          <w:lang w:val="fr-CA"/>
        </w:rPr>
        <w:t xml:space="preserve">employeur </w:t>
      </w:r>
      <w:r w:rsidRPr="00E44D3A">
        <w:rPr>
          <w:szCs w:val="24"/>
          <w:lang w:val="fr-CA"/>
        </w:rPr>
        <w:t>a décidé de doter ce poste au moyen d</w:t>
      </w:r>
      <w:r w:rsidR="0089776C" w:rsidRPr="00E44D3A">
        <w:rPr>
          <w:szCs w:val="24"/>
          <w:lang w:val="fr-CA"/>
        </w:rPr>
        <w:t>’</w:t>
      </w:r>
      <w:r w:rsidRPr="00E44D3A">
        <w:rPr>
          <w:szCs w:val="24"/>
          <w:lang w:val="fr-CA"/>
        </w:rPr>
        <w:t xml:space="preserve">un processus de nomination interne annoncé.  K a participé au concours, mais il a échoué à un examen obligatoire.  </w:t>
      </w:r>
      <w:r w:rsidR="00070EC0" w:rsidRPr="00E44D3A">
        <w:rPr>
          <w:szCs w:val="24"/>
          <w:lang w:val="fr-CA"/>
        </w:rPr>
        <w:t>Il a</w:t>
      </w:r>
      <w:r w:rsidRPr="00E44D3A">
        <w:rPr>
          <w:szCs w:val="24"/>
          <w:lang w:val="fr-CA"/>
        </w:rPr>
        <w:t xml:space="preserve"> déposé auprès du Tribunal de la dotation de la fonction publique une plainte reprochant un abus d</w:t>
      </w:r>
      <w:r w:rsidR="0089776C" w:rsidRPr="00E44D3A">
        <w:rPr>
          <w:szCs w:val="24"/>
          <w:lang w:val="fr-CA"/>
        </w:rPr>
        <w:t>’</w:t>
      </w:r>
      <w:r w:rsidRPr="00E44D3A">
        <w:rPr>
          <w:szCs w:val="24"/>
          <w:lang w:val="fr-CA"/>
        </w:rPr>
        <w:t xml:space="preserve">autorité au sens de la </w:t>
      </w:r>
      <w:r w:rsidRPr="00E44D3A">
        <w:rPr>
          <w:i/>
          <w:szCs w:val="24"/>
          <w:lang w:val="fr-CA"/>
        </w:rPr>
        <w:t>Loi sur l</w:t>
      </w:r>
      <w:r w:rsidR="0089776C" w:rsidRPr="00E44D3A">
        <w:rPr>
          <w:i/>
          <w:szCs w:val="24"/>
          <w:lang w:val="fr-CA"/>
        </w:rPr>
        <w:t>’</w:t>
      </w:r>
      <w:r w:rsidRPr="00E44D3A">
        <w:rPr>
          <w:i/>
          <w:szCs w:val="24"/>
          <w:lang w:val="fr-CA"/>
        </w:rPr>
        <w:t>emploi dans la fonction publique</w:t>
      </w:r>
      <w:r w:rsidR="00AF4DC8" w:rsidRPr="00E44D3A">
        <w:rPr>
          <w:szCs w:val="24"/>
          <w:lang w:val="fr-CA"/>
        </w:rPr>
        <w:t xml:space="preserve">.  </w:t>
      </w:r>
      <w:r w:rsidRPr="00E44D3A">
        <w:rPr>
          <w:szCs w:val="24"/>
          <w:lang w:val="fr-CA"/>
        </w:rPr>
        <w:t>Le Tribunal a rejeté la plainte de K, au motif qu</w:t>
      </w:r>
      <w:r w:rsidR="00A568EF" w:rsidRPr="00E44D3A">
        <w:rPr>
          <w:szCs w:val="24"/>
          <w:lang w:val="fr-CA"/>
        </w:rPr>
        <w:t>e ce dernier n</w:t>
      </w:r>
      <w:r w:rsidR="0089776C" w:rsidRPr="00E44D3A">
        <w:rPr>
          <w:szCs w:val="24"/>
          <w:lang w:val="fr-CA"/>
        </w:rPr>
        <w:t>’</w:t>
      </w:r>
      <w:r w:rsidR="00A568EF" w:rsidRPr="00E44D3A">
        <w:rPr>
          <w:szCs w:val="24"/>
          <w:lang w:val="fr-CA"/>
        </w:rPr>
        <w:t>a</w:t>
      </w:r>
      <w:r w:rsidRPr="00E44D3A">
        <w:rPr>
          <w:szCs w:val="24"/>
          <w:lang w:val="fr-CA"/>
        </w:rPr>
        <w:t>vait pas établi l</w:t>
      </w:r>
      <w:r w:rsidR="0089776C" w:rsidRPr="00E44D3A">
        <w:rPr>
          <w:szCs w:val="24"/>
          <w:lang w:val="fr-CA"/>
        </w:rPr>
        <w:t>’</w:t>
      </w:r>
      <w:r w:rsidRPr="00E44D3A">
        <w:rPr>
          <w:szCs w:val="24"/>
          <w:lang w:val="fr-CA"/>
        </w:rPr>
        <w:t>existence d</w:t>
      </w:r>
      <w:r w:rsidR="0089776C" w:rsidRPr="00E44D3A">
        <w:rPr>
          <w:szCs w:val="24"/>
          <w:lang w:val="fr-CA"/>
        </w:rPr>
        <w:t>’</w:t>
      </w:r>
      <w:r w:rsidRPr="00E44D3A">
        <w:rPr>
          <w:szCs w:val="24"/>
          <w:lang w:val="fr-CA"/>
        </w:rPr>
        <w:t>un abus de pouvoir</w:t>
      </w:r>
      <w:r w:rsidR="00AF4DC8" w:rsidRPr="00E44D3A">
        <w:rPr>
          <w:szCs w:val="24"/>
          <w:lang w:val="fr-CA"/>
        </w:rPr>
        <w:t xml:space="preserve">.  </w:t>
      </w:r>
      <w:r w:rsidRPr="00E44D3A">
        <w:rPr>
          <w:szCs w:val="24"/>
          <w:lang w:val="fr-CA"/>
        </w:rPr>
        <w:t>La Cour fédérale a confirmé la décision du Tribun</w:t>
      </w:r>
      <w:r w:rsidR="008924AB" w:rsidRPr="00E44D3A">
        <w:rPr>
          <w:szCs w:val="24"/>
          <w:lang w:val="fr-CA"/>
        </w:rPr>
        <w:t>al. </w:t>
      </w:r>
      <w:r w:rsidR="00AF4DC8" w:rsidRPr="00E44D3A">
        <w:rPr>
          <w:szCs w:val="24"/>
          <w:lang w:val="fr-CA"/>
        </w:rPr>
        <w:t xml:space="preserve"> </w:t>
      </w:r>
      <w:r w:rsidRPr="00E44D3A">
        <w:rPr>
          <w:szCs w:val="24"/>
          <w:lang w:val="fr-CA"/>
        </w:rPr>
        <w:t>La Cour d</w:t>
      </w:r>
      <w:r w:rsidR="0089776C" w:rsidRPr="00E44D3A">
        <w:rPr>
          <w:szCs w:val="24"/>
          <w:lang w:val="fr-CA"/>
        </w:rPr>
        <w:t>’</w:t>
      </w:r>
      <w:r w:rsidRPr="00E44D3A">
        <w:rPr>
          <w:szCs w:val="24"/>
          <w:lang w:val="fr-CA"/>
        </w:rPr>
        <w:t>appel fédérale a accueil</w:t>
      </w:r>
      <w:r w:rsidR="00781E75" w:rsidRPr="00E44D3A">
        <w:rPr>
          <w:szCs w:val="24"/>
          <w:lang w:val="fr-CA"/>
        </w:rPr>
        <w:t>li</w:t>
      </w:r>
      <w:r w:rsidRPr="00E44D3A">
        <w:rPr>
          <w:szCs w:val="24"/>
          <w:lang w:val="fr-CA"/>
        </w:rPr>
        <w:t xml:space="preserve"> l</w:t>
      </w:r>
      <w:r w:rsidR="0089776C" w:rsidRPr="00E44D3A">
        <w:rPr>
          <w:szCs w:val="24"/>
          <w:lang w:val="fr-CA"/>
        </w:rPr>
        <w:t>’</w:t>
      </w:r>
      <w:r w:rsidRPr="00E44D3A">
        <w:rPr>
          <w:szCs w:val="24"/>
          <w:lang w:val="fr-CA"/>
        </w:rPr>
        <w:t>appel formé devant elle et renvoyé l</w:t>
      </w:r>
      <w:r w:rsidR="0089776C" w:rsidRPr="00E44D3A">
        <w:rPr>
          <w:szCs w:val="24"/>
          <w:lang w:val="fr-CA"/>
        </w:rPr>
        <w:t>’</w:t>
      </w:r>
      <w:r w:rsidRPr="00E44D3A">
        <w:rPr>
          <w:szCs w:val="24"/>
          <w:lang w:val="fr-CA"/>
        </w:rPr>
        <w:t>affaire au Tribunal.</w:t>
      </w:r>
    </w:p>
    <w:p w:rsidR="00D87BB0" w:rsidRPr="00E44D3A" w:rsidRDefault="00D87BB0" w:rsidP="00AF4DC8">
      <w:pPr>
        <w:pStyle w:val="SCCNormalDoubleSpacing"/>
        <w:spacing w:after="480"/>
        <w:rPr>
          <w:szCs w:val="24"/>
          <w:lang w:val="fr-CA"/>
        </w:rPr>
      </w:pPr>
      <w:r w:rsidRPr="00E44D3A">
        <w:rPr>
          <w:szCs w:val="24"/>
          <w:lang w:val="fr-CA"/>
        </w:rPr>
        <w:tab/>
      </w:r>
      <w:r w:rsidRPr="00E44D3A">
        <w:rPr>
          <w:i/>
          <w:szCs w:val="24"/>
          <w:lang w:val="fr-CA"/>
        </w:rPr>
        <w:t>Arrêt</w:t>
      </w:r>
      <w:r w:rsidR="008924AB" w:rsidRPr="00E44D3A">
        <w:rPr>
          <w:szCs w:val="24"/>
          <w:lang w:val="fr-CA"/>
        </w:rPr>
        <w:t> :</w:t>
      </w:r>
      <w:r w:rsidRPr="00E44D3A">
        <w:rPr>
          <w:szCs w:val="24"/>
          <w:lang w:val="fr-CA"/>
        </w:rPr>
        <w:t xml:space="preserve"> L</w:t>
      </w:r>
      <w:r w:rsidR="0089776C" w:rsidRPr="00E44D3A">
        <w:rPr>
          <w:szCs w:val="24"/>
          <w:lang w:val="fr-CA"/>
        </w:rPr>
        <w:t>’</w:t>
      </w:r>
      <w:r w:rsidRPr="00E44D3A">
        <w:rPr>
          <w:szCs w:val="24"/>
          <w:lang w:val="fr-CA"/>
        </w:rPr>
        <w:t>appel est accueilli</w:t>
      </w:r>
      <w:r w:rsidR="001426BA" w:rsidRPr="00E44D3A">
        <w:rPr>
          <w:szCs w:val="24"/>
          <w:lang w:val="fr-CA"/>
        </w:rPr>
        <w:t xml:space="preserve"> </w:t>
      </w:r>
      <w:r w:rsidRPr="00E44D3A">
        <w:rPr>
          <w:szCs w:val="24"/>
          <w:lang w:val="fr-CA"/>
        </w:rPr>
        <w:t xml:space="preserve">et la décision du Tribunal est </w:t>
      </w:r>
      <w:r w:rsidR="000032DF" w:rsidRPr="00E44D3A">
        <w:rPr>
          <w:szCs w:val="24"/>
          <w:lang w:val="fr-CA"/>
        </w:rPr>
        <w:t>rétabli</w:t>
      </w:r>
      <w:r w:rsidRPr="00E44D3A">
        <w:rPr>
          <w:szCs w:val="24"/>
          <w:lang w:val="fr-CA"/>
        </w:rPr>
        <w:t>e.</w:t>
      </w:r>
    </w:p>
    <w:p w:rsidR="00D87BB0" w:rsidRPr="00E44D3A" w:rsidRDefault="00D87BB0" w:rsidP="00AF4DC8">
      <w:pPr>
        <w:pStyle w:val="SCCNormalDoubleSpacing"/>
        <w:spacing w:after="480"/>
        <w:rPr>
          <w:szCs w:val="24"/>
          <w:lang w:val="fr-CA"/>
        </w:rPr>
      </w:pPr>
      <w:r w:rsidRPr="00E44D3A">
        <w:rPr>
          <w:szCs w:val="24"/>
          <w:lang w:val="fr-CA"/>
        </w:rPr>
        <w:tab/>
        <w:t>La décision des juges majoritaires de la Cour d</w:t>
      </w:r>
      <w:r w:rsidR="0089776C" w:rsidRPr="00E44D3A">
        <w:rPr>
          <w:szCs w:val="24"/>
          <w:lang w:val="fr-CA"/>
        </w:rPr>
        <w:t>’</w:t>
      </w:r>
      <w:r w:rsidRPr="00E44D3A">
        <w:rPr>
          <w:szCs w:val="24"/>
          <w:lang w:val="fr-CA"/>
        </w:rPr>
        <w:t>appel fédérale doit être annulée, et ce, pour quatre raisons.  Pr</w:t>
      </w:r>
      <w:r w:rsidR="00A568EF" w:rsidRPr="00E44D3A">
        <w:rPr>
          <w:szCs w:val="24"/>
          <w:lang w:val="fr-CA"/>
        </w:rPr>
        <w:t>e</w:t>
      </w:r>
      <w:r w:rsidRPr="00E44D3A">
        <w:rPr>
          <w:szCs w:val="24"/>
          <w:lang w:val="fr-CA"/>
        </w:rPr>
        <w:t xml:space="preserve">mièrement, rien dans la </w:t>
      </w:r>
      <w:r w:rsidRPr="00E44D3A">
        <w:rPr>
          <w:i/>
          <w:szCs w:val="24"/>
          <w:lang w:val="fr-CA"/>
        </w:rPr>
        <w:t>Loi sur l</w:t>
      </w:r>
      <w:r w:rsidR="0089776C" w:rsidRPr="00E44D3A">
        <w:rPr>
          <w:i/>
          <w:szCs w:val="24"/>
          <w:lang w:val="fr-CA"/>
        </w:rPr>
        <w:t>’</w:t>
      </w:r>
      <w:r w:rsidRPr="00E44D3A">
        <w:rPr>
          <w:i/>
          <w:szCs w:val="24"/>
          <w:lang w:val="fr-CA"/>
        </w:rPr>
        <w:t>emploi dans la fonction publique</w:t>
      </w:r>
      <w:r w:rsidRPr="00E44D3A">
        <w:rPr>
          <w:szCs w:val="24"/>
          <w:lang w:val="fr-CA"/>
        </w:rPr>
        <w:t xml:space="preserve"> ou dans le </w:t>
      </w:r>
      <w:r w:rsidRPr="00E44D3A">
        <w:rPr>
          <w:i/>
          <w:szCs w:val="24"/>
          <w:lang w:val="fr-CA"/>
        </w:rPr>
        <w:t>Règlement sur l</w:t>
      </w:r>
      <w:r w:rsidR="0089776C" w:rsidRPr="00E44D3A">
        <w:rPr>
          <w:i/>
          <w:szCs w:val="24"/>
          <w:lang w:val="fr-CA"/>
        </w:rPr>
        <w:t>’</w:t>
      </w:r>
      <w:r w:rsidRPr="00E44D3A">
        <w:rPr>
          <w:i/>
          <w:szCs w:val="24"/>
          <w:lang w:val="fr-CA"/>
        </w:rPr>
        <w:t>emploi dans la fonction publique</w:t>
      </w:r>
      <w:r w:rsidRPr="00E44D3A">
        <w:rPr>
          <w:szCs w:val="24"/>
          <w:lang w:val="fr-CA"/>
        </w:rPr>
        <w:t xml:space="preserve"> n</w:t>
      </w:r>
      <w:r w:rsidR="0089776C" w:rsidRPr="00E44D3A">
        <w:rPr>
          <w:szCs w:val="24"/>
          <w:lang w:val="fr-CA"/>
        </w:rPr>
        <w:t>’</w:t>
      </w:r>
      <w:r w:rsidRPr="00E44D3A">
        <w:rPr>
          <w:szCs w:val="24"/>
          <w:lang w:val="fr-CA"/>
        </w:rPr>
        <w:t>oblige un administrateur général à utiliser un processus de sélection en particul</w:t>
      </w:r>
      <w:r w:rsidR="00DA6DFC" w:rsidRPr="00E44D3A">
        <w:rPr>
          <w:szCs w:val="24"/>
          <w:lang w:val="fr-CA"/>
        </w:rPr>
        <w:t xml:space="preserve">ier.  </w:t>
      </w:r>
      <w:r w:rsidRPr="00E44D3A">
        <w:rPr>
          <w:szCs w:val="24"/>
          <w:lang w:val="fr-CA"/>
        </w:rPr>
        <w:t>Deuxièmement, les juges majoritaires ont évalué la décision du Tribunal à la lumière d</w:t>
      </w:r>
      <w:r w:rsidR="0089776C" w:rsidRPr="00E44D3A">
        <w:rPr>
          <w:szCs w:val="24"/>
          <w:lang w:val="fr-CA"/>
        </w:rPr>
        <w:t>’</w:t>
      </w:r>
      <w:r w:rsidRPr="00E44D3A">
        <w:rPr>
          <w:szCs w:val="24"/>
          <w:lang w:val="fr-CA"/>
        </w:rPr>
        <w:t>un argument que K n</w:t>
      </w:r>
      <w:r w:rsidR="0089776C" w:rsidRPr="00E44D3A">
        <w:rPr>
          <w:szCs w:val="24"/>
          <w:lang w:val="fr-CA"/>
        </w:rPr>
        <w:t>’</w:t>
      </w:r>
      <w:r w:rsidRPr="00E44D3A">
        <w:rPr>
          <w:szCs w:val="24"/>
          <w:lang w:val="fr-CA"/>
        </w:rPr>
        <w:t>a pas soulevé.  Troisièmement, la décision de renvoyer l</w:t>
      </w:r>
      <w:r w:rsidR="0089776C" w:rsidRPr="00E44D3A">
        <w:rPr>
          <w:szCs w:val="24"/>
          <w:lang w:val="fr-CA"/>
        </w:rPr>
        <w:t>’</w:t>
      </w:r>
      <w:r w:rsidRPr="00E44D3A">
        <w:rPr>
          <w:szCs w:val="24"/>
          <w:lang w:val="fr-CA"/>
        </w:rPr>
        <w:t xml:space="preserve">affaire au Tribunal découlait de la conclusion tirée par les juges majoritaires relativement </w:t>
      </w:r>
      <w:r w:rsidR="008924AB" w:rsidRPr="00E44D3A">
        <w:rPr>
          <w:szCs w:val="24"/>
          <w:lang w:val="fr-CA"/>
        </w:rPr>
        <w:t>à la « principale raison </w:t>
      </w:r>
      <w:r w:rsidRPr="00E44D3A">
        <w:rPr>
          <w:szCs w:val="24"/>
          <w:lang w:val="fr-CA"/>
        </w:rPr>
        <w:t>» justifiant la décision de l</w:t>
      </w:r>
      <w:r w:rsidR="0089776C" w:rsidRPr="00E44D3A">
        <w:rPr>
          <w:szCs w:val="24"/>
          <w:lang w:val="fr-CA"/>
        </w:rPr>
        <w:t>’</w:t>
      </w:r>
      <w:r w:rsidRPr="00E44D3A">
        <w:rPr>
          <w:szCs w:val="24"/>
          <w:lang w:val="fr-CA"/>
        </w:rPr>
        <w:t>employeur, mais le Tribunal n</w:t>
      </w:r>
      <w:r w:rsidR="0089776C" w:rsidRPr="00E44D3A">
        <w:rPr>
          <w:szCs w:val="24"/>
          <w:lang w:val="fr-CA"/>
        </w:rPr>
        <w:t>’</w:t>
      </w:r>
      <w:r w:rsidRPr="00E44D3A">
        <w:rPr>
          <w:szCs w:val="24"/>
          <w:lang w:val="fr-CA"/>
        </w:rPr>
        <w:t>a tiré aucune conclusion sur ce qu</w:t>
      </w:r>
      <w:r w:rsidR="0089776C" w:rsidRPr="00E44D3A">
        <w:rPr>
          <w:szCs w:val="24"/>
          <w:lang w:val="fr-CA"/>
        </w:rPr>
        <w:t>’</w:t>
      </w:r>
      <w:r w:rsidRPr="00E44D3A">
        <w:rPr>
          <w:szCs w:val="24"/>
          <w:lang w:val="fr-CA"/>
        </w:rPr>
        <w:t xml:space="preserve">a pu être la </w:t>
      </w:r>
      <w:r w:rsidR="0098003C" w:rsidRPr="00E44D3A">
        <w:rPr>
          <w:szCs w:val="24"/>
          <w:lang w:val="fr-CA"/>
        </w:rPr>
        <w:t>« </w:t>
      </w:r>
      <w:r w:rsidRPr="00E44D3A">
        <w:rPr>
          <w:szCs w:val="24"/>
          <w:lang w:val="fr-CA"/>
        </w:rPr>
        <w:t>principale</w:t>
      </w:r>
      <w:r w:rsidR="00DF1856" w:rsidRPr="00E44D3A">
        <w:rPr>
          <w:szCs w:val="24"/>
          <w:lang w:val="fr-CA"/>
        </w:rPr>
        <w:t xml:space="preserve"> raison »</w:t>
      </w:r>
      <w:r w:rsidRPr="00E44D3A">
        <w:rPr>
          <w:szCs w:val="24"/>
          <w:lang w:val="fr-CA"/>
        </w:rPr>
        <w:t xml:space="preserve"> de </w:t>
      </w:r>
      <w:r w:rsidRPr="00E44D3A">
        <w:rPr>
          <w:szCs w:val="24"/>
          <w:lang w:val="fr-CA"/>
        </w:rPr>
        <w:lastRenderedPageBreak/>
        <w:t>l</w:t>
      </w:r>
      <w:r w:rsidR="0089776C" w:rsidRPr="00E44D3A">
        <w:rPr>
          <w:szCs w:val="24"/>
          <w:lang w:val="fr-CA"/>
        </w:rPr>
        <w:t>’</w:t>
      </w:r>
      <w:r w:rsidRPr="00E44D3A">
        <w:rPr>
          <w:szCs w:val="24"/>
          <w:lang w:val="fr-CA"/>
        </w:rPr>
        <w:t>employeur pour agir comme il l</w:t>
      </w:r>
      <w:r w:rsidR="0089776C" w:rsidRPr="00E44D3A">
        <w:rPr>
          <w:szCs w:val="24"/>
          <w:lang w:val="fr-CA"/>
        </w:rPr>
        <w:t>’</w:t>
      </w:r>
      <w:r w:rsidRPr="00E44D3A">
        <w:rPr>
          <w:szCs w:val="24"/>
          <w:lang w:val="fr-CA"/>
        </w:rPr>
        <w:t>a fait</w:t>
      </w:r>
      <w:r w:rsidR="00AF4DC8" w:rsidRPr="00E44D3A">
        <w:rPr>
          <w:szCs w:val="24"/>
          <w:lang w:val="fr-CA"/>
        </w:rPr>
        <w:t xml:space="preserve">.  </w:t>
      </w:r>
      <w:r w:rsidRPr="00E44D3A">
        <w:rPr>
          <w:szCs w:val="24"/>
          <w:lang w:val="fr-CA"/>
        </w:rPr>
        <w:t>Enfin, il n</w:t>
      </w:r>
      <w:r w:rsidR="0089776C" w:rsidRPr="00E44D3A">
        <w:rPr>
          <w:szCs w:val="24"/>
          <w:lang w:val="fr-CA"/>
        </w:rPr>
        <w:t>’</w:t>
      </w:r>
      <w:r w:rsidRPr="00E44D3A">
        <w:rPr>
          <w:szCs w:val="24"/>
          <w:lang w:val="fr-CA"/>
        </w:rPr>
        <w:t>existait aucune possibilité véritable que le Tribunal trouve une conclusion de fait irrationnelle en l</w:t>
      </w:r>
      <w:r w:rsidR="0089776C" w:rsidRPr="00E44D3A">
        <w:rPr>
          <w:szCs w:val="24"/>
          <w:lang w:val="fr-CA"/>
        </w:rPr>
        <w:t>’</w:t>
      </w:r>
      <w:r w:rsidRPr="00E44D3A">
        <w:rPr>
          <w:szCs w:val="24"/>
          <w:lang w:val="fr-CA"/>
        </w:rPr>
        <w:t>espèce.</w:t>
      </w:r>
    </w:p>
    <w:p w:rsidR="004D7D95" w:rsidRPr="00E44D3A" w:rsidRDefault="004D7D95" w:rsidP="008924AB">
      <w:pPr>
        <w:pStyle w:val="SCCNormalDoubleSpacing"/>
        <w:keepNext/>
        <w:spacing w:after="720" w:line="240" w:lineRule="auto"/>
        <w:rPr>
          <w:b/>
          <w:szCs w:val="24"/>
          <w:lang w:val="fr-CA"/>
        </w:rPr>
      </w:pPr>
      <w:r w:rsidRPr="00E44D3A">
        <w:rPr>
          <w:b/>
          <w:szCs w:val="24"/>
          <w:lang w:val="fr-CA"/>
        </w:rPr>
        <w:t>Lois et règlements cités</w:t>
      </w:r>
    </w:p>
    <w:p w:rsidR="004D7D95" w:rsidRPr="00E44D3A" w:rsidRDefault="00F13B1D" w:rsidP="00AF4DC8">
      <w:pPr>
        <w:pStyle w:val="SCCNormalDoubleSpacing"/>
        <w:spacing w:after="720" w:line="240" w:lineRule="auto"/>
        <w:ind w:left="540" w:hanging="540"/>
        <w:rPr>
          <w:szCs w:val="24"/>
          <w:lang w:val="fr-CA"/>
        </w:rPr>
      </w:pPr>
      <w:r w:rsidRPr="00E44D3A">
        <w:rPr>
          <w:i/>
          <w:szCs w:val="24"/>
          <w:lang w:val="fr-CA"/>
        </w:rPr>
        <w:t>Loi sur l</w:t>
      </w:r>
      <w:r w:rsidR="0089776C" w:rsidRPr="00E44D3A">
        <w:rPr>
          <w:i/>
          <w:szCs w:val="24"/>
          <w:lang w:val="fr-CA"/>
        </w:rPr>
        <w:t>’</w:t>
      </w:r>
      <w:r w:rsidRPr="00E44D3A">
        <w:rPr>
          <w:i/>
          <w:szCs w:val="24"/>
          <w:lang w:val="fr-CA"/>
        </w:rPr>
        <w:t>emploi dans la fonction publique</w:t>
      </w:r>
      <w:r w:rsidRPr="00E44D3A">
        <w:rPr>
          <w:szCs w:val="24"/>
          <w:lang w:val="fr-CA"/>
        </w:rPr>
        <w:t xml:space="preserve">, L.C. 2003, </w:t>
      </w:r>
      <w:r w:rsidR="008924AB" w:rsidRPr="00E44D3A">
        <w:rPr>
          <w:szCs w:val="24"/>
          <w:lang w:val="fr-CA"/>
        </w:rPr>
        <w:t>ch. </w:t>
      </w:r>
      <w:r w:rsidRPr="00E44D3A">
        <w:rPr>
          <w:szCs w:val="24"/>
          <w:lang w:val="fr-CA"/>
        </w:rPr>
        <w:t>22</w:t>
      </w:r>
      <w:r w:rsidR="00E90BF0" w:rsidRPr="00E44D3A">
        <w:rPr>
          <w:szCs w:val="24"/>
          <w:lang w:val="fr-CA"/>
        </w:rPr>
        <w:t>, art. 33</w:t>
      </w:r>
      <w:r w:rsidRPr="00E44D3A">
        <w:rPr>
          <w:szCs w:val="24"/>
          <w:lang w:val="fr-CA"/>
        </w:rPr>
        <w:t>.</w:t>
      </w:r>
    </w:p>
    <w:p w:rsidR="004D7D95" w:rsidRPr="00E44D3A" w:rsidRDefault="000C56AB" w:rsidP="00AF4DC8">
      <w:pPr>
        <w:pStyle w:val="SCCNormalDoubleSpacing"/>
        <w:spacing w:after="480"/>
        <w:rPr>
          <w:szCs w:val="24"/>
          <w:lang w:val="fr-CA"/>
        </w:rPr>
      </w:pPr>
      <w:r w:rsidRPr="00E44D3A">
        <w:rPr>
          <w:szCs w:val="24"/>
          <w:lang w:val="fr-CA"/>
        </w:rPr>
        <w:tab/>
      </w:r>
      <w:r w:rsidR="004D7D95" w:rsidRPr="00E44D3A">
        <w:rPr>
          <w:szCs w:val="24"/>
          <w:lang w:val="fr-CA"/>
        </w:rPr>
        <w:t>POURV</w:t>
      </w:r>
      <w:r w:rsidR="004C411A" w:rsidRPr="00E44D3A">
        <w:rPr>
          <w:szCs w:val="24"/>
          <w:lang w:val="fr-CA"/>
        </w:rPr>
        <w:t>OI contre un arrêt de la Cour d</w:t>
      </w:r>
      <w:r w:rsidR="0089776C" w:rsidRPr="00E44D3A">
        <w:rPr>
          <w:szCs w:val="24"/>
          <w:lang w:val="fr-CA"/>
        </w:rPr>
        <w:t>’</w:t>
      </w:r>
      <w:r w:rsidR="004D7D95" w:rsidRPr="00E44D3A">
        <w:rPr>
          <w:szCs w:val="24"/>
          <w:lang w:val="fr-CA"/>
        </w:rPr>
        <w:t>appel fédérale</w:t>
      </w:r>
      <w:r w:rsidRPr="00E44D3A">
        <w:rPr>
          <w:szCs w:val="24"/>
          <w:lang w:val="fr-CA"/>
        </w:rPr>
        <w:t xml:space="preserve"> (les juges Evans, Dawson et Stratas), 2011 CAF 19, 413 N.R. 351, 328 D.L.R. (4th) 193, 36 Admin</w:t>
      </w:r>
      <w:r w:rsidR="006025A3" w:rsidRPr="00E44D3A">
        <w:rPr>
          <w:szCs w:val="24"/>
          <w:lang w:val="fr-CA"/>
        </w:rPr>
        <w:t>.</w:t>
      </w:r>
      <w:r w:rsidRPr="00E44D3A">
        <w:rPr>
          <w:szCs w:val="24"/>
          <w:lang w:val="fr-CA"/>
        </w:rPr>
        <w:t xml:space="preserve"> L.R. (5th) 48, [2011</w:t>
      </w:r>
      <w:r w:rsidR="000B05FD" w:rsidRPr="00E44D3A">
        <w:rPr>
          <w:szCs w:val="24"/>
          <w:lang w:val="fr-CA"/>
        </w:rPr>
        <w:t>]</w:t>
      </w:r>
      <w:r w:rsidRPr="00E44D3A">
        <w:rPr>
          <w:szCs w:val="24"/>
          <w:lang w:val="fr-CA"/>
        </w:rPr>
        <w:t xml:space="preserve"> A.C.F. n</w:t>
      </w:r>
      <w:r w:rsidRPr="00E44D3A">
        <w:rPr>
          <w:szCs w:val="24"/>
          <w:vertAlign w:val="superscript"/>
          <w:lang w:val="fr-CA"/>
        </w:rPr>
        <w:t>o</w:t>
      </w:r>
      <w:r w:rsidR="00AF4DC8" w:rsidRPr="00E44D3A">
        <w:rPr>
          <w:szCs w:val="24"/>
          <w:vertAlign w:val="superscript"/>
          <w:lang w:val="fr-CA"/>
        </w:rPr>
        <w:t> </w:t>
      </w:r>
      <w:r w:rsidR="000B05FD" w:rsidRPr="00E44D3A">
        <w:rPr>
          <w:szCs w:val="24"/>
          <w:lang w:val="fr-CA"/>
        </w:rPr>
        <w:t xml:space="preserve">79 (QL), 2011 </w:t>
      </w:r>
      <w:proofErr w:type="spellStart"/>
      <w:r w:rsidR="000B05FD" w:rsidRPr="00E44D3A">
        <w:rPr>
          <w:szCs w:val="24"/>
          <w:lang w:val="fr-CA"/>
        </w:rPr>
        <w:t>CarswellNat</w:t>
      </w:r>
      <w:proofErr w:type="spellEnd"/>
      <w:r w:rsidR="000B05FD" w:rsidRPr="00E44D3A">
        <w:rPr>
          <w:szCs w:val="24"/>
          <w:lang w:val="fr-CA"/>
        </w:rPr>
        <w:t xml:space="preserve"> 2679, qui a </w:t>
      </w:r>
      <w:r w:rsidR="00F66FD6" w:rsidRPr="00E44D3A">
        <w:rPr>
          <w:szCs w:val="24"/>
          <w:lang w:val="fr-CA"/>
        </w:rPr>
        <w:t>infirmé</w:t>
      </w:r>
      <w:r w:rsidR="000B05FD" w:rsidRPr="00E44D3A">
        <w:rPr>
          <w:szCs w:val="24"/>
          <w:lang w:val="fr-CA"/>
        </w:rPr>
        <w:t xml:space="preserve"> une décision de la juge </w:t>
      </w:r>
      <w:proofErr w:type="spellStart"/>
      <w:r w:rsidR="000B05FD" w:rsidRPr="00E44D3A">
        <w:rPr>
          <w:szCs w:val="24"/>
          <w:lang w:val="fr-CA"/>
        </w:rPr>
        <w:t>Heneghan</w:t>
      </w:r>
      <w:proofErr w:type="spellEnd"/>
      <w:r w:rsidR="000B05FD" w:rsidRPr="00E44D3A">
        <w:rPr>
          <w:szCs w:val="24"/>
          <w:lang w:val="fr-CA"/>
        </w:rPr>
        <w:t>, 2009 CF 740, 356 F.T.R. 127, [2009] A.C.F. n</w:t>
      </w:r>
      <w:r w:rsidR="000B05FD" w:rsidRPr="00E44D3A">
        <w:rPr>
          <w:szCs w:val="24"/>
          <w:vertAlign w:val="superscript"/>
          <w:lang w:val="fr-CA"/>
        </w:rPr>
        <w:t>o</w:t>
      </w:r>
      <w:r w:rsidR="000E56EE" w:rsidRPr="00E44D3A">
        <w:rPr>
          <w:szCs w:val="24"/>
          <w:lang w:val="fr-CA"/>
        </w:rPr>
        <w:t> </w:t>
      </w:r>
      <w:r w:rsidR="000B05FD" w:rsidRPr="00E44D3A">
        <w:rPr>
          <w:szCs w:val="24"/>
          <w:lang w:val="fr-CA"/>
        </w:rPr>
        <w:t xml:space="preserve">1396 (QL), 2009 </w:t>
      </w:r>
      <w:proofErr w:type="spellStart"/>
      <w:r w:rsidR="000B05FD" w:rsidRPr="00E44D3A">
        <w:rPr>
          <w:szCs w:val="24"/>
          <w:lang w:val="fr-CA"/>
        </w:rPr>
        <w:t>CarswellNat</w:t>
      </w:r>
      <w:proofErr w:type="spellEnd"/>
      <w:r w:rsidR="000B05FD" w:rsidRPr="00E44D3A">
        <w:rPr>
          <w:szCs w:val="24"/>
          <w:lang w:val="fr-CA"/>
        </w:rPr>
        <w:t xml:space="preserve"> 4907</w:t>
      </w:r>
      <w:r w:rsidR="007A416B" w:rsidRPr="00E44D3A">
        <w:rPr>
          <w:szCs w:val="24"/>
          <w:lang w:val="fr-CA"/>
        </w:rPr>
        <w:t>, a</w:t>
      </w:r>
      <w:r w:rsidR="00F66FD6" w:rsidRPr="00E44D3A">
        <w:rPr>
          <w:szCs w:val="24"/>
          <w:lang w:val="fr-CA"/>
        </w:rPr>
        <w:t>yant</w:t>
      </w:r>
      <w:r w:rsidR="007A416B" w:rsidRPr="00E44D3A">
        <w:rPr>
          <w:szCs w:val="24"/>
          <w:lang w:val="fr-CA"/>
        </w:rPr>
        <w:t xml:space="preserve"> rejeté la demande de contrôle judiciaire d</w:t>
      </w:r>
      <w:r w:rsidR="0089776C" w:rsidRPr="00E44D3A">
        <w:rPr>
          <w:szCs w:val="24"/>
          <w:lang w:val="fr-CA"/>
        </w:rPr>
        <w:t>’</w:t>
      </w:r>
      <w:r w:rsidR="007A416B" w:rsidRPr="00E44D3A">
        <w:rPr>
          <w:szCs w:val="24"/>
          <w:lang w:val="fr-CA"/>
        </w:rPr>
        <w:t>une décision du Tribunal de la dotation de la fonction publique, 2007 TDFP 35</w:t>
      </w:r>
      <w:r w:rsidR="002613F2" w:rsidRPr="00E44D3A">
        <w:rPr>
          <w:szCs w:val="24"/>
          <w:lang w:val="fr-CA"/>
        </w:rPr>
        <w:t xml:space="preserve">, 2007 </w:t>
      </w:r>
      <w:proofErr w:type="spellStart"/>
      <w:r w:rsidR="002613F2" w:rsidRPr="00E44D3A">
        <w:rPr>
          <w:szCs w:val="24"/>
          <w:lang w:val="fr-CA"/>
        </w:rPr>
        <w:t>CarswellNat</w:t>
      </w:r>
      <w:proofErr w:type="spellEnd"/>
      <w:r w:rsidR="002613F2" w:rsidRPr="00E44D3A">
        <w:rPr>
          <w:szCs w:val="24"/>
          <w:lang w:val="fr-CA"/>
        </w:rPr>
        <w:t xml:space="preserve"> 6308</w:t>
      </w:r>
      <w:r w:rsidR="000B05FD" w:rsidRPr="00E44D3A">
        <w:rPr>
          <w:szCs w:val="24"/>
          <w:lang w:val="fr-CA"/>
        </w:rPr>
        <w:t xml:space="preserve">. </w:t>
      </w:r>
      <w:r w:rsidR="008A045C" w:rsidRPr="00E44D3A">
        <w:rPr>
          <w:szCs w:val="24"/>
          <w:lang w:val="fr-CA"/>
        </w:rPr>
        <w:t>Pourvoi accueilli.</w:t>
      </w:r>
    </w:p>
    <w:p w:rsidR="0043555C" w:rsidRPr="00E44D3A" w:rsidRDefault="00933343" w:rsidP="00AF4DC8">
      <w:pPr>
        <w:pStyle w:val="SCCNormalDoubleSpacing"/>
        <w:spacing w:after="480"/>
        <w:rPr>
          <w:szCs w:val="24"/>
          <w:lang w:val="fr-CA"/>
        </w:rPr>
      </w:pPr>
      <w:r w:rsidRPr="00E44D3A">
        <w:rPr>
          <w:i/>
          <w:szCs w:val="24"/>
          <w:lang w:val="fr-CA"/>
        </w:rPr>
        <w:tab/>
        <w:t xml:space="preserve">Christopher </w:t>
      </w:r>
      <w:proofErr w:type="spellStart"/>
      <w:r w:rsidR="000C56AB" w:rsidRPr="00E44D3A">
        <w:rPr>
          <w:i/>
          <w:szCs w:val="24"/>
          <w:lang w:val="fr-CA"/>
        </w:rPr>
        <w:t>Rupar</w:t>
      </w:r>
      <w:proofErr w:type="spellEnd"/>
      <w:r w:rsidR="000C56AB" w:rsidRPr="00E44D3A">
        <w:rPr>
          <w:szCs w:val="24"/>
          <w:lang w:val="fr-CA"/>
        </w:rPr>
        <w:t xml:space="preserve"> et </w:t>
      </w:r>
      <w:r w:rsidR="000C56AB" w:rsidRPr="00E44D3A">
        <w:rPr>
          <w:i/>
          <w:szCs w:val="24"/>
          <w:lang w:val="fr-CA"/>
        </w:rPr>
        <w:t xml:space="preserve">François </w:t>
      </w:r>
      <w:proofErr w:type="spellStart"/>
      <w:r w:rsidR="000C56AB" w:rsidRPr="00E44D3A">
        <w:rPr>
          <w:i/>
          <w:szCs w:val="24"/>
          <w:lang w:val="fr-CA"/>
        </w:rPr>
        <w:t>Joyal</w:t>
      </w:r>
      <w:proofErr w:type="spellEnd"/>
      <w:r w:rsidR="004C411A" w:rsidRPr="00E44D3A">
        <w:rPr>
          <w:szCs w:val="24"/>
          <w:lang w:val="fr-CA"/>
        </w:rPr>
        <w:t>, pour l</w:t>
      </w:r>
      <w:r w:rsidR="0089776C" w:rsidRPr="00E44D3A">
        <w:rPr>
          <w:szCs w:val="24"/>
          <w:lang w:val="fr-CA"/>
        </w:rPr>
        <w:t>’</w:t>
      </w:r>
      <w:r w:rsidR="00023525" w:rsidRPr="00E44D3A">
        <w:rPr>
          <w:szCs w:val="24"/>
          <w:lang w:val="fr-CA"/>
        </w:rPr>
        <w:t>appelant</w:t>
      </w:r>
      <w:r w:rsidR="000C56AB" w:rsidRPr="00E44D3A">
        <w:rPr>
          <w:szCs w:val="24"/>
          <w:lang w:val="fr-CA"/>
        </w:rPr>
        <w:t>.</w:t>
      </w:r>
    </w:p>
    <w:p w:rsidR="0043555C" w:rsidRPr="00E44D3A" w:rsidRDefault="000C56AB" w:rsidP="00AF4DC8">
      <w:pPr>
        <w:pStyle w:val="SCCNormalDoubleSpacing"/>
        <w:spacing w:after="480"/>
        <w:rPr>
          <w:szCs w:val="24"/>
          <w:lang w:val="fr-CA"/>
        </w:rPr>
      </w:pPr>
      <w:r w:rsidRPr="00E44D3A">
        <w:rPr>
          <w:i/>
          <w:szCs w:val="24"/>
          <w:lang w:val="fr-CA"/>
        </w:rPr>
        <w:tab/>
        <w:t xml:space="preserve">Andrew </w:t>
      </w:r>
      <w:proofErr w:type="spellStart"/>
      <w:r w:rsidRPr="00E44D3A">
        <w:rPr>
          <w:i/>
          <w:szCs w:val="24"/>
          <w:lang w:val="fr-CA"/>
        </w:rPr>
        <w:t>Raven</w:t>
      </w:r>
      <w:proofErr w:type="spellEnd"/>
      <w:r w:rsidRPr="00E44D3A">
        <w:rPr>
          <w:szCs w:val="24"/>
          <w:lang w:val="fr-CA"/>
        </w:rPr>
        <w:t xml:space="preserve"> et </w:t>
      </w:r>
      <w:r w:rsidRPr="00E44D3A">
        <w:rPr>
          <w:i/>
          <w:szCs w:val="24"/>
          <w:lang w:val="fr-CA"/>
        </w:rPr>
        <w:t xml:space="preserve">Andrew </w:t>
      </w:r>
      <w:proofErr w:type="spellStart"/>
      <w:r w:rsidRPr="00E44D3A">
        <w:rPr>
          <w:i/>
          <w:szCs w:val="24"/>
          <w:lang w:val="fr-CA"/>
        </w:rPr>
        <w:t>Astritis</w:t>
      </w:r>
      <w:proofErr w:type="spellEnd"/>
      <w:r w:rsidR="004C411A" w:rsidRPr="00E44D3A">
        <w:rPr>
          <w:szCs w:val="24"/>
          <w:lang w:val="fr-CA"/>
        </w:rPr>
        <w:t>, pour l</w:t>
      </w:r>
      <w:r w:rsidR="0089776C" w:rsidRPr="00E44D3A">
        <w:rPr>
          <w:szCs w:val="24"/>
          <w:lang w:val="fr-CA"/>
        </w:rPr>
        <w:t>’</w:t>
      </w:r>
      <w:r w:rsidR="00EA56C5" w:rsidRPr="00E44D3A">
        <w:rPr>
          <w:szCs w:val="24"/>
          <w:lang w:val="fr-CA"/>
        </w:rPr>
        <w:t>intimé</w:t>
      </w:r>
      <w:r w:rsidRPr="00E44D3A">
        <w:rPr>
          <w:szCs w:val="24"/>
          <w:lang w:val="fr-CA"/>
        </w:rPr>
        <w:t>.</w:t>
      </w:r>
    </w:p>
    <w:p w:rsidR="001E4759" w:rsidRPr="00E44D3A" w:rsidRDefault="001E4759" w:rsidP="00686DA8">
      <w:pPr>
        <w:pStyle w:val="SCCLawFirm"/>
        <w:spacing w:after="480"/>
        <w:rPr>
          <w:i w:val="0"/>
          <w:szCs w:val="24"/>
          <w:lang w:val="fr-CA"/>
        </w:rPr>
      </w:pPr>
      <w:r w:rsidRPr="00E44D3A">
        <w:rPr>
          <w:i w:val="0"/>
          <w:lang w:val="fr-CA"/>
        </w:rPr>
        <w:tab/>
      </w:r>
      <w:r w:rsidRPr="00E44D3A">
        <w:rPr>
          <w:i w:val="0"/>
          <w:szCs w:val="24"/>
          <w:lang w:val="fr-CA"/>
        </w:rPr>
        <w:t>Version française du jugement rendu par</w:t>
      </w:r>
    </w:p>
    <w:p w:rsidR="001E4759" w:rsidRPr="00E44D3A" w:rsidRDefault="00607059" w:rsidP="001E4759">
      <w:pPr>
        <w:pStyle w:val="ParaNoNdepar-AltN"/>
        <w:rPr>
          <w:szCs w:val="24"/>
          <w:lang w:val="fr-CA"/>
        </w:rPr>
      </w:pPr>
      <w:r w:rsidRPr="00E44D3A">
        <w:rPr>
          <w:smallCaps/>
          <w:szCs w:val="24"/>
          <w:lang w:val="fr-CA"/>
        </w:rPr>
        <w:t>La Cour</w:t>
      </w:r>
      <w:r w:rsidRPr="00E44D3A">
        <w:rPr>
          <w:szCs w:val="24"/>
          <w:lang w:val="fr-CA"/>
        </w:rPr>
        <w:t xml:space="preserve"> — </w:t>
      </w:r>
      <w:r w:rsidR="001E4759" w:rsidRPr="00E44D3A">
        <w:rPr>
          <w:szCs w:val="24"/>
          <w:lang w:val="fr-CA"/>
        </w:rPr>
        <w:t>M</w:t>
      </w:r>
      <w:r w:rsidRPr="00E44D3A">
        <w:rPr>
          <w:szCs w:val="24"/>
          <w:lang w:val="fr-CA"/>
        </w:rPr>
        <w:t>.</w:t>
      </w:r>
      <w:r w:rsidR="001E4759" w:rsidRPr="00E44D3A">
        <w:rPr>
          <w:szCs w:val="24"/>
          <w:lang w:val="fr-CA"/>
        </w:rPr>
        <w:t xml:space="preserve"> Kane travaillait pour Service Canada, à titre de directeur de la prestation de service au sein du secteur d’activités des Services aux collectivités et services en personne, un poste classé au niveau PM</w:t>
      </w:r>
      <w:r w:rsidR="001E4759" w:rsidRPr="00E44D3A">
        <w:rPr>
          <w:szCs w:val="24"/>
          <w:lang w:val="fr-CA"/>
        </w:rPr>
        <w:noBreakHyphen/>
        <w:t xml:space="preserve">05.  Dans le cadre d’une </w:t>
      </w:r>
      <w:r w:rsidR="001E4759" w:rsidRPr="00E44D3A">
        <w:rPr>
          <w:szCs w:val="24"/>
          <w:lang w:val="fr-CA"/>
        </w:rPr>
        <w:lastRenderedPageBreak/>
        <w:t>réorganisation, la structure de l’unité de travail a été modifiée et le poste de gestionnaire régional de niveau PM</w:t>
      </w:r>
      <w:r w:rsidR="001E4759" w:rsidRPr="00E44D3A">
        <w:rPr>
          <w:szCs w:val="24"/>
          <w:lang w:val="fr-CA"/>
        </w:rPr>
        <w:noBreakHyphen/>
        <w:t>06 a été créé.  Service Canada a décidé de doter ce poste au moyen d’un processus de nomination interne annoncé.  M</w:t>
      </w:r>
      <w:r w:rsidRPr="00E44D3A">
        <w:rPr>
          <w:szCs w:val="24"/>
          <w:lang w:val="fr-CA"/>
        </w:rPr>
        <w:t>.</w:t>
      </w:r>
      <w:r w:rsidR="001E4759" w:rsidRPr="00E44D3A">
        <w:rPr>
          <w:szCs w:val="24"/>
          <w:lang w:val="fr-CA"/>
        </w:rPr>
        <w:t xml:space="preserve"> Kane a participé au concours, mais il a échoué à un examen obligatoire et sa candidature n’a donc pas été retenue.</w:t>
      </w:r>
    </w:p>
    <w:p w:rsidR="001E4759" w:rsidRPr="00E44D3A" w:rsidRDefault="001E4759" w:rsidP="001E4759">
      <w:pPr>
        <w:pStyle w:val="ParaNoNdepar-AltN"/>
        <w:rPr>
          <w:szCs w:val="24"/>
          <w:lang w:val="fr-CA"/>
        </w:rPr>
      </w:pPr>
      <w:r w:rsidRPr="00E44D3A">
        <w:rPr>
          <w:szCs w:val="24"/>
          <w:lang w:val="fr-CA"/>
        </w:rPr>
        <w:t>M</w:t>
      </w:r>
      <w:r w:rsidR="001F798F" w:rsidRPr="00E44D3A">
        <w:rPr>
          <w:szCs w:val="24"/>
          <w:lang w:val="fr-CA"/>
        </w:rPr>
        <w:t>.</w:t>
      </w:r>
      <w:r w:rsidRPr="00E44D3A">
        <w:rPr>
          <w:szCs w:val="24"/>
          <w:lang w:val="fr-CA"/>
        </w:rPr>
        <w:t xml:space="preserve"> Kane a déposé une plainte au Tribunal de la dotation de la fonction publique, déclarant ce qui suit : [</w:t>
      </w:r>
      <w:r w:rsidRPr="00E44D3A">
        <w:rPr>
          <w:smallCaps/>
          <w:szCs w:val="24"/>
          <w:lang w:val="fr-CA"/>
        </w:rPr>
        <w:t>traduction</w:t>
      </w:r>
      <w:r w:rsidRPr="00E44D3A">
        <w:rPr>
          <w:szCs w:val="24"/>
          <w:lang w:val="fr-CA"/>
        </w:rPr>
        <w:t>] « Le motif de ma plainte est que mon employeur a abusé de son pouvoir en choisissant un processus de nomination interne annoncé » (</w:t>
      </w:r>
      <w:proofErr w:type="gramStart"/>
      <w:r w:rsidRPr="00E44D3A">
        <w:rPr>
          <w:szCs w:val="24"/>
          <w:lang w:val="fr-CA"/>
        </w:rPr>
        <w:t>d.a.,</w:t>
      </w:r>
      <w:proofErr w:type="gramEnd"/>
      <w:r w:rsidRPr="00E44D3A">
        <w:rPr>
          <w:szCs w:val="24"/>
          <w:lang w:val="fr-CA"/>
        </w:rPr>
        <w:t xml:space="preserve"> </w:t>
      </w:r>
      <w:r w:rsidR="00607059" w:rsidRPr="00E44D3A">
        <w:rPr>
          <w:szCs w:val="24"/>
          <w:lang w:val="fr-CA"/>
        </w:rPr>
        <w:t xml:space="preserve">vol. II, </w:t>
      </w:r>
      <w:r w:rsidRPr="00E44D3A">
        <w:rPr>
          <w:szCs w:val="24"/>
          <w:lang w:val="fr-CA"/>
        </w:rPr>
        <w:t>p. 149).</w:t>
      </w:r>
    </w:p>
    <w:p w:rsidR="001E4759" w:rsidRPr="00E44D3A" w:rsidRDefault="001E4759" w:rsidP="001E4759">
      <w:pPr>
        <w:pStyle w:val="ParaNoNdepar-AltN"/>
        <w:rPr>
          <w:szCs w:val="24"/>
          <w:lang w:val="fr-CA"/>
        </w:rPr>
      </w:pPr>
      <w:r w:rsidRPr="00E44D3A">
        <w:rPr>
          <w:szCs w:val="24"/>
          <w:lang w:val="fr-CA"/>
        </w:rPr>
        <w:t>Devant le Tribunal, M. Kane a invoqué les arguments suivants : (1) le poste PM</w:t>
      </w:r>
      <w:r w:rsidRPr="00E44D3A">
        <w:rPr>
          <w:szCs w:val="24"/>
          <w:lang w:val="fr-CA"/>
        </w:rPr>
        <w:noBreakHyphen/>
        <w:t>06 n’était pas un nouveau poste, mais résultait plutôt de la reclassification de l’ancien poste PM</w:t>
      </w:r>
      <w:r w:rsidRPr="00E44D3A">
        <w:rPr>
          <w:szCs w:val="24"/>
          <w:lang w:val="fr-CA"/>
        </w:rPr>
        <w:noBreakHyphen/>
        <w:t xml:space="preserve">05 qu’il avait déjà occupé; (2) à </w:t>
      </w:r>
      <w:proofErr w:type="spellStart"/>
      <w:r w:rsidRPr="00E44D3A">
        <w:rPr>
          <w:szCs w:val="24"/>
          <w:lang w:val="fr-CA"/>
        </w:rPr>
        <w:t>Terre</w:t>
      </w:r>
      <w:r w:rsidRPr="00E44D3A">
        <w:rPr>
          <w:szCs w:val="24"/>
          <w:lang w:val="fr-CA"/>
        </w:rPr>
        <w:noBreakHyphen/>
        <w:t>Neuve</w:t>
      </w:r>
      <w:proofErr w:type="spellEnd"/>
      <w:r w:rsidRPr="00E44D3A">
        <w:rPr>
          <w:szCs w:val="24"/>
          <w:lang w:val="fr-CA"/>
        </w:rPr>
        <w:t xml:space="preserve">, la pratique ne consistait pas à annoncer des postes </w:t>
      </w:r>
      <w:proofErr w:type="spellStart"/>
      <w:r w:rsidRPr="00E44D3A">
        <w:rPr>
          <w:szCs w:val="24"/>
          <w:lang w:val="fr-CA"/>
        </w:rPr>
        <w:t>reclassifiés</w:t>
      </w:r>
      <w:proofErr w:type="spellEnd"/>
      <w:r w:rsidRPr="00E44D3A">
        <w:rPr>
          <w:szCs w:val="24"/>
          <w:lang w:val="fr-CA"/>
        </w:rPr>
        <w:t xml:space="preserve">, mais plutôt à les doter à l’interne par voie de nomination; (3) la dotation du poste par voie de nomination annoncée constituait donc un abus de pouvoir au sens de la </w:t>
      </w:r>
      <w:r w:rsidRPr="00E44D3A">
        <w:rPr>
          <w:i/>
          <w:szCs w:val="24"/>
          <w:lang w:val="fr-CA"/>
        </w:rPr>
        <w:t>Loi sur l’emploi dans la fonction publique</w:t>
      </w:r>
      <w:r w:rsidRPr="00E44D3A">
        <w:rPr>
          <w:szCs w:val="24"/>
          <w:lang w:val="fr-CA"/>
        </w:rPr>
        <w:t>, L.C. 2003, ch. 22 (la « </w:t>
      </w:r>
      <w:r w:rsidRPr="00E44D3A">
        <w:rPr>
          <w:i/>
          <w:szCs w:val="24"/>
          <w:lang w:val="fr-CA"/>
        </w:rPr>
        <w:t>LEFP</w:t>
      </w:r>
      <w:r w:rsidRPr="00E44D3A">
        <w:rPr>
          <w:szCs w:val="24"/>
          <w:lang w:val="fr-CA"/>
        </w:rPr>
        <w:t> »).</w:t>
      </w:r>
    </w:p>
    <w:p w:rsidR="001E4759" w:rsidRPr="00E44D3A" w:rsidRDefault="001E4759" w:rsidP="001E4759">
      <w:pPr>
        <w:pStyle w:val="ParaNoNdepar-AltN"/>
        <w:rPr>
          <w:szCs w:val="24"/>
          <w:lang w:val="fr-CA"/>
        </w:rPr>
      </w:pPr>
      <w:r w:rsidRPr="00E44D3A">
        <w:rPr>
          <w:szCs w:val="24"/>
          <w:lang w:val="fr-CA"/>
        </w:rPr>
        <w:t>Le Tribunal a jugé que M. Kane n’avait pas établi l’existence d’un abus de pouvoir et a rejeté sa plainte (2007</w:t>
      </w:r>
      <w:r w:rsidR="00607059" w:rsidRPr="00E44D3A">
        <w:rPr>
          <w:szCs w:val="24"/>
          <w:lang w:val="fr-CA"/>
        </w:rPr>
        <w:t xml:space="preserve"> TDFP</w:t>
      </w:r>
      <w:r w:rsidRPr="00E44D3A">
        <w:rPr>
          <w:szCs w:val="24"/>
          <w:lang w:val="fr-CA"/>
        </w:rPr>
        <w:t xml:space="preserve"> 35 (</w:t>
      </w:r>
      <w:proofErr w:type="spellStart"/>
      <w:r w:rsidRPr="00E44D3A">
        <w:rPr>
          <w:szCs w:val="24"/>
          <w:lang w:val="fr-CA"/>
        </w:rPr>
        <w:t>CanLII</w:t>
      </w:r>
      <w:proofErr w:type="spellEnd"/>
      <w:r w:rsidRPr="00E44D3A">
        <w:rPr>
          <w:szCs w:val="24"/>
          <w:lang w:val="fr-CA"/>
        </w:rPr>
        <w:t xml:space="preserve">)).  La Cour fédérale, sous la plume de la juge </w:t>
      </w:r>
      <w:proofErr w:type="spellStart"/>
      <w:r w:rsidRPr="00E44D3A">
        <w:rPr>
          <w:szCs w:val="24"/>
          <w:lang w:val="fr-CA"/>
        </w:rPr>
        <w:t>Heneghan</w:t>
      </w:r>
      <w:proofErr w:type="spellEnd"/>
      <w:r w:rsidRPr="00E44D3A">
        <w:rPr>
          <w:szCs w:val="24"/>
          <w:lang w:val="fr-CA"/>
        </w:rPr>
        <w:t>, a conclu que la décision du Tribunal était raisonnable et l’a en conséquence confirmée (2009 CF 740</w:t>
      </w:r>
      <w:r w:rsidR="00A821F0" w:rsidRPr="00E44D3A">
        <w:rPr>
          <w:szCs w:val="24"/>
          <w:lang w:val="fr-CA"/>
        </w:rPr>
        <w:t xml:space="preserve"> (</w:t>
      </w:r>
      <w:proofErr w:type="spellStart"/>
      <w:r w:rsidR="00A821F0" w:rsidRPr="00E44D3A">
        <w:rPr>
          <w:szCs w:val="24"/>
          <w:lang w:val="fr-CA"/>
        </w:rPr>
        <w:t>CanLII</w:t>
      </w:r>
      <w:proofErr w:type="spellEnd"/>
      <w:r w:rsidR="00A821F0" w:rsidRPr="00E44D3A">
        <w:rPr>
          <w:szCs w:val="24"/>
          <w:lang w:val="fr-CA"/>
        </w:rPr>
        <w:t>)</w:t>
      </w:r>
      <w:r w:rsidRPr="00E44D3A">
        <w:rPr>
          <w:szCs w:val="24"/>
          <w:lang w:val="fr-CA"/>
        </w:rPr>
        <w:t xml:space="preserve">).  La Cour d’appel fédérale a </w:t>
      </w:r>
      <w:r w:rsidRPr="00E44D3A">
        <w:rPr>
          <w:szCs w:val="24"/>
          <w:lang w:val="fr-CA"/>
        </w:rPr>
        <w:lastRenderedPageBreak/>
        <w:t>accueilli l’appel de cette décision et renvoyé l’affaire au Tribunal pour réexamen (2011 CAF 19</w:t>
      </w:r>
      <w:r w:rsidR="00A821F0" w:rsidRPr="00E44D3A">
        <w:rPr>
          <w:szCs w:val="24"/>
          <w:lang w:val="fr-CA"/>
        </w:rPr>
        <w:t xml:space="preserve"> (</w:t>
      </w:r>
      <w:proofErr w:type="spellStart"/>
      <w:r w:rsidR="00A821F0" w:rsidRPr="00E44D3A">
        <w:rPr>
          <w:szCs w:val="24"/>
          <w:lang w:val="fr-CA"/>
        </w:rPr>
        <w:t>CanLII</w:t>
      </w:r>
      <w:proofErr w:type="spellEnd"/>
      <w:r w:rsidR="00A821F0" w:rsidRPr="00E44D3A">
        <w:rPr>
          <w:szCs w:val="24"/>
          <w:lang w:val="fr-CA"/>
        </w:rPr>
        <w:t>)</w:t>
      </w:r>
      <w:r w:rsidRPr="00E44D3A">
        <w:rPr>
          <w:szCs w:val="24"/>
          <w:lang w:val="fr-CA"/>
        </w:rPr>
        <w:t>).</w:t>
      </w:r>
    </w:p>
    <w:p w:rsidR="001E4759" w:rsidRPr="00E44D3A" w:rsidRDefault="001E4759" w:rsidP="001E4759">
      <w:pPr>
        <w:pStyle w:val="ParaNoNdepar-AltN"/>
        <w:rPr>
          <w:szCs w:val="24"/>
          <w:lang w:val="fr-CA"/>
        </w:rPr>
      </w:pPr>
      <w:r w:rsidRPr="00E44D3A">
        <w:rPr>
          <w:szCs w:val="24"/>
          <w:lang w:val="fr-CA"/>
        </w:rPr>
        <w:t xml:space="preserve">Les juges majoritaires de la Cour d’appel fédérale ont conclu que la décision du Tribunal était déraisonnable, parce que ce dernier avait omis d’envisager qu’un abus de pouvoir puisse découler du recours à un processus de nomination annoncé lorsque ce choix repose sur une conclusion déraisonnable concernant un fait important.  Suivant la nouvelle loi, l’employeur n’était pas tenu de se demander s’il s’agissait d’un poste nouveau ou </w:t>
      </w:r>
      <w:proofErr w:type="spellStart"/>
      <w:r w:rsidRPr="00E44D3A">
        <w:rPr>
          <w:szCs w:val="24"/>
          <w:lang w:val="fr-CA"/>
        </w:rPr>
        <w:t>reclassifié</w:t>
      </w:r>
      <w:proofErr w:type="spellEnd"/>
      <w:r w:rsidRPr="00E44D3A">
        <w:rPr>
          <w:szCs w:val="24"/>
          <w:lang w:val="fr-CA"/>
        </w:rPr>
        <w:t>, mais c’est un facteur qu’il pouvait considérer.  Après examen du dossier en l’espèce, les juges majoritaires ont statué que l’employeur avait dans les faits tenu compte du caractère nouveau du poste PM</w:t>
      </w:r>
      <w:r w:rsidRPr="00E44D3A">
        <w:rPr>
          <w:szCs w:val="24"/>
          <w:lang w:val="fr-CA"/>
        </w:rPr>
        <w:noBreakHyphen/>
        <w:t xml:space="preserve">06 lorsqu’il avait décidé de recourir à un processus annoncé.  Ils ont exprimé l’avis que cet élément </w:t>
      </w:r>
      <w:proofErr w:type="gramStart"/>
      <w:r w:rsidRPr="00E44D3A">
        <w:rPr>
          <w:szCs w:val="24"/>
          <w:lang w:val="fr-CA"/>
        </w:rPr>
        <w:t>constituait</w:t>
      </w:r>
      <w:proofErr w:type="gramEnd"/>
      <w:r w:rsidRPr="00E44D3A">
        <w:rPr>
          <w:szCs w:val="24"/>
          <w:lang w:val="fr-CA"/>
        </w:rPr>
        <w:t xml:space="preserve"> la « principale raison » ayant amené l’employeur à faire ce choix.  En conséquence, si M. Kane était en mesure d’établir que le fait pour l’employeur de considérer le poste PM</w:t>
      </w:r>
      <w:r w:rsidRPr="00E44D3A">
        <w:rPr>
          <w:szCs w:val="24"/>
          <w:lang w:val="fr-CA"/>
        </w:rPr>
        <w:noBreakHyphen/>
        <w:t xml:space="preserve">06 comme un poste nouveau n’avait aucun fondement rationnel, il pourrait </w:t>
      </w:r>
      <w:proofErr w:type="spellStart"/>
      <w:r w:rsidRPr="00E44D3A">
        <w:rPr>
          <w:szCs w:val="24"/>
          <w:lang w:val="fr-CA"/>
        </w:rPr>
        <w:t>peut</w:t>
      </w:r>
      <w:r w:rsidRPr="00E44D3A">
        <w:rPr>
          <w:szCs w:val="24"/>
          <w:lang w:val="fr-CA"/>
        </w:rPr>
        <w:noBreakHyphen/>
        <w:t>être</w:t>
      </w:r>
      <w:proofErr w:type="spellEnd"/>
      <w:r w:rsidRPr="00E44D3A">
        <w:rPr>
          <w:szCs w:val="24"/>
          <w:lang w:val="fr-CA"/>
        </w:rPr>
        <w:t xml:space="preserve"> démontrer que le recours à un processus annoncé constituait une décision arbitraire et, donc, un abus de pouvoir (par. 55).  En omettant de considérer les arguments de M. Kane sur ce point, le Tribunal a effectivement exclu de la portée du terme « abus de pouvoir » les décisions qui reposent sur des faits n’ayant aucun fondement rationnel (par. 75).  De l’avis des juges majoritaires, il s’agissait d’une approche déraisonnable.</w:t>
      </w:r>
    </w:p>
    <w:p w:rsidR="001E4759" w:rsidRPr="00E44D3A" w:rsidRDefault="001E4759" w:rsidP="001E4759">
      <w:pPr>
        <w:pStyle w:val="ParaNoNdepar-AltN"/>
        <w:rPr>
          <w:szCs w:val="24"/>
          <w:lang w:val="fr-CA"/>
        </w:rPr>
      </w:pPr>
      <w:r w:rsidRPr="00E44D3A">
        <w:rPr>
          <w:szCs w:val="24"/>
          <w:lang w:val="fr-CA"/>
        </w:rPr>
        <w:lastRenderedPageBreak/>
        <w:t>À notre avis, la décision des juges majoritaires de la Cour d’appel fédérale doit être annulée, et ce, pour quatre raisons.  Premièrement et fondamentalement, la plainte de M. Kane reposait sur l’argument selon lequel l’employeur aurait commis un abus de pouvoir « lors du choix du processus de nomination interne annoncé » (par. 91).  Le Tribunal a tenu compte de l’argument de M. Kane selon lequel le recours à un processus annoncé constituait un abus de pouvoir, parce que le poste PM</w:t>
      </w:r>
      <w:r w:rsidRPr="00E44D3A">
        <w:rPr>
          <w:szCs w:val="24"/>
          <w:lang w:val="fr-CA"/>
        </w:rPr>
        <w:noBreakHyphen/>
        <w:t xml:space="preserve">06 n’était pas nouveau mais résultait plutôt d’une reclassification.  Toutefois, le Tribunal a statué que, indépendamment de la question de savoir si le poste était nouveau ou non, Service Canada avait le droit de le doter au moyen d’un processus annoncé, avec pour conséquence que même si le poste était considéré comme nouveau cela n’emportait pas l’obligation de recourir à un processus annoncé.  Le fondement essentiel de la plainte — à savoir que le recours à un processus de nomination annoncé constituait un abus de pouvoir — a donc été examiné par le Tribunal et tranché par l’interprétation et l’application qu’a faites ce dernier de la </w:t>
      </w:r>
      <w:r w:rsidRPr="00E44D3A">
        <w:rPr>
          <w:i/>
          <w:szCs w:val="24"/>
          <w:lang w:val="fr-CA"/>
        </w:rPr>
        <w:t>LEFP</w:t>
      </w:r>
      <w:r w:rsidRPr="00E44D3A">
        <w:rPr>
          <w:szCs w:val="24"/>
          <w:lang w:val="fr-CA"/>
        </w:rPr>
        <w:t>, sa loi constitutive.  Le Tribunal a affirmé ce qui suit :</w:t>
      </w:r>
    </w:p>
    <w:p w:rsidR="001E4759" w:rsidRPr="00E44D3A" w:rsidRDefault="001E4759" w:rsidP="005253D0">
      <w:pPr>
        <w:pStyle w:val="Citation-AltC"/>
        <w:tabs>
          <w:tab w:val="left" w:pos="1170"/>
        </w:tabs>
        <w:ind w:hanging="1166"/>
        <w:rPr>
          <w:szCs w:val="24"/>
          <w:lang w:val="fr-CA"/>
        </w:rPr>
      </w:pPr>
      <w:r w:rsidRPr="00E44D3A">
        <w:rPr>
          <w:szCs w:val="24"/>
          <w:lang w:val="fr-CA"/>
        </w:rPr>
        <w:tab/>
        <w:t xml:space="preserve">Rien dans la </w:t>
      </w:r>
      <w:r w:rsidRPr="00E44D3A">
        <w:rPr>
          <w:i/>
          <w:iCs/>
          <w:szCs w:val="24"/>
          <w:lang w:val="fr-CA"/>
        </w:rPr>
        <w:t>LEFP</w:t>
      </w:r>
      <w:r w:rsidRPr="00E44D3A">
        <w:rPr>
          <w:szCs w:val="24"/>
          <w:lang w:val="fr-CA"/>
        </w:rPr>
        <w:t xml:space="preserve"> ou dans le [</w:t>
      </w:r>
      <w:r w:rsidRPr="00E44D3A">
        <w:rPr>
          <w:i/>
          <w:szCs w:val="24"/>
          <w:lang w:val="fr-CA"/>
        </w:rPr>
        <w:t>Règlement sur l’emploi dans la fonction publique</w:t>
      </w:r>
      <w:r w:rsidRPr="00E44D3A">
        <w:rPr>
          <w:szCs w:val="24"/>
          <w:lang w:val="fr-CA"/>
        </w:rPr>
        <w:t>, DORS/2005</w:t>
      </w:r>
      <w:r w:rsidRPr="00E44D3A">
        <w:rPr>
          <w:szCs w:val="24"/>
          <w:lang w:val="fr-CA"/>
        </w:rPr>
        <w:noBreakHyphen/>
        <w:t xml:space="preserve">334] n’oblige un administrateur général à utiliser un processus de sélection en particulier selon qu’il s’agisse d’un poste nouveau ou d’un poste </w:t>
      </w:r>
      <w:proofErr w:type="spellStart"/>
      <w:r w:rsidRPr="00E44D3A">
        <w:rPr>
          <w:szCs w:val="24"/>
          <w:lang w:val="fr-CA"/>
        </w:rPr>
        <w:t>reclassifié</w:t>
      </w:r>
      <w:proofErr w:type="spellEnd"/>
      <w:r w:rsidRPr="00E44D3A">
        <w:rPr>
          <w:szCs w:val="24"/>
          <w:lang w:val="fr-CA"/>
        </w:rPr>
        <w:t xml:space="preserve">.  Au contraire, l’article 33 de la </w:t>
      </w:r>
      <w:r w:rsidRPr="00E44D3A">
        <w:rPr>
          <w:i/>
          <w:iCs/>
          <w:szCs w:val="24"/>
          <w:lang w:val="fr-CA"/>
        </w:rPr>
        <w:t>LEFP</w:t>
      </w:r>
      <w:r w:rsidRPr="00E44D3A">
        <w:rPr>
          <w:szCs w:val="24"/>
          <w:lang w:val="fr-CA"/>
        </w:rPr>
        <w:t xml:space="preserve"> indique clairement que l’administrateur général dispose du pouvoir discrétionnaire nécessaire lui permettant de décider s’il utilisera un processus de nomination annoncé ou un processus de nomination non annoncé.</w:t>
      </w:r>
      <w:r w:rsidR="000C5230" w:rsidRPr="00E44D3A">
        <w:rPr>
          <w:szCs w:val="24"/>
          <w:lang w:val="fr-CA"/>
        </w:rPr>
        <w:t xml:space="preserve"> [</w:t>
      </w:r>
      <w:proofErr w:type="gramStart"/>
      <w:r w:rsidR="000C5230" w:rsidRPr="00E44D3A">
        <w:rPr>
          <w:szCs w:val="24"/>
          <w:lang w:val="fr-CA"/>
        </w:rPr>
        <w:t>par</w:t>
      </w:r>
      <w:proofErr w:type="gramEnd"/>
      <w:r w:rsidR="000C5230" w:rsidRPr="00E44D3A">
        <w:rPr>
          <w:szCs w:val="24"/>
          <w:lang w:val="fr-CA"/>
        </w:rPr>
        <w:t>. 65]</w:t>
      </w:r>
    </w:p>
    <w:p w:rsidR="001E4759" w:rsidRPr="00E44D3A" w:rsidRDefault="001E4759" w:rsidP="001E4759">
      <w:pPr>
        <w:pStyle w:val="ParaNoNdepar-AltN"/>
        <w:rPr>
          <w:szCs w:val="24"/>
          <w:lang w:val="fr-CA"/>
        </w:rPr>
      </w:pPr>
      <w:r w:rsidRPr="00E44D3A">
        <w:rPr>
          <w:szCs w:val="24"/>
          <w:lang w:val="fr-CA"/>
        </w:rPr>
        <w:t xml:space="preserve">Cet énoncé, qui n’a pas été attaqué au motif qu’il serait déraisonnable, était suffisant pour trancher la plainte de M. Kane, et il n’était donc pas nécessaire de </w:t>
      </w:r>
      <w:r w:rsidRPr="00E44D3A">
        <w:rPr>
          <w:szCs w:val="24"/>
          <w:lang w:val="fr-CA"/>
        </w:rPr>
        <w:lastRenderedPageBreak/>
        <w:t>se demander si le poste PM</w:t>
      </w:r>
      <w:r w:rsidRPr="00E44D3A">
        <w:rPr>
          <w:szCs w:val="24"/>
          <w:lang w:val="fr-CA"/>
        </w:rPr>
        <w:noBreakHyphen/>
        <w:t>06 était nouveau.  La question de savoir si le poste était nouveau ou résultait de la reclassification d’un ancien poste n’était pas pertinente pour statuer sur la question ultime et n’a aucunement affecté le caractère raisonnable de la décision du Tribunal.</w:t>
      </w:r>
    </w:p>
    <w:p w:rsidR="001E4759" w:rsidRPr="00E44D3A" w:rsidRDefault="001E4759" w:rsidP="001E4759">
      <w:pPr>
        <w:pStyle w:val="ParaNoNdepar-AltN"/>
        <w:rPr>
          <w:szCs w:val="24"/>
          <w:lang w:val="fr-CA"/>
        </w:rPr>
      </w:pPr>
      <w:r w:rsidRPr="00E44D3A">
        <w:rPr>
          <w:szCs w:val="24"/>
          <w:lang w:val="fr-CA"/>
        </w:rPr>
        <w:t>Deuxièmement, les juges majoritaires ont évalué la décision du Tribunal à la lumière d’un argument que n’avait pas soulevé M. Kane.  À chaque étape de l’instance, ce dernier a tenu pour acquis que s’il réussissait à démontrer que le poste PM</w:t>
      </w:r>
      <w:r w:rsidRPr="00E44D3A">
        <w:rPr>
          <w:szCs w:val="24"/>
          <w:lang w:val="fr-CA"/>
        </w:rPr>
        <w:noBreakHyphen/>
        <w:t xml:space="preserve">06 résultait d’une reclassification, il aurait </w:t>
      </w:r>
      <w:r w:rsidRPr="00E44D3A">
        <w:rPr>
          <w:i/>
          <w:szCs w:val="24"/>
          <w:lang w:val="fr-CA"/>
        </w:rPr>
        <w:t>droit</w:t>
      </w:r>
      <w:r w:rsidRPr="00E44D3A">
        <w:rPr>
          <w:szCs w:val="24"/>
          <w:lang w:val="fr-CA"/>
        </w:rPr>
        <w:t xml:space="preserve"> à la tenue d’un processus de nomination non annoncé.  Se fondant sur les lignes directrices établies sous le régime de l’ancienne loi (L.R.C. 1985, ch. P</w:t>
      </w:r>
      <w:r w:rsidRPr="00E44D3A">
        <w:rPr>
          <w:szCs w:val="24"/>
          <w:lang w:val="fr-CA"/>
        </w:rPr>
        <w:noBreakHyphen/>
        <w:t xml:space="preserve">33) et sur la pratique suivie </w:t>
      </w:r>
      <w:proofErr w:type="spellStart"/>
      <w:r w:rsidRPr="00E44D3A">
        <w:rPr>
          <w:szCs w:val="24"/>
          <w:lang w:val="fr-CA"/>
        </w:rPr>
        <w:t>jusque</w:t>
      </w:r>
      <w:r w:rsidRPr="00E44D3A">
        <w:rPr>
          <w:szCs w:val="24"/>
          <w:lang w:val="fr-CA"/>
        </w:rPr>
        <w:noBreakHyphen/>
        <w:t>là</w:t>
      </w:r>
      <w:proofErr w:type="spellEnd"/>
      <w:r w:rsidRPr="00E44D3A">
        <w:rPr>
          <w:szCs w:val="24"/>
          <w:lang w:val="fr-CA"/>
        </w:rPr>
        <w:t xml:space="preserve"> à </w:t>
      </w:r>
      <w:proofErr w:type="spellStart"/>
      <w:r w:rsidRPr="00E44D3A">
        <w:rPr>
          <w:szCs w:val="24"/>
          <w:lang w:val="fr-CA"/>
        </w:rPr>
        <w:t>Terre</w:t>
      </w:r>
      <w:r w:rsidRPr="00E44D3A">
        <w:rPr>
          <w:szCs w:val="24"/>
          <w:lang w:val="fr-CA"/>
        </w:rPr>
        <w:noBreakHyphen/>
        <w:t>Neuve</w:t>
      </w:r>
      <w:r w:rsidRPr="00E44D3A">
        <w:rPr>
          <w:szCs w:val="24"/>
          <w:lang w:val="fr-CA"/>
        </w:rPr>
        <w:noBreakHyphen/>
        <w:t>et</w:t>
      </w:r>
      <w:r w:rsidRPr="00E44D3A">
        <w:rPr>
          <w:szCs w:val="24"/>
          <w:lang w:val="fr-CA"/>
        </w:rPr>
        <w:noBreakHyphen/>
        <w:t>Labrador</w:t>
      </w:r>
      <w:proofErr w:type="spellEnd"/>
      <w:r w:rsidRPr="00E44D3A">
        <w:rPr>
          <w:szCs w:val="24"/>
          <w:lang w:val="fr-CA"/>
        </w:rPr>
        <w:t>, M. Kane a fait valoir que, si le poste résultait d’une reclassification, son employeur n’était pas libre d’opter pour un processus annoncé.  Selon M. Kane, l’abus de pouvoir découlait d’une [</w:t>
      </w:r>
      <w:r w:rsidRPr="00E44D3A">
        <w:rPr>
          <w:smallCaps/>
          <w:szCs w:val="24"/>
          <w:lang w:val="fr-CA"/>
        </w:rPr>
        <w:t>traduction</w:t>
      </w:r>
      <w:r w:rsidRPr="00E44D3A">
        <w:rPr>
          <w:szCs w:val="24"/>
          <w:lang w:val="fr-CA"/>
        </w:rPr>
        <w:t xml:space="preserve">] « interprétation erronée des faits, </w:t>
      </w:r>
      <w:r w:rsidRPr="00E44D3A">
        <w:rPr>
          <w:szCs w:val="24"/>
          <w:u w:val="single"/>
          <w:lang w:val="fr-CA"/>
        </w:rPr>
        <w:t>qui allait à l’encontre des propres lignes directrices de l’employeur en matière de reclassification</w:t>
      </w:r>
      <w:r w:rsidRPr="00E44D3A">
        <w:rPr>
          <w:szCs w:val="24"/>
          <w:lang w:val="fr-CA"/>
        </w:rPr>
        <w:t> » (</w:t>
      </w:r>
      <w:proofErr w:type="gramStart"/>
      <w:r w:rsidRPr="00E44D3A">
        <w:rPr>
          <w:szCs w:val="24"/>
          <w:lang w:val="fr-CA"/>
        </w:rPr>
        <w:t>d.a.,</w:t>
      </w:r>
      <w:proofErr w:type="gramEnd"/>
      <w:r w:rsidRPr="00E44D3A">
        <w:rPr>
          <w:szCs w:val="24"/>
          <w:lang w:val="fr-CA"/>
        </w:rPr>
        <w:t xml:space="preserve"> vol. I, p. 101 (</w:t>
      </w:r>
      <w:r w:rsidR="00BD666D">
        <w:rPr>
          <w:szCs w:val="24"/>
          <w:lang w:val="fr-CA"/>
        </w:rPr>
        <w:t>nous soulignons</w:t>
      </w:r>
      <w:r w:rsidRPr="00E44D3A">
        <w:rPr>
          <w:szCs w:val="24"/>
          <w:lang w:val="fr-CA"/>
        </w:rPr>
        <w:t xml:space="preserve">)).  Au soutien de cet argument, M. Kane a présenté des éléments de preuve démontrant que son employeur considérait que le poste était nouveau.  Monsieur Kane n’a jamais tenté établir qu’il s’agissait là de la « principale raison » ayant motivé la décision; sa thèse n’exigeait pas qu’il le fasse.  À son avis, si le poste résultait d’une reclassification, il avait droit à la tenue d’un processus non annoncé, peu importe les raisons que pouvait avoir l’employeur de préférer un processus annoncé.  Le Tribunal a tranché la plainte en concluant que, vu le vaste pouvoir discrétionnaire que l’art. 33 de la </w:t>
      </w:r>
      <w:r w:rsidRPr="00E44D3A">
        <w:rPr>
          <w:i/>
          <w:szCs w:val="24"/>
          <w:lang w:val="fr-CA"/>
        </w:rPr>
        <w:t>LEFP</w:t>
      </w:r>
      <w:r w:rsidRPr="00E44D3A">
        <w:rPr>
          <w:szCs w:val="24"/>
          <w:lang w:val="fr-CA"/>
        </w:rPr>
        <w:t xml:space="preserve"> confère </w:t>
      </w:r>
      <w:r w:rsidRPr="00E44D3A">
        <w:rPr>
          <w:szCs w:val="24"/>
          <w:lang w:val="fr-CA"/>
        </w:rPr>
        <w:lastRenderedPageBreak/>
        <w:t xml:space="preserve">aux employeurs, M. Kane avait tort de prétendre avoir droit à un processus en particulier.  Le Tribunal a jugé que les lignes directrices invoquées par M. Kane avaient été établies sous le régime de l’ancienne loi et ne s’appliquaient donc plus.  À notre avis, M. Kane plaidait en faveur d’une restriction du pouvoir discrétionnaire de l’employeur qui ne concorde ni avec les objectifs de la nouvelle loi ni avec le texte de </w:t>
      </w:r>
      <w:proofErr w:type="spellStart"/>
      <w:r w:rsidRPr="00E44D3A">
        <w:rPr>
          <w:szCs w:val="24"/>
          <w:lang w:val="fr-CA"/>
        </w:rPr>
        <w:t>celle</w:t>
      </w:r>
      <w:r w:rsidRPr="00E44D3A">
        <w:rPr>
          <w:szCs w:val="24"/>
          <w:lang w:val="fr-CA"/>
        </w:rPr>
        <w:noBreakHyphen/>
        <w:t>ci</w:t>
      </w:r>
      <w:proofErr w:type="spellEnd"/>
      <w:r w:rsidRPr="00E44D3A">
        <w:rPr>
          <w:szCs w:val="24"/>
          <w:lang w:val="fr-CA"/>
        </w:rPr>
        <w:t>.  Le Tribunal n’a pas agi déraisonnablement en rejetant cet argument.</w:t>
      </w:r>
    </w:p>
    <w:p w:rsidR="001E4759" w:rsidRPr="00E44D3A" w:rsidRDefault="001E4759" w:rsidP="001E4759">
      <w:pPr>
        <w:pStyle w:val="ParaNoNdepar-AltN"/>
        <w:rPr>
          <w:szCs w:val="24"/>
          <w:lang w:val="fr-CA"/>
        </w:rPr>
      </w:pPr>
      <w:r w:rsidRPr="00E44D3A">
        <w:rPr>
          <w:szCs w:val="24"/>
          <w:lang w:val="fr-CA"/>
        </w:rPr>
        <w:t>Troisièmement, la décision de renvoyer l’affaire au Tribunal découlait de la conclusion tirée par les juges majoritaires, à la lumière du dossier, selon laquelle le fait que le poste PM</w:t>
      </w:r>
      <w:r w:rsidRPr="00E44D3A">
        <w:rPr>
          <w:szCs w:val="24"/>
          <w:lang w:val="fr-CA"/>
        </w:rPr>
        <w:noBreakHyphen/>
        <w:t xml:space="preserve">06 était nouveau constituait la « principale raison » justifiant la décision de l’employeur.  Le </w:t>
      </w:r>
      <w:proofErr w:type="gramStart"/>
      <w:r w:rsidRPr="00E44D3A">
        <w:rPr>
          <w:szCs w:val="24"/>
          <w:lang w:val="fr-CA"/>
        </w:rPr>
        <w:t>Tribunal a</w:t>
      </w:r>
      <w:proofErr w:type="gramEnd"/>
      <w:r w:rsidRPr="00E44D3A">
        <w:rPr>
          <w:szCs w:val="24"/>
          <w:lang w:val="fr-CA"/>
        </w:rPr>
        <w:t xml:space="preserve"> souligné que l’art. 33 de la </w:t>
      </w:r>
      <w:r w:rsidRPr="00E44D3A">
        <w:rPr>
          <w:i/>
          <w:szCs w:val="24"/>
          <w:lang w:val="fr-CA"/>
        </w:rPr>
        <w:t>LEFP</w:t>
      </w:r>
      <w:r w:rsidRPr="00E44D3A">
        <w:rPr>
          <w:szCs w:val="24"/>
          <w:lang w:val="fr-CA"/>
        </w:rPr>
        <w:t xml:space="preserve"> confère à l’employeur un vaste pouvoir discrétionnaire dans le choix du processus de nomination, notamment la faculté de recourir à un processus annoncé simplement parce que plusieurs personnes devraient avoir la possibilité de présenter leur candidature à un poste.  Selon la preuve déposée par l’employeur devant le Tribunal, le Comité régional de gestion a opté pour un processus annoncé « afin que le processus soit juste, accessible et transparent et ce, dans le but de permettre à plus d’une personne de présenter leur candidature, surtout parce qu’il s’agit d’un nouveau poste à un niveau supérieur » (par. 28).  Cependant, le Tribunal n’a tiré aucune conclusion sur ce qu’a pu être la « principale raison » de l’employeur pour agir comme il l’a fait.  En toute déférence, les juges majoritaires de la Cour d’appel fédérale ont commis une erreur en se livrant concrètement à leur propre évaluation du dossier et en déterminant quelle était la « principale raison » à l’origine de la décision </w:t>
      </w:r>
      <w:r w:rsidRPr="00E44D3A">
        <w:rPr>
          <w:szCs w:val="24"/>
          <w:lang w:val="fr-CA"/>
        </w:rPr>
        <w:lastRenderedPageBreak/>
        <w:t>de l’employeur, alors que le Tribunal n’avait pas tiré de conclusion à cet égard.  Il ne convenait pas que la Cour d’appel fédérale modifie de la sorte la décision du Tribunal dans le cadre du contrôle judiciaire.</w:t>
      </w:r>
    </w:p>
    <w:p w:rsidR="001E4759" w:rsidRPr="00E44D3A" w:rsidRDefault="001E4759" w:rsidP="001E4759">
      <w:pPr>
        <w:pStyle w:val="ParaNoNdepar-AltN"/>
        <w:rPr>
          <w:szCs w:val="24"/>
          <w:lang w:val="fr-CA"/>
        </w:rPr>
      </w:pPr>
      <w:r w:rsidRPr="00E44D3A">
        <w:rPr>
          <w:szCs w:val="24"/>
          <w:lang w:val="fr-CA"/>
        </w:rPr>
        <w:t>Enfin, nous ne pouvons souscrire à la conclusion des juges majoritaires selon laquelle le Tribunal aurait agi de manière déraisonnable en niant à M. Kane la possibilité de démontrer qu’il n’existait aucun fondement rationnel justifiant l’employeur de considérer que le poste PM</w:t>
      </w:r>
      <w:r w:rsidRPr="00E44D3A">
        <w:rPr>
          <w:szCs w:val="24"/>
          <w:lang w:val="fr-CA"/>
        </w:rPr>
        <w:noBreakHyphen/>
        <w:t xml:space="preserve">06 était nouveau.  À supposer (sans pour autant décider) que les juges majoritaires ont eu raison de conclure qu’une décision découlant de l’exercice d’un pouvoir discrétionnaire et reposant sur une conclusion irrationnelle concernant un fait important constitue un abus de pouvoir, nous estimons, à la lecture du dossier, qu’il n’existait aucune possibilité véritable que le Tribunal trouve une conclusion de fait irrationnelle en l’espèce.  À tout le moins, il ressort d’une interprétation raisonnable du dossier que la question de savoir s’il s’agissait d’un poste nouveau ou </w:t>
      </w:r>
      <w:proofErr w:type="spellStart"/>
      <w:r w:rsidRPr="00E44D3A">
        <w:rPr>
          <w:szCs w:val="24"/>
          <w:lang w:val="fr-CA"/>
        </w:rPr>
        <w:t>reclassifié</w:t>
      </w:r>
      <w:proofErr w:type="spellEnd"/>
      <w:r w:rsidRPr="00E44D3A">
        <w:rPr>
          <w:szCs w:val="24"/>
          <w:lang w:val="fr-CA"/>
        </w:rPr>
        <w:t xml:space="preserve"> était susceptible de susciter un désaccord raisonnable parmi des gens raisonnables. </w:t>
      </w:r>
    </w:p>
    <w:p w:rsidR="001E4759" w:rsidRPr="00E44D3A" w:rsidRDefault="001E4759" w:rsidP="001E4759">
      <w:pPr>
        <w:pStyle w:val="ParaNoNdepar-AltN"/>
        <w:rPr>
          <w:szCs w:val="24"/>
          <w:lang w:val="fr-CA"/>
        </w:rPr>
      </w:pPr>
      <w:r w:rsidRPr="00E44D3A">
        <w:rPr>
          <w:szCs w:val="24"/>
          <w:lang w:val="fr-CA"/>
        </w:rPr>
        <w:t>L’appel est accueilli avec dépens et la décision du Tribunal est confirmée.</w:t>
      </w:r>
    </w:p>
    <w:p w:rsidR="004D7D95" w:rsidRPr="00E44D3A" w:rsidRDefault="004D7D95" w:rsidP="00AF4DC8">
      <w:pPr>
        <w:pStyle w:val="SCCNormalDoubleSpacing"/>
        <w:spacing w:after="480"/>
        <w:rPr>
          <w:i/>
          <w:szCs w:val="24"/>
          <w:lang w:val="fr-CA"/>
        </w:rPr>
      </w:pPr>
      <w:r w:rsidRPr="00E44D3A">
        <w:rPr>
          <w:szCs w:val="24"/>
          <w:lang w:val="fr-CA"/>
        </w:rPr>
        <w:tab/>
      </w:r>
      <w:r w:rsidR="005506B9" w:rsidRPr="00E44D3A">
        <w:rPr>
          <w:i/>
          <w:szCs w:val="24"/>
          <w:lang w:val="fr-CA"/>
        </w:rPr>
        <w:t>Pourvoi accueilli</w:t>
      </w:r>
      <w:r w:rsidR="009E21DD" w:rsidRPr="00E44D3A">
        <w:rPr>
          <w:i/>
          <w:szCs w:val="24"/>
          <w:lang w:val="fr-CA"/>
        </w:rPr>
        <w:t xml:space="preserve"> avec dépens</w:t>
      </w:r>
      <w:r w:rsidR="005506B9" w:rsidRPr="00E44D3A">
        <w:rPr>
          <w:i/>
          <w:szCs w:val="24"/>
          <w:lang w:val="fr-CA"/>
        </w:rPr>
        <w:t>.</w:t>
      </w:r>
    </w:p>
    <w:p w:rsidR="0043555C" w:rsidRPr="00E44D3A" w:rsidRDefault="000C56AB" w:rsidP="00AF4DC8">
      <w:pPr>
        <w:pStyle w:val="SCCLawFirm"/>
        <w:spacing w:after="480"/>
        <w:rPr>
          <w:szCs w:val="24"/>
          <w:lang w:val="fr-CA"/>
        </w:rPr>
      </w:pPr>
      <w:r w:rsidRPr="00E44D3A">
        <w:rPr>
          <w:szCs w:val="24"/>
          <w:lang w:val="fr-CA"/>
        </w:rPr>
        <w:tab/>
      </w:r>
      <w:r w:rsidR="00DC3E82" w:rsidRPr="00E44D3A">
        <w:rPr>
          <w:szCs w:val="24"/>
          <w:lang w:val="fr-CA"/>
        </w:rPr>
        <w:t>Procureur de l</w:t>
      </w:r>
      <w:r w:rsidR="0089776C" w:rsidRPr="00E44D3A">
        <w:rPr>
          <w:szCs w:val="24"/>
          <w:lang w:val="fr-CA"/>
        </w:rPr>
        <w:t>’</w:t>
      </w:r>
      <w:r w:rsidR="00AF4DC8" w:rsidRPr="00E44D3A">
        <w:rPr>
          <w:szCs w:val="24"/>
          <w:lang w:val="fr-CA"/>
        </w:rPr>
        <w:t>appelant</w:t>
      </w:r>
      <w:r w:rsidR="008924AB" w:rsidRPr="00E44D3A">
        <w:rPr>
          <w:szCs w:val="24"/>
          <w:lang w:val="fr-CA"/>
        </w:rPr>
        <w:t> :</w:t>
      </w:r>
      <w:r w:rsidR="00AF4DC8" w:rsidRPr="00E44D3A">
        <w:rPr>
          <w:szCs w:val="24"/>
          <w:lang w:val="fr-CA"/>
        </w:rPr>
        <w:t> </w:t>
      </w:r>
      <w:r w:rsidR="005506B9" w:rsidRPr="00E44D3A">
        <w:rPr>
          <w:szCs w:val="24"/>
          <w:lang w:val="fr-CA"/>
        </w:rPr>
        <w:t>Procureur général du Canada, Ottawa</w:t>
      </w:r>
      <w:r w:rsidR="00DF6FE4" w:rsidRPr="00E44D3A">
        <w:rPr>
          <w:szCs w:val="24"/>
          <w:lang w:val="fr-CA"/>
        </w:rPr>
        <w:t xml:space="preserve"> et Montréal</w:t>
      </w:r>
      <w:r w:rsidR="005506B9" w:rsidRPr="00E44D3A">
        <w:rPr>
          <w:szCs w:val="24"/>
          <w:lang w:val="fr-CA"/>
        </w:rPr>
        <w:t>.</w:t>
      </w:r>
    </w:p>
    <w:p w:rsidR="0043555C" w:rsidRPr="00E44D3A" w:rsidRDefault="000C56AB">
      <w:pPr>
        <w:pStyle w:val="SCCLawFirm"/>
        <w:rPr>
          <w:szCs w:val="24"/>
          <w:lang w:val="fr-CA"/>
        </w:rPr>
      </w:pPr>
      <w:r w:rsidRPr="00E44D3A">
        <w:rPr>
          <w:szCs w:val="24"/>
          <w:lang w:val="fr-CA"/>
        </w:rPr>
        <w:lastRenderedPageBreak/>
        <w:tab/>
      </w:r>
      <w:r w:rsidR="00DC3E82" w:rsidRPr="00E44D3A">
        <w:rPr>
          <w:szCs w:val="24"/>
          <w:lang w:val="fr-CA"/>
        </w:rPr>
        <w:t>Procureurs de l</w:t>
      </w:r>
      <w:r w:rsidR="0089776C" w:rsidRPr="00E44D3A">
        <w:rPr>
          <w:szCs w:val="24"/>
          <w:lang w:val="fr-CA"/>
        </w:rPr>
        <w:t>’</w:t>
      </w:r>
      <w:r w:rsidR="00AF4DC8" w:rsidRPr="00E44D3A">
        <w:rPr>
          <w:szCs w:val="24"/>
          <w:lang w:val="fr-CA"/>
        </w:rPr>
        <w:t>intimé</w:t>
      </w:r>
      <w:r w:rsidR="008924AB" w:rsidRPr="00E44D3A">
        <w:rPr>
          <w:szCs w:val="24"/>
          <w:lang w:val="fr-CA"/>
        </w:rPr>
        <w:t> :</w:t>
      </w:r>
      <w:r w:rsidR="00AF4DC8" w:rsidRPr="00E44D3A">
        <w:rPr>
          <w:szCs w:val="24"/>
          <w:lang w:val="fr-CA"/>
        </w:rPr>
        <w:t> </w:t>
      </w:r>
      <w:proofErr w:type="spellStart"/>
      <w:r w:rsidR="005506B9" w:rsidRPr="00E44D3A">
        <w:rPr>
          <w:szCs w:val="24"/>
          <w:lang w:val="fr-CA"/>
        </w:rPr>
        <w:t>Raven</w:t>
      </w:r>
      <w:proofErr w:type="spellEnd"/>
      <w:r w:rsidR="005506B9" w:rsidRPr="00E44D3A">
        <w:rPr>
          <w:szCs w:val="24"/>
          <w:lang w:val="fr-CA"/>
        </w:rPr>
        <w:t xml:space="preserve">, Cameron, </w:t>
      </w:r>
      <w:proofErr w:type="spellStart"/>
      <w:r w:rsidR="005506B9" w:rsidRPr="00E44D3A">
        <w:rPr>
          <w:szCs w:val="24"/>
          <w:lang w:val="fr-CA"/>
        </w:rPr>
        <w:t>Ballantyne</w:t>
      </w:r>
      <w:proofErr w:type="spellEnd"/>
      <w:r w:rsidR="005506B9" w:rsidRPr="00E44D3A">
        <w:rPr>
          <w:szCs w:val="24"/>
          <w:lang w:val="fr-CA"/>
        </w:rPr>
        <w:t xml:space="preserve"> &amp; </w:t>
      </w:r>
      <w:proofErr w:type="spellStart"/>
      <w:r w:rsidR="005506B9" w:rsidRPr="00E44D3A">
        <w:rPr>
          <w:szCs w:val="24"/>
          <w:lang w:val="fr-CA"/>
        </w:rPr>
        <w:t>Yazbeck</w:t>
      </w:r>
      <w:proofErr w:type="spellEnd"/>
      <w:r w:rsidR="005506B9" w:rsidRPr="00E44D3A">
        <w:rPr>
          <w:szCs w:val="24"/>
          <w:lang w:val="fr-CA"/>
        </w:rPr>
        <w:t>, Ottawa</w:t>
      </w:r>
      <w:r w:rsidRPr="00E44D3A">
        <w:rPr>
          <w:szCs w:val="24"/>
          <w:lang w:val="fr-CA"/>
        </w:rPr>
        <w:t>.</w:t>
      </w:r>
    </w:p>
    <w:p w:rsidR="00686DA8" w:rsidRPr="00E44D3A" w:rsidRDefault="00686DA8" w:rsidP="00686DA8">
      <w:pPr>
        <w:pStyle w:val="SCCNormalDoubleSpacing"/>
        <w:rPr>
          <w:lang w:val="fr-CA"/>
        </w:rPr>
      </w:pPr>
    </w:p>
    <w:sectPr w:rsidR="00686DA8" w:rsidRPr="00E44D3A" w:rsidSect="00920B23">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03C" w:rsidRDefault="0098003C">
      <w:r>
        <w:separator/>
      </w:r>
    </w:p>
  </w:endnote>
  <w:endnote w:type="continuationSeparator" w:id="0">
    <w:p w:rsidR="0098003C" w:rsidRDefault="00980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03C" w:rsidRDefault="0098003C">
      <w:r>
        <w:separator/>
      </w:r>
    </w:p>
  </w:footnote>
  <w:footnote w:type="continuationSeparator" w:id="0">
    <w:p w:rsidR="0098003C" w:rsidRDefault="00980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207"/>
      <w:docPartObj>
        <w:docPartGallery w:val="Page Numbers (Top of Page)"/>
        <w:docPartUnique/>
      </w:docPartObj>
    </w:sdtPr>
    <w:sdtContent>
      <w:p w:rsidR="00920B23" w:rsidRDefault="00920B23">
        <w:pPr>
          <w:pStyle w:val="Header"/>
          <w:jc w:val="center"/>
        </w:pPr>
        <w:r>
          <w:t xml:space="preserve">- </w:t>
        </w:r>
        <w:fldSimple w:instr=" PAGE   \* MERGEFORMAT ">
          <w:r w:rsidR="0096047D">
            <w:rPr>
              <w:noProof/>
            </w:rPr>
            <w:t>2</w:t>
          </w:r>
        </w:fldSimple>
        <w:r>
          <w:t xml:space="preserve"> -</w:t>
        </w:r>
      </w:p>
    </w:sdtContent>
  </w:sdt>
  <w:p w:rsidR="00920B23" w:rsidRDefault="00920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rsids>
    <w:rsidRoot w:val="0031414C"/>
    <w:rsid w:val="00000ED4"/>
    <w:rsid w:val="000032DF"/>
    <w:rsid w:val="00023525"/>
    <w:rsid w:val="00023FC7"/>
    <w:rsid w:val="00025198"/>
    <w:rsid w:val="0002526F"/>
    <w:rsid w:val="00041B12"/>
    <w:rsid w:val="000578A3"/>
    <w:rsid w:val="000648CC"/>
    <w:rsid w:val="00070EC0"/>
    <w:rsid w:val="00073F34"/>
    <w:rsid w:val="00085A66"/>
    <w:rsid w:val="000A0083"/>
    <w:rsid w:val="000B05FD"/>
    <w:rsid w:val="000C5230"/>
    <w:rsid w:val="000C56AB"/>
    <w:rsid w:val="000C59B8"/>
    <w:rsid w:val="000C6AF0"/>
    <w:rsid w:val="000D0A77"/>
    <w:rsid w:val="000D6AB9"/>
    <w:rsid w:val="000E56EE"/>
    <w:rsid w:val="000F7993"/>
    <w:rsid w:val="00104F33"/>
    <w:rsid w:val="00111DE2"/>
    <w:rsid w:val="00116B38"/>
    <w:rsid w:val="00135406"/>
    <w:rsid w:val="00135972"/>
    <w:rsid w:val="001423CB"/>
    <w:rsid w:val="001426A9"/>
    <w:rsid w:val="001426BA"/>
    <w:rsid w:val="00154D7C"/>
    <w:rsid w:val="001570B0"/>
    <w:rsid w:val="0015752C"/>
    <w:rsid w:val="00157737"/>
    <w:rsid w:val="00165277"/>
    <w:rsid w:val="00170592"/>
    <w:rsid w:val="001720F7"/>
    <w:rsid w:val="00195D83"/>
    <w:rsid w:val="001A00C1"/>
    <w:rsid w:val="001B33E0"/>
    <w:rsid w:val="001B4573"/>
    <w:rsid w:val="001C15B6"/>
    <w:rsid w:val="001C779F"/>
    <w:rsid w:val="001D2AC1"/>
    <w:rsid w:val="001D4E88"/>
    <w:rsid w:val="001E4759"/>
    <w:rsid w:val="001F798F"/>
    <w:rsid w:val="002128B5"/>
    <w:rsid w:val="00220FC2"/>
    <w:rsid w:val="002222F4"/>
    <w:rsid w:val="00224FC0"/>
    <w:rsid w:val="00225EA4"/>
    <w:rsid w:val="00226EAF"/>
    <w:rsid w:val="00231F3A"/>
    <w:rsid w:val="002406EE"/>
    <w:rsid w:val="00243EC8"/>
    <w:rsid w:val="002613F2"/>
    <w:rsid w:val="00270D93"/>
    <w:rsid w:val="002745CC"/>
    <w:rsid w:val="00285C17"/>
    <w:rsid w:val="002B6FBE"/>
    <w:rsid w:val="002B7924"/>
    <w:rsid w:val="002C10A6"/>
    <w:rsid w:val="002D28C3"/>
    <w:rsid w:val="002D39A4"/>
    <w:rsid w:val="002E6705"/>
    <w:rsid w:val="002F420B"/>
    <w:rsid w:val="0030329A"/>
    <w:rsid w:val="0031086F"/>
    <w:rsid w:val="0031414C"/>
    <w:rsid w:val="00314E01"/>
    <w:rsid w:val="0032089D"/>
    <w:rsid w:val="00324B2D"/>
    <w:rsid w:val="00325D73"/>
    <w:rsid w:val="003272EB"/>
    <w:rsid w:val="003310DE"/>
    <w:rsid w:val="003323B0"/>
    <w:rsid w:val="00340A49"/>
    <w:rsid w:val="0035169A"/>
    <w:rsid w:val="0035259D"/>
    <w:rsid w:val="00364B18"/>
    <w:rsid w:val="003A125D"/>
    <w:rsid w:val="003A4C70"/>
    <w:rsid w:val="003B215F"/>
    <w:rsid w:val="003C799C"/>
    <w:rsid w:val="003D0399"/>
    <w:rsid w:val="003E1C71"/>
    <w:rsid w:val="003F327B"/>
    <w:rsid w:val="00402A2B"/>
    <w:rsid w:val="00406166"/>
    <w:rsid w:val="0040704B"/>
    <w:rsid w:val="00410A55"/>
    <w:rsid w:val="00411300"/>
    <w:rsid w:val="00413F17"/>
    <w:rsid w:val="00415417"/>
    <w:rsid w:val="00426659"/>
    <w:rsid w:val="00427F67"/>
    <w:rsid w:val="0043555C"/>
    <w:rsid w:val="00450352"/>
    <w:rsid w:val="00454BDB"/>
    <w:rsid w:val="00465132"/>
    <w:rsid w:val="00480C90"/>
    <w:rsid w:val="00482FA8"/>
    <w:rsid w:val="0048396F"/>
    <w:rsid w:val="004841A2"/>
    <w:rsid w:val="00493C18"/>
    <w:rsid w:val="004A0CD9"/>
    <w:rsid w:val="004A600C"/>
    <w:rsid w:val="004A6118"/>
    <w:rsid w:val="004C411A"/>
    <w:rsid w:val="004C46DF"/>
    <w:rsid w:val="004C478D"/>
    <w:rsid w:val="004D7D95"/>
    <w:rsid w:val="004E2C26"/>
    <w:rsid w:val="005125A8"/>
    <w:rsid w:val="00517549"/>
    <w:rsid w:val="00520ABC"/>
    <w:rsid w:val="00521AE8"/>
    <w:rsid w:val="005253D0"/>
    <w:rsid w:val="00527180"/>
    <w:rsid w:val="005506B9"/>
    <w:rsid w:val="005541A9"/>
    <w:rsid w:val="00555291"/>
    <w:rsid w:val="00565902"/>
    <w:rsid w:val="00565EAE"/>
    <w:rsid w:val="00566AD1"/>
    <w:rsid w:val="00583EDE"/>
    <w:rsid w:val="0058629C"/>
    <w:rsid w:val="00586C7C"/>
    <w:rsid w:val="005A6079"/>
    <w:rsid w:val="005C25DE"/>
    <w:rsid w:val="005E4698"/>
    <w:rsid w:val="006025A3"/>
    <w:rsid w:val="00603924"/>
    <w:rsid w:val="00607059"/>
    <w:rsid w:val="00610539"/>
    <w:rsid w:val="00613969"/>
    <w:rsid w:val="00625C35"/>
    <w:rsid w:val="00647E49"/>
    <w:rsid w:val="00656313"/>
    <w:rsid w:val="006565F4"/>
    <w:rsid w:val="00684EEA"/>
    <w:rsid w:val="00686DA8"/>
    <w:rsid w:val="0069689B"/>
    <w:rsid w:val="006B5FF5"/>
    <w:rsid w:val="006E0066"/>
    <w:rsid w:val="006F30AF"/>
    <w:rsid w:val="00701759"/>
    <w:rsid w:val="0070204D"/>
    <w:rsid w:val="00705C15"/>
    <w:rsid w:val="007110F6"/>
    <w:rsid w:val="007208D1"/>
    <w:rsid w:val="00744518"/>
    <w:rsid w:val="00747288"/>
    <w:rsid w:val="00747DD3"/>
    <w:rsid w:val="007549C8"/>
    <w:rsid w:val="00766D14"/>
    <w:rsid w:val="00767A0F"/>
    <w:rsid w:val="00781E75"/>
    <w:rsid w:val="00791272"/>
    <w:rsid w:val="007A05F6"/>
    <w:rsid w:val="007A416B"/>
    <w:rsid w:val="007B1C0C"/>
    <w:rsid w:val="007B6F4A"/>
    <w:rsid w:val="007E1C47"/>
    <w:rsid w:val="007E337A"/>
    <w:rsid w:val="007E5C70"/>
    <w:rsid w:val="007F2FF5"/>
    <w:rsid w:val="007F3F08"/>
    <w:rsid w:val="00804CC6"/>
    <w:rsid w:val="00813CEC"/>
    <w:rsid w:val="00817190"/>
    <w:rsid w:val="008260E2"/>
    <w:rsid w:val="008322BD"/>
    <w:rsid w:val="00834F73"/>
    <w:rsid w:val="008578F3"/>
    <w:rsid w:val="00864C8A"/>
    <w:rsid w:val="00864CF8"/>
    <w:rsid w:val="00874914"/>
    <w:rsid w:val="00891422"/>
    <w:rsid w:val="008924AB"/>
    <w:rsid w:val="00892E1A"/>
    <w:rsid w:val="0089776C"/>
    <w:rsid w:val="008A045C"/>
    <w:rsid w:val="008B5DC3"/>
    <w:rsid w:val="008B660A"/>
    <w:rsid w:val="008C01DA"/>
    <w:rsid w:val="008C172D"/>
    <w:rsid w:val="008C7A8C"/>
    <w:rsid w:val="008F2674"/>
    <w:rsid w:val="008F78E9"/>
    <w:rsid w:val="009179F9"/>
    <w:rsid w:val="00917C7A"/>
    <w:rsid w:val="00920B23"/>
    <w:rsid w:val="0093189D"/>
    <w:rsid w:val="0093302B"/>
    <w:rsid w:val="00933343"/>
    <w:rsid w:val="00933E5E"/>
    <w:rsid w:val="00935218"/>
    <w:rsid w:val="00937C52"/>
    <w:rsid w:val="009403F3"/>
    <w:rsid w:val="00944D1C"/>
    <w:rsid w:val="009555B7"/>
    <w:rsid w:val="009567AA"/>
    <w:rsid w:val="009602C9"/>
    <w:rsid w:val="0096047D"/>
    <w:rsid w:val="00967374"/>
    <w:rsid w:val="00974756"/>
    <w:rsid w:val="0098003C"/>
    <w:rsid w:val="009A343A"/>
    <w:rsid w:val="009B2F23"/>
    <w:rsid w:val="009B57B3"/>
    <w:rsid w:val="009D0000"/>
    <w:rsid w:val="009D23B2"/>
    <w:rsid w:val="009D2920"/>
    <w:rsid w:val="009D5AEB"/>
    <w:rsid w:val="009E21DD"/>
    <w:rsid w:val="009F0E33"/>
    <w:rsid w:val="00A149DF"/>
    <w:rsid w:val="00A1755C"/>
    <w:rsid w:val="00A21B90"/>
    <w:rsid w:val="00A2268B"/>
    <w:rsid w:val="00A22AAC"/>
    <w:rsid w:val="00A41805"/>
    <w:rsid w:val="00A4410B"/>
    <w:rsid w:val="00A508CE"/>
    <w:rsid w:val="00A51882"/>
    <w:rsid w:val="00A52AFB"/>
    <w:rsid w:val="00A548CB"/>
    <w:rsid w:val="00A5521C"/>
    <w:rsid w:val="00A568EF"/>
    <w:rsid w:val="00A643E7"/>
    <w:rsid w:val="00A65A24"/>
    <w:rsid w:val="00A73793"/>
    <w:rsid w:val="00A73C38"/>
    <w:rsid w:val="00A821F0"/>
    <w:rsid w:val="00AB5042"/>
    <w:rsid w:val="00AB670D"/>
    <w:rsid w:val="00AE01ED"/>
    <w:rsid w:val="00AF03C5"/>
    <w:rsid w:val="00AF4DC8"/>
    <w:rsid w:val="00AF62BC"/>
    <w:rsid w:val="00AF7647"/>
    <w:rsid w:val="00B000D8"/>
    <w:rsid w:val="00B00F75"/>
    <w:rsid w:val="00B145B6"/>
    <w:rsid w:val="00B279EB"/>
    <w:rsid w:val="00B27B7A"/>
    <w:rsid w:val="00B50C81"/>
    <w:rsid w:val="00B557F8"/>
    <w:rsid w:val="00B650D4"/>
    <w:rsid w:val="00B815FC"/>
    <w:rsid w:val="00B92399"/>
    <w:rsid w:val="00B93FBC"/>
    <w:rsid w:val="00BA7DA0"/>
    <w:rsid w:val="00BB2EE4"/>
    <w:rsid w:val="00BB4C92"/>
    <w:rsid w:val="00BC2108"/>
    <w:rsid w:val="00BD0E9E"/>
    <w:rsid w:val="00BD1BEC"/>
    <w:rsid w:val="00BD32FF"/>
    <w:rsid w:val="00BD666D"/>
    <w:rsid w:val="00BF4735"/>
    <w:rsid w:val="00BF6FE9"/>
    <w:rsid w:val="00C02092"/>
    <w:rsid w:val="00C24D91"/>
    <w:rsid w:val="00C26DB2"/>
    <w:rsid w:val="00C53F14"/>
    <w:rsid w:val="00C600CF"/>
    <w:rsid w:val="00C6084F"/>
    <w:rsid w:val="00C62A66"/>
    <w:rsid w:val="00C66359"/>
    <w:rsid w:val="00C71458"/>
    <w:rsid w:val="00C77613"/>
    <w:rsid w:val="00C828E7"/>
    <w:rsid w:val="00C86719"/>
    <w:rsid w:val="00C921DD"/>
    <w:rsid w:val="00C94690"/>
    <w:rsid w:val="00CA6391"/>
    <w:rsid w:val="00CD3B75"/>
    <w:rsid w:val="00CE036E"/>
    <w:rsid w:val="00CE1AA8"/>
    <w:rsid w:val="00CE3171"/>
    <w:rsid w:val="00CF144D"/>
    <w:rsid w:val="00CF1601"/>
    <w:rsid w:val="00D00429"/>
    <w:rsid w:val="00D0172F"/>
    <w:rsid w:val="00D01E33"/>
    <w:rsid w:val="00D068A7"/>
    <w:rsid w:val="00D17476"/>
    <w:rsid w:val="00D32086"/>
    <w:rsid w:val="00D37A3F"/>
    <w:rsid w:val="00D40B13"/>
    <w:rsid w:val="00D4431D"/>
    <w:rsid w:val="00D4667A"/>
    <w:rsid w:val="00D63A1C"/>
    <w:rsid w:val="00D7516F"/>
    <w:rsid w:val="00D77DA6"/>
    <w:rsid w:val="00D87BB0"/>
    <w:rsid w:val="00D95F8E"/>
    <w:rsid w:val="00DA0590"/>
    <w:rsid w:val="00DA6DFC"/>
    <w:rsid w:val="00DC1739"/>
    <w:rsid w:val="00DC1788"/>
    <w:rsid w:val="00DC3E82"/>
    <w:rsid w:val="00DE319C"/>
    <w:rsid w:val="00DF0CA8"/>
    <w:rsid w:val="00DF1856"/>
    <w:rsid w:val="00DF2B48"/>
    <w:rsid w:val="00DF49A7"/>
    <w:rsid w:val="00DF6FE4"/>
    <w:rsid w:val="00E07EE2"/>
    <w:rsid w:val="00E07FD1"/>
    <w:rsid w:val="00E24573"/>
    <w:rsid w:val="00E25E1E"/>
    <w:rsid w:val="00E27EE7"/>
    <w:rsid w:val="00E35404"/>
    <w:rsid w:val="00E44D3A"/>
    <w:rsid w:val="00E45109"/>
    <w:rsid w:val="00E47B7A"/>
    <w:rsid w:val="00E56A44"/>
    <w:rsid w:val="00E60269"/>
    <w:rsid w:val="00E71927"/>
    <w:rsid w:val="00E8401A"/>
    <w:rsid w:val="00E90BF0"/>
    <w:rsid w:val="00E97830"/>
    <w:rsid w:val="00EA13F2"/>
    <w:rsid w:val="00EA56C5"/>
    <w:rsid w:val="00EB67D6"/>
    <w:rsid w:val="00EE0830"/>
    <w:rsid w:val="00EE6CB8"/>
    <w:rsid w:val="00EF0683"/>
    <w:rsid w:val="00F0070C"/>
    <w:rsid w:val="00F00EB7"/>
    <w:rsid w:val="00F0542F"/>
    <w:rsid w:val="00F13B1D"/>
    <w:rsid w:val="00F26498"/>
    <w:rsid w:val="00F36AB6"/>
    <w:rsid w:val="00F37A09"/>
    <w:rsid w:val="00F409CE"/>
    <w:rsid w:val="00F4379D"/>
    <w:rsid w:val="00F50D2D"/>
    <w:rsid w:val="00F56C8B"/>
    <w:rsid w:val="00F62639"/>
    <w:rsid w:val="00F66810"/>
    <w:rsid w:val="00F66FD6"/>
    <w:rsid w:val="00F84DF4"/>
    <w:rsid w:val="00F85C97"/>
    <w:rsid w:val="00F94F40"/>
    <w:rsid w:val="00FA42B9"/>
    <w:rsid w:val="00FB37D2"/>
    <w:rsid w:val="00FC23B5"/>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Citation-AltC">
    <w:name w:val="Citation - Alt C"/>
    <w:uiPriority w:val="99"/>
    <w:rsid w:val="001E4759"/>
    <w:pPr>
      <w:spacing w:after="720"/>
      <w:ind w:left="1166"/>
      <w:contextualSpacing/>
      <w:jc w:val="both"/>
    </w:pPr>
    <w:rPr>
      <w:sz w:val="24"/>
    </w:rPr>
  </w:style>
  <w:style w:type="paragraph" w:customStyle="1" w:styleId="JudgeJuge">
    <w:name w:val="Judge / Juge"/>
    <w:uiPriority w:val="99"/>
    <w:rsid w:val="001E4759"/>
    <w:pPr>
      <w:tabs>
        <w:tab w:val="left" w:pos="1166"/>
      </w:tabs>
      <w:spacing w:after="480" w:line="480" w:lineRule="auto"/>
    </w:pPr>
    <w:rPr>
      <w:smallCaps/>
      <w:sz w:val="24"/>
    </w:rPr>
  </w:style>
  <w:style w:type="paragraph" w:customStyle="1" w:styleId="ParaNoNdepar-AltN">
    <w:name w:val="Para. No. / Nº de par. - Alt N"/>
    <w:uiPriority w:val="99"/>
    <w:rsid w:val="001E4759"/>
    <w:pPr>
      <w:numPr>
        <w:numId w:val="1"/>
      </w:numPr>
      <w:tabs>
        <w:tab w:val="clear" w:pos="1152"/>
        <w:tab w:val="left" w:pos="1166"/>
      </w:tabs>
      <w:spacing w:before="480" w:after="480" w:line="480" w:lineRule="auto"/>
      <w:jc w:val="both"/>
    </w:pPr>
    <w:rPr>
      <w:sz w:val="24"/>
      <w:szCs w:val="22"/>
      <w:lang w:eastAsia="en-US"/>
    </w:rPr>
  </w:style>
  <w:style w:type="table" w:styleId="TableGrid">
    <w:name w:val="Table Grid"/>
    <w:basedOn w:val="TableNormal"/>
    <w:uiPriority w:val="59"/>
    <w:rsid w:val="001E475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2256</Words>
  <Characters>11694</Characters>
  <Application>Microsoft Office Word</Application>
  <DocSecurity>0</DocSecurity>
  <Lines>97</Lines>
  <Paragraphs>27</Paragraphs>
  <ScaleCrop>false</ScaleCrop>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2013-01-30T18:21:00Z</dcterms:created>
  <dcterms:modified xsi:type="dcterms:W3CDTF">2013-07-26T18:19:00Z</dcterms:modified>
</cp:coreProperties>
</file>