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FA" w:rsidRDefault="00D344FA" w:rsidP="00D344F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57160626" r:id="rId9"/>
        </w:object>
      </w:r>
      <w:r>
        <w:t xml:space="preserve"> </w:t>
      </w:r>
      <w:r>
        <w:ptab w:relativeTo="margin" w:alignment="right" w:leader="none"/>
      </w:r>
    </w:p>
    <w:p w:rsidR="00D344FA" w:rsidRDefault="00D344FA" w:rsidP="00D344FA">
      <w:pPr>
        <w:pStyle w:val="Header"/>
      </w:pPr>
    </w:p>
    <w:p w:rsidR="00D344FA" w:rsidRPr="001E12E2" w:rsidRDefault="00D344FA" w:rsidP="00D344FA">
      <w:pPr>
        <w:jc w:val="center"/>
        <w:rPr>
          <w:b/>
        </w:rPr>
      </w:pPr>
      <w:r w:rsidRPr="001E12E2">
        <w:rPr>
          <w:b/>
        </w:rPr>
        <w:t>COUR SUPRÊME DU CANADA</w:t>
      </w:r>
    </w:p>
    <w:p w:rsidR="00D344FA" w:rsidRDefault="00D344FA" w:rsidP="00D344F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344FA" w:rsidRPr="001E12E2" w:rsidTr="000F4F53">
        <w:trPr>
          <w:cantSplit/>
        </w:trPr>
        <w:tc>
          <w:tcPr>
            <w:tcW w:w="6768" w:type="dxa"/>
          </w:tcPr>
          <w:p w:rsidR="00D344FA" w:rsidRPr="001E12E2" w:rsidRDefault="00D344FA" w:rsidP="000F4F53">
            <w:r>
              <w:rPr>
                <w:b/>
                <w:smallCaps/>
              </w:rPr>
              <w:t>Référence :</w:t>
            </w:r>
            <w:r w:rsidRPr="001E12E2">
              <w:t xml:space="preserve"> </w:t>
            </w:r>
            <w:proofErr w:type="spellStart"/>
            <w:r w:rsidRPr="008065E3">
              <w:rPr>
                <w:rStyle w:val="SCCAppellantForIndexChar"/>
                <w:rFonts w:eastAsiaTheme="minorHAnsi"/>
                <w:b w:val="0"/>
              </w:rPr>
              <w:t>Behn</w:t>
            </w:r>
            <w:proofErr w:type="spellEnd"/>
            <w:r w:rsidRPr="008065E3">
              <w:rPr>
                <w:rStyle w:val="SCCAppellantForIndexChar"/>
                <w:rFonts w:eastAsiaTheme="minorHAnsi"/>
                <w:b w:val="0"/>
              </w:rPr>
              <w:t xml:space="preserve"> </w:t>
            </w:r>
            <w:r w:rsidRPr="008065E3">
              <w:rPr>
                <w:i/>
              </w:rPr>
              <w:t>c.</w:t>
            </w:r>
            <w:r w:rsidRPr="00EF78A1">
              <w:rPr>
                <w:b/>
              </w:rPr>
              <w:t xml:space="preserve"> </w:t>
            </w:r>
            <w:proofErr w:type="spellStart"/>
            <w:r w:rsidRPr="00EF78A1">
              <w:rPr>
                <w:rStyle w:val="SCCRespondentForIndexChar"/>
                <w:rFonts w:eastAsiaTheme="minorHAnsi"/>
                <w:b w:val="0"/>
              </w:rPr>
              <w:t>Moulton</w:t>
            </w:r>
            <w:proofErr w:type="spellEnd"/>
            <w:r w:rsidRPr="00EF78A1">
              <w:rPr>
                <w:rStyle w:val="SCCRespondentForIndexChar"/>
                <w:rFonts w:eastAsiaTheme="minorHAnsi"/>
                <w:b w:val="0"/>
              </w:rPr>
              <w:t xml:space="preserve"> </w:t>
            </w:r>
            <w:proofErr w:type="spellStart"/>
            <w:r w:rsidRPr="00EF78A1">
              <w:rPr>
                <w:rStyle w:val="SCCRespondentForIndexChar"/>
                <w:rFonts w:eastAsiaTheme="minorHAnsi"/>
                <w:b w:val="0"/>
              </w:rPr>
              <w:t>Contracting</w:t>
            </w:r>
            <w:proofErr w:type="spellEnd"/>
            <w:r w:rsidRPr="00EF78A1">
              <w:rPr>
                <w:rStyle w:val="SCCRespondentForIndexChar"/>
                <w:rFonts w:eastAsiaTheme="minorHAnsi"/>
                <w:b w:val="0"/>
              </w:rPr>
              <w:t xml:space="preserve"> Ltd.</w:t>
            </w:r>
            <w:r>
              <w:rPr>
                <w:rStyle w:val="SCCRespondentForIndexChar"/>
                <w:rFonts w:eastAsiaTheme="minorHAnsi"/>
                <w:b w:val="0"/>
              </w:rPr>
              <w:t>,</w:t>
            </w:r>
            <w:r w:rsidRPr="00D74F7B">
              <w:rPr>
                <w:rStyle w:val="SCCRespondentForIndexChar"/>
                <w:rFonts w:eastAsiaTheme="minorHAnsi"/>
                <w:b w:val="0"/>
              </w:rPr>
              <w:t xml:space="preserve"> </w:t>
            </w:r>
            <w:r>
              <w:rPr>
                <w:lang w:val="en-US"/>
              </w:rPr>
              <w:t>2013 CSC 26, [2013] 2 R.C.S. 227</w:t>
            </w:r>
          </w:p>
        </w:tc>
        <w:tc>
          <w:tcPr>
            <w:tcW w:w="2808" w:type="dxa"/>
          </w:tcPr>
          <w:p w:rsidR="00D344FA" w:rsidRPr="001E12E2" w:rsidRDefault="00D344FA" w:rsidP="000F4F53">
            <w:r w:rsidRPr="001E12E2">
              <w:rPr>
                <w:b/>
                <w:smallCaps/>
              </w:rPr>
              <w:t>Date</w:t>
            </w:r>
            <w:r>
              <w:rPr>
                <w:b/>
                <w:smallCaps/>
              </w:rPr>
              <w:t> :</w:t>
            </w:r>
            <w:r w:rsidRPr="001E12E2">
              <w:t xml:space="preserve"> </w:t>
            </w:r>
            <w:r>
              <w:t>20130509</w:t>
            </w:r>
          </w:p>
          <w:p w:rsidR="00D344FA" w:rsidRPr="001E12E2" w:rsidRDefault="00D344FA" w:rsidP="000F4F53">
            <w:r w:rsidRPr="001E12E2">
              <w:rPr>
                <w:b/>
                <w:smallCaps/>
              </w:rPr>
              <w:t>Do</w:t>
            </w:r>
            <w:r>
              <w:rPr>
                <w:b/>
                <w:smallCaps/>
              </w:rPr>
              <w:t>ssier :</w:t>
            </w:r>
            <w:r w:rsidRPr="001E12E2">
              <w:t xml:space="preserve"> </w:t>
            </w:r>
            <w:r>
              <w:t>34404</w:t>
            </w:r>
          </w:p>
        </w:tc>
      </w:tr>
    </w:tbl>
    <w:p w:rsidR="00D344FA" w:rsidRPr="001E12E2" w:rsidRDefault="00D344FA" w:rsidP="00D344FA"/>
    <w:p w:rsidR="00D344FA" w:rsidRDefault="00D344FA" w:rsidP="00D344FA">
      <w:pPr>
        <w:pStyle w:val="SCCLsocPrefix"/>
      </w:pPr>
      <w:r>
        <w:t>Entre :</w:t>
      </w:r>
    </w:p>
    <w:p w:rsidR="00D344FA" w:rsidRDefault="00D344FA" w:rsidP="00D344FA">
      <w:pPr>
        <w:pStyle w:val="SCCLsocParty"/>
        <w:jc w:val="center"/>
        <w:rPr>
          <w:lang w:val="en-US"/>
        </w:rPr>
      </w:pPr>
      <w:r w:rsidRPr="00EF78A1">
        <w:rPr>
          <w:lang w:val="en-US"/>
        </w:rPr>
        <w:t xml:space="preserve">Sally </w:t>
      </w:r>
      <w:proofErr w:type="spellStart"/>
      <w:r w:rsidRPr="00EF78A1">
        <w:rPr>
          <w:lang w:val="en-US"/>
        </w:rPr>
        <w:t>Behn</w:t>
      </w:r>
      <w:proofErr w:type="spellEnd"/>
      <w:r w:rsidRPr="00EF78A1">
        <w:rPr>
          <w:lang w:val="en-US"/>
        </w:rPr>
        <w:t xml:space="preserve">, Susan </w:t>
      </w:r>
      <w:proofErr w:type="spellStart"/>
      <w:r w:rsidRPr="00EF78A1">
        <w:rPr>
          <w:lang w:val="en-US"/>
        </w:rPr>
        <w:t>Behn</w:t>
      </w:r>
      <w:proofErr w:type="spellEnd"/>
      <w:r w:rsidRPr="00EF78A1">
        <w:rPr>
          <w:lang w:val="en-US"/>
        </w:rPr>
        <w:t xml:space="preserve">, Richard </w:t>
      </w:r>
      <w:proofErr w:type="spellStart"/>
      <w:r w:rsidRPr="00EF78A1">
        <w:rPr>
          <w:lang w:val="en-US"/>
        </w:rPr>
        <w:t>Behn</w:t>
      </w:r>
      <w:proofErr w:type="spellEnd"/>
      <w:r w:rsidRPr="00EF78A1">
        <w:rPr>
          <w:lang w:val="en-US"/>
        </w:rPr>
        <w:t xml:space="preserve">, Greg </w:t>
      </w:r>
      <w:proofErr w:type="spellStart"/>
      <w:r w:rsidRPr="00EF78A1">
        <w:rPr>
          <w:lang w:val="en-US"/>
        </w:rPr>
        <w:t>Behn</w:t>
      </w:r>
      <w:proofErr w:type="spellEnd"/>
      <w:r w:rsidRPr="00EF78A1">
        <w:rPr>
          <w:lang w:val="en-US"/>
        </w:rPr>
        <w:t xml:space="preserve">, Rupert </w:t>
      </w:r>
      <w:proofErr w:type="spellStart"/>
      <w:r w:rsidRPr="00EF78A1">
        <w:rPr>
          <w:lang w:val="en-US"/>
        </w:rPr>
        <w:t>Behn</w:t>
      </w:r>
      <w:proofErr w:type="spellEnd"/>
      <w:r w:rsidRPr="00EF78A1">
        <w:rPr>
          <w:lang w:val="en-US"/>
        </w:rPr>
        <w:t>,</w:t>
      </w:r>
    </w:p>
    <w:p w:rsidR="00D344FA" w:rsidRPr="00EF78A1" w:rsidRDefault="00D344FA" w:rsidP="00D344FA">
      <w:pPr>
        <w:pStyle w:val="SCCLsocParty"/>
        <w:jc w:val="center"/>
        <w:rPr>
          <w:lang w:val="en-US"/>
        </w:rPr>
      </w:pPr>
      <w:proofErr w:type="spellStart"/>
      <w:r w:rsidRPr="00EF78A1">
        <w:rPr>
          <w:lang w:val="en-US"/>
        </w:rPr>
        <w:t>Lovey</w:t>
      </w:r>
      <w:proofErr w:type="spellEnd"/>
      <w:r w:rsidRPr="00EF78A1">
        <w:rPr>
          <w:lang w:val="en-US"/>
        </w:rPr>
        <w:t xml:space="preserve"> </w:t>
      </w:r>
      <w:proofErr w:type="spellStart"/>
      <w:r w:rsidRPr="00EF78A1">
        <w:rPr>
          <w:lang w:val="en-US"/>
        </w:rPr>
        <w:t>Behn</w:t>
      </w:r>
      <w:proofErr w:type="spellEnd"/>
      <w:r w:rsidRPr="00EF78A1">
        <w:rPr>
          <w:lang w:val="en-US"/>
        </w:rPr>
        <w:t xml:space="preserve">, Mary </w:t>
      </w:r>
      <w:proofErr w:type="spellStart"/>
      <w:r w:rsidRPr="00EF78A1">
        <w:rPr>
          <w:lang w:val="en-US"/>
        </w:rPr>
        <w:t>Behn</w:t>
      </w:r>
      <w:proofErr w:type="spellEnd"/>
      <w:r w:rsidRPr="00EF78A1">
        <w:rPr>
          <w:lang w:val="en-US"/>
        </w:rPr>
        <w:t xml:space="preserve">, George </w:t>
      </w:r>
      <w:proofErr w:type="spellStart"/>
      <w:r w:rsidRPr="00EF78A1">
        <w:rPr>
          <w:lang w:val="en-US"/>
        </w:rPr>
        <w:t>Behn</w:t>
      </w:r>
      <w:proofErr w:type="spellEnd"/>
    </w:p>
    <w:p w:rsidR="00D344FA" w:rsidRPr="00D344FA" w:rsidRDefault="00D344FA" w:rsidP="00D344FA">
      <w:pPr>
        <w:jc w:val="center"/>
        <w:rPr>
          <w:lang w:val="fr-CA"/>
        </w:rPr>
      </w:pPr>
      <w:r w:rsidRPr="00D344FA">
        <w:rPr>
          <w:lang w:val="fr-CA"/>
        </w:rPr>
        <w:t>Appelants</w:t>
      </w:r>
    </w:p>
    <w:p w:rsidR="00D344FA" w:rsidRPr="00D344FA" w:rsidRDefault="00D344FA" w:rsidP="00D344FA">
      <w:pPr>
        <w:pStyle w:val="SCCLsocVersus"/>
        <w:jc w:val="center"/>
        <w:rPr>
          <w:lang w:val="fr-CA"/>
        </w:rPr>
      </w:pPr>
      <w:proofErr w:type="gramStart"/>
      <w:r w:rsidRPr="00D344FA">
        <w:rPr>
          <w:lang w:val="fr-CA"/>
        </w:rPr>
        <w:t>et</w:t>
      </w:r>
      <w:proofErr w:type="gramEnd"/>
    </w:p>
    <w:p w:rsidR="00D344FA" w:rsidRPr="00D344FA" w:rsidRDefault="00D344FA" w:rsidP="00D344FA">
      <w:pPr>
        <w:pStyle w:val="SCCLsocParty"/>
        <w:jc w:val="center"/>
        <w:rPr>
          <w:lang w:val="fr-CA"/>
        </w:rPr>
      </w:pPr>
      <w:proofErr w:type="spellStart"/>
      <w:r w:rsidRPr="00D344FA">
        <w:rPr>
          <w:lang w:val="fr-CA"/>
        </w:rPr>
        <w:t>Moulton</w:t>
      </w:r>
      <w:proofErr w:type="spellEnd"/>
      <w:r w:rsidRPr="00D344FA">
        <w:rPr>
          <w:lang w:val="fr-CA"/>
        </w:rPr>
        <w:t xml:space="preserve"> </w:t>
      </w:r>
      <w:proofErr w:type="spellStart"/>
      <w:r w:rsidRPr="00D344FA">
        <w:rPr>
          <w:lang w:val="fr-CA"/>
        </w:rPr>
        <w:t>Contracting</w:t>
      </w:r>
      <w:proofErr w:type="spellEnd"/>
      <w:r w:rsidRPr="00D344FA">
        <w:rPr>
          <w:lang w:val="fr-CA"/>
        </w:rPr>
        <w:t xml:space="preserve"> Ltd. et Sa Majesté la Reine du chef de la province</w:t>
      </w:r>
    </w:p>
    <w:p w:rsidR="00D344FA" w:rsidRPr="00D344FA" w:rsidRDefault="00D344FA" w:rsidP="00D344FA">
      <w:pPr>
        <w:pStyle w:val="SCCLsocParty"/>
        <w:jc w:val="center"/>
        <w:rPr>
          <w:lang w:val="fr-CA"/>
        </w:rPr>
      </w:pPr>
      <w:proofErr w:type="gramStart"/>
      <w:r w:rsidRPr="00D344FA">
        <w:rPr>
          <w:lang w:val="fr-CA"/>
        </w:rPr>
        <w:t>de</w:t>
      </w:r>
      <w:proofErr w:type="gramEnd"/>
      <w:r w:rsidRPr="00D344FA">
        <w:rPr>
          <w:lang w:val="fr-CA"/>
        </w:rPr>
        <w:t xml:space="preserve"> la Colombie-Britannique</w:t>
      </w:r>
    </w:p>
    <w:p w:rsidR="00D344FA" w:rsidRPr="00D344FA" w:rsidRDefault="00D344FA" w:rsidP="00D344FA">
      <w:pPr>
        <w:jc w:val="center"/>
        <w:rPr>
          <w:lang w:val="fr-CA"/>
        </w:rPr>
      </w:pPr>
      <w:r w:rsidRPr="00D344FA">
        <w:rPr>
          <w:lang w:val="fr-CA"/>
        </w:rPr>
        <w:t>Intimées</w:t>
      </w:r>
    </w:p>
    <w:p w:rsidR="00D344FA" w:rsidRPr="00D344FA" w:rsidRDefault="00D344FA" w:rsidP="00D344FA">
      <w:pPr>
        <w:pStyle w:val="SCCLsocOtherPartySeparator"/>
        <w:jc w:val="center"/>
        <w:rPr>
          <w:lang w:val="fr-CA"/>
        </w:rPr>
      </w:pPr>
      <w:r w:rsidRPr="00D344FA">
        <w:rPr>
          <w:lang w:val="fr-CA"/>
        </w:rPr>
        <w:t>- et -</w:t>
      </w:r>
    </w:p>
    <w:p w:rsidR="00D344FA" w:rsidRPr="00D344FA" w:rsidRDefault="00D344FA" w:rsidP="00D344FA">
      <w:pPr>
        <w:pStyle w:val="SCCLsocParty"/>
        <w:jc w:val="center"/>
        <w:rPr>
          <w:lang w:val="fr-CA"/>
        </w:rPr>
      </w:pPr>
      <w:r w:rsidRPr="00D344FA">
        <w:rPr>
          <w:lang w:val="fr-CA"/>
        </w:rPr>
        <w:t>Procureur général du Canada, Chef Liz Logan, en son nom et au nom de tous</w:t>
      </w:r>
    </w:p>
    <w:p w:rsidR="00D344FA" w:rsidRPr="00D344FA" w:rsidRDefault="00D344FA" w:rsidP="00D344FA">
      <w:pPr>
        <w:pStyle w:val="SCCLsocParty"/>
        <w:jc w:val="center"/>
        <w:rPr>
          <w:lang w:val="fr-CA"/>
        </w:rPr>
      </w:pPr>
      <w:proofErr w:type="gramStart"/>
      <w:r w:rsidRPr="00D344FA">
        <w:rPr>
          <w:lang w:val="fr-CA"/>
        </w:rPr>
        <w:t>les</w:t>
      </w:r>
      <w:proofErr w:type="gramEnd"/>
      <w:r w:rsidRPr="00D344FA">
        <w:rPr>
          <w:lang w:val="fr-CA"/>
        </w:rPr>
        <w:t xml:space="preserve"> autres membres de la Première Nation de Fort Nelson et ladite</w:t>
      </w:r>
    </w:p>
    <w:p w:rsidR="00D344FA" w:rsidRPr="00D344FA" w:rsidRDefault="00D344FA" w:rsidP="00D344FA">
      <w:pPr>
        <w:pStyle w:val="SCCLsocParty"/>
        <w:jc w:val="center"/>
        <w:rPr>
          <w:lang w:val="fr-CA"/>
        </w:rPr>
      </w:pPr>
      <w:r w:rsidRPr="00D344FA">
        <w:rPr>
          <w:lang w:val="fr-CA"/>
        </w:rPr>
        <w:t>Première Nation de Fort Nelson, Grand Conseil des Cris (</w:t>
      </w:r>
      <w:proofErr w:type="spellStart"/>
      <w:r w:rsidRPr="00D344FA">
        <w:rPr>
          <w:lang w:val="fr-CA"/>
        </w:rPr>
        <w:t>Eeyou</w:t>
      </w:r>
      <w:proofErr w:type="spellEnd"/>
      <w:r w:rsidRPr="00D344FA">
        <w:rPr>
          <w:lang w:val="fr-CA"/>
        </w:rPr>
        <w:t xml:space="preserve"> </w:t>
      </w:r>
      <w:proofErr w:type="spellStart"/>
      <w:r w:rsidRPr="00D344FA">
        <w:rPr>
          <w:lang w:val="fr-CA"/>
        </w:rPr>
        <w:t>Istchee</w:t>
      </w:r>
      <w:proofErr w:type="spellEnd"/>
      <w:r w:rsidRPr="00D344FA">
        <w:rPr>
          <w:lang w:val="fr-CA"/>
        </w:rPr>
        <w:t>)/</w:t>
      </w:r>
    </w:p>
    <w:p w:rsidR="00D344FA" w:rsidRPr="00D344FA" w:rsidRDefault="00D344FA" w:rsidP="00D344FA">
      <w:pPr>
        <w:pStyle w:val="SCCLsocParty"/>
        <w:jc w:val="center"/>
        <w:rPr>
          <w:lang w:val="fr-CA"/>
        </w:rPr>
      </w:pPr>
      <w:r w:rsidRPr="00D344FA">
        <w:rPr>
          <w:lang w:val="fr-CA"/>
        </w:rPr>
        <w:t xml:space="preserve">Administration régionale crie, Chef Sally Sam, Société </w:t>
      </w:r>
      <w:proofErr w:type="spellStart"/>
      <w:r w:rsidRPr="00D344FA">
        <w:rPr>
          <w:lang w:val="fr-CA"/>
        </w:rPr>
        <w:t>Maiyoo</w:t>
      </w:r>
      <w:proofErr w:type="spellEnd"/>
      <w:r w:rsidRPr="00D344FA">
        <w:rPr>
          <w:lang w:val="fr-CA"/>
        </w:rPr>
        <w:t xml:space="preserve"> </w:t>
      </w:r>
      <w:proofErr w:type="spellStart"/>
      <w:r w:rsidRPr="00D344FA">
        <w:rPr>
          <w:lang w:val="fr-CA"/>
        </w:rPr>
        <w:t>Keyoh</w:t>
      </w:r>
      <w:proofErr w:type="spellEnd"/>
      <w:r w:rsidRPr="00D344FA">
        <w:rPr>
          <w:lang w:val="fr-CA"/>
        </w:rPr>
        <w:t>,</w:t>
      </w:r>
    </w:p>
    <w:p w:rsidR="00D344FA" w:rsidRPr="00D344FA" w:rsidRDefault="00D344FA" w:rsidP="00D344FA">
      <w:pPr>
        <w:pStyle w:val="SCCLsocParty"/>
        <w:jc w:val="center"/>
        <w:rPr>
          <w:lang w:val="fr-CA"/>
        </w:rPr>
      </w:pPr>
      <w:r w:rsidRPr="00D344FA">
        <w:rPr>
          <w:lang w:val="fr-CA"/>
        </w:rPr>
        <w:t>Council of Forest Industries,</w:t>
      </w:r>
    </w:p>
    <w:p w:rsidR="00D344FA" w:rsidRPr="00D344FA" w:rsidRDefault="00D344FA" w:rsidP="00D344FA">
      <w:pPr>
        <w:pStyle w:val="SCCLsocParty"/>
        <w:jc w:val="center"/>
        <w:rPr>
          <w:lang w:val="fr-CA"/>
        </w:rPr>
      </w:pPr>
      <w:r w:rsidRPr="00D344FA">
        <w:rPr>
          <w:lang w:val="fr-CA"/>
        </w:rPr>
        <w:t xml:space="preserve">Alberta Forest </w:t>
      </w:r>
      <w:proofErr w:type="spellStart"/>
      <w:r w:rsidRPr="00D344FA">
        <w:rPr>
          <w:lang w:val="fr-CA"/>
        </w:rPr>
        <w:t>Products</w:t>
      </w:r>
      <w:proofErr w:type="spellEnd"/>
      <w:r w:rsidRPr="00D344FA">
        <w:rPr>
          <w:lang w:val="fr-CA"/>
        </w:rPr>
        <w:t xml:space="preserve"> Association et Première Nation Moose Cree</w:t>
      </w:r>
    </w:p>
    <w:p w:rsidR="00D344FA" w:rsidRPr="00D344FA" w:rsidRDefault="00D344FA" w:rsidP="00D344FA">
      <w:pPr>
        <w:jc w:val="center"/>
        <w:rPr>
          <w:lang w:val="fr-CA"/>
        </w:rPr>
      </w:pPr>
      <w:r w:rsidRPr="00D344FA">
        <w:rPr>
          <w:lang w:val="fr-CA"/>
        </w:rPr>
        <w:t>Intervenants</w:t>
      </w:r>
    </w:p>
    <w:p w:rsidR="00D344FA" w:rsidRPr="00D344FA" w:rsidRDefault="00D344FA" w:rsidP="00D344FA">
      <w:pPr>
        <w:rPr>
          <w:lang w:val="fr-CA"/>
        </w:rPr>
      </w:pPr>
    </w:p>
    <w:p w:rsidR="00D344FA" w:rsidRPr="00D344FA" w:rsidRDefault="00D344FA" w:rsidP="00D344FA">
      <w:pPr>
        <w:jc w:val="center"/>
        <w:rPr>
          <w:b/>
          <w:smallCaps/>
          <w:lang w:val="fr-CA"/>
        </w:rPr>
      </w:pPr>
      <w:r w:rsidRPr="00D344FA">
        <w:rPr>
          <w:b/>
          <w:smallCaps/>
          <w:lang w:val="fr-CA"/>
        </w:rPr>
        <w:t>Traduction française officielle</w:t>
      </w:r>
    </w:p>
    <w:p w:rsidR="00D344FA" w:rsidRPr="00D344FA" w:rsidRDefault="00D344FA" w:rsidP="00D344FA">
      <w:pPr>
        <w:rPr>
          <w:lang w:val="fr-CA"/>
        </w:rPr>
      </w:pPr>
    </w:p>
    <w:p w:rsidR="00D344FA" w:rsidRPr="00D344FA" w:rsidRDefault="00D344FA" w:rsidP="00D344FA">
      <w:pPr>
        <w:rPr>
          <w:lang w:val="fr-CA"/>
        </w:rPr>
      </w:pPr>
      <w:r w:rsidRPr="00D344FA">
        <w:rPr>
          <w:b/>
          <w:smallCaps/>
          <w:lang w:val="fr-CA"/>
        </w:rPr>
        <w:t>Coram :</w:t>
      </w:r>
      <w:r w:rsidRPr="00D344FA">
        <w:rPr>
          <w:lang w:val="fr-CA"/>
        </w:rPr>
        <w:t xml:space="preserve"> La juge en chef McLachlin et les juges </w:t>
      </w:r>
      <w:proofErr w:type="spellStart"/>
      <w:r w:rsidRPr="00D344FA">
        <w:rPr>
          <w:lang w:val="fr-CA"/>
        </w:rPr>
        <w:t>LeBel</w:t>
      </w:r>
      <w:proofErr w:type="spellEnd"/>
      <w:r w:rsidRPr="00D344FA">
        <w:rPr>
          <w:lang w:val="fr-CA"/>
        </w:rPr>
        <w:t xml:space="preserve">, Fish, Abella, </w:t>
      </w:r>
      <w:proofErr w:type="spellStart"/>
      <w:r w:rsidRPr="00D344FA">
        <w:rPr>
          <w:lang w:val="fr-CA"/>
        </w:rPr>
        <w:t>Rothstein</w:t>
      </w:r>
      <w:proofErr w:type="spellEnd"/>
      <w:r w:rsidRPr="00D344FA">
        <w:rPr>
          <w:lang w:val="fr-CA"/>
        </w:rPr>
        <w:t xml:space="preserve">, Cromwell, </w:t>
      </w:r>
      <w:proofErr w:type="spellStart"/>
      <w:r w:rsidRPr="00D344FA">
        <w:rPr>
          <w:lang w:val="fr-CA"/>
        </w:rPr>
        <w:t>Moldaver</w:t>
      </w:r>
      <w:proofErr w:type="spellEnd"/>
      <w:r w:rsidRPr="00D344FA">
        <w:rPr>
          <w:lang w:val="fr-CA"/>
        </w:rPr>
        <w:t xml:space="preserve">, </w:t>
      </w:r>
      <w:proofErr w:type="spellStart"/>
      <w:r w:rsidRPr="00D344FA">
        <w:rPr>
          <w:lang w:val="fr-CA"/>
        </w:rPr>
        <w:t>Karakatsanis</w:t>
      </w:r>
      <w:proofErr w:type="spellEnd"/>
      <w:r w:rsidRPr="00D344FA">
        <w:rPr>
          <w:lang w:val="fr-CA"/>
        </w:rPr>
        <w:t xml:space="preserve"> et Wagner</w:t>
      </w:r>
    </w:p>
    <w:p w:rsidR="00D344FA" w:rsidRPr="00D344FA" w:rsidRDefault="00D344FA" w:rsidP="00D344F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344FA" w:rsidRPr="008065E3" w:rsidTr="000F4F53">
        <w:trPr>
          <w:cantSplit/>
        </w:trPr>
        <w:tc>
          <w:tcPr>
            <w:tcW w:w="3618" w:type="dxa"/>
          </w:tcPr>
          <w:p w:rsidR="00D344FA" w:rsidRDefault="00D344FA" w:rsidP="000F4F53">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D344FA" w:rsidRPr="001E12E2" w:rsidRDefault="00D344FA" w:rsidP="000F4F53">
            <w:r>
              <w:t xml:space="preserve">(par. 1 à </w:t>
            </w:r>
            <w:r w:rsidRPr="00F41E17">
              <w:t>43</w:t>
            </w:r>
            <w:r>
              <w:t>)</w:t>
            </w:r>
          </w:p>
        </w:tc>
        <w:tc>
          <w:tcPr>
            <w:tcW w:w="5958" w:type="dxa"/>
          </w:tcPr>
          <w:p w:rsidR="00D344FA" w:rsidRPr="001E12E2" w:rsidRDefault="00D344FA" w:rsidP="000F4F53">
            <w:r>
              <w:t xml:space="preserve">Le juge </w:t>
            </w:r>
            <w:proofErr w:type="spellStart"/>
            <w:r>
              <w:t>LeBel</w:t>
            </w:r>
            <w:proofErr w:type="spellEnd"/>
            <w:r>
              <w:t xml:space="preserve"> (avec l’accord de la juge en chef McLachlin et des juges Fish, Abella, </w:t>
            </w:r>
            <w:proofErr w:type="spellStart"/>
            <w:r>
              <w:t>Rothstein</w:t>
            </w:r>
            <w:proofErr w:type="spellEnd"/>
            <w:r>
              <w:t xml:space="preserve">, Cromwell, </w:t>
            </w:r>
            <w:proofErr w:type="spellStart"/>
            <w:r>
              <w:t>Moldaver</w:t>
            </w:r>
            <w:proofErr w:type="spellEnd"/>
            <w:r>
              <w:t xml:space="preserve">, </w:t>
            </w:r>
            <w:proofErr w:type="spellStart"/>
            <w:r>
              <w:t>Karakatsanis</w:t>
            </w:r>
            <w:proofErr w:type="spellEnd"/>
            <w:r>
              <w:t xml:space="preserve"> et Wagner)</w:t>
            </w:r>
          </w:p>
        </w:tc>
      </w:tr>
    </w:tbl>
    <w:p w:rsidR="00D344FA" w:rsidRPr="00D344FA" w:rsidRDefault="00D344FA" w:rsidP="00D344FA">
      <w:pPr>
        <w:rPr>
          <w:lang w:val="fr-CA"/>
        </w:rPr>
      </w:pPr>
    </w:p>
    <w:p w:rsidR="00D344FA" w:rsidRPr="00D344FA" w:rsidRDefault="00D344FA" w:rsidP="00D344FA">
      <w:pPr>
        <w:rPr>
          <w:lang w:val="fr-CA"/>
        </w:rPr>
      </w:pPr>
    </w:p>
    <w:p w:rsidR="00D344FA" w:rsidRPr="00D344FA" w:rsidRDefault="00936DA5" w:rsidP="00D344FA">
      <w:pPr>
        <w:rPr>
          <w:lang w:val="fr-CA"/>
        </w:rPr>
      </w:pPr>
      <w:r w:rsidRPr="00936DA5">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344FA" w:rsidRPr="00D344FA" w:rsidRDefault="00D344FA">
      <w:pPr>
        <w:rPr>
          <w:lang w:val="fr-CA"/>
        </w:rPr>
      </w:pPr>
      <w:r w:rsidRPr="00D344FA">
        <w:rPr>
          <w:lang w:val="fr-CA"/>
        </w:rPr>
        <w:br w:type="page"/>
      </w:r>
    </w:p>
    <w:p w:rsidR="004D7D95" w:rsidRPr="00AA6F07" w:rsidRDefault="00FC03A5" w:rsidP="00043E6D">
      <w:pPr>
        <w:spacing w:after="720"/>
        <w:jc w:val="both"/>
        <w:rPr>
          <w:lang w:val="en-US"/>
        </w:rPr>
      </w:pPr>
      <w:proofErr w:type="spellStart"/>
      <w:r w:rsidRPr="00FC03A5">
        <w:rPr>
          <w:lang w:val="en-US"/>
        </w:rPr>
        <w:lastRenderedPageBreak/>
        <w:t>Behn</w:t>
      </w:r>
      <w:proofErr w:type="spellEnd"/>
      <w:r w:rsidRPr="00FC03A5">
        <w:rPr>
          <w:lang w:val="en-US"/>
        </w:rPr>
        <w:t xml:space="preserve"> </w:t>
      </w:r>
      <w:r w:rsidRPr="00FC03A5">
        <w:rPr>
          <w:i/>
          <w:lang w:val="en-US"/>
        </w:rPr>
        <w:t>c.</w:t>
      </w:r>
      <w:r w:rsidRPr="00FC03A5">
        <w:rPr>
          <w:lang w:val="en-US"/>
        </w:rPr>
        <w:t xml:space="preserve"> Moulton Contracting Ltd.</w:t>
      </w:r>
      <w:r>
        <w:rPr>
          <w:lang w:val="en-US"/>
        </w:rPr>
        <w:t>, 2013 CSC 26, [2013] 2 R.C.S. 227</w:t>
      </w:r>
    </w:p>
    <w:p w:rsidR="00A20ABC" w:rsidRPr="00AA6F07" w:rsidRDefault="00951FA5" w:rsidP="00951FA5">
      <w:pPr>
        <w:pStyle w:val="SCCLsocParty"/>
      </w:pPr>
      <w:r w:rsidRPr="00AA6F07">
        <w:t xml:space="preserve">Sally </w:t>
      </w:r>
      <w:proofErr w:type="spellStart"/>
      <w:r w:rsidRPr="00AA6F07">
        <w:t>Behn</w:t>
      </w:r>
      <w:proofErr w:type="spellEnd"/>
      <w:r w:rsidRPr="00AA6F07">
        <w:t xml:space="preserve">, Susan </w:t>
      </w:r>
      <w:proofErr w:type="spellStart"/>
      <w:r w:rsidRPr="00AA6F07">
        <w:t>Behn</w:t>
      </w:r>
      <w:proofErr w:type="spellEnd"/>
      <w:r w:rsidRPr="00AA6F07">
        <w:t xml:space="preserve">, Richard </w:t>
      </w:r>
      <w:proofErr w:type="spellStart"/>
      <w:r w:rsidRPr="00AA6F07">
        <w:t>Behn</w:t>
      </w:r>
      <w:proofErr w:type="spellEnd"/>
      <w:r w:rsidRPr="00AA6F07">
        <w:t xml:space="preserve">, Greg </w:t>
      </w:r>
      <w:proofErr w:type="spellStart"/>
      <w:r w:rsidRPr="00AA6F07">
        <w:t>Behn</w:t>
      </w:r>
      <w:proofErr w:type="spellEnd"/>
      <w:r w:rsidRPr="00AA6F07">
        <w:t xml:space="preserve">, </w:t>
      </w:r>
    </w:p>
    <w:p w:rsidR="00A20ABC" w:rsidRPr="00AA6F07" w:rsidRDefault="00951FA5" w:rsidP="00043E6D">
      <w:pPr>
        <w:pStyle w:val="SCCLsocParty"/>
        <w:spacing w:after="720"/>
        <w:rPr>
          <w:rStyle w:val="SCCLsocPartyRole"/>
        </w:rPr>
      </w:pPr>
      <w:r w:rsidRPr="00AA6F07">
        <w:t xml:space="preserve">Rupert </w:t>
      </w:r>
      <w:proofErr w:type="spellStart"/>
      <w:r w:rsidRPr="00AA6F07">
        <w:t>Behn</w:t>
      </w:r>
      <w:proofErr w:type="spellEnd"/>
      <w:r w:rsidRPr="00AA6F07">
        <w:t xml:space="preserve">, </w:t>
      </w:r>
      <w:proofErr w:type="spellStart"/>
      <w:r w:rsidRPr="00AA6F07">
        <w:t>Lovey</w:t>
      </w:r>
      <w:proofErr w:type="spellEnd"/>
      <w:r w:rsidRPr="00AA6F07">
        <w:t xml:space="preserve"> </w:t>
      </w:r>
      <w:proofErr w:type="spellStart"/>
      <w:r w:rsidRPr="00AA6F07">
        <w:t>Behn</w:t>
      </w:r>
      <w:proofErr w:type="spellEnd"/>
      <w:r w:rsidRPr="00AA6F07">
        <w:t xml:space="preserve">, Mary </w:t>
      </w:r>
      <w:proofErr w:type="spellStart"/>
      <w:r w:rsidRPr="00AA6F07">
        <w:t>Behn</w:t>
      </w:r>
      <w:proofErr w:type="spellEnd"/>
      <w:r w:rsidRPr="00AA6F07">
        <w:t xml:space="preserve"> </w:t>
      </w:r>
      <w:proofErr w:type="gramStart"/>
      <w:r w:rsidRPr="00AA6F07">
        <w:t>et</w:t>
      </w:r>
      <w:proofErr w:type="gramEnd"/>
      <w:r w:rsidRPr="00AA6F07">
        <w:t xml:space="preserve"> George </w:t>
      </w:r>
      <w:proofErr w:type="spellStart"/>
      <w:r w:rsidRPr="00AA6F07">
        <w:t>Behn</w:t>
      </w:r>
      <w:proofErr w:type="spellEnd"/>
      <w:r w:rsidRPr="00AA6F07">
        <w:rPr>
          <w:rStyle w:val="SCCLsocPartyRole"/>
        </w:rPr>
        <w:tab/>
      </w:r>
      <w:proofErr w:type="spellStart"/>
      <w:r w:rsidRPr="00AA6F07">
        <w:rPr>
          <w:rStyle w:val="SCCLsocPartyRole"/>
        </w:rPr>
        <w:t>Appelants</w:t>
      </w:r>
      <w:proofErr w:type="spellEnd"/>
    </w:p>
    <w:p w:rsidR="00A20ABC" w:rsidRPr="00AA6F07" w:rsidRDefault="00951FA5" w:rsidP="00043E6D">
      <w:pPr>
        <w:pStyle w:val="SCCLsocVersus"/>
        <w:rPr>
          <w:lang w:val="fr-CA"/>
        </w:rPr>
      </w:pPr>
      <w:proofErr w:type="gramStart"/>
      <w:r w:rsidRPr="00AA6F07">
        <w:rPr>
          <w:lang w:val="fr-CA"/>
        </w:rPr>
        <w:t>c</w:t>
      </w:r>
      <w:proofErr w:type="gramEnd"/>
      <w:r w:rsidRPr="00AA6F07">
        <w:rPr>
          <w:lang w:val="fr-CA"/>
        </w:rPr>
        <w:t>.</w:t>
      </w:r>
    </w:p>
    <w:p w:rsidR="00951FA5" w:rsidRPr="00AA6F07" w:rsidRDefault="00951FA5" w:rsidP="00951FA5">
      <w:pPr>
        <w:pStyle w:val="SCCLsocParty"/>
        <w:rPr>
          <w:lang w:val="fr-CA"/>
        </w:rPr>
      </w:pPr>
      <w:proofErr w:type="spellStart"/>
      <w:r w:rsidRPr="00AA6F07">
        <w:rPr>
          <w:lang w:val="fr-CA"/>
        </w:rPr>
        <w:t>Moulton</w:t>
      </w:r>
      <w:proofErr w:type="spellEnd"/>
      <w:r w:rsidRPr="00AA6F07">
        <w:rPr>
          <w:lang w:val="fr-CA"/>
        </w:rPr>
        <w:t xml:space="preserve"> </w:t>
      </w:r>
      <w:proofErr w:type="spellStart"/>
      <w:r w:rsidRPr="00AA6F07">
        <w:rPr>
          <w:lang w:val="fr-CA"/>
        </w:rPr>
        <w:t>Contracting</w:t>
      </w:r>
      <w:proofErr w:type="spellEnd"/>
      <w:r w:rsidRPr="00AA6F07">
        <w:rPr>
          <w:lang w:val="fr-CA"/>
        </w:rPr>
        <w:t xml:space="preserve"> Ltd. et Sa Majesté la Reine du chef </w:t>
      </w:r>
    </w:p>
    <w:p w:rsidR="00A20ABC" w:rsidRPr="00AA6F07" w:rsidRDefault="00951FA5" w:rsidP="00043E6D">
      <w:pPr>
        <w:pStyle w:val="SCCLsocParty"/>
        <w:spacing w:after="720"/>
        <w:rPr>
          <w:lang w:val="fr-CA"/>
        </w:rPr>
      </w:pPr>
      <w:proofErr w:type="gramStart"/>
      <w:r w:rsidRPr="00AA6F07">
        <w:rPr>
          <w:lang w:val="fr-CA"/>
        </w:rPr>
        <w:t>de</w:t>
      </w:r>
      <w:proofErr w:type="gramEnd"/>
      <w:r w:rsidRPr="00AA6F07">
        <w:rPr>
          <w:lang w:val="fr-CA"/>
        </w:rPr>
        <w:t xml:space="preserve"> la province de la </w:t>
      </w:r>
      <w:proofErr w:type="spellStart"/>
      <w:r w:rsidRPr="00AA6F07">
        <w:rPr>
          <w:lang w:val="fr-CA"/>
        </w:rPr>
        <w:t>Colombie</w:t>
      </w:r>
      <w:r w:rsidR="0042748F" w:rsidRPr="00AA6F07">
        <w:rPr>
          <w:lang w:val="fr-CA"/>
        </w:rPr>
        <w:noBreakHyphen/>
      </w:r>
      <w:r w:rsidRPr="00AA6F07">
        <w:rPr>
          <w:lang w:val="fr-CA"/>
        </w:rPr>
        <w:t>Britannique</w:t>
      </w:r>
      <w:proofErr w:type="spellEnd"/>
      <w:r w:rsidRPr="00AA6F07">
        <w:rPr>
          <w:rStyle w:val="SCCLsocPartyRole"/>
          <w:lang w:val="fr-CA"/>
        </w:rPr>
        <w:tab/>
        <w:t>Intimées</w:t>
      </w:r>
    </w:p>
    <w:p w:rsidR="00A20ABC" w:rsidRPr="00AA6F07" w:rsidRDefault="00951FA5" w:rsidP="00043E6D">
      <w:pPr>
        <w:pStyle w:val="SCCLsocOtherPartySeparator"/>
        <w:rPr>
          <w:lang w:val="fr-CA"/>
        </w:rPr>
      </w:pPr>
      <w:proofErr w:type="gramStart"/>
      <w:r w:rsidRPr="00AA6F07">
        <w:rPr>
          <w:lang w:val="fr-CA"/>
        </w:rPr>
        <w:t>et</w:t>
      </w:r>
      <w:proofErr w:type="gramEnd"/>
    </w:p>
    <w:p w:rsidR="0022534B" w:rsidRPr="00AA6F07" w:rsidRDefault="00951FA5" w:rsidP="00951FA5">
      <w:pPr>
        <w:pStyle w:val="SCCLsocParty"/>
        <w:rPr>
          <w:lang w:val="fr-CA"/>
        </w:rPr>
      </w:pPr>
      <w:r w:rsidRPr="00AA6F07">
        <w:rPr>
          <w:lang w:val="fr-CA"/>
        </w:rPr>
        <w:t xml:space="preserve">Procureur général du Canada, Chef Liz Logan, en son nom </w:t>
      </w:r>
      <w:r w:rsidR="0022534B" w:rsidRPr="00AA6F07">
        <w:rPr>
          <w:lang w:val="fr-CA"/>
        </w:rPr>
        <w:t xml:space="preserve">et </w:t>
      </w:r>
    </w:p>
    <w:p w:rsidR="0022534B" w:rsidRPr="00AA6F07" w:rsidRDefault="00D531F4" w:rsidP="00951FA5">
      <w:pPr>
        <w:pStyle w:val="SCCLsocParty"/>
        <w:rPr>
          <w:lang w:val="fr-CA"/>
        </w:rPr>
      </w:pPr>
      <w:proofErr w:type="gramStart"/>
      <w:r w:rsidRPr="00AA6F07">
        <w:rPr>
          <w:lang w:val="fr-CA"/>
        </w:rPr>
        <w:t>a</w:t>
      </w:r>
      <w:r w:rsidR="009D115A" w:rsidRPr="00AA6F07">
        <w:rPr>
          <w:lang w:val="fr-CA"/>
        </w:rPr>
        <w:t>u</w:t>
      </w:r>
      <w:proofErr w:type="gramEnd"/>
      <w:r w:rsidR="009D115A" w:rsidRPr="00AA6F07">
        <w:rPr>
          <w:lang w:val="fr-CA"/>
        </w:rPr>
        <w:t xml:space="preserve"> nom </w:t>
      </w:r>
      <w:r w:rsidR="00951FA5" w:rsidRPr="00AA6F07">
        <w:rPr>
          <w:lang w:val="fr-CA"/>
        </w:rPr>
        <w:t xml:space="preserve">de tous les autres membres de la </w:t>
      </w:r>
      <w:r w:rsidR="0022534B" w:rsidRPr="00AA6F07">
        <w:rPr>
          <w:lang w:val="fr-CA"/>
        </w:rPr>
        <w:t xml:space="preserve">Première </w:t>
      </w:r>
      <w:r w:rsidR="009D115A" w:rsidRPr="00AA6F07">
        <w:rPr>
          <w:lang w:val="fr-CA"/>
        </w:rPr>
        <w:t>Nation</w:t>
      </w:r>
    </w:p>
    <w:p w:rsidR="0022534B" w:rsidRPr="00AA6F07" w:rsidRDefault="0022534B" w:rsidP="00951FA5">
      <w:pPr>
        <w:pStyle w:val="SCCLsocParty"/>
        <w:rPr>
          <w:lang w:val="fr-CA"/>
        </w:rPr>
      </w:pPr>
      <w:proofErr w:type="gramStart"/>
      <w:r w:rsidRPr="00AA6F07">
        <w:rPr>
          <w:lang w:val="fr-CA"/>
        </w:rPr>
        <w:t>de</w:t>
      </w:r>
      <w:proofErr w:type="gramEnd"/>
      <w:r w:rsidRPr="00AA6F07">
        <w:rPr>
          <w:lang w:val="fr-CA"/>
        </w:rPr>
        <w:t xml:space="preserve"> </w:t>
      </w:r>
      <w:r w:rsidR="00951FA5" w:rsidRPr="00AA6F07">
        <w:rPr>
          <w:lang w:val="fr-CA"/>
        </w:rPr>
        <w:t xml:space="preserve">Fort Nelson et ladite </w:t>
      </w:r>
      <w:r w:rsidRPr="00AA6F07">
        <w:rPr>
          <w:lang w:val="fr-CA"/>
        </w:rPr>
        <w:t>Première Nation de Fort Nelson</w:t>
      </w:r>
      <w:r w:rsidR="00951FA5" w:rsidRPr="00AA6F07">
        <w:rPr>
          <w:lang w:val="fr-CA"/>
        </w:rPr>
        <w:t>,</w:t>
      </w:r>
      <w:r w:rsidRPr="00AA6F07">
        <w:rPr>
          <w:lang w:val="fr-CA"/>
        </w:rPr>
        <w:t xml:space="preserve"> </w:t>
      </w:r>
    </w:p>
    <w:p w:rsidR="0022534B" w:rsidRPr="00AA6F07" w:rsidRDefault="00951FA5" w:rsidP="00951FA5">
      <w:pPr>
        <w:pStyle w:val="SCCLsocParty"/>
        <w:rPr>
          <w:lang w:val="fr-CA"/>
        </w:rPr>
      </w:pPr>
      <w:r w:rsidRPr="00AA6F07">
        <w:rPr>
          <w:lang w:val="fr-CA"/>
        </w:rPr>
        <w:t>Grand Co</w:t>
      </w:r>
      <w:r w:rsidR="0022534B" w:rsidRPr="00AA6F07">
        <w:rPr>
          <w:lang w:val="fr-CA"/>
        </w:rPr>
        <w:t>nseil des Cris</w:t>
      </w:r>
      <w:r w:rsidRPr="00AA6F07">
        <w:rPr>
          <w:lang w:val="fr-CA"/>
        </w:rPr>
        <w:t xml:space="preserve"> (</w:t>
      </w:r>
      <w:proofErr w:type="spellStart"/>
      <w:r w:rsidRPr="00AA6F07">
        <w:rPr>
          <w:lang w:val="fr-CA"/>
        </w:rPr>
        <w:t>Eeyou</w:t>
      </w:r>
      <w:proofErr w:type="spellEnd"/>
      <w:r w:rsidRPr="00AA6F07">
        <w:rPr>
          <w:lang w:val="fr-CA"/>
        </w:rPr>
        <w:t xml:space="preserve"> </w:t>
      </w:r>
      <w:proofErr w:type="spellStart"/>
      <w:r w:rsidRPr="00AA6F07">
        <w:rPr>
          <w:lang w:val="fr-CA"/>
        </w:rPr>
        <w:t>Istchee</w:t>
      </w:r>
      <w:proofErr w:type="spellEnd"/>
      <w:r w:rsidRPr="00AA6F07">
        <w:rPr>
          <w:lang w:val="fr-CA"/>
        </w:rPr>
        <w:t>)/</w:t>
      </w:r>
      <w:r w:rsidR="0022534B" w:rsidRPr="00AA6F07">
        <w:rPr>
          <w:lang w:val="fr-CA"/>
        </w:rPr>
        <w:t xml:space="preserve">Administration régionale </w:t>
      </w:r>
    </w:p>
    <w:p w:rsidR="0022534B" w:rsidRPr="00AA6F07" w:rsidRDefault="0022534B" w:rsidP="0022534B">
      <w:pPr>
        <w:pStyle w:val="SCCLsocParty"/>
        <w:rPr>
          <w:lang w:val="en-US"/>
        </w:rPr>
      </w:pPr>
      <w:proofErr w:type="spellStart"/>
      <w:proofErr w:type="gramStart"/>
      <w:r w:rsidRPr="00AA6F07">
        <w:rPr>
          <w:lang w:val="en-US"/>
        </w:rPr>
        <w:t>crie</w:t>
      </w:r>
      <w:proofErr w:type="spellEnd"/>
      <w:proofErr w:type="gramEnd"/>
      <w:r w:rsidR="00951FA5" w:rsidRPr="00AA6F07">
        <w:rPr>
          <w:lang w:val="en-US"/>
        </w:rPr>
        <w:t>,</w:t>
      </w:r>
      <w:r w:rsidRPr="00AA6F07">
        <w:rPr>
          <w:lang w:val="en-US"/>
        </w:rPr>
        <w:t xml:space="preserve"> </w:t>
      </w:r>
      <w:r w:rsidR="00951FA5" w:rsidRPr="00AA6F07">
        <w:rPr>
          <w:lang w:val="en-US"/>
        </w:rPr>
        <w:t>Chef Sally Sam</w:t>
      </w:r>
      <w:r w:rsidR="00F24730" w:rsidRPr="00AA6F07">
        <w:rPr>
          <w:lang w:val="en-US"/>
        </w:rPr>
        <w:t>,</w:t>
      </w:r>
      <w:r w:rsidR="00951FA5" w:rsidRPr="00AA6F07">
        <w:rPr>
          <w:lang w:val="en-US"/>
        </w:rPr>
        <w:t xml:space="preserve"> </w:t>
      </w:r>
      <w:proofErr w:type="spellStart"/>
      <w:r w:rsidRPr="00AA6F07">
        <w:rPr>
          <w:lang w:val="en-US"/>
        </w:rPr>
        <w:t>Société</w:t>
      </w:r>
      <w:proofErr w:type="spellEnd"/>
      <w:r w:rsidRPr="00AA6F07">
        <w:rPr>
          <w:lang w:val="en-US"/>
        </w:rPr>
        <w:t xml:space="preserve"> </w:t>
      </w:r>
      <w:proofErr w:type="spellStart"/>
      <w:r w:rsidR="00951FA5" w:rsidRPr="00AA6F07">
        <w:rPr>
          <w:lang w:val="en-US"/>
        </w:rPr>
        <w:t>Maiyoo</w:t>
      </w:r>
      <w:proofErr w:type="spellEnd"/>
      <w:r w:rsidR="00951FA5" w:rsidRPr="00AA6F07">
        <w:rPr>
          <w:lang w:val="en-US"/>
        </w:rPr>
        <w:t xml:space="preserve"> </w:t>
      </w:r>
      <w:proofErr w:type="spellStart"/>
      <w:r w:rsidR="00951FA5" w:rsidRPr="00AA6F07">
        <w:rPr>
          <w:lang w:val="en-US"/>
        </w:rPr>
        <w:t>Keyoh</w:t>
      </w:r>
      <w:proofErr w:type="spellEnd"/>
      <w:r w:rsidR="00951FA5" w:rsidRPr="00AA6F07">
        <w:rPr>
          <w:lang w:val="en-US"/>
        </w:rPr>
        <w:t>,</w:t>
      </w:r>
      <w:r w:rsidRPr="00AA6F07">
        <w:rPr>
          <w:lang w:val="en-US"/>
        </w:rPr>
        <w:t xml:space="preserve"> </w:t>
      </w:r>
      <w:r w:rsidR="00951FA5" w:rsidRPr="00AA6F07">
        <w:rPr>
          <w:lang w:val="en-US"/>
        </w:rPr>
        <w:t xml:space="preserve">Council of Forest </w:t>
      </w:r>
    </w:p>
    <w:p w:rsidR="0022534B" w:rsidRPr="00AA6F07" w:rsidRDefault="00951FA5" w:rsidP="0022534B">
      <w:pPr>
        <w:pStyle w:val="SCCLsocParty"/>
        <w:rPr>
          <w:lang w:val="fr-CA"/>
        </w:rPr>
      </w:pPr>
      <w:r w:rsidRPr="00AA6F07">
        <w:rPr>
          <w:lang w:val="fr-CA"/>
        </w:rPr>
        <w:t>Industries</w:t>
      </w:r>
      <w:r w:rsidR="0022534B" w:rsidRPr="00AA6F07">
        <w:rPr>
          <w:lang w:val="fr-CA"/>
        </w:rPr>
        <w:t>,</w:t>
      </w:r>
      <w:r w:rsidRPr="00AA6F07">
        <w:rPr>
          <w:lang w:val="fr-CA"/>
        </w:rPr>
        <w:t xml:space="preserve"> Alberta Forest </w:t>
      </w:r>
      <w:proofErr w:type="spellStart"/>
      <w:r w:rsidRPr="00AA6F07">
        <w:rPr>
          <w:lang w:val="fr-CA"/>
        </w:rPr>
        <w:t>Products</w:t>
      </w:r>
      <w:proofErr w:type="spellEnd"/>
      <w:r w:rsidRPr="00AA6F07">
        <w:rPr>
          <w:lang w:val="fr-CA"/>
        </w:rPr>
        <w:t xml:space="preserve"> Association</w:t>
      </w:r>
      <w:r w:rsidR="0022534B" w:rsidRPr="00AA6F07">
        <w:rPr>
          <w:lang w:val="fr-CA"/>
        </w:rPr>
        <w:t xml:space="preserve"> et Première </w:t>
      </w:r>
    </w:p>
    <w:p w:rsidR="00A20ABC" w:rsidRPr="00AA6F07" w:rsidRDefault="0022534B" w:rsidP="00043E6D">
      <w:pPr>
        <w:pStyle w:val="SCCLsocParty"/>
        <w:spacing w:after="720"/>
        <w:rPr>
          <w:lang w:val="fr-CA"/>
        </w:rPr>
      </w:pPr>
      <w:r w:rsidRPr="00AA6F07">
        <w:rPr>
          <w:lang w:val="fr-CA"/>
        </w:rPr>
        <w:t xml:space="preserve">Nation </w:t>
      </w:r>
      <w:r w:rsidR="00951FA5" w:rsidRPr="00AA6F07">
        <w:rPr>
          <w:lang w:val="fr-CA"/>
        </w:rPr>
        <w:t>Moose Cree</w:t>
      </w:r>
      <w:r w:rsidR="00951FA5" w:rsidRPr="00AA6F07">
        <w:rPr>
          <w:rStyle w:val="SCCLsocPartyRole"/>
          <w:lang w:val="fr-CA"/>
        </w:rPr>
        <w:tab/>
        <w:t>Intervenants</w:t>
      </w:r>
    </w:p>
    <w:p w:rsidR="004D7D95" w:rsidRPr="00AA6F07" w:rsidRDefault="004D7D95" w:rsidP="00043E6D">
      <w:pPr>
        <w:spacing w:after="720"/>
        <w:jc w:val="both"/>
        <w:rPr>
          <w:b/>
          <w:lang w:val="fr-CA"/>
        </w:rPr>
      </w:pPr>
      <w:r w:rsidRPr="00AA6F07">
        <w:rPr>
          <w:b/>
          <w:lang w:val="fr-CA"/>
        </w:rPr>
        <w:t>Répertorié</w:t>
      </w:r>
      <w:r w:rsidR="0042748F" w:rsidRPr="00AA6F07">
        <w:rPr>
          <w:b/>
          <w:lang w:val="fr-CA"/>
        </w:rPr>
        <w:t> :</w:t>
      </w:r>
      <w:r w:rsidRPr="00AA6F07">
        <w:rPr>
          <w:b/>
          <w:lang w:val="fr-CA"/>
        </w:rPr>
        <w:t> </w:t>
      </w:r>
      <w:proofErr w:type="spellStart"/>
      <w:r w:rsidRPr="002776F8">
        <w:rPr>
          <w:b/>
          <w:lang w:val="fr-CA"/>
        </w:rPr>
        <w:t>Behn</w:t>
      </w:r>
      <w:proofErr w:type="spellEnd"/>
      <w:r w:rsidRPr="002776F8">
        <w:rPr>
          <w:b/>
          <w:lang w:val="fr-CA"/>
        </w:rPr>
        <w:t xml:space="preserve"> </w:t>
      </w:r>
      <w:r w:rsidRPr="00AA6F07">
        <w:rPr>
          <w:b/>
          <w:i/>
          <w:lang w:val="fr-CA"/>
        </w:rPr>
        <w:t>c.</w:t>
      </w:r>
      <w:r w:rsidRPr="00AA6F07">
        <w:rPr>
          <w:b/>
          <w:lang w:val="fr-CA"/>
        </w:rPr>
        <w:t xml:space="preserve"> </w:t>
      </w:r>
      <w:proofErr w:type="spellStart"/>
      <w:r w:rsidRPr="002776F8">
        <w:rPr>
          <w:b/>
          <w:lang w:val="fr-CA"/>
        </w:rPr>
        <w:t>Moulton</w:t>
      </w:r>
      <w:proofErr w:type="spellEnd"/>
      <w:r w:rsidRPr="002776F8">
        <w:rPr>
          <w:b/>
          <w:lang w:val="fr-CA"/>
        </w:rPr>
        <w:t xml:space="preserve"> </w:t>
      </w:r>
      <w:proofErr w:type="spellStart"/>
      <w:r w:rsidRPr="002776F8">
        <w:rPr>
          <w:b/>
          <w:lang w:val="fr-CA"/>
        </w:rPr>
        <w:t>Contracting</w:t>
      </w:r>
      <w:proofErr w:type="spellEnd"/>
      <w:r w:rsidRPr="002776F8">
        <w:rPr>
          <w:b/>
          <w:lang w:val="fr-CA"/>
        </w:rPr>
        <w:t xml:space="preserve"> Ltd.</w:t>
      </w:r>
    </w:p>
    <w:p w:rsidR="004D7D95" w:rsidRPr="00AA6F07" w:rsidRDefault="00F62639" w:rsidP="00043E6D">
      <w:pPr>
        <w:pStyle w:val="SCCSystemYear"/>
        <w:spacing w:after="720"/>
        <w:jc w:val="both"/>
        <w:rPr>
          <w:lang w:val="fr-CA"/>
        </w:rPr>
      </w:pPr>
      <w:r w:rsidRPr="00AA6F07">
        <w:rPr>
          <w:lang w:val="fr-CA"/>
        </w:rPr>
        <w:t>2013</w:t>
      </w:r>
      <w:r w:rsidR="004D7D95" w:rsidRPr="00AA6F07">
        <w:rPr>
          <w:lang w:val="fr-CA"/>
        </w:rPr>
        <w:t xml:space="preserve"> CSC </w:t>
      </w:r>
      <w:r w:rsidR="005A4AFD" w:rsidRPr="00AA6F07">
        <w:rPr>
          <w:lang w:val="fr-CA"/>
        </w:rPr>
        <w:t>26</w:t>
      </w:r>
    </w:p>
    <w:p w:rsidR="004D7D95" w:rsidRPr="00AA6F07" w:rsidRDefault="004D7D95" w:rsidP="00043E6D">
      <w:pPr>
        <w:spacing w:after="720"/>
        <w:jc w:val="both"/>
        <w:rPr>
          <w:lang w:val="fr-CA"/>
        </w:rPr>
      </w:pPr>
      <w:r w:rsidRPr="00AA6F07">
        <w:rPr>
          <w:lang w:val="fr-CA"/>
        </w:rPr>
        <w:t>N</w:t>
      </w:r>
      <w:r w:rsidRPr="00AA6F07">
        <w:rPr>
          <w:vertAlign w:val="superscript"/>
          <w:lang w:val="fr-CA"/>
        </w:rPr>
        <w:t>o</w:t>
      </w:r>
      <w:r w:rsidRPr="00AA6F07">
        <w:rPr>
          <w:lang w:val="fr-CA"/>
        </w:rPr>
        <w:t xml:space="preserve"> du greffe</w:t>
      </w:r>
      <w:r w:rsidR="0042748F" w:rsidRPr="00AA6F07">
        <w:rPr>
          <w:lang w:val="fr-CA"/>
        </w:rPr>
        <w:t> :</w:t>
      </w:r>
      <w:r w:rsidRPr="00AA6F07">
        <w:rPr>
          <w:lang w:val="fr-CA"/>
        </w:rPr>
        <w:t> 34404.</w:t>
      </w:r>
    </w:p>
    <w:p w:rsidR="004D7D95" w:rsidRPr="00AA6F07" w:rsidRDefault="00F62639" w:rsidP="00043E6D">
      <w:pPr>
        <w:spacing w:after="720"/>
        <w:jc w:val="both"/>
        <w:rPr>
          <w:lang w:val="fr-CA"/>
        </w:rPr>
      </w:pPr>
      <w:r w:rsidRPr="00AA6F07">
        <w:rPr>
          <w:lang w:val="fr-CA"/>
        </w:rPr>
        <w:t>2012</w:t>
      </w:r>
      <w:r w:rsidR="0042748F" w:rsidRPr="00AA6F07">
        <w:rPr>
          <w:lang w:val="fr-CA"/>
        </w:rPr>
        <w:t> :</w:t>
      </w:r>
      <w:r w:rsidR="00043E6D" w:rsidRPr="00AA6F07">
        <w:rPr>
          <w:lang w:val="fr-CA"/>
        </w:rPr>
        <w:t> </w:t>
      </w:r>
      <w:r w:rsidRPr="00AA6F07">
        <w:rPr>
          <w:lang w:val="fr-CA"/>
        </w:rPr>
        <w:t>11</w:t>
      </w:r>
      <w:r w:rsidR="00043E6D" w:rsidRPr="00AA6F07">
        <w:rPr>
          <w:lang w:val="fr-CA"/>
        </w:rPr>
        <w:t> </w:t>
      </w:r>
      <w:r w:rsidRPr="00AA6F07">
        <w:rPr>
          <w:lang w:val="fr-CA"/>
        </w:rPr>
        <w:t>décembre</w:t>
      </w:r>
      <w:r w:rsidR="004D7D95" w:rsidRPr="00AA6F07">
        <w:rPr>
          <w:lang w:val="fr-CA"/>
        </w:rPr>
        <w:t xml:space="preserve">; </w:t>
      </w:r>
      <w:r w:rsidR="00043E6D" w:rsidRPr="00AA6F07">
        <w:rPr>
          <w:lang w:val="fr-CA"/>
        </w:rPr>
        <w:t>2013</w:t>
      </w:r>
      <w:r w:rsidR="0042748F" w:rsidRPr="00AA6F07">
        <w:rPr>
          <w:lang w:val="fr-CA"/>
        </w:rPr>
        <w:t> :</w:t>
      </w:r>
      <w:r w:rsidR="00043E6D" w:rsidRPr="00AA6F07">
        <w:rPr>
          <w:lang w:val="fr-CA"/>
        </w:rPr>
        <w:t> </w:t>
      </w:r>
      <w:r w:rsidR="00912A1A" w:rsidRPr="00AA6F07">
        <w:rPr>
          <w:lang w:val="fr-CA"/>
        </w:rPr>
        <w:t>9 mai</w:t>
      </w:r>
      <w:r w:rsidR="004D7D95" w:rsidRPr="00AA6F07">
        <w:rPr>
          <w:lang w:val="fr-CA"/>
        </w:rPr>
        <w:t>.</w:t>
      </w:r>
    </w:p>
    <w:p w:rsidR="004D7D95" w:rsidRPr="00AA6F07" w:rsidRDefault="004D7D95" w:rsidP="00043E6D">
      <w:pPr>
        <w:spacing w:after="720"/>
        <w:jc w:val="both"/>
        <w:rPr>
          <w:lang w:val="fr-CA"/>
        </w:rPr>
      </w:pPr>
      <w:r w:rsidRPr="00AA6F07">
        <w:rPr>
          <w:lang w:val="fr-CA"/>
        </w:rPr>
        <w:t>Présents</w:t>
      </w:r>
      <w:r w:rsidR="0042748F" w:rsidRPr="00AA6F07">
        <w:rPr>
          <w:lang w:val="fr-CA"/>
        </w:rPr>
        <w:t> :</w:t>
      </w:r>
      <w:r w:rsidRPr="00AA6F07">
        <w:rPr>
          <w:lang w:val="fr-CA"/>
        </w:rPr>
        <w:t xml:space="preserve"> La juge en chef McLachlin et les juges </w:t>
      </w:r>
      <w:proofErr w:type="spellStart"/>
      <w:r w:rsidRPr="00AA6F07">
        <w:rPr>
          <w:lang w:val="fr-CA"/>
        </w:rPr>
        <w:t>LeBel</w:t>
      </w:r>
      <w:proofErr w:type="spellEnd"/>
      <w:r w:rsidRPr="00AA6F07">
        <w:rPr>
          <w:lang w:val="fr-CA"/>
        </w:rPr>
        <w:t xml:space="preserve">, Fish, Abella, </w:t>
      </w:r>
      <w:proofErr w:type="spellStart"/>
      <w:r w:rsidRPr="00AA6F07">
        <w:rPr>
          <w:lang w:val="fr-CA"/>
        </w:rPr>
        <w:t>Rothstein</w:t>
      </w:r>
      <w:proofErr w:type="spellEnd"/>
      <w:r w:rsidRPr="00AA6F07">
        <w:rPr>
          <w:lang w:val="fr-CA"/>
        </w:rPr>
        <w:t xml:space="preserve">, Cromwell, </w:t>
      </w:r>
      <w:proofErr w:type="spellStart"/>
      <w:r w:rsidRPr="00AA6F07">
        <w:rPr>
          <w:lang w:val="fr-CA"/>
        </w:rPr>
        <w:t>Moldaver</w:t>
      </w:r>
      <w:proofErr w:type="spellEnd"/>
      <w:r w:rsidRPr="00AA6F07">
        <w:rPr>
          <w:lang w:val="fr-CA"/>
        </w:rPr>
        <w:t xml:space="preserve">, </w:t>
      </w:r>
      <w:proofErr w:type="spellStart"/>
      <w:r w:rsidRPr="00AA6F07">
        <w:rPr>
          <w:lang w:val="fr-CA"/>
        </w:rPr>
        <w:t>Karakatsanis</w:t>
      </w:r>
      <w:proofErr w:type="spellEnd"/>
      <w:r w:rsidRPr="00AA6F07">
        <w:rPr>
          <w:lang w:val="fr-CA"/>
        </w:rPr>
        <w:t xml:space="preserve"> et Wagner.</w:t>
      </w:r>
    </w:p>
    <w:p w:rsidR="004D7D95" w:rsidRPr="00AA6F07" w:rsidRDefault="0022534B" w:rsidP="00043E6D">
      <w:pPr>
        <w:spacing w:after="720"/>
        <w:jc w:val="both"/>
        <w:rPr>
          <w:smallCaps/>
          <w:lang w:val="fr-CA"/>
        </w:rPr>
      </w:pPr>
      <w:r w:rsidRPr="00AA6F07">
        <w:rPr>
          <w:smallCaps/>
          <w:lang w:val="fr-CA"/>
        </w:rPr>
        <w:lastRenderedPageBreak/>
        <w:t>e</w:t>
      </w:r>
      <w:r w:rsidR="004D7D95" w:rsidRPr="00AA6F07">
        <w:rPr>
          <w:smallCaps/>
          <w:lang w:val="fr-CA"/>
        </w:rPr>
        <w:t>n appel de la cour d</w:t>
      </w:r>
      <w:r w:rsidR="002776F8">
        <w:rPr>
          <w:smallCaps/>
          <w:lang w:val="fr-CA"/>
        </w:rPr>
        <w:t>’</w:t>
      </w:r>
      <w:r w:rsidR="004D7D95" w:rsidRPr="00AA6F07">
        <w:rPr>
          <w:smallCaps/>
          <w:lang w:val="fr-CA"/>
        </w:rPr>
        <w:t>a</w:t>
      </w:r>
      <w:r w:rsidR="00A40089" w:rsidRPr="00AA6F07">
        <w:rPr>
          <w:smallCaps/>
          <w:lang w:val="fr-CA"/>
        </w:rPr>
        <w:t xml:space="preserve">ppel de la </w:t>
      </w:r>
      <w:proofErr w:type="spellStart"/>
      <w:r w:rsidR="00A40089" w:rsidRPr="00AA6F07">
        <w:rPr>
          <w:smallCaps/>
          <w:lang w:val="fr-CA"/>
        </w:rPr>
        <w:t>colombie</w:t>
      </w:r>
      <w:r w:rsidR="0042748F" w:rsidRPr="00AA6F07">
        <w:rPr>
          <w:smallCaps/>
          <w:lang w:val="fr-CA"/>
        </w:rPr>
        <w:noBreakHyphen/>
      </w:r>
      <w:r w:rsidR="00A40089" w:rsidRPr="00AA6F07">
        <w:rPr>
          <w:smallCaps/>
          <w:lang w:val="fr-CA"/>
        </w:rPr>
        <w:t>britannique</w:t>
      </w:r>
      <w:proofErr w:type="spellEnd"/>
    </w:p>
    <w:p w:rsidR="004D7D95" w:rsidRPr="00AA6F07" w:rsidRDefault="004D7D95" w:rsidP="00043E6D">
      <w:pPr>
        <w:pStyle w:val="SCCNormalDoubleSpacing"/>
        <w:spacing w:after="480"/>
        <w:rPr>
          <w:i/>
          <w:lang w:val="fr-CA"/>
        </w:rPr>
      </w:pPr>
      <w:r w:rsidRPr="00AA6F07">
        <w:rPr>
          <w:lang w:val="fr-CA"/>
        </w:rPr>
        <w:tab/>
      </w:r>
      <w:r w:rsidR="00921B3A" w:rsidRPr="00AA6F07">
        <w:rPr>
          <w:i/>
          <w:lang w:val="fr-CA"/>
        </w:rPr>
        <w:t xml:space="preserve">Procédure civile </w:t>
      </w:r>
      <w:r w:rsidR="0042748F" w:rsidRPr="00AA6F07">
        <w:rPr>
          <w:i/>
          <w:lang w:val="fr-CA"/>
        </w:rPr>
        <w:t xml:space="preserve">— </w:t>
      </w:r>
      <w:r w:rsidR="00921B3A" w:rsidRPr="00AA6F07">
        <w:rPr>
          <w:i/>
          <w:lang w:val="fr-CA"/>
        </w:rPr>
        <w:t xml:space="preserve">Qualité pour agir </w:t>
      </w:r>
      <w:r w:rsidR="0042748F" w:rsidRPr="00AA6F07">
        <w:rPr>
          <w:i/>
          <w:lang w:val="fr-CA"/>
        </w:rPr>
        <w:t xml:space="preserve">— </w:t>
      </w:r>
      <w:r w:rsidR="00921B3A" w:rsidRPr="00AA6F07">
        <w:rPr>
          <w:i/>
          <w:lang w:val="fr-CA"/>
        </w:rPr>
        <w:t xml:space="preserve">Droit des autochtones </w:t>
      </w:r>
      <w:r w:rsidR="0042748F" w:rsidRPr="00AA6F07">
        <w:rPr>
          <w:i/>
          <w:lang w:val="fr-CA"/>
        </w:rPr>
        <w:t xml:space="preserve">— </w:t>
      </w:r>
      <w:r w:rsidR="00921B3A" w:rsidRPr="00AA6F07">
        <w:rPr>
          <w:i/>
          <w:lang w:val="fr-CA"/>
        </w:rPr>
        <w:t xml:space="preserve">Droits issus de traités </w:t>
      </w:r>
      <w:r w:rsidR="0042748F" w:rsidRPr="00AA6F07">
        <w:rPr>
          <w:i/>
          <w:lang w:val="fr-CA"/>
        </w:rPr>
        <w:t xml:space="preserve">— </w:t>
      </w:r>
      <w:r w:rsidR="00921B3A" w:rsidRPr="00AA6F07">
        <w:rPr>
          <w:i/>
          <w:lang w:val="fr-CA"/>
        </w:rPr>
        <w:t xml:space="preserve">Obligation de consultation </w:t>
      </w:r>
      <w:r w:rsidR="0042748F" w:rsidRPr="00AA6F07">
        <w:rPr>
          <w:i/>
          <w:lang w:val="fr-CA"/>
        </w:rPr>
        <w:t xml:space="preserve">— </w:t>
      </w:r>
      <w:r w:rsidR="00921B3A" w:rsidRPr="00AA6F07">
        <w:rPr>
          <w:i/>
          <w:lang w:val="fr-CA"/>
        </w:rPr>
        <w:t>Membres individuels d</w:t>
      </w:r>
      <w:r w:rsidR="002776F8">
        <w:rPr>
          <w:i/>
          <w:lang w:val="fr-CA"/>
        </w:rPr>
        <w:t>’</w:t>
      </w:r>
      <w:r w:rsidR="00921B3A" w:rsidRPr="00AA6F07">
        <w:rPr>
          <w:i/>
          <w:lang w:val="fr-CA"/>
        </w:rPr>
        <w:t>une collectivité autochtone alléguant</w:t>
      </w:r>
      <w:r w:rsidR="00D400FB" w:rsidRPr="00AA6F07">
        <w:rPr>
          <w:i/>
          <w:lang w:val="fr-CA"/>
        </w:rPr>
        <w:t>,</w:t>
      </w:r>
      <w:r w:rsidR="00921B3A" w:rsidRPr="00AA6F07">
        <w:rPr>
          <w:i/>
          <w:lang w:val="fr-CA"/>
        </w:rPr>
        <w:t xml:space="preserve"> en défense à une action en responsabilité délictuelle intentée contre eux</w:t>
      </w:r>
      <w:r w:rsidR="00D400FB" w:rsidRPr="00AA6F07">
        <w:rPr>
          <w:i/>
          <w:lang w:val="fr-CA"/>
        </w:rPr>
        <w:t>,</w:t>
      </w:r>
      <w:r w:rsidR="00921B3A" w:rsidRPr="00AA6F07">
        <w:rPr>
          <w:i/>
          <w:lang w:val="fr-CA"/>
        </w:rPr>
        <w:t xml:space="preserve"> </w:t>
      </w:r>
      <w:r w:rsidR="00D400FB" w:rsidRPr="00AA6F07">
        <w:rPr>
          <w:i/>
          <w:lang w:val="fr-CA"/>
        </w:rPr>
        <w:t xml:space="preserve">la délivrance </w:t>
      </w:r>
      <w:r w:rsidR="00921B3A" w:rsidRPr="00AA6F07">
        <w:rPr>
          <w:i/>
          <w:lang w:val="fr-CA"/>
        </w:rPr>
        <w:t xml:space="preserve">de permis </w:t>
      </w:r>
      <w:r w:rsidR="007467A5">
        <w:rPr>
          <w:i/>
          <w:lang w:val="fr-CA"/>
        </w:rPr>
        <w:t xml:space="preserve">d’exploitation forestière </w:t>
      </w:r>
      <w:r w:rsidR="00921B3A" w:rsidRPr="00AA6F07">
        <w:rPr>
          <w:i/>
          <w:lang w:val="fr-CA"/>
        </w:rPr>
        <w:t>sans que soit respectée l</w:t>
      </w:r>
      <w:r w:rsidR="002776F8">
        <w:rPr>
          <w:i/>
          <w:lang w:val="fr-CA"/>
        </w:rPr>
        <w:t>’</w:t>
      </w:r>
      <w:r w:rsidR="00921B3A" w:rsidRPr="00AA6F07">
        <w:rPr>
          <w:i/>
          <w:lang w:val="fr-CA"/>
        </w:rPr>
        <w:t>obligation de consultation et en violation de le</w:t>
      </w:r>
      <w:r w:rsidR="00D400FB" w:rsidRPr="00AA6F07">
        <w:rPr>
          <w:i/>
          <w:lang w:val="fr-CA"/>
        </w:rPr>
        <w:t xml:space="preserve">urs droits issus du traité </w:t>
      </w:r>
      <w:r w:rsidR="0042748F" w:rsidRPr="00AA6F07">
        <w:rPr>
          <w:i/>
          <w:lang w:val="fr-CA"/>
        </w:rPr>
        <w:t xml:space="preserve">— </w:t>
      </w:r>
      <w:r w:rsidR="00D400FB" w:rsidRPr="00AA6F07">
        <w:rPr>
          <w:i/>
          <w:lang w:val="fr-CA"/>
        </w:rPr>
        <w:t>Les membres individuels ont</w:t>
      </w:r>
      <w:r w:rsidR="007467A5">
        <w:rPr>
          <w:i/>
          <w:lang w:val="fr-CA"/>
        </w:rPr>
        <w:t>-</w:t>
      </w:r>
      <w:r w:rsidR="00D400FB" w:rsidRPr="00AA6F07">
        <w:rPr>
          <w:i/>
          <w:lang w:val="fr-CA"/>
        </w:rPr>
        <w:t>ils qualité pour faire valoir en défense des droits collectifs?</w:t>
      </w:r>
    </w:p>
    <w:p w:rsidR="00D400FB" w:rsidRPr="00AA6F07" w:rsidRDefault="006334FE" w:rsidP="00043E6D">
      <w:pPr>
        <w:pStyle w:val="SCCNormalDoubleSpacing"/>
        <w:spacing w:after="480"/>
        <w:rPr>
          <w:lang w:val="fr-CA"/>
        </w:rPr>
      </w:pPr>
      <w:r>
        <w:rPr>
          <w:i/>
          <w:lang w:val="fr-CA"/>
        </w:rPr>
        <w:tab/>
        <w:t>Procédure civile —</w:t>
      </w:r>
      <w:r w:rsidR="00377FBB">
        <w:rPr>
          <w:i/>
          <w:lang w:val="fr-CA"/>
        </w:rPr>
        <w:t xml:space="preserve"> A</w:t>
      </w:r>
      <w:r w:rsidR="00D400FB" w:rsidRPr="00AA6F07">
        <w:rPr>
          <w:i/>
          <w:lang w:val="fr-CA"/>
        </w:rPr>
        <w:t xml:space="preserve">bus de procédure </w:t>
      </w:r>
      <w:r w:rsidR="0042748F" w:rsidRPr="00AA6F07">
        <w:rPr>
          <w:i/>
          <w:lang w:val="fr-CA"/>
        </w:rPr>
        <w:t xml:space="preserve">— </w:t>
      </w:r>
      <w:r w:rsidR="00D400FB" w:rsidRPr="00AA6F07">
        <w:rPr>
          <w:i/>
          <w:lang w:val="fr-CA"/>
        </w:rPr>
        <w:t xml:space="preserve">Requête en radiation </w:t>
      </w:r>
      <w:r w:rsidR="0042748F" w:rsidRPr="00AA6F07">
        <w:rPr>
          <w:i/>
          <w:lang w:val="fr-CA"/>
        </w:rPr>
        <w:t xml:space="preserve">— </w:t>
      </w:r>
      <w:r w:rsidR="00D400FB" w:rsidRPr="00AA6F07">
        <w:rPr>
          <w:i/>
          <w:lang w:val="fr-CA"/>
        </w:rPr>
        <w:t>Membres d</w:t>
      </w:r>
      <w:r w:rsidR="002776F8">
        <w:rPr>
          <w:i/>
          <w:lang w:val="fr-CA"/>
        </w:rPr>
        <w:t>’</w:t>
      </w:r>
      <w:r w:rsidR="00D400FB" w:rsidRPr="00AA6F07">
        <w:rPr>
          <w:i/>
          <w:lang w:val="fr-CA"/>
        </w:rPr>
        <w:t>une collectivité autochtone bloquant l</w:t>
      </w:r>
      <w:r w:rsidR="002776F8">
        <w:rPr>
          <w:i/>
          <w:lang w:val="fr-CA"/>
        </w:rPr>
        <w:t>’</w:t>
      </w:r>
      <w:r w:rsidR="00D400FB" w:rsidRPr="00AA6F07">
        <w:rPr>
          <w:i/>
          <w:lang w:val="fr-CA"/>
        </w:rPr>
        <w:t xml:space="preserve">accès </w:t>
      </w:r>
      <w:r w:rsidR="009D115A" w:rsidRPr="00AA6F07">
        <w:rPr>
          <w:i/>
          <w:lang w:val="fr-CA"/>
        </w:rPr>
        <w:t>à un</w:t>
      </w:r>
      <w:r w:rsidR="00AF2E7C" w:rsidRPr="00AA6F07">
        <w:rPr>
          <w:i/>
          <w:lang w:val="fr-CA"/>
        </w:rPr>
        <w:t xml:space="preserve"> site d</w:t>
      </w:r>
      <w:r w:rsidR="002776F8">
        <w:rPr>
          <w:i/>
          <w:lang w:val="fr-CA"/>
        </w:rPr>
        <w:t>’</w:t>
      </w:r>
      <w:r w:rsidR="00AF2E7C" w:rsidRPr="00AA6F07">
        <w:rPr>
          <w:i/>
          <w:lang w:val="fr-CA"/>
        </w:rPr>
        <w:t>exploitation forestière et alléguant subséquemment, en défense à une action en responsabilité délictuelle intentée contre eux, la délivrance de permis de vente de bois sans que soit respectée l</w:t>
      </w:r>
      <w:r w:rsidR="002776F8">
        <w:rPr>
          <w:i/>
          <w:lang w:val="fr-CA"/>
        </w:rPr>
        <w:t>’</w:t>
      </w:r>
      <w:r w:rsidR="00AF2E7C" w:rsidRPr="00AA6F07">
        <w:rPr>
          <w:i/>
          <w:lang w:val="fr-CA"/>
        </w:rPr>
        <w:t xml:space="preserve">obligation de consultation et en violation de leurs droits issus du traité </w:t>
      </w:r>
      <w:r w:rsidR="0042748F" w:rsidRPr="00AA6F07">
        <w:rPr>
          <w:i/>
          <w:lang w:val="fr-CA"/>
        </w:rPr>
        <w:t xml:space="preserve">— </w:t>
      </w:r>
      <w:r w:rsidR="00AF2E7C" w:rsidRPr="00AA6F07">
        <w:rPr>
          <w:i/>
          <w:lang w:val="fr-CA"/>
        </w:rPr>
        <w:t xml:space="preserve">Le </w:t>
      </w:r>
      <w:r w:rsidR="009D115A" w:rsidRPr="00AA6F07">
        <w:rPr>
          <w:i/>
          <w:lang w:val="fr-CA"/>
        </w:rPr>
        <w:t xml:space="preserve">fait de soulever ces </w:t>
      </w:r>
      <w:r w:rsidR="00AF2E7C" w:rsidRPr="00AA6F07">
        <w:rPr>
          <w:i/>
          <w:lang w:val="fr-CA"/>
        </w:rPr>
        <w:t xml:space="preserve">moyens de défense </w:t>
      </w:r>
      <w:proofErr w:type="spellStart"/>
      <w:r w:rsidR="00AF2E7C" w:rsidRPr="00AA6F07">
        <w:rPr>
          <w:i/>
          <w:lang w:val="fr-CA"/>
        </w:rPr>
        <w:t>constitue</w:t>
      </w:r>
      <w:r w:rsidR="0042748F" w:rsidRPr="00AA6F07">
        <w:rPr>
          <w:i/>
          <w:lang w:val="fr-CA"/>
        </w:rPr>
        <w:noBreakHyphen/>
      </w:r>
      <w:r w:rsidR="00AF2E7C" w:rsidRPr="00AA6F07">
        <w:rPr>
          <w:i/>
          <w:lang w:val="fr-CA"/>
        </w:rPr>
        <w:t>t</w:t>
      </w:r>
      <w:r w:rsidR="0042748F" w:rsidRPr="00AA6F07">
        <w:rPr>
          <w:i/>
          <w:lang w:val="fr-CA"/>
        </w:rPr>
        <w:noBreakHyphen/>
      </w:r>
      <w:r w:rsidR="00AF2E7C" w:rsidRPr="00AA6F07">
        <w:rPr>
          <w:i/>
          <w:lang w:val="fr-CA"/>
        </w:rPr>
        <w:t>il</w:t>
      </w:r>
      <w:proofErr w:type="spellEnd"/>
      <w:r w:rsidR="00AF2E7C" w:rsidRPr="00AA6F07">
        <w:rPr>
          <w:i/>
          <w:lang w:val="fr-CA"/>
        </w:rPr>
        <w:t xml:space="preserve"> un abus de procédure?</w:t>
      </w:r>
    </w:p>
    <w:p w:rsidR="004D7D95" w:rsidRPr="00AA6F07" w:rsidRDefault="004D7D95" w:rsidP="00043E6D">
      <w:pPr>
        <w:pStyle w:val="SCCNormalDoubleSpacing"/>
        <w:spacing w:after="480"/>
        <w:rPr>
          <w:lang w:val="fr-CA"/>
        </w:rPr>
      </w:pPr>
      <w:r w:rsidRPr="00AA6F07">
        <w:rPr>
          <w:lang w:val="fr-CA"/>
        </w:rPr>
        <w:tab/>
      </w:r>
      <w:r w:rsidR="00403760" w:rsidRPr="00AA6F07">
        <w:rPr>
          <w:lang w:val="fr-CA"/>
        </w:rPr>
        <w:t xml:space="preserve">Après que la Couronne eût accordé à une société forestière des permis pour récolter du bois dans deux secteurs du territoire de la Première Nation de Fort Nelson en </w:t>
      </w:r>
      <w:proofErr w:type="spellStart"/>
      <w:r w:rsidR="00403760" w:rsidRPr="00AA6F07">
        <w:rPr>
          <w:lang w:val="fr-CA"/>
        </w:rPr>
        <w:t>Colombie</w:t>
      </w:r>
      <w:r w:rsidR="0042748F" w:rsidRPr="00AA6F07">
        <w:rPr>
          <w:lang w:val="fr-CA"/>
        </w:rPr>
        <w:noBreakHyphen/>
      </w:r>
      <w:r w:rsidR="00403760" w:rsidRPr="00AA6F07">
        <w:rPr>
          <w:lang w:val="fr-CA"/>
        </w:rPr>
        <w:t>Britannique</w:t>
      </w:r>
      <w:proofErr w:type="spellEnd"/>
      <w:r w:rsidR="00403760" w:rsidRPr="00AA6F07">
        <w:rPr>
          <w:lang w:val="fr-CA"/>
        </w:rPr>
        <w:t>, des membres de cette Première Nation ont érigé un camp qui, de fait, empêchait la société forestière d</w:t>
      </w:r>
      <w:r w:rsidR="002776F8">
        <w:rPr>
          <w:lang w:val="fr-CA"/>
        </w:rPr>
        <w:t>’</w:t>
      </w:r>
      <w:r w:rsidR="00403760" w:rsidRPr="00AA6F07">
        <w:rPr>
          <w:lang w:val="fr-CA"/>
        </w:rPr>
        <w:t>avoir accès aux sites d</w:t>
      </w:r>
      <w:r w:rsidR="002776F8">
        <w:rPr>
          <w:lang w:val="fr-CA"/>
        </w:rPr>
        <w:t>’</w:t>
      </w:r>
      <w:r w:rsidR="00403760" w:rsidRPr="00AA6F07">
        <w:rPr>
          <w:lang w:val="fr-CA"/>
        </w:rPr>
        <w:t>exploitation forestière.  La société forestière a intenté une action en responsabilité délictuelle contre ces membres de la collectivité autochtone</w:t>
      </w:r>
      <w:r w:rsidR="009D115A" w:rsidRPr="00AA6F07">
        <w:rPr>
          <w:lang w:val="fr-CA"/>
        </w:rPr>
        <w:t xml:space="preserve">. </w:t>
      </w:r>
      <w:r w:rsidR="00403760" w:rsidRPr="00AA6F07">
        <w:rPr>
          <w:lang w:val="fr-CA"/>
        </w:rPr>
        <w:t xml:space="preserve"> </w:t>
      </w:r>
      <w:proofErr w:type="spellStart"/>
      <w:r w:rsidR="009D115A" w:rsidRPr="00AA6F07">
        <w:rPr>
          <w:lang w:val="fr-CA"/>
        </w:rPr>
        <w:t>Ceux</w:t>
      </w:r>
      <w:r w:rsidR="0042748F" w:rsidRPr="00AA6F07">
        <w:rPr>
          <w:lang w:val="fr-CA"/>
        </w:rPr>
        <w:noBreakHyphen/>
      </w:r>
      <w:r w:rsidR="009D115A" w:rsidRPr="00AA6F07">
        <w:rPr>
          <w:lang w:val="fr-CA"/>
        </w:rPr>
        <w:t>c</w:t>
      </w:r>
      <w:r w:rsidR="00403760" w:rsidRPr="00AA6F07">
        <w:rPr>
          <w:lang w:val="fr-CA"/>
        </w:rPr>
        <w:t>i</w:t>
      </w:r>
      <w:proofErr w:type="spellEnd"/>
      <w:r w:rsidR="00403760" w:rsidRPr="00AA6F07">
        <w:rPr>
          <w:lang w:val="fr-CA"/>
        </w:rPr>
        <w:t xml:space="preserve"> ont allégué en défense l</w:t>
      </w:r>
      <w:r w:rsidR="002776F8">
        <w:rPr>
          <w:lang w:val="fr-CA"/>
        </w:rPr>
        <w:t>’</w:t>
      </w:r>
      <w:r w:rsidR="00403760" w:rsidRPr="00AA6F07">
        <w:rPr>
          <w:lang w:val="fr-CA"/>
        </w:rPr>
        <w:t>invalidité des permis parce qu</w:t>
      </w:r>
      <w:r w:rsidR="002776F8">
        <w:rPr>
          <w:lang w:val="fr-CA"/>
        </w:rPr>
        <w:t>’</w:t>
      </w:r>
      <w:r w:rsidR="00403760" w:rsidRPr="00AA6F07">
        <w:rPr>
          <w:lang w:val="fr-CA"/>
        </w:rPr>
        <w:t>ils a</w:t>
      </w:r>
      <w:r w:rsidR="009D115A" w:rsidRPr="00AA6F07">
        <w:rPr>
          <w:lang w:val="fr-CA"/>
        </w:rPr>
        <w:t>ur</w:t>
      </w:r>
      <w:r w:rsidR="00403760" w:rsidRPr="00AA6F07">
        <w:rPr>
          <w:lang w:val="fr-CA"/>
        </w:rPr>
        <w:t xml:space="preserve">aient été délivrés sans que soit respectée </w:t>
      </w:r>
      <w:r w:rsidR="00403760" w:rsidRPr="00AA6F07">
        <w:rPr>
          <w:lang w:val="fr-CA"/>
        </w:rPr>
        <w:lastRenderedPageBreak/>
        <w:t>l</w:t>
      </w:r>
      <w:r w:rsidR="002776F8">
        <w:rPr>
          <w:lang w:val="fr-CA"/>
        </w:rPr>
        <w:t>’</w:t>
      </w:r>
      <w:r w:rsidR="00403760" w:rsidRPr="00AA6F07">
        <w:rPr>
          <w:lang w:val="fr-CA"/>
        </w:rPr>
        <w:t>obligation constitutionnelle de consultation et qu</w:t>
      </w:r>
      <w:r w:rsidR="002776F8">
        <w:rPr>
          <w:lang w:val="fr-CA"/>
        </w:rPr>
        <w:t>’</w:t>
      </w:r>
      <w:r w:rsidR="00403760" w:rsidRPr="00AA6F07">
        <w:rPr>
          <w:lang w:val="fr-CA"/>
        </w:rPr>
        <w:t>ils viol</w:t>
      </w:r>
      <w:r w:rsidR="009D115A" w:rsidRPr="00AA6F07">
        <w:rPr>
          <w:lang w:val="fr-CA"/>
        </w:rPr>
        <w:t>er</w:t>
      </w:r>
      <w:r w:rsidR="00403760" w:rsidRPr="00AA6F07">
        <w:rPr>
          <w:lang w:val="fr-CA"/>
        </w:rPr>
        <w:t xml:space="preserve">aient leurs droits issus de traités.  </w:t>
      </w:r>
      <w:r w:rsidR="0033689A" w:rsidRPr="00AA6F07">
        <w:rPr>
          <w:lang w:val="fr-CA"/>
        </w:rPr>
        <w:t>La société forestière a demandé par requête la radiation de ces moyens de défense.  Les tribunaux d</w:t>
      </w:r>
      <w:r w:rsidR="002776F8">
        <w:rPr>
          <w:lang w:val="fr-CA"/>
        </w:rPr>
        <w:t>’</w:t>
      </w:r>
      <w:r w:rsidR="0033689A" w:rsidRPr="00AA6F07">
        <w:rPr>
          <w:lang w:val="fr-CA"/>
        </w:rPr>
        <w:t>instance inférieure ont conclu que les membres de la collectivité autochtone n</w:t>
      </w:r>
      <w:r w:rsidR="002776F8">
        <w:rPr>
          <w:lang w:val="fr-CA"/>
        </w:rPr>
        <w:t>’</w:t>
      </w:r>
      <w:r w:rsidR="0033689A" w:rsidRPr="00AA6F07">
        <w:rPr>
          <w:lang w:val="fr-CA"/>
        </w:rPr>
        <w:t xml:space="preserve">avaient pas qualité pour faire valoir des droits collectifs </w:t>
      </w:r>
      <w:r w:rsidR="009D115A" w:rsidRPr="00AA6F07">
        <w:rPr>
          <w:lang w:val="fr-CA"/>
        </w:rPr>
        <w:t>dans leur</w:t>
      </w:r>
      <w:r w:rsidR="0033689A" w:rsidRPr="00AA6F07">
        <w:rPr>
          <w:lang w:val="fr-CA"/>
        </w:rPr>
        <w:t xml:space="preserve"> défense; seule la collectivité pouvait invoquer ces droits.  Ils ont </w:t>
      </w:r>
      <w:r w:rsidR="009D115A" w:rsidRPr="00AA6F07">
        <w:rPr>
          <w:lang w:val="fr-CA"/>
        </w:rPr>
        <w:t>aussi décidé</w:t>
      </w:r>
      <w:r w:rsidR="0033689A" w:rsidRPr="00AA6F07">
        <w:rPr>
          <w:lang w:val="fr-CA"/>
        </w:rPr>
        <w:t xml:space="preserve"> que cette contestation de la validité des permis constituait une attaque indirecte ou un abus de procédure, les </w:t>
      </w:r>
      <w:r w:rsidR="00DA03DF" w:rsidRPr="00AA6F07">
        <w:rPr>
          <w:lang w:val="fr-CA"/>
        </w:rPr>
        <w:t>membres de la collectivité</w:t>
      </w:r>
      <w:r w:rsidR="0033689A" w:rsidRPr="00AA6F07">
        <w:rPr>
          <w:lang w:val="fr-CA"/>
        </w:rPr>
        <w:t xml:space="preserve"> n</w:t>
      </w:r>
      <w:r w:rsidR="002776F8">
        <w:rPr>
          <w:lang w:val="fr-CA"/>
        </w:rPr>
        <w:t>’</w:t>
      </w:r>
      <w:r w:rsidR="0033689A" w:rsidRPr="00AA6F07">
        <w:rPr>
          <w:lang w:val="fr-CA"/>
        </w:rPr>
        <w:t xml:space="preserve">ayant pas attaqué la validité de ces permis au moment de leur délivrance. </w:t>
      </w:r>
    </w:p>
    <w:p w:rsidR="004D7D95" w:rsidRPr="00AA6F07" w:rsidRDefault="004D7D95" w:rsidP="00043E6D">
      <w:pPr>
        <w:pStyle w:val="SCCNormalDoubleSpacing"/>
        <w:spacing w:after="480"/>
        <w:rPr>
          <w:lang w:val="fr-CA"/>
        </w:rPr>
      </w:pPr>
      <w:r w:rsidRPr="00AA6F07">
        <w:rPr>
          <w:lang w:val="fr-CA"/>
        </w:rPr>
        <w:tab/>
      </w:r>
      <w:r w:rsidRPr="00AA6F07">
        <w:rPr>
          <w:i/>
          <w:lang w:val="fr-CA"/>
        </w:rPr>
        <w:t>Arrêt</w:t>
      </w:r>
      <w:r w:rsidR="0042748F" w:rsidRPr="00AA6F07">
        <w:rPr>
          <w:lang w:val="fr-CA"/>
        </w:rPr>
        <w:t> :</w:t>
      </w:r>
      <w:r w:rsidR="00DA03DF" w:rsidRPr="00AA6F07">
        <w:rPr>
          <w:lang w:val="fr-CA"/>
        </w:rPr>
        <w:t xml:space="preserve"> Le pourvoi est rejeté.</w:t>
      </w:r>
    </w:p>
    <w:p w:rsidR="004D7D95" w:rsidRPr="00AA6F07" w:rsidRDefault="004D7D95" w:rsidP="00043E6D">
      <w:pPr>
        <w:pStyle w:val="SCCNormalDoubleSpacing"/>
        <w:spacing w:after="480"/>
        <w:rPr>
          <w:lang w:val="fr-CA"/>
        </w:rPr>
      </w:pPr>
      <w:r w:rsidRPr="00AA6F07">
        <w:rPr>
          <w:lang w:val="fr-CA"/>
        </w:rPr>
        <w:tab/>
      </w:r>
      <w:r w:rsidR="00DA03DF" w:rsidRPr="00AA6F07">
        <w:rPr>
          <w:lang w:val="fr-CA"/>
        </w:rPr>
        <w:t>L</w:t>
      </w:r>
      <w:r w:rsidR="002776F8">
        <w:rPr>
          <w:lang w:val="fr-CA"/>
        </w:rPr>
        <w:t>’</w:t>
      </w:r>
      <w:r w:rsidR="00DA03DF" w:rsidRPr="00AA6F07">
        <w:rPr>
          <w:lang w:val="fr-CA"/>
        </w:rPr>
        <w:t xml:space="preserve">obligation de consultation existe pour la protection des droits collectifs des peuples autochtones et elle est due au groupe autochtone qui en est titulaire.  </w:t>
      </w:r>
      <w:r w:rsidR="00CA466B" w:rsidRPr="00AA6F07">
        <w:rPr>
          <w:lang w:val="fr-CA"/>
        </w:rPr>
        <w:t>Un groupe autochtone peut autoriser un individu ou un organisme à le représenter en vue de faire valoir ses droits issus d</w:t>
      </w:r>
      <w:r w:rsidR="002776F8">
        <w:rPr>
          <w:lang w:val="fr-CA"/>
        </w:rPr>
        <w:t>’</w:t>
      </w:r>
      <w:r w:rsidR="00CA466B" w:rsidRPr="00AA6F07">
        <w:rPr>
          <w:lang w:val="fr-CA"/>
        </w:rPr>
        <w:t>un traité, mais en l</w:t>
      </w:r>
      <w:r w:rsidR="002776F8">
        <w:rPr>
          <w:lang w:val="fr-CA"/>
        </w:rPr>
        <w:t>’</w:t>
      </w:r>
      <w:r w:rsidR="00CA466B" w:rsidRPr="00AA6F07">
        <w:rPr>
          <w:lang w:val="fr-CA"/>
        </w:rPr>
        <w:t xml:space="preserve">espèce, il ne ressort pas des actes de procédure que la Première </w:t>
      </w:r>
      <w:r w:rsidR="00B90581" w:rsidRPr="00AA6F07">
        <w:rPr>
          <w:lang w:val="fr-CA"/>
        </w:rPr>
        <w:t>N</w:t>
      </w:r>
      <w:r w:rsidR="00CA466B" w:rsidRPr="00AA6F07">
        <w:rPr>
          <w:lang w:val="fr-CA"/>
        </w:rPr>
        <w:t xml:space="preserve">ation a </w:t>
      </w:r>
      <w:proofErr w:type="gramStart"/>
      <w:r w:rsidR="00CA466B" w:rsidRPr="00AA6F07">
        <w:rPr>
          <w:lang w:val="fr-CA"/>
        </w:rPr>
        <w:t>autorisé</w:t>
      </w:r>
      <w:proofErr w:type="gramEnd"/>
      <w:r w:rsidR="00CA466B" w:rsidRPr="00AA6F07">
        <w:rPr>
          <w:lang w:val="fr-CA"/>
        </w:rPr>
        <w:t xml:space="preserve"> les membres de la collectivité à la représenter en vue de contester la validité des permis.  En l</w:t>
      </w:r>
      <w:r w:rsidR="002776F8">
        <w:rPr>
          <w:lang w:val="fr-CA"/>
        </w:rPr>
        <w:t>’</w:t>
      </w:r>
      <w:r w:rsidR="00CA466B" w:rsidRPr="00AA6F07">
        <w:rPr>
          <w:lang w:val="fr-CA"/>
        </w:rPr>
        <w:t>absence d</w:t>
      </w:r>
      <w:r w:rsidR="002776F8">
        <w:rPr>
          <w:lang w:val="fr-CA"/>
        </w:rPr>
        <w:t>’</w:t>
      </w:r>
      <w:r w:rsidR="00CA466B" w:rsidRPr="00AA6F07">
        <w:rPr>
          <w:lang w:val="fr-CA"/>
        </w:rPr>
        <w:t>allégation d</w:t>
      </w:r>
      <w:r w:rsidR="002776F8">
        <w:rPr>
          <w:lang w:val="fr-CA"/>
        </w:rPr>
        <w:t>’</w:t>
      </w:r>
      <w:r w:rsidR="00CA466B" w:rsidRPr="00AA6F07">
        <w:rPr>
          <w:lang w:val="fr-CA"/>
        </w:rPr>
        <w:t>une autorisat</w:t>
      </w:r>
      <w:r w:rsidR="00CF0A83">
        <w:rPr>
          <w:lang w:val="fr-CA"/>
        </w:rPr>
        <w:t>ion, les membres ne peuvent eux-</w:t>
      </w:r>
      <w:r w:rsidR="00CA466B" w:rsidRPr="00AA6F07">
        <w:rPr>
          <w:lang w:val="fr-CA"/>
        </w:rPr>
        <w:t>mêmes invoquer un manquement à l</w:t>
      </w:r>
      <w:r w:rsidR="002776F8">
        <w:rPr>
          <w:lang w:val="fr-CA"/>
        </w:rPr>
        <w:t>’</w:t>
      </w:r>
      <w:r w:rsidR="00CA466B" w:rsidRPr="00AA6F07">
        <w:rPr>
          <w:lang w:val="fr-CA"/>
        </w:rPr>
        <w:t>obligation de consultation.</w:t>
      </w:r>
    </w:p>
    <w:p w:rsidR="00CA466B" w:rsidRPr="00AA6F07" w:rsidRDefault="00CA466B" w:rsidP="00043E6D">
      <w:pPr>
        <w:pStyle w:val="SCCNormalDoubleSpacing"/>
        <w:spacing w:after="480"/>
        <w:rPr>
          <w:lang w:val="fr-CA"/>
        </w:rPr>
      </w:pPr>
      <w:r w:rsidRPr="00AA6F07">
        <w:rPr>
          <w:lang w:val="fr-CA"/>
        </w:rPr>
        <w:tab/>
      </w:r>
      <w:r w:rsidR="007142EC" w:rsidRPr="00AA6F07">
        <w:rPr>
          <w:lang w:val="fr-CA"/>
        </w:rPr>
        <w:t xml:space="preserve">Certains droits ancestraux ou issus de traités </w:t>
      </w:r>
      <w:r w:rsidRPr="00AA6F07">
        <w:rPr>
          <w:lang w:val="fr-CA"/>
        </w:rPr>
        <w:t>peuvent posséder des attributs à la fois collectifs et individuels</w:t>
      </w:r>
      <w:r w:rsidR="007142EC" w:rsidRPr="00AA6F07">
        <w:rPr>
          <w:lang w:val="fr-CA"/>
        </w:rPr>
        <w:t>, et il se peut fort bien que, lorsque les circonstances s</w:t>
      </w:r>
      <w:r w:rsidR="002776F8">
        <w:rPr>
          <w:lang w:val="fr-CA"/>
        </w:rPr>
        <w:t>’</w:t>
      </w:r>
      <w:r w:rsidR="007142EC" w:rsidRPr="00AA6F07">
        <w:rPr>
          <w:lang w:val="fr-CA"/>
        </w:rPr>
        <w:t>y prêtent, des membres d</w:t>
      </w:r>
      <w:r w:rsidR="002776F8">
        <w:rPr>
          <w:lang w:val="fr-CA"/>
        </w:rPr>
        <w:t>’</w:t>
      </w:r>
      <w:r w:rsidR="007142EC" w:rsidRPr="00AA6F07">
        <w:rPr>
          <w:lang w:val="fr-CA"/>
        </w:rPr>
        <w:t xml:space="preserve">une collectivité puissent les invoquer à titre individuel.  </w:t>
      </w:r>
      <w:r w:rsidR="00FD3F02" w:rsidRPr="00AA6F07">
        <w:rPr>
          <w:lang w:val="fr-CA"/>
        </w:rPr>
        <w:t>En l</w:t>
      </w:r>
      <w:r w:rsidR="002776F8">
        <w:rPr>
          <w:lang w:val="fr-CA"/>
        </w:rPr>
        <w:t>’</w:t>
      </w:r>
      <w:r w:rsidR="00FD3F02" w:rsidRPr="00AA6F07">
        <w:rPr>
          <w:lang w:val="fr-CA"/>
        </w:rPr>
        <w:t>espèce, on pourrait soutenir qu</w:t>
      </w:r>
      <w:r w:rsidR="002776F8">
        <w:rPr>
          <w:lang w:val="fr-CA"/>
        </w:rPr>
        <w:t>’</w:t>
      </w:r>
      <w:r w:rsidR="00FD3F02" w:rsidRPr="00AA6F07">
        <w:rPr>
          <w:lang w:val="fr-CA"/>
        </w:rPr>
        <w:t>en raison de l</w:t>
      </w:r>
      <w:r w:rsidR="002776F8">
        <w:rPr>
          <w:lang w:val="fr-CA"/>
        </w:rPr>
        <w:t>’</w:t>
      </w:r>
      <w:r w:rsidR="00FD3F02" w:rsidRPr="00AA6F07">
        <w:rPr>
          <w:lang w:val="fr-CA"/>
        </w:rPr>
        <w:t>existence d</w:t>
      </w:r>
      <w:r w:rsidR="002776F8">
        <w:rPr>
          <w:lang w:val="fr-CA"/>
        </w:rPr>
        <w:t>’</w:t>
      </w:r>
      <w:r w:rsidR="00FD3F02" w:rsidRPr="00AA6F07">
        <w:rPr>
          <w:lang w:val="fr-CA"/>
        </w:rPr>
        <w:t xml:space="preserve">un lien </w:t>
      </w:r>
      <w:r w:rsidR="00FD3F02" w:rsidRPr="00AA6F07">
        <w:rPr>
          <w:lang w:val="fr-CA"/>
        </w:rPr>
        <w:lastRenderedPageBreak/>
        <w:t>entre les droits en cause et une région géographique spécifique du territoire de la</w:t>
      </w:r>
      <w:r w:rsidR="007142EC" w:rsidRPr="00AA6F07">
        <w:rPr>
          <w:lang w:val="fr-CA"/>
        </w:rPr>
        <w:t xml:space="preserve"> </w:t>
      </w:r>
      <w:r w:rsidR="00B90581" w:rsidRPr="00AA6F07">
        <w:rPr>
          <w:lang w:val="fr-CA"/>
        </w:rPr>
        <w:t>P</w:t>
      </w:r>
      <w:r w:rsidR="00FD3F02" w:rsidRPr="00AA6F07">
        <w:rPr>
          <w:lang w:val="fr-CA"/>
        </w:rPr>
        <w:t xml:space="preserve">remière </w:t>
      </w:r>
      <w:r w:rsidR="00B90581" w:rsidRPr="00AA6F07">
        <w:rPr>
          <w:lang w:val="fr-CA"/>
        </w:rPr>
        <w:t>N</w:t>
      </w:r>
      <w:r w:rsidR="00FD3F02" w:rsidRPr="00AA6F07">
        <w:rPr>
          <w:lang w:val="fr-CA"/>
        </w:rPr>
        <w:t>ation, des membres de la collectivité possèdent</w:t>
      </w:r>
      <w:r w:rsidR="009D115A" w:rsidRPr="00AA6F07">
        <w:rPr>
          <w:lang w:val="fr-CA"/>
        </w:rPr>
        <w:t>,</w:t>
      </w:r>
      <w:r w:rsidR="00FD3F02" w:rsidRPr="00AA6F07">
        <w:rPr>
          <w:lang w:val="fr-CA"/>
        </w:rPr>
        <w:t xml:space="preserve"> pour la protection de ces droits sur leur territoire familial traditionnel</w:t>
      </w:r>
      <w:r w:rsidR="009D115A" w:rsidRPr="00AA6F07">
        <w:rPr>
          <w:lang w:val="fr-CA"/>
        </w:rPr>
        <w:t>,</w:t>
      </w:r>
      <w:r w:rsidR="00FD3F02" w:rsidRPr="00AA6F07">
        <w:rPr>
          <w:lang w:val="fr-CA"/>
        </w:rPr>
        <w:t xml:space="preserve"> un intérêt plus important que celui que peuvent </w:t>
      </w:r>
      <w:r w:rsidR="009D115A" w:rsidRPr="00AA6F07">
        <w:rPr>
          <w:lang w:val="fr-CA"/>
        </w:rPr>
        <w:t>détenir</w:t>
      </w:r>
      <w:r w:rsidR="00FD3F02" w:rsidRPr="00AA6F07">
        <w:rPr>
          <w:lang w:val="fr-CA"/>
        </w:rPr>
        <w:t xml:space="preserve"> les autres membres de la </w:t>
      </w:r>
      <w:r w:rsidR="00B90581" w:rsidRPr="00AA6F07">
        <w:rPr>
          <w:lang w:val="fr-CA"/>
        </w:rPr>
        <w:t>P</w:t>
      </w:r>
      <w:r w:rsidR="00FD3F02" w:rsidRPr="00AA6F07">
        <w:rPr>
          <w:lang w:val="fr-CA"/>
        </w:rPr>
        <w:t xml:space="preserve">remière </w:t>
      </w:r>
      <w:r w:rsidR="00B90581" w:rsidRPr="00AA6F07">
        <w:rPr>
          <w:lang w:val="fr-CA"/>
        </w:rPr>
        <w:t>N</w:t>
      </w:r>
      <w:r w:rsidR="00FD3F02" w:rsidRPr="00AA6F07">
        <w:rPr>
          <w:lang w:val="fr-CA"/>
        </w:rPr>
        <w:t xml:space="preserve">ation et que ce lien </w:t>
      </w:r>
      <w:r w:rsidR="00867E5C" w:rsidRPr="00AA6F07">
        <w:rPr>
          <w:lang w:val="fr-CA"/>
        </w:rPr>
        <w:t xml:space="preserve">leur </w:t>
      </w:r>
      <w:r w:rsidR="00FD3F02" w:rsidRPr="00AA6F07">
        <w:rPr>
          <w:lang w:val="fr-CA"/>
        </w:rPr>
        <w:t xml:space="preserve">confère, dans une certaine mesure, qualité pour </w:t>
      </w:r>
      <w:r w:rsidR="009D115A" w:rsidRPr="00AA6F07">
        <w:rPr>
          <w:lang w:val="fr-CA"/>
        </w:rPr>
        <w:t>soulever</w:t>
      </w:r>
      <w:r w:rsidR="00FD3F02" w:rsidRPr="00AA6F07">
        <w:rPr>
          <w:lang w:val="fr-CA"/>
        </w:rPr>
        <w:t xml:space="preserve"> la violation de leurs droits particuliers en défense</w:t>
      </w:r>
      <w:r w:rsidR="00867E5C" w:rsidRPr="00AA6F07">
        <w:rPr>
          <w:lang w:val="fr-CA"/>
        </w:rPr>
        <w:t xml:space="preserve"> </w:t>
      </w:r>
      <w:r w:rsidR="00FD3F02" w:rsidRPr="00AA6F07">
        <w:rPr>
          <w:lang w:val="fr-CA"/>
        </w:rPr>
        <w:t>à l</w:t>
      </w:r>
      <w:r w:rsidR="002776F8">
        <w:rPr>
          <w:lang w:val="fr-CA"/>
        </w:rPr>
        <w:t>’</w:t>
      </w:r>
      <w:r w:rsidR="00FD3F02" w:rsidRPr="00AA6F07">
        <w:rPr>
          <w:lang w:val="fr-CA"/>
        </w:rPr>
        <w:t>action en responsabilité délictuelle</w:t>
      </w:r>
      <w:r w:rsidR="00867E5C" w:rsidRPr="00AA6F07">
        <w:rPr>
          <w:lang w:val="fr-CA"/>
        </w:rPr>
        <w:t xml:space="preserve">.  </w:t>
      </w:r>
      <w:r w:rsidR="009D115A" w:rsidRPr="00AA6F07">
        <w:rPr>
          <w:lang w:val="fr-CA"/>
        </w:rPr>
        <w:t>Dans les circonstances de l</w:t>
      </w:r>
      <w:r w:rsidR="002776F8">
        <w:rPr>
          <w:lang w:val="fr-CA"/>
        </w:rPr>
        <w:t>’</w:t>
      </w:r>
      <w:r w:rsidR="009D115A" w:rsidRPr="00AA6F07">
        <w:rPr>
          <w:lang w:val="fr-CA"/>
        </w:rPr>
        <w:t>espèce</w:t>
      </w:r>
      <w:r w:rsidR="000D7EF7">
        <w:rPr>
          <w:lang w:val="fr-CA"/>
        </w:rPr>
        <w:t>,</w:t>
      </w:r>
      <w:r w:rsidR="009D115A" w:rsidRPr="00AA6F07">
        <w:rPr>
          <w:lang w:val="fr-CA"/>
        </w:rPr>
        <w:t xml:space="preserve"> t</w:t>
      </w:r>
      <w:r w:rsidR="00867E5C" w:rsidRPr="00AA6F07">
        <w:rPr>
          <w:lang w:val="fr-CA"/>
        </w:rPr>
        <w:t>outefois, la Cour doit s</w:t>
      </w:r>
      <w:r w:rsidR="002776F8">
        <w:rPr>
          <w:lang w:val="fr-CA"/>
        </w:rPr>
        <w:t>’</w:t>
      </w:r>
      <w:r w:rsidR="00867E5C" w:rsidRPr="00AA6F07">
        <w:rPr>
          <w:lang w:val="fr-CA"/>
        </w:rPr>
        <w:t xml:space="preserve">abstenir de se prononcer de manière définitive sur cette question.  </w:t>
      </w:r>
    </w:p>
    <w:p w:rsidR="00867E5C" w:rsidRPr="00AA6F07" w:rsidRDefault="00867E5C" w:rsidP="00043E6D">
      <w:pPr>
        <w:pStyle w:val="SCCNormalDoubleSpacing"/>
        <w:spacing w:after="480"/>
        <w:rPr>
          <w:lang w:val="fr-CA"/>
        </w:rPr>
      </w:pPr>
      <w:r w:rsidRPr="00AA6F07">
        <w:rPr>
          <w:lang w:val="fr-CA"/>
        </w:rPr>
        <w:tab/>
      </w:r>
      <w:r w:rsidR="009D115A" w:rsidRPr="00AA6F07">
        <w:rPr>
          <w:lang w:val="fr-CA"/>
        </w:rPr>
        <w:t>L</w:t>
      </w:r>
      <w:r w:rsidRPr="00AA6F07">
        <w:rPr>
          <w:lang w:val="fr-CA"/>
        </w:rPr>
        <w:t>e fait d</w:t>
      </w:r>
      <w:r w:rsidR="002776F8">
        <w:rPr>
          <w:lang w:val="fr-CA"/>
        </w:rPr>
        <w:t>’</w:t>
      </w:r>
      <w:r w:rsidRPr="00AA6F07">
        <w:rPr>
          <w:lang w:val="fr-CA"/>
        </w:rPr>
        <w:t>invoquer comme moyens de défense le manquement à l</w:t>
      </w:r>
      <w:r w:rsidR="002776F8">
        <w:rPr>
          <w:lang w:val="fr-CA"/>
        </w:rPr>
        <w:t>’</w:t>
      </w:r>
      <w:r w:rsidRPr="00AA6F07">
        <w:rPr>
          <w:lang w:val="fr-CA"/>
        </w:rPr>
        <w:t>obligation de consultation et la violation de droits issus de traités constituait</w:t>
      </w:r>
      <w:r w:rsidR="009D115A" w:rsidRPr="00AA6F07">
        <w:rPr>
          <w:lang w:val="fr-CA"/>
        </w:rPr>
        <w:t>,</w:t>
      </w:r>
      <w:r w:rsidRPr="00AA6F07">
        <w:rPr>
          <w:lang w:val="fr-CA"/>
        </w:rPr>
        <w:t xml:space="preserve"> </w:t>
      </w:r>
      <w:r w:rsidR="009D115A" w:rsidRPr="00AA6F07">
        <w:rPr>
          <w:lang w:val="fr-CA"/>
        </w:rPr>
        <w:t>dans les circonstances de l</w:t>
      </w:r>
      <w:r w:rsidR="002776F8">
        <w:rPr>
          <w:lang w:val="fr-CA"/>
        </w:rPr>
        <w:t>’</w:t>
      </w:r>
      <w:r w:rsidR="009D115A" w:rsidRPr="00AA6F07">
        <w:rPr>
          <w:lang w:val="fr-CA"/>
        </w:rPr>
        <w:t xml:space="preserve">espèce, </w:t>
      </w:r>
      <w:r w:rsidRPr="00AA6F07">
        <w:rPr>
          <w:lang w:val="fr-CA"/>
        </w:rPr>
        <w:t xml:space="preserve">un abus de procédure.  Ni la </w:t>
      </w:r>
      <w:r w:rsidR="00B90581" w:rsidRPr="00AA6F07">
        <w:rPr>
          <w:lang w:val="fr-CA"/>
        </w:rPr>
        <w:t>P</w:t>
      </w:r>
      <w:r w:rsidRPr="00AA6F07">
        <w:rPr>
          <w:lang w:val="fr-CA"/>
        </w:rPr>
        <w:t xml:space="preserve">remière </w:t>
      </w:r>
      <w:r w:rsidR="00B90581" w:rsidRPr="00AA6F07">
        <w:rPr>
          <w:lang w:val="fr-CA"/>
        </w:rPr>
        <w:t>N</w:t>
      </w:r>
      <w:r w:rsidRPr="00AA6F07">
        <w:rPr>
          <w:lang w:val="fr-CA"/>
        </w:rPr>
        <w:t>ation ni les membres de la collectivité n</w:t>
      </w:r>
      <w:r w:rsidR="002776F8">
        <w:rPr>
          <w:lang w:val="fr-CA"/>
        </w:rPr>
        <w:t>’</w:t>
      </w:r>
      <w:r w:rsidRPr="00AA6F07">
        <w:rPr>
          <w:lang w:val="fr-CA"/>
        </w:rPr>
        <w:t>ont tenté, de quelque manière que ce soit, de contester en justice les permis au moment où la Couronne les a accordés.  S</w:t>
      </w:r>
      <w:r w:rsidR="002776F8">
        <w:rPr>
          <w:lang w:val="fr-CA"/>
        </w:rPr>
        <w:t>’</w:t>
      </w:r>
      <w:r w:rsidRPr="00AA6F07">
        <w:rPr>
          <w:lang w:val="fr-CA"/>
        </w:rPr>
        <w:t>ils l</w:t>
      </w:r>
      <w:r w:rsidR="002776F8">
        <w:rPr>
          <w:lang w:val="fr-CA"/>
        </w:rPr>
        <w:t>’</w:t>
      </w:r>
      <w:r w:rsidRPr="00AA6F07">
        <w:rPr>
          <w:lang w:val="fr-CA"/>
        </w:rPr>
        <w:t>avaient fait, la société forestière n</w:t>
      </w:r>
      <w:r w:rsidR="002776F8">
        <w:rPr>
          <w:lang w:val="fr-CA"/>
        </w:rPr>
        <w:t>’</w:t>
      </w:r>
      <w:r w:rsidRPr="00AA6F07">
        <w:rPr>
          <w:lang w:val="fr-CA"/>
        </w:rPr>
        <w:t>aurait alors pas été amenée à croire qu</w:t>
      </w:r>
      <w:r w:rsidR="002776F8">
        <w:rPr>
          <w:lang w:val="fr-CA"/>
        </w:rPr>
        <w:t>’</w:t>
      </w:r>
      <w:r w:rsidRPr="00AA6F07">
        <w:rPr>
          <w:lang w:val="fr-CA"/>
        </w:rPr>
        <w:t xml:space="preserve">elle pouvait préparer et entreprendre ses opérations.  </w:t>
      </w:r>
      <w:r w:rsidR="00D8549D" w:rsidRPr="00AA6F07">
        <w:rPr>
          <w:lang w:val="fr-CA"/>
        </w:rPr>
        <w:t>En outre, en bloquant l</w:t>
      </w:r>
      <w:r w:rsidR="002776F8">
        <w:rPr>
          <w:lang w:val="fr-CA"/>
        </w:rPr>
        <w:t>’</w:t>
      </w:r>
      <w:r w:rsidR="00D8549D" w:rsidRPr="00AA6F07">
        <w:rPr>
          <w:lang w:val="fr-CA"/>
        </w:rPr>
        <w:t>accès aux sites d</w:t>
      </w:r>
      <w:r w:rsidR="002776F8">
        <w:rPr>
          <w:lang w:val="fr-CA"/>
        </w:rPr>
        <w:t>’</w:t>
      </w:r>
      <w:r w:rsidR="00D8549D" w:rsidRPr="00AA6F07">
        <w:rPr>
          <w:lang w:val="fr-CA"/>
        </w:rPr>
        <w:t>exploitation forestière, les membres de la collectivité n</w:t>
      </w:r>
      <w:r w:rsidR="002776F8">
        <w:rPr>
          <w:lang w:val="fr-CA"/>
        </w:rPr>
        <w:t>’</w:t>
      </w:r>
      <w:r w:rsidR="00D8549D" w:rsidRPr="00AA6F07">
        <w:rPr>
          <w:lang w:val="fr-CA"/>
        </w:rPr>
        <w:t>ont laissé d</w:t>
      </w:r>
      <w:r w:rsidR="002776F8">
        <w:rPr>
          <w:lang w:val="fr-CA"/>
        </w:rPr>
        <w:t>’</w:t>
      </w:r>
      <w:r w:rsidR="00D8549D" w:rsidRPr="00AA6F07">
        <w:rPr>
          <w:lang w:val="fr-CA"/>
        </w:rPr>
        <w:t>autre choix à la société forestière que de s</w:t>
      </w:r>
      <w:r w:rsidR="002776F8">
        <w:rPr>
          <w:lang w:val="fr-CA"/>
        </w:rPr>
        <w:t>’</w:t>
      </w:r>
      <w:r w:rsidR="00D8549D" w:rsidRPr="00AA6F07">
        <w:rPr>
          <w:lang w:val="fr-CA"/>
        </w:rPr>
        <w:t xml:space="preserve">adresser aux tribunaux ou de renoncer à la possibilité de couper du bois après avoir engagé des frais considérables.  Permettre aux membres à ce stade de soulever une défense fondée sur </w:t>
      </w:r>
      <w:r w:rsidR="009D115A" w:rsidRPr="00AA6F07">
        <w:rPr>
          <w:lang w:val="fr-CA"/>
        </w:rPr>
        <w:t>d</w:t>
      </w:r>
      <w:r w:rsidR="00D8549D" w:rsidRPr="00AA6F07">
        <w:rPr>
          <w:lang w:val="fr-CA"/>
        </w:rPr>
        <w:t>es droits issus d</w:t>
      </w:r>
      <w:r w:rsidR="002776F8">
        <w:rPr>
          <w:lang w:val="fr-CA"/>
        </w:rPr>
        <w:t>’</w:t>
      </w:r>
      <w:r w:rsidR="00D8549D" w:rsidRPr="00AA6F07">
        <w:rPr>
          <w:lang w:val="fr-CA"/>
        </w:rPr>
        <w:t>un traité et sur un manquement à l</w:t>
      </w:r>
      <w:r w:rsidR="002776F8">
        <w:rPr>
          <w:lang w:val="fr-CA"/>
        </w:rPr>
        <w:t>’</w:t>
      </w:r>
      <w:r w:rsidR="00D8549D" w:rsidRPr="00AA6F07">
        <w:rPr>
          <w:lang w:val="fr-CA"/>
        </w:rPr>
        <w:t>obligation de consultation équivaudrait à tolérer le recours à l</w:t>
      </w:r>
      <w:r w:rsidR="002776F8">
        <w:rPr>
          <w:lang w:val="fr-CA"/>
        </w:rPr>
        <w:t>’</w:t>
      </w:r>
      <w:proofErr w:type="spellStart"/>
      <w:r w:rsidR="00D8549D" w:rsidRPr="00AA6F07">
        <w:rPr>
          <w:lang w:val="fr-CA"/>
        </w:rPr>
        <w:t>autoredressement</w:t>
      </w:r>
      <w:proofErr w:type="spellEnd"/>
      <w:r w:rsidR="00D8549D" w:rsidRPr="00AA6F07">
        <w:rPr>
          <w:lang w:val="fr-CA"/>
        </w:rPr>
        <w:t xml:space="preserve"> et déconsidérer</w:t>
      </w:r>
      <w:r w:rsidR="009D115A" w:rsidRPr="00AA6F07">
        <w:rPr>
          <w:lang w:val="fr-CA"/>
        </w:rPr>
        <w:t>ait</w:t>
      </w:r>
      <w:r w:rsidR="00D8549D" w:rsidRPr="00AA6F07">
        <w:rPr>
          <w:lang w:val="fr-CA"/>
        </w:rPr>
        <w:t xml:space="preserve"> l</w:t>
      </w:r>
      <w:r w:rsidR="002776F8">
        <w:rPr>
          <w:lang w:val="fr-CA"/>
        </w:rPr>
        <w:t>’</w:t>
      </w:r>
      <w:r w:rsidR="00D8549D" w:rsidRPr="00AA6F07">
        <w:rPr>
          <w:lang w:val="fr-CA"/>
        </w:rPr>
        <w:t xml:space="preserve">administration de la justice.  En outre, on ferait ainsi fi de </w:t>
      </w:r>
      <w:r w:rsidR="00D8549D" w:rsidRPr="00AA6F07">
        <w:rPr>
          <w:lang w:val="fr-CA"/>
        </w:rPr>
        <w:lastRenderedPageBreak/>
        <w:t>l</w:t>
      </w:r>
      <w:r w:rsidR="002776F8">
        <w:rPr>
          <w:lang w:val="fr-CA"/>
        </w:rPr>
        <w:t>’</w:t>
      </w:r>
      <w:r w:rsidR="00D8549D" w:rsidRPr="00AA6F07">
        <w:rPr>
          <w:lang w:val="fr-CA"/>
        </w:rPr>
        <w:t xml:space="preserve">obligation mutuelle de bonne foi qui </w:t>
      </w:r>
      <w:proofErr w:type="spellStart"/>
      <w:r w:rsidR="00D8549D" w:rsidRPr="00AA6F07">
        <w:rPr>
          <w:lang w:val="fr-CA"/>
        </w:rPr>
        <w:t>sous</w:t>
      </w:r>
      <w:r w:rsidR="0042748F" w:rsidRPr="00AA6F07">
        <w:rPr>
          <w:lang w:val="fr-CA"/>
        </w:rPr>
        <w:noBreakHyphen/>
      </w:r>
      <w:r w:rsidR="00D8549D" w:rsidRPr="00AA6F07">
        <w:rPr>
          <w:lang w:val="fr-CA"/>
        </w:rPr>
        <w:t>tend</w:t>
      </w:r>
      <w:proofErr w:type="spellEnd"/>
      <w:r w:rsidR="00D8549D" w:rsidRPr="00AA6F07">
        <w:rPr>
          <w:lang w:val="fr-CA"/>
        </w:rPr>
        <w:t xml:space="preserve"> l</w:t>
      </w:r>
      <w:r w:rsidR="002776F8">
        <w:rPr>
          <w:lang w:val="fr-CA"/>
        </w:rPr>
        <w:t>’</w:t>
      </w:r>
      <w:r w:rsidR="00D8549D" w:rsidRPr="00AA6F07">
        <w:rPr>
          <w:lang w:val="fr-CA"/>
        </w:rPr>
        <w:t xml:space="preserve">obligation constitutionnelle de la Couronne de consulter les Premières Nations.  </w:t>
      </w:r>
    </w:p>
    <w:p w:rsidR="004D7D95" w:rsidRPr="00AA6F07" w:rsidRDefault="004D7D95" w:rsidP="00043E6D">
      <w:pPr>
        <w:pStyle w:val="SCCNormalDoubleSpacing"/>
        <w:keepNext/>
        <w:spacing w:after="720" w:line="240" w:lineRule="auto"/>
        <w:rPr>
          <w:b/>
          <w:lang w:val="fr-CA"/>
        </w:rPr>
      </w:pPr>
      <w:r w:rsidRPr="00AA6F07">
        <w:rPr>
          <w:b/>
          <w:lang w:val="fr-CA"/>
        </w:rPr>
        <w:t>Jurisprudence</w:t>
      </w:r>
    </w:p>
    <w:p w:rsidR="00ED6668" w:rsidRPr="00AA6F07" w:rsidRDefault="004D7D95" w:rsidP="00043E6D">
      <w:pPr>
        <w:pStyle w:val="SCCNormalDoubleSpacing"/>
        <w:spacing w:after="480"/>
        <w:rPr>
          <w:lang w:val="fr-CA"/>
        </w:rPr>
      </w:pPr>
      <w:r w:rsidRPr="00AA6F07">
        <w:rPr>
          <w:lang w:val="fr-CA"/>
        </w:rPr>
        <w:tab/>
      </w:r>
      <w:r w:rsidRPr="00AA6F07">
        <w:rPr>
          <w:b/>
          <w:lang w:val="fr-CA"/>
        </w:rPr>
        <w:t>Arrêts mentionnés</w:t>
      </w:r>
      <w:r w:rsidR="0042748F" w:rsidRPr="00AA6F07">
        <w:rPr>
          <w:b/>
          <w:lang w:val="fr-CA"/>
        </w:rPr>
        <w:t> :</w:t>
      </w:r>
      <w:r w:rsidRPr="00AA6F07">
        <w:rPr>
          <w:lang w:val="fr-CA"/>
        </w:rPr>
        <w:t xml:space="preserve"> </w:t>
      </w:r>
      <w:r w:rsidR="00ED6668" w:rsidRPr="00AA6F07">
        <w:rPr>
          <w:i/>
          <w:szCs w:val="24"/>
          <w:lang w:val="fr-CA"/>
        </w:rPr>
        <w:t xml:space="preserve">Garland c. </w:t>
      </w:r>
      <w:proofErr w:type="spellStart"/>
      <w:r w:rsidR="00ED6668" w:rsidRPr="00AA6F07">
        <w:rPr>
          <w:i/>
          <w:szCs w:val="24"/>
          <w:lang w:val="fr-CA"/>
        </w:rPr>
        <w:t>Consumers</w:t>
      </w:r>
      <w:proofErr w:type="spellEnd"/>
      <w:r w:rsidR="002776F8">
        <w:rPr>
          <w:i/>
          <w:szCs w:val="24"/>
          <w:lang w:val="fr-CA"/>
        </w:rPr>
        <w:t>’</w:t>
      </w:r>
      <w:r w:rsidR="00ED6668" w:rsidRPr="00AA6F07">
        <w:rPr>
          <w:i/>
          <w:szCs w:val="24"/>
          <w:lang w:val="fr-CA"/>
        </w:rPr>
        <w:t xml:space="preserve"> </w:t>
      </w:r>
      <w:proofErr w:type="spellStart"/>
      <w:r w:rsidR="00ED6668" w:rsidRPr="00AA6F07">
        <w:rPr>
          <w:i/>
          <w:szCs w:val="24"/>
          <w:lang w:val="fr-CA"/>
        </w:rPr>
        <w:t>Gas</w:t>
      </w:r>
      <w:proofErr w:type="spellEnd"/>
      <w:r w:rsidR="00ED6668" w:rsidRPr="00AA6F07">
        <w:rPr>
          <w:i/>
          <w:szCs w:val="24"/>
          <w:lang w:val="fr-CA"/>
        </w:rPr>
        <w:t xml:space="preserve"> Co.</w:t>
      </w:r>
      <w:r w:rsidR="00ED6668" w:rsidRPr="00AA6F07">
        <w:rPr>
          <w:szCs w:val="24"/>
          <w:lang w:val="fr-CA"/>
        </w:rPr>
        <w:t xml:space="preserve">, 2004 CSC 25, [2004] 1 R.C.S. 629; </w:t>
      </w:r>
      <w:r w:rsidR="00ED6668" w:rsidRPr="00AA6F07">
        <w:rPr>
          <w:i/>
          <w:szCs w:val="24"/>
          <w:lang w:val="fr-CA"/>
        </w:rPr>
        <w:t xml:space="preserve">Nation </w:t>
      </w:r>
      <w:proofErr w:type="spellStart"/>
      <w:r w:rsidR="00ED6668" w:rsidRPr="00AA6F07">
        <w:rPr>
          <w:i/>
          <w:szCs w:val="24"/>
          <w:lang w:val="fr-CA"/>
        </w:rPr>
        <w:t>haïda</w:t>
      </w:r>
      <w:proofErr w:type="spellEnd"/>
      <w:r w:rsidR="00ED6668" w:rsidRPr="00AA6F07">
        <w:rPr>
          <w:i/>
          <w:szCs w:val="24"/>
          <w:lang w:val="fr-CA"/>
        </w:rPr>
        <w:t xml:space="preserve"> c. </w:t>
      </w:r>
      <w:proofErr w:type="spellStart"/>
      <w:r w:rsidR="00ED6668" w:rsidRPr="00AA6F07">
        <w:rPr>
          <w:i/>
          <w:szCs w:val="24"/>
          <w:lang w:val="fr-CA"/>
        </w:rPr>
        <w:t>Colombie</w:t>
      </w:r>
      <w:r w:rsidR="0042748F" w:rsidRPr="00AA6F07">
        <w:rPr>
          <w:i/>
          <w:szCs w:val="24"/>
          <w:lang w:val="fr-CA"/>
        </w:rPr>
        <w:noBreakHyphen/>
      </w:r>
      <w:r w:rsidR="00ED6668" w:rsidRPr="00AA6F07">
        <w:rPr>
          <w:i/>
          <w:szCs w:val="24"/>
          <w:lang w:val="fr-CA"/>
        </w:rPr>
        <w:t>Britannique</w:t>
      </w:r>
      <w:proofErr w:type="spellEnd"/>
      <w:r w:rsidR="00ED6668" w:rsidRPr="00AA6F07">
        <w:rPr>
          <w:i/>
          <w:szCs w:val="24"/>
          <w:lang w:val="fr-CA"/>
        </w:rPr>
        <w:t xml:space="preserve"> (Ministre des Forêts)</w:t>
      </w:r>
      <w:r w:rsidR="00ED6668" w:rsidRPr="00AA6F07">
        <w:rPr>
          <w:szCs w:val="24"/>
          <w:lang w:val="fr-CA"/>
        </w:rPr>
        <w:t>, 2004 CSC 73, [2004] 3 R.C.S.</w:t>
      </w:r>
      <w:r w:rsidR="00912A1A" w:rsidRPr="00AA6F07">
        <w:rPr>
          <w:szCs w:val="24"/>
          <w:lang w:val="fr-CA"/>
        </w:rPr>
        <w:t xml:space="preserve"> </w:t>
      </w:r>
      <w:r w:rsidR="00ED6668" w:rsidRPr="00AA6F07">
        <w:rPr>
          <w:szCs w:val="24"/>
          <w:lang w:val="fr-CA"/>
        </w:rPr>
        <w:t xml:space="preserve">511; </w:t>
      </w:r>
      <w:r w:rsidR="00ED6668" w:rsidRPr="00AA6F07">
        <w:rPr>
          <w:i/>
          <w:szCs w:val="24"/>
          <w:lang w:val="fr-CA"/>
        </w:rPr>
        <w:t xml:space="preserve">Première nation crie </w:t>
      </w:r>
      <w:proofErr w:type="spellStart"/>
      <w:r w:rsidR="00ED6668" w:rsidRPr="00AA6F07">
        <w:rPr>
          <w:i/>
          <w:szCs w:val="24"/>
          <w:lang w:val="fr-CA"/>
        </w:rPr>
        <w:t>Mikisew</w:t>
      </w:r>
      <w:proofErr w:type="spellEnd"/>
      <w:r w:rsidR="00ED6668" w:rsidRPr="00AA6F07">
        <w:rPr>
          <w:i/>
          <w:szCs w:val="24"/>
          <w:lang w:val="fr-CA"/>
        </w:rPr>
        <w:t xml:space="preserve"> c. Canada (Ministre du Patrimoine canadien)</w:t>
      </w:r>
      <w:r w:rsidR="00ED6668" w:rsidRPr="00AA6F07">
        <w:rPr>
          <w:szCs w:val="24"/>
          <w:lang w:val="fr-CA"/>
        </w:rPr>
        <w:t xml:space="preserve">, 2005 CSC 69, [2005] 3 R.C.S. 388; </w:t>
      </w:r>
      <w:proofErr w:type="spellStart"/>
      <w:r w:rsidR="00ED6668" w:rsidRPr="00AA6F07">
        <w:rPr>
          <w:i/>
          <w:szCs w:val="24"/>
          <w:lang w:val="fr-CA"/>
        </w:rPr>
        <w:t>Beckman</w:t>
      </w:r>
      <w:proofErr w:type="spellEnd"/>
      <w:r w:rsidR="00ED6668" w:rsidRPr="00AA6F07">
        <w:rPr>
          <w:i/>
          <w:szCs w:val="24"/>
          <w:lang w:val="fr-CA"/>
        </w:rPr>
        <w:t xml:space="preserve"> c. Première nation de </w:t>
      </w:r>
      <w:proofErr w:type="spellStart"/>
      <w:r w:rsidR="00ED6668" w:rsidRPr="00AA6F07">
        <w:rPr>
          <w:i/>
          <w:szCs w:val="24"/>
          <w:lang w:val="fr-CA"/>
        </w:rPr>
        <w:t>Little</w:t>
      </w:r>
      <w:proofErr w:type="spellEnd"/>
      <w:r w:rsidR="00ED6668" w:rsidRPr="00AA6F07">
        <w:rPr>
          <w:i/>
          <w:szCs w:val="24"/>
          <w:lang w:val="fr-CA"/>
        </w:rPr>
        <w:t xml:space="preserve"> Salmon/</w:t>
      </w:r>
      <w:proofErr w:type="spellStart"/>
      <w:r w:rsidR="00ED6668" w:rsidRPr="00AA6F07">
        <w:rPr>
          <w:i/>
          <w:szCs w:val="24"/>
          <w:lang w:val="fr-CA"/>
        </w:rPr>
        <w:t>Carmacks</w:t>
      </w:r>
      <w:proofErr w:type="spellEnd"/>
      <w:r w:rsidR="00ED6668" w:rsidRPr="00AA6F07">
        <w:rPr>
          <w:szCs w:val="24"/>
          <w:lang w:val="fr-CA"/>
        </w:rPr>
        <w:t xml:space="preserve">, 2010 CSC 53, [2010] 3 R.C.S. 103; </w:t>
      </w:r>
      <w:r w:rsidR="00ED6668" w:rsidRPr="00AA6F07">
        <w:rPr>
          <w:i/>
          <w:szCs w:val="24"/>
          <w:lang w:val="fr-CA"/>
        </w:rPr>
        <w:t>R. c. Kapp</w:t>
      </w:r>
      <w:r w:rsidR="00ED6668" w:rsidRPr="00AA6F07">
        <w:rPr>
          <w:szCs w:val="24"/>
          <w:lang w:val="fr-CA"/>
        </w:rPr>
        <w:t xml:space="preserve">, 2008 CSC 41, [2008] 2 R.C.S. 483; </w:t>
      </w:r>
      <w:proofErr w:type="spellStart"/>
      <w:r w:rsidR="00ED6668" w:rsidRPr="00AA6F07">
        <w:rPr>
          <w:i/>
          <w:szCs w:val="24"/>
          <w:lang w:val="fr-CA"/>
        </w:rPr>
        <w:t>Delgamuukw</w:t>
      </w:r>
      <w:proofErr w:type="spellEnd"/>
      <w:r w:rsidR="00ED6668" w:rsidRPr="00AA6F07">
        <w:rPr>
          <w:i/>
          <w:szCs w:val="24"/>
          <w:lang w:val="fr-CA"/>
        </w:rPr>
        <w:t xml:space="preserve"> c. </w:t>
      </w:r>
      <w:proofErr w:type="spellStart"/>
      <w:r w:rsidR="00ED6668" w:rsidRPr="00AA6F07">
        <w:rPr>
          <w:i/>
          <w:szCs w:val="24"/>
          <w:lang w:val="fr-CA"/>
        </w:rPr>
        <w:t>Colombie</w:t>
      </w:r>
      <w:r w:rsidR="0042748F" w:rsidRPr="00AA6F07">
        <w:rPr>
          <w:i/>
          <w:szCs w:val="24"/>
          <w:lang w:val="fr-CA"/>
        </w:rPr>
        <w:noBreakHyphen/>
      </w:r>
      <w:r w:rsidR="00ED6668" w:rsidRPr="00AA6F07">
        <w:rPr>
          <w:i/>
          <w:szCs w:val="24"/>
          <w:lang w:val="fr-CA"/>
        </w:rPr>
        <w:t>Britannique</w:t>
      </w:r>
      <w:proofErr w:type="spellEnd"/>
      <w:r w:rsidR="00ED6668" w:rsidRPr="00AA6F07">
        <w:rPr>
          <w:szCs w:val="24"/>
          <w:lang w:val="fr-CA"/>
        </w:rPr>
        <w:t xml:space="preserve">, [1997] 3 R.C.S. 1010; </w:t>
      </w:r>
      <w:r w:rsidR="00ED6668" w:rsidRPr="00AA6F07">
        <w:rPr>
          <w:i/>
          <w:szCs w:val="24"/>
          <w:lang w:val="fr-CA"/>
        </w:rPr>
        <w:t xml:space="preserve">R. c. Van der </w:t>
      </w:r>
      <w:proofErr w:type="spellStart"/>
      <w:r w:rsidR="00ED6668" w:rsidRPr="00AA6F07">
        <w:rPr>
          <w:i/>
          <w:szCs w:val="24"/>
          <w:lang w:val="fr-CA"/>
        </w:rPr>
        <w:t>Peet</w:t>
      </w:r>
      <w:proofErr w:type="spellEnd"/>
      <w:r w:rsidR="00ED6668" w:rsidRPr="00AA6F07">
        <w:rPr>
          <w:szCs w:val="24"/>
          <w:lang w:val="fr-CA"/>
        </w:rPr>
        <w:t xml:space="preserve">, [1996] 2 R.C.S. 507; </w:t>
      </w:r>
      <w:r w:rsidR="00ED6668" w:rsidRPr="00AA6F07">
        <w:rPr>
          <w:i/>
          <w:szCs w:val="24"/>
          <w:lang w:val="fr-CA"/>
        </w:rPr>
        <w:t xml:space="preserve">Première nation Tlingit de </w:t>
      </w:r>
      <w:proofErr w:type="spellStart"/>
      <w:r w:rsidR="00ED6668" w:rsidRPr="00AA6F07">
        <w:rPr>
          <w:i/>
          <w:szCs w:val="24"/>
          <w:lang w:val="fr-CA"/>
        </w:rPr>
        <w:t>Taku</w:t>
      </w:r>
      <w:proofErr w:type="spellEnd"/>
      <w:r w:rsidR="00ED6668" w:rsidRPr="00AA6F07">
        <w:rPr>
          <w:i/>
          <w:szCs w:val="24"/>
          <w:lang w:val="fr-CA"/>
        </w:rPr>
        <w:t xml:space="preserve"> River c. </w:t>
      </w:r>
      <w:proofErr w:type="spellStart"/>
      <w:r w:rsidR="00ED6668" w:rsidRPr="00AA6F07">
        <w:rPr>
          <w:i/>
          <w:szCs w:val="24"/>
          <w:lang w:val="fr-CA"/>
        </w:rPr>
        <w:t>Colombie</w:t>
      </w:r>
      <w:r w:rsidR="0042748F" w:rsidRPr="00AA6F07">
        <w:rPr>
          <w:i/>
          <w:szCs w:val="24"/>
          <w:lang w:val="fr-CA"/>
        </w:rPr>
        <w:noBreakHyphen/>
      </w:r>
      <w:r w:rsidR="00ED6668" w:rsidRPr="00AA6F07">
        <w:rPr>
          <w:i/>
          <w:szCs w:val="24"/>
          <w:lang w:val="fr-CA"/>
        </w:rPr>
        <w:t>Britannique</w:t>
      </w:r>
      <w:proofErr w:type="spellEnd"/>
      <w:r w:rsidR="00ED6668" w:rsidRPr="00AA6F07">
        <w:rPr>
          <w:i/>
          <w:szCs w:val="24"/>
          <w:lang w:val="fr-CA"/>
        </w:rPr>
        <w:t xml:space="preserve"> (Directeur d</w:t>
      </w:r>
      <w:r w:rsidR="002776F8">
        <w:rPr>
          <w:i/>
          <w:szCs w:val="24"/>
          <w:lang w:val="fr-CA"/>
        </w:rPr>
        <w:t>’</w:t>
      </w:r>
      <w:r w:rsidR="00ED6668" w:rsidRPr="00AA6F07">
        <w:rPr>
          <w:i/>
          <w:szCs w:val="24"/>
          <w:lang w:val="fr-CA"/>
        </w:rPr>
        <w:t>évaluation de projet)</w:t>
      </w:r>
      <w:r w:rsidR="00ED6668" w:rsidRPr="00AA6F07">
        <w:rPr>
          <w:szCs w:val="24"/>
          <w:lang w:val="fr-CA"/>
        </w:rPr>
        <w:t>, 2004 CSC 74, [2004] 3 R.C.S. 550;</w:t>
      </w:r>
      <w:r w:rsidR="003F5588" w:rsidRPr="00AA6F07">
        <w:rPr>
          <w:szCs w:val="24"/>
          <w:lang w:val="fr-CA"/>
        </w:rPr>
        <w:t xml:space="preserve"> </w:t>
      </w:r>
      <w:proofErr w:type="spellStart"/>
      <w:r w:rsidR="003F5588" w:rsidRPr="00AA6F07">
        <w:rPr>
          <w:i/>
          <w:szCs w:val="24"/>
          <w:lang w:val="fr-CA"/>
        </w:rPr>
        <w:t>Komoyue</w:t>
      </w:r>
      <w:proofErr w:type="spellEnd"/>
      <w:r w:rsidR="003F5588" w:rsidRPr="00AA6F07">
        <w:rPr>
          <w:i/>
          <w:szCs w:val="24"/>
          <w:lang w:val="fr-CA"/>
        </w:rPr>
        <w:t xml:space="preserve"> </w:t>
      </w:r>
      <w:proofErr w:type="spellStart"/>
      <w:r w:rsidR="003F5588" w:rsidRPr="00AA6F07">
        <w:rPr>
          <w:i/>
          <w:szCs w:val="24"/>
          <w:lang w:val="fr-CA"/>
        </w:rPr>
        <w:t>Heritage</w:t>
      </w:r>
      <w:proofErr w:type="spellEnd"/>
      <w:r w:rsidR="003F5588" w:rsidRPr="00AA6F07">
        <w:rPr>
          <w:i/>
          <w:szCs w:val="24"/>
          <w:lang w:val="fr-CA"/>
        </w:rPr>
        <w:t xml:space="preserve"> Society c. British Columbia (Attorney General)</w:t>
      </w:r>
      <w:r w:rsidR="003F5588" w:rsidRPr="00AA6F07">
        <w:rPr>
          <w:szCs w:val="24"/>
          <w:lang w:val="fr-CA"/>
        </w:rPr>
        <w:t xml:space="preserve">, 2006 BCSC 1517, 55 </w:t>
      </w:r>
      <w:proofErr w:type="spellStart"/>
      <w:r w:rsidR="003F5588" w:rsidRPr="00AA6F07">
        <w:rPr>
          <w:szCs w:val="24"/>
          <w:lang w:val="fr-CA"/>
        </w:rPr>
        <w:t>Admin</w:t>
      </w:r>
      <w:proofErr w:type="spellEnd"/>
      <w:r w:rsidR="003F5588" w:rsidRPr="00AA6F07">
        <w:rPr>
          <w:szCs w:val="24"/>
          <w:lang w:val="fr-CA"/>
        </w:rPr>
        <w:t>. L.R. (4th) 236</w:t>
      </w:r>
      <w:r w:rsidR="00ED6668" w:rsidRPr="00AA6F07">
        <w:rPr>
          <w:szCs w:val="24"/>
          <w:lang w:val="fr-CA"/>
        </w:rPr>
        <w:t xml:space="preserve">; </w:t>
      </w:r>
      <w:r w:rsidR="00ED6668" w:rsidRPr="00AA6F07">
        <w:rPr>
          <w:i/>
          <w:szCs w:val="24"/>
          <w:lang w:val="fr-CA"/>
        </w:rPr>
        <w:t xml:space="preserve">R. c. </w:t>
      </w:r>
      <w:proofErr w:type="spellStart"/>
      <w:r w:rsidR="00ED6668" w:rsidRPr="00AA6F07">
        <w:rPr>
          <w:i/>
          <w:szCs w:val="24"/>
          <w:lang w:val="fr-CA"/>
        </w:rPr>
        <w:t>Sparrow</w:t>
      </w:r>
      <w:proofErr w:type="spellEnd"/>
      <w:r w:rsidR="00ED6668" w:rsidRPr="00AA6F07">
        <w:rPr>
          <w:szCs w:val="24"/>
          <w:lang w:val="fr-CA"/>
        </w:rPr>
        <w:t xml:space="preserve">, [1990] 1 R.C.S. 1075; </w:t>
      </w:r>
      <w:r w:rsidR="00ED6668" w:rsidRPr="00AA6F07">
        <w:rPr>
          <w:i/>
          <w:szCs w:val="24"/>
          <w:lang w:val="fr-CA"/>
        </w:rPr>
        <w:t xml:space="preserve">R. c. </w:t>
      </w:r>
      <w:proofErr w:type="spellStart"/>
      <w:r w:rsidR="00ED6668" w:rsidRPr="00AA6F07">
        <w:rPr>
          <w:i/>
          <w:szCs w:val="24"/>
          <w:lang w:val="fr-CA"/>
        </w:rPr>
        <w:t>Sundown</w:t>
      </w:r>
      <w:proofErr w:type="spellEnd"/>
      <w:r w:rsidR="00ED6668" w:rsidRPr="00AA6F07">
        <w:rPr>
          <w:szCs w:val="24"/>
          <w:lang w:val="fr-CA"/>
        </w:rPr>
        <w:t xml:space="preserve">, [1999] 1 R.C.S. 393; </w:t>
      </w:r>
      <w:r w:rsidR="00ED6668" w:rsidRPr="00AA6F07">
        <w:rPr>
          <w:i/>
          <w:szCs w:val="24"/>
          <w:lang w:val="fr-CA"/>
        </w:rPr>
        <w:t>R. c. Marshall</w:t>
      </w:r>
      <w:r w:rsidR="00ED6668" w:rsidRPr="00AA6F07">
        <w:rPr>
          <w:szCs w:val="24"/>
          <w:lang w:val="fr-CA"/>
        </w:rPr>
        <w:t xml:space="preserve">, [1999] 3 R.C.S. 533; </w:t>
      </w:r>
      <w:r w:rsidR="00ED6668" w:rsidRPr="00AA6F07">
        <w:rPr>
          <w:i/>
          <w:szCs w:val="24"/>
          <w:lang w:val="fr-CA"/>
        </w:rPr>
        <w:t xml:space="preserve">R. c. </w:t>
      </w:r>
      <w:proofErr w:type="spellStart"/>
      <w:r w:rsidR="00ED6668" w:rsidRPr="00AA6F07">
        <w:rPr>
          <w:i/>
          <w:szCs w:val="24"/>
          <w:lang w:val="fr-CA"/>
        </w:rPr>
        <w:t>Sappier</w:t>
      </w:r>
      <w:proofErr w:type="spellEnd"/>
      <w:r w:rsidR="00E23D3E" w:rsidRPr="00AA6F07">
        <w:rPr>
          <w:szCs w:val="24"/>
          <w:lang w:val="fr-CA"/>
        </w:rPr>
        <w:t>, 2006 CSC 54, [2006] 2</w:t>
      </w:r>
      <w:r w:rsidR="00ED6668" w:rsidRPr="00AA6F07">
        <w:rPr>
          <w:szCs w:val="24"/>
          <w:lang w:val="fr-CA"/>
        </w:rPr>
        <w:t xml:space="preserve"> R.C.S. 686; </w:t>
      </w:r>
      <w:r w:rsidR="00ED6668" w:rsidRPr="00AA6F07">
        <w:rPr>
          <w:i/>
          <w:szCs w:val="24"/>
          <w:lang w:val="fr-CA"/>
        </w:rPr>
        <w:t>Toronto (Ville) c. S.C.F.P., section locale 79</w:t>
      </w:r>
      <w:r w:rsidR="00ED6668" w:rsidRPr="00AA6F07">
        <w:rPr>
          <w:szCs w:val="24"/>
          <w:lang w:val="fr-CA"/>
        </w:rPr>
        <w:t xml:space="preserve">, 2003 CSC 63, [2003] 3 R.C.S. 77; </w:t>
      </w:r>
      <w:r w:rsidR="00ED6668" w:rsidRPr="00AA6F07">
        <w:rPr>
          <w:i/>
          <w:szCs w:val="24"/>
          <w:lang w:val="fr-CA"/>
        </w:rPr>
        <w:t xml:space="preserve">R. </w:t>
      </w:r>
      <w:r w:rsidR="00F919BF" w:rsidRPr="00AA6F07">
        <w:rPr>
          <w:i/>
          <w:szCs w:val="24"/>
          <w:lang w:val="fr-CA"/>
        </w:rPr>
        <w:t>c</w:t>
      </w:r>
      <w:r w:rsidR="00ED6668" w:rsidRPr="00AA6F07">
        <w:rPr>
          <w:i/>
          <w:szCs w:val="24"/>
          <w:lang w:val="fr-CA"/>
        </w:rPr>
        <w:t>. Pow</w:t>
      </w:r>
      <w:r w:rsidR="00294663" w:rsidRPr="00AA6F07">
        <w:rPr>
          <w:i/>
          <w:szCs w:val="24"/>
          <w:lang w:val="fr-CA"/>
        </w:rPr>
        <w:t>er</w:t>
      </w:r>
      <w:r w:rsidR="00ED6668" w:rsidRPr="00AA6F07">
        <w:rPr>
          <w:szCs w:val="24"/>
          <w:lang w:val="fr-CA"/>
        </w:rPr>
        <w:t xml:space="preserve">, </w:t>
      </w:r>
      <w:r w:rsidR="00F919BF" w:rsidRPr="00AA6F07">
        <w:rPr>
          <w:szCs w:val="24"/>
          <w:lang w:val="fr-CA"/>
        </w:rPr>
        <w:t>[</w:t>
      </w:r>
      <w:r w:rsidR="00294663" w:rsidRPr="00AA6F07">
        <w:rPr>
          <w:szCs w:val="24"/>
          <w:lang w:val="fr-CA"/>
        </w:rPr>
        <w:t>1994</w:t>
      </w:r>
      <w:r w:rsidR="00F919BF" w:rsidRPr="00AA6F07">
        <w:rPr>
          <w:szCs w:val="24"/>
          <w:lang w:val="fr-CA"/>
        </w:rPr>
        <w:t xml:space="preserve">] </w:t>
      </w:r>
      <w:r w:rsidR="00294663" w:rsidRPr="00AA6F07">
        <w:rPr>
          <w:szCs w:val="24"/>
          <w:lang w:val="fr-CA"/>
        </w:rPr>
        <w:t>1</w:t>
      </w:r>
      <w:r w:rsidR="00F919BF" w:rsidRPr="00AA6F07">
        <w:rPr>
          <w:szCs w:val="24"/>
          <w:lang w:val="fr-CA"/>
        </w:rPr>
        <w:t xml:space="preserve"> R.C.S. </w:t>
      </w:r>
      <w:r w:rsidR="00294663" w:rsidRPr="00AA6F07">
        <w:rPr>
          <w:szCs w:val="24"/>
          <w:lang w:val="fr-CA"/>
        </w:rPr>
        <w:t>601</w:t>
      </w:r>
      <w:r w:rsidR="00ED6668" w:rsidRPr="00AA6F07">
        <w:rPr>
          <w:szCs w:val="24"/>
          <w:lang w:val="fr-CA"/>
        </w:rPr>
        <w:t xml:space="preserve">; </w:t>
      </w:r>
      <w:r w:rsidR="00ED6668" w:rsidRPr="00AA6F07">
        <w:rPr>
          <w:i/>
          <w:szCs w:val="24"/>
          <w:lang w:val="fr-CA"/>
        </w:rPr>
        <w:t xml:space="preserve">R. c. </w:t>
      </w:r>
      <w:proofErr w:type="spellStart"/>
      <w:r w:rsidR="00ED6668" w:rsidRPr="00AA6F07">
        <w:rPr>
          <w:i/>
          <w:szCs w:val="24"/>
          <w:lang w:val="fr-CA"/>
        </w:rPr>
        <w:t>Conway</w:t>
      </w:r>
      <w:proofErr w:type="spellEnd"/>
      <w:r w:rsidR="00ED6668" w:rsidRPr="00AA6F07">
        <w:rPr>
          <w:szCs w:val="24"/>
          <w:lang w:val="fr-CA"/>
        </w:rPr>
        <w:t xml:space="preserve">, [1989] 1 R.C.S. 1659; </w:t>
      </w:r>
      <w:r w:rsidR="00ED6668" w:rsidRPr="00AA6F07">
        <w:rPr>
          <w:i/>
          <w:szCs w:val="24"/>
          <w:lang w:val="fr-CA"/>
        </w:rPr>
        <w:t>R. c. Scott</w:t>
      </w:r>
      <w:r w:rsidR="00ED6668" w:rsidRPr="00AA6F07">
        <w:rPr>
          <w:szCs w:val="24"/>
          <w:lang w:val="fr-CA"/>
        </w:rPr>
        <w:t xml:space="preserve">, [1990] 3 R.C.S. 979; </w:t>
      </w:r>
      <w:proofErr w:type="spellStart"/>
      <w:r w:rsidR="00ED6668" w:rsidRPr="00AA6F07">
        <w:rPr>
          <w:i/>
          <w:szCs w:val="24"/>
          <w:lang w:val="fr-CA"/>
        </w:rPr>
        <w:t>Canam</w:t>
      </w:r>
      <w:proofErr w:type="spellEnd"/>
      <w:r w:rsidR="00ED6668" w:rsidRPr="00AA6F07">
        <w:rPr>
          <w:i/>
          <w:szCs w:val="24"/>
          <w:lang w:val="fr-CA"/>
        </w:rPr>
        <w:t xml:space="preserve"> </w:t>
      </w:r>
      <w:proofErr w:type="spellStart"/>
      <w:r w:rsidR="00ED6668" w:rsidRPr="00AA6F07">
        <w:rPr>
          <w:i/>
          <w:szCs w:val="24"/>
          <w:lang w:val="fr-CA"/>
        </w:rPr>
        <w:t>Enterprises</w:t>
      </w:r>
      <w:proofErr w:type="spellEnd"/>
      <w:r w:rsidR="00ED6668" w:rsidRPr="00AA6F07">
        <w:rPr>
          <w:i/>
          <w:szCs w:val="24"/>
          <w:lang w:val="fr-CA"/>
        </w:rPr>
        <w:t xml:space="preserve"> Inc. c. </w:t>
      </w:r>
      <w:proofErr w:type="spellStart"/>
      <w:r w:rsidR="00ED6668" w:rsidRPr="00AA6F07">
        <w:rPr>
          <w:i/>
          <w:szCs w:val="24"/>
          <w:lang w:val="fr-CA"/>
        </w:rPr>
        <w:t>Coles</w:t>
      </w:r>
      <w:proofErr w:type="spellEnd"/>
      <w:r w:rsidR="00ED6668" w:rsidRPr="00AA6F07">
        <w:rPr>
          <w:szCs w:val="24"/>
          <w:lang w:val="fr-CA"/>
        </w:rPr>
        <w:t xml:space="preserve"> (2000), 51 O.R. (3d) 481, </w:t>
      </w:r>
      <w:r w:rsidR="00F3436D" w:rsidRPr="00AA6F07">
        <w:rPr>
          <w:szCs w:val="24"/>
          <w:lang w:val="fr-CA"/>
        </w:rPr>
        <w:t>inf. pa</w:t>
      </w:r>
      <w:r w:rsidR="00E23D3E" w:rsidRPr="00AA6F07">
        <w:rPr>
          <w:szCs w:val="24"/>
          <w:lang w:val="fr-CA"/>
        </w:rPr>
        <w:t xml:space="preserve">r 2002 CSC 63, </w:t>
      </w:r>
      <w:r w:rsidR="00ED6668" w:rsidRPr="00AA6F07">
        <w:rPr>
          <w:szCs w:val="24"/>
          <w:lang w:val="fr-CA"/>
        </w:rPr>
        <w:t xml:space="preserve">[2002] 3 </w:t>
      </w:r>
      <w:r w:rsidR="00E23D3E" w:rsidRPr="00AA6F07">
        <w:rPr>
          <w:szCs w:val="24"/>
          <w:lang w:val="fr-CA"/>
        </w:rPr>
        <w:t>R.C.S</w:t>
      </w:r>
      <w:r w:rsidR="00ED6668" w:rsidRPr="00AA6F07">
        <w:rPr>
          <w:szCs w:val="24"/>
          <w:lang w:val="fr-CA"/>
        </w:rPr>
        <w:t xml:space="preserve">. 307; </w:t>
      </w:r>
      <w:proofErr w:type="spellStart"/>
      <w:r w:rsidR="00ED6668" w:rsidRPr="00AA6F07">
        <w:rPr>
          <w:i/>
          <w:szCs w:val="24"/>
          <w:lang w:val="fr-CA"/>
        </w:rPr>
        <w:t>Blencoe</w:t>
      </w:r>
      <w:proofErr w:type="spellEnd"/>
      <w:r w:rsidR="00ED6668" w:rsidRPr="00AA6F07">
        <w:rPr>
          <w:i/>
          <w:szCs w:val="24"/>
          <w:lang w:val="fr-CA"/>
        </w:rPr>
        <w:t xml:space="preserve"> c. </w:t>
      </w:r>
      <w:proofErr w:type="spellStart"/>
      <w:r w:rsidR="00ED6668" w:rsidRPr="00AA6F07">
        <w:rPr>
          <w:i/>
          <w:szCs w:val="24"/>
          <w:lang w:val="fr-CA"/>
        </w:rPr>
        <w:t>Colombie</w:t>
      </w:r>
      <w:r w:rsidR="0042748F" w:rsidRPr="00AA6F07">
        <w:rPr>
          <w:i/>
          <w:szCs w:val="24"/>
          <w:lang w:val="fr-CA"/>
        </w:rPr>
        <w:noBreakHyphen/>
      </w:r>
      <w:r w:rsidR="00ED6668" w:rsidRPr="00AA6F07">
        <w:rPr>
          <w:i/>
          <w:szCs w:val="24"/>
          <w:lang w:val="fr-CA"/>
        </w:rPr>
        <w:t>Britannique</w:t>
      </w:r>
      <w:proofErr w:type="spellEnd"/>
      <w:r w:rsidR="00ED6668" w:rsidRPr="00AA6F07">
        <w:rPr>
          <w:i/>
          <w:szCs w:val="24"/>
          <w:lang w:val="fr-CA"/>
        </w:rPr>
        <w:t xml:space="preserve"> (</w:t>
      </w:r>
      <w:proofErr w:type="spellStart"/>
      <w:r w:rsidR="00ED6668" w:rsidRPr="00AA6F07">
        <w:rPr>
          <w:i/>
          <w:szCs w:val="24"/>
          <w:lang w:val="fr-CA"/>
        </w:rPr>
        <w:t>Human</w:t>
      </w:r>
      <w:proofErr w:type="spellEnd"/>
      <w:r w:rsidR="00ED6668" w:rsidRPr="00AA6F07">
        <w:rPr>
          <w:i/>
          <w:szCs w:val="24"/>
          <w:lang w:val="fr-CA"/>
        </w:rPr>
        <w:t xml:space="preserve"> </w:t>
      </w:r>
      <w:proofErr w:type="spellStart"/>
      <w:r w:rsidR="00ED6668" w:rsidRPr="00AA6F07">
        <w:rPr>
          <w:i/>
          <w:szCs w:val="24"/>
          <w:lang w:val="fr-CA"/>
        </w:rPr>
        <w:t>Rights</w:t>
      </w:r>
      <w:proofErr w:type="spellEnd"/>
      <w:r w:rsidR="00ED6668" w:rsidRPr="00AA6F07">
        <w:rPr>
          <w:i/>
          <w:szCs w:val="24"/>
          <w:lang w:val="fr-CA"/>
        </w:rPr>
        <w:t xml:space="preserve"> Commission)</w:t>
      </w:r>
      <w:r w:rsidR="00ED6668" w:rsidRPr="00AA6F07">
        <w:rPr>
          <w:szCs w:val="24"/>
          <w:lang w:val="fr-CA"/>
        </w:rPr>
        <w:t>, 2000 CSC 44, [2000] 2 R.C.S. 307.</w:t>
      </w:r>
    </w:p>
    <w:p w:rsidR="004D7D95" w:rsidRPr="00AA6F07" w:rsidRDefault="004D7D95" w:rsidP="00043E6D">
      <w:pPr>
        <w:pStyle w:val="SCCNormalDoubleSpacing"/>
        <w:keepNext/>
        <w:spacing w:after="720" w:line="240" w:lineRule="auto"/>
        <w:rPr>
          <w:b/>
          <w:lang w:val="fr-CA"/>
        </w:rPr>
      </w:pPr>
      <w:r w:rsidRPr="00AA6F07">
        <w:rPr>
          <w:b/>
          <w:lang w:val="fr-CA"/>
        </w:rPr>
        <w:lastRenderedPageBreak/>
        <w:t>Lois et règlements cités</w:t>
      </w:r>
    </w:p>
    <w:p w:rsidR="00474038" w:rsidRPr="00AA6F07" w:rsidRDefault="000074FF" w:rsidP="00043E6D">
      <w:pPr>
        <w:pStyle w:val="SCCNormalDoubleSpacing"/>
        <w:spacing w:after="240" w:line="240" w:lineRule="auto"/>
        <w:ind w:left="547" w:hanging="547"/>
        <w:rPr>
          <w:lang w:val="fr-CA"/>
        </w:rPr>
      </w:pPr>
      <w:r w:rsidRPr="00AA6F07">
        <w:rPr>
          <w:i/>
          <w:lang w:val="fr-CA"/>
        </w:rPr>
        <w:t xml:space="preserve">Forest </w:t>
      </w:r>
      <w:proofErr w:type="spellStart"/>
      <w:r w:rsidRPr="00AA6F07">
        <w:rPr>
          <w:i/>
          <w:lang w:val="fr-CA"/>
        </w:rPr>
        <w:t>Act</w:t>
      </w:r>
      <w:proofErr w:type="spellEnd"/>
      <w:r w:rsidRPr="00AA6F07">
        <w:rPr>
          <w:lang w:val="fr-CA"/>
        </w:rPr>
        <w:t xml:space="preserve">, R.S.B.C. 1996, </w:t>
      </w:r>
      <w:r w:rsidR="0042748F" w:rsidRPr="00AA6F07">
        <w:rPr>
          <w:lang w:val="fr-CA"/>
        </w:rPr>
        <w:t>ch. </w:t>
      </w:r>
      <w:r w:rsidRPr="00AA6F07">
        <w:rPr>
          <w:lang w:val="fr-CA"/>
        </w:rPr>
        <w:t xml:space="preserve">157.  </w:t>
      </w:r>
    </w:p>
    <w:p w:rsidR="002B6B98" w:rsidRPr="00AA6F07" w:rsidRDefault="002B6B98" w:rsidP="00043E6D">
      <w:pPr>
        <w:pStyle w:val="SCCNormalDoubleSpacing"/>
        <w:spacing w:after="240" w:line="240" w:lineRule="auto"/>
        <w:ind w:left="547" w:hanging="547"/>
        <w:rPr>
          <w:lang w:val="fr-CA"/>
        </w:rPr>
      </w:pPr>
      <w:r w:rsidRPr="00AA6F07">
        <w:rPr>
          <w:i/>
          <w:lang w:val="fr-CA"/>
        </w:rPr>
        <w:t>Loi constitutionnelle de 1982</w:t>
      </w:r>
      <w:r w:rsidRPr="00AA6F07">
        <w:rPr>
          <w:lang w:val="fr-CA"/>
        </w:rPr>
        <w:t xml:space="preserve">, </w:t>
      </w:r>
      <w:r w:rsidR="0042748F" w:rsidRPr="00AA6F07">
        <w:rPr>
          <w:lang w:val="fr-CA"/>
        </w:rPr>
        <w:t>art. </w:t>
      </w:r>
      <w:r w:rsidRPr="00AA6F07">
        <w:rPr>
          <w:lang w:val="fr-CA"/>
        </w:rPr>
        <w:t>35.</w:t>
      </w:r>
    </w:p>
    <w:p w:rsidR="00474038" w:rsidRPr="00AA6F07" w:rsidRDefault="00474038" w:rsidP="00043E6D">
      <w:pPr>
        <w:pStyle w:val="SCCNormalDoubleSpacing"/>
        <w:spacing w:after="240" w:line="240" w:lineRule="auto"/>
        <w:ind w:left="547" w:hanging="547"/>
        <w:rPr>
          <w:lang w:val="en-US"/>
        </w:rPr>
      </w:pPr>
      <w:r w:rsidRPr="00AA6F07">
        <w:rPr>
          <w:i/>
          <w:lang w:val="fr-CA"/>
        </w:rPr>
        <w:t>Loi sur les Indiens</w:t>
      </w:r>
      <w:r w:rsidRPr="00AA6F07">
        <w:rPr>
          <w:lang w:val="fr-CA"/>
        </w:rPr>
        <w:t xml:space="preserve">, L.R.C. 1985, </w:t>
      </w:r>
      <w:r w:rsidR="0042748F" w:rsidRPr="00AA6F07">
        <w:rPr>
          <w:lang w:val="fr-CA"/>
        </w:rPr>
        <w:t>ch. </w:t>
      </w:r>
      <w:r w:rsidRPr="00AA6F07">
        <w:rPr>
          <w:lang w:val="en-US"/>
        </w:rPr>
        <w:t>I</w:t>
      </w:r>
      <w:r w:rsidR="0042748F" w:rsidRPr="00AA6F07">
        <w:rPr>
          <w:lang w:val="en-US"/>
        </w:rPr>
        <w:noBreakHyphen/>
      </w:r>
      <w:r w:rsidRPr="00AA6F07">
        <w:rPr>
          <w:lang w:val="en-US"/>
        </w:rPr>
        <w:t xml:space="preserve">5. </w:t>
      </w:r>
    </w:p>
    <w:p w:rsidR="000074FF" w:rsidRPr="00AA6F07" w:rsidRDefault="000074FF" w:rsidP="00043E6D">
      <w:pPr>
        <w:pStyle w:val="SCCNormalDoubleSpacing"/>
        <w:spacing w:after="240" w:line="240" w:lineRule="auto"/>
        <w:ind w:left="547" w:hanging="547"/>
      </w:pPr>
      <w:r w:rsidRPr="00AA6F07">
        <w:rPr>
          <w:i/>
        </w:rPr>
        <w:t>Supreme Court Civil Rules</w:t>
      </w:r>
      <w:r w:rsidRPr="00AA6F07">
        <w:t xml:space="preserve">, B.C. Reg. 168/2009, </w:t>
      </w:r>
      <w:proofErr w:type="spellStart"/>
      <w:r w:rsidRPr="00AA6F07">
        <w:t>règle</w:t>
      </w:r>
      <w:proofErr w:type="spellEnd"/>
      <w:r w:rsidRPr="00AA6F07">
        <w:t xml:space="preserve"> 9</w:t>
      </w:r>
      <w:r w:rsidR="0042748F" w:rsidRPr="00AA6F07">
        <w:noBreakHyphen/>
      </w:r>
      <w:proofErr w:type="gramStart"/>
      <w:r w:rsidR="00912A1A" w:rsidRPr="00AA6F07">
        <w:t>5(</w:t>
      </w:r>
      <w:proofErr w:type="gramEnd"/>
      <w:r w:rsidR="00912A1A" w:rsidRPr="00AA6F07">
        <w:t>1</w:t>
      </w:r>
      <w:r w:rsidRPr="00AA6F07">
        <w:t>).</w:t>
      </w:r>
    </w:p>
    <w:p w:rsidR="000074FF" w:rsidRPr="00AA6F07" w:rsidRDefault="000074FF" w:rsidP="00043E6D">
      <w:pPr>
        <w:pStyle w:val="SCCNormalDoubleSpacing"/>
        <w:spacing w:after="720" w:line="240" w:lineRule="auto"/>
        <w:ind w:left="547" w:hanging="547"/>
      </w:pPr>
      <w:proofErr w:type="gramStart"/>
      <w:r w:rsidRPr="00AA6F07">
        <w:rPr>
          <w:i/>
        </w:rPr>
        <w:t>Supreme Court Rules</w:t>
      </w:r>
      <w:r w:rsidRPr="00AA6F07">
        <w:t xml:space="preserve">, B.C. Reg. 221/90 [abr.], </w:t>
      </w:r>
      <w:proofErr w:type="spellStart"/>
      <w:r w:rsidRPr="00AA6F07">
        <w:t>règle</w:t>
      </w:r>
      <w:proofErr w:type="spellEnd"/>
      <w:r w:rsidRPr="00AA6F07">
        <w:t xml:space="preserve"> 19(24).</w:t>
      </w:r>
      <w:proofErr w:type="gramEnd"/>
      <w:r w:rsidRPr="00AA6F07">
        <w:t xml:space="preserve"> </w:t>
      </w:r>
    </w:p>
    <w:p w:rsidR="000A603E" w:rsidRPr="00AA6F07" w:rsidRDefault="000A603E" w:rsidP="00043E6D">
      <w:pPr>
        <w:pStyle w:val="SCCNormalDoubleSpacing"/>
        <w:keepNext/>
        <w:spacing w:after="720" w:line="240" w:lineRule="auto"/>
        <w:rPr>
          <w:b/>
          <w:lang w:val="fr-CA"/>
        </w:rPr>
      </w:pPr>
      <w:r w:rsidRPr="00AA6F07">
        <w:rPr>
          <w:b/>
          <w:lang w:val="fr-CA"/>
        </w:rPr>
        <w:t>Traité</w:t>
      </w:r>
      <w:r w:rsidR="00863F82" w:rsidRPr="00AA6F07">
        <w:rPr>
          <w:b/>
          <w:lang w:val="fr-CA"/>
        </w:rPr>
        <w:t>s et conventions</w:t>
      </w:r>
    </w:p>
    <w:p w:rsidR="00863F82" w:rsidRPr="00AA6F07" w:rsidRDefault="00863F82" w:rsidP="00043E6D">
      <w:pPr>
        <w:pStyle w:val="SCCNormalDoubleSpacing"/>
        <w:spacing w:after="720" w:line="240" w:lineRule="auto"/>
        <w:ind w:left="547" w:hanging="547"/>
        <w:rPr>
          <w:lang w:val="fr-CA"/>
        </w:rPr>
      </w:pPr>
      <w:r w:rsidRPr="00AA6F07">
        <w:rPr>
          <w:lang w:val="fr-CA"/>
        </w:rPr>
        <w:t>Traité n</w:t>
      </w:r>
      <w:r w:rsidRPr="00AA6F07">
        <w:rPr>
          <w:vertAlign w:val="superscript"/>
          <w:lang w:val="fr-CA"/>
        </w:rPr>
        <w:t>o</w:t>
      </w:r>
      <w:r w:rsidR="00FC6B48" w:rsidRPr="00AA6F07">
        <w:rPr>
          <w:lang w:val="fr-CA"/>
        </w:rPr>
        <w:t> </w:t>
      </w:r>
      <w:r w:rsidRPr="00AA6F07">
        <w:rPr>
          <w:lang w:val="fr-CA"/>
        </w:rPr>
        <w:t>8 (1899).</w:t>
      </w:r>
    </w:p>
    <w:p w:rsidR="004D7D95" w:rsidRPr="00AA6F07" w:rsidRDefault="004D7D95" w:rsidP="00043E6D">
      <w:pPr>
        <w:pStyle w:val="SCCNormalDoubleSpacing"/>
        <w:keepNext/>
        <w:spacing w:after="720" w:line="240" w:lineRule="auto"/>
        <w:rPr>
          <w:b/>
          <w:lang w:val="fr-CA"/>
        </w:rPr>
      </w:pPr>
      <w:r w:rsidRPr="00AA6F07">
        <w:rPr>
          <w:b/>
          <w:lang w:val="fr-CA"/>
        </w:rPr>
        <w:t>Doctrine et autres documents cités</w:t>
      </w:r>
    </w:p>
    <w:p w:rsidR="008077AB" w:rsidRPr="00AA6F07" w:rsidRDefault="008077AB" w:rsidP="00043E6D">
      <w:pPr>
        <w:pStyle w:val="SCCNormalDoubleSpacing"/>
        <w:spacing w:after="240" w:line="240" w:lineRule="auto"/>
        <w:ind w:left="547" w:hanging="547"/>
      </w:pPr>
      <w:r w:rsidRPr="008065E3">
        <w:rPr>
          <w:lang w:val="en-US"/>
        </w:rPr>
        <w:t>Newman,</w:t>
      </w:r>
      <w:r w:rsidR="00043E6D" w:rsidRPr="008065E3">
        <w:rPr>
          <w:lang w:val="en-US"/>
        </w:rPr>
        <w:t xml:space="preserve"> Dwight </w:t>
      </w:r>
      <w:r w:rsidRPr="008065E3">
        <w:rPr>
          <w:lang w:val="en-US"/>
        </w:rPr>
        <w:t xml:space="preserve">G.  </w:t>
      </w:r>
      <w:r w:rsidRPr="00AA6F07">
        <w:rPr>
          <w:i/>
        </w:rPr>
        <w:t xml:space="preserve">The Duty to </w:t>
      </w:r>
      <w:proofErr w:type="gramStart"/>
      <w:r w:rsidRPr="00AA6F07">
        <w:rPr>
          <w:i/>
        </w:rPr>
        <w:t>Consult</w:t>
      </w:r>
      <w:r w:rsidR="0042748F" w:rsidRPr="00AA6F07">
        <w:rPr>
          <w:i/>
        </w:rPr>
        <w:t> :</w:t>
      </w:r>
      <w:proofErr w:type="gramEnd"/>
      <w:r w:rsidRPr="00AA6F07">
        <w:rPr>
          <w:i/>
        </w:rPr>
        <w:t xml:space="preserve"> New Relationships with Aboriginal Peoples</w:t>
      </w:r>
      <w:r w:rsidRPr="00AA6F07">
        <w:t xml:space="preserve">.  </w:t>
      </w:r>
      <w:proofErr w:type="gramStart"/>
      <w:r w:rsidRPr="00AA6F07">
        <w:t>Saskatoon</w:t>
      </w:r>
      <w:r w:rsidR="0042748F" w:rsidRPr="00AA6F07">
        <w:t> :</w:t>
      </w:r>
      <w:proofErr w:type="gramEnd"/>
      <w:r w:rsidRPr="00AA6F07">
        <w:t xml:space="preserve"> </w:t>
      </w:r>
      <w:proofErr w:type="spellStart"/>
      <w:r w:rsidRPr="00AA6F07">
        <w:t>Purich</w:t>
      </w:r>
      <w:proofErr w:type="spellEnd"/>
      <w:r w:rsidRPr="00AA6F07">
        <w:t>, 2009.</w:t>
      </w:r>
    </w:p>
    <w:p w:rsidR="00F20483" w:rsidRPr="00AA6F07" w:rsidRDefault="00F20483" w:rsidP="00043E6D">
      <w:pPr>
        <w:pStyle w:val="SCCNormalDoubleSpacing"/>
        <w:spacing w:after="240" w:line="240" w:lineRule="auto"/>
        <w:ind w:left="547" w:hanging="547"/>
      </w:pPr>
      <w:proofErr w:type="spellStart"/>
      <w:r w:rsidRPr="00AA6F07">
        <w:t>Perell</w:t>
      </w:r>
      <w:proofErr w:type="spellEnd"/>
      <w:r w:rsidRPr="00AA6F07">
        <w:t>,</w:t>
      </w:r>
      <w:r w:rsidR="00043E6D" w:rsidRPr="00AA6F07">
        <w:t xml:space="preserve"> Paul </w:t>
      </w:r>
      <w:r w:rsidRPr="00AA6F07">
        <w:t xml:space="preserve">M.  </w:t>
      </w:r>
      <w:proofErr w:type="gramStart"/>
      <w:r w:rsidRPr="00AA6F07">
        <w:t>« A Survey of Abuse of Process », in</w:t>
      </w:r>
      <w:r w:rsidR="00043E6D" w:rsidRPr="00AA6F07">
        <w:t xml:space="preserve"> Todd </w:t>
      </w:r>
      <w:r w:rsidRPr="00AA6F07">
        <w:t xml:space="preserve">L. Archibald and Randall Scott Echlin, eds., </w:t>
      </w:r>
      <w:r w:rsidRPr="00AA6F07">
        <w:rPr>
          <w:i/>
        </w:rPr>
        <w:t>Annual Review of Civil Litigation 2007</w:t>
      </w:r>
      <w:r w:rsidRPr="00AA6F07">
        <w:t>.</w:t>
      </w:r>
      <w:proofErr w:type="gramEnd"/>
      <w:r w:rsidRPr="00AA6F07">
        <w:t xml:space="preserve">  </w:t>
      </w:r>
      <w:proofErr w:type="gramStart"/>
      <w:r w:rsidRPr="00AA6F07">
        <w:t>Toronto</w:t>
      </w:r>
      <w:r w:rsidR="0042748F" w:rsidRPr="00AA6F07">
        <w:t> :</w:t>
      </w:r>
      <w:proofErr w:type="gramEnd"/>
      <w:r w:rsidRPr="00AA6F07">
        <w:t xml:space="preserve"> Thomson </w:t>
      </w:r>
      <w:proofErr w:type="spellStart"/>
      <w:r w:rsidRPr="00AA6F07">
        <w:t>Carswell</w:t>
      </w:r>
      <w:proofErr w:type="spellEnd"/>
      <w:r w:rsidRPr="00AA6F07">
        <w:t>, 2007, 243.</w:t>
      </w:r>
    </w:p>
    <w:p w:rsidR="00203B73" w:rsidRPr="00AA6F07" w:rsidRDefault="00203B73" w:rsidP="00043E6D">
      <w:pPr>
        <w:pStyle w:val="SCCNormalDoubleSpacing"/>
        <w:spacing w:after="720" w:line="240" w:lineRule="auto"/>
        <w:ind w:left="547" w:hanging="547"/>
      </w:pPr>
      <w:r w:rsidRPr="00AA6F07">
        <w:t xml:space="preserve">Woodward, Jack.  </w:t>
      </w:r>
      <w:proofErr w:type="gramStart"/>
      <w:r w:rsidRPr="00AA6F07">
        <w:rPr>
          <w:i/>
        </w:rPr>
        <w:t>Native Law</w:t>
      </w:r>
      <w:r w:rsidRPr="00AA6F07">
        <w:t xml:space="preserve">, </w:t>
      </w:r>
      <w:r w:rsidR="0042748F" w:rsidRPr="00AA6F07">
        <w:t>vol. </w:t>
      </w:r>
      <w:r w:rsidRPr="00AA6F07">
        <w:t>1.</w:t>
      </w:r>
      <w:proofErr w:type="gramEnd"/>
      <w:r w:rsidRPr="00AA6F07">
        <w:t xml:space="preserve">  </w:t>
      </w:r>
      <w:proofErr w:type="gramStart"/>
      <w:r w:rsidRPr="00AA6F07">
        <w:t>Toronto</w:t>
      </w:r>
      <w:r w:rsidR="0042748F" w:rsidRPr="00AA6F07">
        <w:t> :</w:t>
      </w:r>
      <w:proofErr w:type="gramEnd"/>
      <w:r w:rsidRPr="00AA6F07">
        <w:t xml:space="preserve"> </w:t>
      </w:r>
      <w:proofErr w:type="spellStart"/>
      <w:r w:rsidRPr="00AA6F07">
        <w:t>Carswell</w:t>
      </w:r>
      <w:proofErr w:type="spellEnd"/>
      <w:r w:rsidRPr="00AA6F07">
        <w:t>, 1994 (loose</w:t>
      </w:r>
      <w:r w:rsidR="0042748F" w:rsidRPr="00AA6F07">
        <w:noBreakHyphen/>
      </w:r>
      <w:r w:rsidR="00043E6D" w:rsidRPr="00AA6F07">
        <w:t>leaf updated 2012, release </w:t>
      </w:r>
      <w:r w:rsidRPr="00AA6F07">
        <w:t xml:space="preserve">5). </w:t>
      </w:r>
    </w:p>
    <w:p w:rsidR="002D45D4" w:rsidRPr="00AA6F07" w:rsidRDefault="004D7D95" w:rsidP="00043E6D">
      <w:pPr>
        <w:pStyle w:val="SCCNormalDoubleSpacing"/>
        <w:spacing w:after="480"/>
        <w:rPr>
          <w:lang w:val="fr-CA"/>
        </w:rPr>
      </w:pPr>
      <w:r w:rsidRPr="00AA6F07">
        <w:rPr>
          <w:lang w:val="en-US"/>
        </w:rPr>
        <w:tab/>
        <w:t xml:space="preserve">POURVOI </w:t>
      </w:r>
      <w:proofErr w:type="spellStart"/>
      <w:r w:rsidRPr="00AA6F07">
        <w:rPr>
          <w:lang w:val="en-US"/>
        </w:rPr>
        <w:t>contre</w:t>
      </w:r>
      <w:proofErr w:type="spellEnd"/>
      <w:r w:rsidRPr="00AA6F07">
        <w:rPr>
          <w:lang w:val="en-US"/>
        </w:rPr>
        <w:t xml:space="preserve"> un </w:t>
      </w:r>
      <w:proofErr w:type="spellStart"/>
      <w:r w:rsidRPr="00AA6F07">
        <w:rPr>
          <w:lang w:val="en-US"/>
        </w:rPr>
        <w:t>arrêt</w:t>
      </w:r>
      <w:proofErr w:type="spellEnd"/>
      <w:r w:rsidRPr="00AA6F07">
        <w:rPr>
          <w:lang w:val="en-US"/>
        </w:rPr>
        <w:t xml:space="preserve"> de la </w:t>
      </w:r>
      <w:proofErr w:type="spellStart"/>
      <w:r w:rsidRPr="00AA6F07">
        <w:rPr>
          <w:lang w:val="en-US"/>
        </w:rPr>
        <w:t>Cour</w:t>
      </w:r>
      <w:proofErr w:type="spellEnd"/>
      <w:r w:rsidRPr="00AA6F07">
        <w:rPr>
          <w:lang w:val="en-US"/>
        </w:rPr>
        <w:t xml:space="preserve"> </w:t>
      </w:r>
      <w:proofErr w:type="spellStart"/>
      <w:r w:rsidRPr="00AA6F07">
        <w:rPr>
          <w:lang w:val="en-US"/>
        </w:rPr>
        <w:t>d</w:t>
      </w:r>
      <w:r w:rsidR="002776F8">
        <w:rPr>
          <w:lang w:val="en-US"/>
        </w:rPr>
        <w:t>’</w:t>
      </w:r>
      <w:r w:rsidRPr="00AA6F07">
        <w:rPr>
          <w:lang w:val="en-US"/>
        </w:rPr>
        <w:t>appel</w:t>
      </w:r>
      <w:proofErr w:type="spellEnd"/>
      <w:r w:rsidRPr="00AA6F07">
        <w:rPr>
          <w:lang w:val="en-US"/>
        </w:rPr>
        <w:t xml:space="preserve"> de la </w:t>
      </w:r>
      <w:proofErr w:type="spellStart"/>
      <w:r w:rsidRPr="00AA6F07">
        <w:rPr>
          <w:lang w:val="en-US"/>
        </w:rPr>
        <w:t>Colombie</w:t>
      </w:r>
      <w:r w:rsidR="0042748F" w:rsidRPr="00AA6F07">
        <w:rPr>
          <w:lang w:val="en-US"/>
        </w:rPr>
        <w:noBreakHyphen/>
      </w:r>
      <w:r w:rsidRPr="00AA6F07">
        <w:rPr>
          <w:lang w:val="en-US"/>
        </w:rPr>
        <w:t>Britannique</w:t>
      </w:r>
      <w:proofErr w:type="spellEnd"/>
      <w:r w:rsidRPr="00AA6F07">
        <w:rPr>
          <w:lang w:val="en-US"/>
        </w:rPr>
        <w:t xml:space="preserve"> </w:t>
      </w:r>
      <w:r w:rsidR="002D45D4" w:rsidRPr="00AA6F07">
        <w:rPr>
          <w:lang w:val="en-US"/>
        </w:rPr>
        <w:t xml:space="preserve">(les </w:t>
      </w:r>
      <w:proofErr w:type="spellStart"/>
      <w:r w:rsidR="002D45D4" w:rsidRPr="00AA6F07">
        <w:rPr>
          <w:lang w:val="en-US"/>
        </w:rPr>
        <w:t>juges</w:t>
      </w:r>
      <w:proofErr w:type="spellEnd"/>
      <w:r w:rsidR="002D45D4" w:rsidRPr="00AA6F07">
        <w:rPr>
          <w:lang w:val="en-US"/>
        </w:rPr>
        <w:t xml:space="preserve"> Saunders, </w:t>
      </w:r>
      <w:proofErr w:type="spellStart"/>
      <w:r w:rsidR="002D45D4" w:rsidRPr="00AA6F07">
        <w:rPr>
          <w:lang w:val="en-US"/>
        </w:rPr>
        <w:t>Chiasson</w:t>
      </w:r>
      <w:proofErr w:type="spellEnd"/>
      <w:r w:rsidR="002D45D4" w:rsidRPr="00AA6F07">
        <w:rPr>
          <w:lang w:val="en-US"/>
        </w:rPr>
        <w:t xml:space="preserve"> et Frankel), 2011 BCCA 311, 20 B.C.L.R. (5th) 35, 309 B.C.A.C. 15, 523 W.A.C. 15, [2011] 3 C.N.L.R. 271, 335 D.L.R. (4th) 330, [2011] B.C.J. </w:t>
      </w:r>
      <w:r w:rsidR="0042748F" w:rsidRPr="00AA6F07">
        <w:rPr>
          <w:lang w:val="en-US"/>
        </w:rPr>
        <w:t>No. </w:t>
      </w:r>
      <w:r w:rsidR="002D45D4" w:rsidRPr="00AA6F07">
        <w:rPr>
          <w:lang w:val="en-US"/>
        </w:rPr>
        <w:t xml:space="preserve">1271 (QL), 2011 </w:t>
      </w:r>
      <w:proofErr w:type="spellStart"/>
      <w:r w:rsidR="002D45D4" w:rsidRPr="00AA6F07">
        <w:rPr>
          <w:lang w:val="en-US"/>
        </w:rPr>
        <w:t>CarswellBC</w:t>
      </w:r>
      <w:proofErr w:type="spellEnd"/>
      <w:r w:rsidR="002D45D4" w:rsidRPr="00AA6F07">
        <w:rPr>
          <w:lang w:val="en-US"/>
        </w:rPr>
        <w:t xml:space="preserve"> 1693, qui a </w:t>
      </w:r>
      <w:proofErr w:type="spellStart"/>
      <w:r w:rsidR="002D45D4" w:rsidRPr="00AA6F07">
        <w:rPr>
          <w:lang w:val="en-US"/>
        </w:rPr>
        <w:t>confirmé</w:t>
      </w:r>
      <w:proofErr w:type="spellEnd"/>
      <w:r w:rsidR="002D45D4" w:rsidRPr="00AA6F07">
        <w:rPr>
          <w:lang w:val="en-US"/>
        </w:rPr>
        <w:t xml:space="preserve"> </w:t>
      </w:r>
      <w:proofErr w:type="spellStart"/>
      <w:r w:rsidR="002D45D4" w:rsidRPr="00AA6F07">
        <w:rPr>
          <w:lang w:val="en-US"/>
        </w:rPr>
        <w:t>une</w:t>
      </w:r>
      <w:proofErr w:type="spellEnd"/>
      <w:r w:rsidR="002D45D4" w:rsidRPr="00AA6F07">
        <w:rPr>
          <w:lang w:val="en-US"/>
        </w:rPr>
        <w:t xml:space="preserve"> </w:t>
      </w:r>
      <w:proofErr w:type="spellStart"/>
      <w:r w:rsidR="002D45D4" w:rsidRPr="00AA6F07">
        <w:rPr>
          <w:lang w:val="en-US"/>
        </w:rPr>
        <w:t>décision</w:t>
      </w:r>
      <w:proofErr w:type="spellEnd"/>
      <w:r w:rsidR="002D45D4" w:rsidRPr="00AA6F07">
        <w:rPr>
          <w:lang w:val="en-US"/>
        </w:rPr>
        <w:t xml:space="preserve"> du </w:t>
      </w:r>
      <w:proofErr w:type="spellStart"/>
      <w:r w:rsidR="002D45D4" w:rsidRPr="00AA6F07">
        <w:rPr>
          <w:lang w:val="en-US"/>
        </w:rPr>
        <w:lastRenderedPageBreak/>
        <w:t>juge</w:t>
      </w:r>
      <w:proofErr w:type="spellEnd"/>
      <w:r w:rsidR="002D45D4" w:rsidRPr="00AA6F07">
        <w:rPr>
          <w:lang w:val="en-US"/>
        </w:rPr>
        <w:t xml:space="preserve"> </w:t>
      </w:r>
      <w:proofErr w:type="spellStart"/>
      <w:r w:rsidR="002D45D4" w:rsidRPr="00AA6F07">
        <w:rPr>
          <w:lang w:val="en-US"/>
        </w:rPr>
        <w:t>Hinkson</w:t>
      </w:r>
      <w:proofErr w:type="spellEnd"/>
      <w:r w:rsidR="002D45D4" w:rsidRPr="00AA6F07">
        <w:rPr>
          <w:lang w:val="en-US"/>
        </w:rPr>
        <w:t xml:space="preserve">, 2010 BCSC 506, [2010] 4 C.N.L.R. 132, [2010] B.C.J. </w:t>
      </w:r>
      <w:r w:rsidR="0042748F" w:rsidRPr="00AA6F07">
        <w:rPr>
          <w:lang w:val="en-US"/>
        </w:rPr>
        <w:t>No. </w:t>
      </w:r>
      <w:r w:rsidR="002D45D4" w:rsidRPr="00AA6F07">
        <w:rPr>
          <w:lang w:val="en-US"/>
        </w:rPr>
        <w:t xml:space="preserve">665 (QL), 2010 </w:t>
      </w:r>
      <w:proofErr w:type="spellStart"/>
      <w:r w:rsidR="002D45D4" w:rsidRPr="00AA6F07">
        <w:rPr>
          <w:lang w:val="en-US"/>
        </w:rPr>
        <w:t>CarswellBC</w:t>
      </w:r>
      <w:proofErr w:type="spellEnd"/>
      <w:r w:rsidR="002D45D4" w:rsidRPr="00AA6F07">
        <w:rPr>
          <w:lang w:val="en-US"/>
        </w:rPr>
        <w:t xml:space="preserve"> 889.  </w:t>
      </w:r>
      <w:r w:rsidR="002D45D4" w:rsidRPr="00AA6F07">
        <w:rPr>
          <w:lang w:val="fr-CA"/>
        </w:rPr>
        <w:t>Pourvoi rejeté.</w:t>
      </w:r>
    </w:p>
    <w:p w:rsidR="00A20ABC" w:rsidRPr="00AA6F07" w:rsidRDefault="00043E6D" w:rsidP="00043E6D">
      <w:pPr>
        <w:pStyle w:val="SCCNormalDoubleSpacing"/>
        <w:spacing w:after="480"/>
        <w:rPr>
          <w:lang w:val="fr-CA"/>
        </w:rPr>
      </w:pPr>
      <w:r w:rsidRPr="002776F8">
        <w:rPr>
          <w:i/>
          <w:lang w:val="fr-CA"/>
        </w:rPr>
        <w:tab/>
        <w:t>Robert </w:t>
      </w:r>
      <w:r w:rsidR="00951FA5" w:rsidRPr="002776F8">
        <w:rPr>
          <w:i/>
          <w:lang w:val="fr-CA"/>
        </w:rPr>
        <w:t>J.</w:t>
      </w:r>
      <w:r w:rsidRPr="002776F8">
        <w:rPr>
          <w:i/>
          <w:lang w:val="fr-CA"/>
        </w:rPr>
        <w:t> </w:t>
      </w:r>
      <w:r w:rsidR="00951FA5" w:rsidRPr="002776F8">
        <w:rPr>
          <w:i/>
          <w:lang w:val="fr-CA"/>
        </w:rPr>
        <w:t xml:space="preserve">M. </w:t>
      </w:r>
      <w:proofErr w:type="spellStart"/>
      <w:r w:rsidR="00951FA5" w:rsidRPr="002776F8">
        <w:rPr>
          <w:i/>
          <w:lang w:val="fr-CA"/>
        </w:rPr>
        <w:t>Janes</w:t>
      </w:r>
      <w:proofErr w:type="spellEnd"/>
      <w:r w:rsidR="00BE46C2" w:rsidRPr="00D11570">
        <w:rPr>
          <w:lang w:val="fr-CA"/>
        </w:rPr>
        <w:t xml:space="preserve"> et</w:t>
      </w:r>
      <w:r w:rsidR="00951FA5" w:rsidRPr="00AA6F07">
        <w:rPr>
          <w:lang w:val="fr-CA"/>
        </w:rPr>
        <w:t xml:space="preserve"> </w:t>
      </w:r>
      <w:proofErr w:type="spellStart"/>
      <w:r w:rsidR="00951FA5" w:rsidRPr="002776F8">
        <w:rPr>
          <w:i/>
          <w:lang w:val="fr-CA"/>
        </w:rPr>
        <w:t>Karey</w:t>
      </w:r>
      <w:proofErr w:type="spellEnd"/>
      <w:r w:rsidRPr="002776F8">
        <w:rPr>
          <w:i/>
          <w:lang w:val="fr-CA"/>
        </w:rPr>
        <w:t> </w:t>
      </w:r>
      <w:r w:rsidR="00BE46C2" w:rsidRPr="002776F8">
        <w:rPr>
          <w:i/>
          <w:lang w:val="fr-CA"/>
        </w:rPr>
        <w:t xml:space="preserve">M. </w:t>
      </w:r>
      <w:r w:rsidR="00951FA5" w:rsidRPr="002776F8">
        <w:rPr>
          <w:i/>
          <w:lang w:val="fr-CA"/>
        </w:rPr>
        <w:t>Brooks</w:t>
      </w:r>
      <w:r w:rsidR="00951FA5" w:rsidRPr="00AA6F07">
        <w:rPr>
          <w:lang w:val="fr-CA"/>
        </w:rPr>
        <w:t>, pour l</w:t>
      </w:r>
      <w:r w:rsidR="00BE46C2" w:rsidRPr="00AA6F07">
        <w:rPr>
          <w:lang w:val="fr-CA"/>
        </w:rPr>
        <w:t xml:space="preserve">es </w:t>
      </w:r>
      <w:r w:rsidR="00951FA5" w:rsidRPr="00AA6F07">
        <w:rPr>
          <w:lang w:val="fr-CA"/>
        </w:rPr>
        <w:t>appelant</w:t>
      </w:r>
      <w:r w:rsidR="00BE46C2" w:rsidRPr="00AA6F07">
        <w:rPr>
          <w:lang w:val="fr-CA"/>
        </w:rPr>
        <w:t>s</w:t>
      </w:r>
      <w:r w:rsidR="00951FA5" w:rsidRPr="00AA6F07">
        <w:rPr>
          <w:lang w:val="fr-CA"/>
        </w:rPr>
        <w:t>.</w:t>
      </w:r>
    </w:p>
    <w:p w:rsidR="00A20ABC" w:rsidRPr="00AA6F07" w:rsidRDefault="00951FA5" w:rsidP="00043E6D">
      <w:pPr>
        <w:pStyle w:val="SCCNormalDoubleSpacing"/>
        <w:spacing w:after="480"/>
        <w:rPr>
          <w:lang w:val="fr-CA"/>
        </w:rPr>
      </w:pPr>
      <w:r w:rsidRPr="002776F8">
        <w:rPr>
          <w:i/>
          <w:lang w:val="fr-CA"/>
        </w:rPr>
        <w:tab/>
        <w:t>Charles</w:t>
      </w:r>
      <w:r w:rsidR="00043E6D" w:rsidRPr="002776F8">
        <w:rPr>
          <w:i/>
          <w:lang w:val="fr-CA"/>
        </w:rPr>
        <w:t> </w:t>
      </w:r>
      <w:r w:rsidRPr="002776F8">
        <w:rPr>
          <w:i/>
          <w:lang w:val="fr-CA"/>
        </w:rPr>
        <w:t xml:space="preserve">F. </w:t>
      </w:r>
      <w:proofErr w:type="spellStart"/>
      <w:r w:rsidRPr="002776F8">
        <w:rPr>
          <w:i/>
          <w:lang w:val="fr-CA"/>
        </w:rPr>
        <w:t>Willms</w:t>
      </w:r>
      <w:proofErr w:type="spellEnd"/>
      <w:r w:rsidRPr="00AA6F07">
        <w:rPr>
          <w:lang w:val="fr-CA"/>
        </w:rPr>
        <w:t xml:space="preserve"> et </w:t>
      </w:r>
      <w:r w:rsidR="005A1A4A" w:rsidRPr="00AA6F07">
        <w:rPr>
          <w:i/>
          <w:lang w:val="fr-CA"/>
        </w:rPr>
        <w:t xml:space="preserve">Bridget </w:t>
      </w:r>
      <w:proofErr w:type="spellStart"/>
      <w:r w:rsidR="005A1A4A" w:rsidRPr="00AA6F07">
        <w:rPr>
          <w:i/>
          <w:lang w:val="fr-CA"/>
        </w:rPr>
        <w:t>Gilbride</w:t>
      </w:r>
      <w:proofErr w:type="spellEnd"/>
      <w:r w:rsidR="005A1A4A" w:rsidRPr="00AA6F07">
        <w:rPr>
          <w:lang w:val="fr-CA"/>
        </w:rPr>
        <w:t xml:space="preserve">, </w:t>
      </w:r>
      <w:r w:rsidRPr="00AA6F07">
        <w:rPr>
          <w:lang w:val="fr-CA"/>
        </w:rPr>
        <w:t>pour l</w:t>
      </w:r>
      <w:r w:rsidR="002776F8">
        <w:rPr>
          <w:lang w:val="fr-CA"/>
        </w:rPr>
        <w:t>’</w:t>
      </w:r>
      <w:r w:rsidRPr="00AA6F07">
        <w:rPr>
          <w:lang w:val="fr-CA"/>
        </w:rPr>
        <w:t>intimée</w:t>
      </w:r>
      <w:r w:rsidR="005A1A4A" w:rsidRPr="00AA6F07">
        <w:rPr>
          <w:lang w:val="fr-CA"/>
        </w:rPr>
        <w:t xml:space="preserve"> </w:t>
      </w:r>
      <w:proofErr w:type="spellStart"/>
      <w:r w:rsidR="005A1A4A" w:rsidRPr="00AA6F07">
        <w:rPr>
          <w:lang w:val="fr-CA"/>
        </w:rPr>
        <w:t>Moulton</w:t>
      </w:r>
      <w:proofErr w:type="spellEnd"/>
      <w:r w:rsidR="005A1A4A" w:rsidRPr="00AA6F07">
        <w:rPr>
          <w:lang w:val="fr-CA"/>
        </w:rPr>
        <w:t xml:space="preserve"> </w:t>
      </w:r>
      <w:proofErr w:type="spellStart"/>
      <w:r w:rsidR="005A1A4A" w:rsidRPr="00AA6F07">
        <w:rPr>
          <w:lang w:val="fr-CA"/>
        </w:rPr>
        <w:t>Contracting</w:t>
      </w:r>
      <w:proofErr w:type="spellEnd"/>
      <w:r w:rsidR="005A1A4A" w:rsidRPr="00AA6F07">
        <w:rPr>
          <w:lang w:val="fr-CA"/>
        </w:rPr>
        <w:t xml:space="preserve"> Ltd</w:t>
      </w:r>
      <w:r w:rsidRPr="00AA6F07">
        <w:rPr>
          <w:lang w:val="fr-CA"/>
        </w:rPr>
        <w:t>.</w:t>
      </w:r>
    </w:p>
    <w:p w:rsidR="00A20ABC" w:rsidRPr="00AA6F07" w:rsidRDefault="00951FA5" w:rsidP="00043E6D">
      <w:pPr>
        <w:pStyle w:val="SCCNormalDoubleSpacing"/>
        <w:spacing w:after="480"/>
        <w:rPr>
          <w:lang w:val="fr-CA"/>
        </w:rPr>
      </w:pPr>
      <w:r w:rsidRPr="002776F8">
        <w:rPr>
          <w:i/>
          <w:lang w:val="fr-CA"/>
        </w:rPr>
        <w:tab/>
        <w:t>Keith</w:t>
      </w:r>
      <w:r w:rsidR="00043E6D" w:rsidRPr="002776F8">
        <w:rPr>
          <w:i/>
          <w:lang w:val="fr-CA"/>
        </w:rPr>
        <w:t> </w:t>
      </w:r>
      <w:r w:rsidRPr="002776F8">
        <w:rPr>
          <w:i/>
          <w:lang w:val="fr-CA"/>
        </w:rPr>
        <w:t>J. Phillips</w:t>
      </w:r>
      <w:r w:rsidRPr="00AA6F07">
        <w:rPr>
          <w:lang w:val="fr-CA"/>
        </w:rPr>
        <w:t xml:space="preserve"> et </w:t>
      </w:r>
      <w:proofErr w:type="spellStart"/>
      <w:r w:rsidRPr="002776F8">
        <w:rPr>
          <w:i/>
          <w:lang w:val="fr-CA"/>
        </w:rPr>
        <w:t>Joel</w:t>
      </w:r>
      <w:proofErr w:type="spellEnd"/>
      <w:r w:rsidRPr="002776F8">
        <w:rPr>
          <w:i/>
          <w:lang w:val="fr-CA"/>
        </w:rPr>
        <w:t xml:space="preserve"> Oliphant</w:t>
      </w:r>
      <w:r w:rsidR="009A5982" w:rsidRPr="00AA6F07">
        <w:rPr>
          <w:lang w:val="fr-CA"/>
        </w:rPr>
        <w:t>, pour l</w:t>
      </w:r>
      <w:r w:rsidR="002776F8">
        <w:rPr>
          <w:lang w:val="fr-CA"/>
        </w:rPr>
        <w:t>’</w:t>
      </w:r>
      <w:r w:rsidRPr="00AA6F07">
        <w:rPr>
          <w:lang w:val="fr-CA"/>
        </w:rPr>
        <w:t>intimée</w:t>
      </w:r>
      <w:r w:rsidR="009A5982" w:rsidRPr="00AA6F07">
        <w:rPr>
          <w:lang w:val="fr-CA"/>
        </w:rPr>
        <w:t xml:space="preserve"> Sa Majesté la Reine du chef de la province de la </w:t>
      </w:r>
      <w:proofErr w:type="spellStart"/>
      <w:r w:rsidR="009A5982" w:rsidRPr="00AA6F07">
        <w:rPr>
          <w:lang w:val="fr-CA"/>
        </w:rPr>
        <w:t>Colombie</w:t>
      </w:r>
      <w:r w:rsidR="0042748F" w:rsidRPr="00AA6F07">
        <w:rPr>
          <w:lang w:val="fr-CA"/>
        </w:rPr>
        <w:noBreakHyphen/>
      </w:r>
      <w:r w:rsidR="009A5982" w:rsidRPr="00AA6F07">
        <w:rPr>
          <w:lang w:val="fr-CA"/>
        </w:rPr>
        <w:t>Britannique</w:t>
      </w:r>
      <w:proofErr w:type="spellEnd"/>
      <w:r w:rsidRPr="00AA6F07">
        <w:rPr>
          <w:lang w:val="fr-CA"/>
        </w:rPr>
        <w:t>.</w:t>
      </w:r>
    </w:p>
    <w:p w:rsidR="00711E05" w:rsidRPr="00AA6F07" w:rsidRDefault="00711E05" w:rsidP="00043E6D">
      <w:pPr>
        <w:pStyle w:val="SCCNormalDoubleSpacing"/>
        <w:spacing w:after="480"/>
        <w:rPr>
          <w:lang w:val="fr-CA"/>
        </w:rPr>
      </w:pPr>
      <w:r w:rsidRPr="002776F8">
        <w:rPr>
          <w:i/>
          <w:lang w:val="fr-CA"/>
        </w:rPr>
        <w:tab/>
        <w:t>Brian McLaughlin</w:t>
      </w:r>
      <w:r w:rsidRPr="00AA6F07">
        <w:rPr>
          <w:lang w:val="fr-CA"/>
        </w:rPr>
        <w:t>, pour l</w:t>
      </w:r>
      <w:r w:rsidR="002776F8">
        <w:rPr>
          <w:lang w:val="fr-CA"/>
        </w:rPr>
        <w:t>’</w:t>
      </w:r>
      <w:r w:rsidRPr="00AA6F07">
        <w:rPr>
          <w:lang w:val="fr-CA"/>
        </w:rPr>
        <w:t>intervenant le procureur général du Canada.</w:t>
      </w:r>
    </w:p>
    <w:p w:rsidR="00A20ABC" w:rsidRPr="00AA6F07" w:rsidRDefault="00951FA5" w:rsidP="00043E6D">
      <w:pPr>
        <w:pStyle w:val="SCCNormalDoubleSpacing"/>
        <w:spacing w:after="480"/>
        <w:rPr>
          <w:lang w:val="fr-CA"/>
        </w:rPr>
      </w:pPr>
      <w:r w:rsidRPr="002776F8">
        <w:rPr>
          <w:i/>
          <w:lang w:val="fr-CA"/>
        </w:rPr>
        <w:tab/>
      </w:r>
      <w:proofErr w:type="spellStart"/>
      <w:r w:rsidRPr="002776F8">
        <w:rPr>
          <w:i/>
          <w:lang w:val="fr-CA"/>
        </w:rPr>
        <w:t>Allisun</w:t>
      </w:r>
      <w:proofErr w:type="spellEnd"/>
      <w:r w:rsidRPr="002776F8">
        <w:rPr>
          <w:i/>
          <w:lang w:val="fr-CA"/>
        </w:rPr>
        <w:t xml:space="preserve"> </w:t>
      </w:r>
      <w:proofErr w:type="spellStart"/>
      <w:r w:rsidRPr="002776F8">
        <w:rPr>
          <w:i/>
          <w:lang w:val="fr-CA"/>
        </w:rPr>
        <w:t>Rana</w:t>
      </w:r>
      <w:proofErr w:type="spellEnd"/>
      <w:r w:rsidRPr="00AA6F07">
        <w:rPr>
          <w:lang w:val="fr-CA"/>
        </w:rPr>
        <w:t xml:space="preserve"> et </w:t>
      </w:r>
      <w:r w:rsidRPr="002776F8">
        <w:rPr>
          <w:i/>
          <w:lang w:val="fr-CA"/>
        </w:rPr>
        <w:t xml:space="preserve">Julie </w:t>
      </w:r>
      <w:proofErr w:type="spellStart"/>
      <w:r w:rsidRPr="002776F8">
        <w:rPr>
          <w:i/>
          <w:lang w:val="fr-CA"/>
        </w:rPr>
        <w:t>Tannahill</w:t>
      </w:r>
      <w:proofErr w:type="spellEnd"/>
      <w:r w:rsidRPr="00AA6F07">
        <w:rPr>
          <w:lang w:val="fr-CA"/>
        </w:rPr>
        <w:t>, pour l</w:t>
      </w:r>
      <w:r w:rsidR="00BA4975" w:rsidRPr="00AA6F07">
        <w:rPr>
          <w:lang w:val="fr-CA"/>
        </w:rPr>
        <w:t xml:space="preserve">es </w:t>
      </w:r>
      <w:r w:rsidRPr="00AA6F07">
        <w:rPr>
          <w:lang w:val="fr-CA"/>
        </w:rPr>
        <w:t>intervenant</w:t>
      </w:r>
      <w:r w:rsidR="00BA4975" w:rsidRPr="00AA6F07">
        <w:rPr>
          <w:lang w:val="fr-CA"/>
        </w:rPr>
        <w:t>s</w:t>
      </w:r>
      <w:r w:rsidRPr="00AA6F07">
        <w:rPr>
          <w:lang w:val="fr-CA"/>
        </w:rPr>
        <w:t xml:space="preserve"> Chef Liz Logan, en son nom et </w:t>
      </w:r>
      <w:r w:rsidR="009D115A" w:rsidRPr="00AA6F07">
        <w:rPr>
          <w:lang w:val="fr-CA"/>
        </w:rPr>
        <w:t xml:space="preserve">au nom </w:t>
      </w:r>
      <w:r w:rsidRPr="00AA6F07">
        <w:rPr>
          <w:lang w:val="fr-CA"/>
        </w:rPr>
        <w:t xml:space="preserve">de tous les autres membres de la </w:t>
      </w:r>
      <w:r w:rsidR="002D7F59" w:rsidRPr="00AA6F07">
        <w:rPr>
          <w:lang w:val="fr-CA"/>
        </w:rPr>
        <w:t>Première Nation de Fort Nelson et ladite Première Nation de Fort Nelson</w:t>
      </w:r>
      <w:r w:rsidRPr="00AA6F07">
        <w:rPr>
          <w:lang w:val="fr-CA"/>
        </w:rPr>
        <w:t>.</w:t>
      </w:r>
    </w:p>
    <w:p w:rsidR="00A20ABC" w:rsidRPr="00AA6F07" w:rsidRDefault="00951FA5" w:rsidP="00043E6D">
      <w:pPr>
        <w:pStyle w:val="SCCNormalDoubleSpacing"/>
        <w:spacing w:after="480"/>
        <w:rPr>
          <w:lang w:val="fr-CA"/>
        </w:rPr>
      </w:pPr>
      <w:r w:rsidRPr="002776F8">
        <w:rPr>
          <w:i/>
          <w:lang w:val="fr-CA"/>
        </w:rPr>
        <w:tab/>
        <w:t>John Hurley</w:t>
      </w:r>
      <w:r w:rsidR="00F13D16" w:rsidRPr="00D11570">
        <w:rPr>
          <w:lang w:val="fr-CA"/>
        </w:rPr>
        <w:t xml:space="preserve"> et</w:t>
      </w:r>
      <w:r w:rsidR="00F13D16" w:rsidRPr="002776F8">
        <w:rPr>
          <w:i/>
          <w:lang w:val="fr-CA"/>
        </w:rPr>
        <w:t xml:space="preserve"> François </w:t>
      </w:r>
      <w:proofErr w:type="spellStart"/>
      <w:r w:rsidR="00F13D16" w:rsidRPr="002776F8">
        <w:rPr>
          <w:i/>
          <w:lang w:val="fr-CA"/>
        </w:rPr>
        <w:t>Dandonneau</w:t>
      </w:r>
      <w:proofErr w:type="spellEnd"/>
      <w:r w:rsidRPr="00AA6F07">
        <w:rPr>
          <w:lang w:val="fr-CA"/>
        </w:rPr>
        <w:t>, pour l</w:t>
      </w:r>
      <w:r w:rsidR="00BB27B9" w:rsidRPr="00AA6F07">
        <w:rPr>
          <w:lang w:val="fr-CA"/>
        </w:rPr>
        <w:t xml:space="preserve">es </w:t>
      </w:r>
      <w:r w:rsidRPr="00AA6F07">
        <w:rPr>
          <w:lang w:val="fr-CA"/>
        </w:rPr>
        <w:t>intervenant</w:t>
      </w:r>
      <w:r w:rsidR="00BB27B9" w:rsidRPr="00AA6F07">
        <w:rPr>
          <w:lang w:val="fr-CA"/>
        </w:rPr>
        <w:t>s</w:t>
      </w:r>
      <w:r w:rsidRPr="00AA6F07">
        <w:rPr>
          <w:lang w:val="fr-CA"/>
        </w:rPr>
        <w:t xml:space="preserve"> </w:t>
      </w:r>
      <w:r w:rsidR="00F13D16" w:rsidRPr="00AA6F07">
        <w:rPr>
          <w:lang w:val="fr-CA"/>
        </w:rPr>
        <w:t xml:space="preserve">le </w:t>
      </w:r>
      <w:r w:rsidRPr="00AA6F07">
        <w:rPr>
          <w:lang w:val="fr-CA"/>
        </w:rPr>
        <w:t>Grand Co</w:t>
      </w:r>
      <w:r w:rsidR="00F13D16" w:rsidRPr="00AA6F07">
        <w:rPr>
          <w:lang w:val="fr-CA"/>
        </w:rPr>
        <w:t xml:space="preserve">nseil des Cris </w:t>
      </w:r>
      <w:r w:rsidRPr="00AA6F07">
        <w:rPr>
          <w:lang w:val="fr-CA"/>
        </w:rPr>
        <w:t>(</w:t>
      </w:r>
      <w:proofErr w:type="spellStart"/>
      <w:r w:rsidRPr="00AA6F07">
        <w:rPr>
          <w:lang w:val="fr-CA"/>
        </w:rPr>
        <w:t>Eeyou</w:t>
      </w:r>
      <w:proofErr w:type="spellEnd"/>
      <w:r w:rsidRPr="00AA6F07">
        <w:rPr>
          <w:lang w:val="fr-CA"/>
        </w:rPr>
        <w:t xml:space="preserve"> </w:t>
      </w:r>
      <w:proofErr w:type="spellStart"/>
      <w:r w:rsidRPr="00AA6F07">
        <w:rPr>
          <w:lang w:val="fr-CA"/>
        </w:rPr>
        <w:t>Istchee</w:t>
      </w:r>
      <w:proofErr w:type="spellEnd"/>
      <w:r w:rsidRPr="00AA6F07">
        <w:rPr>
          <w:lang w:val="fr-CA"/>
        </w:rPr>
        <w:t>)/</w:t>
      </w:r>
      <w:r w:rsidR="00F13D16" w:rsidRPr="00AA6F07">
        <w:rPr>
          <w:lang w:val="fr-CA"/>
        </w:rPr>
        <w:t>Administration régionale crie</w:t>
      </w:r>
      <w:r w:rsidRPr="00AA6F07">
        <w:rPr>
          <w:lang w:val="fr-CA"/>
        </w:rPr>
        <w:t>.</w:t>
      </w:r>
    </w:p>
    <w:p w:rsidR="00A20ABC" w:rsidRPr="00AA6F07" w:rsidRDefault="00951FA5" w:rsidP="00043E6D">
      <w:pPr>
        <w:pStyle w:val="SCCNormalDoubleSpacing"/>
        <w:spacing w:after="480"/>
        <w:rPr>
          <w:lang w:val="fr-CA"/>
        </w:rPr>
      </w:pPr>
      <w:r w:rsidRPr="002776F8">
        <w:rPr>
          <w:i/>
          <w:lang w:val="fr-CA"/>
        </w:rPr>
        <w:tab/>
      </w:r>
      <w:r w:rsidR="00043E6D" w:rsidRPr="002776F8">
        <w:rPr>
          <w:i/>
          <w:lang w:val="fr-CA"/>
        </w:rPr>
        <w:t>Christopher </w:t>
      </w:r>
      <w:r w:rsidRPr="002776F8">
        <w:rPr>
          <w:i/>
          <w:lang w:val="fr-CA"/>
        </w:rPr>
        <w:t xml:space="preserve">G. </w:t>
      </w:r>
      <w:proofErr w:type="spellStart"/>
      <w:r w:rsidRPr="002776F8">
        <w:rPr>
          <w:i/>
          <w:lang w:val="fr-CA"/>
        </w:rPr>
        <w:t>Devlin</w:t>
      </w:r>
      <w:proofErr w:type="spellEnd"/>
      <w:r w:rsidRPr="00AA6F07">
        <w:rPr>
          <w:lang w:val="fr-CA"/>
        </w:rPr>
        <w:t xml:space="preserve"> et </w:t>
      </w:r>
      <w:r w:rsidRPr="002776F8">
        <w:rPr>
          <w:i/>
          <w:lang w:val="fr-CA"/>
        </w:rPr>
        <w:t>John</w:t>
      </w:r>
      <w:r w:rsidR="00043E6D" w:rsidRPr="002776F8">
        <w:rPr>
          <w:i/>
          <w:lang w:val="fr-CA"/>
        </w:rPr>
        <w:t> </w:t>
      </w:r>
      <w:r w:rsidR="00D93715" w:rsidRPr="002776F8">
        <w:rPr>
          <w:i/>
          <w:lang w:val="fr-CA"/>
        </w:rPr>
        <w:t xml:space="preserve">W. </w:t>
      </w:r>
      <w:proofErr w:type="spellStart"/>
      <w:r w:rsidRPr="002776F8">
        <w:rPr>
          <w:i/>
          <w:lang w:val="fr-CA"/>
        </w:rPr>
        <w:t>Gailus</w:t>
      </w:r>
      <w:proofErr w:type="spellEnd"/>
      <w:r w:rsidRPr="00AA6F07">
        <w:rPr>
          <w:lang w:val="fr-CA"/>
        </w:rPr>
        <w:t>, pour l</w:t>
      </w:r>
      <w:r w:rsidR="00D93715" w:rsidRPr="00AA6F07">
        <w:rPr>
          <w:lang w:val="fr-CA"/>
        </w:rPr>
        <w:t xml:space="preserve">es </w:t>
      </w:r>
      <w:r w:rsidRPr="00AA6F07">
        <w:rPr>
          <w:lang w:val="fr-CA"/>
        </w:rPr>
        <w:t>intervenant</w:t>
      </w:r>
      <w:r w:rsidR="00D93715" w:rsidRPr="00AA6F07">
        <w:rPr>
          <w:lang w:val="fr-CA"/>
        </w:rPr>
        <w:t>es</w:t>
      </w:r>
      <w:r w:rsidRPr="00AA6F07">
        <w:rPr>
          <w:lang w:val="fr-CA"/>
        </w:rPr>
        <w:t xml:space="preserve"> Chef Sally Sam </w:t>
      </w:r>
      <w:r w:rsidR="00D93715" w:rsidRPr="00AA6F07">
        <w:rPr>
          <w:lang w:val="fr-CA"/>
        </w:rPr>
        <w:t>et</w:t>
      </w:r>
      <w:r w:rsidRPr="00AA6F07">
        <w:rPr>
          <w:lang w:val="fr-CA"/>
        </w:rPr>
        <w:t xml:space="preserve"> </w:t>
      </w:r>
      <w:r w:rsidR="00D93715" w:rsidRPr="00AA6F07">
        <w:rPr>
          <w:lang w:val="fr-CA"/>
        </w:rPr>
        <w:t xml:space="preserve">la Société </w:t>
      </w:r>
      <w:proofErr w:type="spellStart"/>
      <w:r w:rsidRPr="00AA6F07">
        <w:rPr>
          <w:lang w:val="fr-CA"/>
        </w:rPr>
        <w:t>Maiyoo</w:t>
      </w:r>
      <w:proofErr w:type="spellEnd"/>
      <w:r w:rsidRPr="00AA6F07">
        <w:rPr>
          <w:lang w:val="fr-CA"/>
        </w:rPr>
        <w:t xml:space="preserve"> </w:t>
      </w:r>
      <w:proofErr w:type="spellStart"/>
      <w:r w:rsidRPr="00AA6F07">
        <w:rPr>
          <w:lang w:val="fr-CA"/>
        </w:rPr>
        <w:t>Keyoh</w:t>
      </w:r>
      <w:proofErr w:type="spellEnd"/>
      <w:r w:rsidRPr="00AA6F07">
        <w:rPr>
          <w:lang w:val="fr-CA"/>
        </w:rPr>
        <w:t>.</w:t>
      </w:r>
    </w:p>
    <w:p w:rsidR="00A20ABC" w:rsidRPr="00AA6F07" w:rsidRDefault="00951FA5" w:rsidP="00043E6D">
      <w:pPr>
        <w:pStyle w:val="SCCNormalDoubleSpacing"/>
        <w:spacing w:after="480"/>
        <w:rPr>
          <w:lang w:val="fr-CA"/>
        </w:rPr>
      </w:pPr>
      <w:r w:rsidRPr="002776F8">
        <w:rPr>
          <w:i/>
          <w:lang w:val="fr-CA"/>
        </w:rPr>
        <w:lastRenderedPageBreak/>
        <w:tab/>
        <w:t>John</w:t>
      </w:r>
      <w:r w:rsidR="00043E6D" w:rsidRPr="002776F8">
        <w:rPr>
          <w:i/>
          <w:lang w:val="fr-CA"/>
        </w:rPr>
        <w:t> </w:t>
      </w:r>
      <w:r w:rsidRPr="002776F8">
        <w:rPr>
          <w:i/>
          <w:lang w:val="fr-CA"/>
        </w:rPr>
        <w:t>J.</w:t>
      </w:r>
      <w:r w:rsidR="00043E6D" w:rsidRPr="002776F8">
        <w:rPr>
          <w:i/>
          <w:lang w:val="fr-CA"/>
        </w:rPr>
        <w:t> </w:t>
      </w:r>
      <w:r w:rsidRPr="002776F8">
        <w:rPr>
          <w:i/>
          <w:lang w:val="fr-CA"/>
        </w:rPr>
        <w:t>L. Hunter</w:t>
      </w:r>
      <w:r w:rsidRPr="00D11570">
        <w:rPr>
          <w:lang w:val="fr-CA"/>
        </w:rPr>
        <w:t>,</w:t>
      </w:r>
      <w:r w:rsidRPr="002776F8">
        <w:rPr>
          <w:i/>
          <w:lang w:val="fr-CA"/>
        </w:rPr>
        <w:t xml:space="preserve"> </w:t>
      </w:r>
      <w:proofErr w:type="gramStart"/>
      <w:r w:rsidR="00F15D7D" w:rsidRPr="002776F8">
        <w:rPr>
          <w:i/>
          <w:lang w:val="fr-CA"/>
        </w:rPr>
        <w:t>c</w:t>
      </w:r>
      <w:r w:rsidRPr="002776F8">
        <w:rPr>
          <w:i/>
          <w:lang w:val="fr-CA"/>
        </w:rPr>
        <w:t>.</w:t>
      </w:r>
      <w:r w:rsidR="00F15D7D" w:rsidRPr="002776F8">
        <w:rPr>
          <w:i/>
          <w:lang w:val="fr-CA"/>
        </w:rPr>
        <w:t>r</w:t>
      </w:r>
      <w:r w:rsidRPr="002776F8">
        <w:rPr>
          <w:i/>
          <w:lang w:val="fr-CA"/>
        </w:rPr>
        <w:t>.</w:t>
      </w:r>
      <w:r w:rsidR="00F15D7D" w:rsidRPr="00D11570">
        <w:rPr>
          <w:lang w:val="fr-CA"/>
        </w:rPr>
        <w:t>,</w:t>
      </w:r>
      <w:proofErr w:type="gramEnd"/>
      <w:r w:rsidR="00F15D7D" w:rsidRPr="002776F8">
        <w:rPr>
          <w:i/>
          <w:lang w:val="fr-CA"/>
        </w:rPr>
        <w:t xml:space="preserve"> </w:t>
      </w:r>
      <w:r w:rsidR="00043E6D" w:rsidRPr="002776F8">
        <w:rPr>
          <w:i/>
          <w:lang w:val="fr-CA"/>
        </w:rPr>
        <w:t>Mark </w:t>
      </w:r>
      <w:r w:rsidR="00F15D7D" w:rsidRPr="002776F8">
        <w:rPr>
          <w:i/>
          <w:lang w:val="fr-CA"/>
        </w:rPr>
        <w:t xml:space="preserve">S. </w:t>
      </w:r>
      <w:proofErr w:type="spellStart"/>
      <w:r w:rsidR="00F15D7D" w:rsidRPr="002776F8">
        <w:rPr>
          <w:i/>
          <w:lang w:val="fr-CA"/>
        </w:rPr>
        <w:t>Oulton</w:t>
      </w:r>
      <w:proofErr w:type="spellEnd"/>
      <w:r w:rsidR="00F15D7D" w:rsidRPr="00D11570">
        <w:rPr>
          <w:lang w:val="fr-CA"/>
        </w:rPr>
        <w:t xml:space="preserve"> et</w:t>
      </w:r>
      <w:r w:rsidR="00F15D7D" w:rsidRPr="002776F8">
        <w:rPr>
          <w:i/>
          <w:lang w:val="fr-CA"/>
        </w:rPr>
        <w:t xml:space="preserve"> </w:t>
      </w:r>
      <w:proofErr w:type="spellStart"/>
      <w:r w:rsidR="00F15D7D" w:rsidRPr="002776F8">
        <w:rPr>
          <w:i/>
          <w:lang w:val="fr-CA"/>
        </w:rPr>
        <w:t>Stephanie</w:t>
      </w:r>
      <w:proofErr w:type="spellEnd"/>
      <w:r w:rsidR="00F15D7D" w:rsidRPr="002776F8">
        <w:rPr>
          <w:i/>
          <w:lang w:val="fr-CA"/>
        </w:rPr>
        <w:t xml:space="preserve"> </w:t>
      </w:r>
      <w:proofErr w:type="spellStart"/>
      <w:r w:rsidR="00F15D7D" w:rsidRPr="002776F8">
        <w:rPr>
          <w:i/>
          <w:lang w:val="fr-CA"/>
        </w:rPr>
        <w:t>McHugh</w:t>
      </w:r>
      <w:proofErr w:type="spellEnd"/>
      <w:r w:rsidR="00F15D7D" w:rsidRPr="00AA6F07">
        <w:rPr>
          <w:lang w:val="fr-CA"/>
        </w:rPr>
        <w:t xml:space="preserve">, </w:t>
      </w:r>
      <w:r w:rsidRPr="00AA6F07">
        <w:rPr>
          <w:lang w:val="fr-CA"/>
        </w:rPr>
        <w:t>pour l</w:t>
      </w:r>
      <w:r w:rsidR="00F15D7D" w:rsidRPr="00AA6F07">
        <w:rPr>
          <w:lang w:val="fr-CA"/>
        </w:rPr>
        <w:t xml:space="preserve">es </w:t>
      </w:r>
      <w:r w:rsidRPr="00AA6F07">
        <w:rPr>
          <w:lang w:val="fr-CA"/>
        </w:rPr>
        <w:t>intervenant</w:t>
      </w:r>
      <w:r w:rsidR="00F15D7D" w:rsidRPr="00AA6F07">
        <w:rPr>
          <w:lang w:val="fr-CA"/>
        </w:rPr>
        <w:t>s</w:t>
      </w:r>
      <w:r w:rsidRPr="00AA6F07">
        <w:rPr>
          <w:lang w:val="fr-CA"/>
        </w:rPr>
        <w:t xml:space="preserve"> Council of Forest Industries </w:t>
      </w:r>
      <w:r w:rsidR="00F15D7D" w:rsidRPr="00AA6F07">
        <w:rPr>
          <w:lang w:val="fr-CA"/>
        </w:rPr>
        <w:t>et</w:t>
      </w:r>
      <w:r w:rsidRPr="00AA6F07">
        <w:rPr>
          <w:lang w:val="fr-CA"/>
        </w:rPr>
        <w:t xml:space="preserve"> Alberta Forest </w:t>
      </w:r>
      <w:proofErr w:type="spellStart"/>
      <w:r w:rsidRPr="00AA6F07">
        <w:rPr>
          <w:lang w:val="fr-CA"/>
        </w:rPr>
        <w:t>Products</w:t>
      </w:r>
      <w:proofErr w:type="spellEnd"/>
      <w:r w:rsidRPr="00AA6F07">
        <w:rPr>
          <w:lang w:val="fr-CA"/>
        </w:rPr>
        <w:t xml:space="preserve"> Association.</w:t>
      </w:r>
    </w:p>
    <w:p w:rsidR="00A20ABC" w:rsidRPr="00AA6F07" w:rsidRDefault="00951FA5" w:rsidP="00043E6D">
      <w:pPr>
        <w:pStyle w:val="SCCNormalDoubleSpacing"/>
        <w:spacing w:after="480"/>
        <w:rPr>
          <w:lang w:val="fr-CA"/>
        </w:rPr>
      </w:pPr>
      <w:r w:rsidRPr="002776F8">
        <w:rPr>
          <w:i/>
          <w:lang w:val="fr-CA"/>
        </w:rPr>
        <w:tab/>
        <w:t xml:space="preserve">Jean </w:t>
      </w:r>
      <w:proofErr w:type="spellStart"/>
      <w:r w:rsidRPr="002776F8">
        <w:rPr>
          <w:i/>
          <w:lang w:val="fr-CA"/>
        </w:rPr>
        <w:t>Teillet</w:t>
      </w:r>
      <w:proofErr w:type="spellEnd"/>
      <w:r w:rsidRPr="00AA6F07">
        <w:rPr>
          <w:lang w:val="fr-CA"/>
        </w:rPr>
        <w:t xml:space="preserve"> et </w:t>
      </w:r>
      <w:r w:rsidR="00043E6D" w:rsidRPr="002776F8">
        <w:rPr>
          <w:i/>
          <w:lang w:val="fr-CA"/>
        </w:rPr>
        <w:t>Nuri </w:t>
      </w:r>
      <w:r w:rsidRPr="002776F8">
        <w:rPr>
          <w:i/>
          <w:lang w:val="fr-CA"/>
        </w:rPr>
        <w:t>G. Frame</w:t>
      </w:r>
      <w:r w:rsidRPr="00AA6F07">
        <w:rPr>
          <w:lang w:val="fr-CA"/>
        </w:rPr>
        <w:t>, pour l</w:t>
      </w:r>
      <w:r w:rsidR="002776F8">
        <w:rPr>
          <w:lang w:val="fr-CA"/>
        </w:rPr>
        <w:t>’</w:t>
      </w:r>
      <w:r w:rsidRPr="00AA6F07">
        <w:rPr>
          <w:lang w:val="fr-CA"/>
        </w:rPr>
        <w:t>intervenante</w:t>
      </w:r>
      <w:r w:rsidR="001B30E8" w:rsidRPr="00AA6F07">
        <w:rPr>
          <w:lang w:val="fr-CA"/>
        </w:rPr>
        <w:t xml:space="preserve"> la Première Nation</w:t>
      </w:r>
      <w:r w:rsidRPr="00AA6F07">
        <w:rPr>
          <w:lang w:val="fr-CA"/>
        </w:rPr>
        <w:t xml:space="preserve"> Moose Cree.</w:t>
      </w:r>
    </w:p>
    <w:p w:rsidR="00645F4F" w:rsidRPr="00D11570" w:rsidRDefault="00D11570" w:rsidP="00645F4F">
      <w:pPr>
        <w:pStyle w:val="JudgeJuge"/>
        <w:spacing w:before="480"/>
        <w:rPr>
          <w:smallCaps w:val="0"/>
          <w:lang w:val="fr-CA"/>
        </w:rPr>
      </w:pPr>
      <w:r>
        <w:rPr>
          <w:lang w:val="fr-CA"/>
        </w:rPr>
        <w:tab/>
      </w:r>
      <w:r w:rsidRPr="00D11570">
        <w:rPr>
          <w:smallCaps w:val="0"/>
          <w:lang w:val="fr-CA"/>
        </w:rPr>
        <w:t>Ver</w:t>
      </w:r>
      <w:r>
        <w:rPr>
          <w:smallCaps w:val="0"/>
          <w:lang w:val="fr-CA"/>
        </w:rPr>
        <w:t>sion française du jugement de la Cour rendu par</w:t>
      </w:r>
    </w:p>
    <w:p w:rsidR="00645F4F" w:rsidRPr="00305B2E" w:rsidRDefault="00645F4F" w:rsidP="00645F4F">
      <w:pPr>
        <w:pStyle w:val="JudgeJuge"/>
        <w:spacing w:before="480"/>
        <w:rPr>
          <w:lang w:val="fr-CA"/>
        </w:rPr>
      </w:pPr>
      <w:r w:rsidRPr="00305B2E">
        <w:rPr>
          <w:lang w:val="fr-CA"/>
        </w:rPr>
        <w:tab/>
        <w:t xml:space="preserve">Le juge </w:t>
      </w:r>
      <w:proofErr w:type="spellStart"/>
      <w:r w:rsidRPr="00305B2E">
        <w:rPr>
          <w:lang w:val="fr-CA"/>
        </w:rPr>
        <w:t>LeBel</w:t>
      </w:r>
      <w:proofErr w:type="spellEnd"/>
      <w:r w:rsidRPr="00305B2E">
        <w:rPr>
          <w:lang w:val="fr-CA"/>
        </w:rPr>
        <w:t xml:space="preserve"> — </w:t>
      </w:r>
    </w:p>
    <w:p w:rsidR="00645F4F" w:rsidRPr="00305B2E" w:rsidRDefault="00645F4F" w:rsidP="00645F4F">
      <w:pPr>
        <w:pStyle w:val="TitleTitre-AltT"/>
        <w:keepNext/>
        <w:rPr>
          <w:lang w:val="fr-CA"/>
        </w:rPr>
      </w:pPr>
      <w:r w:rsidRPr="00305B2E">
        <w:rPr>
          <w:lang w:val="fr-CA"/>
        </w:rPr>
        <w:t>I.</w:t>
      </w:r>
      <w:r w:rsidRPr="00305B2E">
        <w:rPr>
          <w:lang w:val="fr-CA"/>
        </w:rPr>
        <w:tab/>
      </w:r>
      <w:r w:rsidRPr="00305B2E">
        <w:rPr>
          <w:u w:val="single"/>
          <w:lang w:val="fr-CA"/>
        </w:rPr>
        <w:t>Introduction — Aperçu</w:t>
      </w:r>
    </w:p>
    <w:p w:rsidR="00645F4F" w:rsidRPr="00305B2E" w:rsidRDefault="00645F4F" w:rsidP="00645F4F">
      <w:pPr>
        <w:pStyle w:val="ParaNoNdepar-AltN"/>
        <w:rPr>
          <w:lang w:val="fr-CA"/>
        </w:rPr>
      </w:pPr>
      <w:r w:rsidRPr="00305B2E">
        <w:rPr>
          <w:lang w:val="fr-CA"/>
        </w:rPr>
        <w:t>Le pourvoi soulève des questions concernant la qualité pour agir et l</w:t>
      </w:r>
      <w:r>
        <w:rPr>
          <w:lang w:val="fr-CA"/>
        </w:rPr>
        <w:t>’</w:t>
      </w:r>
      <w:r w:rsidRPr="00305B2E">
        <w:rPr>
          <w:lang w:val="fr-CA"/>
        </w:rPr>
        <w:t>abus de procédure dans le contexte des relations entre des membres d</w:t>
      </w:r>
      <w:r>
        <w:rPr>
          <w:lang w:val="fr-CA"/>
        </w:rPr>
        <w:t>’</w:t>
      </w:r>
      <w:r w:rsidRPr="00305B2E">
        <w:rPr>
          <w:lang w:val="fr-CA"/>
        </w:rPr>
        <w:t xml:space="preserve">une collectivité autochtone, une société forestière et un gouvernement provincial.  Après que la Couronne eût accordé à une société forestière des permis pour récolter du bois dans deux secteurs du territoire de la Première Nation de Fort Nelson (« PNFN ») en </w:t>
      </w:r>
      <w:proofErr w:type="spellStart"/>
      <w:r w:rsidRPr="00305B2E">
        <w:rPr>
          <w:lang w:val="fr-CA"/>
        </w:rPr>
        <w:t>Colombie</w:t>
      </w:r>
      <w:r w:rsidRPr="00305B2E">
        <w:rPr>
          <w:lang w:val="fr-CA"/>
        </w:rPr>
        <w:noBreakHyphen/>
        <w:t>Britannique</w:t>
      </w:r>
      <w:proofErr w:type="spellEnd"/>
      <w:r w:rsidRPr="00305B2E">
        <w:rPr>
          <w:lang w:val="fr-CA"/>
        </w:rPr>
        <w:t>, des membres de cette Première Nation ont érigé un camp qui, de fait, empêchait la société forestière d</w:t>
      </w:r>
      <w:r>
        <w:rPr>
          <w:lang w:val="fr-CA"/>
        </w:rPr>
        <w:t>’</w:t>
      </w:r>
      <w:r w:rsidRPr="00305B2E">
        <w:rPr>
          <w:lang w:val="fr-CA"/>
        </w:rPr>
        <w:t>avoir accès aux sites d</w:t>
      </w:r>
      <w:r>
        <w:rPr>
          <w:lang w:val="fr-CA"/>
        </w:rPr>
        <w:t>’</w:t>
      </w:r>
      <w:r w:rsidRPr="00305B2E">
        <w:rPr>
          <w:lang w:val="fr-CA"/>
        </w:rPr>
        <w:t xml:space="preserve">exploitation forestière.  La société forestière a intenté une action en responsabilité délictuelle contre ces membres de la collectivité autochtone.  </w:t>
      </w:r>
      <w:proofErr w:type="spellStart"/>
      <w:r w:rsidRPr="00305B2E">
        <w:rPr>
          <w:lang w:val="fr-CA"/>
        </w:rPr>
        <w:t>Ceux</w:t>
      </w:r>
      <w:r w:rsidRPr="00305B2E">
        <w:rPr>
          <w:lang w:val="fr-CA"/>
        </w:rPr>
        <w:noBreakHyphen/>
        <w:t>ci</w:t>
      </w:r>
      <w:proofErr w:type="spellEnd"/>
      <w:r w:rsidRPr="00305B2E">
        <w:rPr>
          <w:lang w:val="fr-CA"/>
        </w:rPr>
        <w:t xml:space="preserve"> ont allégué en défense l</w:t>
      </w:r>
      <w:r>
        <w:rPr>
          <w:lang w:val="fr-CA"/>
        </w:rPr>
        <w:t>’</w:t>
      </w:r>
      <w:r w:rsidRPr="00305B2E">
        <w:rPr>
          <w:lang w:val="fr-CA"/>
        </w:rPr>
        <w:t>invalidité des permis parce qu</w:t>
      </w:r>
      <w:r>
        <w:rPr>
          <w:lang w:val="fr-CA"/>
        </w:rPr>
        <w:t>’</w:t>
      </w:r>
      <w:r w:rsidRPr="00305B2E">
        <w:rPr>
          <w:lang w:val="fr-CA"/>
        </w:rPr>
        <w:t>ils auraient été délivrés sans que soit respectée l</w:t>
      </w:r>
      <w:r>
        <w:rPr>
          <w:lang w:val="fr-CA"/>
        </w:rPr>
        <w:t>’</w:t>
      </w:r>
      <w:r w:rsidRPr="00305B2E">
        <w:rPr>
          <w:lang w:val="fr-CA"/>
        </w:rPr>
        <w:t>obligation constitutionnelle de consultation et qu</w:t>
      </w:r>
      <w:r>
        <w:rPr>
          <w:lang w:val="fr-CA"/>
        </w:rPr>
        <w:t>’</w:t>
      </w:r>
      <w:r w:rsidRPr="00305B2E">
        <w:rPr>
          <w:lang w:val="fr-CA"/>
        </w:rPr>
        <w:t>ils violeraient leurs droits issus de traités.</w:t>
      </w:r>
    </w:p>
    <w:p w:rsidR="00645F4F" w:rsidRPr="00305B2E" w:rsidRDefault="00645F4F" w:rsidP="00645F4F">
      <w:pPr>
        <w:pStyle w:val="ParaNoNdepar-AltN"/>
        <w:rPr>
          <w:lang w:val="fr-CA"/>
        </w:rPr>
      </w:pPr>
      <w:r w:rsidRPr="00305B2E">
        <w:rPr>
          <w:lang w:val="fr-CA"/>
        </w:rPr>
        <w:lastRenderedPageBreak/>
        <w:t>La société forestière a demandé par requête la radiation de ces moyens de défense.  Les tribunaux d</w:t>
      </w:r>
      <w:r>
        <w:rPr>
          <w:lang w:val="fr-CA"/>
        </w:rPr>
        <w:t>’</w:t>
      </w:r>
      <w:r w:rsidRPr="00305B2E">
        <w:rPr>
          <w:lang w:val="fr-CA"/>
        </w:rPr>
        <w:t>instance inférieure ont conclu que les membres de la collectivité autochtone (les « </w:t>
      </w:r>
      <w:proofErr w:type="spellStart"/>
      <w:r w:rsidRPr="00305B2E">
        <w:rPr>
          <w:lang w:val="fr-CA"/>
        </w:rPr>
        <w:t>Behn</w:t>
      </w:r>
      <w:proofErr w:type="spellEnd"/>
      <w:r w:rsidRPr="00305B2E">
        <w:rPr>
          <w:lang w:val="fr-CA"/>
        </w:rPr>
        <w:t> ») n</w:t>
      </w:r>
      <w:r>
        <w:rPr>
          <w:lang w:val="fr-CA"/>
        </w:rPr>
        <w:t>’</w:t>
      </w:r>
      <w:r w:rsidRPr="00305B2E">
        <w:rPr>
          <w:lang w:val="fr-CA"/>
        </w:rPr>
        <w:t>avaient pas qualité pour faire valoir des droits collectifs en défense; seule la collectivité pouvait invoquer ces droits.  Ils ont aussi décidé que cette contestation de la validité des permis constituait une attaque indirecte ou un abus de procédure, les appelants n</w:t>
      </w:r>
      <w:r>
        <w:rPr>
          <w:lang w:val="fr-CA"/>
        </w:rPr>
        <w:t>’</w:t>
      </w:r>
      <w:r w:rsidRPr="00305B2E">
        <w:rPr>
          <w:lang w:val="fr-CA"/>
        </w:rPr>
        <w:t>ayant pas attaqué la validité de ces permis au moment de leur délivrance.</w:t>
      </w:r>
    </w:p>
    <w:p w:rsidR="00645F4F" w:rsidRPr="00305B2E" w:rsidRDefault="00645F4F" w:rsidP="00645F4F">
      <w:pPr>
        <w:pStyle w:val="ParaNoNdepar-AltN"/>
        <w:rPr>
          <w:lang w:val="fr-CA"/>
        </w:rPr>
      </w:pPr>
      <w:r w:rsidRPr="00305B2E">
        <w:rPr>
          <w:lang w:val="fr-CA"/>
        </w:rPr>
        <w:t>La Cour est appelée à examiner en l</w:t>
      </w:r>
      <w:r>
        <w:rPr>
          <w:lang w:val="fr-CA"/>
        </w:rPr>
        <w:t>’</w:t>
      </w:r>
      <w:r w:rsidRPr="00305B2E">
        <w:rPr>
          <w:lang w:val="fr-CA"/>
        </w:rPr>
        <w:t>espèce la question de savoir si un membre ou un groupe de membres d</w:t>
      </w:r>
      <w:r>
        <w:rPr>
          <w:lang w:val="fr-CA"/>
        </w:rPr>
        <w:t>’</w:t>
      </w:r>
      <w:r w:rsidRPr="00305B2E">
        <w:rPr>
          <w:lang w:val="fr-CA"/>
        </w:rPr>
        <w:t>une collectivité autochtone peuvent, comme moyen de défense à une action en responsabilité délictuelle, invoquer une violation de droits ancestraux et issus de traités et, dans l</w:t>
      </w:r>
      <w:r>
        <w:rPr>
          <w:lang w:val="fr-CA"/>
        </w:rPr>
        <w:t>’</w:t>
      </w:r>
      <w:r w:rsidRPr="00305B2E">
        <w:rPr>
          <w:lang w:val="fr-CA"/>
        </w:rPr>
        <w:t>affirmative, dans quelles circonstances il leur est possible de le faire.  Mais comme cette question de qualité pour agir n</w:t>
      </w:r>
      <w:r>
        <w:rPr>
          <w:lang w:val="fr-CA"/>
        </w:rPr>
        <w:t>’</w:t>
      </w:r>
      <w:r w:rsidRPr="00305B2E">
        <w:rPr>
          <w:lang w:val="fr-CA"/>
        </w:rPr>
        <w:t>est pas déterminante pour l</w:t>
      </w:r>
      <w:r>
        <w:rPr>
          <w:lang w:val="fr-CA"/>
        </w:rPr>
        <w:t>’</w:t>
      </w:r>
      <w:r w:rsidRPr="00305B2E">
        <w:rPr>
          <w:lang w:val="fr-CA"/>
        </w:rPr>
        <w:t>issue de ce pourvoi, la Cour doit aussi déterminer si la doctrine de l</w:t>
      </w:r>
      <w:r>
        <w:rPr>
          <w:lang w:val="fr-CA"/>
        </w:rPr>
        <w:t>’</w:t>
      </w:r>
      <w:r w:rsidRPr="00305B2E">
        <w:rPr>
          <w:lang w:val="fr-CA"/>
        </w:rPr>
        <w:t>abus de procédure trouve application en l</w:t>
      </w:r>
      <w:r>
        <w:rPr>
          <w:lang w:val="fr-CA"/>
        </w:rPr>
        <w:t>’</w:t>
      </w:r>
      <w:r w:rsidRPr="00305B2E">
        <w:rPr>
          <w:lang w:val="fr-CA"/>
        </w:rPr>
        <w:t xml:space="preserve">espèce.  </w:t>
      </w:r>
    </w:p>
    <w:p w:rsidR="00645F4F" w:rsidRPr="00305B2E" w:rsidRDefault="00645F4F" w:rsidP="00645F4F">
      <w:pPr>
        <w:pStyle w:val="ParaNoNdepar-AltN"/>
        <w:rPr>
          <w:lang w:val="fr-CA"/>
        </w:rPr>
      </w:pPr>
      <w:r w:rsidRPr="00305B2E">
        <w:rPr>
          <w:lang w:val="fr-CA"/>
        </w:rPr>
        <w:t>Pour les motifs qui suivent, je suis d</w:t>
      </w:r>
      <w:r>
        <w:rPr>
          <w:lang w:val="fr-CA"/>
        </w:rPr>
        <w:t>’</w:t>
      </w:r>
      <w:r w:rsidRPr="00305B2E">
        <w:rPr>
          <w:lang w:val="fr-CA"/>
        </w:rPr>
        <w:t>avis de rejeter le pourvoi.</w:t>
      </w:r>
    </w:p>
    <w:p w:rsidR="00645F4F" w:rsidRPr="00305B2E" w:rsidRDefault="00645F4F" w:rsidP="00645F4F">
      <w:pPr>
        <w:pStyle w:val="TitleTitre-AltT"/>
        <w:keepNext/>
        <w:rPr>
          <w:lang w:val="fr-CA"/>
        </w:rPr>
      </w:pPr>
      <w:r w:rsidRPr="00305B2E">
        <w:rPr>
          <w:lang w:val="fr-CA"/>
        </w:rPr>
        <w:t>II.</w:t>
      </w:r>
      <w:r w:rsidRPr="00305B2E">
        <w:rPr>
          <w:lang w:val="fr-CA"/>
        </w:rPr>
        <w:tab/>
      </w:r>
      <w:r w:rsidRPr="00305B2E">
        <w:rPr>
          <w:u w:val="single"/>
          <w:lang w:val="fr-CA"/>
        </w:rPr>
        <w:t>Les faits</w:t>
      </w:r>
    </w:p>
    <w:p w:rsidR="00645F4F" w:rsidRPr="00305B2E" w:rsidRDefault="00645F4F" w:rsidP="00645F4F">
      <w:pPr>
        <w:pStyle w:val="ParaNoNdepar-AltN"/>
        <w:rPr>
          <w:lang w:val="fr-CA"/>
        </w:rPr>
      </w:pPr>
      <w:r w:rsidRPr="00305B2E">
        <w:rPr>
          <w:lang w:val="fr-CA"/>
        </w:rPr>
        <w:t>Comme il s</w:t>
      </w:r>
      <w:r>
        <w:rPr>
          <w:lang w:val="fr-CA"/>
        </w:rPr>
        <w:t>’</w:t>
      </w:r>
      <w:r w:rsidRPr="00305B2E">
        <w:rPr>
          <w:lang w:val="fr-CA"/>
        </w:rPr>
        <w:t>agit d</w:t>
      </w:r>
      <w:r>
        <w:rPr>
          <w:lang w:val="fr-CA"/>
        </w:rPr>
        <w:t>’</w:t>
      </w:r>
      <w:r w:rsidRPr="00305B2E">
        <w:rPr>
          <w:lang w:val="fr-CA"/>
        </w:rPr>
        <w:t>un pourvoi à l</w:t>
      </w:r>
      <w:r>
        <w:rPr>
          <w:lang w:val="fr-CA"/>
        </w:rPr>
        <w:t>’</w:t>
      </w:r>
      <w:r w:rsidRPr="00305B2E">
        <w:rPr>
          <w:lang w:val="fr-CA"/>
        </w:rPr>
        <w:t>encontre d</w:t>
      </w:r>
      <w:r>
        <w:rPr>
          <w:lang w:val="fr-CA"/>
        </w:rPr>
        <w:t>’</w:t>
      </w:r>
      <w:r w:rsidRPr="00305B2E">
        <w:rPr>
          <w:lang w:val="fr-CA"/>
        </w:rPr>
        <w:t xml:space="preserve">une décision relative à une requête en radiation, les faits suivants sont tirés des actes de procédure.  Les </w:t>
      </w:r>
      <w:proofErr w:type="spellStart"/>
      <w:r w:rsidRPr="00305B2E">
        <w:rPr>
          <w:lang w:val="fr-CA"/>
        </w:rPr>
        <w:t>Behn</w:t>
      </w:r>
      <w:proofErr w:type="spellEnd"/>
      <w:r w:rsidRPr="00305B2E">
        <w:rPr>
          <w:lang w:val="fr-CA"/>
        </w:rPr>
        <w:t xml:space="preserve"> sont, à une exception près, tous membres de la PNFN, une « bande » au sens de la </w:t>
      </w:r>
      <w:r w:rsidRPr="00305B2E">
        <w:rPr>
          <w:i/>
          <w:lang w:val="fr-CA"/>
        </w:rPr>
        <w:t>Loi sur les Indiens</w:t>
      </w:r>
      <w:r w:rsidRPr="00305B2E">
        <w:rPr>
          <w:lang w:val="fr-CA"/>
        </w:rPr>
        <w:t>, L.R.C. 1985, ch. I</w:t>
      </w:r>
      <w:r w:rsidRPr="00305B2E">
        <w:rPr>
          <w:lang w:val="fr-CA"/>
        </w:rPr>
        <w:noBreakHyphen/>
        <w:t>5.  La PNFN a adhéré au Traité n</w:t>
      </w:r>
      <w:r w:rsidRPr="00305B2E">
        <w:rPr>
          <w:vertAlign w:val="superscript"/>
          <w:lang w:val="fr-CA"/>
        </w:rPr>
        <w:t>o</w:t>
      </w:r>
      <w:r w:rsidRPr="00305B2E">
        <w:rPr>
          <w:lang w:val="fr-CA"/>
        </w:rPr>
        <w:t xml:space="preserve"> 8 de 1899, qui </w:t>
      </w:r>
      <w:r w:rsidRPr="00305B2E">
        <w:rPr>
          <w:lang w:val="fr-CA"/>
        </w:rPr>
        <w:lastRenderedPageBreak/>
        <w:t>concerne un territoire englobant des parties de l</w:t>
      </w:r>
      <w:r>
        <w:rPr>
          <w:lang w:val="fr-CA"/>
        </w:rPr>
        <w:t>’</w:t>
      </w:r>
      <w:r w:rsidRPr="00305B2E">
        <w:rPr>
          <w:lang w:val="fr-CA"/>
        </w:rPr>
        <w:t xml:space="preserve">Alberta, de la </w:t>
      </w:r>
      <w:proofErr w:type="spellStart"/>
      <w:r w:rsidRPr="00305B2E">
        <w:rPr>
          <w:lang w:val="fr-CA"/>
        </w:rPr>
        <w:t>Colombie</w:t>
      </w:r>
      <w:r w:rsidRPr="00305B2E">
        <w:rPr>
          <w:lang w:val="fr-CA"/>
        </w:rPr>
        <w:noBreakHyphen/>
        <w:t>Britannique</w:t>
      </w:r>
      <w:proofErr w:type="spellEnd"/>
      <w:r w:rsidRPr="00305B2E">
        <w:rPr>
          <w:lang w:val="fr-CA"/>
        </w:rPr>
        <w:t>, de la S</w:t>
      </w:r>
      <w:r w:rsidR="000340FD">
        <w:rPr>
          <w:lang w:val="fr-CA"/>
        </w:rPr>
        <w:t xml:space="preserve">askatchewan, et des Territoires </w:t>
      </w:r>
      <w:r w:rsidR="00C20EE0">
        <w:rPr>
          <w:lang w:val="fr-CA"/>
        </w:rPr>
        <w:t>du</w:t>
      </w:r>
      <w:r w:rsidR="000340FD">
        <w:rPr>
          <w:lang w:val="fr-CA"/>
        </w:rPr>
        <w:t xml:space="preserve"> </w:t>
      </w:r>
      <w:r w:rsidR="00C20EE0">
        <w:rPr>
          <w:lang w:val="fr-CA"/>
        </w:rPr>
        <w:t>Nord-</w:t>
      </w:r>
      <w:r w:rsidRPr="00305B2E">
        <w:rPr>
          <w:lang w:val="fr-CA"/>
        </w:rPr>
        <w:t xml:space="preserve">Ouest.  Les </w:t>
      </w:r>
      <w:proofErr w:type="spellStart"/>
      <w:r w:rsidRPr="00305B2E">
        <w:rPr>
          <w:lang w:val="fr-CA"/>
        </w:rPr>
        <w:t>Behn</w:t>
      </w:r>
      <w:proofErr w:type="spellEnd"/>
      <w:r w:rsidRPr="00305B2E">
        <w:rPr>
          <w:lang w:val="fr-CA"/>
        </w:rPr>
        <w:t xml:space="preserve"> affirment avoir, dans le passé, chassé et piégé dans une partie</w:t>
      </w:r>
      <w:r w:rsidR="000340FD">
        <w:rPr>
          <w:lang w:val="fr-CA"/>
        </w:rPr>
        <w:tab/>
      </w:r>
      <w:r w:rsidRPr="00305B2E">
        <w:rPr>
          <w:lang w:val="fr-CA"/>
        </w:rPr>
        <w:t xml:space="preserve"> du territoire de la PNFN historiquement attribuée à leur famille.</w:t>
      </w:r>
    </w:p>
    <w:p w:rsidR="00645F4F" w:rsidRPr="00305B2E" w:rsidRDefault="00645F4F" w:rsidP="00645F4F">
      <w:pPr>
        <w:pStyle w:val="ParaNoNdepar-AltN"/>
        <w:rPr>
          <w:lang w:val="fr-CA"/>
        </w:rPr>
      </w:pPr>
      <w:proofErr w:type="spellStart"/>
      <w:r w:rsidRPr="00305B2E">
        <w:rPr>
          <w:lang w:val="fr-CA"/>
        </w:rPr>
        <w:t>Moulton</w:t>
      </w:r>
      <w:proofErr w:type="spellEnd"/>
      <w:r w:rsidRPr="00305B2E">
        <w:rPr>
          <w:lang w:val="fr-CA"/>
        </w:rPr>
        <w:t xml:space="preserve"> </w:t>
      </w:r>
      <w:proofErr w:type="spellStart"/>
      <w:r w:rsidRPr="00305B2E">
        <w:rPr>
          <w:lang w:val="fr-CA"/>
        </w:rPr>
        <w:t>Contracting</w:t>
      </w:r>
      <w:proofErr w:type="spellEnd"/>
      <w:r w:rsidRPr="00305B2E">
        <w:rPr>
          <w:lang w:val="fr-CA"/>
        </w:rPr>
        <w:t xml:space="preserve"> Ltd. (« </w:t>
      </w:r>
      <w:proofErr w:type="spellStart"/>
      <w:r w:rsidRPr="00305B2E">
        <w:rPr>
          <w:lang w:val="fr-CA"/>
        </w:rPr>
        <w:t>Moulton</w:t>
      </w:r>
      <w:proofErr w:type="spellEnd"/>
      <w:r w:rsidRPr="00305B2E">
        <w:rPr>
          <w:lang w:val="fr-CA"/>
        </w:rPr>
        <w:t xml:space="preserve"> ») est une société constituée sous le régime des lois de la </w:t>
      </w:r>
      <w:proofErr w:type="spellStart"/>
      <w:r w:rsidRPr="00305B2E">
        <w:rPr>
          <w:lang w:val="fr-CA"/>
        </w:rPr>
        <w:t>Colombie</w:t>
      </w:r>
      <w:r w:rsidRPr="00305B2E">
        <w:rPr>
          <w:lang w:val="fr-CA"/>
        </w:rPr>
        <w:noBreakHyphen/>
        <w:t>Britannique</w:t>
      </w:r>
      <w:proofErr w:type="spellEnd"/>
      <w:r w:rsidRPr="00305B2E">
        <w:rPr>
          <w:lang w:val="fr-CA"/>
        </w:rPr>
        <w:t xml:space="preserve">.  Le 27 juin 2006, le ministère des Forêts de la </w:t>
      </w:r>
      <w:proofErr w:type="spellStart"/>
      <w:r w:rsidRPr="00305B2E">
        <w:rPr>
          <w:lang w:val="fr-CA"/>
        </w:rPr>
        <w:t>Colombie</w:t>
      </w:r>
      <w:r w:rsidRPr="00305B2E">
        <w:rPr>
          <w:lang w:val="fr-CA"/>
        </w:rPr>
        <w:noBreakHyphen/>
        <w:t>Britannique</w:t>
      </w:r>
      <w:proofErr w:type="spellEnd"/>
      <w:r w:rsidR="000340FD">
        <w:rPr>
          <w:lang w:val="fr-CA"/>
        </w:rPr>
        <w:t xml:space="preserve"> (</w:t>
      </w:r>
      <w:r w:rsidRPr="00305B2E">
        <w:rPr>
          <w:lang w:val="fr-CA"/>
        </w:rPr>
        <w:t xml:space="preserve">« MDF ») a octroyé à </w:t>
      </w:r>
      <w:proofErr w:type="spellStart"/>
      <w:r w:rsidRPr="00305B2E">
        <w:rPr>
          <w:lang w:val="fr-CA"/>
        </w:rPr>
        <w:t>Moulton</w:t>
      </w:r>
      <w:proofErr w:type="spellEnd"/>
      <w:r w:rsidRPr="00305B2E">
        <w:rPr>
          <w:lang w:val="fr-CA"/>
        </w:rPr>
        <w:t xml:space="preserve"> deux permis de vente de bois et un permis autorisant la construction d</w:t>
      </w:r>
      <w:r>
        <w:rPr>
          <w:lang w:val="fr-CA"/>
        </w:rPr>
        <w:t>’</w:t>
      </w:r>
      <w:r w:rsidRPr="00305B2E">
        <w:rPr>
          <w:lang w:val="fr-CA"/>
        </w:rPr>
        <w:t xml:space="preserve">une route (les « autorisations ») en vertu de la </w:t>
      </w:r>
      <w:r w:rsidRPr="00305B2E">
        <w:rPr>
          <w:i/>
          <w:lang w:val="fr-CA"/>
        </w:rPr>
        <w:t xml:space="preserve">Forest </w:t>
      </w:r>
      <w:proofErr w:type="spellStart"/>
      <w:r w:rsidRPr="00305B2E">
        <w:rPr>
          <w:i/>
          <w:lang w:val="fr-CA"/>
        </w:rPr>
        <w:t>Act</w:t>
      </w:r>
      <w:proofErr w:type="spellEnd"/>
      <w:r w:rsidRPr="00305B2E">
        <w:rPr>
          <w:lang w:val="fr-CA"/>
        </w:rPr>
        <w:t xml:space="preserve">, R.S.B.C. 1996, ch. 157.  Ces autorisations permettaient à </w:t>
      </w:r>
      <w:proofErr w:type="spellStart"/>
      <w:r w:rsidRPr="00305B2E">
        <w:rPr>
          <w:lang w:val="fr-CA"/>
        </w:rPr>
        <w:t>Moulton</w:t>
      </w:r>
      <w:proofErr w:type="spellEnd"/>
      <w:r w:rsidRPr="00305B2E">
        <w:rPr>
          <w:lang w:val="fr-CA"/>
        </w:rPr>
        <w:t xml:space="preserve"> de récolter du bois sur deux parcelles de terre se trouvant dans le territoire de la PNFN, et dans le territoire de piégeage de la famille </w:t>
      </w:r>
      <w:proofErr w:type="spellStart"/>
      <w:r w:rsidRPr="00305B2E">
        <w:rPr>
          <w:lang w:val="fr-CA"/>
        </w:rPr>
        <w:t>Behn</w:t>
      </w:r>
      <w:proofErr w:type="spellEnd"/>
      <w:r w:rsidRPr="00305B2E">
        <w:rPr>
          <w:lang w:val="fr-CA"/>
        </w:rPr>
        <w:t xml:space="preserve">.  Dans leur défense modifiée, les </w:t>
      </w:r>
      <w:proofErr w:type="spellStart"/>
      <w:r w:rsidRPr="00305B2E">
        <w:rPr>
          <w:lang w:val="fr-CA"/>
        </w:rPr>
        <w:t>Behn</w:t>
      </w:r>
      <w:proofErr w:type="spellEnd"/>
      <w:r w:rsidRPr="00305B2E">
        <w:rPr>
          <w:lang w:val="fr-CA"/>
        </w:rPr>
        <w:t xml:space="preserve"> affirment que, suivant le mode de gestion de son territoire, la PNFN en attribue des parties (appelées territoire de piégeage) à des familles en particulier :</w:t>
      </w:r>
    </w:p>
    <w:p w:rsidR="00645F4F" w:rsidRPr="00305B2E" w:rsidRDefault="00645F4F" w:rsidP="00645F4F">
      <w:pPr>
        <w:pStyle w:val="Citation-AltC"/>
        <w:ind w:left="1170" w:hanging="1170"/>
        <w:rPr>
          <w:lang w:val="fr-CA"/>
        </w:rPr>
      </w:pPr>
      <w:r w:rsidRPr="00305B2E">
        <w:rPr>
          <w:lang w:val="fr-CA"/>
        </w:rPr>
        <w:tab/>
        <w:t>[</w:t>
      </w:r>
      <w:r w:rsidRPr="00305B2E">
        <w:rPr>
          <w:smallCaps/>
          <w:lang w:val="fr-CA"/>
        </w:rPr>
        <w:t>traduction</w:t>
      </w:r>
      <w:r w:rsidRPr="00305B2E">
        <w:rPr>
          <w:lang w:val="fr-CA"/>
        </w:rPr>
        <w:t>]  Bien que les droits accordés par le Traité n</w:t>
      </w:r>
      <w:r w:rsidRPr="00305B2E">
        <w:rPr>
          <w:vertAlign w:val="superscript"/>
          <w:lang w:val="fr-CA"/>
        </w:rPr>
        <w:t>o</w:t>
      </w:r>
      <w:r w:rsidRPr="00305B2E">
        <w:rPr>
          <w:lang w:val="fr-CA"/>
        </w:rPr>
        <w:t> 8 touchent l</w:t>
      </w:r>
      <w:r>
        <w:rPr>
          <w:lang w:val="fr-CA"/>
        </w:rPr>
        <w:t>’</w:t>
      </w:r>
      <w:r w:rsidRPr="00305B2E">
        <w:rPr>
          <w:lang w:val="fr-CA"/>
        </w:rPr>
        <w:t>ensemble du territoire décrit dans le traité, traditionnellement, la plupart des peuples autochtones constituant la Première Nation de Fort Nelson se sont organisés de façon à ce que les droits de chasse et de piégeage reconnus dans le Traité n</w:t>
      </w:r>
      <w:r w:rsidRPr="00305B2E">
        <w:rPr>
          <w:vertAlign w:val="superscript"/>
          <w:lang w:val="fr-CA"/>
        </w:rPr>
        <w:t>o</w:t>
      </w:r>
      <w:r w:rsidRPr="00305B2E">
        <w:rPr>
          <w:lang w:val="fr-CA"/>
        </w:rPr>
        <w:t> 8 s</w:t>
      </w:r>
      <w:r>
        <w:rPr>
          <w:lang w:val="fr-CA"/>
        </w:rPr>
        <w:t>’</w:t>
      </w:r>
      <w:r w:rsidRPr="00305B2E">
        <w:rPr>
          <w:lang w:val="fr-CA"/>
        </w:rPr>
        <w:t>exercent dans des parcelles de terre associées à différentes familles élargies, chacune ayant à sa tête un chef de famille.  [</w:t>
      </w:r>
      <w:proofErr w:type="gramStart"/>
      <w:r w:rsidRPr="00305B2E">
        <w:rPr>
          <w:lang w:val="fr-CA"/>
        </w:rPr>
        <w:t>d.a.,</w:t>
      </w:r>
      <w:proofErr w:type="gramEnd"/>
      <w:r w:rsidRPr="00305B2E">
        <w:rPr>
          <w:lang w:val="fr-CA"/>
        </w:rPr>
        <w:t xml:space="preserve"> p. 89]</w:t>
      </w:r>
    </w:p>
    <w:p w:rsidR="00645F4F" w:rsidRPr="00305B2E" w:rsidRDefault="00645F4F" w:rsidP="00645F4F">
      <w:pPr>
        <w:pStyle w:val="ParaNoNdepar-AltN"/>
        <w:rPr>
          <w:lang w:val="fr-CA"/>
        </w:rPr>
      </w:pPr>
      <w:r w:rsidRPr="00305B2E">
        <w:rPr>
          <w:lang w:val="fr-CA"/>
        </w:rPr>
        <w:t>Avant d</w:t>
      </w:r>
      <w:r>
        <w:rPr>
          <w:lang w:val="fr-CA"/>
        </w:rPr>
        <w:t>’</w:t>
      </w:r>
      <w:r w:rsidRPr="00305B2E">
        <w:rPr>
          <w:lang w:val="fr-CA"/>
        </w:rPr>
        <w:t>accorder les autorisations, le MDF avait communiqué avec des représentants de la PNFN et</w:t>
      </w:r>
      <w:r w:rsidR="003D54B5">
        <w:rPr>
          <w:lang w:val="fr-CA"/>
        </w:rPr>
        <w:t xml:space="preserve"> avec des trappeurs, dont Geo</w:t>
      </w:r>
      <w:r w:rsidRPr="00305B2E">
        <w:rPr>
          <w:lang w:val="fr-CA"/>
        </w:rPr>
        <w:t xml:space="preserve">rge </w:t>
      </w:r>
      <w:proofErr w:type="spellStart"/>
      <w:r w:rsidRPr="00305B2E">
        <w:rPr>
          <w:lang w:val="fr-CA"/>
        </w:rPr>
        <w:t>Behn</w:t>
      </w:r>
      <w:proofErr w:type="spellEnd"/>
      <w:r w:rsidRPr="00305B2E">
        <w:rPr>
          <w:lang w:val="fr-CA"/>
        </w:rPr>
        <w:t xml:space="preserve">, le chef de la famille </w:t>
      </w:r>
      <w:proofErr w:type="spellStart"/>
      <w:r w:rsidRPr="00305B2E">
        <w:rPr>
          <w:lang w:val="fr-CA"/>
        </w:rPr>
        <w:t>Beh</w:t>
      </w:r>
      <w:r>
        <w:rPr>
          <w:lang w:val="fr-CA"/>
        </w:rPr>
        <w:t>n</w:t>
      </w:r>
      <w:proofErr w:type="spellEnd"/>
      <w:r w:rsidRPr="00305B2E">
        <w:rPr>
          <w:lang w:val="fr-CA"/>
        </w:rPr>
        <w:t>, en vue d</w:t>
      </w:r>
      <w:r>
        <w:rPr>
          <w:lang w:val="fr-CA"/>
        </w:rPr>
        <w:t>’</w:t>
      </w:r>
      <w:r w:rsidRPr="00305B2E">
        <w:rPr>
          <w:lang w:val="fr-CA"/>
        </w:rPr>
        <w:t>élaborer et de modifier son plan d</w:t>
      </w:r>
      <w:r>
        <w:rPr>
          <w:lang w:val="fr-CA"/>
        </w:rPr>
        <w:t>’</w:t>
      </w:r>
      <w:r w:rsidRPr="00305B2E">
        <w:rPr>
          <w:lang w:val="fr-CA"/>
        </w:rPr>
        <w:t xml:space="preserve">aménagement forestier </w:t>
      </w:r>
      <w:r w:rsidRPr="00305B2E">
        <w:rPr>
          <w:lang w:val="fr-CA"/>
        </w:rPr>
        <w:lastRenderedPageBreak/>
        <w:t>(« PAF »).  Le MDF a communiqué avec la PNFN au mois d</w:t>
      </w:r>
      <w:r>
        <w:rPr>
          <w:lang w:val="fr-CA"/>
        </w:rPr>
        <w:t>’</w:t>
      </w:r>
      <w:r w:rsidRPr="00305B2E">
        <w:rPr>
          <w:lang w:val="fr-CA"/>
        </w:rPr>
        <w:t>août 2004 et, au mois de septembre de la même année, avec des trappeurs, dont M. </w:t>
      </w:r>
      <w:proofErr w:type="spellStart"/>
      <w:r w:rsidRPr="00305B2E">
        <w:rPr>
          <w:lang w:val="fr-CA"/>
        </w:rPr>
        <w:t>Behn</w:t>
      </w:r>
      <w:proofErr w:type="spellEnd"/>
      <w:r w:rsidRPr="00305B2E">
        <w:rPr>
          <w:lang w:val="fr-CA"/>
        </w:rPr>
        <w:t>, pour les informer de son intention de créer de nouveaux blocs de récolte.  Il a invité les trappeurs concernés à faire connaître leurs préoccupations ou à formuler leurs commentaires au plus tard le 20 octobre 2004.  Des représentants du MDF ont rencontré un représentant de la PNFN au mois de novembre 2004 relativement à la tenue de consultations sur le projet de modification du PAF.  Lors de cette rencontre, la question du financement dont aurait besoin la PNFN pour lui permettre de fournir des renseignements au MDF a été abordée.  Mais finalement, le financement a été refusé.  Le 31 janvier 2005, le MDF a écrit à la PNFN pour l</w:t>
      </w:r>
      <w:r>
        <w:rPr>
          <w:lang w:val="fr-CA"/>
        </w:rPr>
        <w:t>’</w:t>
      </w:r>
      <w:r w:rsidRPr="00305B2E">
        <w:rPr>
          <w:lang w:val="fr-CA"/>
        </w:rPr>
        <w:t>informer que des évaluations d</w:t>
      </w:r>
      <w:r w:rsidR="00F12FEB">
        <w:rPr>
          <w:lang w:val="fr-CA"/>
        </w:rPr>
        <w:t>’</w:t>
      </w:r>
      <w:r w:rsidRPr="00305B2E">
        <w:rPr>
          <w:lang w:val="fr-CA"/>
        </w:rPr>
        <w:t>impacts archéologiques seraient effectuées dans certains secteurs où le PAF modifié prévoyait la récolte de bois.  Deux rapports d</w:t>
      </w:r>
      <w:r>
        <w:rPr>
          <w:lang w:val="fr-CA"/>
        </w:rPr>
        <w:t>’</w:t>
      </w:r>
      <w:r w:rsidRPr="00305B2E">
        <w:rPr>
          <w:lang w:val="fr-CA"/>
        </w:rPr>
        <w:t>évaluation des impacts archéologiques ont été achevés au mois d</w:t>
      </w:r>
      <w:r>
        <w:rPr>
          <w:lang w:val="fr-CA"/>
        </w:rPr>
        <w:t>’</w:t>
      </w:r>
      <w:r w:rsidRPr="00305B2E">
        <w:rPr>
          <w:lang w:val="fr-CA"/>
        </w:rPr>
        <w:t>août 2005 et des exemplaires de ces rapports ont été remis à la PNFN.  Une autre rencontre a eu lieu entre le MDF et la PNFN le 21 septembre 2005 pour poursuivre les discussions sur les modifications proposées au PAF.</w:t>
      </w:r>
    </w:p>
    <w:p w:rsidR="00645F4F" w:rsidRPr="00305B2E" w:rsidRDefault="00645F4F" w:rsidP="00645F4F">
      <w:pPr>
        <w:pStyle w:val="ParaNoNdepar-AltN"/>
        <w:rPr>
          <w:lang w:val="fr-CA"/>
        </w:rPr>
      </w:pPr>
      <w:r w:rsidRPr="00305B2E">
        <w:rPr>
          <w:lang w:val="fr-CA"/>
        </w:rPr>
        <w:t xml:space="preserve">Le MDF a approuvé le PAF modifié.  Le 2 juin 2006, le MDF a mis en vente les deux permis de vente de bois en cause dans le présent pourvoi. Après avoir octroyé des autorisations à </w:t>
      </w:r>
      <w:proofErr w:type="spellStart"/>
      <w:r w:rsidRPr="00305B2E">
        <w:rPr>
          <w:lang w:val="fr-CA"/>
        </w:rPr>
        <w:t>Moulton</w:t>
      </w:r>
      <w:proofErr w:type="spellEnd"/>
      <w:r w:rsidRPr="00305B2E">
        <w:rPr>
          <w:lang w:val="fr-CA"/>
        </w:rPr>
        <w:t xml:space="preserve">, le MDF a écrit à George </w:t>
      </w:r>
      <w:proofErr w:type="spellStart"/>
      <w:r w:rsidRPr="00305B2E">
        <w:rPr>
          <w:lang w:val="fr-CA"/>
        </w:rPr>
        <w:t>Behn</w:t>
      </w:r>
      <w:proofErr w:type="spellEnd"/>
      <w:r w:rsidRPr="00305B2E">
        <w:rPr>
          <w:lang w:val="fr-CA"/>
        </w:rPr>
        <w:t xml:space="preserve"> le 28 juin 2006 pour l</w:t>
      </w:r>
      <w:r>
        <w:rPr>
          <w:lang w:val="fr-CA"/>
        </w:rPr>
        <w:t>’</w:t>
      </w:r>
      <w:r w:rsidRPr="00305B2E">
        <w:rPr>
          <w:lang w:val="fr-CA"/>
        </w:rPr>
        <w:t xml:space="preserve">informer que </w:t>
      </w:r>
      <w:proofErr w:type="spellStart"/>
      <w:r w:rsidRPr="00305B2E">
        <w:rPr>
          <w:lang w:val="fr-CA"/>
        </w:rPr>
        <w:t>Moulton</w:t>
      </w:r>
      <w:proofErr w:type="spellEnd"/>
      <w:r w:rsidRPr="00305B2E">
        <w:rPr>
          <w:lang w:val="fr-CA"/>
        </w:rPr>
        <w:t xml:space="preserve"> avait obtenu les permis de récolte de bois dans son territoire de piégeage.  Dans cette lettre, on invitait George </w:t>
      </w:r>
      <w:proofErr w:type="spellStart"/>
      <w:r w:rsidRPr="00305B2E">
        <w:rPr>
          <w:lang w:val="fr-CA"/>
        </w:rPr>
        <w:t>Behn</w:t>
      </w:r>
      <w:proofErr w:type="spellEnd"/>
      <w:r w:rsidRPr="00305B2E">
        <w:rPr>
          <w:lang w:val="fr-CA"/>
        </w:rPr>
        <w:t xml:space="preserve"> à communiquer directement avec </w:t>
      </w:r>
      <w:proofErr w:type="spellStart"/>
      <w:r w:rsidRPr="00305B2E">
        <w:rPr>
          <w:lang w:val="fr-CA"/>
        </w:rPr>
        <w:t>Moulton</w:t>
      </w:r>
      <w:proofErr w:type="spellEnd"/>
      <w:r w:rsidRPr="00305B2E">
        <w:rPr>
          <w:lang w:val="fr-CA"/>
        </w:rPr>
        <w:t xml:space="preserve"> pour confirmer la date du début des activités d</w:t>
      </w:r>
      <w:r>
        <w:rPr>
          <w:lang w:val="fr-CA"/>
        </w:rPr>
        <w:t>’</w:t>
      </w:r>
      <w:r w:rsidRPr="00305B2E">
        <w:rPr>
          <w:lang w:val="fr-CA"/>
        </w:rPr>
        <w:t>explo</w:t>
      </w:r>
      <w:r w:rsidR="00017FED">
        <w:rPr>
          <w:lang w:val="fr-CA"/>
        </w:rPr>
        <w:t>itation.  Le 17 juillet 2006, le</w:t>
      </w:r>
      <w:r w:rsidRPr="00305B2E">
        <w:rPr>
          <w:lang w:val="fr-CA"/>
        </w:rPr>
        <w:t xml:space="preserve"> MDF a envoyé à M. </w:t>
      </w:r>
      <w:proofErr w:type="spellStart"/>
      <w:r w:rsidRPr="00305B2E">
        <w:rPr>
          <w:lang w:val="fr-CA"/>
        </w:rPr>
        <w:t>Behn</w:t>
      </w:r>
      <w:proofErr w:type="spellEnd"/>
      <w:r w:rsidRPr="00305B2E">
        <w:rPr>
          <w:lang w:val="fr-CA"/>
        </w:rPr>
        <w:t xml:space="preserve"> une autre lettre pour </w:t>
      </w:r>
      <w:r w:rsidRPr="00305B2E">
        <w:rPr>
          <w:lang w:val="fr-CA"/>
        </w:rPr>
        <w:lastRenderedPageBreak/>
        <w:t>lui faire savoir que les activités commenceraient le 1</w:t>
      </w:r>
      <w:r w:rsidRPr="00305B2E">
        <w:rPr>
          <w:vertAlign w:val="superscript"/>
          <w:lang w:val="fr-CA"/>
        </w:rPr>
        <w:t>er</w:t>
      </w:r>
      <w:r w:rsidRPr="00305B2E">
        <w:rPr>
          <w:lang w:val="fr-CA"/>
        </w:rPr>
        <w:t xml:space="preserve"> août 2006.  Le 31 août 2006, George </w:t>
      </w:r>
      <w:proofErr w:type="spellStart"/>
      <w:r w:rsidRPr="00305B2E">
        <w:rPr>
          <w:lang w:val="fr-CA"/>
        </w:rPr>
        <w:t>Behn</w:t>
      </w:r>
      <w:proofErr w:type="spellEnd"/>
      <w:r w:rsidRPr="00305B2E">
        <w:rPr>
          <w:lang w:val="fr-CA"/>
        </w:rPr>
        <w:t xml:space="preserve"> a demandé par lettre au MDF d</w:t>
      </w:r>
      <w:r>
        <w:rPr>
          <w:lang w:val="fr-CA"/>
        </w:rPr>
        <w:t>’</w:t>
      </w:r>
      <w:r w:rsidRPr="00305B2E">
        <w:rPr>
          <w:lang w:val="fr-CA"/>
        </w:rPr>
        <w:t xml:space="preserve">annuler les autorisations accordées à </w:t>
      </w:r>
      <w:proofErr w:type="spellStart"/>
      <w:r w:rsidRPr="00305B2E">
        <w:rPr>
          <w:lang w:val="fr-CA"/>
        </w:rPr>
        <w:t>Moulton</w:t>
      </w:r>
      <w:proofErr w:type="spellEnd"/>
      <w:r w:rsidRPr="00305B2E">
        <w:rPr>
          <w:lang w:val="fr-CA"/>
        </w:rPr>
        <w:t xml:space="preserve"> et de procéder à des consultations.  Toutefois, il n</w:t>
      </w:r>
      <w:r>
        <w:rPr>
          <w:lang w:val="fr-CA"/>
        </w:rPr>
        <w:t>’</w:t>
      </w:r>
      <w:r w:rsidRPr="00305B2E">
        <w:rPr>
          <w:lang w:val="fr-CA"/>
        </w:rPr>
        <w:t xml:space="preserve">a pas envoyé à </w:t>
      </w:r>
      <w:proofErr w:type="spellStart"/>
      <w:r w:rsidRPr="00305B2E">
        <w:rPr>
          <w:lang w:val="fr-CA"/>
        </w:rPr>
        <w:t>Moulton</w:t>
      </w:r>
      <w:proofErr w:type="spellEnd"/>
      <w:r w:rsidRPr="00305B2E">
        <w:rPr>
          <w:lang w:val="fr-CA"/>
        </w:rPr>
        <w:t xml:space="preserve"> une copie de cette lettre.</w:t>
      </w:r>
    </w:p>
    <w:p w:rsidR="00645F4F" w:rsidRPr="00305B2E" w:rsidRDefault="00645F4F" w:rsidP="00645F4F">
      <w:pPr>
        <w:pStyle w:val="ParaNoNdepar-AltN"/>
        <w:tabs>
          <w:tab w:val="left" w:pos="7797"/>
        </w:tabs>
        <w:rPr>
          <w:lang w:val="fr-CA"/>
        </w:rPr>
      </w:pPr>
      <w:r w:rsidRPr="00305B2E">
        <w:rPr>
          <w:lang w:val="fr-CA"/>
        </w:rPr>
        <w:t xml:space="preserve">Entre le 19 et le 22 septembre 2006, </w:t>
      </w:r>
      <w:proofErr w:type="spellStart"/>
      <w:r w:rsidRPr="00305B2E">
        <w:rPr>
          <w:lang w:val="fr-CA"/>
        </w:rPr>
        <w:t>Moulton</w:t>
      </w:r>
      <w:proofErr w:type="spellEnd"/>
      <w:r w:rsidRPr="00305B2E">
        <w:rPr>
          <w:lang w:val="fr-CA"/>
        </w:rPr>
        <w:t xml:space="preserve"> a commencé à acheminer son équipement sur l</w:t>
      </w:r>
      <w:r>
        <w:rPr>
          <w:lang w:val="fr-CA"/>
        </w:rPr>
        <w:t>’</w:t>
      </w:r>
      <w:r w:rsidRPr="00305B2E">
        <w:rPr>
          <w:lang w:val="fr-CA"/>
        </w:rPr>
        <w:t xml:space="preserve">un des deux sites visés par les autorisations.  Le 25 septembre 2006, le MDF a informé </w:t>
      </w:r>
      <w:proofErr w:type="spellStart"/>
      <w:r w:rsidRPr="00305B2E">
        <w:rPr>
          <w:lang w:val="fr-CA"/>
        </w:rPr>
        <w:t>Moulton</w:t>
      </w:r>
      <w:proofErr w:type="spellEnd"/>
      <w:r w:rsidRPr="00305B2E">
        <w:rPr>
          <w:lang w:val="fr-CA"/>
        </w:rPr>
        <w:t xml:space="preserve"> que la situation risquait de se compliquer avec George </w:t>
      </w:r>
      <w:proofErr w:type="spellStart"/>
      <w:r w:rsidRPr="00305B2E">
        <w:rPr>
          <w:lang w:val="fr-CA"/>
        </w:rPr>
        <w:t>Behn</w:t>
      </w:r>
      <w:proofErr w:type="spellEnd"/>
      <w:r w:rsidRPr="00305B2E">
        <w:rPr>
          <w:lang w:val="fr-CA"/>
        </w:rPr>
        <w:t xml:space="preserve">.  Le MDF a alors demandé à </w:t>
      </w:r>
      <w:proofErr w:type="spellStart"/>
      <w:r w:rsidRPr="00305B2E">
        <w:rPr>
          <w:lang w:val="fr-CA"/>
        </w:rPr>
        <w:t>Moulton</w:t>
      </w:r>
      <w:proofErr w:type="spellEnd"/>
      <w:r w:rsidRPr="00305B2E">
        <w:rPr>
          <w:lang w:val="fr-CA"/>
        </w:rPr>
        <w:t xml:space="preserve"> de déménager ses équipements sur le deuxième site.  </w:t>
      </w:r>
      <w:proofErr w:type="spellStart"/>
      <w:r w:rsidRPr="00305B2E">
        <w:rPr>
          <w:lang w:val="fr-CA"/>
        </w:rPr>
        <w:t>Moulton</w:t>
      </w:r>
      <w:proofErr w:type="spellEnd"/>
      <w:r w:rsidRPr="00305B2E">
        <w:rPr>
          <w:lang w:val="fr-CA"/>
        </w:rPr>
        <w:t xml:space="preserve"> a répondu qu</w:t>
      </w:r>
      <w:r>
        <w:rPr>
          <w:lang w:val="fr-CA"/>
        </w:rPr>
        <w:t>’</w:t>
      </w:r>
      <w:r w:rsidRPr="00305B2E">
        <w:rPr>
          <w:lang w:val="fr-CA"/>
        </w:rPr>
        <w:t>elle ne pouvait le faire parce qu</w:t>
      </w:r>
      <w:r>
        <w:rPr>
          <w:lang w:val="fr-CA"/>
        </w:rPr>
        <w:t>’</w:t>
      </w:r>
      <w:r w:rsidRPr="00305B2E">
        <w:rPr>
          <w:lang w:val="fr-CA"/>
        </w:rPr>
        <w:t>elle s</w:t>
      </w:r>
      <w:r>
        <w:rPr>
          <w:lang w:val="fr-CA"/>
        </w:rPr>
        <w:t>’</w:t>
      </w:r>
      <w:r w:rsidRPr="00305B2E">
        <w:rPr>
          <w:lang w:val="fr-CA"/>
        </w:rPr>
        <w:t>était engagée à fournir à une scierie du bois récolté sur le premier site.</w:t>
      </w:r>
    </w:p>
    <w:p w:rsidR="00645F4F" w:rsidRPr="00305B2E" w:rsidRDefault="00645F4F" w:rsidP="00645F4F">
      <w:pPr>
        <w:pStyle w:val="ParaNoNdepar-AltN"/>
        <w:rPr>
          <w:lang w:val="fr-CA"/>
        </w:rPr>
      </w:pPr>
      <w:r w:rsidRPr="00305B2E">
        <w:rPr>
          <w:lang w:val="fr-CA"/>
        </w:rPr>
        <w:t>Au début d</w:t>
      </w:r>
      <w:r>
        <w:rPr>
          <w:lang w:val="fr-CA"/>
        </w:rPr>
        <w:t>’</w:t>
      </w:r>
      <w:r w:rsidRPr="00305B2E">
        <w:rPr>
          <w:lang w:val="fr-CA"/>
        </w:rPr>
        <w:t xml:space="preserve">octobre 2006, les </w:t>
      </w:r>
      <w:proofErr w:type="spellStart"/>
      <w:r w:rsidRPr="00305B2E">
        <w:rPr>
          <w:lang w:val="fr-CA"/>
        </w:rPr>
        <w:t>Behn</w:t>
      </w:r>
      <w:proofErr w:type="spellEnd"/>
      <w:r w:rsidRPr="00305B2E">
        <w:rPr>
          <w:lang w:val="fr-CA"/>
        </w:rPr>
        <w:t xml:space="preserve"> ont érigé un camp sur le chemin d</w:t>
      </w:r>
      <w:r>
        <w:rPr>
          <w:lang w:val="fr-CA"/>
        </w:rPr>
        <w:t>’</w:t>
      </w:r>
      <w:r w:rsidRPr="00305B2E">
        <w:rPr>
          <w:lang w:val="fr-CA"/>
        </w:rPr>
        <w:t>accès menant aux parcelles de terre visées par les autorisations.  Le camp empêchait l</w:t>
      </w:r>
      <w:r>
        <w:rPr>
          <w:lang w:val="fr-CA"/>
        </w:rPr>
        <w:t>’</w:t>
      </w:r>
      <w:r w:rsidRPr="00305B2E">
        <w:rPr>
          <w:lang w:val="fr-CA"/>
        </w:rPr>
        <w:t xml:space="preserve">accès au territoire où </w:t>
      </w:r>
      <w:proofErr w:type="spellStart"/>
      <w:r w:rsidRPr="00305B2E">
        <w:rPr>
          <w:lang w:val="fr-CA"/>
        </w:rPr>
        <w:t>Moulton</w:t>
      </w:r>
      <w:proofErr w:type="spellEnd"/>
      <w:r w:rsidRPr="00305B2E">
        <w:rPr>
          <w:lang w:val="fr-CA"/>
        </w:rPr>
        <w:t xml:space="preserve"> était autorisée à récolter du bois.</w:t>
      </w:r>
    </w:p>
    <w:p w:rsidR="00645F4F" w:rsidRPr="00305B2E" w:rsidRDefault="00645F4F" w:rsidP="00645F4F">
      <w:pPr>
        <w:pStyle w:val="ParaNoNdepar-AltN"/>
        <w:rPr>
          <w:lang w:val="fr-CA"/>
        </w:rPr>
      </w:pPr>
      <w:r w:rsidRPr="00305B2E">
        <w:rPr>
          <w:lang w:val="fr-CA"/>
        </w:rPr>
        <w:t xml:space="preserve">Le 23 novembre 2006, </w:t>
      </w:r>
      <w:proofErr w:type="spellStart"/>
      <w:r w:rsidRPr="00305B2E">
        <w:rPr>
          <w:lang w:val="fr-CA"/>
        </w:rPr>
        <w:t>Moulton</w:t>
      </w:r>
      <w:proofErr w:type="spellEnd"/>
      <w:r w:rsidRPr="00305B2E">
        <w:rPr>
          <w:lang w:val="fr-CA"/>
        </w:rPr>
        <w:t xml:space="preserve"> a introduit devant la Cour suprême de la </w:t>
      </w:r>
      <w:proofErr w:type="spellStart"/>
      <w:r w:rsidRPr="00305B2E">
        <w:rPr>
          <w:lang w:val="fr-CA"/>
        </w:rPr>
        <w:t>Colombie</w:t>
      </w:r>
      <w:r w:rsidRPr="00305B2E">
        <w:rPr>
          <w:lang w:val="fr-CA"/>
        </w:rPr>
        <w:noBreakHyphen/>
        <w:t>Britannique</w:t>
      </w:r>
      <w:proofErr w:type="spellEnd"/>
      <w:r w:rsidRPr="00305B2E">
        <w:rPr>
          <w:lang w:val="fr-CA"/>
        </w:rPr>
        <w:t xml:space="preserve"> une action contre les </w:t>
      </w:r>
      <w:proofErr w:type="spellStart"/>
      <w:r w:rsidRPr="00305B2E">
        <w:rPr>
          <w:lang w:val="fr-CA"/>
        </w:rPr>
        <w:t>Behn</w:t>
      </w:r>
      <w:proofErr w:type="spellEnd"/>
      <w:r w:rsidRPr="00305B2E">
        <w:rPr>
          <w:lang w:val="fr-CA"/>
        </w:rPr>
        <w:t xml:space="preserve">, la chef Logan en son propre nom et au nom de la PNFN, et la Couronne.  </w:t>
      </w:r>
      <w:proofErr w:type="spellStart"/>
      <w:r w:rsidRPr="00305B2E">
        <w:rPr>
          <w:lang w:val="fr-CA"/>
        </w:rPr>
        <w:t>Moulton</w:t>
      </w:r>
      <w:proofErr w:type="spellEnd"/>
      <w:r w:rsidRPr="00305B2E">
        <w:rPr>
          <w:lang w:val="fr-CA"/>
        </w:rPr>
        <w:t xml:space="preserve"> réclamait des </w:t>
      </w:r>
      <w:proofErr w:type="spellStart"/>
      <w:r w:rsidRPr="00305B2E">
        <w:rPr>
          <w:lang w:val="fr-CA"/>
        </w:rPr>
        <w:t>Behn</w:t>
      </w:r>
      <w:proofErr w:type="spellEnd"/>
      <w:r w:rsidRPr="00305B2E">
        <w:rPr>
          <w:lang w:val="fr-CA"/>
        </w:rPr>
        <w:t xml:space="preserve"> des </w:t>
      </w:r>
      <w:proofErr w:type="spellStart"/>
      <w:r w:rsidRPr="00305B2E">
        <w:rPr>
          <w:lang w:val="fr-CA"/>
        </w:rPr>
        <w:t>dommages</w:t>
      </w:r>
      <w:r w:rsidRPr="00305B2E">
        <w:rPr>
          <w:lang w:val="fr-CA"/>
        </w:rPr>
        <w:noBreakHyphen/>
        <w:t>intérêts</w:t>
      </w:r>
      <w:proofErr w:type="spellEnd"/>
      <w:r w:rsidRPr="00305B2E">
        <w:rPr>
          <w:lang w:val="fr-CA"/>
        </w:rPr>
        <w:t xml:space="preserve"> pour entrave à des relations contractuelles.  Dans leur défense, les </w:t>
      </w:r>
      <w:proofErr w:type="spellStart"/>
      <w:r w:rsidRPr="00305B2E">
        <w:rPr>
          <w:lang w:val="fr-CA"/>
        </w:rPr>
        <w:t>Behn</w:t>
      </w:r>
      <w:proofErr w:type="spellEnd"/>
      <w:r w:rsidRPr="00305B2E">
        <w:rPr>
          <w:lang w:val="fr-CA"/>
        </w:rPr>
        <w:t xml:space="preserve"> ont allégué que leur conduite n</w:t>
      </w:r>
      <w:r>
        <w:rPr>
          <w:lang w:val="fr-CA"/>
        </w:rPr>
        <w:t>’</w:t>
      </w:r>
      <w:r w:rsidRPr="00305B2E">
        <w:rPr>
          <w:lang w:val="fr-CA"/>
        </w:rPr>
        <w:t xml:space="preserve">était pas illégale, ajoutant que les autorisations étaient </w:t>
      </w:r>
      <w:proofErr w:type="spellStart"/>
      <w:r w:rsidRPr="00305B2E">
        <w:rPr>
          <w:lang w:val="fr-CA"/>
        </w:rPr>
        <w:t>elles</w:t>
      </w:r>
      <w:r w:rsidRPr="00305B2E">
        <w:rPr>
          <w:lang w:val="fr-CA"/>
        </w:rPr>
        <w:noBreakHyphen/>
        <w:t>mêmes</w:t>
      </w:r>
      <w:proofErr w:type="spellEnd"/>
      <w:r w:rsidRPr="00305B2E">
        <w:rPr>
          <w:lang w:val="fr-CA"/>
        </w:rPr>
        <w:t xml:space="preserve"> illégales pour deux raisons.  D</w:t>
      </w:r>
      <w:r>
        <w:rPr>
          <w:lang w:val="fr-CA"/>
        </w:rPr>
        <w:t>’</w:t>
      </w:r>
      <w:r w:rsidRPr="00305B2E">
        <w:rPr>
          <w:lang w:val="fr-CA"/>
        </w:rPr>
        <w:t>abord, en accordant les autorisations, la Couronne ne s</w:t>
      </w:r>
      <w:r>
        <w:rPr>
          <w:lang w:val="fr-CA"/>
        </w:rPr>
        <w:t>’</w:t>
      </w:r>
      <w:r w:rsidRPr="00305B2E">
        <w:rPr>
          <w:lang w:val="fr-CA"/>
        </w:rPr>
        <w:t xml:space="preserve">était pas acquittée de son obligation de consultation.  </w:t>
      </w:r>
      <w:r w:rsidRPr="00305B2E">
        <w:rPr>
          <w:lang w:val="fr-CA"/>
        </w:rPr>
        <w:lastRenderedPageBreak/>
        <w:t>Ensuite, les autorisations auraient porté atteinte à leurs droits de chasse et de piégeage reconnus par le Traité n</w:t>
      </w:r>
      <w:r w:rsidRPr="00305B2E">
        <w:rPr>
          <w:vertAlign w:val="superscript"/>
          <w:lang w:val="fr-CA"/>
        </w:rPr>
        <w:t>o</w:t>
      </w:r>
      <w:r w:rsidRPr="00305B2E">
        <w:rPr>
          <w:lang w:val="fr-CA"/>
        </w:rPr>
        <w:t> 8.</w:t>
      </w:r>
    </w:p>
    <w:p w:rsidR="00645F4F" w:rsidRPr="00305B2E" w:rsidRDefault="00645F4F" w:rsidP="00645F4F">
      <w:pPr>
        <w:pStyle w:val="ParaNoNdepar-AltN"/>
        <w:rPr>
          <w:lang w:val="fr-CA"/>
        </w:rPr>
      </w:pPr>
      <w:r w:rsidRPr="00305B2E">
        <w:rPr>
          <w:lang w:val="fr-CA"/>
        </w:rPr>
        <w:t xml:space="preserve">Conformément au par. 19(24) des </w:t>
      </w:r>
      <w:proofErr w:type="spellStart"/>
      <w:r w:rsidRPr="00305B2E">
        <w:rPr>
          <w:i/>
          <w:lang w:val="fr-CA"/>
        </w:rPr>
        <w:t>Supreme</w:t>
      </w:r>
      <w:proofErr w:type="spellEnd"/>
      <w:r w:rsidRPr="00305B2E">
        <w:rPr>
          <w:i/>
          <w:lang w:val="fr-CA"/>
        </w:rPr>
        <w:t xml:space="preserve"> Court </w:t>
      </w:r>
      <w:proofErr w:type="spellStart"/>
      <w:r w:rsidRPr="00305B2E">
        <w:rPr>
          <w:i/>
          <w:lang w:val="fr-CA"/>
        </w:rPr>
        <w:t>Rules</w:t>
      </w:r>
      <w:proofErr w:type="spellEnd"/>
      <w:r w:rsidRPr="00305B2E">
        <w:rPr>
          <w:lang w:val="fr-CA"/>
        </w:rPr>
        <w:t>, B.C. Reg. 221/90 [abrogé] (devenu le par. 9</w:t>
      </w:r>
      <w:r w:rsidRPr="00305B2E">
        <w:rPr>
          <w:lang w:val="fr-CA"/>
        </w:rPr>
        <w:noBreakHyphen/>
        <w:t xml:space="preserve">5(1), </w:t>
      </w:r>
      <w:proofErr w:type="spellStart"/>
      <w:r w:rsidRPr="00305B2E">
        <w:rPr>
          <w:i/>
          <w:lang w:val="fr-CA"/>
        </w:rPr>
        <w:t>Supreme</w:t>
      </w:r>
      <w:proofErr w:type="spellEnd"/>
      <w:r w:rsidRPr="00305B2E">
        <w:rPr>
          <w:i/>
          <w:lang w:val="fr-CA"/>
        </w:rPr>
        <w:t xml:space="preserve"> Court Civil </w:t>
      </w:r>
      <w:proofErr w:type="spellStart"/>
      <w:r w:rsidRPr="00305B2E">
        <w:rPr>
          <w:i/>
          <w:lang w:val="fr-CA"/>
        </w:rPr>
        <w:t>Rules</w:t>
      </w:r>
      <w:proofErr w:type="spellEnd"/>
      <w:r w:rsidRPr="00305B2E">
        <w:rPr>
          <w:lang w:val="fr-CA"/>
        </w:rPr>
        <w:t xml:space="preserve">, B.C. Reg. 168/2009), </w:t>
      </w:r>
      <w:proofErr w:type="spellStart"/>
      <w:r w:rsidRPr="00305B2E">
        <w:rPr>
          <w:lang w:val="fr-CA"/>
        </w:rPr>
        <w:t>Moulton</w:t>
      </w:r>
      <w:proofErr w:type="spellEnd"/>
      <w:r w:rsidRPr="00305B2E">
        <w:rPr>
          <w:lang w:val="fr-CA"/>
        </w:rPr>
        <w:t xml:space="preserve"> a demandé la radiation de plusieurs paragraphes de la défense des </w:t>
      </w:r>
      <w:proofErr w:type="spellStart"/>
      <w:r w:rsidRPr="00305B2E">
        <w:rPr>
          <w:lang w:val="fr-CA"/>
        </w:rPr>
        <w:t>Behn</w:t>
      </w:r>
      <w:proofErr w:type="spellEnd"/>
      <w:r w:rsidRPr="00305B2E">
        <w:rPr>
          <w:lang w:val="fr-CA"/>
        </w:rPr>
        <w:t xml:space="preserve"> au motif (1) qu</w:t>
      </w:r>
      <w:r>
        <w:rPr>
          <w:lang w:val="fr-CA"/>
        </w:rPr>
        <w:t>’</w:t>
      </w:r>
      <w:r w:rsidRPr="00305B2E">
        <w:rPr>
          <w:lang w:val="fr-CA"/>
        </w:rPr>
        <w:t>ils ne révélaient manifestement aucun moyen de défense raisonnable, ou (2) que les conclusions recherchées constituaient un abus de procédure.  Pour l</w:t>
      </w:r>
      <w:r>
        <w:rPr>
          <w:lang w:val="fr-CA"/>
        </w:rPr>
        <w:t>’</w:t>
      </w:r>
      <w:r w:rsidRPr="00305B2E">
        <w:rPr>
          <w:lang w:val="fr-CA"/>
        </w:rPr>
        <w:t xml:space="preserve">essentiel, les paragraphes dont </w:t>
      </w:r>
      <w:proofErr w:type="spellStart"/>
      <w:r w:rsidRPr="00305B2E">
        <w:rPr>
          <w:lang w:val="fr-CA"/>
        </w:rPr>
        <w:t>Moulton</w:t>
      </w:r>
      <w:proofErr w:type="spellEnd"/>
      <w:r w:rsidRPr="00305B2E">
        <w:rPr>
          <w:lang w:val="fr-CA"/>
        </w:rPr>
        <w:t xml:space="preserve"> demandait la radiation avaient trait aux allégations des </w:t>
      </w:r>
      <w:proofErr w:type="spellStart"/>
      <w:r w:rsidRPr="00305B2E">
        <w:rPr>
          <w:lang w:val="fr-CA"/>
        </w:rPr>
        <w:t>Behn</w:t>
      </w:r>
      <w:proofErr w:type="spellEnd"/>
      <w:r w:rsidRPr="00305B2E">
        <w:rPr>
          <w:lang w:val="fr-CA"/>
        </w:rPr>
        <w:t xml:space="preserve"> suivant lesquelles les autorisations étaient invalides parce qu</w:t>
      </w:r>
      <w:r>
        <w:rPr>
          <w:lang w:val="fr-CA"/>
        </w:rPr>
        <w:t>’</w:t>
      </w:r>
      <w:r w:rsidRPr="00305B2E">
        <w:rPr>
          <w:lang w:val="fr-CA"/>
        </w:rPr>
        <w:t>elles avaient été délivrées sans que soit respectée l</w:t>
      </w:r>
      <w:r>
        <w:rPr>
          <w:lang w:val="fr-CA"/>
        </w:rPr>
        <w:t>’</w:t>
      </w:r>
      <w:r w:rsidRPr="00305B2E">
        <w:rPr>
          <w:lang w:val="fr-CA"/>
        </w:rPr>
        <w:t>obligation de consultation de la Couronne et qu</w:t>
      </w:r>
      <w:r>
        <w:rPr>
          <w:lang w:val="fr-CA"/>
        </w:rPr>
        <w:t>’</w:t>
      </w:r>
      <w:r w:rsidRPr="00305B2E">
        <w:rPr>
          <w:lang w:val="fr-CA"/>
        </w:rPr>
        <w:t>elles violaient leurs droits issus de traités, ainsi qu</w:t>
      </w:r>
      <w:r>
        <w:rPr>
          <w:lang w:val="fr-CA"/>
        </w:rPr>
        <w:t>’</w:t>
      </w:r>
      <w:r w:rsidRPr="00305B2E">
        <w:rPr>
          <w:lang w:val="fr-CA"/>
        </w:rPr>
        <w:t xml:space="preserve">aux allégations suivant lesquelles les </w:t>
      </w:r>
      <w:proofErr w:type="spellStart"/>
      <w:r w:rsidRPr="00305B2E">
        <w:rPr>
          <w:lang w:val="fr-CA"/>
        </w:rPr>
        <w:t>Behn</w:t>
      </w:r>
      <w:proofErr w:type="spellEnd"/>
      <w:r w:rsidRPr="00305B2E">
        <w:rPr>
          <w:lang w:val="fr-CA"/>
        </w:rPr>
        <w:t xml:space="preserve"> n</w:t>
      </w:r>
      <w:r>
        <w:rPr>
          <w:lang w:val="fr-CA"/>
        </w:rPr>
        <w:t>’</w:t>
      </w:r>
      <w:r w:rsidRPr="00305B2E">
        <w:rPr>
          <w:lang w:val="fr-CA"/>
        </w:rPr>
        <w:t xml:space="preserve">avaient posé aucun acte illégal ou de nature délictuelle.  La Couronne a appuyé la demande de </w:t>
      </w:r>
      <w:proofErr w:type="spellStart"/>
      <w:r w:rsidRPr="00305B2E">
        <w:rPr>
          <w:lang w:val="fr-CA"/>
        </w:rPr>
        <w:t>Moulton</w:t>
      </w:r>
      <w:proofErr w:type="spellEnd"/>
      <w:r w:rsidRPr="00305B2E">
        <w:rPr>
          <w:lang w:val="fr-CA"/>
        </w:rPr>
        <w:t xml:space="preserve"> et a en outre fait valoir que seule la PNFN, et non les </w:t>
      </w:r>
      <w:proofErr w:type="spellStart"/>
      <w:r w:rsidRPr="00305B2E">
        <w:rPr>
          <w:lang w:val="fr-CA"/>
        </w:rPr>
        <w:t>Behn</w:t>
      </w:r>
      <w:proofErr w:type="spellEnd"/>
      <w:r w:rsidRPr="00305B2E">
        <w:rPr>
          <w:lang w:val="fr-CA"/>
        </w:rPr>
        <w:t>, avait qualité pour invoquer un manquement à l</w:t>
      </w:r>
      <w:r>
        <w:rPr>
          <w:lang w:val="fr-CA"/>
        </w:rPr>
        <w:t>’</w:t>
      </w:r>
      <w:r w:rsidRPr="00305B2E">
        <w:rPr>
          <w:lang w:val="fr-CA"/>
        </w:rPr>
        <w:t xml:space="preserve">obligation de </w:t>
      </w:r>
      <w:r w:rsidR="00FB65D0">
        <w:rPr>
          <w:lang w:val="fr-CA"/>
        </w:rPr>
        <w:t>consultation ou la violation de</w:t>
      </w:r>
      <w:r w:rsidRPr="00305B2E">
        <w:rPr>
          <w:lang w:val="fr-CA"/>
        </w:rPr>
        <w:t xml:space="preserve"> droits issus de traités.</w:t>
      </w:r>
    </w:p>
    <w:p w:rsidR="00645F4F" w:rsidRPr="00305B2E" w:rsidRDefault="00645F4F" w:rsidP="00645F4F">
      <w:pPr>
        <w:pStyle w:val="TitleTitre-AltT"/>
        <w:keepNext/>
        <w:rPr>
          <w:lang w:val="fr-CA"/>
        </w:rPr>
      </w:pPr>
      <w:r w:rsidRPr="00305B2E">
        <w:rPr>
          <w:lang w:val="fr-CA"/>
        </w:rPr>
        <w:t>III.</w:t>
      </w:r>
      <w:r w:rsidRPr="00305B2E">
        <w:rPr>
          <w:lang w:val="fr-CA"/>
        </w:rPr>
        <w:tab/>
      </w:r>
      <w:r w:rsidRPr="00305B2E">
        <w:rPr>
          <w:u w:val="single"/>
          <w:lang w:val="fr-CA"/>
        </w:rPr>
        <w:t>Historique judiciaire</w:t>
      </w:r>
    </w:p>
    <w:p w:rsidR="00645F4F" w:rsidRPr="00305B2E" w:rsidRDefault="00645F4F" w:rsidP="00645F4F">
      <w:pPr>
        <w:pStyle w:val="TitleTitre-AltT"/>
        <w:keepNext/>
        <w:rPr>
          <w:i/>
          <w:lang w:val="fr-CA"/>
        </w:rPr>
      </w:pPr>
      <w:r w:rsidRPr="00305B2E">
        <w:rPr>
          <w:lang w:val="fr-CA"/>
        </w:rPr>
        <w:t>A.</w:t>
      </w:r>
      <w:r w:rsidRPr="00305B2E">
        <w:rPr>
          <w:lang w:val="fr-CA"/>
        </w:rPr>
        <w:tab/>
      </w:r>
      <w:r w:rsidRPr="00305B2E">
        <w:rPr>
          <w:i/>
          <w:lang w:val="fr-CA"/>
        </w:rPr>
        <w:t xml:space="preserve">Cour suprême de la </w:t>
      </w:r>
      <w:proofErr w:type="spellStart"/>
      <w:r w:rsidRPr="00305B2E">
        <w:rPr>
          <w:i/>
          <w:lang w:val="fr-CA"/>
        </w:rPr>
        <w:t>Colombie</w:t>
      </w:r>
      <w:r w:rsidRPr="00305B2E">
        <w:rPr>
          <w:i/>
          <w:lang w:val="fr-CA"/>
        </w:rPr>
        <w:noBreakHyphen/>
        <w:t>Britannique</w:t>
      </w:r>
      <w:proofErr w:type="spellEnd"/>
      <w:r w:rsidRPr="00305B2E">
        <w:rPr>
          <w:i/>
          <w:lang w:val="fr-CA"/>
        </w:rPr>
        <w:t>, 2010 BCSC 506, [2010] 4 C.N.L.R. 132</w:t>
      </w:r>
    </w:p>
    <w:p w:rsidR="00645F4F" w:rsidRPr="00305B2E" w:rsidRDefault="00645F4F" w:rsidP="00645F4F">
      <w:pPr>
        <w:pStyle w:val="ParaNoNdepar-AltN"/>
        <w:rPr>
          <w:lang w:val="fr-CA"/>
        </w:rPr>
      </w:pPr>
      <w:r w:rsidRPr="00305B2E">
        <w:rPr>
          <w:lang w:val="fr-CA"/>
        </w:rPr>
        <w:t>Le juge </w:t>
      </w:r>
      <w:proofErr w:type="spellStart"/>
      <w:r w:rsidRPr="00305B2E">
        <w:rPr>
          <w:lang w:val="fr-CA"/>
        </w:rPr>
        <w:t>Hinkson</w:t>
      </w:r>
      <w:proofErr w:type="spellEnd"/>
      <w:r w:rsidRPr="00305B2E">
        <w:rPr>
          <w:lang w:val="fr-CA"/>
        </w:rPr>
        <w:t xml:space="preserve"> a conclu que les </w:t>
      </w:r>
      <w:proofErr w:type="spellStart"/>
      <w:r w:rsidRPr="00305B2E">
        <w:rPr>
          <w:lang w:val="fr-CA"/>
        </w:rPr>
        <w:t>Behn</w:t>
      </w:r>
      <w:proofErr w:type="spellEnd"/>
      <w:r w:rsidRPr="00305B2E">
        <w:rPr>
          <w:lang w:val="fr-CA"/>
        </w:rPr>
        <w:t xml:space="preserve"> n</w:t>
      </w:r>
      <w:r>
        <w:rPr>
          <w:lang w:val="fr-CA"/>
        </w:rPr>
        <w:t>’</w:t>
      </w:r>
      <w:r w:rsidRPr="00305B2E">
        <w:rPr>
          <w:lang w:val="fr-CA"/>
        </w:rPr>
        <w:t>avaient pas qualité pour invoquer en défense l</w:t>
      </w:r>
      <w:r>
        <w:rPr>
          <w:lang w:val="fr-CA"/>
        </w:rPr>
        <w:t>’</w:t>
      </w:r>
      <w:r w:rsidRPr="00305B2E">
        <w:rPr>
          <w:lang w:val="fr-CA"/>
        </w:rPr>
        <w:t xml:space="preserve">obligation de consultation et des droits issus de traités.  Il a </w:t>
      </w:r>
      <w:r w:rsidRPr="00305B2E">
        <w:rPr>
          <w:lang w:val="fr-CA"/>
        </w:rPr>
        <w:lastRenderedPageBreak/>
        <w:t>affirmé que les droits ancestraux et issus de traités, bien qu</w:t>
      </w:r>
      <w:r>
        <w:rPr>
          <w:lang w:val="fr-CA"/>
        </w:rPr>
        <w:t>’</w:t>
      </w:r>
      <w:r w:rsidRPr="00305B2E">
        <w:rPr>
          <w:lang w:val="fr-CA"/>
        </w:rPr>
        <w:t>ils soient exercés par des individus, sont des droits collectifs.  Par conséquent, ils n</w:t>
      </w:r>
      <w:r>
        <w:rPr>
          <w:lang w:val="fr-CA"/>
        </w:rPr>
        <w:t>’</w:t>
      </w:r>
      <w:r w:rsidRPr="00305B2E">
        <w:rPr>
          <w:lang w:val="fr-CA"/>
        </w:rPr>
        <w:t>appartiennent pas à des individus ni ne s</w:t>
      </w:r>
      <w:r>
        <w:rPr>
          <w:lang w:val="fr-CA"/>
        </w:rPr>
        <w:t>’</w:t>
      </w:r>
      <w:r w:rsidRPr="00305B2E">
        <w:rPr>
          <w:lang w:val="fr-CA"/>
        </w:rPr>
        <w:t>attachent à eux.  Il a ajouté que les individus ne peuvent faire valoir des droits collectifs que si la collectivité les y autorise, et il a conclu que la PNFN n</w:t>
      </w:r>
      <w:r>
        <w:rPr>
          <w:lang w:val="fr-CA"/>
        </w:rPr>
        <w:t>’</w:t>
      </w:r>
      <w:r w:rsidRPr="00305B2E">
        <w:rPr>
          <w:lang w:val="fr-CA"/>
        </w:rPr>
        <w:t xml:space="preserve">avait pas autorisé les </w:t>
      </w:r>
      <w:proofErr w:type="spellStart"/>
      <w:r w:rsidRPr="00305B2E">
        <w:rPr>
          <w:lang w:val="fr-CA"/>
        </w:rPr>
        <w:t>Behn</w:t>
      </w:r>
      <w:proofErr w:type="spellEnd"/>
      <w:r w:rsidRPr="00305B2E">
        <w:rPr>
          <w:lang w:val="fr-CA"/>
        </w:rPr>
        <w:t xml:space="preserve"> à faire valoir ces droits.</w:t>
      </w:r>
    </w:p>
    <w:p w:rsidR="00645F4F" w:rsidRPr="00305B2E" w:rsidRDefault="00645F4F" w:rsidP="00645F4F">
      <w:pPr>
        <w:pStyle w:val="ParaNoNdepar-AltN"/>
        <w:rPr>
          <w:lang w:val="fr-CA"/>
        </w:rPr>
      </w:pPr>
      <w:r w:rsidRPr="00305B2E">
        <w:rPr>
          <w:lang w:val="fr-CA"/>
        </w:rPr>
        <w:t xml:space="preserve">Le juge </w:t>
      </w:r>
      <w:proofErr w:type="spellStart"/>
      <w:r w:rsidRPr="00305B2E">
        <w:rPr>
          <w:lang w:val="fr-CA"/>
        </w:rPr>
        <w:t>Hinkson</w:t>
      </w:r>
      <w:proofErr w:type="spellEnd"/>
      <w:r w:rsidRPr="00305B2E">
        <w:rPr>
          <w:lang w:val="fr-CA"/>
        </w:rPr>
        <w:t xml:space="preserve"> a également conclu que les paragraphes contestés, par lesquels les </w:t>
      </w:r>
      <w:proofErr w:type="spellStart"/>
      <w:r w:rsidRPr="00305B2E">
        <w:rPr>
          <w:lang w:val="fr-CA"/>
        </w:rPr>
        <w:t>Behn</w:t>
      </w:r>
      <w:proofErr w:type="spellEnd"/>
      <w:r w:rsidRPr="00305B2E">
        <w:rPr>
          <w:lang w:val="fr-CA"/>
        </w:rPr>
        <w:t xml:space="preserve"> plaidaient l</w:t>
      </w:r>
      <w:r>
        <w:rPr>
          <w:lang w:val="fr-CA"/>
        </w:rPr>
        <w:t>’</w:t>
      </w:r>
      <w:r w:rsidRPr="00305B2E">
        <w:rPr>
          <w:lang w:val="fr-CA"/>
        </w:rPr>
        <w:t>invalidité des autorisations, devaient être radiés pour cause d</w:t>
      </w:r>
      <w:r>
        <w:rPr>
          <w:lang w:val="fr-CA"/>
        </w:rPr>
        <w:t>’</w:t>
      </w:r>
      <w:r w:rsidRPr="00305B2E">
        <w:rPr>
          <w:lang w:val="fr-CA"/>
        </w:rPr>
        <w:t xml:space="preserve">abus de procédure en application du par. 19(24) des </w:t>
      </w:r>
      <w:proofErr w:type="spellStart"/>
      <w:r w:rsidRPr="00305B2E">
        <w:rPr>
          <w:i/>
          <w:lang w:val="fr-CA"/>
        </w:rPr>
        <w:t>Supreme</w:t>
      </w:r>
      <w:proofErr w:type="spellEnd"/>
      <w:r w:rsidRPr="00305B2E">
        <w:rPr>
          <w:i/>
          <w:lang w:val="fr-CA"/>
        </w:rPr>
        <w:t xml:space="preserve"> Court </w:t>
      </w:r>
      <w:proofErr w:type="spellStart"/>
      <w:r w:rsidRPr="00305B2E">
        <w:rPr>
          <w:i/>
          <w:lang w:val="fr-CA"/>
        </w:rPr>
        <w:t>Rules</w:t>
      </w:r>
      <w:proofErr w:type="spellEnd"/>
      <w:r w:rsidRPr="00305B2E">
        <w:rPr>
          <w:lang w:val="fr-CA"/>
        </w:rPr>
        <w:t xml:space="preserve">.  Selon le juge </w:t>
      </w:r>
      <w:proofErr w:type="spellStart"/>
      <w:r w:rsidRPr="00305B2E">
        <w:rPr>
          <w:lang w:val="fr-CA"/>
        </w:rPr>
        <w:t>Hinkson</w:t>
      </w:r>
      <w:proofErr w:type="spellEnd"/>
      <w:r w:rsidRPr="00305B2E">
        <w:rPr>
          <w:lang w:val="fr-CA"/>
        </w:rPr>
        <w:t xml:space="preserve">, on ne saurait permettre aux </w:t>
      </w:r>
      <w:proofErr w:type="spellStart"/>
      <w:r w:rsidRPr="00305B2E">
        <w:rPr>
          <w:lang w:val="fr-CA"/>
        </w:rPr>
        <w:t>Behn</w:t>
      </w:r>
      <w:proofErr w:type="spellEnd"/>
      <w:r w:rsidRPr="00305B2E">
        <w:rPr>
          <w:lang w:val="fr-CA"/>
        </w:rPr>
        <w:t xml:space="preserve"> de soulever dans leur défense la question de l</w:t>
      </w:r>
      <w:r>
        <w:rPr>
          <w:lang w:val="fr-CA"/>
        </w:rPr>
        <w:t>’</w:t>
      </w:r>
      <w:r w:rsidRPr="00305B2E">
        <w:rPr>
          <w:lang w:val="fr-CA"/>
        </w:rPr>
        <w:t>invalidité des autorisations, alors qu</w:t>
      </w:r>
      <w:r>
        <w:rPr>
          <w:lang w:val="fr-CA"/>
        </w:rPr>
        <w:t>’</w:t>
      </w:r>
      <w:r w:rsidRPr="00305B2E">
        <w:rPr>
          <w:lang w:val="fr-CA"/>
        </w:rPr>
        <w:t>ils auraient dû plutôt présenter une demande de contrôle judiciaire.</w:t>
      </w:r>
    </w:p>
    <w:p w:rsidR="00645F4F" w:rsidRPr="00305B2E" w:rsidRDefault="00645F4F" w:rsidP="00645F4F">
      <w:pPr>
        <w:pStyle w:val="ParaNoNdepar-AltN"/>
        <w:rPr>
          <w:lang w:val="fr-CA"/>
        </w:rPr>
      </w:pPr>
      <w:r w:rsidRPr="00305B2E">
        <w:rPr>
          <w:lang w:val="fr-CA"/>
        </w:rPr>
        <w:t xml:space="preserve">Il convient de signaler que de septembre à novembre 2011, le procès a suivi son cours devant la Cour suprême de la </w:t>
      </w:r>
      <w:proofErr w:type="spellStart"/>
      <w:r w:rsidRPr="00305B2E">
        <w:rPr>
          <w:lang w:val="fr-CA"/>
        </w:rPr>
        <w:t>Colombie</w:t>
      </w:r>
      <w:r w:rsidRPr="00305B2E">
        <w:rPr>
          <w:lang w:val="fr-CA"/>
        </w:rPr>
        <w:noBreakHyphen/>
        <w:t>Britannique</w:t>
      </w:r>
      <w:proofErr w:type="spellEnd"/>
      <w:r w:rsidRPr="00305B2E">
        <w:rPr>
          <w:lang w:val="fr-CA"/>
        </w:rPr>
        <w:t xml:space="preserve"> sur la base des paragraphes non radiés dans la défense.  Le juge de première instance a mis l</w:t>
      </w:r>
      <w:r>
        <w:rPr>
          <w:lang w:val="fr-CA"/>
        </w:rPr>
        <w:t>’</w:t>
      </w:r>
      <w:r w:rsidRPr="00305B2E">
        <w:rPr>
          <w:lang w:val="fr-CA"/>
        </w:rPr>
        <w:t>affaire en délibéré en attendant que la Cour se prononce sur le présent pourvoi.</w:t>
      </w:r>
    </w:p>
    <w:p w:rsidR="00645F4F" w:rsidRPr="00305B2E" w:rsidRDefault="00645F4F" w:rsidP="00645F4F">
      <w:pPr>
        <w:pStyle w:val="TitleTitre-AltT"/>
        <w:keepNext/>
        <w:rPr>
          <w:lang w:val="fr-CA"/>
        </w:rPr>
      </w:pPr>
      <w:r w:rsidRPr="00305B2E">
        <w:rPr>
          <w:lang w:val="fr-CA"/>
        </w:rPr>
        <w:t>B.</w:t>
      </w:r>
      <w:r w:rsidRPr="00305B2E">
        <w:rPr>
          <w:lang w:val="fr-CA"/>
        </w:rPr>
        <w:tab/>
      </w:r>
      <w:r w:rsidRPr="00305B2E">
        <w:rPr>
          <w:i/>
          <w:lang w:val="fr-CA"/>
        </w:rPr>
        <w:t>Cour d</w:t>
      </w:r>
      <w:r>
        <w:rPr>
          <w:i/>
          <w:lang w:val="fr-CA"/>
        </w:rPr>
        <w:t>’</w:t>
      </w:r>
      <w:r w:rsidRPr="00305B2E">
        <w:rPr>
          <w:i/>
          <w:lang w:val="fr-CA"/>
        </w:rPr>
        <w:t xml:space="preserve">appel de la </w:t>
      </w:r>
      <w:proofErr w:type="spellStart"/>
      <w:r w:rsidRPr="00305B2E">
        <w:rPr>
          <w:i/>
          <w:lang w:val="fr-CA"/>
        </w:rPr>
        <w:t>Colombie</w:t>
      </w:r>
      <w:r w:rsidRPr="00305B2E">
        <w:rPr>
          <w:i/>
          <w:lang w:val="fr-CA"/>
        </w:rPr>
        <w:noBreakHyphen/>
        <w:t>Britannique</w:t>
      </w:r>
      <w:proofErr w:type="spellEnd"/>
      <w:r w:rsidRPr="00305B2E">
        <w:rPr>
          <w:i/>
          <w:lang w:val="fr-CA"/>
        </w:rPr>
        <w:t>, 2011 BCCA 311, 20 B.C.L.R. (5th) 35</w:t>
      </w:r>
    </w:p>
    <w:p w:rsidR="00645F4F" w:rsidRPr="00305B2E" w:rsidRDefault="00645F4F" w:rsidP="00645F4F">
      <w:pPr>
        <w:pStyle w:val="ParaNoNdepar-AltN"/>
        <w:rPr>
          <w:lang w:val="fr-CA"/>
        </w:rPr>
      </w:pPr>
      <w:r w:rsidRPr="00305B2E">
        <w:rPr>
          <w:lang w:val="fr-CA"/>
        </w:rPr>
        <w:t>S</w:t>
      </w:r>
      <w:r>
        <w:rPr>
          <w:lang w:val="fr-CA"/>
        </w:rPr>
        <w:t>’</w:t>
      </w:r>
      <w:r w:rsidR="00FB65D0">
        <w:rPr>
          <w:lang w:val="fr-CA"/>
        </w:rPr>
        <w:t>exprimant au nom de la C</w:t>
      </w:r>
      <w:r w:rsidRPr="00305B2E">
        <w:rPr>
          <w:lang w:val="fr-CA"/>
        </w:rPr>
        <w:t>our d</w:t>
      </w:r>
      <w:r>
        <w:rPr>
          <w:lang w:val="fr-CA"/>
        </w:rPr>
        <w:t>’</w:t>
      </w:r>
      <w:r w:rsidRPr="00305B2E">
        <w:rPr>
          <w:lang w:val="fr-CA"/>
        </w:rPr>
        <w:t xml:space="preserve">appel, la juge </w:t>
      </w:r>
      <w:proofErr w:type="spellStart"/>
      <w:r w:rsidRPr="00305B2E">
        <w:rPr>
          <w:lang w:val="fr-CA"/>
        </w:rPr>
        <w:t>Saunders</w:t>
      </w:r>
      <w:proofErr w:type="spellEnd"/>
      <w:r w:rsidRPr="00305B2E">
        <w:rPr>
          <w:lang w:val="fr-CA"/>
        </w:rPr>
        <w:t xml:space="preserve"> a souscrit à l</w:t>
      </w:r>
      <w:r>
        <w:rPr>
          <w:lang w:val="fr-CA"/>
        </w:rPr>
        <w:t>’</w:t>
      </w:r>
      <w:r w:rsidRPr="00305B2E">
        <w:rPr>
          <w:lang w:val="fr-CA"/>
        </w:rPr>
        <w:t>opinion du juge </w:t>
      </w:r>
      <w:proofErr w:type="spellStart"/>
      <w:r w:rsidRPr="00305B2E">
        <w:rPr>
          <w:lang w:val="fr-CA"/>
        </w:rPr>
        <w:t>Hinkson</w:t>
      </w:r>
      <w:proofErr w:type="spellEnd"/>
      <w:r w:rsidRPr="00305B2E">
        <w:rPr>
          <w:lang w:val="fr-CA"/>
        </w:rPr>
        <w:t xml:space="preserve"> selon laquelle </w:t>
      </w:r>
      <w:r>
        <w:rPr>
          <w:lang w:val="fr-CA"/>
        </w:rPr>
        <w:t xml:space="preserve">les </w:t>
      </w:r>
      <w:proofErr w:type="spellStart"/>
      <w:r>
        <w:rPr>
          <w:lang w:val="fr-CA"/>
        </w:rPr>
        <w:t>Be</w:t>
      </w:r>
      <w:r w:rsidRPr="00305B2E">
        <w:rPr>
          <w:lang w:val="fr-CA"/>
        </w:rPr>
        <w:t>h</w:t>
      </w:r>
      <w:r>
        <w:rPr>
          <w:lang w:val="fr-CA"/>
        </w:rPr>
        <w:t>n</w:t>
      </w:r>
      <w:proofErr w:type="spellEnd"/>
      <w:r w:rsidRPr="00305B2E">
        <w:rPr>
          <w:lang w:val="fr-CA"/>
        </w:rPr>
        <w:t xml:space="preserve"> n</w:t>
      </w:r>
      <w:r>
        <w:rPr>
          <w:lang w:val="fr-CA"/>
        </w:rPr>
        <w:t>’</w:t>
      </w:r>
      <w:r w:rsidRPr="00305B2E">
        <w:rPr>
          <w:lang w:val="fr-CA"/>
        </w:rPr>
        <w:t>avaient pas qualité pour invoquer un manquement à l</w:t>
      </w:r>
      <w:r>
        <w:rPr>
          <w:lang w:val="fr-CA"/>
        </w:rPr>
        <w:t>’</w:t>
      </w:r>
      <w:r w:rsidRPr="00305B2E">
        <w:rPr>
          <w:lang w:val="fr-CA"/>
        </w:rPr>
        <w:t xml:space="preserve">obligation de consultation de la Couronne envers la PNFN et pour faire valoir que la délivrance des autorisations avait porté atteinte à des droits </w:t>
      </w:r>
      <w:r w:rsidRPr="00305B2E">
        <w:rPr>
          <w:lang w:val="fr-CA"/>
        </w:rPr>
        <w:lastRenderedPageBreak/>
        <w:t xml:space="preserve">collectifs.  La juge </w:t>
      </w:r>
      <w:proofErr w:type="spellStart"/>
      <w:r w:rsidRPr="00305B2E">
        <w:rPr>
          <w:lang w:val="fr-CA"/>
        </w:rPr>
        <w:t>Saunders</w:t>
      </w:r>
      <w:proofErr w:type="spellEnd"/>
      <w:r w:rsidRPr="00305B2E">
        <w:rPr>
          <w:lang w:val="fr-CA"/>
        </w:rPr>
        <w:t xml:space="preserve"> écrit, au par. 39, que [</w:t>
      </w:r>
      <w:r w:rsidRPr="00305B2E">
        <w:rPr>
          <w:smallCaps/>
          <w:lang w:val="fr-CA"/>
        </w:rPr>
        <w:t>traduction</w:t>
      </w:r>
      <w:r w:rsidRPr="00305B2E">
        <w:rPr>
          <w:lang w:val="fr-CA"/>
        </w:rPr>
        <w:t>] « pour attaquer les droits que possède une partie non autochtone sur le fondement d</w:t>
      </w:r>
      <w:r>
        <w:rPr>
          <w:lang w:val="fr-CA"/>
        </w:rPr>
        <w:t>’</w:t>
      </w:r>
      <w:r w:rsidRPr="00305B2E">
        <w:rPr>
          <w:lang w:val="fr-CA"/>
        </w:rPr>
        <w:t>arguments s</w:t>
      </w:r>
      <w:r>
        <w:rPr>
          <w:lang w:val="fr-CA"/>
        </w:rPr>
        <w:t>’</w:t>
      </w:r>
      <w:r w:rsidRPr="00305B2E">
        <w:rPr>
          <w:lang w:val="fr-CA"/>
        </w:rPr>
        <w:t>appuyant sur des traités ou sur la Constitution, il faut en avoir obtenu l</w:t>
      </w:r>
      <w:r>
        <w:rPr>
          <w:lang w:val="fr-CA"/>
        </w:rPr>
        <w:t>’</w:t>
      </w:r>
      <w:r w:rsidRPr="00305B2E">
        <w:rPr>
          <w:lang w:val="fr-CA"/>
        </w:rPr>
        <w:t>autorisation de la collectivité investie des droits constitutionnels et issus de traités en question ».  En l</w:t>
      </w:r>
      <w:r>
        <w:rPr>
          <w:lang w:val="fr-CA"/>
        </w:rPr>
        <w:t>’</w:t>
      </w:r>
      <w:r w:rsidRPr="00305B2E">
        <w:rPr>
          <w:lang w:val="fr-CA"/>
        </w:rPr>
        <w:t xml:space="preserve">espèce, les </w:t>
      </w:r>
      <w:proofErr w:type="spellStart"/>
      <w:r w:rsidRPr="00305B2E">
        <w:rPr>
          <w:lang w:val="fr-CA"/>
        </w:rPr>
        <w:t>Behn</w:t>
      </w:r>
      <w:proofErr w:type="spellEnd"/>
      <w:r w:rsidRPr="00305B2E">
        <w:rPr>
          <w:lang w:val="fr-CA"/>
        </w:rPr>
        <w:t xml:space="preserve"> n</w:t>
      </w:r>
      <w:r>
        <w:rPr>
          <w:lang w:val="fr-CA"/>
        </w:rPr>
        <w:t>’</w:t>
      </w:r>
      <w:r w:rsidRPr="00305B2E">
        <w:rPr>
          <w:lang w:val="fr-CA"/>
        </w:rPr>
        <w:t xml:space="preserve">avaient pas obtenu cette autorisation de la PNFN.  La juge </w:t>
      </w:r>
      <w:proofErr w:type="spellStart"/>
      <w:r w:rsidRPr="00305B2E">
        <w:rPr>
          <w:lang w:val="fr-CA"/>
        </w:rPr>
        <w:t>Saunders</w:t>
      </w:r>
      <w:proofErr w:type="spellEnd"/>
      <w:r w:rsidRPr="00305B2E">
        <w:rPr>
          <w:lang w:val="fr-CA"/>
        </w:rPr>
        <w:t xml:space="preserve"> a pris soin de souligner qu</w:t>
      </w:r>
      <w:r>
        <w:rPr>
          <w:lang w:val="fr-CA"/>
        </w:rPr>
        <w:t>’</w:t>
      </w:r>
      <w:r w:rsidRPr="00305B2E">
        <w:rPr>
          <w:lang w:val="fr-CA"/>
        </w:rPr>
        <w:t>elle ne voulait pas donner à penser que des droits collectifs ne pouvaient jamais être invoqués comme moyen de défense par un membre d</w:t>
      </w:r>
      <w:r>
        <w:rPr>
          <w:lang w:val="fr-CA"/>
        </w:rPr>
        <w:t>’</w:t>
      </w:r>
      <w:r w:rsidRPr="00305B2E">
        <w:rPr>
          <w:lang w:val="fr-CA"/>
        </w:rPr>
        <w:t>une collectivité autochtone.</w:t>
      </w:r>
    </w:p>
    <w:p w:rsidR="00645F4F" w:rsidRPr="00305B2E" w:rsidRDefault="00645F4F" w:rsidP="00645F4F">
      <w:pPr>
        <w:pStyle w:val="ParaNoNdepar-AltN"/>
        <w:rPr>
          <w:lang w:val="fr-CA"/>
        </w:rPr>
      </w:pPr>
      <w:r w:rsidRPr="00305B2E">
        <w:rPr>
          <w:lang w:val="fr-CA"/>
        </w:rPr>
        <w:t xml:space="preserve">La juge </w:t>
      </w:r>
      <w:proofErr w:type="spellStart"/>
      <w:r w:rsidRPr="00305B2E">
        <w:rPr>
          <w:lang w:val="fr-CA"/>
        </w:rPr>
        <w:t>Saunders</w:t>
      </w:r>
      <w:proofErr w:type="spellEnd"/>
      <w:r w:rsidRPr="00305B2E">
        <w:rPr>
          <w:lang w:val="fr-CA"/>
        </w:rPr>
        <w:t xml:space="preserve"> a également conclu que les moyens de défense soulevés par les </w:t>
      </w:r>
      <w:proofErr w:type="spellStart"/>
      <w:r w:rsidRPr="00305B2E">
        <w:rPr>
          <w:lang w:val="fr-CA"/>
        </w:rPr>
        <w:t>Behn</w:t>
      </w:r>
      <w:proofErr w:type="spellEnd"/>
      <w:r w:rsidRPr="00305B2E">
        <w:rPr>
          <w:lang w:val="fr-CA"/>
        </w:rPr>
        <w:t xml:space="preserve"> constituaient une attaque indirecte prohibée contre les autorisations accordées à </w:t>
      </w:r>
      <w:proofErr w:type="spellStart"/>
      <w:r w:rsidRPr="00305B2E">
        <w:rPr>
          <w:lang w:val="fr-CA"/>
        </w:rPr>
        <w:t>Moulton</w:t>
      </w:r>
      <w:proofErr w:type="spellEnd"/>
      <w:r w:rsidRPr="00305B2E">
        <w:rPr>
          <w:lang w:val="fr-CA"/>
        </w:rPr>
        <w:t>.  Elle a ajouté que cette conclusion n</w:t>
      </w:r>
      <w:r>
        <w:rPr>
          <w:lang w:val="fr-CA"/>
        </w:rPr>
        <w:t>’</w:t>
      </w:r>
      <w:r w:rsidRPr="00305B2E">
        <w:rPr>
          <w:lang w:val="fr-CA"/>
        </w:rPr>
        <w:t xml:space="preserve">était pas inconciliable avec la bonne administration de la justice puisque la PNFN, en tant que collectivité, avait qualité pour contester les autorisations par divers moyens juridiques.  Elle a donc maintenu la conclusion du juge </w:t>
      </w:r>
      <w:proofErr w:type="spellStart"/>
      <w:r w:rsidRPr="00305B2E">
        <w:rPr>
          <w:lang w:val="fr-CA"/>
        </w:rPr>
        <w:t>Hinkson</w:t>
      </w:r>
      <w:proofErr w:type="spellEnd"/>
      <w:r w:rsidRPr="00305B2E">
        <w:rPr>
          <w:lang w:val="fr-CA"/>
        </w:rPr>
        <w:t xml:space="preserve"> selon laquelle les moyens de défense en cause constituaient un abus de procédure.</w:t>
      </w:r>
    </w:p>
    <w:p w:rsidR="00645F4F" w:rsidRPr="00305B2E" w:rsidRDefault="00645F4F" w:rsidP="00645F4F">
      <w:pPr>
        <w:pStyle w:val="TitleTitre-AltT"/>
        <w:keepNext/>
        <w:rPr>
          <w:lang w:val="fr-CA"/>
        </w:rPr>
      </w:pPr>
      <w:r w:rsidRPr="00305B2E">
        <w:rPr>
          <w:lang w:val="fr-CA"/>
        </w:rPr>
        <w:t>IV.</w:t>
      </w:r>
      <w:r w:rsidRPr="00305B2E">
        <w:rPr>
          <w:lang w:val="fr-CA"/>
        </w:rPr>
        <w:tab/>
      </w:r>
      <w:r w:rsidRPr="00305B2E">
        <w:rPr>
          <w:u w:val="single"/>
          <w:lang w:val="fr-CA"/>
        </w:rPr>
        <w:t>Analyse</w:t>
      </w:r>
    </w:p>
    <w:p w:rsidR="00645F4F" w:rsidRPr="00305B2E" w:rsidRDefault="00645F4F" w:rsidP="00645F4F">
      <w:pPr>
        <w:pStyle w:val="TitleTitre-AltT"/>
        <w:keepNext/>
        <w:rPr>
          <w:lang w:val="fr-CA"/>
        </w:rPr>
      </w:pPr>
      <w:r w:rsidRPr="00305B2E">
        <w:rPr>
          <w:lang w:val="fr-CA"/>
        </w:rPr>
        <w:t>A.</w:t>
      </w:r>
      <w:r w:rsidRPr="00305B2E">
        <w:rPr>
          <w:lang w:val="fr-CA"/>
        </w:rPr>
        <w:tab/>
      </w:r>
      <w:r w:rsidRPr="00305B2E">
        <w:rPr>
          <w:i/>
          <w:lang w:val="fr-CA"/>
        </w:rPr>
        <w:t>Questions en litige</w:t>
      </w:r>
    </w:p>
    <w:p w:rsidR="00645F4F" w:rsidRPr="00305B2E" w:rsidRDefault="00645F4F" w:rsidP="00645F4F">
      <w:pPr>
        <w:pStyle w:val="ParaNoNdepar-AltN"/>
        <w:rPr>
          <w:lang w:val="fr-CA"/>
        </w:rPr>
      </w:pPr>
      <w:r w:rsidRPr="00305B2E">
        <w:rPr>
          <w:lang w:val="fr-CA"/>
        </w:rPr>
        <w:t xml:space="preserve">Le pourvoi soulève trois questions.  Il faut en premier lieu déterminer si les </w:t>
      </w:r>
      <w:proofErr w:type="spellStart"/>
      <w:r w:rsidRPr="00305B2E">
        <w:rPr>
          <w:lang w:val="fr-CA"/>
        </w:rPr>
        <w:t>Behn</w:t>
      </w:r>
      <w:proofErr w:type="spellEnd"/>
      <w:r w:rsidRPr="00305B2E">
        <w:rPr>
          <w:lang w:val="fr-CA"/>
        </w:rPr>
        <w:t>, en tant que membres individuels d</w:t>
      </w:r>
      <w:r>
        <w:rPr>
          <w:lang w:val="fr-CA"/>
        </w:rPr>
        <w:t>’</w:t>
      </w:r>
      <w:r w:rsidRPr="00305B2E">
        <w:rPr>
          <w:lang w:val="fr-CA"/>
        </w:rPr>
        <w:t>une collectivité autochtone, peuvent invoquer un manquement à l</w:t>
      </w:r>
      <w:r>
        <w:rPr>
          <w:lang w:val="fr-CA"/>
        </w:rPr>
        <w:t>’</w:t>
      </w:r>
      <w:r w:rsidRPr="00305B2E">
        <w:rPr>
          <w:lang w:val="fr-CA"/>
        </w:rPr>
        <w:t xml:space="preserve">obligation de consultation.  Cette question soulève celle </w:t>
      </w:r>
      <w:r w:rsidRPr="00305B2E">
        <w:rPr>
          <w:lang w:val="fr-CA"/>
        </w:rPr>
        <w:lastRenderedPageBreak/>
        <w:t>de savoir à qui est due l</w:t>
      </w:r>
      <w:r>
        <w:rPr>
          <w:lang w:val="fr-CA"/>
        </w:rPr>
        <w:t>’</w:t>
      </w:r>
      <w:r w:rsidRPr="00305B2E">
        <w:rPr>
          <w:lang w:val="fr-CA"/>
        </w:rPr>
        <w:t>obligation de consultation de la Couronne.  En deuxième lieu, il s</w:t>
      </w:r>
      <w:r>
        <w:rPr>
          <w:lang w:val="fr-CA"/>
        </w:rPr>
        <w:t>’</w:t>
      </w:r>
      <w:r w:rsidRPr="00305B2E">
        <w:rPr>
          <w:lang w:val="fr-CA"/>
        </w:rPr>
        <w:t>agit de déterminer si les membres individuels d</w:t>
      </w:r>
      <w:r>
        <w:rPr>
          <w:lang w:val="fr-CA"/>
        </w:rPr>
        <w:t>’</w:t>
      </w:r>
      <w:r w:rsidRPr="00305B2E">
        <w:rPr>
          <w:lang w:val="fr-CA"/>
        </w:rPr>
        <w:t>une collectivité autochtone peuvent invoquer des droits issus de traités.  Ces deux questions ont trait à la qualité pour agir.</w:t>
      </w:r>
    </w:p>
    <w:p w:rsidR="00645F4F" w:rsidRPr="00305B2E" w:rsidRDefault="00645F4F" w:rsidP="00645F4F">
      <w:pPr>
        <w:pStyle w:val="ParaNoNdepar-AltN"/>
        <w:rPr>
          <w:lang w:val="fr-CA"/>
        </w:rPr>
      </w:pPr>
      <w:r w:rsidRPr="00305B2E">
        <w:rPr>
          <w:lang w:val="fr-CA"/>
        </w:rPr>
        <w:t>La troisième question porte sur l</w:t>
      </w:r>
      <w:r>
        <w:rPr>
          <w:lang w:val="fr-CA"/>
        </w:rPr>
        <w:t>’</w:t>
      </w:r>
      <w:r w:rsidRPr="00305B2E">
        <w:rPr>
          <w:lang w:val="fr-CA"/>
        </w:rPr>
        <w:t xml:space="preserve">abus de procédure.  Les </w:t>
      </w:r>
      <w:proofErr w:type="spellStart"/>
      <w:r w:rsidRPr="00305B2E">
        <w:rPr>
          <w:lang w:val="fr-CA"/>
        </w:rPr>
        <w:t>Behn</w:t>
      </w:r>
      <w:proofErr w:type="spellEnd"/>
      <w:r w:rsidRPr="00305B2E">
        <w:rPr>
          <w:lang w:val="fr-CA"/>
        </w:rPr>
        <w:t xml:space="preserve"> </w:t>
      </w:r>
      <w:proofErr w:type="spellStart"/>
      <w:r w:rsidRPr="00305B2E">
        <w:rPr>
          <w:lang w:val="fr-CA"/>
        </w:rPr>
        <w:t>ont</w:t>
      </w:r>
      <w:r w:rsidRPr="00305B2E">
        <w:rPr>
          <w:lang w:val="fr-CA"/>
        </w:rPr>
        <w:noBreakHyphen/>
        <w:t>ils</w:t>
      </w:r>
      <w:proofErr w:type="spellEnd"/>
      <w:r w:rsidRPr="00305B2E">
        <w:rPr>
          <w:lang w:val="fr-CA"/>
        </w:rPr>
        <w:t xml:space="preserve"> commis un abus de procédure en attaquant la validité des autorisations, maintenant qu</w:t>
      </w:r>
      <w:r>
        <w:rPr>
          <w:lang w:val="fr-CA"/>
        </w:rPr>
        <w:t>’</w:t>
      </w:r>
      <w:r w:rsidRPr="00305B2E">
        <w:rPr>
          <w:lang w:val="fr-CA"/>
        </w:rPr>
        <w:t xml:space="preserve">ils sont poursuivis par </w:t>
      </w:r>
      <w:proofErr w:type="spellStart"/>
      <w:r w:rsidRPr="00305B2E">
        <w:rPr>
          <w:lang w:val="fr-CA"/>
        </w:rPr>
        <w:t>Moulton</w:t>
      </w:r>
      <w:proofErr w:type="spellEnd"/>
      <w:r w:rsidRPr="00305B2E">
        <w:rPr>
          <w:lang w:val="fr-CA"/>
        </w:rPr>
        <w:t>, alors qu</w:t>
      </w:r>
      <w:r>
        <w:rPr>
          <w:lang w:val="fr-CA"/>
        </w:rPr>
        <w:t>’</w:t>
      </w:r>
      <w:r w:rsidRPr="00305B2E">
        <w:rPr>
          <w:lang w:val="fr-CA"/>
        </w:rPr>
        <w:t>ils n</w:t>
      </w:r>
      <w:r>
        <w:rPr>
          <w:lang w:val="fr-CA"/>
        </w:rPr>
        <w:t>’</w:t>
      </w:r>
      <w:r w:rsidRPr="00305B2E">
        <w:rPr>
          <w:lang w:val="fr-CA"/>
        </w:rPr>
        <w:t>ont exercé aucun recours après la délivrance de ces autorisations qu</w:t>
      </w:r>
      <w:r>
        <w:rPr>
          <w:lang w:val="fr-CA"/>
        </w:rPr>
        <w:t>’</w:t>
      </w:r>
      <w:r w:rsidRPr="00305B2E">
        <w:rPr>
          <w:lang w:val="fr-CA"/>
        </w:rPr>
        <w:t>ils estimaient invalides?</w:t>
      </w:r>
    </w:p>
    <w:p w:rsidR="00645F4F" w:rsidRPr="00305B2E" w:rsidRDefault="00645F4F" w:rsidP="00645F4F">
      <w:pPr>
        <w:pStyle w:val="TitleTitre-AltT"/>
        <w:keepNext/>
        <w:rPr>
          <w:lang w:val="fr-CA"/>
        </w:rPr>
      </w:pPr>
      <w:r w:rsidRPr="00305B2E">
        <w:rPr>
          <w:lang w:val="fr-CA"/>
        </w:rPr>
        <w:t>B.</w:t>
      </w:r>
      <w:r w:rsidRPr="00305B2E">
        <w:rPr>
          <w:lang w:val="fr-CA"/>
        </w:rPr>
        <w:tab/>
      </w:r>
      <w:r w:rsidRPr="00305B2E">
        <w:rPr>
          <w:i/>
          <w:lang w:val="fr-CA"/>
        </w:rPr>
        <w:t>Positions des parties</w:t>
      </w:r>
    </w:p>
    <w:p w:rsidR="00645F4F" w:rsidRPr="00305B2E" w:rsidRDefault="00645F4F" w:rsidP="00645F4F">
      <w:pPr>
        <w:pStyle w:val="TitleTitre-AltT"/>
        <w:keepNext/>
        <w:tabs>
          <w:tab w:val="clear" w:pos="360"/>
          <w:tab w:val="left" w:pos="1170"/>
        </w:tabs>
        <w:ind w:left="1530" w:hanging="1530"/>
        <w:rPr>
          <w:lang w:val="fr-CA"/>
        </w:rPr>
      </w:pPr>
      <w:r w:rsidRPr="00305B2E">
        <w:rPr>
          <w:lang w:val="fr-CA"/>
        </w:rPr>
        <w:tab/>
      </w:r>
      <w:r w:rsidR="007E4F1A">
        <w:rPr>
          <w:lang w:val="fr-CA"/>
        </w:rPr>
        <w:t>(</w:t>
      </w:r>
      <w:r w:rsidRPr="00305B2E">
        <w:rPr>
          <w:lang w:val="fr-CA"/>
        </w:rPr>
        <w:t>1)</w:t>
      </w:r>
      <w:r w:rsidRPr="00305B2E">
        <w:rPr>
          <w:lang w:val="fr-CA"/>
        </w:rPr>
        <w:tab/>
      </w:r>
      <w:r w:rsidRPr="00305B2E">
        <w:rPr>
          <w:u w:val="single"/>
          <w:lang w:val="fr-CA"/>
        </w:rPr>
        <w:t xml:space="preserve">Les </w:t>
      </w:r>
      <w:proofErr w:type="spellStart"/>
      <w:r w:rsidRPr="00305B2E">
        <w:rPr>
          <w:u w:val="single"/>
          <w:lang w:val="fr-CA"/>
        </w:rPr>
        <w:t>Behn</w:t>
      </w:r>
      <w:proofErr w:type="spellEnd"/>
    </w:p>
    <w:p w:rsidR="00645F4F" w:rsidRPr="00305B2E" w:rsidRDefault="008A10EA" w:rsidP="00645F4F">
      <w:pPr>
        <w:pStyle w:val="ParaNoNdepar-AltN"/>
        <w:rPr>
          <w:lang w:val="fr-CA"/>
        </w:rPr>
      </w:pPr>
      <w:r>
        <w:rPr>
          <w:lang w:val="fr-CA"/>
        </w:rPr>
        <w:t xml:space="preserve">Les </w:t>
      </w:r>
      <w:proofErr w:type="spellStart"/>
      <w:r>
        <w:rPr>
          <w:lang w:val="fr-CA"/>
        </w:rPr>
        <w:t>Behn</w:t>
      </w:r>
      <w:proofErr w:type="spellEnd"/>
      <w:r>
        <w:rPr>
          <w:lang w:val="fr-CA"/>
        </w:rPr>
        <w:t xml:space="preserve"> soutiennent que la C</w:t>
      </w:r>
      <w:r w:rsidR="00645F4F" w:rsidRPr="00305B2E">
        <w:rPr>
          <w:lang w:val="fr-CA"/>
        </w:rPr>
        <w:t>our d</w:t>
      </w:r>
      <w:r w:rsidR="00645F4F">
        <w:rPr>
          <w:lang w:val="fr-CA"/>
        </w:rPr>
        <w:t>’</w:t>
      </w:r>
      <w:r w:rsidR="00645F4F" w:rsidRPr="00305B2E">
        <w:rPr>
          <w:lang w:val="fr-CA"/>
        </w:rPr>
        <w:t>appel a commis une erreur en concluant qu</w:t>
      </w:r>
      <w:r w:rsidR="00645F4F">
        <w:rPr>
          <w:lang w:val="fr-CA"/>
        </w:rPr>
        <w:t>’</w:t>
      </w:r>
      <w:r w:rsidR="00645F4F" w:rsidRPr="00305B2E">
        <w:rPr>
          <w:lang w:val="fr-CA"/>
        </w:rPr>
        <w:t>ils n</w:t>
      </w:r>
      <w:r w:rsidR="00645F4F">
        <w:rPr>
          <w:lang w:val="fr-CA"/>
        </w:rPr>
        <w:t>’</w:t>
      </w:r>
      <w:r w:rsidR="00645F4F" w:rsidRPr="00305B2E">
        <w:rPr>
          <w:lang w:val="fr-CA"/>
        </w:rPr>
        <w:t>avaient pas qualité pour invoquer en défense des droits issus de traités et que la contestation de la validité des autorisations constituait une attaque indirecte prohibée.  Ils font valoir que les principes relatifs à la qualité pour agir ont trait à la présentation d</w:t>
      </w:r>
      <w:r w:rsidR="00645F4F">
        <w:rPr>
          <w:lang w:val="fr-CA"/>
        </w:rPr>
        <w:t>’</w:t>
      </w:r>
      <w:r w:rsidR="00645F4F" w:rsidRPr="00305B2E">
        <w:rPr>
          <w:lang w:val="fr-CA"/>
        </w:rPr>
        <w:t>une demande et ne constituent pas un moyen de défense.  Ils ne s</w:t>
      </w:r>
      <w:r w:rsidR="00645F4F">
        <w:rPr>
          <w:lang w:val="fr-CA"/>
        </w:rPr>
        <w:t>’</w:t>
      </w:r>
      <w:r w:rsidR="00645F4F" w:rsidRPr="00305B2E">
        <w:rPr>
          <w:lang w:val="fr-CA"/>
        </w:rPr>
        <w:t>appliquent donc pas en l</w:t>
      </w:r>
      <w:r w:rsidR="00645F4F">
        <w:rPr>
          <w:lang w:val="fr-CA"/>
        </w:rPr>
        <w:t>’</w:t>
      </w:r>
      <w:r w:rsidR="00645F4F" w:rsidRPr="00305B2E">
        <w:rPr>
          <w:lang w:val="fr-CA"/>
        </w:rPr>
        <w:t xml:space="preserve">espèce étant donné que les </w:t>
      </w:r>
      <w:proofErr w:type="spellStart"/>
      <w:r w:rsidR="00645F4F" w:rsidRPr="00305B2E">
        <w:rPr>
          <w:lang w:val="fr-CA"/>
        </w:rPr>
        <w:t>Behn</w:t>
      </w:r>
      <w:proofErr w:type="spellEnd"/>
      <w:r w:rsidR="00645F4F" w:rsidRPr="00305B2E">
        <w:rPr>
          <w:lang w:val="fr-CA"/>
        </w:rPr>
        <w:t xml:space="preserve"> ne font que répondre à une action.  Subsidiairement, les </w:t>
      </w:r>
      <w:proofErr w:type="spellStart"/>
      <w:r w:rsidR="00645F4F" w:rsidRPr="00305B2E">
        <w:rPr>
          <w:lang w:val="fr-CA"/>
        </w:rPr>
        <w:t>Behn</w:t>
      </w:r>
      <w:proofErr w:type="spellEnd"/>
      <w:r w:rsidR="00645F4F" w:rsidRPr="00305B2E">
        <w:rPr>
          <w:lang w:val="fr-CA"/>
        </w:rPr>
        <w:t xml:space="preserve"> plaident qu</w:t>
      </w:r>
      <w:r w:rsidR="00645F4F">
        <w:rPr>
          <w:lang w:val="fr-CA"/>
        </w:rPr>
        <w:t>’</w:t>
      </w:r>
      <w:r w:rsidR="00645F4F" w:rsidRPr="00305B2E">
        <w:rPr>
          <w:lang w:val="fr-CA"/>
        </w:rPr>
        <w:t>ils ont qualité pour agir parce que, en tant que membres de la PNFN, ils ont un intérêt important et direct dans les droits que confère le Traité n</w:t>
      </w:r>
      <w:r w:rsidR="00645F4F" w:rsidRPr="00305B2E">
        <w:rPr>
          <w:vertAlign w:val="superscript"/>
          <w:lang w:val="fr-CA"/>
        </w:rPr>
        <w:t>o</w:t>
      </w:r>
      <w:r w:rsidR="00645F4F" w:rsidRPr="00305B2E">
        <w:rPr>
          <w:lang w:val="fr-CA"/>
        </w:rPr>
        <w:t> 8.</w:t>
      </w:r>
    </w:p>
    <w:p w:rsidR="00645F4F" w:rsidRPr="00305B2E" w:rsidRDefault="00645F4F" w:rsidP="00645F4F">
      <w:pPr>
        <w:pStyle w:val="ParaNoNdepar-AltN"/>
        <w:rPr>
          <w:lang w:val="fr-CA"/>
        </w:rPr>
      </w:pPr>
      <w:r w:rsidRPr="00305B2E">
        <w:rPr>
          <w:lang w:val="fr-CA"/>
        </w:rPr>
        <w:lastRenderedPageBreak/>
        <w:t>À propos de la question de l</w:t>
      </w:r>
      <w:r>
        <w:rPr>
          <w:lang w:val="fr-CA"/>
        </w:rPr>
        <w:t>’</w:t>
      </w:r>
      <w:r w:rsidRPr="00305B2E">
        <w:rPr>
          <w:lang w:val="fr-CA"/>
        </w:rPr>
        <w:t xml:space="preserve">attaque indirecte, les </w:t>
      </w:r>
      <w:proofErr w:type="spellStart"/>
      <w:r w:rsidRPr="00305B2E">
        <w:rPr>
          <w:lang w:val="fr-CA"/>
        </w:rPr>
        <w:t>Behn</w:t>
      </w:r>
      <w:proofErr w:type="spellEnd"/>
      <w:r w:rsidRPr="00305B2E">
        <w:rPr>
          <w:lang w:val="fr-CA"/>
        </w:rPr>
        <w:t xml:space="preserve"> font valoir, en s</w:t>
      </w:r>
      <w:r>
        <w:rPr>
          <w:lang w:val="fr-CA"/>
        </w:rPr>
        <w:t>’</w:t>
      </w:r>
      <w:r w:rsidRPr="00305B2E">
        <w:rPr>
          <w:lang w:val="fr-CA"/>
        </w:rPr>
        <w:t xml:space="preserve">appuyant sur </w:t>
      </w:r>
      <w:r w:rsidRPr="00305B2E">
        <w:rPr>
          <w:i/>
          <w:lang w:val="fr-CA"/>
        </w:rPr>
        <w:t xml:space="preserve">Garland c. </w:t>
      </w:r>
      <w:proofErr w:type="spellStart"/>
      <w:r w:rsidRPr="00305B2E">
        <w:rPr>
          <w:i/>
          <w:lang w:val="fr-CA"/>
        </w:rPr>
        <w:t>Consumers</w:t>
      </w:r>
      <w:proofErr w:type="spellEnd"/>
      <w:r>
        <w:rPr>
          <w:i/>
          <w:lang w:val="fr-CA"/>
        </w:rPr>
        <w:t>’</w:t>
      </w:r>
      <w:r w:rsidRPr="00305B2E">
        <w:rPr>
          <w:i/>
          <w:lang w:val="fr-CA"/>
        </w:rPr>
        <w:t xml:space="preserve"> </w:t>
      </w:r>
      <w:proofErr w:type="spellStart"/>
      <w:r w:rsidRPr="00305B2E">
        <w:rPr>
          <w:i/>
          <w:lang w:val="fr-CA"/>
        </w:rPr>
        <w:t>Gas</w:t>
      </w:r>
      <w:proofErr w:type="spellEnd"/>
      <w:r w:rsidRPr="00305B2E">
        <w:rPr>
          <w:i/>
          <w:lang w:val="fr-CA"/>
        </w:rPr>
        <w:t xml:space="preserve"> Co.</w:t>
      </w:r>
      <w:r w:rsidRPr="00305B2E">
        <w:rPr>
          <w:lang w:val="fr-CA"/>
        </w:rPr>
        <w:t>, 2004 CSC 25, [2004] 1 R.C.S. 629, que les moyens de défense qu</w:t>
      </w:r>
      <w:r>
        <w:rPr>
          <w:lang w:val="fr-CA"/>
        </w:rPr>
        <w:t>’</w:t>
      </w:r>
      <w:r w:rsidRPr="00305B2E">
        <w:rPr>
          <w:lang w:val="fr-CA"/>
        </w:rPr>
        <w:t>ils mettent de l</w:t>
      </w:r>
      <w:r>
        <w:rPr>
          <w:lang w:val="fr-CA"/>
        </w:rPr>
        <w:t>’</w:t>
      </w:r>
      <w:r w:rsidRPr="00305B2E">
        <w:rPr>
          <w:lang w:val="fr-CA"/>
        </w:rPr>
        <w:t>avant ne constituent pas une attaque indirecte étant donné qu</w:t>
      </w:r>
      <w:r>
        <w:rPr>
          <w:lang w:val="fr-CA"/>
        </w:rPr>
        <w:t>’</w:t>
      </w:r>
      <w:r w:rsidRPr="00305B2E">
        <w:rPr>
          <w:lang w:val="fr-CA"/>
        </w:rPr>
        <w:t>ils ne sont pas parties aux autorisations.  Subsidiairement, ils plaident que si les paragraphes contestés attaquent indirectement la validité des autorisations, cette attaque est permise puisque le législateur n</w:t>
      </w:r>
      <w:r>
        <w:rPr>
          <w:lang w:val="fr-CA"/>
        </w:rPr>
        <w:t>’</w:t>
      </w:r>
      <w:r w:rsidRPr="00305B2E">
        <w:rPr>
          <w:lang w:val="fr-CA"/>
        </w:rPr>
        <w:t>a pas voulu que la demande de contrôle judiciaire constitue le seul moyen de contester la légalité des autorisations.</w:t>
      </w:r>
    </w:p>
    <w:p w:rsidR="00645F4F" w:rsidRPr="00305B2E" w:rsidRDefault="00645F4F" w:rsidP="00645F4F">
      <w:pPr>
        <w:pStyle w:val="ParaNoNdepar-AltN"/>
        <w:rPr>
          <w:lang w:val="fr-CA"/>
        </w:rPr>
      </w:pPr>
      <w:r w:rsidRPr="00305B2E">
        <w:rPr>
          <w:lang w:val="fr-CA"/>
        </w:rPr>
        <w:t xml:space="preserve">Enfin, les </w:t>
      </w:r>
      <w:proofErr w:type="spellStart"/>
      <w:r w:rsidRPr="00305B2E">
        <w:rPr>
          <w:lang w:val="fr-CA"/>
        </w:rPr>
        <w:t>Behn</w:t>
      </w:r>
      <w:proofErr w:type="spellEnd"/>
      <w:r w:rsidRPr="00305B2E">
        <w:rPr>
          <w:lang w:val="fr-CA"/>
        </w:rPr>
        <w:t xml:space="preserve"> plaident qu</w:t>
      </w:r>
      <w:r>
        <w:rPr>
          <w:lang w:val="fr-CA"/>
        </w:rPr>
        <w:t>’</w:t>
      </w:r>
      <w:r w:rsidRPr="00305B2E">
        <w:rPr>
          <w:lang w:val="fr-CA"/>
        </w:rPr>
        <w:t>en les empêchant d</w:t>
      </w:r>
      <w:r>
        <w:rPr>
          <w:lang w:val="fr-CA"/>
        </w:rPr>
        <w:t>’</w:t>
      </w:r>
      <w:r w:rsidRPr="00305B2E">
        <w:rPr>
          <w:lang w:val="fr-CA"/>
        </w:rPr>
        <w:t xml:space="preserve">invoquer leurs moyens de défense, on portera atteinte </w:t>
      </w:r>
      <w:r w:rsidR="00035228">
        <w:rPr>
          <w:lang w:val="fr-CA"/>
        </w:rPr>
        <w:t>au principe de</w:t>
      </w:r>
      <w:r w:rsidRPr="00305B2E">
        <w:rPr>
          <w:lang w:val="fr-CA"/>
        </w:rPr>
        <w:t xml:space="preserve"> la primauté du droit.  Ils soutiennent qu</w:t>
      </w:r>
      <w:r>
        <w:rPr>
          <w:lang w:val="fr-CA"/>
        </w:rPr>
        <w:t>’</w:t>
      </w:r>
      <w:r w:rsidRPr="00305B2E">
        <w:rPr>
          <w:lang w:val="fr-CA"/>
        </w:rPr>
        <w:t>on ne peut déterminer la légalité de leur conduite sans se prononcer sur la validité des autorisations.</w:t>
      </w:r>
    </w:p>
    <w:p w:rsidR="00645F4F" w:rsidRPr="00305B2E" w:rsidRDefault="00645F4F" w:rsidP="00645F4F">
      <w:pPr>
        <w:pStyle w:val="TitleTitre-AltT"/>
        <w:keepNext/>
        <w:tabs>
          <w:tab w:val="clear" w:pos="360"/>
          <w:tab w:val="left" w:pos="1170"/>
        </w:tabs>
        <w:ind w:left="1530" w:hanging="1627"/>
        <w:rPr>
          <w:u w:val="single"/>
          <w:lang w:val="fr-CA"/>
        </w:rPr>
      </w:pPr>
      <w:r w:rsidRPr="00305B2E">
        <w:rPr>
          <w:lang w:val="fr-CA"/>
        </w:rPr>
        <w:tab/>
      </w:r>
      <w:r w:rsidR="00035228">
        <w:rPr>
          <w:lang w:val="fr-CA"/>
        </w:rPr>
        <w:t>(</w:t>
      </w:r>
      <w:r w:rsidRPr="00305B2E">
        <w:rPr>
          <w:lang w:val="fr-CA"/>
        </w:rPr>
        <w:t>2)</w:t>
      </w:r>
      <w:r w:rsidRPr="00305B2E">
        <w:rPr>
          <w:lang w:val="fr-CA"/>
        </w:rPr>
        <w:tab/>
      </w:r>
      <w:proofErr w:type="spellStart"/>
      <w:r w:rsidRPr="00305B2E">
        <w:rPr>
          <w:u w:val="single"/>
          <w:lang w:val="fr-CA"/>
        </w:rPr>
        <w:t>Moulton</w:t>
      </w:r>
      <w:proofErr w:type="spellEnd"/>
    </w:p>
    <w:p w:rsidR="00645F4F" w:rsidRPr="00305B2E" w:rsidRDefault="00645F4F" w:rsidP="00645F4F">
      <w:pPr>
        <w:pStyle w:val="ParaNoNdepar-AltN"/>
        <w:rPr>
          <w:lang w:val="fr-CA"/>
        </w:rPr>
      </w:pPr>
      <w:proofErr w:type="spellStart"/>
      <w:r w:rsidRPr="00305B2E">
        <w:rPr>
          <w:lang w:val="fr-CA"/>
        </w:rPr>
        <w:t>Moulton</w:t>
      </w:r>
      <w:proofErr w:type="spellEnd"/>
      <w:r w:rsidRPr="00305B2E">
        <w:rPr>
          <w:lang w:val="fr-CA"/>
        </w:rPr>
        <w:t xml:space="preserve"> répond que les </w:t>
      </w:r>
      <w:proofErr w:type="spellStart"/>
      <w:r w:rsidRPr="00305B2E">
        <w:rPr>
          <w:lang w:val="fr-CA"/>
        </w:rPr>
        <w:t>Behn</w:t>
      </w:r>
      <w:proofErr w:type="spellEnd"/>
      <w:r w:rsidRPr="00305B2E">
        <w:rPr>
          <w:lang w:val="fr-CA"/>
        </w:rPr>
        <w:t xml:space="preserve"> n</w:t>
      </w:r>
      <w:r>
        <w:rPr>
          <w:lang w:val="fr-CA"/>
        </w:rPr>
        <w:t>’</w:t>
      </w:r>
      <w:r w:rsidRPr="00305B2E">
        <w:rPr>
          <w:lang w:val="fr-CA"/>
        </w:rPr>
        <w:t xml:space="preserve">ont pas qualité pour invoquer en défense des droits ancestraux ou issus de traités parce que seule la PNFN, en tant que collectivité, peut faire valoir que ces droits ont été violés.  </w:t>
      </w:r>
      <w:proofErr w:type="spellStart"/>
      <w:r w:rsidRPr="00305B2E">
        <w:rPr>
          <w:lang w:val="fr-CA"/>
        </w:rPr>
        <w:t>Moulton</w:t>
      </w:r>
      <w:proofErr w:type="spellEnd"/>
      <w:r w:rsidRPr="00305B2E">
        <w:rPr>
          <w:lang w:val="fr-CA"/>
        </w:rPr>
        <w:t xml:space="preserve"> soutient en outre que l</w:t>
      </w:r>
      <w:r>
        <w:rPr>
          <w:lang w:val="fr-CA"/>
        </w:rPr>
        <w:t>’</w:t>
      </w:r>
      <w:r w:rsidRPr="00305B2E">
        <w:rPr>
          <w:lang w:val="fr-CA"/>
        </w:rPr>
        <w:t>obligation de consultation de la Couronne est due à la collectivité et non à ses membres individuels.  En réponse à l</w:t>
      </w:r>
      <w:r>
        <w:rPr>
          <w:lang w:val="fr-CA"/>
        </w:rPr>
        <w:t>’</w:t>
      </w:r>
      <w:r w:rsidRPr="00305B2E">
        <w:rPr>
          <w:lang w:val="fr-CA"/>
        </w:rPr>
        <w:t xml:space="preserve">argument des </w:t>
      </w:r>
      <w:proofErr w:type="spellStart"/>
      <w:r w:rsidRPr="00305B2E">
        <w:rPr>
          <w:lang w:val="fr-CA"/>
        </w:rPr>
        <w:t>Behn</w:t>
      </w:r>
      <w:proofErr w:type="spellEnd"/>
      <w:r w:rsidRPr="00305B2E">
        <w:rPr>
          <w:lang w:val="fr-CA"/>
        </w:rPr>
        <w:t xml:space="preserve"> voulant qu</w:t>
      </w:r>
      <w:r>
        <w:rPr>
          <w:lang w:val="fr-CA"/>
        </w:rPr>
        <w:t>’</w:t>
      </w:r>
      <w:r w:rsidRPr="00305B2E">
        <w:rPr>
          <w:lang w:val="fr-CA"/>
        </w:rPr>
        <w:t>ils aient qualité pour agir parce qu</w:t>
      </w:r>
      <w:r>
        <w:rPr>
          <w:lang w:val="fr-CA"/>
        </w:rPr>
        <w:t>’</w:t>
      </w:r>
      <w:r w:rsidRPr="00305B2E">
        <w:rPr>
          <w:lang w:val="fr-CA"/>
        </w:rPr>
        <w:t>ils s</w:t>
      </w:r>
      <w:r>
        <w:rPr>
          <w:lang w:val="fr-CA"/>
        </w:rPr>
        <w:t>’</w:t>
      </w:r>
      <w:r w:rsidRPr="00305B2E">
        <w:rPr>
          <w:lang w:val="fr-CA"/>
        </w:rPr>
        <w:t>en tiennent à demander le rejet de l</w:t>
      </w:r>
      <w:r>
        <w:rPr>
          <w:lang w:val="fr-CA"/>
        </w:rPr>
        <w:t>’</w:t>
      </w:r>
      <w:r w:rsidRPr="00305B2E">
        <w:rPr>
          <w:lang w:val="fr-CA"/>
        </w:rPr>
        <w:t xml:space="preserve">action, </w:t>
      </w:r>
      <w:proofErr w:type="spellStart"/>
      <w:r w:rsidRPr="00305B2E">
        <w:rPr>
          <w:lang w:val="fr-CA"/>
        </w:rPr>
        <w:t>Moulton</w:t>
      </w:r>
      <w:proofErr w:type="spellEnd"/>
      <w:r w:rsidRPr="00305B2E">
        <w:rPr>
          <w:lang w:val="fr-CA"/>
        </w:rPr>
        <w:t xml:space="preserve"> plaide qu</w:t>
      </w:r>
      <w:r>
        <w:rPr>
          <w:lang w:val="fr-CA"/>
        </w:rPr>
        <w:t>’</w:t>
      </w:r>
      <w:r w:rsidRPr="00305B2E">
        <w:rPr>
          <w:lang w:val="fr-CA"/>
        </w:rPr>
        <w:t>ils invoquent un moyen de défense affirmatif qui exige une déclaration d</w:t>
      </w:r>
      <w:r>
        <w:rPr>
          <w:lang w:val="fr-CA"/>
        </w:rPr>
        <w:t>’</w:t>
      </w:r>
      <w:r w:rsidRPr="00305B2E">
        <w:rPr>
          <w:lang w:val="fr-CA"/>
        </w:rPr>
        <w:t xml:space="preserve">invalidité des autorisations.  </w:t>
      </w:r>
      <w:proofErr w:type="spellStart"/>
      <w:r w:rsidRPr="00305B2E">
        <w:rPr>
          <w:lang w:val="fr-CA"/>
        </w:rPr>
        <w:t>Moulton</w:t>
      </w:r>
      <w:proofErr w:type="spellEnd"/>
      <w:r w:rsidRPr="00305B2E">
        <w:rPr>
          <w:lang w:val="fr-CA"/>
        </w:rPr>
        <w:t xml:space="preserve"> ajoute que les gestes des </w:t>
      </w:r>
      <w:proofErr w:type="spellStart"/>
      <w:r w:rsidRPr="00305B2E">
        <w:rPr>
          <w:lang w:val="fr-CA"/>
        </w:rPr>
        <w:t>Behn</w:t>
      </w:r>
      <w:proofErr w:type="spellEnd"/>
      <w:r w:rsidRPr="00305B2E">
        <w:rPr>
          <w:lang w:val="fr-CA"/>
        </w:rPr>
        <w:t xml:space="preserve"> à l</w:t>
      </w:r>
      <w:r>
        <w:rPr>
          <w:lang w:val="fr-CA"/>
        </w:rPr>
        <w:t>’</w:t>
      </w:r>
      <w:r w:rsidRPr="00305B2E">
        <w:rPr>
          <w:lang w:val="fr-CA"/>
        </w:rPr>
        <w:t xml:space="preserve">origine de </w:t>
      </w:r>
      <w:r w:rsidRPr="00305B2E">
        <w:rPr>
          <w:lang w:val="fr-CA"/>
        </w:rPr>
        <w:lastRenderedPageBreak/>
        <w:t>la poursuite intentée contre eux — l</w:t>
      </w:r>
      <w:r>
        <w:rPr>
          <w:lang w:val="fr-CA"/>
        </w:rPr>
        <w:t>’</w:t>
      </w:r>
      <w:r w:rsidRPr="00305B2E">
        <w:rPr>
          <w:lang w:val="fr-CA"/>
        </w:rPr>
        <w:t>érection d</w:t>
      </w:r>
      <w:r>
        <w:rPr>
          <w:lang w:val="fr-CA"/>
        </w:rPr>
        <w:t>’</w:t>
      </w:r>
      <w:r w:rsidRPr="00305B2E">
        <w:rPr>
          <w:lang w:val="fr-CA"/>
        </w:rPr>
        <w:t>un barrage et la participation à un barrage — ne constituent pas des droits protégés par le Traité n</w:t>
      </w:r>
      <w:r w:rsidRPr="00305B2E">
        <w:rPr>
          <w:vertAlign w:val="superscript"/>
          <w:lang w:val="fr-CA"/>
        </w:rPr>
        <w:t>o</w:t>
      </w:r>
      <w:r w:rsidRPr="00305B2E">
        <w:rPr>
          <w:lang w:val="fr-CA"/>
        </w:rPr>
        <w:t xml:space="preserve"> 8.  Enfin, selon </w:t>
      </w:r>
      <w:proofErr w:type="spellStart"/>
      <w:r w:rsidRPr="00305B2E">
        <w:rPr>
          <w:lang w:val="fr-CA"/>
        </w:rPr>
        <w:t>Moulton</w:t>
      </w:r>
      <w:proofErr w:type="spellEnd"/>
      <w:r w:rsidRPr="00305B2E">
        <w:rPr>
          <w:lang w:val="fr-CA"/>
        </w:rPr>
        <w:t xml:space="preserve">, puisque les </w:t>
      </w:r>
      <w:proofErr w:type="spellStart"/>
      <w:r w:rsidRPr="00305B2E">
        <w:rPr>
          <w:lang w:val="fr-CA"/>
        </w:rPr>
        <w:t>Behn</w:t>
      </w:r>
      <w:proofErr w:type="spellEnd"/>
      <w:r w:rsidRPr="00305B2E">
        <w:rPr>
          <w:lang w:val="fr-CA"/>
        </w:rPr>
        <w:t xml:space="preserve"> auraient pu contester la validité des autorisations au moment de leur délivrance, en présentant une demande de contrôle judiciaire, le fait de contester la validité de ces autorisations en défense à une action délictuelle constitue une attaque indirecte.</w:t>
      </w:r>
    </w:p>
    <w:p w:rsidR="00645F4F" w:rsidRPr="00305B2E" w:rsidRDefault="00645F4F" w:rsidP="00645F4F">
      <w:pPr>
        <w:pStyle w:val="TitleTitre-AltT"/>
        <w:keepNext/>
        <w:tabs>
          <w:tab w:val="clear" w:pos="360"/>
          <w:tab w:val="left" w:pos="1170"/>
        </w:tabs>
        <w:ind w:left="1530" w:hanging="1530"/>
        <w:rPr>
          <w:lang w:val="fr-CA"/>
        </w:rPr>
      </w:pPr>
      <w:r w:rsidRPr="00305B2E">
        <w:rPr>
          <w:lang w:val="fr-CA"/>
        </w:rPr>
        <w:tab/>
      </w:r>
      <w:r w:rsidR="00AE3238">
        <w:rPr>
          <w:lang w:val="fr-CA"/>
        </w:rPr>
        <w:t>(</w:t>
      </w:r>
      <w:r w:rsidRPr="00305B2E">
        <w:rPr>
          <w:lang w:val="fr-CA"/>
        </w:rPr>
        <w:t>3)</w:t>
      </w:r>
      <w:r w:rsidRPr="00305B2E">
        <w:rPr>
          <w:lang w:val="fr-CA"/>
        </w:rPr>
        <w:tab/>
      </w:r>
      <w:r w:rsidRPr="00305B2E">
        <w:rPr>
          <w:u w:val="single"/>
          <w:lang w:val="fr-CA"/>
        </w:rPr>
        <w:t>La Couronne</w:t>
      </w:r>
    </w:p>
    <w:p w:rsidR="00645F4F" w:rsidRPr="00305B2E" w:rsidRDefault="00645F4F" w:rsidP="00645F4F">
      <w:pPr>
        <w:pStyle w:val="ParaNoNdepar-AltN"/>
        <w:rPr>
          <w:lang w:val="fr-CA"/>
        </w:rPr>
      </w:pPr>
      <w:r w:rsidRPr="00305B2E">
        <w:rPr>
          <w:lang w:val="fr-CA"/>
        </w:rPr>
        <w:t>Selon la Couronne, en raison de la nature collective des droits ancestraux et issus de traités, les recours relatifs à ces droits doivent être présentés par une collectivité autochtone ou en son nom.  Bien que la Couronne reconnaisse l</w:t>
      </w:r>
      <w:r>
        <w:rPr>
          <w:lang w:val="fr-CA"/>
        </w:rPr>
        <w:t>’</w:t>
      </w:r>
      <w:r w:rsidRPr="00305B2E">
        <w:rPr>
          <w:lang w:val="fr-CA"/>
        </w:rPr>
        <w:t xml:space="preserve">intérêt des </w:t>
      </w:r>
      <w:proofErr w:type="spellStart"/>
      <w:r w:rsidRPr="00305B2E">
        <w:rPr>
          <w:lang w:val="fr-CA"/>
        </w:rPr>
        <w:t>Behn</w:t>
      </w:r>
      <w:proofErr w:type="spellEnd"/>
      <w:r w:rsidRPr="00305B2E">
        <w:rPr>
          <w:lang w:val="fr-CA"/>
        </w:rPr>
        <w:t xml:space="preserve"> dans leurs droits issus de traités, elle plaide que la position de ces derniers à cet égard néglige deux facteurs : (1) la question en litige concerne un moyen de défense soulevé à l</w:t>
      </w:r>
      <w:r>
        <w:rPr>
          <w:lang w:val="fr-CA"/>
        </w:rPr>
        <w:t>’</w:t>
      </w:r>
      <w:r w:rsidRPr="00305B2E">
        <w:rPr>
          <w:lang w:val="fr-CA"/>
        </w:rPr>
        <w:t>encontre d</w:t>
      </w:r>
      <w:r>
        <w:rPr>
          <w:lang w:val="fr-CA"/>
        </w:rPr>
        <w:t>’</w:t>
      </w:r>
      <w:r w:rsidRPr="00305B2E">
        <w:rPr>
          <w:lang w:val="fr-CA"/>
        </w:rPr>
        <w:t>une poursuite relative à un barrage et non l</w:t>
      </w:r>
      <w:r>
        <w:rPr>
          <w:lang w:val="fr-CA"/>
        </w:rPr>
        <w:t>’</w:t>
      </w:r>
      <w:r w:rsidRPr="00305B2E">
        <w:rPr>
          <w:lang w:val="fr-CA"/>
        </w:rPr>
        <w:t>exercice de droits de chasse et de piégeage, et (2) la PNFN est désignée comme partie aux procédures et y représente donc la collectivité.  La Couronne plaide de plus que le fait de posséder un intérêt important et direct dans un droit issu d</w:t>
      </w:r>
      <w:r w:rsidR="00AE3238">
        <w:rPr>
          <w:lang w:val="fr-CA"/>
        </w:rPr>
        <w:t>’un</w:t>
      </w:r>
      <w:r w:rsidRPr="00305B2E">
        <w:rPr>
          <w:lang w:val="fr-CA"/>
        </w:rPr>
        <w:t xml:space="preserve"> traité n</w:t>
      </w:r>
      <w:r>
        <w:rPr>
          <w:lang w:val="fr-CA"/>
        </w:rPr>
        <w:t>’</w:t>
      </w:r>
      <w:r w:rsidRPr="00305B2E">
        <w:rPr>
          <w:lang w:val="fr-CA"/>
        </w:rPr>
        <w:t>autorise pas un individu à intenter un recours fondé sur l</w:t>
      </w:r>
      <w:r>
        <w:rPr>
          <w:lang w:val="fr-CA"/>
        </w:rPr>
        <w:t>’</w:t>
      </w:r>
      <w:r w:rsidRPr="00305B2E">
        <w:rPr>
          <w:lang w:val="fr-CA"/>
        </w:rPr>
        <w:t>existence de ce droit ou à l</w:t>
      </w:r>
      <w:r>
        <w:rPr>
          <w:lang w:val="fr-CA"/>
        </w:rPr>
        <w:t>’</w:t>
      </w:r>
      <w:r w:rsidRPr="00305B2E">
        <w:rPr>
          <w:lang w:val="fr-CA"/>
        </w:rPr>
        <w:t xml:space="preserve">invoquer en défense.  </w:t>
      </w:r>
    </w:p>
    <w:p w:rsidR="00645F4F" w:rsidRPr="00305B2E" w:rsidRDefault="00645F4F" w:rsidP="00645F4F">
      <w:pPr>
        <w:pStyle w:val="ParaNoNdepar-AltN"/>
        <w:rPr>
          <w:lang w:val="fr-CA"/>
        </w:rPr>
      </w:pPr>
      <w:r w:rsidRPr="00305B2E">
        <w:rPr>
          <w:lang w:val="fr-CA"/>
        </w:rPr>
        <w:t>Au sujet de la question de déterminer si les paragraphes contestés constituent une attaque indirecte prohibée, la Couronne soutient qu</w:t>
      </w:r>
      <w:r>
        <w:rPr>
          <w:lang w:val="fr-CA"/>
        </w:rPr>
        <w:t>’</w:t>
      </w:r>
      <w:r w:rsidRPr="00305B2E">
        <w:rPr>
          <w:lang w:val="fr-CA"/>
        </w:rPr>
        <w:t>il faut se demander s</w:t>
      </w:r>
      <w:r>
        <w:rPr>
          <w:lang w:val="fr-CA"/>
        </w:rPr>
        <w:t>’</w:t>
      </w:r>
      <w:r w:rsidRPr="00305B2E">
        <w:rPr>
          <w:lang w:val="fr-CA"/>
        </w:rPr>
        <w:t>il s</w:t>
      </w:r>
      <w:r>
        <w:rPr>
          <w:lang w:val="fr-CA"/>
        </w:rPr>
        <w:t>’</w:t>
      </w:r>
      <w:r w:rsidRPr="00305B2E">
        <w:rPr>
          <w:lang w:val="fr-CA"/>
        </w:rPr>
        <w:t>agit d</w:t>
      </w:r>
      <w:r>
        <w:rPr>
          <w:lang w:val="fr-CA"/>
        </w:rPr>
        <w:t>’</w:t>
      </w:r>
      <w:r w:rsidRPr="00305B2E">
        <w:rPr>
          <w:lang w:val="fr-CA"/>
        </w:rPr>
        <w:t>un cas où une partie ne s</w:t>
      </w:r>
      <w:r>
        <w:rPr>
          <w:lang w:val="fr-CA"/>
        </w:rPr>
        <w:t>’</w:t>
      </w:r>
      <w:r w:rsidRPr="00305B2E">
        <w:rPr>
          <w:lang w:val="fr-CA"/>
        </w:rPr>
        <w:t xml:space="preserve">oppose pas à ce que la décision </w:t>
      </w:r>
      <w:r w:rsidRPr="00305B2E">
        <w:rPr>
          <w:lang w:val="fr-CA"/>
        </w:rPr>
        <w:lastRenderedPageBreak/>
        <w:t>gouvernementale continue de s</w:t>
      </w:r>
      <w:r>
        <w:rPr>
          <w:lang w:val="fr-CA"/>
        </w:rPr>
        <w:t>’</w:t>
      </w:r>
      <w:r w:rsidRPr="00305B2E">
        <w:rPr>
          <w:lang w:val="fr-CA"/>
        </w:rPr>
        <w:t>appliquer.  En l</w:t>
      </w:r>
      <w:r>
        <w:rPr>
          <w:lang w:val="fr-CA"/>
        </w:rPr>
        <w:t>’</w:t>
      </w:r>
      <w:r w:rsidRPr="00305B2E">
        <w:rPr>
          <w:lang w:val="fr-CA"/>
        </w:rPr>
        <w:t xml:space="preserve">espèce, les moyens de défense attaqués contestent clairement la validité et la force exécutoire des autorisations.  La Couronne ajoute que les </w:t>
      </w:r>
      <w:proofErr w:type="spellStart"/>
      <w:r w:rsidRPr="00305B2E">
        <w:rPr>
          <w:lang w:val="fr-CA"/>
        </w:rPr>
        <w:t>Behn</w:t>
      </w:r>
      <w:proofErr w:type="spellEnd"/>
      <w:r w:rsidRPr="00305B2E">
        <w:rPr>
          <w:lang w:val="fr-CA"/>
        </w:rPr>
        <w:t xml:space="preserve"> auraient pu contester la validité des autorisations par une demande de contrôle judiciaire plutôt qu</w:t>
      </w:r>
      <w:r>
        <w:rPr>
          <w:lang w:val="fr-CA"/>
        </w:rPr>
        <w:t>’</w:t>
      </w:r>
      <w:r w:rsidRPr="00305B2E">
        <w:rPr>
          <w:lang w:val="fr-CA"/>
        </w:rPr>
        <w:t>en bloquant une route.</w:t>
      </w:r>
    </w:p>
    <w:p w:rsidR="00645F4F" w:rsidRPr="00305B2E" w:rsidRDefault="00645F4F" w:rsidP="00645F4F">
      <w:pPr>
        <w:pStyle w:val="TitleTitre-AltT"/>
        <w:keepNext/>
        <w:rPr>
          <w:lang w:val="fr-CA"/>
        </w:rPr>
      </w:pPr>
      <w:r w:rsidRPr="00305B2E">
        <w:rPr>
          <w:lang w:val="fr-CA"/>
        </w:rPr>
        <w:t>C.</w:t>
      </w:r>
      <w:r w:rsidRPr="00305B2E">
        <w:rPr>
          <w:lang w:val="fr-CA"/>
        </w:rPr>
        <w:tab/>
      </w:r>
      <w:r w:rsidRPr="00305B2E">
        <w:rPr>
          <w:i/>
          <w:lang w:val="fr-CA"/>
        </w:rPr>
        <w:t>Qualité pour agir</w:t>
      </w:r>
    </w:p>
    <w:p w:rsidR="00645F4F" w:rsidRPr="00305B2E" w:rsidRDefault="00645F4F" w:rsidP="00645F4F">
      <w:pPr>
        <w:pStyle w:val="TitleTitre-AltT"/>
        <w:keepNext/>
        <w:tabs>
          <w:tab w:val="clear" w:pos="360"/>
          <w:tab w:val="left" w:pos="1170"/>
        </w:tabs>
        <w:ind w:left="1530" w:hanging="1530"/>
        <w:rPr>
          <w:lang w:val="fr-CA"/>
        </w:rPr>
      </w:pPr>
      <w:r w:rsidRPr="00305B2E">
        <w:rPr>
          <w:lang w:val="fr-CA"/>
        </w:rPr>
        <w:tab/>
      </w:r>
      <w:r w:rsidR="008A3A09">
        <w:rPr>
          <w:lang w:val="fr-CA"/>
        </w:rPr>
        <w:t>(</w:t>
      </w:r>
      <w:r w:rsidRPr="00305B2E">
        <w:rPr>
          <w:lang w:val="fr-CA"/>
        </w:rPr>
        <w:t>1)</w:t>
      </w:r>
      <w:r w:rsidRPr="00305B2E">
        <w:rPr>
          <w:lang w:val="fr-CA"/>
        </w:rPr>
        <w:tab/>
      </w:r>
      <w:r w:rsidRPr="00305B2E">
        <w:rPr>
          <w:u w:val="single"/>
          <w:lang w:val="fr-CA"/>
        </w:rPr>
        <w:t>Obligation de consultation</w:t>
      </w:r>
    </w:p>
    <w:p w:rsidR="00645F4F" w:rsidRPr="00305B2E" w:rsidRDefault="00645F4F" w:rsidP="00645F4F">
      <w:pPr>
        <w:pStyle w:val="ParaNoNdepar-AltN"/>
        <w:rPr>
          <w:lang w:val="fr-CA"/>
        </w:rPr>
      </w:pPr>
      <w:r w:rsidRPr="00305B2E">
        <w:rPr>
          <w:lang w:val="fr-CA"/>
        </w:rPr>
        <w:t>Comme je l</w:t>
      </w:r>
      <w:r>
        <w:rPr>
          <w:lang w:val="fr-CA"/>
        </w:rPr>
        <w:t>’</w:t>
      </w:r>
      <w:r w:rsidRPr="00305B2E">
        <w:rPr>
          <w:lang w:val="fr-CA"/>
        </w:rPr>
        <w:t>ai déjà mentionné, en défense à l</w:t>
      </w:r>
      <w:r>
        <w:rPr>
          <w:lang w:val="fr-CA"/>
        </w:rPr>
        <w:t>’</w:t>
      </w:r>
      <w:r w:rsidRPr="00305B2E">
        <w:rPr>
          <w:lang w:val="fr-CA"/>
        </w:rPr>
        <w:t xml:space="preserve">action intentée contre eux par </w:t>
      </w:r>
      <w:proofErr w:type="spellStart"/>
      <w:r w:rsidRPr="00305B2E">
        <w:rPr>
          <w:lang w:val="fr-CA"/>
        </w:rPr>
        <w:t>Moulton</w:t>
      </w:r>
      <w:proofErr w:type="spellEnd"/>
      <w:r w:rsidRPr="00305B2E">
        <w:rPr>
          <w:lang w:val="fr-CA"/>
        </w:rPr>
        <w:t xml:space="preserve">, les </w:t>
      </w:r>
      <w:proofErr w:type="spellStart"/>
      <w:r w:rsidRPr="00305B2E">
        <w:rPr>
          <w:lang w:val="fr-CA"/>
        </w:rPr>
        <w:t>Behn</w:t>
      </w:r>
      <w:proofErr w:type="spellEnd"/>
      <w:r w:rsidRPr="00305B2E">
        <w:rPr>
          <w:lang w:val="fr-CA"/>
        </w:rPr>
        <w:t xml:space="preserve"> soutiennent notamment que leur conduite n</w:t>
      </w:r>
      <w:r>
        <w:rPr>
          <w:lang w:val="fr-CA"/>
        </w:rPr>
        <w:t>’</w:t>
      </w:r>
      <w:r w:rsidRPr="00305B2E">
        <w:rPr>
          <w:lang w:val="fr-CA"/>
        </w:rPr>
        <w:t>était pas illégale parce que la Couronne avait délivré les autorisations sans respecter son obligation de consultation, et que les autorisations étaient par conséquent invalides.  Pour disposer de ce moyen de défense, il faut tout d</w:t>
      </w:r>
      <w:r>
        <w:rPr>
          <w:lang w:val="fr-CA"/>
        </w:rPr>
        <w:t>’</w:t>
      </w:r>
      <w:r w:rsidRPr="00305B2E">
        <w:rPr>
          <w:lang w:val="fr-CA"/>
        </w:rPr>
        <w:t xml:space="preserve">abord décider si les </w:t>
      </w:r>
      <w:proofErr w:type="spellStart"/>
      <w:r w:rsidRPr="00305B2E">
        <w:rPr>
          <w:lang w:val="fr-CA"/>
        </w:rPr>
        <w:t>Behn</w:t>
      </w:r>
      <w:proofErr w:type="spellEnd"/>
      <w:r w:rsidRPr="00305B2E">
        <w:rPr>
          <w:lang w:val="fr-CA"/>
        </w:rPr>
        <w:t xml:space="preserve"> peuvent </w:t>
      </w:r>
      <w:proofErr w:type="spellStart"/>
      <w:r w:rsidRPr="00305B2E">
        <w:rPr>
          <w:lang w:val="fr-CA"/>
        </w:rPr>
        <w:t>eux</w:t>
      </w:r>
      <w:r w:rsidRPr="00305B2E">
        <w:rPr>
          <w:lang w:val="fr-CA"/>
        </w:rPr>
        <w:noBreakHyphen/>
        <w:t>mêmes</w:t>
      </w:r>
      <w:proofErr w:type="spellEnd"/>
      <w:r w:rsidRPr="00305B2E">
        <w:rPr>
          <w:lang w:val="fr-CA"/>
        </w:rPr>
        <w:t xml:space="preserve"> invoquer l</w:t>
      </w:r>
      <w:r>
        <w:rPr>
          <w:lang w:val="fr-CA"/>
        </w:rPr>
        <w:t>’</w:t>
      </w:r>
      <w:r w:rsidRPr="00305B2E">
        <w:rPr>
          <w:lang w:val="fr-CA"/>
        </w:rPr>
        <w:t>obligation de consultation.</w:t>
      </w:r>
    </w:p>
    <w:p w:rsidR="00645F4F" w:rsidRPr="00305B2E" w:rsidRDefault="00645F4F" w:rsidP="00645F4F">
      <w:pPr>
        <w:pStyle w:val="ParaNoNdepar-AltN"/>
        <w:rPr>
          <w:lang w:val="fr-CA"/>
        </w:rPr>
      </w:pPr>
      <w:r w:rsidRPr="00305B2E">
        <w:rPr>
          <w:lang w:val="fr-CA"/>
        </w:rPr>
        <w:t xml:space="preserve">Dans </w:t>
      </w:r>
      <w:r w:rsidR="008A3A09">
        <w:rPr>
          <w:i/>
          <w:lang w:val="fr-CA"/>
        </w:rPr>
        <w:t xml:space="preserve">Nation </w:t>
      </w:r>
      <w:proofErr w:type="spellStart"/>
      <w:r w:rsidR="008A3A09">
        <w:rPr>
          <w:i/>
          <w:lang w:val="fr-CA"/>
        </w:rPr>
        <w:t>h</w:t>
      </w:r>
      <w:r w:rsidRPr="00305B2E">
        <w:rPr>
          <w:i/>
          <w:lang w:val="fr-CA"/>
        </w:rPr>
        <w:t>aïda</w:t>
      </w:r>
      <w:proofErr w:type="spellEnd"/>
      <w:r w:rsidRPr="00305B2E">
        <w:rPr>
          <w:i/>
          <w:lang w:val="fr-CA"/>
        </w:rPr>
        <w:t xml:space="preserve"> c. </w:t>
      </w:r>
      <w:proofErr w:type="spellStart"/>
      <w:r w:rsidRPr="00305B2E">
        <w:rPr>
          <w:i/>
          <w:lang w:val="fr-CA"/>
        </w:rPr>
        <w:t>Colombie</w:t>
      </w:r>
      <w:r w:rsidRPr="00305B2E">
        <w:rPr>
          <w:i/>
          <w:lang w:val="fr-CA"/>
        </w:rPr>
        <w:noBreakHyphen/>
        <w:t>Britannique</w:t>
      </w:r>
      <w:proofErr w:type="spellEnd"/>
      <w:r w:rsidRPr="00305B2E">
        <w:rPr>
          <w:i/>
          <w:lang w:val="fr-CA"/>
        </w:rPr>
        <w:t xml:space="preserve"> (Ministre des Forêts)</w:t>
      </w:r>
      <w:r w:rsidRPr="00305B2E">
        <w:rPr>
          <w:lang w:val="fr-CA"/>
        </w:rPr>
        <w:t>, 2004 CSC 73, [2004] 3 R.C.S. 511, notre Cour a confirmé l</w:t>
      </w:r>
      <w:r>
        <w:rPr>
          <w:lang w:val="fr-CA"/>
        </w:rPr>
        <w:t>’</w:t>
      </w:r>
      <w:r w:rsidRPr="00305B2E">
        <w:rPr>
          <w:lang w:val="fr-CA"/>
        </w:rPr>
        <w:t>existence de l</w:t>
      </w:r>
      <w:r>
        <w:rPr>
          <w:lang w:val="fr-CA"/>
        </w:rPr>
        <w:t>’</w:t>
      </w:r>
      <w:r w:rsidRPr="00305B2E">
        <w:rPr>
          <w:lang w:val="fr-CA"/>
        </w:rPr>
        <w:t>obligation de la Couronne de consulter les peuples autochtones et a expliqué les paramètres de l</w:t>
      </w:r>
      <w:r>
        <w:rPr>
          <w:lang w:val="fr-CA"/>
        </w:rPr>
        <w:t>’</w:t>
      </w:r>
      <w:r w:rsidRPr="00305B2E">
        <w:rPr>
          <w:lang w:val="fr-CA"/>
        </w:rPr>
        <w:t>exécution de cette obligation en ce qui touche les droits des Autochtones.  La Cour a estimé que « bien que le respect des obligations de consultation et d</w:t>
      </w:r>
      <w:r>
        <w:rPr>
          <w:lang w:val="fr-CA"/>
        </w:rPr>
        <w:t>’</w:t>
      </w:r>
      <w:r w:rsidRPr="00305B2E">
        <w:rPr>
          <w:lang w:val="fr-CA"/>
        </w:rPr>
        <w:t>accommodement avant le règlement définitif d</w:t>
      </w:r>
      <w:r>
        <w:rPr>
          <w:lang w:val="fr-CA"/>
        </w:rPr>
        <w:t>’</w:t>
      </w:r>
      <w:r w:rsidRPr="00305B2E">
        <w:rPr>
          <w:lang w:val="fr-CA"/>
        </w:rPr>
        <w:t>une revendication ne soit pas sans poser de problèmes, de telles mesures ne sont toutefois pas impossibles et constituent même un aspect essentiel du processus honorable de conciliation imposé par l</w:t>
      </w:r>
      <w:r>
        <w:rPr>
          <w:lang w:val="fr-CA"/>
        </w:rPr>
        <w:t>’</w:t>
      </w:r>
      <w:r w:rsidRPr="00305B2E">
        <w:rPr>
          <w:lang w:val="fr-CA"/>
        </w:rPr>
        <w:t xml:space="preserve">art. 35 [de la </w:t>
      </w:r>
      <w:r w:rsidRPr="00305B2E">
        <w:rPr>
          <w:i/>
          <w:lang w:val="fr-CA"/>
        </w:rPr>
        <w:t xml:space="preserve">Loi </w:t>
      </w:r>
      <w:r w:rsidRPr="00305B2E">
        <w:rPr>
          <w:i/>
          <w:lang w:val="fr-CA"/>
        </w:rPr>
        <w:lastRenderedPageBreak/>
        <w:t>constitutionnelle de 1982</w:t>
      </w:r>
      <w:r w:rsidRPr="00305B2E">
        <w:rPr>
          <w:lang w:val="fr-CA"/>
        </w:rPr>
        <w:t>] »</w:t>
      </w:r>
      <w:r w:rsidR="00237F57">
        <w:rPr>
          <w:lang w:val="fr-CA"/>
        </w:rPr>
        <w:t xml:space="preserve"> : </w:t>
      </w:r>
      <w:r w:rsidRPr="00305B2E">
        <w:rPr>
          <w:lang w:val="fr-CA"/>
        </w:rPr>
        <w:t xml:space="preserve">par. 38.  Dans </w:t>
      </w:r>
      <w:r w:rsidRPr="00305B2E">
        <w:rPr>
          <w:i/>
          <w:lang w:val="fr-CA"/>
        </w:rPr>
        <w:t xml:space="preserve">Première nation crie </w:t>
      </w:r>
      <w:proofErr w:type="spellStart"/>
      <w:r w:rsidRPr="00305B2E">
        <w:rPr>
          <w:i/>
          <w:lang w:val="fr-CA"/>
        </w:rPr>
        <w:t>Mikisew</w:t>
      </w:r>
      <w:proofErr w:type="spellEnd"/>
      <w:r w:rsidRPr="00305B2E">
        <w:rPr>
          <w:i/>
          <w:lang w:val="fr-CA"/>
        </w:rPr>
        <w:t xml:space="preserve"> c. Canada (Ministre du Patrimoine canadien)</w:t>
      </w:r>
      <w:r w:rsidRPr="00305B2E">
        <w:rPr>
          <w:lang w:val="fr-CA"/>
        </w:rPr>
        <w:t>, 2005 CSC 69, [2005] 3 R.C.S. 388, la Cour a reconnu que l</w:t>
      </w:r>
      <w:r>
        <w:rPr>
          <w:lang w:val="fr-CA"/>
        </w:rPr>
        <w:t>’</w:t>
      </w:r>
      <w:r w:rsidRPr="00305B2E">
        <w:rPr>
          <w:lang w:val="fr-CA"/>
        </w:rPr>
        <w:t>obligation de consulter s</w:t>
      </w:r>
      <w:r>
        <w:rPr>
          <w:lang w:val="fr-CA"/>
        </w:rPr>
        <w:t>’</w:t>
      </w:r>
      <w:r w:rsidRPr="00305B2E">
        <w:rPr>
          <w:lang w:val="fr-CA"/>
        </w:rPr>
        <w:t>applique dans le contexte des droits issus de traités</w:t>
      </w:r>
      <w:r w:rsidR="00237F57">
        <w:rPr>
          <w:lang w:val="fr-CA"/>
        </w:rPr>
        <w:t xml:space="preserve"> : </w:t>
      </w:r>
      <w:r w:rsidRPr="00305B2E">
        <w:rPr>
          <w:lang w:val="fr-CA"/>
        </w:rPr>
        <w:t>par. 32</w:t>
      </w:r>
      <w:r w:rsidRPr="00305B2E">
        <w:rPr>
          <w:lang w:val="fr-CA"/>
        </w:rPr>
        <w:noBreakHyphen/>
        <w:t>34.  La Couronne ne peut se soustraire par traité à l</w:t>
      </w:r>
      <w:r>
        <w:rPr>
          <w:lang w:val="fr-CA"/>
        </w:rPr>
        <w:t>’</w:t>
      </w:r>
      <w:r w:rsidRPr="00305B2E">
        <w:rPr>
          <w:lang w:val="fr-CA"/>
        </w:rPr>
        <w:t>obligation de consulter les peuples autochtones puisque cette obligation « s</w:t>
      </w:r>
      <w:r>
        <w:rPr>
          <w:lang w:val="fr-CA"/>
        </w:rPr>
        <w:t>’</w:t>
      </w:r>
      <w:r w:rsidRPr="00305B2E">
        <w:rPr>
          <w:lang w:val="fr-CA"/>
        </w:rPr>
        <w:t>applique indépendamment de l</w:t>
      </w:r>
      <w:r>
        <w:rPr>
          <w:lang w:val="fr-CA"/>
        </w:rPr>
        <w:t>’</w:t>
      </w:r>
      <w:r w:rsidRPr="00305B2E">
        <w:rPr>
          <w:lang w:val="fr-CA"/>
        </w:rPr>
        <w:t xml:space="preserve">intention expresse ou implicite des parties » : </w:t>
      </w:r>
      <w:proofErr w:type="spellStart"/>
      <w:r w:rsidRPr="00305B2E">
        <w:rPr>
          <w:i/>
          <w:lang w:val="fr-CA"/>
        </w:rPr>
        <w:t>Beckman</w:t>
      </w:r>
      <w:proofErr w:type="spellEnd"/>
      <w:r w:rsidRPr="00305B2E">
        <w:rPr>
          <w:i/>
          <w:lang w:val="fr-CA"/>
        </w:rPr>
        <w:t xml:space="preserve"> c. Première nation de</w:t>
      </w:r>
      <w:r w:rsidRPr="00305B2E">
        <w:rPr>
          <w:b/>
          <w:bCs/>
          <w:i/>
          <w:lang w:val="fr-CA"/>
        </w:rPr>
        <w:t xml:space="preserve"> </w:t>
      </w:r>
      <w:proofErr w:type="spellStart"/>
      <w:r w:rsidRPr="00305B2E">
        <w:rPr>
          <w:i/>
          <w:lang w:val="fr-CA"/>
        </w:rPr>
        <w:t>Little</w:t>
      </w:r>
      <w:proofErr w:type="spellEnd"/>
      <w:r w:rsidRPr="00305B2E">
        <w:rPr>
          <w:i/>
          <w:lang w:val="fr-CA"/>
        </w:rPr>
        <w:t xml:space="preserve"> Salmon/</w:t>
      </w:r>
      <w:proofErr w:type="spellStart"/>
      <w:r w:rsidRPr="00305B2E">
        <w:rPr>
          <w:i/>
          <w:lang w:val="fr-CA"/>
        </w:rPr>
        <w:t>Carmacks</w:t>
      </w:r>
      <w:proofErr w:type="spellEnd"/>
      <w:r w:rsidRPr="00305B2E">
        <w:rPr>
          <w:lang w:val="fr-CA"/>
        </w:rPr>
        <w:t>, 2010 CSC 53, [2010] 3 R.C.S. 103, par. 61.</w:t>
      </w:r>
    </w:p>
    <w:p w:rsidR="00645F4F" w:rsidRPr="00305B2E" w:rsidRDefault="00645F4F" w:rsidP="00645F4F">
      <w:pPr>
        <w:pStyle w:val="ParaNoNdepar-AltN"/>
        <w:rPr>
          <w:lang w:val="fr-CA"/>
        </w:rPr>
      </w:pPr>
      <w:r w:rsidRPr="00305B2E">
        <w:rPr>
          <w:lang w:val="fr-CA"/>
        </w:rPr>
        <w:t>L</w:t>
      </w:r>
      <w:r>
        <w:rPr>
          <w:lang w:val="fr-CA"/>
        </w:rPr>
        <w:t>’</w:t>
      </w:r>
      <w:r w:rsidRPr="00305B2E">
        <w:rPr>
          <w:lang w:val="fr-CA"/>
        </w:rPr>
        <w:t xml:space="preserve">obligation de consultation revêt un caractère à la fois juridique et constitutionnel : </w:t>
      </w:r>
      <w:r w:rsidR="008A3A09">
        <w:rPr>
          <w:i/>
          <w:lang w:val="fr-CA"/>
        </w:rPr>
        <w:t xml:space="preserve">Nation </w:t>
      </w:r>
      <w:proofErr w:type="spellStart"/>
      <w:r w:rsidR="008A3A09">
        <w:rPr>
          <w:i/>
          <w:lang w:val="fr-CA"/>
        </w:rPr>
        <w:t>h</w:t>
      </w:r>
      <w:r w:rsidRPr="00305B2E">
        <w:rPr>
          <w:i/>
          <w:lang w:val="fr-CA"/>
        </w:rPr>
        <w:t>aïda</w:t>
      </w:r>
      <w:proofErr w:type="spellEnd"/>
      <w:r w:rsidRPr="00305B2E">
        <w:rPr>
          <w:lang w:val="fr-CA"/>
        </w:rPr>
        <w:t xml:space="preserve">, par. 10; </w:t>
      </w:r>
      <w:r w:rsidRPr="00305B2E">
        <w:rPr>
          <w:i/>
          <w:lang w:val="fr-CA"/>
        </w:rPr>
        <w:t>R. c. Kapp</w:t>
      </w:r>
      <w:r w:rsidRPr="00305B2E">
        <w:rPr>
          <w:lang w:val="fr-CA"/>
        </w:rPr>
        <w:t xml:space="preserve">, 2008 CSC 41, [2008] 2 R.C.S. 483, par. 6; voir également J. Woodward, </w:t>
      </w:r>
      <w:r w:rsidRPr="00305B2E">
        <w:rPr>
          <w:i/>
          <w:lang w:val="fr-CA"/>
        </w:rPr>
        <w:t>Native Law</w:t>
      </w:r>
      <w:r w:rsidRPr="00305B2E">
        <w:rPr>
          <w:lang w:val="fr-CA"/>
        </w:rPr>
        <w:t>, vol. 1 (feuilles mobiles), p. 5</w:t>
      </w:r>
      <w:r w:rsidRPr="00305B2E">
        <w:rPr>
          <w:lang w:val="fr-CA"/>
        </w:rPr>
        <w:noBreakHyphen/>
        <w:t>38.  Cette obligation a ses racines dans le principe de l</w:t>
      </w:r>
      <w:r>
        <w:rPr>
          <w:lang w:val="fr-CA"/>
        </w:rPr>
        <w:t>’</w:t>
      </w:r>
      <w:r w:rsidRPr="00305B2E">
        <w:rPr>
          <w:lang w:val="fr-CA"/>
        </w:rPr>
        <w:t xml:space="preserve">honneur de la Couronne : </w:t>
      </w:r>
      <w:r w:rsidR="008A3A09">
        <w:rPr>
          <w:i/>
          <w:lang w:val="fr-CA"/>
        </w:rPr>
        <w:t xml:space="preserve">Nation </w:t>
      </w:r>
      <w:proofErr w:type="spellStart"/>
      <w:r w:rsidR="008A3A09">
        <w:rPr>
          <w:i/>
          <w:lang w:val="fr-CA"/>
        </w:rPr>
        <w:t>h</w:t>
      </w:r>
      <w:r w:rsidRPr="00305B2E">
        <w:rPr>
          <w:i/>
          <w:lang w:val="fr-CA"/>
        </w:rPr>
        <w:t>aïda</w:t>
      </w:r>
      <w:proofErr w:type="spellEnd"/>
      <w:r w:rsidRPr="00305B2E">
        <w:rPr>
          <w:lang w:val="fr-CA"/>
        </w:rPr>
        <w:t xml:space="preserve">, </w:t>
      </w:r>
      <w:proofErr w:type="spellStart"/>
      <w:r w:rsidRPr="00305B2E">
        <w:rPr>
          <w:i/>
          <w:lang w:val="fr-CA"/>
        </w:rPr>
        <w:t>Beckman</w:t>
      </w:r>
      <w:proofErr w:type="spellEnd"/>
      <w:r w:rsidR="00017FED">
        <w:rPr>
          <w:lang w:val="fr-CA"/>
        </w:rPr>
        <w:t>, par. 38;</w:t>
      </w:r>
      <w:r w:rsidRPr="00305B2E">
        <w:rPr>
          <w:lang w:val="fr-CA"/>
        </w:rPr>
        <w:t xml:space="preserve"> </w:t>
      </w:r>
      <w:r w:rsidRPr="00305B2E">
        <w:rPr>
          <w:i/>
          <w:lang w:val="fr-CA"/>
        </w:rPr>
        <w:t>Kapp</w:t>
      </w:r>
      <w:r w:rsidRPr="00305B2E">
        <w:rPr>
          <w:lang w:val="fr-CA"/>
        </w:rPr>
        <w:t xml:space="preserve">, par. 6.  Comme le juge </w:t>
      </w:r>
      <w:proofErr w:type="spellStart"/>
      <w:r w:rsidRPr="00305B2E">
        <w:rPr>
          <w:lang w:val="fr-CA"/>
        </w:rPr>
        <w:t>Binnie</w:t>
      </w:r>
      <w:proofErr w:type="spellEnd"/>
      <w:r w:rsidRPr="00305B2E">
        <w:rPr>
          <w:lang w:val="fr-CA"/>
        </w:rPr>
        <w:t xml:space="preserve"> l</w:t>
      </w:r>
      <w:r>
        <w:rPr>
          <w:lang w:val="fr-CA"/>
        </w:rPr>
        <w:t>’</w:t>
      </w:r>
      <w:r w:rsidRPr="00305B2E">
        <w:rPr>
          <w:lang w:val="fr-CA"/>
        </w:rPr>
        <w:t>a indiqué dans l</w:t>
      </w:r>
      <w:r>
        <w:rPr>
          <w:lang w:val="fr-CA"/>
        </w:rPr>
        <w:t>’</w:t>
      </w:r>
      <w:r w:rsidRPr="00305B2E">
        <w:rPr>
          <w:lang w:val="fr-CA"/>
        </w:rPr>
        <w:t xml:space="preserve">arrêt </w:t>
      </w:r>
      <w:proofErr w:type="spellStart"/>
      <w:r w:rsidRPr="00305B2E">
        <w:rPr>
          <w:i/>
          <w:lang w:val="fr-CA"/>
        </w:rPr>
        <w:t>Beckman</w:t>
      </w:r>
      <w:proofErr w:type="spellEnd"/>
      <w:r w:rsidR="00017FED">
        <w:rPr>
          <w:lang w:val="fr-CA"/>
        </w:rPr>
        <w:t xml:space="preserve">, </w:t>
      </w:r>
      <w:r w:rsidRPr="00305B2E">
        <w:rPr>
          <w:lang w:val="fr-CA"/>
        </w:rPr>
        <w:t>par. 44, « [s]i la notion d</w:t>
      </w:r>
      <w:r>
        <w:rPr>
          <w:lang w:val="fr-CA"/>
        </w:rPr>
        <w:t>’</w:t>
      </w:r>
      <w:r w:rsidRPr="00305B2E">
        <w:rPr>
          <w:lang w:val="fr-CA"/>
        </w:rPr>
        <w:t>obligation de consulter se veut un complément valable à l</w:t>
      </w:r>
      <w:r>
        <w:rPr>
          <w:lang w:val="fr-CA"/>
        </w:rPr>
        <w:t>’</w:t>
      </w:r>
      <w:r w:rsidRPr="00305B2E">
        <w:rPr>
          <w:lang w:val="fr-CA"/>
        </w:rPr>
        <w:t>honneur de la Couronne, elle joue un rôle de soutien et ne devrait pas être considérée indépendamment de l</w:t>
      </w:r>
      <w:r>
        <w:rPr>
          <w:lang w:val="fr-CA"/>
        </w:rPr>
        <w:t>’</w:t>
      </w:r>
      <w:r w:rsidRPr="00305B2E">
        <w:rPr>
          <w:lang w:val="fr-CA"/>
        </w:rPr>
        <w:t>objectif qu</w:t>
      </w:r>
      <w:r>
        <w:rPr>
          <w:lang w:val="fr-CA"/>
        </w:rPr>
        <w:t>’</w:t>
      </w:r>
      <w:r w:rsidRPr="00305B2E">
        <w:rPr>
          <w:lang w:val="fr-CA"/>
        </w:rPr>
        <w:t>elle vise à atteindre</w:t>
      </w:r>
      <w:r w:rsidR="005D3284">
        <w:rPr>
          <w:lang w:val="fr-CA"/>
        </w:rPr>
        <w:t>.</w:t>
      </w:r>
      <w:r w:rsidRPr="00305B2E">
        <w:rPr>
          <w:lang w:val="fr-CA"/>
        </w:rPr>
        <w:t> »  L</w:t>
      </w:r>
      <w:r>
        <w:rPr>
          <w:lang w:val="fr-CA"/>
        </w:rPr>
        <w:t>’</w:t>
      </w:r>
      <w:r w:rsidRPr="00305B2E">
        <w:rPr>
          <w:lang w:val="fr-CA"/>
        </w:rPr>
        <w:t>obligation de consultation s</w:t>
      </w:r>
      <w:r>
        <w:rPr>
          <w:lang w:val="fr-CA"/>
        </w:rPr>
        <w:t>’</w:t>
      </w:r>
      <w:r w:rsidRPr="00305B2E">
        <w:rPr>
          <w:lang w:val="fr-CA"/>
        </w:rPr>
        <w:t xml:space="preserve">inscrit dans le processus visant à « concilier la préexistence des sociétés autochtones et la souveraineté de Sa Majesté » : </w:t>
      </w:r>
      <w:proofErr w:type="spellStart"/>
      <w:r w:rsidRPr="00305B2E">
        <w:rPr>
          <w:i/>
          <w:lang w:val="fr-CA"/>
        </w:rPr>
        <w:t>Delgamuukw</w:t>
      </w:r>
      <w:proofErr w:type="spellEnd"/>
      <w:r w:rsidRPr="00305B2E">
        <w:rPr>
          <w:i/>
          <w:lang w:val="fr-CA"/>
        </w:rPr>
        <w:t xml:space="preserve"> c. </w:t>
      </w:r>
      <w:proofErr w:type="spellStart"/>
      <w:r w:rsidRPr="00305B2E">
        <w:rPr>
          <w:i/>
          <w:lang w:val="fr-CA"/>
        </w:rPr>
        <w:t>Colombie</w:t>
      </w:r>
      <w:r w:rsidRPr="00305B2E">
        <w:rPr>
          <w:i/>
          <w:lang w:val="fr-CA"/>
        </w:rPr>
        <w:noBreakHyphen/>
        <w:t>Britannique</w:t>
      </w:r>
      <w:proofErr w:type="spellEnd"/>
      <w:r w:rsidRPr="00305B2E">
        <w:rPr>
          <w:lang w:val="fr-CA"/>
        </w:rPr>
        <w:t xml:space="preserve">, [1997] 3 R.C.S. 1010, par. 186, citant </w:t>
      </w:r>
      <w:r w:rsidRPr="00305B2E">
        <w:rPr>
          <w:i/>
          <w:lang w:val="fr-CA"/>
        </w:rPr>
        <w:t xml:space="preserve">R. c. Van der </w:t>
      </w:r>
      <w:proofErr w:type="spellStart"/>
      <w:r w:rsidRPr="00305B2E">
        <w:rPr>
          <w:i/>
          <w:lang w:val="fr-CA"/>
        </w:rPr>
        <w:t>Peet</w:t>
      </w:r>
      <w:proofErr w:type="spellEnd"/>
      <w:r w:rsidRPr="00305B2E">
        <w:rPr>
          <w:lang w:val="fr-CA"/>
        </w:rPr>
        <w:t xml:space="preserve">, [1996] 2 R.C.S. 507, par. 31; </w:t>
      </w:r>
      <w:r w:rsidR="008A3A09">
        <w:rPr>
          <w:i/>
          <w:lang w:val="fr-CA"/>
        </w:rPr>
        <w:t xml:space="preserve">Nation </w:t>
      </w:r>
      <w:proofErr w:type="spellStart"/>
      <w:r w:rsidR="008A3A09">
        <w:rPr>
          <w:i/>
          <w:lang w:val="fr-CA"/>
        </w:rPr>
        <w:t>h</w:t>
      </w:r>
      <w:r w:rsidRPr="00305B2E">
        <w:rPr>
          <w:i/>
          <w:lang w:val="fr-CA"/>
        </w:rPr>
        <w:t>aïda</w:t>
      </w:r>
      <w:proofErr w:type="spellEnd"/>
      <w:r w:rsidRPr="00305B2E">
        <w:rPr>
          <w:lang w:val="fr-CA"/>
        </w:rPr>
        <w:t xml:space="preserve">, par. 17; voir également D. G. Newman, </w:t>
      </w:r>
      <w:r w:rsidRPr="00305B2E">
        <w:rPr>
          <w:i/>
          <w:lang w:val="fr-CA"/>
        </w:rPr>
        <w:t xml:space="preserve">The </w:t>
      </w:r>
      <w:proofErr w:type="spellStart"/>
      <w:r w:rsidRPr="00305B2E">
        <w:rPr>
          <w:i/>
          <w:lang w:val="fr-CA"/>
        </w:rPr>
        <w:t>Duty</w:t>
      </w:r>
      <w:proofErr w:type="spellEnd"/>
      <w:r w:rsidRPr="00305B2E">
        <w:rPr>
          <w:i/>
          <w:lang w:val="fr-CA"/>
        </w:rPr>
        <w:t xml:space="preserve"> to </w:t>
      </w:r>
      <w:proofErr w:type="spellStart"/>
      <w:r w:rsidRPr="00305B2E">
        <w:rPr>
          <w:i/>
          <w:lang w:val="fr-CA"/>
        </w:rPr>
        <w:t>Consult</w:t>
      </w:r>
      <w:proofErr w:type="spellEnd"/>
      <w:r w:rsidRPr="00305B2E">
        <w:rPr>
          <w:i/>
          <w:lang w:val="fr-CA"/>
        </w:rPr>
        <w:t xml:space="preserve"> : New </w:t>
      </w:r>
      <w:proofErr w:type="spellStart"/>
      <w:r w:rsidRPr="00305B2E">
        <w:rPr>
          <w:i/>
          <w:lang w:val="fr-CA"/>
        </w:rPr>
        <w:t>Relationships</w:t>
      </w:r>
      <w:proofErr w:type="spellEnd"/>
      <w:r w:rsidRPr="00305B2E">
        <w:rPr>
          <w:i/>
          <w:lang w:val="fr-CA"/>
        </w:rPr>
        <w:t xml:space="preserve"> </w:t>
      </w:r>
      <w:proofErr w:type="spellStart"/>
      <w:r w:rsidRPr="00305B2E">
        <w:rPr>
          <w:i/>
          <w:lang w:val="fr-CA"/>
        </w:rPr>
        <w:t>with</w:t>
      </w:r>
      <w:proofErr w:type="spellEnd"/>
      <w:r w:rsidRPr="00305B2E">
        <w:rPr>
          <w:i/>
          <w:lang w:val="fr-CA"/>
        </w:rPr>
        <w:t xml:space="preserve"> </w:t>
      </w:r>
      <w:proofErr w:type="spellStart"/>
      <w:r w:rsidRPr="00305B2E">
        <w:rPr>
          <w:i/>
          <w:lang w:val="fr-CA"/>
        </w:rPr>
        <w:t>Aboriginal</w:t>
      </w:r>
      <w:proofErr w:type="spellEnd"/>
      <w:r w:rsidRPr="00305B2E">
        <w:rPr>
          <w:i/>
          <w:lang w:val="fr-CA"/>
        </w:rPr>
        <w:t xml:space="preserve"> Peoples</w:t>
      </w:r>
      <w:r w:rsidRPr="00305B2E">
        <w:rPr>
          <w:lang w:val="fr-CA"/>
        </w:rPr>
        <w:t xml:space="preserve"> (2009).</w:t>
      </w:r>
    </w:p>
    <w:p w:rsidR="00645F4F" w:rsidRPr="00305B2E" w:rsidRDefault="00645F4F" w:rsidP="00645F4F">
      <w:pPr>
        <w:pStyle w:val="ParaNoNdepar-AltN"/>
        <w:rPr>
          <w:lang w:val="fr-CA"/>
        </w:rPr>
      </w:pPr>
      <w:r w:rsidRPr="00305B2E">
        <w:rPr>
          <w:lang w:val="fr-CA"/>
        </w:rPr>
        <w:lastRenderedPageBreak/>
        <w:t>L</w:t>
      </w:r>
      <w:r>
        <w:rPr>
          <w:lang w:val="fr-CA"/>
        </w:rPr>
        <w:t>’</w:t>
      </w:r>
      <w:r w:rsidRPr="00305B2E">
        <w:rPr>
          <w:lang w:val="fr-CA"/>
        </w:rPr>
        <w:t>obligation de consultation entre en jeu « lorsque la Couronne a connaissance, concrètement ou par imputation, de l</w:t>
      </w:r>
      <w:r>
        <w:rPr>
          <w:lang w:val="fr-CA"/>
        </w:rPr>
        <w:t>’</w:t>
      </w:r>
      <w:r w:rsidRPr="00305B2E">
        <w:rPr>
          <w:lang w:val="fr-CA"/>
        </w:rPr>
        <w:t>existence potentielle du droit ou titre ancestral revendiqué et envisage des mesures susceptibles d</w:t>
      </w:r>
      <w:r>
        <w:rPr>
          <w:lang w:val="fr-CA"/>
        </w:rPr>
        <w:t>’</w:t>
      </w:r>
      <w:r w:rsidRPr="00305B2E">
        <w:rPr>
          <w:lang w:val="fr-CA"/>
        </w:rPr>
        <w:t xml:space="preserve">avoir un effet préjudiciable sur </w:t>
      </w:r>
      <w:proofErr w:type="spellStart"/>
      <w:r w:rsidRPr="00305B2E">
        <w:rPr>
          <w:lang w:val="fr-CA"/>
        </w:rPr>
        <w:t>celui</w:t>
      </w:r>
      <w:r w:rsidRPr="00305B2E">
        <w:rPr>
          <w:rFonts w:eastAsia="MS Mincho"/>
          <w:lang w:val="fr-CA"/>
        </w:rPr>
        <w:noBreakHyphen/>
      </w:r>
      <w:r w:rsidRPr="00305B2E">
        <w:rPr>
          <w:lang w:val="fr-CA"/>
        </w:rPr>
        <w:t>ci</w:t>
      </w:r>
      <w:proofErr w:type="spellEnd"/>
      <w:r w:rsidRPr="00305B2E">
        <w:rPr>
          <w:lang w:val="fr-CA"/>
        </w:rPr>
        <w:t xml:space="preserve"> » : </w:t>
      </w:r>
      <w:r w:rsidR="00957425">
        <w:rPr>
          <w:i/>
          <w:lang w:val="fr-CA"/>
        </w:rPr>
        <w:t xml:space="preserve">Nation </w:t>
      </w:r>
      <w:proofErr w:type="spellStart"/>
      <w:r w:rsidR="00957425">
        <w:rPr>
          <w:i/>
          <w:lang w:val="fr-CA"/>
        </w:rPr>
        <w:t>h</w:t>
      </w:r>
      <w:r w:rsidRPr="00305B2E">
        <w:rPr>
          <w:i/>
          <w:lang w:val="fr-CA"/>
        </w:rPr>
        <w:t>aïda</w:t>
      </w:r>
      <w:proofErr w:type="spellEnd"/>
      <w:r w:rsidRPr="00305B2E">
        <w:rPr>
          <w:lang w:val="fr-CA"/>
        </w:rPr>
        <w:t>, par. 35.  Le contenu de l</w:t>
      </w:r>
      <w:r>
        <w:rPr>
          <w:lang w:val="fr-CA"/>
        </w:rPr>
        <w:t>’</w:t>
      </w:r>
      <w:r w:rsidRPr="00305B2E">
        <w:rPr>
          <w:lang w:val="fr-CA"/>
        </w:rPr>
        <w:t>obligation varie selon le contexte; différents actes peuvent devoir être accomplis par la Couronne à l</w:t>
      </w:r>
      <w:r>
        <w:rPr>
          <w:lang w:val="fr-CA"/>
        </w:rPr>
        <w:t>’</w:t>
      </w:r>
      <w:r w:rsidRPr="00305B2E">
        <w:rPr>
          <w:lang w:val="fr-CA"/>
        </w:rPr>
        <w:t>intérieur d</w:t>
      </w:r>
      <w:r>
        <w:rPr>
          <w:lang w:val="fr-CA"/>
        </w:rPr>
        <w:t>’</w:t>
      </w:r>
      <w:r w:rsidRPr="00305B2E">
        <w:rPr>
          <w:lang w:val="fr-CA"/>
        </w:rPr>
        <w:t xml:space="preserve">un « continuum » : </w:t>
      </w:r>
      <w:r w:rsidR="00957425">
        <w:rPr>
          <w:i/>
          <w:lang w:val="fr-CA"/>
        </w:rPr>
        <w:t xml:space="preserve">Nation </w:t>
      </w:r>
      <w:proofErr w:type="spellStart"/>
      <w:r w:rsidR="00957425">
        <w:rPr>
          <w:i/>
          <w:lang w:val="fr-CA"/>
        </w:rPr>
        <w:t>h</w:t>
      </w:r>
      <w:r w:rsidRPr="00305B2E">
        <w:rPr>
          <w:i/>
          <w:lang w:val="fr-CA"/>
        </w:rPr>
        <w:t>aïda</w:t>
      </w:r>
      <w:proofErr w:type="spellEnd"/>
      <w:r w:rsidRPr="00305B2E">
        <w:rPr>
          <w:lang w:val="fr-CA"/>
        </w:rPr>
        <w:t>, par. 43.  La bonne foi qui doit animer tant la Couronne que les groupes autochtones constitue un élément important de l</w:t>
      </w:r>
      <w:r>
        <w:rPr>
          <w:lang w:val="fr-CA"/>
        </w:rPr>
        <w:t>’</w:t>
      </w:r>
      <w:r w:rsidRPr="00305B2E">
        <w:rPr>
          <w:lang w:val="fr-CA"/>
        </w:rPr>
        <w:t xml:space="preserve">obligation de consulter : </w:t>
      </w:r>
      <w:r w:rsidR="00957425">
        <w:rPr>
          <w:i/>
          <w:lang w:val="fr-CA"/>
        </w:rPr>
        <w:t xml:space="preserve">Nation </w:t>
      </w:r>
      <w:proofErr w:type="spellStart"/>
      <w:r w:rsidR="00957425">
        <w:rPr>
          <w:i/>
          <w:lang w:val="fr-CA"/>
        </w:rPr>
        <w:t>h</w:t>
      </w:r>
      <w:r w:rsidRPr="00305B2E">
        <w:rPr>
          <w:i/>
          <w:lang w:val="fr-CA"/>
        </w:rPr>
        <w:t>aïda</w:t>
      </w:r>
      <w:proofErr w:type="spellEnd"/>
      <w:r w:rsidRPr="00305B2E">
        <w:rPr>
          <w:lang w:val="fr-CA"/>
        </w:rPr>
        <w:t>, par. 42.  Les deux parties doivent agir de façon équitable et raisonnable dans leurs rapports.  Il n</w:t>
      </w:r>
      <w:r>
        <w:rPr>
          <w:lang w:val="fr-CA"/>
        </w:rPr>
        <w:t>’</w:t>
      </w:r>
      <w:r w:rsidRPr="00305B2E">
        <w:rPr>
          <w:lang w:val="fr-CA"/>
        </w:rPr>
        <w:t>est pas essentiel que les parties parviennent à une entente, et l</w:t>
      </w:r>
      <w:r>
        <w:rPr>
          <w:lang w:val="fr-CA"/>
        </w:rPr>
        <w:t>’</w:t>
      </w:r>
      <w:r w:rsidRPr="00305B2E">
        <w:rPr>
          <w:lang w:val="fr-CA"/>
        </w:rPr>
        <w:t>existence de l</w:t>
      </w:r>
      <w:r>
        <w:rPr>
          <w:lang w:val="fr-CA"/>
        </w:rPr>
        <w:t>’</w:t>
      </w:r>
      <w:r w:rsidRPr="00305B2E">
        <w:rPr>
          <w:lang w:val="fr-CA"/>
        </w:rPr>
        <w:t xml:space="preserve">obligation de consultation ne donne pas un droit de veto aux groupes autochtones : </w:t>
      </w:r>
      <w:r w:rsidRPr="00305B2E">
        <w:rPr>
          <w:i/>
          <w:lang w:val="fr-CA"/>
        </w:rPr>
        <w:t xml:space="preserve">Première nation Tlingit de </w:t>
      </w:r>
      <w:proofErr w:type="spellStart"/>
      <w:r w:rsidRPr="00305B2E">
        <w:rPr>
          <w:i/>
          <w:lang w:val="fr-CA"/>
        </w:rPr>
        <w:t>Taku</w:t>
      </w:r>
      <w:proofErr w:type="spellEnd"/>
      <w:r w:rsidRPr="00305B2E">
        <w:rPr>
          <w:i/>
          <w:lang w:val="fr-CA"/>
        </w:rPr>
        <w:t xml:space="preserve"> River c. </w:t>
      </w:r>
      <w:proofErr w:type="spellStart"/>
      <w:r w:rsidRPr="00305B2E">
        <w:rPr>
          <w:i/>
          <w:lang w:val="fr-CA"/>
        </w:rPr>
        <w:t>Colombie</w:t>
      </w:r>
      <w:r w:rsidRPr="00305B2E">
        <w:rPr>
          <w:i/>
          <w:lang w:val="fr-CA"/>
        </w:rPr>
        <w:noBreakHyphen/>
        <w:t>Britannique</w:t>
      </w:r>
      <w:proofErr w:type="spellEnd"/>
      <w:r w:rsidRPr="00305B2E">
        <w:rPr>
          <w:i/>
          <w:lang w:val="fr-CA"/>
        </w:rPr>
        <w:t xml:space="preserve"> (Directeur d</w:t>
      </w:r>
      <w:r>
        <w:rPr>
          <w:i/>
          <w:lang w:val="fr-CA"/>
        </w:rPr>
        <w:t>’</w:t>
      </w:r>
      <w:r w:rsidRPr="00305B2E">
        <w:rPr>
          <w:i/>
          <w:lang w:val="fr-CA"/>
        </w:rPr>
        <w:t>évaluation de projet)</w:t>
      </w:r>
      <w:r w:rsidRPr="00305B2E">
        <w:rPr>
          <w:lang w:val="fr-CA"/>
        </w:rPr>
        <w:t xml:space="preserve">, 2004 CSC 74, [2004] 3 R.C.S. 550, par. 2 et 22; </w:t>
      </w:r>
      <w:r w:rsidR="00957425">
        <w:rPr>
          <w:i/>
          <w:lang w:val="fr-CA"/>
        </w:rPr>
        <w:t xml:space="preserve">Nation </w:t>
      </w:r>
      <w:proofErr w:type="spellStart"/>
      <w:r w:rsidR="00957425">
        <w:rPr>
          <w:i/>
          <w:lang w:val="fr-CA"/>
        </w:rPr>
        <w:t>h</w:t>
      </w:r>
      <w:r w:rsidRPr="00305B2E">
        <w:rPr>
          <w:i/>
          <w:lang w:val="fr-CA"/>
        </w:rPr>
        <w:t>aïda</w:t>
      </w:r>
      <w:proofErr w:type="spellEnd"/>
      <w:r w:rsidRPr="00305B2E">
        <w:rPr>
          <w:lang w:val="fr-CA"/>
        </w:rPr>
        <w:t>, par. 48.</w:t>
      </w:r>
    </w:p>
    <w:p w:rsidR="00645F4F" w:rsidRPr="00305B2E" w:rsidRDefault="00645F4F" w:rsidP="00645F4F">
      <w:pPr>
        <w:pStyle w:val="ParaNoNdepar-AltN"/>
        <w:rPr>
          <w:lang w:val="fr-CA"/>
        </w:rPr>
      </w:pPr>
      <w:r w:rsidRPr="00305B2E">
        <w:rPr>
          <w:lang w:val="fr-CA"/>
        </w:rPr>
        <w:t>L</w:t>
      </w:r>
      <w:r>
        <w:rPr>
          <w:lang w:val="fr-CA"/>
        </w:rPr>
        <w:t>’</w:t>
      </w:r>
      <w:r w:rsidRPr="00305B2E">
        <w:rPr>
          <w:lang w:val="fr-CA"/>
        </w:rPr>
        <w:t>obligation de consultation existe pour la protection des droits collectifs des peuples autochtones.  C</w:t>
      </w:r>
      <w:r>
        <w:rPr>
          <w:lang w:val="fr-CA"/>
        </w:rPr>
        <w:t>’</w:t>
      </w:r>
      <w:r w:rsidRPr="00305B2E">
        <w:rPr>
          <w:lang w:val="fr-CA"/>
        </w:rPr>
        <w:t>est pourquoi elle est due au groupe autochtone titulaire des droits protégés par l</w:t>
      </w:r>
      <w:r>
        <w:rPr>
          <w:lang w:val="fr-CA"/>
        </w:rPr>
        <w:t>’</w:t>
      </w:r>
      <w:r w:rsidRPr="00305B2E">
        <w:rPr>
          <w:lang w:val="fr-CA"/>
        </w:rPr>
        <w:t xml:space="preserve">art. 35, qui sont par nature des droits collectifs : </w:t>
      </w:r>
      <w:proofErr w:type="spellStart"/>
      <w:r w:rsidRPr="00305B2E">
        <w:rPr>
          <w:i/>
          <w:lang w:val="fr-CA"/>
        </w:rPr>
        <w:t>Beckman</w:t>
      </w:r>
      <w:proofErr w:type="spellEnd"/>
      <w:r w:rsidRPr="00305B2E">
        <w:rPr>
          <w:lang w:val="fr-CA"/>
        </w:rPr>
        <w:t>, par. 35; Woodward, p. 5</w:t>
      </w:r>
      <w:r w:rsidRPr="00305B2E">
        <w:rPr>
          <w:lang w:val="fr-CA"/>
        </w:rPr>
        <w:noBreakHyphen/>
        <w:t>55.  Un groupe autochtone peut toutefois autoriser un individu ou un organisme à le représenter en vue de faire valoir ses droits garantis par l</w:t>
      </w:r>
      <w:r>
        <w:rPr>
          <w:lang w:val="fr-CA"/>
        </w:rPr>
        <w:t>’</w:t>
      </w:r>
      <w:r w:rsidRPr="00305B2E">
        <w:rPr>
          <w:lang w:val="fr-CA"/>
        </w:rPr>
        <w:t>art. 35 : voir</w:t>
      </w:r>
      <w:r w:rsidR="00017FED">
        <w:rPr>
          <w:lang w:val="fr-CA"/>
        </w:rPr>
        <w:t>, p. ex.,</w:t>
      </w:r>
      <w:r w:rsidRPr="00305B2E">
        <w:rPr>
          <w:lang w:val="fr-CA"/>
        </w:rPr>
        <w:t xml:space="preserve"> </w:t>
      </w:r>
      <w:proofErr w:type="spellStart"/>
      <w:r w:rsidRPr="00305B2E">
        <w:rPr>
          <w:i/>
          <w:lang w:val="fr-CA"/>
        </w:rPr>
        <w:t>Komoyue</w:t>
      </w:r>
      <w:proofErr w:type="spellEnd"/>
      <w:r w:rsidRPr="00305B2E">
        <w:rPr>
          <w:i/>
          <w:lang w:val="fr-CA"/>
        </w:rPr>
        <w:t xml:space="preserve"> </w:t>
      </w:r>
      <w:proofErr w:type="spellStart"/>
      <w:r w:rsidRPr="00305B2E">
        <w:rPr>
          <w:i/>
          <w:lang w:val="fr-CA"/>
        </w:rPr>
        <w:t>Heritage</w:t>
      </w:r>
      <w:proofErr w:type="spellEnd"/>
      <w:r w:rsidRPr="00305B2E">
        <w:rPr>
          <w:i/>
          <w:lang w:val="fr-CA"/>
        </w:rPr>
        <w:t xml:space="preserve"> Society c. British Columbia (Attorney General)</w:t>
      </w:r>
      <w:r w:rsidRPr="00305B2E">
        <w:rPr>
          <w:lang w:val="fr-CA"/>
        </w:rPr>
        <w:t xml:space="preserve">, 2006 BCSC 1517, 55 </w:t>
      </w:r>
      <w:proofErr w:type="spellStart"/>
      <w:r w:rsidRPr="00305B2E">
        <w:rPr>
          <w:lang w:val="fr-CA"/>
        </w:rPr>
        <w:t>Admin</w:t>
      </w:r>
      <w:proofErr w:type="spellEnd"/>
      <w:r w:rsidRPr="00305B2E">
        <w:rPr>
          <w:lang w:val="fr-CA"/>
        </w:rPr>
        <w:t>. L.R. (4th) 236.</w:t>
      </w:r>
    </w:p>
    <w:p w:rsidR="00645F4F" w:rsidRPr="00305B2E" w:rsidRDefault="00645F4F" w:rsidP="00645F4F">
      <w:pPr>
        <w:pStyle w:val="ParaNoNdepar-AltN"/>
        <w:rPr>
          <w:lang w:val="fr-CA"/>
        </w:rPr>
      </w:pPr>
      <w:r w:rsidRPr="00305B2E">
        <w:rPr>
          <w:lang w:val="fr-CA"/>
        </w:rPr>
        <w:lastRenderedPageBreak/>
        <w:t xml:space="preserve">Dans le présent pourvoi, il ne ressort pas des actes de procédure que la PNFN a autorisé George </w:t>
      </w:r>
      <w:proofErr w:type="spellStart"/>
      <w:r w:rsidRPr="00305B2E">
        <w:rPr>
          <w:lang w:val="fr-CA"/>
        </w:rPr>
        <w:t>Behn</w:t>
      </w:r>
      <w:proofErr w:type="spellEnd"/>
      <w:r w:rsidRPr="00305B2E">
        <w:rPr>
          <w:lang w:val="fr-CA"/>
        </w:rPr>
        <w:t xml:space="preserve"> ou une autre personne à la représenter en vue de contester la validité des autorisations.  Je fais cependant remarquer que des intervenants ont allégué dans leurs actes de procédure </w:t>
      </w:r>
      <w:r w:rsidR="00B04401">
        <w:rPr>
          <w:lang w:val="fr-CA"/>
        </w:rPr>
        <w:t xml:space="preserve">devant notre Cour </w:t>
      </w:r>
      <w:r w:rsidRPr="00305B2E">
        <w:rPr>
          <w:lang w:val="fr-CA"/>
        </w:rPr>
        <w:t xml:space="preserve">que la PNFN avait accordé aux </w:t>
      </w:r>
      <w:proofErr w:type="spellStart"/>
      <w:r w:rsidRPr="00305B2E">
        <w:rPr>
          <w:lang w:val="fr-CA"/>
        </w:rPr>
        <w:t>Behn</w:t>
      </w:r>
      <w:proofErr w:type="spellEnd"/>
      <w:r w:rsidRPr="00305B2E">
        <w:rPr>
          <w:lang w:val="fr-CA"/>
        </w:rPr>
        <w:t xml:space="preserve"> une autorisation implicite de la représenter.  En fait, la PNFN était partie aux procédures devant les tribunaux d</w:t>
      </w:r>
      <w:r>
        <w:rPr>
          <w:lang w:val="fr-CA"/>
        </w:rPr>
        <w:t>’</w:t>
      </w:r>
      <w:r w:rsidRPr="00305B2E">
        <w:rPr>
          <w:lang w:val="fr-CA"/>
        </w:rPr>
        <w:t xml:space="preserve">instance inférieure parce que </w:t>
      </w:r>
      <w:proofErr w:type="spellStart"/>
      <w:r w:rsidRPr="00305B2E">
        <w:rPr>
          <w:lang w:val="fr-CA"/>
        </w:rPr>
        <w:t>Moulton</w:t>
      </w:r>
      <w:proofErr w:type="spellEnd"/>
      <w:r w:rsidRPr="00305B2E">
        <w:rPr>
          <w:lang w:val="fr-CA"/>
        </w:rPr>
        <w:t xml:space="preserve"> alléguait que la PNFN avait comploté ou s</w:t>
      </w:r>
      <w:r>
        <w:rPr>
          <w:lang w:val="fr-CA"/>
        </w:rPr>
        <w:t>’</w:t>
      </w:r>
      <w:r w:rsidRPr="00305B2E">
        <w:rPr>
          <w:lang w:val="fr-CA"/>
        </w:rPr>
        <w:t>était coalisée avec d</w:t>
      </w:r>
      <w:r>
        <w:rPr>
          <w:lang w:val="fr-CA"/>
        </w:rPr>
        <w:t>’</w:t>
      </w:r>
      <w:r w:rsidRPr="00305B2E">
        <w:rPr>
          <w:lang w:val="fr-CA"/>
        </w:rPr>
        <w:t>autres en vue de bloquer l</w:t>
      </w:r>
      <w:r>
        <w:rPr>
          <w:lang w:val="fr-CA"/>
        </w:rPr>
        <w:t>’</w:t>
      </w:r>
      <w:r w:rsidRPr="00305B2E">
        <w:rPr>
          <w:lang w:val="fr-CA"/>
        </w:rPr>
        <w:t>accès aux sites d</w:t>
      </w:r>
      <w:r>
        <w:rPr>
          <w:lang w:val="fr-CA"/>
        </w:rPr>
        <w:t>’</w:t>
      </w:r>
      <w:r w:rsidRPr="00305B2E">
        <w:rPr>
          <w:lang w:val="fr-CA"/>
        </w:rPr>
        <w:t>exploitation forestière.  La PNFN agit également en qualité d</w:t>
      </w:r>
      <w:r>
        <w:rPr>
          <w:lang w:val="fr-CA"/>
        </w:rPr>
        <w:t>’</w:t>
      </w:r>
      <w:r w:rsidRPr="00305B2E">
        <w:rPr>
          <w:lang w:val="fr-CA"/>
        </w:rPr>
        <w:t>intervenante devant notre Cour.  Mais en l</w:t>
      </w:r>
      <w:r>
        <w:rPr>
          <w:lang w:val="fr-CA"/>
        </w:rPr>
        <w:t>’</w:t>
      </w:r>
      <w:r w:rsidRPr="00305B2E">
        <w:rPr>
          <w:lang w:val="fr-CA"/>
        </w:rPr>
        <w:t>absence d</w:t>
      </w:r>
      <w:r>
        <w:rPr>
          <w:lang w:val="fr-CA"/>
        </w:rPr>
        <w:t>’</w:t>
      </w:r>
      <w:r w:rsidRPr="00305B2E">
        <w:rPr>
          <w:lang w:val="fr-CA"/>
        </w:rPr>
        <w:t>allégation d</w:t>
      </w:r>
      <w:r>
        <w:rPr>
          <w:lang w:val="fr-CA"/>
        </w:rPr>
        <w:t>’</w:t>
      </w:r>
      <w:r w:rsidRPr="00305B2E">
        <w:rPr>
          <w:lang w:val="fr-CA"/>
        </w:rPr>
        <w:t>une autorisation accordée par la PNFN, dans les circonstances de l</w:t>
      </w:r>
      <w:r>
        <w:rPr>
          <w:lang w:val="fr-CA"/>
        </w:rPr>
        <w:t>’</w:t>
      </w:r>
      <w:r w:rsidR="00017FED">
        <w:rPr>
          <w:lang w:val="fr-CA"/>
        </w:rPr>
        <w:t>e</w:t>
      </w:r>
      <w:r w:rsidR="005D3284">
        <w:rPr>
          <w:lang w:val="fr-CA"/>
        </w:rPr>
        <w:t xml:space="preserve">spèce, les </w:t>
      </w:r>
      <w:proofErr w:type="spellStart"/>
      <w:r w:rsidR="005D3284">
        <w:rPr>
          <w:lang w:val="fr-CA"/>
        </w:rPr>
        <w:t>Behn</w:t>
      </w:r>
      <w:proofErr w:type="spellEnd"/>
      <w:r w:rsidR="005D3284">
        <w:rPr>
          <w:lang w:val="fr-CA"/>
        </w:rPr>
        <w:t xml:space="preserve"> ne peuvent eux-</w:t>
      </w:r>
      <w:r w:rsidRPr="00305B2E">
        <w:rPr>
          <w:lang w:val="fr-CA"/>
        </w:rPr>
        <w:t>mêmes invoquer un manquement à l</w:t>
      </w:r>
      <w:r>
        <w:rPr>
          <w:lang w:val="fr-CA"/>
        </w:rPr>
        <w:t>’</w:t>
      </w:r>
      <w:r w:rsidRPr="00305B2E">
        <w:rPr>
          <w:lang w:val="fr-CA"/>
        </w:rPr>
        <w:t>obligation de consultation puisque cette obligation est due à la collectivité autochtone, soit la PNFN.  Même si l</w:t>
      </w:r>
      <w:r>
        <w:rPr>
          <w:lang w:val="fr-CA"/>
        </w:rPr>
        <w:t>’</w:t>
      </w:r>
      <w:r w:rsidRPr="00305B2E">
        <w:rPr>
          <w:lang w:val="fr-CA"/>
        </w:rPr>
        <w:t>on suppose que des particuliers pourraient invoquer un manquement de la sorte, les faits allégués dans les actes de procédure ne permettent pas de l</w:t>
      </w:r>
      <w:r>
        <w:rPr>
          <w:lang w:val="fr-CA"/>
        </w:rPr>
        <w:t>’</w:t>
      </w:r>
      <w:r w:rsidRPr="00305B2E">
        <w:rPr>
          <w:lang w:val="fr-CA"/>
        </w:rPr>
        <w:t xml:space="preserve">invoquer dans le contexte du présent pourvoi. </w:t>
      </w:r>
    </w:p>
    <w:p w:rsidR="00645F4F" w:rsidRPr="00305B2E" w:rsidRDefault="00645F4F" w:rsidP="00645F4F">
      <w:pPr>
        <w:pStyle w:val="TitleTitre-AltT"/>
        <w:keepNext/>
        <w:tabs>
          <w:tab w:val="clear" w:pos="360"/>
          <w:tab w:val="left" w:pos="1170"/>
        </w:tabs>
        <w:ind w:left="1530" w:hanging="1530"/>
        <w:rPr>
          <w:lang w:val="fr-CA"/>
        </w:rPr>
      </w:pPr>
      <w:r w:rsidRPr="00305B2E">
        <w:rPr>
          <w:lang w:val="fr-CA"/>
        </w:rPr>
        <w:tab/>
      </w:r>
      <w:r w:rsidR="00567A3E">
        <w:rPr>
          <w:lang w:val="fr-CA"/>
        </w:rPr>
        <w:t>(</w:t>
      </w:r>
      <w:r w:rsidRPr="00305B2E">
        <w:rPr>
          <w:lang w:val="fr-CA"/>
        </w:rPr>
        <w:t>2)</w:t>
      </w:r>
      <w:r w:rsidRPr="00305B2E">
        <w:rPr>
          <w:lang w:val="fr-CA"/>
        </w:rPr>
        <w:tab/>
      </w:r>
      <w:r w:rsidRPr="00305B2E">
        <w:rPr>
          <w:u w:val="single"/>
          <w:lang w:val="fr-CA"/>
        </w:rPr>
        <w:t>Droits ancestraux ou issus de traités</w:t>
      </w:r>
    </w:p>
    <w:p w:rsidR="00645F4F" w:rsidRPr="00305B2E" w:rsidRDefault="00645F4F" w:rsidP="00645F4F">
      <w:pPr>
        <w:pStyle w:val="ParaNoNdepar-AltN"/>
        <w:rPr>
          <w:lang w:val="fr-FR"/>
        </w:rPr>
      </w:pPr>
      <w:r w:rsidRPr="00305B2E">
        <w:rPr>
          <w:lang w:val="fr-CA"/>
        </w:rPr>
        <w:t xml:space="preserve">Les </w:t>
      </w:r>
      <w:proofErr w:type="spellStart"/>
      <w:r w:rsidRPr="00305B2E">
        <w:rPr>
          <w:lang w:val="fr-CA"/>
        </w:rPr>
        <w:t>Behn</w:t>
      </w:r>
      <w:proofErr w:type="spellEnd"/>
      <w:r w:rsidRPr="00305B2E">
        <w:rPr>
          <w:lang w:val="fr-CA"/>
        </w:rPr>
        <w:t xml:space="preserve"> contestent en outre la validité des autorisations au motif qu</w:t>
      </w:r>
      <w:r>
        <w:rPr>
          <w:lang w:val="fr-CA"/>
        </w:rPr>
        <w:t>’</w:t>
      </w:r>
      <w:r w:rsidRPr="00305B2E">
        <w:rPr>
          <w:lang w:val="fr-CA"/>
        </w:rPr>
        <w:t>elles portent atteinte aux droits de chasser et de piéger que leur confère le Traité n</w:t>
      </w:r>
      <w:r w:rsidRPr="00305B2E">
        <w:rPr>
          <w:vertAlign w:val="superscript"/>
          <w:lang w:val="fr-CA"/>
        </w:rPr>
        <w:t>o</w:t>
      </w:r>
      <w:r w:rsidRPr="00305B2E">
        <w:rPr>
          <w:lang w:val="fr-CA"/>
        </w:rPr>
        <w:t> 8.  Il s</w:t>
      </w:r>
      <w:r>
        <w:rPr>
          <w:lang w:val="fr-CA"/>
        </w:rPr>
        <w:t>’</w:t>
      </w:r>
      <w:r w:rsidRPr="00305B2E">
        <w:rPr>
          <w:lang w:val="fr-CA"/>
        </w:rPr>
        <w:t>agit d</w:t>
      </w:r>
      <w:r>
        <w:rPr>
          <w:lang w:val="fr-CA"/>
        </w:rPr>
        <w:t>’</w:t>
      </w:r>
      <w:r w:rsidRPr="00305B2E">
        <w:rPr>
          <w:lang w:val="fr-CA"/>
        </w:rPr>
        <w:t>une question importante, mais le contexte de la présente affaire ne permet pas à la Cour de</w:t>
      </w:r>
      <w:r w:rsidR="00567A3E">
        <w:rPr>
          <w:lang w:val="fr-CA"/>
        </w:rPr>
        <w:t xml:space="preserve"> la</w:t>
      </w:r>
      <w:r w:rsidRPr="00305B2E">
        <w:rPr>
          <w:lang w:val="fr-CA"/>
        </w:rPr>
        <w:t xml:space="preserve"> trancher de façon définitive.  Je tiens à rappeler que la </w:t>
      </w:r>
      <w:r w:rsidRPr="00305B2E">
        <w:rPr>
          <w:lang w:val="fr-CA"/>
        </w:rPr>
        <w:lastRenderedPageBreak/>
        <w:t>Cour doit s</w:t>
      </w:r>
      <w:r>
        <w:rPr>
          <w:lang w:val="fr-CA"/>
        </w:rPr>
        <w:t>’</w:t>
      </w:r>
      <w:r w:rsidRPr="00305B2E">
        <w:rPr>
          <w:lang w:val="fr-CA"/>
        </w:rPr>
        <w:t>abstenir de se prononcer de manière définitive sur cette question à ce stade de l</w:t>
      </w:r>
      <w:r>
        <w:rPr>
          <w:lang w:val="fr-CA"/>
        </w:rPr>
        <w:t>’</w:t>
      </w:r>
      <w:r w:rsidRPr="00305B2E">
        <w:rPr>
          <w:lang w:val="fr-CA"/>
        </w:rPr>
        <w:t>instance et de l</w:t>
      </w:r>
      <w:r>
        <w:rPr>
          <w:lang w:val="fr-CA"/>
        </w:rPr>
        <w:t>’</w:t>
      </w:r>
      <w:r w:rsidRPr="00305B2E">
        <w:rPr>
          <w:lang w:val="fr-CA"/>
        </w:rPr>
        <w:t xml:space="preserve">évolution du droit.  </w:t>
      </w:r>
    </w:p>
    <w:p w:rsidR="00645F4F" w:rsidRPr="00305B2E" w:rsidRDefault="00645F4F" w:rsidP="00645F4F">
      <w:pPr>
        <w:pStyle w:val="ParaNoNdepar-AltN"/>
        <w:rPr>
          <w:lang w:val="fr-CA"/>
        </w:rPr>
      </w:pPr>
      <w:r w:rsidRPr="00305B2E">
        <w:rPr>
          <w:lang w:val="fr-CA"/>
        </w:rPr>
        <w:t xml:space="preserve">La Couronne soutient que les demandes fondées sur des droits issus de traités doivent être présentées par la collectivité autochtone ou en son nom. Cette proposition générale est trop restrictive. Il est vrai que les droits ancestraux et issus de traités sont, de par leur nature, des droits collectifs : voir </w:t>
      </w:r>
      <w:r w:rsidRPr="00305B2E">
        <w:rPr>
          <w:i/>
          <w:lang w:val="fr-CA"/>
        </w:rPr>
        <w:t xml:space="preserve">R. c. </w:t>
      </w:r>
      <w:proofErr w:type="spellStart"/>
      <w:r w:rsidRPr="00305B2E">
        <w:rPr>
          <w:i/>
          <w:lang w:val="fr-CA"/>
        </w:rPr>
        <w:t>Sparrow</w:t>
      </w:r>
      <w:proofErr w:type="spellEnd"/>
      <w:r w:rsidRPr="00305B2E">
        <w:rPr>
          <w:lang w:val="fr-CA"/>
        </w:rPr>
        <w:t xml:space="preserve">, [1990] 1 R.C.S. 1075, p. 1112; </w:t>
      </w:r>
      <w:proofErr w:type="spellStart"/>
      <w:r w:rsidR="00781384">
        <w:rPr>
          <w:i/>
          <w:lang w:val="fr-CA"/>
        </w:rPr>
        <w:t>Delgamuuk</w:t>
      </w:r>
      <w:r w:rsidRPr="00305B2E">
        <w:rPr>
          <w:i/>
          <w:lang w:val="fr-CA"/>
        </w:rPr>
        <w:t>w</w:t>
      </w:r>
      <w:proofErr w:type="spellEnd"/>
      <w:r w:rsidRPr="00305B2E">
        <w:rPr>
          <w:lang w:val="fr-CA"/>
        </w:rPr>
        <w:t xml:space="preserve">, par. 115; </w:t>
      </w:r>
      <w:r w:rsidRPr="00305B2E">
        <w:rPr>
          <w:i/>
          <w:lang w:val="fr-CA"/>
        </w:rPr>
        <w:t xml:space="preserve">R. c. </w:t>
      </w:r>
      <w:proofErr w:type="spellStart"/>
      <w:r w:rsidRPr="00305B2E">
        <w:rPr>
          <w:i/>
          <w:lang w:val="fr-CA"/>
        </w:rPr>
        <w:t>Sundown</w:t>
      </w:r>
      <w:proofErr w:type="spellEnd"/>
      <w:r w:rsidRPr="00305B2E">
        <w:rPr>
          <w:lang w:val="fr-CA"/>
        </w:rPr>
        <w:t xml:space="preserve">, [1999] 1 R.C.S. 393, par. 36; </w:t>
      </w:r>
      <w:r w:rsidRPr="00305B2E">
        <w:rPr>
          <w:i/>
          <w:lang w:val="fr-CA"/>
        </w:rPr>
        <w:t>R. c. Marshall</w:t>
      </w:r>
      <w:r w:rsidRPr="00305B2E">
        <w:rPr>
          <w:lang w:val="fr-CA"/>
        </w:rPr>
        <w:t xml:space="preserve">, [1999] 3 R.C.S. 533, par. 17 et 37; </w:t>
      </w:r>
      <w:r w:rsidRPr="00305B2E">
        <w:rPr>
          <w:i/>
          <w:lang w:val="fr-CA"/>
        </w:rPr>
        <w:t xml:space="preserve">R. c. </w:t>
      </w:r>
      <w:proofErr w:type="spellStart"/>
      <w:r w:rsidRPr="00305B2E">
        <w:rPr>
          <w:i/>
          <w:lang w:val="fr-CA"/>
        </w:rPr>
        <w:t>Sappier</w:t>
      </w:r>
      <w:proofErr w:type="spellEnd"/>
      <w:r w:rsidRPr="00305B2E">
        <w:rPr>
          <w:lang w:val="fr-CA"/>
        </w:rPr>
        <w:t xml:space="preserve">, 2006 CSC 54, [2006] 2 R.C.S. 686, par. 31; </w:t>
      </w:r>
      <w:proofErr w:type="spellStart"/>
      <w:r w:rsidRPr="00305B2E">
        <w:rPr>
          <w:i/>
          <w:lang w:val="fr-CA"/>
        </w:rPr>
        <w:t>Beckman</w:t>
      </w:r>
      <w:proofErr w:type="spellEnd"/>
      <w:r w:rsidRPr="00305B2E">
        <w:rPr>
          <w:lang w:val="fr-CA"/>
        </w:rPr>
        <w:t>, par. 35.  Toutefois, certains droits, bien que la collectivité autochtone en soit titulaire, sont néanmoins exercés par des membres à titre</w:t>
      </w:r>
      <w:r w:rsidR="004E0BB4">
        <w:rPr>
          <w:lang w:val="fr-CA"/>
        </w:rPr>
        <w:t xml:space="preserve"> individuel ou attribués à ceux-</w:t>
      </w:r>
      <w:r w:rsidRPr="00305B2E">
        <w:rPr>
          <w:lang w:val="fr-CA"/>
        </w:rPr>
        <w:t>ci.  De tels droits peuvent par conséquent posséder des attributs à la fois collectifs et individuels.  Il est possible que des membres de la collectivité possèdent à titre individuel un intérêt acquis dans la protection de ces droits.  Comme certains intervenants l</w:t>
      </w:r>
      <w:r>
        <w:rPr>
          <w:lang w:val="fr-CA"/>
        </w:rPr>
        <w:t>’</w:t>
      </w:r>
      <w:r w:rsidRPr="00305B2E">
        <w:rPr>
          <w:lang w:val="fr-CA"/>
        </w:rPr>
        <w:t>ont fait valoir, il se peut fort bien que, lorsque les circonstances s</w:t>
      </w:r>
      <w:r>
        <w:rPr>
          <w:lang w:val="fr-CA"/>
        </w:rPr>
        <w:t>’</w:t>
      </w:r>
      <w:r w:rsidRPr="00305B2E">
        <w:rPr>
          <w:lang w:val="fr-CA"/>
        </w:rPr>
        <w:t>y prêtent, des membres d</w:t>
      </w:r>
      <w:r>
        <w:rPr>
          <w:lang w:val="fr-CA"/>
        </w:rPr>
        <w:t>’</w:t>
      </w:r>
      <w:r w:rsidRPr="00305B2E">
        <w:rPr>
          <w:lang w:val="fr-CA"/>
        </w:rPr>
        <w:t>une collectivité puissent être en mesure d</w:t>
      </w:r>
      <w:r>
        <w:rPr>
          <w:lang w:val="fr-CA"/>
        </w:rPr>
        <w:t>’</w:t>
      </w:r>
      <w:r w:rsidRPr="00305B2E">
        <w:rPr>
          <w:lang w:val="fr-CA"/>
        </w:rPr>
        <w:t>invoquer à titre individuel certains droits ancestraux ou issus de traités.</w:t>
      </w:r>
    </w:p>
    <w:p w:rsidR="00645F4F" w:rsidRPr="00305B2E" w:rsidRDefault="00645F4F" w:rsidP="00645F4F">
      <w:pPr>
        <w:pStyle w:val="ParaNoNdepar-AltN"/>
        <w:rPr>
          <w:lang w:val="fr-CA"/>
        </w:rPr>
      </w:pPr>
      <w:r w:rsidRPr="00305B2E">
        <w:rPr>
          <w:lang w:val="fr-CA"/>
        </w:rPr>
        <w:t>Des suggestions intéressantes ont été faites à propos de la catégorisation des droits ancestraux et issus de traités.  Par exemple, les intervenants le Grand Conseil des Cris et l</w:t>
      </w:r>
      <w:r>
        <w:rPr>
          <w:lang w:val="fr-CA"/>
        </w:rPr>
        <w:t>’</w:t>
      </w:r>
      <w:r w:rsidRPr="00305B2E">
        <w:rPr>
          <w:lang w:val="fr-CA"/>
        </w:rPr>
        <w:t xml:space="preserve">Administration régionale crie en font état dans leur mémoire, au par. 14.  Ils y proposent de distinguer trois types de droits ancestraux et issus de </w:t>
      </w:r>
      <w:r w:rsidRPr="00305B2E">
        <w:rPr>
          <w:lang w:val="fr-CA"/>
        </w:rPr>
        <w:lastRenderedPageBreak/>
        <w:t>traités : a) les droits exclusivement collectifs, b) les droits mixtes et c) les droits essentiellement individuels.  Ces intervenants ont également cherché à classer divers droits dans ces trois catégories.</w:t>
      </w:r>
    </w:p>
    <w:p w:rsidR="00645F4F" w:rsidRPr="00305B2E" w:rsidRDefault="00645F4F" w:rsidP="00645F4F">
      <w:pPr>
        <w:pStyle w:val="ParaNoNdepar-AltN"/>
        <w:rPr>
          <w:lang w:val="fr-FR"/>
        </w:rPr>
      </w:pPr>
      <w:r w:rsidRPr="00305B2E">
        <w:rPr>
          <w:lang w:val="fr-FR"/>
        </w:rPr>
        <w:t xml:space="preserve">Ces suggestions témoignent de la diversité des droits </w:t>
      </w:r>
      <w:r w:rsidRPr="00305B2E">
        <w:rPr>
          <w:lang w:val="fr-CA"/>
        </w:rPr>
        <w:t xml:space="preserve">ancestraux et </w:t>
      </w:r>
      <w:r w:rsidRPr="00305B2E">
        <w:rPr>
          <w:lang w:val="fr-FR"/>
        </w:rPr>
        <w:t>issus de traités, mais j</w:t>
      </w:r>
      <w:r>
        <w:rPr>
          <w:lang w:val="fr-FR"/>
        </w:rPr>
        <w:t>’</w:t>
      </w:r>
      <w:r w:rsidRPr="00305B2E">
        <w:rPr>
          <w:lang w:val="fr-FR"/>
        </w:rPr>
        <w:t>éviterai, dans ce pourvoi, à ce stade de l</w:t>
      </w:r>
      <w:r>
        <w:rPr>
          <w:lang w:val="fr-FR"/>
        </w:rPr>
        <w:t>’</w:t>
      </w:r>
      <w:r w:rsidRPr="00305B2E">
        <w:rPr>
          <w:lang w:val="fr-FR"/>
        </w:rPr>
        <w:t>évolution du droit, de procéder à une catégorisation générale de ces droits et de tenter de tous les faire entrer dans la catégorie appropriée.  Il suffit de reconnaître qu</w:t>
      </w:r>
      <w:r>
        <w:rPr>
          <w:lang w:val="fr-FR"/>
        </w:rPr>
        <w:t>’</w:t>
      </w:r>
      <w:r w:rsidRPr="00305B2E">
        <w:rPr>
          <w:lang w:val="fr-FR"/>
        </w:rPr>
        <w:t>en dépit de l</w:t>
      </w:r>
      <w:r>
        <w:rPr>
          <w:lang w:val="fr-FR"/>
        </w:rPr>
        <w:t>’</w:t>
      </w:r>
      <w:r w:rsidRPr="00305B2E">
        <w:rPr>
          <w:lang w:val="fr-FR"/>
        </w:rPr>
        <w:t>importance cruciale que revêt l</w:t>
      </w:r>
      <w:r>
        <w:rPr>
          <w:lang w:val="fr-FR"/>
        </w:rPr>
        <w:t>’</w:t>
      </w:r>
      <w:r w:rsidRPr="00305B2E">
        <w:rPr>
          <w:lang w:val="fr-FR"/>
        </w:rPr>
        <w:t xml:space="preserve">aspect collectif des droits </w:t>
      </w:r>
      <w:r w:rsidRPr="00305B2E">
        <w:rPr>
          <w:lang w:val="fr-CA"/>
        </w:rPr>
        <w:t xml:space="preserve">ancestraux et </w:t>
      </w:r>
      <w:r w:rsidRPr="00305B2E">
        <w:rPr>
          <w:lang w:val="fr-FR"/>
        </w:rPr>
        <w:t xml:space="preserve">issus de traités, des droits peuvent parfois être attribués à des membres des collectivités autochtones ou exercés par eux sur une base individuelle, ou encore être créés en leur faveur.  On pourrait affirmer, de façon générale, que ces droits leur appartiendraient </w:t>
      </w:r>
      <w:proofErr w:type="spellStart"/>
      <w:r w:rsidRPr="00305B2E">
        <w:rPr>
          <w:lang w:val="fr-FR"/>
        </w:rPr>
        <w:t>peut</w:t>
      </w:r>
      <w:r w:rsidRPr="00305B2E">
        <w:rPr>
          <w:lang w:val="fr-FR"/>
        </w:rPr>
        <w:noBreakHyphen/>
        <w:t>être</w:t>
      </w:r>
      <w:proofErr w:type="spellEnd"/>
      <w:r w:rsidRPr="00305B2E">
        <w:rPr>
          <w:lang w:val="fr-FR"/>
        </w:rPr>
        <w:t xml:space="preserve"> ou qu</w:t>
      </w:r>
      <w:r>
        <w:rPr>
          <w:lang w:val="fr-FR"/>
        </w:rPr>
        <w:t>’</w:t>
      </w:r>
      <w:r w:rsidRPr="00305B2E">
        <w:rPr>
          <w:lang w:val="fr-FR"/>
        </w:rPr>
        <w:t>ils comporteraient un aspect individuel malgré leur nature collective.  Il ne convient pas d</w:t>
      </w:r>
      <w:r>
        <w:rPr>
          <w:lang w:val="fr-FR"/>
        </w:rPr>
        <w:t>’</w:t>
      </w:r>
      <w:r w:rsidRPr="00305B2E">
        <w:rPr>
          <w:lang w:val="fr-FR"/>
        </w:rPr>
        <w:t>en dire davantage pour l</w:t>
      </w:r>
      <w:r>
        <w:rPr>
          <w:lang w:val="fr-FR"/>
        </w:rPr>
        <w:t>’</w:t>
      </w:r>
      <w:r w:rsidRPr="00305B2E">
        <w:rPr>
          <w:lang w:val="fr-FR"/>
        </w:rPr>
        <w:t xml:space="preserve">instant. </w:t>
      </w:r>
    </w:p>
    <w:p w:rsidR="00645F4F" w:rsidRPr="00305B2E" w:rsidRDefault="00645F4F" w:rsidP="00645F4F">
      <w:pPr>
        <w:pStyle w:val="ParaNoNdepar-AltN"/>
        <w:rPr>
          <w:lang w:val="fr-CA"/>
        </w:rPr>
      </w:pPr>
      <w:r w:rsidRPr="00305B2E">
        <w:rPr>
          <w:lang w:val="fr-CA"/>
        </w:rPr>
        <w:t xml:space="preserve">Dans le présent pourvoi, les </w:t>
      </w:r>
      <w:proofErr w:type="spellStart"/>
      <w:r w:rsidRPr="00305B2E">
        <w:rPr>
          <w:lang w:val="fr-CA"/>
        </w:rPr>
        <w:t>Behn</w:t>
      </w:r>
      <w:proofErr w:type="spellEnd"/>
      <w:r w:rsidRPr="00305B2E">
        <w:rPr>
          <w:lang w:val="fr-CA"/>
        </w:rPr>
        <w:t xml:space="preserve"> plaident en défense l</w:t>
      </w:r>
      <w:r>
        <w:rPr>
          <w:lang w:val="fr-CA"/>
        </w:rPr>
        <w:t>’</w:t>
      </w:r>
      <w:r w:rsidRPr="00305B2E">
        <w:rPr>
          <w:lang w:val="fr-CA"/>
        </w:rPr>
        <w:t>illégalité des autorisations parce qu</w:t>
      </w:r>
      <w:r>
        <w:rPr>
          <w:lang w:val="fr-CA"/>
        </w:rPr>
        <w:t>’</w:t>
      </w:r>
      <w:r w:rsidRPr="00305B2E">
        <w:rPr>
          <w:lang w:val="fr-CA"/>
        </w:rPr>
        <w:t>elles porteraient atteinte à leurs droits de chasse et de piégeage issus d</w:t>
      </w:r>
      <w:r>
        <w:rPr>
          <w:lang w:val="fr-CA"/>
        </w:rPr>
        <w:t>’</w:t>
      </w:r>
      <w:r w:rsidRPr="00305B2E">
        <w:rPr>
          <w:lang w:val="fr-CA"/>
        </w:rPr>
        <w:t>un traité.  Ils reconnaissent que dans le passé, la PNFN, qui a adhéré au Traité n</w:t>
      </w:r>
      <w:r w:rsidRPr="00305B2E">
        <w:rPr>
          <w:vertAlign w:val="superscript"/>
          <w:lang w:val="fr-CA"/>
        </w:rPr>
        <w:t>o</w:t>
      </w:r>
      <w:r w:rsidRPr="00305B2E">
        <w:rPr>
          <w:lang w:val="fr-CA"/>
        </w:rPr>
        <w:t xml:space="preserve"> 8, a détenu ces droits.  Mais ils prétendent aussi que, suivant la tradition, certaines parcelles de terres ont été attribuées et associées à certains groupes familiaux.  </w:t>
      </w:r>
      <w:r w:rsidRPr="00305B2E">
        <w:rPr>
          <w:lang w:val="fr-FR"/>
        </w:rPr>
        <w:t xml:space="preserve">Ils font valoir dans leurs actes de procédure que les autorisations accordées à </w:t>
      </w:r>
      <w:proofErr w:type="spellStart"/>
      <w:r w:rsidRPr="00305B2E">
        <w:rPr>
          <w:lang w:val="fr-CA"/>
        </w:rPr>
        <w:t>Moulton</w:t>
      </w:r>
      <w:proofErr w:type="spellEnd"/>
      <w:r w:rsidRPr="00305B2E">
        <w:rPr>
          <w:lang w:val="fr-CA"/>
        </w:rPr>
        <w:t xml:space="preserve"> lui permettent de couper du bois dans des secteurs précis du territoire qui leur est traditionnellement attribué et où ils ont exercé leurs droits de chasse et de piégeage.  </w:t>
      </w:r>
      <w:r w:rsidRPr="00305B2E">
        <w:rPr>
          <w:lang w:val="fr-CA"/>
        </w:rPr>
        <w:lastRenderedPageBreak/>
        <w:t>Parce qu</w:t>
      </w:r>
      <w:r>
        <w:rPr>
          <w:lang w:val="fr-CA"/>
        </w:rPr>
        <w:t>’</w:t>
      </w:r>
      <w:r w:rsidRPr="00305B2E">
        <w:rPr>
          <w:lang w:val="fr-CA"/>
        </w:rPr>
        <w:t>ils allèguent l</w:t>
      </w:r>
      <w:r>
        <w:rPr>
          <w:lang w:val="fr-CA"/>
        </w:rPr>
        <w:t>’</w:t>
      </w:r>
      <w:r w:rsidRPr="00305B2E">
        <w:rPr>
          <w:lang w:val="fr-CA"/>
        </w:rPr>
        <w:t>existence d</w:t>
      </w:r>
      <w:r>
        <w:rPr>
          <w:lang w:val="fr-CA"/>
        </w:rPr>
        <w:t>’</w:t>
      </w:r>
      <w:r w:rsidRPr="00305B2E">
        <w:rPr>
          <w:lang w:val="fr-CA"/>
        </w:rPr>
        <w:t xml:space="preserve">un lien entre leurs droits de chasse et de piégeage et une région géographique spécifique du territoire de la PNFN, les </w:t>
      </w:r>
      <w:proofErr w:type="spellStart"/>
      <w:r w:rsidRPr="00305B2E">
        <w:rPr>
          <w:lang w:val="fr-CA"/>
        </w:rPr>
        <w:t>Behn</w:t>
      </w:r>
      <w:proofErr w:type="spellEnd"/>
      <w:r w:rsidRPr="00305B2E">
        <w:rPr>
          <w:lang w:val="fr-CA"/>
        </w:rPr>
        <w:t xml:space="preserve"> affirment posséder</w:t>
      </w:r>
      <w:r w:rsidR="004E0BB4">
        <w:rPr>
          <w:lang w:val="fr-CA"/>
        </w:rPr>
        <w:t>,</w:t>
      </w:r>
      <w:r w:rsidRPr="00305B2E">
        <w:rPr>
          <w:lang w:val="fr-CA"/>
        </w:rPr>
        <w:t xml:space="preserve"> pour la protection de ces droits sur leur territoire familial traditionnel</w:t>
      </w:r>
      <w:r w:rsidR="004E0BB4">
        <w:rPr>
          <w:lang w:val="fr-CA"/>
        </w:rPr>
        <w:t>,</w:t>
      </w:r>
      <w:r w:rsidRPr="00305B2E">
        <w:rPr>
          <w:lang w:val="fr-CA"/>
        </w:rPr>
        <w:t xml:space="preserve"> un intérêt plus important que celui que peuvent détenir les autres membres de la PNFN.  On pourrait alors soutenir que ce lien confère aux </w:t>
      </w:r>
      <w:proofErr w:type="spellStart"/>
      <w:r w:rsidRPr="00305B2E">
        <w:rPr>
          <w:lang w:val="fr-CA"/>
        </w:rPr>
        <w:t>Behn</w:t>
      </w:r>
      <w:proofErr w:type="spellEnd"/>
      <w:r w:rsidRPr="00305B2E">
        <w:rPr>
          <w:lang w:val="fr-CA"/>
        </w:rPr>
        <w:t>, dans une certaine mesure, qualité pour soulever la violation de leurs droits particuliers en défense à l</w:t>
      </w:r>
      <w:r>
        <w:rPr>
          <w:lang w:val="fr-CA"/>
        </w:rPr>
        <w:t>’</w:t>
      </w:r>
      <w:r w:rsidRPr="00305B2E">
        <w:rPr>
          <w:lang w:val="fr-CA"/>
        </w:rPr>
        <w:t xml:space="preserve">action en responsabilité délictuelle intentée par </w:t>
      </w:r>
      <w:proofErr w:type="spellStart"/>
      <w:r w:rsidRPr="00305B2E">
        <w:rPr>
          <w:lang w:val="fr-CA"/>
        </w:rPr>
        <w:t>Moulton</w:t>
      </w:r>
      <w:proofErr w:type="spellEnd"/>
      <w:r w:rsidRPr="00305B2E">
        <w:rPr>
          <w:lang w:val="fr-CA"/>
        </w:rPr>
        <w:t>.  Il n</w:t>
      </w:r>
      <w:r>
        <w:rPr>
          <w:lang w:val="fr-CA"/>
        </w:rPr>
        <w:t>’</w:t>
      </w:r>
      <w:r w:rsidRPr="00305B2E">
        <w:rPr>
          <w:lang w:val="fr-CA"/>
        </w:rPr>
        <w:t>est toutefois pas nécessaire en l</w:t>
      </w:r>
      <w:r>
        <w:rPr>
          <w:lang w:val="fr-CA"/>
        </w:rPr>
        <w:t>’</w:t>
      </w:r>
      <w:r w:rsidRPr="00305B2E">
        <w:rPr>
          <w:lang w:val="fr-CA"/>
        </w:rPr>
        <w:t>espèce de trancher de manière définitive cette question de la qualité pour agir parce qu</w:t>
      </w:r>
      <w:r>
        <w:rPr>
          <w:lang w:val="fr-CA"/>
        </w:rPr>
        <w:t>’</w:t>
      </w:r>
      <w:r w:rsidRPr="00305B2E">
        <w:rPr>
          <w:lang w:val="fr-CA"/>
        </w:rPr>
        <w:t>une autre question, celle de l</w:t>
      </w:r>
      <w:r>
        <w:rPr>
          <w:lang w:val="fr-CA"/>
        </w:rPr>
        <w:t>’</w:t>
      </w:r>
      <w:r w:rsidRPr="00305B2E">
        <w:rPr>
          <w:lang w:val="fr-CA"/>
        </w:rPr>
        <w:t>abus de procédure, est déterminante.</w:t>
      </w:r>
    </w:p>
    <w:p w:rsidR="00645F4F" w:rsidRPr="00305B2E" w:rsidRDefault="00645F4F" w:rsidP="00645F4F">
      <w:pPr>
        <w:pStyle w:val="TitleTitre-AltT"/>
        <w:keepNext/>
        <w:rPr>
          <w:lang w:val="fr-CA"/>
        </w:rPr>
      </w:pPr>
      <w:r w:rsidRPr="00305B2E">
        <w:rPr>
          <w:lang w:val="fr-CA"/>
        </w:rPr>
        <w:t>D.</w:t>
      </w:r>
      <w:r w:rsidRPr="00305B2E">
        <w:rPr>
          <w:lang w:val="fr-CA"/>
        </w:rPr>
        <w:tab/>
      </w:r>
      <w:r w:rsidRPr="00305B2E">
        <w:rPr>
          <w:i/>
          <w:lang w:val="fr-CA"/>
        </w:rPr>
        <w:t>Abus de procédure</w:t>
      </w:r>
    </w:p>
    <w:p w:rsidR="00645F4F" w:rsidRPr="00305B2E" w:rsidRDefault="00645F4F" w:rsidP="00645F4F">
      <w:pPr>
        <w:pStyle w:val="ParaNoNdepar-AltN"/>
        <w:rPr>
          <w:lang w:val="fr-FR"/>
        </w:rPr>
      </w:pPr>
      <w:r w:rsidRPr="00305B2E">
        <w:rPr>
          <w:lang w:val="fr-CA"/>
        </w:rPr>
        <w:t xml:space="preserve">En effet, le pourvoi soulève la question clé de savoir si les gestes posés par les </w:t>
      </w:r>
      <w:proofErr w:type="spellStart"/>
      <w:r w:rsidRPr="00305B2E">
        <w:rPr>
          <w:lang w:val="fr-CA"/>
        </w:rPr>
        <w:t>Behn</w:t>
      </w:r>
      <w:proofErr w:type="spellEnd"/>
      <w:r w:rsidRPr="00305B2E">
        <w:rPr>
          <w:lang w:val="fr-CA"/>
        </w:rPr>
        <w:t xml:space="preserve"> constituent un abus de procédure.  J</w:t>
      </w:r>
      <w:r>
        <w:rPr>
          <w:lang w:val="fr-CA"/>
        </w:rPr>
        <w:t>’</w:t>
      </w:r>
      <w:r w:rsidRPr="00305B2E">
        <w:rPr>
          <w:lang w:val="fr-CA"/>
        </w:rPr>
        <w:t>estime que, dans les circonstances de l</w:t>
      </w:r>
      <w:r>
        <w:rPr>
          <w:lang w:val="fr-CA"/>
        </w:rPr>
        <w:t>’</w:t>
      </w:r>
      <w:r w:rsidRPr="00305B2E">
        <w:rPr>
          <w:lang w:val="fr-CA"/>
        </w:rPr>
        <w:t>espèce, le fait d</w:t>
      </w:r>
      <w:r>
        <w:rPr>
          <w:lang w:val="fr-CA"/>
        </w:rPr>
        <w:t>’</w:t>
      </w:r>
      <w:r w:rsidRPr="00305B2E">
        <w:rPr>
          <w:lang w:val="fr-CA"/>
        </w:rPr>
        <w:t>invoquer comme moyens de défense le manquement à l</w:t>
      </w:r>
      <w:r>
        <w:rPr>
          <w:lang w:val="fr-CA"/>
        </w:rPr>
        <w:t>’</w:t>
      </w:r>
      <w:r w:rsidRPr="00305B2E">
        <w:rPr>
          <w:lang w:val="fr-CA"/>
        </w:rPr>
        <w:t xml:space="preserve">obligation de consultation et la violation de droits issus de traités constituait un abus de procédure.  Si les </w:t>
      </w:r>
      <w:proofErr w:type="spellStart"/>
      <w:r w:rsidRPr="00305B2E">
        <w:rPr>
          <w:lang w:val="fr-CA"/>
        </w:rPr>
        <w:t>Behn</w:t>
      </w:r>
      <w:proofErr w:type="spellEnd"/>
      <w:r w:rsidRPr="00305B2E">
        <w:rPr>
          <w:lang w:val="fr-CA"/>
        </w:rPr>
        <w:t xml:space="preserve"> estimaient avoir qualité pour agir, </w:t>
      </w:r>
      <w:proofErr w:type="spellStart"/>
      <w:r w:rsidRPr="00305B2E">
        <w:rPr>
          <w:lang w:val="fr-CA"/>
        </w:rPr>
        <w:t>eux</w:t>
      </w:r>
      <w:r w:rsidRPr="00305B2E">
        <w:rPr>
          <w:lang w:val="fr-CA"/>
        </w:rPr>
        <w:noBreakHyphen/>
        <w:t>mêmes</w:t>
      </w:r>
      <w:proofErr w:type="spellEnd"/>
      <w:r w:rsidRPr="00305B2E">
        <w:rPr>
          <w:lang w:val="fr-CA"/>
        </w:rPr>
        <w:t xml:space="preserve"> ou par l</w:t>
      </w:r>
      <w:r>
        <w:rPr>
          <w:lang w:val="fr-CA"/>
        </w:rPr>
        <w:t>’</w:t>
      </w:r>
      <w:r w:rsidRPr="00305B2E">
        <w:rPr>
          <w:lang w:val="fr-CA"/>
        </w:rPr>
        <w:t xml:space="preserve">entremise de la PNFN, ils auraient dû soulever la question au moment opportun.  Ni les </w:t>
      </w:r>
      <w:proofErr w:type="spellStart"/>
      <w:r w:rsidRPr="00305B2E">
        <w:rPr>
          <w:lang w:val="fr-CA"/>
        </w:rPr>
        <w:t>Behn</w:t>
      </w:r>
      <w:proofErr w:type="spellEnd"/>
      <w:r w:rsidRPr="00305B2E">
        <w:rPr>
          <w:lang w:val="fr-CA"/>
        </w:rPr>
        <w:t xml:space="preserve"> ni la PNFN n</w:t>
      </w:r>
      <w:r>
        <w:rPr>
          <w:lang w:val="fr-CA"/>
        </w:rPr>
        <w:t>’</w:t>
      </w:r>
      <w:r w:rsidRPr="00305B2E">
        <w:rPr>
          <w:lang w:val="fr-CA"/>
        </w:rPr>
        <w:t xml:space="preserve">ont tenté, de quelque manière que ce soit, de contester en justice les autorisations au moment où le gouvernement de la </w:t>
      </w:r>
      <w:proofErr w:type="spellStart"/>
      <w:r w:rsidRPr="00305B2E">
        <w:rPr>
          <w:lang w:val="fr-CA"/>
        </w:rPr>
        <w:t>Colombie</w:t>
      </w:r>
      <w:r w:rsidRPr="00305B2E">
        <w:rPr>
          <w:lang w:val="fr-CA"/>
        </w:rPr>
        <w:noBreakHyphen/>
        <w:t>Britannique</w:t>
      </w:r>
      <w:proofErr w:type="spellEnd"/>
      <w:r w:rsidRPr="00305B2E">
        <w:rPr>
          <w:lang w:val="fr-CA"/>
        </w:rPr>
        <w:t xml:space="preserve"> les a accordées.  Nul ne conteste que les </w:t>
      </w:r>
      <w:proofErr w:type="spellStart"/>
      <w:r w:rsidRPr="00305B2E">
        <w:rPr>
          <w:lang w:val="fr-CA"/>
        </w:rPr>
        <w:t>Behn</w:t>
      </w:r>
      <w:proofErr w:type="spellEnd"/>
      <w:r w:rsidRPr="00305B2E">
        <w:rPr>
          <w:lang w:val="fr-CA"/>
        </w:rPr>
        <w:t xml:space="preserve"> n</w:t>
      </w:r>
      <w:r>
        <w:rPr>
          <w:lang w:val="fr-CA"/>
        </w:rPr>
        <w:t>’</w:t>
      </w:r>
      <w:r w:rsidRPr="00305B2E">
        <w:rPr>
          <w:lang w:val="fr-CA"/>
        </w:rPr>
        <w:t>ont pas demandé un contrôle judiciaire, n</w:t>
      </w:r>
      <w:r>
        <w:rPr>
          <w:lang w:val="fr-CA"/>
        </w:rPr>
        <w:t>’</w:t>
      </w:r>
      <w:r w:rsidRPr="00305B2E">
        <w:rPr>
          <w:lang w:val="fr-CA"/>
        </w:rPr>
        <w:t>ont pas réclamé d</w:t>
      </w:r>
      <w:r>
        <w:rPr>
          <w:lang w:val="fr-CA"/>
        </w:rPr>
        <w:t>’</w:t>
      </w:r>
      <w:r w:rsidRPr="00305B2E">
        <w:rPr>
          <w:lang w:val="fr-CA"/>
        </w:rPr>
        <w:t xml:space="preserve">injonction, ni sollicité devant les tribunaux quelque </w:t>
      </w:r>
      <w:r w:rsidRPr="00305B2E">
        <w:rPr>
          <w:lang w:val="fr-CA"/>
        </w:rPr>
        <w:lastRenderedPageBreak/>
        <w:t>autre forme de redressement à l</w:t>
      </w:r>
      <w:r>
        <w:rPr>
          <w:lang w:val="fr-CA"/>
        </w:rPr>
        <w:t>’</w:t>
      </w:r>
      <w:r w:rsidRPr="00305B2E">
        <w:rPr>
          <w:lang w:val="fr-CA"/>
        </w:rPr>
        <w:t xml:space="preserve">encontre de la province ou de </w:t>
      </w:r>
      <w:proofErr w:type="spellStart"/>
      <w:r w:rsidRPr="00305B2E">
        <w:rPr>
          <w:lang w:val="fr-CA"/>
        </w:rPr>
        <w:t>Moulton</w:t>
      </w:r>
      <w:proofErr w:type="spellEnd"/>
      <w:r w:rsidRPr="00305B2E">
        <w:rPr>
          <w:lang w:val="fr-CA"/>
        </w:rPr>
        <w:t xml:space="preserve">.  </w:t>
      </w:r>
      <w:r w:rsidRPr="00305B2E">
        <w:rPr>
          <w:lang w:val="fr-FR"/>
        </w:rPr>
        <w:t>La PNFN n</w:t>
      </w:r>
      <w:r>
        <w:rPr>
          <w:lang w:val="fr-FR"/>
        </w:rPr>
        <w:t>’</w:t>
      </w:r>
      <w:r w:rsidRPr="00305B2E">
        <w:rPr>
          <w:lang w:val="fr-FR"/>
        </w:rPr>
        <w:t>a pris aucune initiative non plus.</w:t>
      </w:r>
    </w:p>
    <w:p w:rsidR="00645F4F" w:rsidRPr="00305B2E" w:rsidRDefault="00645F4F" w:rsidP="00645F4F">
      <w:pPr>
        <w:pStyle w:val="ParaNoNdepar-AltN"/>
        <w:rPr>
          <w:lang w:val="fr-CA"/>
        </w:rPr>
      </w:pPr>
      <w:r w:rsidRPr="00305B2E">
        <w:rPr>
          <w:lang w:val="fr-CA"/>
        </w:rPr>
        <w:t xml:space="preserve">Si les </w:t>
      </w:r>
      <w:proofErr w:type="spellStart"/>
      <w:r w:rsidRPr="00305B2E">
        <w:rPr>
          <w:lang w:val="fr-CA"/>
        </w:rPr>
        <w:t>Behn</w:t>
      </w:r>
      <w:proofErr w:type="spellEnd"/>
      <w:r w:rsidRPr="00305B2E">
        <w:rPr>
          <w:lang w:val="fr-CA"/>
        </w:rPr>
        <w:t xml:space="preserve"> avaient agi au moment où les autorisations ont été accordées, la clause 9.00 des ententes de vente forestière prévoyait que le directeur des ventes forestières pouvait suspendre les autorisations jusqu</w:t>
      </w:r>
      <w:r>
        <w:rPr>
          <w:lang w:val="fr-CA"/>
        </w:rPr>
        <w:t>’</w:t>
      </w:r>
      <w:r w:rsidRPr="00305B2E">
        <w:rPr>
          <w:lang w:val="fr-CA"/>
        </w:rPr>
        <w:t xml:space="preserve">à ce que les questions juridiques soient résolues : décision de première instance, par. 16.  </w:t>
      </w:r>
      <w:proofErr w:type="spellStart"/>
      <w:r w:rsidRPr="00305B2E">
        <w:rPr>
          <w:lang w:val="fr-CA"/>
        </w:rPr>
        <w:t>Moulton</w:t>
      </w:r>
      <w:proofErr w:type="spellEnd"/>
      <w:r w:rsidRPr="00305B2E">
        <w:rPr>
          <w:lang w:val="fr-CA"/>
        </w:rPr>
        <w:t xml:space="preserve"> n</w:t>
      </w:r>
      <w:r>
        <w:rPr>
          <w:lang w:val="fr-CA"/>
        </w:rPr>
        <w:t>’</w:t>
      </w:r>
      <w:r w:rsidRPr="00305B2E">
        <w:rPr>
          <w:lang w:val="fr-CA"/>
        </w:rPr>
        <w:t>aurait alors pas été amenée à croire qu</w:t>
      </w:r>
      <w:r>
        <w:rPr>
          <w:lang w:val="fr-CA"/>
        </w:rPr>
        <w:t>’</w:t>
      </w:r>
      <w:r w:rsidRPr="00305B2E">
        <w:rPr>
          <w:lang w:val="fr-CA"/>
        </w:rPr>
        <w:t>elle pouvait préparer et entreprendre ses opérations forestières.  En outre, les questions de droit comme la qualité pour agir auraient pu être examinées au moment opportun et dans le contexte approprié.</w:t>
      </w:r>
    </w:p>
    <w:p w:rsidR="00645F4F" w:rsidRPr="00305B2E" w:rsidRDefault="00645F4F" w:rsidP="00645F4F">
      <w:pPr>
        <w:pStyle w:val="ParaNoNdepar-AltN"/>
        <w:rPr>
          <w:lang w:val="fr-CA"/>
        </w:rPr>
      </w:pPr>
      <w:r w:rsidRPr="00305B2E">
        <w:rPr>
          <w:lang w:val="fr-CA"/>
        </w:rPr>
        <w:t xml:space="preserve">Dans </w:t>
      </w:r>
      <w:r w:rsidRPr="00305B2E">
        <w:rPr>
          <w:i/>
          <w:lang w:val="fr-CA"/>
        </w:rPr>
        <w:t xml:space="preserve">Toronto (Ville) c. </w:t>
      </w:r>
      <w:r w:rsidRPr="00305B2E">
        <w:rPr>
          <w:i/>
          <w:lang w:val="fr-FR"/>
        </w:rPr>
        <w:t>S.C.F.P., section locale 79</w:t>
      </w:r>
      <w:r w:rsidRPr="00305B2E">
        <w:rPr>
          <w:lang w:val="fr-CA"/>
        </w:rPr>
        <w:t xml:space="preserve">, 2003 CSC 63, [2003] 3 R.C.S. 77, la juge </w:t>
      </w:r>
      <w:proofErr w:type="spellStart"/>
      <w:r w:rsidRPr="00305B2E">
        <w:rPr>
          <w:lang w:val="fr-CA"/>
        </w:rPr>
        <w:t>Arbour</w:t>
      </w:r>
      <w:proofErr w:type="spellEnd"/>
      <w:r w:rsidRPr="00305B2E">
        <w:rPr>
          <w:lang w:val="fr-CA"/>
        </w:rPr>
        <w:t xml:space="preserve"> a exposé au nom de la majorité que la doctrine de l</w:t>
      </w:r>
      <w:r>
        <w:rPr>
          <w:lang w:val="fr-CA"/>
        </w:rPr>
        <w:t>’</w:t>
      </w:r>
      <w:r w:rsidRPr="00305B2E">
        <w:rPr>
          <w:lang w:val="fr-CA"/>
        </w:rPr>
        <w:t>abus de procédure émane du pouvoir discrétionnaire résiduel inhérent que possèdent les juges d</w:t>
      </w:r>
      <w:r>
        <w:rPr>
          <w:lang w:val="fr-CA"/>
        </w:rPr>
        <w:t>’</w:t>
      </w:r>
      <w:r w:rsidRPr="00305B2E">
        <w:rPr>
          <w:lang w:val="fr-CA"/>
        </w:rPr>
        <w:t>empêcher que les procédures du tribunal soient utilisées abusivement</w:t>
      </w:r>
      <w:r w:rsidR="00D33DB3">
        <w:rPr>
          <w:lang w:val="fr-CA"/>
        </w:rPr>
        <w:t xml:space="preserve"> : </w:t>
      </w:r>
      <w:r w:rsidRPr="00305B2E">
        <w:rPr>
          <w:lang w:val="fr-CA"/>
        </w:rPr>
        <w:t>par. 35; voir également P. M. </w:t>
      </w:r>
      <w:proofErr w:type="spellStart"/>
      <w:r w:rsidRPr="00305B2E">
        <w:rPr>
          <w:lang w:val="fr-CA"/>
        </w:rPr>
        <w:t>Perell</w:t>
      </w:r>
      <w:proofErr w:type="spellEnd"/>
      <w:r w:rsidRPr="00305B2E">
        <w:rPr>
          <w:lang w:val="fr-CA"/>
        </w:rPr>
        <w:t xml:space="preserve">, « A Survey of Abuse of </w:t>
      </w:r>
      <w:proofErr w:type="spellStart"/>
      <w:r w:rsidRPr="00305B2E">
        <w:rPr>
          <w:lang w:val="fr-CA"/>
        </w:rPr>
        <w:t>Process</w:t>
      </w:r>
      <w:proofErr w:type="spellEnd"/>
      <w:r w:rsidRPr="00305B2E">
        <w:rPr>
          <w:lang w:val="fr-CA"/>
        </w:rPr>
        <w:t> »</w:t>
      </w:r>
      <w:r w:rsidR="00607824">
        <w:rPr>
          <w:lang w:val="fr-CA"/>
        </w:rPr>
        <w:t>,</w:t>
      </w:r>
      <w:r w:rsidRPr="00305B2E">
        <w:rPr>
          <w:lang w:val="fr-CA"/>
        </w:rPr>
        <w:t xml:space="preserve"> dans T. L. Archibald et R. S. </w:t>
      </w:r>
      <w:proofErr w:type="spellStart"/>
      <w:r w:rsidRPr="00305B2E">
        <w:rPr>
          <w:lang w:val="fr-CA"/>
        </w:rPr>
        <w:t>Echlin</w:t>
      </w:r>
      <w:proofErr w:type="spellEnd"/>
      <w:r w:rsidRPr="00305B2E">
        <w:rPr>
          <w:lang w:val="fr-CA"/>
        </w:rPr>
        <w:t xml:space="preserve">, </w:t>
      </w:r>
      <w:proofErr w:type="spellStart"/>
      <w:proofErr w:type="gramStart"/>
      <w:r w:rsidR="00AF460D">
        <w:rPr>
          <w:lang w:val="fr-CA"/>
        </w:rPr>
        <w:t>dir</w:t>
      </w:r>
      <w:proofErr w:type="spellEnd"/>
      <w:r w:rsidR="00AF460D">
        <w:rPr>
          <w:lang w:val="fr-CA"/>
        </w:rPr>
        <w:t>.</w:t>
      </w:r>
      <w:r w:rsidRPr="00305B2E">
        <w:rPr>
          <w:lang w:val="fr-CA"/>
        </w:rPr>
        <w:t>,</w:t>
      </w:r>
      <w:proofErr w:type="gramEnd"/>
      <w:r w:rsidRPr="00305B2E">
        <w:rPr>
          <w:lang w:val="fr-CA"/>
        </w:rPr>
        <w:t xml:space="preserve"> </w:t>
      </w:r>
      <w:proofErr w:type="spellStart"/>
      <w:r w:rsidRPr="00305B2E">
        <w:rPr>
          <w:i/>
          <w:lang w:val="fr-CA"/>
        </w:rPr>
        <w:t>Annual</w:t>
      </w:r>
      <w:proofErr w:type="spellEnd"/>
      <w:r w:rsidRPr="00305B2E">
        <w:rPr>
          <w:i/>
          <w:lang w:val="fr-CA"/>
        </w:rPr>
        <w:t xml:space="preserve"> </w:t>
      </w:r>
      <w:proofErr w:type="spellStart"/>
      <w:r w:rsidRPr="00305B2E">
        <w:rPr>
          <w:i/>
          <w:lang w:val="fr-CA"/>
        </w:rPr>
        <w:t>Review</w:t>
      </w:r>
      <w:proofErr w:type="spellEnd"/>
      <w:r w:rsidRPr="00305B2E">
        <w:rPr>
          <w:i/>
          <w:lang w:val="fr-CA"/>
        </w:rPr>
        <w:t xml:space="preserve"> of Civil </w:t>
      </w:r>
      <w:proofErr w:type="spellStart"/>
      <w:r w:rsidRPr="00305B2E">
        <w:rPr>
          <w:i/>
          <w:lang w:val="fr-CA"/>
        </w:rPr>
        <w:t>Litigation</w:t>
      </w:r>
      <w:proofErr w:type="spellEnd"/>
      <w:r w:rsidRPr="00305B2E">
        <w:rPr>
          <w:i/>
          <w:lang w:val="fr-CA"/>
        </w:rPr>
        <w:t xml:space="preserve"> 2007</w:t>
      </w:r>
      <w:r w:rsidRPr="00305B2E">
        <w:rPr>
          <w:lang w:val="fr-CA"/>
        </w:rPr>
        <w:t xml:space="preserve"> (2007), 243.  La notion d</w:t>
      </w:r>
      <w:r>
        <w:rPr>
          <w:lang w:val="fr-CA"/>
        </w:rPr>
        <w:t>’</w:t>
      </w:r>
      <w:r w:rsidRPr="00305B2E">
        <w:rPr>
          <w:lang w:val="fr-CA"/>
        </w:rPr>
        <w:t xml:space="preserve">abus de procédure a été décrite dans </w:t>
      </w:r>
      <w:r w:rsidRPr="00305B2E">
        <w:rPr>
          <w:i/>
          <w:lang w:val="fr-CA"/>
        </w:rPr>
        <w:t>R. c. Power</w:t>
      </w:r>
      <w:r w:rsidRPr="00305B2E">
        <w:rPr>
          <w:lang w:val="fr-CA"/>
        </w:rPr>
        <w:t>, [1994] 1 R.C.S. 601, p. 616, comme consistant en des procédures « injustes au point qu</w:t>
      </w:r>
      <w:r>
        <w:rPr>
          <w:lang w:val="fr-CA"/>
        </w:rPr>
        <w:t>’</w:t>
      </w:r>
      <w:r w:rsidRPr="00305B2E">
        <w:rPr>
          <w:lang w:val="fr-CA"/>
        </w:rPr>
        <w:t>elles sont contraires à l</w:t>
      </w:r>
      <w:r>
        <w:rPr>
          <w:lang w:val="fr-CA"/>
        </w:rPr>
        <w:t>’</w:t>
      </w:r>
      <w:r w:rsidRPr="00305B2E">
        <w:rPr>
          <w:lang w:val="fr-CA"/>
        </w:rPr>
        <w:t xml:space="preserve">intérêt de la justice », et dans </w:t>
      </w:r>
      <w:r w:rsidRPr="00305B2E">
        <w:rPr>
          <w:i/>
          <w:lang w:val="fr-CA"/>
        </w:rPr>
        <w:t xml:space="preserve">R. c. </w:t>
      </w:r>
      <w:proofErr w:type="spellStart"/>
      <w:r w:rsidRPr="00305B2E">
        <w:rPr>
          <w:i/>
          <w:lang w:val="fr-CA"/>
        </w:rPr>
        <w:t>Conway</w:t>
      </w:r>
      <w:proofErr w:type="spellEnd"/>
      <w:r w:rsidRPr="00305B2E">
        <w:rPr>
          <w:lang w:val="fr-CA"/>
        </w:rPr>
        <w:t>, [1989] 1 R.C.S. 1659, p. 1667, comme consistant en un « traitement [. . .] oppressif ».  En plus de mentionner des procédures oppressives ou vexatoires qui violent les principes fondamentaux de la justice, la juge McLachlin (</w:t>
      </w:r>
      <w:r w:rsidR="00BF2EA1">
        <w:rPr>
          <w:lang w:val="fr-CA"/>
        </w:rPr>
        <w:t>maintenant</w:t>
      </w:r>
      <w:r w:rsidRPr="00305B2E">
        <w:rPr>
          <w:lang w:val="fr-CA"/>
        </w:rPr>
        <w:t xml:space="preserve"> Juge en chef) a précisé </w:t>
      </w:r>
      <w:r w:rsidRPr="00305B2E">
        <w:rPr>
          <w:lang w:val="fr-CA"/>
        </w:rPr>
        <w:lastRenderedPageBreak/>
        <w:t xml:space="preserve">dans des motifs dissidents dans </w:t>
      </w:r>
      <w:r w:rsidRPr="00305B2E">
        <w:rPr>
          <w:i/>
          <w:lang w:val="fr-CA"/>
        </w:rPr>
        <w:t>R. c. Scott</w:t>
      </w:r>
      <w:r w:rsidR="00017FED">
        <w:rPr>
          <w:lang w:val="fr-CA"/>
        </w:rPr>
        <w:t>, [1990] 3 R.C.S. 979,</w:t>
      </w:r>
      <w:r w:rsidRPr="00305B2E">
        <w:rPr>
          <w:lang w:val="fr-CA"/>
        </w:rPr>
        <w:t xml:space="preserve"> p. 1007, que la doctrine de l</w:t>
      </w:r>
      <w:r>
        <w:rPr>
          <w:lang w:val="fr-CA"/>
        </w:rPr>
        <w:t>’</w:t>
      </w:r>
      <w:r w:rsidRPr="00305B2E">
        <w:rPr>
          <w:lang w:val="fr-CA"/>
        </w:rPr>
        <w:t>abus de procédure fait appel à « l</w:t>
      </w:r>
      <w:r>
        <w:rPr>
          <w:lang w:val="fr-CA"/>
        </w:rPr>
        <w:t>’</w:t>
      </w:r>
      <w:r w:rsidRPr="00305B2E">
        <w:rPr>
          <w:lang w:val="fr-CA"/>
        </w:rPr>
        <w:t xml:space="preserve">intérêt du public à un régime de procès justes et équitables et à la bonne administration de la justice ».  De plus, la juge </w:t>
      </w:r>
      <w:proofErr w:type="spellStart"/>
      <w:r w:rsidRPr="00305B2E">
        <w:rPr>
          <w:lang w:val="fr-CA"/>
        </w:rPr>
        <w:t>Arbour</w:t>
      </w:r>
      <w:proofErr w:type="spellEnd"/>
      <w:r w:rsidRPr="00305B2E">
        <w:rPr>
          <w:lang w:val="fr-CA"/>
        </w:rPr>
        <w:t xml:space="preserve"> a fait observer dans </w:t>
      </w:r>
      <w:r w:rsidRPr="00305B2E">
        <w:rPr>
          <w:i/>
          <w:lang w:val="fr-CA"/>
        </w:rPr>
        <w:t xml:space="preserve">S.C.F.P. </w:t>
      </w:r>
      <w:r w:rsidRPr="00305B2E">
        <w:rPr>
          <w:lang w:val="fr-CA"/>
        </w:rPr>
        <w:t>que la doctrine ne se limite pas au droit criminel, mais s</w:t>
      </w:r>
      <w:r>
        <w:rPr>
          <w:lang w:val="fr-CA"/>
        </w:rPr>
        <w:t>’</w:t>
      </w:r>
      <w:r w:rsidRPr="00305B2E">
        <w:rPr>
          <w:lang w:val="fr-CA"/>
        </w:rPr>
        <w:t>applique dans d</w:t>
      </w:r>
      <w:r w:rsidR="00017FED">
        <w:rPr>
          <w:lang w:val="fr-CA"/>
        </w:rPr>
        <w:t>es contextes juridiques divers</w:t>
      </w:r>
      <w:r w:rsidR="00D33DB3">
        <w:rPr>
          <w:lang w:val="fr-CA"/>
        </w:rPr>
        <w:t xml:space="preserve"> : </w:t>
      </w:r>
      <w:r w:rsidRPr="00305B2E">
        <w:rPr>
          <w:lang w:val="fr-CA"/>
        </w:rPr>
        <w:t>par. 36.</w:t>
      </w:r>
    </w:p>
    <w:p w:rsidR="00645F4F" w:rsidRPr="00305B2E" w:rsidRDefault="00645F4F" w:rsidP="00645F4F">
      <w:pPr>
        <w:pStyle w:val="ParaNoNdepar-AltN"/>
        <w:rPr>
          <w:lang w:val="fr-CA"/>
        </w:rPr>
      </w:pPr>
      <w:r w:rsidRPr="00305B2E">
        <w:rPr>
          <w:lang w:val="fr-CA"/>
        </w:rPr>
        <w:t>La doctrine de l</w:t>
      </w:r>
      <w:r>
        <w:rPr>
          <w:lang w:val="fr-CA"/>
        </w:rPr>
        <w:t>’</w:t>
      </w:r>
      <w:r w:rsidRPr="00305B2E">
        <w:rPr>
          <w:lang w:val="fr-CA"/>
        </w:rPr>
        <w:t xml:space="preserve">abus de procédure se caractérise par sa souplesse. Contrairement aux notions de chose jugée et de </w:t>
      </w:r>
      <w:proofErr w:type="spellStart"/>
      <w:r w:rsidRPr="00305B2E">
        <w:rPr>
          <w:lang w:val="fr-CA"/>
        </w:rPr>
        <w:t>préclusion</w:t>
      </w:r>
      <w:proofErr w:type="spellEnd"/>
      <w:r w:rsidRPr="00305B2E">
        <w:rPr>
          <w:lang w:val="fr-CA"/>
        </w:rPr>
        <w:t xml:space="preserve"> découlant d</w:t>
      </w:r>
      <w:r>
        <w:rPr>
          <w:lang w:val="fr-CA"/>
        </w:rPr>
        <w:t>’</w:t>
      </w:r>
      <w:r w:rsidRPr="00305B2E">
        <w:rPr>
          <w:lang w:val="fr-CA"/>
        </w:rPr>
        <w:t>une question déjà tranchée, la doctrine de l</w:t>
      </w:r>
      <w:r>
        <w:rPr>
          <w:lang w:val="fr-CA"/>
        </w:rPr>
        <w:t>’</w:t>
      </w:r>
      <w:r w:rsidRPr="00305B2E">
        <w:rPr>
          <w:lang w:val="fr-CA"/>
        </w:rPr>
        <w:t>abus de procédure ne s</w:t>
      </w:r>
      <w:r>
        <w:rPr>
          <w:lang w:val="fr-CA"/>
        </w:rPr>
        <w:t>’</w:t>
      </w:r>
      <w:r w:rsidRPr="00305B2E">
        <w:rPr>
          <w:lang w:val="fr-CA"/>
        </w:rPr>
        <w:t>encombre pas d</w:t>
      </w:r>
      <w:r>
        <w:rPr>
          <w:lang w:val="fr-CA"/>
        </w:rPr>
        <w:t>’</w:t>
      </w:r>
      <w:r w:rsidRPr="00305B2E">
        <w:rPr>
          <w:lang w:val="fr-CA"/>
        </w:rPr>
        <w:t xml:space="preserve">exigences particulières.  Dans </w:t>
      </w:r>
      <w:proofErr w:type="spellStart"/>
      <w:r w:rsidRPr="00305B2E">
        <w:rPr>
          <w:i/>
          <w:lang w:val="fr-CA"/>
        </w:rPr>
        <w:t>Canam</w:t>
      </w:r>
      <w:proofErr w:type="spellEnd"/>
      <w:r w:rsidRPr="00305B2E">
        <w:rPr>
          <w:i/>
          <w:lang w:val="fr-CA"/>
        </w:rPr>
        <w:t xml:space="preserve"> </w:t>
      </w:r>
      <w:proofErr w:type="spellStart"/>
      <w:r w:rsidRPr="00305B2E">
        <w:rPr>
          <w:i/>
          <w:lang w:val="fr-CA"/>
        </w:rPr>
        <w:t>Enterprises</w:t>
      </w:r>
      <w:proofErr w:type="spellEnd"/>
      <w:r w:rsidRPr="00305B2E">
        <w:rPr>
          <w:i/>
          <w:lang w:val="fr-CA"/>
        </w:rPr>
        <w:t xml:space="preserve"> Inc. c. </w:t>
      </w:r>
      <w:proofErr w:type="spellStart"/>
      <w:r w:rsidRPr="00305B2E">
        <w:rPr>
          <w:i/>
          <w:lang w:val="fr-CA"/>
        </w:rPr>
        <w:t>Coles</w:t>
      </w:r>
      <w:proofErr w:type="spellEnd"/>
      <w:r w:rsidRPr="00305B2E">
        <w:rPr>
          <w:lang w:val="fr-CA"/>
        </w:rPr>
        <w:t xml:space="preserve"> (2000), 51 O.R. (3d) 481 (C.A.), le juge </w:t>
      </w:r>
      <w:proofErr w:type="spellStart"/>
      <w:r w:rsidRPr="00305B2E">
        <w:rPr>
          <w:lang w:val="fr-CA"/>
        </w:rPr>
        <w:t>Goudge</w:t>
      </w:r>
      <w:proofErr w:type="spellEnd"/>
      <w:r w:rsidRPr="00305B2E">
        <w:rPr>
          <w:lang w:val="fr-CA"/>
        </w:rPr>
        <w:t>, dans des motifs dissidents approuvés par la suite par notre Cour (2002 CSC 63, [2002] 3 R.C.S. 307), a indiqué aux par. 55</w:t>
      </w:r>
      <w:r w:rsidRPr="00305B2E">
        <w:rPr>
          <w:lang w:val="fr-CA"/>
        </w:rPr>
        <w:noBreakHyphen/>
        <w:t>56 que la doctrine de l</w:t>
      </w:r>
      <w:r>
        <w:rPr>
          <w:lang w:val="fr-CA"/>
        </w:rPr>
        <w:t>’</w:t>
      </w:r>
      <w:r w:rsidRPr="00305B2E">
        <w:rPr>
          <w:lang w:val="fr-CA"/>
        </w:rPr>
        <w:t>abus de procédure</w:t>
      </w:r>
    </w:p>
    <w:p w:rsidR="00645F4F" w:rsidRPr="00305B2E" w:rsidRDefault="00645F4F" w:rsidP="00645F4F">
      <w:pPr>
        <w:pStyle w:val="Citation-AltC"/>
        <w:spacing w:after="240"/>
        <w:ind w:hanging="1166"/>
        <w:contextualSpacing w:val="0"/>
        <w:rPr>
          <w:lang w:val="en-US"/>
        </w:rPr>
      </w:pPr>
      <w:r w:rsidRPr="00305B2E">
        <w:rPr>
          <w:lang w:val="fr-CA"/>
        </w:rPr>
        <w:tab/>
        <w:t>[</w:t>
      </w:r>
      <w:r w:rsidRPr="00305B2E">
        <w:rPr>
          <w:smallCaps/>
          <w:lang w:val="fr-CA"/>
        </w:rPr>
        <w:t>traduction</w:t>
      </w:r>
      <w:r w:rsidRPr="00305B2E">
        <w:rPr>
          <w:lang w:val="fr-CA"/>
        </w:rPr>
        <w:t xml:space="preserve">]  met en jeu le pouvoir inhérent du tribunal </w:t>
      </w:r>
      <w:r w:rsidRPr="00305B2E">
        <w:rPr>
          <w:u w:val="single"/>
          <w:lang w:val="fr-CA"/>
        </w:rPr>
        <w:t>d</w:t>
      </w:r>
      <w:r>
        <w:rPr>
          <w:u w:val="single"/>
          <w:lang w:val="fr-CA"/>
        </w:rPr>
        <w:t>’</w:t>
      </w:r>
      <w:r w:rsidRPr="00305B2E">
        <w:rPr>
          <w:u w:val="single"/>
          <w:lang w:val="fr-CA"/>
        </w:rPr>
        <w:t>empêcher que ses procédures soient utilisées abusivement, d</w:t>
      </w:r>
      <w:r>
        <w:rPr>
          <w:u w:val="single"/>
          <w:lang w:val="fr-CA"/>
        </w:rPr>
        <w:t>’</w:t>
      </w:r>
      <w:r w:rsidRPr="00305B2E">
        <w:rPr>
          <w:u w:val="single"/>
          <w:lang w:val="fr-CA"/>
        </w:rPr>
        <w:t>une manière qui serait manifestement injuste envers une partie au litige, ou qui aurait d</w:t>
      </w:r>
      <w:r>
        <w:rPr>
          <w:u w:val="single"/>
          <w:lang w:val="fr-CA"/>
        </w:rPr>
        <w:t>’</w:t>
      </w:r>
      <w:r w:rsidRPr="00305B2E">
        <w:rPr>
          <w:u w:val="single"/>
          <w:lang w:val="fr-CA"/>
        </w:rPr>
        <w:t>une autre façon pour effet de discréditer l</w:t>
      </w:r>
      <w:r>
        <w:rPr>
          <w:u w:val="single"/>
          <w:lang w:val="fr-CA"/>
        </w:rPr>
        <w:t>’</w:t>
      </w:r>
      <w:r w:rsidRPr="00305B2E">
        <w:rPr>
          <w:u w:val="single"/>
          <w:lang w:val="fr-CA"/>
        </w:rPr>
        <w:t>administration de la justice</w:t>
      </w:r>
      <w:r w:rsidRPr="00305B2E">
        <w:rPr>
          <w:lang w:val="fr-CA"/>
        </w:rPr>
        <w:t>.  Cette doctrine souple ne s</w:t>
      </w:r>
      <w:r>
        <w:rPr>
          <w:lang w:val="fr-CA"/>
        </w:rPr>
        <w:t>’</w:t>
      </w:r>
      <w:r w:rsidRPr="00305B2E">
        <w:rPr>
          <w:lang w:val="fr-CA"/>
        </w:rPr>
        <w:t>encombre pas d</w:t>
      </w:r>
      <w:r>
        <w:rPr>
          <w:lang w:val="fr-CA"/>
        </w:rPr>
        <w:t>’</w:t>
      </w:r>
      <w:r w:rsidRPr="00305B2E">
        <w:rPr>
          <w:lang w:val="fr-CA"/>
        </w:rPr>
        <w:t>exigences particulières telles que la notion d</w:t>
      </w:r>
      <w:r>
        <w:rPr>
          <w:lang w:val="fr-CA"/>
        </w:rPr>
        <w:t>’</w:t>
      </w:r>
      <w:r w:rsidRPr="00305B2E">
        <w:rPr>
          <w:lang w:val="fr-CA"/>
        </w:rPr>
        <w:t xml:space="preserve">irrecevabilité.  </w:t>
      </w:r>
      <w:proofErr w:type="spellStart"/>
      <w:r w:rsidRPr="00305B2E">
        <w:rPr>
          <w:lang w:val="en-US"/>
        </w:rPr>
        <w:t>Voir</w:t>
      </w:r>
      <w:proofErr w:type="spellEnd"/>
      <w:r w:rsidRPr="00305B2E">
        <w:rPr>
          <w:lang w:val="en-US"/>
        </w:rPr>
        <w:t xml:space="preserve"> </w:t>
      </w:r>
      <w:r w:rsidRPr="00305B2E">
        <w:rPr>
          <w:i/>
          <w:lang w:val="en-US"/>
        </w:rPr>
        <w:t>House of Spring Gardens Ltd. c. Waite</w:t>
      </w:r>
      <w:r w:rsidRPr="00305B2E">
        <w:rPr>
          <w:lang w:val="en-US"/>
        </w:rPr>
        <w:t xml:space="preserve">, [1990] </w:t>
      </w:r>
      <w:proofErr w:type="gramStart"/>
      <w:r w:rsidRPr="00305B2E">
        <w:rPr>
          <w:lang w:val="en-US"/>
        </w:rPr>
        <w:t>3 W.L.R. 347</w:t>
      </w:r>
      <w:proofErr w:type="gramEnd"/>
      <w:r w:rsidRPr="00305B2E">
        <w:rPr>
          <w:lang w:val="en-US"/>
        </w:rPr>
        <w:t xml:space="preserve"> [</w:t>
      </w:r>
      <w:r w:rsidR="00BF2EA1">
        <w:rPr>
          <w:lang w:val="en-US"/>
        </w:rPr>
        <w:t>(</w:t>
      </w:r>
      <w:r w:rsidRPr="00305B2E">
        <w:rPr>
          <w:lang w:val="en-US"/>
        </w:rPr>
        <w:t>C.A.</w:t>
      </w:r>
      <w:r w:rsidR="00BF2EA1">
        <w:rPr>
          <w:lang w:val="en-US"/>
        </w:rPr>
        <w:t>)</w:t>
      </w:r>
      <w:r w:rsidRPr="00305B2E">
        <w:rPr>
          <w:lang w:val="en-US"/>
        </w:rPr>
        <w:t>], p. 358</w:t>
      </w:r>
      <w:r w:rsidR="00BF2EA1">
        <w:rPr>
          <w:lang w:val="en-US"/>
        </w:rPr>
        <w:t xml:space="preserve"> </w:t>
      </w:r>
      <w:r w:rsidRPr="00305B2E">
        <w:rPr>
          <w:lang w:val="en-US"/>
        </w:rPr>
        <w:t>.</w:t>
      </w:r>
      <w:r w:rsidR="00BF2EA1">
        <w:rPr>
          <w:lang w:val="en-US"/>
        </w:rPr>
        <w:t xml:space="preserve"> . .</w:t>
      </w:r>
    </w:p>
    <w:p w:rsidR="00645F4F" w:rsidRPr="00305B2E" w:rsidRDefault="00645F4F" w:rsidP="00645F4F">
      <w:pPr>
        <w:pStyle w:val="Citation-AltC"/>
        <w:tabs>
          <w:tab w:val="left" w:pos="1530"/>
        </w:tabs>
        <w:ind w:hanging="1166"/>
        <w:rPr>
          <w:lang w:val="fr-CA"/>
        </w:rPr>
      </w:pPr>
      <w:r w:rsidRPr="00305B2E">
        <w:rPr>
          <w:lang w:val="en-US"/>
        </w:rPr>
        <w:tab/>
      </w:r>
      <w:r w:rsidRPr="00305B2E">
        <w:rPr>
          <w:lang w:val="en-US"/>
        </w:rPr>
        <w:tab/>
      </w:r>
      <w:r w:rsidRPr="00305B2E">
        <w:rPr>
          <w:lang w:val="fr-CA"/>
        </w:rPr>
        <w:t>La doctrine de l</w:t>
      </w:r>
      <w:r>
        <w:rPr>
          <w:lang w:val="fr-CA"/>
        </w:rPr>
        <w:t>’</w:t>
      </w:r>
      <w:r w:rsidRPr="00305B2E">
        <w:rPr>
          <w:lang w:val="fr-CA"/>
        </w:rPr>
        <w:t>abus de procédure a notamment été appliquée lorsque le tribunal s</w:t>
      </w:r>
      <w:r>
        <w:rPr>
          <w:lang w:val="fr-CA"/>
        </w:rPr>
        <w:t>’</w:t>
      </w:r>
      <w:r w:rsidRPr="00305B2E">
        <w:rPr>
          <w:lang w:val="fr-CA"/>
        </w:rPr>
        <w:t>est dit convaincu que le litige a essentiellement pour but de rouvrir une question qu</w:t>
      </w:r>
      <w:r>
        <w:rPr>
          <w:lang w:val="fr-CA"/>
        </w:rPr>
        <w:t>’</w:t>
      </w:r>
      <w:r w:rsidRPr="00305B2E">
        <w:rPr>
          <w:lang w:val="fr-CA"/>
        </w:rPr>
        <w:t xml:space="preserve">il a déjà tranchée.  Voir </w:t>
      </w:r>
      <w:proofErr w:type="spellStart"/>
      <w:r w:rsidRPr="00305B2E">
        <w:rPr>
          <w:i/>
          <w:lang w:val="fr-CA"/>
        </w:rPr>
        <w:t>Solomon</w:t>
      </w:r>
      <w:proofErr w:type="spellEnd"/>
      <w:r w:rsidRPr="00305B2E">
        <w:rPr>
          <w:i/>
          <w:lang w:val="fr-CA"/>
        </w:rPr>
        <w:t xml:space="preserve"> c. Smith</w:t>
      </w:r>
      <w:r w:rsidRPr="00305B2E">
        <w:rPr>
          <w:lang w:val="fr-CA"/>
        </w:rPr>
        <w:t>, précité.  C</w:t>
      </w:r>
      <w:r>
        <w:rPr>
          <w:lang w:val="fr-CA"/>
        </w:rPr>
        <w:t>’</w:t>
      </w:r>
      <w:r w:rsidRPr="00305B2E">
        <w:rPr>
          <w:lang w:val="fr-CA"/>
        </w:rPr>
        <w:t>est en se fondant sur l</w:t>
      </w:r>
      <w:r>
        <w:rPr>
          <w:lang w:val="fr-CA"/>
        </w:rPr>
        <w:t>’</w:t>
      </w:r>
      <w:r w:rsidRPr="00305B2E">
        <w:rPr>
          <w:lang w:val="fr-CA"/>
        </w:rPr>
        <w:t xml:space="preserve">abus de procédure que le juge </w:t>
      </w:r>
      <w:proofErr w:type="spellStart"/>
      <w:r w:rsidRPr="00305B2E">
        <w:rPr>
          <w:lang w:val="fr-CA"/>
        </w:rPr>
        <w:t>Nordheimer</w:t>
      </w:r>
      <w:proofErr w:type="spellEnd"/>
      <w:r w:rsidRPr="00305B2E">
        <w:rPr>
          <w:lang w:val="fr-CA"/>
        </w:rPr>
        <w:t xml:space="preserve"> a décidé de mettre un terme à cette demande de mise en cause.  [Je souligne.]</w:t>
      </w:r>
    </w:p>
    <w:p w:rsidR="00645F4F" w:rsidRPr="00305B2E" w:rsidRDefault="00645F4F" w:rsidP="00645F4F">
      <w:pPr>
        <w:pStyle w:val="ParaNoNdepar-AltN"/>
        <w:rPr>
          <w:lang w:val="fr-CA"/>
        </w:rPr>
      </w:pPr>
      <w:r w:rsidRPr="00305B2E">
        <w:rPr>
          <w:lang w:val="fr-CA"/>
        </w:rPr>
        <w:lastRenderedPageBreak/>
        <w:t>Comme il ressort de la jurisprudence, l</w:t>
      </w:r>
      <w:r>
        <w:rPr>
          <w:lang w:val="fr-CA"/>
        </w:rPr>
        <w:t>’</w:t>
      </w:r>
      <w:r w:rsidRPr="00305B2E">
        <w:rPr>
          <w:lang w:val="fr-CA"/>
        </w:rPr>
        <w:t>administration de la justice et la notion d</w:t>
      </w:r>
      <w:r>
        <w:rPr>
          <w:lang w:val="fr-CA"/>
        </w:rPr>
        <w:t>’</w:t>
      </w:r>
      <w:r w:rsidRPr="00305B2E">
        <w:rPr>
          <w:lang w:val="fr-CA"/>
        </w:rPr>
        <w:t>équité se trouvent au cœur de la doctrine de l</w:t>
      </w:r>
      <w:r>
        <w:rPr>
          <w:lang w:val="fr-CA"/>
        </w:rPr>
        <w:t>’</w:t>
      </w:r>
      <w:r w:rsidRPr="00305B2E">
        <w:rPr>
          <w:lang w:val="fr-CA"/>
        </w:rPr>
        <w:t xml:space="preserve">abus de procédure. Dans les arrêts </w:t>
      </w:r>
      <w:proofErr w:type="spellStart"/>
      <w:r w:rsidRPr="00305B2E">
        <w:rPr>
          <w:i/>
          <w:lang w:val="fr-CA"/>
        </w:rPr>
        <w:t>Canam</w:t>
      </w:r>
      <w:proofErr w:type="spellEnd"/>
      <w:r w:rsidRPr="00305B2E">
        <w:rPr>
          <w:i/>
          <w:lang w:val="fr-CA"/>
        </w:rPr>
        <w:t xml:space="preserve"> </w:t>
      </w:r>
      <w:proofErr w:type="spellStart"/>
      <w:r w:rsidRPr="00305B2E">
        <w:rPr>
          <w:i/>
          <w:lang w:val="fr-CA"/>
        </w:rPr>
        <w:t>Enterprises</w:t>
      </w:r>
      <w:proofErr w:type="spellEnd"/>
      <w:r w:rsidRPr="00305B2E">
        <w:rPr>
          <w:lang w:val="fr-CA"/>
        </w:rPr>
        <w:t xml:space="preserve"> et </w:t>
      </w:r>
      <w:r w:rsidRPr="00305B2E">
        <w:rPr>
          <w:i/>
          <w:lang w:val="fr-CA"/>
        </w:rPr>
        <w:t>S.C.F.P.</w:t>
      </w:r>
      <w:r w:rsidRPr="00305B2E">
        <w:rPr>
          <w:lang w:val="fr-CA"/>
        </w:rPr>
        <w:t xml:space="preserve">, cette doctrine a été appliquée pour empêcher la réouverture de litiges dans des circonstances où les exigences de la </w:t>
      </w:r>
      <w:proofErr w:type="spellStart"/>
      <w:r w:rsidRPr="00305B2E">
        <w:rPr>
          <w:lang w:val="fr-CA"/>
        </w:rPr>
        <w:t>préclusion</w:t>
      </w:r>
      <w:proofErr w:type="spellEnd"/>
      <w:r w:rsidRPr="00305B2E">
        <w:rPr>
          <w:lang w:val="fr-CA"/>
        </w:rPr>
        <w:t xml:space="preserve"> découlant d</w:t>
      </w:r>
      <w:r>
        <w:rPr>
          <w:lang w:val="fr-CA"/>
        </w:rPr>
        <w:t>’</w:t>
      </w:r>
      <w:r w:rsidRPr="00305B2E">
        <w:rPr>
          <w:lang w:val="fr-CA"/>
        </w:rPr>
        <w:t>une question déjà tranchée n</w:t>
      </w:r>
      <w:r>
        <w:rPr>
          <w:lang w:val="fr-CA"/>
        </w:rPr>
        <w:t>’</w:t>
      </w:r>
      <w:r w:rsidRPr="00305B2E">
        <w:rPr>
          <w:lang w:val="fr-CA"/>
        </w:rPr>
        <w:t>étaient pas respectées.  Toutefois, l</w:t>
      </w:r>
      <w:r>
        <w:rPr>
          <w:lang w:val="fr-CA"/>
        </w:rPr>
        <w:t>’</w:t>
      </w:r>
      <w:r w:rsidRPr="00305B2E">
        <w:rPr>
          <w:lang w:val="fr-CA"/>
        </w:rPr>
        <w:t>application de la doctrine ne se limite pas à empêcher la réouverture d</w:t>
      </w:r>
      <w:r>
        <w:rPr>
          <w:lang w:val="fr-CA"/>
        </w:rPr>
        <w:t>’</w:t>
      </w:r>
      <w:r w:rsidRPr="00305B2E">
        <w:rPr>
          <w:lang w:val="fr-CA"/>
        </w:rPr>
        <w:t>un litige.  À titre d</w:t>
      </w:r>
      <w:r>
        <w:rPr>
          <w:lang w:val="fr-CA"/>
        </w:rPr>
        <w:t>’</w:t>
      </w:r>
      <w:r w:rsidRPr="00305B2E">
        <w:rPr>
          <w:lang w:val="fr-CA"/>
        </w:rPr>
        <w:t xml:space="preserve">exemple, dans </w:t>
      </w:r>
      <w:proofErr w:type="spellStart"/>
      <w:r w:rsidRPr="00305B2E">
        <w:rPr>
          <w:i/>
          <w:lang w:val="fr-CA"/>
        </w:rPr>
        <w:t>Blencoe</w:t>
      </w:r>
      <w:proofErr w:type="spellEnd"/>
      <w:r w:rsidRPr="00305B2E">
        <w:rPr>
          <w:i/>
          <w:lang w:val="fr-CA"/>
        </w:rPr>
        <w:t xml:space="preserve"> c. </w:t>
      </w:r>
      <w:proofErr w:type="spellStart"/>
      <w:r w:rsidRPr="00305B2E">
        <w:rPr>
          <w:i/>
          <w:lang w:val="fr-CA"/>
        </w:rPr>
        <w:t>Colombie</w:t>
      </w:r>
      <w:r w:rsidRPr="00305B2E">
        <w:rPr>
          <w:i/>
          <w:lang w:val="fr-CA"/>
        </w:rPr>
        <w:noBreakHyphen/>
        <w:t>Britannique</w:t>
      </w:r>
      <w:proofErr w:type="spellEnd"/>
      <w:r w:rsidRPr="00305B2E">
        <w:rPr>
          <w:i/>
          <w:lang w:val="fr-CA"/>
        </w:rPr>
        <w:t xml:space="preserve"> (</w:t>
      </w:r>
      <w:proofErr w:type="spellStart"/>
      <w:r w:rsidRPr="00305B2E">
        <w:rPr>
          <w:i/>
          <w:lang w:val="fr-CA"/>
        </w:rPr>
        <w:t>Human</w:t>
      </w:r>
      <w:proofErr w:type="spellEnd"/>
      <w:r w:rsidRPr="00305B2E">
        <w:rPr>
          <w:i/>
          <w:lang w:val="fr-CA"/>
        </w:rPr>
        <w:t xml:space="preserve"> </w:t>
      </w:r>
      <w:proofErr w:type="spellStart"/>
      <w:r w:rsidRPr="00305B2E">
        <w:rPr>
          <w:i/>
          <w:lang w:val="fr-CA"/>
        </w:rPr>
        <w:t>Rights</w:t>
      </w:r>
      <w:proofErr w:type="spellEnd"/>
      <w:r w:rsidRPr="00305B2E">
        <w:rPr>
          <w:i/>
          <w:lang w:val="fr-CA"/>
        </w:rPr>
        <w:t xml:space="preserve"> Commission)</w:t>
      </w:r>
      <w:r w:rsidRPr="00305B2E">
        <w:rPr>
          <w:lang w:val="fr-CA"/>
        </w:rPr>
        <w:t>, 2000 CSC 44, [2000] 2 R.C.S. 307, la Cour a conclu qu</w:t>
      </w:r>
      <w:r>
        <w:rPr>
          <w:lang w:val="fr-CA"/>
        </w:rPr>
        <w:t>’</w:t>
      </w:r>
      <w:r w:rsidRPr="00305B2E">
        <w:rPr>
          <w:lang w:val="fr-CA"/>
        </w:rPr>
        <w:t>un délai déraisonnable causant un préjudice grave pouvait c</w:t>
      </w:r>
      <w:r w:rsidR="00017FED">
        <w:rPr>
          <w:lang w:val="fr-CA"/>
        </w:rPr>
        <w:t>onstituer un abus de procédure</w:t>
      </w:r>
      <w:r w:rsidRPr="00305B2E">
        <w:rPr>
          <w:lang w:val="fr-CA"/>
        </w:rPr>
        <w:t xml:space="preserve"> </w:t>
      </w:r>
      <w:r w:rsidR="00017FED">
        <w:rPr>
          <w:lang w:val="fr-CA"/>
        </w:rPr>
        <w:t>(</w:t>
      </w:r>
      <w:r w:rsidRPr="00305B2E">
        <w:rPr>
          <w:lang w:val="fr-CA"/>
        </w:rPr>
        <w:t>par. 101</w:t>
      </w:r>
      <w:r w:rsidRPr="00305B2E">
        <w:rPr>
          <w:lang w:val="fr-CA"/>
        </w:rPr>
        <w:noBreakHyphen/>
        <w:t>121</w:t>
      </w:r>
      <w:r w:rsidR="00017FED">
        <w:rPr>
          <w:lang w:val="fr-CA"/>
        </w:rPr>
        <w:t>)</w:t>
      </w:r>
      <w:r w:rsidRPr="00305B2E">
        <w:rPr>
          <w:lang w:val="fr-CA"/>
        </w:rPr>
        <w:t>.  La doctrine de l</w:t>
      </w:r>
      <w:r>
        <w:rPr>
          <w:lang w:val="fr-CA"/>
        </w:rPr>
        <w:t>’</w:t>
      </w:r>
      <w:r w:rsidRPr="00305B2E">
        <w:rPr>
          <w:lang w:val="fr-CA"/>
        </w:rPr>
        <w:t>abus de procédure est souple et permet d</w:t>
      </w:r>
      <w:r>
        <w:rPr>
          <w:lang w:val="fr-CA"/>
        </w:rPr>
        <w:t>’</w:t>
      </w:r>
      <w:r w:rsidRPr="00305B2E">
        <w:rPr>
          <w:lang w:val="fr-CA"/>
        </w:rPr>
        <w:t>éviter que l</w:t>
      </w:r>
      <w:r>
        <w:rPr>
          <w:lang w:val="fr-CA"/>
        </w:rPr>
        <w:t>’</w:t>
      </w:r>
      <w:r w:rsidRPr="00305B2E">
        <w:rPr>
          <w:lang w:val="fr-CA"/>
        </w:rPr>
        <w:t>administration de la justice soit déconsidérée.</w:t>
      </w:r>
    </w:p>
    <w:p w:rsidR="00645F4F" w:rsidRPr="00305B2E" w:rsidRDefault="00645F4F" w:rsidP="00645F4F">
      <w:pPr>
        <w:pStyle w:val="ParaNoNdepar-AltN"/>
        <w:rPr>
          <w:lang w:val="fr-CA"/>
        </w:rPr>
      </w:pPr>
      <w:r w:rsidRPr="00305B2E">
        <w:rPr>
          <w:lang w:val="fr-CA"/>
        </w:rPr>
        <w:t xml:space="preserve">Les gestes posés par les </w:t>
      </w:r>
      <w:proofErr w:type="spellStart"/>
      <w:r w:rsidRPr="00305B2E">
        <w:rPr>
          <w:lang w:val="fr-CA"/>
        </w:rPr>
        <w:t>Behn</w:t>
      </w:r>
      <w:proofErr w:type="spellEnd"/>
      <w:r w:rsidRPr="00305B2E">
        <w:rPr>
          <w:lang w:val="fr-CA"/>
        </w:rPr>
        <w:t xml:space="preserve"> constituent selon moi un abus de procédure.  Les </w:t>
      </w:r>
      <w:proofErr w:type="spellStart"/>
      <w:r w:rsidRPr="00305B2E">
        <w:rPr>
          <w:lang w:val="fr-CA"/>
        </w:rPr>
        <w:t>Behn</w:t>
      </w:r>
      <w:proofErr w:type="spellEnd"/>
      <w:r w:rsidRPr="00305B2E">
        <w:rPr>
          <w:lang w:val="fr-CA"/>
        </w:rPr>
        <w:t xml:space="preserve"> ont clairement contesté la validité des autorisations aux motifs qu</w:t>
      </w:r>
      <w:r>
        <w:rPr>
          <w:lang w:val="fr-CA"/>
        </w:rPr>
        <w:t>’</w:t>
      </w:r>
      <w:r w:rsidRPr="00305B2E">
        <w:rPr>
          <w:lang w:val="fr-CA"/>
        </w:rPr>
        <w:t>elles portaient atteinte à leurs droits issus de traités et que la Couronne ne s</w:t>
      </w:r>
      <w:r>
        <w:rPr>
          <w:lang w:val="fr-CA"/>
        </w:rPr>
        <w:t>’</w:t>
      </w:r>
      <w:r w:rsidRPr="00305B2E">
        <w:rPr>
          <w:lang w:val="fr-CA"/>
        </w:rPr>
        <w:t>était pas acquittée de son obligation de consultation.  Au vu du dossier, bien qu</w:t>
      </w:r>
      <w:r>
        <w:rPr>
          <w:lang w:val="fr-CA"/>
        </w:rPr>
        <w:t>’</w:t>
      </w:r>
      <w:r w:rsidRPr="00305B2E">
        <w:rPr>
          <w:lang w:val="fr-CA"/>
        </w:rPr>
        <w:t>ils prétendent aujourd</w:t>
      </w:r>
      <w:r>
        <w:rPr>
          <w:lang w:val="fr-CA"/>
        </w:rPr>
        <w:t>’</w:t>
      </w:r>
      <w:r w:rsidRPr="00305B2E">
        <w:rPr>
          <w:lang w:val="fr-CA"/>
        </w:rPr>
        <w:t xml:space="preserve">hui avoir qualité pour soulever ces questions, les </w:t>
      </w:r>
      <w:proofErr w:type="spellStart"/>
      <w:r w:rsidRPr="00305B2E">
        <w:rPr>
          <w:lang w:val="fr-CA"/>
        </w:rPr>
        <w:t>Behn</w:t>
      </w:r>
      <w:proofErr w:type="spellEnd"/>
      <w:r w:rsidRPr="00305B2E">
        <w:rPr>
          <w:lang w:val="fr-CA"/>
        </w:rPr>
        <w:t xml:space="preserve"> n</w:t>
      </w:r>
      <w:r>
        <w:rPr>
          <w:lang w:val="fr-CA"/>
        </w:rPr>
        <w:t>’</w:t>
      </w:r>
      <w:r w:rsidRPr="00305B2E">
        <w:rPr>
          <w:lang w:val="fr-CA"/>
        </w:rPr>
        <w:t xml:space="preserve">ont pas cherché à résoudre la question de la qualité pour agir ni contesté devant les tribunaux la validité des autorisations lorsque </w:t>
      </w:r>
      <w:proofErr w:type="spellStart"/>
      <w:r w:rsidRPr="00305B2E">
        <w:rPr>
          <w:lang w:val="fr-CA"/>
        </w:rPr>
        <w:t>celles</w:t>
      </w:r>
      <w:r w:rsidRPr="00305B2E">
        <w:rPr>
          <w:lang w:val="fr-CA"/>
        </w:rPr>
        <w:noBreakHyphen/>
        <w:t>ci</w:t>
      </w:r>
      <w:proofErr w:type="spellEnd"/>
      <w:r w:rsidRPr="00305B2E">
        <w:rPr>
          <w:lang w:val="fr-CA"/>
        </w:rPr>
        <w:t xml:space="preserve"> ont été accordées.  Ils n</w:t>
      </w:r>
      <w:r>
        <w:rPr>
          <w:lang w:val="fr-CA"/>
        </w:rPr>
        <w:t>’</w:t>
      </w:r>
      <w:r w:rsidRPr="00305B2E">
        <w:rPr>
          <w:lang w:val="fr-CA"/>
        </w:rPr>
        <w:t xml:space="preserve">ont pas fait part de leurs préoccupations à </w:t>
      </w:r>
      <w:proofErr w:type="spellStart"/>
      <w:r w:rsidRPr="00305B2E">
        <w:rPr>
          <w:lang w:val="fr-CA"/>
        </w:rPr>
        <w:t>Moulton</w:t>
      </w:r>
      <w:proofErr w:type="spellEnd"/>
      <w:r w:rsidRPr="00305B2E">
        <w:rPr>
          <w:lang w:val="fr-CA"/>
        </w:rPr>
        <w:t xml:space="preserve"> après la délivrance des autorisations.  Ils ont plutôt, sans aucun avertissement, érigé un camp qui bloquait l</w:t>
      </w:r>
      <w:r>
        <w:rPr>
          <w:lang w:val="fr-CA"/>
        </w:rPr>
        <w:t>’</w:t>
      </w:r>
      <w:r w:rsidRPr="00305B2E">
        <w:rPr>
          <w:lang w:val="fr-CA"/>
        </w:rPr>
        <w:t>accès aux sites d</w:t>
      </w:r>
      <w:r>
        <w:rPr>
          <w:lang w:val="fr-CA"/>
        </w:rPr>
        <w:t>’</w:t>
      </w:r>
      <w:r w:rsidRPr="00305B2E">
        <w:rPr>
          <w:lang w:val="fr-CA"/>
        </w:rPr>
        <w:t xml:space="preserve">exploitation forestière attribués à </w:t>
      </w:r>
      <w:proofErr w:type="spellStart"/>
      <w:r w:rsidRPr="00305B2E">
        <w:rPr>
          <w:lang w:val="fr-CA"/>
        </w:rPr>
        <w:t>Moulton</w:t>
      </w:r>
      <w:proofErr w:type="spellEnd"/>
      <w:r w:rsidRPr="00305B2E">
        <w:rPr>
          <w:lang w:val="fr-CA"/>
        </w:rPr>
        <w:t xml:space="preserve">.  Ce faisant, les </w:t>
      </w:r>
      <w:proofErr w:type="spellStart"/>
      <w:r w:rsidRPr="00305B2E">
        <w:rPr>
          <w:lang w:val="fr-CA"/>
        </w:rPr>
        <w:t>Behn</w:t>
      </w:r>
      <w:proofErr w:type="spellEnd"/>
      <w:r w:rsidRPr="00305B2E">
        <w:rPr>
          <w:lang w:val="fr-CA"/>
        </w:rPr>
        <w:t xml:space="preserve"> n</w:t>
      </w:r>
      <w:r>
        <w:rPr>
          <w:lang w:val="fr-CA"/>
        </w:rPr>
        <w:t>’</w:t>
      </w:r>
      <w:r w:rsidRPr="00305B2E">
        <w:rPr>
          <w:lang w:val="fr-CA"/>
        </w:rPr>
        <w:t>ont laissé d</w:t>
      </w:r>
      <w:r>
        <w:rPr>
          <w:lang w:val="fr-CA"/>
        </w:rPr>
        <w:t>’</w:t>
      </w:r>
      <w:r w:rsidRPr="00305B2E">
        <w:rPr>
          <w:lang w:val="fr-CA"/>
        </w:rPr>
        <w:t xml:space="preserve">autre choix à </w:t>
      </w:r>
      <w:proofErr w:type="spellStart"/>
      <w:r w:rsidRPr="00305B2E">
        <w:rPr>
          <w:lang w:val="fr-CA"/>
        </w:rPr>
        <w:t>Moulton</w:t>
      </w:r>
      <w:proofErr w:type="spellEnd"/>
      <w:r w:rsidRPr="00305B2E">
        <w:rPr>
          <w:lang w:val="fr-CA"/>
        </w:rPr>
        <w:t xml:space="preserve"> que de s</w:t>
      </w:r>
      <w:r>
        <w:rPr>
          <w:lang w:val="fr-CA"/>
        </w:rPr>
        <w:t>’</w:t>
      </w:r>
      <w:r w:rsidRPr="00305B2E">
        <w:rPr>
          <w:lang w:val="fr-CA"/>
        </w:rPr>
        <w:t xml:space="preserve">adresser aux tribunaux ou de renoncer à la possibilité de </w:t>
      </w:r>
      <w:r w:rsidRPr="00305B2E">
        <w:rPr>
          <w:lang w:val="fr-CA"/>
        </w:rPr>
        <w:lastRenderedPageBreak/>
        <w:t>couper du bois, comme le lui permettaient les autorisations qu</w:t>
      </w:r>
      <w:r>
        <w:rPr>
          <w:lang w:val="fr-CA"/>
        </w:rPr>
        <w:t>’</w:t>
      </w:r>
      <w:r w:rsidRPr="00305B2E">
        <w:rPr>
          <w:lang w:val="fr-CA"/>
        </w:rPr>
        <w:t xml:space="preserve">elle avait obtenues, après avoir engagé des frais considérables pour entreprendre ses travaux.  Permettre aux </w:t>
      </w:r>
      <w:proofErr w:type="spellStart"/>
      <w:r w:rsidRPr="00305B2E">
        <w:rPr>
          <w:lang w:val="fr-CA"/>
        </w:rPr>
        <w:t>Behn</w:t>
      </w:r>
      <w:proofErr w:type="spellEnd"/>
      <w:r w:rsidRPr="00305B2E">
        <w:rPr>
          <w:lang w:val="fr-CA"/>
        </w:rPr>
        <w:t>, à ce stade, de soulever une défense fondée sur leurs droits issus d</w:t>
      </w:r>
      <w:r>
        <w:rPr>
          <w:lang w:val="fr-CA"/>
        </w:rPr>
        <w:t>’</w:t>
      </w:r>
      <w:r w:rsidRPr="00305B2E">
        <w:rPr>
          <w:lang w:val="fr-CA"/>
        </w:rPr>
        <w:t>un traité et sur un manquement à l</w:t>
      </w:r>
      <w:r>
        <w:rPr>
          <w:lang w:val="fr-CA"/>
        </w:rPr>
        <w:t>’</w:t>
      </w:r>
      <w:r w:rsidRPr="00305B2E">
        <w:rPr>
          <w:lang w:val="fr-CA"/>
        </w:rPr>
        <w:t>obligation de consultation équivaudrait à tolérer le recours à l</w:t>
      </w:r>
      <w:r>
        <w:rPr>
          <w:lang w:val="fr-CA"/>
        </w:rPr>
        <w:t>’</w:t>
      </w:r>
      <w:proofErr w:type="spellStart"/>
      <w:r w:rsidRPr="00305B2E">
        <w:rPr>
          <w:lang w:val="fr-CA"/>
        </w:rPr>
        <w:t>autoredressement</w:t>
      </w:r>
      <w:proofErr w:type="spellEnd"/>
      <w:r w:rsidRPr="00305B2E">
        <w:rPr>
          <w:lang w:val="fr-CA"/>
        </w:rPr>
        <w:t xml:space="preserve"> et déconsidérerait l</w:t>
      </w:r>
      <w:r>
        <w:rPr>
          <w:lang w:val="fr-CA"/>
        </w:rPr>
        <w:t>’</w:t>
      </w:r>
      <w:r w:rsidRPr="00305B2E">
        <w:rPr>
          <w:lang w:val="fr-CA"/>
        </w:rPr>
        <w:t>administration de la justice.  En outre, on ferait ainsi fi de l</w:t>
      </w:r>
      <w:r>
        <w:rPr>
          <w:lang w:val="fr-CA"/>
        </w:rPr>
        <w:t>’</w:t>
      </w:r>
      <w:r w:rsidRPr="00305B2E">
        <w:rPr>
          <w:lang w:val="fr-CA"/>
        </w:rPr>
        <w:t xml:space="preserve">obligation mutuelle de bonne foi qui </w:t>
      </w:r>
      <w:proofErr w:type="spellStart"/>
      <w:r w:rsidRPr="00305B2E">
        <w:rPr>
          <w:lang w:val="fr-CA"/>
        </w:rPr>
        <w:t>sous</w:t>
      </w:r>
      <w:r w:rsidRPr="00305B2E">
        <w:rPr>
          <w:lang w:val="fr-CA"/>
        </w:rPr>
        <w:noBreakHyphen/>
        <w:t>tend</w:t>
      </w:r>
      <w:proofErr w:type="spellEnd"/>
      <w:r w:rsidRPr="00305B2E">
        <w:rPr>
          <w:lang w:val="fr-CA"/>
        </w:rPr>
        <w:t xml:space="preserve"> l</w:t>
      </w:r>
      <w:r>
        <w:rPr>
          <w:lang w:val="fr-CA"/>
        </w:rPr>
        <w:t>’</w:t>
      </w:r>
      <w:r w:rsidRPr="00305B2E">
        <w:rPr>
          <w:lang w:val="fr-CA"/>
        </w:rPr>
        <w:t>obligation constitutionnelle de la Couronne de consulter les Premières Nations.  La doctrine de l</w:t>
      </w:r>
      <w:r>
        <w:rPr>
          <w:lang w:val="fr-CA"/>
        </w:rPr>
        <w:t>’</w:t>
      </w:r>
      <w:r w:rsidRPr="00305B2E">
        <w:rPr>
          <w:lang w:val="fr-CA"/>
        </w:rPr>
        <w:t>abus de procédure s</w:t>
      </w:r>
      <w:r>
        <w:rPr>
          <w:lang w:val="fr-CA"/>
        </w:rPr>
        <w:t>’</w:t>
      </w:r>
      <w:r w:rsidRPr="00305B2E">
        <w:rPr>
          <w:lang w:val="fr-CA"/>
        </w:rPr>
        <w:t>applique, et les appelants ne peuvent invoquer en défense l</w:t>
      </w:r>
      <w:r>
        <w:rPr>
          <w:lang w:val="fr-CA"/>
        </w:rPr>
        <w:t>’</w:t>
      </w:r>
      <w:r w:rsidRPr="00305B2E">
        <w:rPr>
          <w:lang w:val="fr-CA"/>
        </w:rPr>
        <w:t>atteinte aux droits issus de traités et le manquement à l</w:t>
      </w:r>
      <w:r>
        <w:rPr>
          <w:lang w:val="fr-CA"/>
        </w:rPr>
        <w:t>’</w:t>
      </w:r>
      <w:r w:rsidRPr="00305B2E">
        <w:rPr>
          <w:lang w:val="fr-CA"/>
        </w:rPr>
        <w:t xml:space="preserve">obligation de consultation. </w:t>
      </w:r>
    </w:p>
    <w:p w:rsidR="00645F4F" w:rsidRPr="00305B2E" w:rsidRDefault="00645F4F" w:rsidP="00645F4F">
      <w:pPr>
        <w:pStyle w:val="TitleTitre-AltT"/>
        <w:keepNext/>
        <w:rPr>
          <w:u w:val="single"/>
          <w:lang w:val="fr-CA"/>
        </w:rPr>
      </w:pPr>
      <w:r w:rsidRPr="00305B2E">
        <w:rPr>
          <w:lang w:val="fr-CA"/>
        </w:rPr>
        <w:t>V.</w:t>
      </w:r>
      <w:r w:rsidRPr="00305B2E">
        <w:rPr>
          <w:lang w:val="fr-CA"/>
        </w:rPr>
        <w:tab/>
      </w:r>
      <w:r w:rsidRPr="00305B2E">
        <w:rPr>
          <w:u w:val="single"/>
          <w:lang w:val="fr-CA"/>
        </w:rPr>
        <w:t>Conclusion</w:t>
      </w:r>
    </w:p>
    <w:p w:rsidR="00645F4F" w:rsidRPr="00305B2E" w:rsidRDefault="00645F4F" w:rsidP="00645F4F">
      <w:pPr>
        <w:pStyle w:val="ParaNoNdepar-AltN"/>
        <w:rPr>
          <w:lang w:val="fr-CA"/>
        </w:rPr>
      </w:pPr>
      <w:r w:rsidRPr="00305B2E">
        <w:rPr>
          <w:lang w:val="fr-CA"/>
        </w:rPr>
        <w:t>Pour les motifs qui précèdent, je suis d</w:t>
      </w:r>
      <w:r>
        <w:rPr>
          <w:lang w:val="fr-CA"/>
        </w:rPr>
        <w:t>’</w:t>
      </w:r>
      <w:r w:rsidRPr="00305B2E">
        <w:rPr>
          <w:lang w:val="fr-CA"/>
        </w:rPr>
        <w:t>avis de rejeter le pourvoi avec dépens en faveur de l</w:t>
      </w:r>
      <w:r>
        <w:rPr>
          <w:lang w:val="fr-CA"/>
        </w:rPr>
        <w:t>’</w:t>
      </w:r>
      <w:r w:rsidRPr="00305B2E">
        <w:rPr>
          <w:lang w:val="fr-CA"/>
        </w:rPr>
        <w:t xml:space="preserve">intimée </w:t>
      </w:r>
      <w:proofErr w:type="spellStart"/>
      <w:r w:rsidRPr="00305B2E">
        <w:rPr>
          <w:lang w:val="fr-CA"/>
        </w:rPr>
        <w:t>Moulton</w:t>
      </w:r>
      <w:proofErr w:type="spellEnd"/>
      <w:r w:rsidRPr="00305B2E">
        <w:rPr>
          <w:lang w:val="fr-CA"/>
        </w:rPr>
        <w:t>.</w:t>
      </w:r>
    </w:p>
    <w:p w:rsidR="004D7D95" w:rsidRPr="00AA6F07" w:rsidRDefault="00FE3AB3" w:rsidP="00043E6D">
      <w:pPr>
        <w:pStyle w:val="SCCNormalDoubleSpacing"/>
        <w:spacing w:after="480"/>
        <w:rPr>
          <w:lang w:val="fr-CA"/>
        </w:rPr>
      </w:pPr>
      <w:r w:rsidRPr="00AA6F07">
        <w:rPr>
          <w:lang w:val="fr-CA"/>
        </w:rPr>
        <w:tab/>
      </w:r>
      <w:r w:rsidR="0042748F" w:rsidRPr="00AA6F07">
        <w:rPr>
          <w:i/>
          <w:lang w:val="fr-CA"/>
        </w:rPr>
        <w:t>Pourvoi rejeté</w:t>
      </w:r>
      <w:r w:rsidRPr="00AA6F07">
        <w:rPr>
          <w:i/>
          <w:lang w:val="fr-CA"/>
        </w:rPr>
        <w:t xml:space="preserve"> avec dépens.</w:t>
      </w:r>
      <w:r w:rsidRPr="00AA6F07">
        <w:rPr>
          <w:lang w:val="fr-CA"/>
        </w:rPr>
        <w:t xml:space="preserve"> </w:t>
      </w:r>
    </w:p>
    <w:p w:rsidR="00FE3AB3" w:rsidRPr="00AA6F07" w:rsidRDefault="00FE3AB3" w:rsidP="00043E6D">
      <w:pPr>
        <w:pStyle w:val="SCCLawFirm"/>
        <w:spacing w:after="480"/>
        <w:rPr>
          <w:lang w:val="fr-CA"/>
        </w:rPr>
      </w:pPr>
      <w:r w:rsidRPr="00AA6F07">
        <w:rPr>
          <w:lang w:val="fr-CA"/>
        </w:rPr>
        <w:tab/>
        <w:t>Procureurs des appelants</w:t>
      </w:r>
      <w:r w:rsidR="0042748F" w:rsidRPr="00AA6F07">
        <w:rPr>
          <w:lang w:val="fr-CA"/>
        </w:rPr>
        <w:t> :</w:t>
      </w:r>
      <w:r w:rsidR="00043E6D" w:rsidRPr="00AA6F07">
        <w:rPr>
          <w:lang w:val="fr-CA"/>
        </w:rPr>
        <w:t> </w:t>
      </w:r>
      <w:proofErr w:type="spellStart"/>
      <w:r w:rsidRPr="00AA6F07">
        <w:rPr>
          <w:lang w:val="fr-CA"/>
        </w:rPr>
        <w:t>Janes</w:t>
      </w:r>
      <w:proofErr w:type="spellEnd"/>
      <w:r w:rsidRPr="00AA6F07">
        <w:rPr>
          <w:lang w:val="fr-CA"/>
        </w:rPr>
        <w:t xml:space="preserve"> </w:t>
      </w:r>
      <w:proofErr w:type="spellStart"/>
      <w:r w:rsidRPr="00AA6F07">
        <w:rPr>
          <w:lang w:val="fr-CA"/>
        </w:rPr>
        <w:t>Freedman</w:t>
      </w:r>
      <w:proofErr w:type="spellEnd"/>
      <w:r w:rsidRPr="00AA6F07">
        <w:rPr>
          <w:lang w:val="fr-CA"/>
        </w:rPr>
        <w:t xml:space="preserve"> Kyle Law Corporation, Vancouver.</w:t>
      </w:r>
    </w:p>
    <w:p w:rsidR="00FE3AB3" w:rsidRPr="00AA6F07" w:rsidRDefault="00FE3AB3" w:rsidP="00043E6D">
      <w:pPr>
        <w:pStyle w:val="SCCLawFirm"/>
        <w:spacing w:after="480"/>
        <w:rPr>
          <w:lang w:val="fr-CA"/>
        </w:rPr>
      </w:pPr>
      <w:r w:rsidRPr="00AA6F07">
        <w:rPr>
          <w:lang w:val="fr-CA"/>
        </w:rPr>
        <w:tab/>
        <w:t>Procureurs de l</w:t>
      </w:r>
      <w:r w:rsidR="002776F8">
        <w:rPr>
          <w:lang w:val="fr-CA"/>
        </w:rPr>
        <w:t>’</w:t>
      </w:r>
      <w:r w:rsidRPr="00AA6F07">
        <w:rPr>
          <w:lang w:val="fr-CA"/>
        </w:rPr>
        <w:t xml:space="preserve">intimée </w:t>
      </w:r>
      <w:proofErr w:type="spellStart"/>
      <w:r w:rsidRPr="00AA6F07">
        <w:rPr>
          <w:lang w:val="fr-CA"/>
        </w:rPr>
        <w:t>Moulton</w:t>
      </w:r>
      <w:proofErr w:type="spellEnd"/>
      <w:r w:rsidRPr="00AA6F07">
        <w:rPr>
          <w:lang w:val="fr-CA"/>
        </w:rPr>
        <w:t xml:space="preserve"> </w:t>
      </w:r>
      <w:proofErr w:type="spellStart"/>
      <w:r w:rsidRPr="00AA6F07">
        <w:rPr>
          <w:lang w:val="fr-CA"/>
        </w:rPr>
        <w:t>Contracting</w:t>
      </w:r>
      <w:proofErr w:type="spellEnd"/>
      <w:r w:rsidRPr="00AA6F07">
        <w:rPr>
          <w:lang w:val="fr-CA"/>
        </w:rPr>
        <w:t xml:space="preserve"> Ltd.</w:t>
      </w:r>
      <w:r w:rsidR="0042748F" w:rsidRPr="00AA6F07">
        <w:rPr>
          <w:lang w:val="fr-CA"/>
        </w:rPr>
        <w:t> :</w:t>
      </w:r>
      <w:r w:rsidR="00043E6D" w:rsidRPr="00AA6F07">
        <w:rPr>
          <w:lang w:val="fr-CA"/>
        </w:rPr>
        <w:t> </w:t>
      </w:r>
      <w:proofErr w:type="spellStart"/>
      <w:r w:rsidRPr="00AA6F07">
        <w:rPr>
          <w:lang w:val="fr-CA"/>
        </w:rPr>
        <w:t>Fasken</w:t>
      </w:r>
      <w:proofErr w:type="spellEnd"/>
      <w:r w:rsidRPr="00AA6F07">
        <w:rPr>
          <w:lang w:val="fr-CA"/>
        </w:rPr>
        <w:t xml:space="preserve"> Martineau </w:t>
      </w:r>
      <w:proofErr w:type="spellStart"/>
      <w:r w:rsidRPr="00AA6F07">
        <w:rPr>
          <w:lang w:val="fr-CA"/>
        </w:rPr>
        <w:t>DuMoulin</w:t>
      </w:r>
      <w:proofErr w:type="spellEnd"/>
      <w:r w:rsidRPr="00AA6F07">
        <w:rPr>
          <w:lang w:val="fr-CA"/>
        </w:rPr>
        <w:t>, Vancouver.</w:t>
      </w:r>
    </w:p>
    <w:p w:rsidR="00FE3AB3" w:rsidRPr="00AA6F07" w:rsidRDefault="00FE3AB3" w:rsidP="00043E6D">
      <w:pPr>
        <w:pStyle w:val="SCCLawFirm"/>
        <w:spacing w:after="480"/>
        <w:rPr>
          <w:lang w:val="fr-CA"/>
        </w:rPr>
      </w:pPr>
      <w:r w:rsidRPr="00AA6F07">
        <w:rPr>
          <w:lang w:val="fr-CA"/>
        </w:rPr>
        <w:lastRenderedPageBreak/>
        <w:tab/>
        <w:t>Procureur de l</w:t>
      </w:r>
      <w:r w:rsidR="002776F8">
        <w:rPr>
          <w:lang w:val="fr-CA"/>
        </w:rPr>
        <w:t>’</w:t>
      </w:r>
      <w:r w:rsidRPr="00AA6F07">
        <w:rPr>
          <w:lang w:val="fr-CA"/>
        </w:rPr>
        <w:t xml:space="preserve">intimée Sa Majesté la Reine du chef de la province de la </w:t>
      </w:r>
      <w:proofErr w:type="spellStart"/>
      <w:r w:rsidRPr="00AA6F07">
        <w:rPr>
          <w:lang w:val="fr-CA"/>
        </w:rPr>
        <w:t>Colombie</w:t>
      </w:r>
      <w:r w:rsidR="0042748F" w:rsidRPr="00AA6F07">
        <w:rPr>
          <w:lang w:val="fr-CA"/>
        </w:rPr>
        <w:noBreakHyphen/>
      </w:r>
      <w:r w:rsidRPr="00AA6F07">
        <w:rPr>
          <w:lang w:val="fr-CA"/>
        </w:rPr>
        <w:t>Britannique</w:t>
      </w:r>
      <w:proofErr w:type="spellEnd"/>
      <w:r w:rsidR="0042748F" w:rsidRPr="00AA6F07">
        <w:rPr>
          <w:lang w:val="fr-CA"/>
        </w:rPr>
        <w:t> :</w:t>
      </w:r>
      <w:r w:rsidR="00043E6D" w:rsidRPr="00AA6F07">
        <w:rPr>
          <w:lang w:val="fr-CA"/>
        </w:rPr>
        <w:t> </w:t>
      </w:r>
      <w:r w:rsidRPr="00AA6F07">
        <w:rPr>
          <w:lang w:val="fr-CA"/>
        </w:rPr>
        <w:t xml:space="preserve">Procureur général de la </w:t>
      </w:r>
      <w:proofErr w:type="spellStart"/>
      <w:r w:rsidRPr="00AA6F07">
        <w:rPr>
          <w:lang w:val="fr-CA"/>
        </w:rPr>
        <w:t>Colombie</w:t>
      </w:r>
      <w:r w:rsidR="0042748F" w:rsidRPr="00AA6F07">
        <w:rPr>
          <w:lang w:val="fr-CA"/>
        </w:rPr>
        <w:noBreakHyphen/>
      </w:r>
      <w:r w:rsidRPr="00AA6F07">
        <w:rPr>
          <w:lang w:val="fr-CA"/>
        </w:rPr>
        <w:t>Britannique</w:t>
      </w:r>
      <w:proofErr w:type="spellEnd"/>
      <w:r w:rsidRPr="00AA6F07">
        <w:rPr>
          <w:lang w:val="fr-CA"/>
        </w:rPr>
        <w:t>, Victoria.</w:t>
      </w:r>
    </w:p>
    <w:p w:rsidR="00FE3AB3" w:rsidRPr="00AA6F07" w:rsidRDefault="00FE3AB3" w:rsidP="00043E6D">
      <w:pPr>
        <w:pStyle w:val="SCCLawFirm"/>
        <w:spacing w:after="480"/>
        <w:rPr>
          <w:lang w:val="fr-CA"/>
        </w:rPr>
      </w:pPr>
      <w:r w:rsidRPr="00AA6F07">
        <w:rPr>
          <w:lang w:val="fr-CA"/>
        </w:rPr>
        <w:tab/>
        <w:t>Procureur de l</w:t>
      </w:r>
      <w:r w:rsidR="002776F8">
        <w:rPr>
          <w:lang w:val="fr-CA"/>
        </w:rPr>
        <w:t>’</w:t>
      </w:r>
      <w:r w:rsidRPr="00AA6F07">
        <w:rPr>
          <w:lang w:val="fr-CA"/>
        </w:rPr>
        <w:t>intervenant le procureur général du Canada</w:t>
      </w:r>
      <w:r w:rsidR="0042748F" w:rsidRPr="00AA6F07">
        <w:rPr>
          <w:lang w:val="fr-CA"/>
        </w:rPr>
        <w:t> :</w:t>
      </w:r>
      <w:r w:rsidR="00043E6D" w:rsidRPr="00AA6F07">
        <w:rPr>
          <w:lang w:val="fr-CA"/>
        </w:rPr>
        <w:t> </w:t>
      </w:r>
      <w:r w:rsidRPr="00AA6F07">
        <w:rPr>
          <w:lang w:val="fr-CA"/>
        </w:rPr>
        <w:t>Procureur général du Canada, Vancouver.</w:t>
      </w:r>
    </w:p>
    <w:p w:rsidR="00FE3AB3" w:rsidRPr="00AA6F07" w:rsidRDefault="00FE3AB3" w:rsidP="00043E6D">
      <w:pPr>
        <w:pStyle w:val="SCCLawFirm"/>
        <w:spacing w:after="480"/>
        <w:rPr>
          <w:lang w:val="fr-CA"/>
        </w:rPr>
      </w:pPr>
      <w:r w:rsidRPr="00AA6F07">
        <w:rPr>
          <w:lang w:val="fr-CA"/>
        </w:rPr>
        <w:tab/>
        <w:t>Procureurs des intervenants Chef Liz Logan, en son nom et</w:t>
      </w:r>
      <w:r w:rsidR="004E520A" w:rsidRPr="00AA6F07">
        <w:rPr>
          <w:lang w:val="fr-CA"/>
        </w:rPr>
        <w:t xml:space="preserve"> au nom</w:t>
      </w:r>
      <w:r w:rsidRPr="00AA6F07">
        <w:rPr>
          <w:lang w:val="fr-CA"/>
        </w:rPr>
        <w:t xml:space="preserve"> </w:t>
      </w:r>
      <w:r w:rsidR="004E520A" w:rsidRPr="00AA6F07">
        <w:rPr>
          <w:lang w:val="fr-CA"/>
        </w:rPr>
        <w:t>d</w:t>
      </w:r>
      <w:r w:rsidRPr="00AA6F07">
        <w:rPr>
          <w:lang w:val="fr-CA"/>
        </w:rPr>
        <w:t>e tous les autres membres de la Première Nation de Fort Nelson et ladite Première Nation de Fort Nelson</w:t>
      </w:r>
      <w:r w:rsidR="0042748F" w:rsidRPr="00AA6F07">
        <w:rPr>
          <w:lang w:val="fr-CA"/>
        </w:rPr>
        <w:t> :</w:t>
      </w:r>
      <w:r w:rsidR="00043E6D" w:rsidRPr="00AA6F07">
        <w:rPr>
          <w:lang w:val="fr-CA"/>
        </w:rPr>
        <w:t> </w:t>
      </w:r>
      <w:proofErr w:type="spellStart"/>
      <w:r w:rsidRPr="00AA6F07">
        <w:rPr>
          <w:lang w:val="fr-CA"/>
        </w:rPr>
        <w:t>Rana</w:t>
      </w:r>
      <w:proofErr w:type="spellEnd"/>
      <w:r w:rsidRPr="00AA6F07">
        <w:rPr>
          <w:lang w:val="fr-CA"/>
        </w:rPr>
        <w:t xml:space="preserve"> Law, Calgary.</w:t>
      </w:r>
    </w:p>
    <w:p w:rsidR="00FE3AB3" w:rsidRPr="00AA6F07" w:rsidRDefault="00FE3AB3" w:rsidP="00043E6D">
      <w:pPr>
        <w:pStyle w:val="SCCLawFirm"/>
        <w:spacing w:after="480"/>
        <w:rPr>
          <w:lang w:val="fr-CA"/>
        </w:rPr>
      </w:pPr>
      <w:r w:rsidRPr="00AA6F07">
        <w:rPr>
          <w:lang w:val="fr-CA"/>
        </w:rPr>
        <w:tab/>
        <w:t>Procureurs de</w:t>
      </w:r>
      <w:r w:rsidR="00490249" w:rsidRPr="00AA6F07">
        <w:rPr>
          <w:lang w:val="fr-CA"/>
        </w:rPr>
        <w:t>s</w:t>
      </w:r>
      <w:r w:rsidRPr="00AA6F07">
        <w:rPr>
          <w:lang w:val="fr-CA"/>
        </w:rPr>
        <w:t xml:space="preserve"> intervenant</w:t>
      </w:r>
      <w:r w:rsidR="00490249" w:rsidRPr="00AA6F07">
        <w:rPr>
          <w:lang w:val="fr-CA"/>
        </w:rPr>
        <w:t>s</w:t>
      </w:r>
      <w:r w:rsidRPr="00AA6F07">
        <w:rPr>
          <w:lang w:val="fr-CA"/>
        </w:rPr>
        <w:t xml:space="preserve"> le Grand Conseil des Cris (</w:t>
      </w:r>
      <w:proofErr w:type="spellStart"/>
      <w:r w:rsidRPr="00AA6F07">
        <w:rPr>
          <w:lang w:val="fr-CA"/>
        </w:rPr>
        <w:t>Eeyou</w:t>
      </w:r>
      <w:proofErr w:type="spellEnd"/>
      <w:r w:rsidRPr="00AA6F07">
        <w:rPr>
          <w:lang w:val="fr-CA"/>
        </w:rPr>
        <w:t xml:space="preserve"> </w:t>
      </w:r>
      <w:proofErr w:type="spellStart"/>
      <w:r w:rsidRPr="00AA6F07">
        <w:rPr>
          <w:lang w:val="fr-CA"/>
        </w:rPr>
        <w:t>Istchee</w:t>
      </w:r>
      <w:proofErr w:type="spellEnd"/>
      <w:r w:rsidRPr="00AA6F07">
        <w:rPr>
          <w:lang w:val="fr-CA"/>
        </w:rPr>
        <w:t>)/Administration régionale crie</w:t>
      </w:r>
      <w:r w:rsidR="0042748F" w:rsidRPr="00AA6F07">
        <w:rPr>
          <w:lang w:val="fr-CA"/>
        </w:rPr>
        <w:t> :</w:t>
      </w:r>
      <w:r w:rsidR="00043E6D" w:rsidRPr="00AA6F07">
        <w:rPr>
          <w:lang w:val="fr-CA"/>
        </w:rPr>
        <w:t> </w:t>
      </w:r>
      <w:proofErr w:type="spellStart"/>
      <w:r w:rsidRPr="00AA6F07">
        <w:rPr>
          <w:lang w:val="fr-CA"/>
        </w:rPr>
        <w:t>Gowling</w:t>
      </w:r>
      <w:proofErr w:type="spellEnd"/>
      <w:r w:rsidRPr="00AA6F07">
        <w:rPr>
          <w:lang w:val="fr-CA"/>
        </w:rPr>
        <w:t xml:space="preserve"> Lafleur Henderson, Montréal.</w:t>
      </w:r>
    </w:p>
    <w:p w:rsidR="00FE3AB3" w:rsidRPr="00AA6F07" w:rsidRDefault="00FE3AB3" w:rsidP="00043E6D">
      <w:pPr>
        <w:pStyle w:val="SCCLawFirm"/>
        <w:spacing w:after="480"/>
        <w:rPr>
          <w:lang w:val="fr-CA"/>
        </w:rPr>
      </w:pPr>
      <w:r w:rsidRPr="00AA6F07">
        <w:rPr>
          <w:lang w:val="fr-CA"/>
        </w:rPr>
        <w:tab/>
        <w:t xml:space="preserve">Procureurs des intervenantes Chef Sally Sam et la Société </w:t>
      </w:r>
      <w:proofErr w:type="spellStart"/>
      <w:r w:rsidRPr="00AA6F07">
        <w:rPr>
          <w:lang w:val="fr-CA"/>
        </w:rPr>
        <w:t>Maiyoo</w:t>
      </w:r>
      <w:proofErr w:type="spellEnd"/>
      <w:r w:rsidRPr="00AA6F07">
        <w:rPr>
          <w:lang w:val="fr-CA"/>
        </w:rPr>
        <w:t xml:space="preserve"> </w:t>
      </w:r>
      <w:proofErr w:type="spellStart"/>
      <w:r w:rsidRPr="00AA6F07">
        <w:rPr>
          <w:lang w:val="fr-CA"/>
        </w:rPr>
        <w:t>Keyoh</w:t>
      </w:r>
      <w:proofErr w:type="spellEnd"/>
      <w:r w:rsidR="0042748F" w:rsidRPr="00AA6F07">
        <w:rPr>
          <w:lang w:val="fr-CA"/>
        </w:rPr>
        <w:t> :</w:t>
      </w:r>
      <w:r w:rsidR="00043E6D" w:rsidRPr="00AA6F07">
        <w:rPr>
          <w:lang w:val="fr-CA"/>
        </w:rPr>
        <w:t> </w:t>
      </w:r>
      <w:proofErr w:type="spellStart"/>
      <w:r w:rsidRPr="00AA6F07">
        <w:rPr>
          <w:lang w:val="fr-CA"/>
        </w:rPr>
        <w:t>Devlin</w:t>
      </w:r>
      <w:proofErr w:type="spellEnd"/>
      <w:r w:rsidRPr="00AA6F07">
        <w:rPr>
          <w:lang w:val="fr-CA"/>
        </w:rPr>
        <w:t xml:space="preserve"> </w:t>
      </w:r>
      <w:proofErr w:type="spellStart"/>
      <w:r w:rsidRPr="00AA6F07">
        <w:rPr>
          <w:lang w:val="fr-CA"/>
        </w:rPr>
        <w:t>Gailus</w:t>
      </w:r>
      <w:proofErr w:type="spellEnd"/>
      <w:r w:rsidRPr="00AA6F07">
        <w:rPr>
          <w:lang w:val="fr-CA"/>
        </w:rPr>
        <w:t>, Victoria.</w:t>
      </w:r>
    </w:p>
    <w:p w:rsidR="00FE3AB3" w:rsidRPr="00AA6F07" w:rsidRDefault="00607824" w:rsidP="00043E6D">
      <w:pPr>
        <w:pStyle w:val="SCCLawFirm"/>
        <w:spacing w:after="480"/>
        <w:rPr>
          <w:lang w:val="fr-CA"/>
        </w:rPr>
      </w:pPr>
      <w:r>
        <w:rPr>
          <w:lang w:val="fr-CA"/>
        </w:rPr>
        <w:tab/>
        <w:t>Procureurs des intervenant</w:t>
      </w:r>
      <w:r w:rsidR="00FE3AB3" w:rsidRPr="00AA6F07">
        <w:rPr>
          <w:lang w:val="fr-CA"/>
        </w:rPr>
        <w:t xml:space="preserve">s Council of Forest Industries et Alberta Forest </w:t>
      </w:r>
      <w:proofErr w:type="spellStart"/>
      <w:r w:rsidR="00FE3AB3" w:rsidRPr="00AA6F07">
        <w:rPr>
          <w:lang w:val="fr-CA"/>
        </w:rPr>
        <w:t>Products</w:t>
      </w:r>
      <w:proofErr w:type="spellEnd"/>
      <w:r w:rsidR="00FE3AB3" w:rsidRPr="00AA6F07">
        <w:rPr>
          <w:lang w:val="fr-CA"/>
        </w:rPr>
        <w:t xml:space="preserve"> Association</w:t>
      </w:r>
      <w:r w:rsidR="0042748F" w:rsidRPr="00AA6F07">
        <w:rPr>
          <w:lang w:val="fr-CA"/>
        </w:rPr>
        <w:t> :</w:t>
      </w:r>
      <w:r w:rsidR="00043E6D" w:rsidRPr="00AA6F07">
        <w:rPr>
          <w:lang w:val="fr-CA"/>
        </w:rPr>
        <w:t> </w:t>
      </w:r>
      <w:r w:rsidR="00FE3AB3" w:rsidRPr="00AA6F07">
        <w:rPr>
          <w:lang w:val="fr-CA"/>
        </w:rPr>
        <w:t xml:space="preserve">Hunter </w:t>
      </w:r>
      <w:proofErr w:type="spellStart"/>
      <w:r w:rsidR="00FE3AB3" w:rsidRPr="00AA6F07">
        <w:rPr>
          <w:lang w:val="fr-CA"/>
        </w:rPr>
        <w:t>Litigation</w:t>
      </w:r>
      <w:proofErr w:type="spellEnd"/>
      <w:r w:rsidR="00FE3AB3" w:rsidRPr="00AA6F07">
        <w:rPr>
          <w:lang w:val="fr-CA"/>
        </w:rPr>
        <w:t xml:space="preserve"> Chambers Law Corporation, Vancouver.</w:t>
      </w:r>
    </w:p>
    <w:p w:rsidR="0064736A" w:rsidRDefault="00FE3AB3" w:rsidP="00645F4F">
      <w:pPr>
        <w:pStyle w:val="SCCLawFirm"/>
        <w:rPr>
          <w:b/>
          <w:i w:val="0"/>
          <w:lang w:val="fr-CA"/>
        </w:rPr>
      </w:pPr>
      <w:r w:rsidRPr="00AA6F07">
        <w:rPr>
          <w:lang w:val="fr-CA"/>
        </w:rPr>
        <w:tab/>
        <w:t>Procureurs de l</w:t>
      </w:r>
      <w:r w:rsidR="002776F8">
        <w:rPr>
          <w:lang w:val="fr-CA"/>
        </w:rPr>
        <w:t>’</w:t>
      </w:r>
      <w:r w:rsidRPr="00AA6F07">
        <w:rPr>
          <w:lang w:val="fr-CA"/>
        </w:rPr>
        <w:t>intervenante la Première Nation Moose Cree</w:t>
      </w:r>
      <w:r w:rsidR="0042748F" w:rsidRPr="00AA6F07">
        <w:rPr>
          <w:lang w:val="fr-CA"/>
        </w:rPr>
        <w:t> :</w:t>
      </w:r>
      <w:r w:rsidR="00043E6D" w:rsidRPr="00AA6F07">
        <w:rPr>
          <w:lang w:val="fr-CA"/>
        </w:rPr>
        <w:t> </w:t>
      </w:r>
      <w:r w:rsidRPr="00AA6F07">
        <w:rPr>
          <w:lang w:val="fr-CA"/>
        </w:rPr>
        <w:t xml:space="preserve">Pape Salter </w:t>
      </w:r>
      <w:proofErr w:type="spellStart"/>
      <w:r w:rsidRPr="00AA6F07">
        <w:rPr>
          <w:lang w:val="fr-CA"/>
        </w:rPr>
        <w:t>Teillet</w:t>
      </w:r>
      <w:proofErr w:type="spellEnd"/>
      <w:r w:rsidRPr="00AA6F07">
        <w:rPr>
          <w:lang w:val="fr-CA"/>
        </w:rPr>
        <w:t>, Toronto.</w:t>
      </w:r>
    </w:p>
    <w:p w:rsidR="00645F4F" w:rsidRPr="00645F4F" w:rsidRDefault="00645F4F" w:rsidP="00645F4F">
      <w:pPr>
        <w:pStyle w:val="SCCNormalDoubleSpacing"/>
        <w:rPr>
          <w:lang w:val="fr-CA"/>
        </w:rPr>
      </w:pPr>
    </w:p>
    <w:sectPr w:rsidR="00645F4F" w:rsidRPr="00645F4F" w:rsidSect="007467A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5A" w:rsidRDefault="009D115A">
      <w:r>
        <w:separator/>
      </w:r>
    </w:p>
  </w:endnote>
  <w:endnote w:type="continuationSeparator" w:id="0">
    <w:p w:rsidR="009D115A" w:rsidRDefault="009D1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5A" w:rsidRDefault="009D115A">
      <w:r>
        <w:separator/>
      </w:r>
    </w:p>
  </w:footnote>
  <w:footnote w:type="continuationSeparator" w:id="0">
    <w:p w:rsidR="009D115A" w:rsidRDefault="009D1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A5" w:rsidRDefault="007467A5">
    <w:pPr>
      <w:pStyle w:val="Header"/>
      <w:jc w:val="center"/>
    </w:pPr>
    <w:r>
      <w:t xml:space="preserve">- </w:t>
    </w:r>
    <w:sdt>
      <w:sdtPr>
        <w:id w:val="954809"/>
        <w:docPartObj>
          <w:docPartGallery w:val="Page Numbers (Top of Page)"/>
          <w:docPartUnique/>
        </w:docPartObj>
      </w:sdtPr>
      <w:sdtContent>
        <w:fldSimple w:instr=" PAGE   \* MERGEFORMAT ">
          <w:r w:rsidR="008065E3">
            <w:rPr>
              <w:noProof/>
            </w:rPr>
            <w:t>3</w:t>
          </w:r>
        </w:fldSimple>
        <w:r>
          <w:t xml:space="preserve"> -</w:t>
        </w:r>
      </w:sdtContent>
    </w:sdt>
  </w:p>
  <w:p w:rsidR="009D115A" w:rsidRPr="00450352" w:rsidRDefault="009D115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F31A9"/>
    <w:multiLevelType w:val="hybridMultilevel"/>
    <w:tmpl w:val="9F5C0154"/>
    <w:lvl w:ilvl="0" w:tplc="B844A32A">
      <w:start w:val="1"/>
      <w:numFmt w:val="decimal"/>
      <w:lvlText w:val="%1."/>
      <w:lvlJc w:val="left"/>
      <w:pPr>
        <w:ind w:left="720" w:hanging="360"/>
      </w:pPr>
      <w:rPr>
        <w:rFonts w:cs="Times New Roman"/>
      </w:rPr>
    </w:lvl>
    <w:lvl w:ilvl="1" w:tplc="25324DD2" w:tentative="1">
      <w:start w:val="1"/>
      <w:numFmt w:val="lowerLetter"/>
      <w:lvlText w:val="%2."/>
      <w:lvlJc w:val="left"/>
      <w:pPr>
        <w:ind w:left="1440" w:hanging="360"/>
      </w:pPr>
      <w:rPr>
        <w:rFonts w:cs="Times New Roman"/>
      </w:rPr>
    </w:lvl>
    <w:lvl w:ilvl="2" w:tplc="F2EE3F4E" w:tentative="1">
      <w:start w:val="1"/>
      <w:numFmt w:val="lowerRoman"/>
      <w:lvlText w:val="%3."/>
      <w:lvlJc w:val="right"/>
      <w:pPr>
        <w:ind w:left="2160" w:hanging="180"/>
      </w:pPr>
      <w:rPr>
        <w:rFonts w:cs="Times New Roman"/>
      </w:rPr>
    </w:lvl>
    <w:lvl w:ilvl="3" w:tplc="267CE3B4" w:tentative="1">
      <w:start w:val="1"/>
      <w:numFmt w:val="decimal"/>
      <w:lvlText w:val="%4."/>
      <w:lvlJc w:val="left"/>
      <w:pPr>
        <w:ind w:left="2880" w:hanging="360"/>
      </w:pPr>
      <w:rPr>
        <w:rFonts w:cs="Times New Roman"/>
      </w:rPr>
    </w:lvl>
    <w:lvl w:ilvl="4" w:tplc="32FE8F5C" w:tentative="1">
      <w:start w:val="1"/>
      <w:numFmt w:val="lowerLetter"/>
      <w:lvlText w:val="%5."/>
      <w:lvlJc w:val="left"/>
      <w:pPr>
        <w:ind w:left="3600" w:hanging="360"/>
      </w:pPr>
      <w:rPr>
        <w:rFonts w:cs="Times New Roman"/>
      </w:rPr>
    </w:lvl>
    <w:lvl w:ilvl="5" w:tplc="34FC0966" w:tentative="1">
      <w:start w:val="1"/>
      <w:numFmt w:val="lowerRoman"/>
      <w:lvlText w:val="%6."/>
      <w:lvlJc w:val="right"/>
      <w:pPr>
        <w:ind w:left="4320" w:hanging="180"/>
      </w:pPr>
      <w:rPr>
        <w:rFonts w:cs="Times New Roman"/>
      </w:rPr>
    </w:lvl>
    <w:lvl w:ilvl="6" w:tplc="0DEA439A" w:tentative="1">
      <w:start w:val="1"/>
      <w:numFmt w:val="decimal"/>
      <w:lvlText w:val="%7."/>
      <w:lvlJc w:val="left"/>
      <w:pPr>
        <w:ind w:left="5040" w:hanging="360"/>
      </w:pPr>
      <w:rPr>
        <w:rFonts w:cs="Times New Roman"/>
      </w:rPr>
    </w:lvl>
    <w:lvl w:ilvl="7" w:tplc="F5426F12" w:tentative="1">
      <w:start w:val="1"/>
      <w:numFmt w:val="lowerLetter"/>
      <w:lvlText w:val="%8."/>
      <w:lvlJc w:val="left"/>
      <w:pPr>
        <w:ind w:left="5760" w:hanging="360"/>
      </w:pPr>
      <w:rPr>
        <w:rFonts w:cs="Times New Roman"/>
      </w:rPr>
    </w:lvl>
    <w:lvl w:ilvl="8" w:tplc="8FA099FE" w:tentative="1">
      <w:start w:val="1"/>
      <w:numFmt w:val="lowerRoman"/>
      <w:lvlText w:val="%9."/>
      <w:lvlJc w:val="right"/>
      <w:pPr>
        <w:ind w:left="6480" w:hanging="180"/>
      </w:pPr>
      <w:rPr>
        <w:rFonts w:cs="Times New Roman"/>
      </w:rPr>
    </w:lvl>
  </w:abstractNum>
  <w:abstractNum w:abstractNumId="2">
    <w:nsid w:val="4C035C40"/>
    <w:multiLevelType w:val="hybridMultilevel"/>
    <w:tmpl w:val="02E69B28"/>
    <w:lvl w:ilvl="0" w:tplc="1009000F">
      <w:numFmt w:val="bullet"/>
      <w:lvlText w:val="-"/>
      <w:lvlJc w:val="left"/>
      <w:pPr>
        <w:ind w:left="2868" w:hanging="360"/>
      </w:pPr>
      <w:rPr>
        <w:rFonts w:ascii="Times New Roman" w:eastAsia="Times New Roman" w:hAnsi="Times New Roman" w:hint="default"/>
      </w:rPr>
    </w:lvl>
    <w:lvl w:ilvl="1" w:tplc="10090019" w:tentative="1">
      <w:start w:val="1"/>
      <w:numFmt w:val="bullet"/>
      <w:lvlText w:val="o"/>
      <w:lvlJc w:val="left"/>
      <w:pPr>
        <w:ind w:left="3588" w:hanging="360"/>
      </w:pPr>
      <w:rPr>
        <w:rFonts w:ascii="Courier New" w:hAnsi="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8FDA0F80">
      <w:start w:val="1"/>
      <w:numFmt w:val="decimal"/>
      <w:lvlText w:val="[%1]"/>
      <w:lvlJc w:val="left"/>
      <w:pPr>
        <w:ind w:left="720" w:hanging="360"/>
      </w:pPr>
      <w:rPr>
        <w:rFonts w:cs="Times New Roman" w:hint="default"/>
      </w:rPr>
    </w:lvl>
    <w:lvl w:ilvl="1" w:tplc="10090003" w:tentative="1">
      <w:start w:val="1"/>
      <w:numFmt w:val="lowerLetter"/>
      <w:lvlText w:val="%2."/>
      <w:lvlJc w:val="left"/>
      <w:pPr>
        <w:ind w:left="1440" w:hanging="360"/>
      </w:pPr>
      <w:rPr>
        <w:rFonts w:cs="Times New Roman"/>
      </w:rPr>
    </w:lvl>
    <w:lvl w:ilvl="2" w:tplc="10090005" w:tentative="1">
      <w:start w:val="1"/>
      <w:numFmt w:val="lowerRoman"/>
      <w:lvlText w:val="%3."/>
      <w:lvlJc w:val="right"/>
      <w:pPr>
        <w:ind w:left="2160" w:hanging="180"/>
      </w:pPr>
      <w:rPr>
        <w:rFonts w:cs="Times New Roman"/>
      </w:rPr>
    </w:lvl>
    <w:lvl w:ilvl="3" w:tplc="10090001" w:tentative="1">
      <w:start w:val="1"/>
      <w:numFmt w:val="decimal"/>
      <w:lvlText w:val="%4."/>
      <w:lvlJc w:val="left"/>
      <w:pPr>
        <w:ind w:left="2880" w:hanging="360"/>
      </w:pPr>
      <w:rPr>
        <w:rFonts w:cs="Times New Roman"/>
      </w:rPr>
    </w:lvl>
    <w:lvl w:ilvl="4" w:tplc="10090003" w:tentative="1">
      <w:start w:val="1"/>
      <w:numFmt w:val="lowerLetter"/>
      <w:lvlText w:val="%5."/>
      <w:lvlJc w:val="left"/>
      <w:pPr>
        <w:ind w:left="3600" w:hanging="360"/>
      </w:pPr>
      <w:rPr>
        <w:rFonts w:cs="Times New Roman"/>
      </w:rPr>
    </w:lvl>
    <w:lvl w:ilvl="5" w:tplc="10090005" w:tentative="1">
      <w:start w:val="1"/>
      <w:numFmt w:val="lowerRoman"/>
      <w:lvlText w:val="%6."/>
      <w:lvlJc w:val="right"/>
      <w:pPr>
        <w:ind w:left="4320" w:hanging="180"/>
      </w:pPr>
      <w:rPr>
        <w:rFonts w:cs="Times New Roman"/>
      </w:rPr>
    </w:lvl>
    <w:lvl w:ilvl="6" w:tplc="10090001" w:tentative="1">
      <w:start w:val="1"/>
      <w:numFmt w:val="decimal"/>
      <w:lvlText w:val="%7."/>
      <w:lvlJc w:val="left"/>
      <w:pPr>
        <w:ind w:left="5040" w:hanging="360"/>
      </w:pPr>
      <w:rPr>
        <w:rFonts w:cs="Times New Roman"/>
      </w:rPr>
    </w:lvl>
    <w:lvl w:ilvl="7" w:tplc="10090003" w:tentative="1">
      <w:start w:val="1"/>
      <w:numFmt w:val="lowerLetter"/>
      <w:lvlText w:val="%8."/>
      <w:lvlJc w:val="left"/>
      <w:pPr>
        <w:ind w:left="5760" w:hanging="360"/>
      </w:pPr>
      <w:rPr>
        <w:rFonts w:cs="Times New Roman"/>
      </w:rPr>
    </w:lvl>
    <w:lvl w:ilvl="8" w:tplc="10090005" w:tentative="1">
      <w:start w:val="1"/>
      <w:numFmt w:val="lowerRoman"/>
      <w:lvlText w:val="%9."/>
      <w:lvlJc w:val="right"/>
      <w:pPr>
        <w:ind w:left="6480" w:hanging="180"/>
      </w:pPr>
      <w:rPr>
        <w:rFonts w:cs="Times New Roman"/>
      </w:rPr>
    </w:lvl>
  </w:abstractNum>
  <w:abstractNum w:abstractNumId="4">
    <w:nsid w:val="54283EE8"/>
    <w:multiLevelType w:val="multilevel"/>
    <w:tmpl w:val="461CEFC6"/>
    <w:lvl w:ilvl="0">
      <w:start w:val="1"/>
      <w:numFmt w:val="decimal"/>
      <w:pStyle w:val="ParaNoNdepar-AltN"/>
      <w:lvlText w:val="[%1]"/>
      <w:lvlJc w:val="left"/>
      <w:pPr>
        <w:tabs>
          <w:tab w:val="num" w:pos="1152"/>
        </w:tabs>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655E1740"/>
    <w:multiLevelType w:val="hybridMultilevel"/>
    <w:tmpl w:val="535EC1AC"/>
    <w:lvl w:ilvl="0" w:tplc="2806C4D0">
      <w:start w:val="1"/>
      <w:numFmt w:val="decimal"/>
      <w:lvlText w:val="%1."/>
      <w:lvlJc w:val="left"/>
      <w:pPr>
        <w:ind w:left="720" w:hanging="360"/>
      </w:pPr>
      <w:rPr>
        <w:rFonts w:cs="Times New Roman"/>
      </w:rPr>
    </w:lvl>
    <w:lvl w:ilvl="1" w:tplc="11763AE4">
      <w:start w:val="1"/>
      <w:numFmt w:val="lowerLetter"/>
      <w:lvlText w:val="%2."/>
      <w:lvlJc w:val="left"/>
      <w:pPr>
        <w:ind w:left="1440" w:hanging="360"/>
      </w:pPr>
      <w:rPr>
        <w:rFonts w:cs="Times New Roman"/>
      </w:rPr>
    </w:lvl>
    <w:lvl w:ilvl="2" w:tplc="BB740B08">
      <w:start w:val="1"/>
      <w:numFmt w:val="lowerRoman"/>
      <w:lvlText w:val="%3."/>
      <w:lvlJc w:val="right"/>
      <w:pPr>
        <w:ind w:left="2160" w:hanging="180"/>
      </w:pPr>
      <w:rPr>
        <w:rFonts w:cs="Times New Roman"/>
      </w:rPr>
    </w:lvl>
    <w:lvl w:ilvl="3" w:tplc="838402AE" w:tentative="1">
      <w:start w:val="1"/>
      <w:numFmt w:val="decimal"/>
      <w:lvlText w:val="%4."/>
      <w:lvlJc w:val="left"/>
      <w:pPr>
        <w:ind w:left="2880" w:hanging="360"/>
      </w:pPr>
      <w:rPr>
        <w:rFonts w:cs="Times New Roman"/>
      </w:rPr>
    </w:lvl>
    <w:lvl w:ilvl="4" w:tplc="401614E6" w:tentative="1">
      <w:start w:val="1"/>
      <w:numFmt w:val="lowerLetter"/>
      <w:lvlText w:val="%5."/>
      <w:lvlJc w:val="left"/>
      <w:pPr>
        <w:ind w:left="3600" w:hanging="360"/>
      </w:pPr>
      <w:rPr>
        <w:rFonts w:cs="Times New Roman"/>
      </w:rPr>
    </w:lvl>
    <w:lvl w:ilvl="5" w:tplc="3370DA72" w:tentative="1">
      <w:start w:val="1"/>
      <w:numFmt w:val="lowerRoman"/>
      <w:lvlText w:val="%6."/>
      <w:lvlJc w:val="right"/>
      <w:pPr>
        <w:ind w:left="4320" w:hanging="180"/>
      </w:pPr>
      <w:rPr>
        <w:rFonts w:cs="Times New Roman"/>
      </w:rPr>
    </w:lvl>
    <w:lvl w:ilvl="6" w:tplc="F1C25616" w:tentative="1">
      <w:start w:val="1"/>
      <w:numFmt w:val="decimal"/>
      <w:lvlText w:val="%7."/>
      <w:lvlJc w:val="left"/>
      <w:pPr>
        <w:ind w:left="5040" w:hanging="360"/>
      </w:pPr>
      <w:rPr>
        <w:rFonts w:cs="Times New Roman"/>
      </w:rPr>
    </w:lvl>
    <w:lvl w:ilvl="7" w:tplc="EC3AEDD6" w:tentative="1">
      <w:start w:val="1"/>
      <w:numFmt w:val="lowerLetter"/>
      <w:lvlText w:val="%8."/>
      <w:lvlJc w:val="left"/>
      <w:pPr>
        <w:ind w:left="5760" w:hanging="360"/>
      </w:pPr>
      <w:rPr>
        <w:rFonts w:cs="Times New Roman"/>
      </w:rPr>
    </w:lvl>
    <w:lvl w:ilvl="8" w:tplc="D6A62128"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03748"/>
    <w:rsid w:val="00004268"/>
    <w:rsid w:val="000074FF"/>
    <w:rsid w:val="00017FED"/>
    <w:rsid w:val="00020B73"/>
    <w:rsid w:val="00023FC7"/>
    <w:rsid w:val="00025198"/>
    <w:rsid w:val="000340FD"/>
    <w:rsid w:val="00035228"/>
    <w:rsid w:val="00043E6D"/>
    <w:rsid w:val="000578A3"/>
    <w:rsid w:val="00062409"/>
    <w:rsid w:val="000648CC"/>
    <w:rsid w:val="00077662"/>
    <w:rsid w:val="000A603E"/>
    <w:rsid w:val="000C59B8"/>
    <w:rsid w:val="000C6AF0"/>
    <w:rsid w:val="000D0A77"/>
    <w:rsid w:val="000D7EF7"/>
    <w:rsid w:val="000F7993"/>
    <w:rsid w:val="001003BA"/>
    <w:rsid w:val="00104F33"/>
    <w:rsid w:val="00111DE2"/>
    <w:rsid w:val="00116B38"/>
    <w:rsid w:val="00135406"/>
    <w:rsid w:val="00135972"/>
    <w:rsid w:val="001426A9"/>
    <w:rsid w:val="00154D7C"/>
    <w:rsid w:val="001570B0"/>
    <w:rsid w:val="0015752C"/>
    <w:rsid w:val="00157737"/>
    <w:rsid w:val="00157A82"/>
    <w:rsid w:val="00165277"/>
    <w:rsid w:val="00170592"/>
    <w:rsid w:val="001720F7"/>
    <w:rsid w:val="00175981"/>
    <w:rsid w:val="00195D83"/>
    <w:rsid w:val="001A00C1"/>
    <w:rsid w:val="001B30E8"/>
    <w:rsid w:val="001B33E0"/>
    <w:rsid w:val="001B4573"/>
    <w:rsid w:val="001C779F"/>
    <w:rsid w:val="001D2AC1"/>
    <w:rsid w:val="001D4E88"/>
    <w:rsid w:val="001E5B9C"/>
    <w:rsid w:val="00203B73"/>
    <w:rsid w:val="00220FC2"/>
    <w:rsid w:val="00221EC8"/>
    <w:rsid w:val="002222F4"/>
    <w:rsid w:val="00224FC0"/>
    <w:rsid w:val="0022534B"/>
    <w:rsid w:val="00225EA4"/>
    <w:rsid w:val="00226EAF"/>
    <w:rsid w:val="00231F3A"/>
    <w:rsid w:val="00237F57"/>
    <w:rsid w:val="002406EE"/>
    <w:rsid w:val="00243EC8"/>
    <w:rsid w:val="00270D93"/>
    <w:rsid w:val="002745CC"/>
    <w:rsid w:val="002776F8"/>
    <w:rsid w:val="00281FA7"/>
    <w:rsid w:val="00294663"/>
    <w:rsid w:val="002B6B98"/>
    <w:rsid w:val="002B6FBE"/>
    <w:rsid w:val="002B7924"/>
    <w:rsid w:val="002C10A6"/>
    <w:rsid w:val="002D28C3"/>
    <w:rsid w:val="002D39A4"/>
    <w:rsid w:val="002D45D4"/>
    <w:rsid w:val="002D7F59"/>
    <w:rsid w:val="002E6705"/>
    <w:rsid w:val="0030329A"/>
    <w:rsid w:val="0031086F"/>
    <w:rsid w:val="0031414C"/>
    <w:rsid w:val="00314C4D"/>
    <w:rsid w:val="00314E01"/>
    <w:rsid w:val="0032089D"/>
    <w:rsid w:val="003310DE"/>
    <w:rsid w:val="003323B0"/>
    <w:rsid w:val="0033689A"/>
    <w:rsid w:val="00340441"/>
    <w:rsid w:val="00340A49"/>
    <w:rsid w:val="0035169A"/>
    <w:rsid w:val="0035259D"/>
    <w:rsid w:val="00364B18"/>
    <w:rsid w:val="00377FBB"/>
    <w:rsid w:val="003A125D"/>
    <w:rsid w:val="003A4C70"/>
    <w:rsid w:val="003B215F"/>
    <w:rsid w:val="003C4868"/>
    <w:rsid w:val="003C799C"/>
    <w:rsid w:val="003C7B4A"/>
    <w:rsid w:val="003D0399"/>
    <w:rsid w:val="003D54B5"/>
    <w:rsid w:val="003E1C71"/>
    <w:rsid w:val="003F327B"/>
    <w:rsid w:val="003F5588"/>
    <w:rsid w:val="00403760"/>
    <w:rsid w:val="00406166"/>
    <w:rsid w:val="0040704B"/>
    <w:rsid w:val="00410A55"/>
    <w:rsid w:val="00411300"/>
    <w:rsid w:val="00413F17"/>
    <w:rsid w:val="00415417"/>
    <w:rsid w:val="00416875"/>
    <w:rsid w:val="00426659"/>
    <w:rsid w:val="0042748F"/>
    <w:rsid w:val="00436771"/>
    <w:rsid w:val="00450352"/>
    <w:rsid w:val="00454BDB"/>
    <w:rsid w:val="00465132"/>
    <w:rsid w:val="00474038"/>
    <w:rsid w:val="00480C90"/>
    <w:rsid w:val="0048396F"/>
    <w:rsid w:val="00490249"/>
    <w:rsid w:val="00493C18"/>
    <w:rsid w:val="004A600C"/>
    <w:rsid w:val="004A6118"/>
    <w:rsid w:val="004C478D"/>
    <w:rsid w:val="004D7D95"/>
    <w:rsid w:val="004E0BB4"/>
    <w:rsid w:val="004E2C26"/>
    <w:rsid w:val="004E520A"/>
    <w:rsid w:val="005125A8"/>
    <w:rsid w:val="00517549"/>
    <w:rsid w:val="00520ABC"/>
    <w:rsid w:val="00521AE8"/>
    <w:rsid w:val="00527180"/>
    <w:rsid w:val="00545EB2"/>
    <w:rsid w:val="00555291"/>
    <w:rsid w:val="005656A2"/>
    <w:rsid w:val="00566AD1"/>
    <w:rsid w:val="00567A3E"/>
    <w:rsid w:val="00583EDE"/>
    <w:rsid w:val="005A1A4A"/>
    <w:rsid w:val="005A4AFD"/>
    <w:rsid w:val="005A6079"/>
    <w:rsid w:val="005D3284"/>
    <w:rsid w:val="005E4698"/>
    <w:rsid w:val="00603924"/>
    <w:rsid w:val="006055D3"/>
    <w:rsid w:val="00607824"/>
    <w:rsid w:val="00610539"/>
    <w:rsid w:val="00613969"/>
    <w:rsid w:val="00625C35"/>
    <w:rsid w:val="00630DAD"/>
    <w:rsid w:val="006334FE"/>
    <w:rsid w:val="00645F4F"/>
    <w:rsid w:val="0064736A"/>
    <w:rsid w:val="00647E49"/>
    <w:rsid w:val="00656313"/>
    <w:rsid w:val="006565F4"/>
    <w:rsid w:val="00684EEA"/>
    <w:rsid w:val="0069689B"/>
    <w:rsid w:val="006B5FF5"/>
    <w:rsid w:val="006F30AF"/>
    <w:rsid w:val="00701759"/>
    <w:rsid w:val="00705C15"/>
    <w:rsid w:val="007110F6"/>
    <w:rsid w:val="00711E05"/>
    <w:rsid w:val="007142EC"/>
    <w:rsid w:val="007208D1"/>
    <w:rsid w:val="00744518"/>
    <w:rsid w:val="00745C63"/>
    <w:rsid w:val="007467A5"/>
    <w:rsid w:val="00747288"/>
    <w:rsid w:val="00747DD3"/>
    <w:rsid w:val="007549C8"/>
    <w:rsid w:val="00766D14"/>
    <w:rsid w:val="00767A0F"/>
    <w:rsid w:val="00781384"/>
    <w:rsid w:val="00791272"/>
    <w:rsid w:val="007A05F6"/>
    <w:rsid w:val="007B6F4A"/>
    <w:rsid w:val="007E1C47"/>
    <w:rsid w:val="007E337A"/>
    <w:rsid w:val="007E4F1A"/>
    <w:rsid w:val="007E5C70"/>
    <w:rsid w:val="007F2FF5"/>
    <w:rsid w:val="007F3F08"/>
    <w:rsid w:val="00804CC6"/>
    <w:rsid w:val="008065E3"/>
    <w:rsid w:val="008077AB"/>
    <w:rsid w:val="00817190"/>
    <w:rsid w:val="008260E2"/>
    <w:rsid w:val="008322BD"/>
    <w:rsid w:val="00834F73"/>
    <w:rsid w:val="00863F82"/>
    <w:rsid w:val="00864C8A"/>
    <w:rsid w:val="00864CF8"/>
    <w:rsid w:val="00867E5C"/>
    <w:rsid w:val="00874914"/>
    <w:rsid w:val="0088476D"/>
    <w:rsid w:val="00891422"/>
    <w:rsid w:val="00892E1A"/>
    <w:rsid w:val="008A10EA"/>
    <w:rsid w:val="008A3A09"/>
    <w:rsid w:val="008B660A"/>
    <w:rsid w:val="008C01DA"/>
    <w:rsid w:val="008F2674"/>
    <w:rsid w:val="008F78E9"/>
    <w:rsid w:val="00912A1A"/>
    <w:rsid w:val="009179F9"/>
    <w:rsid w:val="00917C7A"/>
    <w:rsid w:val="00921B3A"/>
    <w:rsid w:val="00923C1D"/>
    <w:rsid w:val="00933E5E"/>
    <w:rsid w:val="00935218"/>
    <w:rsid w:val="00936DA5"/>
    <w:rsid w:val="00937C52"/>
    <w:rsid w:val="009403F3"/>
    <w:rsid w:val="00951FA5"/>
    <w:rsid w:val="009555B7"/>
    <w:rsid w:val="00955A28"/>
    <w:rsid w:val="009567AA"/>
    <w:rsid w:val="00957425"/>
    <w:rsid w:val="009602C9"/>
    <w:rsid w:val="00967374"/>
    <w:rsid w:val="009A343A"/>
    <w:rsid w:val="009A5982"/>
    <w:rsid w:val="009A772F"/>
    <w:rsid w:val="009B2F23"/>
    <w:rsid w:val="009B57B3"/>
    <w:rsid w:val="009D115A"/>
    <w:rsid w:val="009D2920"/>
    <w:rsid w:val="009D5AEB"/>
    <w:rsid w:val="009F0E33"/>
    <w:rsid w:val="00A149DF"/>
    <w:rsid w:val="00A1755C"/>
    <w:rsid w:val="00A20ABC"/>
    <w:rsid w:val="00A21B90"/>
    <w:rsid w:val="00A22AAC"/>
    <w:rsid w:val="00A2349B"/>
    <w:rsid w:val="00A361F4"/>
    <w:rsid w:val="00A40089"/>
    <w:rsid w:val="00A41805"/>
    <w:rsid w:val="00A51882"/>
    <w:rsid w:val="00A52AFB"/>
    <w:rsid w:val="00A548CB"/>
    <w:rsid w:val="00A5521C"/>
    <w:rsid w:val="00A643E7"/>
    <w:rsid w:val="00A73C38"/>
    <w:rsid w:val="00A969AD"/>
    <w:rsid w:val="00AA6F07"/>
    <w:rsid w:val="00AB670D"/>
    <w:rsid w:val="00AE3238"/>
    <w:rsid w:val="00AF03C5"/>
    <w:rsid w:val="00AF2E7C"/>
    <w:rsid w:val="00AF460D"/>
    <w:rsid w:val="00B000D8"/>
    <w:rsid w:val="00B00F75"/>
    <w:rsid w:val="00B01154"/>
    <w:rsid w:val="00B04401"/>
    <w:rsid w:val="00B145B6"/>
    <w:rsid w:val="00B279EB"/>
    <w:rsid w:val="00B50C81"/>
    <w:rsid w:val="00B557F8"/>
    <w:rsid w:val="00B815FC"/>
    <w:rsid w:val="00B90581"/>
    <w:rsid w:val="00B93FBC"/>
    <w:rsid w:val="00BA4975"/>
    <w:rsid w:val="00BA7DA0"/>
    <w:rsid w:val="00BB27B9"/>
    <w:rsid w:val="00BB2EE4"/>
    <w:rsid w:val="00BB4C92"/>
    <w:rsid w:val="00BC2108"/>
    <w:rsid w:val="00BD0E9E"/>
    <w:rsid w:val="00BD1BEC"/>
    <w:rsid w:val="00BD32FF"/>
    <w:rsid w:val="00BE46C2"/>
    <w:rsid w:val="00BE7415"/>
    <w:rsid w:val="00BF10F3"/>
    <w:rsid w:val="00BF2EA1"/>
    <w:rsid w:val="00BF6FE9"/>
    <w:rsid w:val="00C02092"/>
    <w:rsid w:val="00C20EE0"/>
    <w:rsid w:val="00C24D91"/>
    <w:rsid w:val="00C26DB2"/>
    <w:rsid w:val="00C51620"/>
    <w:rsid w:val="00C53F14"/>
    <w:rsid w:val="00C600CF"/>
    <w:rsid w:val="00C6084F"/>
    <w:rsid w:val="00C62A66"/>
    <w:rsid w:val="00C66359"/>
    <w:rsid w:val="00C71458"/>
    <w:rsid w:val="00C77613"/>
    <w:rsid w:val="00C828E7"/>
    <w:rsid w:val="00C86719"/>
    <w:rsid w:val="00C921DD"/>
    <w:rsid w:val="00CA466B"/>
    <w:rsid w:val="00CA6391"/>
    <w:rsid w:val="00CE036E"/>
    <w:rsid w:val="00CE3171"/>
    <w:rsid w:val="00CF0A83"/>
    <w:rsid w:val="00CF1601"/>
    <w:rsid w:val="00D0172F"/>
    <w:rsid w:val="00D01E33"/>
    <w:rsid w:val="00D068A7"/>
    <w:rsid w:val="00D06D0D"/>
    <w:rsid w:val="00D11570"/>
    <w:rsid w:val="00D17476"/>
    <w:rsid w:val="00D32086"/>
    <w:rsid w:val="00D33DB3"/>
    <w:rsid w:val="00D344FA"/>
    <w:rsid w:val="00D37A3F"/>
    <w:rsid w:val="00D400FB"/>
    <w:rsid w:val="00D4431D"/>
    <w:rsid w:val="00D4667A"/>
    <w:rsid w:val="00D531F4"/>
    <w:rsid w:val="00D63A1C"/>
    <w:rsid w:val="00D671F9"/>
    <w:rsid w:val="00D7516F"/>
    <w:rsid w:val="00D8549D"/>
    <w:rsid w:val="00D93715"/>
    <w:rsid w:val="00D95F8E"/>
    <w:rsid w:val="00DA03DF"/>
    <w:rsid w:val="00DA0590"/>
    <w:rsid w:val="00DA2895"/>
    <w:rsid w:val="00DC1739"/>
    <w:rsid w:val="00DC1788"/>
    <w:rsid w:val="00DC2FA1"/>
    <w:rsid w:val="00DD02A0"/>
    <w:rsid w:val="00DE319C"/>
    <w:rsid w:val="00DF0CA8"/>
    <w:rsid w:val="00DF2B48"/>
    <w:rsid w:val="00DF49A7"/>
    <w:rsid w:val="00E01BB5"/>
    <w:rsid w:val="00E07EE2"/>
    <w:rsid w:val="00E07FD1"/>
    <w:rsid w:val="00E14E63"/>
    <w:rsid w:val="00E15849"/>
    <w:rsid w:val="00E23D3E"/>
    <w:rsid w:val="00E24573"/>
    <w:rsid w:val="00E25E1E"/>
    <w:rsid w:val="00E27EE7"/>
    <w:rsid w:val="00E3260B"/>
    <w:rsid w:val="00E35404"/>
    <w:rsid w:val="00E45109"/>
    <w:rsid w:val="00E47B7A"/>
    <w:rsid w:val="00E56A44"/>
    <w:rsid w:val="00E60269"/>
    <w:rsid w:val="00E60C77"/>
    <w:rsid w:val="00E83C08"/>
    <w:rsid w:val="00E97830"/>
    <w:rsid w:val="00ED6668"/>
    <w:rsid w:val="00EE0830"/>
    <w:rsid w:val="00EE6CB8"/>
    <w:rsid w:val="00EF0683"/>
    <w:rsid w:val="00EF5D1F"/>
    <w:rsid w:val="00F0070C"/>
    <w:rsid w:val="00F00EB7"/>
    <w:rsid w:val="00F12FEB"/>
    <w:rsid w:val="00F13D16"/>
    <w:rsid w:val="00F15D7D"/>
    <w:rsid w:val="00F20483"/>
    <w:rsid w:val="00F20601"/>
    <w:rsid w:val="00F24730"/>
    <w:rsid w:val="00F3436D"/>
    <w:rsid w:val="00F36AB6"/>
    <w:rsid w:val="00F37A09"/>
    <w:rsid w:val="00F409CE"/>
    <w:rsid w:val="00F4379D"/>
    <w:rsid w:val="00F465B3"/>
    <w:rsid w:val="00F5089B"/>
    <w:rsid w:val="00F50D2D"/>
    <w:rsid w:val="00F56C8B"/>
    <w:rsid w:val="00F62639"/>
    <w:rsid w:val="00F66810"/>
    <w:rsid w:val="00F76A0C"/>
    <w:rsid w:val="00F84DF4"/>
    <w:rsid w:val="00F85C97"/>
    <w:rsid w:val="00F919BF"/>
    <w:rsid w:val="00FA4854"/>
    <w:rsid w:val="00FB37D2"/>
    <w:rsid w:val="00FB65D0"/>
    <w:rsid w:val="00FC03A5"/>
    <w:rsid w:val="00FC4EFB"/>
    <w:rsid w:val="00FC6B48"/>
    <w:rsid w:val="00FD068D"/>
    <w:rsid w:val="00FD3F02"/>
    <w:rsid w:val="00FD4F28"/>
    <w:rsid w:val="00FE3AB3"/>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5F4F"/>
    <w:pPr>
      <w:keepNext/>
      <w:keepLines/>
      <w:spacing w:before="200"/>
      <w:ind w:left="1440"/>
      <w:outlineLvl w:val="2"/>
    </w:pPr>
    <w:rPr>
      <w:rFonts w:ascii="Cambria" w:hAnsi="Cambria"/>
      <w:b/>
      <w:bCs/>
      <w:color w:val="4F81BD"/>
    </w:rPr>
  </w:style>
  <w:style w:type="paragraph" w:styleId="Heading4">
    <w:name w:val="heading 4"/>
    <w:basedOn w:val="Normal"/>
    <w:next w:val="Normal"/>
    <w:link w:val="Heading4Char"/>
    <w:uiPriority w:val="99"/>
    <w:qFormat/>
    <w:rsid w:val="00645F4F"/>
    <w:pPr>
      <w:keepNext/>
      <w:keepLines/>
      <w:spacing w:before="200"/>
      <w:ind w:left="2160"/>
      <w:outlineLvl w:val="3"/>
    </w:pPr>
    <w:rPr>
      <w:rFonts w:ascii="Cambria" w:hAnsi="Cambria"/>
      <w:b/>
      <w:bCs/>
      <w:i/>
      <w:iCs/>
      <w:color w:val="4F81BD"/>
    </w:rPr>
  </w:style>
  <w:style w:type="paragraph" w:styleId="Heading5">
    <w:name w:val="heading 5"/>
    <w:basedOn w:val="Normal"/>
    <w:next w:val="Normal"/>
    <w:link w:val="Heading5Char"/>
    <w:uiPriority w:val="99"/>
    <w:qFormat/>
    <w:rsid w:val="00645F4F"/>
    <w:pPr>
      <w:keepNext/>
      <w:keepLines/>
      <w:spacing w:before="200"/>
      <w:ind w:left="2880"/>
      <w:outlineLvl w:val="4"/>
    </w:pPr>
    <w:rPr>
      <w:rFonts w:ascii="Cambria" w:hAnsi="Cambria"/>
      <w:color w:val="243F60"/>
    </w:rPr>
  </w:style>
  <w:style w:type="paragraph" w:styleId="Heading6">
    <w:name w:val="heading 6"/>
    <w:basedOn w:val="Normal"/>
    <w:next w:val="Normal"/>
    <w:link w:val="Heading6Char"/>
    <w:uiPriority w:val="99"/>
    <w:qFormat/>
    <w:rsid w:val="00645F4F"/>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uiPriority w:val="99"/>
    <w:qFormat/>
    <w:rsid w:val="00645F4F"/>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uiPriority w:val="99"/>
    <w:qFormat/>
    <w:rsid w:val="00645F4F"/>
    <w:pPr>
      <w:keepNext/>
      <w:keepLines/>
      <w:spacing w:before="200"/>
      <w:ind w:left="5040"/>
      <w:outlineLvl w:val="7"/>
    </w:pPr>
    <w:rPr>
      <w:rFonts w:ascii="Cambria" w:hAnsi="Cambria"/>
      <w:color w:val="404040"/>
      <w:sz w:val="20"/>
    </w:rPr>
  </w:style>
  <w:style w:type="paragraph" w:styleId="Heading9">
    <w:name w:val="heading 9"/>
    <w:basedOn w:val="Normal"/>
    <w:next w:val="Normal"/>
    <w:link w:val="Heading9Char"/>
    <w:uiPriority w:val="99"/>
    <w:qFormat/>
    <w:rsid w:val="00645F4F"/>
    <w:pPr>
      <w:keepNext/>
      <w:keepLines/>
      <w:spacing w:before="200"/>
      <w:ind w:left="576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9"/>
    <w:rsid w:val="00645F4F"/>
    <w:rPr>
      <w:rFonts w:ascii="Cambria" w:hAnsi="Cambria"/>
      <w:b/>
      <w:bCs/>
      <w:color w:val="4F81BD"/>
      <w:sz w:val="24"/>
    </w:rPr>
  </w:style>
  <w:style w:type="character" w:customStyle="1" w:styleId="Heading4Char">
    <w:name w:val="Heading 4 Char"/>
    <w:basedOn w:val="DefaultParagraphFont"/>
    <w:link w:val="Heading4"/>
    <w:uiPriority w:val="99"/>
    <w:rsid w:val="00645F4F"/>
    <w:rPr>
      <w:rFonts w:ascii="Cambria" w:hAnsi="Cambria"/>
      <w:b/>
      <w:bCs/>
      <w:i/>
      <w:iCs/>
      <w:color w:val="4F81BD"/>
      <w:sz w:val="24"/>
    </w:rPr>
  </w:style>
  <w:style w:type="character" w:customStyle="1" w:styleId="Heading5Char">
    <w:name w:val="Heading 5 Char"/>
    <w:basedOn w:val="DefaultParagraphFont"/>
    <w:link w:val="Heading5"/>
    <w:uiPriority w:val="99"/>
    <w:rsid w:val="00645F4F"/>
    <w:rPr>
      <w:rFonts w:ascii="Cambria" w:hAnsi="Cambria"/>
      <w:color w:val="243F60"/>
      <w:sz w:val="24"/>
    </w:rPr>
  </w:style>
  <w:style w:type="character" w:customStyle="1" w:styleId="Heading6Char">
    <w:name w:val="Heading 6 Char"/>
    <w:basedOn w:val="DefaultParagraphFont"/>
    <w:link w:val="Heading6"/>
    <w:uiPriority w:val="99"/>
    <w:rsid w:val="00645F4F"/>
    <w:rPr>
      <w:rFonts w:ascii="Cambria" w:hAnsi="Cambria"/>
      <w:i/>
      <w:iCs/>
      <w:color w:val="243F60"/>
      <w:sz w:val="24"/>
    </w:rPr>
  </w:style>
  <w:style w:type="character" w:customStyle="1" w:styleId="Heading7Char">
    <w:name w:val="Heading 7 Char"/>
    <w:basedOn w:val="DefaultParagraphFont"/>
    <w:link w:val="Heading7"/>
    <w:uiPriority w:val="99"/>
    <w:rsid w:val="00645F4F"/>
    <w:rPr>
      <w:rFonts w:ascii="Cambria" w:hAnsi="Cambria"/>
      <w:i/>
      <w:iCs/>
      <w:color w:val="404040"/>
      <w:sz w:val="24"/>
    </w:rPr>
  </w:style>
  <w:style w:type="character" w:customStyle="1" w:styleId="Heading8Char">
    <w:name w:val="Heading 8 Char"/>
    <w:basedOn w:val="DefaultParagraphFont"/>
    <w:link w:val="Heading8"/>
    <w:uiPriority w:val="99"/>
    <w:rsid w:val="00645F4F"/>
    <w:rPr>
      <w:rFonts w:ascii="Cambria" w:hAnsi="Cambria"/>
      <w:color w:val="404040"/>
    </w:rPr>
  </w:style>
  <w:style w:type="character" w:customStyle="1" w:styleId="Heading9Char">
    <w:name w:val="Heading 9 Char"/>
    <w:basedOn w:val="DefaultParagraphFont"/>
    <w:link w:val="Heading9"/>
    <w:uiPriority w:val="99"/>
    <w:rsid w:val="00645F4F"/>
    <w:rPr>
      <w:rFonts w:ascii="Cambria" w:hAnsi="Cambria"/>
      <w:i/>
      <w:iCs/>
      <w:color w:val="404040"/>
    </w:rPr>
  </w:style>
  <w:style w:type="paragraph" w:customStyle="1" w:styleId="SCCLsocOtherPartyRoleSeparator">
    <w:name w:val="SCC.Lsoc.OtherPartyRoleSeparator"/>
    <w:basedOn w:val="Normal"/>
    <w:next w:val="Normal"/>
    <w:link w:val="SCCLsocOtherPartyRoleSeparatorChar"/>
    <w:uiPriority w:val="99"/>
    <w:rsid w:val="00645F4F"/>
    <w:pPr>
      <w:spacing w:after="480"/>
    </w:pPr>
    <w:rPr>
      <w:szCs w:val="22"/>
      <w:lang w:eastAsia="en-US"/>
    </w:rPr>
  </w:style>
  <w:style w:type="character" w:customStyle="1" w:styleId="SCCLsocOtherPartyRoleSeparatorChar">
    <w:name w:val="SCC.Lsoc.OtherPartyRoleSeparator Char"/>
    <w:basedOn w:val="DefaultParagraphFont"/>
    <w:link w:val="SCCLsocOtherPartyRoleSeparator"/>
    <w:uiPriority w:val="99"/>
    <w:locked/>
    <w:rsid w:val="00645F4F"/>
    <w:rPr>
      <w:sz w:val="24"/>
      <w:szCs w:val="22"/>
      <w:lang w:eastAsia="en-US"/>
    </w:rPr>
  </w:style>
  <w:style w:type="character" w:customStyle="1" w:styleId="SCCBanSummaryChar">
    <w:name w:val="SCC.BanSummary Char"/>
    <w:basedOn w:val="DefaultParagraphFont"/>
    <w:link w:val="SCCBanSummary"/>
    <w:uiPriority w:val="99"/>
    <w:locked/>
    <w:rsid w:val="00645F4F"/>
    <w:rPr>
      <w:b/>
      <w:sz w:val="24"/>
    </w:rPr>
  </w:style>
  <w:style w:type="table" w:styleId="TableGrid">
    <w:name w:val="Table Grid"/>
    <w:basedOn w:val="TableNormal"/>
    <w:uiPriority w:val="59"/>
    <w:rsid w:val="00645F4F"/>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rsid w:val="00645F4F"/>
    <w:pPr>
      <w:spacing w:after="720"/>
      <w:ind w:left="1166"/>
      <w:contextualSpacing/>
      <w:jc w:val="both"/>
    </w:pPr>
    <w:rPr>
      <w:sz w:val="24"/>
    </w:rPr>
  </w:style>
  <w:style w:type="paragraph" w:customStyle="1" w:styleId="ContinueParaSuitedupar-AltP">
    <w:name w:val="Continue Para. / Suite du par. - Alt P"/>
    <w:next w:val="ParaNoNdepar-AltN"/>
    <w:uiPriority w:val="99"/>
    <w:rsid w:val="00645F4F"/>
    <w:pPr>
      <w:spacing w:before="480" w:after="480" w:line="480" w:lineRule="auto"/>
      <w:jc w:val="both"/>
    </w:pPr>
    <w:rPr>
      <w:sz w:val="24"/>
      <w:szCs w:val="22"/>
      <w:lang w:eastAsia="en-US"/>
    </w:rPr>
  </w:style>
  <w:style w:type="paragraph" w:customStyle="1" w:styleId="JudgeJuge">
    <w:name w:val="Judge / Juge"/>
    <w:uiPriority w:val="99"/>
    <w:rsid w:val="00645F4F"/>
    <w:pPr>
      <w:tabs>
        <w:tab w:val="left" w:pos="1166"/>
      </w:tabs>
      <w:spacing w:after="480" w:line="480" w:lineRule="auto"/>
    </w:pPr>
    <w:rPr>
      <w:smallCaps/>
      <w:sz w:val="24"/>
    </w:rPr>
  </w:style>
  <w:style w:type="paragraph" w:customStyle="1" w:styleId="ParaNoNdepar-AltN">
    <w:name w:val="Para. No. / Nº de par. - Alt N"/>
    <w:qFormat/>
    <w:rsid w:val="00645F4F"/>
    <w:pPr>
      <w:numPr>
        <w:numId w:val="6"/>
      </w:numPr>
      <w:tabs>
        <w:tab w:val="clear" w:pos="1152"/>
        <w:tab w:val="left" w:pos="1166"/>
      </w:tabs>
      <w:spacing w:before="480" w:after="480" w:line="480" w:lineRule="auto"/>
      <w:jc w:val="both"/>
    </w:pPr>
    <w:rPr>
      <w:sz w:val="24"/>
      <w:szCs w:val="22"/>
      <w:lang w:eastAsia="en-US"/>
    </w:rPr>
  </w:style>
  <w:style w:type="paragraph" w:customStyle="1" w:styleId="TitleTitre-AltT">
    <w:name w:val="Title / Titre - Alt T"/>
    <w:next w:val="ParaNoNdepar-AltN"/>
    <w:uiPriority w:val="99"/>
    <w:rsid w:val="00645F4F"/>
    <w:pPr>
      <w:tabs>
        <w:tab w:val="left" w:pos="360"/>
      </w:tabs>
      <w:spacing w:before="480" w:after="720"/>
      <w:ind w:left="360" w:hanging="360"/>
      <w:jc w:val="both"/>
    </w:pPr>
    <w:rPr>
      <w:sz w:val="24"/>
      <w:szCs w:val="22"/>
      <w:lang w:eastAsia="en-US"/>
    </w:rPr>
  </w:style>
  <w:style w:type="character" w:styleId="CommentReference">
    <w:name w:val="annotation reference"/>
    <w:basedOn w:val="DefaultParagraphFont"/>
    <w:uiPriority w:val="99"/>
    <w:semiHidden/>
    <w:rsid w:val="00645F4F"/>
    <w:rPr>
      <w:rFonts w:cs="Times New Roman"/>
      <w:sz w:val="16"/>
      <w:szCs w:val="16"/>
    </w:rPr>
  </w:style>
  <w:style w:type="paragraph" w:styleId="CommentText">
    <w:name w:val="annotation text"/>
    <w:basedOn w:val="Normal"/>
    <w:link w:val="CommentTextChar"/>
    <w:uiPriority w:val="99"/>
    <w:semiHidden/>
    <w:rsid w:val="00645F4F"/>
    <w:rPr>
      <w:sz w:val="20"/>
    </w:rPr>
  </w:style>
  <w:style w:type="character" w:customStyle="1" w:styleId="CommentTextChar">
    <w:name w:val="Comment Text Char"/>
    <w:basedOn w:val="DefaultParagraphFont"/>
    <w:link w:val="CommentText"/>
    <w:uiPriority w:val="99"/>
    <w:semiHidden/>
    <w:rsid w:val="00645F4F"/>
  </w:style>
  <w:style w:type="paragraph" w:styleId="CommentSubject">
    <w:name w:val="annotation subject"/>
    <w:basedOn w:val="CommentText"/>
    <w:next w:val="CommentText"/>
    <w:link w:val="CommentSubjectChar"/>
    <w:uiPriority w:val="99"/>
    <w:semiHidden/>
    <w:rsid w:val="00645F4F"/>
    <w:rPr>
      <w:b/>
      <w:bCs/>
    </w:rPr>
  </w:style>
  <w:style w:type="character" w:customStyle="1" w:styleId="CommentSubjectChar">
    <w:name w:val="Comment Subject Char"/>
    <w:basedOn w:val="CommentTextChar"/>
    <w:link w:val="CommentSubject"/>
    <w:uiPriority w:val="99"/>
    <w:semiHidden/>
    <w:rsid w:val="00645F4F"/>
    <w:rPr>
      <w:b/>
      <w:bCs/>
    </w:rPr>
  </w:style>
  <w:style w:type="character" w:customStyle="1" w:styleId="SCCLsocPartyRoleChar">
    <w:name w:val="SCC.Lsoc.PartyRole Char"/>
    <w:basedOn w:val="DefaultParagraphFont"/>
    <w:rsid w:val="00D344FA"/>
    <w:rPr>
      <w:lang w:val="fr-CA"/>
    </w:rPr>
  </w:style>
  <w:style w:type="paragraph" w:customStyle="1" w:styleId="SCCLsocPrefix">
    <w:name w:val="SCC.Lsoc.Prefix"/>
    <w:basedOn w:val="Normal"/>
    <w:next w:val="Normal"/>
    <w:link w:val="SCCLsocPrefixChar"/>
    <w:rsid w:val="00D344F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344FA"/>
    <w:rPr>
      <w:rFonts w:eastAsiaTheme="minorHAnsi" w:cstheme="minorBidi"/>
      <w:b/>
      <w:smallCaps/>
      <w:sz w:val="24"/>
      <w:szCs w:val="24"/>
      <w:lang w:val="fr-CA" w:eastAsia="en-US"/>
    </w:rPr>
  </w:style>
  <w:style w:type="paragraph" w:customStyle="1" w:styleId="SCCAppellantForIndex">
    <w:name w:val="SCC.AppellantForIndex"/>
    <w:basedOn w:val="Normal"/>
    <w:next w:val="Normal"/>
    <w:link w:val="SCCAppellantForIndexChar"/>
    <w:rsid w:val="00D344FA"/>
    <w:rPr>
      <w:b/>
    </w:rPr>
  </w:style>
  <w:style w:type="character" w:customStyle="1" w:styleId="SCCAppellantForIndexChar">
    <w:name w:val="SCC.AppellantForIndex Char"/>
    <w:basedOn w:val="DefaultParagraphFont"/>
    <w:link w:val="SCCAppellantForIndex"/>
    <w:rsid w:val="00D344FA"/>
    <w:rPr>
      <w:b/>
      <w:sz w:val="24"/>
    </w:rPr>
  </w:style>
  <w:style w:type="paragraph" w:customStyle="1" w:styleId="SCCRespondentForIndex">
    <w:name w:val="SCC.RespondentForIndex"/>
    <w:basedOn w:val="Normal"/>
    <w:next w:val="Normal"/>
    <w:link w:val="SCCRespondentForIndexChar"/>
    <w:rsid w:val="00D344FA"/>
    <w:rPr>
      <w:b/>
    </w:rPr>
  </w:style>
  <w:style w:type="character" w:customStyle="1" w:styleId="SCCRespondentForIndexChar">
    <w:name w:val="SCC.RespondentForIndex Char"/>
    <w:basedOn w:val="DefaultParagraphFont"/>
    <w:link w:val="SCCRespondentForIndex"/>
    <w:rsid w:val="00D344FA"/>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66363-8B61-4A7D-BC13-1295E2E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7265</Words>
  <Characters>38130</Characters>
  <Application>Microsoft Office Word</Application>
  <DocSecurity>0</DocSecurity>
  <Lines>317</Lines>
  <Paragraphs>90</Paragraphs>
  <ScaleCrop>false</ScaleCrop>
  <LinksUpToDate>false</LinksUpToDate>
  <CharactersWithSpaces>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2013-05-15T16:41:00Z</dcterms:created>
  <dcterms:modified xsi:type="dcterms:W3CDTF">2014-03-24T14:03:00Z</dcterms:modified>
</cp:coreProperties>
</file>