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95" w:rsidRPr="00BC18E4" w:rsidRDefault="00193F95" w:rsidP="00193F95">
      <w:pPr>
        <w:tabs>
          <w:tab w:val="center" w:pos="4680"/>
          <w:tab w:val="right" w:pos="9360"/>
        </w:tabs>
        <w:jc w:val="center"/>
        <w:rPr>
          <w:rFonts w:eastAsiaTheme="minorHAnsi" w:cstheme="minorBidi"/>
          <w:szCs w:val="24"/>
          <w:lang w:val="fr-CA" w:eastAsia="en-US"/>
        </w:rPr>
      </w:pPr>
      <w:r w:rsidRPr="00BC18E4">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29967" r:id="rId9"/>
        </w:object>
      </w:r>
    </w:p>
    <w:p w:rsidR="00193F95" w:rsidRPr="00BC18E4" w:rsidRDefault="00193F95" w:rsidP="00193F95">
      <w:pPr>
        <w:tabs>
          <w:tab w:val="center" w:pos="4680"/>
          <w:tab w:val="right" w:pos="9360"/>
        </w:tabs>
        <w:rPr>
          <w:rFonts w:eastAsiaTheme="minorHAnsi" w:cstheme="minorBidi"/>
          <w:szCs w:val="24"/>
          <w:lang w:val="fr-CA" w:eastAsia="en-US"/>
        </w:rPr>
      </w:pPr>
    </w:p>
    <w:p w:rsidR="00193F95" w:rsidRPr="00BC18E4" w:rsidRDefault="00193F95" w:rsidP="00193F95">
      <w:pPr>
        <w:jc w:val="center"/>
        <w:rPr>
          <w:rFonts w:eastAsiaTheme="minorHAnsi" w:cstheme="minorBidi"/>
          <w:b/>
          <w:szCs w:val="24"/>
          <w:lang w:val="fr-CA" w:eastAsia="en-US"/>
        </w:rPr>
      </w:pPr>
      <w:r w:rsidRPr="00BC18E4">
        <w:rPr>
          <w:rFonts w:eastAsiaTheme="minorHAnsi" w:cstheme="minorBidi"/>
          <w:b/>
          <w:szCs w:val="24"/>
          <w:lang w:val="fr-CA" w:eastAsia="en-US"/>
        </w:rPr>
        <w:t>COUR SUPRÊME DU CANADA</w:t>
      </w:r>
    </w:p>
    <w:p w:rsidR="00193F95" w:rsidRPr="00BC18E4" w:rsidRDefault="00193F95" w:rsidP="00193F95">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93F95" w:rsidRPr="00BC18E4" w:rsidTr="00A91E19">
        <w:trPr>
          <w:cantSplit/>
        </w:trPr>
        <w:tc>
          <w:tcPr>
            <w:tcW w:w="6768" w:type="dxa"/>
          </w:tcPr>
          <w:p w:rsidR="00193F95" w:rsidRPr="00BC18E4" w:rsidRDefault="00193F95" w:rsidP="00A91E19">
            <w:pPr>
              <w:rPr>
                <w:lang w:val="fr-CA"/>
              </w:rPr>
            </w:pPr>
            <w:r w:rsidRPr="00BC18E4">
              <w:rPr>
                <w:b/>
                <w:smallCaps/>
                <w:lang w:val="fr-CA"/>
              </w:rPr>
              <w:t>Référence :</w:t>
            </w:r>
            <w:r w:rsidRPr="00BC18E4">
              <w:rPr>
                <w:lang w:val="fr-CA"/>
              </w:rPr>
              <w:t xml:space="preserve"> Colombie-Britannique (Forêts) </w:t>
            </w:r>
            <w:r w:rsidRPr="00BC18E4">
              <w:rPr>
                <w:i/>
                <w:lang w:val="fr-CA"/>
              </w:rPr>
              <w:t>c.</w:t>
            </w:r>
            <w:r w:rsidRPr="00BC18E4">
              <w:rPr>
                <w:lang w:val="fr-CA"/>
              </w:rPr>
              <w:t xml:space="preserve"> Teal Cedar Products Ltd., 2013 CSC 51</w:t>
            </w:r>
            <w:r>
              <w:rPr>
                <w:lang w:val="fr-CA"/>
              </w:rPr>
              <w:t>, [2013] 3 R.C.S. 301</w:t>
            </w:r>
          </w:p>
        </w:tc>
        <w:tc>
          <w:tcPr>
            <w:tcW w:w="2808" w:type="dxa"/>
          </w:tcPr>
          <w:p w:rsidR="00193F95" w:rsidRPr="00BC18E4" w:rsidRDefault="00193F95" w:rsidP="00A91E19">
            <w:pPr>
              <w:rPr>
                <w:lang w:val="fr-CA"/>
              </w:rPr>
            </w:pPr>
            <w:r w:rsidRPr="00BC18E4">
              <w:rPr>
                <w:b/>
                <w:smallCaps/>
                <w:lang w:val="fr-CA"/>
              </w:rPr>
              <w:t>Date :</w:t>
            </w:r>
            <w:r w:rsidRPr="00BC18E4">
              <w:rPr>
                <w:lang w:val="fr-CA"/>
              </w:rPr>
              <w:t xml:space="preserve"> 20131004</w:t>
            </w:r>
          </w:p>
          <w:p w:rsidR="00193F95" w:rsidRPr="00BC18E4" w:rsidRDefault="00193F95" w:rsidP="00A91E19">
            <w:pPr>
              <w:rPr>
                <w:lang w:val="fr-CA"/>
              </w:rPr>
            </w:pPr>
            <w:r w:rsidRPr="00BC18E4">
              <w:rPr>
                <w:b/>
                <w:smallCaps/>
                <w:lang w:val="fr-CA"/>
              </w:rPr>
              <w:t>Dossier :</w:t>
            </w:r>
            <w:r w:rsidRPr="00BC18E4">
              <w:rPr>
                <w:lang w:val="fr-CA"/>
              </w:rPr>
              <w:t xml:space="preserve"> 34769</w:t>
            </w:r>
          </w:p>
        </w:tc>
      </w:tr>
    </w:tbl>
    <w:p w:rsidR="00193F95" w:rsidRPr="00BC18E4" w:rsidRDefault="00193F95" w:rsidP="00193F95">
      <w:pPr>
        <w:rPr>
          <w:rFonts w:eastAsiaTheme="minorHAnsi" w:cstheme="minorBidi"/>
          <w:szCs w:val="24"/>
          <w:lang w:val="fr-CA" w:eastAsia="en-US"/>
        </w:rPr>
      </w:pPr>
    </w:p>
    <w:p w:rsidR="00193F95" w:rsidRPr="00BC18E4" w:rsidRDefault="00193F95" w:rsidP="00193F95">
      <w:pPr>
        <w:rPr>
          <w:rFonts w:eastAsiaTheme="minorHAnsi" w:cstheme="minorBidi"/>
          <w:b/>
          <w:smallCaps/>
          <w:szCs w:val="24"/>
          <w:lang w:val="fr-CA" w:eastAsia="en-US"/>
        </w:rPr>
      </w:pPr>
      <w:r w:rsidRPr="00BC18E4">
        <w:rPr>
          <w:rFonts w:eastAsiaTheme="minorHAnsi" w:cstheme="minorBidi"/>
          <w:b/>
          <w:smallCaps/>
          <w:szCs w:val="24"/>
          <w:lang w:val="fr-CA" w:eastAsia="en-US"/>
        </w:rPr>
        <w:t>Entre :</w:t>
      </w:r>
    </w:p>
    <w:p w:rsidR="00193F95" w:rsidRPr="00BC18E4" w:rsidRDefault="00193F95" w:rsidP="00193F95">
      <w:pPr>
        <w:jc w:val="center"/>
        <w:rPr>
          <w:rFonts w:eastAsiaTheme="minorHAnsi" w:cstheme="minorBidi"/>
          <w:b/>
          <w:szCs w:val="24"/>
          <w:lang w:val="fr-CA" w:eastAsia="en-US"/>
        </w:rPr>
      </w:pPr>
      <w:r w:rsidRPr="00BC18E4">
        <w:rPr>
          <w:rFonts w:eastAsiaTheme="minorHAnsi" w:cstheme="minorBidi"/>
          <w:b/>
          <w:szCs w:val="24"/>
          <w:lang w:val="fr-CA" w:eastAsia="en-US"/>
        </w:rPr>
        <w:t xml:space="preserve">Sa Majesté la Reine du chef de la province de la Colombie-Britannique, </w:t>
      </w:r>
    </w:p>
    <w:p w:rsidR="00193F95" w:rsidRPr="00BC18E4" w:rsidRDefault="00193F95" w:rsidP="00193F95">
      <w:pPr>
        <w:jc w:val="center"/>
        <w:rPr>
          <w:rFonts w:eastAsiaTheme="minorHAnsi" w:cstheme="minorBidi"/>
          <w:b/>
          <w:szCs w:val="24"/>
          <w:lang w:val="fr-CA" w:eastAsia="en-US"/>
        </w:rPr>
      </w:pPr>
      <w:r w:rsidRPr="00BC18E4">
        <w:rPr>
          <w:rFonts w:eastAsiaTheme="minorHAnsi" w:cstheme="minorBidi"/>
          <w:b/>
          <w:szCs w:val="24"/>
          <w:lang w:val="fr-CA" w:eastAsia="en-US"/>
        </w:rPr>
        <w:t>représentée par le ministère des Forêts</w:t>
      </w:r>
    </w:p>
    <w:p w:rsidR="00193F95" w:rsidRPr="00BC18E4" w:rsidRDefault="00193F95" w:rsidP="00193F95">
      <w:pPr>
        <w:jc w:val="center"/>
        <w:rPr>
          <w:rFonts w:eastAsiaTheme="minorHAnsi" w:cstheme="minorBidi"/>
          <w:szCs w:val="24"/>
          <w:lang w:val="fr-CA" w:eastAsia="en-US"/>
        </w:rPr>
      </w:pPr>
      <w:r w:rsidRPr="00BC18E4">
        <w:rPr>
          <w:rFonts w:eastAsiaTheme="minorHAnsi" w:cstheme="minorBidi"/>
          <w:szCs w:val="24"/>
          <w:lang w:val="fr-CA" w:eastAsia="en-US"/>
        </w:rPr>
        <w:t>Appelante</w:t>
      </w:r>
    </w:p>
    <w:p w:rsidR="00193F95" w:rsidRPr="00BC18E4" w:rsidRDefault="00193F95" w:rsidP="00193F95">
      <w:pPr>
        <w:jc w:val="center"/>
        <w:rPr>
          <w:rFonts w:eastAsiaTheme="minorHAnsi" w:cstheme="minorBidi"/>
          <w:szCs w:val="24"/>
          <w:lang w:val="fr-CA" w:eastAsia="en-US"/>
        </w:rPr>
      </w:pPr>
      <w:r w:rsidRPr="00BC18E4">
        <w:rPr>
          <w:rFonts w:eastAsiaTheme="minorHAnsi" w:cstheme="minorBidi"/>
          <w:szCs w:val="24"/>
          <w:lang w:val="fr-CA" w:eastAsia="en-US"/>
        </w:rPr>
        <w:t>et</w:t>
      </w:r>
    </w:p>
    <w:p w:rsidR="00193F95" w:rsidRPr="00BC18E4" w:rsidRDefault="00193F95" w:rsidP="00193F95">
      <w:pPr>
        <w:jc w:val="center"/>
        <w:rPr>
          <w:rFonts w:eastAsiaTheme="minorHAnsi" w:cstheme="minorBidi"/>
          <w:b/>
          <w:szCs w:val="24"/>
          <w:lang w:val="fr-CA" w:eastAsia="en-US"/>
        </w:rPr>
      </w:pPr>
      <w:r w:rsidRPr="00BC18E4">
        <w:rPr>
          <w:rFonts w:eastAsiaTheme="minorHAnsi" w:cstheme="minorBidi"/>
          <w:b/>
          <w:szCs w:val="24"/>
          <w:lang w:val="fr-CA" w:eastAsia="en-US"/>
        </w:rPr>
        <w:t>Teal Cedar Products Ltd.</w:t>
      </w:r>
    </w:p>
    <w:p w:rsidR="00193F95" w:rsidRPr="00BC18E4" w:rsidRDefault="00193F95" w:rsidP="00193F95">
      <w:pPr>
        <w:jc w:val="center"/>
        <w:rPr>
          <w:rFonts w:eastAsiaTheme="minorHAnsi" w:cstheme="minorBidi"/>
          <w:szCs w:val="24"/>
          <w:lang w:val="fr-CA" w:eastAsia="en-US"/>
        </w:rPr>
      </w:pPr>
      <w:r w:rsidRPr="00BC18E4">
        <w:rPr>
          <w:rFonts w:eastAsiaTheme="minorHAnsi" w:cstheme="minorBidi"/>
          <w:szCs w:val="24"/>
          <w:lang w:val="fr-CA" w:eastAsia="en-US"/>
        </w:rPr>
        <w:t>Intimée</w:t>
      </w:r>
    </w:p>
    <w:p w:rsidR="00193F95" w:rsidRPr="00BC18E4" w:rsidRDefault="00193F95" w:rsidP="00193F95">
      <w:pPr>
        <w:rPr>
          <w:rFonts w:eastAsiaTheme="minorHAnsi" w:cstheme="minorBidi"/>
          <w:szCs w:val="24"/>
          <w:lang w:val="fr-CA" w:eastAsia="en-US"/>
        </w:rPr>
      </w:pPr>
    </w:p>
    <w:p w:rsidR="00193F95" w:rsidRPr="00BC18E4" w:rsidRDefault="00193F95" w:rsidP="00193F95">
      <w:pPr>
        <w:rPr>
          <w:rFonts w:eastAsiaTheme="minorHAnsi" w:cstheme="minorBidi"/>
          <w:szCs w:val="24"/>
          <w:lang w:val="fr-CA" w:eastAsia="en-US"/>
        </w:rPr>
      </w:pPr>
    </w:p>
    <w:p w:rsidR="00193F95" w:rsidRPr="00BC18E4" w:rsidRDefault="00193F95" w:rsidP="00193F95">
      <w:pPr>
        <w:jc w:val="center"/>
        <w:rPr>
          <w:rFonts w:eastAsiaTheme="minorHAnsi" w:cstheme="minorBidi"/>
          <w:b/>
          <w:smallCaps/>
          <w:szCs w:val="24"/>
          <w:lang w:val="fr-CA" w:eastAsia="en-US"/>
        </w:rPr>
      </w:pPr>
      <w:r w:rsidRPr="00BC18E4">
        <w:rPr>
          <w:rFonts w:eastAsiaTheme="minorHAnsi" w:cstheme="minorBidi"/>
          <w:b/>
          <w:smallCaps/>
          <w:szCs w:val="24"/>
          <w:lang w:val="fr-CA" w:eastAsia="en-US"/>
        </w:rPr>
        <w:t>Traduction française officielle</w:t>
      </w:r>
    </w:p>
    <w:p w:rsidR="00193F95" w:rsidRPr="00BC18E4" w:rsidRDefault="00193F95" w:rsidP="00193F95">
      <w:pPr>
        <w:rPr>
          <w:rFonts w:eastAsiaTheme="minorHAnsi" w:cstheme="minorBidi"/>
          <w:szCs w:val="24"/>
          <w:lang w:val="fr-CA" w:eastAsia="en-US"/>
        </w:rPr>
      </w:pPr>
    </w:p>
    <w:p w:rsidR="00193F95" w:rsidRPr="00BC18E4" w:rsidRDefault="00193F95" w:rsidP="00193F95">
      <w:pPr>
        <w:rPr>
          <w:rFonts w:eastAsiaTheme="minorHAnsi" w:cstheme="minorBidi"/>
          <w:szCs w:val="24"/>
          <w:lang w:val="fr-CA" w:eastAsia="en-US"/>
        </w:rPr>
      </w:pPr>
      <w:r w:rsidRPr="00BC18E4">
        <w:rPr>
          <w:rFonts w:eastAsiaTheme="minorHAnsi" w:cstheme="minorBidi"/>
          <w:b/>
          <w:smallCaps/>
          <w:szCs w:val="24"/>
          <w:lang w:val="fr-CA" w:eastAsia="en-US"/>
        </w:rPr>
        <w:t>Coram :</w:t>
      </w:r>
      <w:r w:rsidRPr="00BC18E4">
        <w:rPr>
          <w:rFonts w:eastAsiaTheme="minorHAnsi" w:cstheme="minorBidi"/>
          <w:szCs w:val="24"/>
          <w:lang w:val="fr-CA" w:eastAsia="en-US"/>
        </w:rPr>
        <w:t xml:space="preserve"> Les juges LeBel, Fish, Rothstein, Cromwell, Moldaver, Karakatsanis et Wagner</w:t>
      </w:r>
    </w:p>
    <w:p w:rsidR="00193F95" w:rsidRPr="00BC18E4" w:rsidRDefault="00193F95" w:rsidP="00193F95">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93F95" w:rsidRPr="00BC18E4" w:rsidTr="00A91E19">
        <w:trPr>
          <w:cantSplit/>
        </w:trPr>
        <w:tc>
          <w:tcPr>
            <w:tcW w:w="3618" w:type="dxa"/>
          </w:tcPr>
          <w:p w:rsidR="00193F95" w:rsidRPr="00BC18E4" w:rsidRDefault="00193F95" w:rsidP="00A91E19">
            <w:pPr>
              <w:rPr>
                <w:b/>
                <w:smallCaps/>
                <w:lang w:val="fr-CA"/>
              </w:rPr>
            </w:pPr>
            <w:r w:rsidRPr="00BC18E4">
              <w:rPr>
                <w:b/>
                <w:smallCaps/>
                <w:lang w:val="fr-CA"/>
              </w:rPr>
              <w:t>Motifs de jugement :</w:t>
            </w:r>
          </w:p>
          <w:p w:rsidR="00193F95" w:rsidRPr="00BC18E4" w:rsidRDefault="00193F95" w:rsidP="00A91E19">
            <w:pPr>
              <w:rPr>
                <w:lang w:val="fr-CA"/>
              </w:rPr>
            </w:pPr>
            <w:r w:rsidRPr="00BC18E4">
              <w:rPr>
                <w:lang w:val="fr-CA"/>
              </w:rPr>
              <w:t>(par. 1 à 41)</w:t>
            </w:r>
          </w:p>
        </w:tc>
        <w:tc>
          <w:tcPr>
            <w:tcW w:w="5958" w:type="dxa"/>
          </w:tcPr>
          <w:p w:rsidR="00193F95" w:rsidRPr="00BC18E4" w:rsidRDefault="00193F95" w:rsidP="00A91E19">
            <w:pPr>
              <w:rPr>
                <w:lang w:val="fr-CA"/>
              </w:rPr>
            </w:pPr>
            <w:r w:rsidRPr="00BC18E4">
              <w:rPr>
                <w:lang w:val="fr-CA"/>
              </w:rPr>
              <w:t>Le juge Rothstein (avec l’accord des juges LeBel, Fish, Cromwell, Moldaver, Karakatsanis et Wagner)</w:t>
            </w:r>
          </w:p>
        </w:tc>
      </w:tr>
    </w:tbl>
    <w:p w:rsidR="00193F95" w:rsidRPr="00BC18E4" w:rsidRDefault="00193F95" w:rsidP="00193F95">
      <w:pPr>
        <w:rPr>
          <w:rFonts w:eastAsiaTheme="minorHAnsi" w:cstheme="minorBidi"/>
          <w:szCs w:val="24"/>
          <w:lang w:val="fr-CA" w:eastAsia="en-US"/>
        </w:rPr>
      </w:pPr>
      <w:r w:rsidRPr="0000042D">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193F95" w:rsidRDefault="00193F95" w:rsidP="00193F95">
      <w:pPr>
        <w:rPr>
          <w:smallCaps/>
          <w:lang w:val="fr-CA"/>
        </w:rPr>
      </w:pPr>
      <w:r>
        <w:rPr>
          <w:smallCaps/>
          <w:lang w:val="fr-CA"/>
        </w:rPr>
        <w:br w:type="page"/>
      </w:r>
    </w:p>
    <w:p w:rsidR="000D56FC" w:rsidRPr="00430C21" w:rsidRDefault="00430C21" w:rsidP="000D56FC">
      <w:pPr>
        <w:spacing w:after="720"/>
        <w:jc w:val="both"/>
        <w:rPr>
          <w:lang w:val="fr-CA"/>
        </w:rPr>
      </w:pPr>
      <w:r w:rsidRPr="00430C21">
        <w:rPr>
          <w:lang w:val="fr-CA"/>
        </w:rPr>
        <w:lastRenderedPageBreak/>
        <w:t>Colombie</w:t>
      </w:r>
      <w:r>
        <w:rPr>
          <w:lang w:val="fr-CA"/>
        </w:rPr>
        <w:t>-</w:t>
      </w:r>
      <w:r w:rsidRPr="00430C21">
        <w:rPr>
          <w:lang w:val="fr-CA"/>
        </w:rPr>
        <w:t xml:space="preserve">Britannique (Forêts) </w:t>
      </w:r>
      <w:r w:rsidRPr="00430C21">
        <w:rPr>
          <w:i/>
          <w:lang w:val="fr-CA"/>
        </w:rPr>
        <w:t>c.</w:t>
      </w:r>
      <w:r w:rsidRPr="00430C21">
        <w:rPr>
          <w:lang w:val="fr-CA"/>
        </w:rPr>
        <w:t xml:space="preserve"> Teal Cedar Products Ltd.</w:t>
      </w:r>
      <w:r>
        <w:rPr>
          <w:lang w:val="fr-CA"/>
        </w:rPr>
        <w:t>, 2013 CSC 51, [2013] 3 R.C.S. 301</w:t>
      </w:r>
    </w:p>
    <w:p w:rsidR="000D56FC" w:rsidRPr="00143BD1" w:rsidRDefault="000D56FC" w:rsidP="000D56FC">
      <w:pPr>
        <w:pStyle w:val="SCCLsocLastPartyInRole"/>
        <w:spacing w:after="0"/>
        <w:rPr>
          <w:lang w:val="fr-CA"/>
        </w:rPr>
      </w:pPr>
      <w:r w:rsidRPr="00143BD1">
        <w:rPr>
          <w:lang w:val="fr-CA"/>
        </w:rPr>
        <w:t xml:space="preserve">Sa Majesté la Reine du chef de la province de la </w:t>
      </w:r>
    </w:p>
    <w:p w:rsidR="000D56FC" w:rsidRPr="00143BD1" w:rsidRDefault="000D56FC" w:rsidP="000D56FC">
      <w:pPr>
        <w:pStyle w:val="SCCLsocLastPartyInRole"/>
        <w:rPr>
          <w:lang w:val="fr-CA"/>
        </w:rPr>
      </w:pPr>
      <w:r w:rsidRPr="00143BD1">
        <w:rPr>
          <w:lang w:val="fr-CA"/>
        </w:rPr>
        <w:t>Colombie</w:t>
      </w:r>
      <w:r w:rsidRPr="00143BD1">
        <w:rPr>
          <w:lang w:val="fr-CA"/>
        </w:rPr>
        <w:noBreakHyphen/>
        <w:t>Britannique, représentée par le ministère des Forêts</w:t>
      </w:r>
      <w:r w:rsidRPr="00143BD1">
        <w:rPr>
          <w:rStyle w:val="SCCLsocPartyRole"/>
          <w:lang w:val="fr-CA"/>
        </w:rPr>
        <w:tab/>
        <w:t>Appelante</w:t>
      </w:r>
    </w:p>
    <w:p w:rsidR="000D56FC" w:rsidRPr="00143BD1" w:rsidRDefault="000D56FC" w:rsidP="000D56FC">
      <w:pPr>
        <w:pStyle w:val="SCCLsocVersus"/>
      </w:pPr>
      <w:r w:rsidRPr="00143BD1">
        <w:t>c.</w:t>
      </w:r>
    </w:p>
    <w:p w:rsidR="000D56FC" w:rsidRPr="00143BD1" w:rsidRDefault="000D56FC" w:rsidP="000D56FC">
      <w:pPr>
        <w:pStyle w:val="SCCLsocLastPartyInRole"/>
        <w:rPr>
          <w:lang w:val="fr-CA"/>
        </w:rPr>
      </w:pPr>
      <w:r w:rsidRPr="00143BD1">
        <w:t>Teal Cedar Products Ltd.</w:t>
      </w:r>
      <w:r w:rsidRPr="00143BD1">
        <w:rPr>
          <w:rStyle w:val="SCCLsocPartyRole"/>
        </w:rPr>
        <w:tab/>
      </w:r>
      <w:r w:rsidRPr="00143BD1">
        <w:rPr>
          <w:rStyle w:val="SCCLsocPartyRole"/>
          <w:lang w:val="fr-CA"/>
        </w:rPr>
        <w:t>Intimée</w:t>
      </w:r>
    </w:p>
    <w:p w:rsidR="000D56FC" w:rsidRPr="00143BD1" w:rsidRDefault="000D56FC" w:rsidP="000D56FC">
      <w:pPr>
        <w:spacing w:after="720"/>
        <w:jc w:val="both"/>
        <w:rPr>
          <w:b/>
          <w:lang w:val="fr-CA"/>
        </w:rPr>
      </w:pPr>
      <w:r w:rsidRPr="00143BD1">
        <w:rPr>
          <w:b/>
          <w:lang w:val="fr-CA"/>
        </w:rPr>
        <w:t>Répertorié : Colombie</w:t>
      </w:r>
      <w:r w:rsidRPr="00143BD1">
        <w:rPr>
          <w:b/>
          <w:lang w:val="fr-CA"/>
        </w:rPr>
        <w:noBreakHyphen/>
        <w:t xml:space="preserve">Britannique (Forêts) </w:t>
      </w:r>
      <w:r w:rsidRPr="00143BD1">
        <w:rPr>
          <w:b/>
          <w:i/>
          <w:lang w:val="fr-CA"/>
        </w:rPr>
        <w:t>c.</w:t>
      </w:r>
      <w:r w:rsidRPr="00143BD1">
        <w:rPr>
          <w:b/>
          <w:lang w:val="fr-CA"/>
        </w:rPr>
        <w:t xml:space="preserve"> </w:t>
      </w:r>
      <w:r w:rsidRPr="00083A50">
        <w:rPr>
          <w:b/>
          <w:lang w:val="fr-CA"/>
        </w:rPr>
        <w:t>Teal Cedar Products Ltd.</w:t>
      </w:r>
    </w:p>
    <w:p w:rsidR="000D56FC" w:rsidRPr="00143BD1" w:rsidRDefault="000D56FC" w:rsidP="000D56FC">
      <w:pPr>
        <w:pStyle w:val="SCCSystemYear"/>
        <w:spacing w:after="720"/>
        <w:jc w:val="both"/>
        <w:rPr>
          <w:lang w:val="fr-CA"/>
        </w:rPr>
      </w:pPr>
      <w:r w:rsidRPr="00143BD1">
        <w:rPr>
          <w:lang w:val="fr-CA"/>
        </w:rPr>
        <w:t>2013 CSC 51</w:t>
      </w:r>
    </w:p>
    <w:p w:rsidR="000D56FC" w:rsidRPr="00143BD1" w:rsidRDefault="000D56FC" w:rsidP="000D56FC">
      <w:pPr>
        <w:spacing w:after="720"/>
        <w:jc w:val="both"/>
        <w:rPr>
          <w:lang w:val="fr-CA"/>
        </w:rPr>
      </w:pPr>
      <w:r w:rsidRPr="00143BD1">
        <w:rPr>
          <w:lang w:val="fr-CA"/>
        </w:rPr>
        <w:t>N</w:t>
      </w:r>
      <w:r w:rsidRPr="00143BD1">
        <w:rPr>
          <w:vertAlign w:val="superscript"/>
          <w:lang w:val="fr-CA"/>
        </w:rPr>
        <w:t>o</w:t>
      </w:r>
      <w:r w:rsidRPr="00143BD1">
        <w:rPr>
          <w:lang w:val="fr-CA"/>
        </w:rPr>
        <w:t xml:space="preserve"> du greffe : 34769.</w:t>
      </w:r>
    </w:p>
    <w:p w:rsidR="000D56FC" w:rsidRPr="00143BD1" w:rsidRDefault="000D56FC" w:rsidP="000D56FC">
      <w:pPr>
        <w:spacing w:after="720"/>
        <w:jc w:val="both"/>
        <w:rPr>
          <w:lang w:val="fr-CA"/>
        </w:rPr>
      </w:pPr>
      <w:r w:rsidRPr="00143BD1">
        <w:rPr>
          <w:lang w:val="fr-CA"/>
        </w:rPr>
        <w:t>2013 : 21 mars; 2013 : 4 octobre.</w:t>
      </w:r>
    </w:p>
    <w:p w:rsidR="000D56FC" w:rsidRPr="00143BD1" w:rsidRDefault="000D56FC" w:rsidP="000D56FC">
      <w:pPr>
        <w:spacing w:after="720"/>
        <w:jc w:val="both"/>
        <w:rPr>
          <w:lang w:val="fr-CA"/>
        </w:rPr>
      </w:pPr>
      <w:r w:rsidRPr="00143BD1">
        <w:rPr>
          <w:lang w:val="fr-CA"/>
        </w:rPr>
        <w:t>Présents : Les juges LeBel, Fish, Rothstein, Cromwell, Moldaver, Karakatsanis et Wagner.</w:t>
      </w:r>
    </w:p>
    <w:p w:rsidR="000D56FC" w:rsidRPr="00143BD1" w:rsidRDefault="000D56FC" w:rsidP="000D56FC">
      <w:pPr>
        <w:spacing w:after="720"/>
        <w:jc w:val="both"/>
        <w:rPr>
          <w:smallCaps/>
          <w:lang w:val="fr-CA"/>
        </w:rPr>
      </w:pPr>
      <w:r w:rsidRPr="00143BD1">
        <w:rPr>
          <w:smallCaps/>
          <w:lang w:val="fr-CA"/>
        </w:rPr>
        <w:t>en appel de la cour d’appel de la colombie</w:t>
      </w:r>
      <w:r w:rsidRPr="00143BD1">
        <w:rPr>
          <w:smallCaps/>
          <w:lang w:val="fr-CA"/>
        </w:rPr>
        <w:noBreakHyphen/>
        <w:t>britannique</w:t>
      </w:r>
    </w:p>
    <w:p w:rsidR="000D56FC" w:rsidRPr="00143BD1" w:rsidRDefault="000D56FC" w:rsidP="000D56FC">
      <w:pPr>
        <w:pStyle w:val="SCCNormalDoubleSpacing"/>
        <w:spacing w:after="480"/>
        <w:rPr>
          <w:i/>
          <w:lang w:val="fr-CA"/>
        </w:rPr>
      </w:pPr>
      <w:r w:rsidRPr="00143BD1">
        <w:rPr>
          <w:i/>
          <w:lang w:val="fr-CA"/>
        </w:rPr>
        <w:tab/>
        <w:t xml:space="preserve">Arbitrage — Intérêts — Expropriation — Réduction par la province de la coupe annuelle autorisée d’une entreprise forestière pour créer un parc — Indemnité demandée par l’entreprise forestière pour l’expropriation partielle — Intérêts composés accordés par l’arbitre à l’entreprise forestière pour la période allant de la </w:t>
      </w:r>
      <w:r w:rsidRPr="00143BD1">
        <w:rPr>
          <w:i/>
          <w:lang w:val="fr-CA"/>
        </w:rPr>
        <w:lastRenderedPageBreak/>
        <w:t>date à laquelle la province a réduit la coupe annuelle autorisée jusqu’à celle de la sentence</w:t>
      </w:r>
      <w:r>
        <w:rPr>
          <w:i/>
          <w:lang w:val="fr-CA"/>
        </w:rPr>
        <w:t xml:space="preserve"> arbitrale</w:t>
      </w:r>
      <w:r w:rsidRPr="00143BD1">
        <w:rPr>
          <w:i/>
          <w:lang w:val="fr-CA"/>
        </w:rPr>
        <w:t xml:space="preserve"> — L’arbitre pouvait</w:t>
      </w:r>
      <w:r w:rsidRPr="00143BD1">
        <w:rPr>
          <w:i/>
          <w:lang w:val="fr-CA"/>
        </w:rPr>
        <w:noBreakHyphen/>
        <w:t>il</w:t>
      </w:r>
      <w:r>
        <w:rPr>
          <w:i/>
          <w:lang w:val="fr-CA"/>
        </w:rPr>
        <w:t xml:space="preserve"> </w:t>
      </w:r>
      <w:r w:rsidRPr="00143BD1">
        <w:rPr>
          <w:i/>
          <w:lang w:val="fr-CA"/>
        </w:rPr>
        <w:t>accorder des intérêts composés ou uniquement des intérêts simples? — Commercial Arbitration Act, R.S.B.C. 1996, ch. 55, art. 28 — Court Order Interest Act, R.S.B.C. 1996, ch. 79, art. 1.</w:t>
      </w:r>
    </w:p>
    <w:p w:rsidR="000D56FC" w:rsidRPr="00143BD1" w:rsidRDefault="000D56FC" w:rsidP="000D56FC">
      <w:pPr>
        <w:pStyle w:val="SCCNormalDoubleSpacing"/>
        <w:spacing w:after="480"/>
        <w:rPr>
          <w:lang w:val="fr-CA"/>
        </w:rPr>
      </w:pPr>
      <w:r w:rsidRPr="00143BD1">
        <w:rPr>
          <w:lang w:val="fr-CA"/>
        </w:rPr>
        <w:tab/>
        <w:t xml:space="preserve">T, une entreprise forestière, détenait un permis l’autorisant à récolter dans la province de Colombie-Britannique une certaine quantité de bois, ce qu’on appelle une coupe annuelle autorisée.  Lorsque la province a réduit la coupe annuelle autorisée de T pour créer un parc, T a intenté contre la province, en vertu de la </w:t>
      </w:r>
      <w:r w:rsidRPr="00143BD1">
        <w:rPr>
          <w:i/>
          <w:lang w:val="fr-CA"/>
        </w:rPr>
        <w:t xml:space="preserve">Forest Act </w:t>
      </w:r>
      <w:r w:rsidRPr="00143BD1">
        <w:rPr>
          <w:lang w:val="fr-CA"/>
        </w:rPr>
        <w:t xml:space="preserve">de cette dernière, une action en justice dans laquelle elle demandait à être indemnisée pour l’expropriation partielle.  Si les parties ne pouvaient pas s’entendre sur l’indemnité appropriée, la </w:t>
      </w:r>
      <w:r w:rsidRPr="00143BD1">
        <w:rPr>
          <w:i/>
          <w:lang w:val="fr-CA"/>
        </w:rPr>
        <w:t>Forest Act</w:t>
      </w:r>
      <w:r w:rsidRPr="00143BD1">
        <w:rPr>
          <w:lang w:val="fr-CA"/>
        </w:rPr>
        <w:t xml:space="preserve"> prévoyait que le différend devait être réglé par voie d’arbitrage conformément à la </w:t>
      </w:r>
      <w:r w:rsidRPr="00143BD1">
        <w:rPr>
          <w:i/>
          <w:lang w:val="fr-CA"/>
        </w:rPr>
        <w:t>Commercial Arbitration Act</w:t>
      </w:r>
      <w:r w:rsidRPr="00143BD1">
        <w:rPr>
          <w:lang w:val="fr-CA"/>
        </w:rPr>
        <w:t xml:space="preserve"> (« </w:t>
      </w:r>
      <w:r w:rsidRPr="00143BD1">
        <w:rPr>
          <w:i/>
          <w:lang w:val="fr-CA"/>
        </w:rPr>
        <w:t>CAA </w:t>
      </w:r>
      <w:r w:rsidRPr="00143BD1">
        <w:rPr>
          <w:lang w:val="fr-CA"/>
        </w:rPr>
        <w:t>»).  En l’espèce, l’arbitre a accordé à T plus de 6,3 millions de dollars, y compris plus de 2,2 millions de dollars en intérêts composés annuellement, pour la période allant de la date à laquelle la province a réduit la coupe annuelle autorisée jusqu’à celle de la sentence.  En appel, le juge a confirmé la décision de l’arbitre d’accorder des intérêts composés</w:t>
      </w:r>
      <w:r>
        <w:rPr>
          <w:lang w:val="fr-CA"/>
        </w:rPr>
        <w:t xml:space="preserve">. </w:t>
      </w:r>
      <w:r w:rsidRPr="00143BD1">
        <w:rPr>
          <w:lang w:val="fr-CA"/>
        </w:rPr>
        <w:t xml:space="preserve"> </w:t>
      </w:r>
      <w:r>
        <w:rPr>
          <w:lang w:val="fr-CA"/>
        </w:rPr>
        <w:t>L</w:t>
      </w:r>
      <w:r w:rsidRPr="00143BD1">
        <w:rPr>
          <w:lang w:val="fr-CA"/>
        </w:rPr>
        <w:t xml:space="preserve">a Cour d’appel a rejeté la demande d’autorisation d’appel supplémentaire présentée par la province en vertu de l’art. 31 de la </w:t>
      </w:r>
      <w:r w:rsidRPr="00143BD1">
        <w:rPr>
          <w:i/>
          <w:lang w:val="fr-CA"/>
        </w:rPr>
        <w:t xml:space="preserve">CAA </w:t>
      </w:r>
      <w:r w:rsidRPr="00143BD1">
        <w:rPr>
          <w:lang w:val="fr-CA"/>
        </w:rPr>
        <w:t xml:space="preserve">quant à la question des intérêts composés. </w:t>
      </w:r>
    </w:p>
    <w:p w:rsidR="000D56FC" w:rsidRPr="00143BD1" w:rsidRDefault="000D56FC" w:rsidP="000D56FC">
      <w:pPr>
        <w:pStyle w:val="SCCNormalDoubleSpacing"/>
        <w:spacing w:after="480"/>
        <w:rPr>
          <w:lang w:val="fr-CA"/>
        </w:rPr>
      </w:pPr>
      <w:r w:rsidRPr="00143BD1">
        <w:rPr>
          <w:lang w:val="fr-CA"/>
        </w:rPr>
        <w:tab/>
      </w:r>
      <w:r w:rsidRPr="00143BD1">
        <w:rPr>
          <w:i/>
          <w:lang w:val="fr-CA"/>
        </w:rPr>
        <w:t>Arrêt</w:t>
      </w:r>
      <w:r w:rsidRPr="00143BD1">
        <w:rPr>
          <w:lang w:val="fr-CA"/>
        </w:rPr>
        <w:t> : Le pourvoi est accueilli.</w:t>
      </w:r>
    </w:p>
    <w:p w:rsidR="000D56FC" w:rsidRPr="00143BD1" w:rsidRDefault="000D56FC" w:rsidP="000D56FC">
      <w:pPr>
        <w:pStyle w:val="SCCNormalDoubleSpacing"/>
        <w:spacing w:after="480"/>
        <w:rPr>
          <w:lang w:val="fr-CA"/>
        </w:rPr>
      </w:pPr>
      <w:r w:rsidRPr="00143BD1">
        <w:rPr>
          <w:lang w:val="fr-CA"/>
        </w:rPr>
        <w:lastRenderedPageBreak/>
        <w:tab/>
        <w:t xml:space="preserve">Les arbitres qui agissent en vertu de l’art. 28 de la </w:t>
      </w:r>
      <w:r w:rsidRPr="00143BD1">
        <w:rPr>
          <w:i/>
          <w:lang w:val="fr-CA"/>
        </w:rPr>
        <w:t>CAA</w:t>
      </w:r>
      <w:r w:rsidRPr="00143BD1">
        <w:rPr>
          <w:lang w:val="fr-CA"/>
        </w:rPr>
        <w:t xml:space="preserve"> ne peuvent accorder des intérêts composés, étant donné que l’art. 1 de la </w:t>
      </w:r>
      <w:r w:rsidRPr="00143BD1">
        <w:rPr>
          <w:i/>
          <w:lang w:val="fr-CA"/>
        </w:rPr>
        <w:t xml:space="preserve">Court Order Interest Act </w:t>
      </w:r>
      <w:r w:rsidRPr="00143BD1">
        <w:rPr>
          <w:lang w:val="fr-CA"/>
        </w:rPr>
        <w:t>(« </w:t>
      </w:r>
      <w:r w:rsidRPr="00143BD1">
        <w:rPr>
          <w:i/>
          <w:lang w:val="fr-CA"/>
        </w:rPr>
        <w:t>COIA</w:t>
      </w:r>
      <w:r w:rsidRPr="00143BD1">
        <w:rPr>
          <w:lang w:val="fr-CA"/>
        </w:rPr>
        <w:t xml:space="preserve"> ») précise que les condamnations pécuniaires sont majorées uniquement d’intérêts simples.  Bien que l’art. 28 de la </w:t>
      </w:r>
      <w:r w:rsidRPr="00143BD1">
        <w:rPr>
          <w:i/>
          <w:lang w:val="fr-CA"/>
        </w:rPr>
        <w:t>CAA</w:t>
      </w:r>
      <w:r w:rsidRPr="00143BD1">
        <w:rPr>
          <w:lang w:val="fr-CA"/>
        </w:rPr>
        <w:t xml:space="preserve"> n’assimile pas expressément l’arbitre à une cour, c’est la conclusion qui ressort, par implication nécessaire, des termes de la disposition précisant qu’une somme dont le paiement est ordonné par une sentence arbitrale constitue « une condamnation pécuniaire prononcée par une cour de justice ».  Compte tenu de son sens ordinaire et de son historique législatif, l’art. 28 de la </w:t>
      </w:r>
      <w:r w:rsidRPr="00143BD1">
        <w:rPr>
          <w:i/>
          <w:lang w:val="fr-CA"/>
        </w:rPr>
        <w:t>CAA</w:t>
      </w:r>
      <w:r w:rsidRPr="00143BD1">
        <w:rPr>
          <w:lang w:val="fr-CA"/>
        </w:rPr>
        <w:t xml:space="preserve"> oblige les arbitres à appliquer les dispositions de la </w:t>
      </w:r>
      <w:r w:rsidRPr="00143BD1">
        <w:rPr>
          <w:i/>
          <w:lang w:val="fr-CA"/>
        </w:rPr>
        <w:t>COIA</w:t>
      </w:r>
      <w:r w:rsidRPr="00143BD1">
        <w:rPr>
          <w:lang w:val="fr-CA"/>
        </w:rPr>
        <w:t xml:space="preserve">.  Il ne fait aucun doute que l’attribution d’intérêts composés constitue une façon plus précise d’indemniser les parties pour la valeur temporelle de l’argent.  Toutefois, la législature n’a pas encore modifié la </w:t>
      </w:r>
      <w:r w:rsidRPr="00143BD1">
        <w:rPr>
          <w:i/>
          <w:lang w:val="fr-CA"/>
        </w:rPr>
        <w:t>COIA</w:t>
      </w:r>
      <w:r w:rsidRPr="00143BD1">
        <w:rPr>
          <w:lang w:val="fr-CA"/>
        </w:rPr>
        <w:t xml:space="preserve"> et levé l’interdiction d’accorder des intérêts sur les intérêts, de sorte que l’attribution d’intérêts simples demeure la règle devant les tribunaux de la Colombie</w:t>
      </w:r>
      <w:r w:rsidRPr="00143BD1">
        <w:rPr>
          <w:lang w:val="fr-CA"/>
        </w:rPr>
        <w:noBreakHyphen/>
        <w:t xml:space="preserve">Britannique. </w:t>
      </w:r>
    </w:p>
    <w:p w:rsidR="000D56FC" w:rsidRPr="00143BD1" w:rsidRDefault="000D56FC" w:rsidP="000D56FC">
      <w:pPr>
        <w:pStyle w:val="SCCNormalDoubleSpacing"/>
        <w:spacing w:after="480"/>
        <w:rPr>
          <w:lang w:val="fr-CA"/>
        </w:rPr>
      </w:pPr>
      <w:r w:rsidRPr="00143BD1">
        <w:rPr>
          <w:lang w:val="fr-CA"/>
        </w:rPr>
        <w:tab/>
        <w:t xml:space="preserve">Les arbitres ne peuvent pas non plus inclure des intérêts composés </w:t>
      </w:r>
      <w:r w:rsidRPr="00DB14B6">
        <w:rPr>
          <w:i/>
          <w:lang w:val="fr-CA"/>
        </w:rPr>
        <w:t>dans l’indemnité elle</w:t>
      </w:r>
      <w:r w:rsidRPr="00DB14B6">
        <w:rPr>
          <w:i/>
          <w:lang w:val="fr-CA"/>
        </w:rPr>
        <w:noBreakHyphen/>
        <w:t>même</w:t>
      </w:r>
      <w:r w:rsidRPr="00143BD1">
        <w:rPr>
          <w:lang w:val="fr-CA"/>
        </w:rPr>
        <w:t xml:space="preserve">.  S’ils en avaient le pouvoir, il y aurait double indemnisation, parce que l’application de l’art. 28 de la </w:t>
      </w:r>
      <w:r w:rsidRPr="00143BD1">
        <w:rPr>
          <w:i/>
          <w:lang w:val="fr-CA"/>
        </w:rPr>
        <w:t>CAA</w:t>
      </w:r>
      <w:r w:rsidRPr="00143BD1">
        <w:rPr>
          <w:lang w:val="fr-CA"/>
        </w:rPr>
        <w:t xml:space="preserve"> aurait alors pour effet d’ajouter des intérêts à une indemnité qui en comprend déjà.  Dans la mesure où la Cour d’appel de la Colombie</w:t>
      </w:r>
      <w:r w:rsidRPr="00143BD1">
        <w:rPr>
          <w:lang w:val="fr-CA"/>
        </w:rPr>
        <w:noBreakHyphen/>
        <w:t xml:space="preserve">Britannique a inclus les intérêts composés en tant que partie intégrante de la sentence arbitrale dans </w:t>
      </w:r>
      <w:r w:rsidRPr="00143BD1">
        <w:rPr>
          <w:i/>
          <w:lang w:val="fr-CA"/>
        </w:rPr>
        <w:t>McKechnie</w:t>
      </w:r>
      <w:r w:rsidRPr="00143BD1">
        <w:rPr>
          <w:lang w:val="fr-CA"/>
        </w:rPr>
        <w:t xml:space="preserve">, cet arrêt ne doit plus être considéré comme une règle de droit valable.  </w:t>
      </w:r>
    </w:p>
    <w:p w:rsidR="000D56FC" w:rsidRPr="00143BD1" w:rsidRDefault="000D56FC" w:rsidP="000D56FC">
      <w:pPr>
        <w:pStyle w:val="SCCNormalDoubleSpacing"/>
        <w:spacing w:after="480"/>
        <w:rPr>
          <w:lang w:val="fr-CA"/>
        </w:rPr>
      </w:pPr>
      <w:r w:rsidRPr="00143BD1">
        <w:rPr>
          <w:lang w:val="fr-CA"/>
        </w:rPr>
        <w:lastRenderedPageBreak/>
        <w:tab/>
        <w:t>Bien que les tribunaux présument que le législateur entend indemniser intégralement les intéressés en cas d’expropriation, cette présomption peut être réfutée s’il existe des dispositions législatives démontrant l’intention contraire du législateur.  Suivant l’art</w:t>
      </w:r>
      <w:r w:rsidR="008C2600">
        <w:rPr>
          <w:lang w:val="fr-CA"/>
        </w:rPr>
        <w:t>.</w:t>
      </w:r>
      <w:r w:rsidRPr="00143BD1">
        <w:rPr>
          <w:lang w:val="fr-CA"/>
        </w:rPr>
        <w:t xml:space="preserve"> 28 de la </w:t>
      </w:r>
      <w:r w:rsidRPr="00143BD1">
        <w:rPr>
          <w:i/>
          <w:lang w:val="fr-CA"/>
        </w:rPr>
        <w:t>CAA</w:t>
      </w:r>
      <w:r w:rsidRPr="00143BD1">
        <w:rPr>
          <w:lang w:val="fr-CA"/>
        </w:rPr>
        <w:t xml:space="preserve">, seuls des intérêts simples peuvent être accordés sur la somme dont le paiement est ordonné par une sentence arbitrale.  Il ressort de cette disposition que le législateur n’entendait pas que des intérêts composés puissent être inclus en tant qu’aspect de l’indemnisation intégrale dans un cas comme celui qui nous occupe.  </w:t>
      </w:r>
    </w:p>
    <w:p w:rsidR="000D56FC" w:rsidRPr="00143BD1" w:rsidRDefault="000D56FC" w:rsidP="000D56FC">
      <w:pPr>
        <w:pStyle w:val="SCCNormalDoubleSpacing"/>
        <w:spacing w:after="480"/>
        <w:rPr>
          <w:lang w:val="fr-CA"/>
        </w:rPr>
      </w:pPr>
      <w:r w:rsidRPr="00143BD1">
        <w:rPr>
          <w:lang w:val="fr-CA"/>
        </w:rPr>
        <w:tab/>
        <w:t>Enfin, dans le présent pourvoi, l’arbitre n’avait pas le pouvoir de tenir compte des moyens d’attribution des intérêts composés reposant sur l’equity.  Suivant l’art</w:t>
      </w:r>
      <w:r w:rsidR="008C2600">
        <w:rPr>
          <w:lang w:val="fr-CA"/>
        </w:rPr>
        <w:t>.</w:t>
      </w:r>
      <w:r w:rsidRPr="00143BD1">
        <w:rPr>
          <w:lang w:val="fr-CA"/>
        </w:rPr>
        <w:t xml:space="preserve"> 23 de la </w:t>
      </w:r>
      <w:r w:rsidRPr="00143BD1">
        <w:rPr>
          <w:i/>
          <w:lang w:val="fr-CA"/>
        </w:rPr>
        <w:t>CAA</w:t>
      </w:r>
      <w:r w:rsidRPr="00143BD1">
        <w:rPr>
          <w:lang w:val="fr-CA"/>
        </w:rPr>
        <w:t xml:space="preserve">, l’arbitre ne peut considérer ces moyens que si les parties en ont expressément convenu, ce que n’ont pas fait T et la province en l’espèce. </w:t>
      </w:r>
    </w:p>
    <w:p w:rsidR="000D56FC" w:rsidRPr="000D56FC" w:rsidRDefault="000D56FC" w:rsidP="000D56FC">
      <w:pPr>
        <w:pStyle w:val="SCCNormalDoubleSpacing"/>
        <w:keepNext/>
        <w:spacing w:after="720" w:line="240" w:lineRule="auto"/>
        <w:rPr>
          <w:b/>
          <w:lang w:val="fr-CA"/>
        </w:rPr>
      </w:pPr>
      <w:r w:rsidRPr="000D56FC">
        <w:rPr>
          <w:b/>
          <w:lang w:val="fr-CA"/>
        </w:rPr>
        <w:t>Jurisprudence</w:t>
      </w:r>
    </w:p>
    <w:p w:rsidR="000D56FC" w:rsidRPr="00143BD1" w:rsidRDefault="000D56FC" w:rsidP="000D56FC">
      <w:pPr>
        <w:pStyle w:val="SCCNormalDoubleSpacing"/>
        <w:spacing w:after="480"/>
        <w:rPr>
          <w:b/>
          <w:lang w:val="en-US"/>
        </w:rPr>
      </w:pPr>
      <w:r w:rsidRPr="000D56FC">
        <w:rPr>
          <w:lang w:val="fr-CA"/>
        </w:rPr>
        <w:tab/>
      </w:r>
      <w:r w:rsidRPr="000D56FC">
        <w:rPr>
          <w:b/>
          <w:lang w:val="fr-CA"/>
        </w:rPr>
        <w:t>Arrêt désapprouvé :</w:t>
      </w:r>
      <w:r w:rsidRPr="000D56FC">
        <w:rPr>
          <w:lang w:val="fr-CA"/>
        </w:rPr>
        <w:t xml:space="preserve"> </w:t>
      </w:r>
      <w:r w:rsidRPr="000D56FC">
        <w:rPr>
          <w:i/>
          <w:lang w:val="fr-CA"/>
        </w:rPr>
        <w:t>McKechnie c. McKechnie</w:t>
      </w:r>
      <w:r w:rsidRPr="000D56FC">
        <w:rPr>
          <w:lang w:val="fr-CA"/>
        </w:rPr>
        <w:t xml:space="preserve">, 2005 BCCA 570, 47 B.C.L.R. (4th) 228; </w:t>
      </w:r>
      <w:r w:rsidRPr="000D56FC">
        <w:rPr>
          <w:b/>
          <w:lang w:val="fr-CA"/>
        </w:rPr>
        <w:t xml:space="preserve">distinction d’avec l’arrêt : </w:t>
      </w:r>
      <w:r w:rsidRPr="000D56FC">
        <w:rPr>
          <w:i/>
          <w:lang w:val="fr-CA"/>
        </w:rPr>
        <w:t>Morriss c. British Columbia</w:t>
      </w:r>
      <w:r w:rsidRPr="000D56FC">
        <w:rPr>
          <w:lang w:val="fr-CA"/>
        </w:rPr>
        <w:t xml:space="preserve">, 2007 BCCA 337, 69 B.C.L.R. (4th) 1; </w:t>
      </w:r>
      <w:r w:rsidRPr="000D56FC">
        <w:rPr>
          <w:b/>
          <w:lang w:val="fr-CA"/>
        </w:rPr>
        <w:t>arrêts mentionnés :</w:t>
      </w:r>
      <w:r w:rsidRPr="000D56FC">
        <w:rPr>
          <w:i/>
          <w:lang w:val="fr-CA"/>
        </w:rPr>
        <w:t xml:space="preserve">  Hongkong Bank of Can. c. Touche Ross &amp; Co.</w:t>
      </w:r>
      <w:r w:rsidRPr="000D56FC">
        <w:rPr>
          <w:lang w:val="fr-CA"/>
        </w:rPr>
        <w:t xml:space="preserve"> </w:t>
      </w:r>
      <w:r w:rsidRPr="00143BD1">
        <w:t xml:space="preserve">(1989), 36 B.C.L.R. (2d) 381; </w:t>
      </w:r>
      <w:r w:rsidRPr="00143BD1">
        <w:rPr>
          <w:i/>
        </w:rPr>
        <w:t>R. c. Proulx</w:t>
      </w:r>
      <w:r w:rsidRPr="00143BD1">
        <w:t xml:space="preserve">, 2000 CSC 5, [2000] 1 R.C.S. 61; </w:t>
      </w:r>
      <w:r w:rsidRPr="00143BD1">
        <w:rPr>
          <w:i/>
        </w:rPr>
        <w:t>Irving Oil Co. c. The King</w:t>
      </w:r>
      <w:r w:rsidRPr="00143BD1">
        <w:t xml:space="preserve">, [1946] R.C.S. 551; </w:t>
      </w:r>
      <w:r w:rsidRPr="00143BD1">
        <w:rPr>
          <w:i/>
        </w:rPr>
        <w:t>Inglewood Pulp and Paper Co. c. New Brunswick Electric Power Commission</w:t>
      </w:r>
      <w:r w:rsidRPr="00143BD1">
        <w:t xml:space="preserve">, [1928] A.C. 492; </w:t>
      </w:r>
      <w:r w:rsidRPr="00143BD1">
        <w:rPr>
          <w:i/>
        </w:rPr>
        <w:t>British Pacific Properties Ltd. c. Minister of Highways and Public Works</w:t>
      </w:r>
      <w:r w:rsidRPr="00143BD1">
        <w:t>, [1980] 2 R.C.S. 283.</w:t>
      </w:r>
    </w:p>
    <w:p w:rsidR="000D56FC" w:rsidRPr="00143BD1" w:rsidRDefault="000D56FC" w:rsidP="000D56FC">
      <w:pPr>
        <w:pStyle w:val="SCCNormalDoubleSpacing"/>
        <w:keepNext/>
        <w:spacing w:after="720" w:line="240" w:lineRule="auto"/>
        <w:rPr>
          <w:b/>
          <w:lang w:val="fr-CA"/>
        </w:rPr>
      </w:pPr>
      <w:r w:rsidRPr="00143BD1">
        <w:rPr>
          <w:b/>
          <w:lang w:val="fr-CA"/>
        </w:rPr>
        <w:lastRenderedPageBreak/>
        <w:t>Lois et règlements cités</w:t>
      </w:r>
    </w:p>
    <w:p w:rsidR="000D56FC" w:rsidRPr="00143BD1" w:rsidRDefault="000D56FC" w:rsidP="000D56FC">
      <w:pPr>
        <w:pStyle w:val="SCCNormalDoubleSpacing"/>
        <w:spacing w:after="240" w:line="240" w:lineRule="auto"/>
        <w:ind w:left="547" w:hanging="547"/>
        <w:rPr>
          <w:lang w:val="fr-CA"/>
        </w:rPr>
      </w:pPr>
      <w:r w:rsidRPr="00143BD1">
        <w:rPr>
          <w:i/>
          <w:lang w:val="fr-CA"/>
        </w:rPr>
        <w:t>Commercial Arbitration Act</w:t>
      </w:r>
      <w:r w:rsidRPr="00143BD1">
        <w:rPr>
          <w:lang w:val="fr-CA"/>
        </w:rPr>
        <w:t>, R.S.B.C. 1996, ch. 55, art. 22, 23, 28, 29.</w:t>
      </w:r>
    </w:p>
    <w:p w:rsidR="000D56FC" w:rsidRPr="00143BD1" w:rsidRDefault="000D56FC" w:rsidP="000D56FC">
      <w:pPr>
        <w:pStyle w:val="SCCNormalDoubleSpacing"/>
        <w:spacing w:after="240" w:line="240" w:lineRule="auto"/>
        <w:ind w:left="547" w:hanging="547"/>
      </w:pPr>
      <w:r w:rsidRPr="00143BD1">
        <w:rPr>
          <w:i/>
        </w:rPr>
        <w:t>Court Order Interest Act</w:t>
      </w:r>
      <w:r w:rsidRPr="00143BD1">
        <w:t>, R.S.B.C. 1996, ch. 79, art. 1, 2, 7(2).</w:t>
      </w:r>
    </w:p>
    <w:p w:rsidR="000D56FC" w:rsidRPr="00143BD1" w:rsidRDefault="000D56FC" w:rsidP="000D56FC">
      <w:pPr>
        <w:pStyle w:val="SCCNormalDoubleSpacing"/>
        <w:spacing w:after="240" w:line="240" w:lineRule="auto"/>
        <w:ind w:left="547" w:hanging="547"/>
      </w:pPr>
      <w:r w:rsidRPr="00143BD1">
        <w:rPr>
          <w:i/>
        </w:rPr>
        <w:t>Expropriation Act</w:t>
      </w:r>
      <w:r w:rsidRPr="00143BD1">
        <w:t>, R.S.B.C. 1996, ch. 125.</w:t>
      </w:r>
    </w:p>
    <w:p w:rsidR="000D56FC" w:rsidRPr="00143BD1" w:rsidRDefault="000D56FC" w:rsidP="000D56FC">
      <w:pPr>
        <w:pStyle w:val="SCCNormalDoubleSpacing"/>
        <w:spacing w:after="240" w:line="240" w:lineRule="auto"/>
        <w:ind w:left="547" w:hanging="547"/>
      </w:pPr>
      <w:r w:rsidRPr="00143BD1">
        <w:rPr>
          <w:i/>
        </w:rPr>
        <w:t>Forest Act</w:t>
      </w:r>
      <w:r w:rsidRPr="00143BD1">
        <w:t xml:space="preserve">, R.S.B.C. 1996, ch. 157, art. 60 [abr. </w:t>
      </w:r>
      <w:r w:rsidR="00935251">
        <w:t xml:space="preserve">S.B.C. </w:t>
      </w:r>
      <w:r w:rsidRPr="00143BD1">
        <w:t>2004, ch. 36, art. 38].</w:t>
      </w:r>
    </w:p>
    <w:p w:rsidR="000D56FC" w:rsidRPr="00143BD1" w:rsidRDefault="000D56FC" w:rsidP="000D56FC">
      <w:pPr>
        <w:pStyle w:val="SCCNormalDoubleSpacing"/>
        <w:spacing w:after="720" w:line="240" w:lineRule="auto"/>
        <w:ind w:left="547" w:hanging="547"/>
      </w:pPr>
      <w:r w:rsidRPr="00143BD1">
        <w:rPr>
          <w:i/>
        </w:rPr>
        <w:t>Protected Areas Forests Compensation Act</w:t>
      </w:r>
      <w:r w:rsidRPr="00143BD1">
        <w:t>, S.B.C. 2002, ch. 51, art. 7.</w:t>
      </w:r>
    </w:p>
    <w:p w:rsidR="000D56FC" w:rsidRPr="00143BD1" w:rsidRDefault="000D56FC" w:rsidP="000D56FC">
      <w:pPr>
        <w:pStyle w:val="SCCNormalDoubleSpacing"/>
        <w:keepNext/>
        <w:spacing w:after="720" w:line="240" w:lineRule="auto"/>
        <w:rPr>
          <w:b/>
          <w:lang w:val="fr-CA"/>
        </w:rPr>
      </w:pPr>
      <w:r w:rsidRPr="00143BD1">
        <w:rPr>
          <w:b/>
          <w:lang w:val="fr-CA"/>
        </w:rPr>
        <w:t>Doctrine et autres documents cités</w:t>
      </w:r>
    </w:p>
    <w:p w:rsidR="000D56FC" w:rsidRPr="008C2600" w:rsidRDefault="000D56FC" w:rsidP="000D56FC">
      <w:pPr>
        <w:pStyle w:val="SCCNormalDoubleSpacing"/>
        <w:spacing w:after="240" w:line="240" w:lineRule="auto"/>
        <w:ind w:left="547" w:hanging="547"/>
        <w:rPr>
          <w:lang w:val="en-US"/>
        </w:rPr>
      </w:pPr>
      <w:r w:rsidRPr="008C2600">
        <w:rPr>
          <w:lang w:val="fr-CA"/>
        </w:rPr>
        <w:t xml:space="preserve">British Columbia International Commercial Arbitration Centre.  </w:t>
      </w:r>
      <w:r w:rsidRPr="008C2600">
        <w:rPr>
          <w:i/>
          <w:lang w:val="fr-CA"/>
        </w:rPr>
        <w:t>Domestic Commercial Arbitration Rules of Procedure</w:t>
      </w:r>
      <w:r w:rsidRPr="008C2600">
        <w:rPr>
          <w:lang w:val="fr-CA"/>
        </w:rPr>
        <w:t xml:space="preserve">.  </w:t>
      </w:r>
      <w:r w:rsidRPr="008C2600">
        <w:rPr>
          <w:lang w:val="en-US"/>
        </w:rPr>
        <w:t xml:space="preserve">Vancouver : The Centre, 1998, Rule 37 (online : </w:t>
      </w:r>
      <w:r w:rsidR="00426413" w:rsidRPr="008C2600">
        <w:rPr>
          <w:lang w:val="en-US"/>
        </w:rPr>
        <w:t>www.bcicac.com</w:t>
      </w:r>
      <w:r w:rsidR="008C2600">
        <w:t>/arbitration/rules-of-procedure/domestic-commercial-arbitration-rules-of-procedure</w:t>
      </w:r>
      <w:r w:rsidRPr="008C2600">
        <w:rPr>
          <w:lang w:val="en-US"/>
        </w:rPr>
        <w:t>).</w:t>
      </w:r>
    </w:p>
    <w:p w:rsidR="00426413" w:rsidRPr="008C2600" w:rsidRDefault="00426413" w:rsidP="00426413">
      <w:pPr>
        <w:pStyle w:val="SCCNormalDoubleSpacing"/>
        <w:spacing w:after="240" w:line="240" w:lineRule="auto"/>
        <w:ind w:left="547" w:hanging="547"/>
        <w:rPr>
          <w:lang w:val="fr-CA"/>
        </w:rPr>
      </w:pPr>
      <w:r w:rsidRPr="008C2600">
        <w:rPr>
          <w:lang w:val="fr-CA"/>
        </w:rPr>
        <w:t xml:space="preserve">Colombie-Britannique.  Law Reform Commission.  </w:t>
      </w:r>
      <w:r w:rsidRPr="008C2600">
        <w:rPr>
          <w:i/>
          <w:lang w:val="fr-CA"/>
        </w:rPr>
        <w:t>Report on Arbitration</w:t>
      </w:r>
      <w:r w:rsidRPr="008C2600">
        <w:rPr>
          <w:lang w:val="fr-CA"/>
        </w:rPr>
        <w:t>.  Vancouver : The Commission, 1982.</w:t>
      </w:r>
    </w:p>
    <w:p w:rsidR="00426413" w:rsidRPr="00143BD1" w:rsidRDefault="00426413" w:rsidP="00426413">
      <w:pPr>
        <w:pStyle w:val="SCCNormalDoubleSpacing"/>
        <w:spacing w:after="240" w:line="240" w:lineRule="auto"/>
        <w:ind w:left="547" w:hanging="547"/>
      </w:pPr>
      <w:r w:rsidRPr="008C2600">
        <w:rPr>
          <w:lang w:val="fr-CA"/>
        </w:rPr>
        <w:t xml:space="preserve">Colombie-Britannique.  </w:t>
      </w:r>
      <w:r w:rsidRPr="00143BD1">
        <w:t xml:space="preserve">Law Reform Commission.  </w:t>
      </w:r>
      <w:r w:rsidRPr="00143BD1">
        <w:rPr>
          <w:i/>
        </w:rPr>
        <w:t>Report on the Court Order Interest Act</w:t>
      </w:r>
      <w:r w:rsidRPr="00143BD1">
        <w:t>.  Vancouver : The Commission, 1987.</w:t>
      </w:r>
    </w:p>
    <w:p w:rsidR="000D56FC" w:rsidRPr="00143BD1" w:rsidRDefault="000D56FC" w:rsidP="000D56FC">
      <w:pPr>
        <w:pStyle w:val="SCCNormalDoubleSpacing"/>
        <w:spacing w:after="720" w:line="240" w:lineRule="auto"/>
        <w:ind w:left="547" w:hanging="547"/>
        <w:rPr>
          <w:lang w:val="fr-CA"/>
        </w:rPr>
      </w:pPr>
      <w:r w:rsidRPr="00143BD1">
        <w:t xml:space="preserve">Sullivan, Ruth.  </w:t>
      </w:r>
      <w:r w:rsidRPr="00143BD1">
        <w:rPr>
          <w:i/>
        </w:rPr>
        <w:t>Sullivan on the Construction of Statutes</w:t>
      </w:r>
      <w:r w:rsidRPr="00143BD1">
        <w:t xml:space="preserve">, 5th ed.  </w:t>
      </w:r>
      <w:r w:rsidRPr="00143BD1">
        <w:rPr>
          <w:lang w:val="fr-CA"/>
        </w:rPr>
        <w:t>Markham, Ont. : LexisNexis, 2008.</w:t>
      </w:r>
    </w:p>
    <w:p w:rsidR="000D56FC" w:rsidRPr="00143BD1" w:rsidRDefault="000D56FC" w:rsidP="000D56FC">
      <w:pPr>
        <w:pStyle w:val="SCCNormalDoubleSpacing"/>
        <w:spacing w:after="480"/>
        <w:rPr>
          <w:lang w:val="fr-CA"/>
        </w:rPr>
      </w:pPr>
      <w:r w:rsidRPr="00143BD1">
        <w:rPr>
          <w:lang w:val="fr-CA"/>
        </w:rPr>
        <w:tab/>
        <w:t>POURVOI contre un arrêt de la Cour d’appel de la Colombie</w:t>
      </w:r>
      <w:r w:rsidRPr="00143BD1">
        <w:rPr>
          <w:lang w:val="fr-CA"/>
        </w:rPr>
        <w:noBreakHyphen/>
        <w:t>Britannique (les juges Saunders, Levine et Hinkson), 2012 BCCA 70, 29 B.C.L.R. (5th) 330, 317 B.C.A.C. 97, [2012] 6 W.W.R. 629, 105 L.C.R. 1, [2012] B.C.J. No. 275 (QL), 2012 CarswellBC 309, qui a infirmé en partie une décision du juge Macaulay, 2011 BCSC 360, 23 B.C.L.R. (5th) 144, 103 L.C.R. 124, [2011] B.C.J. No. 497 (QL), 2011 CarswellBC 651, confirmant en partie une sentence arbitrale.  Pourvoi accueilli.</w:t>
      </w:r>
    </w:p>
    <w:p w:rsidR="000D56FC" w:rsidRPr="00143BD1" w:rsidRDefault="000D56FC" w:rsidP="000D56FC">
      <w:pPr>
        <w:pStyle w:val="SCCNormalDoubleSpacing"/>
        <w:spacing w:after="480"/>
        <w:rPr>
          <w:lang w:val="fr-CA"/>
        </w:rPr>
      </w:pPr>
      <w:r w:rsidRPr="00083A50">
        <w:rPr>
          <w:i/>
          <w:lang w:val="fr-CA"/>
        </w:rPr>
        <w:lastRenderedPageBreak/>
        <w:tab/>
        <w:t>Karen A. Horsman</w:t>
      </w:r>
      <w:r w:rsidRPr="00143BD1">
        <w:rPr>
          <w:lang w:val="fr-CA"/>
        </w:rPr>
        <w:t xml:space="preserve">, </w:t>
      </w:r>
      <w:r w:rsidRPr="00143BD1">
        <w:rPr>
          <w:i/>
          <w:lang w:val="fr-CA"/>
        </w:rPr>
        <w:t>Barbara A. Carmichael</w:t>
      </w:r>
      <w:r w:rsidRPr="00143BD1">
        <w:rPr>
          <w:lang w:val="fr-CA"/>
        </w:rPr>
        <w:t xml:space="preserve"> et </w:t>
      </w:r>
      <w:r w:rsidRPr="00143BD1">
        <w:rPr>
          <w:i/>
          <w:lang w:val="fr-CA"/>
        </w:rPr>
        <w:t>Johnny Van Camp</w:t>
      </w:r>
      <w:r w:rsidRPr="00143BD1">
        <w:rPr>
          <w:lang w:val="fr-CA"/>
        </w:rPr>
        <w:t>, pour l’appelante.</w:t>
      </w:r>
    </w:p>
    <w:p w:rsidR="000D56FC" w:rsidRPr="00143BD1" w:rsidRDefault="000D56FC" w:rsidP="000D56FC">
      <w:pPr>
        <w:pStyle w:val="SCCNormalDoubleSpacing"/>
        <w:spacing w:after="480"/>
        <w:rPr>
          <w:lang w:val="fr-CA"/>
        </w:rPr>
      </w:pPr>
      <w:r w:rsidRPr="00083A50">
        <w:rPr>
          <w:i/>
          <w:lang w:val="fr-CA"/>
        </w:rPr>
        <w:tab/>
        <w:t>John J. L. Hunter</w:t>
      </w:r>
      <w:r w:rsidRPr="004A034F">
        <w:rPr>
          <w:lang w:val="fr-CA"/>
        </w:rPr>
        <w:t>,</w:t>
      </w:r>
      <w:r w:rsidRPr="00083A50">
        <w:rPr>
          <w:i/>
          <w:lang w:val="fr-CA"/>
        </w:rPr>
        <w:t xml:space="preserve"> c.r.</w:t>
      </w:r>
      <w:r w:rsidRPr="00143BD1">
        <w:rPr>
          <w:lang w:val="fr-CA"/>
        </w:rPr>
        <w:t xml:space="preserve">, et </w:t>
      </w:r>
      <w:r w:rsidRPr="00143BD1">
        <w:rPr>
          <w:i/>
          <w:lang w:val="fr-CA"/>
        </w:rPr>
        <w:t>K. Michael Stephens</w:t>
      </w:r>
      <w:r w:rsidRPr="00143BD1">
        <w:rPr>
          <w:lang w:val="fr-CA"/>
        </w:rPr>
        <w:t>, pour l’intimée.</w:t>
      </w:r>
    </w:p>
    <w:p w:rsidR="00426413" w:rsidRPr="00426413" w:rsidRDefault="00426413" w:rsidP="00535732">
      <w:pPr>
        <w:pStyle w:val="JudgeJuge"/>
        <w:spacing w:before="480"/>
        <w:rPr>
          <w:smallCaps w:val="0"/>
          <w:lang w:val="fr-CA"/>
        </w:rPr>
      </w:pPr>
      <w:r>
        <w:rPr>
          <w:lang w:val="fr-CA"/>
        </w:rPr>
        <w:tab/>
      </w:r>
      <w:r w:rsidRPr="00426413">
        <w:rPr>
          <w:smallCaps w:val="0"/>
          <w:lang w:val="fr-CA"/>
        </w:rPr>
        <w:t>Version fran</w:t>
      </w:r>
      <w:r>
        <w:rPr>
          <w:smallCaps w:val="0"/>
          <w:lang w:val="fr-CA"/>
        </w:rPr>
        <w:t>çaise du jugement de la Cour rendu par</w:t>
      </w:r>
    </w:p>
    <w:p w:rsidR="00535732" w:rsidRPr="002C739B" w:rsidRDefault="00535732" w:rsidP="00535732">
      <w:pPr>
        <w:pStyle w:val="JudgeJuge"/>
        <w:spacing w:before="480"/>
        <w:rPr>
          <w:lang w:val="fr-CA"/>
        </w:rPr>
      </w:pPr>
      <w:r w:rsidRPr="002C739B">
        <w:rPr>
          <w:lang w:val="fr-CA"/>
        </w:rPr>
        <w:tab/>
        <w:t xml:space="preserve">Le juge Rothstein — </w:t>
      </w:r>
    </w:p>
    <w:p w:rsidR="00535732" w:rsidRPr="002C739B" w:rsidRDefault="009B61FD" w:rsidP="00535732">
      <w:pPr>
        <w:pStyle w:val="TitleTitre-AltT"/>
        <w:tabs>
          <w:tab w:val="clear" w:pos="360"/>
          <w:tab w:val="left" w:pos="450"/>
        </w:tabs>
        <w:ind w:left="446" w:hanging="446"/>
        <w:rPr>
          <w:rFonts w:cs="Times New Roman"/>
          <w:u w:val="single"/>
          <w:lang w:val="fr-CA"/>
        </w:rPr>
      </w:pPr>
      <w:r w:rsidRPr="002C739B">
        <w:rPr>
          <w:rFonts w:cs="Times New Roman"/>
          <w:lang w:val="fr-CA"/>
        </w:rPr>
        <w:fldChar w:fldCharType="begin"/>
      </w:r>
      <w:r w:rsidR="00535732" w:rsidRPr="002C739B">
        <w:rPr>
          <w:rFonts w:cs="Times New Roman"/>
          <w:lang w:val="fr-CA"/>
        </w:rPr>
        <w:instrText xml:space="preserve"> SEQ CHAPTER \h \r 1</w:instrText>
      </w:r>
      <w:r w:rsidRPr="002C739B">
        <w:rPr>
          <w:rFonts w:cs="Times New Roman"/>
          <w:lang w:val="fr-CA"/>
        </w:rPr>
        <w:fldChar w:fldCharType="end"/>
      </w:r>
      <w:r w:rsidR="00535732" w:rsidRPr="002C739B">
        <w:rPr>
          <w:rFonts w:cs="Times New Roman"/>
          <w:lang w:val="fr-CA"/>
        </w:rPr>
        <w:t>I.</w:t>
      </w:r>
      <w:r w:rsidR="00535732" w:rsidRPr="002C739B">
        <w:rPr>
          <w:rFonts w:cs="Times New Roman"/>
          <w:lang w:val="fr-CA"/>
        </w:rPr>
        <w:tab/>
      </w:r>
      <w:r w:rsidR="00535732" w:rsidRPr="002C739B">
        <w:rPr>
          <w:rFonts w:cs="Times New Roman"/>
          <w:u w:val="single"/>
          <w:lang w:val="fr-CA"/>
        </w:rPr>
        <w:t>Introduction</w:t>
      </w:r>
    </w:p>
    <w:p w:rsidR="00535732" w:rsidRPr="002C739B" w:rsidRDefault="00535732" w:rsidP="00535732">
      <w:pPr>
        <w:pStyle w:val="ParaNoNdepar-AltN"/>
        <w:rPr>
          <w:rFonts w:cs="Times New Roman"/>
          <w:lang w:val="fr-CA"/>
        </w:rPr>
      </w:pPr>
      <w:r w:rsidRPr="002C739B">
        <w:rPr>
          <w:rFonts w:cs="Times New Roman"/>
          <w:lang w:val="fr-CA"/>
        </w:rPr>
        <w:t>Les parties au présent pourvoi demandent à notre Cour de décider si l</w:t>
      </w:r>
      <w:r>
        <w:rPr>
          <w:rFonts w:cs="Times New Roman"/>
          <w:lang w:val="fr-CA"/>
        </w:rPr>
        <w:t>’</w:t>
      </w:r>
      <w:r w:rsidRPr="002C739B">
        <w:rPr>
          <w:rFonts w:cs="Times New Roman"/>
          <w:lang w:val="fr-CA"/>
        </w:rPr>
        <w:t xml:space="preserve">arbitre qui rend une sentence en application de la </w:t>
      </w:r>
      <w:r w:rsidRPr="002C739B">
        <w:rPr>
          <w:rFonts w:cs="Times New Roman"/>
          <w:i/>
          <w:lang w:val="fr-CA"/>
        </w:rPr>
        <w:t>Commercial Arbitration Act</w:t>
      </w:r>
      <w:r w:rsidRPr="002C739B">
        <w:rPr>
          <w:rFonts w:cs="Times New Roman"/>
          <w:lang w:val="fr-CA"/>
        </w:rPr>
        <w:t>, R.S.B.C. 1996, ch. 55 (« </w:t>
      </w:r>
      <w:r w:rsidRPr="002C739B">
        <w:rPr>
          <w:rFonts w:cs="Times New Roman"/>
          <w:i/>
          <w:lang w:val="fr-CA"/>
        </w:rPr>
        <w:t>CAA</w:t>
      </w:r>
      <w:r w:rsidRPr="002C739B">
        <w:rPr>
          <w:rFonts w:cs="Times New Roman"/>
          <w:lang w:val="fr-CA"/>
        </w:rPr>
        <w:t xml:space="preserve"> »), maintenant la </w:t>
      </w:r>
      <w:r w:rsidRPr="002C739B">
        <w:rPr>
          <w:rFonts w:cs="Times New Roman"/>
          <w:i/>
          <w:lang w:val="fr-CA"/>
        </w:rPr>
        <w:t>Arbitration Act</w:t>
      </w:r>
      <w:r w:rsidRPr="002C739B">
        <w:rPr>
          <w:rFonts w:cs="Times New Roman"/>
          <w:lang w:val="fr-CA"/>
        </w:rPr>
        <w:t xml:space="preserve">, peut accorder des intérêts composés ou uniquement des intérêts simples sur la somme dont sa sentence ordonne le paiement.  Pour les motifs qui suivent, je conclus que les arbitres agissant en vertu de la </w:t>
      </w:r>
      <w:r w:rsidRPr="002C739B">
        <w:rPr>
          <w:rFonts w:cs="Times New Roman"/>
          <w:i/>
          <w:lang w:val="fr-CA"/>
        </w:rPr>
        <w:t>CAA</w:t>
      </w:r>
      <w:r w:rsidRPr="002C739B">
        <w:rPr>
          <w:rFonts w:cs="Times New Roman"/>
          <w:lang w:val="fr-CA"/>
        </w:rPr>
        <w:t xml:space="preserve"> ne peuvent accorder des intérêts composés.  En conséquence, j</w:t>
      </w:r>
      <w:r>
        <w:rPr>
          <w:rFonts w:cs="Times New Roman"/>
          <w:lang w:val="fr-CA"/>
        </w:rPr>
        <w:t>’</w:t>
      </w:r>
      <w:r w:rsidRPr="002C739B">
        <w:rPr>
          <w:rFonts w:cs="Times New Roman"/>
          <w:lang w:val="fr-CA"/>
        </w:rPr>
        <w:t xml:space="preserve">accueillerais le pourvoi. </w:t>
      </w:r>
    </w:p>
    <w:p w:rsidR="00535732" w:rsidRPr="002C739B" w:rsidRDefault="00535732" w:rsidP="00535732">
      <w:pPr>
        <w:pStyle w:val="TitleTitre-AltT"/>
        <w:tabs>
          <w:tab w:val="clear" w:pos="360"/>
          <w:tab w:val="left" w:pos="450"/>
        </w:tabs>
        <w:ind w:left="446" w:hanging="446"/>
        <w:rPr>
          <w:rFonts w:cs="Times New Roman"/>
          <w:u w:val="single"/>
          <w:lang w:val="fr-CA"/>
        </w:rPr>
      </w:pPr>
      <w:r w:rsidRPr="002C739B">
        <w:rPr>
          <w:rFonts w:cs="Times New Roman"/>
          <w:lang w:val="fr-CA"/>
        </w:rPr>
        <w:t>II.</w:t>
      </w:r>
      <w:r w:rsidRPr="002C739B">
        <w:rPr>
          <w:rFonts w:cs="Times New Roman"/>
          <w:lang w:val="fr-CA"/>
        </w:rPr>
        <w:tab/>
      </w:r>
      <w:r w:rsidRPr="002C739B">
        <w:rPr>
          <w:rFonts w:cs="Times New Roman"/>
          <w:u w:val="single"/>
          <w:lang w:val="fr-CA"/>
        </w:rPr>
        <w:t>Les faits</w:t>
      </w:r>
    </w:p>
    <w:p w:rsidR="00535732" w:rsidRPr="002C739B" w:rsidRDefault="00535732" w:rsidP="00535732">
      <w:pPr>
        <w:pStyle w:val="ParaNoNdepar-AltN"/>
        <w:rPr>
          <w:rFonts w:cs="Times New Roman"/>
          <w:lang w:val="fr-CA"/>
        </w:rPr>
      </w:pPr>
      <w:r w:rsidRPr="002C739B">
        <w:rPr>
          <w:rFonts w:cs="Times New Roman"/>
          <w:lang w:val="fr-CA"/>
        </w:rPr>
        <w:t>Teal Cedar Products Ltd. (« Teal ») est une entreprise forestière établie en Colombie</w:t>
      </w:r>
      <w:r w:rsidRPr="002C739B">
        <w:rPr>
          <w:rFonts w:cs="Times New Roman"/>
          <w:lang w:val="fr-CA"/>
        </w:rPr>
        <w:noBreakHyphen/>
        <w:t>Britannique (</w:t>
      </w:r>
      <w:r w:rsidR="008C2600">
        <w:rPr>
          <w:rFonts w:cs="Times New Roman"/>
          <w:lang w:val="fr-CA"/>
        </w:rPr>
        <w:t xml:space="preserve">la </w:t>
      </w:r>
      <w:r w:rsidRPr="002C739B">
        <w:rPr>
          <w:rFonts w:cs="Times New Roman"/>
          <w:lang w:val="fr-CA"/>
        </w:rPr>
        <w:t>« Province »).  Elle détenait un permis d</w:t>
      </w:r>
      <w:r>
        <w:rPr>
          <w:rFonts w:cs="Times New Roman"/>
          <w:lang w:val="fr-CA"/>
        </w:rPr>
        <w:t>’</w:t>
      </w:r>
      <w:r w:rsidRPr="002C739B">
        <w:rPr>
          <w:rFonts w:cs="Times New Roman"/>
          <w:lang w:val="fr-CA"/>
        </w:rPr>
        <w:t>exploitation forestière l</w:t>
      </w:r>
      <w:r>
        <w:rPr>
          <w:rFonts w:cs="Times New Roman"/>
          <w:lang w:val="fr-CA"/>
        </w:rPr>
        <w:t>’</w:t>
      </w:r>
      <w:r w:rsidRPr="002C739B">
        <w:rPr>
          <w:rFonts w:cs="Times New Roman"/>
          <w:lang w:val="fr-CA"/>
        </w:rPr>
        <w:t xml:space="preserve">autorisant à récolter du bois </w:t>
      </w:r>
      <w:r w:rsidR="008C2600">
        <w:rPr>
          <w:rFonts w:cs="Times New Roman"/>
          <w:lang w:val="fr-CA"/>
        </w:rPr>
        <w:t>dans une zone déterminée de la P</w:t>
      </w:r>
      <w:r w:rsidRPr="002C739B">
        <w:rPr>
          <w:rFonts w:cs="Times New Roman"/>
          <w:lang w:val="fr-CA"/>
        </w:rPr>
        <w:t xml:space="preserve">rovince, y </w:t>
      </w:r>
      <w:r w:rsidRPr="002C739B">
        <w:rPr>
          <w:rFonts w:cs="Times New Roman"/>
          <w:lang w:val="fr-CA"/>
        </w:rPr>
        <w:lastRenderedPageBreak/>
        <w:t>compris le droit de couper une certaine quantité de bois, ce qu</w:t>
      </w:r>
      <w:r>
        <w:rPr>
          <w:rFonts w:cs="Times New Roman"/>
          <w:lang w:val="fr-CA"/>
        </w:rPr>
        <w:t>’</w:t>
      </w:r>
      <w:r w:rsidRPr="002C739B">
        <w:rPr>
          <w:rFonts w:cs="Times New Roman"/>
          <w:lang w:val="fr-CA"/>
        </w:rPr>
        <w:t>on appelle une coupe annuelle autorisée.  En 1999, à la suite de la création d</w:t>
      </w:r>
      <w:r>
        <w:rPr>
          <w:rFonts w:cs="Times New Roman"/>
          <w:lang w:val="fr-CA"/>
        </w:rPr>
        <w:t>’</w:t>
      </w:r>
      <w:r w:rsidRPr="002C739B">
        <w:rPr>
          <w:rFonts w:cs="Times New Roman"/>
          <w:lang w:val="fr-CA"/>
        </w:rPr>
        <w:t>un parc provincial, la Province a réduit la coupe annuelle autorisée de Teal.</w:t>
      </w:r>
      <w:r>
        <w:rPr>
          <w:rFonts w:cs="Times New Roman"/>
          <w:lang w:val="fr-CA"/>
        </w:rPr>
        <w:t xml:space="preserve"> </w:t>
      </w:r>
      <w:r w:rsidRPr="002C739B">
        <w:rPr>
          <w:rFonts w:cs="Times New Roman"/>
          <w:lang w:val="fr-CA"/>
        </w:rPr>
        <w:t xml:space="preserve"> En 2001, cette dernière a intenté contre la Province une action en justice dans laquelle elle demandait à être indemnisée pour cette expropriation partielle. </w:t>
      </w:r>
    </w:p>
    <w:p w:rsidR="00535732" w:rsidRPr="002C739B" w:rsidRDefault="00535732" w:rsidP="00535732">
      <w:pPr>
        <w:pStyle w:val="ParaNoNdepar-AltN"/>
        <w:rPr>
          <w:rFonts w:cs="Times New Roman"/>
          <w:lang w:val="fr-CA"/>
        </w:rPr>
      </w:pPr>
      <w:r w:rsidRPr="002C739B">
        <w:rPr>
          <w:rFonts w:cs="Times New Roman"/>
          <w:lang w:val="fr-CA"/>
        </w:rPr>
        <w:t xml:space="preserve">En 2002, la </w:t>
      </w:r>
      <w:r w:rsidR="008C2600">
        <w:rPr>
          <w:rFonts w:cs="Times New Roman"/>
          <w:lang w:val="fr-CA"/>
        </w:rPr>
        <w:t>P</w:t>
      </w:r>
      <w:r w:rsidRPr="002C739B">
        <w:rPr>
          <w:rFonts w:cs="Times New Roman"/>
          <w:lang w:val="fr-CA"/>
        </w:rPr>
        <w:t xml:space="preserve">rovince a adopté une loi rétroactive, la </w:t>
      </w:r>
      <w:r w:rsidRPr="002C739B">
        <w:rPr>
          <w:rFonts w:cs="Times New Roman"/>
          <w:i/>
          <w:lang w:val="fr-CA"/>
        </w:rPr>
        <w:t>Protected Areas Forests Compensation Act</w:t>
      </w:r>
      <w:r w:rsidRPr="002C739B">
        <w:rPr>
          <w:rFonts w:cs="Times New Roman"/>
          <w:lang w:val="fr-CA"/>
        </w:rPr>
        <w:t>, S.B.C. 2002, ch. 51 (« </w:t>
      </w:r>
      <w:r w:rsidRPr="002C739B">
        <w:rPr>
          <w:rFonts w:cs="Times New Roman"/>
          <w:i/>
          <w:lang w:val="fr-CA"/>
        </w:rPr>
        <w:t>PAFCA</w:t>
      </w:r>
      <w:r w:rsidRPr="002C739B">
        <w:rPr>
          <w:rFonts w:cs="Times New Roman"/>
          <w:lang w:val="fr-CA"/>
        </w:rPr>
        <w:t> »), qui a restreint la possibilité pour les entreprises forestières d</w:t>
      </w:r>
      <w:r>
        <w:rPr>
          <w:rFonts w:cs="Times New Roman"/>
          <w:lang w:val="fr-CA"/>
        </w:rPr>
        <w:t>’</w:t>
      </w:r>
      <w:r w:rsidRPr="002C739B">
        <w:rPr>
          <w:rFonts w:cs="Times New Roman"/>
          <w:lang w:val="fr-CA"/>
        </w:rPr>
        <w:t>obtenir une indemnité lorsque la réduction de leur coupe annuelle autorisée résulte de la création d</w:t>
      </w:r>
      <w:r>
        <w:rPr>
          <w:rFonts w:cs="Times New Roman"/>
          <w:lang w:val="fr-CA"/>
        </w:rPr>
        <w:t>’</w:t>
      </w:r>
      <w:r w:rsidRPr="002C739B">
        <w:rPr>
          <w:rFonts w:cs="Times New Roman"/>
          <w:lang w:val="fr-CA"/>
        </w:rPr>
        <w:t>un parc provincial.</w:t>
      </w:r>
      <w:r>
        <w:rPr>
          <w:rFonts w:cs="Times New Roman"/>
          <w:lang w:val="fr-CA"/>
        </w:rPr>
        <w:t xml:space="preserve"> </w:t>
      </w:r>
      <w:r w:rsidRPr="002C739B">
        <w:rPr>
          <w:rFonts w:cs="Times New Roman"/>
          <w:lang w:val="fr-CA"/>
        </w:rPr>
        <w:t xml:space="preserve"> La </w:t>
      </w:r>
      <w:r w:rsidRPr="002C739B">
        <w:rPr>
          <w:rFonts w:cs="Times New Roman"/>
          <w:i/>
          <w:lang w:val="fr-CA"/>
        </w:rPr>
        <w:t>PAFCA</w:t>
      </w:r>
      <w:r w:rsidRPr="002C739B">
        <w:rPr>
          <w:rFonts w:cs="Times New Roman"/>
          <w:lang w:val="fr-CA"/>
        </w:rPr>
        <w:t xml:space="preserve"> précisait que de telles réductions ne constituaient pas une expropriation au sens de l</w:t>
      </w:r>
      <w:r>
        <w:rPr>
          <w:rFonts w:cs="Times New Roman"/>
          <w:lang w:val="fr-CA"/>
        </w:rPr>
        <w:t>’</w:t>
      </w:r>
      <w:r w:rsidRPr="002C739B">
        <w:rPr>
          <w:rFonts w:cs="Times New Roman"/>
          <w:i/>
          <w:lang w:val="fr-CA"/>
        </w:rPr>
        <w:t>Expropriation Act</w:t>
      </w:r>
      <w:r w:rsidRPr="002C739B">
        <w:rPr>
          <w:rFonts w:cs="Times New Roman"/>
          <w:lang w:val="fr-CA"/>
        </w:rPr>
        <w:t xml:space="preserve">, R.S.B.C. 1996, ch. 125 (par. 7(3)).  La </w:t>
      </w:r>
      <w:r w:rsidRPr="002C739B">
        <w:rPr>
          <w:rFonts w:cs="Times New Roman"/>
          <w:i/>
          <w:lang w:val="fr-CA"/>
        </w:rPr>
        <w:t>PAFCA</w:t>
      </w:r>
      <w:r w:rsidRPr="002C739B">
        <w:rPr>
          <w:rFonts w:cs="Times New Roman"/>
          <w:lang w:val="fr-CA"/>
        </w:rPr>
        <w:t xml:space="preserve"> obligeait Teal à demander une indemnité pour la réduction de sa coupe annuelle autorisée en vertu de l</w:t>
      </w:r>
      <w:r>
        <w:rPr>
          <w:rFonts w:cs="Times New Roman"/>
          <w:lang w:val="fr-CA"/>
        </w:rPr>
        <w:t>’</w:t>
      </w:r>
      <w:r w:rsidRPr="002C739B">
        <w:rPr>
          <w:rFonts w:cs="Times New Roman"/>
          <w:lang w:val="fr-CA"/>
        </w:rPr>
        <w:t xml:space="preserve">art. 60 de la </w:t>
      </w:r>
      <w:r w:rsidRPr="002C739B">
        <w:rPr>
          <w:rFonts w:cs="Times New Roman"/>
          <w:i/>
          <w:lang w:val="fr-CA"/>
        </w:rPr>
        <w:t>Forest Act</w:t>
      </w:r>
      <w:r w:rsidRPr="002C739B">
        <w:rPr>
          <w:rFonts w:cs="Times New Roman"/>
          <w:lang w:val="fr-CA"/>
        </w:rPr>
        <w:t xml:space="preserve">, R.S.B.C. 1996, ch. 157, suivant la version de la </w:t>
      </w:r>
      <w:r w:rsidRPr="002C739B">
        <w:rPr>
          <w:rFonts w:cs="Times New Roman"/>
          <w:i/>
          <w:lang w:val="fr-CA"/>
        </w:rPr>
        <w:t>Forest Act</w:t>
      </w:r>
      <w:r w:rsidRPr="002C739B">
        <w:rPr>
          <w:rFonts w:cs="Times New Roman"/>
          <w:lang w:val="fr-CA"/>
        </w:rPr>
        <w:t xml:space="preserve"> qui était en vigueur au moment de la réduction (par. 7(1)).  Dans l</w:t>
      </w:r>
      <w:r>
        <w:rPr>
          <w:rFonts w:cs="Times New Roman"/>
          <w:lang w:val="fr-CA"/>
        </w:rPr>
        <w:t>’</w:t>
      </w:r>
      <w:r w:rsidRPr="002C739B">
        <w:rPr>
          <w:rFonts w:cs="Times New Roman"/>
          <w:lang w:val="fr-CA"/>
        </w:rPr>
        <w:t>éventualité où les parties ne pourraient s</w:t>
      </w:r>
      <w:r>
        <w:rPr>
          <w:rFonts w:cs="Times New Roman"/>
          <w:lang w:val="fr-CA"/>
        </w:rPr>
        <w:t>’</w:t>
      </w:r>
      <w:r w:rsidRPr="002C739B">
        <w:rPr>
          <w:rFonts w:cs="Times New Roman"/>
          <w:lang w:val="fr-CA"/>
        </w:rPr>
        <w:t>entendre sur l</w:t>
      </w:r>
      <w:r>
        <w:rPr>
          <w:rFonts w:cs="Times New Roman"/>
          <w:lang w:val="fr-CA"/>
        </w:rPr>
        <w:t>’</w:t>
      </w:r>
      <w:r w:rsidRPr="002C739B">
        <w:rPr>
          <w:rFonts w:cs="Times New Roman"/>
          <w:lang w:val="fr-CA"/>
        </w:rPr>
        <w:t xml:space="preserve">indemnité appropriée, le par. 60(7) de la </w:t>
      </w:r>
      <w:r w:rsidRPr="002C739B">
        <w:rPr>
          <w:rFonts w:cs="Times New Roman"/>
          <w:i/>
          <w:lang w:val="fr-CA"/>
        </w:rPr>
        <w:t>Forest Act</w:t>
      </w:r>
      <w:r w:rsidRPr="002C739B">
        <w:rPr>
          <w:rFonts w:cs="Times New Roman"/>
          <w:lang w:val="fr-CA"/>
        </w:rPr>
        <w:t xml:space="preserve"> en vigueur à l</w:t>
      </w:r>
      <w:r>
        <w:rPr>
          <w:rFonts w:cs="Times New Roman"/>
          <w:lang w:val="fr-CA"/>
        </w:rPr>
        <w:t>’</w:t>
      </w:r>
      <w:r w:rsidRPr="002C739B">
        <w:rPr>
          <w:rFonts w:cs="Times New Roman"/>
          <w:lang w:val="fr-CA"/>
        </w:rPr>
        <w:t>époque de la perte de Teal prévoyait que le différend devait être réglé par voie d</w:t>
      </w:r>
      <w:r>
        <w:rPr>
          <w:rFonts w:cs="Times New Roman"/>
          <w:lang w:val="fr-CA"/>
        </w:rPr>
        <w:t>’</w:t>
      </w:r>
      <w:r w:rsidRPr="002C739B">
        <w:rPr>
          <w:rFonts w:cs="Times New Roman"/>
          <w:lang w:val="fr-CA"/>
        </w:rPr>
        <w:t xml:space="preserve">arbitrage conformément à la </w:t>
      </w:r>
      <w:r w:rsidRPr="002C739B">
        <w:rPr>
          <w:rFonts w:cs="Times New Roman"/>
          <w:i/>
          <w:lang w:val="fr-CA"/>
        </w:rPr>
        <w:t>CAA</w:t>
      </w:r>
      <w:r w:rsidRPr="002C739B">
        <w:rPr>
          <w:rFonts w:cs="Times New Roman"/>
          <w:lang w:val="fr-CA"/>
        </w:rPr>
        <w:t xml:space="preserve">. </w:t>
      </w:r>
      <w:r>
        <w:rPr>
          <w:rFonts w:cs="Times New Roman"/>
          <w:lang w:val="fr-CA"/>
        </w:rPr>
        <w:t xml:space="preserve"> </w:t>
      </w:r>
      <w:r w:rsidRPr="002C739B">
        <w:rPr>
          <w:rFonts w:cs="Times New Roman"/>
          <w:lang w:val="fr-CA"/>
        </w:rPr>
        <w:t>(Les dispositions législatives pertinentes sont reproduites dans l</w:t>
      </w:r>
      <w:r>
        <w:rPr>
          <w:rFonts w:cs="Times New Roman"/>
          <w:lang w:val="fr-CA"/>
        </w:rPr>
        <w:t>’</w:t>
      </w:r>
      <w:r w:rsidR="008C2600">
        <w:rPr>
          <w:rFonts w:cs="Times New Roman"/>
          <w:lang w:val="fr-CA"/>
        </w:rPr>
        <w:t>a</w:t>
      </w:r>
      <w:r w:rsidRPr="002C739B">
        <w:rPr>
          <w:rFonts w:cs="Times New Roman"/>
          <w:lang w:val="fr-CA"/>
        </w:rPr>
        <w:t>nnexe.)</w:t>
      </w:r>
    </w:p>
    <w:p w:rsidR="00535732" w:rsidRPr="002C739B" w:rsidRDefault="00535732" w:rsidP="00535732">
      <w:pPr>
        <w:pStyle w:val="ParaNoNdepar-AltN"/>
        <w:rPr>
          <w:rFonts w:cs="Times New Roman"/>
          <w:lang w:val="fr-CA"/>
        </w:rPr>
      </w:pPr>
      <w:r w:rsidRPr="002C739B">
        <w:rPr>
          <w:rFonts w:cs="Times New Roman"/>
          <w:lang w:val="fr-CA"/>
        </w:rPr>
        <w:t>En conséquence, le différend opposant Teal à la Province a été soumis à l</w:t>
      </w:r>
      <w:r>
        <w:rPr>
          <w:rFonts w:cs="Times New Roman"/>
          <w:lang w:val="fr-CA"/>
        </w:rPr>
        <w:t>’</w:t>
      </w:r>
      <w:r w:rsidRPr="002C739B">
        <w:rPr>
          <w:rFonts w:cs="Times New Roman"/>
          <w:lang w:val="fr-CA"/>
        </w:rPr>
        <w:t xml:space="preserve">arbitrage en vertu de la </w:t>
      </w:r>
      <w:r w:rsidRPr="002C739B">
        <w:rPr>
          <w:rFonts w:cs="Times New Roman"/>
          <w:i/>
          <w:lang w:val="fr-CA"/>
        </w:rPr>
        <w:t>CAA</w:t>
      </w:r>
      <w:r w:rsidRPr="002C739B">
        <w:rPr>
          <w:rFonts w:cs="Times New Roman"/>
          <w:lang w:val="fr-CA"/>
        </w:rPr>
        <w:t>, et des motifs provisoires et définitifs ont été déposés en 2010.  L</w:t>
      </w:r>
      <w:r>
        <w:rPr>
          <w:rFonts w:cs="Times New Roman"/>
          <w:lang w:val="fr-CA"/>
        </w:rPr>
        <w:t>’</w:t>
      </w:r>
      <w:r w:rsidRPr="002C739B">
        <w:rPr>
          <w:rFonts w:cs="Times New Roman"/>
          <w:lang w:val="fr-CA"/>
        </w:rPr>
        <w:t xml:space="preserve">arbitre a accordé à Teal la somme de 6 350 000 dollars ainsi que les </w:t>
      </w:r>
      <w:r w:rsidRPr="002C739B">
        <w:rPr>
          <w:rFonts w:cs="Times New Roman"/>
          <w:lang w:val="fr-CA"/>
        </w:rPr>
        <w:lastRenderedPageBreak/>
        <w:t>dépens.  La somme accordée dans la sentence arbitrale incluait des intérêts, calculés au taux préférentiel, composés annuellement, pour la période allant de la date de la réduction de la coupe annuelle autorisée en 1999 jusqu</w:t>
      </w:r>
      <w:r>
        <w:rPr>
          <w:rFonts w:cs="Times New Roman"/>
          <w:lang w:val="fr-CA"/>
        </w:rPr>
        <w:t>’</w:t>
      </w:r>
      <w:r w:rsidRPr="002C739B">
        <w:rPr>
          <w:rFonts w:cs="Times New Roman"/>
          <w:lang w:val="fr-CA"/>
        </w:rPr>
        <w:t>à celle de la sentence, soit une somme s</w:t>
      </w:r>
      <w:r>
        <w:rPr>
          <w:rFonts w:cs="Times New Roman"/>
          <w:lang w:val="fr-CA"/>
        </w:rPr>
        <w:t>’</w:t>
      </w:r>
      <w:r w:rsidRPr="002C739B">
        <w:rPr>
          <w:rFonts w:cs="Times New Roman"/>
          <w:lang w:val="fr-CA"/>
        </w:rPr>
        <w:t>élevant à plus de 2,2 millions de dollars.  L</w:t>
      </w:r>
      <w:r>
        <w:rPr>
          <w:rFonts w:cs="Times New Roman"/>
          <w:lang w:val="fr-CA"/>
        </w:rPr>
        <w:t>’</w:t>
      </w:r>
      <w:r w:rsidRPr="002C739B">
        <w:rPr>
          <w:rFonts w:cs="Times New Roman"/>
          <w:lang w:val="fr-CA"/>
        </w:rPr>
        <w:t>arbitre a conclu que des intérêts composés pouvaient être accordés, parce qu</w:t>
      </w:r>
      <w:r>
        <w:rPr>
          <w:rFonts w:cs="Times New Roman"/>
          <w:lang w:val="fr-CA"/>
        </w:rPr>
        <w:t>’</w:t>
      </w:r>
      <w:r w:rsidRPr="002C739B">
        <w:rPr>
          <w:rFonts w:cs="Times New Roman"/>
          <w:lang w:val="fr-CA"/>
        </w:rPr>
        <w:t>ils n</w:t>
      </w:r>
      <w:r>
        <w:rPr>
          <w:rFonts w:cs="Times New Roman"/>
          <w:lang w:val="fr-CA"/>
        </w:rPr>
        <w:t>’</w:t>
      </w:r>
      <w:r w:rsidRPr="002C739B">
        <w:rPr>
          <w:rFonts w:cs="Times New Roman"/>
          <w:lang w:val="fr-CA"/>
        </w:rPr>
        <w:t>étaient pas [</w:t>
      </w:r>
      <w:r w:rsidRPr="002C739B">
        <w:rPr>
          <w:rFonts w:cs="Times New Roman"/>
          <w:smallCaps/>
          <w:lang w:val="fr-CA"/>
        </w:rPr>
        <w:t>traduction</w:t>
      </w:r>
      <w:r w:rsidRPr="002C739B">
        <w:rPr>
          <w:rFonts w:cs="Times New Roman"/>
          <w:lang w:val="fr-CA"/>
        </w:rPr>
        <w:t>] « interdits par la loi » (décision provisoire, par. 268 (</w:t>
      </w:r>
      <w:r w:rsidR="00426413">
        <w:rPr>
          <w:rFonts w:cs="Times New Roman"/>
          <w:lang w:val="fr-CA"/>
        </w:rPr>
        <w:t>d.a</w:t>
      </w:r>
      <w:r w:rsidRPr="002C739B">
        <w:rPr>
          <w:rFonts w:cs="Times New Roman"/>
          <w:lang w:val="fr-CA"/>
        </w:rPr>
        <w:t>., p. 183)).  Bien que d</w:t>
      </w:r>
      <w:r>
        <w:rPr>
          <w:rFonts w:cs="Times New Roman"/>
          <w:lang w:val="fr-CA"/>
        </w:rPr>
        <w:t>’</w:t>
      </w:r>
      <w:r w:rsidRPr="002C739B">
        <w:rPr>
          <w:rFonts w:cs="Times New Roman"/>
          <w:lang w:val="fr-CA"/>
        </w:rPr>
        <w:t xml:space="preserve">autres questions aient été soulevées dans le cadre de cet arbitrage et devant les tribunaux inférieurs, la validité de la décision accordant des intérêts composés demeure la seule question litigieuse devant notre Cour. </w:t>
      </w:r>
    </w:p>
    <w:p w:rsidR="00535732" w:rsidRPr="002C739B" w:rsidRDefault="00535732" w:rsidP="00535732">
      <w:pPr>
        <w:pStyle w:val="TitleTitre-AltT"/>
        <w:tabs>
          <w:tab w:val="clear" w:pos="360"/>
          <w:tab w:val="left" w:pos="450"/>
        </w:tabs>
        <w:ind w:left="446" w:hanging="446"/>
        <w:rPr>
          <w:rFonts w:cs="Times New Roman"/>
          <w:u w:val="single"/>
          <w:lang w:val="fr-CA"/>
        </w:rPr>
      </w:pPr>
      <w:r w:rsidRPr="002C739B">
        <w:rPr>
          <w:rFonts w:cs="Times New Roman"/>
          <w:lang w:val="fr-CA"/>
        </w:rPr>
        <w:t>III.</w:t>
      </w:r>
      <w:r w:rsidRPr="002C739B">
        <w:rPr>
          <w:rFonts w:cs="Times New Roman"/>
          <w:lang w:val="fr-CA"/>
        </w:rPr>
        <w:tab/>
      </w:r>
      <w:r w:rsidRPr="002C739B">
        <w:rPr>
          <w:rFonts w:cs="Times New Roman"/>
          <w:u w:val="single"/>
          <w:lang w:val="fr-CA"/>
        </w:rPr>
        <w:t>Historique judiciaire</w:t>
      </w:r>
    </w:p>
    <w:p w:rsidR="00535732" w:rsidRPr="002C739B" w:rsidRDefault="00535732" w:rsidP="00535732">
      <w:pPr>
        <w:pStyle w:val="TitleTitre-AltT"/>
        <w:tabs>
          <w:tab w:val="clear" w:pos="360"/>
          <w:tab w:val="left" w:pos="450"/>
        </w:tabs>
        <w:ind w:left="446" w:hanging="446"/>
        <w:rPr>
          <w:rFonts w:cs="Times New Roman"/>
          <w:i/>
          <w:lang w:val="fr-CA"/>
        </w:rPr>
      </w:pPr>
      <w:r w:rsidRPr="002C739B">
        <w:rPr>
          <w:rFonts w:cs="Times New Roman"/>
          <w:lang w:val="fr-CA"/>
        </w:rPr>
        <w:t>A.</w:t>
      </w:r>
      <w:r w:rsidRPr="002C739B">
        <w:rPr>
          <w:rFonts w:cs="Times New Roman"/>
          <w:lang w:val="fr-CA"/>
        </w:rPr>
        <w:tab/>
      </w:r>
      <w:r w:rsidRPr="002C739B">
        <w:rPr>
          <w:rFonts w:cs="Times New Roman"/>
          <w:i/>
          <w:lang w:val="fr-CA"/>
        </w:rPr>
        <w:t>Cour suprême de la Colombie</w:t>
      </w:r>
      <w:r w:rsidRPr="002C739B">
        <w:rPr>
          <w:rFonts w:cs="Times New Roman"/>
          <w:i/>
          <w:lang w:val="fr-CA"/>
        </w:rPr>
        <w:noBreakHyphen/>
        <w:t>Britannique, 2011 BCSC 360, 23 B.C.L.R. (5th) 144</w:t>
      </w:r>
    </w:p>
    <w:p w:rsidR="00535732" w:rsidRPr="002C739B" w:rsidRDefault="00535732" w:rsidP="00535732">
      <w:pPr>
        <w:pStyle w:val="ParaNoNdepar-AltN"/>
        <w:rPr>
          <w:rFonts w:cs="Times New Roman"/>
          <w:lang w:val="fr-CA"/>
        </w:rPr>
      </w:pPr>
      <w:r w:rsidRPr="002C739B">
        <w:rPr>
          <w:rFonts w:eastAsiaTheme="minorHAnsi" w:cs="Times New Roman"/>
          <w:lang w:val="fr-CA"/>
        </w:rPr>
        <w:t xml:space="preserve">Teal et la Province ont toutes les deux demandé, conformément à la </w:t>
      </w:r>
      <w:r w:rsidRPr="002C739B">
        <w:rPr>
          <w:rFonts w:eastAsiaTheme="minorHAnsi" w:cs="Times New Roman"/>
          <w:i/>
          <w:lang w:val="fr-CA"/>
        </w:rPr>
        <w:t>CAA</w:t>
      </w:r>
      <w:r w:rsidRPr="002C739B">
        <w:rPr>
          <w:rFonts w:eastAsiaTheme="minorHAnsi" w:cs="Times New Roman"/>
          <w:lang w:val="fr-CA"/>
        </w:rPr>
        <w:t>, l</w:t>
      </w:r>
      <w:r>
        <w:rPr>
          <w:rFonts w:eastAsiaTheme="minorHAnsi" w:cs="Times New Roman"/>
          <w:lang w:val="fr-CA"/>
        </w:rPr>
        <w:t>’</w:t>
      </w:r>
      <w:r w:rsidRPr="002C739B">
        <w:rPr>
          <w:rFonts w:eastAsiaTheme="minorHAnsi" w:cs="Times New Roman"/>
          <w:lang w:val="fr-CA"/>
        </w:rPr>
        <w:t>autorisation d</w:t>
      </w:r>
      <w:r>
        <w:rPr>
          <w:rFonts w:eastAsiaTheme="minorHAnsi" w:cs="Times New Roman"/>
          <w:lang w:val="fr-CA"/>
        </w:rPr>
        <w:t>’</w:t>
      </w:r>
      <w:r w:rsidRPr="002C739B">
        <w:rPr>
          <w:rFonts w:eastAsiaTheme="minorHAnsi" w:cs="Times New Roman"/>
          <w:lang w:val="fr-CA"/>
        </w:rPr>
        <w:t>appeler à la Cour suprême de la Colombie</w:t>
      </w:r>
      <w:r w:rsidRPr="002C739B">
        <w:rPr>
          <w:rFonts w:eastAsiaTheme="minorHAnsi" w:cs="Times New Roman"/>
          <w:lang w:val="fr-CA"/>
        </w:rPr>
        <w:noBreakHyphen/>
        <w:t>Britannique relativement à certaines questions de droit soulevées par la sentence arbitrale.  La question pertinente dans le présent pourvoi est la contestation par la Province de la décision de l</w:t>
      </w:r>
      <w:r>
        <w:rPr>
          <w:rFonts w:eastAsiaTheme="minorHAnsi" w:cs="Times New Roman"/>
          <w:lang w:val="fr-CA"/>
        </w:rPr>
        <w:t>’</w:t>
      </w:r>
      <w:r w:rsidRPr="002C739B">
        <w:rPr>
          <w:rFonts w:eastAsiaTheme="minorHAnsi" w:cs="Times New Roman"/>
          <w:lang w:val="fr-CA"/>
        </w:rPr>
        <w:t>arbitre accordant à Teal des intérêts composés plutôt que des intérêts simples.  La Province a plaidé que le paiement d</w:t>
      </w:r>
      <w:r>
        <w:rPr>
          <w:rFonts w:eastAsiaTheme="minorHAnsi" w:cs="Times New Roman"/>
          <w:lang w:val="fr-CA"/>
        </w:rPr>
        <w:t>’</w:t>
      </w:r>
      <w:r w:rsidRPr="002C739B">
        <w:rPr>
          <w:rFonts w:eastAsiaTheme="minorHAnsi" w:cs="Times New Roman"/>
          <w:lang w:val="fr-CA"/>
        </w:rPr>
        <w:t xml:space="preserve">intérêts composés était prohibé par la </w:t>
      </w:r>
      <w:r w:rsidRPr="002C739B">
        <w:rPr>
          <w:rFonts w:eastAsiaTheme="minorHAnsi" w:cs="Times New Roman"/>
          <w:i/>
          <w:lang w:val="fr-CA"/>
        </w:rPr>
        <w:t>Court Order Interest Act</w:t>
      </w:r>
      <w:r w:rsidRPr="002C739B">
        <w:rPr>
          <w:rFonts w:eastAsiaTheme="minorHAnsi" w:cs="Times New Roman"/>
          <w:lang w:val="fr-CA"/>
        </w:rPr>
        <w:t>, R.S.B.C. 1996, ch. 79 (« </w:t>
      </w:r>
      <w:r w:rsidRPr="002C739B">
        <w:rPr>
          <w:rFonts w:eastAsiaTheme="minorHAnsi" w:cs="Times New Roman"/>
          <w:i/>
          <w:lang w:val="fr-CA"/>
        </w:rPr>
        <w:t>COIA</w:t>
      </w:r>
      <w:r w:rsidRPr="002C739B">
        <w:rPr>
          <w:rFonts w:eastAsiaTheme="minorHAnsi" w:cs="Times New Roman"/>
          <w:lang w:val="fr-CA"/>
        </w:rPr>
        <w:t xml:space="preserve"> »), laquelle est incorporée à la </w:t>
      </w:r>
      <w:r w:rsidRPr="002C739B">
        <w:rPr>
          <w:rFonts w:eastAsiaTheme="minorHAnsi" w:cs="Times New Roman"/>
          <w:i/>
          <w:lang w:val="fr-CA"/>
        </w:rPr>
        <w:t>CAA</w:t>
      </w:r>
      <w:r w:rsidRPr="002C739B">
        <w:rPr>
          <w:rFonts w:eastAsiaTheme="minorHAnsi" w:cs="Times New Roman"/>
          <w:lang w:val="fr-CA"/>
        </w:rPr>
        <w:t xml:space="preserve"> par l</w:t>
      </w:r>
      <w:r>
        <w:rPr>
          <w:rFonts w:eastAsiaTheme="minorHAnsi" w:cs="Times New Roman"/>
          <w:lang w:val="fr-CA"/>
        </w:rPr>
        <w:t>’</w:t>
      </w:r>
      <w:r w:rsidRPr="002C739B">
        <w:rPr>
          <w:rFonts w:eastAsiaTheme="minorHAnsi" w:cs="Times New Roman"/>
          <w:lang w:val="fr-CA"/>
        </w:rPr>
        <w:t>art. 28 de cette loi.  Le juge Macaulay a confirmé la décision de l</w:t>
      </w:r>
      <w:r>
        <w:rPr>
          <w:rFonts w:eastAsiaTheme="minorHAnsi" w:cs="Times New Roman"/>
          <w:lang w:val="fr-CA"/>
        </w:rPr>
        <w:t>’</w:t>
      </w:r>
      <w:r w:rsidRPr="002C739B">
        <w:rPr>
          <w:rFonts w:eastAsiaTheme="minorHAnsi" w:cs="Times New Roman"/>
          <w:lang w:val="fr-CA"/>
        </w:rPr>
        <w:t>arbitre d</w:t>
      </w:r>
      <w:r>
        <w:rPr>
          <w:rFonts w:eastAsiaTheme="minorHAnsi" w:cs="Times New Roman"/>
          <w:lang w:val="fr-CA"/>
        </w:rPr>
        <w:t>’</w:t>
      </w:r>
      <w:r w:rsidRPr="002C739B">
        <w:rPr>
          <w:rFonts w:eastAsiaTheme="minorHAnsi" w:cs="Times New Roman"/>
          <w:lang w:val="fr-CA"/>
        </w:rPr>
        <w:t xml:space="preserve">accorder des intérêts composés.  Il a fondé sa conclusion à la fois sur le fait </w:t>
      </w:r>
      <w:r w:rsidRPr="002C739B">
        <w:rPr>
          <w:rFonts w:eastAsiaTheme="minorHAnsi" w:cs="Times New Roman"/>
          <w:lang w:val="fr-CA"/>
        </w:rPr>
        <w:lastRenderedPageBreak/>
        <w:t>qu</w:t>
      </w:r>
      <w:r>
        <w:rPr>
          <w:rFonts w:eastAsiaTheme="minorHAnsi" w:cs="Times New Roman"/>
          <w:lang w:val="fr-CA"/>
        </w:rPr>
        <w:t>’</w:t>
      </w:r>
      <w:r w:rsidRPr="002C739B">
        <w:rPr>
          <w:rFonts w:eastAsiaTheme="minorHAnsi" w:cs="Times New Roman"/>
          <w:lang w:val="fr-CA"/>
        </w:rPr>
        <w:t>aucune disposition législative n</w:t>
      </w:r>
      <w:r>
        <w:rPr>
          <w:rFonts w:eastAsiaTheme="minorHAnsi" w:cs="Times New Roman"/>
          <w:lang w:val="fr-CA"/>
        </w:rPr>
        <w:t>’</w:t>
      </w:r>
      <w:r w:rsidRPr="002C739B">
        <w:rPr>
          <w:rFonts w:eastAsiaTheme="minorHAnsi" w:cs="Times New Roman"/>
          <w:lang w:val="fr-CA"/>
        </w:rPr>
        <w:t>interdit d</w:t>
      </w:r>
      <w:r>
        <w:rPr>
          <w:rFonts w:eastAsiaTheme="minorHAnsi" w:cs="Times New Roman"/>
          <w:lang w:val="fr-CA"/>
        </w:rPr>
        <w:t>’</w:t>
      </w:r>
      <w:r w:rsidRPr="002C739B">
        <w:rPr>
          <w:rFonts w:eastAsiaTheme="minorHAnsi" w:cs="Times New Roman"/>
          <w:lang w:val="fr-CA"/>
        </w:rPr>
        <w:t xml:space="preserve">inclure des intérêts composés </w:t>
      </w:r>
      <w:r w:rsidRPr="002C739B">
        <w:rPr>
          <w:rFonts w:eastAsiaTheme="minorHAnsi" w:cs="Times New Roman"/>
          <w:i/>
          <w:lang w:val="fr-CA"/>
        </w:rPr>
        <w:t>en tant que partie intégrante</w:t>
      </w:r>
      <w:r w:rsidRPr="002C739B">
        <w:rPr>
          <w:rFonts w:eastAsiaTheme="minorHAnsi" w:cs="Times New Roman"/>
          <w:lang w:val="fr-CA"/>
        </w:rPr>
        <w:t xml:space="preserve"> de l</w:t>
      </w:r>
      <w:r>
        <w:rPr>
          <w:rFonts w:eastAsiaTheme="minorHAnsi" w:cs="Times New Roman"/>
          <w:lang w:val="fr-CA"/>
        </w:rPr>
        <w:t>’</w:t>
      </w:r>
      <w:r w:rsidRPr="002C739B">
        <w:rPr>
          <w:rFonts w:eastAsiaTheme="minorHAnsi" w:cs="Times New Roman"/>
          <w:lang w:val="fr-CA"/>
        </w:rPr>
        <w:t>indemnité accordée au lieu d</w:t>
      </w:r>
      <w:r>
        <w:rPr>
          <w:rFonts w:eastAsiaTheme="minorHAnsi" w:cs="Times New Roman"/>
          <w:lang w:val="fr-CA"/>
        </w:rPr>
        <w:t>’</w:t>
      </w:r>
      <w:r w:rsidRPr="002C739B">
        <w:rPr>
          <w:rFonts w:eastAsiaTheme="minorHAnsi" w:cs="Times New Roman"/>
          <w:lang w:val="fr-CA"/>
        </w:rPr>
        <w:t>ordonner qu</w:t>
      </w:r>
      <w:r>
        <w:rPr>
          <w:rFonts w:eastAsiaTheme="minorHAnsi" w:cs="Times New Roman"/>
          <w:lang w:val="fr-CA"/>
        </w:rPr>
        <w:t>’</w:t>
      </w:r>
      <w:r w:rsidRPr="002C739B">
        <w:rPr>
          <w:rFonts w:eastAsiaTheme="minorHAnsi" w:cs="Times New Roman"/>
          <w:lang w:val="fr-CA"/>
        </w:rPr>
        <w:t xml:space="preserve">ils soient payés </w:t>
      </w:r>
      <w:r w:rsidRPr="002C739B">
        <w:rPr>
          <w:rFonts w:eastAsiaTheme="minorHAnsi" w:cs="Times New Roman"/>
          <w:i/>
          <w:lang w:val="fr-CA"/>
        </w:rPr>
        <w:t>sur</w:t>
      </w:r>
      <w:r w:rsidRPr="002C739B">
        <w:rPr>
          <w:rFonts w:eastAsiaTheme="minorHAnsi" w:cs="Times New Roman"/>
          <w:lang w:val="fr-CA"/>
        </w:rPr>
        <w:t xml:space="preserve"> le montant de cette indemnité, et sur des décisions antérieures appuyant cette conclusion.  </w:t>
      </w:r>
      <w:r w:rsidRPr="002C739B">
        <w:rPr>
          <w:rFonts w:cs="Times New Roman"/>
          <w:lang w:val="fr-CA"/>
        </w:rPr>
        <w:t>En particulier, le juge Macaulay a invoqué l</w:t>
      </w:r>
      <w:r>
        <w:rPr>
          <w:rFonts w:cs="Times New Roman"/>
          <w:lang w:val="fr-CA"/>
        </w:rPr>
        <w:t>’</w:t>
      </w:r>
      <w:r w:rsidRPr="002C739B">
        <w:rPr>
          <w:rFonts w:cs="Times New Roman"/>
          <w:lang w:val="fr-CA"/>
        </w:rPr>
        <w:t xml:space="preserve">arrêt </w:t>
      </w:r>
      <w:r w:rsidRPr="002C739B">
        <w:rPr>
          <w:rFonts w:cs="Times New Roman"/>
          <w:i/>
          <w:lang w:val="fr-CA"/>
        </w:rPr>
        <w:t>McKechnie</w:t>
      </w:r>
      <w:r w:rsidRPr="002C739B">
        <w:rPr>
          <w:rFonts w:eastAsiaTheme="minorHAnsi" w:cs="Times New Roman"/>
          <w:i/>
          <w:lang w:val="fr-CA"/>
        </w:rPr>
        <w:t xml:space="preserve"> c. McKechnie</w:t>
      </w:r>
      <w:r w:rsidRPr="002C739B">
        <w:rPr>
          <w:rFonts w:eastAsiaTheme="minorHAnsi" w:cs="Times New Roman"/>
          <w:lang w:val="fr-CA"/>
        </w:rPr>
        <w:t>, 2005 BCCA 570</w:t>
      </w:r>
      <w:r w:rsidRPr="002C739B">
        <w:rPr>
          <w:rFonts w:cs="Times New Roman"/>
          <w:lang w:val="fr-CA"/>
        </w:rPr>
        <w:t>, 47 B.C.L.R. (4th) 228 (où des intérêts composés avaient été inclus en tant que partie intégrante de l</w:t>
      </w:r>
      <w:r>
        <w:rPr>
          <w:rFonts w:cs="Times New Roman"/>
          <w:lang w:val="fr-CA"/>
        </w:rPr>
        <w:t>’</w:t>
      </w:r>
      <w:r w:rsidRPr="002C739B">
        <w:rPr>
          <w:rFonts w:cs="Times New Roman"/>
          <w:lang w:val="fr-CA"/>
        </w:rPr>
        <w:t xml:space="preserve">indemnité accordée en vertu de la </w:t>
      </w:r>
      <w:r w:rsidRPr="002C739B">
        <w:rPr>
          <w:rFonts w:cs="Times New Roman"/>
          <w:i/>
          <w:lang w:val="fr-CA"/>
        </w:rPr>
        <w:t>CAA</w:t>
      </w:r>
      <w:r w:rsidRPr="002C739B">
        <w:rPr>
          <w:rFonts w:cs="Times New Roman"/>
          <w:lang w:val="fr-CA"/>
        </w:rPr>
        <w:t>), et l</w:t>
      </w:r>
      <w:r>
        <w:rPr>
          <w:rFonts w:cs="Times New Roman"/>
          <w:lang w:val="fr-CA"/>
        </w:rPr>
        <w:t>’</w:t>
      </w:r>
      <w:r w:rsidRPr="002C739B">
        <w:rPr>
          <w:rFonts w:cs="Times New Roman"/>
          <w:lang w:val="fr-CA"/>
        </w:rPr>
        <w:t xml:space="preserve">arrêt </w:t>
      </w:r>
      <w:r w:rsidRPr="002C739B">
        <w:rPr>
          <w:rFonts w:eastAsiaTheme="minorHAnsi" w:cs="Times New Roman"/>
          <w:i/>
          <w:lang w:val="fr-CA"/>
        </w:rPr>
        <w:t>Morriss c. British Columbia</w:t>
      </w:r>
      <w:r w:rsidRPr="002C739B">
        <w:rPr>
          <w:rFonts w:eastAsiaTheme="minorHAnsi" w:cs="Times New Roman"/>
          <w:lang w:val="fr-CA"/>
        </w:rPr>
        <w:t>, 2007 BCCA 337, 69 B.C.L.R. (4th) 1</w:t>
      </w:r>
      <w:r w:rsidRPr="002C739B">
        <w:rPr>
          <w:rFonts w:cs="Times New Roman"/>
          <w:i/>
          <w:lang w:val="fr-CA"/>
        </w:rPr>
        <w:t xml:space="preserve"> </w:t>
      </w:r>
      <w:r w:rsidRPr="002C739B">
        <w:rPr>
          <w:rFonts w:cs="Times New Roman"/>
          <w:lang w:val="fr-CA"/>
        </w:rPr>
        <w:t>(où de tels intérêts avaient été accordés en tant qu</w:t>
      </w:r>
      <w:r>
        <w:rPr>
          <w:rFonts w:cs="Times New Roman"/>
          <w:lang w:val="fr-CA"/>
        </w:rPr>
        <w:t>’</w:t>
      </w:r>
      <w:r w:rsidRPr="002C739B">
        <w:rPr>
          <w:rFonts w:cs="Times New Roman"/>
          <w:lang w:val="fr-CA"/>
        </w:rPr>
        <w:t>élément de l</w:t>
      </w:r>
      <w:r>
        <w:rPr>
          <w:rFonts w:cs="Times New Roman"/>
          <w:lang w:val="fr-CA"/>
        </w:rPr>
        <w:t>’</w:t>
      </w:r>
      <w:r w:rsidRPr="002C739B">
        <w:rPr>
          <w:rFonts w:cs="Times New Roman"/>
          <w:lang w:val="fr-CA"/>
        </w:rPr>
        <w:t>indemnité dans une affaire d</w:t>
      </w:r>
      <w:r>
        <w:rPr>
          <w:rFonts w:cs="Times New Roman"/>
          <w:lang w:val="fr-CA"/>
        </w:rPr>
        <w:t>’</w:t>
      </w:r>
      <w:r w:rsidRPr="002C739B">
        <w:rPr>
          <w:rFonts w:cs="Times New Roman"/>
          <w:lang w:val="fr-CA"/>
        </w:rPr>
        <w:t>expropriation à laquelle ne s</w:t>
      </w:r>
      <w:r>
        <w:rPr>
          <w:rFonts w:cs="Times New Roman"/>
          <w:lang w:val="fr-CA"/>
        </w:rPr>
        <w:t>’</w:t>
      </w:r>
      <w:r w:rsidRPr="002C739B">
        <w:rPr>
          <w:rFonts w:cs="Times New Roman"/>
          <w:lang w:val="fr-CA"/>
        </w:rPr>
        <w:t>appliquait pas l</w:t>
      </w:r>
      <w:r>
        <w:rPr>
          <w:rFonts w:cs="Times New Roman"/>
          <w:lang w:val="fr-CA"/>
        </w:rPr>
        <w:t>’</w:t>
      </w:r>
      <w:r w:rsidRPr="002C739B">
        <w:rPr>
          <w:rFonts w:cs="Times New Roman"/>
          <w:i/>
          <w:lang w:val="fr-CA"/>
        </w:rPr>
        <w:t>Expropriation Act</w:t>
      </w:r>
      <w:r w:rsidRPr="002C739B">
        <w:rPr>
          <w:rFonts w:cs="Times New Roman"/>
          <w:lang w:val="fr-CA"/>
        </w:rPr>
        <w:t>).</w:t>
      </w:r>
    </w:p>
    <w:p w:rsidR="00535732" w:rsidRPr="002C739B" w:rsidRDefault="00535732" w:rsidP="00535732">
      <w:pPr>
        <w:pStyle w:val="TitleTitre-AltT"/>
        <w:tabs>
          <w:tab w:val="clear" w:pos="360"/>
          <w:tab w:val="left" w:pos="450"/>
        </w:tabs>
        <w:ind w:left="446" w:hanging="446"/>
        <w:rPr>
          <w:rFonts w:cs="Times New Roman"/>
          <w:i/>
          <w:lang w:val="fr-CA"/>
        </w:rPr>
      </w:pPr>
      <w:r w:rsidRPr="002C739B">
        <w:rPr>
          <w:rFonts w:cs="Times New Roman"/>
          <w:lang w:val="fr-CA"/>
        </w:rPr>
        <w:t>B.</w:t>
      </w:r>
      <w:r w:rsidRPr="002C739B">
        <w:rPr>
          <w:rFonts w:cs="Times New Roman"/>
          <w:lang w:val="fr-CA"/>
        </w:rPr>
        <w:tab/>
      </w:r>
      <w:r w:rsidRPr="002C739B">
        <w:rPr>
          <w:rFonts w:cs="Times New Roman"/>
          <w:i/>
          <w:lang w:val="fr-CA"/>
        </w:rPr>
        <w:t>Cour d</w:t>
      </w:r>
      <w:r>
        <w:rPr>
          <w:rFonts w:cs="Times New Roman"/>
          <w:i/>
          <w:lang w:val="fr-CA"/>
        </w:rPr>
        <w:t>’</w:t>
      </w:r>
      <w:r w:rsidRPr="002C739B">
        <w:rPr>
          <w:rFonts w:cs="Times New Roman"/>
          <w:i/>
          <w:lang w:val="fr-CA"/>
        </w:rPr>
        <w:t>appel de la Colombie</w:t>
      </w:r>
      <w:r w:rsidRPr="002C739B">
        <w:rPr>
          <w:rFonts w:cs="Times New Roman"/>
          <w:i/>
          <w:lang w:val="fr-CA"/>
        </w:rPr>
        <w:noBreakHyphen/>
        <w:t>Britannique, 2012 BCCA 70, 29 B.C.L.R. (5th) 330</w:t>
      </w:r>
    </w:p>
    <w:p w:rsidR="00535732" w:rsidRPr="002C739B" w:rsidRDefault="00535732" w:rsidP="00535732">
      <w:pPr>
        <w:pStyle w:val="ParaNoNdepar-AltN"/>
        <w:rPr>
          <w:rFonts w:cs="Times New Roman"/>
          <w:lang w:val="fr-CA"/>
        </w:rPr>
      </w:pPr>
      <w:r w:rsidRPr="002C739B">
        <w:rPr>
          <w:rFonts w:cs="Times New Roman"/>
          <w:lang w:val="fr-CA"/>
        </w:rPr>
        <w:t>La Cour d</w:t>
      </w:r>
      <w:r>
        <w:rPr>
          <w:rFonts w:cs="Times New Roman"/>
          <w:lang w:val="fr-CA"/>
        </w:rPr>
        <w:t>’</w:t>
      </w:r>
      <w:r w:rsidRPr="002C739B">
        <w:rPr>
          <w:rFonts w:cs="Times New Roman"/>
          <w:lang w:val="fr-CA"/>
        </w:rPr>
        <w:t xml:space="preserve">appel a conclu que ses arrêts dans les affaires </w:t>
      </w:r>
      <w:r w:rsidRPr="002C739B">
        <w:rPr>
          <w:rFonts w:cs="Times New Roman"/>
          <w:i/>
          <w:lang w:val="fr-CA"/>
        </w:rPr>
        <w:t>McKechnie</w:t>
      </w:r>
      <w:r w:rsidRPr="002C739B">
        <w:rPr>
          <w:rFonts w:cs="Times New Roman"/>
          <w:lang w:val="fr-CA"/>
        </w:rPr>
        <w:t xml:space="preserve"> et </w:t>
      </w:r>
      <w:r w:rsidRPr="002C739B">
        <w:rPr>
          <w:rFonts w:cs="Times New Roman"/>
          <w:i/>
          <w:lang w:val="fr-CA"/>
        </w:rPr>
        <w:t>Morriss</w:t>
      </w:r>
      <w:r w:rsidRPr="002C739B">
        <w:rPr>
          <w:rFonts w:cs="Times New Roman"/>
          <w:lang w:val="fr-CA"/>
        </w:rPr>
        <w:t xml:space="preserve"> s</w:t>
      </w:r>
      <w:r>
        <w:rPr>
          <w:rFonts w:cs="Times New Roman"/>
          <w:lang w:val="fr-CA"/>
        </w:rPr>
        <w:t>’</w:t>
      </w:r>
      <w:r w:rsidRPr="002C739B">
        <w:rPr>
          <w:rFonts w:cs="Times New Roman"/>
          <w:lang w:val="fr-CA"/>
        </w:rPr>
        <w:t>appliquaient et avaient un caractère obligatoire quant à la question des intérêts composés, refusant en conséquence l</w:t>
      </w:r>
      <w:r>
        <w:rPr>
          <w:rFonts w:cs="Times New Roman"/>
          <w:lang w:val="fr-CA"/>
        </w:rPr>
        <w:t>’</w:t>
      </w:r>
      <w:r w:rsidRPr="002C739B">
        <w:rPr>
          <w:rFonts w:cs="Times New Roman"/>
          <w:lang w:val="fr-CA"/>
        </w:rPr>
        <w:t>autorisation d</w:t>
      </w:r>
      <w:r>
        <w:rPr>
          <w:rFonts w:cs="Times New Roman"/>
          <w:lang w:val="fr-CA"/>
        </w:rPr>
        <w:t>’</w:t>
      </w:r>
      <w:r w:rsidRPr="002C739B">
        <w:rPr>
          <w:rFonts w:cs="Times New Roman"/>
          <w:lang w:val="fr-CA"/>
        </w:rPr>
        <w:t>appel de la Province.  Elle a jugé qu</w:t>
      </w:r>
      <w:r>
        <w:rPr>
          <w:rFonts w:cs="Times New Roman"/>
          <w:lang w:val="fr-CA"/>
        </w:rPr>
        <w:t>’</w:t>
      </w:r>
      <w:r w:rsidRPr="002C739B">
        <w:rPr>
          <w:rFonts w:cs="Times New Roman"/>
          <w:lang w:val="fr-CA"/>
        </w:rPr>
        <w:t>il n</w:t>
      </w:r>
      <w:r>
        <w:rPr>
          <w:rFonts w:cs="Times New Roman"/>
          <w:lang w:val="fr-CA"/>
        </w:rPr>
        <w:t>’</w:t>
      </w:r>
      <w:r w:rsidRPr="002C739B">
        <w:rPr>
          <w:rFonts w:cs="Times New Roman"/>
          <w:lang w:val="fr-CA"/>
        </w:rPr>
        <w:t>était pas opportun de revoir l</w:t>
      </w:r>
      <w:r>
        <w:rPr>
          <w:rFonts w:cs="Times New Roman"/>
          <w:lang w:val="fr-CA"/>
        </w:rPr>
        <w:t>’</w:t>
      </w:r>
      <w:r w:rsidRPr="002C739B">
        <w:rPr>
          <w:rFonts w:cs="Times New Roman"/>
          <w:lang w:val="fr-CA"/>
        </w:rPr>
        <w:t xml:space="preserve">arrêt </w:t>
      </w:r>
      <w:r w:rsidRPr="002C739B">
        <w:rPr>
          <w:rFonts w:cs="Times New Roman"/>
          <w:i/>
          <w:lang w:val="fr-CA"/>
        </w:rPr>
        <w:t>Morriss</w:t>
      </w:r>
      <w:r w:rsidRPr="002C739B">
        <w:rPr>
          <w:rFonts w:cs="Times New Roman"/>
          <w:lang w:val="fr-CA"/>
        </w:rPr>
        <w:t>, puisqu</w:t>
      </w:r>
      <w:r>
        <w:rPr>
          <w:rFonts w:cs="Times New Roman"/>
          <w:lang w:val="fr-CA"/>
        </w:rPr>
        <w:t>’</w:t>
      </w:r>
      <w:r w:rsidRPr="002C739B">
        <w:rPr>
          <w:rFonts w:cs="Times New Roman"/>
          <w:lang w:val="fr-CA"/>
        </w:rPr>
        <w:t>il s</w:t>
      </w:r>
      <w:r>
        <w:rPr>
          <w:rFonts w:cs="Times New Roman"/>
          <w:lang w:val="fr-CA"/>
        </w:rPr>
        <w:t>’</w:t>
      </w:r>
      <w:r w:rsidRPr="002C739B">
        <w:rPr>
          <w:rFonts w:cs="Times New Roman"/>
          <w:lang w:val="fr-CA"/>
        </w:rPr>
        <w:t>agissait d</w:t>
      </w:r>
      <w:r>
        <w:rPr>
          <w:rFonts w:cs="Times New Roman"/>
          <w:lang w:val="fr-CA"/>
        </w:rPr>
        <w:t>’</w:t>
      </w:r>
      <w:r w:rsidRPr="002C739B">
        <w:rPr>
          <w:rFonts w:cs="Times New Roman"/>
          <w:lang w:val="fr-CA"/>
        </w:rPr>
        <w:t>une affaire récente, où la décision des juges majoritaires était amplement motivée et basée sur l</w:t>
      </w:r>
      <w:r>
        <w:rPr>
          <w:rFonts w:cs="Times New Roman"/>
          <w:lang w:val="fr-CA"/>
        </w:rPr>
        <w:t>’</w:t>
      </w:r>
      <w:r w:rsidRPr="002C739B">
        <w:rPr>
          <w:rFonts w:cs="Times New Roman"/>
          <w:lang w:val="fr-CA"/>
        </w:rPr>
        <w:t>ensemble de la jurisprudence pertinente.  La Cour d</w:t>
      </w:r>
      <w:r>
        <w:rPr>
          <w:rFonts w:cs="Times New Roman"/>
          <w:lang w:val="fr-CA"/>
        </w:rPr>
        <w:t>’</w:t>
      </w:r>
      <w:r w:rsidRPr="002C739B">
        <w:rPr>
          <w:rFonts w:cs="Times New Roman"/>
          <w:lang w:val="fr-CA"/>
        </w:rPr>
        <w:t>appel a souligné que la Province [</w:t>
      </w:r>
      <w:r w:rsidRPr="002C739B">
        <w:rPr>
          <w:rFonts w:cs="Times New Roman"/>
          <w:smallCaps/>
          <w:lang w:val="fr-CA"/>
        </w:rPr>
        <w:t>traduction</w:t>
      </w:r>
      <w:r w:rsidRPr="002C739B">
        <w:rPr>
          <w:rFonts w:cs="Times New Roman"/>
          <w:lang w:val="fr-CA"/>
        </w:rPr>
        <w:t>] « dispose bien entendu de la possibilité d</w:t>
      </w:r>
      <w:r>
        <w:rPr>
          <w:rFonts w:cs="Times New Roman"/>
          <w:lang w:val="fr-CA"/>
        </w:rPr>
        <w:t>’</w:t>
      </w:r>
      <w:r w:rsidRPr="002C739B">
        <w:rPr>
          <w:rFonts w:cs="Times New Roman"/>
          <w:lang w:val="fr-CA"/>
        </w:rPr>
        <w:t>intervenir par voie législative si elle souhaite agir » (par. 59).</w:t>
      </w:r>
    </w:p>
    <w:p w:rsidR="00535732" w:rsidRPr="002C739B" w:rsidRDefault="00535732" w:rsidP="00535732">
      <w:pPr>
        <w:pStyle w:val="TitleTitre-AltT"/>
        <w:tabs>
          <w:tab w:val="clear" w:pos="360"/>
          <w:tab w:val="left" w:pos="450"/>
        </w:tabs>
        <w:ind w:left="446" w:hanging="446"/>
        <w:rPr>
          <w:rFonts w:cs="Times New Roman"/>
          <w:u w:val="single"/>
          <w:lang w:val="fr-CA"/>
        </w:rPr>
      </w:pPr>
      <w:r w:rsidRPr="002C739B">
        <w:rPr>
          <w:rFonts w:cs="Times New Roman"/>
          <w:lang w:val="fr-CA"/>
        </w:rPr>
        <w:lastRenderedPageBreak/>
        <w:t>IV.</w:t>
      </w:r>
      <w:r w:rsidRPr="002C739B">
        <w:rPr>
          <w:rFonts w:cs="Times New Roman"/>
          <w:lang w:val="fr-CA"/>
        </w:rPr>
        <w:tab/>
      </w:r>
      <w:r w:rsidRPr="002C739B">
        <w:rPr>
          <w:rFonts w:cs="Times New Roman"/>
          <w:u w:val="single"/>
          <w:lang w:val="fr-CA"/>
        </w:rPr>
        <w:t>Analyse</w:t>
      </w:r>
    </w:p>
    <w:p w:rsidR="00535732" w:rsidRPr="002C739B" w:rsidRDefault="00535732" w:rsidP="00535732">
      <w:pPr>
        <w:pStyle w:val="ParaNoNdepar-AltN"/>
        <w:rPr>
          <w:rFonts w:cs="Times New Roman"/>
          <w:lang w:val="fr-CA"/>
        </w:rPr>
      </w:pPr>
      <w:r w:rsidRPr="002C739B">
        <w:rPr>
          <w:rFonts w:cs="Times New Roman"/>
          <w:lang w:val="fr-CA"/>
        </w:rPr>
        <w:t>La seule question à résoudre en l</w:t>
      </w:r>
      <w:r>
        <w:rPr>
          <w:rFonts w:cs="Times New Roman"/>
          <w:lang w:val="fr-CA"/>
        </w:rPr>
        <w:t>’</w:t>
      </w:r>
      <w:r w:rsidRPr="002C739B">
        <w:rPr>
          <w:rFonts w:cs="Times New Roman"/>
          <w:lang w:val="fr-CA"/>
        </w:rPr>
        <w:t>espèce est de savoir si l</w:t>
      </w:r>
      <w:r>
        <w:rPr>
          <w:rFonts w:cs="Times New Roman"/>
          <w:lang w:val="fr-CA"/>
        </w:rPr>
        <w:t>’</w:t>
      </w:r>
      <w:r w:rsidRPr="002C739B">
        <w:rPr>
          <w:rFonts w:cs="Times New Roman"/>
          <w:lang w:val="fr-CA"/>
        </w:rPr>
        <w:t>arbitre avait le pouvoir d</w:t>
      </w:r>
      <w:r>
        <w:rPr>
          <w:rFonts w:cs="Times New Roman"/>
          <w:lang w:val="fr-CA"/>
        </w:rPr>
        <w:t>’</w:t>
      </w:r>
      <w:r w:rsidRPr="002C739B">
        <w:rPr>
          <w:rFonts w:cs="Times New Roman"/>
          <w:lang w:val="fr-CA"/>
        </w:rPr>
        <w:t>accorder à Teal des intérêts composés, plutôt que des intérêts simples, afin d</w:t>
      </w:r>
      <w:r>
        <w:rPr>
          <w:rFonts w:cs="Times New Roman"/>
          <w:lang w:val="fr-CA"/>
        </w:rPr>
        <w:t>’</w:t>
      </w:r>
      <w:r w:rsidRPr="002C739B">
        <w:rPr>
          <w:rFonts w:cs="Times New Roman"/>
          <w:lang w:val="fr-CA"/>
        </w:rPr>
        <w:t>indemniser cette entreprise pour la période écoulée entre la perte de ses droits de récolte du bois et le moment de la sentence arbitrale.  Bien que Teal ait fait valoir un certain nombre de moyens différents au soutien de son argument selon lequel des intérêts composés peuvent être accordés, le régime législatif ne permet pas selon moi à l</w:t>
      </w:r>
      <w:r>
        <w:rPr>
          <w:rFonts w:cs="Times New Roman"/>
          <w:lang w:val="fr-CA"/>
        </w:rPr>
        <w:t>’</w:t>
      </w:r>
      <w:r w:rsidRPr="002C739B">
        <w:rPr>
          <w:rFonts w:cs="Times New Roman"/>
          <w:lang w:val="fr-CA"/>
        </w:rPr>
        <w:t>arbitre de le faire.  Pour arriver à cette conclusion, j</w:t>
      </w:r>
      <w:r>
        <w:rPr>
          <w:rFonts w:cs="Times New Roman"/>
          <w:lang w:val="fr-CA"/>
        </w:rPr>
        <w:t>’</w:t>
      </w:r>
      <w:r w:rsidRPr="002C739B">
        <w:rPr>
          <w:rFonts w:cs="Times New Roman"/>
          <w:lang w:val="fr-CA"/>
        </w:rPr>
        <w:t xml:space="preserve">ai considéré la </w:t>
      </w:r>
      <w:r w:rsidRPr="002C739B">
        <w:rPr>
          <w:rFonts w:cs="Times New Roman"/>
          <w:i/>
          <w:lang w:val="fr-CA"/>
        </w:rPr>
        <w:t>COIA</w:t>
      </w:r>
      <w:r w:rsidRPr="002C739B">
        <w:rPr>
          <w:rFonts w:cs="Times New Roman"/>
          <w:lang w:val="fr-CA"/>
        </w:rPr>
        <w:t xml:space="preserve"> ainsi que son interaction avec la </w:t>
      </w:r>
      <w:r w:rsidRPr="002C739B">
        <w:rPr>
          <w:rFonts w:cs="Times New Roman"/>
          <w:i/>
          <w:lang w:val="fr-CA"/>
        </w:rPr>
        <w:t>CAA</w:t>
      </w:r>
      <w:r w:rsidRPr="002C739B">
        <w:rPr>
          <w:rFonts w:cs="Times New Roman"/>
          <w:lang w:val="fr-CA"/>
        </w:rPr>
        <w:t>, facteurs qui, à mon avis, déterminent l</w:t>
      </w:r>
      <w:r>
        <w:rPr>
          <w:rFonts w:cs="Times New Roman"/>
          <w:lang w:val="fr-CA"/>
        </w:rPr>
        <w:t>’</w:t>
      </w:r>
      <w:r w:rsidRPr="002C739B">
        <w:rPr>
          <w:rFonts w:cs="Times New Roman"/>
          <w:lang w:val="fr-CA"/>
        </w:rPr>
        <w:t>issue du présent pourvoi.  J</w:t>
      </w:r>
      <w:r>
        <w:rPr>
          <w:rFonts w:cs="Times New Roman"/>
          <w:lang w:val="fr-CA"/>
        </w:rPr>
        <w:t>’</w:t>
      </w:r>
      <w:r w:rsidRPr="002C739B">
        <w:rPr>
          <w:rFonts w:cs="Times New Roman"/>
          <w:lang w:val="fr-CA"/>
        </w:rPr>
        <w:t>ai aussi examiné les arguments fondés sur le principe de l</w:t>
      </w:r>
      <w:r>
        <w:rPr>
          <w:rFonts w:cs="Times New Roman"/>
          <w:lang w:val="fr-CA"/>
        </w:rPr>
        <w:t>’</w:t>
      </w:r>
      <w:r w:rsidRPr="002C739B">
        <w:rPr>
          <w:rFonts w:cs="Times New Roman"/>
          <w:lang w:val="fr-CA"/>
        </w:rPr>
        <w:t>indemnisation intégrale en cas d</w:t>
      </w:r>
      <w:r>
        <w:rPr>
          <w:rFonts w:cs="Times New Roman"/>
          <w:lang w:val="fr-CA"/>
        </w:rPr>
        <w:t>’</w:t>
      </w:r>
      <w:r w:rsidRPr="002C739B">
        <w:rPr>
          <w:rFonts w:cs="Times New Roman"/>
          <w:lang w:val="fr-CA"/>
        </w:rPr>
        <w:t xml:space="preserve">expropriations et sur la question de savoir si les sentences arbitrales accordant des intérêts composés peuvent, malgré la </w:t>
      </w:r>
      <w:r w:rsidRPr="002C739B">
        <w:rPr>
          <w:rFonts w:cs="Times New Roman"/>
          <w:i/>
          <w:lang w:val="fr-CA"/>
        </w:rPr>
        <w:t>COIA</w:t>
      </w:r>
      <w:r w:rsidRPr="002C739B">
        <w:rPr>
          <w:rFonts w:cs="Times New Roman"/>
          <w:lang w:val="fr-CA"/>
        </w:rPr>
        <w:t>, être basées sur l</w:t>
      </w:r>
      <w:r>
        <w:rPr>
          <w:rFonts w:cs="Times New Roman"/>
          <w:lang w:val="fr-CA"/>
        </w:rPr>
        <w:t>’</w:t>
      </w:r>
      <w:r w:rsidRPr="002C739B">
        <w:rPr>
          <w:rFonts w:cs="Times New Roman"/>
          <w:lang w:val="fr-CA"/>
        </w:rPr>
        <w:t>equity.  Ni le principe de l</w:t>
      </w:r>
      <w:r>
        <w:rPr>
          <w:rFonts w:cs="Times New Roman"/>
          <w:lang w:val="fr-CA"/>
        </w:rPr>
        <w:t>’</w:t>
      </w:r>
      <w:r w:rsidRPr="002C739B">
        <w:rPr>
          <w:rFonts w:cs="Times New Roman"/>
          <w:lang w:val="fr-CA"/>
        </w:rPr>
        <w:t>indemnisation intégrale en cas d</w:t>
      </w:r>
      <w:r>
        <w:rPr>
          <w:rFonts w:cs="Times New Roman"/>
          <w:lang w:val="fr-CA"/>
        </w:rPr>
        <w:t>’</w:t>
      </w:r>
      <w:r w:rsidRPr="002C739B">
        <w:rPr>
          <w:rFonts w:cs="Times New Roman"/>
          <w:lang w:val="fr-CA"/>
        </w:rPr>
        <w:t>expropriation, ni aucune règle d</w:t>
      </w:r>
      <w:r>
        <w:rPr>
          <w:rFonts w:cs="Times New Roman"/>
          <w:lang w:val="fr-CA"/>
        </w:rPr>
        <w:t>’</w:t>
      </w:r>
      <w:r w:rsidRPr="002C739B">
        <w:rPr>
          <w:rFonts w:cs="Times New Roman"/>
          <w:lang w:val="fr-CA"/>
        </w:rPr>
        <w:t>equity n</w:t>
      </w:r>
      <w:r>
        <w:rPr>
          <w:rFonts w:cs="Times New Roman"/>
          <w:lang w:val="fr-CA"/>
        </w:rPr>
        <w:t>’</w:t>
      </w:r>
      <w:r w:rsidRPr="002C739B">
        <w:rPr>
          <w:rFonts w:cs="Times New Roman"/>
          <w:lang w:val="fr-CA"/>
        </w:rPr>
        <w:t>autorisent l</w:t>
      </w:r>
      <w:r>
        <w:rPr>
          <w:rFonts w:cs="Times New Roman"/>
          <w:lang w:val="fr-CA"/>
        </w:rPr>
        <w:t>’</w:t>
      </w:r>
      <w:r w:rsidRPr="002C739B">
        <w:rPr>
          <w:rFonts w:cs="Times New Roman"/>
          <w:lang w:val="fr-CA"/>
        </w:rPr>
        <w:t>attribution d</w:t>
      </w:r>
      <w:r>
        <w:rPr>
          <w:rFonts w:cs="Times New Roman"/>
          <w:lang w:val="fr-CA"/>
        </w:rPr>
        <w:t>’</w:t>
      </w:r>
      <w:r w:rsidRPr="002C739B">
        <w:rPr>
          <w:rFonts w:cs="Times New Roman"/>
          <w:lang w:val="fr-CA"/>
        </w:rPr>
        <w:t>intérêts composés en l</w:t>
      </w:r>
      <w:r>
        <w:rPr>
          <w:rFonts w:cs="Times New Roman"/>
          <w:lang w:val="fr-CA"/>
        </w:rPr>
        <w:t>’</w:t>
      </w:r>
      <w:r w:rsidRPr="002C739B">
        <w:rPr>
          <w:rFonts w:cs="Times New Roman"/>
          <w:lang w:val="fr-CA"/>
        </w:rPr>
        <w:t xml:space="preserve">espèce. </w:t>
      </w:r>
    </w:p>
    <w:p w:rsidR="00535732" w:rsidRPr="002C739B" w:rsidRDefault="00535732" w:rsidP="00535732">
      <w:pPr>
        <w:pStyle w:val="TitleTitre-AltT"/>
        <w:tabs>
          <w:tab w:val="clear" w:pos="360"/>
          <w:tab w:val="left" w:pos="450"/>
        </w:tabs>
        <w:ind w:left="446" w:hanging="446"/>
        <w:rPr>
          <w:rFonts w:cs="Times New Roman"/>
          <w:i/>
          <w:lang w:val="fr-CA"/>
        </w:rPr>
      </w:pPr>
      <w:r w:rsidRPr="002C739B">
        <w:rPr>
          <w:rFonts w:cs="Times New Roman"/>
          <w:lang w:val="fr-CA"/>
        </w:rPr>
        <w:t>A.</w:t>
      </w:r>
      <w:r w:rsidRPr="002C739B">
        <w:rPr>
          <w:rFonts w:cs="Times New Roman"/>
          <w:lang w:val="fr-CA"/>
        </w:rPr>
        <w:tab/>
      </w:r>
      <w:r w:rsidRPr="002C739B">
        <w:rPr>
          <w:rFonts w:cs="Times New Roman"/>
          <w:i/>
          <w:lang w:val="fr-CA"/>
        </w:rPr>
        <w:t>Application de la</w:t>
      </w:r>
      <w:r w:rsidRPr="002C739B">
        <w:rPr>
          <w:rFonts w:cs="Times New Roman"/>
          <w:lang w:val="fr-CA"/>
        </w:rPr>
        <w:t xml:space="preserve"> </w:t>
      </w:r>
      <w:r w:rsidRPr="002C739B">
        <w:rPr>
          <w:rFonts w:cs="Times New Roman"/>
          <w:i/>
          <w:lang w:val="fr-CA"/>
        </w:rPr>
        <w:t>COIA</w:t>
      </w:r>
    </w:p>
    <w:p w:rsidR="00535732" w:rsidRPr="002C739B" w:rsidRDefault="00535732" w:rsidP="00535732">
      <w:pPr>
        <w:pStyle w:val="ParaNoNdepar-AltN"/>
        <w:rPr>
          <w:rFonts w:cs="Times New Roman"/>
          <w:lang w:val="fr-CA"/>
        </w:rPr>
      </w:pPr>
      <w:r w:rsidRPr="002C739B">
        <w:rPr>
          <w:rFonts w:cs="Times New Roman"/>
          <w:lang w:val="fr-CA"/>
        </w:rPr>
        <w:t xml:space="preserve">La </w:t>
      </w:r>
      <w:r w:rsidRPr="002C739B">
        <w:rPr>
          <w:rFonts w:cs="Times New Roman"/>
          <w:i/>
          <w:lang w:val="fr-CA"/>
        </w:rPr>
        <w:t>COIA</w:t>
      </w:r>
      <w:r w:rsidRPr="002C739B">
        <w:rPr>
          <w:rFonts w:cs="Times New Roman"/>
          <w:lang w:val="fr-CA"/>
        </w:rPr>
        <w:t xml:space="preserve"> compte deux parties : l</w:t>
      </w:r>
      <w:r>
        <w:rPr>
          <w:rFonts w:cs="Times New Roman"/>
          <w:lang w:val="fr-CA"/>
        </w:rPr>
        <w:t>’</w:t>
      </w:r>
      <w:r w:rsidRPr="002C739B">
        <w:rPr>
          <w:rFonts w:cs="Times New Roman"/>
          <w:lang w:val="fr-CA"/>
        </w:rPr>
        <w:t>une porte sur les intérêts avant jugement, l</w:t>
      </w:r>
      <w:r>
        <w:rPr>
          <w:rFonts w:cs="Times New Roman"/>
          <w:lang w:val="fr-CA"/>
        </w:rPr>
        <w:t>’</w:t>
      </w:r>
      <w:r w:rsidRPr="002C739B">
        <w:rPr>
          <w:rFonts w:cs="Times New Roman"/>
          <w:lang w:val="fr-CA"/>
        </w:rPr>
        <w:t>autre sur les intérêts postérieurs au jugement.  Les premiers indemnisent le demandeur pour la période qui s</w:t>
      </w:r>
      <w:r>
        <w:rPr>
          <w:rFonts w:cs="Times New Roman"/>
          <w:lang w:val="fr-CA"/>
        </w:rPr>
        <w:t>’</w:t>
      </w:r>
      <w:r w:rsidRPr="002C739B">
        <w:rPr>
          <w:rFonts w:cs="Times New Roman"/>
          <w:lang w:val="fr-CA"/>
        </w:rPr>
        <w:t>écoule de la naissance de la cause d</w:t>
      </w:r>
      <w:r>
        <w:rPr>
          <w:rFonts w:cs="Times New Roman"/>
          <w:lang w:val="fr-CA"/>
        </w:rPr>
        <w:t>’</w:t>
      </w:r>
      <w:r w:rsidRPr="002C739B">
        <w:rPr>
          <w:rFonts w:cs="Times New Roman"/>
          <w:lang w:val="fr-CA"/>
        </w:rPr>
        <w:t>action jusqu</w:t>
      </w:r>
      <w:r>
        <w:rPr>
          <w:rFonts w:cs="Times New Roman"/>
          <w:lang w:val="fr-CA"/>
        </w:rPr>
        <w:t>’</w:t>
      </w:r>
      <w:r w:rsidRPr="002C739B">
        <w:rPr>
          <w:rFonts w:cs="Times New Roman"/>
          <w:lang w:val="fr-CA"/>
        </w:rPr>
        <w:t xml:space="preserve">à la date à laquelle la cour ordonne par jugement le paiement de la somme due : </w:t>
      </w:r>
      <w:r w:rsidRPr="002C739B">
        <w:rPr>
          <w:rFonts w:cs="Times New Roman"/>
          <w:i/>
          <w:lang w:val="fr-CA"/>
        </w:rPr>
        <w:t>COIA</w:t>
      </w:r>
      <w:r w:rsidRPr="002C739B">
        <w:rPr>
          <w:rFonts w:cs="Times New Roman"/>
          <w:lang w:val="fr-CA"/>
        </w:rPr>
        <w:t>, par. 1(1).  Les seconds l</w:t>
      </w:r>
      <w:r>
        <w:rPr>
          <w:rFonts w:cs="Times New Roman"/>
          <w:lang w:val="fr-CA"/>
        </w:rPr>
        <w:t>’</w:t>
      </w:r>
      <w:r w:rsidRPr="002C739B">
        <w:rPr>
          <w:rFonts w:cs="Times New Roman"/>
          <w:lang w:val="fr-CA"/>
        </w:rPr>
        <w:t xml:space="preserve">indemnisent pour la période allant de la date du prononcé du jugement ou de celle à laquelle la somme est payable aux termes du jugement, si cette </w:t>
      </w:r>
      <w:r w:rsidRPr="002C739B">
        <w:rPr>
          <w:rFonts w:cs="Times New Roman"/>
          <w:lang w:val="fr-CA"/>
        </w:rPr>
        <w:lastRenderedPageBreak/>
        <w:t>date est postérieure, jusqu</w:t>
      </w:r>
      <w:r>
        <w:rPr>
          <w:rFonts w:cs="Times New Roman"/>
          <w:lang w:val="fr-CA"/>
        </w:rPr>
        <w:t>’</w:t>
      </w:r>
      <w:r w:rsidRPr="002C739B">
        <w:rPr>
          <w:rFonts w:cs="Times New Roman"/>
          <w:lang w:val="fr-CA"/>
        </w:rPr>
        <w:t xml:space="preserve">à la date à laquelle la somme est payée : </w:t>
      </w:r>
      <w:r w:rsidRPr="002C739B">
        <w:rPr>
          <w:rFonts w:cs="Times New Roman"/>
          <w:i/>
          <w:lang w:val="fr-CA"/>
        </w:rPr>
        <w:t>COIA</w:t>
      </w:r>
      <w:r w:rsidRPr="002C739B">
        <w:rPr>
          <w:rFonts w:cs="Times New Roman"/>
          <w:lang w:val="fr-CA"/>
        </w:rPr>
        <w:t>, par. 7(2).  Dans les deux cas, l</w:t>
      </w:r>
      <w:r>
        <w:rPr>
          <w:rFonts w:cs="Times New Roman"/>
          <w:lang w:val="fr-CA"/>
        </w:rPr>
        <w:t>’</w:t>
      </w:r>
      <w:r w:rsidRPr="002C739B">
        <w:rPr>
          <w:rFonts w:cs="Times New Roman"/>
          <w:lang w:val="fr-CA"/>
        </w:rPr>
        <w:t>attribution d</w:t>
      </w:r>
      <w:r>
        <w:rPr>
          <w:rFonts w:cs="Times New Roman"/>
          <w:lang w:val="fr-CA"/>
        </w:rPr>
        <w:t>’</w:t>
      </w:r>
      <w:r w:rsidRPr="002C739B">
        <w:rPr>
          <w:rFonts w:cs="Times New Roman"/>
          <w:lang w:val="fr-CA"/>
        </w:rPr>
        <w:t xml:space="preserve">intérêts composés est interdite : al. 2(c) (intérêts avant jugement) et par. 7(2) (intérêts postérieurs au jugement). </w:t>
      </w:r>
    </w:p>
    <w:p w:rsidR="00535732" w:rsidRPr="002C739B" w:rsidRDefault="00535732" w:rsidP="00535732">
      <w:pPr>
        <w:pStyle w:val="ParaNoNdepar-AltN"/>
        <w:rPr>
          <w:rFonts w:cs="Times New Roman"/>
          <w:lang w:val="fr-CA"/>
        </w:rPr>
      </w:pPr>
      <w:r w:rsidRPr="002C739B">
        <w:rPr>
          <w:rFonts w:cs="Times New Roman"/>
          <w:lang w:val="fr-CA"/>
        </w:rPr>
        <w:t xml:space="preserve">Les dispositions de la </w:t>
      </w:r>
      <w:r w:rsidRPr="002C739B">
        <w:rPr>
          <w:rFonts w:cs="Times New Roman"/>
          <w:i/>
          <w:lang w:val="fr-CA"/>
        </w:rPr>
        <w:t>COIA</w:t>
      </w:r>
      <w:r w:rsidRPr="002C739B">
        <w:rPr>
          <w:rFonts w:cs="Times New Roman"/>
          <w:lang w:val="fr-CA"/>
        </w:rPr>
        <w:t xml:space="preserve"> en matière d</w:t>
      </w:r>
      <w:r>
        <w:rPr>
          <w:rFonts w:cs="Times New Roman"/>
          <w:lang w:val="fr-CA"/>
        </w:rPr>
        <w:t>’</w:t>
      </w:r>
      <w:r w:rsidRPr="002C739B">
        <w:rPr>
          <w:rFonts w:cs="Times New Roman"/>
          <w:lang w:val="fr-CA"/>
        </w:rPr>
        <w:t>intérêts ont un caractère impératif : [</w:t>
      </w:r>
      <w:r w:rsidRPr="002C739B">
        <w:rPr>
          <w:rFonts w:cs="Times New Roman"/>
          <w:smallCaps/>
          <w:lang w:val="fr-CA"/>
        </w:rPr>
        <w:t>traduction</w:t>
      </w:r>
      <w:r w:rsidRPr="002C739B">
        <w:rPr>
          <w:rFonts w:cs="Times New Roman"/>
          <w:lang w:val="fr-CA"/>
        </w:rPr>
        <w:t>] « </w:t>
      </w:r>
      <w:r w:rsidR="008C2600">
        <w:rPr>
          <w:rFonts w:cs="Times New Roman"/>
          <w:lang w:val="fr-CA"/>
        </w:rPr>
        <w:t xml:space="preserve">. . . </w:t>
      </w:r>
      <w:r w:rsidRPr="002C739B">
        <w:rPr>
          <w:rFonts w:cs="Times New Roman"/>
          <w:lang w:val="fr-CA"/>
        </w:rPr>
        <w:t>la cour doit ajouter à une condamnation pécuniaire des intérêts » (par. 1(1), intérêts avant jugement) et « [u</w:t>
      </w:r>
      <w:r>
        <w:rPr>
          <w:rFonts w:cs="Times New Roman"/>
          <w:lang w:val="fr-CA"/>
        </w:rPr>
        <w:t>]</w:t>
      </w:r>
      <w:r w:rsidRPr="002C739B">
        <w:rPr>
          <w:rFonts w:cs="Times New Roman"/>
          <w:lang w:val="fr-CA"/>
        </w:rPr>
        <w:t>ne condamnation pécuniaire p</w:t>
      </w:r>
      <w:r>
        <w:rPr>
          <w:rFonts w:cs="Times New Roman"/>
          <w:lang w:val="fr-CA"/>
        </w:rPr>
        <w:t xml:space="preserve">roduit des </w:t>
      </w:r>
      <w:r w:rsidRPr="002C739B">
        <w:rPr>
          <w:rFonts w:cs="Times New Roman"/>
          <w:lang w:val="fr-CA"/>
        </w:rPr>
        <w:t>intérêts</w:t>
      </w:r>
      <w:r>
        <w:rPr>
          <w:rFonts w:cs="Times New Roman"/>
          <w:lang w:val="fr-CA"/>
        </w:rPr>
        <w:t xml:space="preserve"> </w:t>
      </w:r>
      <w:r w:rsidRPr="002C739B">
        <w:rPr>
          <w:rFonts w:cs="Times New Roman"/>
          <w:lang w:val="fr-CA"/>
        </w:rPr>
        <w:t>simple</w:t>
      </w:r>
      <w:r>
        <w:rPr>
          <w:rFonts w:cs="Times New Roman"/>
          <w:lang w:val="fr-CA"/>
        </w:rPr>
        <w:t>s</w:t>
      </w:r>
      <w:r w:rsidRPr="002C739B">
        <w:rPr>
          <w:rFonts w:cs="Times New Roman"/>
          <w:lang w:val="fr-CA"/>
        </w:rPr>
        <w:t> » (par. 7(2), intérêts postérieurs au jugement).  Toutefois, si les parties se sont entendues sur la question des intérêts, la cour ne doit pas accorder d</w:t>
      </w:r>
      <w:r>
        <w:rPr>
          <w:rFonts w:cs="Times New Roman"/>
          <w:lang w:val="fr-CA"/>
        </w:rPr>
        <w:t>’</w:t>
      </w:r>
      <w:r w:rsidRPr="002C739B">
        <w:rPr>
          <w:rFonts w:cs="Times New Roman"/>
          <w:lang w:val="fr-CA"/>
        </w:rPr>
        <w:t>intérêts avant jugement en application de l</w:t>
      </w:r>
      <w:r>
        <w:rPr>
          <w:rFonts w:cs="Times New Roman"/>
          <w:lang w:val="fr-CA"/>
        </w:rPr>
        <w:t>’</w:t>
      </w:r>
      <w:r w:rsidRPr="002C739B">
        <w:rPr>
          <w:rFonts w:cs="Times New Roman"/>
          <w:lang w:val="fr-CA"/>
        </w:rPr>
        <w:t xml:space="preserve">art. 1 (al. 2(b)). </w:t>
      </w:r>
    </w:p>
    <w:p w:rsidR="00535732" w:rsidRPr="002C739B" w:rsidRDefault="00535732" w:rsidP="00535732">
      <w:pPr>
        <w:pStyle w:val="ParaNoNdepar-AltN"/>
        <w:rPr>
          <w:rFonts w:cs="Times New Roman"/>
          <w:lang w:val="fr-CA"/>
        </w:rPr>
      </w:pPr>
      <w:r w:rsidRPr="002C739B">
        <w:rPr>
          <w:rFonts w:cs="Times New Roman"/>
          <w:lang w:val="fr-CA"/>
        </w:rPr>
        <w:t>Il ne fait aucun doute que l</w:t>
      </w:r>
      <w:r>
        <w:rPr>
          <w:rFonts w:cs="Times New Roman"/>
          <w:lang w:val="fr-CA"/>
        </w:rPr>
        <w:t>’</w:t>
      </w:r>
      <w:r w:rsidRPr="002C739B">
        <w:rPr>
          <w:rFonts w:cs="Times New Roman"/>
          <w:lang w:val="fr-CA"/>
        </w:rPr>
        <w:t>attribution d</w:t>
      </w:r>
      <w:r>
        <w:rPr>
          <w:rFonts w:cs="Times New Roman"/>
          <w:lang w:val="fr-CA"/>
        </w:rPr>
        <w:t>’</w:t>
      </w:r>
      <w:r w:rsidRPr="002C739B">
        <w:rPr>
          <w:rFonts w:cs="Times New Roman"/>
          <w:lang w:val="fr-CA"/>
        </w:rPr>
        <w:t>intérêts composés constitue une façon plus précise d</w:t>
      </w:r>
      <w:r>
        <w:rPr>
          <w:rFonts w:cs="Times New Roman"/>
          <w:lang w:val="fr-CA"/>
        </w:rPr>
        <w:t>’</w:t>
      </w:r>
      <w:r w:rsidRPr="002C739B">
        <w:rPr>
          <w:rFonts w:cs="Times New Roman"/>
          <w:lang w:val="fr-CA"/>
        </w:rPr>
        <w:t>indemniser les parties pour la valeur temporelle de l</w:t>
      </w:r>
      <w:r>
        <w:rPr>
          <w:rFonts w:cs="Times New Roman"/>
          <w:lang w:val="fr-CA"/>
        </w:rPr>
        <w:t>’</w:t>
      </w:r>
      <w:r w:rsidRPr="002C739B">
        <w:rPr>
          <w:rFonts w:cs="Times New Roman"/>
          <w:lang w:val="fr-CA"/>
        </w:rPr>
        <w:t>argent.  D</w:t>
      </w:r>
      <w:r>
        <w:rPr>
          <w:rFonts w:cs="Times New Roman"/>
          <w:lang w:val="fr-CA"/>
        </w:rPr>
        <w:t>’</w:t>
      </w:r>
      <w:r w:rsidRPr="002C739B">
        <w:rPr>
          <w:rFonts w:cs="Times New Roman"/>
          <w:lang w:val="fr-CA"/>
        </w:rPr>
        <w:t>ailleurs</w:t>
      </w:r>
      <w:r>
        <w:rPr>
          <w:rFonts w:cs="Times New Roman"/>
          <w:lang w:val="fr-CA"/>
        </w:rPr>
        <w:t>, la c</w:t>
      </w:r>
      <w:r w:rsidRPr="002C739B">
        <w:rPr>
          <w:rFonts w:cs="Times New Roman"/>
          <w:lang w:val="fr-CA"/>
        </w:rPr>
        <w:t>ommission de réforme du droit de la Colombie</w:t>
      </w:r>
      <w:r w:rsidRPr="002C739B">
        <w:rPr>
          <w:rFonts w:cs="Times New Roman"/>
          <w:lang w:val="fr-CA"/>
        </w:rPr>
        <w:noBreakHyphen/>
        <w:t>Britannique a recommandé la suppression de l</w:t>
      </w:r>
      <w:r>
        <w:rPr>
          <w:rFonts w:cs="Times New Roman"/>
          <w:lang w:val="fr-CA"/>
        </w:rPr>
        <w:t>’</w:t>
      </w:r>
      <w:r w:rsidRPr="002C739B">
        <w:rPr>
          <w:rFonts w:cs="Times New Roman"/>
          <w:lang w:val="fr-CA"/>
        </w:rPr>
        <w:t xml:space="preserve">interdiction visant les intérêts composés dans son rapport daté de 1987 et intitulé </w:t>
      </w:r>
      <w:r w:rsidRPr="002C739B">
        <w:rPr>
          <w:rFonts w:cs="Times New Roman"/>
          <w:i/>
          <w:lang w:val="fr-CA"/>
        </w:rPr>
        <w:t>Report on the Court Order Interest Act</w:t>
      </w:r>
      <w:r w:rsidRPr="002C739B">
        <w:rPr>
          <w:rFonts w:cs="Times New Roman"/>
          <w:lang w:val="fr-CA"/>
        </w:rPr>
        <w:t>, p. 31</w:t>
      </w:r>
      <w:r w:rsidRPr="002C739B">
        <w:rPr>
          <w:rFonts w:cs="Times New Roman"/>
          <w:lang w:val="fr-CA"/>
        </w:rPr>
        <w:noBreakHyphen/>
        <w:t>32.  Toutefois, la législature n</w:t>
      </w:r>
      <w:r>
        <w:rPr>
          <w:rFonts w:cs="Times New Roman"/>
          <w:lang w:val="fr-CA"/>
        </w:rPr>
        <w:t>’</w:t>
      </w:r>
      <w:r w:rsidRPr="002C739B">
        <w:rPr>
          <w:rFonts w:cs="Times New Roman"/>
          <w:lang w:val="fr-CA"/>
        </w:rPr>
        <w:t xml:space="preserve">a pas encore modifié la </w:t>
      </w:r>
      <w:r w:rsidRPr="002C739B">
        <w:rPr>
          <w:rFonts w:cs="Times New Roman"/>
          <w:i/>
          <w:lang w:val="fr-CA"/>
        </w:rPr>
        <w:t>COIA</w:t>
      </w:r>
      <w:r w:rsidRPr="002C739B">
        <w:rPr>
          <w:rFonts w:cs="Times New Roman"/>
          <w:lang w:val="fr-CA"/>
        </w:rPr>
        <w:t xml:space="preserve"> et levé l</w:t>
      </w:r>
      <w:r>
        <w:rPr>
          <w:rFonts w:cs="Times New Roman"/>
          <w:lang w:val="fr-CA"/>
        </w:rPr>
        <w:t>’</w:t>
      </w:r>
      <w:r w:rsidRPr="002C739B">
        <w:rPr>
          <w:rFonts w:cs="Times New Roman"/>
          <w:lang w:val="fr-CA"/>
        </w:rPr>
        <w:t>interdiction d</w:t>
      </w:r>
      <w:r>
        <w:rPr>
          <w:rFonts w:cs="Times New Roman"/>
          <w:lang w:val="fr-CA"/>
        </w:rPr>
        <w:t>’</w:t>
      </w:r>
      <w:r w:rsidRPr="002C739B">
        <w:rPr>
          <w:rFonts w:cs="Times New Roman"/>
          <w:lang w:val="fr-CA"/>
        </w:rPr>
        <w:t>accorder des intérêts sur les intérêts, de sorte que, malgré ses défauts, l</w:t>
      </w:r>
      <w:r>
        <w:rPr>
          <w:rFonts w:cs="Times New Roman"/>
          <w:lang w:val="fr-CA"/>
        </w:rPr>
        <w:t>’</w:t>
      </w:r>
      <w:r w:rsidRPr="002C739B">
        <w:rPr>
          <w:rFonts w:cs="Times New Roman"/>
          <w:lang w:val="fr-CA"/>
        </w:rPr>
        <w:t>attribution d</w:t>
      </w:r>
      <w:r>
        <w:rPr>
          <w:rFonts w:cs="Times New Roman"/>
          <w:lang w:val="fr-CA"/>
        </w:rPr>
        <w:t>’</w:t>
      </w:r>
      <w:r w:rsidRPr="002C739B">
        <w:rPr>
          <w:rFonts w:cs="Times New Roman"/>
          <w:lang w:val="fr-CA"/>
        </w:rPr>
        <w:t>intérêts simples demeure la règle devant les tribunaux de la Colombie</w:t>
      </w:r>
      <w:r w:rsidRPr="002C739B">
        <w:rPr>
          <w:rFonts w:cs="Times New Roman"/>
          <w:lang w:val="fr-CA"/>
        </w:rPr>
        <w:noBreakHyphen/>
        <w:t xml:space="preserve">Britannique. </w:t>
      </w:r>
    </w:p>
    <w:p w:rsidR="00535732" w:rsidRPr="002C739B" w:rsidRDefault="00535732" w:rsidP="00535732">
      <w:pPr>
        <w:pStyle w:val="TitleTitre-AltT"/>
        <w:tabs>
          <w:tab w:val="clear" w:pos="360"/>
          <w:tab w:val="left" w:pos="450"/>
        </w:tabs>
        <w:ind w:left="446" w:hanging="446"/>
        <w:rPr>
          <w:rFonts w:cs="Times New Roman"/>
          <w:i/>
          <w:lang w:val="fr-CA"/>
        </w:rPr>
      </w:pPr>
      <w:r w:rsidRPr="002C739B">
        <w:rPr>
          <w:rFonts w:cs="Times New Roman"/>
          <w:lang w:val="fr-CA"/>
        </w:rPr>
        <w:t>B.</w:t>
      </w:r>
      <w:r w:rsidRPr="002C739B">
        <w:rPr>
          <w:rFonts w:cs="Times New Roman"/>
          <w:lang w:val="fr-CA"/>
        </w:rPr>
        <w:tab/>
      </w:r>
      <w:r w:rsidRPr="002C739B">
        <w:rPr>
          <w:rFonts w:cs="Times New Roman"/>
          <w:i/>
          <w:lang w:val="fr-CA"/>
        </w:rPr>
        <w:t>Interprétation de l</w:t>
      </w:r>
      <w:r>
        <w:rPr>
          <w:rFonts w:cs="Times New Roman"/>
          <w:i/>
          <w:lang w:val="fr-CA"/>
        </w:rPr>
        <w:t>’</w:t>
      </w:r>
      <w:r w:rsidRPr="002C739B">
        <w:rPr>
          <w:rFonts w:cs="Times New Roman"/>
          <w:i/>
          <w:lang w:val="fr-CA"/>
        </w:rPr>
        <w:t>interaction entre la COIA et la CAA</w:t>
      </w:r>
    </w:p>
    <w:p w:rsidR="00535732" w:rsidRPr="002C739B" w:rsidRDefault="00535732" w:rsidP="00535732">
      <w:pPr>
        <w:pStyle w:val="ParaNoNdepar-AltN"/>
        <w:rPr>
          <w:rFonts w:cs="Times New Roman"/>
          <w:lang w:val="fr-CA"/>
        </w:rPr>
      </w:pPr>
      <w:r w:rsidRPr="002C739B">
        <w:rPr>
          <w:rFonts w:cs="Times New Roman"/>
          <w:lang w:val="fr-CA"/>
        </w:rPr>
        <w:t xml:space="preserve">Conformément à la </w:t>
      </w:r>
      <w:r w:rsidRPr="002C739B">
        <w:rPr>
          <w:rFonts w:cs="Times New Roman"/>
          <w:i/>
          <w:lang w:val="fr-CA"/>
        </w:rPr>
        <w:t>Forest Act</w:t>
      </w:r>
      <w:r w:rsidRPr="002C739B">
        <w:rPr>
          <w:rFonts w:cs="Times New Roman"/>
          <w:lang w:val="fr-CA"/>
        </w:rPr>
        <w:t>, le différend opposant Teal et la Province devait être réglé par voie d</w:t>
      </w:r>
      <w:r>
        <w:rPr>
          <w:rFonts w:cs="Times New Roman"/>
          <w:lang w:val="fr-CA"/>
        </w:rPr>
        <w:t>’</w:t>
      </w:r>
      <w:r w:rsidRPr="002C739B">
        <w:rPr>
          <w:rFonts w:cs="Times New Roman"/>
          <w:lang w:val="fr-CA"/>
        </w:rPr>
        <w:t xml:space="preserve">arbitrage sous le régime de la </w:t>
      </w:r>
      <w:r w:rsidRPr="002C739B">
        <w:rPr>
          <w:rFonts w:cs="Times New Roman"/>
          <w:i/>
          <w:lang w:val="fr-CA"/>
        </w:rPr>
        <w:t>CAA</w:t>
      </w:r>
      <w:r>
        <w:rPr>
          <w:rFonts w:cs="Times New Roman"/>
          <w:lang w:val="fr-CA"/>
        </w:rPr>
        <w:t xml:space="preserve">.  </w:t>
      </w:r>
      <w:r w:rsidRPr="002C739B">
        <w:rPr>
          <w:rFonts w:eastAsiaTheme="minorHAnsi" w:cs="Times New Roman"/>
          <w:lang w:val="fr-CA"/>
        </w:rPr>
        <w:t xml:space="preserve">La </w:t>
      </w:r>
      <w:r w:rsidRPr="002C739B">
        <w:rPr>
          <w:rFonts w:eastAsiaTheme="minorHAnsi" w:cs="Times New Roman"/>
          <w:i/>
          <w:lang w:val="fr-CA"/>
        </w:rPr>
        <w:t>COIA</w:t>
      </w:r>
      <w:r w:rsidRPr="002C739B">
        <w:rPr>
          <w:rFonts w:eastAsiaTheme="minorHAnsi" w:cs="Times New Roman"/>
          <w:lang w:val="fr-CA"/>
        </w:rPr>
        <w:t xml:space="preserve"> ne </w:t>
      </w:r>
      <w:r w:rsidRPr="002C739B">
        <w:rPr>
          <w:rFonts w:eastAsiaTheme="minorHAnsi" w:cs="Times New Roman"/>
          <w:lang w:val="fr-CA"/>
        </w:rPr>
        <w:lastRenderedPageBreak/>
        <w:t>s</w:t>
      </w:r>
      <w:r>
        <w:rPr>
          <w:rFonts w:eastAsiaTheme="minorHAnsi" w:cs="Times New Roman"/>
          <w:lang w:val="fr-CA"/>
        </w:rPr>
        <w:t>’</w:t>
      </w:r>
      <w:r w:rsidRPr="002C739B">
        <w:rPr>
          <w:rFonts w:eastAsiaTheme="minorHAnsi" w:cs="Times New Roman"/>
          <w:lang w:val="fr-CA"/>
        </w:rPr>
        <w:t xml:space="preserve">applique pas directement aux arbitrages régis par la </w:t>
      </w:r>
      <w:r w:rsidRPr="002C739B">
        <w:rPr>
          <w:rFonts w:eastAsiaTheme="minorHAnsi" w:cs="Times New Roman"/>
          <w:i/>
          <w:lang w:val="fr-CA"/>
        </w:rPr>
        <w:t>CAA</w:t>
      </w:r>
      <w:r w:rsidRPr="002C739B">
        <w:rPr>
          <w:rFonts w:eastAsiaTheme="minorHAnsi" w:cs="Times New Roman"/>
          <w:lang w:val="fr-CA"/>
        </w:rPr>
        <w:t xml:space="preserve">.  La </w:t>
      </w:r>
      <w:r w:rsidRPr="002C739B">
        <w:rPr>
          <w:rFonts w:eastAsiaTheme="minorHAnsi" w:cs="Times New Roman"/>
          <w:i/>
          <w:lang w:val="fr-CA"/>
        </w:rPr>
        <w:t>CAA</w:t>
      </w:r>
      <w:r w:rsidRPr="002C739B">
        <w:rPr>
          <w:rFonts w:eastAsiaTheme="minorHAnsi" w:cs="Times New Roman"/>
          <w:lang w:val="fr-CA"/>
        </w:rPr>
        <w:t xml:space="preserve"> dispose plutôt que la </w:t>
      </w:r>
      <w:r w:rsidRPr="002C739B">
        <w:rPr>
          <w:rFonts w:eastAsiaTheme="minorHAnsi" w:cs="Times New Roman"/>
          <w:i/>
          <w:lang w:val="fr-CA"/>
        </w:rPr>
        <w:t>COIA</w:t>
      </w:r>
      <w:r w:rsidRPr="002C739B">
        <w:rPr>
          <w:rFonts w:eastAsiaTheme="minorHAnsi" w:cs="Times New Roman"/>
          <w:lang w:val="fr-CA"/>
        </w:rPr>
        <w:t xml:space="preserve"> s</w:t>
      </w:r>
      <w:r>
        <w:rPr>
          <w:rFonts w:eastAsiaTheme="minorHAnsi" w:cs="Times New Roman"/>
          <w:lang w:val="fr-CA"/>
        </w:rPr>
        <w:t>’</w:t>
      </w:r>
      <w:r w:rsidRPr="002C739B">
        <w:rPr>
          <w:rFonts w:eastAsiaTheme="minorHAnsi" w:cs="Times New Roman"/>
          <w:lang w:val="fr-CA"/>
        </w:rPr>
        <w:t>applique en précisant que [</w:t>
      </w:r>
      <w:r w:rsidRPr="002C739B">
        <w:rPr>
          <w:rFonts w:eastAsiaTheme="minorHAnsi" w:cs="Times New Roman"/>
          <w:smallCaps/>
          <w:lang w:val="fr-CA"/>
        </w:rPr>
        <w:t>traduction</w:t>
      </w:r>
      <w:r w:rsidRPr="002C739B">
        <w:rPr>
          <w:rFonts w:eastAsiaTheme="minorHAnsi" w:cs="Times New Roman"/>
          <w:lang w:val="fr-CA"/>
        </w:rPr>
        <w:t>] « </w:t>
      </w:r>
      <w:r w:rsidRPr="002C739B">
        <w:rPr>
          <w:rFonts w:cs="Times New Roman"/>
          <w:lang w:val="fr-CA"/>
        </w:rPr>
        <w:t>la s</w:t>
      </w:r>
      <w:r>
        <w:rPr>
          <w:rFonts w:cs="Times New Roman"/>
          <w:lang w:val="fr-CA"/>
        </w:rPr>
        <w:t xml:space="preserve">omme dont le paiement est </w:t>
      </w:r>
      <w:r w:rsidRPr="002C739B">
        <w:rPr>
          <w:rFonts w:cs="Times New Roman"/>
          <w:lang w:val="fr-CA"/>
        </w:rPr>
        <w:t>ordonn</w:t>
      </w:r>
      <w:r>
        <w:rPr>
          <w:rFonts w:cs="Times New Roman"/>
          <w:lang w:val="fr-CA"/>
        </w:rPr>
        <w:t>é</w:t>
      </w:r>
      <w:r w:rsidRPr="002C739B">
        <w:rPr>
          <w:rFonts w:cs="Times New Roman"/>
          <w:lang w:val="fr-CA"/>
        </w:rPr>
        <w:t xml:space="preserve"> </w:t>
      </w:r>
      <w:r>
        <w:rPr>
          <w:rFonts w:cs="Times New Roman"/>
          <w:lang w:val="fr-CA"/>
        </w:rPr>
        <w:t xml:space="preserve">par une sentence arbitrale </w:t>
      </w:r>
      <w:r w:rsidRPr="002C739B">
        <w:rPr>
          <w:rFonts w:cs="Times New Roman"/>
          <w:lang w:val="fr-CA"/>
        </w:rPr>
        <w:t>constitue une condamnation pécuniaire prononcée par une cour de justice » (art. 28)</w:t>
      </w:r>
      <w:r w:rsidRPr="002C739B">
        <w:rPr>
          <w:rFonts w:eastAsiaTheme="minorHAnsi" w:cs="Times New Roman"/>
          <w:lang w:val="fr-CA"/>
        </w:rPr>
        <w:t>.  L</w:t>
      </w:r>
      <w:r>
        <w:rPr>
          <w:rFonts w:eastAsiaTheme="minorHAnsi" w:cs="Times New Roman"/>
          <w:lang w:val="fr-CA"/>
        </w:rPr>
        <w:t>’</w:t>
      </w:r>
      <w:r w:rsidRPr="002C739B">
        <w:rPr>
          <w:rFonts w:eastAsiaTheme="minorHAnsi" w:cs="Times New Roman"/>
          <w:lang w:val="fr-CA"/>
        </w:rPr>
        <w:t>interaction de ces deux lois est essentielle pour bien comprendre le droit de Teal de recevoir des intérêts.  Pour interpréter ces lois, je vais d</w:t>
      </w:r>
      <w:r>
        <w:rPr>
          <w:rFonts w:eastAsiaTheme="minorHAnsi" w:cs="Times New Roman"/>
          <w:lang w:val="fr-CA"/>
        </w:rPr>
        <w:t>’</w:t>
      </w:r>
      <w:r w:rsidRPr="002C739B">
        <w:rPr>
          <w:rFonts w:eastAsiaTheme="minorHAnsi" w:cs="Times New Roman"/>
          <w:lang w:val="fr-CA"/>
        </w:rPr>
        <w:t>abord examiner le sens ordinaire de l</w:t>
      </w:r>
      <w:r>
        <w:rPr>
          <w:rFonts w:eastAsiaTheme="minorHAnsi" w:cs="Times New Roman"/>
          <w:lang w:val="fr-CA"/>
        </w:rPr>
        <w:t>’</w:t>
      </w:r>
      <w:r w:rsidRPr="002C739B">
        <w:rPr>
          <w:rFonts w:eastAsiaTheme="minorHAnsi" w:cs="Times New Roman"/>
          <w:lang w:val="fr-CA"/>
        </w:rPr>
        <w:t xml:space="preserve">art. 28 de la </w:t>
      </w:r>
      <w:r w:rsidRPr="002C739B">
        <w:rPr>
          <w:rFonts w:eastAsiaTheme="minorHAnsi" w:cs="Times New Roman"/>
          <w:i/>
          <w:lang w:val="fr-CA"/>
        </w:rPr>
        <w:t>CAA</w:t>
      </w:r>
      <w:r w:rsidRPr="002C739B">
        <w:rPr>
          <w:rFonts w:eastAsiaTheme="minorHAnsi" w:cs="Times New Roman"/>
          <w:lang w:val="fr-CA"/>
        </w:rPr>
        <w:t xml:space="preserve"> à la lumière de l</w:t>
      </w:r>
      <w:r>
        <w:rPr>
          <w:rFonts w:eastAsiaTheme="minorHAnsi" w:cs="Times New Roman"/>
          <w:lang w:val="fr-CA"/>
        </w:rPr>
        <w:t>’</w:t>
      </w:r>
      <w:r w:rsidRPr="002C739B">
        <w:rPr>
          <w:rFonts w:eastAsiaTheme="minorHAnsi" w:cs="Times New Roman"/>
          <w:lang w:val="fr-CA"/>
        </w:rPr>
        <w:t>historique législatif de cette disposition.  À mon avis, il ressort de cette analyse que seuls des intérêts simples peuvent être ajoutés à la somme dont une sentence arbitrale ordonne le paiement.  Je vais ensuite considérer l</w:t>
      </w:r>
      <w:r>
        <w:rPr>
          <w:rFonts w:eastAsiaTheme="minorHAnsi" w:cs="Times New Roman"/>
          <w:lang w:val="fr-CA"/>
        </w:rPr>
        <w:t>’</w:t>
      </w:r>
      <w:r w:rsidRPr="002C739B">
        <w:rPr>
          <w:rFonts w:eastAsiaTheme="minorHAnsi" w:cs="Times New Roman"/>
          <w:lang w:val="fr-CA"/>
        </w:rPr>
        <w:t xml:space="preserve">interprétation de la </w:t>
      </w:r>
      <w:r w:rsidRPr="002C739B">
        <w:rPr>
          <w:rFonts w:eastAsiaTheme="minorHAnsi" w:cs="Times New Roman"/>
          <w:i/>
          <w:lang w:val="fr-CA"/>
        </w:rPr>
        <w:t>CAA</w:t>
      </w:r>
      <w:r w:rsidRPr="002C739B">
        <w:rPr>
          <w:rFonts w:eastAsiaTheme="minorHAnsi" w:cs="Times New Roman"/>
          <w:lang w:val="fr-CA"/>
        </w:rPr>
        <w:t xml:space="preserve"> proposée par Teal et selon laquelle il serait permis d</w:t>
      </w:r>
      <w:r>
        <w:rPr>
          <w:rFonts w:eastAsiaTheme="minorHAnsi" w:cs="Times New Roman"/>
          <w:lang w:val="fr-CA"/>
        </w:rPr>
        <w:t>’</w:t>
      </w:r>
      <w:r w:rsidRPr="002C739B">
        <w:rPr>
          <w:rFonts w:eastAsiaTheme="minorHAnsi" w:cs="Times New Roman"/>
          <w:lang w:val="fr-CA"/>
        </w:rPr>
        <w:t xml:space="preserve">inclure des intérêts composés </w:t>
      </w:r>
      <w:r w:rsidRPr="002C739B">
        <w:rPr>
          <w:rFonts w:eastAsiaTheme="minorHAnsi" w:cs="Times New Roman"/>
          <w:i/>
          <w:lang w:val="fr-CA"/>
        </w:rPr>
        <w:t xml:space="preserve">en tant que partie intégrante </w:t>
      </w:r>
      <w:r w:rsidRPr="002C739B">
        <w:rPr>
          <w:rFonts w:eastAsiaTheme="minorHAnsi" w:cs="Times New Roman"/>
          <w:lang w:val="fr-CA"/>
        </w:rPr>
        <w:t>de l</w:t>
      </w:r>
      <w:r>
        <w:rPr>
          <w:rFonts w:eastAsiaTheme="minorHAnsi" w:cs="Times New Roman"/>
          <w:lang w:val="fr-CA"/>
        </w:rPr>
        <w:t>’</w:t>
      </w:r>
      <w:r w:rsidRPr="002C739B">
        <w:rPr>
          <w:rFonts w:eastAsiaTheme="minorHAnsi" w:cs="Times New Roman"/>
          <w:lang w:val="fr-CA"/>
        </w:rPr>
        <w:t>indemnité accordée par une sentence arbitrale.  À mon humble avis, cette interprétation ne résiste pas à l</w:t>
      </w:r>
      <w:r>
        <w:rPr>
          <w:rFonts w:eastAsiaTheme="minorHAnsi" w:cs="Times New Roman"/>
          <w:lang w:val="fr-CA"/>
        </w:rPr>
        <w:t>’</w:t>
      </w:r>
      <w:r w:rsidRPr="002C739B">
        <w:rPr>
          <w:rFonts w:eastAsiaTheme="minorHAnsi" w:cs="Times New Roman"/>
          <w:lang w:val="fr-CA"/>
        </w:rPr>
        <w:t xml:space="preserve">analyse. </w:t>
      </w:r>
    </w:p>
    <w:p w:rsidR="00535732" w:rsidRPr="002C739B" w:rsidRDefault="00535732" w:rsidP="00535732">
      <w:pPr>
        <w:pStyle w:val="TitleTitre-AltT"/>
        <w:tabs>
          <w:tab w:val="clear" w:pos="360"/>
          <w:tab w:val="left" w:pos="1170"/>
        </w:tabs>
        <w:ind w:left="1613" w:hanging="1800"/>
        <w:rPr>
          <w:rFonts w:cs="Times New Roman"/>
          <w:u w:val="single"/>
          <w:lang w:val="fr-CA"/>
        </w:rPr>
      </w:pPr>
      <w:r w:rsidRPr="002C739B">
        <w:rPr>
          <w:rFonts w:cs="Times New Roman"/>
          <w:lang w:val="fr-CA"/>
        </w:rPr>
        <w:tab/>
        <w:t>(1)</w:t>
      </w:r>
      <w:r w:rsidRPr="002C739B">
        <w:rPr>
          <w:rFonts w:cs="Times New Roman"/>
          <w:lang w:val="fr-CA"/>
        </w:rPr>
        <w:tab/>
      </w:r>
      <w:r w:rsidRPr="002C739B">
        <w:rPr>
          <w:rFonts w:cs="Times New Roman"/>
          <w:u w:val="single"/>
          <w:lang w:val="fr-CA"/>
        </w:rPr>
        <w:t>Le sens ordinaire de l</w:t>
      </w:r>
      <w:r>
        <w:rPr>
          <w:rFonts w:cs="Times New Roman"/>
          <w:u w:val="single"/>
          <w:lang w:val="fr-CA"/>
        </w:rPr>
        <w:t>’</w:t>
      </w:r>
      <w:r w:rsidRPr="002C739B">
        <w:rPr>
          <w:rFonts w:cs="Times New Roman"/>
          <w:u w:val="single"/>
          <w:lang w:val="fr-CA"/>
        </w:rPr>
        <w:t>art</w:t>
      </w:r>
      <w:r w:rsidR="0055687C">
        <w:rPr>
          <w:rFonts w:cs="Times New Roman"/>
          <w:u w:val="single"/>
          <w:lang w:val="fr-CA"/>
        </w:rPr>
        <w:t>.</w:t>
      </w:r>
      <w:r w:rsidRPr="002C739B">
        <w:rPr>
          <w:rFonts w:cs="Times New Roman"/>
          <w:u w:val="single"/>
          <w:lang w:val="fr-CA"/>
        </w:rPr>
        <w:t xml:space="preserve"> 28 de la </w:t>
      </w:r>
      <w:r w:rsidRPr="002C739B">
        <w:rPr>
          <w:rFonts w:cs="Times New Roman"/>
          <w:i/>
          <w:u w:val="single"/>
          <w:lang w:val="fr-CA"/>
        </w:rPr>
        <w:t>CAA</w:t>
      </w:r>
    </w:p>
    <w:p w:rsidR="00535732" w:rsidRPr="002C739B" w:rsidRDefault="00535732" w:rsidP="00535732">
      <w:pPr>
        <w:pStyle w:val="ParaNoNdepar-AltN"/>
        <w:rPr>
          <w:rFonts w:cs="Times New Roman"/>
          <w:lang w:val="fr-CA"/>
        </w:rPr>
      </w:pPr>
      <w:r w:rsidRPr="002C739B">
        <w:rPr>
          <w:rFonts w:cs="Times New Roman"/>
          <w:lang w:val="fr-CA"/>
        </w:rPr>
        <w:t>L</w:t>
      </w:r>
      <w:r>
        <w:rPr>
          <w:rFonts w:cs="Times New Roman"/>
          <w:lang w:val="fr-CA"/>
        </w:rPr>
        <w:t>’</w:t>
      </w:r>
      <w:r w:rsidRPr="002C739B">
        <w:rPr>
          <w:rFonts w:cs="Times New Roman"/>
          <w:lang w:val="fr-CA"/>
        </w:rPr>
        <w:t xml:space="preserve">article 28 de la </w:t>
      </w:r>
      <w:r w:rsidRPr="002C739B">
        <w:rPr>
          <w:rFonts w:cs="Times New Roman"/>
          <w:i/>
          <w:lang w:val="fr-CA"/>
        </w:rPr>
        <w:t>CAA</w:t>
      </w:r>
      <w:r w:rsidRPr="002C739B">
        <w:rPr>
          <w:rFonts w:cs="Times New Roman"/>
          <w:lang w:val="fr-CA"/>
        </w:rPr>
        <w:t xml:space="preserve"> incorpore à cette dernière les dispositions de la </w:t>
      </w:r>
      <w:r w:rsidRPr="002C739B">
        <w:rPr>
          <w:rFonts w:cs="Times New Roman"/>
          <w:i/>
          <w:lang w:val="fr-CA"/>
        </w:rPr>
        <w:t>COIA</w:t>
      </w:r>
      <w:r w:rsidRPr="002C739B">
        <w:rPr>
          <w:rFonts w:cs="Times New Roman"/>
          <w:lang w:val="fr-CA"/>
        </w:rPr>
        <w:t xml:space="preserve"> : </w:t>
      </w:r>
    </w:p>
    <w:p w:rsidR="00535732" w:rsidRPr="002C739B" w:rsidRDefault="00535732" w:rsidP="00535732">
      <w:pPr>
        <w:pStyle w:val="Citation-AltC"/>
        <w:ind w:hanging="1166"/>
        <w:rPr>
          <w:lang w:val="fr-CA"/>
        </w:rPr>
      </w:pPr>
      <w:r w:rsidRPr="002C739B">
        <w:rPr>
          <w:lang w:val="fr-CA"/>
        </w:rPr>
        <w:tab/>
        <w:t>[</w:t>
      </w:r>
      <w:r w:rsidRPr="002C739B">
        <w:rPr>
          <w:smallCaps/>
          <w:lang w:val="fr-CA"/>
        </w:rPr>
        <w:t>traduction</w:t>
      </w:r>
      <w:r w:rsidRPr="002C739B">
        <w:rPr>
          <w:lang w:val="fr-CA"/>
        </w:rPr>
        <w:t>]  Pour l</w:t>
      </w:r>
      <w:r>
        <w:rPr>
          <w:lang w:val="fr-CA"/>
        </w:rPr>
        <w:t>’</w:t>
      </w:r>
      <w:r w:rsidRPr="002C739B">
        <w:rPr>
          <w:lang w:val="fr-CA"/>
        </w:rPr>
        <w:t xml:space="preserve">application de la </w:t>
      </w:r>
      <w:r w:rsidRPr="002C739B">
        <w:rPr>
          <w:i/>
          <w:lang w:val="fr-CA"/>
        </w:rPr>
        <w:t>Court Order Interest Act</w:t>
      </w:r>
      <w:r w:rsidRPr="002C739B">
        <w:rPr>
          <w:lang w:val="fr-CA"/>
        </w:rPr>
        <w:t xml:space="preserve"> et de la</w:t>
      </w:r>
      <w:r w:rsidRPr="002C739B">
        <w:rPr>
          <w:i/>
          <w:lang w:val="fr-CA"/>
        </w:rPr>
        <w:t xml:space="preserve"> Loi sur l</w:t>
      </w:r>
      <w:r>
        <w:rPr>
          <w:i/>
          <w:lang w:val="fr-CA"/>
        </w:rPr>
        <w:t>’</w:t>
      </w:r>
      <w:r w:rsidRPr="002C739B">
        <w:rPr>
          <w:i/>
          <w:lang w:val="fr-CA"/>
        </w:rPr>
        <w:t xml:space="preserve">intérêt </w:t>
      </w:r>
      <w:r w:rsidRPr="002C739B">
        <w:rPr>
          <w:lang w:val="fr-CA"/>
        </w:rPr>
        <w:t>(Canada), la somme dont le paiement est ordonné par une sentence arbitrale constitue une condamnation pécuniaire prononcée par une cour de justice.</w:t>
      </w:r>
    </w:p>
    <w:p w:rsidR="00535732" w:rsidRPr="002C739B" w:rsidRDefault="00535732" w:rsidP="00535732">
      <w:pPr>
        <w:pStyle w:val="ContinueParaSuitedupar-AltP"/>
        <w:tabs>
          <w:tab w:val="left" w:pos="2317"/>
        </w:tabs>
        <w:rPr>
          <w:rFonts w:cs="Times New Roman"/>
          <w:lang w:val="fr-CA"/>
        </w:rPr>
      </w:pPr>
      <w:r w:rsidRPr="002C739B">
        <w:rPr>
          <w:rFonts w:cs="Times New Roman"/>
          <w:lang w:val="fr-CA"/>
        </w:rPr>
        <w:t>Selon moi, l</w:t>
      </w:r>
      <w:r>
        <w:rPr>
          <w:rFonts w:cs="Times New Roman"/>
          <w:lang w:val="fr-CA"/>
        </w:rPr>
        <w:t>’</w:t>
      </w:r>
      <w:r w:rsidRPr="002C739B">
        <w:rPr>
          <w:rFonts w:cs="Times New Roman"/>
          <w:lang w:val="fr-CA"/>
        </w:rPr>
        <w:t>effet de cette disposition, interprétée à la lumière de son historique législatif, est d</w:t>
      </w:r>
      <w:r>
        <w:rPr>
          <w:rFonts w:cs="Times New Roman"/>
          <w:lang w:val="fr-CA"/>
        </w:rPr>
        <w:t>’</w:t>
      </w:r>
      <w:r w:rsidRPr="002C739B">
        <w:rPr>
          <w:rFonts w:cs="Times New Roman"/>
          <w:lang w:val="fr-CA"/>
        </w:rPr>
        <w:t xml:space="preserve">assimiler les sentences arbitrales à des décisions judiciaires régies par </w:t>
      </w:r>
      <w:r w:rsidRPr="002C739B">
        <w:rPr>
          <w:rFonts w:cs="Times New Roman"/>
          <w:lang w:val="fr-CA"/>
        </w:rPr>
        <w:lastRenderedPageBreak/>
        <w:t xml:space="preserve">les dispositions de la </w:t>
      </w:r>
      <w:r w:rsidRPr="002C739B">
        <w:rPr>
          <w:rFonts w:cs="Times New Roman"/>
          <w:i/>
          <w:lang w:val="fr-CA"/>
        </w:rPr>
        <w:t>COIA</w:t>
      </w:r>
      <w:r w:rsidRPr="002C739B">
        <w:rPr>
          <w:rFonts w:cs="Times New Roman"/>
          <w:lang w:val="fr-CA"/>
        </w:rPr>
        <w:t>, de telle sorte que seuls des intérêts simples peuvent majorer la somme accordée par la sentence.</w:t>
      </w:r>
    </w:p>
    <w:p w:rsidR="00535732" w:rsidRPr="002C739B" w:rsidRDefault="00535732" w:rsidP="00535732">
      <w:pPr>
        <w:pStyle w:val="ParaNoNdepar-AltN"/>
        <w:rPr>
          <w:rFonts w:cs="Times New Roman"/>
          <w:lang w:val="fr-CA"/>
        </w:rPr>
      </w:pPr>
      <w:r w:rsidRPr="002C739B">
        <w:rPr>
          <w:rFonts w:cs="Times New Roman"/>
          <w:lang w:val="fr-CA"/>
        </w:rPr>
        <w:t>Comme il a été expliqué plus tôt, l</w:t>
      </w:r>
      <w:r>
        <w:rPr>
          <w:rFonts w:cs="Times New Roman"/>
          <w:lang w:val="fr-CA"/>
        </w:rPr>
        <w:t>’</w:t>
      </w:r>
      <w:r w:rsidRPr="002C739B">
        <w:rPr>
          <w:rFonts w:cs="Times New Roman"/>
          <w:lang w:val="fr-CA"/>
        </w:rPr>
        <w:t xml:space="preserve">art. 1 de la </w:t>
      </w:r>
      <w:r w:rsidRPr="002C739B">
        <w:rPr>
          <w:rFonts w:cs="Times New Roman"/>
          <w:i/>
          <w:lang w:val="fr-CA"/>
        </w:rPr>
        <w:t>COIA</w:t>
      </w:r>
      <w:r w:rsidRPr="002C739B">
        <w:rPr>
          <w:rFonts w:cs="Times New Roman"/>
          <w:lang w:val="fr-CA"/>
        </w:rPr>
        <w:t xml:space="preserve"> oblige les tribunaux judiciaires à ajouter des intérêts à une condamnation pécuniaire.  Selon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la somme dont une sentence arbitrale ordonne le paiement est assimilée à une condamnation pécuniaire prononcée par une cour de justice.  En raison de cette règle d</w:t>
      </w:r>
      <w:r>
        <w:rPr>
          <w:rFonts w:cs="Times New Roman"/>
          <w:lang w:val="fr-CA"/>
        </w:rPr>
        <w:t>’</w:t>
      </w:r>
      <w:r w:rsidRPr="002C739B">
        <w:rPr>
          <w:rFonts w:cs="Times New Roman"/>
          <w:lang w:val="fr-CA"/>
        </w:rPr>
        <w:t xml:space="preserve">assimilation, les arbitres doivent appliquer les dispositions de la </w:t>
      </w:r>
      <w:r w:rsidRPr="002C739B">
        <w:rPr>
          <w:rFonts w:cs="Times New Roman"/>
          <w:i/>
          <w:lang w:val="fr-CA"/>
        </w:rPr>
        <w:t>COIA</w:t>
      </w:r>
      <w:r w:rsidRPr="002C739B">
        <w:rPr>
          <w:rFonts w:cs="Times New Roman"/>
          <w:lang w:val="fr-CA"/>
        </w:rPr>
        <w:t>.  Puisque, par l</w:t>
      </w:r>
      <w:r>
        <w:rPr>
          <w:rFonts w:cs="Times New Roman"/>
          <w:lang w:val="fr-CA"/>
        </w:rPr>
        <w:t>’</w:t>
      </w:r>
      <w:r w:rsidRPr="002C739B">
        <w:rPr>
          <w:rFonts w:cs="Times New Roman"/>
          <w:lang w:val="fr-CA"/>
        </w:rPr>
        <w:t xml:space="preserve">effet de la </w:t>
      </w:r>
      <w:r w:rsidRPr="002C739B">
        <w:rPr>
          <w:rFonts w:cs="Times New Roman"/>
          <w:i/>
          <w:lang w:val="fr-CA"/>
        </w:rPr>
        <w:t>COIA</w:t>
      </w:r>
      <w:r w:rsidRPr="002C739B">
        <w:rPr>
          <w:rFonts w:cs="Times New Roman"/>
          <w:lang w:val="fr-CA"/>
        </w:rPr>
        <w:t>, ce sont des intérêts simples — et non des intérêts composés — qui sont ajoutés aux condamnations pécuniaires prononcées par les cours de justice, il découle du sens ordinaire de l</w:t>
      </w:r>
      <w:r>
        <w:rPr>
          <w:rFonts w:cs="Times New Roman"/>
          <w:lang w:val="fr-CA"/>
        </w:rPr>
        <w:t>’</w:t>
      </w:r>
      <w:r w:rsidRPr="002C739B">
        <w:rPr>
          <w:rFonts w:cs="Times New Roman"/>
          <w:lang w:val="fr-CA"/>
        </w:rPr>
        <w:t xml:space="preserve">art. 28 que des intérêts simples, et non des intérêts composés, doivent être ajoutés à la somme accordée par la sentence. </w:t>
      </w:r>
    </w:p>
    <w:p w:rsidR="00535732" w:rsidRPr="002C739B" w:rsidRDefault="00535732" w:rsidP="00535732">
      <w:pPr>
        <w:pStyle w:val="ParaNoNdepar-AltN"/>
        <w:rPr>
          <w:rFonts w:cs="Times New Roman"/>
          <w:lang w:val="fr-CA"/>
        </w:rPr>
      </w:pPr>
      <w:r w:rsidRPr="002C739B">
        <w:rPr>
          <w:rFonts w:cs="Times New Roman"/>
          <w:lang w:val="fr-CA"/>
        </w:rPr>
        <w:t>Cette conclusion est appuyée par l</w:t>
      </w:r>
      <w:r>
        <w:rPr>
          <w:rFonts w:cs="Times New Roman"/>
          <w:lang w:val="fr-CA"/>
        </w:rPr>
        <w:t>’</w:t>
      </w:r>
      <w:r w:rsidRPr="002C739B">
        <w:rPr>
          <w:rFonts w:cs="Times New Roman"/>
          <w:lang w:val="fr-CA"/>
        </w:rPr>
        <w:t>historique législatif.  En 1982, la commission de réforme du droit de la Colombie</w:t>
      </w:r>
      <w:r w:rsidRPr="002C739B">
        <w:rPr>
          <w:rFonts w:cs="Times New Roman"/>
          <w:lang w:val="fr-CA"/>
        </w:rPr>
        <w:noBreakHyphen/>
        <w:t>Britannique a publié un rapport sur l</w:t>
      </w:r>
      <w:r>
        <w:rPr>
          <w:rFonts w:cs="Times New Roman"/>
          <w:lang w:val="fr-CA"/>
        </w:rPr>
        <w:t>’</w:t>
      </w:r>
      <w:r w:rsidRPr="002C739B">
        <w:rPr>
          <w:rFonts w:cs="Times New Roman"/>
          <w:lang w:val="fr-CA"/>
        </w:rPr>
        <w:t>arbitrage dans lequel elle a dit ce qui suit :</w:t>
      </w:r>
    </w:p>
    <w:p w:rsidR="00535732" w:rsidRPr="002C739B" w:rsidRDefault="00535732" w:rsidP="00653223">
      <w:pPr>
        <w:pStyle w:val="Citation-AltC"/>
        <w:tabs>
          <w:tab w:val="left" w:pos="1620"/>
        </w:tabs>
        <w:spacing w:after="240"/>
        <w:ind w:hanging="1166"/>
        <w:contextualSpacing w:val="0"/>
        <w:rPr>
          <w:lang w:val="fr-CA"/>
        </w:rPr>
      </w:pPr>
      <w:r w:rsidRPr="002C739B">
        <w:rPr>
          <w:lang w:val="fr-CA"/>
        </w:rPr>
        <w:tab/>
      </w:r>
      <w:r w:rsidR="00426413">
        <w:rPr>
          <w:lang w:val="fr-CA"/>
        </w:rPr>
        <w:tab/>
      </w:r>
      <w:r w:rsidRPr="002C739B">
        <w:rPr>
          <w:lang w:val="fr-CA"/>
        </w:rPr>
        <w:t>[</w:t>
      </w:r>
      <w:r w:rsidRPr="002C739B">
        <w:rPr>
          <w:smallCaps/>
          <w:lang w:val="fr-CA"/>
        </w:rPr>
        <w:t>traduction</w:t>
      </w:r>
      <w:r w:rsidRPr="002C739B">
        <w:rPr>
          <w:lang w:val="fr-CA"/>
        </w:rPr>
        <w:t>]  Nous avons conclu qu</w:t>
      </w:r>
      <w:r>
        <w:rPr>
          <w:lang w:val="fr-CA"/>
        </w:rPr>
        <w:t>’</w:t>
      </w:r>
      <w:r w:rsidRPr="002C739B">
        <w:rPr>
          <w:lang w:val="fr-CA"/>
        </w:rPr>
        <w:t>un arbitre ne devrait pas disposer du pouvoir discrétionnaire d</w:t>
      </w:r>
      <w:r>
        <w:rPr>
          <w:lang w:val="fr-CA"/>
        </w:rPr>
        <w:t>’</w:t>
      </w:r>
      <w:r w:rsidRPr="002C739B">
        <w:rPr>
          <w:lang w:val="fr-CA"/>
        </w:rPr>
        <w:t xml:space="preserve">accorder ou non des intérêts, et </w:t>
      </w:r>
      <w:r w:rsidRPr="0055687C">
        <w:rPr>
          <w:lang w:val="fr-CA"/>
        </w:rPr>
        <w:t xml:space="preserve">que </w:t>
      </w:r>
      <w:r w:rsidRPr="002C739B">
        <w:rPr>
          <w:u w:val="single"/>
          <w:lang w:val="fr-CA"/>
        </w:rPr>
        <w:t>toutes les sentences devraient automatiquement porter intérêts de la même manière qu</w:t>
      </w:r>
      <w:r>
        <w:rPr>
          <w:u w:val="single"/>
          <w:lang w:val="fr-CA"/>
        </w:rPr>
        <w:t>’</w:t>
      </w:r>
      <w:r w:rsidRPr="002C739B">
        <w:rPr>
          <w:u w:val="single"/>
          <w:lang w:val="fr-CA"/>
        </w:rPr>
        <w:t>une somme due en vertu d</w:t>
      </w:r>
      <w:r>
        <w:rPr>
          <w:u w:val="single"/>
          <w:lang w:val="fr-CA"/>
        </w:rPr>
        <w:t>’</w:t>
      </w:r>
      <w:r w:rsidRPr="002C739B">
        <w:rPr>
          <w:u w:val="single"/>
          <w:lang w:val="fr-CA"/>
        </w:rPr>
        <w:t>un jugement</w:t>
      </w:r>
      <w:r w:rsidRPr="002C739B">
        <w:rPr>
          <w:lang w:val="fr-CA"/>
        </w:rPr>
        <w:t>, ce qui comprendrait à la fois des intérêts postérieurs au jugement et des intérêts avant jugement.  [Je souligne.]</w:t>
      </w:r>
    </w:p>
    <w:p w:rsidR="00535732" w:rsidRPr="002C739B" w:rsidRDefault="00535732" w:rsidP="00535732">
      <w:pPr>
        <w:pStyle w:val="Citation-AltC"/>
        <w:ind w:hanging="1166"/>
        <w:contextualSpacing w:val="0"/>
        <w:rPr>
          <w:lang w:val="fr-CA"/>
        </w:rPr>
      </w:pPr>
      <w:r w:rsidRPr="002C739B">
        <w:rPr>
          <w:lang w:val="fr-CA"/>
        </w:rPr>
        <w:t>(</w:t>
      </w:r>
      <w:r w:rsidRPr="002C739B">
        <w:rPr>
          <w:i/>
          <w:lang w:val="fr-CA"/>
        </w:rPr>
        <w:t>Report on Arbitration</w:t>
      </w:r>
      <w:r w:rsidRPr="002C739B">
        <w:rPr>
          <w:lang w:val="fr-CA"/>
        </w:rPr>
        <w:t>, p. 51)</w:t>
      </w:r>
    </w:p>
    <w:p w:rsidR="00535732" w:rsidRPr="002C739B" w:rsidRDefault="00535732" w:rsidP="00535732">
      <w:pPr>
        <w:pStyle w:val="ContinueParaSuitedupar-AltP"/>
        <w:rPr>
          <w:rFonts w:cs="Times New Roman"/>
          <w:lang w:val="fr-CA"/>
        </w:rPr>
      </w:pPr>
      <w:r w:rsidRPr="002C739B">
        <w:rPr>
          <w:rFonts w:cs="Times New Roman"/>
          <w:lang w:val="fr-CA"/>
        </w:rPr>
        <w:lastRenderedPageBreak/>
        <w:t>Comme je l</w:t>
      </w:r>
      <w:r>
        <w:rPr>
          <w:rFonts w:cs="Times New Roman"/>
          <w:lang w:val="fr-CA"/>
        </w:rPr>
        <w:t>’</w:t>
      </w:r>
      <w:r w:rsidRPr="002C739B">
        <w:rPr>
          <w:rFonts w:cs="Times New Roman"/>
          <w:lang w:val="fr-CA"/>
        </w:rPr>
        <w:t xml:space="preserve">ai expliqué précédemment, la </w:t>
      </w:r>
      <w:r w:rsidRPr="002C739B">
        <w:rPr>
          <w:rFonts w:cs="Times New Roman"/>
          <w:i/>
          <w:lang w:val="fr-CA"/>
        </w:rPr>
        <w:t>COIA</w:t>
      </w:r>
      <w:r w:rsidRPr="002C739B">
        <w:rPr>
          <w:rFonts w:cs="Times New Roman"/>
          <w:lang w:val="fr-CA"/>
        </w:rPr>
        <w:t xml:space="preserve"> précise que les condamnations pécuniaires prononcées par les cours de justice de la Colombie</w:t>
      </w:r>
      <w:r w:rsidRPr="002C739B">
        <w:rPr>
          <w:rFonts w:cs="Times New Roman"/>
          <w:lang w:val="fr-CA"/>
        </w:rPr>
        <w:noBreakHyphen/>
        <w:t>Britannique sont majorées d</w:t>
      </w:r>
      <w:r>
        <w:rPr>
          <w:rFonts w:cs="Times New Roman"/>
          <w:lang w:val="fr-CA"/>
        </w:rPr>
        <w:t>’</w:t>
      </w:r>
      <w:r w:rsidRPr="002C739B">
        <w:rPr>
          <w:rFonts w:cs="Times New Roman"/>
          <w:lang w:val="fr-CA"/>
        </w:rPr>
        <w:t>intérêts simples, tant avant le jugement que postérieurement à celui</w:t>
      </w:r>
      <w:r w:rsidRPr="002C739B">
        <w:rPr>
          <w:rFonts w:cs="Times New Roman"/>
          <w:lang w:val="fr-CA"/>
        </w:rPr>
        <w:noBreakHyphen/>
        <w:t>ci.  Si les sentences arbitrales doivent porter intérêts de la même manière qu</w:t>
      </w:r>
      <w:r>
        <w:rPr>
          <w:rFonts w:cs="Times New Roman"/>
          <w:lang w:val="fr-CA"/>
        </w:rPr>
        <w:t>’</w:t>
      </w:r>
      <w:r w:rsidRPr="002C739B">
        <w:rPr>
          <w:rFonts w:cs="Times New Roman"/>
          <w:lang w:val="fr-CA"/>
        </w:rPr>
        <w:t>une somme due en vertu d</w:t>
      </w:r>
      <w:r>
        <w:rPr>
          <w:rFonts w:cs="Times New Roman"/>
          <w:lang w:val="fr-CA"/>
        </w:rPr>
        <w:t>’</w:t>
      </w:r>
      <w:r w:rsidRPr="002C739B">
        <w:rPr>
          <w:rFonts w:cs="Times New Roman"/>
          <w:lang w:val="fr-CA"/>
        </w:rPr>
        <w:t>un jugement — solution qu</w:t>
      </w:r>
      <w:r>
        <w:rPr>
          <w:rFonts w:cs="Times New Roman"/>
          <w:lang w:val="fr-CA"/>
        </w:rPr>
        <w:t>’</w:t>
      </w:r>
      <w:r w:rsidRPr="002C739B">
        <w:rPr>
          <w:rFonts w:cs="Times New Roman"/>
          <w:lang w:val="fr-CA"/>
        </w:rPr>
        <w:t>a recommandée la commission —, la somme dont une sentence arbitrale ordonne le paiement doit donc elle aussi être majorée d</w:t>
      </w:r>
      <w:r>
        <w:rPr>
          <w:rFonts w:cs="Times New Roman"/>
          <w:lang w:val="fr-CA"/>
        </w:rPr>
        <w:t>’</w:t>
      </w:r>
      <w:r w:rsidRPr="002C739B">
        <w:rPr>
          <w:rFonts w:cs="Times New Roman"/>
          <w:lang w:val="fr-CA"/>
        </w:rPr>
        <w:t>intérêts simples, tant avant la sentence que postérieurement à celle</w:t>
      </w:r>
      <w:r w:rsidRPr="002C739B">
        <w:rPr>
          <w:rFonts w:cs="Times New Roman"/>
          <w:lang w:val="fr-CA"/>
        </w:rPr>
        <w:noBreakHyphen/>
        <w:t xml:space="preserve">ci. </w:t>
      </w:r>
    </w:p>
    <w:p w:rsidR="00535732" w:rsidRPr="002C739B" w:rsidRDefault="00535732" w:rsidP="00535732">
      <w:pPr>
        <w:pStyle w:val="ParaNoNdepar-AltN"/>
        <w:rPr>
          <w:rFonts w:cs="Times New Roman"/>
          <w:lang w:val="fr-CA"/>
        </w:rPr>
      </w:pPr>
      <w:r w:rsidRPr="002C739B">
        <w:rPr>
          <w:rFonts w:cs="Times New Roman"/>
          <w:lang w:val="fr-CA"/>
        </w:rPr>
        <w:t>La recommandation de la commission était motivée par la crainte que, en l</w:t>
      </w:r>
      <w:r>
        <w:rPr>
          <w:rFonts w:cs="Times New Roman"/>
          <w:lang w:val="fr-CA"/>
        </w:rPr>
        <w:t>’</w:t>
      </w:r>
      <w:r w:rsidRPr="002C739B">
        <w:rPr>
          <w:rFonts w:cs="Times New Roman"/>
          <w:lang w:val="fr-CA"/>
        </w:rPr>
        <w:t>absence dans la loi pertinente de pouvoir autorisant les arbitres agissant sous le régime de cette loi à accorder des intérêts, ces derniers ne seraient peut</w:t>
      </w:r>
      <w:r w:rsidRPr="002C739B">
        <w:rPr>
          <w:rFonts w:cs="Times New Roman"/>
          <w:lang w:val="fr-CA"/>
        </w:rPr>
        <w:noBreakHyphen/>
        <w:t>être pas habilités à ordonner le paiement d</w:t>
      </w:r>
      <w:r>
        <w:rPr>
          <w:rFonts w:cs="Times New Roman"/>
          <w:lang w:val="fr-CA"/>
        </w:rPr>
        <w:t>’</w:t>
      </w:r>
      <w:r w:rsidRPr="002C739B">
        <w:rPr>
          <w:rFonts w:cs="Times New Roman"/>
          <w:lang w:val="fr-CA"/>
        </w:rPr>
        <w:t xml:space="preserve">intérêts : </w:t>
      </w:r>
      <w:r w:rsidRPr="002C739B">
        <w:rPr>
          <w:rFonts w:cs="Times New Roman"/>
          <w:i/>
          <w:lang w:val="fr-CA"/>
        </w:rPr>
        <w:t>Report on Arbitration</w:t>
      </w:r>
      <w:r w:rsidRPr="002C739B">
        <w:rPr>
          <w:rFonts w:cs="Times New Roman"/>
          <w:lang w:val="fr-CA"/>
        </w:rPr>
        <w:t>, p. 50.  Au soutien de ses recommandations, la commission a proposé une loi type sur l</w:t>
      </w:r>
      <w:r>
        <w:rPr>
          <w:rFonts w:cs="Times New Roman"/>
          <w:lang w:val="fr-CA"/>
        </w:rPr>
        <w:t>’</w:t>
      </w:r>
      <w:r w:rsidRPr="002C739B">
        <w:rPr>
          <w:rFonts w:cs="Times New Roman"/>
          <w:lang w:val="fr-CA"/>
        </w:rPr>
        <w:t>arbitrage.  Cette loi type comprenait une disposition pratiquement identique à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Dans les notes accompagnant l</w:t>
      </w:r>
      <w:r>
        <w:rPr>
          <w:rFonts w:cs="Times New Roman"/>
          <w:lang w:val="fr-CA"/>
        </w:rPr>
        <w:t>’</w:t>
      </w:r>
      <w:r w:rsidRPr="002C739B">
        <w:rPr>
          <w:rFonts w:cs="Times New Roman"/>
          <w:lang w:val="fr-CA"/>
        </w:rPr>
        <w:t xml:space="preserve">article proposé sur les intérêts, la </w:t>
      </w:r>
      <w:r>
        <w:rPr>
          <w:rFonts w:cs="Times New Roman"/>
          <w:lang w:val="fr-CA"/>
        </w:rPr>
        <w:t>c</w:t>
      </w:r>
      <w:r w:rsidRPr="002C739B">
        <w:rPr>
          <w:rFonts w:cs="Times New Roman"/>
          <w:lang w:val="fr-CA"/>
        </w:rPr>
        <w:t>ommission a affirmé que cette disposition visait à donner effet à la recommandation suggérant de suivre, en matière d</w:t>
      </w:r>
      <w:r>
        <w:rPr>
          <w:rFonts w:cs="Times New Roman"/>
          <w:lang w:val="fr-CA"/>
        </w:rPr>
        <w:t>’</w:t>
      </w:r>
      <w:r w:rsidRPr="002C739B">
        <w:rPr>
          <w:rFonts w:cs="Times New Roman"/>
          <w:lang w:val="fr-CA"/>
        </w:rPr>
        <w:t>intérêts sur les sommes accordées par arbitrage, la règle applicable aux intérêts sur les sommes accordées par jugement : p. 51.  En conséquence, il apparaît que, en édictant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la législature a adopté la recommandation de la commission selon laquelle les décisions judiciaires et les sentences arbitrales devaient être considérées sur un pied d</w:t>
      </w:r>
      <w:r>
        <w:rPr>
          <w:rFonts w:cs="Times New Roman"/>
          <w:lang w:val="fr-CA"/>
        </w:rPr>
        <w:t>’</w:t>
      </w:r>
      <w:r w:rsidRPr="002C739B">
        <w:rPr>
          <w:rFonts w:cs="Times New Roman"/>
          <w:lang w:val="fr-CA"/>
        </w:rPr>
        <w:t xml:space="preserve">égalité relativement aux intérêts prévus par la </w:t>
      </w:r>
      <w:r w:rsidRPr="002C739B">
        <w:rPr>
          <w:rFonts w:cs="Times New Roman"/>
          <w:i/>
          <w:lang w:val="fr-CA"/>
        </w:rPr>
        <w:t>COIA</w:t>
      </w:r>
      <w:r w:rsidRPr="002C739B">
        <w:rPr>
          <w:rFonts w:cs="Times New Roman"/>
          <w:lang w:val="fr-CA"/>
        </w:rPr>
        <w:t xml:space="preserve">. </w:t>
      </w:r>
    </w:p>
    <w:p w:rsidR="00535732" w:rsidRPr="002C739B" w:rsidRDefault="00535732" w:rsidP="00535732">
      <w:pPr>
        <w:pStyle w:val="ParaNoNdepar-AltN"/>
        <w:rPr>
          <w:rFonts w:cs="Times New Roman"/>
          <w:lang w:val="fr-CA"/>
        </w:rPr>
      </w:pPr>
      <w:r w:rsidRPr="002C739B">
        <w:rPr>
          <w:rFonts w:cs="Times New Roman"/>
          <w:lang w:val="fr-CA"/>
        </w:rPr>
        <w:lastRenderedPageBreak/>
        <w:t>Compte tenu du sens ordinaire de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et de son historique législatif, cette disposition a pour effet d</w:t>
      </w:r>
      <w:r>
        <w:rPr>
          <w:rFonts w:cs="Times New Roman"/>
          <w:lang w:val="fr-CA"/>
        </w:rPr>
        <w:t>’</w:t>
      </w:r>
      <w:r w:rsidRPr="002C739B">
        <w:rPr>
          <w:rFonts w:cs="Times New Roman"/>
          <w:lang w:val="fr-CA"/>
        </w:rPr>
        <w:t xml:space="preserve">obliger les arbitres à appliquer les dispositions de la </w:t>
      </w:r>
      <w:r w:rsidRPr="002C739B">
        <w:rPr>
          <w:rFonts w:cs="Times New Roman"/>
          <w:i/>
          <w:lang w:val="fr-CA"/>
        </w:rPr>
        <w:t>COIA</w:t>
      </w:r>
      <w:r w:rsidRPr="002C739B">
        <w:rPr>
          <w:rFonts w:cs="Times New Roman"/>
          <w:lang w:val="fr-CA"/>
        </w:rPr>
        <w:t>.  Sous réserve des exceptions mentionnées aux al. 2(a), (b)</w:t>
      </w:r>
      <w:r w:rsidR="005B3131">
        <w:rPr>
          <w:rFonts w:cs="Times New Roman"/>
          <w:lang w:val="fr-CA"/>
        </w:rPr>
        <w:t>,</w:t>
      </w:r>
      <w:r w:rsidRPr="002C739B">
        <w:rPr>
          <w:rFonts w:cs="Times New Roman"/>
          <w:lang w:val="fr-CA"/>
        </w:rPr>
        <w:t xml:space="preserve"> (d) et (e) de la </w:t>
      </w:r>
      <w:r w:rsidRPr="002C739B">
        <w:rPr>
          <w:rFonts w:cs="Times New Roman"/>
          <w:i/>
          <w:lang w:val="fr-CA"/>
        </w:rPr>
        <w:t>COIA</w:t>
      </w:r>
      <w:r w:rsidRPr="002C739B">
        <w:rPr>
          <w:rFonts w:cs="Times New Roman"/>
          <w:lang w:val="fr-CA"/>
        </w:rPr>
        <w:t xml:space="preserve">, les arbitres qui agissent en vertu de la </w:t>
      </w:r>
      <w:r w:rsidRPr="002C739B">
        <w:rPr>
          <w:rFonts w:cs="Times New Roman"/>
          <w:i/>
          <w:lang w:val="fr-CA"/>
        </w:rPr>
        <w:t>CAA</w:t>
      </w:r>
      <w:r w:rsidRPr="002C739B">
        <w:rPr>
          <w:rFonts w:cs="Times New Roman"/>
          <w:lang w:val="fr-CA"/>
        </w:rPr>
        <w:t xml:space="preserve"> ne peuvent accorder des intérêts composés sur la somme dont une sentence ordonne le paiement, étant donné que le pouvoir d</w:t>
      </w:r>
      <w:r>
        <w:rPr>
          <w:rFonts w:cs="Times New Roman"/>
          <w:lang w:val="fr-CA"/>
        </w:rPr>
        <w:t>’</w:t>
      </w:r>
      <w:r w:rsidRPr="002C739B">
        <w:rPr>
          <w:rFonts w:cs="Times New Roman"/>
          <w:lang w:val="fr-CA"/>
        </w:rPr>
        <w:t xml:space="preserve">accorder des intérêts est limité par la </w:t>
      </w:r>
      <w:r w:rsidRPr="002C739B">
        <w:rPr>
          <w:rFonts w:cs="Times New Roman"/>
          <w:i/>
          <w:lang w:val="fr-CA"/>
        </w:rPr>
        <w:t xml:space="preserve">COIA, </w:t>
      </w:r>
      <w:r w:rsidRPr="002C739B">
        <w:rPr>
          <w:rFonts w:cs="Times New Roman"/>
          <w:lang w:val="fr-CA"/>
        </w:rPr>
        <w:t>laquelle prévoit uniquement des intérêts simples pour les périodes antérieures et postérieures à la sentence.</w:t>
      </w:r>
    </w:p>
    <w:p w:rsidR="00535732" w:rsidRPr="002C739B" w:rsidRDefault="00535732" w:rsidP="00535732">
      <w:pPr>
        <w:pStyle w:val="TitleTitre-AltT"/>
        <w:tabs>
          <w:tab w:val="clear" w:pos="360"/>
          <w:tab w:val="left" w:pos="1170"/>
        </w:tabs>
        <w:ind w:left="1613" w:hanging="1800"/>
        <w:rPr>
          <w:rFonts w:cs="Times New Roman"/>
          <w:u w:val="single"/>
          <w:lang w:val="fr-CA"/>
        </w:rPr>
      </w:pPr>
      <w:r w:rsidRPr="002C739B">
        <w:rPr>
          <w:rFonts w:cs="Times New Roman"/>
          <w:lang w:val="fr-CA"/>
        </w:rPr>
        <w:tab/>
        <w:t>(2)</w:t>
      </w:r>
      <w:r w:rsidRPr="002C739B">
        <w:rPr>
          <w:rFonts w:cs="Times New Roman"/>
          <w:lang w:val="fr-CA"/>
        </w:rPr>
        <w:tab/>
      </w:r>
      <w:r w:rsidRPr="002C739B">
        <w:rPr>
          <w:rFonts w:cs="Times New Roman"/>
          <w:u w:val="single"/>
          <w:lang w:val="fr-CA"/>
        </w:rPr>
        <w:t>L</w:t>
      </w:r>
      <w:r>
        <w:rPr>
          <w:rFonts w:cs="Times New Roman"/>
          <w:u w:val="single"/>
          <w:lang w:val="fr-CA"/>
        </w:rPr>
        <w:t>’</w:t>
      </w:r>
      <w:r w:rsidRPr="002C739B">
        <w:rPr>
          <w:rFonts w:cs="Times New Roman"/>
          <w:u w:val="single"/>
          <w:lang w:val="fr-CA"/>
        </w:rPr>
        <w:t>interprétation de l</w:t>
      </w:r>
      <w:r>
        <w:rPr>
          <w:rFonts w:cs="Times New Roman"/>
          <w:u w:val="single"/>
          <w:lang w:val="fr-CA"/>
        </w:rPr>
        <w:t>’</w:t>
      </w:r>
      <w:r w:rsidRPr="002C739B">
        <w:rPr>
          <w:rFonts w:cs="Times New Roman"/>
          <w:u w:val="single"/>
          <w:lang w:val="fr-CA"/>
        </w:rPr>
        <w:t xml:space="preserve">article 28 proposée par Teal </w:t>
      </w:r>
    </w:p>
    <w:p w:rsidR="00535732" w:rsidRPr="002C739B" w:rsidRDefault="00535732" w:rsidP="00535732">
      <w:pPr>
        <w:pStyle w:val="ParaNoNdepar-AltN"/>
        <w:rPr>
          <w:rFonts w:cs="Times New Roman"/>
          <w:lang w:val="fr-CA"/>
        </w:rPr>
      </w:pPr>
      <w:r w:rsidRPr="002C739B">
        <w:rPr>
          <w:rFonts w:cs="Times New Roman"/>
          <w:lang w:val="fr-CA"/>
        </w:rPr>
        <w:t>Teal plaide qu</w:t>
      </w:r>
      <w:r>
        <w:rPr>
          <w:rFonts w:cs="Times New Roman"/>
          <w:lang w:val="fr-CA"/>
        </w:rPr>
        <w:t>’</w:t>
      </w:r>
      <w:r w:rsidRPr="002C739B">
        <w:rPr>
          <w:rFonts w:cs="Times New Roman"/>
          <w:lang w:val="fr-CA"/>
        </w:rPr>
        <w:t>il est possible pour les arbitres d</w:t>
      </w:r>
      <w:r>
        <w:rPr>
          <w:rFonts w:cs="Times New Roman"/>
          <w:lang w:val="fr-CA"/>
        </w:rPr>
        <w:t>’</w:t>
      </w:r>
      <w:r w:rsidRPr="002C739B">
        <w:rPr>
          <w:rFonts w:cs="Times New Roman"/>
          <w:lang w:val="fr-CA"/>
        </w:rPr>
        <w:t xml:space="preserve">inclure des intérêts composés </w:t>
      </w:r>
      <w:r w:rsidRPr="002C739B">
        <w:rPr>
          <w:rFonts w:cs="Times New Roman"/>
          <w:i/>
          <w:lang w:val="fr-CA"/>
        </w:rPr>
        <w:t>en tant que partie intégrante de l</w:t>
      </w:r>
      <w:r>
        <w:rPr>
          <w:rFonts w:cs="Times New Roman"/>
          <w:i/>
          <w:lang w:val="fr-CA"/>
        </w:rPr>
        <w:t>’</w:t>
      </w:r>
      <w:r w:rsidRPr="002C739B">
        <w:rPr>
          <w:rFonts w:cs="Times New Roman"/>
          <w:i/>
          <w:lang w:val="fr-CA"/>
        </w:rPr>
        <w:t>indemnité</w:t>
      </w:r>
      <w:r w:rsidRPr="002C739B">
        <w:rPr>
          <w:rFonts w:cs="Times New Roman"/>
          <w:lang w:val="fr-CA"/>
        </w:rPr>
        <w:t xml:space="preserve"> plutôt que d</w:t>
      </w:r>
      <w:r>
        <w:rPr>
          <w:rFonts w:cs="Times New Roman"/>
          <w:lang w:val="fr-CA"/>
        </w:rPr>
        <w:t>’</w:t>
      </w:r>
      <w:r w:rsidRPr="002C739B">
        <w:rPr>
          <w:rFonts w:cs="Times New Roman"/>
          <w:lang w:val="fr-CA"/>
        </w:rPr>
        <w:t>accorder de tels intérêts en sus de celle</w:t>
      </w:r>
      <w:r w:rsidRPr="002C739B">
        <w:rPr>
          <w:rFonts w:cs="Times New Roman"/>
          <w:lang w:val="fr-CA"/>
        </w:rPr>
        <w:noBreakHyphen/>
        <w:t xml:space="preserve">ci.  En avançant cet argument, Teal adopte essentiellement le raisonnement formulé dans </w:t>
      </w:r>
      <w:r w:rsidRPr="002C739B">
        <w:rPr>
          <w:rFonts w:cs="Times New Roman"/>
          <w:i/>
          <w:lang w:val="fr-CA"/>
        </w:rPr>
        <w:t>McKechnie</w:t>
      </w:r>
      <w:r w:rsidRPr="002C739B">
        <w:rPr>
          <w:rFonts w:cs="Times New Roman"/>
          <w:lang w:val="fr-CA"/>
        </w:rPr>
        <w:t>.  Selon Teal, cette possibilité existe parce que les termes utilisés à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sont «</w:t>
      </w:r>
      <w:r w:rsidRPr="002C739B">
        <w:rPr>
          <w:rFonts w:cs="Times New Roman"/>
          <w:i/>
          <w:lang w:val="fr-CA"/>
        </w:rPr>
        <w:t> a sum directed to be paid by an award </w:t>
      </w:r>
      <w:r w:rsidRPr="002C739B">
        <w:rPr>
          <w:rFonts w:cs="Times New Roman"/>
          <w:lang w:val="fr-CA"/>
        </w:rPr>
        <w:t>» ([</w:t>
      </w:r>
      <w:r w:rsidRPr="002C739B">
        <w:rPr>
          <w:rFonts w:cs="Times New Roman"/>
          <w:smallCaps/>
          <w:lang w:val="fr-CA"/>
        </w:rPr>
        <w:t>traduction</w:t>
      </w:r>
      <w:r w:rsidRPr="002C739B">
        <w:rPr>
          <w:rFonts w:cs="Times New Roman"/>
          <w:lang w:val="fr-CA"/>
        </w:rPr>
        <w:t>] « </w:t>
      </w:r>
      <w:r>
        <w:rPr>
          <w:rFonts w:cs="Times New Roman"/>
          <w:lang w:val="fr-CA"/>
        </w:rPr>
        <w:t xml:space="preserve">la </w:t>
      </w:r>
      <w:r w:rsidRPr="002C739B">
        <w:rPr>
          <w:rFonts w:cs="Times New Roman"/>
          <w:lang w:val="fr-CA"/>
        </w:rPr>
        <w:t xml:space="preserve">somme dont </w:t>
      </w:r>
      <w:r>
        <w:rPr>
          <w:rFonts w:cs="Times New Roman"/>
          <w:lang w:val="fr-CA"/>
        </w:rPr>
        <w:t xml:space="preserve">le paiement est ordonné par une </w:t>
      </w:r>
      <w:r w:rsidRPr="002C739B">
        <w:rPr>
          <w:rFonts w:cs="Times New Roman"/>
          <w:lang w:val="fr-CA"/>
        </w:rPr>
        <w:t xml:space="preserve">sentence arbitrale »), et que la </w:t>
      </w:r>
      <w:r w:rsidRPr="002C739B">
        <w:rPr>
          <w:rFonts w:cs="Times New Roman"/>
          <w:i/>
          <w:lang w:val="fr-CA"/>
        </w:rPr>
        <w:t>CAA</w:t>
      </w:r>
      <w:r w:rsidRPr="002C739B">
        <w:rPr>
          <w:rFonts w:cs="Times New Roman"/>
          <w:lang w:val="fr-CA"/>
        </w:rPr>
        <w:t xml:space="preserve"> n</w:t>
      </w:r>
      <w:r>
        <w:rPr>
          <w:rFonts w:cs="Times New Roman"/>
          <w:lang w:val="fr-CA"/>
        </w:rPr>
        <w:t>’</w:t>
      </w:r>
      <w:r w:rsidRPr="002C739B">
        <w:rPr>
          <w:rFonts w:cs="Times New Roman"/>
          <w:lang w:val="fr-CA"/>
        </w:rPr>
        <w:t>empêche pas un arbitre d</w:t>
      </w:r>
      <w:r>
        <w:rPr>
          <w:rFonts w:cs="Times New Roman"/>
          <w:lang w:val="fr-CA"/>
        </w:rPr>
        <w:t>’</w:t>
      </w:r>
      <w:r w:rsidRPr="002C739B">
        <w:rPr>
          <w:rFonts w:cs="Times New Roman"/>
          <w:lang w:val="fr-CA"/>
        </w:rPr>
        <w:t>inclure des intérêts composés en tant que partie intégrante de cette somme.  Il s</w:t>
      </w:r>
      <w:r>
        <w:rPr>
          <w:rFonts w:cs="Times New Roman"/>
          <w:lang w:val="fr-CA"/>
        </w:rPr>
        <w:t>’</w:t>
      </w:r>
      <w:r w:rsidRPr="002C739B">
        <w:rPr>
          <w:rFonts w:cs="Times New Roman"/>
          <w:lang w:val="fr-CA"/>
        </w:rPr>
        <w:t>agit là de l</w:t>
      </w:r>
      <w:r>
        <w:rPr>
          <w:rFonts w:cs="Times New Roman"/>
          <w:lang w:val="fr-CA"/>
        </w:rPr>
        <w:t>’</w:t>
      </w:r>
      <w:r w:rsidRPr="002C739B">
        <w:rPr>
          <w:rFonts w:cs="Times New Roman"/>
          <w:lang w:val="fr-CA"/>
        </w:rPr>
        <w:t>interprétation qu</w:t>
      </w:r>
      <w:r>
        <w:rPr>
          <w:rFonts w:cs="Times New Roman"/>
          <w:lang w:val="fr-CA"/>
        </w:rPr>
        <w:t>’</w:t>
      </w:r>
      <w:r w:rsidRPr="002C739B">
        <w:rPr>
          <w:rFonts w:cs="Times New Roman"/>
          <w:lang w:val="fr-CA"/>
        </w:rPr>
        <w:t>a retenue la Cour d</w:t>
      </w:r>
      <w:r>
        <w:rPr>
          <w:rFonts w:cs="Times New Roman"/>
          <w:lang w:val="fr-CA"/>
        </w:rPr>
        <w:t>’</w:t>
      </w:r>
      <w:r w:rsidRPr="002C739B">
        <w:rPr>
          <w:rFonts w:cs="Times New Roman"/>
          <w:lang w:val="fr-CA"/>
        </w:rPr>
        <w:t>appel de la Colombie</w:t>
      </w:r>
      <w:r w:rsidRPr="002C739B">
        <w:rPr>
          <w:rFonts w:cs="Times New Roman"/>
          <w:lang w:val="fr-CA"/>
        </w:rPr>
        <w:noBreakHyphen/>
        <w:t xml:space="preserve">Britannique dans </w:t>
      </w:r>
      <w:r w:rsidRPr="002C739B">
        <w:rPr>
          <w:rFonts w:cs="Times New Roman"/>
          <w:i/>
          <w:lang w:val="fr-CA"/>
        </w:rPr>
        <w:t>McKechnie</w:t>
      </w:r>
      <w:r w:rsidRPr="002C739B">
        <w:rPr>
          <w:rFonts w:cs="Times New Roman"/>
          <w:lang w:val="fr-CA"/>
        </w:rPr>
        <w:t xml:space="preserve"> pour conclure que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n</w:t>
      </w:r>
      <w:r>
        <w:rPr>
          <w:rFonts w:cs="Times New Roman"/>
          <w:lang w:val="fr-CA"/>
        </w:rPr>
        <w:t>’</w:t>
      </w:r>
      <w:r w:rsidRPr="002C739B">
        <w:rPr>
          <w:rFonts w:cs="Times New Roman"/>
          <w:lang w:val="fr-CA"/>
        </w:rPr>
        <w:t>empêchait pas les arbitres d</w:t>
      </w:r>
      <w:r>
        <w:rPr>
          <w:rFonts w:cs="Times New Roman"/>
          <w:lang w:val="fr-CA"/>
        </w:rPr>
        <w:t>’</w:t>
      </w:r>
      <w:r w:rsidRPr="002C739B">
        <w:rPr>
          <w:rFonts w:cs="Times New Roman"/>
          <w:lang w:val="fr-CA"/>
        </w:rPr>
        <w:t xml:space="preserve">accorder une indemnité incluant des intérêts composés. </w:t>
      </w:r>
    </w:p>
    <w:p w:rsidR="00535732" w:rsidRPr="002C739B" w:rsidRDefault="00535732" w:rsidP="00535732">
      <w:pPr>
        <w:pStyle w:val="ParaNoNdepar-AltN"/>
        <w:rPr>
          <w:rFonts w:cs="Times New Roman"/>
          <w:lang w:val="fr-CA"/>
        </w:rPr>
      </w:pPr>
      <w:r w:rsidRPr="002C739B">
        <w:rPr>
          <w:rFonts w:cs="Times New Roman"/>
          <w:lang w:val="fr-CA"/>
        </w:rPr>
        <w:lastRenderedPageBreak/>
        <w:t xml:space="preserve">Je ne puis souscrire à cette interprétation de la </w:t>
      </w:r>
      <w:r w:rsidRPr="002C739B">
        <w:rPr>
          <w:rFonts w:cs="Times New Roman"/>
          <w:i/>
          <w:lang w:val="fr-CA"/>
        </w:rPr>
        <w:t>CAA</w:t>
      </w:r>
      <w:r w:rsidRPr="002C739B">
        <w:rPr>
          <w:rFonts w:cs="Times New Roman"/>
          <w:lang w:val="fr-CA"/>
        </w:rPr>
        <w:t>. L</w:t>
      </w:r>
      <w:r>
        <w:rPr>
          <w:rFonts w:cs="Times New Roman"/>
          <w:lang w:val="fr-CA"/>
        </w:rPr>
        <w:t>’</w:t>
      </w:r>
      <w:r w:rsidRPr="002C739B">
        <w:rPr>
          <w:rFonts w:cs="Times New Roman"/>
          <w:lang w:val="fr-CA"/>
        </w:rPr>
        <w:t xml:space="preserve">article 1 de la </w:t>
      </w:r>
      <w:r w:rsidRPr="002C739B">
        <w:rPr>
          <w:rFonts w:cs="Times New Roman"/>
          <w:i/>
          <w:lang w:val="fr-CA"/>
        </w:rPr>
        <w:t>COIA</w:t>
      </w:r>
      <w:r w:rsidRPr="002C739B">
        <w:rPr>
          <w:rFonts w:cs="Times New Roman"/>
          <w:lang w:val="fr-CA"/>
        </w:rPr>
        <w:t xml:space="preserve"> est formulé dans des termes analogues à ceux de l</w:t>
      </w:r>
      <w:r>
        <w:rPr>
          <w:rFonts w:cs="Times New Roman"/>
          <w:lang w:val="fr-CA"/>
        </w:rPr>
        <w:t>’</w:t>
      </w:r>
      <w:r w:rsidRPr="002C739B">
        <w:rPr>
          <w:rFonts w:cs="Times New Roman"/>
          <w:lang w:val="fr-CA"/>
        </w:rPr>
        <w:t xml:space="preserve">art. 28 : « . . . </w:t>
      </w:r>
      <w:r w:rsidRPr="002C739B">
        <w:rPr>
          <w:rFonts w:cs="Times New Roman"/>
          <w:i/>
          <w:lang w:val="fr-CA"/>
        </w:rPr>
        <w:t xml:space="preserve">a court must add to a pecuniary judgment an amount of interest calculated </w:t>
      </w:r>
      <w:r w:rsidRPr="002C739B">
        <w:rPr>
          <w:rFonts w:cs="Times New Roman"/>
          <w:i/>
          <w:u w:val="single"/>
          <w:lang w:val="fr-CA"/>
        </w:rPr>
        <w:t>on the amount ordered to be paid</w:t>
      </w:r>
      <w:r w:rsidRPr="002C739B">
        <w:rPr>
          <w:rFonts w:cs="Times New Roman"/>
          <w:lang w:val="fr-CA"/>
        </w:rPr>
        <w:t> » ([</w:t>
      </w:r>
      <w:r w:rsidRPr="002C739B">
        <w:rPr>
          <w:rFonts w:cs="Times New Roman"/>
          <w:smallCaps/>
          <w:lang w:val="fr-CA"/>
        </w:rPr>
        <w:t>traduction</w:t>
      </w:r>
      <w:r w:rsidRPr="002C739B">
        <w:rPr>
          <w:rFonts w:cs="Times New Roman"/>
          <w:lang w:val="fr-CA"/>
        </w:rPr>
        <w:t xml:space="preserve">] « la cour doit ajouter à une condamnation pécuniaire des intérêts calculés </w:t>
      </w:r>
      <w:r w:rsidRPr="002C739B">
        <w:rPr>
          <w:rFonts w:cs="Times New Roman"/>
          <w:u w:val="single"/>
          <w:lang w:val="fr-CA"/>
        </w:rPr>
        <w:t>sur le montant dont le paiement est ordonné</w:t>
      </w:r>
      <w:r w:rsidRPr="002C739B">
        <w:rPr>
          <w:rFonts w:cs="Times New Roman"/>
          <w:lang w:val="fr-CA"/>
        </w:rPr>
        <w:t> »).  Selon l</w:t>
      </w:r>
      <w:r>
        <w:rPr>
          <w:rFonts w:cs="Times New Roman"/>
          <w:lang w:val="fr-CA"/>
        </w:rPr>
        <w:t>’</w:t>
      </w:r>
      <w:r w:rsidRPr="002C739B">
        <w:rPr>
          <w:rFonts w:cs="Times New Roman"/>
          <w:lang w:val="fr-CA"/>
        </w:rPr>
        <w:t>interprétation qui a été donnée à l</w:t>
      </w:r>
      <w:r>
        <w:rPr>
          <w:rFonts w:cs="Times New Roman"/>
          <w:lang w:val="fr-CA"/>
        </w:rPr>
        <w:t>’</w:t>
      </w:r>
      <w:r w:rsidRPr="002C739B">
        <w:rPr>
          <w:rFonts w:cs="Times New Roman"/>
          <w:lang w:val="fr-CA"/>
        </w:rPr>
        <w:t>expression « </w:t>
      </w:r>
      <w:r w:rsidRPr="002C739B">
        <w:rPr>
          <w:rFonts w:cs="Times New Roman"/>
          <w:i/>
          <w:lang w:val="fr-CA"/>
        </w:rPr>
        <w:t>amount ordered to be paid</w:t>
      </w:r>
      <w:r w:rsidRPr="002C739B">
        <w:rPr>
          <w:rFonts w:cs="Times New Roman"/>
          <w:lang w:val="fr-CA"/>
        </w:rPr>
        <w:t xml:space="preserve"> » (« montant dont le paiement est ordonné ») employée dans la </w:t>
      </w:r>
      <w:r w:rsidRPr="002C739B">
        <w:rPr>
          <w:rFonts w:cs="Times New Roman"/>
          <w:i/>
          <w:lang w:val="fr-CA"/>
        </w:rPr>
        <w:t>COIA</w:t>
      </w:r>
      <w:r w:rsidRPr="002C739B">
        <w:rPr>
          <w:rFonts w:cs="Times New Roman"/>
          <w:lang w:val="fr-CA"/>
        </w:rPr>
        <w:t xml:space="preserve">, cette somme se limite uniquement au principal de la condamnation pécuniaire : </w:t>
      </w:r>
      <w:r w:rsidRPr="002C739B">
        <w:rPr>
          <w:rFonts w:cs="Times New Roman"/>
          <w:i/>
          <w:lang w:val="fr-CA"/>
        </w:rPr>
        <w:t>Hongkong Bank of Can. c. Touche Ross &amp; Co.</w:t>
      </w:r>
      <w:r w:rsidRPr="002C739B">
        <w:rPr>
          <w:rFonts w:cs="Times New Roman"/>
          <w:lang w:val="fr-CA"/>
        </w:rPr>
        <w:t xml:space="preserve"> (1989), 36 B.C.L.R. (2d) 381 (C.A.), p. 391. </w:t>
      </w:r>
    </w:p>
    <w:p w:rsidR="00535732" w:rsidRPr="002C739B" w:rsidRDefault="00535732" w:rsidP="00535732">
      <w:pPr>
        <w:pStyle w:val="ParaNoNdepar-AltN"/>
        <w:rPr>
          <w:rFonts w:cs="Times New Roman"/>
          <w:lang w:val="fr-CA"/>
        </w:rPr>
      </w:pPr>
      <w:r w:rsidRPr="002C739B">
        <w:rPr>
          <w:rFonts w:cs="Times New Roman"/>
          <w:lang w:val="fr-CA"/>
        </w:rPr>
        <w:t xml:space="preserve">Le libellé de la </w:t>
      </w:r>
      <w:r w:rsidRPr="002C739B">
        <w:rPr>
          <w:rFonts w:cs="Times New Roman"/>
          <w:i/>
          <w:lang w:val="fr-CA"/>
        </w:rPr>
        <w:t>COIA</w:t>
      </w:r>
      <w:r w:rsidRPr="002C739B">
        <w:rPr>
          <w:rFonts w:cs="Times New Roman"/>
          <w:lang w:val="fr-CA"/>
        </w:rPr>
        <w:t xml:space="preserve"> est très semblable à celui de la </w:t>
      </w:r>
      <w:r w:rsidRPr="002C739B">
        <w:rPr>
          <w:rFonts w:cs="Times New Roman"/>
          <w:i/>
          <w:lang w:val="fr-CA"/>
        </w:rPr>
        <w:t>CAA</w:t>
      </w:r>
      <w:r w:rsidRPr="002C739B">
        <w:rPr>
          <w:rFonts w:cs="Times New Roman"/>
          <w:lang w:val="fr-CA"/>
        </w:rPr>
        <w:t> : « </w:t>
      </w:r>
      <w:r w:rsidRPr="002C739B">
        <w:rPr>
          <w:rFonts w:cs="Times New Roman"/>
          <w:i/>
          <w:u w:val="single"/>
          <w:lang w:val="fr-CA"/>
        </w:rPr>
        <w:t>amount ordered to be paid</w:t>
      </w:r>
      <w:r w:rsidRPr="002C739B">
        <w:rPr>
          <w:rFonts w:cs="Times New Roman"/>
          <w:i/>
          <w:lang w:val="fr-CA"/>
        </w:rPr>
        <w:t> </w:t>
      </w:r>
      <w:r w:rsidRPr="002C739B">
        <w:rPr>
          <w:rFonts w:cs="Times New Roman"/>
          <w:lang w:val="fr-CA"/>
        </w:rPr>
        <w:t>» (</w:t>
      </w:r>
      <w:r w:rsidRPr="002C739B">
        <w:rPr>
          <w:rFonts w:cs="Times New Roman"/>
          <w:i/>
          <w:lang w:val="fr-CA"/>
        </w:rPr>
        <w:t>COIA</w:t>
      </w:r>
      <w:r w:rsidRPr="002C739B">
        <w:rPr>
          <w:rFonts w:cs="Times New Roman"/>
          <w:lang w:val="fr-CA"/>
        </w:rPr>
        <w:t>) et « </w:t>
      </w:r>
      <w:r w:rsidRPr="002C739B">
        <w:rPr>
          <w:rFonts w:cs="Times New Roman"/>
          <w:i/>
          <w:lang w:val="fr-CA"/>
        </w:rPr>
        <w:t>sum directed to be paid</w:t>
      </w:r>
      <w:r w:rsidRPr="002C739B">
        <w:rPr>
          <w:rFonts w:cs="Times New Roman"/>
          <w:lang w:val="fr-CA"/>
        </w:rPr>
        <w:t> » (</w:t>
      </w:r>
      <w:r w:rsidRPr="002C739B">
        <w:rPr>
          <w:rFonts w:cs="Times New Roman"/>
          <w:i/>
          <w:lang w:val="fr-CA"/>
        </w:rPr>
        <w:t>CAA</w:t>
      </w:r>
      <w:r w:rsidRPr="002C739B">
        <w:rPr>
          <w:rFonts w:cs="Times New Roman"/>
          <w:lang w:val="fr-CA"/>
        </w:rPr>
        <w:t>).  Si les mots « </w:t>
      </w:r>
      <w:r w:rsidRPr="002C739B">
        <w:rPr>
          <w:rFonts w:cs="Times New Roman"/>
          <w:i/>
          <w:lang w:val="fr-CA"/>
        </w:rPr>
        <w:t>a sum directed to be paid</w:t>
      </w:r>
      <w:r w:rsidRPr="002C739B">
        <w:rPr>
          <w:rFonts w:cs="Times New Roman"/>
          <w:lang w:val="fr-CA"/>
        </w:rPr>
        <w:t> » utilisés à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permettaient d</w:t>
      </w:r>
      <w:r>
        <w:rPr>
          <w:rFonts w:cs="Times New Roman"/>
          <w:lang w:val="fr-CA"/>
        </w:rPr>
        <w:t>’</w:t>
      </w:r>
      <w:r w:rsidRPr="002C739B">
        <w:rPr>
          <w:rFonts w:cs="Times New Roman"/>
          <w:lang w:val="fr-CA"/>
        </w:rPr>
        <w:t>inclure des intérêts dans l</w:t>
      </w:r>
      <w:r>
        <w:rPr>
          <w:rFonts w:cs="Times New Roman"/>
          <w:lang w:val="fr-CA"/>
        </w:rPr>
        <w:t>’</w:t>
      </w:r>
      <w:r w:rsidRPr="002C739B">
        <w:rPr>
          <w:rFonts w:cs="Times New Roman"/>
          <w:lang w:val="fr-CA"/>
        </w:rPr>
        <w:t>indemnité originale, une telle interprétation devrait donc apparemment s</w:t>
      </w:r>
      <w:r>
        <w:rPr>
          <w:rFonts w:cs="Times New Roman"/>
          <w:lang w:val="fr-CA"/>
        </w:rPr>
        <w:t>’</w:t>
      </w:r>
      <w:r w:rsidRPr="002C739B">
        <w:rPr>
          <w:rFonts w:cs="Times New Roman"/>
          <w:lang w:val="fr-CA"/>
        </w:rPr>
        <w:t xml:space="preserve">appliquer au par. 1(1) de la </w:t>
      </w:r>
      <w:r w:rsidRPr="002C739B">
        <w:rPr>
          <w:rFonts w:cs="Times New Roman"/>
          <w:i/>
          <w:lang w:val="fr-CA"/>
        </w:rPr>
        <w:t>COIA</w:t>
      </w:r>
      <w:r w:rsidRPr="002C739B">
        <w:rPr>
          <w:rFonts w:cs="Times New Roman"/>
          <w:lang w:val="fr-CA"/>
        </w:rPr>
        <w:t>, vu la similitude des libellés.  Il s</w:t>
      </w:r>
      <w:r>
        <w:rPr>
          <w:rFonts w:cs="Times New Roman"/>
          <w:lang w:val="fr-CA"/>
        </w:rPr>
        <w:t>’</w:t>
      </w:r>
      <w:r w:rsidRPr="002C739B">
        <w:rPr>
          <w:rFonts w:cs="Times New Roman"/>
          <w:lang w:val="fr-CA"/>
        </w:rPr>
        <w:t>ensuivrait que les tribunaux pourraient inclure des intérêts, y compris des intérêts composés, dans la condamnation pécuniaire.  Cette interprétation contrecarrerait l</w:t>
      </w:r>
      <w:r>
        <w:rPr>
          <w:rFonts w:cs="Times New Roman"/>
          <w:lang w:val="fr-CA"/>
        </w:rPr>
        <w:t>’</w:t>
      </w:r>
      <w:r w:rsidRPr="002C739B">
        <w:rPr>
          <w:rFonts w:cs="Times New Roman"/>
          <w:lang w:val="fr-CA"/>
        </w:rPr>
        <w:t xml:space="preserve">objet des dispositions de la </w:t>
      </w:r>
      <w:r w:rsidRPr="002C739B">
        <w:rPr>
          <w:rFonts w:cs="Times New Roman"/>
          <w:i/>
          <w:lang w:val="fr-CA"/>
        </w:rPr>
        <w:t>COIA</w:t>
      </w:r>
      <w:r w:rsidRPr="002C739B">
        <w:rPr>
          <w:rFonts w:cs="Times New Roman"/>
          <w:lang w:val="fr-CA"/>
        </w:rPr>
        <w:t xml:space="preserve"> relatives aux intérêts avant jugement, puisqu</w:t>
      </w:r>
      <w:r>
        <w:rPr>
          <w:rFonts w:cs="Times New Roman"/>
          <w:lang w:val="fr-CA"/>
        </w:rPr>
        <w:t>’</w:t>
      </w:r>
      <w:r w:rsidRPr="002C739B">
        <w:rPr>
          <w:rFonts w:cs="Times New Roman"/>
          <w:lang w:val="fr-CA"/>
        </w:rPr>
        <w:t>elle permettrait aux décideurs d</w:t>
      </w:r>
      <w:r>
        <w:rPr>
          <w:rFonts w:cs="Times New Roman"/>
          <w:lang w:val="fr-CA"/>
        </w:rPr>
        <w:t>’</w:t>
      </w:r>
      <w:r w:rsidRPr="002C739B">
        <w:rPr>
          <w:rFonts w:cs="Times New Roman"/>
          <w:lang w:val="fr-CA"/>
        </w:rPr>
        <w:t>accorder des intérêts composés malgré le fait que l</w:t>
      </w:r>
      <w:r>
        <w:rPr>
          <w:rFonts w:cs="Times New Roman"/>
          <w:lang w:val="fr-CA"/>
        </w:rPr>
        <w:t>’</w:t>
      </w:r>
      <w:r w:rsidRPr="002C739B">
        <w:rPr>
          <w:rFonts w:cs="Times New Roman"/>
          <w:lang w:val="fr-CA"/>
        </w:rPr>
        <w:t>al. 2(c) interdit d</w:t>
      </w:r>
      <w:r>
        <w:rPr>
          <w:rFonts w:cs="Times New Roman"/>
          <w:lang w:val="fr-CA"/>
        </w:rPr>
        <w:t>’</w:t>
      </w:r>
      <w:r w:rsidRPr="002C739B">
        <w:rPr>
          <w:rFonts w:cs="Times New Roman"/>
          <w:lang w:val="fr-CA"/>
        </w:rPr>
        <w:t>attribuer des intérêts sur l</w:t>
      </w:r>
      <w:r>
        <w:rPr>
          <w:rFonts w:cs="Times New Roman"/>
          <w:lang w:val="fr-CA"/>
        </w:rPr>
        <w:t>’</w:t>
      </w:r>
      <w:r w:rsidRPr="002C739B">
        <w:rPr>
          <w:rFonts w:cs="Times New Roman"/>
          <w:lang w:val="fr-CA"/>
        </w:rPr>
        <w:t xml:space="preserve">intérêt. </w:t>
      </w:r>
    </w:p>
    <w:p w:rsidR="00535732" w:rsidRPr="002C739B" w:rsidRDefault="00535732" w:rsidP="00535732">
      <w:pPr>
        <w:pStyle w:val="ParaNoNdepar-AltN"/>
        <w:rPr>
          <w:rFonts w:cs="Times New Roman"/>
          <w:lang w:val="fr-CA"/>
        </w:rPr>
      </w:pPr>
      <w:r w:rsidRPr="002C739B">
        <w:rPr>
          <w:rFonts w:cs="Times New Roman"/>
          <w:lang w:val="fr-CA"/>
        </w:rPr>
        <w:t xml:space="preserve">Si des intérêts pouvaient être inclus dans la somme dont le paiement est ordonné par une sentence arbitrale, il y aurait double indemnisation au titre des </w:t>
      </w:r>
      <w:r w:rsidRPr="002C739B">
        <w:rPr>
          <w:rFonts w:cs="Times New Roman"/>
          <w:lang w:val="fr-CA"/>
        </w:rPr>
        <w:lastRenderedPageBreak/>
        <w:t>intérêts, parce que l</w:t>
      </w:r>
      <w:r>
        <w:rPr>
          <w:rFonts w:cs="Times New Roman"/>
          <w:lang w:val="fr-CA"/>
        </w:rPr>
        <w:t>’</w:t>
      </w:r>
      <w:r w:rsidRPr="002C739B">
        <w:rPr>
          <w:rFonts w:cs="Times New Roman"/>
          <w:lang w:val="fr-CA"/>
        </w:rPr>
        <w:t>application de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aurait alors pour effet d</w:t>
      </w:r>
      <w:r>
        <w:rPr>
          <w:rFonts w:cs="Times New Roman"/>
          <w:lang w:val="fr-CA"/>
        </w:rPr>
        <w:t>’</w:t>
      </w:r>
      <w:r w:rsidRPr="002C739B">
        <w:rPr>
          <w:rFonts w:cs="Times New Roman"/>
          <w:lang w:val="fr-CA"/>
        </w:rPr>
        <w:t>ajouter des intérêts à une indemnité en incluant déjà.  Bien que l</w:t>
      </w:r>
      <w:r>
        <w:rPr>
          <w:rFonts w:cs="Times New Roman"/>
          <w:lang w:val="fr-CA"/>
        </w:rPr>
        <w:t>’</w:t>
      </w:r>
      <w:r w:rsidRPr="002C739B">
        <w:rPr>
          <w:rFonts w:cs="Times New Roman"/>
          <w:lang w:val="fr-CA"/>
        </w:rPr>
        <w:t xml:space="preserve">al. 2(c) de la </w:t>
      </w:r>
      <w:r w:rsidRPr="002C739B">
        <w:rPr>
          <w:rFonts w:cs="Times New Roman"/>
          <w:i/>
          <w:lang w:val="fr-CA"/>
        </w:rPr>
        <w:t>COIA</w:t>
      </w:r>
      <w:r w:rsidRPr="002C739B">
        <w:rPr>
          <w:rFonts w:cs="Times New Roman"/>
          <w:lang w:val="fr-CA"/>
        </w:rPr>
        <w:t xml:space="preserve"> empêcherait que l</w:t>
      </w:r>
      <w:r>
        <w:rPr>
          <w:rFonts w:cs="Times New Roman"/>
          <w:lang w:val="fr-CA"/>
        </w:rPr>
        <w:t>’</w:t>
      </w:r>
      <w:r w:rsidRPr="002C739B">
        <w:rPr>
          <w:rFonts w:cs="Times New Roman"/>
          <w:lang w:val="fr-CA"/>
        </w:rPr>
        <w:t>on accorde des intérêts en sus de la portion intérêts de l</w:t>
      </w:r>
      <w:r>
        <w:rPr>
          <w:rFonts w:cs="Times New Roman"/>
          <w:lang w:val="fr-CA"/>
        </w:rPr>
        <w:t>’</w:t>
      </w:r>
      <w:r w:rsidRPr="002C739B">
        <w:rPr>
          <w:rFonts w:cs="Times New Roman"/>
          <w:lang w:val="fr-CA"/>
        </w:rPr>
        <w:t>indemnité, il y aurait quand même double indemnisation du fait que des intérêts seraient payables deux fois sur la portion principale de l</w:t>
      </w:r>
      <w:r>
        <w:rPr>
          <w:rFonts w:cs="Times New Roman"/>
          <w:lang w:val="fr-CA"/>
        </w:rPr>
        <w:t>’</w:t>
      </w:r>
      <w:r w:rsidRPr="002C739B">
        <w:rPr>
          <w:rFonts w:cs="Times New Roman"/>
          <w:lang w:val="fr-CA"/>
        </w:rPr>
        <w:t>indemnité : une fois à la suite de l</w:t>
      </w:r>
      <w:r>
        <w:rPr>
          <w:rFonts w:cs="Times New Roman"/>
          <w:lang w:val="fr-CA"/>
        </w:rPr>
        <w:t>’</w:t>
      </w:r>
      <w:r w:rsidRPr="002C739B">
        <w:rPr>
          <w:rFonts w:cs="Times New Roman"/>
          <w:lang w:val="fr-CA"/>
        </w:rPr>
        <w:t xml:space="preserve">inclusion des intérêts </w:t>
      </w:r>
      <w:r w:rsidRPr="002C739B">
        <w:rPr>
          <w:rFonts w:cs="Times New Roman"/>
          <w:i/>
          <w:lang w:val="fr-CA"/>
        </w:rPr>
        <w:t>dans l</w:t>
      </w:r>
      <w:r>
        <w:rPr>
          <w:rFonts w:cs="Times New Roman"/>
          <w:i/>
          <w:lang w:val="fr-CA"/>
        </w:rPr>
        <w:t>’</w:t>
      </w:r>
      <w:r w:rsidRPr="002C739B">
        <w:rPr>
          <w:rFonts w:cs="Times New Roman"/>
          <w:i/>
          <w:lang w:val="fr-CA"/>
        </w:rPr>
        <w:t>indemnité</w:t>
      </w:r>
      <w:r w:rsidRPr="002C739B">
        <w:rPr>
          <w:rFonts w:cs="Times New Roman"/>
          <w:lang w:val="fr-CA"/>
        </w:rPr>
        <w:t xml:space="preserve"> et une fois par l</w:t>
      </w:r>
      <w:r>
        <w:rPr>
          <w:rFonts w:cs="Times New Roman"/>
          <w:lang w:val="fr-CA"/>
        </w:rPr>
        <w:t>’</w:t>
      </w:r>
      <w:r w:rsidRPr="002C739B">
        <w:rPr>
          <w:rFonts w:cs="Times New Roman"/>
          <w:lang w:val="fr-CA"/>
        </w:rPr>
        <w:t>effet de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Un tel résultat est indéfendable.  D</w:t>
      </w:r>
      <w:r>
        <w:rPr>
          <w:rFonts w:cs="Times New Roman"/>
          <w:lang w:val="fr-CA"/>
        </w:rPr>
        <w:t>’</w:t>
      </w:r>
      <w:r w:rsidRPr="002C739B">
        <w:rPr>
          <w:rFonts w:cs="Times New Roman"/>
          <w:lang w:val="fr-CA"/>
        </w:rPr>
        <w:t>ailleurs, c</w:t>
      </w:r>
      <w:r>
        <w:rPr>
          <w:rFonts w:cs="Times New Roman"/>
          <w:lang w:val="fr-CA"/>
        </w:rPr>
        <w:t>’</w:t>
      </w:r>
      <w:r w:rsidRPr="002C739B">
        <w:rPr>
          <w:rFonts w:cs="Times New Roman"/>
          <w:lang w:val="fr-CA"/>
        </w:rPr>
        <w:t xml:space="preserve">est cette crainte de double indemnisation qui a amené la juge Saunders à exprimer sa dissidence dans </w:t>
      </w:r>
      <w:r w:rsidRPr="002C739B">
        <w:rPr>
          <w:rFonts w:cs="Times New Roman"/>
          <w:i/>
          <w:lang w:val="fr-CA"/>
        </w:rPr>
        <w:t>Morriss</w:t>
      </w:r>
      <w:r w:rsidRPr="002C739B">
        <w:rPr>
          <w:rFonts w:cs="Times New Roman"/>
          <w:lang w:val="fr-CA"/>
        </w:rPr>
        <w:t>,</w:t>
      </w:r>
      <w:r w:rsidRPr="002C739B">
        <w:rPr>
          <w:rFonts w:cs="Times New Roman"/>
          <w:i/>
          <w:lang w:val="fr-CA"/>
        </w:rPr>
        <w:t xml:space="preserve"> </w:t>
      </w:r>
      <w:r w:rsidRPr="002C739B">
        <w:rPr>
          <w:rFonts w:cs="Times New Roman"/>
          <w:lang w:val="fr-CA"/>
        </w:rPr>
        <w:t>lorsque la Cour d</w:t>
      </w:r>
      <w:r>
        <w:rPr>
          <w:rFonts w:cs="Times New Roman"/>
          <w:lang w:val="fr-CA"/>
        </w:rPr>
        <w:t>’</w:t>
      </w:r>
      <w:r w:rsidRPr="002C739B">
        <w:rPr>
          <w:rFonts w:cs="Times New Roman"/>
          <w:lang w:val="fr-CA"/>
        </w:rPr>
        <w:t>appel de la Colombie</w:t>
      </w:r>
      <w:r w:rsidRPr="002C739B">
        <w:rPr>
          <w:rFonts w:cs="Times New Roman"/>
          <w:lang w:val="fr-CA"/>
        </w:rPr>
        <w:noBreakHyphen/>
        <w:t>Britannique a conclu à l</w:t>
      </w:r>
      <w:r>
        <w:rPr>
          <w:rFonts w:cs="Times New Roman"/>
          <w:lang w:val="fr-CA"/>
        </w:rPr>
        <w:t>’</w:t>
      </w:r>
      <w:r w:rsidRPr="002C739B">
        <w:rPr>
          <w:rFonts w:cs="Times New Roman"/>
          <w:lang w:val="fr-CA"/>
        </w:rPr>
        <w:t>existence d</w:t>
      </w:r>
      <w:r>
        <w:rPr>
          <w:rFonts w:cs="Times New Roman"/>
          <w:lang w:val="fr-CA"/>
        </w:rPr>
        <w:t>’</w:t>
      </w:r>
      <w:r w:rsidRPr="002C739B">
        <w:rPr>
          <w:rFonts w:cs="Times New Roman"/>
          <w:lang w:val="fr-CA"/>
        </w:rPr>
        <w:t>un fondement en equity justifiant d</w:t>
      </w:r>
      <w:r>
        <w:rPr>
          <w:rFonts w:cs="Times New Roman"/>
          <w:lang w:val="fr-CA"/>
        </w:rPr>
        <w:t>’</w:t>
      </w:r>
      <w:r w:rsidRPr="002C739B">
        <w:rPr>
          <w:rFonts w:cs="Times New Roman"/>
          <w:lang w:val="fr-CA"/>
        </w:rPr>
        <w:t>accorder des intérêts composés dans les affaires d</w:t>
      </w:r>
      <w:r>
        <w:rPr>
          <w:rFonts w:cs="Times New Roman"/>
          <w:lang w:val="fr-CA"/>
        </w:rPr>
        <w:t>’</w:t>
      </w:r>
      <w:r w:rsidRPr="002C739B">
        <w:rPr>
          <w:rFonts w:cs="Times New Roman"/>
          <w:lang w:val="fr-CA"/>
        </w:rPr>
        <w:t>expropriation non régies par l</w:t>
      </w:r>
      <w:r>
        <w:rPr>
          <w:rFonts w:cs="Times New Roman"/>
          <w:lang w:val="fr-CA"/>
        </w:rPr>
        <w:t>’</w:t>
      </w:r>
      <w:r w:rsidRPr="002C739B">
        <w:rPr>
          <w:rFonts w:cs="Times New Roman"/>
          <w:i/>
          <w:lang w:val="fr-CA"/>
        </w:rPr>
        <w:t>Expropriation Act</w:t>
      </w:r>
      <w:r w:rsidRPr="002C739B">
        <w:rPr>
          <w:rFonts w:cs="Times New Roman"/>
          <w:lang w:val="fr-CA"/>
        </w:rPr>
        <w:t xml:space="preserve"> (par. 48). </w:t>
      </w:r>
    </w:p>
    <w:p w:rsidR="00535732" w:rsidRPr="002C739B" w:rsidRDefault="00535732" w:rsidP="00535732">
      <w:pPr>
        <w:pStyle w:val="TitleTitre-AltT"/>
        <w:tabs>
          <w:tab w:val="clear" w:pos="360"/>
          <w:tab w:val="left" w:pos="1170"/>
        </w:tabs>
        <w:ind w:left="1613" w:hanging="1800"/>
        <w:rPr>
          <w:rFonts w:cs="Times New Roman"/>
          <w:u w:val="single"/>
          <w:lang w:val="fr-CA"/>
        </w:rPr>
      </w:pPr>
      <w:r w:rsidRPr="002C739B">
        <w:rPr>
          <w:rFonts w:cs="Times New Roman"/>
          <w:lang w:val="fr-CA"/>
        </w:rPr>
        <w:tab/>
        <w:t>a)</w:t>
      </w:r>
      <w:r w:rsidRPr="002C739B">
        <w:rPr>
          <w:rFonts w:cs="Times New Roman"/>
          <w:lang w:val="fr-CA"/>
        </w:rPr>
        <w:tab/>
      </w:r>
      <w:r w:rsidRPr="002C739B">
        <w:rPr>
          <w:rFonts w:cs="Times New Roman"/>
          <w:i/>
          <w:lang w:val="fr-CA"/>
        </w:rPr>
        <w:t>Arguments de Teal sur la manière d</w:t>
      </w:r>
      <w:r>
        <w:rPr>
          <w:rFonts w:cs="Times New Roman"/>
          <w:i/>
          <w:lang w:val="fr-CA"/>
        </w:rPr>
        <w:t>’</w:t>
      </w:r>
      <w:r w:rsidRPr="002C739B">
        <w:rPr>
          <w:rFonts w:cs="Times New Roman"/>
          <w:i/>
          <w:lang w:val="fr-CA"/>
        </w:rPr>
        <w:t>éviter la double indemnisation</w:t>
      </w:r>
    </w:p>
    <w:p w:rsidR="00535732" w:rsidRPr="002C739B" w:rsidRDefault="00535732" w:rsidP="00535732">
      <w:pPr>
        <w:pStyle w:val="ParaNoNdepar-AltN"/>
        <w:rPr>
          <w:rFonts w:cs="Times New Roman"/>
          <w:lang w:val="fr-CA"/>
        </w:rPr>
      </w:pPr>
      <w:r w:rsidRPr="002C739B">
        <w:rPr>
          <w:rFonts w:cs="Times New Roman"/>
          <w:lang w:val="fr-CA"/>
        </w:rPr>
        <w:t>Cependant, Teal plaide que l</w:t>
      </w:r>
      <w:r>
        <w:rPr>
          <w:rFonts w:cs="Times New Roman"/>
          <w:lang w:val="fr-CA"/>
        </w:rPr>
        <w:t>’</w:t>
      </w:r>
      <w:r w:rsidRPr="002C739B">
        <w:rPr>
          <w:rFonts w:cs="Times New Roman"/>
          <w:lang w:val="fr-CA"/>
        </w:rPr>
        <w:t>adoption d</w:t>
      </w:r>
      <w:r>
        <w:rPr>
          <w:rFonts w:cs="Times New Roman"/>
          <w:lang w:val="fr-CA"/>
        </w:rPr>
        <w:t>’</w:t>
      </w:r>
      <w:r w:rsidRPr="002C739B">
        <w:rPr>
          <w:rFonts w:cs="Times New Roman"/>
          <w:lang w:val="fr-CA"/>
        </w:rPr>
        <w:t>une interprétation plus restrictive de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permettrait d</w:t>
      </w:r>
      <w:r>
        <w:rPr>
          <w:rFonts w:cs="Times New Roman"/>
          <w:lang w:val="fr-CA"/>
        </w:rPr>
        <w:t>’</w:t>
      </w:r>
      <w:r w:rsidRPr="002C739B">
        <w:rPr>
          <w:rFonts w:cs="Times New Roman"/>
          <w:lang w:val="fr-CA"/>
        </w:rPr>
        <w:t>éviter la double indemnisation.  Elle a proposé à cette fin deux interprétations différentes de l</w:t>
      </w:r>
      <w:r>
        <w:rPr>
          <w:rFonts w:cs="Times New Roman"/>
          <w:lang w:val="fr-CA"/>
        </w:rPr>
        <w:t>’</w:t>
      </w:r>
      <w:r w:rsidRPr="002C739B">
        <w:rPr>
          <w:rFonts w:cs="Times New Roman"/>
          <w:lang w:val="fr-CA"/>
        </w:rPr>
        <w:t>art. 28, mais aucune d</w:t>
      </w:r>
      <w:r>
        <w:rPr>
          <w:rFonts w:cs="Times New Roman"/>
          <w:lang w:val="fr-CA"/>
        </w:rPr>
        <w:t>’</w:t>
      </w:r>
      <w:r w:rsidRPr="002C739B">
        <w:rPr>
          <w:rFonts w:cs="Times New Roman"/>
          <w:lang w:val="fr-CA"/>
        </w:rPr>
        <w:t>elles ne repose sur une interprétation défendable de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w:t>
      </w:r>
    </w:p>
    <w:p w:rsidR="00535732" w:rsidRPr="002C739B" w:rsidRDefault="00535732" w:rsidP="00535732">
      <w:pPr>
        <w:pStyle w:val="ParaNoNdepar-AltN"/>
        <w:rPr>
          <w:rFonts w:cs="Times New Roman"/>
          <w:lang w:val="fr-CA"/>
        </w:rPr>
      </w:pPr>
      <w:r w:rsidRPr="002C739B">
        <w:rPr>
          <w:rFonts w:cs="Times New Roman"/>
          <w:lang w:val="fr-CA"/>
        </w:rPr>
        <w:t>Premièrement, Teal a fait valoir dans son mémoire que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a pour effet d</w:t>
      </w:r>
      <w:r>
        <w:rPr>
          <w:rFonts w:cs="Times New Roman"/>
          <w:lang w:val="fr-CA"/>
        </w:rPr>
        <w:t>’</w:t>
      </w:r>
      <w:r w:rsidRPr="002C739B">
        <w:rPr>
          <w:rFonts w:cs="Times New Roman"/>
          <w:lang w:val="fr-CA"/>
        </w:rPr>
        <w:t xml:space="preserve">imposer les dispositions de la </w:t>
      </w:r>
      <w:r w:rsidRPr="002C739B">
        <w:rPr>
          <w:rFonts w:cs="Times New Roman"/>
          <w:i/>
          <w:lang w:val="fr-CA"/>
        </w:rPr>
        <w:t>COIA</w:t>
      </w:r>
      <w:r w:rsidRPr="002C739B">
        <w:rPr>
          <w:rFonts w:cs="Times New Roman"/>
          <w:lang w:val="fr-CA"/>
        </w:rPr>
        <w:t xml:space="preserve"> relatives aux intérêts postérieurs au jugement uniquement à l</w:t>
      </w:r>
      <w:r>
        <w:rPr>
          <w:rFonts w:cs="Times New Roman"/>
          <w:lang w:val="fr-CA"/>
        </w:rPr>
        <w:t>’</w:t>
      </w:r>
      <w:r w:rsidRPr="002C739B">
        <w:rPr>
          <w:rFonts w:cs="Times New Roman"/>
          <w:lang w:val="fr-CA"/>
        </w:rPr>
        <w:t>égard des sommes dont le paiement est ordonné par une sentence arbitrale.  Toutefois, comme l</w:t>
      </w:r>
      <w:r>
        <w:rPr>
          <w:rFonts w:cs="Times New Roman"/>
          <w:lang w:val="fr-CA"/>
        </w:rPr>
        <w:t>’</w:t>
      </w:r>
      <w:r w:rsidRPr="002C739B">
        <w:rPr>
          <w:rFonts w:cs="Times New Roman"/>
          <w:lang w:val="fr-CA"/>
        </w:rPr>
        <w:t>a souligné la Province à l</w:t>
      </w:r>
      <w:r>
        <w:rPr>
          <w:rFonts w:cs="Times New Roman"/>
          <w:lang w:val="fr-CA"/>
        </w:rPr>
        <w:t>’</w:t>
      </w:r>
      <w:r w:rsidRPr="002C739B">
        <w:rPr>
          <w:rFonts w:cs="Times New Roman"/>
          <w:lang w:val="fr-CA"/>
        </w:rPr>
        <w:t>audience, cela voudrait dire que l</w:t>
      </w:r>
      <w:r>
        <w:rPr>
          <w:rFonts w:cs="Times New Roman"/>
          <w:lang w:val="fr-CA"/>
        </w:rPr>
        <w:t>’</w:t>
      </w:r>
      <w:r w:rsidRPr="002C739B">
        <w:rPr>
          <w:rFonts w:cs="Times New Roman"/>
          <w:lang w:val="fr-CA"/>
        </w:rPr>
        <w:t>art. 28 n</w:t>
      </w:r>
      <w:r>
        <w:rPr>
          <w:rFonts w:cs="Times New Roman"/>
          <w:lang w:val="fr-CA"/>
        </w:rPr>
        <w:t>’</w:t>
      </w:r>
      <w:r w:rsidRPr="002C739B">
        <w:rPr>
          <w:rFonts w:cs="Times New Roman"/>
          <w:lang w:val="fr-CA"/>
        </w:rPr>
        <w:t xml:space="preserve">a eu aucune utilité pendant la période de </w:t>
      </w:r>
      <w:r w:rsidRPr="002C739B">
        <w:rPr>
          <w:rFonts w:cs="Times New Roman"/>
          <w:lang w:val="fr-CA"/>
        </w:rPr>
        <w:lastRenderedPageBreak/>
        <w:t>six ans qui s</w:t>
      </w:r>
      <w:r>
        <w:rPr>
          <w:rFonts w:cs="Times New Roman"/>
          <w:lang w:val="fr-CA"/>
        </w:rPr>
        <w:t>’</w:t>
      </w:r>
      <w:r w:rsidRPr="002C739B">
        <w:rPr>
          <w:rFonts w:cs="Times New Roman"/>
          <w:lang w:val="fr-CA"/>
        </w:rPr>
        <w:t>est écoulée de la date de l</w:t>
      </w:r>
      <w:r>
        <w:rPr>
          <w:rFonts w:cs="Times New Roman"/>
          <w:lang w:val="fr-CA"/>
        </w:rPr>
        <w:t>’</w:t>
      </w:r>
      <w:r w:rsidRPr="002C739B">
        <w:rPr>
          <w:rFonts w:cs="Times New Roman"/>
          <w:lang w:val="fr-CA"/>
        </w:rPr>
        <w:t xml:space="preserve">édiction de la </w:t>
      </w:r>
      <w:r w:rsidRPr="002C739B">
        <w:rPr>
          <w:rFonts w:cs="Times New Roman"/>
          <w:i/>
          <w:lang w:val="fr-CA"/>
        </w:rPr>
        <w:t>CAA</w:t>
      </w:r>
      <w:r w:rsidRPr="002C739B">
        <w:rPr>
          <w:rFonts w:cs="Times New Roman"/>
          <w:lang w:val="fr-CA"/>
        </w:rPr>
        <w:t xml:space="preserve"> en 1986 jusqu</w:t>
      </w:r>
      <w:r>
        <w:rPr>
          <w:rFonts w:cs="Times New Roman"/>
          <w:lang w:val="fr-CA"/>
        </w:rPr>
        <w:t>’</w:t>
      </w:r>
      <w:r w:rsidRPr="002C739B">
        <w:rPr>
          <w:rFonts w:cs="Times New Roman"/>
          <w:lang w:val="fr-CA"/>
        </w:rPr>
        <w:t xml:space="preserve">à celle où les dispositions de la </w:t>
      </w:r>
      <w:r w:rsidRPr="002C739B">
        <w:rPr>
          <w:rFonts w:cs="Times New Roman"/>
          <w:i/>
          <w:lang w:val="fr-CA"/>
        </w:rPr>
        <w:t>COIA</w:t>
      </w:r>
      <w:r w:rsidRPr="002C739B">
        <w:rPr>
          <w:rFonts w:cs="Times New Roman"/>
          <w:lang w:val="fr-CA"/>
        </w:rPr>
        <w:t xml:space="preserve"> relatives aux intérêts postérieurs au jugement sont finalement entrées en vigueur en 1992.  Si l</w:t>
      </w:r>
      <w:r>
        <w:rPr>
          <w:rFonts w:cs="Times New Roman"/>
          <w:lang w:val="fr-CA"/>
        </w:rPr>
        <w:t>’</w:t>
      </w:r>
      <w:r w:rsidRPr="002C739B">
        <w:rPr>
          <w:rFonts w:cs="Times New Roman"/>
          <w:lang w:val="fr-CA"/>
        </w:rPr>
        <w:t>on retenait l</w:t>
      </w:r>
      <w:r>
        <w:rPr>
          <w:rFonts w:cs="Times New Roman"/>
          <w:lang w:val="fr-CA"/>
        </w:rPr>
        <w:t>’</w:t>
      </w:r>
      <w:r w:rsidRPr="002C739B">
        <w:rPr>
          <w:rFonts w:cs="Times New Roman"/>
          <w:lang w:val="fr-CA"/>
        </w:rPr>
        <w:t>argument de Teal selon lequel l</w:t>
      </w:r>
      <w:r>
        <w:rPr>
          <w:rFonts w:cs="Times New Roman"/>
          <w:lang w:val="fr-CA"/>
        </w:rPr>
        <w:t>’</w:t>
      </w:r>
      <w:r w:rsidRPr="002C739B">
        <w:rPr>
          <w:rFonts w:cs="Times New Roman"/>
          <w:lang w:val="fr-CA"/>
        </w:rPr>
        <w:t>art. 28 ne s</w:t>
      </w:r>
      <w:r>
        <w:rPr>
          <w:rFonts w:cs="Times New Roman"/>
          <w:lang w:val="fr-CA"/>
        </w:rPr>
        <w:t>’</w:t>
      </w:r>
      <w:r w:rsidRPr="002C739B">
        <w:rPr>
          <w:rFonts w:cs="Times New Roman"/>
          <w:lang w:val="fr-CA"/>
        </w:rPr>
        <w:t xml:space="preserve">appliquait pas aux dispositions de la </w:t>
      </w:r>
      <w:r w:rsidRPr="002C739B">
        <w:rPr>
          <w:rFonts w:cs="Times New Roman"/>
          <w:i/>
          <w:lang w:val="fr-CA"/>
        </w:rPr>
        <w:t>COIA</w:t>
      </w:r>
      <w:r w:rsidRPr="002C739B">
        <w:rPr>
          <w:rFonts w:cs="Times New Roman"/>
          <w:lang w:val="fr-CA"/>
        </w:rPr>
        <w:t xml:space="preserve"> relatives aux intérêts avant jugement, l</w:t>
      </w:r>
      <w:r>
        <w:rPr>
          <w:rFonts w:cs="Times New Roman"/>
          <w:lang w:val="fr-CA"/>
        </w:rPr>
        <w:t>’</w:t>
      </w:r>
      <w:r w:rsidRPr="002C739B">
        <w:rPr>
          <w:rFonts w:cs="Times New Roman"/>
          <w:lang w:val="fr-CA"/>
        </w:rPr>
        <w:t xml:space="preserve">art. 28 aurait été sans objet pendant ces six années, puisque seules étaient en vigueur les dispositions de la </w:t>
      </w:r>
      <w:r w:rsidRPr="002C739B">
        <w:rPr>
          <w:rFonts w:cs="Times New Roman"/>
          <w:i/>
          <w:lang w:val="fr-CA"/>
        </w:rPr>
        <w:t>COIA</w:t>
      </w:r>
      <w:r w:rsidRPr="002C739B">
        <w:rPr>
          <w:rFonts w:cs="Times New Roman"/>
          <w:lang w:val="fr-CA"/>
        </w:rPr>
        <w:t xml:space="preserve"> relatives aux intérêts avant jugement, les dispositions auxquelles l</w:t>
      </w:r>
      <w:r>
        <w:rPr>
          <w:rFonts w:cs="Times New Roman"/>
          <w:lang w:val="fr-CA"/>
        </w:rPr>
        <w:t>’</w:t>
      </w:r>
      <w:r w:rsidRPr="002C739B">
        <w:rPr>
          <w:rFonts w:cs="Times New Roman"/>
          <w:lang w:val="fr-CA"/>
        </w:rPr>
        <w:t>art. 28 n</w:t>
      </w:r>
      <w:r>
        <w:rPr>
          <w:rFonts w:cs="Times New Roman"/>
          <w:lang w:val="fr-CA"/>
        </w:rPr>
        <w:t>’</w:t>
      </w:r>
      <w:r w:rsidRPr="002C739B">
        <w:rPr>
          <w:rFonts w:cs="Times New Roman"/>
          <w:lang w:val="fr-CA"/>
        </w:rPr>
        <w:t>était pas censé s</w:t>
      </w:r>
      <w:r>
        <w:rPr>
          <w:rFonts w:cs="Times New Roman"/>
          <w:lang w:val="fr-CA"/>
        </w:rPr>
        <w:t>’</w:t>
      </w:r>
      <w:r w:rsidRPr="002C739B">
        <w:rPr>
          <w:rFonts w:cs="Times New Roman"/>
          <w:lang w:val="fr-CA"/>
        </w:rPr>
        <w:t>appliquer suivant Teal. </w:t>
      </w:r>
    </w:p>
    <w:p w:rsidR="00535732" w:rsidRPr="002C739B" w:rsidRDefault="00535732" w:rsidP="00535732">
      <w:pPr>
        <w:pStyle w:val="ParaNoNdepar-AltN"/>
        <w:rPr>
          <w:rFonts w:cs="Times New Roman"/>
          <w:lang w:val="fr-CA"/>
        </w:rPr>
      </w:pPr>
      <w:r w:rsidRPr="002C739B">
        <w:rPr>
          <w:rFonts w:cs="Times New Roman"/>
          <w:lang w:val="fr-CA"/>
        </w:rPr>
        <w:t>Si le législateur avait eu l</w:t>
      </w:r>
      <w:r>
        <w:rPr>
          <w:rFonts w:cs="Times New Roman"/>
          <w:lang w:val="fr-CA"/>
        </w:rPr>
        <w:t>’</w:t>
      </w:r>
      <w:r w:rsidRPr="002C739B">
        <w:rPr>
          <w:rFonts w:cs="Times New Roman"/>
          <w:lang w:val="fr-CA"/>
        </w:rPr>
        <w:t>intention de limiter l</w:t>
      </w:r>
      <w:r>
        <w:rPr>
          <w:rFonts w:cs="Times New Roman"/>
          <w:lang w:val="fr-CA"/>
        </w:rPr>
        <w:t>’</w:t>
      </w:r>
      <w:r w:rsidRPr="002C739B">
        <w:rPr>
          <w:rFonts w:cs="Times New Roman"/>
          <w:lang w:val="fr-CA"/>
        </w:rPr>
        <w:t>application de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aux dispositions de la </w:t>
      </w:r>
      <w:r w:rsidRPr="002C739B">
        <w:rPr>
          <w:rFonts w:cs="Times New Roman"/>
          <w:i/>
          <w:lang w:val="fr-CA"/>
        </w:rPr>
        <w:t>COIA</w:t>
      </w:r>
      <w:r w:rsidRPr="002C739B">
        <w:rPr>
          <w:rFonts w:cs="Times New Roman"/>
          <w:lang w:val="fr-CA"/>
        </w:rPr>
        <w:t xml:space="preserve"> relatives aux intérêts postérieurs au jugement, il aurait pu le dire expressément.  Or, le texte de la disposition ne renferme aucune restriction en ce sens.  À mon avis, il est impossible de considérer que l</w:t>
      </w:r>
      <w:r>
        <w:rPr>
          <w:rFonts w:cs="Times New Roman"/>
          <w:lang w:val="fr-CA"/>
        </w:rPr>
        <w:t>’</w:t>
      </w:r>
      <w:r w:rsidRPr="002C739B">
        <w:rPr>
          <w:rFonts w:cs="Times New Roman"/>
          <w:lang w:val="fr-CA"/>
        </w:rPr>
        <w:t>art. 28 s</w:t>
      </w:r>
      <w:r>
        <w:rPr>
          <w:rFonts w:cs="Times New Roman"/>
          <w:lang w:val="fr-CA"/>
        </w:rPr>
        <w:t>’</w:t>
      </w:r>
      <w:r w:rsidRPr="002C739B">
        <w:rPr>
          <w:rFonts w:cs="Times New Roman"/>
          <w:lang w:val="fr-CA"/>
        </w:rPr>
        <w:t xml:space="preserve">applique uniquement aux intérêts postérieurs au jugement. </w:t>
      </w:r>
    </w:p>
    <w:p w:rsidR="00535732" w:rsidRPr="002C739B" w:rsidRDefault="00535732" w:rsidP="00535732">
      <w:pPr>
        <w:pStyle w:val="ParaNoNdepar-AltN"/>
        <w:rPr>
          <w:rFonts w:cs="Times New Roman"/>
          <w:lang w:val="fr-CA"/>
        </w:rPr>
      </w:pPr>
      <w:r w:rsidRPr="002C739B">
        <w:rPr>
          <w:rFonts w:cs="Times New Roman"/>
          <w:lang w:val="fr-CA"/>
        </w:rPr>
        <w:t>Deuxièmement, au cours des plaidoiries, Teal a présenté une interprétation différente de l</w:t>
      </w:r>
      <w:r>
        <w:rPr>
          <w:rFonts w:cs="Times New Roman"/>
          <w:lang w:val="fr-CA"/>
        </w:rPr>
        <w:t>’</w:t>
      </w:r>
      <w:r w:rsidRPr="002C739B">
        <w:rPr>
          <w:rFonts w:cs="Times New Roman"/>
          <w:lang w:val="fr-CA"/>
        </w:rPr>
        <w:t>art. 28 qui permettrait d</w:t>
      </w:r>
      <w:r>
        <w:rPr>
          <w:rFonts w:cs="Times New Roman"/>
          <w:lang w:val="fr-CA"/>
        </w:rPr>
        <w:t>’</w:t>
      </w:r>
      <w:r w:rsidRPr="002C739B">
        <w:rPr>
          <w:rFonts w:cs="Times New Roman"/>
          <w:lang w:val="fr-CA"/>
        </w:rPr>
        <w:t>une part d</w:t>
      </w:r>
      <w:r>
        <w:rPr>
          <w:rFonts w:cs="Times New Roman"/>
          <w:lang w:val="fr-CA"/>
        </w:rPr>
        <w:t>’</w:t>
      </w:r>
      <w:r w:rsidRPr="002C739B">
        <w:rPr>
          <w:rFonts w:cs="Times New Roman"/>
          <w:lang w:val="fr-CA"/>
        </w:rPr>
        <w:t>appliquer aux sentences arbitrales à la fois les dispositions relatives aux intérêts avant jugement et celles relatives aux intérêts postérieurs au jugement, mais qui limiterait d</w:t>
      </w:r>
      <w:r>
        <w:rPr>
          <w:rFonts w:cs="Times New Roman"/>
          <w:lang w:val="fr-CA"/>
        </w:rPr>
        <w:t>’</w:t>
      </w:r>
      <w:r w:rsidRPr="002C739B">
        <w:rPr>
          <w:rFonts w:cs="Times New Roman"/>
          <w:lang w:val="fr-CA"/>
        </w:rPr>
        <w:t>autre part l</w:t>
      </w:r>
      <w:r>
        <w:rPr>
          <w:rFonts w:cs="Times New Roman"/>
          <w:lang w:val="fr-CA"/>
        </w:rPr>
        <w:t>’</w:t>
      </w:r>
      <w:r w:rsidRPr="002C739B">
        <w:rPr>
          <w:rFonts w:cs="Times New Roman"/>
          <w:lang w:val="fr-CA"/>
        </w:rPr>
        <w:t>application des premières à la période allant du prononcé de la sentence arbitrale à la date où une cour de justice inscrit les modalités de la sentence en tant que jugement dans le cadre d</w:t>
      </w:r>
      <w:r>
        <w:rPr>
          <w:rFonts w:cs="Times New Roman"/>
          <w:lang w:val="fr-CA"/>
        </w:rPr>
        <w:t>’</w:t>
      </w:r>
      <w:r w:rsidRPr="002C739B">
        <w:rPr>
          <w:rFonts w:cs="Times New Roman"/>
          <w:lang w:val="fr-CA"/>
        </w:rPr>
        <w:t>une procédure d</w:t>
      </w:r>
      <w:r>
        <w:rPr>
          <w:rFonts w:cs="Times New Roman"/>
          <w:lang w:val="fr-CA"/>
        </w:rPr>
        <w:t>’</w:t>
      </w:r>
      <w:r w:rsidRPr="002C739B">
        <w:rPr>
          <w:rFonts w:cs="Times New Roman"/>
          <w:lang w:val="fr-CA"/>
        </w:rPr>
        <w:t>exécution fondée sur l</w:t>
      </w:r>
      <w:r>
        <w:rPr>
          <w:rFonts w:cs="Times New Roman"/>
          <w:lang w:val="fr-CA"/>
        </w:rPr>
        <w:t>’</w:t>
      </w:r>
      <w:r w:rsidRPr="002C739B">
        <w:rPr>
          <w:rFonts w:cs="Times New Roman"/>
          <w:lang w:val="fr-CA"/>
        </w:rPr>
        <w:t xml:space="preserve">art. 29 de la </w:t>
      </w:r>
      <w:r w:rsidRPr="002C739B">
        <w:rPr>
          <w:rFonts w:cs="Times New Roman"/>
          <w:i/>
          <w:lang w:val="fr-CA"/>
        </w:rPr>
        <w:t>CAA</w:t>
      </w:r>
      <w:r w:rsidRPr="002C739B">
        <w:rPr>
          <w:rFonts w:cs="Times New Roman"/>
          <w:lang w:val="fr-CA"/>
        </w:rPr>
        <w:t>.  Teal a plaidé que, comme l</w:t>
      </w:r>
      <w:r>
        <w:rPr>
          <w:rFonts w:cs="Times New Roman"/>
          <w:lang w:val="fr-CA"/>
        </w:rPr>
        <w:t>’</w:t>
      </w:r>
      <w:r w:rsidRPr="002C739B">
        <w:rPr>
          <w:rFonts w:cs="Times New Roman"/>
          <w:lang w:val="fr-CA"/>
        </w:rPr>
        <w:t xml:space="preserve">art. 1 de la </w:t>
      </w:r>
      <w:r w:rsidRPr="002C739B">
        <w:rPr>
          <w:rFonts w:cs="Times New Roman"/>
          <w:i/>
          <w:lang w:val="fr-CA"/>
        </w:rPr>
        <w:t>COIA</w:t>
      </w:r>
      <w:r w:rsidRPr="002C739B">
        <w:rPr>
          <w:rFonts w:cs="Times New Roman"/>
          <w:lang w:val="fr-CA"/>
        </w:rPr>
        <w:t xml:space="preserve"> précise que les intérêts courent à compter du moment où la cause d</w:t>
      </w:r>
      <w:r>
        <w:rPr>
          <w:rFonts w:cs="Times New Roman"/>
          <w:lang w:val="fr-CA"/>
        </w:rPr>
        <w:t>’</w:t>
      </w:r>
      <w:r w:rsidRPr="002C739B">
        <w:rPr>
          <w:rFonts w:cs="Times New Roman"/>
          <w:lang w:val="fr-CA"/>
        </w:rPr>
        <w:t>action a pris naissance, dans le cas d</w:t>
      </w:r>
      <w:r>
        <w:rPr>
          <w:rFonts w:cs="Times New Roman"/>
          <w:lang w:val="fr-CA"/>
        </w:rPr>
        <w:t>’</w:t>
      </w:r>
      <w:r w:rsidRPr="002C739B">
        <w:rPr>
          <w:rFonts w:cs="Times New Roman"/>
          <w:lang w:val="fr-CA"/>
        </w:rPr>
        <w:t xml:space="preserve">une sentence arbitrale, cet </w:t>
      </w:r>
      <w:r w:rsidRPr="002C739B">
        <w:rPr>
          <w:rFonts w:cs="Times New Roman"/>
          <w:lang w:val="fr-CA"/>
        </w:rPr>
        <w:lastRenderedPageBreak/>
        <w:t>article ne s</w:t>
      </w:r>
      <w:r>
        <w:rPr>
          <w:rFonts w:cs="Times New Roman"/>
          <w:lang w:val="fr-CA"/>
        </w:rPr>
        <w:t>’</w:t>
      </w:r>
      <w:r w:rsidRPr="002C739B">
        <w:rPr>
          <w:rFonts w:cs="Times New Roman"/>
          <w:lang w:val="fr-CA"/>
        </w:rPr>
        <w:t>appliquerait qu</w:t>
      </w:r>
      <w:r>
        <w:rPr>
          <w:rFonts w:cs="Times New Roman"/>
          <w:lang w:val="fr-CA"/>
        </w:rPr>
        <w:t>’</w:t>
      </w:r>
      <w:r w:rsidRPr="002C739B">
        <w:rPr>
          <w:rFonts w:cs="Times New Roman"/>
          <w:lang w:val="fr-CA"/>
        </w:rPr>
        <w:t>à la période qui suit le prononcé de la sentence, étant donné que la sentence arbitrale elle</w:t>
      </w:r>
      <w:r w:rsidRPr="002C739B">
        <w:rPr>
          <w:rFonts w:cs="Times New Roman"/>
          <w:lang w:val="fr-CA"/>
        </w:rPr>
        <w:noBreakHyphen/>
        <w:t>même constitue la « cause d</w:t>
      </w:r>
      <w:r>
        <w:rPr>
          <w:rFonts w:cs="Times New Roman"/>
          <w:lang w:val="fr-CA"/>
        </w:rPr>
        <w:t>’</w:t>
      </w:r>
      <w:r w:rsidRPr="002C739B">
        <w:rPr>
          <w:rFonts w:cs="Times New Roman"/>
          <w:lang w:val="fr-CA"/>
        </w:rPr>
        <w:t xml:space="preserve">action ». </w:t>
      </w:r>
    </w:p>
    <w:p w:rsidR="00535732" w:rsidRPr="002C739B" w:rsidRDefault="00535732" w:rsidP="00535732">
      <w:pPr>
        <w:pStyle w:val="ParaNoNdepar-AltN"/>
        <w:rPr>
          <w:rFonts w:cs="Times New Roman"/>
          <w:lang w:val="fr-CA"/>
        </w:rPr>
      </w:pPr>
      <w:r w:rsidRPr="002C739B">
        <w:rPr>
          <w:rFonts w:cs="Times New Roman"/>
          <w:lang w:val="fr-CA"/>
        </w:rPr>
        <w:t>Sur la base de cette hypothèse, le double paiement</w:t>
      </w:r>
      <w:r>
        <w:rPr>
          <w:rFonts w:cs="Times New Roman"/>
          <w:lang w:val="fr-CA"/>
        </w:rPr>
        <w:t xml:space="preserve"> d’</w:t>
      </w:r>
      <w:r w:rsidRPr="002C739B">
        <w:rPr>
          <w:rFonts w:cs="Times New Roman"/>
          <w:lang w:val="fr-CA"/>
        </w:rPr>
        <w:t>intérêt serait évité, puisque l</w:t>
      </w:r>
      <w:r>
        <w:rPr>
          <w:rFonts w:cs="Times New Roman"/>
          <w:lang w:val="fr-CA"/>
        </w:rPr>
        <w:t>’</w:t>
      </w:r>
      <w:r w:rsidRPr="002C739B">
        <w:rPr>
          <w:rFonts w:cs="Times New Roman"/>
          <w:lang w:val="fr-CA"/>
        </w:rPr>
        <w:t>arbitre aurait le pouvoir d</w:t>
      </w:r>
      <w:r>
        <w:rPr>
          <w:rFonts w:cs="Times New Roman"/>
          <w:lang w:val="fr-CA"/>
        </w:rPr>
        <w:t>’</w:t>
      </w:r>
      <w:r w:rsidRPr="002C739B">
        <w:rPr>
          <w:rFonts w:cs="Times New Roman"/>
          <w:lang w:val="fr-CA"/>
        </w:rPr>
        <w:t>accorder des intérêts à compter de la date des faits à l</w:t>
      </w:r>
      <w:r>
        <w:rPr>
          <w:rFonts w:cs="Times New Roman"/>
          <w:lang w:val="fr-CA"/>
        </w:rPr>
        <w:t>’</w:t>
      </w:r>
      <w:r w:rsidRPr="002C739B">
        <w:rPr>
          <w:rFonts w:cs="Times New Roman"/>
          <w:lang w:val="fr-CA"/>
        </w:rPr>
        <w:t>origine du litige jusqu</w:t>
      </w:r>
      <w:r>
        <w:rPr>
          <w:rFonts w:cs="Times New Roman"/>
          <w:lang w:val="fr-CA"/>
        </w:rPr>
        <w:t>’</w:t>
      </w:r>
      <w:r w:rsidRPr="002C739B">
        <w:rPr>
          <w:rFonts w:cs="Times New Roman"/>
          <w:lang w:val="fr-CA"/>
        </w:rPr>
        <w:t>à celle de la sentence (des intérêts composés ou simples, à la discrétion de l</w:t>
      </w:r>
      <w:r>
        <w:rPr>
          <w:rFonts w:cs="Times New Roman"/>
          <w:lang w:val="fr-CA"/>
        </w:rPr>
        <w:t>’</w:t>
      </w:r>
      <w:r w:rsidRPr="002C739B">
        <w:rPr>
          <w:rFonts w:cs="Times New Roman"/>
          <w:lang w:val="fr-CA"/>
        </w:rPr>
        <w:t>arbitre).  Une cour de justice aurait alors le pouvoir d</w:t>
      </w:r>
      <w:r>
        <w:rPr>
          <w:rFonts w:cs="Times New Roman"/>
          <w:lang w:val="fr-CA"/>
        </w:rPr>
        <w:t>’</w:t>
      </w:r>
      <w:r w:rsidRPr="002C739B">
        <w:rPr>
          <w:rFonts w:cs="Times New Roman"/>
          <w:lang w:val="fr-CA"/>
        </w:rPr>
        <w:t>accorder des intérêts à compter de la date de la sentence jusqu</w:t>
      </w:r>
      <w:r>
        <w:rPr>
          <w:rFonts w:cs="Times New Roman"/>
          <w:lang w:val="fr-CA"/>
        </w:rPr>
        <w:t>’</w:t>
      </w:r>
      <w:r w:rsidRPr="002C739B">
        <w:rPr>
          <w:rFonts w:cs="Times New Roman"/>
          <w:lang w:val="fr-CA"/>
        </w:rPr>
        <w:t>à celle de son inscription en tant que jugement dans le cadre d</w:t>
      </w:r>
      <w:r>
        <w:rPr>
          <w:rFonts w:cs="Times New Roman"/>
          <w:lang w:val="fr-CA"/>
        </w:rPr>
        <w:t>’</w:t>
      </w:r>
      <w:r w:rsidRPr="002C739B">
        <w:rPr>
          <w:rFonts w:cs="Times New Roman"/>
          <w:lang w:val="fr-CA"/>
        </w:rPr>
        <w:t>une procédure d</w:t>
      </w:r>
      <w:r>
        <w:rPr>
          <w:rFonts w:cs="Times New Roman"/>
          <w:lang w:val="fr-CA"/>
        </w:rPr>
        <w:t>’</w:t>
      </w:r>
      <w:r w:rsidRPr="002C739B">
        <w:rPr>
          <w:rFonts w:cs="Times New Roman"/>
          <w:lang w:val="fr-CA"/>
        </w:rPr>
        <w:t>exécution (intérêts simples avant jugement) ainsi que des intérêts à compter de l</w:t>
      </w:r>
      <w:r>
        <w:rPr>
          <w:rFonts w:cs="Times New Roman"/>
          <w:lang w:val="fr-CA"/>
        </w:rPr>
        <w:t>’</w:t>
      </w:r>
      <w:r w:rsidRPr="002C739B">
        <w:rPr>
          <w:rFonts w:cs="Times New Roman"/>
          <w:lang w:val="fr-CA"/>
        </w:rPr>
        <w:t>inscription de la sentence en tant que jugement dans le cadre d</w:t>
      </w:r>
      <w:r>
        <w:rPr>
          <w:rFonts w:cs="Times New Roman"/>
          <w:lang w:val="fr-CA"/>
        </w:rPr>
        <w:t>’</w:t>
      </w:r>
      <w:r w:rsidRPr="002C739B">
        <w:rPr>
          <w:rFonts w:cs="Times New Roman"/>
          <w:lang w:val="fr-CA"/>
        </w:rPr>
        <w:t>une procédure d</w:t>
      </w:r>
      <w:r>
        <w:rPr>
          <w:rFonts w:cs="Times New Roman"/>
          <w:lang w:val="fr-CA"/>
        </w:rPr>
        <w:t>’</w:t>
      </w:r>
      <w:r w:rsidRPr="002C739B">
        <w:rPr>
          <w:rFonts w:cs="Times New Roman"/>
          <w:lang w:val="fr-CA"/>
        </w:rPr>
        <w:t>exécution jusqu</w:t>
      </w:r>
      <w:r>
        <w:rPr>
          <w:rFonts w:cs="Times New Roman"/>
          <w:lang w:val="fr-CA"/>
        </w:rPr>
        <w:t>’</w:t>
      </w:r>
      <w:r w:rsidRPr="002C739B">
        <w:rPr>
          <w:rFonts w:cs="Times New Roman"/>
          <w:lang w:val="fr-CA"/>
        </w:rPr>
        <w:t xml:space="preserve">au moment où la somme due est payée (intérêts simples postérieurs au jugement). </w:t>
      </w:r>
    </w:p>
    <w:p w:rsidR="00535732" w:rsidRPr="002C739B" w:rsidRDefault="00535732" w:rsidP="00535732">
      <w:pPr>
        <w:pStyle w:val="ParaNoNdepar-AltN"/>
        <w:rPr>
          <w:rFonts w:cs="Times New Roman"/>
          <w:lang w:val="fr-CA"/>
        </w:rPr>
      </w:pPr>
      <w:r w:rsidRPr="002C739B">
        <w:rPr>
          <w:rFonts w:cs="Times New Roman"/>
          <w:lang w:val="fr-CA"/>
        </w:rPr>
        <w:t>Une telle approche soulève deux difficultés.  Premièrement, elle repose sur une interprétation artificielle et forcée de l</w:t>
      </w:r>
      <w:r>
        <w:rPr>
          <w:rFonts w:cs="Times New Roman"/>
          <w:lang w:val="fr-CA"/>
        </w:rPr>
        <w:t>’</w:t>
      </w:r>
      <w:r w:rsidRPr="002C739B">
        <w:rPr>
          <w:rFonts w:cs="Times New Roman"/>
          <w:lang w:val="fr-CA"/>
        </w:rPr>
        <w:t>expression « cause d</w:t>
      </w:r>
      <w:r>
        <w:rPr>
          <w:rFonts w:cs="Times New Roman"/>
          <w:lang w:val="fr-CA"/>
        </w:rPr>
        <w:t>’</w:t>
      </w:r>
      <w:r w:rsidRPr="002C739B">
        <w:rPr>
          <w:rFonts w:cs="Times New Roman"/>
          <w:lang w:val="fr-CA"/>
        </w:rPr>
        <w:t>action » dans le contexte d</w:t>
      </w:r>
      <w:r>
        <w:rPr>
          <w:rFonts w:cs="Times New Roman"/>
          <w:lang w:val="fr-CA"/>
        </w:rPr>
        <w:t>’</w:t>
      </w:r>
      <w:r w:rsidRPr="002C739B">
        <w:rPr>
          <w:rFonts w:cs="Times New Roman"/>
          <w:lang w:val="fr-CA"/>
        </w:rPr>
        <w:t xml:space="preserve">un arbitrage fondé sur la </w:t>
      </w:r>
      <w:r w:rsidRPr="002C739B">
        <w:rPr>
          <w:rFonts w:cs="Times New Roman"/>
          <w:i/>
          <w:lang w:val="fr-CA"/>
        </w:rPr>
        <w:t>CAA</w:t>
      </w:r>
      <w:r w:rsidRPr="002C739B">
        <w:rPr>
          <w:rFonts w:cs="Times New Roman"/>
          <w:lang w:val="fr-CA"/>
        </w:rPr>
        <w:t>.  En effet, la sentence arbitrale est le résultat du règlement de la cause d</w:t>
      </w:r>
      <w:r>
        <w:rPr>
          <w:rFonts w:cs="Times New Roman"/>
          <w:lang w:val="fr-CA"/>
        </w:rPr>
        <w:t>’</w:t>
      </w:r>
      <w:r w:rsidRPr="002C739B">
        <w:rPr>
          <w:rFonts w:cs="Times New Roman"/>
          <w:lang w:val="fr-CA"/>
        </w:rPr>
        <w:t>action et rien ne tend à indiquer que la sentence elle</w:t>
      </w:r>
      <w:r w:rsidRPr="002C739B">
        <w:rPr>
          <w:rFonts w:cs="Times New Roman"/>
          <w:lang w:val="fr-CA"/>
        </w:rPr>
        <w:noBreakHyphen/>
        <w:t>même donne naissance à une nouvelle cause d</w:t>
      </w:r>
      <w:r>
        <w:rPr>
          <w:rFonts w:cs="Times New Roman"/>
          <w:lang w:val="fr-CA"/>
        </w:rPr>
        <w:t>’</w:t>
      </w:r>
      <w:r w:rsidRPr="002C739B">
        <w:rPr>
          <w:rFonts w:cs="Times New Roman"/>
          <w:lang w:val="fr-CA"/>
        </w:rPr>
        <w:t>action.</w:t>
      </w:r>
    </w:p>
    <w:p w:rsidR="00535732" w:rsidRPr="002C739B" w:rsidRDefault="00535732" w:rsidP="00535732">
      <w:pPr>
        <w:pStyle w:val="ParaNoNdepar-AltN"/>
        <w:rPr>
          <w:rFonts w:cs="Times New Roman"/>
          <w:lang w:val="fr-CA"/>
        </w:rPr>
      </w:pPr>
      <w:r w:rsidRPr="002C739B">
        <w:rPr>
          <w:rFonts w:cs="Times New Roman"/>
          <w:lang w:val="fr-CA"/>
        </w:rPr>
        <w:t>Deuxièmement, l</w:t>
      </w:r>
      <w:r>
        <w:rPr>
          <w:rFonts w:cs="Times New Roman"/>
          <w:lang w:val="fr-CA"/>
        </w:rPr>
        <w:t>’</w:t>
      </w:r>
      <w:r w:rsidRPr="002C739B">
        <w:rPr>
          <w:rFonts w:cs="Times New Roman"/>
          <w:lang w:val="fr-CA"/>
        </w:rPr>
        <w:t>interprétation proposée par Teal ne tient pas compte du fait que l</w:t>
      </w:r>
      <w:r>
        <w:rPr>
          <w:rFonts w:cs="Times New Roman"/>
          <w:lang w:val="fr-CA"/>
        </w:rPr>
        <w:t>’</w:t>
      </w:r>
      <w:r w:rsidRPr="002C739B">
        <w:rPr>
          <w:rFonts w:cs="Times New Roman"/>
          <w:lang w:val="fr-CA"/>
        </w:rPr>
        <w:t>art. 28 assimile la somme dont le paiement est ordonné par une sentence arbitrale à une condamnation pécuniaire prononcée par une cour de justice.  L</w:t>
      </w:r>
      <w:r>
        <w:rPr>
          <w:rFonts w:cs="Times New Roman"/>
          <w:lang w:val="fr-CA"/>
        </w:rPr>
        <w:t>’</w:t>
      </w:r>
      <w:r w:rsidRPr="002C739B">
        <w:rPr>
          <w:rFonts w:cs="Times New Roman"/>
          <w:lang w:val="fr-CA"/>
        </w:rPr>
        <w:t>application de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ne requiert pas qu</w:t>
      </w:r>
      <w:r>
        <w:rPr>
          <w:rFonts w:cs="Times New Roman"/>
          <w:lang w:val="fr-CA"/>
        </w:rPr>
        <w:t>’</w:t>
      </w:r>
      <w:r w:rsidRPr="002C739B">
        <w:rPr>
          <w:rFonts w:cs="Times New Roman"/>
          <w:lang w:val="fr-CA"/>
        </w:rPr>
        <w:t>une partie s</w:t>
      </w:r>
      <w:r>
        <w:rPr>
          <w:rFonts w:cs="Times New Roman"/>
          <w:lang w:val="fr-CA"/>
        </w:rPr>
        <w:t>’</w:t>
      </w:r>
      <w:r w:rsidRPr="002C739B">
        <w:rPr>
          <w:rFonts w:cs="Times New Roman"/>
          <w:lang w:val="fr-CA"/>
        </w:rPr>
        <w:t xml:space="preserve">adresse aux tribunaux pour faire exécuter la sentence — la somme dont le paiement est ordonné </w:t>
      </w:r>
      <w:r w:rsidRPr="002C739B">
        <w:rPr>
          <w:rFonts w:cs="Times New Roman"/>
          <w:lang w:val="fr-CA"/>
        </w:rPr>
        <w:lastRenderedPageBreak/>
        <w:t xml:space="preserve">par la sentence constitue, en vertu de cette disposition, une condamnation pécuniaire prononcée par une cour de justice, et ce, </w:t>
      </w:r>
      <w:r w:rsidRPr="002C739B">
        <w:rPr>
          <w:rFonts w:cs="Times New Roman"/>
          <w:i/>
          <w:lang w:val="fr-CA"/>
        </w:rPr>
        <w:t>que des mesures d</w:t>
      </w:r>
      <w:r>
        <w:rPr>
          <w:rFonts w:cs="Times New Roman"/>
          <w:i/>
          <w:lang w:val="fr-CA"/>
        </w:rPr>
        <w:t>’</w:t>
      </w:r>
      <w:r w:rsidRPr="002C739B">
        <w:rPr>
          <w:rFonts w:cs="Times New Roman"/>
          <w:i/>
          <w:lang w:val="fr-CA"/>
        </w:rPr>
        <w:t>exécution soient prises ou non</w:t>
      </w:r>
      <w:r w:rsidRPr="002C739B">
        <w:rPr>
          <w:rFonts w:cs="Times New Roman"/>
          <w:lang w:val="fr-CA"/>
        </w:rPr>
        <w:t>.  Voilà le sens ordinaire de l</w:t>
      </w:r>
      <w:r>
        <w:rPr>
          <w:rFonts w:cs="Times New Roman"/>
          <w:lang w:val="fr-CA"/>
        </w:rPr>
        <w:t>’</w:t>
      </w:r>
      <w:r w:rsidRPr="002C739B">
        <w:rPr>
          <w:rFonts w:cs="Times New Roman"/>
          <w:lang w:val="fr-CA"/>
        </w:rPr>
        <w:t>art. 28.  Le texte de cet article n</w:t>
      </w:r>
      <w:r>
        <w:rPr>
          <w:rFonts w:cs="Times New Roman"/>
          <w:lang w:val="fr-CA"/>
        </w:rPr>
        <w:t>’</w:t>
      </w:r>
      <w:r w:rsidRPr="002C739B">
        <w:rPr>
          <w:rFonts w:cs="Times New Roman"/>
          <w:lang w:val="fr-CA"/>
        </w:rPr>
        <w:t>exige pas la prise de mesures d</w:t>
      </w:r>
      <w:r>
        <w:rPr>
          <w:rFonts w:cs="Times New Roman"/>
          <w:lang w:val="fr-CA"/>
        </w:rPr>
        <w:t>’</w:t>
      </w:r>
      <w:r w:rsidRPr="002C739B">
        <w:rPr>
          <w:rFonts w:cs="Times New Roman"/>
          <w:lang w:val="fr-CA"/>
        </w:rPr>
        <w:t>exécution fondées sur l</w:t>
      </w:r>
      <w:r>
        <w:rPr>
          <w:rFonts w:cs="Times New Roman"/>
          <w:lang w:val="fr-CA"/>
        </w:rPr>
        <w:t>’</w:t>
      </w:r>
      <w:r w:rsidRPr="002C739B">
        <w:rPr>
          <w:rFonts w:cs="Times New Roman"/>
          <w:lang w:val="fr-CA"/>
        </w:rPr>
        <w:t xml:space="preserve">art. 29 de la </w:t>
      </w:r>
      <w:r w:rsidRPr="002C739B">
        <w:rPr>
          <w:rFonts w:cs="Times New Roman"/>
          <w:i/>
          <w:lang w:val="fr-CA"/>
        </w:rPr>
        <w:t>CAA</w:t>
      </w:r>
      <w:r w:rsidRPr="002C739B">
        <w:rPr>
          <w:rFonts w:cs="Times New Roman"/>
          <w:lang w:val="fr-CA"/>
        </w:rPr>
        <w:t xml:space="preserve"> pour que les dispositions relatives aux intérêts produisent leurs effets. </w:t>
      </w:r>
    </w:p>
    <w:p w:rsidR="00535732" w:rsidRPr="002C739B" w:rsidRDefault="00535732" w:rsidP="00535732">
      <w:pPr>
        <w:pStyle w:val="ParaNoNdepar-AltN"/>
        <w:rPr>
          <w:rFonts w:cs="Times New Roman"/>
          <w:lang w:val="fr-CA"/>
        </w:rPr>
      </w:pPr>
      <w:r w:rsidRPr="002C739B">
        <w:rPr>
          <w:rFonts w:cs="Times New Roman"/>
          <w:lang w:val="fr-CA"/>
        </w:rPr>
        <w:t>Aux termes de l</w:t>
      </w:r>
      <w:r>
        <w:rPr>
          <w:rFonts w:cs="Times New Roman"/>
          <w:lang w:val="fr-CA"/>
        </w:rPr>
        <w:t>’</w:t>
      </w:r>
      <w:r w:rsidRPr="002C739B">
        <w:rPr>
          <w:rFonts w:cs="Times New Roman"/>
          <w:lang w:val="fr-CA"/>
        </w:rPr>
        <w:t>art. 29, la cour de justice inscrit un [</w:t>
      </w:r>
      <w:r w:rsidRPr="002C739B">
        <w:rPr>
          <w:rFonts w:cs="Times New Roman"/>
          <w:smallCaps/>
          <w:lang w:val="fr-CA"/>
        </w:rPr>
        <w:t>traduction</w:t>
      </w:r>
      <w:r w:rsidRPr="002C739B">
        <w:rPr>
          <w:rFonts w:cs="Times New Roman"/>
          <w:lang w:val="fr-CA"/>
        </w:rPr>
        <w:t>] « </w:t>
      </w:r>
      <w:r w:rsidRPr="002C739B">
        <w:rPr>
          <w:rFonts w:cs="Times New Roman"/>
          <w:u w:val="single"/>
          <w:lang w:val="fr-CA"/>
        </w:rPr>
        <w:t>jugement</w:t>
      </w:r>
      <w:r w:rsidRPr="002C739B">
        <w:rPr>
          <w:rFonts w:cs="Times New Roman"/>
          <w:lang w:val="fr-CA"/>
        </w:rPr>
        <w:t xml:space="preserve"> [. . .] suivant les modalités de la sentence ».  Un jugement </w:t>
      </w:r>
      <w:r w:rsidRPr="002C739B">
        <w:rPr>
          <w:rFonts w:cs="Times New Roman"/>
          <w:iCs/>
          <w:lang w:val="fr-CA"/>
        </w:rPr>
        <w:t xml:space="preserve">rendu </w:t>
      </w:r>
      <w:r w:rsidRPr="002C739B">
        <w:rPr>
          <w:rFonts w:cs="Times New Roman"/>
          <w:i/>
          <w:iCs/>
          <w:lang w:val="fr-CA"/>
        </w:rPr>
        <w:t>par une cour de justice</w:t>
      </w:r>
      <w:r w:rsidRPr="002C739B">
        <w:rPr>
          <w:rFonts w:cs="Times New Roman"/>
          <w:iCs/>
          <w:lang w:val="fr-CA"/>
        </w:rPr>
        <w:t xml:space="preserve"> constitue déjà un jugement</w:t>
      </w:r>
      <w:r w:rsidRPr="002C739B">
        <w:rPr>
          <w:rFonts w:cs="Times New Roman"/>
          <w:lang w:val="fr-CA"/>
        </w:rPr>
        <w:t xml:space="preserve"> et il n</w:t>
      </w:r>
      <w:r>
        <w:rPr>
          <w:rFonts w:cs="Times New Roman"/>
          <w:lang w:val="fr-CA"/>
        </w:rPr>
        <w:t>’</w:t>
      </w:r>
      <w:r w:rsidRPr="002C739B">
        <w:rPr>
          <w:rFonts w:cs="Times New Roman"/>
          <w:lang w:val="fr-CA"/>
        </w:rPr>
        <w:t>est aucunement nécessaire d</w:t>
      </w:r>
      <w:r>
        <w:rPr>
          <w:rFonts w:cs="Times New Roman"/>
          <w:lang w:val="fr-CA"/>
        </w:rPr>
        <w:t>’</w:t>
      </w:r>
      <w:r w:rsidRPr="002C739B">
        <w:rPr>
          <w:rFonts w:cs="Times New Roman"/>
          <w:lang w:val="fr-CA"/>
        </w:rPr>
        <w:t>invoquer l</w:t>
      </w:r>
      <w:r>
        <w:rPr>
          <w:rFonts w:cs="Times New Roman"/>
          <w:lang w:val="fr-CA"/>
        </w:rPr>
        <w:t>’</w:t>
      </w:r>
      <w:r w:rsidRPr="002C739B">
        <w:rPr>
          <w:rFonts w:cs="Times New Roman"/>
          <w:lang w:val="fr-CA"/>
        </w:rPr>
        <w:t>art. 28 pour qu</w:t>
      </w:r>
      <w:r>
        <w:rPr>
          <w:rFonts w:cs="Times New Roman"/>
          <w:lang w:val="fr-CA"/>
        </w:rPr>
        <w:t>’</w:t>
      </w:r>
      <w:r w:rsidRPr="002C739B">
        <w:rPr>
          <w:rFonts w:cs="Times New Roman"/>
          <w:lang w:val="fr-CA"/>
        </w:rPr>
        <w:t xml:space="preserve">il soit </w:t>
      </w:r>
      <w:r w:rsidRPr="002C739B">
        <w:rPr>
          <w:rFonts w:cs="Times New Roman"/>
          <w:i/>
          <w:lang w:val="fr-CA"/>
        </w:rPr>
        <w:t>de nouveau</w:t>
      </w:r>
      <w:r w:rsidRPr="002C739B">
        <w:rPr>
          <w:rFonts w:cs="Times New Roman"/>
          <w:lang w:val="fr-CA"/>
        </w:rPr>
        <w:t xml:space="preserve"> assimilé à « une condamnation pécuniaire prononcée par une cour de justice ».  Mais c</w:t>
      </w:r>
      <w:r>
        <w:rPr>
          <w:rFonts w:cs="Times New Roman"/>
          <w:lang w:val="fr-CA"/>
        </w:rPr>
        <w:t>’</w:t>
      </w:r>
      <w:r w:rsidRPr="002C739B">
        <w:rPr>
          <w:rFonts w:cs="Times New Roman"/>
          <w:lang w:val="fr-CA"/>
        </w:rPr>
        <w:t>est pourtant ce qu</w:t>
      </w:r>
      <w:r>
        <w:rPr>
          <w:rFonts w:cs="Times New Roman"/>
          <w:lang w:val="fr-CA"/>
        </w:rPr>
        <w:t>’</w:t>
      </w:r>
      <w:r w:rsidRPr="002C739B">
        <w:rPr>
          <w:rFonts w:cs="Times New Roman"/>
          <w:lang w:val="fr-CA"/>
        </w:rPr>
        <w:t>aurait pour effet d</w:t>
      </w:r>
      <w:r>
        <w:rPr>
          <w:rFonts w:cs="Times New Roman"/>
          <w:lang w:val="fr-CA"/>
        </w:rPr>
        <w:t>’</w:t>
      </w:r>
      <w:r w:rsidRPr="002C739B">
        <w:rPr>
          <w:rFonts w:cs="Times New Roman"/>
          <w:lang w:val="fr-CA"/>
        </w:rPr>
        <w:t>exiger l</w:t>
      </w:r>
      <w:r>
        <w:rPr>
          <w:rFonts w:cs="Times New Roman"/>
          <w:lang w:val="fr-CA"/>
        </w:rPr>
        <w:t>’</w:t>
      </w:r>
      <w:r w:rsidRPr="002C739B">
        <w:rPr>
          <w:rFonts w:cs="Times New Roman"/>
          <w:lang w:val="fr-CA"/>
        </w:rPr>
        <w:t>interprétation proposée par Teal, ce qui rendrait l</w:t>
      </w:r>
      <w:r>
        <w:rPr>
          <w:rFonts w:cs="Times New Roman"/>
          <w:lang w:val="fr-CA"/>
        </w:rPr>
        <w:t>’</w:t>
      </w:r>
      <w:r w:rsidRPr="002C739B">
        <w:rPr>
          <w:rFonts w:cs="Times New Roman"/>
          <w:lang w:val="fr-CA"/>
        </w:rPr>
        <w:t>art. 28 dénué de sens.  Suivant un principe d</w:t>
      </w:r>
      <w:r>
        <w:rPr>
          <w:rFonts w:cs="Times New Roman"/>
          <w:lang w:val="fr-CA"/>
        </w:rPr>
        <w:t>’</w:t>
      </w:r>
      <w:r w:rsidRPr="002C739B">
        <w:rPr>
          <w:rFonts w:cs="Times New Roman"/>
          <w:lang w:val="fr-CA"/>
        </w:rPr>
        <w:t>interprétation législative reconnu, une disposition législative ne doit pas être interprétée de façon telle qu</w:t>
      </w:r>
      <w:r>
        <w:rPr>
          <w:rFonts w:cs="Times New Roman"/>
          <w:lang w:val="fr-CA"/>
        </w:rPr>
        <w:t>’</w:t>
      </w:r>
      <w:r w:rsidRPr="002C739B">
        <w:rPr>
          <w:rFonts w:cs="Times New Roman"/>
          <w:lang w:val="fr-CA"/>
        </w:rPr>
        <w:t>elle devienne [</w:t>
      </w:r>
      <w:r w:rsidRPr="002C739B">
        <w:rPr>
          <w:rFonts w:cs="Times New Roman"/>
          <w:smallCaps/>
          <w:lang w:val="fr-CA"/>
        </w:rPr>
        <w:t>traduction</w:t>
      </w:r>
      <w:r w:rsidRPr="002C739B">
        <w:rPr>
          <w:rFonts w:cs="Times New Roman"/>
          <w:lang w:val="fr-CA"/>
        </w:rPr>
        <w:t xml:space="preserve">] « superfétatoire » : R. Sullivan, </w:t>
      </w:r>
      <w:r w:rsidRPr="002C739B">
        <w:rPr>
          <w:rFonts w:cs="Times New Roman"/>
          <w:i/>
          <w:lang w:val="fr-CA"/>
        </w:rPr>
        <w:t>Sullivan on the Construction of Statutes</w:t>
      </w:r>
      <w:r w:rsidRPr="002C739B">
        <w:rPr>
          <w:rFonts w:cs="Times New Roman"/>
          <w:lang w:val="fr-CA"/>
        </w:rPr>
        <w:t xml:space="preserve"> (5</w:t>
      </w:r>
      <w:r w:rsidRPr="002C739B">
        <w:rPr>
          <w:rFonts w:cs="Times New Roman"/>
          <w:vertAlign w:val="superscript"/>
          <w:lang w:val="fr-CA"/>
        </w:rPr>
        <w:t>e </w:t>
      </w:r>
      <w:r w:rsidRPr="002C739B">
        <w:rPr>
          <w:rFonts w:cs="Times New Roman"/>
          <w:lang w:val="fr-CA"/>
        </w:rPr>
        <w:t xml:space="preserve">éd. 2008), p. 210, se référant à </w:t>
      </w:r>
      <w:r w:rsidRPr="002C739B">
        <w:rPr>
          <w:rFonts w:cs="Times New Roman"/>
          <w:i/>
          <w:lang w:val="fr-CA"/>
        </w:rPr>
        <w:t>R. c. Proulx</w:t>
      </w:r>
      <w:r w:rsidRPr="002C739B">
        <w:rPr>
          <w:rFonts w:cs="Times New Roman"/>
          <w:lang w:val="fr-CA"/>
        </w:rPr>
        <w:t>, 2000 CSC 5</w:t>
      </w:r>
      <w:r>
        <w:rPr>
          <w:rFonts w:cs="Times New Roman"/>
          <w:lang w:val="fr-CA"/>
        </w:rPr>
        <w:t>,</w:t>
      </w:r>
      <w:r w:rsidRPr="002C739B">
        <w:rPr>
          <w:rFonts w:cs="Times New Roman"/>
          <w:lang w:val="fr-CA"/>
        </w:rPr>
        <w:t xml:space="preserve"> [2000] 1 R.C.S. 61, par. 28, le juge en chef Lamer.  </w:t>
      </w:r>
    </w:p>
    <w:p w:rsidR="00535732" w:rsidRPr="002C739B" w:rsidRDefault="00535732" w:rsidP="00535732">
      <w:pPr>
        <w:pStyle w:val="TitleTitre-AltT"/>
        <w:tabs>
          <w:tab w:val="clear" w:pos="360"/>
          <w:tab w:val="left" w:pos="1170"/>
        </w:tabs>
        <w:ind w:left="1613" w:hanging="1800"/>
        <w:rPr>
          <w:rFonts w:cs="Times New Roman"/>
          <w:i/>
          <w:lang w:val="fr-CA"/>
        </w:rPr>
      </w:pPr>
      <w:r w:rsidRPr="002C739B">
        <w:rPr>
          <w:rFonts w:cs="Times New Roman"/>
          <w:lang w:val="fr-CA"/>
        </w:rPr>
        <w:tab/>
        <w:t>b)</w:t>
      </w:r>
      <w:r w:rsidRPr="002C739B">
        <w:rPr>
          <w:rFonts w:cs="Times New Roman"/>
          <w:lang w:val="fr-CA"/>
        </w:rPr>
        <w:tab/>
      </w:r>
      <w:r w:rsidRPr="002C739B">
        <w:rPr>
          <w:rFonts w:cs="Times New Roman"/>
          <w:i/>
          <w:lang w:val="fr-CA"/>
        </w:rPr>
        <w:t>Absence de disposition assimilant l</w:t>
      </w:r>
      <w:r>
        <w:rPr>
          <w:rFonts w:cs="Times New Roman"/>
          <w:i/>
          <w:lang w:val="fr-CA"/>
        </w:rPr>
        <w:t>’</w:t>
      </w:r>
      <w:r w:rsidRPr="002C739B">
        <w:rPr>
          <w:rFonts w:cs="Times New Roman"/>
          <w:i/>
          <w:lang w:val="fr-CA"/>
        </w:rPr>
        <w:t xml:space="preserve">arbitre à une cour de justice </w:t>
      </w:r>
    </w:p>
    <w:p w:rsidR="00535732" w:rsidRPr="002C739B" w:rsidRDefault="00535732" w:rsidP="00535732">
      <w:pPr>
        <w:pStyle w:val="ParaNoNdepar-AltN"/>
        <w:rPr>
          <w:rFonts w:cs="Times New Roman"/>
          <w:lang w:val="fr-CA"/>
        </w:rPr>
      </w:pPr>
      <w:r w:rsidRPr="002C739B">
        <w:rPr>
          <w:rFonts w:cs="Times New Roman"/>
          <w:lang w:val="fr-CA"/>
        </w:rPr>
        <w:t>Teal prétend qu</w:t>
      </w:r>
      <w:r>
        <w:rPr>
          <w:rFonts w:cs="Times New Roman"/>
          <w:lang w:val="fr-CA"/>
        </w:rPr>
        <w:t>’</w:t>
      </w:r>
      <w:r w:rsidRPr="002C739B">
        <w:rPr>
          <w:rFonts w:cs="Times New Roman"/>
          <w:lang w:val="fr-CA"/>
        </w:rPr>
        <w:t>il faut retenir une des interprétations qu</w:t>
      </w:r>
      <w:r>
        <w:rPr>
          <w:rFonts w:cs="Times New Roman"/>
          <w:lang w:val="fr-CA"/>
        </w:rPr>
        <w:t>’</w:t>
      </w:r>
      <w:r w:rsidRPr="002C739B">
        <w:rPr>
          <w:rFonts w:cs="Times New Roman"/>
          <w:lang w:val="fr-CA"/>
        </w:rPr>
        <w:t xml:space="preserve">elle propose, car le par. 1(1) de la </w:t>
      </w:r>
      <w:r w:rsidRPr="002C739B">
        <w:rPr>
          <w:rFonts w:cs="Times New Roman"/>
          <w:i/>
          <w:lang w:val="fr-CA"/>
        </w:rPr>
        <w:t>COIA</w:t>
      </w:r>
      <w:r w:rsidRPr="002C739B">
        <w:rPr>
          <w:rFonts w:cs="Times New Roman"/>
          <w:lang w:val="fr-CA"/>
        </w:rPr>
        <w:t xml:space="preserve"> impose l</w:t>
      </w:r>
      <w:r>
        <w:rPr>
          <w:rFonts w:cs="Times New Roman"/>
          <w:lang w:val="fr-CA"/>
        </w:rPr>
        <w:t>’</w:t>
      </w:r>
      <w:r w:rsidRPr="002C739B">
        <w:rPr>
          <w:rFonts w:cs="Times New Roman"/>
          <w:lang w:val="fr-CA"/>
        </w:rPr>
        <w:t>obligation d</w:t>
      </w:r>
      <w:r>
        <w:rPr>
          <w:rFonts w:cs="Times New Roman"/>
          <w:lang w:val="fr-CA"/>
        </w:rPr>
        <w:t>’</w:t>
      </w:r>
      <w:r w:rsidRPr="002C739B">
        <w:rPr>
          <w:rFonts w:cs="Times New Roman"/>
          <w:lang w:val="fr-CA"/>
        </w:rPr>
        <w:t>accorder des intérêts uniquement à une « cour de justice » et non à un arbitre.  Elle affirme que l</w:t>
      </w:r>
      <w:r>
        <w:rPr>
          <w:rFonts w:cs="Times New Roman"/>
          <w:lang w:val="fr-CA"/>
        </w:rPr>
        <w:t>’</w:t>
      </w:r>
      <w:r w:rsidRPr="002C739B">
        <w:rPr>
          <w:rFonts w:cs="Times New Roman"/>
          <w:lang w:val="fr-CA"/>
        </w:rPr>
        <w:t>art. 28 n</w:t>
      </w:r>
      <w:r>
        <w:rPr>
          <w:rFonts w:cs="Times New Roman"/>
          <w:lang w:val="fr-CA"/>
        </w:rPr>
        <w:t>’</w:t>
      </w:r>
      <w:r w:rsidRPr="002C739B">
        <w:rPr>
          <w:rFonts w:cs="Times New Roman"/>
          <w:lang w:val="fr-CA"/>
        </w:rPr>
        <w:t>a pas pour effet d</w:t>
      </w:r>
      <w:r>
        <w:rPr>
          <w:rFonts w:cs="Times New Roman"/>
          <w:lang w:val="fr-CA"/>
        </w:rPr>
        <w:t>’</w:t>
      </w:r>
      <w:r w:rsidRPr="002C739B">
        <w:rPr>
          <w:rFonts w:cs="Times New Roman"/>
          <w:lang w:val="fr-CA"/>
        </w:rPr>
        <w:t>assimiler l</w:t>
      </w:r>
      <w:r>
        <w:rPr>
          <w:rFonts w:cs="Times New Roman"/>
          <w:lang w:val="fr-CA"/>
        </w:rPr>
        <w:t>’</w:t>
      </w:r>
      <w:r w:rsidRPr="002C739B">
        <w:rPr>
          <w:rFonts w:cs="Times New Roman"/>
          <w:lang w:val="fr-CA"/>
        </w:rPr>
        <w:t xml:space="preserve">arbitre à une cour de justice.  Bien que Teal ait indubitablement raison </w:t>
      </w:r>
      <w:r w:rsidRPr="002C739B">
        <w:rPr>
          <w:rFonts w:cs="Times New Roman"/>
          <w:lang w:val="fr-CA"/>
        </w:rPr>
        <w:lastRenderedPageBreak/>
        <w:t>de dire que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n</w:t>
      </w:r>
      <w:r>
        <w:rPr>
          <w:rFonts w:cs="Times New Roman"/>
          <w:lang w:val="fr-CA"/>
        </w:rPr>
        <w:t>’</w:t>
      </w:r>
      <w:r w:rsidRPr="002C739B">
        <w:rPr>
          <w:rFonts w:cs="Times New Roman"/>
          <w:lang w:val="fr-CA"/>
        </w:rPr>
        <w:t>assimile pas expressément les arbitres à une cour de justice, il me semble néanmoins que c</w:t>
      </w:r>
      <w:r>
        <w:rPr>
          <w:rFonts w:cs="Times New Roman"/>
          <w:lang w:val="fr-CA"/>
        </w:rPr>
        <w:t>’</w:t>
      </w:r>
      <w:r w:rsidRPr="002C739B">
        <w:rPr>
          <w:rFonts w:cs="Times New Roman"/>
          <w:lang w:val="fr-CA"/>
        </w:rPr>
        <w:t>est la conclusion qui ressort, par implication nécessaire, des termes de la disposition précisant qu</w:t>
      </w:r>
      <w:r>
        <w:rPr>
          <w:rFonts w:cs="Times New Roman"/>
          <w:lang w:val="fr-CA"/>
        </w:rPr>
        <w:t>’</w:t>
      </w:r>
      <w:r w:rsidRPr="002C739B">
        <w:rPr>
          <w:rFonts w:cs="Times New Roman"/>
          <w:lang w:val="fr-CA"/>
        </w:rPr>
        <w:t xml:space="preserve">une somme dont le paiement est ordonné par une sentence arbitrale constitue </w:t>
      </w:r>
      <w:r w:rsidRPr="002C739B">
        <w:rPr>
          <w:rFonts w:cs="Times New Roman"/>
          <w:smallCaps/>
          <w:lang w:val="fr-CA"/>
        </w:rPr>
        <w:t>[traduction</w:t>
      </w:r>
      <w:r w:rsidRPr="002C739B">
        <w:rPr>
          <w:rFonts w:cs="Times New Roman"/>
          <w:lang w:val="fr-CA"/>
        </w:rPr>
        <w:t>] « une condamnation pécuniaire prononcée par une cour de justice ».</w:t>
      </w:r>
    </w:p>
    <w:p w:rsidR="00535732" w:rsidRPr="002C739B" w:rsidRDefault="00535732" w:rsidP="00535732">
      <w:pPr>
        <w:pStyle w:val="ParaNoNdepar-AltN"/>
        <w:rPr>
          <w:rFonts w:cs="Times New Roman"/>
          <w:lang w:val="fr-CA"/>
        </w:rPr>
      </w:pPr>
      <w:r w:rsidRPr="002C739B">
        <w:rPr>
          <w:rFonts w:cs="Times New Roman"/>
          <w:lang w:val="fr-CA"/>
        </w:rPr>
        <w:t>L</w:t>
      </w:r>
      <w:r>
        <w:rPr>
          <w:rFonts w:cs="Times New Roman"/>
          <w:lang w:val="fr-CA"/>
        </w:rPr>
        <w:t>’</w:t>
      </w:r>
      <w:r w:rsidRPr="002C739B">
        <w:rPr>
          <w:rFonts w:cs="Times New Roman"/>
          <w:lang w:val="fr-CA"/>
        </w:rPr>
        <w:t xml:space="preserve">article 28 de la </w:t>
      </w:r>
      <w:r w:rsidRPr="002C739B">
        <w:rPr>
          <w:rFonts w:cs="Times New Roman"/>
          <w:i/>
          <w:lang w:val="fr-CA"/>
        </w:rPr>
        <w:t>CAA</w:t>
      </w:r>
      <w:r w:rsidRPr="002C739B">
        <w:rPr>
          <w:rFonts w:cs="Times New Roman"/>
          <w:lang w:val="fr-CA"/>
        </w:rPr>
        <w:t xml:space="preserve"> est le fondement législatif prévoyant que les sommes dont le paiement est ordonné par une sentence arbitrale portent intérêts.  Sauf en vertu de l</w:t>
      </w:r>
      <w:r>
        <w:rPr>
          <w:rFonts w:cs="Times New Roman"/>
          <w:lang w:val="fr-CA"/>
        </w:rPr>
        <w:t>’</w:t>
      </w:r>
      <w:r w:rsidRPr="002C739B">
        <w:rPr>
          <w:rFonts w:cs="Times New Roman"/>
          <w:lang w:val="fr-CA"/>
        </w:rPr>
        <w:t xml:space="preserve">art. 28, les arbitres qui agissent sous le régime de la </w:t>
      </w:r>
      <w:r w:rsidRPr="002C739B">
        <w:rPr>
          <w:rFonts w:cs="Times New Roman"/>
          <w:i/>
          <w:lang w:val="fr-CA"/>
        </w:rPr>
        <w:t>CAA</w:t>
      </w:r>
      <w:r w:rsidRPr="002C739B">
        <w:rPr>
          <w:rFonts w:cs="Times New Roman"/>
          <w:lang w:val="fr-CA"/>
        </w:rPr>
        <w:t xml:space="preserve"> ne sont pas autorisés à accorder des intérêts car, comme je l</w:t>
      </w:r>
      <w:r>
        <w:rPr>
          <w:rFonts w:cs="Times New Roman"/>
          <w:lang w:val="fr-CA"/>
        </w:rPr>
        <w:t>’</w:t>
      </w:r>
      <w:r w:rsidRPr="002C739B">
        <w:rPr>
          <w:rFonts w:cs="Times New Roman"/>
          <w:lang w:val="fr-CA"/>
        </w:rPr>
        <w:t xml:space="preserve">ai expliqué précédemment, des intérêts ne peuvent être accordés </w:t>
      </w:r>
      <w:r w:rsidRPr="002C739B">
        <w:rPr>
          <w:rFonts w:cs="Times New Roman"/>
          <w:i/>
          <w:lang w:val="fr-CA"/>
        </w:rPr>
        <w:t>en tant que partie intégrante de l</w:t>
      </w:r>
      <w:r>
        <w:rPr>
          <w:rFonts w:cs="Times New Roman"/>
          <w:i/>
          <w:lang w:val="fr-CA"/>
        </w:rPr>
        <w:t>’</w:t>
      </w:r>
      <w:r w:rsidRPr="002C739B">
        <w:rPr>
          <w:rFonts w:cs="Times New Roman"/>
          <w:i/>
          <w:lang w:val="fr-CA"/>
        </w:rPr>
        <w:t>indemnité</w:t>
      </w:r>
      <w:r w:rsidRPr="002C739B">
        <w:rPr>
          <w:rFonts w:cs="Times New Roman"/>
          <w:lang w:val="fr-CA"/>
        </w:rPr>
        <w:t>.  Partant de là, il faut maintenant se demander à qui il incombe d</w:t>
      </w:r>
      <w:r>
        <w:rPr>
          <w:rFonts w:cs="Times New Roman"/>
          <w:lang w:val="fr-CA"/>
        </w:rPr>
        <w:t>’</w:t>
      </w:r>
      <w:r w:rsidRPr="002C739B">
        <w:rPr>
          <w:rFonts w:cs="Times New Roman"/>
          <w:lang w:val="fr-CA"/>
        </w:rPr>
        <w:t>accorder des intérêts en vertu de l</w:t>
      </w:r>
      <w:r>
        <w:rPr>
          <w:rFonts w:cs="Times New Roman"/>
          <w:lang w:val="fr-CA"/>
        </w:rPr>
        <w:t>’</w:t>
      </w:r>
      <w:r w:rsidRPr="002C739B">
        <w:rPr>
          <w:rFonts w:cs="Times New Roman"/>
          <w:lang w:val="fr-CA"/>
        </w:rPr>
        <w:t>art. 28 : l</w:t>
      </w:r>
      <w:r>
        <w:rPr>
          <w:rFonts w:cs="Times New Roman"/>
          <w:lang w:val="fr-CA"/>
        </w:rPr>
        <w:t>’</w:t>
      </w:r>
      <w:r w:rsidRPr="002C739B">
        <w:rPr>
          <w:rFonts w:cs="Times New Roman"/>
          <w:lang w:val="fr-CA"/>
        </w:rPr>
        <w:t>arbitre ou une cour de justice?  Pour que cette disposition produise quelque effet concret, il m</w:t>
      </w:r>
      <w:r>
        <w:rPr>
          <w:rFonts w:cs="Times New Roman"/>
          <w:lang w:val="fr-CA"/>
        </w:rPr>
        <w:t>’</w:t>
      </w:r>
      <w:r w:rsidRPr="002C739B">
        <w:rPr>
          <w:rFonts w:cs="Times New Roman"/>
          <w:lang w:val="fr-CA"/>
        </w:rPr>
        <w:t>apparaît que c</w:t>
      </w:r>
      <w:r>
        <w:rPr>
          <w:rFonts w:cs="Times New Roman"/>
          <w:lang w:val="fr-CA"/>
        </w:rPr>
        <w:t>’</w:t>
      </w:r>
      <w:r w:rsidRPr="002C739B">
        <w:rPr>
          <w:rFonts w:cs="Times New Roman"/>
          <w:lang w:val="fr-CA"/>
        </w:rPr>
        <w:t>est nécessairement l</w:t>
      </w:r>
      <w:r>
        <w:rPr>
          <w:rFonts w:cs="Times New Roman"/>
          <w:lang w:val="fr-CA"/>
        </w:rPr>
        <w:t>’</w:t>
      </w:r>
      <w:r w:rsidRPr="002C739B">
        <w:rPr>
          <w:rFonts w:cs="Times New Roman"/>
          <w:lang w:val="fr-CA"/>
        </w:rPr>
        <w:t>arbitre qui est chargé d</w:t>
      </w:r>
      <w:r>
        <w:rPr>
          <w:rFonts w:cs="Times New Roman"/>
          <w:lang w:val="fr-CA"/>
        </w:rPr>
        <w:t>’</w:t>
      </w:r>
      <w:r w:rsidRPr="002C739B">
        <w:rPr>
          <w:rFonts w:cs="Times New Roman"/>
          <w:lang w:val="fr-CA"/>
        </w:rPr>
        <w:t xml:space="preserve">accorder les intérêts en vertu de cet article. </w:t>
      </w:r>
    </w:p>
    <w:p w:rsidR="00535732" w:rsidRPr="002C739B" w:rsidRDefault="00535732" w:rsidP="00535732">
      <w:pPr>
        <w:pStyle w:val="ParaNoNdepar-AltN"/>
        <w:rPr>
          <w:rFonts w:cs="Times New Roman"/>
          <w:lang w:val="fr-CA"/>
        </w:rPr>
      </w:pPr>
      <w:r w:rsidRPr="002C739B">
        <w:rPr>
          <w:rFonts w:cs="Times New Roman"/>
          <w:lang w:val="fr-CA"/>
        </w:rPr>
        <w:t>Si l</w:t>
      </w:r>
      <w:r>
        <w:rPr>
          <w:rFonts w:cs="Times New Roman"/>
          <w:lang w:val="fr-CA"/>
        </w:rPr>
        <w:t>’</w:t>
      </w:r>
      <w:r w:rsidRPr="002C739B">
        <w:rPr>
          <w:rFonts w:cs="Times New Roman"/>
          <w:lang w:val="fr-CA"/>
        </w:rPr>
        <w:t>article 28 requérait l</w:t>
      </w:r>
      <w:r>
        <w:rPr>
          <w:rFonts w:cs="Times New Roman"/>
          <w:lang w:val="fr-CA"/>
        </w:rPr>
        <w:t>’</w:t>
      </w:r>
      <w:r w:rsidRPr="002C739B">
        <w:rPr>
          <w:rFonts w:cs="Times New Roman"/>
          <w:lang w:val="fr-CA"/>
        </w:rPr>
        <w:t>intervention d</w:t>
      </w:r>
      <w:r>
        <w:rPr>
          <w:rFonts w:cs="Times New Roman"/>
          <w:lang w:val="fr-CA"/>
        </w:rPr>
        <w:t>’</w:t>
      </w:r>
      <w:r w:rsidRPr="002C739B">
        <w:rPr>
          <w:rFonts w:cs="Times New Roman"/>
          <w:lang w:val="fr-CA"/>
        </w:rPr>
        <w:t>une cour de justice pour que le paiement d</w:t>
      </w:r>
      <w:r>
        <w:rPr>
          <w:rFonts w:cs="Times New Roman"/>
          <w:lang w:val="fr-CA"/>
        </w:rPr>
        <w:t>’</w:t>
      </w:r>
      <w:r w:rsidRPr="002C739B">
        <w:rPr>
          <w:rFonts w:cs="Times New Roman"/>
          <w:lang w:val="fr-CA"/>
        </w:rPr>
        <w:t>intérêts puisse être ordonné, l</w:t>
      </w:r>
      <w:r>
        <w:rPr>
          <w:rFonts w:cs="Times New Roman"/>
          <w:lang w:val="fr-CA"/>
        </w:rPr>
        <w:t>’</w:t>
      </w:r>
      <w:r w:rsidRPr="002C739B">
        <w:rPr>
          <w:rFonts w:cs="Times New Roman"/>
          <w:lang w:val="fr-CA"/>
        </w:rPr>
        <w:t>arbitre demeurerait habilité à décider du principal de l</w:t>
      </w:r>
      <w:r>
        <w:rPr>
          <w:rFonts w:cs="Times New Roman"/>
          <w:lang w:val="fr-CA"/>
        </w:rPr>
        <w:t>’</w:t>
      </w:r>
      <w:r w:rsidRPr="002C739B">
        <w:rPr>
          <w:rFonts w:cs="Times New Roman"/>
          <w:lang w:val="fr-CA"/>
        </w:rPr>
        <w:t>indemnité, mais les parties devraient ensuite s</w:t>
      </w:r>
      <w:r>
        <w:rPr>
          <w:rFonts w:cs="Times New Roman"/>
          <w:lang w:val="fr-CA"/>
        </w:rPr>
        <w:t>’</w:t>
      </w:r>
      <w:r w:rsidRPr="002C739B">
        <w:rPr>
          <w:rFonts w:cs="Times New Roman"/>
          <w:lang w:val="fr-CA"/>
        </w:rPr>
        <w:t>adresser aux tribunaux pour obtenir des intérêts sur cette somme.  Une telle situation créerait deux problèmes.  Premièrement, les gains en efficacité que permet le processus d</w:t>
      </w:r>
      <w:r>
        <w:rPr>
          <w:rFonts w:cs="Times New Roman"/>
          <w:lang w:val="fr-CA"/>
        </w:rPr>
        <w:t>’</w:t>
      </w:r>
      <w:r w:rsidRPr="002C739B">
        <w:rPr>
          <w:rFonts w:cs="Times New Roman"/>
          <w:lang w:val="fr-CA"/>
        </w:rPr>
        <w:t>arbitrage seraient amoindris, puisque les parties devraient dans chaque cas faire appel aux tribunaux pour obtenir des intérêts sur les sommes</w:t>
      </w:r>
      <w:r w:rsidRPr="002C739B">
        <w:rPr>
          <w:rFonts w:eastAsia="Times New Roman" w:cs="Times New Roman"/>
          <w:szCs w:val="20"/>
          <w:lang w:val="fr-CA" w:eastAsia="en-CA"/>
        </w:rPr>
        <w:t xml:space="preserve"> </w:t>
      </w:r>
      <w:r w:rsidRPr="002C739B">
        <w:rPr>
          <w:rFonts w:cs="Times New Roman"/>
          <w:lang w:val="fr-CA"/>
        </w:rPr>
        <w:t xml:space="preserve">qui leur sont accordées par la </w:t>
      </w:r>
      <w:r w:rsidRPr="002C739B">
        <w:rPr>
          <w:rFonts w:cs="Times New Roman"/>
          <w:lang w:val="fr-CA"/>
        </w:rPr>
        <w:lastRenderedPageBreak/>
        <w:t>sentence.  Les régimes d</w:t>
      </w:r>
      <w:r>
        <w:rPr>
          <w:rFonts w:cs="Times New Roman"/>
          <w:lang w:val="fr-CA"/>
        </w:rPr>
        <w:t>’</w:t>
      </w:r>
      <w:r w:rsidRPr="002C739B">
        <w:rPr>
          <w:rFonts w:cs="Times New Roman"/>
          <w:lang w:val="fr-CA"/>
        </w:rPr>
        <w:t xml:space="preserve">arbitrage sont censés être des méthodes efficaces de règlement des différends : </w:t>
      </w:r>
      <w:r w:rsidRPr="002C739B">
        <w:rPr>
          <w:rFonts w:cs="Times New Roman"/>
          <w:i/>
          <w:lang w:val="fr-CA"/>
        </w:rPr>
        <w:t>Report on Arbitration</w:t>
      </w:r>
      <w:r w:rsidRPr="002C739B">
        <w:rPr>
          <w:rFonts w:cs="Times New Roman"/>
          <w:lang w:val="fr-CA"/>
        </w:rPr>
        <w:t>, p. 2</w:t>
      </w:r>
      <w:r w:rsidRPr="002C739B">
        <w:rPr>
          <w:rFonts w:cs="Times New Roman"/>
          <w:lang w:val="fr-CA"/>
        </w:rPr>
        <w:noBreakHyphen/>
        <w:t>3</w:t>
      </w:r>
      <w:r>
        <w:rPr>
          <w:rFonts w:cs="Times New Roman"/>
          <w:lang w:val="fr-CA"/>
        </w:rPr>
        <w:t xml:space="preserve">.  </w:t>
      </w:r>
      <w:r w:rsidRPr="002C739B">
        <w:rPr>
          <w:rFonts w:cs="Times New Roman"/>
          <w:lang w:val="fr-CA"/>
        </w:rPr>
        <w:t>Une interprétation de l</w:t>
      </w:r>
      <w:r>
        <w:rPr>
          <w:rFonts w:cs="Times New Roman"/>
          <w:lang w:val="fr-CA"/>
        </w:rPr>
        <w:t>’</w:t>
      </w:r>
      <w:r w:rsidRPr="002C739B">
        <w:rPr>
          <w:rFonts w:cs="Times New Roman"/>
          <w:lang w:val="fr-CA"/>
        </w:rPr>
        <w:t>art. 28 qui exigerait l</w:t>
      </w:r>
      <w:r>
        <w:rPr>
          <w:rFonts w:cs="Times New Roman"/>
          <w:lang w:val="fr-CA"/>
        </w:rPr>
        <w:t>’</w:t>
      </w:r>
      <w:r w:rsidRPr="002C739B">
        <w:rPr>
          <w:rFonts w:cs="Times New Roman"/>
          <w:lang w:val="fr-CA"/>
        </w:rPr>
        <w:t>intervention à la fois d</w:t>
      </w:r>
      <w:r>
        <w:rPr>
          <w:rFonts w:cs="Times New Roman"/>
          <w:lang w:val="fr-CA"/>
        </w:rPr>
        <w:t>’</w:t>
      </w:r>
      <w:r w:rsidRPr="002C739B">
        <w:rPr>
          <w:rFonts w:cs="Times New Roman"/>
          <w:lang w:val="fr-CA"/>
        </w:rPr>
        <w:t>un arbitre et des tribunaux pour permettre le règlement définitif d</w:t>
      </w:r>
      <w:r>
        <w:rPr>
          <w:rFonts w:cs="Times New Roman"/>
          <w:lang w:val="fr-CA"/>
        </w:rPr>
        <w:t>’</w:t>
      </w:r>
      <w:r w:rsidRPr="002C739B">
        <w:rPr>
          <w:rFonts w:cs="Times New Roman"/>
          <w:lang w:val="fr-CA"/>
        </w:rPr>
        <w:t>un différend, y compris l</w:t>
      </w:r>
      <w:r>
        <w:rPr>
          <w:rFonts w:cs="Times New Roman"/>
          <w:lang w:val="fr-CA"/>
        </w:rPr>
        <w:t>’</w:t>
      </w:r>
      <w:r w:rsidRPr="002C739B">
        <w:rPr>
          <w:rFonts w:cs="Times New Roman"/>
          <w:lang w:val="fr-CA"/>
        </w:rPr>
        <w:t>attribution des intérêts, irait à l</w:t>
      </w:r>
      <w:r>
        <w:rPr>
          <w:rFonts w:cs="Times New Roman"/>
          <w:lang w:val="fr-CA"/>
        </w:rPr>
        <w:t>’</w:t>
      </w:r>
      <w:r w:rsidRPr="002C739B">
        <w:rPr>
          <w:rFonts w:cs="Times New Roman"/>
          <w:lang w:val="fr-CA"/>
        </w:rPr>
        <w:t xml:space="preserve">encontre de cet objectif législatif. </w:t>
      </w:r>
    </w:p>
    <w:p w:rsidR="00535732" w:rsidRPr="002C739B" w:rsidRDefault="00535732" w:rsidP="00535732">
      <w:pPr>
        <w:pStyle w:val="ParaNoNdepar-AltN"/>
        <w:rPr>
          <w:rFonts w:cs="Times New Roman"/>
          <w:lang w:val="fr-CA"/>
        </w:rPr>
      </w:pPr>
      <w:r w:rsidRPr="002C739B">
        <w:rPr>
          <w:rFonts w:cs="Times New Roman"/>
          <w:lang w:val="fr-CA"/>
        </w:rPr>
        <w:t>Deuxièmement, il semble que cet argument fait effectivement des procédures d</w:t>
      </w:r>
      <w:r>
        <w:rPr>
          <w:rFonts w:cs="Times New Roman"/>
          <w:lang w:val="fr-CA"/>
        </w:rPr>
        <w:t>’</w:t>
      </w:r>
      <w:r w:rsidRPr="002C739B">
        <w:rPr>
          <w:rFonts w:cs="Times New Roman"/>
          <w:lang w:val="fr-CA"/>
        </w:rPr>
        <w:t>exécution prévues à l</w:t>
      </w:r>
      <w:r>
        <w:rPr>
          <w:rFonts w:cs="Times New Roman"/>
          <w:lang w:val="fr-CA"/>
        </w:rPr>
        <w:t>’</w:t>
      </w:r>
      <w:r w:rsidRPr="002C739B">
        <w:rPr>
          <w:rFonts w:cs="Times New Roman"/>
          <w:lang w:val="fr-CA"/>
        </w:rPr>
        <w:t>art. 29 une condition préalable à l</w:t>
      </w:r>
      <w:r>
        <w:rPr>
          <w:rFonts w:cs="Times New Roman"/>
          <w:lang w:val="fr-CA"/>
        </w:rPr>
        <w:t>’</w:t>
      </w:r>
      <w:r w:rsidRPr="002C739B">
        <w:rPr>
          <w:rFonts w:cs="Times New Roman"/>
          <w:lang w:val="fr-CA"/>
        </w:rPr>
        <w:t>attribution d</w:t>
      </w:r>
      <w:r>
        <w:rPr>
          <w:rFonts w:cs="Times New Roman"/>
          <w:lang w:val="fr-CA"/>
        </w:rPr>
        <w:t>’</w:t>
      </w:r>
      <w:r w:rsidRPr="002C739B">
        <w:rPr>
          <w:rFonts w:cs="Times New Roman"/>
          <w:lang w:val="fr-CA"/>
        </w:rPr>
        <w:t>intérêts, puisqu</w:t>
      </w:r>
      <w:r>
        <w:rPr>
          <w:rFonts w:cs="Times New Roman"/>
          <w:lang w:val="fr-CA"/>
        </w:rPr>
        <w:t>’</w:t>
      </w:r>
      <w:r w:rsidRPr="002C739B">
        <w:rPr>
          <w:rFonts w:cs="Times New Roman"/>
          <w:lang w:val="fr-CA"/>
        </w:rPr>
        <w:t>une partie devrait s</w:t>
      </w:r>
      <w:r>
        <w:rPr>
          <w:rFonts w:cs="Times New Roman"/>
          <w:lang w:val="fr-CA"/>
        </w:rPr>
        <w:t>’</w:t>
      </w:r>
      <w:r w:rsidRPr="002C739B">
        <w:rPr>
          <w:rFonts w:cs="Times New Roman"/>
          <w:lang w:val="fr-CA"/>
        </w:rPr>
        <w:t>adresser aux tribunaux pour obtenir un jugement lui accordant des intérêts.  Pour cette raison, cet argument présente le même défaut que celui que j</w:t>
      </w:r>
      <w:r>
        <w:rPr>
          <w:rFonts w:cs="Times New Roman"/>
          <w:lang w:val="fr-CA"/>
        </w:rPr>
        <w:t>’</w:t>
      </w:r>
      <w:r w:rsidRPr="002C739B">
        <w:rPr>
          <w:rFonts w:cs="Times New Roman"/>
          <w:lang w:val="fr-CA"/>
        </w:rPr>
        <w:t>ai expliqué plus tôt — il rend l</w:t>
      </w:r>
      <w:r>
        <w:rPr>
          <w:rFonts w:cs="Times New Roman"/>
          <w:lang w:val="fr-CA"/>
        </w:rPr>
        <w:t>’</w:t>
      </w:r>
      <w:r w:rsidRPr="002C739B">
        <w:rPr>
          <w:rFonts w:cs="Times New Roman"/>
          <w:lang w:val="fr-CA"/>
        </w:rPr>
        <w:t>art. 28 superfétatoire.  Si seule une cour de justice peut accorder des intérêts, l</w:t>
      </w:r>
      <w:r>
        <w:rPr>
          <w:rFonts w:cs="Times New Roman"/>
          <w:lang w:val="fr-CA"/>
        </w:rPr>
        <w:t>’</w:t>
      </w:r>
      <w:r w:rsidRPr="002C739B">
        <w:rPr>
          <w:rFonts w:cs="Times New Roman"/>
          <w:lang w:val="fr-CA"/>
        </w:rPr>
        <w:t>art. 28 n</w:t>
      </w:r>
      <w:r>
        <w:rPr>
          <w:rFonts w:cs="Times New Roman"/>
          <w:lang w:val="fr-CA"/>
        </w:rPr>
        <w:t>’</w:t>
      </w:r>
      <w:r w:rsidRPr="002C739B">
        <w:rPr>
          <w:rFonts w:cs="Times New Roman"/>
          <w:lang w:val="fr-CA"/>
        </w:rPr>
        <w:t>a tout simplement aucune raison d</w:t>
      </w:r>
      <w:r>
        <w:rPr>
          <w:rFonts w:cs="Times New Roman"/>
          <w:lang w:val="fr-CA"/>
        </w:rPr>
        <w:t>’</w:t>
      </w:r>
      <w:r w:rsidRPr="002C739B">
        <w:rPr>
          <w:rFonts w:cs="Times New Roman"/>
          <w:lang w:val="fr-CA"/>
        </w:rPr>
        <w:t>être.</w:t>
      </w:r>
    </w:p>
    <w:p w:rsidR="00535732" w:rsidRPr="002C739B" w:rsidRDefault="00535732" w:rsidP="00535732">
      <w:pPr>
        <w:pStyle w:val="TitleTitre-AltT"/>
        <w:tabs>
          <w:tab w:val="clear" w:pos="360"/>
          <w:tab w:val="left" w:pos="1170"/>
        </w:tabs>
        <w:ind w:left="1613" w:hanging="1800"/>
        <w:rPr>
          <w:rFonts w:cs="Times New Roman"/>
          <w:u w:val="single"/>
          <w:lang w:val="fr-CA"/>
        </w:rPr>
      </w:pPr>
      <w:r w:rsidRPr="002C739B">
        <w:rPr>
          <w:rFonts w:cs="Times New Roman"/>
          <w:lang w:val="fr-CA"/>
        </w:rPr>
        <w:tab/>
        <w:t>(3)</w:t>
      </w:r>
      <w:r w:rsidRPr="002C739B">
        <w:rPr>
          <w:rFonts w:cs="Times New Roman"/>
          <w:lang w:val="fr-CA"/>
        </w:rPr>
        <w:tab/>
      </w:r>
      <w:r w:rsidRPr="002C739B">
        <w:rPr>
          <w:rFonts w:cs="Times New Roman"/>
          <w:u w:val="single"/>
          <w:lang w:val="fr-CA"/>
        </w:rPr>
        <w:t>Conclusion sur l</w:t>
      </w:r>
      <w:r>
        <w:rPr>
          <w:rFonts w:cs="Times New Roman"/>
          <w:u w:val="single"/>
          <w:lang w:val="fr-CA"/>
        </w:rPr>
        <w:t>’</w:t>
      </w:r>
      <w:r w:rsidRPr="002C739B">
        <w:rPr>
          <w:rFonts w:cs="Times New Roman"/>
          <w:u w:val="single"/>
          <w:lang w:val="fr-CA"/>
        </w:rPr>
        <w:t>interprétation de l</w:t>
      </w:r>
      <w:r>
        <w:rPr>
          <w:rFonts w:cs="Times New Roman"/>
          <w:u w:val="single"/>
          <w:lang w:val="fr-CA"/>
        </w:rPr>
        <w:t>’</w:t>
      </w:r>
      <w:r w:rsidRPr="002C739B">
        <w:rPr>
          <w:rFonts w:cs="Times New Roman"/>
          <w:u w:val="single"/>
          <w:lang w:val="fr-CA"/>
        </w:rPr>
        <w:t>art</w:t>
      </w:r>
      <w:r w:rsidR="00A472AB">
        <w:rPr>
          <w:rFonts w:cs="Times New Roman"/>
          <w:u w:val="single"/>
          <w:lang w:val="fr-CA"/>
        </w:rPr>
        <w:t>.</w:t>
      </w:r>
      <w:r w:rsidRPr="002C739B">
        <w:rPr>
          <w:rFonts w:cs="Times New Roman"/>
          <w:u w:val="single"/>
          <w:lang w:val="fr-CA"/>
        </w:rPr>
        <w:t xml:space="preserve"> 28 de la </w:t>
      </w:r>
      <w:r w:rsidRPr="002C739B">
        <w:rPr>
          <w:rFonts w:cs="Times New Roman"/>
          <w:i/>
          <w:u w:val="single"/>
          <w:lang w:val="fr-CA"/>
        </w:rPr>
        <w:t>CAA</w:t>
      </w:r>
    </w:p>
    <w:p w:rsidR="00535732" w:rsidRPr="002C739B" w:rsidRDefault="00535732" w:rsidP="00535732">
      <w:pPr>
        <w:pStyle w:val="ParaNoNdepar-AltN"/>
        <w:rPr>
          <w:rFonts w:cs="Times New Roman"/>
          <w:lang w:val="fr-CA"/>
        </w:rPr>
      </w:pPr>
      <w:r w:rsidRPr="002C739B">
        <w:rPr>
          <w:rFonts w:cs="Times New Roman"/>
          <w:lang w:val="fr-CA"/>
        </w:rPr>
        <w:t>En conséquence, je dois rejeter l</w:t>
      </w:r>
      <w:r>
        <w:rPr>
          <w:rFonts w:cs="Times New Roman"/>
          <w:lang w:val="fr-CA"/>
        </w:rPr>
        <w:t>’</w:t>
      </w:r>
      <w:r w:rsidRPr="002C739B">
        <w:rPr>
          <w:rFonts w:cs="Times New Roman"/>
          <w:lang w:val="fr-CA"/>
        </w:rPr>
        <w:t xml:space="preserve">argument de Teal selon lequel des intérêts peuvent être inclus </w:t>
      </w:r>
      <w:r w:rsidRPr="002C739B">
        <w:rPr>
          <w:rFonts w:cs="Times New Roman"/>
          <w:i/>
          <w:lang w:val="fr-CA"/>
        </w:rPr>
        <w:t>dans</w:t>
      </w:r>
      <w:r w:rsidRPr="002C739B">
        <w:rPr>
          <w:rFonts w:cs="Times New Roman"/>
          <w:lang w:val="fr-CA"/>
        </w:rPr>
        <w:t xml:space="preserve"> une sentence arbitrale rendue sous le régime de la </w:t>
      </w:r>
      <w:r w:rsidRPr="002C739B">
        <w:rPr>
          <w:rFonts w:cs="Times New Roman"/>
          <w:i/>
          <w:lang w:val="fr-CA"/>
        </w:rPr>
        <w:t>CAA</w:t>
      </w:r>
      <w:r w:rsidRPr="002C739B">
        <w:rPr>
          <w:rFonts w:cs="Times New Roman"/>
          <w:lang w:val="fr-CA"/>
        </w:rPr>
        <w:t>.  Comme corollaire nécessaire à cette conclusion, dans la mesure où la Cour d</w:t>
      </w:r>
      <w:r>
        <w:rPr>
          <w:rFonts w:cs="Times New Roman"/>
          <w:lang w:val="fr-CA"/>
        </w:rPr>
        <w:t>’</w:t>
      </w:r>
      <w:r w:rsidRPr="002C739B">
        <w:rPr>
          <w:rFonts w:cs="Times New Roman"/>
          <w:lang w:val="fr-CA"/>
        </w:rPr>
        <w:t>appel de la Colombie</w:t>
      </w:r>
      <w:r w:rsidRPr="002C739B">
        <w:rPr>
          <w:rFonts w:cs="Times New Roman"/>
          <w:lang w:val="fr-CA"/>
        </w:rPr>
        <w:noBreakHyphen/>
        <w:t>Britannique s</w:t>
      </w:r>
      <w:r>
        <w:rPr>
          <w:rFonts w:cs="Times New Roman"/>
          <w:lang w:val="fr-CA"/>
        </w:rPr>
        <w:t>’</w:t>
      </w:r>
      <w:r w:rsidRPr="002C739B">
        <w:rPr>
          <w:rFonts w:cs="Times New Roman"/>
          <w:lang w:val="fr-CA"/>
        </w:rPr>
        <w:t>est appuyée sur un raisonnement similaire pour autoriser l</w:t>
      </w:r>
      <w:r>
        <w:rPr>
          <w:rFonts w:cs="Times New Roman"/>
          <w:lang w:val="fr-CA"/>
        </w:rPr>
        <w:t>’</w:t>
      </w:r>
      <w:r w:rsidRPr="002C739B">
        <w:rPr>
          <w:rFonts w:cs="Times New Roman"/>
          <w:lang w:val="fr-CA"/>
        </w:rPr>
        <w:t>inclusion d</w:t>
      </w:r>
      <w:r>
        <w:rPr>
          <w:rFonts w:cs="Times New Roman"/>
          <w:lang w:val="fr-CA"/>
        </w:rPr>
        <w:t>’</w:t>
      </w:r>
      <w:r w:rsidRPr="002C739B">
        <w:rPr>
          <w:rFonts w:cs="Times New Roman"/>
          <w:lang w:val="fr-CA"/>
        </w:rPr>
        <w:t xml:space="preserve">intérêts composés </w:t>
      </w:r>
      <w:r w:rsidRPr="002C739B">
        <w:rPr>
          <w:rFonts w:cs="Times New Roman"/>
          <w:i/>
          <w:lang w:val="fr-CA"/>
        </w:rPr>
        <w:t>en tant que partie intégrante</w:t>
      </w:r>
      <w:r w:rsidRPr="002C739B">
        <w:rPr>
          <w:rFonts w:cs="Times New Roman"/>
          <w:lang w:val="fr-CA"/>
        </w:rPr>
        <w:t xml:space="preserve"> de la sentence arbitrale dans </w:t>
      </w:r>
      <w:r w:rsidRPr="002C739B">
        <w:rPr>
          <w:rFonts w:cs="Times New Roman"/>
          <w:i/>
          <w:lang w:val="fr-CA"/>
        </w:rPr>
        <w:t>McKechnie</w:t>
      </w:r>
      <w:r w:rsidRPr="002C739B">
        <w:rPr>
          <w:rFonts w:cs="Times New Roman"/>
          <w:lang w:val="fr-CA"/>
        </w:rPr>
        <w:t xml:space="preserve">, cet arrêt ne doit plus être considéré comme une règle de droit valable. </w:t>
      </w:r>
    </w:p>
    <w:p w:rsidR="00535732" w:rsidRPr="002C739B" w:rsidRDefault="00535732" w:rsidP="00535732">
      <w:pPr>
        <w:pStyle w:val="ParaNoNdepar-AltN"/>
        <w:rPr>
          <w:rFonts w:cs="Times New Roman"/>
          <w:lang w:val="fr-CA"/>
        </w:rPr>
      </w:pPr>
      <w:r w:rsidRPr="002C739B">
        <w:rPr>
          <w:rFonts w:cs="Times New Roman"/>
          <w:lang w:val="fr-CA"/>
        </w:rPr>
        <w:lastRenderedPageBreak/>
        <w:t>Je souligne en passant que cette conclusion est basée sur le régime légal particulier qui existe en C.</w:t>
      </w:r>
      <w:r w:rsidRPr="002C739B">
        <w:rPr>
          <w:rFonts w:cs="Times New Roman"/>
          <w:lang w:val="fr-CA"/>
        </w:rPr>
        <w:noBreakHyphen/>
        <w:t>B.  Il est bien possible que d</w:t>
      </w:r>
      <w:r>
        <w:rPr>
          <w:rFonts w:cs="Times New Roman"/>
          <w:lang w:val="fr-CA"/>
        </w:rPr>
        <w:t>’</w:t>
      </w:r>
      <w:r w:rsidRPr="002C739B">
        <w:rPr>
          <w:rFonts w:cs="Times New Roman"/>
          <w:lang w:val="fr-CA"/>
        </w:rPr>
        <w:t>autres provinces reconnaissent aux arbitres le pouvoir d</w:t>
      </w:r>
      <w:r>
        <w:rPr>
          <w:rFonts w:cs="Times New Roman"/>
          <w:lang w:val="fr-CA"/>
        </w:rPr>
        <w:t>’</w:t>
      </w:r>
      <w:r w:rsidRPr="002C739B">
        <w:rPr>
          <w:rFonts w:cs="Times New Roman"/>
          <w:lang w:val="fr-CA"/>
        </w:rPr>
        <w:t>accorder des intérêts composés dans des situations où la loi de la C.</w:t>
      </w:r>
      <w:r w:rsidRPr="002C739B">
        <w:rPr>
          <w:rFonts w:cs="Times New Roman"/>
          <w:lang w:val="fr-CA"/>
        </w:rPr>
        <w:noBreakHyphen/>
        <w:t>B. ne le prévoit pas.</w:t>
      </w:r>
    </w:p>
    <w:p w:rsidR="00535732" w:rsidRPr="002C739B" w:rsidRDefault="00535732" w:rsidP="00535732">
      <w:pPr>
        <w:pStyle w:val="TitleTitre-AltT"/>
        <w:tabs>
          <w:tab w:val="clear" w:pos="360"/>
          <w:tab w:val="left" w:pos="450"/>
        </w:tabs>
        <w:ind w:left="446" w:hanging="446"/>
        <w:rPr>
          <w:rFonts w:cs="Times New Roman"/>
          <w:lang w:val="fr-CA"/>
        </w:rPr>
      </w:pPr>
      <w:r w:rsidRPr="002C739B">
        <w:rPr>
          <w:rFonts w:cs="Times New Roman"/>
          <w:lang w:val="fr-CA"/>
        </w:rPr>
        <w:t>C.</w:t>
      </w:r>
      <w:r w:rsidRPr="002C739B">
        <w:rPr>
          <w:rFonts w:cs="Times New Roman"/>
          <w:lang w:val="fr-CA"/>
        </w:rPr>
        <w:tab/>
      </w:r>
      <w:r w:rsidRPr="002C739B">
        <w:rPr>
          <w:rFonts w:cs="Times New Roman"/>
          <w:i/>
          <w:lang w:val="fr-CA"/>
        </w:rPr>
        <w:t>Rôle des règles du British Columbia International Commercial Arbitration Centre (« BCICAC »)</w:t>
      </w:r>
    </w:p>
    <w:p w:rsidR="00535732" w:rsidRPr="002C739B" w:rsidRDefault="00535732" w:rsidP="00535732">
      <w:pPr>
        <w:pStyle w:val="ParaNoNdepar-AltN"/>
        <w:rPr>
          <w:rFonts w:cs="Times New Roman"/>
          <w:lang w:val="fr-CA"/>
        </w:rPr>
      </w:pPr>
      <w:r w:rsidRPr="002C739B">
        <w:rPr>
          <w:rFonts w:cs="Times New Roman"/>
          <w:lang w:val="fr-CA"/>
        </w:rPr>
        <w:t>Teal prétend en outre que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n</w:t>
      </w:r>
      <w:r>
        <w:rPr>
          <w:rFonts w:cs="Times New Roman"/>
          <w:lang w:val="fr-CA"/>
        </w:rPr>
        <w:t>’</w:t>
      </w:r>
      <w:r w:rsidRPr="002C739B">
        <w:rPr>
          <w:rFonts w:cs="Times New Roman"/>
          <w:lang w:val="fr-CA"/>
        </w:rPr>
        <w:t>apporte pas la réponse définitive à la question des intérêts en ce qui concerne les sentences arbitrales, étant donné que l</w:t>
      </w:r>
      <w:r>
        <w:rPr>
          <w:rFonts w:cs="Times New Roman"/>
          <w:lang w:val="fr-CA"/>
        </w:rPr>
        <w:t>’</w:t>
      </w:r>
      <w:r w:rsidRPr="002C739B">
        <w:rPr>
          <w:rFonts w:cs="Times New Roman"/>
          <w:lang w:val="fr-CA"/>
        </w:rPr>
        <w:t xml:space="preserve">art. 22 de la </w:t>
      </w:r>
      <w:r w:rsidRPr="00A548E8">
        <w:rPr>
          <w:rFonts w:cs="Times New Roman"/>
          <w:i/>
          <w:lang w:val="fr-CA"/>
        </w:rPr>
        <w:t>CAA</w:t>
      </w:r>
      <w:r w:rsidRPr="002C739B">
        <w:rPr>
          <w:rFonts w:cs="Times New Roman"/>
          <w:lang w:val="fr-CA"/>
        </w:rPr>
        <w:t xml:space="preserve"> précise que les règles du British Columbia International Commercial Arbitration Centre (« règles du BCICAC »), qui permettent aux arbitres d</w:t>
      </w:r>
      <w:r>
        <w:rPr>
          <w:rFonts w:cs="Times New Roman"/>
          <w:lang w:val="fr-CA"/>
        </w:rPr>
        <w:t>’</w:t>
      </w:r>
      <w:r w:rsidRPr="002C739B">
        <w:rPr>
          <w:rFonts w:cs="Times New Roman"/>
          <w:lang w:val="fr-CA"/>
        </w:rPr>
        <w:t>accorder des intérêts composés, s</w:t>
      </w:r>
      <w:r>
        <w:rPr>
          <w:rFonts w:cs="Times New Roman"/>
          <w:lang w:val="fr-CA"/>
        </w:rPr>
        <w:t>’</w:t>
      </w:r>
      <w:r w:rsidRPr="002C739B">
        <w:rPr>
          <w:rFonts w:cs="Times New Roman"/>
          <w:lang w:val="fr-CA"/>
        </w:rPr>
        <w:t xml:space="preserve">appliquent aux arbitrages se déroulant en vertu de la </w:t>
      </w:r>
      <w:r w:rsidRPr="002C739B">
        <w:rPr>
          <w:rFonts w:cs="Times New Roman"/>
          <w:i/>
          <w:lang w:val="fr-CA"/>
        </w:rPr>
        <w:t>CAA</w:t>
      </w:r>
      <w:r w:rsidRPr="002C739B">
        <w:rPr>
          <w:rFonts w:cs="Times New Roman"/>
          <w:lang w:val="fr-CA"/>
        </w:rPr>
        <w:t>.  Toutefois, je suis d</w:t>
      </w:r>
      <w:r>
        <w:rPr>
          <w:rFonts w:cs="Times New Roman"/>
          <w:lang w:val="fr-CA"/>
        </w:rPr>
        <w:t>’</w:t>
      </w:r>
      <w:r w:rsidRPr="002C739B">
        <w:rPr>
          <w:rFonts w:cs="Times New Roman"/>
          <w:lang w:val="fr-CA"/>
        </w:rPr>
        <w:t>avis que les règles du BCICAC ne confèrent pas le pouvoir d</w:t>
      </w:r>
      <w:r>
        <w:rPr>
          <w:rFonts w:cs="Times New Roman"/>
          <w:lang w:val="fr-CA"/>
        </w:rPr>
        <w:t>’</w:t>
      </w:r>
      <w:r w:rsidRPr="002C739B">
        <w:rPr>
          <w:rFonts w:cs="Times New Roman"/>
          <w:lang w:val="fr-CA"/>
        </w:rPr>
        <w:t xml:space="preserve">accorder des intérêts composés dans les arbitrages régis par la </w:t>
      </w:r>
      <w:r w:rsidRPr="002C739B">
        <w:rPr>
          <w:rFonts w:cs="Times New Roman"/>
          <w:i/>
          <w:lang w:val="fr-CA"/>
        </w:rPr>
        <w:t>CAA</w:t>
      </w:r>
      <w:r w:rsidRPr="002C739B">
        <w:rPr>
          <w:rFonts w:cs="Times New Roman"/>
          <w:lang w:val="fr-CA"/>
        </w:rPr>
        <w:t xml:space="preserve">. </w:t>
      </w:r>
    </w:p>
    <w:p w:rsidR="00535732" w:rsidRPr="002C739B" w:rsidRDefault="00535732" w:rsidP="00535732">
      <w:pPr>
        <w:pStyle w:val="ParaNoNdepar-AltN"/>
        <w:rPr>
          <w:rFonts w:cs="Times New Roman"/>
          <w:lang w:val="fr-CA"/>
        </w:rPr>
      </w:pPr>
      <w:r w:rsidRPr="002C739B">
        <w:rPr>
          <w:rFonts w:cs="Times New Roman"/>
          <w:lang w:val="fr-CA"/>
        </w:rPr>
        <w:t>Je reconnais que, suivant l</w:t>
      </w:r>
      <w:r>
        <w:rPr>
          <w:rFonts w:cs="Times New Roman"/>
          <w:lang w:val="fr-CA"/>
        </w:rPr>
        <w:t>’</w:t>
      </w:r>
      <w:r w:rsidRPr="002C739B">
        <w:rPr>
          <w:rFonts w:cs="Times New Roman"/>
          <w:lang w:val="fr-CA"/>
        </w:rPr>
        <w:t xml:space="preserve">art. 22 de la </w:t>
      </w:r>
      <w:r w:rsidRPr="002C739B">
        <w:rPr>
          <w:rFonts w:cs="Times New Roman"/>
          <w:i/>
          <w:lang w:val="fr-CA"/>
        </w:rPr>
        <w:t>CAA</w:t>
      </w:r>
      <w:r w:rsidRPr="002C739B">
        <w:rPr>
          <w:rFonts w:cs="Times New Roman"/>
          <w:lang w:val="fr-CA"/>
        </w:rPr>
        <w:t>, les règles du BCICAC s</w:t>
      </w:r>
      <w:r>
        <w:rPr>
          <w:rFonts w:cs="Times New Roman"/>
          <w:lang w:val="fr-CA"/>
        </w:rPr>
        <w:t>’</w:t>
      </w:r>
      <w:r w:rsidRPr="002C739B">
        <w:rPr>
          <w:rFonts w:cs="Times New Roman"/>
          <w:lang w:val="fr-CA"/>
        </w:rPr>
        <w:t xml:space="preserve">appliquent aux arbitrages fondés sur la </w:t>
      </w:r>
      <w:r w:rsidRPr="002C739B">
        <w:rPr>
          <w:rFonts w:cs="Times New Roman"/>
          <w:i/>
          <w:lang w:val="fr-CA"/>
        </w:rPr>
        <w:t>CAA</w:t>
      </w:r>
      <w:r w:rsidRPr="002C739B">
        <w:rPr>
          <w:rFonts w:cs="Times New Roman"/>
          <w:lang w:val="fr-CA"/>
        </w:rPr>
        <w:t xml:space="preserve"> et que l</w:t>
      </w:r>
      <w:r>
        <w:rPr>
          <w:rFonts w:cs="Times New Roman"/>
          <w:lang w:val="fr-CA"/>
        </w:rPr>
        <w:t>’</w:t>
      </w:r>
      <w:r w:rsidRPr="002C739B">
        <w:rPr>
          <w:rFonts w:cs="Times New Roman"/>
          <w:lang w:val="fr-CA"/>
        </w:rPr>
        <w:t>art. 37 de ces mêmes règles permet à un arbitre d</w:t>
      </w:r>
      <w:r>
        <w:rPr>
          <w:rFonts w:cs="Times New Roman"/>
          <w:lang w:val="fr-CA"/>
        </w:rPr>
        <w:t>’</w:t>
      </w:r>
      <w:r w:rsidRPr="002C739B">
        <w:rPr>
          <w:rFonts w:cs="Times New Roman"/>
          <w:lang w:val="fr-CA"/>
        </w:rPr>
        <w:t>ordonner [</w:t>
      </w:r>
      <w:r w:rsidRPr="002C739B">
        <w:rPr>
          <w:rFonts w:cs="Times New Roman"/>
          <w:smallCaps/>
          <w:lang w:val="fr-CA"/>
        </w:rPr>
        <w:t>traduction</w:t>
      </w:r>
      <w:r w:rsidRPr="002C739B">
        <w:rPr>
          <w:rFonts w:cs="Times New Roman"/>
          <w:lang w:val="fr-CA"/>
        </w:rPr>
        <w:t xml:space="preserve">] « dans une sentence </w:t>
      </w:r>
      <w:r w:rsidR="00653223">
        <w:rPr>
          <w:rFonts w:cs="Times New Roman"/>
          <w:lang w:val="fr-CA"/>
        </w:rPr>
        <w:t>arbitrale [. . .</w:t>
      </w:r>
      <w:r>
        <w:rPr>
          <w:rFonts w:cs="Times New Roman"/>
          <w:lang w:val="fr-CA"/>
        </w:rPr>
        <w:t xml:space="preserve">] </w:t>
      </w:r>
      <w:r w:rsidRPr="002C739B">
        <w:rPr>
          <w:rFonts w:cs="Times New Roman"/>
          <w:lang w:val="fr-CA"/>
        </w:rPr>
        <w:t>le paiement d</w:t>
      </w:r>
      <w:r>
        <w:rPr>
          <w:rFonts w:cs="Times New Roman"/>
          <w:lang w:val="fr-CA"/>
        </w:rPr>
        <w:t>’</w:t>
      </w:r>
      <w:r w:rsidRPr="002C739B">
        <w:rPr>
          <w:rFonts w:cs="Times New Roman"/>
          <w:lang w:val="fr-CA"/>
        </w:rPr>
        <w:t xml:space="preserve">intérêts simples ou composés ».  Cependant, il ressort clairement du par. 22(3) de la </w:t>
      </w:r>
      <w:r w:rsidRPr="002C739B">
        <w:rPr>
          <w:rFonts w:cs="Times New Roman"/>
          <w:i/>
          <w:lang w:val="fr-CA"/>
        </w:rPr>
        <w:t>CAA</w:t>
      </w:r>
      <w:r w:rsidRPr="002C739B">
        <w:rPr>
          <w:rFonts w:cs="Times New Roman"/>
          <w:lang w:val="fr-CA"/>
        </w:rPr>
        <w:t xml:space="preserve"> que, si les règles du BCICAC sont incompatibles avec la </w:t>
      </w:r>
      <w:r w:rsidRPr="002C739B">
        <w:rPr>
          <w:rFonts w:cs="Times New Roman"/>
          <w:i/>
          <w:lang w:val="fr-CA"/>
        </w:rPr>
        <w:t>CAA</w:t>
      </w:r>
      <w:r w:rsidRPr="002C739B">
        <w:rPr>
          <w:rFonts w:cs="Times New Roman"/>
          <w:lang w:val="fr-CA"/>
        </w:rPr>
        <w:t xml:space="preserve"> ou contraires à celle</w:t>
      </w:r>
      <w:r w:rsidRPr="002C739B">
        <w:rPr>
          <w:rFonts w:cs="Times New Roman"/>
          <w:lang w:val="fr-CA"/>
        </w:rPr>
        <w:noBreakHyphen/>
        <w:t xml:space="preserve">ci, cette dernière prévaut : </w:t>
      </w:r>
      <w:r w:rsidR="00A472AB">
        <w:rPr>
          <w:rFonts w:cs="Times New Roman"/>
          <w:lang w:val="fr-CA"/>
        </w:rPr>
        <w:t>[</w:t>
      </w:r>
      <w:r w:rsidR="00A472AB" w:rsidRPr="00A472AB">
        <w:rPr>
          <w:rFonts w:cs="Times New Roman"/>
          <w:smallCaps/>
          <w:lang w:val="fr-CA"/>
        </w:rPr>
        <w:t>traduction</w:t>
      </w:r>
      <w:r w:rsidR="00A472AB">
        <w:rPr>
          <w:rFonts w:cs="Times New Roman"/>
          <w:lang w:val="fr-CA"/>
        </w:rPr>
        <w:t xml:space="preserve">] </w:t>
      </w:r>
      <w:r w:rsidRPr="002C739B">
        <w:rPr>
          <w:rFonts w:cs="Times New Roman"/>
          <w:lang w:val="fr-CA"/>
        </w:rPr>
        <w:t>« Si les [règles du BCICAC] sont incompatibles avec la présente loi ou contraires à celle</w:t>
      </w:r>
      <w:r w:rsidRPr="002C739B">
        <w:rPr>
          <w:rFonts w:cs="Times New Roman"/>
          <w:lang w:val="fr-CA"/>
        </w:rPr>
        <w:noBreakHyphen/>
        <w:t>ci, cette dernière prévaut. »  Selon moi, une telle incompatibilité existe en l</w:t>
      </w:r>
      <w:r>
        <w:rPr>
          <w:rFonts w:cs="Times New Roman"/>
          <w:lang w:val="fr-CA"/>
        </w:rPr>
        <w:t>’</w:t>
      </w:r>
      <w:r w:rsidRPr="002C739B">
        <w:rPr>
          <w:rFonts w:cs="Times New Roman"/>
          <w:lang w:val="fr-CA"/>
        </w:rPr>
        <w:t xml:space="preserve">espèce, car </w:t>
      </w:r>
      <w:r w:rsidRPr="002C739B">
        <w:rPr>
          <w:rFonts w:cs="Times New Roman"/>
          <w:lang w:val="fr-CA"/>
        </w:rPr>
        <w:lastRenderedPageBreak/>
        <w:t>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xml:space="preserve"> écarte expressément la possibilité d</w:t>
      </w:r>
      <w:r>
        <w:rPr>
          <w:rFonts w:cs="Times New Roman"/>
          <w:lang w:val="fr-CA"/>
        </w:rPr>
        <w:t>’</w:t>
      </w:r>
      <w:r w:rsidRPr="002C739B">
        <w:rPr>
          <w:rFonts w:cs="Times New Roman"/>
          <w:lang w:val="fr-CA"/>
        </w:rPr>
        <w:t>accorder des intérêts composés.  Par conséquent, malgré l</w:t>
      </w:r>
      <w:r>
        <w:rPr>
          <w:rFonts w:cs="Times New Roman"/>
          <w:lang w:val="fr-CA"/>
        </w:rPr>
        <w:t>’</w:t>
      </w:r>
      <w:r w:rsidRPr="002C739B">
        <w:rPr>
          <w:rFonts w:cs="Times New Roman"/>
          <w:lang w:val="fr-CA"/>
        </w:rPr>
        <w:t xml:space="preserve">art. 37 des règles du BCICAC, les arbitres agissant en vertu de la </w:t>
      </w:r>
      <w:r w:rsidRPr="002C739B">
        <w:rPr>
          <w:rFonts w:cs="Times New Roman"/>
          <w:i/>
          <w:lang w:val="fr-CA"/>
        </w:rPr>
        <w:t>CAA</w:t>
      </w:r>
      <w:r w:rsidRPr="002C739B">
        <w:rPr>
          <w:rFonts w:cs="Times New Roman"/>
          <w:lang w:val="fr-CA"/>
        </w:rPr>
        <w:t xml:space="preserve"> ne peuvent accorder de tels intérêts. </w:t>
      </w:r>
    </w:p>
    <w:p w:rsidR="00535732" w:rsidRPr="002C739B" w:rsidRDefault="00535732" w:rsidP="00535732">
      <w:pPr>
        <w:pStyle w:val="TitleTitre-AltT"/>
        <w:tabs>
          <w:tab w:val="clear" w:pos="360"/>
          <w:tab w:val="left" w:pos="450"/>
        </w:tabs>
        <w:ind w:left="446" w:hanging="446"/>
        <w:rPr>
          <w:rFonts w:cs="Times New Roman"/>
          <w:i/>
          <w:lang w:val="fr-CA"/>
        </w:rPr>
      </w:pPr>
      <w:r w:rsidRPr="002C739B">
        <w:rPr>
          <w:rFonts w:cs="Times New Roman"/>
          <w:lang w:val="fr-CA"/>
        </w:rPr>
        <w:t>D.</w:t>
      </w:r>
      <w:r w:rsidRPr="002C739B">
        <w:rPr>
          <w:rFonts w:cs="Times New Roman"/>
          <w:lang w:val="fr-CA"/>
        </w:rPr>
        <w:tab/>
      </w:r>
      <w:r w:rsidRPr="002C739B">
        <w:rPr>
          <w:rFonts w:cs="Times New Roman"/>
          <w:i/>
          <w:lang w:val="fr-CA"/>
        </w:rPr>
        <w:t>Applicabilité du principe de « l</w:t>
      </w:r>
      <w:r>
        <w:rPr>
          <w:rFonts w:cs="Times New Roman"/>
          <w:i/>
          <w:lang w:val="fr-CA"/>
        </w:rPr>
        <w:t>’</w:t>
      </w:r>
      <w:r w:rsidRPr="002C739B">
        <w:rPr>
          <w:rFonts w:cs="Times New Roman"/>
          <w:i/>
          <w:lang w:val="fr-CA"/>
        </w:rPr>
        <w:t>indemnisation intégrale » et de l</w:t>
      </w:r>
      <w:r>
        <w:rPr>
          <w:rFonts w:cs="Times New Roman"/>
          <w:i/>
          <w:lang w:val="fr-CA"/>
        </w:rPr>
        <w:t>’</w:t>
      </w:r>
      <w:r w:rsidRPr="002C739B">
        <w:rPr>
          <w:rFonts w:cs="Times New Roman"/>
          <w:i/>
          <w:lang w:val="fr-CA"/>
        </w:rPr>
        <w:t>equity</w:t>
      </w:r>
    </w:p>
    <w:p w:rsidR="00535732" w:rsidRPr="002C739B" w:rsidRDefault="00535732" w:rsidP="00535732">
      <w:pPr>
        <w:pStyle w:val="ParaNoNdepar-AltN"/>
        <w:rPr>
          <w:rFonts w:cs="Times New Roman"/>
          <w:lang w:val="fr-CA"/>
        </w:rPr>
      </w:pPr>
      <w:r w:rsidRPr="002C739B">
        <w:rPr>
          <w:rFonts w:cs="Times New Roman"/>
          <w:lang w:val="fr-CA"/>
        </w:rPr>
        <w:t>Teal avance que, comme la cause d</w:t>
      </w:r>
      <w:r>
        <w:rPr>
          <w:rFonts w:cs="Times New Roman"/>
          <w:lang w:val="fr-CA"/>
        </w:rPr>
        <w:t>’</w:t>
      </w:r>
      <w:r w:rsidRPr="002C739B">
        <w:rPr>
          <w:rFonts w:cs="Times New Roman"/>
          <w:lang w:val="fr-CA"/>
        </w:rPr>
        <w:t>action à l</w:t>
      </w:r>
      <w:r>
        <w:rPr>
          <w:rFonts w:cs="Times New Roman"/>
          <w:lang w:val="fr-CA"/>
        </w:rPr>
        <w:t>’</w:t>
      </w:r>
      <w:r w:rsidRPr="002C739B">
        <w:rPr>
          <w:rFonts w:cs="Times New Roman"/>
          <w:lang w:val="fr-CA"/>
        </w:rPr>
        <w:t>origine du présent litige en l</w:t>
      </w:r>
      <w:r>
        <w:rPr>
          <w:rFonts w:cs="Times New Roman"/>
          <w:lang w:val="fr-CA"/>
        </w:rPr>
        <w:t>’</w:t>
      </w:r>
      <w:r w:rsidRPr="002C739B">
        <w:rPr>
          <w:rFonts w:cs="Times New Roman"/>
          <w:lang w:val="fr-CA"/>
        </w:rPr>
        <w:t>espèce est un type d</w:t>
      </w:r>
      <w:r>
        <w:rPr>
          <w:rFonts w:cs="Times New Roman"/>
          <w:lang w:val="fr-CA"/>
        </w:rPr>
        <w:t>’</w:t>
      </w:r>
      <w:r w:rsidRPr="002C739B">
        <w:rPr>
          <w:rFonts w:cs="Times New Roman"/>
          <w:lang w:val="fr-CA"/>
        </w:rPr>
        <w:t>expropriation, le principe de l</w:t>
      </w:r>
      <w:r>
        <w:rPr>
          <w:rFonts w:cs="Times New Roman"/>
          <w:lang w:val="fr-CA"/>
        </w:rPr>
        <w:t>’</w:t>
      </w:r>
      <w:r w:rsidRPr="002C739B">
        <w:rPr>
          <w:rFonts w:cs="Times New Roman"/>
          <w:lang w:val="fr-CA"/>
        </w:rPr>
        <w:t>indemnisation intégrale s</w:t>
      </w:r>
      <w:r>
        <w:rPr>
          <w:rFonts w:cs="Times New Roman"/>
          <w:lang w:val="fr-CA"/>
        </w:rPr>
        <w:t>’</w:t>
      </w:r>
      <w:r w:rsidRPr="002C739B">
        <w:rPr>
          <w:rFonts w:cs="Times New Roman"/>
          <w:lang w:val="fr-CA"/>
        </w:rPr>
        <w:t>applique et que, en conséquence, des intérêts composés doivent être accordés</w:t>
      </w:r>
      <w:r>
        <w:rPr>
          <w:rFonts w:cs="Times New Roman"/>
          <w:lang w:val="fr-CA"/>
        </w:rPr>
        <w:t xml:space="preserve">.  </w:t>
      </w:r>
      <w:r w:rsidRPr="002C739B">
        <w:rPr>
          <w:rFonts w:cs="Times New Roman"/>
          <w:lang w:val="fr-CA"/>
        </w:rPr>
        <w:t>Quoique de tels intérêts représentent sans un doute une meilleure mesure de l</w:t>
      </w:r>
      <w:r>
        <w:rPr>
          <w:rFonts w:cs="Times New Roman"/>
          <w:lang w:val="fr-CA"/>
        </w:rPr>
        <w:t>’</w:t>
      </w:r>
      <w:r w:rsidRPr="002C739B">
        <w:rPr>
          <w:rFonts w:cs="Times New Roman"/>
          <w:lang w:val="fr-CA"/>
        </w:rPr>
        <w:t>ampleur véritable de la perte subie par Teal, il existe en l</w:t>
      </w:r>
      <w:r>
        <w:rPr>
          <w:rFonts w:cs="Times New Roman"/>
          <w:lang w:val="fr-CA"/>
        </w:rPr>
        <w:t>’</w:t>
      </w:r>
      <w:r w:rsidRPr="002C739B">
        <w:rPr>
          <w:rFonts w:cs="Times New Roman"/>
          <w:lang w:val="fr-CA"/>
        </w:rPr>
        <w:t>espèce une exigence prévue par la loi qui a pour effet de limiter l</w:t>
      </w:r>
      <w:r>
        <w:rPr>
          <w:rFonts w:cs="Times New Roman"/>
          <w:lang w:val="fr-CA"/>
        </w:rPr>
        <w:t>’</w:t>
      </w:r>
      <w:r w:rsidRPr="002C739B">
        <w:rPr>
          <w:rFonts w:cs="Times New Roman"/>
          <w:lang w:val="fr-CA"/>
        </w:rPr>
        <w:t>indemnité de Teal en imposant l</w:t>
      </w:r>
      <w:r>
        <w:rPr>
          <w:rFonts w:cs="Times New Roman"/>
          <w:lang w:val="fr-CA"/>
        </w:rPr>
        <w:t>’</w:t>
      </w:r>
      <w:r w:rsidRPr="002C739B">
        <w:rPr>
          <w:rFonts w:cs="Times New Roman"/>
          <w:lang w:val="fr-CA"/>
        </w:rPr>
        <w:t>attribution d</w:t>
      </w:r>
      <w:r>
        <w:rPr>
          <w:rFonts w:cs="Times New Roman"/>
          <w:lang w:val="fr-CA"/>
        </w:rPr>
        <w:t>’</w:t>
      </w:r>
      <w:r w:rsidRPr="002C739B">
        <w:rPr>
          <w:rFonts w:cs="Times New Roman"/>
          <w:lang w:val="fr-CA"/>
        </w:rPr>
        <w:t>intérêts simples.  Bien que les tribunaux présument que le législateur entend indemniser intégralement les intéressés en cas d</w:t>
      </w:r>
      <w:r>
        <w:rPr>
          <w:rFonts w:cs="Times New Roman"/>
          <w:lang w:val="fr-CA"/>
        </w:rPr>
        <w:t>’</w:t>
      </w:r>
      <w:r w:rsidRPr="002C739B">
        <w:rPr>
          <w:rFonts w:cs="Times New Roman"/>
          <w:lang w:val="fr-CA"/>
        </w:rPr>
        <w:t>expropriation, cette présomption peut être réfutée s</w:t>
      </w:r>
      <w:r>
        <w:rPr>
          <w:rFonts w:cs="Times New Roman"/>
          <w:lang w:val="fr-CA"/>
        </w:rPr>
        <w:t>’</w:t>
      </w:r>
      <w:r w:rsidRPr="002C739B">
        <w:rPr>
          <w:rFonts w:cs="Times New Roman"/>
          <w:lang w:val="fr-CA"/>
        </w:rPr>
        <w:t>il existe des dispositions législatives démontrant l</w:t>
      </w:r>
      <w:r>
        <w:rPr>
          <w:rFonts w:cs="Times New Roman"/>
          <w:lang w:val="fr-CA"/>
        </w:rPr>
        <w:t>’</w:t>
      </w:r>
      <w:r w:rsidRPr="002C739B">
        <w:rPr>
          <w:rFonts w:cs="Times New Roman"/>
          <w:lang w:val="fr-CA"/>
        </w:rPr>
        <w:t xml:space="preserve">intention contraire du législateur : </w:t>
      </w:r>
      <w:r w:rsidRPr="002C739B">
        <w:rPr>
          <w:rFonts w:cs="Times New Roman"/>
          <w:i/>
          <w:lang w:val="fr-CA"/>
        </w:rPr>
        <w:t>Irving Oil Co. c. The King</w:t>
      </w:r>
      <w:r w:rsidRPr="002C739B">
        <w:rPr>
          <w:rFonts w:cs="Times New Roman"/>
          <w:lang w:val="fr-CA"/>
        </w:rPr>
        <w:t xml:space="preserve">, [1946] R.C.S. 551, p. 556; </w:t>
      </w:r>
      <w:r w:rsidRPr="002C739B">
        <w:rPr>
          <w:rFonts w:cs="Times New Roman"/>
          <w:i/>
          <w:lang w:val="fr-CA"/>
        </w:rPr>
        <w:t>Inglewood Pulp and Paper Co. c. New Brunswick Electric Power Commission</w:t>
      </w:r>
      <w:r w:rsidRPr="002C739B">
        <w:rPr>
          <w:rFonts w:cs="Times New Roman"/>
          <w:lang w:val="fr-CA"/>
        </w:rPr>
        <w:t xml:space="preserve">, [1928] A.C. 492 (C.P.), p. 499.  À mon avis, nous sommes en présence de telles dispositions dans la présente affaire. </w:t>
      </w:r>
    </w:p>
    <w:p w:rsidR="00535732" w:rsidRPr="002C739B" w:rsidRDefault="00535732" w:rsidP="00535732">
      <w:pPr>
        <w:pStyle w:val="ParaNoNdepar-AltN"/>
        <w:rPr>
          <w:rFonts w:cs="Times New Roman"/>
          <w:lang w:val="fr-CA"/>
        </w:rPr>
      </w:pPr>
      <w:r w:rsidRPr="002C739B">
        <w:rPr>
          <w:rFonts w:cs="Times New Roman"/>
          <w:lang w:val="fr-CA"/>
        </w:rPr>
        <w:t xml:space="preserve">Le paragraphe 7(1) de la </w:t>
      </w:r>
      <w:r w:rsidRPr="002C739B">
        <w:rPr>
          <w:rFonts w:cs="Times New Roman"/>
          <w:i/>
          <w:lang w:val="fr-CA"/>
        </w:rPr>
        <w:t>PAFCA</w:t>
      </w:r>
      <w:r w:rsidRPr="002C739B">
        <w:rPr>
          <w:rFonts w:cs="Times New Roman"/>
          <w:lang w:val="fr-CA"/>
        </w:rPr>
        <w:t xml:space="preserve"> limite l</w:t>
      </w:r>
      <w:r>
        <w:rPr>
          <w:rFonts w:cs="Times New Roman"/>
          <w:lang w:val="fr-CA"/>
        </w:rPr>
        <w:t>’</w:t>
      </w:r>
      <w:r w:rsidRPr="002C739B">
        <w:rPr>
          <w:rFonts w:cs="Times New Roman"/>
          <w:lang w:val="fr-CA"/>
        </w:rPr>
        <w:t>indemnité payable à Teal [</w:t>
      </w:r>
      <w:r w:rsidRPr="002C739B">
        <w:rPr>
          <w:rFonts w:cs="Times New Roman"/>
          <w:smallCaps/>
          <w:lang w:val="fr-CA"/>
        </w:rPr>
        <w:t>traduction</w:t>
      </w:r>
      <w:r w:rsidRPr="002C739B">
        <w:rPr>
          <w:rFonts w:cs="Times New Roman"/>
          <w:lang w:val="fr-CA"/>
        </w:rPr>
        <w:t>] « au montant de l</w:t>
      </w:r>
      <w:r>
        <w:rPr>
          <w:rFonts w:cs="Times New Roman"/>
          <w:lang w:val="fr-CA"/>
        </w:rPr>
        <w:t>’</w:t>
      </w:r>
      <w:r w:rsidRPr="002C739B">
        <w:rPr>
          <w:rFonts w:cs="Times New Roman"/>
          <w:lang w:val="fr-CA"/>
        </w:rPr>
        <w:t>indemnité déterminée [. . .] en vertu de l</w:t>
      </w:r>
      <w:r>
        <w:rPr>
          <w:rFonts w:cs="Times New Roman"/>
          <w:lang w:val="fr-CA"/>
        </w:rPr>
        <w:t>’</w:t>
      </w:r>
      <w:r w:rsidRPr="002C739B">
        <w:rPr>
          <w:rFonts w:cs="Times New Roman"/>
          <w:lang w:val="fr-CA"/>
        </w:rPr>
        <w:t xml:space="preserve">article 60 de la </w:t>
      </w:r>
      <w:r w:rsidRPr="002C739B">
        <w:rPr>
          <w:rFonts w:cs="Times New Roman"/>
          <w:i/>
          <w:lang w:val="fr-CA"/>
        </w:rPr>
        <w:t>Forest Act</w:t>
      </w:r>
      <w:r w:rsidRPr="002C739B">
        <w:rPr>
          <w:rFonts w:cs="Times New Roman"/>
          <w:lang w:val="fr-CA"/>
        </w:rPr>
        <w:t xml:space="preserve"> </w:t>
      </w:r>
      <w:r>
        <w:rPr>
          <w:rFonts w:cs="Times New Roman"/>
          <w:lang w:val="fr-CA"/>
        </w:rPr>
        <w:t xml:space="preserve">tel qu’il s’applique </w:t>
      </w:r>
      <w:r w:rsidRPr="002C739B">
        <w:rPr>
          <w:rFonts w:cs="Times New Roman"/>
          <w:lang w:val="fr-CA"/>
        </w:rPr>
        <w:t xml:space="preserve">pour les besoins de </w:t>
      </w:r>
      <w:r>
        <w:rPr>
          <w:rFonts w:cs="Times New Roman"/>
          <w:lang w:val="fr-CA"/>
        </w:rPr>
        <w:t xml:space="preserve">la </w:t>
      </w:r>
      <w:r w:rsidRPr="002C739B">
        <w:rPr>
          <w:rFonts w:cs="Times New Roman"/>
          <w:lang w:val="fr-CA"/>
        </w:rPr>
        <w:t>[</w:t>
      </w:r>
      <w:r w:rsidRPr="002C739B">
        <w:rPr>
          <w:rFonts w:cs="Times New Roman"/>
          <w:i/>
          <w:lang w:val="fr-CA"/>
        </w:rPr>
        <w:t>PAFCA</w:t>
      </w:r>
      <w:r w:rsidRPr="002C739B">
        <w:rPr>
          <w:rFonts w:cs="Times New Roman"/>
          <w:lang w:val="fr-CA"/>
        </w:rPr>
        <w:t>] »</w:t>
      </w:r>
      <w:r w:rsidR="00515521">
        <w:rPr>
          <w:rFonts w:cs="Times New Roman"/>
          <w:lang w:val="fr-CA"/>
        </w:rPr>
        <w:t>.</w:t>
      </w:r>
      <w:r w:rsidRPr="002C739B">
        <w:rPr>
          <w:rFonts w:cs="Times New Roman"/>
          <w:lang w:val="fr-CA"/>
        </w:rPr>
        <w:t xml:space="preserve">  Pour sa part, le par. 60(7) de la </w:t>
      </w:r>
      <w:r w:rsidRPr="002C739B">
        <w:rPr>
          <w:rFonts w:cs="Times New Roman"/>
          <w:i/>
          <w:lang w:val="fr-CA"/>
        </w:rPr>
        <w:t>Forest Act</w:t>
      </w:r>
      <w:r w:rsidRPr="002C739B">
        <w:rPr>
          <w:rFonts w:cs="Times New Roman"/>
          <w:lang w:val="fr-CA"/>
        </w:rPr>
        <w:t xml:space="preserve"> requiert que l</w:t>
      </w:r>
      <w:r>
        <w:rPr>
          <w:rFonts w:cs="Times New Roman"/>
          <w:lang w:val="fr-CA"/>
        </w:rPr>
        <w:t>’</w:t>
      </w:r>
      <w:r w:rsidRPr="002C739B">
        <w:rPr>
          <w:rFonts w:cs="Times New Roman"/>
          <w:lang w:val="fr-CA"/>
        </w:rPr>
        <w:t xml:space="preserve">indemnité de Teal soit déterminée </w:t>
      </w:r>
      <w:r w:rsidRPr="002C739B">
        <w:rPr>
          <w:rFonts w:cs="Times New Roman"/>
          <w:lang w:val="fr-CA"/>
        </w:rPr>
        <w:lastRenderedPageBreak/>
        <w:t xml:space="preserve">conformément à la </w:t>
      </w:r>
      <w:r w:rsidRPr="002C739B">
        <w:rPr>
          <w:rFonts w:cs="Times New Roman"/>
          <w:i/>
          <w:lang w:val="fr-CA"/>
        </w:rPr>
        <w:t>CAA</w:t>
      </w:r>
      <w:r w:rsidRPr="002C739B">
        <w:rPr>
          <w:rFonts w:cs="Times New Roman"/>
          <w:lang w:val="fr-CA"/>
        </w:rPr>
        <w:t xml:space="preserve"> (abr</w:t>
      </w:r>
      <w:r w:rsidR="00515521">
        <w:rPr>
          <w:rFonts w:cs="Times New Roman"/>
          <w:lang w:val="fr-CA"/>
        </w:rPr>
        <w:t xml:space="preserve">. </w:t>
      </w:r>
      <w:r w:rsidRPr="002C739B">
        <w:rPr>
          <w:rFonts w:cs="Times New Roman"/>
          <w:lang w:val="fr-CA"/>
        </w:rPr>
        <w:t>S.B.C. 2004, ch. 36, art. 38).  Comme il a été expliqué précédemment, suivant l</w:t>
      </w:r>
      <w:r>
        <w:rPr>
          <w:rFonts w:cs="Times New Roman"/>
          <w:lang w:val="fr-CA"/>
        </w:rPr>
        <w:t>’</w:t>
      </w:r>
      <w:r w:rsidRPr="002C739B">
        <w:rPr>
          <w:rFonts w:cs="Times New Roman"/>
          <w:lang w:val="fr-CA"/>
        </w:rPr>
        <w:t xml:space="preserve">art. 28 de la </w:t>
      </w:r>
      <w:r w:rsidRPr="002C739B">
        <w:rPr>
          <w:rFonts w:cs="Times New Roman"/>
          <w:i/>
          <w:lang w:val="fr-CA"/>
        </w:rPr>
        <w:t>CAA</w:t>
      </w:r>
      <w:r w:rsidRPr="002C739B">
        <w:rPr>
          <w:rFonts w:cs="Times New Roman"/>
          <w:lang w:val="fr-CA"/>
        </w:rPr>
        <w:t>, seuls des intérêts simples peuvent être accordés sur la somme dont le paiement est ordonné par une sentence arbitrale rendue en application de cette loi.  À mon avis, il ressort de l</w:t>
      </w:r>
      <w:r>
        <w:rPr>
          <w:rFonts w:cs="Times New Roman"/>
          <w:lang w:val="fr-CA"/>
        </w:rPr>
        <w:t>’</w:t>
      </w:r>
      <w:r w:rsidRPr="002C739B">
        <w:rPr>
          <w:rFonts w:cs="Times New Roman"/>
          <w:lang w:val="fr-CA"/>
        </w:rPr>
        <w:t>interaction de ces trois textes de loi que le législateur n</w:t>
      </w:r>
      <w:r>
        <w:rPr>
          <w:rFonts w:cs="Times New Roman"/>
          <w:lang w:val="fr-CA"/>
        </w:rPr>
        <w:t>’</w:t>
      </w:r>
      <w:r w:rsidRPr="002C739B">
        <w:rPr>
          <w:rFonts w:cs="Times New Roman"/>
          <w:lang w:val="fr-CA"/>
        </w:rPr>
        <w:t>entendait pas que des intérêts composés puissent être inclus en tant qu</w:t>
      </w:r>
      <w:r>
        <w:rPr>
          <w:rFonts w:cs="Times New Roman"/>
          <w:lang w:val="fr-CA"/>
        </w:rPr>
        <w:t>’</w:t>
      </w:r>
      <w:r w:rsidRPr="002C739B">
        <w:rPr>
          <w:rFonts w:cs="Times New Roman"/>
          <w:lang w:val="fr-CA"/>
        </w:rPr>
        <w:t>aspect de la somme accordée en vertu du principe de l</w:t>
      </w:r>
      <w:r>
        <w:rPr>
          <w:rFonts w:cs="Times New Roman"/>
          <w:lang w:val="fr-CA"/>
        </w:rPr>
        <w:t>’</w:t>
      </w:r>
      <w:r w:rsidRPr="002C739B">
        <w:rPr>
          <w:rFonts w:cs="Times New Roman"/>
          <w:lang w:val="fr-CA"/>
        </w:rPr>
        <w:t xml:space="preserve">indemnisation intégrale dans un cas comme celui qui nous occupe. </w:t>
      </w:r>
    </w:p>
    <w:p w:rsidR="00535732" w:rsidRPr="002C739B" w:rsidRDefault="00535732" w:rsidP="00535732">
      <w:pPr>
        <w:pStyle w:val="ParaNoNdepar-AltN"/>
        <w:rPr>
          <w:rFonts w:cs="Times New Roman"/>
          <w:lang w:val="fr-CA"/>
        </w:rPr>
      </w:pPr>
      <w:r w:rsidRPr="002C739B">
        <w:rPr>
          <w:rFonts w:cs="Times New Roman"/>
          <w:lang w:val="fr-CA"/>
        </w:rPr>
        <w:t>En conséquence, bon nombre des affaires d</w:t>
      </w:r>
      <w:r>
        <w:rPr>
          <w:rFonts w:cs="Times New Roman"/>
          <w:lang w:val="fr-CA"/>
        </w:rPr>
        <w:t>’</w:t>
      </w:r>
      <w:r w:rsidRPr="002C739B">
        <w:rPr>
          <w:rFonts w:cs="Times New Roman"/>
          <w:lang w:val="fr-CA"/>
        </w:rPr>
        <w:t>expropriation invoquées par Teal et la Cour d</w:t>
      </w:r>
      <w:r>
        <w:rPr>
          <w:rFonts w:cs="Times New Roman"/>
          <w:lang w:val="fr-CA"/>
        </w:rPr>
        <w:t>’</w:t>
      </w:r>
      <w:r w:rsidRPr="002C739B">
        <w:rPr>
          <w:rFonts w:cs="Times New Roman"/>
          <w:lang w:val="fr-CA"/>
        </w:rPr>
        <w:t>appel de la Colombie</w:t>
      </w:r>
      <w:r w:rsidRPr="002C739B">
        <w:rPr>
          <w:rFonts w:cs="Times New Roman"/>
          <w:lang w:val="fr-CA"/>
        </w:rPr>
        <w:noBreakHyphen/>
        <w:t>Britannique ne sont pas pertinentes en l</w:t>
      </w:r>
      <w:r>
        <w:rPr>
          <w:rFonts w:cs="Times New Roman"/>
          <w:lang w:val="fr-CA"/>
        </w:rPr>
        <w:t>’</w:t>
      </w:r>
      <w:r w:rsidRPr="002C739B">
        <w:rPr>
          <w:rFonts w:cs="Times New Roman"/>
          <w:lang w:val="fr-CA"/>
        </w:rPr>
        <w:t>espèce, parce qu</w:t>
      </w:r>
      <w:r>
        <w:rPr>
          <w:rFonts w:cs="Times New Roman"/>
          <w:lang w:val="fr-CA"/>
        </w:rPr>
        <w:t>’</w:t>
      </w:r>
      <w:r w:rsidRPr="002C739B">
        <w:rPr>
          <w:rFonts w:cs="Times New Roman"/>
          <w:lang w:val="fr-CA"/>
        </w:rPr>
        <w:t>on n</w:t>
      </w:r>
      <w:r>
        <w:rPr>
          <w:rFonts w:cs="Times New Roman"/>
          <w:lang w:val="fr-CA"/>
        </w:rPr>
        <w:t>’</w:t>
      </w:r>
      <w:r w:rsidRPr="002C739B">
        <w:rPr>
          <w:rFonts w:cs="Times New Roman"/>
          <w:lang w:val="fr-CA"/>
        </w:rPr>
        <w:t>y a pas interprété l</w:t>
      </w:r>
      <w:r>
        <w:rPr>
          <w:rFonts w:cs="Times New Roman"/>
          <w:lang w:val="fr-CA"/>
        </w:rPr>
        <w:t>’</w:t>
      </w:r>
      <w:r w:rsidRPr="002C739B">
        <w:rPr>
          <w:rFonts w:cs="Times New Roman"/>
          <w:lang w:val="fr-CA"/>
        </w:rPr>
        <w:t xml:space="preserve">interaction de la </w:t>
      </w:r>
      <w:r w:rsidRPr="002C739B">
        <w:rPr>
          <w:rFonts w:cs="Times New Roman"/>
          <w:i/>
          <w:lang w:val="fr-CA"/>
        </w:rPr>
        <w:t>PAFCA</w:t>
      </w:r>
      <w:r w:rsidRPr="002C739B">
        <w:rPr>
          <w:rFonts w:cs="Times New Roman"/>
          <w:lang w:val="fr-CA"/>
        </w:rPr>
        <w:t xml:space="preserve">, de la </w:t>
      </w:r>
      <w:r w:rsidRPr="002C739B">
        <w:rPr>
          <w:rFonts w:cs="Times New Roman"/>
          <w:i/>
          <w:lang w:val="fr-CA"/>
        </w:rPr>
        <w:t xml:space="preserve">Forest Act </w:t>
      </w:r>
      <w:r w:rsidRPr="002C739B">
        <w:rPr>
          <w:rFonts w:cs="Times New Roman"/>
          <w:lang w:val="fr-CA"/>
        </w:rPr>
        <w:t xml:space="preserve">et de la </w:t>
      </w:r>
      <w:r w:rsidRPr="002C739B">
        <w:rPr>
          <w:rFonts w:cs="Times New Roman"/>
          <w:i/>
          <w:lang w:val="fr-CA"/>
        </w:rPr>
        <w:t>CAA</w:t>
      </w:r>
      <w:r w:rsidRPr="002C739B">
        <w:rPr>
          <w:rFonts w:cs="Times New Roman"/>
          <w:lang w:val="fr-CA"/>
        </w:rPr>
        <w:t>.  De façon plus particulière, l</w:t>
      </w:r>
      <w:r>
        <w:rPr>
          <w:rFonts w:cs="Times New Roman"/>
          <w:lang w:val="fr-CA"/>
        </w:rPr>
        <w:t>’</w:t>
      </w:r>
      <w:r w:rsidRPr="002C739B">
        <w:rPr>
          <w:rFonts w:cs="Times New Roman"/>
          <w:lang w:val="fr-CA"/>
        </w:rPr>
        <w:t xml:space="preserve">arrêt </w:t>
      </w:r>
      <w:r w:rsidRPr="002C739B">
        <w:rPr>
          <w:rFonts w:cs="Times New Roman"/>
          <w:i/>
          <w:lang w:val="fr-CA"/>
        </w:rPr>
        <w:t>British Pacific Properties Ltd. c. Minister of Highways and Public Works</w:t>
      </w:r>
      <w:r w:rsidRPr="002C739B">
        <w:rPr>
          <w:rFonts w:cs="Times New Roman"/>
          <w:lang w:val="fr-CA"/>
        </w:rPr>
        <w:t>, [1980] 2 R.C.S. 283, dans lequel notre Cour a statué sur le pouvoir d</w:t>
      </w:r>
      <w:r>
        <w:rPr>
          <w:rFonts w:cs="Times New Roman"/>
          <w:lang w:val="fr-CA"/>
        </w:rPr>
        <w:t>’</w:t>
      </w:r>
      <w:r w:rsidRPr="002C739B">
        <w:rPr>
          <w:rFonts w:cs="Times New Roman"/>
          <w:lang w:val="fr-CA"/>
        </w:rPr>
        <w:t>un arbitre d</w:t>
      </w:r>
      <w:r>
        <w:rPr>
          <w:rFonts w:cs="Times New Roman"/>
          <w:lang w:val="fr-CA"/>
        </w:rPr>
        <w:t>’</w:t>
      </w:r>
      <w:r w:rsidRPr="002C739B">
        <w:rPr>
          <w:rFonts w:cs="Times New Roman"/>
          <w:lang w:val="fr-CA"/>
        </w:rPr>
        <w:t>accorder des intérêts composés dans une affaire d</w:t>
      </w:r>
      <w:r>
        <w:rPr>
          <w:rFonts w:cs="Times New Roman"/>
          <w:lang w:val="fr-CA"/>
        </w:rPr>
        <w:t>’</w:t>
      </w:r>
      <w:r w:rsidRPr="002C739B">
        <w:rPr>
          <w:rFonts w:cs="Times New Roman"/>
          <w:lang w:val="fr-CA"/>
        </w:rPr>
        <w:t>expropriation</w:t>
      </w:r>
      <w:r w:rsidR="00515521">
        <w:rPr>
          <w:rFonts w:cs="Times New Roman"/>
          <w:lang w:val="fr-CA"/>
        </w:rPr>
        <w:t>,</w:t>
      </w:r>
      <w:r w:rsidRPr="002C739B">
        <w:rPr>
          <w:rFonts w:cs="Times New Roman"/>
          <w:lang w:val="fr-CA"/>
        </w:rPr>
        <w:t xml:space="preserve"> ne s</w:t>
      </w:r>
      <w:r>
        <w:rPr>
          <w:rFonts w:cs="Times New Roman"/>
          <w:lang w:val="fr-CA"/>
        </w:rPr>
        <w:t>’</w:t>
      </w:r>
      <w:r w:rsidRPr="002C739B">
        <w:rPr>
          <w:rFonts w:cs="Times New Roman"/>
          <w:lang w:val="fr-CA"/>
        </w:rPr>
        <w:t>applique pas étant donné qu</w:t>
      </w:r>
      <w:r>
        <w:rPr>
          <w:rFonts w:cs="Times New Roman"/>
          <w:lang w:val="fr-CA"/>
        </w:rPr>
        <w:t>’</w:t>
      </w:r>
      <w:r w:rsidRPr="002C739B">
        <w:rPr>
          <w:rFonts w:cs="Times New Roman"/>
          <w:lang w:val="fr-CA"/>
        </w:rPr>
        <w:t>il est antérieur à l</w:t>
      </w:r>
      <w:r>
        <w:rPr>
          <w:rFonts w:cs="Times New Roman"/>
          <w:lang w:val="fr-CA"/>
        </w:rPr>
        <w:t>’</w:t>
      </w:r>
      <w:r w:rsidRPr="002C739B">
        <w:rPr>
          <w:rFonts w:cs="Times New Roman"/>
          <w:lang w:val="fr-CA"/>
        </w:rPr>
        <w:t xml:space="preserve">adoption de la </w:t>
      </w:r>
      <w:r w:rsidRPr="002C739B">
        <w:rPr>
          <w:rFonts w:cs="Times New Roman"/>
          <w:i/>
          <w:lang w:val="fr-CA"/>
        </w:rPr>
        <w:t>CAA</w:t>
      </w:r>
      <w:r w:rsidRPr="002C739B">
        <w:rPr>
          <w:rFonts w:cs="Times New Roman"/>
          <w:lang w:val="fr-CA"/>
        </w:rPr>
        <w:t xml:space="preserve">. </w:t>
      </w:r>
    </w:p>
    <w:p w:rsidR="00535732" w:rsidRPr="002C739B" w:rsidRDefault="00535732" w:rsidP="00535732">
      <w:pPr>
        <w:pStyle w:val="ParaNoNdepar-AltN"/>
        <w:rPr>
          <w:rFonts w:cs="Times New Roman"/>
          <w:lang w:val="fr-CA"/>
        </w:rPr>
      </w:pPr>
      <w:r w:rsidRPr="002C739B">
        <w:rPr>
          <w:rFonts w:cs="Times New Roman"/>
          <w:lang w:val="fr-CA"/>
        </w:rPr>
        <w:t>L</w:t>
      </w:r>
      <w:r>
        <w:rPr>
          <w:rFonts w:cs="Times New Roman"/>
          <w:lang w:val="fr-CA"/>
        </w:rPr>
        <w:t>’</w:t>
      </w:r>
      <w:r w:rsidRPr="002C739B">
        <w:rPr>
          <w:rFonts w:cs="Times New Roman"/>
          <w:lang w:val="fr-CA"/>
        </w:rPr>
        <w:t xml:space="preserve">arrêt </w:t>
      </w:r>
      <w:r w:rsidRPr="002C739B">
        <w:rPr>
          <w:rFonts w:cs="Times New Roman"/>
          <w:i/>
          <w:lang w:val="fr-CA"/>
        </w:rPr>
        <w:t>Morriss</w:t>
      </w:r>
      <w:r w:rsidRPr="002C739B">
        <w:rPr>
          <w:rFonts w:cs="Times New Roman"/>
          <w:lang w:val="fr-CA"/>
        </w:rPr>
        <w:t xml:space="preserve"> est lui aussi inapplicable en l</w:t>
      </w:r>
      <w:r>
        <w:rPr>
          <w:rFonts w:cs="Times New Roman"/>
          <w:lang w:val="fr-CA"/>
        </w:rPr>
        <w:t>’</w:t>
      </w:r>
      <w:r w:rsidRPr="002C739B">
        <w:rPr>
          <w:rFonts w:cs="Times New Roman"/>
          <w:lang w:val="fr-CA"/>
        </w:rPr>
        <w:t>espèce, parce qu</w:t>
      </w:r>
      <w:r>
        <w:rPr>
          <w:rFonts w:cs="Times New Roman"/>
          <w:lang w:val="fr-CA"/>
        </w:rPr>
        <w:t>’</w:t>
      </w:r>
      <w:r w:rsidRPr="002C739B">
        <w:rPr>
          <w:rFonts w:cs="Times New Roman"/>
          <w:lang w:val="fr-CA"/>
        </w:rPr>
        <w:t>il portait sur la compétence d</w:t>
      </w:r>
      <w:r>
        <w:rPr>
          <w:rFonts w:cs="Times New Roman"/>
          <w:lang w:val="fr-CA"/>
        </w:rPr>
        <w:t>’</w:t>
      </w:r>
      <w:r w:rsidRPr="002C739B">
        <w:rPr>
          <w:rFonts w:cs="Times New Roman"/>
          <w:lang w:val="fr-CA"/>
        </w:rPr>
        <w:t xml:space="preserve">une </w:t>
      </w:r>
      <w:r w:rsidRPr="002C739B">
        <w:rPr>
          <w:rFonts w:cs="Times New Roman"/>
          <w:i/>
          <w:lang w:val="fr-CA"/>
        </w:rPr>
        <w:t>cour de justice</w:t>
      </w:r>
      <w:r w:rsidRPr="002C739B">
        <w:rPr>
          <w:rFonts w:cs="Times New Roman"/>
          <w:lang w:val="fr-CA"/>
        </w:rPr>
        <w:t xml:space="preserve"> qui s</w:t>
      </w:r>
      <w:r>
        <w:rPr>
          <w:rFonts w:cs="Times New Roman"/>
          <w:lang w:val="fr-CA"/>
        </w:rPr>
        <w:t>’</w:t>
      </w:r>
      <w:r w:rsidRPr="002C739B">
        <w:rPr>
          <w:rFonts w:cs="Times New Roman"/>
          <w:lang w:val="fr-CA"/>
        </w:rPr>
        <w:t xml:space="preserve">appuyait </w:t>
      </w:r>
      <w:r w:rsidRPr="002C739B">
        <w:rPr>
          <w:rFonts w:cs="Times New Roman"/>
          <w:i/>
          <w:lang w:val="fr-CA"/>
        </w:rPr>
        <w:t>sur l</w:t>
      </w:r>
      <w:r>
        <w:rPr>
          <w:rFonts w:cs="Times New Roman"/>
          <w:i/>
          <w:lang w:val="fr-CA"/>
        </w:rPr>
        <w:t>’</w:t>
      </w:r>
      <w:r w:rsidRPr="002C739B">
        <w:rPr>
          <w:rFonts w:cs="Times New Roman"/>
          <w:i/>
          <w:lang w:val="fr-CA"/>
        </w:rPr>
        <w:t xml:space="preserve">equity </w:t>
      </w:r>
      <w:r w:rsidRPr="002C739B">
        <w:rPr>
          <w:rFonts w:cs="Times New Roman"/>
          <w:lang w:val="fr-CA"/>
        </w:rPr>
        <w:t>pour accorder des intérêts composés.  En arrivant à la conclusion que des intérêts composés pouvaient être accordés par le tribunal dans cette affaire, la Cour d</w:t>
      </w:r>
      <w:r>
        <w:rPr>
          <w:rFonts w:cs="Times New Roman"/>
          <w:lang w:val="fr-CA"/>
        </w:rPr>
        <w:t>’</w:t>
      </w:r>
      <w:r w:rsidRPr="002C739B">
        <w:rPr>
          <w:rFonts w:cs="Times New Roman"/>
          <w:lang w:val="fr-CA"/>
        </w:rPr>
        <w:t>appel de la Colombie</w:t>
      </w:r>
      <w:r w:rsidRPr="002C739B">
        <w:rPr>
          <w:rFonts w:cs="Times New Roman"/>
          <w:lang w:val="fr-CA"/>
        </w:rPr>
        <w:noBreakHyphen/>
        <w:t>Britannique s</w:t>
      </w:r>
      <w:r>
        <w:rPr>
          <w:rFonts w:cs="Times New Roman"/>
          <w:lang w:val="fr-CA"/>
        </w:rPr>
        <w:t>’</w:t>
      </w:r>
      <w:r w:rsidRPr="002C739B">
        <w:rPr>
          <w:rFonts w:cs="Times New Roman"/>
          <w:lang w:val="fr-CA"/>
        </w:rPr>
        <w:t>est fondée sur la compétence en equity du tribunal, compétence qui l</w:t>
      </w:r>
      <w:r>
        <w:rPr>
          <w:rFonts w:cs="Times New Roman"/>
          <w:lang w:val="fr-CA"/>
        </w:rPr>
        <w:t>’</w:t>
      </w:r>
      <w:r w:rsidRPr="002C739B">
        <w:rPr>
          <w:rFonts w:cs="Times New Roman"/>
          <w:lang w:val="fr-CA"/>
        </w:rPr>
        <w:t xml:space="preserve">autorisait à accorder de tels intérêts malgré les dispositions de la </w:t>
      </w:r>
      <w:r w:rsidRPr="002C739B">
        <w:rPr>
          <w:rFonts w:cs="Times New Roman"/>
          <w:i/>
          <w:lang w:val="fr-CA"/>
        </w:rPr>
        <w:lastRenderedPageBreak/>
        <w:t>COIA</w:t>
      </w:r>
      <w:r w:rsidRPr="002C739B">
        <w:rPr>
          <w:rFonts w:cs="Times New Roman"/>
          <w:lang w:val="fr-CA"/>
        </w:rPr>
        <w:t>.  Dans le présent pourvoi, l</w:t>
      </w:r>
      <w:r>
        <w:rPr>
          <w:rFonts w:cs="Times New Roman"/>
          <w:lang w:val="fr-CA"/>
        </w:rPr>
        <w:t>’</w:t>
      </w:r>
      <w:r w:rsidRPr="002C739B">
        <w:rPr>
          <w:rFonts w:cs="Times New Roman"/>
          <w:lang w:val="fr-CA"/>
        </w:rPr>
        <w:t>arbitre n</w:t>
      </w:r>
      <w:r>
        <w:rPr>
          <w:rFonts w:cs="Times New Roman"/>
          <w:lang w:val="fr-CA"/>
        </w:rPr>
        <w:t>’</w:t>
      </w:r>
      <w:r w:rsidRPr="002C739B">
        <w:rPr>
          <w:rFonts w:cs="Times New Roman"/>
          <w:lang w:val="fr-CA"/>
        </w:rPr>
        <w:t>avait pas le pouvoir de tenir compte de l</w:t>
      </w:r>
      <w:r>
        <w:rPr>
          <w:rFonts w:cs="Times New Roman"/>
          <w:lang w:val="fr-CA"/>
        </w:rPr>
        <w:t>’</w:t>
      </w:r>
      <w:r w:rsidRPr="002C739B">
        <w:rPr>
          <w:rFonts w:cs="Times New Roman"/>
          <w:lang w:val="fr-CA"/>
        </w:rPr>
        <w:t xml:space="preserve">equity.  Sous le régime de la </w:t>
      </w:r>
      <w:r w:rsidRPr="000549A9">
        <w:rPr>
          <w:rFonts w:cs="Times New Roman"/>
          <w:i/>
          <w:lang w:val="fr-CA"/>
        </w:rPr>
        <w:t>CAA</w:t>
      </w:r>
      <w:r w:rsidRPr="002C739B">
        <w:rPr>
          <w:rFonts w:cs="Times New Roman"/>
          <w:lang w:val="fr-CA"/>
        </w:rPr>
        <w:t>, les arbitres ne peuvent considérer des moyens reposant sur l</w:t>
      </w:r>
      <w:r>
        <w:rPr>
          <w:rFonts w:cs="Times New Roman"/>
          <w:lang w:val="fr-CA"/>
        </w:rPr>
        <w:t>’</w:t>
      </w:r>
      <w:r w:rsidRPr="002C739B">
        <w:rPr>
          <w:rFonts w:cs="Times New Roman"/>
          <w:lang w:val="fr-CA"/>
        </w:rPr>
        <w:t>equity que si les parties en ont expressément convenu (art. 23).  En l</w:t>
      </w:r>
      <w:r>
        <w:rPr>
          <w:rFonts w:cs="Times New Roman"/>
          <w:lang w:val="fr-CA"/>
        </w:rPr>
        <w:t>’</w:t>
      </w:r>
      <w:r w:rsidRPr="002C739B">
        <w:rPr>
          <w:rFonts w:cs="Times New Roman"/>
          <w:lang w:val="fr-CA"/>
        </w:rPr>
        <w:t>espèce, l</w:t>
      </w:r>
      <w:r>
        <w:rPr>
          <w:rFonts w:cs="Times New Roman"/>
          <w:lang w:val="fr-CA"/>
        </w:rPr>
        <w:t>’</w:t>
      </w:r>
      <w:r w:rsidRPr="002C739B">
        <w:rPr>
          <w:rFonts w:cs="Times New Roman"/>
          <w:lang w:val="fr-CA"/>
        </w:rPr>
        <w:t>entente entre Teal et la Province ne permettait pas à l</w:t>
      </w:r>
      <w:r>
        <w:rPr>
          <w:rFonts w:cs="Times New Roman"/>
          <w:lang w:val="fr-CA"/>
        </w:rPr>
        <w:t>’</w:t>
      </w:r>
      <w:r w:rsidRPr="002C739B">
        <w:rPr>
          <w:rFonts w:cs="Times New Roman"/>
          <w:lang w:val="fr-CA"/>
        </w:rPr>
        <w:t>arbitre d</w:t>
      </w:r>
      <w:r>
        <w:rPr>
          <w:rFonts w:cs="Times New Roman"/>
          <w:lang w:val="fr-CA"/>
        </w:rPr>
        <w:t>’</w:t>
      </w:r>
      <w:r w:rsidRPr="002C739B">
        <w:rPr>
          <w:rFonts w:cs="Times New Roman"/>
          <w:lang w:val="fr-CA"/>
        </w:rPr>
        <w:t>examiner de tels moyens.  En conséquence, le raisonnement adopté par la Cour d</w:t>
      </w:r>
      <w:r>
        <w:rPr>
          <w:rFonts w:cs="Times New Roman"/>
          <w:lang w:val="fr-CA"/>
        </w:rPr>
        <w:t>’</w:t>
      </w:r>
      <w:r w:rsidRPr="002C739B">
        <w:rPr>
          <w:rFonts w:cs="Times New Roman"/>
          <w:lang w:val="fr-CA"/>
        </w:rPr>
        <w:t>appel de la Colombie</w:t>
      </w:r>
      <w:r w:rsidRPr="002C739B">
        <w:rPr>
          <w:rFonts w:cs="Times New Roman"/>
          <w:lang w:val="fr-CA"/>
        </w:rPr>
        <w:noBreakHyphen/>
        <w:t xml:space="preserve">Britannique dans </w:t>
      </w:r>
      <w:r w:rsidRPr="002C739B">
        <w:rPr>
          <w:rFonts w:cs="Times New Roman"/>
          <w:i/>
          <w:lang w:val="fr-CA"/>
        </w:rPr>
        <w:t>Morriss</w:t>
      </w:r>
      <w:r w:rsidRPr="002C739B">
        <w:rPr>
          <w:rFonts w:cs="Times New Roman"/>
          <w:lang w:val="fr-CA"/>
        </w:rPr>
        <w:t xml:space="preserve"> — qu</w:t>
      </w:r>
      <w:r>
        <w:rPr>
          <w:rFonts w:cs="Times New Roman"/>
          <w:lang w:val="fr-CA"/>
        </w:rPr>
        <w:t>’</w:t>
      </w:r>
      <w:r w:rsidRPr="002C739B">
        <w:rPr>
          <w:rFonts w:cs="Times New Roman"/>
          <w:lang w:val="fr-CA"/>
        </w:rPr>
        <w:t>il soit fondé ou non — n</w:t>
      </w:r>
      <w:r>
        <w:rPr>
          <w:rFonts w:cs="Times New Roman"/>
          <w:lang w:val="fr-CA"/>
        </w:rPr>
        <w:t>’</w:t>
      </w:r>
      <w:r w:rsidRPr="002C739B">
        <w:rPr>
          <w:rFonts w:cs="Times New Roman"/>
          <w:lang w:val="fr-CA"/>
        </w:rPr>
        <w:t>est pas utile pour trancher le présent pourvoi.</w:t>
      </w:r>
    </w:p>
    <w:p w:rsidR="00535732" w:rsidRPr="002C739B" w:rsidRDefault="00535732" w:rsidP="00535732">
      <w:pPr>
        <w:pStyle w:val="TitleTitre-AltT"/>
        <w:tabs>
          <w:tab w:val="clear" w:pos="360"/>
          <w:tab w:val="left" w:pos="450"/>
        </w:tabs>
        <w:ind w:left="446" w:hanging="446"/>
        <w:rPr>
          <w:rFonts w:cs="Times New Roman"/>
          <w:u w:val="single"/>
          <w:lang w:val="fr-CA"/>
        </w:rPr>
      </w:pPr>
      <w:r w:rsidRPr="002C739B">
        <w:rPr>
          <w:rFonts w:cs="Times New Roman"/>
          <w:lang w:val="fr-CA"/>
        </w:rPr>
        <w:t>V.</w:t>
      </w:r>
      <w:r w:rsidRPr="002C739B">
        <w:rPr>
          <w:rFonts w:cs="Times New Roman"/>
          <w:lang w:val="fr-CA"/>
        </w:rPr>
        <w:tab/>
      </w:r>
      <w:r w:rsidRPr="002C739B">
        <w:rPr>
          <w:rFonts w:cs="Times New Roman"/>
          <w:u w:val="single"/>
          <w:lang w:val="fr-CA"/>
        </w:rPr>
        <w:t>Dispositif</w:t>
      </w:r>
    </w:p>
    <w:p w:rsidR="00535732" w:rsidRPr="002C739B" w:rsidRDefault="00535732" w:rsidP="00535732">
      <w:pPr>
        <w:pStyle w:val="ParaNoNdepar-AltN"/>
        <w:rPr>
          <w:rFonts w:cs="Times New Roman"/>
          <w:lang w:val="fr-CA"/>
        </w:rPr>
      </w:pPr>
      <w:r w:rsidRPr="002C739B">
        <w:rPr>
          <w:rFonts w:eastAsiaTheme="minorHAnsi" w:cs="Times New Roman"/>
          <w:lang w:val="fr-CA"/>
        </w:rPr>
        <w:t>J</w:t>
      </w:r>
      <w:r>
        <w:rPr>
          <w:rFonts w:eastAsiaTheme="minorHAnsi" w:cs="Times New Roman"/>
          <w:lang w:val="fr-CA"/>
        </w:rPr>
        <w:t>’</w:t>
      </w:r>
      <w:r w:rsidRPr="002C739B">
        <w:rPr>
          <w:rFonts w:eastAsiaTheme="minorHAnsi" w:cs="Times New Roman"/>
          <w:lang w:val="fr-CA"/>
        </w:rPr>
        <w:t xml:space="preserve">accueillerais le pourvoi, avec dépens devant toutes les cours.  La Province doit être autorisée, en application de la </w:t>
      </w:r>
      <w:r w:rsidRPr="002C739B">
        <w:rPr>
          <w:rFonts w:eastAsiaTheme="minorHAnsi" w:cs="Times New Roman"/>
          <w:i/>
          <w:lang w:val="fr-CA"/>
        </w:rPr>
        <w:t>CAA</w:t>
      </w:r>
      <w:r w:rsidRPr="002C739B">
        <w:rPr>
          <w:rFonts w:eastAsiaTheme="minorHAnsi" w:cs="Times New Roman"/>
          <w:lang w:val="fr-CA"/>
        </w:rPr>
        <w:t>, à interjeter appel de la décision de l</w:t>
      </w:r>
      <w:r>
        <w:rPr>
          <w:rFonts w:eastAsiaTheme="minorHAnsi" w:cs="Times New Roman"/>
          <w:lang w:val="fr-CA"/>
        </w:rPr>
        <w:t>’</w:t>
      </w:r>
      <w:r w:rsidRPr="002C739B">
        <w:rPr>
          <w:rFonts w:eastAsiaTheme="minorHAnsi" w:cs="Times New Roman"/>
          <w:lang w:val="fr-CA"/>
        </w:rPr>
        <w:t>arbitre accordant des intérêts composés à Teal.  J</w:t>
      </w:r>
      <w:r>
        <w:rPr>
          <w:rFonts w:eastAsiaTheme="minorHAnsi" w:cs="Times New Roman"/>
          <w:lang w:val="fr-CA"/>
        </w:rPr>
        <w:t>’</w:t>
      </w:r>
      <w:r w:rsidRPr="002C739B">
        <w:rPr>
          <w:rFonts w:eastAsiaTheme="minorHAnsi" w:cs="Times New Roman"/>
          <w:lang w:val="fr-CA"/>
        </w:rPr>
        <w:t xml:space="preserve">annulerais cette décision et y substituerais une décision accordant des intérêts simples. </w:t>
      </w:r>
    </w:p>
    <w:p w:rsidR="00535732" w:rsidRPr="00A548E8" w:rsidRDefault="00535732" w:rsidP="00535732">
      <w:pPr>
        <w:pStyle w:val="TitleTitre-AltT"/>
        <w:jc w:val="center"/>
        <w:rPr>
          <w:rFonts w:cs="Times New Roman"/>
          <w:b/>
        </w:rPr>
      </w:pPr>
      <w:r w:rsidRPr="00A548E8">
        <w:rPr>
          <w:rFonts w:cs="Times New Roman"/>
          <w:b/>
        </w:rPr>
        <w:t>ANNEXE</w:t>
      </w:r>
    </w:p>
    <w:p w:rsidR="00535732" w:rsidRPr="00A548E8" w:rsidRDefault="00535732" w:rsidP="00A775D5">
      <w:pPr>
        <w:spacing w:after="480" w:line="480" w:lineRule="auto"/>
        <w:jc w:val="both"/>
      </w:pPr>
      <w:r w:rsidRPr="00A548E8">
        <w:rPr>
          <w:i/>
        </w:rPr>
        <w:t>Protected Areas Forest</w:t>
      </w:r>
      <w:r>
        <w:rPr>
          <w:i/>
        </w:rPr>
        <w:t>s</w:t>
      </w:r>
      <w:r w:rsidRPr="00A548E8">
        <w:rPr>
          <w:i/>
        </w:rPr>
        <w:t xml:space="preserve"> Compensation Act</w:t>
      </w:r>
      <w:r w:rsidRPr="00A548E8">
        <w:t>,</w:t>
      </w:r>
      <w:r w:rsidRPr="00A548E8">
        <w:rPr>
          <w:i/>
        </w:rPr>
        <w:t xml:space="preserve"> </w:t>
      </w:r>
      <w:r w:rsidRPr="00A548E8">
        <w:t>S.B.C. 2002, ch. 51</w:t>
      </w:r>
    </w:p>
    <w:p w:rsidR="00535732" w:rsidRPr="00A775D5" w:rsidRDefault="00A775D5" w:rsidP="00A775D5">
      <w:pPr>
        <w:tabs>
          <w:tab w:val="left" w:pos="720"/>
        </w:tabs>
        <w:ind w:left="720" w:hanging="720"/>
        <w:jc w:val="both"/>
        <w:rPr>
          <w:lang w:val="fr-CA"/>
        </w:rPr>
      </w:pPr>
      <w:r w:rsidRPr="008C2600">
        <w:rPr>
          <w:lang w:val="en-US"/>
        </w:rPr>
        <w:tab/>
      </w:r>
      <w:r w:rsidR="00535732" w:rsidRPr="00A775D5">
        <w:rPr>
          <w:lang w:val="fr-CA"/>
        </w:rPr>
        <w:t>[</w:t>
      </w:r>
      <w:r w:rsidR="00535732" w:rsidRPr="008C2600">
        <w:rPr>
          <w:smallCaps/>
          <w:lang w:val="fr-CA"/>
        </w:rPr>
        <w:t>traduction</w:t>
      </w:r>
      <w:r w:rsidR="00535732" w:rsidRPr="00A775D5">
        <w:rPr>
          <w:lang w:val="fr-CA"/>
        </w:rPr>
        <w:t>]</w:t>
      </w:r>
    </w:p>
    <w:p w:rsidR="00A775D5" w:rsidRPr="002C739B" w:rsidRDefault="00A775D5" w:rsidP="00A775D5">
      <w:pPr>
        <w:tabs>
          <w:tab w:val="left" w:pos="720"/>
        </w:tabs>
        <w:ind w:left="720" w:hanging="720"/>
        <w:jc w:val="both"/>
        <w:rPr>
          <w:lang w:val="fr-CA"/>
        </w:rPr>
      </w:pPr>
    </w:p>
    <w:p w:rsidR="00535732" w:rsidRPr="002C739B" w:rsidRDefault="00A775D5" w:rsidP="00A775D5">
      <w:pPr>
        <w:tabs>
          <w:tab w:val="left" w:pos="720"/>
        </w:tabs>
        <w:spacing w:after="240"/>
        <w:ind w:left="720" w:hanging="720"/>
        <w:jc w:val="both"/>
        <w:rPr>
          <w:b/>
          <w:lang w:val="fr-CA"/>
        </w:rPr>
      </w:pPr>
      <w:r>
        <w:rPr>
          <w:b/>
          <w:lang w:val="fr-CA"/>
        </w:rPr>
        <w:tab/>
      </w:r>
      <w:r w:rsidR="00535732" w:rsidRPr="002C739B">
        <w:rPr>
          <w:b/>
          <w:lang w:val="fr-CA"/>
        </w:rPr>
        <w:t>Limite de l</w:t>
      </w:r>
      <w:r w:rsidR="00535732">
        <w:rPr>
          <w:b/>
          <w:lang w:val="fr-CA"/>
        </w:rPr>
        <w:t>’</w:t>
      </w:r>
      <w:r w:rsidR="00535732" w:rsidRPr="002C739B">
        <w:rPr>
          <w:b/>
          <w:lang w:val="fr-CA"/>
        </w:rPr>
        <w:t>indemnité</w:t>
      </w:r>
    </w:p>
    <w:p w:rsidR="00535732" w:rsidRPr="002C739B" w:rsidRDefault="00A775D5" w:rsidP="00482299">
      <w:pPr>
        <w:tabs>
          <w:tab w:val="left" w:pos="720"/>
          <w:tab w:val="left" w:pos="1260"/>
          <w:tab w:val="left" w:pos="1620"/>
        </w:tabs>
        <w:spacing w:after="240"/>
        <w:ind w:left="1260" w:hanging="1260"/>
        <w:jc w:val="both"/>
        <w:rPr>
          <w:b/>
          <w:lang w:val="fr-CA"/>
        </w:rPr>
      </w:pPr>
      <w:r>
        <w:rPr>
          <w:b/>
          <w:lang w:val="fr-CA"/>
        </w:rPr>
        <w:tab/>
      </w:r>
      <w:r w:rsidR="00535732" w:rsidRPr="002C739B">
        <w:rPr>
          <w:b/>
          <w:lang w:val="fr-CA"/>
        </w:rPr>
        <w:t>7</w:t>
      </w:r>
      <w:r w:rsidR="00482299">
        <w:rPr>
          <w:b/>
          <w:lang w:val="fr-CA"/>
        </w:rPr>
        <w:tab/>
      </w:r>
      <w:r w:rsidR="00482299">
        <w:rPr>
          <w:lang w:val="fr-CA"/>
        </w:rPr>
        <w:t xml:space="preserve">(0.1) </w:t>
      </w:r>
      <w:r w:rsidR="00535732" w:rsidRPr="002C739B">
        <w:rPr>
          <w:lang w:val="fr-CA"/>
        </w:rPr>
        <w:t xml:space="preserve">Pour </w:t>
      </w:r>
      <w:r w:rsidR="00535732" w:rsidRPr="00A775D5">
        <w:rPr>
          <w:lang w:val="fr-CA"/>
        </w:rPr>
        <w:t>l’application</w:t>
      </w:r>
      <w:r w:rsidR="00535732" w:rsidRPr="002C739B">
        <w:rPr>
          <w:lang w:val="fr-CA"/>
        </w:rPr>
        <w:t xml:space="preserve"> du présent article, le terme « indemnité » s</w:t>
      </w:r>
      <w:r w:rsidR="00535732">
        <w:rPr>
          <w:lang w:val="fr-CA"/>
        </w:rPr>
        <w:t>’</w:t>
      </w:r>
      <w:r w:rsidR="00535732" w:rsidRPr="002C739B">
        <w:rPr>
          <w:lang w:val="fr-CA"/>
        </w:rPr>
        <w:t>entend notamment des dommages</w:t>
      </w:r>
      <w:r w:rsidR="00535732" w:rsidRPr="002C739B">
        <w:rPr>
          <w:lang w:val="fr-CA"/>
        </w:rPr>
        <w:noBreakHyphen/>
        <w:t>intérêts.</w:t>
      </w:r>
    </w:p>
    <w:p w:rsidR="00535732" w:rsidRPr="002C739B" w:rsidRDefault="00535732" w:rsidP="00482299">
      <w:pPr>
        <w:tabs>
          <w:tab w:val="left" w:pos="709"/>
          <w:tab w:val="left" w:pos="1260"/>
          <w:tab w:val="left" w:pos="1800"/>
        </w:tabs>
        <w:spacing w:after="240"/>
        <w:ind w:left="1267" w:hanging="1267"/>
        <w:jc w:val="both"/>
        <w:rPr>
          <w:lang w:val="fr-CA"/>
        </w:rPr>
      </w:pPr>
      <w:r w:rsidRPr="002C739B">
        <w:rPr>
          <w:lang w:val="fr-CA"/>
        </w:rPr>
        <w:tab/>
      </w:r>
      <w:r w:rsidR="00482299">
        <w:rPr>
          <w:lang w:val="fr-CA"/>
        </w:rPr>
        <w:tab/>
      </w:r>
      <w:r w:rsidRPr="002C739B">
        <w:rPr>
          <w:lang w:val="fr-CA"/>
        </w:rPr>
        <w:t>(1)</w:t>
      </w:r>
      <w:r w:rsidRPr="002C739B">
        <w:rPr>
          <w:lang w:val="fr-CA"/>
        </w:rPr>
        <w:tab/>
        <w:t>L</w:t>
      </w:r>
      <w:r>
        <w:rPr>
          <w:lang w:val="fr-CA"/>
        </w:rPr>
        <w:t>’</w:t>
      </w:r>
      <w:r w:rsidRPr="002C739B">
        <w:rPr>
          <w:lang w:val="fr-CA"/>
        </w:rPr>
        <w:t>indemnité payable au titulaire d</w:t>
      </w:r>
      <w:r>
        <w:rPr>
          <w:lang w:val="fr-CA"/>
        </w:rPr>
        <w:t>’</w:t>
      </w:r>
      <w:r w:rsidRPr="002C739B">
        <w:rPr>
          <w:lang w:val="fr-CA"/>
        </w:rPr>
        <w:t>un permis en raison de l</w:t>
      </w:r>
      <w:r>
        <w:rPr>
          <w:lang w:val="fr-CA"/>
        </w:rPr>
        <w:t>’</w:t>
      </w:r>
      <w:r w:rsidRPr="002C739B">
        <w:rPr>
          <w:lang w:val="fr-CA"/>
        </w:rPr>
        <w:t>une ou l</w:t>
      </w:r>
      <w:r>
        <w:rPr>
          <w:lang w:val="fr-CA"/>
        </w:rPr>
        <w:t>’</w:t>
      </w:r>
      <w:r w:rsidRPr="002C739B">
        <w:rPr>
          <w:lang w:val="fr-CA"/>
        </w:rPr>
        <w:t>autre des situations énumérées ci</w:t>
      </w:r>
      <w:r w:rsidRPr="002C739B">
        <w:rPr>
          <w:lang w:val="fr-CA"/>
        </w:rPr>
        <w:noBreakHyphen/>
        <w:t xml:space="preserve">après se limite au montant de </w:t>
      </w:r>
      <w:r w:rsidRPr="002C739B">
        <w:rPr>
          <w:lang w:val="fr-CA"/>
        </w:rPr>
        <w:lastRenderedPageBreak/>
        <w:t>l</w:t>
      </w:r>
      <w:r>
        <w:rPr>
          <w:lang w:val="fr-CA"/>
        </w:rPr>
        <w:t>’</w:t>
      </w:r>
      <w:r w:rsidRPr="002C739B">
        <w:rPr>
          <w:lang w:val="fr-CA"/>
        </w:rPr>
        <w:t>indemnité déterminée, à l</w:t>
      </w:r>
      <w:r>
        <w:rPr>
          <w:lang w:val="fr-CA"/>
        </w:rPr>
        <w:t>’</w:t>
      </w:r>
      <w:r w:rsidRPr="002C739B">
        <w:rPr>
          <w:lang w:val="fr-CA"/>
        </w:rPr>
        <w:t>égard de ce permis, en vertu de l</w:t>
      </w:r>
      <w:r>
        <w:rPr>
          <w:lang w:val="fr-CA"/>
        </w:rPr>
        <w:t>’</w:t>
      </w:r>
      <w:r w:rsidRPr="002C739B">
        <w:rPr>
          <w:lang w:val="fr-CA"/>
        </w:rPr>
        <w:t xml:space="preserve">article 60 de la </w:t>
      </w:r>
      <w:r w:rsidRPr="002C739B">
        <w:rPr>
          <w:i/>
          <w:lang w:val="fr-CA"/>
        </w:rPr>
        <w:t xml:space="preserve">Forest Act </w:t>
      </w:r>
      <w:r w:rsidRPr="002C739B">
        <w:rPr>
          <w:lang w:val="fr-CA"/>
        </w:rPr>
        <w:t>tel qu</w:t>
      </w:r>
      <w:r>
        <w:rPr>
          <w:lang w:val="fr-CA"/>
        </w:rPr>
        <w:t>’</w:t>
      </w:r>
      <w:r w:rsidRPr="002C739B">
        <w:rPr>
          <w:lang w:val="fr-CA"/>
        </w:rPr>
        <w:t>il s</w:t>
      </w:r>
      <w:r>
        <w:rPr>
          <w:lang w:val="fr-CA"/>
        </w:rPr>
        <w:t>’</w:t>
      </w:r>
      <w:r w:rsidRPr="002C739B">
        <w:rPr>
          <w:lang w:val="fr-CA"/>
        </w:rPr>
        <w:t>applique pour les besoins de la présente loi :</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sidRPr="002C739B">
        <w:rPr>
          <w:lang w:val="fr-CA"/>
        </w:rPr>
        <w:t>(a)</w:t>
      </w:r>
      <w:r w:rsidR="00535732">
        <w:rPr>
          <w:lang w:val="fr-CA"/>
        </w:rPr>
        <w:tab/>
      </w:r>
      <w:r w:rsidR="00535732" w:rsidRPr="002C739B">
        <w:rPr>
          <w:lang w:val="fr-CA"/>
        </w:rPr>
        <w:t xml:space="preserve">une </w:t>
      </w:r>
      <w:r w:rsidR="00535732" w:rsidRPr="008C2600">
        <w:rPr>
          <w:lang w:val="fr-CA"/>
        </w:rPr>
        <w:t>suppression</w:t>
      </w:r>
      <w:r w:rsidR="00535732" w:rsidRPr="002C739B">
        <w:rPr>
          <w:lang w:val="fr-CA"/>
        </w:rPr>
        <w:t xml:space="preserve"> visée au paragraphe 2 (1) touchant le permis;</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sidRPr="002C739B">
        <w:rPr>
          <w:lang w:val="fr-CA"/>
        </w:rPr>
        <w:t>(b)</w:t>
      </w:r>
      <w:r w:rsidR="00535732">
        <w:rPr>
          <w:lang w:val="fr-CA"/>
        </w:rPr>
        <w:tab/>
      </w:r>
      <w:r w:rsidR="00535732" w:rsidRPr="002C739B">
        <w:rPr>
          <w:lang w:val="fr-CA"/>
        </w:rPr>
        <w:t>une réduction de coupe annuelle touchant le permis, dans la mesure où cette réduction était ou est attribuable à l</w:t>
      </w:r>
      <w:r w:rsidR="00535732">
        <w:rPr>
          <w:lang w:val="fr-CA"/>
        </w:rPr>
        <w:t>’</w:t>
      </w:r>
      <w:r w:rsidR="00535732" w:rsidRPr="002C739B">
        <w:rPr>
          <w:lang w:val="fr-CA"/>
        </w:rPr>
        <w:t>établissement d</w:t>
      </w:r>
      <w:r w:rsidR="00535732">
        <w:rPr>
          <w:lang w:val="fr-CA"/>
        </w:rPr>
        <w:t>’</w:t>
      </w:r>
      <w:r w:rsidR="00535732" w:rsidRPr="002C739B">
        <w:rPr>
          <w:lang w:val="fr-CA"/>
        </w:rPr>
        <w:t>une zone protégée;</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sidRPr="002C739B">
        <w:rPr>
          <w:lang w:val="fr-CA"/>
        </w:rPr>
        <w:t>(c)</w:t>
      </w:r>
      <w:r w:rsidR="00535732" w:rsidRPr="002C739B">
        <w:rPr>
          <w:lang w:val="fr-CA"/>
        </w:rPr>
        <w:tab/>
        <w:t>l</w:t>
      </w:r>
      <w:r w:rsidR="00535732">
        <w:rPr>
          <w:lang w:val="fr-CA"/>
        </w:rPr>
        <w:t>’</w:t>
      </w:r>
      <w:r w:rsidR="00535732" w:rsidRPr="002C739B">
        <w:rPr>
          <w:lang w:val="fr-CA"/>
        </w:rPr>
        <w:t>établissement d</w:t>
      </w:r>
      <w:r w:rsidR="00535732">
        <w:rPr>
          <w:lang w:val="fr-CA"/>
        </w:rPr>
        <w:t>’</w:t>
      </w:r>
      <w:r w:rsidR="00535732" w:rsidRPr="002C739B">
        <w:rPr>
          <w:lang w:val="fr-CA"/>
        </w:rPr>
        <w:t>une zone protégée comprenant tout ou partie de l</w:t>
      </w:r>
      <w:r w:rsidR="00535732">
        <w:rPr>
          <w:lang w:val="fr-CA"/>
        </w:rPr>
        <w:t>’</w:t>
      </w:r>
      <w:r w:rsidR="00535732" w:rsidRPr="002C739B">
        <w:rPr>
          <w:lang w:val="fr-CA"/>
        </w:rPr>
        <w:t xml:space="preserve">aire visée </w:t>
      </w:r>
      <w:r w:rsidR="00535732" w:rsidRPr="008C2600">
        <w:rPr>
          <w:lang w:val="fr-CA"/>
        </w:rPr>
        <w:t>par</w:t>
      </w:r>
      <w:r w:rsidR="00535732" w:rsidRPr="002C739B">
        <w:rPr>
          <w:lang w:val="fr-CA"/>
        </w:rPr>
        <w:t xml:space="preserve"> le permis;</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sidRPr="002C739B">
        <w:rPr>
          <w:lang w:val="fr-CA"/>
        </w:rPr>
        <w:t>(d)</w:t>
      </w:r>
      <w:r w:rsidR="00535732" w:rsidRPr="002C739B">
        <w:rPr>
          <w:lang w:val="fr-CA"/>
        </w:rPr>
        <w:tab/>
        <w:t xml:space="preserve">toute </w:t>
      </w:r>
      <w:r w:rsidR="00535732" w:rsidRPr="008C2600">
        <w:rPr>
          <w:lang w:val="fr-CA"/>
        </w:rPr>
        <w:t>combinaison</w:t>
      </w:r>
      <w:r w:rsidR="00535732" w:rsidRPr="002C739B">
        <w:rPr>
          <w:lang w:val="fr-CA"/>
        </w:rPr>
        <w:t xml:space="preserve"> des situations précisées aux alinéas </w:t>
      </w:r>
      <w:r w:rsidR="00094B63">
        <w:rPr>
          <w:lang w:val="fr-CA"/>
        </w:rPr>
        <w:t>(</w:t>
      </w:r>
      <w:r w:rsidR="00535732" w:rsidRPr="002C739B">
        <w:rPr>
          <w:lang w:val="fr-CA"/>
        </w:rPr>
        <w:t xml:space="preserve">a) à </w:t>
      </w:r>
      <w:r w:rsidR="00094B63">
        <w:rPr>
          <w:lang w:val="fr-CA"/>
        </w:rPr>
        <w:t>(</w:t>
      </w:r>
      <w:r w:rsidR="00535732" w:rsidRPr="002C739B">
        <w:rPr>
          <w:lang w:val="fr-CA"/>
        </w:rPr>
        <w:t>c).</w:t>
      </w:r>
    </w:p>
    <w:p w:rsidR="00535732" w:rsidRPr="002C739B" w:rsidRDefault="00535732" w:rsidP="00535732">
      <w:pPr>
        <w:tabs>
          <w:tab w:val="left" w:pos="1800"/>
        </w:tabs>
        <w:spacing w:after="240"/>
        <w:ind w:left="1354" w:hanging="1440"/>
        <w:jc w:val="center"/>
        <w:rPr>
          <w:lang w:val="fr-CA"/>
        </w:rPr>
      </w:pPr>
      <w:r w:rsidRPr="002C739B">
        <w:rPr>
          <w:lang w:val="fr-CA"/>
        </w:rPr>
        <w:t>. . .</w:t>
      </w:r>
    </w:p>
    <w:p w:rsidR="00535732" w:rsidRPr="002C739B" w:rsidRDefault="00482299" w:rsidP="00482299">
      <w:pPr>
        <w:tabs>
          <w:tab w:val="left" w:pos="709"/>
          <w:tab w:val="left" w:pos="1260"/>
          <w:tab w:val="left" w:pos="1800"/>
        </w:tabs>
        <w:spacing w:after="720"/>
        <w:ind w:left="1267" w:hanging="1267"/>
        <w:jc w:val="both"/>
        <w:rPr>
          <w:lang w:val="fr-CA"/>
        </w:rPr>
      </w:pPr>
      <w:r>
        <w:rPr>
          <w:lang w:val="fr-CA"/>
        </w:rPr>
        <w:tab/>
      </w:r>
      <w:r w:rsidR="00535732">
        <w:rPr>
          <w:lang w:val="fr-CA"/>
        </w:rPr>
        <w:tab/>
      </w:r>
      <w:r w:rsidR="00535732" w:rsidRPr="002C739B">
        <w:rPr>
          <w:lang w:val="fr-CA"/>
        </w:rPr>
        <w:t>(3)</w:t>
      </w:r>
      <w:r w:rsidR="00535732" w:rsidRPr="002C739B">
        <w:rPr>
          <w:lang w:val="fr-CA"/>
        </w:rPr>
        <w:tab/>
        <w:t>Une suppression visée au paragraphe 2(1), une réduction de coupe annuelle ou l</w:t>
      </w:r>
      <w:r w:rsidR="00535732">
        <w:rPr>
          <w:lang w:val="fr-CA"/>
        </w:rPr>
        <w:t>’</w:t>
      </w:r>
      <w:r w:rsidR="00535732" w:rsidRPr="002C739B">
        <w:rPr>
          <w:lang w:val="fr-CA"/>
        </w:rPr>
        <w:t>établissement d</w:t>
      </w:r>
      <w:r w:rsidR="00535732">
        <w:rPr>
          <w:lang w:val="fr-CA"/>
        </w:rPr>
        <w:t>’</w:t>
      </w:r>
      <w:r w:rsidR="00535732" w:rsidRPr="002C739B">
        <w:rPr>
          <w:lang w:val="fr-CA"/>
        </w:rPr>
        <w:t>une zone protégée comprenant tout ou partie de l</w:t>
      </w:r>
      <w:r w:rsidR="00535732">
        <w:rPr>
          <w:lang w:val="fr-CA"/>
        </w:rPr>
        <w:t>’</w:t>
      </w:r>
      <w:r w:rsidR="00535732" w:rsidRPr="002C739B">
        <w:rPr>
          <w:lang w:val="fr-CA"/>
        </w:rPr>
        <w:t>aire faisant l</w:t>
      </w:r>
      <w:r w:rsidR="00535732">
        <w:rPr>
          <w:lang w:val="fr-CA"/>
        </w:rPr>
        <w:t>’</w:t>
      </w:r>
      <w:r w:rsidR="00535732" w:rsidRPr="002C739B">
        <w:rPr>
          <w:lang w:val="fr-CA"/>
        </w:rPr>
        <w:t>objet du permis ne constitue pas une expropriation au sens de l</w:t>
      </w:r>
      <w:r w:rsidR="00535732">
        <w:rPr>
          <w:lang w:val="fr-CA"/>
        </w:rPr>
        <w:t>’</w:t>
      </w:r>
      <w:r w:rsidR="00535732" w:rsidRPr="002C739B">
        <w:rPr>
          <w:i/>
          <w:lang w:val="fr-CA"/>
        </w:rPr>
        <w:t>Expropriation Act</w:t>
      </w:r>
      <w:r w:rsidR="00535732" w:rsidRPr="002C739B">
        <w:rPr>
          <w:lang w:val="fr-CA"/>
        </w:rPr>
        <w:t>.</w:t>
      </w:r>
    </w:p>
    <w:p w:rsidR="00535732" w:rsidRPr="003E743D" w:rsidRDefault="00535732" w:rsidP="00482299">
      <w:pPr>
        <w:spacing w:after="480" w:line="480" w:lineRule="auto"/>
        <w:jc w:val="both"/>
        <w:rPr>
          <w:lang w:val="fr-CA"/>
        </w:rPr>
      </w:pPr>
      <w:r w:rsidRPr="003E743D">
        <w:rPr>
          <w:i/>
          <w:lang w:val="fr-CA"/>
        </w:rPr>
        <w:t>Forest Act</w:t>
      </w:r>
      <w:r w:rsidRPr="003E743D">
        <w:rPr>
          <w:lang w:val="fr-CA"/>
        </w:rPr>
        <w:t>, R.S.B.C. 1996, ch. 157 (version en vigueur le 1</w:t>
      </w:r>
      <w:r w:rsidRPr="003E743D">
        <w:rPr>
          <w:vertAlign w:val="superscript"/>
          <w:lang w:val="fr-CA"/>
        </w:rPr>
        <w:t>er</w:t>
      </w:r>
      <w:r w:rsidRPr="003E743D">
        <w:rPr>
          <w:lang w:val="fr-CA"/>
        </w:rPr>
        <w:t xml:space="preserve"> avril 1999)</w:t>
      </w:r>
    </w:p>
    <w:p w:rsidR="00535732" w:rsidRDefault="00482299" w:rsidP="00482299">
      <w:pPr>
        <w:tabs>
          <w:tab w:val="left" w:pos="720"/>
        </w:tabs>
        <w:spacing w:after="240"/>
        <w:jc w:val="both"/>
        <w:rPr>
          <w:lang w:val="fr-CA"/>
        </w:rPr>
      </w:pPr>
      <w:r>
        <w:rPr>
          <w:lang w:val="fr-CA"/>
        </w:rPr>
        <w:tab/>
      </w:r>
      <w:r w:rsidR="00535732" w:rsidRPr="002C739B">
        <w:rPr>
          <w:lang w:val="fr-CA"/>
        </w:rPr>
        <w:t>[</w:t>
      </w:r>
      <w:r w:rsidR="00535732" w:rsidRPr="002C739B">
        <w:rPr>
          <w:smallCaps/>
          <w:lang w:val="fr-CA"/>
        </w:rPr>
        <w:t>traduction</w:t>
      </w:r>
      <w:r w:rsidR="00535732" w:rsidRPr="002C739B">
        <w:rPr>
          <w:lang w:val="fr-CA"/>
        </w:rPr>
        <w:t>]</w:t>
      </w:r>
    </w:p>
    <w:p w:rsidR="00094B63" w:rsidRPr="00094B63" w:rsidRDefault="00094B63" w:rsidP="00482299">
      <w:pPr>
        <w:tabs>
          <w:tab w:val="left" w:pos="720"/>
        </w:tabs>
        <w:spacing w:after="240"/>
        <w:jc w:val="both"/>
        <w:rPr>
          <w:b/>
          <w:lang w:val="fr-CA"/>
        </w:rPr>
      </w:pPr>
      <w:r>
        <w:rPr>
          <w:lang w:val="fr-CA"/>
        </w:rPr>
        <w:tab/>
      </w:r>
      <w:r w:rsidRPr="00094B63">
        <w:rPr>
          <w:b/>
          <w:lang w:val="fr-CA"/>
        </w:rPr>
        <w:t>Suppressions et réductions</w:t>
      </w:r>
    </w:p>
    <w:p w:rsidR="00535732" w:rsidRPr="002C739B" w:rsidRDefault="00482299" w:rsidP="00482299">
      <w:pPr>
        <w:tabs>
          <w:tab w:val="left" w:pos="709"/>
          <w:tab w:val="left" w:pos="1260"/>
          <w:tab w:val="left" w:pos="1800"/>
        </w:tabs>
        <w:spacing w:after="720"/>
        <w:ind w:left="1267" w:hanging="1267"/>
        <w:jc w:val="both"/>
        <w:rPr>
          <w:lang w:val="fr-CA"/>
        </w:rPr>
      </w:pPr>
      <w:r>
        <w:rPr>
          <w:b/>
          <w:lang w:val="fr-CA"/>
        </w:rPr>
        <w:tab/>
      </w:r>
      <w:r w:rsidR="00535732" w:rsidRPr="002C739B">
        <w:rPr>
          <w:b/>
          <w:lang w:val="fr-CA"/>
        </w:rPr>
        <w:t>60</w:t>
      </w:r>
      <w:r w:rsidR="00535732" w:rsidRPr="002C739B">
        <w:rPr>
          <w:lang w:val="fr-CA"/>
        </w:rPr>
        <w:tab/>
        <w:t>(7)</w:t>
      </w:r>
      <w:r w:rsidR="00535732">
        <w:rPr>
          <w:lang w:val="fr-CA"/>
        </w:rPr>
        <w:tab/>
      </w:r>
      <w:r w:rsidR="00535732" w:rsidRPr="002C739B">
        <w:rPr>
          <w:lang w:val="fr-CA"/>
        </w:rPr>
        <w:t xml:space="preserve">À défaut </w:t>
      </w:r>
      <w:r w:rsidR="00535732" w:rsidRPr="008C2600">
        <w:rPr>
          <w:lang w:val="fr-CA"/>
        </w:rPr>
        <w:t>d’entente</w:t>
      </w:r>
      <w:r w:rsidR="00535732" w:rsidRPr="002C739B">
        <w:rPr>
          <w:lang w:val="fr-CA"/>
        </w:rPr>
        <w:t xml:space="preserve"> sur le montant de l</w:t>
      </w:r>
      <w:r w:rsidR="00535732">
        <w:rPr>
          <w:lang w:val="fr-CA"/>
        </w:rPr>
        <w:t>’</w:t>
      </w:r>
      <w:r w:rsidR="00535732" w:rsidRPr="002C739B">
        <w:rPr>
          <w:lang w:val="fr-CA"/>
        </w:rPr>
        <w:t xml:space="preserve">indemnité, la détermination de ce montant doit être soumise pour décision [. . .] conformément à la </w:t>
      </w:r>
      <w:r w:rsidR="00535732" w:rsidRPr="002C739B">
        <w:rPr>
          <w:i/>
          <w:lang w:val="fr-CA"/>
        </w:rPr>
        <w:t>Commercial Arbitration Act</w:t>
      </w:r>
      <w:r w:rsidR="00535732" w:rsidRPr="002C739B">
        <w:rPr>
          <w:lang w:val="fr-CA"/>
        </w:rPr>
        <w:t xml:space="preserve"> . . .</w:t>
      </w:r>
    </w:p>
    <w:p w:rsidR="00535732" w:rsidRPr="001F4729" w:rsidRDefault="00535732" w:rsidP="00482299">
      <w:pPr>
        <w:spacing w:after="480"/>
        <w:jc w:val="both"/>
        <w:rPr>
          <w:lang w:val="fr-CA"/>
        </w:rPr>
      </w:pPr>
      <w:r w:rsidRPr="001F4729">
        <w:rPr>
          <w:i/>
          <w:lang w:val="fr-CA"/>
        </w:rPr>
        <w:t>Commercial Arbitration Act</w:t>
      </w:r>
      <w:r w:rsidRPr="001F4729">
        <w:rPr>
          <w:lang w:val="fr-CA"/>
        </w:rPr>
        <w:t>, R.S.B.C. 1996, ch. 55 (version en vigueur le 1</w:t>
      </w:r>
      <w:r w:rsidRPr="001F4729">
        <w:rPr>
          <w:vertAlign w:val="superscript"/>
          <w:lang w:val="fr-CA"/>
        </w:rPr>
        <w:t>er</w:t>
      </w:r>
      <w:r w:rsidRPr="001F4729">
        <w:rPr>
          <w:lang w:val="fr-CA"/>
        </w:rPr>
        <w:t xml:space="preserve"> avril 1999)</w:t>
      </w:r>
    </w:p>
    <w:p w:rsidR="00535732" w:rsidRPr="002C739B" w:rsidRDefault="00482299" w:rsidP="00482299">
      <w:pPr>
        <w:tabs>
          <w:tab w:val="left" w:pos="720"/>
        </w:tabs>
        <w:spacing w:after="240"/>
        <w:jc w:val="both"/>
        <w:rPr>
          <w:lang w:val="fr-CA"/>
        </w:rPr>
      </w:pPr>
      <w:r>
        <w:rPr>
          <w:lang w:val="fr-CA"/>
        </w:rPr>
        <w:tab/>
      </w:r>
      <w:r w:rsidR="00535732" w:rsidRPr="002C739B">
        <w:rPr>
          <w:lang w:val="fr-CA"/>
        </w:rPr>
        <w:t>[</w:t>
      </w:r>
      <w:r w:rsidR="00535732" w:rsidRPr="002C739B">
        <w:rPr>
          <w:smallCaps/>
          <w:lang w:val="fr-CA"/>
        </w:rPr>
        <w:t>traduction</w:t>
      </w:r>
      <w:r w:rsidR="00535732" w:rsidRPr="002C739B">
        <w:rPr>
          <w:lang w:val="fr-CA"/>
        </w:rPr>
        <w:t>]</w:t>
      </w:r>
    </w:p>
    <w:p w:rsidR="00535732" w:rsidRPr="002C739B" w:rsidRDefault="00482299" w:rsidP="00482299">
      <w:pPr>
        <w:tabs>
          <w:tab w:val="left" w:pos="720"/>
        </w:tabs>
        <w:spacing w:after="240"/>
        <w:ind w:left="720" w:hanging="720"/>
        <w:jc w:val="both"/>
        <w:rPr>
          <w:b/>
          <w:lang w:val="fr-CA"/>
        </w:rPr>
      </w:pPr>
      <w:r>
        <w:rPr>
          <w:b/>
          <w:lang w:val="fr-CA"/>
        </w:rPr>
        <w:tab/>
      </w:r>
      <w:r w:rsidR="00535732" w:rsidRPr="002C739B">
        <w:rPr>
          <w:b/>
          <w:lang w:val="fr-CA"/>
        </w:rPr>
        <w:t>Règles de l</w:t>
      </w:r>
      <w:r w:rsidR="00535732">
        <w:rPr>
          <w:b/>
          <w:lang w:val="fr-CA"/>
        </w:rPr>
        <w:t>’</w:t>
      </w:r>
      <w:r w:rsidR="00535732" w:rsidRPr="002C739B">
        <w:rPr>
          <w:b/>
          <w:lang w:val="fr-CA"/>
        </w:rPr>
        <w:t>International Commercial Arbitration Centre</w:t>
      </w:r>
    </w:p>
    <w:p w:rsidR="00535732" w:rsidRPr="002C739B" w:rsidRDefault="00482299" w:rsidP="00482299">
      <w:pPr>
        <w:tabs>
          <w:tab w:val="left" w:pos="709"/>
          <w:tab w:val="left" w:pos="1260"/>
          <w:tab w:val="left" w:pos="1800"/>
        </w:tabs>
        <w:spacing w:after="240"/>
        <w:ind w:left="1267" w:hanging="1267"/>
        <w:jc w:val="both"/>
        <w:rPr>
          <w:lang w:val="fr-CA"/>
        </w:rPr>
      </w:pPr>
      <w:r>
        <w:rPr>
          <w:b/>
          <w:lang w:val="fr-CA"/>
        </w:rPr>
        <w:lastRenderedPageBreak/>
        <w:tab/>
      </w:r>
      <w:r w:rsidR="00535732" w:rsidRPr="002C739B">
        <w:rPr>
          <w:b/>
          <w:lang w:val="fr-CA"/>
        </w:rPr>
        <w:t>22</w:t>
      </w:r>
      <w:r w:rsidR="00535732" w:rsidRPr="002C739B">
        <w:rPr>
          <w:lang w:val="fr-CA"/>
        </w:rPr>
        <w:tab/>
        <w:t>(1)</w:t>
      </w:r>
      <w:r w:rsidR="00535732" w:rsidRPr="002C739B">
        <w:rPr>
          <w:lang w:val="fr-CA"/>
        </w:rPr>
        <w:tab/>
        <w:t>Sauf entente à l</w:t>
      </w:r>
      <w:r w:rsidR="00535732">
        <w:rPr>
          <w:lang w:val="fr-CA"/>
        </w:rPr>
        <w:t>’</w:t>
      </w:r>
      <w:r w:rsidR="00535732" w:rsidRPr="002C739B">
        <w:rPr>
          <w:lang w:val="fr-CA"/>
        </w:rPr>
        <w:t>effet contraire entre les parties à un arbitrage, les règles du British C</w:t>
      </w:r>
      <w:r>
        <w:rPr>
          <w:lang w:val="fr-CA"/>
        </w:rPr>
        <w:tab/>
      </w:r>
      <w:r w:rsidR="00535732" w:rsidRPr="002C739B">
        <w:rPr>
          <w:lang w:val="fr-CA"/>
        </w:rPr>
        <w:t>olumbia International Commercial Arbitration Centre relatives à la conduite des arbitrages commerciaux internes s</w:t>
      </w:r>
      <w:r w:rsidR="00535732">
        <w:rPr>
          <w:lang w:val="fr-CA"/>
        </w:rPr>
        <w:t>’</w:t>
      </w:r>
      <w:r w:rsidR="00535732" w:rsidRPr="002C739B">
        <w:rPr>
          <w:lang w:val="fr-CA"/>
        </w:rPr>
        <w:t>appliquent à cet arbitrage.</w:t>
      </w:r>
    </w:p>
    <w:p w:rsidR="00535732" w:rsidRPr="002C739B" w:rsidRDefault="00535732" w:rsidP="00482299">
      <w:pPr>
        <w:tabs>
          <w:tab w:val="left" w:pos="709"/>
          <w:tab w:val="left" w:pos="1260"/>
          <w:tab w:val="left" w:pos="1800"/>
        </w:tabs>
        <w:spacing w:after="720"/>
        <w:ind w:left="1267" w:hanging="1267"/>
        <w:jc w:val="both"/>
        <w:rPr>
          <w:lang w:val="fr-CA"/>
        </w:rPr>
      </w:pPr>
      <w:r w:rsidRPr="002C739B">
        <w:rPr>
          <w:lang w:val="fr-CA"/>
        </w:rPr>
        <w:tab/>
      </w:r>
      <w:r w:rsidR="00482299">
        <w:rPr>
          <w:lang w:val="fr-CA"/>
        </w:rPr>
        <w:tab/>
      </w:r>
      <w:r w:rsidRPr="002C739B">
        <w:rPr>
          <w:lang w:val="fr-CA"/>
        </w:rPr>
        <w:t>(2)</w:t>
      </w:r>
      <w:r w:rsidRPr="002C739B">
        <w:rPr>
          <w:lang w:val="fr-CA"/>
        </w:rPr>
        <w:tab/>
        <w:t>Si les règles visées au paragraphe (1) sont incompatibles avec les dispositions d</w:t>
      </w:r>
      <w:r>
        <w:rPr>
          <w:lang w:val="fr-CA"/>
        </w:rPr>
        <w:t>’</w:t>
      </w:r>
      <w:r w:rsidRPr="002C739B">
        <w:rPr>
          <w:lang w:val="fr-CA"/>
        </w:rPr>
        <w:t>une loi régissant un arbitrage auquel s</w:t>
      </w:r>
      <w:r>
        <w:rPr>
          <w:lang w:val="fr-CA"/>
        </w:rPr>
        <w:t>’</w:t>
      </w:r>
      <w:r w:rsidRPr="002C739B">
        <w:rPr>
          <w:lang w:val="fr-CA"/>
        </w:rPr>
        <w:t>applique la présente loi, ou sont contraires à celles</w:t>
      </w:r>
      <w:r w:rsidRPr="002C739B">
        <w:rPr>
          <w:lang w:val="fr-CA"/>
        </w:rPr>
        <w:noBreakHyphen/>
        <w:t>ci, les dispositions de cette autre loi s</w:t>
      </w:r>
      <w:r>
        <w:rPr>
          <w:lang w:val="fr-CA"/>
        </w:rPr>
        <w:t>’</w:t>
      </w:r>
      <w:r w:rsidRPr="002C739B">
        <w:rPr>
          <w:lang w:val="fr-CA"/>
        </w:rPr>
        <w:t>appliquent.</w:t>
      </w:r>
    </w:p>
    <w:p w:rsidR="00535732" w:rsidRPr="002C739B" w:rsidRDefault="00482299" w:rsidP="00482299">
      <w:pPr>
        <w:tabs>
          <w:tab w:val="left" w:pos="709"/>
          <w:tab w:val="left" w:pos="1260"/>
          <w:tab w:val="left" w:pos="1800"/>
        </w:tabs>
        <w:spacing w:after="720"/>
        <w:ind w:left="1267" w:hanging="1267"/>
        <w:jc w:val="both"/>
        <w:rPr>
          <w:lang w:val="fr-CA"/>
        </w:rPr>
      </w:pPr>
      <w:r>
        <w:rPr>
          <w:lang w:val="fr-CA"/>
        </w:rPr>
        <w:tab/>
      </w:r>
      <w:r w:rsidR="00535732" w:rsidRPr="002C739B">
        <w:rPr>
          <w:lang w:val="fr-CA"/>
        </w:rPr>
        <w:tab/>
        <w:t>(3)</w:t>
      </w:r>
      <w:r w:rsidR="00535732" w:rsidRPr="002C739B">
        <w:rPr>
          <w:lang w:val="fr-CA"/>
        </w:rPr>
        <w:tab/>
        <w:t>Si les règles visées au paragraphe (1) sont incompatibles avec la présente loi ou contraires à celle</w:t>
      </w:r>
      <w:r w:rsidR="00535732" w:rsidRPr="002C739B">
        <w:rPr>
          <w:lang w:val="fr-CA"/>
        </w:rPr>
        <w:noBreakHyphen/>
        <w:t>ci, cette dernière prévaut.</w:t>
      </w:r>
    </w:p>
    <w:p w:rsidR="00535732" w:rsidRPr="002C739B" w:rsidRDefault="00482299" w:rsidP="00482299">
      <w:pPr>
        <w:tabs>
          <w:tab w:val="left" w:pos="720"/>
        </w:tabs>
        <w:spacing w:after="240"/>
        <w:ind w:left="720" w:hanging="720"/>
        <w:jc w:val="both"/>
        <w:rPr>
          <w:b/>
          <w:lang w:val="fr-CA"/>
        </w:rPr>
      </w:pPr>
      <w:r>
        <w:rPr>
          <w:b/>
          <w:lang w:val="fr-CA"/>
        </w:rPr>
        <w:tab/>
      </w:r>
      <w:r w:rsidR="00535732" w:rsidRPr="002C739B">
        <w:rPr>
          <w:b/>
          <w:lang w:val="fr-CA"/>
        </w:rPr>
        <w:t>Application des règles de droit sauf convention contraire</w:t>
      </w:r>
    </w:p>
    <w:p w:rsidR="00535732" w:rsidRPr="002C739B" w:rsidRDefault="00482299" w:rsidP="00482299">
      <w:pPr>
        <w:tabs>
          <w:tab w:val="left" w:pos="709"/>
          <w:tab w:val="left" w:pos="1260"/>
          <w:tab w:val="left" w:pos="1800"/>
        </w:tabs>
        <w:spacing w:after="240"/>
        <w:ind w:left="1267" w:hanging="1267"/>
        <w:jc w:val="both"/>
        <w:rPr>
          <w:lang w:val="fr-CA"/>
        </w:rPr>
      </w:pPr>
      <w:r>
        <w:rPr>
          <w:b/>
          <w:lang w:val="fr-CA"/>
        </w:rPr>
        <w:tab/>
      </w:r>
      <w:r w:rsidR="00535732" w:rsidRPr="002C739B">
        <w:rPr>
          <w:b/>
          <w:lang w:val="fr-CA"/>
        </w:rPr>
        <w:t>23</w:t>
      </w:r>
      <w:r w:rsidR="00535732" w:rsidRPr="002C739B">
        <w:rPr>
          <w:lang w:val="fr-CA"/>
        </w:rPr>
        <w:tab/>
      </w:r>
      <w:r w:rsidR="00535732" w:rsidRPr="008C381A">
        <w:rPr>
          <w:lang w:val="fr-CA"/>
        </w:rPr>
        <w:t xml:space="preserve">(1) </w:t>
      </w:r>
      <w:r w:rsidR="00535732" w:rsidRPr="002C739B">
        <w:rPr>
          <w:lang w:val="fr-CA"/>
        </w:rPr>
        <w:t>L</w:t>
      </w:r>
      <w:r w:rsidR="00535732">
        <w:rPr>
          <w:lang w:val="fr-CA"/>
        </w:rPr>
        <w:t>’</w:t>
      </w:r>
      <w:r w:rsidR="00535732" w:rsidRPr="002C739B">
        <w:rPr>
          <w:lang w:val="fr-CA"/>
        </w:rPr>
        <w:t>arbitre doit trancher l</w:t>
      </w:r>
      <w:r w:rsidR="00535732">
        <w:rPr>
          <w:lang w:val="fr-CA"/>
        </w:rPr>
        <w:t>’</w:t>
      </w:r>
      <w:r w:rsidR="00535732" w:rsidRPr="002C739B">
        <w:rPr>
          <w:lang w:val="fr-CA"/>
        </w:rPr>
        <w:t>affaire dont il est saisi en appliquant les règles de droit pertinentes, à moins que les parties n</w:t>
      </w:r>
      <w:r w:rsidR="00535732">
        <w:rPr>
          <w:lang w:val="fr-CA"/>
        </w:rPr>
        <w:t>’</w:t>
      </w:r>
      <w:r w:rsidR="00535732" w:rsidRPr="002C739B">
        <w:rPr>
          <w:lang w:val="fr-CA"/>
        </w:rPr>
        <w:t>aient convenu, dans une convention visée à l</w:t>
      </w:r>
      <w:r w:rsidR="00535732">
        <w:rPr>
          <w:lang w:val="fr-CA"/>
        </w:rPr>
        <w:t>’</w:t>
      </w:r>
      <w:r w:rsidR="00535732" w:rsidRPr="002C739B">
        <w:rPr>
          <w:lang w:val="fr-CA"/>
        </w:rPr>
        <w:t>article 35, que le litige peut être décidé sur la base de considérations fondées sur l</w:t>
      </w:r>
      <w:r w:rsidR="00535732">
        <w:rPr>
          <w:lang w:val="fr-CA"/>
        </w:rPr>
        <w:t>’</w:t>
      </w:r>
      <w:r w:rsidR="00535732" w:rsidRPr="002C739B">
        <w:rPr>
          <w:lang w:val="fr-CA"/>
        </w:rPr>
        <w:t>equity, de raisons de conscience ou d</w:t>
      </w:r>
      <w:r w:rsidR="00535732">
        <w:rPr>
          <w:lang w:val="fr-CA"/>
        </w:rPr>
        <w:t>’</w:t>
      </w:r>
      <w:r w:rsidR="00535732" w:rsidRPr="002C739B">
        <w:rPr>
          <w:lang w:val="fr-CA"/>
        </w:rPr>
        <w:t>autres motifs.</w:t>
      </w:r>
    </w:p>
    <w:p w:rsidR="00535732" w:rsidRPr="002C739B" w:rsidRDefault="00482299" w:rsidP="00482299">
      <w:pPr>
        <w:tabs>
          <w:tab w:val="left" w:pos="720"/>
        </w:tabs>
        <w:spacing w:after="240"/>
        <w:ind w:left="720" w:hanging="720"/>
        <w:jc w:val="both"/>
        <w:rPr>
          <w:b/>
          <w:lang w:val="fr-CA"/>
        </w:rPr>
      </w:pPr>
      <w:r>
        <w:rPr>
          <w:b/>
          <w:lang w:val="fr-CA"/>
        </w:rPr>
        <w:tab/>
      </w:r>
      <w:r w:rsidR="00535732" w:rsidRPr="002C739B">
        <w:rPr>
          <w:b/>
          <w:lang w:val="fr-CA"/>
        </w:rPr>
        <w:t>Intérêts</w:t>
      </w:r>
    </w:p>
    <w:p w:rsidR="00535732" w:rsidRPr="002C739B" w:rsidRDefault="00482299" w:rsidP="00482299">
      <w:pPr>
        <w:tabs>
          <w:tab w:val="left" w:pos="709"/>
          <w:tab w:val="left" w:pos="1260"/>
          <w:tab w:val="left" w:pos="1800"/>
        </w:tabs>
        <w:spacing w:after="240"/>
        <w:ind w:left="1267" w:hanging="1267"/>
        <w:jc w:val="both"/>
        <w:rPr>
          <w:lang w:val="fr-CA"/>
        </w:rPr>
      </w:pPr>
      <w:r>
        <w:rPr>
          <w:b/>
          <w:lang w:val="fr-CA"/>
        </w:rPr>
        <w:tab/>
      </w:r>
      <w:r w:rsidR="00535732" w:rsidRPr="002C739B">
        <w:rPr>
          <w:b/>
          <w:lang w:val="fr-CA"/>
        </w:rPr>
        <w:t>28</w:t>
      </w:r>
      <w:r w:rsidR="00535732" w:rsidRPr="002C739B">
        <w:rPr>
          <w:lang w:val="fr-CA"/>
        </w:rPr>
        <w:tab/>
        <w:t>Pour l</w:t>
      </w:r>
      <w:r w:rsidR="00535732">
        <w:rPr>
          <w:lang w:val="fr-CA"/>
        </w:rPr>
        <w:t>’</w:t>
      </w:r>
      <w:r w:rsidR="00535732" w:rsidRPr="002C739B">
        <w:rPr>
          <w:lang w:val="fr-CA"/>
        </w:rPr>
        <w:t xml:space="preserve">application de la </w:t>
      </w:r>
      <w:r w:rsidR="00535732" w:rsidRPr="002C739B">
        <w:rPr>
          <w:i/>
          <w:lang w:val="fr-CA"/>
        </w:rPr>
        <w:t>Court Order Interest Act</w:t>
      </w:r>
      <w:r w:rsidR="00535732" w:rsidRPr="002C739B">
        <w:rPr>
          <w:lang w:val="fr-CA"/>
        </w:rPr>
        <w:t xml:space="preserve"> et de la</w:t>
      </w:r>
      <w:r w:rsidR="00535732" w:rsidRPr="002C739B">
        <w:rPr>
          <w:i/>
          <w:lang w:val="fr-CA"/>
        </w:rPr>
        <w:t xml:space="preserve"> Loi sur l</w:t>
      </w:r>
      <w:r w:rsidR="00535732">
        <w:rPr>
          <w:i/>
          <w:lang w:val="fr-CA"/>
        </w:rPr>
        <w:t>’</w:t>
      </w:r>
      <w:r w:rsidR="00535732" w:rsidRPr="002C739B">
        <w:rPr>
          <w:i/>
          <w:lang w:val="fr-CA"/>
        </w:rPr>
        <w:t xml:space="preserve">intérêt </w:t>
      </w:r>
      <w:r w:rsidR="00535732" w:rsidRPr="002C739B">
        <w:rPr>
          <w:lang w:val="fr-CA"/>
        </w:rPr>
        <w:t>(Canada), la somme dont le paiement est ordonné par une sentence arbitrale constitue une condamnation pécuniaire prononcée par une cour de justice.</w:t>
      </w:r>
    </w:p>
    <w:p w:rsidR="00535732" w:rsidRPr="002C739B" w:rsidRDefault="00482299" w:rsidP="00482299">
      <w:pPr>
        <w:tabs>
          <w:tab w:val="left" w:pos="720"/>
        </w:tabs>
        <w:spacing w:after="240"/>
        <w:ind w:left="720" w:hanging="720"/>
        <w:jc w:val="both"/>
        <w:rPr>
          <w:b/>
          <w:lang w:val="fr-CA"/>
        </w:rPr>
      </w:pPr>
      <w:r>
        <w:rPr>
          <w:b/>
          <w:lang w:val="fr-CA"/>
        </w:rPr>
        <w:tab/>
      </w:r>
      <w:r w:rsidR="00535732" w:rsidRPr="002C739B">
        <w:rPr>
          <w:b/>
          <w:lang w:val="fr-CA"/>
        </w:rPr>
        <w:t>Exécution des sentences</w:t>
      </w:r>
    </w:p>
    <w:p w:rsidR="00535732" w:rsidRPr="002C739B" w:rsidRDefault="00482299" w:rsidP="00482299">
      <w:pPr>
        <w:tabs>
          <w:tab w:val="left" w:pos="709"/>
          <w:tab w:val="left" w:pos="1260"/>
          <w:tab w:val="left" w:pos="1800"/>
        </w:tabs>
        <w:spacing w:after="720"/>
        <w:ind w:left="1267" w:hanging="1267"/>
        <w:jc w:val="both"/>
        <w:rPr>
          <w:lang w:val="fr-CA"/>
        </w:rPr>
      </w:pPr>
      <w:r>
        <w:rPr>
          <w:b/>
          <w:lang w:val="fr-CA"/>
        </w:rPr>
        <w:tab/>
      </w:r>
      <w:r w:rsidR="00535732" w:rsidRPr="002C739B">
        <w:rPr>
          <w:b/>
          <w:lang w:val="fr-CA"/>
        </w:rPr>
        <w:t>29</w:t>
      </w:r>
      <w:r w:rsidR="00535732" w:rsidRPr="002C739B">
        <w:rPr>
          <w:lang w:val="fr-CA"/>
        </w:rPr>
        <w:tab/>
      </w:r>
      <w:r w:rsidR="00535732" w:rsidRPr="008C381A">
        <w:rPr>
          <w:lang w:val="fr-CA"/>
        </w:rPr>
        <w:t xml:space="preserve">(1) </w:t>
      </w:r>
      <w:r w:rsidR="00535732" w:rsidRPr="002C739B">
        <w:rPr>
          <w:lang w:val="fr-CA"/>
        </w:rPr>
        <w:t>Avec l</w:t>
      </w:r>
      <w:r w:rsidR="00535732">
        <w:rPr>
          <w:lang w:val="fr-CA"/>
        </w:rPr>
        <w:t>’</w:t>
      </w:r>
      <w:r w:rsidR="00535732" w:rsidRPr="002C739B">
        <w:rPr>
          <w:lang w:val="fr-CA"/>
        </w:rPr>
        <w:t>autorisation d</w:t>
      </w:r>
      <w:r w:rsidR="00535732">
        <w:rPr>
          <w:lang w:val="fr-CA"/>
        </w:rPr>
        <w:t>’</w:t>
      </w:r>
      <w:r w:rsidR="00535732" w:rsidRPr="002C739B">
        <w:rPr>
          <w:lang w:val="fr-CA"/>
        </w:rPr>
        <w:t>une cour de justice, une sentence arbitrale peut être exécutée de la même manière qu</w:t>
      </w:r>
      <w:r w:rsidR="00535732">
        <w:rPr>
          <w:lang w:val="fr-CA"/>
        </w:rPr>
        <w:t>’</w:t>
      </w:r>
      <w:r w:rsidR="00535732" w:rsidRPr="002C739B">
        <w:rPr>
          <w:lang w:val="fr-CA"/>
        </w:rPr>
        <w:t>un jugement ou une ordonnance de cette cour au même effet, et un jugement peut être inscrit suivant les modalités de la sentence.</w:t>
      </w:r>
    </w:p>
    <w:p w:rsidR="00535732" w:rsidRPr="0095747C" w:rsidRDefault="00535732" w:rsidP="005D0D84">
      <w:pPr>
        <w:spacing w:after="480"/>
        <w:jc w:val="both"/>
      </w:pPr>
      <w:r w:rsidRPr="0095747C">
        <w:rPr>
          <w:i/>
        </w:rPr>
        <w:t>Court Order Interest Act</w:t>
      </w:r>
      <w:r w:rsidRPr="0095747C">
        <w:t>, R.S.B.C. 1996, ch. 79</w:t>
      </w:r>
    </w:p>
    <w:p w:rsidR="00535732" w:rsidRPr="002C739B" w:rsidRDefault="00482299" w:rsidP="00482299">
      <w:pPr>
        <w:tabs>
          <w:tab w:val="left" w:pos="720"/>
        </w:tabs>
        <w:spacing w:after="240"/>
        <w:jc w:val="both"/>
        <w:rPr>
          <w:lang w:val="fr-CA"/>
        </w:rPr>
      </w:pPr>
      <w:r w:rsidRPr="008C2600">
        <w:rPr>
          <w:lang w:val="en-US"/>
        </w:rPr>
        <w:tab/>
      </w:r>
      <w:r w:rsidR="00535732" w:rsidRPr="002C739B">
        <w:rPr>
          <w:lang w:val="fr-CA"/>
        </w:rPr>
        <w:t>[</w:t>
      </w:r>
      <w:r w:rsidR="00535732" w:rsidRPr="002C739B">
        <w:rPr>
          <w:smallCaps/>
          <w:lang w:val="fr-CA"/>
        </w:rPr>
        <w:t>traduction</w:t>
      </w:r>
      <w:r w:rsidR="00535732" w:rsidRPr="002C739B">
        <w:rPr>
          <w:lang w:val="fr-CA"/>
        </w:rPr>
        <w:t>]</w:t>
      </w:r>
    </w:p>
    <w:p w:rsidR="00535732" w:rsidRPr="002C739B" w:rsidRDefault="00482299" w:rsidP="00482299">
      <w:pPr>
        <w:tabs>
          <w:tab w:val="left" w:pos="720"/>
        </w:tabs>
        <w:spacing w:after="240"/>
        <w:ind w:left="720" w:hanging="720"/>
        <w:jc w:val="both"/>
        <w:rPr>
          <w:b/>
          <w:lang w:val="fr-CA"/>
        </w:rPr>
      </w:pPr>
      <w:r>
        <w:rPr>
          <w:b/>
          <w:lang w:val="fr-CA"/>
        </w:rPr>
        <w:tab/>
      </w:r>
      <w:r w:rsidR="00535732" w:rsidRPr="002C739B">
        <w:rPr>
          <w:b/>
          <w:lang w:val="fr-CA"/>
        </w:rPr>
        <w:t>Intérêts sur les ordonnances de la cour</w:t>
      </w:r>
    </w:p>
    <w:p w:rsidR="00535732" w:rsidRPr="002C739B" w:rsidRDefault="00482299" w:rsidP="00482299">
      <w:pPr>
        <w:tabs>
          <w:tab w:val="left" w:pos="709"/>
          <w:tab w:val="left" w:pos="1260"/>
          <w:tab w:val="left" w:pos="1800"/>
        </w:tabs>
        <w:spacing w:after="240"/>
        <w:ind w:left="1267" w:hanging="1267"/>
        <w:jc w:val="both"/>
        <w:rPr>
          <w:lang w:val="fr-CA"/>
        </w:rPr>
      </w:pPr>
      <w:r>
        <w:rPr>
          <w:b/>
          <w:lang w:val="fr-CA"/>
        </w:rPr>
        <w:lastRenderedPageBreak/>
        <w:tab/>
      </w:r>
      <w:r w:rsidR="00535732" w:rsidRPr="002C739B">
        <w:rPr>
          <w:b/>
          <w:lang w:val="fr-CA"/>
        </w:rPr>
        <w:t>1</w:t>
      </w:r>
      <w:r w:rsidR="00535732" w:rsidRPr="002C739B">
        <w:rPr>
          <w:lang w:val="fr-CA"/>
        </w:rPr>
        <w:tab/>
        <w:t>(1)</w:t>
      </w:r>
      <w:r w:rsidR="00535732" w:rsidRPr="002C739B">
        <w:rPr>
          <w:lang w:val="fr-CA"/>
        </w:rPr>
        <w:tab/>
        <w:t>Sous réserve de l</w:t>
      </w:r>
      <w:r w:rsidR="00535732">
        <w:rPr>
          <w:lang w:val="fr-CA"/>
        </w:rPr>
        <w:t>’</w:t>
      </w:r>
      <w:r w:rsidR="00535732" w:rsidRPr="002C739B">
        <w:rPr>
          <w:lang w:val="fr-CA"/>
        </w:rPr>
        <w:t>article 2, la cour doit ajouter à une condamnation pécuniaire des intérêts calculés sur l</w:t>
      </w:r>
      <w:r w:rsidR="00535732">
        <w:rPr>
          <w:lang w:val="fr-CA"/>
        </w:rPr>
        <w:t xml:space="preserve">e montant </w:t>
      </w:r>
      <w:r w:rsidR="00535732" w:rsidRPr="002C739B">
        <w:rPr>
          <w:lang w:val="fr-CA"/>
        </w:rPr>
        <w:t>dont le paiement est ordonné, au taux qu</w:t>
      </w:r>
      <w:r w:rsidR="00535732">
        <w:rPr>
          <w:lang w:val="fr-CA"/>
        </w:rPr>
        <w:t>’</w:t>
      </w:r>
      <w:r w:rsidR="00535732" w:rsidRPr="002C739B">
        <w:rPr>
          <w:lang w:val="fr-CA"/>
        </w:rPr>
        <w:t>elle estime juste eu égard aux circonstances, et ce, de la date à laquelle la cause d</w:t>
      </w:r>
      <w:r w:rsidR="00535732">
        <w:rPr>
          <w:lang w:val="fr-CA"/>
        </w:rPr>
        <w:t>’</w:t>
      </w:r>
      <w:r w:rsidR="00535732" w:rsidRPr="002C739B">
        <w:rPr>
          <w:lang w:val="fr-CA"/>
        </w:rPr>
        <w:t>action a pris naissance jusqu</w:t>
      </w:r>
      <w:r w:rsidR="00535732">
        <w:rPr>
          <w:lang w:val="fr-CA"/>
        </w:rPr>
        <w:t>’</w:t>
      </w:r>
      <w:r w:rsidR="00535732" w:rsidRPr="002C739B">
        <w:rPr>
          <w:lang w:val="fr-CA"/>
        </w:rPr>
        <w:t>à celle de l</w:t>
      </w:r>
      <w:r w:rsidR="00535732">
        <w:rPr>
          <w:lang w:val="fr-CA"/>
        </w:rPr>
        <w:t>’</w:t>
      </w:r>
      <w:r w:rsidR="00535732" w:rsidRPr="002C739B">
        <w:rPr>
          <w:lang w:val="fr-CA"/>
        </w:rPr>
        <w:t>ordonnance.</w:t>
      </w:r>
    </w:p>
    <w:p w:rsidR="00535732" w:rsidRPr="002C739B" w:rsidRDefault="00482299" w:rsidP="00482299">
      <w:pPr>
        <w:tabs>
          <w:tab w:val="left" w:pos="720"/>
        </w:tabs>
        <w:spacing w:after="240"/>
        <w:ind w:left="720" w:hanging="720"/>
        <w:jc w:val="both"/>
        <w:rPr>
          <w:b/>
          <w:lang w:val="fr-CA"/>
        </w:rPr>
      </w:pPr>
      <w:r>
        <w:rPr>
          <w:b/>
          <w:lang w:val="fr-CA"/>
        </w:rPr>
        <w:tab/>
      </w:r>
      <w:r w:rsidR="00535732" w:rsidRPr="002C739B">
        <w:rPr>
          <w:b/>
          <w:lang w:val="fr-CA"/>
        </w:rPr>
        <w:t>Aucuns intérêts dans certains cas</w:t>
      </w:r>
    </w:p>
    <w:p w:rsidR="00535732" w:rsidRPr="002C739B" w:rsidRDefault="00482299" w:rsidP="00482299">
      <w:pPr>
        <w:tabs>
          <w:tab w:val="left" w:pos="720"/>
        </w:tabs>
        <w:spacing w:after="240"/>
        <w:ind w:left="720" w:hanging="720"/>
        <w:jc w:val="both"/>
        <w:rPr>
          <w:lang w:val="fr-CA"/>
        </w:rPr>
      </w:pPr>
      <w:r>
        <w:rPr>
          <w:b/>
          <w:lang w:val="fr-CA"/>
        </w:rPr>
        <w:tab/>
      </w:r>
      <w:r w:rsidR="00535732" w:rsidRPr="002C739B">
        <w:rPr>
          <w:b/>
          <w:lang w:val="fr-CA"/>
        </w:rPr>
        <w:t>2</w:t>
      </w:r>
      <w:r w:rsidR="00535732" w:rsidRPr="002C739B">
        <w:rPr>
          <w:lang w:val="fr-CA"/>
        </w:rPr>
        <w:tab/>
        <w:t>La cour ne doit pas accorder d</w:t>
      </w:r>
      <w:r w:rsidR="00535732">
        <w:rPr>
          <w:lang w:val="fr-CA"/>
        </w:rPr>
        <w:t>’</w:t>
      </w:r>
      <w:r w:rsidR="00535732" w:rsidRPr="002C739B">
        <w:rPr>
          <w:lang w:val="fr-CA"/>
        </w:rPr>
        <w:t>intérêts en application de l</w:t>
      </w:r>
      <w:r w:rsidR="00535732">
        <w:rPr>
          <w:lang w:val="fr-CA"/>
        </w:rPr>
        <w:t>’</w:t>
      </w:r>
      <w:r w:rsidR="00535732" w:rsidRPr="002C739B">
        <w:rPr>
          <w:lang w:val="fr-CA"/>
        </w:rPr>
        <w:t>article 1</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sidRPr="002C739B">
        <w:rPr>
          <w:lang w:val="fr-CA"/>
        </w:rPr>
        <w:t>(a)</w:t>
      </w:r>
      <w:r w:rsidR="00535732">
        <w:rPr>
          <w:lang w:val="fr-CA"/>
        </w:rPr>
        <w:tab/>
      </w:r>
      <w:r w:rsidR="00535732" w:rsidRPr="002C739B">
        <w:rPr>
          <w:lang w:val="fr-CA"/>
        </w:rPr>
        <w:t>sur la part de l</w:t>
      </w:r>
      <w:r w:rsidR="00535732">
        <w:rPr>
          <w:lang w:val="fr-CA"/>
        </w:rPr>
        <w:t>’</w:t>
      </w:r>
      <w:r w:rsidR="00535732" w:rsidRPr="002C739B">
        <w:rPr>
          <w:lang w:val="fr-CA"/>
        </w:rPr>
        <w:t>ordonnance qui vise la perte pécuniaire survenue postérieurement à l</w:t>
      </w:r>
      <w:r w:rsidR="00535732">
        <w:rPr>
          <w:lang w:val="fr-CA"/>
        </w:rPr>
        <w:t>’</w:t>
      </w:r>
      <w:r w:rsidR="00535732" w:rsidRPr="002C739B">
        <w:rPr>
          <w:lang w:val="fr-CA"/>
        </w:rPr>
        <w:t>ordonnance,</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sidRPr="002C739B">
        <w:rPr>
          <w:lang w:val="fr-CA"/>
        </w:rPr>
        <w:t>(</w:t>
      </w:r>
      <w:r w:rsidR="00535732">
        <w:rPr>
          <w:lang w:val="fr-CA"/>
        </w:rPr>
        <w:t>b)</w:t>
      </w:r>
      <w:r w:rsidR="00535732">
        <w:rPr>
          <w:lang w:val="fr-CA"/>
        </w:rPr>
        <w:tab/>
      </w:r>
      <w:r w:rsidR="00535732" w:rsidRPr="002C739B">
        <w:rPr>
          <w:lang w:val="fr-CA"/>
        </w:rPr>
        <w:t>si la question des intérêts fait l</w:t>
      </w:r>
      <w:r w:rsidR="00535732">
        <w:rPr>
          <w:lang w:val="fr-CA"/>
        </w:rPr>
        <w:t>’</w:t>
      </w:r>
      <w:r w:rsidR="00535732" w:rsidRPr="002C739B">
        <w:rPr>
          <w:lang w:val="fr-CA"/>
        </w:rPr>
        <w:t>objet d</w:t>
      </w:r>
      <w:r w:rsidR="00535732">
        <w:rPr>
          <w:lang w:val="fr-CA"/>
        </w:rPr>
        <w:t>’</w:t>
      </w:r>
      <w:r w:rsidR="00535732" w:rsidRPr="002C739B">
        <w:rPr>
          <w:lang w:val="fr-CA"/>
        </w:rPr>
        <w:t>une entente entre les parties,</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sidRPr="002C739B">
        <w:rPr>
          <w:lang w:val="fr-CA"/>
        </w:rPr>
        <w:t>(</w:t>
      </w:r>
      <w:r w:rsidR="00535732">
        <w:rPr>
          <w:lang w:val="fr-CA"/>
        </w:rPr>
        <w:t>c)</w:t>
      </w:r>
      <w:r w:rsidR="00535732">
        <w:rPr>
          <w:lang w:val="fr-CA"/>
        </w:rPr>
        <w:tab/>
      </w:r>
      <w:r w:rsidR="00535732" w:rsidRPr="002C739B">
        <w:rPr>
          <w:lang w:val="fr-CA"/>
        </w:rPr>
        <w:t>sur les intérêts ou sur les dépens,</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Pr>
          <w:lang w:val="fr-CA"/>
        </w:rPr>
        <w:t>(d)</w:t>
      </w:r>
      <w:r w:rsidR="00535732">
        <w:rPr>
          <w:lang w:val="fr-CA"/>
        </w:rPr>
        <w:tab/>
      </w:r>
      <w:r w:rsidR="00535732" w:rsidRPr="002C739B">
        <w:rPr>
          <w:lang w:val="fr-CA"/>
        </w:rPr>
        <w:t>si le créancier a renoncé par écrit à son droit de se voir octroyer des intérêts,</w:t>
      </w:r>
    </w:p>
    <w:p w:rsidR="00535732" w:rsidRPr="002C739B" w:rsidRDefault="00482299" w:rsidP="00482299">
      <w:pPr>
        <w:tabs>
          <w:tab w:val="left" w:pos="2160"/>
          <w:tab w:val="left" w:pos="2700"/>
        </w:tabs>
        <w:spacing w:after="240"/>
        <w:ind w:left="2160" w:hanging="2160"/>
        <w:jc w:val="both"/>
        <w:rPr>
          <w:lang w:val="fr-CA"/>
        </w:rPr>
      </w:pPr>
      <w:r>
        <w:rPr>
          <w:lang w:val="fr-CA"/>
        </w:rPr>
        <w:tab/>
      </w:r>
      <w:r w:rsidR="00535732">
        <w:rPr>
          <w:lang w:val="fr-CA"/>
        </w:rPr>
        <w:t>(e)</w:t>
      </w:r>
      <w:r w:rsidR="00535732">
        <w:rPr>
          <w:lang w:val="fr-CA"/>
        </w:rPr>
        <w:tab/>
      </w:r>
      <w:r w:rsidR="00535732" w:rsidRPr="002C739B">
        <w:rPr>
          <w:lang w:val="fr-CA"/>
        </w:rPr>
        <w:t>sur la part de l</w:t>
      </w:r>
      <w:r w:rsidR="00535732">
        <w:rPr>
          <w:lang w:val="fr-CA"/>
        </w:rPr>
        <w:t>’</w:t>
      </w:r>
      <w:r w:rsidR="00535732" w:rsidRPr="002C739B">
        <w:rPr>
          <w:lang w:val="fr-CA"/>
        </w:rPr>
        <w:t>ordonnance qui consiste en dommages non pécuniaires découlant de lésions corporelles ou d</w:t>
      </w:r>
      <w:r w:rsidR="00535732">
        <w:rPr>
          <w:lang w:val="fr-CA"/>
        </w:rPr>
        <w:t>’</w:t>
      </w:r>
      <w:r w:rsidR="00535732" w:rsidRPr="002C739B">
        <w:rPr>
          <w:lang w:val="fr-CA"/>
        </w:rPr>
        <w:t>un décès.</w:t>
      </w:r>
    </w:p>
    <w:p w:rsidR="00535732" w:rsidRPr="002C739B" w:rsidRDefault="00482299" w:rsidP="00482299">
      <w:pPr>
        <w:tabs>
          <w:tab w:val="left" w:pos="720"/>
        </w:tabs>
        <w:spacing w:after="240"/>
        <w:ind w:left="720" w:hanging="720"/>
        <w:jc w:val="both"/>
        <w:rPr>
          <w:b/>
          <w:lang w:val="fr-CA"/>
        </w:rPr>
      </w:pPr>
      <w:r>
        <w:rPr>
          <w:b/>
          <w:lang w:val="fr-CA"/>
        </w:rPr>
        <w:tab/>
      </w:r>
      <w:r w:rsidR="00535732" w:rsidRPr="002C739B">
        <w:rPr>
          <w:b/>
          <w:lang w:val="fr-CA"/>
        </w:rPr>
        <w:t>Taux d</w:t>
      </w:r>
      <w:r w:rsidR="00535732">
        <w:rPr>
          <w:b/>
          <w:lang w:val="fr-CA"/>
        </w:rPr>
        <w:t>’</w:t>
      </w:r>
      <w:r w:rsidR="00535732" w:rsidRPr="002C739B">
        <w:rPr>
          <w:b/>
          <w:lang w:val="fr-CA"/>
        </w:rPr>
        <w:t>intérêt</w:t>
      </w:r>
    </w:p>
    <w:p w:rsidR="00535732" w:rsidRPr="002C739B" w:rsidRDefault="00482299" w:rsidP="00482299">
      <w:pPr>
        <w:tabs>
          <w:tab w:val="left" w:pos="720"/>
        </w:tabs>
        <w:spacing w:after="240"/>
        <w:ind w:left="720" w:hanging="720"/>
        <w:jc w:val="both"/>
        <w:rPr>
          <w:lang w:val="fr-CA"/>
        </w:rPr>
      </w:pPr>
      <w:r>
        <w:rPr>
          <w:b/>
          <w:lang w:val="fr-CA"/>
        </w:rPr>
        <w:tab/>
      </w:r>
      <w:r w:rsidR="00535732" w:rsidRPr="002C739B">
        <w:rPr>
          <w:b/>
          <w:lang w:val="fr-CA"/>
        </w:rPr>
        <w:t>7</w:t>
      </w:r>
      <w:r w:rsidR="005D0D84" w:rsidRPr="005D0D84">
        <w:rPr>
          <w:lang w:val="fr-CA"/>
        </w:rPr>
        <w:t xml:space="preserve"> . . .</w:t>
      </w:r>
      <w:r w:rsidR="00535732" w:rsidRPr="002C739B">
        <w:rPr>
          <w:lang w:val="fr-CA"/>
        </w:rPr>
        <w:tab/>
      </w:r>
    </w:p>
    <w:p w:rsidR="00535732" w:rsidRPr="002C739B" w:rsidRDefault="00482299" w:rsidP="00482299">
      <w:pPr>
        <w:tabs>
          <w:tab w:val="left" w:pos="709"/>
          <w:tab w:val="left" w:pos="1260"/>
          <w:tab w:val="left" w:pos="1800"/>
        </w:tabs>
        <w:spacing w:after="720"/>
        <w:ind w:left="1267" w:hanging="1267"/>
        <w:jc w:val="both"/>
        <w:rPr>
          <w:lang w:val="fr-CA"/>
        </w:rPr>
      </w:pPr>
      <w:r>
        <w:rPr>
          <w:lang w:val="fr-CA"/>
        </w:rPr>
        <w:tab/>
      </w:r>
      <w:r w:rsidR="00535732">
        <w:rPr>
          <w:lang w:val="fr-CA"/>
        </w:rPr>
        <w:tab/>
        <w:t>(2)</w:t>
      </w:r>
      <w:r w:rsidR="00535732">
        <w:rPr>
          <w:lang w:val="fr-CA"/>
        </w:rPr>
        <w:tab/>
      </w:r>
      <w:r w:rsidR="00535732" w:rsidRPr="002C739B">
        <w:rPr>
          <w:lang w:val="fr-CA"/>
        </w:rPr>
        <w:t xml:space="preserve">Une condamnation pécuniaire </w:t>
      </w:r>
      <w:r w:rsidR="00535732" w:rsidRPr="008C381A">
        <w:rPr>
          <w:lang w:val="fr-CA"/>
        </w:rPr>
        <w:t>produit</w:t>
      </w:r>
      <w:r w:rsidR="00535732">
        <w:rPr>
          <w:lang w:val="fr-CA"/>
        </w:rPr>
        <w:t xml:space="preserve"> </w:t>
      </w:r>
      <w:r w:rsidR="00535732" w:rsidRPr="002C739B">
        <w:rPr>
          <w:lang w:val="fr-CA"/>
        </w:rPr>
        <w:t>des intérêts simples à compter de la date du prononcé du jugement ou de celle à laquelle l</w:t>
      </w:r>
      <w:r w:rsidR="00535732">
        <w:rPr>
          <w:lang w:val="fr-CA"/>
        </w:rPr>
        <w:t>’</w:t>
      </w:r>
      <w:r w:rsidR="00535732" w:rsidRPr="002C739B">
        <w:rPr>
          <w:lang w:val="fr-CA"/>
        </w:rPr>
        <w:t>argent devient payable en application du jugement, selon la plus tardive des deux.</w:t>
      </w:r>
    </w:p>
    <w:p w:rsidR="00535732" w:rsidRPr="002C739B" w:rsidRDefault="00535732" w:rsidP="00482299">
      <w:pPr>
        <w:spacing w:after="480"/>
        <w:jc w:val="both"/>
        <w:rPr>
          <w:lang w:val="fr-CA"/>
        </w:rPr>
      </w:pPr>
      <w:r w:rsidRPr="002C739B">
        <w:rPr>
          <w:lang w:val="fr-CA"/>
        </w:rPr>
        <w:t xml:space="preserve">British Columbia International Commercial Arbitration Centre, </w:t>
      </w:r>
      <w:r w:rsidRPr="002C739B">
        <w:rPr>
          <w:i/>
          <w:lang w:val="fr-CA"/>
        </w:rPr>
        <w:t>Domestic Commercial Arbitration Rules of Procedure</w:t>
      </w:r>
    </w:p>
    <w:p w:rsidR="00535732" w:rsidRPr="002C739B" w:rsidRDefault="00205A6C" w:rsidP="00205A6C">
      <w:pPr>
        <w:tabs>
          <w:tab w:val="left" w:pos="720"/>
        </w:tabs>
        <w:spacing w:after="240"/>
        <w:ind w:left="720" w:hanging="720"/>
        <w:jc w:val="both"/>
        <w:rPr>
          <w:lang w:val="fr-CA"/>
        </w:rPr>
      </w:pPr>
      <w:r>
        <w:rPr>
          <w:lang w:val="fr-CA"/>
        </w:rPr>
        <w:tab/>
      </w:r>
      <w:r w:rsidR="00535732" w:rsidRPr="002C739B">
        <w:rPr>
          <w:lang w:val="fr-CA"/>
        </w:rPr>
        <w:t>[</w:t>
      </w:r>
      <w:r w:rsidR="00535732" w:rsidRPr="002C739B">
        <w:rPr>
          <w:smallCaps/>
          <w:lang w:val="fr-CA"/>
        </w:rPr>
        <w:t>traduction</w:t>
      </w:r>
      <w:r w:rsidR="00535732" w:rsidRPr="002C739B">
        <w:rPr>
          <w:lang w:val="fr-CA"/>
        </w:rPr>
        <w:t>]</w:t>
      </w:r>
    </w:p>
    <w:p w:rsidR="00535732" w:rsidRPr="002C739B" w:rsidRDefault="00205A6C" w:rsidP="00205A6C">
      <w:pPr>
        <w:tabs>
          <w:tab w:val="left" w:pos="720"/>
        </w:tabs>
        <w:spacing w:after="240"/>
        <w:ind w:left="720" w:hanging="720"/>
        <w:jc w:val="both"/>
        <w:rPr>
          <w:b/>
          <w:lang w:val="fr-CA"/>
        </w:rPr>
      </w:pPr>
      <w:r>
        <w:rPr>
          <w:b/>
          <w:lang w:val="fr-CA"/>
        </w:rPr>
        <w:tab/>
      </w:r>
      <w:r w:rsidRPr="002C739B">
        <w:rPr>
          <w:b/>
          <w:lang w:val="fr-CA"/>
        </w:rPr>
        <w:t>37</w:t>
      </w:r>
      <w:r>
        <w:rPr>
          <w:b/>
          <w:lang w:val="fr-CA"/>
        </w:rPr>
        <w:t>.</w:t>
      </w:r>
      <w:r w:rsidRPr="002C739B">
        <w:rPr>
          <w:lang w:val="fr-CA"/>
        </w:rPr>
        <w:tab/>
      </w:r>
      <w:r w:rsidR="00535732" w:rsidRPr="002C739B">
        <w:rPr>
          <w:b/>
          <w:lang w:val="fr-CA"/>
        </w:rPr>
        <w:t>Intérêts</w:t>
      </w:r>
    </w:p>
    <w:p w:rsidR="00535732" w:rsidRPr="002C739B" w:rsidRDefault="00205A6C" w:rsidP="00205A6C">
      <w:pPr>
        <w:tabs>
          <w:tab w:val="left" w:pos="1260"/>
        </w:tabs>
        <w:spacing w:after="720"/>
        <w:ind w:left="1267" w:hanging="547"/>
        <w:jc w:val="both"/>
        <w:rPr>
          <w:lang w:val="fr-CA"/>
        </w:rPr>
      </w:pPr>
      <w:r>
        <w:rPr>
          <w:b/>
          <w:lang w:val="fr-CA"/>
        </w:rPr>
        <w:tab/>
      </w:r>
      <w:r w:rsidR="00535732" w:rsidRPr="002C739B">
        <w:rPr>
          <w:lang w:val="fr-CA"/>
        </w:rPr>
        <w:t xml:space="preserve">Sur la base </w:t>
      </w:r>
      <w:r w:rsidR="00535732" w:rsidRPr="008C2600">
        <w:rPr>
          <w:lang w:val="fr-CA"/>
        </w:rPr>
        <w:t>de</w:t>
      </w:r>
      <w:r w:rsidR="00535732" w:rsidRPr="002C739B">
        <w:rPr>
          <w:lang w:val="fr-CA"/>
        </w:rPr>
        <w:t xml:space="preserve"> la preuve qui lui est présentée, le tribunal d</w:t>
      </w:r>
      <w:r w:rsidR="00535732">
        <w:rPr>
          <w:lang w:val="fr-CA"/>
        </w:rPr>
        <w:t>’</w:t>
      </w:r>
      <w:r w:rsidR="00535732" w:rsidRPr="002C739B">
        <w:rPr>
          <w:lang w:val="fr-CA"/>
        </w:rPr>
        <w:t>arbitrage peut dans une sentence arbitrale ordonner le paiement d</w:t>
      </w:r>
      <w:r w:rsidR="00535732">
        <w:rPr>
          <w:lang w:val="fr-CA"/>
        </w:rPr>
        <w:t>’</w:t>
      </w:r>
      <w:r w:rsidR="00535732" w:rsidRPr="002C739B">
        <w:rPr>
          <w:lang w:val="fr-CA"/>
        </w:rPr>
        <w:t>intérêts simples ou composés.</w:t>
      </w:r>
    </w:p>
    <w:p w:rsidR="000D56FC" w:rsidRPr="00143BD1" w:rsidRDefault="000D56FC" w:rsidP="000D56FC">
      <w:pPr>
        <w:pStyle w:val="SCCNormalDoubleSpacing"/>
        <w:spacing w:after="480"/>
        <w:rPr>
          <w:lang w:val="fr-CA"/>
        </w:rPr>
      </w:pPr>
      <w:r w:rsidRPr="00143BD1">
        <w:rPr>
          <w:lang w:val="fr-CA"/>
        </w:rPr>
        <w:lastRenderedPageBreak/>
        <w:tab/>
      </w:r>
      <w:r w:rsidRPr="00143BD1">
        <w:rPr>
          <w:i/>
          <w:lang w:val="fr-CA"/>
        </w:rPr>
        <w:t>Pourvoi accueilli avec dépens devant toutes les cours.</w:t>
      </w:r>
    </w:p>
    <w:p w:rsidR="000D56FC" w:rsidRPr="00143BD1" w:rsidRDefault="000D56FC" w:rsidP="000D56FC">
      <w:pPr>
        <w:pStyle w:val="SCCLawFirm"/>
        <w:spacing w:after="480"/>
        <w:rPr>
          <w:lang w:val="fr-CA"/>
        </w:rPr>
      </w:pPr>
      <w:r w:rsidRPr="00143BD1">
        <w:rPr>
          <w:lang w:val="fr-CA"/>
        </w:rPr>
        <w:tab/>
        <w:t>Procureur de l’appelante : Procureur général de la Colombie</w:t>
      </w:r>
      <w:r w:rsidRPr="00143BD1">
        <w:rPr>
          <w:lang w:val="fr-CA"/>
        </w:rPr>
        <w:noBreakHyphen/>
        <w:t>Britannique, Vancouver.</w:t>
      </w:r>
    </w:p>
    <w:p w:rsidR="000D56FC" w:rsidRDefault="000D56FC" w:rsidP="000D56FC">
      <w:pPr>
        <w:pStyle w:val="SCCLawFirm"/>
        <w:rPr>
          <w:b/>
          <w:i w:val="0"/>
          <w:lang w:val="fr-CA"/>
        </w:rPr>
      </w:pPr>
      <w:r w:rsidRPr="00143BD1">
        <w:rPr>
          <w:lang w:val="fr-CA"/>
        </w:rPr>
        <w:tab/>
        <w:t>Procureurs de l’intimée : Hunter Litigation Chambers, Vancouver.</w:t>
      </w:r>
    </w:p>
    <w:p w:rsidR="000D56FC" w:rsidRPr="00B67129" w:rsidRDefault="000D56FC" w:rsidP="000D56FC">
      <w:pPr>
        <w:pStyle w:val="SCCNormalDoubleSpacing"/>
        <w:rPr>
          <w:lang w:val="fr-CA"/>
        </w:rPr>
      </w:pPr>
    </w:p>
    <w:p w:rsidR="00E005E9" w:rsidRPr="000D56FC" w:rsidRDefault="00E005E9">
      <w:pPr>
        <w:rPr>
          <w:lang w:val="fr-CA"/>
        </w:rPr>
      </w:pPr>
    </w:p>
    <w:sectPr w:rsidR="00E005E9" w:rsidRPr="000D56FC" w:rsidSect="00935251">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99" w:rsidRDefault="00482299" w:rsidP="00244F01">
      <w:r>
        <w:separator/>
      </w:r>
    </w:p>
  </w:endnote>
  <w:endnote w:type="continuationSeparator" w:id="0">
    <w:p w:rsidR="00482299" w:rsidRDefault="00482299" w:rsidP="00244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99" w:rsidRDefault="00482299" w:rsidP="00244F01">
      <w:r>
        <w:separator/>
      </w:r>
    </w:p>
  </w:footnote>
  <w:footnote w:type="continuationSeparator" w:id="0">
    <w:p w:rsidR="00482299" w:rsidRDefault="00482299" w:rsidP="0024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616"/>
      <w:docPartObj>
        <w:docPartGallery w:val="Page Numbers (Top of Page)"/>
        <w:docPartUnique/>
      </w:docPartObj>
    </w:sdtPr>
    <w:sdtContent>
      <w:p w:rsidR="00482299" w:rsidRDefault="00482299">
        <w:pPr>
          <w:pStyle w:val="Header"/>
          <w:jc w:val="center"/>
        </w:pPr>
        <w:r>
          <w:t xml:space="preserve">- </w:t>
        </w:r>
        <w:fldSimple w:instr=" PAGE   \* MERGEFORMAT ">
          <w:r w:rsidR="00193F95">
            <w:rPr>
              <w:noProof/>
            </w:rPr>
            <w:t>2</w:t>
          </w:r>
        </w:fldSimple>
        <w:r>
          <w:t xml:space="preserve"> -</w:t>
        </w:r>
      </w:p>
    </w:sdtContent>
  </w:sdt>
  <w:p w:rsidR="00482299" w:rsidRPr="00450352" w:rsidRDefault="00482299" w:rsidP="00A77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56FC"/>
    <w:rsid w:val="00094B63"/>
    <w:rsid w:val="000D56FC"/>
    <w:rsid w:val="0013481D"/>
    <w:rsid w:val="00145655"/>
    <w:rsid w:val="00150E8F"/>
    <w:rsid w:val="00160E84"/>
    <w:rsid w:val="001853AE"/>
    <w:rsid w:val="00193F95"/>
    <w:rsid w:val="001C1680"/>
    <w:rsid w:val="00205A6C"/>
    <w:rsid w:val="002069EE"/>
    <w:rsid w:val="002123AA"/>
    <w:rsid w:val="00217496"/>
    <w:rsid w:val="00242E70"/>
    <w:rsid w:val="00244F01"/>
    <w:rsid w:val="00293A64"/>
    <w:rsid w:val="00295F78"/>
    <w:rsid w:val="002A0198"/>
    <w:rsid w:val="0030585A"/>
    <w:rsid w:val="00406986"/>
    <w:rsid w:val="00426413"/>
    <w:rsid w:val="00430C21"/>
    <w:rsid w:val="00431ECA"/>
    <w:rsid w:val="00454B53"/>
    <w:rsid w:val="004709C0"/>
    <w:rsid w:val="00482299"/>
    <w:rsid w:val="00515521"/>
    <w:rsid w:val="00535732"/>
    <w:rsid w:val="00550AEF"/>
    <w:rsid w:val="0055276C"/>
    <w:rsid w:val="0055687C"/>
    <w:rsid w:val="005B3131"/>
    <w:rsid w:val="005C73DF"/>
    <w:rsid w:val="005D0D84"/>
    <w:rsid w:val="005E5420"/>
    <w:rsid w:val="00653223"/>
    <w:rsid w:val="00682E6A"/>
    <w:rsid w:val="00697D41"/>
    <w:rsid w:val="006B20A1"/>
    <w:rsid w:val="00711618"/>
    <w:rsid w:val="00825940"/>
    <w:rsid w:val="008A660E"/>
    <w:rsid w:val="008C2600"/>
    <w:rsid w:val="008E6D14"/>
    <w:rsid w:val="00935251"/>
    <w:rsid w:val="009B61FD"/>
    <w:rsid w:val="00A472AB"/>
    <w:rsid w:val="00A51AE0"/>
    <w:rsid w:val="00A643D4"/>
    <w:rsid w:val="00A775D5"/>
    <w:rsid w:val="00A939C6"/>
    <w:rsid w:val="00B60F6B"/>
    <w:rsid w:val="00B71B15"/>
    <w:rsid w:val="00C078BF"/>
    <w:rsid w:val="00C334D8"/>
    <w:rsid w:val="00CB54FB"/>
    <w:rsid w:val="00CF6329"/>
    <w:rsid w:val="00E005E9"/>
    <w:rsid w:val="00E23DE9"/>
    <w:rsid w:val="00EE3FC6"/>
    <w:rsid w:val="00F0532D"/>
    <w:rsid w:val="00F1312C"/>
    <w:rsid w:val="00F63E92"/>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FC"/>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0D56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Heading2Char">
    <w:name w:val="Heading 2 Char"/>
    <w:basedOn w:val="DefaultParagraphFont"/>
    <w:link w:val="Heading2"/>
    <w:uiPriority w:val="9"/>
    <w:semiHidden/>
    <w:rsid w:val="000D56FC"/>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0D56FC"/>
    <w:pPr>
      <w:widowControl w:val="0"/>
    </w:pPr>
  </w:style>
  <w:style w:type="paragraph" w:customStyle="1" w:styleId="SCCNormalDoubleSpacing">
    <w:name w:val="SCC.Normal.DoubleSpacing"/>
    <w:basedOn w:val="Normal"/>
    <w:link w:val="SCCNormalDoubleSpacingChar"/>
    <w:rsid w:val="000D56F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D56FC"/>
    <w:rPr>
      <w:sz w:val="24"/>
    </w:rPr>
  </w:style>
  <w:style w:type="character" w:styleId="PlaceholderText">
    <w:name w:val="Placeholder Text"/>
    <w:basedOn w:val="DefaultParagraphFont"/>
    <w:uiPriority w:val="99"/>
    <w:semiHidden/>
    <w:rsid w:val="000D56FC"/>
    <w:rPr>
      <w:color w:val="808080"/>
    </w:rPr>
  </w:style>
  <w:style w:type="paragraph" w:styleId="BalloonText">
    <w:name w:val="Balloon Text"/>
    <w:basedOn w:val="Normal"/>
    <w:link w:val="BalloonTextChar"/>
    <w:uiPriority w:val="99"/>
    <w:semiHidden/>
    <w:unhideWhenUsed/>
    <w:rsid w:val="000D56FC"/>
    <w:rPr>
      <w:rFonts w:ascii="Tahoma" w:hAnsi="Tahoma" w:cs="Tahoma"/>
      <w:sz w:val="16"/>
      <w:szCs w:val="16"/>
    </w:rPr>
  </w:style>
  <w:style w:type="character" w:customStyle="1" w:styleId="BalloonTextChar">
    <w:name w:val="Balloon Text Char"/>
    <w:basedOn w:val="DefaultParagraphFont"/>
    <w:link w:val="BalloonText"/>
    <w:uiPriority w:val="99"/>
    <w:semiHidden/>
    <w:rsid w:val="000D56FC"/>
    <w:rPr>
      <w:rFonts w:ascii="Tahoma" w:hAnsi="Tahoma" w:cs="Tahoma"/>
      <w:sz w:val="16"/>
      <w:szCs w:val="16"/>
    </w:rPr>
  </w:style>
  <w:style w:type="paragraph" w:styleId="Header">
    <w:name w:val="header"/>
    <w:basedOn w:val="Normal"/>
    <w:link w:val="HeaderChar"/>
    <w:uiPriority w:val="99"/>
    <w:unhideWhenUsed/>
    <w:rsid w:val="000D56FC"/>
    <w:pPr>
      <w:tabs>
        <w:tab w:val="center" w:pos="4680"/>
        <w:tab w:val="right" w:pos="9360"/>
      </w:tabs>
    </w:pPr>
  </w:style>
  <w:style w:type="character" w:customStyle="1" w:styleId="HeaderChar">
    <w:name w:val="Header Char"/>
    <w:basedOn w:val="DefaultParagraphFont"/>
    <w:link w:val="Header"/>
    <w:uiPriority w:val="99"/>
    <w:rsid w:val="000D56FC"/>
    <w:rPr>
      <w:sz w:val="24"/>
    </w:rPr>
  </w:style>
  <w:style w:type="paragraph" w:styleId="Footer">
    <w:name w:val="footer"/>
    <w:basedOn w:val="Normal"/>
    <w:link w:val="FooterChar"/>
    <w:uiPriority w:val="99"/>
    <w:semiHidden/>
    <w:unhideWhenUsed/>
    <w:rsid w:val="000D56FC"/>
    <w:pPr>
      <w:tabs>
        <w:tab w:val="center" w:pos="4680"/>
        <w:tab w:val="right" w:pos="9360"/>
      </w:tabs>
    </w:pPr>
  </w:style>
  <w:style w:type="character" w:customStyle="1" w:styleId="FooterChar">
    <w:name w:val="Footer Char"/>
    <w:basedOn w:val="DefaultParagraphFont"/>
    <w:link w:val="Footer"/>
    <w:uiPriority w:val="99"/>
    <w:semiHidden/>
    <w:rsid w:val="000D56FC"/>
    <w:rPr>
      <w:sz w:val="24"/>
    </w:rPr>
  </w:style>
  <w:style w:type="paragraph" w:customStyle="1" w:styleId="SCCLsocParty">
    <w:name w:val="SCC.Lsoc.Party"/>
    <w:basedOn w:val="Normal"/>
    <w:next w:val="Normal"/>
    <w:link w:val="SCCLsocPartyChar"/>
    <w:rsid w:val="000D56FC"/>
    <w:pPr>
      <w:tabs>
        <w:tab w:val="right" w:pos="8222"/>
      </w:tabs>
      <w:jc w:val="both"/>
    </w:pPr>
    <w:rPr>
      <w:b/>
    </w:rPr>
  </w:style>
  <w:style w:type="character" w:customStyle="1" w:styleId="SCCLsocPartyChar">
    <w:name w:val="SCC.Lsoc.Party Char"/>
    <w:basedOn w:val="DefaultParagraphFont"/>
    <w:link w:val="SCCLsocParty"/>
    <w:rsid w:val="000D56FC"/>
    <w:rPr>
      <w:b/>
      <w:sz w:val="24"/>
    </w:rPr>
  </w:style>
  <w:style w:type="paragraph" w:customStyle="1" w:styleId="SCCLsocVersus">
    <w:name w:val="SCC.Lsoc.Versus"/>
    <w:basedOn w:val="Normal"/>
    <w:next w:val="Normal"/>
    <w:link w:val="SCCLsocVersusChar"/>
    <w:rsid w:val="000D56FC"/>
    <w:pPr>
      <w:spacing w:after="720"/>
    </w:pPr>
    <w:rPr>
      <w:i/>
    </w:rPr>
  </w:style>
  <w:style w:type="character" w:customStyle="1" w:styleId="SCCLsocVersusChar">
    <w:name w:val="SCC.Lsoc.Versus Char"/>
    <w:basedOn w:val="DefaultParagraphFont"/>
    <w:link w:val="SCCLsocVersus"/>
    <w:rsid w:val="000D56FC"/>
    <w:rPr>
      <w:i/>
      <w:sz w:val="24"/>
    </w:rPr>
  </w:style>
  <w:style w:type="character" w:customStyle="1" w:styleId="SCCLsocPartyRole">
    <w:name w:val="SCC.Lsoc.PartyRole"/>
    <w:basedOn w:val="SCCLsocLastPartyInRoleChar"/>
    <w:uiPriority w:val="1"/>
    <w:rsid w:val="000D56FC"/>
    <w:rPr>
      <w:i/>
    </w:rPr>
  </w:style>
  <w:style w:type="paragraph" w:customStyle="1" w:styleId="SCCLsocSubfileSeparator">
    <w:name w:val="SCC.Lsoc.SubfileSeparator"/>
    <w:basedOn w:val="Normal"/>
    <w:next w:val="Normal"/>
    <w:link w:val="SCCLsocSubfileSeparatorChar"/>
    <w:rsid w:val="000D56FC"/>
    <w:pPr>
      <w:spacing w:after="720"/>
    </w:pPr>
  </w:style>
  <w:style w:type="character" w:customStyle="1" w:styleId="SCCLsocSubfileSeparatorChar">
    <w:name w:val="SCC.Lsoc.SubfileSeparator Char"/>
    <w:basedOn w:val="DefaultParagraphFont"/>
    <w:link w:val="SCCLsocSubfileSeparator"/>
    <w:rsid w:val="000D56FC"/>
    <w:rPr>
      <w:sz w:val="24"/>
    </w:rPr>
  </w:style>
  <w:style w:type="paragraph" w:customStyle="1" w:styleId="SCCLsocOtherPartySeparator">
    <w:name w:val="SCC.Lsoc.OtherPartySeparator"/>
    <w:basedOn w:val="Normal"/>
    <w:next w:val="Normal"/>
    <w:link w:val="SCCLsocOtherPartySeparatorChar"/>
    <w:rsid w:val="000D56FC"/>
    <w:pPr>
      <w:spacing w:after="720"/>
    </w:pPr>
  </w:style>
  <w:style w:type="character" w:customStyle="1" w:styleId="SCCLsocOtherPartySeparatorChar">
    <w:name w:val="SCC.Lsoc.OtherPartySeparator Char"/>
    <w:basedOn w:val="DefaultParagraphFont"/>
    <w:link w:val="SCCLsocOtherPartySeparator"/>
    <w:rsid w:val="000D56FC"/>
    <w:rPr>
      <w:sz w:val="24"/>
    </w:rPr>
  </w:style>
  <w:style w:type="paragraph" w:customStyle="1" w:styleId="SCCBanSummary">
    <w:name w:val="SCC.BanSummary"/>
    <w:basedOn w:val="Normal"/>
    <w:next w:val="Normal"/>
    <w:link w:val="SCCBanSummaryChar"/>
    <w:rsid w:val="000D56FC"/>
    <w:pPr>
      <w:jc w:val="right"/>
    </w:pPr>
    <w:rPr>
      <w:b/>
    </w:rPr>
  </w:style>
  <w:style w:type="paragraph" w:customStyle="1" w:styleId="SCCSystemYear">
    <w:name w:val="SCC.SystemYear"/>
    <w:basedOn w:val="Normal"/>
    <w:next w:val="Normal"/>
    <w:link w:val="SCCSystemYearChar"/>
    <w:rsid w:val="000D56FC"/>
    <w:rPr>
      <w:b/>
    </w:rPr>
  </w:style>
  <w:style w:type="character" w:customStyle="1" w:styleId="SCCSystemYearChar">
    <w:name w:val="SCC.SystemYear Char"/>
    <w:basedOn w:val="DefaultParagraphFont"/>
    <w:link w:val="SCCSystemYear"/>
    <w:rsid w:val="000D56FC"/>
    <w:rPr>
      <w:b/>
      <w:sz w:val="24"/>
    </w:rPr>
  </w:style>
  <w:style w:type="paragraph" w:customStyle="1" w:styleId="SCCLowerCourtNameLowercase">
    <w:name w:val="SCC.LowerCourtNameLowercase"/>
    <w:basedOn w:val="SCCNormalDoubleSpacing"/>
    <w:next w:val="SCCNormalDoubleSpacing"/>
    <w:rsid w:val="000D56FC"/>
    <w:rPr>
      <w:smallCaps/>
    </w:rPr>
  </w:style>
  <w:style w:type="paragraph" w:customStyle="1" w:styleId="SCCItalic">
    <w:name w:val="SCC.Italic"/>
    <w:basedOn w:val="SCCNormalDoubleSpacing"/>
    <w:next w:val="SCCNormalDoubleSpacing"/>
    <w:rsid w:val="000D56FC"/>
    <w:rPr>
      <w:i/>
    </w:rPr>
  </w:style>
  <w:style w:type="paragraph" w:customStyle="1" w:styleId="SCCPartyRole">
    <w:name w:val="SCC.PartyRole"/>
    <w:basedOn w:val="SCCNormalDoubleSpacing"/>
    <w:next w:val="SCCNormalDoubleSpacing"/>
    <w:link w:val="SCCPartyRoleChar"/>
    <w:rsid w:val="000D56FC"/>
  </w:style>
  <w:style w:type="character" w:customStyle="1" w:styleId="SCCPartyRoleChar">
    <w:name w:val="SCC.PartyRole Char"/>
    <w:basedOn w:val="SCCNormalDoubleSpacingChar"/>
    <w:link w:val="SCCPartyRole"/>
    <w:rsid w:val="000D56FC"/>
  </w:style>
  <w:style w:type="paragraph" w:customStyle="1" w:styleId="SCCLawFirm">
    <w:name w:val="SCC.LawFirm"/>
    <w:basedOn w:val="SCCNormalDoubleSpacing"/>
    <w:next w:val="SCCNormalDoubleSpacing"/>
    <w:link w:val="SCCLawFirmChar"/>
    <w:rsid w:val="000D56FC"/>
    <w:rPr>
      <w:i/>
    </w:rPr>
  </w:style>
  <w:style w:type="character" w:customStyle="1" w:styleId="SCCLawFirmChar">
    <w:name w:val="SCC.LawFirm Char"/>
    <w:basedOn w:val="SCCNormalDoubleSpacingChar"/>
    <w:link w:val="SCCLawFirm"/>
    <w:rsid w:val="000D56FC"/>
    <w:rPr>
      <w:i/>
    </w:rPr>
  </w:style>
  <w:style w:type="paragraph" w:customStyle="1" w:styleId="SCCLsocLastPartyInRole">
    <w:name w:val="SCC.Lsoc.LastPartyInRole"/>
    <w:basedOn w:val="Normal"/>
    <w:next w:val="Normal"/>
    <w:link w:val="SCCLsocLastPartyInRoleChar"/>
    <w:qFormat/>
    <w:rsid w:val="000D56FC"/>
    <w:pPr>
      <w:tabs>
        <w:tab w:val="right" w:pos="8222"/>
      </w:tabs>
      <w:spacing w:after="720"/>
    </w:pPr>
    <w:rPr>
      <w:b/>
    </w:rPr>
  </w:style>
  <w:style w:type="character" w:customStyle="1" w:styleId="SCCLsocLastPartyInRoleChar">
    <w:name w:val="SCC.Lsoc.LastPartyInRole Char"/>
    <w:basedOn w:val="SCCLsocPartyChar"/>
    <w:link w:val="SCCLsocLastPartyInRole"/>
    <w:rsid w:val="000D56FC"/>
  </w:style>
  <w:style w:type="paragraph" w:customStyle="1" w:styleId="ParaNoNdepar-AltN">
    <w:name w:val="Para. No. / Nº de par. - Alt N"/>
    <w:qFormat/>
    <w:rsid w:val="000D56F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D56F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D56FC"/>
    <w:rPr>
      <w:rFonts w:eastAsiaTheme="minorHAnsi" w:cstheme="minorBidi"/>
      <w:sz w:val="24"/>
      <w:szCs w:val="22"/>
      <w:lang w:eastAsia="en-US"/>
    </w:rPr>
  </w:style>
  <w:style w:type="character" w:customStyle="1" w:styleId="SCCBanSummaryChar">
    <w:name w:val="SCC.BanSummary Char"/>
    <w:basedOn w:val="DefaultParagraphFont"/>
    <w:link w:val="SCCBanSummary"/>
    <w:rsid w:val="000D56FC"/>
    <w:rPr>
      <w:b/>
      <w:sz w:val="24"/>
    </w:rPr>
  </w:style>
  <w:style w:type="table" w:styleId="TableGrid">
    <w:name w:val="Table Grid"/>
    <w:basedOn w:val="TableNormal"/>
    <w:uiPriority w:val="59"/>
    <w:rsid w:val="000D56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D56F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D56F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D56F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D56FC"/>
    <w:pPr>
      <w:keepNext/>
      <w:tabs>
        <w:tab w:val="left" w:pos="360"/>
      </w:tabs>
      <w:spacing w:after="720"/>
      <w:ind w:left="357" w:hanging="357"/>
      <w:jc w:val="both"/>
    </w:pPr>
    <w:rPr>
      <w:rFonts w:eastAsiaTheme="minorHAnsi" w:cstheme="minorBidi"/>
      <w:sz w:val="24"/>
      <w:szCs w:val="22"/>
      <w:lang w:eastAsia="en-US"/>
    </w:rPr>
  </w:style>
  <w:style w:type="character" w:styleId="Hyperlink">
    <w:name w:val="Hyperlink"/>
    <w:basedOn w:val="DefaultParagraphFont"/>
    <w:uiPriority w:val="99"/>
    <w:unhideWhenUsed/>
    <w:rsid w:val="00426413"/>
    <w:rPr>
      <w:color w:val="0000FF" w:themeColor="hyperlink"/>
      <w:u w:val="single"/>
    </w:rPr>
  </w:style>
  <w:style w:type="table" w:customStyle="1" w:styleId="TableGrid1">
    <w:name w:val="Table Grid1"/>
    <w:basedOn w:val="TableNormal"/>
    <w:next w:val="TableGrid"/>
    <w:uiPriority w:val="59"/>
    <w:rsid w:val="00193F9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DD79-EED7-40A6-8CBA-B835C51E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6681</Words>
  <Characters>38084</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44676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2013-10-18T17:49:00Z</cp:lastPrinted>
  <dcterms:created xsi:type="dcterms:W3CDTF">2014-04-03T15:30:00Z</dcterms:created>
  <dcterms:modified xsi:type="dcterms:W3CDTF">2014-04-03T15:30:00Z</dcterms:modified>
</cp:coreProperties>
</file>