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5A" w:rsidRDefault="000A115A" w:rsidP="000A115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486462316" r:id="rId8"/>
        </w:object>
      </w:r>
      <w:r>
        <w:t xml:space="preserve"> </w:t>
      </w:r>
      <w:r>
        <w:ptab w:relativeTo="margin" w:alignment="right" w:leader="none"/>
      </w:r>
    </w:p>
    <w:p w:rsidR="000A115A" w:rsidRDefault="000A115A" w:rsidP="000A115A">
      <w:pPr>
        <w:pStyle w:val="Header"/>
      </w:pPr>
    </w:p>
    <w:p w:rsidR="000A115A" w:rsidRPr="001E12E2" w:rsidRDefault="000A115A" w:rsidP="000A115A">
      <w:pPr>
        <w:jc w:val="center"/>
        <w:rPr>
          <w:b/>
        </w:rPr>
      </w:pPr>
      <w:r w:rsidRPr="001E12E2">
        <w:rPr>
          <w:b/>
        </w:rPr>
        <w:t>COUR SUPRÊME DU CANADA</w:t>
      </w:r>
    </w:p>
    <w:p w:rsidR="000A115A" w:rsidRDefault="000A115A" w:rsidP="000A115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A115A" w:rsidRPr="001E12E2" w:rsidTr="002B419E">
        <w:trPr>
          <w:cantSplit/>
        </w:trPr>
        <w:tc>
          <w:tcPr>
            <w:tcW w:w="6768" w:type="dxa"/>
          </w:tcPr>
          <w:p w:rsidR="000A115A" w:rsidRPr="000A115A" w:rsidRDefault="000A115A" w:rsidP="002B419E">
            <w:pPr>
              <w:rPr>
                <w:lang w:val="fr-CA"/>
              </w:rPr>
            </w:pPr>
            <w:r w:rsidRPr="000A115A">
              <w:rPr>
                <w:b/>
                <w:smallCaps/>
                <w:lang w:val="fr-CA"/>
              </w:rPr>
              <w:t>Référence :</w:t>
            </w:r>
            <w:r w:rsidRPr="000A115A">
              <w:rPr>
                <w:lang w:val="fr-CA"/>
              </w:rPr>
              <w:t xml:space="preserve"> Marcotte </w:t>
            </w:r>
            <w:r w:rsidRPr="000A115A">
              <w:rPr>
                <w:i/>
                <w:lang w:val="fr-CA"/>
              </w:rPr>
              <w:t>c.</w:t>
            </w:r>
            <w:r w:rsidRPr="000A115A">
              <w:rPr>
                <w:lang w:val="fr-CA"/>
              </w:rPr>
              <w:t xml:space="preserve"> Fédération des caisses Desjardins du Québec, 2014 CSC 57</w:t>
            </w:r>
            <w:r>
              <w:rPr>
                <w:lang w:val="fr-CA"/>
              </w:rPr>
              <w:t>, [2014] 2 R.C.S. 805</w:t>
            </w:r>
          </w:p>
        </w:tc>
        <w:tc>
          <w:tcPr>
            <w:tcW w:w="2808" w:type="dxa"/>
          </w:tcPr>
          <w:p w:rsidR="000A115A" w:rsidRPr="001E12E2" w:rsidRDefault="000A115A" w:rsidP="002B419E">
            <w:r w:rsidRPr="001E12E2">
              <w:rPr>
                <w:b/>
                <w:smallCaps/>
              </w:rPr>
              <w:t>Date</w:t>
            </w:r>
            <w:r>
              <w:rPr>
                <w:b/>
                <w:smallCaps/>
              </w:rPr>
              <w:t> :</w:t>
            </w:r>
            <w:r w:rsidRPr="001E12E2">
              <w:t xml:space="preserve"> </w:t>
            </w:r>
            <w:r>
              <w:t>20140919</w:t>
            </w:r>
          </w:p>
          <w:p w:rsidR="000A115A" w:rsidRPr="001E12E2" w:rsidRDefault="000A115A" w:rsidP="002B419E">
            <w:r w:rsidRPr="001E12E2">
              <w:rPr>
                <w:b/>
                <w:smallCaps/>
              </w:rPr>
              <w:t>Do</w:t>
            </w:r>
            <w:r>
              <w:rPr>
                <w:b/>
                <w:smallCaps/>
              </w:rPr>
              <w:t>ssier :</w:t>
            </w:r>
            <w:r w:rsidRPr="001E12E2">
              <w:t xml:space="preserve"> </w:t>
            </w:r>
            <w:r>
              <w:t>35018</w:t>
            </w:r>
          </w:p>
        </w:tc>
      </w:tr>
    </w:tbl>
    <w:p w:rsidR="000A115A" w:rsidRPr="001E12E2" w:rsidRDefault="000A115A" w:rsidP="000A115A"/>
    <w:p w:rsidR="000A115A" w:rsidRDefault="000A115A" w:rsidP="000A115A">
      <w:pPr>
        <w:pStyle w:val="SCCLsocPrefix"/>
      </w:pPr>
      <w:r>
        <w:t>Entre :</w:t>
      </w:r>
    </w:p>
    <w:p w:rsidR="000A115A" w:rsidRDefault="000A115A" w:rsidP="000A115A">
      <w:pPr>
        <w:pStyle w:val="SCCLsocParty"/>
        <w:jc w:val="center"/>
      </w:pPr>
      <w:proofErr w:type="spellStart"/>
      <w:r>
        <w:t>Réal</w:t>
      </w:r>
      <w:proofErr w:type="spellEnd"/>
      <w:r>
        <w:t xml:space="preserve"> </w:t>
      </w:r>
      <w:proofErr w:type="spellStart"/>
      <w:r>
        <w:t>Marcotte</w:t>
      </w:r>
      <w:proofErr w:type="spellEnd"/>
    </w:p>
    <w:p w:rsidR="000A115A" w:rsidRPr="000A115A" w:rsidRDefault="000A115A" w:rsidP="000A115A">
      <w:pPr>
        <w:jc w:val="center"/>
        <w:rPr>
          <w:lang w:val="fr-CA"/>
        </w:rPr>
      </w:pPr>
      <w:r w:rsidRPr="000A115A">
        <w:rPr>
          <w:lang w:val="fr-CA"/>
        </w:rPr>
        <w:t>Appelant</w:t>
      </w:r>
    </w:p>
    <w:p w:rsidR="000A115A" w:rsidRPr="000A115A" w:rsidRDefault="000A115A" w:rsidP="000A115A">
      <w:pPr>
        <w:pStyle w:val="SCCLsocVersus"/>
        <w:spacing w:after="0"/>
        <w:jc w:val="center"/>
        <w:rPr>
          <w:lang w:val="fr-CA"/>
        </w:rPr>
      </w:pPr>
      <w:proofErr w:type="gramStart"/>
      <w:r w:rsidRPr="000A115A">
        <w:rPr>
          <w:lang w:val="fr-CA"/>
        </w:rPr>
        <w:t>et</w:t>
      </w:r>
      <w:proofErr w:type="gramEnd"/>
    </w:p>
    <w:p w:rsidR="000A115A" w:rsidRPr="000A115A" w:rsidRDefault="000A115A" w:rsidP="000A115A">
      <w:pPr>
        <w:pStyle w:val="SCCLsocParty"/>
        <w:jc w:val="center"/>
        <w:rPr>
          <w:lang w:val="fr-CA"/>
        </w:rPr>
      </w:pPr>
      <w:r w:rsidRPr="000A115A">
        <w:rPr>
          <w:lang w:val="fr-CA"/>
        </w:rPr>
        <w:t>Fédération des caisses Desjardins du Québec</w:t>
      </w:r>
    </w:p>
    <w:p w:rsidR="000A115A" w:rsidRPr="000A115A" w:rsidRDefault="000A115A" w:rsidP="000A115A">
      <w:pPr>
        <w:jc w:val="center"/>
        <w:rPr>
          <w:lang w:val="fr-CA"/>
        </w:rPr>
      </w:pPr>
      <w:r w:rsidRPr="000A115A">
        <w:rPr>
          <w:lang w:val="fr-CA"/>
        </w:rPr>
        <w:t>Intimée</w:t>
      </w:r>
    </w:p>
    <w:p w:rsidR="000A115A" w:rsidRPr="000A115A" w:rsidRDefault="000A115A" w:rsidP="000A115A">
      <w:pPr>
        <w:pStyle w:val="SCCLsocOtherPartySeparator"/>
        <w:spacing w:after="0"/>
        <w:jc w:val="center"/>
        <w:rPr>
          <w:lang w:val="fr-CA"/>
        </w:rPr>
      </w:pPr>
      <w:r w:rsidRPr="000A115A">
        <w:rPr>
          <w:lang w:val="fr-CA"/>
        </w:rPr>
        <w:t>- et -</w:t>
      </w:r>
    </w:p>
    <w:p w:rsidR="000A115A" w:rsidRPr="000A115A" w:rsidRDefault="000A115A" w:rsidP="000A115A">
      <w:pPr>
        <w:pStyle w:val="SCCLsocParty"/>
        <w:jc w:val="center"/>
        <w:rPr>
          <w:lang w:val="fr-CA"/>
        </w:rPr>
      </w:pPr>
      <w:r w:rsidRPr="000A115A">
        <w:rPr>
          <w:lang w:val="fr-CA"/>
        </w:rPr>
        <w:t>Procureur général de l’Ontario, procureur général du Québec et</w:t>
      </w:r>
    </w:p>
    <w:p w:rsidR="000A115A" w:rsidRPr="000A115A" w:rsidRDefault="000A115A" w:rsidP="000A115A">
      <w:pPr>
        <w:pStyle w:val="SCCLsocParty"/>
        <w:jc w:val="center"/>
        <w:rPr>
          <w:lang w:val="fr-CA"/>
        </w:rPr>
      </w:pPr>
      <w:r w:rsidRPr="000A115A">
        <w:rPr>
          <w:lang w:val="fr-CA"/>
        </w:rPr>
        <w:t>Président de l’Office de la protection du consommateur</w:t>
      </w:r>
    </w:p>
    <w:p w:rsidR="000A115A" w:rsidRPr="000A115A" w:rsidRDefault="000A115A" w:rsidP="000A115A">
      <w:pPr>
        <w:jc w:val="center"/>
        <w:rPr>
          <w:lang w:val="fr-CA"/>
        </w:rPr>
      </w:pPr>
      <w:r w:rsidRPr="000A115A">
        <w:rPr>
          <w:lang w:val="fr-CA"/>
        </w:rPr>
        <w:t>Intervenants</w:t>
      </w:r>
    </w:p>
    <w:p w:rsidR="000A115A" w:rsidRPr="000A115A" w:rsidRDefault="000A115A" w:rsidP="000A115A">
      <w:pPr>
        <w:rPr>
          <w:lang w:val="fr-CA"/>
        </w:rPr>
      </w:pPr>
    </w:p>
    <w:p w:rsidR="000A115A" w:rsidRPr="000A115A" w:rsidRDefault="000A115A" w:rsidP="000A115A">
      <w:pPr>
        <w:jc w:val="center"/>
        <w:rPr>
          <w:b/>
          <w:smallCaps/>
          <w:lang w:val="fr-CA"/>
        </w:rPr>
      </w:pPr>
      <w:r w:rsidRPr="000A115A">
        <w:rPr>
          <w:b/>
          <w:smallCaps/>
          <w:lang w:val="fr-CA"/>
        </w:rPr>
        <w:t>Traduction française officielle</w:t>
      </w:r>
    </w:p>
    <w:p w:rsidR="000A115A" w:rsidRPr="000A115A" w:rsidRDefault="000A115A" w:rsidP="000A115A">
      <w:pPr>
        <w:rPr>
          <w:lang w:val="fr-CA"/>
        </w:rPr>
      </w:pPr>
    </w:p>
    <w:p w:rsidR="000A115A" w:rsidRPr="000A115A" w:rsidRDefault="000A115A" w:rsidP="000A115A">
      <w:pPr>
        <w:rPr>
          <w:lang w:val="fr-CA"/>
        </w:rPr>
      </w:pPr>
      <w:r w:rsidRPr="000A115A">
        <w:rPr>
          <w:b/>
          <w:smallCaps/>
          <w:lang w:val="fr-CA"/>
        </w:rPr>
        <w:t>Coram :</w:t>
      </w:r>
      <w:r w:rsidRPr="000A115A">
        <w:rPr>
          <w:lang w:val="fr-CA"/>
        </w:rPr>
        <w:t xml:space="preserve"> La juge en chef </w:t>
      </w:r>
      <w:proofErr w:type="spellStart"/>
      <w:r w:rsidRPr="000A115A">
        <w:rPr>
          <w:lang w:val="fr-CA"/>
        </w:rPr>
        <w:t>McLachlin</w:t>
      </w:r>
      <w:proofErr w:type="spellEnd"/>
      <w:r w:rsidRPr="000A115A">
        <w:rPr>
          <w:lang w:val="fr-CA"/>
        </w:rPr>
        <w:t xml:space="preserve"> et les juges </w:t>
      </w:r>
      <w:proofErr w:type="spellStart"/>
      <w:r w:rsidRPr="000A115A">
        <w:rPr>
          <w:lang w:val="fr-CA"/>
        </w:rPr>
        <w:t>LeBel</w:t>
      </w:r>
      <w:proofErr w:type="spellEnd"/>
      <w:r w:rsidRPr="000A115A">
        <w:rPr>
          <w:lang w:val="fr-CA"/>
        </w:rPr>
        <w:t xml:space="preserve">, Abella, </w:t>
      </w:r>
      <w:proofErr w:type="spellStart"/>
      <w:r w:rsidRPr="000A115A">
        <w:rPr>
          <w:lang w:val="fr-CA"/>
        </w:rPr>
        <w:t>Rothstein</w:t>
      </w:r>
      <w:proofErr w:type="spellEnd"/>
      <w:r w:rsidRPr="000A115A">
        <w:rPr>
          <w:lang w:val="fr-CA"/>
        </w:rPr>
        <w:t xml:space="preserve">, Cromwell, </w:t>
      </w:r>
      <w:proofErr w:type="spellStart"/>
      <w:r w:rsidRPr="000A115A">
        <w:rPr>
          <w:lang w:val="fr-CA"/>
        </w:rPr>
        <w:t>Moldaver</w:t>
      </w:r>
      <w:proofErr w:type="spellEnd"/>
      <w:r w:rsidRPr="000A115A">
        <w:rPr>
          <w:lang w:val="fr-CA"/>
        </w:rPr>
        <w:t xml:space="preserve"> et Wagner</w:t>
      </w:r>
    </w:p>
    <w:p w:rsidR="000A115A" w:rsidRPr="000A115A" w:rsidRDefault="000A115A" w:rsidP="000A115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A115A" w:rsidRPr="000A115A" w:rsidTr="002B419E">
        <w:trPr>
          <w:cantSplit/>
        </w:trPr>
        <w:tc>
          <w:tcPr>
            <w:tcW w:w="3618" w:type="dxa"/>
          </w:tcPr>
          <w:p w:rsidR="000A115A" w:rsidRPr="000A115A" w:rsidRDefault="000A115A" w:rsidP="002B419E">
            <w:pPr>
              <w:rPr>
                <w:b/>
                <w:smallCaps/>
                <w:lang w:val="fr-CA"/>
              </w:rPr>
            </w:pPr>
            <w:r w:rsidRPr="000A115A">
              <w:rPr>
                <w:b/>
                <w:smallCaps/>
                <w:lang w:val="fr-CA"/>
              </w:rPr>
              <w:t>Motifs de jugement conjoints :</w:t>
            </w:r>
          </w:p>
          <w:p w:rsidR="000A115A" w:rsidRPr="000A115A" w:rsidRDefault="000A115A" w:rsidP="002B419E">
            <w:pPr>
              <w:rPr>
                <w:lang w:val="fr-CA"/>
              </w:rPr>
            </w:pPr>
            <w:r w:rsidRPr="000A115A">
              <w:rPr>
                <w:lang w:val="fr-CA"/>
              </w:rPr>
              <w:t>(par. 1 à 34)</w:t>
            </w:r>
          </w:p>
        </w:tc>
        <w:tc>
          <w:tcPr>
            <w:tcW w:w="5958" w:type="dxa"/>
          </w:tcPr>
          <w:p w:rsidR="000A115A" w:rsidRPr="000A115A" w:rsidRDefault="000A115A" w:rsidP="002B419E">
            <w:pPr>
              <w:rPr>
                <w:lang w:val="fr-CA"/>
              </w:rPr>
            </w:pPr>
            <w:r w:rsidRPr="000A115A">
              <w:rPr>
                <w:lang w:val="fr-CA"/>
              </w:rPr>
              <w:t xml:space="preserve">Les juges </w:t>
            </w:r>
            <w:proofErr w:type="spellStart"/>
            <w:r w:rsidRPr="000A115A">
              <w:rPr>
                <w:lang w:val="fr-CA"/>
              </w:rPr>
              <w:t>Rothstein</w:t>
            </w:r>
            <w:proofErr w:type="spellEnd"/>
            <w:r w:rsidRPr="000A115A">
              <w:rPr>
                <w:lang w:val="fr-CA"/>
              </w:rPr>
              <w:t xml:space="preserve"> et Wagner (avec l’accord de la juge en chef </w:t>
            </w:r>
            <w:proofErr w:type="spellStart"/>
            <w:r w:rsidRPr="000A115A">
              <w:rPr>
                <w:lang w:val="fr-CA"/>
              </w:rPr>
              <w:t>McLachlin</w:t>
            </w:r>
            <w:proofErr w:type="spellEnd"/>
            <w:r w:rsidRPr="000A115A">
              <w:rPr>
                <w:lang w:val="fr-CA"/>
              </w:rPr>
              <w:t xml:space="preserve"> et des juges </w:t>
            </w:r>
            <w:proofErr w:type="spellStart"/>
            <w:r w:rsidRPr="000A115A">
              <w:rPr>
                <w:lang w:val="fr-CA"/>
              </w:rPr>
              <w:t>LeBel</w:t>
            </w:r>
            <w:proofErr w:type="spellEnd"/>
            <w:r w:rsidRPr="000A115A">
              <w:rPr>
                <w:lang w:val="fr-CA"/>
              </w:rPr>
              <w:t xml:space="preserve">, Abella, Cromwell et </w:t>
            </w:r>
            <w:proofErr w:type="spellStart"/>
            <w:r w:rsidRPr="000A115A">
              <w:rPr>
                <w:lang w:val="fr-CA"/>
              </w:rPr>
              <w:t>Moldaver</w:t>
            </w:r>
            <w:proofErr w:type="spellEnd"/>
            <w:r w:rsidRPr="000A115A">
              <w:rPr>
                <w:lang w:val="fr-CA"/>
              </w:rPr>
              <w:t>)</w:t>
            </w:r>
          </w:p>
        </w:tc>
      </w:tr>
    </w:tbl>
    <w:p w:rsidR="000A115A" w:rsidRPr="000A115A" w:rsidRDefault="000A115A" w:rsidP="000A115A">
      <w:pPr>
        <w:rPr>
          <w:lang w:val="fr-CA"/>
        </w:rPr>
      </w:pPr>
    </w:p>
    <w:p w:rsidR="000A115A" w:rsidRPr="000A115A" w:rsidRDefault="000A115A" w:rsidP="000A115A">
      <w:pPr>
        <w:rPr>
          <w:lang w:val="fr-CA"/>
        </w:rPr>
      </w:pPr>
      <w:r w:rsidRPr="00E20970">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0A115A" w:rsidRDefault="000A115A" w:rsidP="00470A48">
      <w:pPr>
        <w:widowControl w:val="0"/>
        <w:spacing w:after="720"/>
        <w:jc w:val="both"/>
        <w:rPr>
          <w:smallCaps/>
          <w:lang w:val="fr-CA"/>
        </w:rPr>
      </w:pPr>
    </w:p>
    <w:p w:rsidR="004D7D95" w:rsidRPr="002C7BFC" w:rsidRDefault="00911543" w:rsidP="00470A48">
      <w:pPr>
        <w:widowControl w:val="0"/>
        <w:spacing w:after="720"/>
        <w:jc w:val="both"/>
        <w:rPr>
          <w:smallCaps/>
          <w:lang w:val="fr-CA"/>
        </w:rPr>
      </w:pPr>
      <w:r w:rsidRPr="002C7BFC">
        <w:rPr>
          <w:smallCaps/>
          <w:lang w:val="fr-CA"/>
        </w:rPr>
        <w:t>m</w:t>
      </w:r>
      <w:r w:rsidR="004D7D95" w:rsidRPr="002C7BFC">
        <w:rPr>
          <w:smallCaps/>
          <w:lang w:val="fr-CA"/>
        </w:rPr>
        <w:t>arcotte</w:t>
      </w:r>
      <w:r w:rsidR="004D7D95" w:rsidRPr="002C7BFC">
        <w:rPr>
          <w:lang w:val="fr-CA"/>
        </w:rPr>
        <w:t xml:space="preserve"> </w:t>
      </w:r>
      <w:r w:rsidR="004D7D95" w:rsidRPr="002C7BFC">
        <w:rPr>
          <w:i/>
          <w:lang w:val="fr-CA"/>
        </w:rPr>
        <w:t>c.</w:t>
      </w:r>
      <w:r w:rsidR="004D7D95" w:rsidRPr="002C7BFC">
        <w:rPr>
          <w:lang w:val="fr-CA"/>
        </w:rPr>
        <w:t xml:space="preserve"> </w:t>
      </w:r>
      <w:proofErr w:type="spellStart"/>
      <w:r w:rsidRPr="002C7BFC">
        <w:rPr>
          <w:smallCaps/>
          <w:lang w:val="fr-CA"/>
        </w:rPr>
        <w:t>f</w:t>
      </w:r>
      <w:r w:rsidR="004D7D95" w:rsidRPr="002C7BFC">
        <w:rPr>
          <w:smallCaps/>
          <w:lang w:val="fr-CA"/>
        </w:rPr>
        <w:t>éd</w:t>
      </w:r>
      <w:proofErr w:type="spellEnd"/>
      <w:r w:rsidR="00060A80">
        <w:rPr>
          <w:smallCaps/>
          <w:lang w:val="fr-CA"/>
        </w:rPr>
        <w:t xml:space="preserve">. </w:t>
      </w:r>
      <w:r w:rsidR="004D7D95" w:rsidRPr="002C7BFC">
        <w:rPr>
          <w:smallCaps/>
          <w:lang w:val="fr-CA"/>
        </w:rPr>
        <w:t xml:space="preserve">des caisses </w:t>
      </w:r>
      <w:proofErr w:type="spellStart"/>
      <w:r w:rsidRPr="002C7BFC">
        <w:rPr>
          <w:smallCaps/>
          <w:lang w:val="fr-CA"/>
        </w:rPr>
        <w:t>d</w:t>
      </w:r>
      <w:r w:rsidR="004D7D95" w:rsidRPr="002C7BFC">
        <w:rPr>
          <w:smallCaps/>
          <w:lang w:val="fr-CA"/>
        </w:rPr>
        <w:t>esjardins</w:t>
      </w:r>
      <w:proofErr w:type="spellEnd"/>
      <w:r w:rsidR="00424414">
        <w:rPr>
          <w:smallCaps/>
          <w:lang w:val="fr-CA"/>
        </w:rPr>
        <w:t xml:space="preserve">, </w:t>
      </w:r>
      <w:r w:rsidR="00424414" w:rsidRPr="002C7BFC">
        <w:rPr>
          <w:lang w:val="fr-CA"/>
        </w:rPr>
        <w:t>2014 CSC</w:t>
      </w:r>
      <w:r w:rsidR="00424414">
        <w:rPr>
          <w:lang w:val="fr-CA"/>
        </w:rPr>
        <w:t xml:space="preserve"> </w:t>
      </w:r>
      <w:r w:rsidR="00424414" w:rsidRPr="002C7BFC">
        <w:rPr>
          <w:lang w:val="fr-CA"/>
        </w:rPr>
        <w:t>57</w:t>
      </w:r>
      <w:r w:rsidR="00424414">
        <w:rPr>
          <w:lang w:val="fr-CA"/>
        </w:rPr>
        <w:t>, [2014] 2 R.C.S. 805</w:t>
      </w:r>
    </w:p>
    <w:p w:rsidR="00A66E31" w:rsidRPr="002C7BFC" w:rsidRDefault="00354DEA" w:rsidP="00470A48">
      <w:pPr>
        <w:pStyle w:val="SCCLsocLastPartyInRole"/>
        <w:widowControl w:val="0"/>
        <w:rPr>
          <w:lang w:val="fr-CA"/>
        </w:rPr>
      </w:pPr>
      <w:r w:rsidRPr="002C7BFC">
        <w:rPr>
          <w:lang w:val="fr-CA"/>
        </w:rPr>
        <w:t>Réal Marcotte</w:t>
      </w:r>
      <w:r w:rsidRPr="002C7BFC">
        <w:rPr>
          <w:rStyle w:val="SCCLsocPartyRole"/>
          <w:lang w:val="fr-CA"/>
        </w:rPr>
        <w:tab/>
        <w:t>Appelant</w:t>
      </w:r>
    </w:p>
    <w:p w:rsidR="00A66E31" w:rsidRPr="002C7BFC" w:rsidRDefault="00354DEA" w:rsidP="00470A48">
      <w:pPr>
        <w:pStyle w:val="SCCLsocVersus"/>
        <w:widowControl w:val="0"/>
        <w:rPr>
          <w:lang w:val="fr-CA"/>
        </w:rPr>
      </w:pPr>
      <w:proofErr w:type="gramStart"/>
      <w:r w:rsidRPr="002C7BFC">
        <w:rPr>
          <w:lang w:val="fr-CA"/>
        </w:rPr>
        <w:t>c</w:t>
      </w:r>
      <w:proofErr w:type="gramEnd"/>
      <w:r w:rsidRPr="002C7BFC">
        <w:rPr>
          <w:lang w:val="fr-CA"/>
        </w:rPr>
        <w:t>.</w:t>
      </w:r>
    </w:p>
    <w:p w:rsidR="00A66E31" w:rsidRPr="002C7BFC" w:rsidRDefault="00354DEA" w:rsidP="00470A48">
      <w:pPr>
        <w:pStyle w:val="SCCLsocLastPartyInRole"/>
        <w:widowControl w:val="0"/>
        <w:rPr>
          <w:lang w:val="fr-CA"/>
        </w:rPr>
      </w:pPr>
      <w:r w:rsidRPr="002C7BFC">
        <w:rPr>
          <w:lang w:val="fr-CA"/>
        </w:rPr>
        <w:lastRenderedPageBreak/>
        <w:t>Fédération des caisses Desjardins du Québec</w:t>
      </w:r>
      <w:r w:rsidR="00911543" w:rsidRPr="002C7BFC">
        <w:rPr>
          <w:rStyle w:val="SCCLsocPartyRole"/>
          <w:lang w:val="fr-CA"/>
        </w:rPr>
        <w:tab/>
        <w:t>Intimé</w:t>
      </w:r>
      <w:r w:rsidRPr="002C7BFC">
        <w:rPr>
          <w:rStyle w:val="SCCLsocPartyRole"/>
          <w:lang w:val="fr-CA"/>
        </w:rPr>
        <w:t>e</w:t>
      </w:r>
    </w:p>
    <w:p w:rsidR="00A66E31" w:rsidRPr="002C7BFC" w:rsidRDefault="00354DEA" w:rsidP="00470A48">
      <w:pPr>
        <w:pStyle w:val="SCCLsocOtherPartySeparator"/>
        <w:widowControl w:val="0"/>
        <w:rPr>
          <w:lang w:val="fr-CA"/>
        </w:rPr>
      </w:pPr>
      <w:proofErr w:type="gramStart"/>
      <w:r w:rsidRPr="002C7BFC">
        <w:rPr>
          <w:lang w:val="fr-CA"/>
        </w:rPr>
        <w:t>et</w:t>
      </w:r>
      <w:proofErr w:type="gramEnd"/>
    </w:p>
    <w:p w:rsidR="00A66E31" w:rsidRPr="002C7BFC" w:rsidRDefault="00354DEA" w:rsidP="00470A48">
      <w:pPr>
        <w:pStyle w:val="SCCLsocParty"/>
        <w:widowControl w:val="0"/>
        <w:rPr>
          <w:lang w:val="fr-CA"/>
        </w:rPr>
      </w:pPr>
      <w:r w:rsidRPr="002C7BFC">
        <w:rPr>
          <w:lang w:val="fr-CA"/>
        </w:rPr>
        <w:t>Procureur général de l</w:t>
      </w:r>
      <w:r w:rsidR="00911543" w:rsidRPr="002C7BFC">
        <w:rPr>
          <w:lang w:val="fr-CA"/>
        </w:rPr>
        <w:t>’</w:t>
      </w:r>
      <w:r w:rsidRPr="002C7BFC">
        <w:rPr>
          <w:lang w:val="fr-CA"/>
        </w:rPr>
        <w:t>Ontario,</w:t>
      </w:r>
      <w:r w:rsidR="00785111" w:rsidRPr="002C7BFC">
        <w:rPr>
          <w:lang w:val="fr-CA"/>
        </w:rPr>
        <w:t xml:space="preserve"> p</w:t>
      </w:r>
      <w:r w:rsidRPr="002C7BFC">
        <w:rPr>
          <w:lang w:val="fr-CA"/>
        </w:rPr>
        <w:t>rocureur général du Québec</w:t>
      </w:r>
      <w:r w:rsidR="00785111" w:rsidRPr="002C7BFC">
        <w:rPr>
          <w:lang w:val="fr-CA"/>
        </w:rPr>
        <w:t xml:space="preserve"> </w:t>
      </w:r>
    </w:p>
    <w:p w:rsidR="00A66E31" w:rsidRPr="002C7BFC" w:rsidRDefault="00785111" w:rsidP="00470A48">
      <w:pPr>
        <w:pStyle w:val="SCCLsocLastPartyInRole"/>
        <w:widowControl w:val="0"/>
        <w:rPr>
          <w:lang w:val="fr-CA"/>
        </w:rPr>
      </w:pPr>
      <w:proofErr w:type="gramStart"/>
      <w:r w:rsidRPr="002C7BFC">
        <w:rPr>
          <w:lang w:val="fr-CA"/>
        </w:rPr>
        <w:t>et</w:t>
      </w:r>
      <w:proofErr w:type="gramEnd"/>
      <w:r w:rsidRPr="002C7BFC">
        <w:rPr>
          <w:lang w:val="fr-CA"/>
        </w:rPr>
        <w:t xml:space="preserve"> </w:t>
      </w:r>
      <w:r w:rsidR="00E45D7F">
        <w:rPr>
          <w:lang w:val="fr-CA"/>
        </w:rPr>
        <w:t>p</w:t>
      </w:r>
      <w:r w:rsidR="00354DEA" w:rsidRPr="002C7BFC">
        <w:rPr>
          <w:lang w:val="fr-CA"/>
        </w:rPr>
        <w:t>résident de l</w:t>
      </w:r>
      <w:r w:rsidRPr="002C7BFC">
        <w:rPr>
          <w:lang w:val="fr-CA"/>
        </w:rPr>
        <w:t>’</w:t>
      </w:r>
      <w:r w:rsidR="00354DEA" w:rsidRPr="002C7BFC">
        <w:rPr>
          <w:lang w:val="fr-CA"/>
        </w:rPr>
        <w:t>Office de la protection du consommateur</w:t>
      </w:r>
      <w:r w:rsidR="00354DEA" w:rsidRPr="002C7BFC">
        <w:rPr>
          <w:rStyle w:val="SCCLsocPartyRole"/>
          <w:lang w:val="fr-CA"/>
        </w:rPr>
        <w:tab/>
      </w:r>
      <w:r w:rsidRPr="002C7BFC">
        <w:rPr>
          <w:rStyle w:val="SCCLsocPartyRole"/>
          <w:lang w:val="fr-CA"/>
        </w:rPr>
        <w:t>Intervenant</w:t>
      </w:r>
      <w:r w:rsidR="00354DEA" w:rsidRPr="002C7BFC">
        <w:rPr>
          <w:rStyle w:val="SCCLsocPartyRole"/>
          <w:lang w:val="fr-CA"/>
        </w:rPr>
        <w:t>s</w:t>
      </w:r>
    </w:p>
    <w:p w:rsidR="004D7D95" w:rsidRPr="002C7BFC" w:rsidRDefault="004D7D95" w:rsidP="00470A48">
      <w:pPr>
        <w:widowControl w:val="0"/>
        <w:spacing w:after="720"/>
        <w:jc w:val="both"/>
        <w:rPr>
          <w:b/>
          <w:lang w:val="fr-CA"/>
        </w:rPr>
      </w:pPr>
      <w:r w:rsidRPr="002C7BFC">
        <w:rPr>
          <w:b/>
          <w:lang w:val="fr-CA"/>
        </w:rPr>
        <w:t>Répertorié</w:t>
      </w:r>
      <w:r w:rsidR="00470A48">
        <w:rPr>
          <w:b/>
          <w:lang w:val="fr-CA"/>
        </w:rPr>
        <w:t xml:space="preserve"> : </w:t>
      </w:r>
      <w:r w:rsidRPr="002C7BFC">
        <w:rPr>
          <w:b/>
          <w:lang w:val="fr-CA"/>
        </w:rPr>
        <w:t xml:space="preserve">Marcotte </w:t>
      </w:r>
      <w:r w:rsidRPr="002C7BFC">
        <w:rPr>
          <w:b/>
          <w:i/>
          <w:lang w:val="fr-CA"/>
        </w:rPr>
        <w:t>c.</w:t>
      </w:r>
      <w:r w:rsidRPr="002C7BFC">
        <w:rPr>
          <w:b/>
          <w:lang w:val="fr-CA"/>
        </w:rPr>
        <w:t xml:space="preserve"> Fédération des caisses Desjardins du Québec</w:t>
      </w:r>
    </w:p>
    <w:p w:rsidR="004D7D95" w:rsidRPr="002C7BFC" w:rsidRDefault="00F62639" w:rsidP="00470A48">
      <w:pPr>
        <w:pStyle w:val="SCCSystemYear"/>
        <w:widowControl w:val="0"/>
        <w:spacing w:after="720"/>
        <w:jc w:val="both"/>
        <w:rPr>
          <w:lang w:val="fr-CA"/>
        </w:rPr>
      </w:pPr>
      <w:r w:rsidRPr="002C7BFC">
        <w:rPr>
          <w:lang w:val="fr-CA"/>
        </w:rPr>
        <w:t>2014</w:t>
      </w:r>
      <w:r w:rsidR="00396AAB" w:rsidRPr="002C7BFC">
        <w:rPr>
          <w:lang w:val="fr-CA"/>
        </w:rPr>
        <w:t xml:space="preserve"> CSC</w:t>
      </w:r>
      <w:r w:rsidR="00470A48">
        <w:rPr>
          <w:lang w:val="fr-CA"/>
        </w:rPr>
        <w:t xml:space="preserve"> </w:t>
      </w:r>
      <w:r w:rsidR="00396AAB" w:rsidRPr="002C7BFC">
        <w:rPr>
          <w:lang w:val="fr-CA"/>
        </w:rPr>
        <w:t>57</w:t>
      </w:r>
    </w:p>
    <w:p w:rsidR="004D7D95" w:rsidRPr="002C7BFC" w:rsidRDefault="004D7D95" w:rsidP="00470A48">
      <w:pPr>
        <w:widowControl w:val="0"/>
        <w:spacing w:after="720"/>
        <w:jc w:val="both"/>
        <w:rPr>
          <w:lang w:val="fr-CA"/>
        </w:rPr>
      </w:pPr>
      <w:r w:rsidRPr="002C7BFC">
        <w:rPr>
          <w:lang w:val="fr-CA"/>
        </w:rPr>
        <w:t>N</w:t>
      </w:r>
      <w:r w:rsidRPr="002C7BFC">
        <w:rPr>
          <w:vertAlign w:val="superscript"/>
          <w:lang w:val="fr-CA"/>
        </w:rPr>
        <w:t>o</w:t>
      </w:r>
      <w:r w:rsidRPr="002C7BFC">
        <w:rPr>
          <w:lang w:val="fr-CA"/>
        </w:rPr>
        <w:t xml:space="preserve"> du greffe</w:t>
      </w:r>
      <w:r w:rsidR="00470A48">
        <w:rPr>
          <w:lang w:val="fr-CA"/>
        </w:rPr>
        <w:t xml:space="preserve"> : </w:t>
      </w:r>
      <w:r w:rsidRPr="002C7BFC">
        <w:rPr>
          <w:lang w:val="fr-CA"/>
        </w:rPr>
        <w:t>35018.</w:t>
      </w:r>
    </w:p>
    <w:p w:rsidR="004D7D95" w:rsidRPr="002C7BFC" w:rsidRDefault="00F62639" w:rsidP="00470A48">
      <w:pPr>
        <w:widowControl w:val="0"/>
        <w:spacing w:after="720"/>
        <w:jc w:val="both"/>
        <w:rPr>
          <w:lang w:val="fr-CA"/>
        </w:rPr>
      </w:pPr>
      <w:r w:rsidRPr="002C7BFC">
        <w:rPr>
          <w:lang w:val="fr-CA"/>
        </w:rPr>
        <w:t>2014</w:t>
      </w:r>
      <w:r w:rsidR="00470A48">
        <w:rPr>
          <w:lang w:val="fr-CA"/>
        </w:rPr>
        <w:t xml:space="preserve"> : </w:t>
      </w:r>
      <w:r w:rsidRPr="002C7BFC">
        <w:rPr>
          <w:lang w:val="fr-CA"/>
        </w:rPr>
        <w:t>13</w:t>
      </w:r>
      <w:r w:rsidR="00470A48">
        <w:rPr>
          <w:lang w:val="fr-CA"/>
        </w:rPr>
        <w:t xml:space="preserve"> </w:t>
      </w:r>
      <w:r w:rsidRPr="002C7BFC">
        <w:rPr>
          <w:lang w:val="fr-CA"/>
        </w:rPr>
        <w:t>février</w:t>
      </w:r>
      <w:r w:rsidR="00AD5204" w:rsidRPr="002C7BFC">
        <w:rPr>
          <w:lang w:val="fr-CA"/>
        </w:rPr>
        <w:t>; 2014</w:t>
      </w:r>
      <w:r w:rsidR="00470A48">
        <w:rPr>
          <w:lang w:val="fr-CA"/>
        </w:rPr>
        <w:t xml:space="preserve"> : </w:t>
      </w:r>
      <w:r w:rsidR="00AD5204" w:rsidRPr="002C7BFC">
        <w:rPr>
          <w:lang w:val="fr-CA"/>
        </w:rPr>
        <w:t>19</w:t>
      </w:r>
      <w:r w:rsidR="00470A48">
        <w:rPr>
          <w:lang w:val="fr-CA"/>
        </w:rPr>
        <w:t xml:space="preserve"> </w:t>
      </w:r>
      <w:r w:rsidR="00AD5204" w:rsidRPr="002C7BFC">
        <w:rPr>
          <w:lang w:val="fr-CA"/>
        </w:rPr>
        <w:t>septembre</w:t>
      </w:r>
      <w:r w:rsidR="004D7D95" w:rsidRPr="002C7BFC">
        <w:rPr>
          <w:lang w:val="fr-CA"/>
        </w:rPr>
        <w:t>.</w:t>
      </w:r>
    </w:p>
    <w:p w:rsidR="004D7D95" w:rsidRPr="002C7BFC" w:rsidRDefault="004D7D95" w:rsidP="00470A48">
      <w:pPr>
        <w:widowControl w:val="0"/>
        <w:spacing w:after="720"/>
        <w:jc w:val="both"/>
        <w:rPr>
          <w:lang w:val="fr-CA"/>
        </w:rPr>
      </w:pPr>
      <w:r w:rsidRPr="002C7BFC">
        <w:rPr>
          <w:lang w:val="fr-CA"/>
        </w:rPr>
        <w:t>Présents</w:t>
      </w:r>
      <w:r w:rsidR="00470A48">
        <w:rPr>
          <w:lang w:val="fr-CA"/>
        </w:rPr>
        <w:t xml:space="preserve"> : </w:t>
      </w:r>
      <w:r w:rsidRPr="002C7BFC">
        <w:rPr>
          <w:lang w:val="fr-CA"/>
        </w:rPr>
        <w:t xml:space="preserve">La juge en chef </w:t>
      </w:r>
      <w:proofErr w:type="spellStart"/>
      <w:r w:rsidRPr="002C7BFC">
        <w:rPr>
          <w:lang w:val="fr-CA"/>
        </w:rPr>
        <w:t>McLachlin</w:t>
      </w:r>
      <w:proofErr w:type="spellEnd"/>
      <w:r w:rsidRPr="002C7BFC">
        <w:rPr>
          <w:lang w:val="fr-CA"/>
        </w:rPr>
        <w:t xml:space="preserve"> et les juges </w:t>
      </w:r>
      <w:proofErr w:type="spellStart"/>
      <w:r w:rsidRPr="002C7BFC">
        <w:rPr>
          <w:lang w:val="fr-CA"/>
        </w:rPr>
        <w:t>LeBel</w:t>
      </w:r>
      <w:proofErr w:type="spellEnd"/>
      <w:r w:rsidRPr="002C7BFC">
        <w:rPr>
          <w:lang w:val="fr-CA"/>
        </w:rPr>
        <w:t xml:space="preserve">, Abella, </w:t>
      </w:r>
      <w:proofErr w:type="spellStart"/>
      <w:r w:rsidRPr="002C7BFC">
        <w:rPr>
          <w:lang w:val="fr-CA"/>
        </w:rPr>
        <w:t>Rothstein</w:t>
      </w:r>
      <w:proofErr w:type="spellEnd"/>
      <w:r w:rsidRPr="002C7BFC">
        <w:rPr>
          <w:lang w:val="fr-CA"/>
        </w:rPr>
        <w:t xml:space="preserve">, Cromwell, </w:t>
      </w:r>
      <w:proofErr w:type="spellStart"/>
      <w:r w:rsidRPr="002C7BFC">
        <w:rPr>
          <w:lang w:val="fr-CA"/>
        </w:rPr>
        <w:t>Moldaver</w:t>
      </w:r>
      <w:proofErr w:type="spellEnd"/>
      <w:r w:rsidRPr="002C7BFC">
        <w:rPr>
          <w:lang w:val="fr-CA"/>
        </w:rPr>
        <w:t xml:space="preserve"> et Wagner.</w:t>
      </w:r>
    </w:p>
    <w:p w:rsidR="004D7D95" w:rsidRPr="002C7BFC" w:rsidRDefault="004D7D95" w:rsidP="00470A48">
      <w:pPr>
        <w:widowControl w:val="0"/>
        <w:spacing w:after="720"/>
        <w:jc w:val="both"/>
        <w:rPr>
          <w:smallCaps/>
          <w:lang w:val="fr-CA"/>
        </w:rPr>
      </w:pPr>
      <w:r w:rsidRPr="002C7BFC">
        <w:rPr>
          <w:smallCaps/>
          <w:lang w:val="fr-CA"/>
        </w:rPr>
        <w:t>en appel de la c</w:t>
      </w:r>
      <w:r w:rsidR="00FC2BE3" w:rsidRPr="002C7BFC">
        <w:rPr>
          <w:smallCaps/>
          <w:lang w:val="fr-CA"/>
        </w:rPr>
        <w:t xml:space="preserve">our d’appel du </w:t>
      </w:r>
      <w:proofErr w:type="spellStart"/>
      <w:r w:rsidR="00FC2BE3" w:rsidRPr="002C7BFC">
        <w:rPr>
          <w:smallCaps/>
          <w:lang w:val="fr-CA"/>
        </w:rPr>
        <w:t>québec</w:t>
      </w:r>
      <w:proofErr w:type="spellEnd"/>
    </w:p>
    <w:p w:rsidR="002C7BFC" w:rsidRPr="002C7BFC" w:rsidRDefault="004D7D95" w:rsidP="00470A48">
      <w:pPr>
        <w:pStyle w:val="SCCNormalDoubleSpacing"/>
        <w:widowControl w:val="0"/>
        <w:spacing w:after="480"/>
        <w:rPr>
          <w:i/>
          <w:lang w:val="fr-CA"/>
        </w:rPr>
      </w:pPr>
      <w:r w:rsidRPr="002C7BFC">
        <w:rPr>
          <w:lang w:val="fr-CA"/>
        </w:rPr>
        <w:tab/>
      </w:r>
      <w:r w:rsidR="002C7BFC" w:rsidRPr="002C7BFC">
        <w:rPr>
          <w:i/>
          <w:lang w:val="fr-CA"/>
        </w:rPr>
        <w:t>Protection du consommateur — Contrats de crédit — Contrats de crédit variable — Cartes de crédit — Obligation d’indiquer les frais applicables dans un contrat — Réparation appropriée en cas de manquement à cette obligation — Prescription — Dommages</w:t>
      </w:r>
      <w:r w:rsidR="00470A48">
        <w:rPr>
          <w:i/>
          <w:lang w:val="fr-CA"/>
        </w:rPr>
        <w:t>-</w:t>
      </w:r>
      <w:r w:rsidR="002C7BFC" w:rsidRPr="002C7BFC">
        <w:rPr>
          <w:i/>
          <w:lang w:val="fr-CA"/>
        </w:rPr>
        <w:t xml:space="preserve">intérêts punitifs — </w:t>
      </w:r>
      <w:r w:rsidR="004E1945" w:rsidRPr="005D0B39">
        <w:rPr>
          <w:i/>
          <w:iCs/>
          <w:lang w:val="fr-CA"/>
        </w:rPr>
        <w:t>Frais de conversion sur les opérations en devises étrangères imposés par des institutions financières aux titulaires de cartes de crédit</w:t>
      </w:r>
      <w:r w:rsidR="004E1945" w:rsidRPr="002C7BFC">
        <w:rPr>
          <w:i/>
          <w:lang w:val="fr-CA"/>
        </w:rPr>
        <w:t xml:space="preserve"> </w:t>
      </w:r>
      <w:r w:rsidR="002C7BFC" w:rsidRPr="002C7BFC">
        <w:rPr>
          <w:i/>
          <w:lang w:val="fr-CA"/>
        </w:rPr>
        <w:t>— Recours collectifs —</w:t>
      </w:r>
      <w:r w:rsidR="004E1945">
        <w:rPr>
          <w:i/>
          <w:lang w:val="fr-CA"/>
        </w:rPr>
        <w:t xml:space="preserve"> </w:t>
      </w:r>
      <w:r w:rsidR="004E1945" w:rsidRPr="005D0B39">
        <w:rPr>
          <w:i/>
          <w:iCs/>
          <w:lang w:val="fr-CA"/>
        </w:rPr>
        <w:t>Les frais de conversion imposés constituent</w:t>
      </w:r>
      <w:r w:rsidR="00470A48">
        <w:rPr>
          <w:i/>
          <w:iCs/>
          <w:lang w:val="fr-CA"/>
        </w:rPr>
        <w:t>-</w:t>
      </w:r>
      <w:r w:rsidR="004E1945" w:rsidRPr="005D0B39">
        <w:rPr>
          <w:i/>
          <w:iCs/>
          <w:lang w:val="fr-CA"/>
        </w:rPr>
        <w:t xml:space="preserve">ils des </w:t>
      </w:r>
      <w:r w:rsidR="00470A48">
        <w:rPr>
          <w:i/>
          <w:iCs/>
          <w:lang w:val="fr-CA"/>
        </w:rPr>
        <w:lastRenderedPageBreak/>
        <w:t>« </w:t>
      </w:r>
      <w:r w:rsidR="004E1945" w:rsidRPr="005D0B39">
        <w:rPr>
          <w:i/>
          <w:iCs/>
          <w:lang w:val="fr-CA"/>
        </w:rPr>
        <w:t>frais de crédit</w:t>
      </w:r>
      <w:r w:rsidR="00470A48">
        <w:rPr>
          <w:i/>
          <w:iCs/>
          <w:lang w:val="fr-CA"/>
        </w:rPr>
        <w:t> »</w:t>
      </w:r>
      <w:r w:rsidR="004E1945" w:rsidRPr="005D0B39">
        <w:rPr>
          <w:i/>
          <w:iCs/>
          <w:lang w:val="fr-CA"/>
        </w:rPr>
        <w:t xml:space="preserve"> ou du </w:t>
      </w:r>
      <w:r w:rsidR="00470A48">
        <w:rPr>
          <w:i/>
          <w:iCs/>
          <w:lang w:val="fr-CA"/>
        </w:rPr>
        <w:t>« </w:t>
      </w:r>
      <w:r w:rsidR="004E1945" w:rsidRPr="005D0B39">
        <w:rPr>
          <w:i/>
          <w:iCs/>
          <w:lang w:val="fr-CA"/>
        </w:rPr>
        <w:t>capital net</w:t>
      </w:r>
      <w:r w:rsidR="00470A48">
        <w:rPr>
          <w:i/>
          <w:iCs/>
          <w:lang w:val="fr-CA"/>
        </w:rPr>
        <w:t> »</w:t>
      </w:r>
      <w:r w:rsidR="004E1945" w:rsidRPr="005D0B39">
        <w:rPr>
          <w:i/>
          <w:iCs/>
          <w:lang w:val="fr-CA"/>
        </w:rPr>
        <w:t xml:space="preserve"> au sens de la loi?</w:t>
      </w:r>
      <w:r w:rsidR="004E1945">
        <w:rPr>
          <w:i/>
          <w:iCs/>
          <w:lang w:val="fr-CA"/>
        </w:rPr>
        <w:t xml:space="preserve"> </w:t>
      </w:r>
      <w:r w:rsidR="002C7BFC" w:rsidRPr="002C7BFC">
        <w:rPr>
          <w:i/>
          <w:lang w:val="fr-CA"/>
        </w:rPr>
        <w:t>— Desjardins a</w:t>
      </w:r>
      <w:r w:rsidR="00470A48">
        <w:rPr>
          <w:i/>
          <w:lang w:val="fr-CA"/>
        </w:rPr>
        <w:t>-</w:t>
      </w:r>
      <w:r w:rsidR="002C7BFC" w:rsidRPr="002C7BFC">
        <w:rPr>
          <w:i/>
          <w:lang w:val="fr-CA"/>
        </w:rPr>
        <w:t>t</w:t>
      </w:r>
      <w:r w:rsidR="00470A48">
        <w:rPr>
          <w:i/>
          <w:lang w:val="fr-CA"/>
        </w:rPr>
        <w:t>-</w:t>
      </w:r>
      <w:r w:rsidR="002C7BFC" w:rsidRPr="002C7BFC">
        <w:rPr>
          <w:i/>
          <w:lang w:val="fr-CA"/>
        </w:rPr>
        <w:t xml:space="preserve">elle indiqué </w:t>
      </w:r>
      <w:r w:rsidR="004F1BE0">
        <w:rPr>
          <w:i/>
          <w:lang w:val="fr-CA"/>
        </w:rPr>
        <w:t xml:space="preserve">adéquatement </w:t>
      </w:r>
      <w:r w:rsidR="002C7BFC" w:rsidRPr="002C7BFC">
        <w:rPr>
          <w:i/>
          <w:lang w:val="fr-CA"/>
        </w:rPr>
        <w:t>les frais de conversion aux titulaires de cartes? — Le remboursement des frais de conversion perçus des membres du groupe qui sont des consommateurs doit</w:t>
      </w:r>
      <w:r w:rsidR="00470A48">
        <w:rPr>
          <w:i/>
          <w:lang w:val="fr-CA"/>
        </w:rPr>
        <w:t>-</w:t>
      </w:r>
      <w:r w:rsidR="002C7BFC" w:rsidRPr="002C7BFC">
        <w:rPr>
          <w:i/>
          <w:lang w:val="fr-CA"/>
        </w:rPr>
        <w:t>il être ordonné? — Les membres du groupe ont</w:t>
      </w:r>
      <w:r w:rsidR="00470A48">
        <w:rPr>
          <w:i/>
          <w:lang w:val="fr-CA"/>
        </w:rPr>
        <w:t>-</w:t>
      </w:r>
      <w:r w:rsidR="002C7BFC" w:rsidRPr="002C7BFC">
        <w:rPr>
          <w:i/>
          <w:lang w:val="fr-CA"/>
        </w:rPr>
        <w:t>ils droit d’obtenir des dommages</w:t>
      </w:r>
      <w:r w:rsidR="00470A48">
        <w:rPr>
          <w:i/>
          <w:lang w:val="fr-CA"/>
        </w:rPr>
        <w:t>-</w:t>
      </w:r>
      <w:r w:rsidR="002C7BFC" w:rsidRPr="002C7BFC">
        <w:rPr>
          <w:i/>
          <w:lang w:val="fr-CA"/>
        </w:rPr>
        <w:t xml:space="preserve">intérêts punitifs? — Loi sur la protection du consommateur, RLRQ, </w:t>
      </w:r>
      <w:r w:rsidR="003A7610">
        <w:rPr>
          <w:i/>
          <w:lang w:val="fr-CA"/>
        </w:rPr>
        <w:t>ch.</w:t>
      </w:r>
      <w:r w:rsidR="00470A48">
        <w:rPr>
          <w:i/>
          <w:lang w:val="fr-CA"/>
        </w:rPr>
        <w:t xml:space="preserve"> </w:t>
      </w:r>
      <w:r w:rsidR="002C7BFC" w:rsidRPr="002C7BFC">
        <w:rPr>
          <w:i/>
          <w:lang w:val="fr-CA"/>
        </w:rPr>
        <w:t>P</w:t>
      </w:r>
      <w:r w:rsidR="00470A48">
        <w:rPr>
          <w:i/>
          <w:lang w:val="fr-CA"/>
        </w:rPr>
        <w:t>-</w:t>
      </w:r>
      <w:r w:rsidR="002C7BFC" w:rsidRPr="002C7BFC">
        <w:rPr>
          <w:i/>
          <w:lang w:val="fr-CA"/>
        </w:rPr>
        <w:t xml:space="preserve">40.1, </w:t>
      </w:r>
      <w:r w:rsidR="003A7610">
        <w:rPr>
          <w:i/>
          <w:lang w:val="fr-CA"/>
        </w:rPr>
        <w:t>art.</w:t>
      </w:r>
      <w:r w:rsidR="00470A48">
        <w:rPr>
          <w:i/>
          <w:lang w:val="fr-CA"/>
        </w:rPr>
        <w:t xml:space="preserve"> </w:t>
      </w:r>
      <w:r w:rsidR="002C7BFC" w:rsidRPr="002C7BFC">
        <w:rPr>
          <w:i/>
          <w:lang w:val="fr-CA"/>
        </w:rPr>
        <w:t>12, 272.</w:t>
      </w:r>
    </w:p>
    <w:p w:rsidR="002C7BFC" w:rsidRPr="002C7BFC" w:rsidRDefault="002C7BFC" w:rsidP="00470A48">
      <w:pPr>
        <w:pStyle w:val="SCCNormalDoubleSpacing"/>
        <w:widowControl w:val="0"/>
        <w:spacing w:after="480"/>
        <w:rPr>
          <w:i/>
          <w:lang w:val="fr-CA"/>
        </w:rPr>
      </w:pPr>
      <w:r w:rsidRPr="002C7BFC">
        <w:rPr>
          <w:i/>
          <w:lang w:val="fr-CA"/>
        </w:rPr>
        <w:tab/>
      </w:r>
      <w:r>
        <w:rPr>
          <w:i/>
          <w:lang w:val="fr-CA"/>
        </w:rPr>
        <w:t>Droit constitutionnel</w:t>
      </w:r>
      <w:r w:rsidRPr="002C7BFC">
        <w:rPr>
          <w:i/>
          <w:lang w:val="fr-CA"/>
        </w:rPr>
        <w:t xml:space="preserve"> — </w:t>
      </w:r>
      <w:r>
        <w:rPr>
          <w:i/>
          <w:lang w:val="fr-CA"/>
        </w:rPr>
        <w:t xml:space="preserve">Partage des </w:t>
      </w:r>
      <w:r w:rsidR="00987FBF">
        <w:rPr>
          <w:i/>
          <w:lang w:val="fr-CA"/>
        </w:rPr>
        <w:t xml:space="preserve">compétences </w:t>
      </w:r>
      <w:r w:rsidRPr="002C7BFC">
        <w:rPr>
          <w:i/>
          <w:lang w:val="fr-CA"/>
        </w:rPr>
        <w:t xml:space="preserve">— </w:t>
      </w:r>
      <w:r>
        <w:rPr>
          <w:i/>
          <w:lang w:val="fr-CA"/>
        </w:rPr>
        <w:t>Lettres de change</w:t>
      </w:r>
      <w:r w:rsidRPr="002C7BFC">
        <w:rPr>
          <w:i/>
          <w:lang w:val="fr-CA"/>
        </w:rPr>
        <w:t xml:space="preserve"> — </w:t>
      </w:r>
      <w:r w:rsidR="00987FBF">
        <w:rPr>
          <w:i/>
          <w:lang w:val="fr-CA"/>
        </w:rPr>
        <w:t>Doctrine de l’e</w:t>
      </w:r>
      <w:r w:rsidRPr="002C7BFC">
        <w:rPr>
          <w:i/>
          <w:lang w:val="fr-CA"/>
        </w:rPr>
        <w:t xml:space="preserve">xclusivité des compétences — Prépondérance fédérale — </w:t>
      </w:r>
      <w:r w:rsidR="002E258B">
        <w:rPr>
          <w:i/>
          <w:lang w:val="fr-CA"/>
        </w:rPr>
        <w:t xml:space="preserve">Loi québécoise sur la </w:t>
      </w:r>
      <w:r w:rsidR="002E258B" w:rsidRPr="002C7BFC">
        <w:rPr>
          <w:i/>
          <w:lang w:val="fr-CA"/>
        </w:rPr>
        <w:t xml:space="preserve">protection du consommateur </w:t>
      </w:r>
      <w:r w:rsidR="002E258B">
        <w:rPr>
          <w:i/>
          <w:lang w:val="fr-CA"/>
        </w:rPr>
        <w:t xml:space="preserve">régissant les </w:t>
      </w:r>
      <w:r w:rsidRPr="002C7BFC">
        <w:rPr>
          <w:i/>
          <w:lang w:val="fr-CA"/>
        </w:rPr>
        <w:t>contrats de cartes de crédit</w:t>
      </w:r>
      <w:r w:rsidR="002E258B">
        <w:rPr>
          <w:i/>
          <w:lang w:val="fr-CA"/>
        </w:rPr>
        <w:t xml:space="preserve"> </w:t>
      </w:r>
      <w:r w:rsidRPr="002C7BFC">
        <w:rPr>
          <w:i/>
          <w:lang w:val="fr-CA"/>
        </w:rPr>
        <w:t>— Le paiement d’un bien ou d’un service en devises étrangères au moyen d’une carte de crédit est</w:t>
      </w:r>
      <w:r w:rsidR="00470A48">
        <w:rPr>
          <w:i/>
          <w:lang w:val="fr-CA"/>
        </w:rPr>
        <w:t>-</w:t>
      </w:r>
      <w:r w:rsidRPr="002C7BFC">
        <w:rPr>
          <w:i/>
          <w:lang w:val="fr-CA"/>
        </w:rPr>
        <w:t xml:space="preserve">il de même nature sur le plan juridique que celui fait au moyen d’une lettre de change, une matière qui relève de la compétence exclusive du Parlement, de sorte que les doctrines de l’exclusivité des compétences et de la prépondérance fédérale </w:t>
      </w:r>
      <w:r>
        <w:rPr>
          <w:i/>
          <w:lang w:val="fr-CA"/>
        </w:rPr>
        <w:t>pourrai</w:t>
      </w:r>
      <w:r w:rsidR="00987FBF">
        <w:rPr>
          <w:i/>
          <w:lang w:val="fr-CA"/>
        </w:rPr>
        <w:t>en</w:t>
      </w:r>
      <w:r>
        <w:rPr>
          <w:i/>
          <w:lang w:val="fr-CA"/>
        </w:rPr>
        <w:t xml:space="preserve">t </w:t>
      </w:r>
      <w:r w:rsidRPr="002C7BFC">
        <w:rPr>
          <w:i/>
          <w:lang w:val="fr-CA"/>
        </w:rPr>
        <w:t xml:space="preserve">s’appliquer? — Loi constitutionnelle de 1867, </w:t>
      </w:r>
      <w:r w:rsidR="003A7610">
        <w:rPr>
          <w:i/>
          <w:lang w:val="fr-CA"/>
        </w:rPr>
        <w:t>art.</w:t>
      </w:r>
      <w:r w:rsidR="00470A48">
        <w:rPr>
          <w:i/>
          <w:lang w:val="fr-CA"/>
        </w:rPr>
        <w:t xml:space="preserve"> </w:t>
      </w:r>
      <w:r w:rsidRPr="002C7BFC">
        <w:rPr>
          <w:i/>
          <w:lang w:val="fr-CA"/>
        </w:rPr>
        <w:t>91(18)</w:t>
      </w:r>
      <w:r w:rsidR="00E96B50">
        <w:rPr>
          <w:i/>
          <w:lang w:val="fr-CA"/>
        </w:rPr>
        <w:t xml:space="preserve"> —</w:t>
      </w:r>
      <w:r w:rsidRPr="002C7BFC">
        <w:rPr>
          <w:i/>
          <w:lang w:val="fr-CA"/>
        </w:rPr>
        <w:t xml:space="preserve"> Loi sur la protection du consommateur, RLRQ, </w:t>
      </w:r>
      <w:r w:rsidR="003A7610">
        <w:rPr>
          <w:i/>
          <w:lang w:val="fr-CA"/>
        </w:rPr>
        <w:t>ch.</w:t>
      </w:r>
      <w:r w:rsidR="00470A48">
        <w:rPr>
          <w:i/>
          <w:lang w:val="fr-CA"/>
        </w:rPr>
        <w:t xml:space="preserve"> </w:t>
      </w:r>
      <w:r w:rsidRPr="002C7BFC">
        <w:rPr>
          <w:i/>
          <w:lang w:val="fr-CA"/>
        </w:rPr>
        <w:t>P</w:t>
      </w:r>
      <w:r w:rsidR="00470A48">
        <w:rPr>
          <w:i/>
          <w:lang w:val="fr-CA"/>
        </w:rPr>
        <w:t>-</w:t>
      </w:r>
      <w:r w:rsidRPr="002C7BFC">
        <w:rPr>
          <w:i/>
          <w:lang w:val="fr-CA"/>
        </w:rPr>
        <w:t>40.1.</w:t>
      </w:r>
    </w:p>
    <w:p w:rsidR="002C7BFC" w:rsidRPr="002C7BFC" w:rsidRDefault="002C7BFC" w:rsidP="00470A48">
      <w:pPr>
        <w:pStyle w:val="SCCNormalDoubleSpacing"/>
        <w:widowControl w:val="0"/>
        <w:spacing w:after="480"/>
        <w:rPr>
          <w:lang w:val="fr-CA"/>
        </w:rPr>
      </w:pPr>
      <w:r w:rsidRPr="002C7BFC">
        <w:rPr>
          <w:lang w:val="fr-CA"/>
        </w:rPr>
        <w:tab/>
        <w:t>Les cartes de crédit de Desjardins permettent à leurs titulaires de faire des achats en devises étrangères. Des frais de conversion s’appliquent à ces opérations, c’est</w:t>
      </w:r>
      <w:r w:rsidR="00470A48">
        <w:rPr>
          <w:lang w:val="fr-CA"/>
        </w:rPr>
        <w:t>-</w:t>
      </w:r>
      <w:r w:rsidRPr="002C7BFC">
        <w:rPr>
          <w:lang w:val="fr-CA"/>
        </w:rPr>
        <w:t>à</w:t>
      </w:r>
      <w:r w:rsidR="00470A48">
        <w:rPr>
          <w:lang w:val="fr-CA"/>
        </w:rPr>
        <w:t>-</w:t>
      </w:r>
      <w:r w:rsidRPr="002C7BFC">
        <w:rPr>
          <w:lang w:val="fr-CA"/>
        </w:rPr>
        <w:t xml:space="preserve">dire qu’un pourcentage de la somme convertie est exigé pour ce service de conversion. La </w:t>
      </w:r>
      <w:r w:rsidRPr="002C7BFC">
        <w:rPr>
          <w:i/>
          <w:lang w:val="fr-CA"/>
        </w:rPr>
        <w:t xml:space="preserve">Loi sur la protection du consommateur </w:t>
      </w:r>
      <w:r w:rsidRPr="002C7BFC">
        <w:rPr>
          <w:lang w:val="fr-CA"/>
        </w:rPr>
        <w:t>du Québec (</w:t>
      </w:r>
      <w:r w:rsidR="00470A48">
        <w:rPr>
          <w:lang w:val="fr-CA"/>
        </w:rPr>
        <w:t>« </w:t>
      </w:r>
      <w:proofErr w:type="spellStart"/>
      <w:r w:rsidRPr="002C7BFC">
        <w:rPr>
          <w:i/>
          <w:lang w:val="fr-CA"/>
        </w:rPr>
        <w:t>L.p.c</w:t>
      </w:r>
      <w:proofErr w:type="spellEnd"/>
      <w:r w:rsidRPr="002C7BFC">
        <w:rPr>
          <w:i/>
          <w:lang w:val="fr-CA"/>
        </w:rPr>
        <w:t>.</w:t>
      </w:r>
      <w:r w:rsidR="00470A48" w:rsidRPr="00470A48">
        <w:rPr>
          <w:lang w:val="fr-CA"/>
        </w:rPr>
        <w:t> »</w:t>
      </w:r>
      <w:r w:rsidRPr="00470A48">
        <w:rPr>
          <w:lang w:val="fr-CA"/>
        </w:rPr>
        <w:t>)</w:t>
      </w:r>
      <w:r w:rsidRPr="002C7BFC">
        <w:rPr>
          <w:lang w:val="fr-CA"/>
        </w:rPr>
        <w:t xml:space="preserve"> impose différentes règles sur la teneur et la mention des frais et droits dans les contrats de crédit variable. Pendant la période pertinente, les frais de conversion étaient indiqués </w:t>
      </w:r>
      <w:r w:rsidRPr="002C7BFC">
        <w:rPr>
          <w:lang w:val="fr-CA"/>
        </w:rPr>
        <w:lastRenderedPageBreak/>
        <w:t xml:space="preserve">par Desjardins au verso des relevés mensuels envoyés aux titulaires des cartes de crédit. M, le représentant du groupe, a entrepris un recours collectif contre Desjardins en remboursement des frais de conversion imposés par Desjardins sur les achats par carte de crédit en devises étrangères au motif que ces frais de conversion contrevenaient aux dispositions de la </w:t>
      </w:r>
      <w:proofErr w:type="spellStart"/>
      <w:r w:rsidRPr="002C7BFC">
        <w:rPr>
          <w:i/>
          <w:lang w:val="fr-CA"/>
        </w:rPr>
        <w:t>L.p.c</w:t>
      </w:r>
      <w:proofErr w:type="spellEnd"/>
      <w:r w:rsidRPr="002C7BFC">
        <w:rPr>
          <w:lang w:val="fr-CA"/>
        </w:rPr>
        <w:t xml:space="preserve">. Desjardins soutient que la </w:t>
      </w:r>
      <w:proofErr w:type="spellStart"/>
      <w:r w:rsidRPr="002C7BFC">
        <w:rPr>
          <w:i/>
          <w:lang w:val="fr-CA"/>
        </w:rPr>
        <w:t>L.p.c</w:t>
      </w:r>
      <w:proofErr w:type="spellEnd"/>
      <w:r w:rsidRPr="002C7BFC">
        <w:rPr>
          <w:i/>
          <w:lang w:val="fr-CA"/>
        </w:rPr>
        <w:t>.</w:t>
      </w:r>
      <w:r w:rsidRPr="002C7BFC">
        <w:rPr>
          <w:lang w:val="fr-CA"/>
        </w:rPr>
        <w:t xml:space="preserve"> ne s’applique pas à elle en raison de la </w:t>
      </w:r>
      <w:r w:rsidRPr="002C7BFC">
        <w:rPr>
          <w:i/>
          <w:lang w:val="fr-CA"/>
        </w:rPr>
        <w:t>Loi constitutionnelle de 1867</w:t>
      </w:r>
      <w:r w:rsidRPr="002C7BFC">
        <w:rPr>
          <w:lang w:val="fr-CA"/>
        </w:rPr>
        <w:t xml:space="preserve"> et qu’elle n’est pas tenue au remboursement des frais de conversion. La Cour supérieure a </w:t>
      </w:r>
      <w:r w:rsidR="008C7DA8">
        <w:rPr>
          <w:lang w:val="fr-CA"/>
        </w:rPr>
        <w:t xml:space="preserve">accueilli </w:t>
      </w:r>
      <w:r w:rsidRPr="002C7BFC">
        <w:rPr>
          <w:lang w:val="fr-CA"/>
        </w:rPr>
        <w:t>le recours collectif et a condamné Desjardins à rembourser les frais de conversion imposés pendant la période visée par le recours collectif à l’égard des demandes qui n’étaient pas prescrites. La Cour d’appel a accueilli l’appel et infirmé l’ordonnance prononcée à l’encontre de Desjardins.</w:t>
      </w:r>
    </w:p>
    <w:p w:rsidR="002C7BFC" w:rsidRPr="002C7BFC" w:rsidRDefault="002C7BFC" w:rsidP="00470A48">
      <w:pPr>
        <w:pStyle w:val="SCCNormalDoubleSpacing"/>
        <w:widowControl w:val="0"/>
        <w:spacing w:after="480"/>
        <w:rPr>
          <w:lang w:val="fr-CA"/>
        </w:rPr>
      </w:pPr>
      <w:r w:rsidRPr="002C7BFC">
        <w:rPr>
          <w:lang w:val="fr-CA"/>
        </w:rPr>
        <w:tab/>
      </w:r>
      <w:r w:rsidRPr="002C7BFC">
        <w:rPr>
          <w:i/>
          <w:lang w:val="fr-CA"/>
        </w:rPr>
        <w:t>Arrêt</w:t>
      </w:r>
      <w:r w:rsidR="00470A48">
        <w:rPr>
          <w:lang w:val="fr-CA"/>
        </w:rPr>
        <w:t> :</w:t>
      </w:r>
      <w:r w:rsidRPr="002C7BFC">
        <w:rPr>
          <w:lang w:val="fr-CA"/>
        </w:rPr>
        <w:t xml:space="preserve"> Le pourvoi est accueilli en partie.</w:t>
      </w:r>
    </w:p>
    <w:p w:rsidR="002C7BFC" w:rsidRPr="002C7BFC" w:rsidRDefault="002C7BFC" w:rsidP="00470A48">
      <w:pPr>
        <w:pStyle w:val="SCCNormalDoubleSpacing"/>
        <w:widowControl w:val="0"/>
        <w:spacing w:after="480"/>
        <w:rPr>
          <w:lang w:val="fr-CA"/>
        </w:rPr>
      </w:pPr>
      <w:r w:rsidRPr="002C7BFC">
        <w:rPr>
          <w:lang w:val="fr-CA"/>
        </w:rPr>
        <w:tab/>
        <w:t xml:space="preserve">Le paiement par carte de crédit ne relève pas de la compétence fédérale exclusive en matière de lettres de change. Ainsi, l’application de la </w:t>
      </w:r>
      <w:proofErr w:type="spellStart"/>
      <w:r w:rsidRPr="002C7BFC">
        <w:rPr>
          <w:i/>
          <w:lang w:val="fr-CA"/>
        </w:rPr>
        <w:t>L.p.c</w:t>
      </w:r>
      <w:proofErr w:type="spellEnd"/>
      <w:r w:rsidRPr="002C7BFC">
        <w:rPr>
          <w:i/>
          <w:lang w:val="fr-CA"/>
        </w:rPr>
        <w:t>.</w:t>
      </w:r>
      <w:r w:rsidRPr="002C7BFC">
        <w:rPr>
          <w:lang w:val="fr-CA"/>
        </w:rPr>
        <w:t xml:space="preserve"> aux cartes de crédit émises par Desjardins respecte le partage des compétences, et ni la doctrine de l’exclusivité des compétences ni celle de la prépondérance fédérale ne s’appliquent. Le terme </w:t>
      </w:r>
      <w:r w:rsidR="00470A48">
        <w:rPr>
          <w:lang w:val="fr-CA"/>
        </w:rPr>
        <w:t>« </w:t>
      </w:r>
      <w:r w:rsidRPr="002C7BFC">
        <w:rPr>
          <w:lang w:val="fr-CA"/>
        </w:rPr>
        <w:t>lettres de change</w:t>
      </w:r>
      <w:r w:rsidR="00470A48">
        <w:rPr>
          <w:lang w:val="fr-CA"/>
        </w:rPr>
        <w:t> »</w:t>
      </w:r>
      <w:r w:rsidRPr="002C7BFC">
        <w:rPr>
          <w:lang w:val="fr-CA"/>
        </w:rPr>
        <w:t xml:space="preserve"> est un terme consacré autour duquel s’articule tout un régime législatif. Si les effets d’un paiement par carte de crédit peuvent parfois être identiques à ceux d’un paiement par lettre de change, les limites naturelles du texte du </w:t>
      </w:r>
      <w:r w:rsidR="003A7610">
        <w:rPr>
          <w:lang w:val="fr-CA"/>
        </w:rPr>
        <w:t>par.</w:t>
      </w:r>
      <w:r w:rsidR="00470A48">
        <w:rPr>
          <w:lang w:val="fr-CA"/>
        </w:rPr>
        <w:t xml:space="preserve"> </w:t>
      </w:r>
      <w:r w:rsidRPr="002C7BFC">
        <w:rPr>
          <w:lang w:val="fr-CA"/>
        </w:rPr>
        <w:t xml:space="preserve">91(18) de la </w:t>
      </w:r>
      <w:r w:rsidRPr="002C7BFC">
        <w:rPr>
          <w:i/>
          <w:lang w:val="fr-CA"/>
        </w:rPr>
        <w:t xml:space="preserve">Loi constitutionnelle de 1867 </w:t>
      </w:r>
      <w:r w:rsidRPr="002C7BFC">
        <w:rPr>
          <w:lang w:val="fr-CA"/>
        </w:rPr>
        <w:t>empêchent une nouvelle interprétation de la disposition qui engloberait les cartes de crédit.</w:t>
      </w:r>
    </w:p>
    <w:p w:rsidR="002C7BFC" w:rsidRPr="002C7BFC" w:rsidRDefault="002C7BFC" w:rsidP="00470A48">
      <w:pPr>
        <w:pStyle w:val="SCCNormalDoubleSpacing"/>
        <w:widowControl w:val="0"/>
        <w:spacing w:after="480"/>
        <w:rPr>
          <w:lang w:val="fr-CA"/>
        </w:rPr>
      </w:pPr>
      <w:r w:rsidRPr="002C7BFC">
        <w:rPr>
          <w:lang w:val="fr-CA"/>
        </w:rPr>
        <w:lastRenderedPageBreak/>
        <w:tab/>
      </w:r>
      <w:r w:rsidR="009A7117" w:rsidRPr="009A7117">
        <w:rPr>
          <w:lang w:val="fr-CA"/>
        </w:rPr>
        <w:t xml:space="preserve">Pour les motifs exprimés dans l’arrêt </w:t>
      </w:r>
      <w:r w:rsidR="009A7117">
        <w:rPr>
          <w:lang w:val="fr-CA"/>
        </w:rPr>
        <w:t xml:space="preserve">connexe </w:t>
      </w:r>
      <w:r w:rsidR="009A7117" w:rsidRPr="00D52218">
        <w:rPr>
          <w:i/>
          <w:lang w:val="fr-CA"/>
        </w:rPr>
        <w:t>Banque de Montréal c. Marcotte</w:t>
      </w:r>
      <w:r w:rsidR="009A7117">
        <w:rPr>
          <w:lang w:val="fr-CA"/>
        </w:rPr>
        <w:t xml:space="preserve">, 2014 CSC 55, </w:t>
      </w:r>
      <w:r w:rsidR="005A5713">
        <w:rPr>
          <w:lang w:val="fr-CA"/>
        </w:rPr>
        <w:t xml:space="preserve">[2014] 2 R.C.S. 726, </w:t>
      </w:r>
      <w:r w:rsidR="009A7117" w:rsidRPr="009A7117">
        <w:rPr>
          <w:lang w:val="fr-CA"/>
        </w:rPr>
        <w:t xml:space="preserve">les frais de conversion appartiennent au capital net au sens de la </w:t>
      </w:r>
      <w:proofErr w:type="spellStart"/>
      <w:r w:rsidR="009A7117" w:rsidRPr="009A7117">
        <w:rPr>
          <w:i/>
          <w:lang w:val="fr-CA"/>
        </w:rPr>
        <w:t>L.p.c</w:t>
      </w:r>
      <w:proofErr w:type="spellEnd"/>
      <w:r w:rsidR="009A7117" w:rsidRPr="009A7117">
        <w:rPr>
          <w:lang w:val="fr-CA"/>
        </w:rPr>
        <w:t>.</w:t>
      </w:r>
      <w:r w:rsidRPr="002C7BFC">
        <w:rPr>
          <w:rFonts w:cs="Arial"/>
          <w:lang w:val="fr-CA"/>
        </w:rPr>
        <w:t xml:space="preserve"> </w:t>
      </w:r>
      <w:r w:rsidRPr="002C7BFC">
        <w:rPr>
          <w:lang w:val="fr-CA"/>
        </w:rPr>
        <w:t>Desjardins a contrevenu à l’</w:t>
      </w:r>
      <w:r w:rsidR="003A7610">
        <w:rPr>
          <w:lang w:val="fr-CA"/>
        </w:rPr>
        <w:t>art.</w:t>
      </w:r>
      <w:r w:rsidR="00470A48">
        <w:rPr>
          <w:lang w:val="fr-CA"/>
        </w:rPr>
        <w:t xml:space="preserve"> </w:t>
      </w:r>
      <w:r w:rsidRPr="002C7BFC">
        <w:rPr>
          <w:lang w:val="fr-CA"/>
        </w:rPr>
        <w:t xml:space="preserve">12 </w:t>
      </w:r>
      <w:proofErr w:type="spellStart"/>
      <w:r w:rsidRPr="002C7BFC">
        <w:rPr>
          <w:i/>
          <w:lang w:val="fr-CA"/>
        </w:rPr>
        <w:t>L.p.c</w:t>
      </w:r>
      <w:proofErr w:type="spellEnd"/>
      <w:r w:rsidRPr="002C7BFC">
        <w:rPr>
          <w:i/>
          <w:lang w:val="fr-CA"/>
        </w:rPr>
        <w:t>.</w:t>
      </w:r>
      <w:r w:rsidRPr="002C7BFC">
        <w:rPr>
          <w:lang w:val="fr-CA"/>
        </w:rPr>
        <w:t xml:space="preserve"> en imposant des frais sans les </w:t>
      </w:r>
      <w:r w:rsidRPr="00D52218">
        <w:rPr>
          <w:lang w:val="fr-CA"/>
        </w:rPr>
        <w:t>indiquer</w:t>
      </w:r>
      <w:r w:rsidRPr="002C7BFC">
        <w:rPr>
          <w:lang w:val="fr-CA"/>
        </w:rPr>
        <w:t xml:space="preserve"> dans la convention régissant l’utilisation de la carte. La mention des frais de conversion au </w:t>
      </w:r>
      <w:r w:rsidRPr="00D52218">
        <w:rPr>
          <w:lang w:val="fr-CA"/>
        </w:rPr>
        <w:t>verso</w:t>
      </w:r>
      <w:r w:rsidRPr="002C7BFC">
        <w:rPr>
          <w:lang w:val="fr-CA"/>
        </w:rPr>
        <w:t xml:space="preserve"> du relevé mensuel constitue une clause externe de l’entente régissant l’utilisation de la carte au sens où il faut l’entendre pour l’application du </w:t>
      </w:r>
      <w:r w:rsidRPr="002C7BFC">
        <w:rPr>
          <w:i/>
          <w:lang w:val="fr-CA"/>
        </w:rPr>
        <w:t>C</w:t>
      </w:r>
      <w:r w:rsidR="00567FE2">
        <w:rPr>
          <w:i/>
          <w:lang w:val="fr-CA"/>
        </w:rPr>
        <w:t>ode civil du Québec</w:t>
      </w:r>
      <w:r w:rsidRPr="002C7BFC">
        <w:rPr>
          <w:i/>
          <w:lang w:val="fr-CA"/>
        </w:rPr>
        <w:t>.</w:t>
      </w:r>
      <w:r w:rsidRPr="002C7BFC">
        <w:rPr>
          <w:lang w:val="fr-CA"/>
        </w:rPr>
        <w:t xml:space="preserve"> Cette clause n’a pas été expressément portée à la connaissance du consommateur au moment de la formation du contrat comme le veut l’</w:t>
      </w:r>
      <w:r w:rsidR="003A7610">
        <w:rPr>
          <w:lang w:val="fr-CA"/>
        </w:rPr>
        <w:t>art.</w:t>
      </w:r>
      <w:r w:rsidR="00470A48">
        <w:rPr>
          <w:lang w:val="fr-CA"/>
        </w:rPr>
        <w:t xml:space="preserve"> </w:t>
      </w:r>
      <w:r w:rsidRPr="002C7BFC">
        <w:rPr>
          <w:lang w:val="fr-CA"/>
        </w:rPr>
        <w:t xml:space="preserve">1435 </w:t>
      </w:r>
      <w:r w:rsidR="00B85679">
        <w:rPr>
          <w:lang w:val="fr-CA"/>
        </w:rPr>
        <w:t xml:space="preserve">du </w:t>
      </w:r>
      <w:r w:rsidR="00B85679">
        <w:rPr>
          <w:i/>
          <w:lang w:val="fr-CA"/>
        </w:rPr>
        <w:t>Code civil</w:t>
      </w:r>
      <w:r w:rsidRPr="002C7BFC">
        <w:rPr>
          <w:lang w:val="fr-CA"/>
        </w:rPr>
        <w:t>. Il est donc impossible que les consommateurs aient eu connaissance de la clause externe faisant état du taux de conversion au moment de la formation de la convention, étant donné que cette clause ne figurait qu’au premier relevé mensuel de carte de crédit</w:t>
      </w:r>
      <w:r w:rsidR="00470A48">
        <w:rPr>
          <w:lang w:val="fr-CA"/>
        </w:rPr>
        <w:t> :</w:t>
      </w:r>
      <w:r w:rsidRPr="002C7BFC">
        <w:rPr>
          <w:lang w:val="fr-CA"/>
        </w:rPr>
        <w:t xml:space="preserve"> ils ne pouvaient donc en prendre connaissance qu’après avoir utilisé la carte une première fois.</w:t>
      </w:r>
    </w:p>
    <w:p w:rsidR="002C7BFC" w:rsidRPr="002C7BFC" w:rsidRDefault="002C7BFC" w:rsidP="00470A48">
      <w:pPr>
        <w:pStyle w:val="SCCNormalDoubleSpacing"/>
        <w:widowControl w:val="0"/>
        <w:spacing w:after="480"/>
        <w:rPr>
          <w:lang w:val="fr-CA"/>
        </w:rPr>
      </w:pPr>
      <w:r w:rsidRPr="002C7BFC">
        <w:rPr>
          <w:lang w:val="fr-CA"/>
        </w:rPr>
        <w:tab/>
        <w:t>Il convient d’ordonner à Desjardins de rembourser les frais de conversion à titre de sanction pour avoir omis de les indiquer dans la convention régissant l’utilisation de la carte. Toutefois, comme ces frais étaient indiqué</w:t>
      </w:r>
      <w:r w:rsidR="008C7DA8">
        <w:rPr>
          <w:lang w:val="fr-CA"/>
        </w:rPr>
        <w:t>s</w:t>
      </w:r>
      <w:r w:rsidRPr="002C7BFC">
        <w:rPr>
          <w:lang w:val="fr-CA"/>
        </w:rPr>
        <w:t xml:space="preserve"> dans les relevés mensuels, la prescription n’a été suspendue dans le cas de chaque membre du groupe dans le recours contre Desjardins qu’entre le moment de la formation de son contrat et le moment où il a reçu son premier relevé mensuel. Le renouvellement de la carte n’a eu aucun effet sur la prescription, car aucun nouveau contrat n’est alors formé. Il y a une seule convention</w:t>
      </w:r>
      <w:r w:rsidR="00470A48">
        <w:rPr>
          <w:lang w:val="fr-CA"/>
        </w:rPr>
        <w:t>-</w:t>
      </w:r>
      <w:r w:rsidRPr="002C7BFC">
        <w:rPr>
          <w:lang w:val="fr-CA"/>
        </w:rPr>
        <w:t xml:space="preserve">cadre et elle entre en vigueur à la première utilisation de la carte de crédit. En conséquence, les demandes de certains membres du groupe sont </w:t>
      </w:r>
      <w:r w:rsidRPr="002C7BFC">
        <w:rPr>
          <w:lang w:val="fr-CA"/>
        </w:rPr>
        <w:lastRenderedPageBreak/>
        <w:t>prescrites. La preuve au dossier ne permet pas de déterminer le total des frais que Desjardins est tenue de rembourser aux membres du groupe dont les demandes ne sont pas prescrites. Les détails relatifs à la procédure de recouvrement seront réglés par la Cour supérieure.</w:t>
      </w:r>
    </w:p>
    <w:p w:rsidR="002C7BFC" w:rsidRPr="002C7BFC" w:rsidRDefault="002C7BFC" w:rsidP="00470A48">
      <w:pPr>
        <w:pStyle w:val="SCCNormalDoubleSpacing"/>
        <w:widowControl w:val="0"/>
        <w:spacing w:after="480"/>
        <w:rPr>
          <w:lang w:val="fr-CA"/>
        </w:rPr>
      </w:pPr>
      <w:r w:rsidRPr="002C7BFC">
        <w:rPr>
          <w:lang w:val="fr-CA"/>
        </w:rPr>
        <w:tab/>
        <w:t>Enfin, la conduite de Desjardins ne justifie pas l’octroi de dommages</w:t>
      </w:r>
      <w:r w:rsidR="00470A48">
        <w:rPr>
          <w:lang w:val="fr-CA"/>
        </w:rPr>
        <w:t>-</w:t>
      </w:r>
      <w:r w:rsidRPr="002C7BFC">
        <w:rPr>
          <w:lang w:val="fr-CA"/>
        </w:rPr>
        <w:t xml:space="preserve">intérêts punitifs. Desjardins a indiqué les frais de conversion dans les relevés mensuels des cartes de crédit. Bien que Desjardins </w:t>
      </w:r>
      <w:r w:rsidRPr="00567FE2">
        <w:rPr>
          <w:lang w:val="fr-CA"/>
        </w:rPr>
        <w:t>n’ait pas respecté les</w:t>
      </w:r>
      <w:r w:rsidRPr="002C7BFC">
        <w:rPr>
          <w:lang w:val="fr-CA"/>
        </w:rPr>
        <w:t xml:space="preserve"> </w:t>
      </w:r>
      <w:r w:rsidRPr="00567FE2">
        <w:rPr>
          <w:lang w:val="fr-CA"/>
        </w:rPr>
        <w:t>prescriptions</w:t>
      </w:r>
      <w:r w:rsidRPr="002C7BFC">
        <w:rPr>
          <w:lang w:val="fr-CA"/>
        </w:rPr>
        <w:t xml:space="preserve"> de l’</w:t>
      </w:r>
      <w:r w:rsidR="003A7610">
        <w:rPr>
          <w:lang w:val="fr-CA"/>
        </w:rPr>
        <w:t>art.</w:t>
      </w:r>
      <w:r w:rsidR="00470A48">
        <w:rPr>
          <w:lang w:val="fr-CA"/>
        </w:rPr>
        <w:t xml:space="preserve"> </w:t>
      </w:r>
      <w:r w:rsidRPr="002C7BFC">
        <w:rPr>
          <w:lang w:val="fr-CA"/>
        </w:rPr>
        <w:t xml:space="preserve">12 </w:t>
      </w:r>
      <w:r w:rsidRPr="002C7BFC">
        <w:rPr>
          <w:i/>
          <w:lang w:val="fr-CA"/>
        </w:rPr>
        <w:t>L.p.c.</w:t>
      </w:r>
      <w:r w:rsidRPr="002C7BFC">
        <w:rPr>
          <w:lang w:val="fr-CA"/>
        </w:rPr>
        <w:t xml:space="preserve">, la manière </w:t>
      </w:r>
      <w:r w:rsidRPr="00567FE2">
        <w:rPr>
          <w:lang w:val="fr-CA"/>
        </w:rPr>
        <w:t>avec laquelle</w:t>
      </w:r>
      <w:r w:rsidRPr="002C7BFC">
        <w:rPr>
          <w:lang w:val="fr-CA"/>
        </w:rPr>
        <w:t xml:space="preserve"> elle a mentionné les frais ne constitue pas une conduite marquée </w:t>
      </w:r>
      <w:r w:rsidRPr="00567FE2">
        <w:rPr>
          <w:lang w:val="fr-CA"/>
        </w:rPr>
        <w:t>au coin de l’insouciance</w:t>
      </w:r>
      <w:r w:rsidRPr="002C7BFC">
        <w:rPr>
          <w:lang w:val="fr-CA"/>
        </w:rPr>
        <w:t xml:space="preserve"> ou de </w:t>
      </w:r>
      <w:r w:rsidRPr="00567FE2">
        <w:rPr>
          <w:lang w:val="fr-CA"/>
        </w:rPr>
        <w:t>la n</w:t>
      </w:r>
      <w:r w:rsidRPr="002C7BFC">
        <w:rPr>
          <w:lang w:val="fr-CA"/>
        </w:rPr>
        <w:t>égligence.</w:t>
      </w:r>
    </w:p>
    <w:p w:rsidR="004D7D95" w:rsidRPr="002C7BFC" w:rsidRDefault="004D7D95" w:rsidP="00470A48">
      <w:pPr>
        <w:pStyle w:val="SCCNormalDoubleSpacing"/>
        <w:widowControl w:val="0"/>
        <w:spacing w:after="480"/>
        <w:rPr>
          <w:b/>
          <w:lang w:val="fr-CA"/>
        </w:rPr>
      </w:pPr>
      <w:r w:rsidRPr="002C7BFC">
        <w:rPr>
          <w:b/>
          <w:lang w:val="fr-CA"/>
        </w:rPr>
        <w:t>Jurisprudence</w:t>
      </w:r>
    </w:p>
    <w:p w:rsidR="004D7D95" w:rsidRPr="002C7BFC" w:rsidRDefault="004D7D95" w:rsidP="00470A48">
      <w:pPr>
        <w:pStyle w:val="SCCNormalDoubleSpacing"/>
        <w:widowControl w:val="0"/>
        <w:spacing w:after="480"/>
        <w:rPr>
          <w:b/>
          <w:lang w:val="fr-CA"/>
        </w:rPr>
      </w:pPr>
      <w:r w:rsidRPr="002C7BFC">
        <w:rPr>
          <w:lang w:val="fr-CA"/>
        </w:rPr>
        <w:tab/>
      </w:r>
      <w:r w:rsidR="003A2E6D" w:rsidRPr="002C7BFC">
        <w:rPr>
          <w:b/>
          <w:lang w:val="fr-CA"/>
        </w:rPr>
        <w:t>Arrêt appliqué</w:t>
      </w:r>
      <w:r w:rsidR="00470A48">
        <w:rPr>
          <w:b/>
          <w:lang w:val="fr-CA"/>
        </w:rPr>
        <w:t> :</w:t>
      </w:r>
      <w:r w:rsidR="003A2E6D" w:rsidRPr="002C7BFC">
        <w:rPr>
          <w:b/>
          <w:lang w:val="fr-CA"/>
        </w:rPr>
        <w:t xml:space="preserve"> </w:t>
      </w:r>
      <w:r w:rsidR="00E713CF" w:rsidRPr="002C7BFC">
        <w:rPr>
          <w:i/>
          <w:lang w:val="fr-CA"/>
        </w:rPr>
        <w:t>Banque de Montréal c. Marcotte</w:t>
      </w:r>
      <w:r w:rsidR="00E713CF" w:rsidRPr="002C7BFC">
        <w:rPr>
          <w:lang w:val="fr-CA"/>
        </w:rPr>
        <w:t xml:space="preserve">, 2014 CSC </w:t>
      </w:r>
      <w:r w:rsidR="00AD5204" w:rsidRPr="002C7BFC">
        <w:rPr>
          <w:lang w:val="fr-CA"/>
        </w:rPr>
        <w:t>55</w:t>
      </w:r>
      <w:r w:rsidR="004774E8">
        <w:rPr>
          <w:lang w:val="fr-CA"/>
        </w:rPr>
        <w:t>, [2014] 2 R.C.S. 726</w:t>
      </w:r>
      <w:r w:rsidR="00E713CF" w:rsidRPr="002C7BFC">
        <w:rPr>
          <w:lang w:val="fr-CA"/>
        </w:rPr>
        <w:t xml:space="preserve">; </w:t>
      </w:r>
      <w:r w:rsidR="003A2E6D" w:rsidRPr="002C7BFC">
        <w:rPr>
          <w:b/>
          <w:lang w:val="fr-CA"/>
        </w:rPr>
        <w:t>arrêts mentionnés</w:t>
      </w:r>
      <w:r w:rsidR="00470A48">
        <w:rPr>
          <w:b/>
          <w:lang w:val="fr-CA"/>
        </w:rPr>
        <w:t> :</w:t>
      </w:r>
      <w:r w:rsidR="003A2E6D" w:rsidRPr="002C7BFC">
        <w:rPr>
          <w:lang w:val="fr-CA"/>
        </w:rPr>
        <w:t xml:space="preserve"> </w:t>
      </w:r>
      <w:r w:rsidR="00E713CF" w:rsidRPr="002C7BFC">
        <w:rPr>
          <w:i/>
          <w:lang w:val="fr-CA"/>
        </w:rPr>
        <w:t>Banque Amex du Canada c. Adams</w:t>
      </w:r>
      <w:r w:rsidR="00E713CF" w:rsidRPr="002C7BFC">
        <w:rPr>
          <w:lang w:val="fr-CA"/>
        </w:rPr>
        <w:t xml:space="preserve">, 2014 CSC </w:t>
      </w:r>
      <w:r w:rsidR="00396AAB" w:rsidRPr="002C7BFC">
        <w:rPr>
          <w:lang w:val="fr-CA"/>
        </w:rPr>
        <w:t>56</w:t>
      </w:r>
      <w:r w:rsidR="004774E8">
        <w:rPr>
          <w:lang w:val="fr-CA"/>
        </w:rPr>
        <w:t xml:space="preserve">, [2014] 2 R.C.S. </w:t>
      </w:r>
      <w:r w:rsidR="00511A24">
        <w:rPr>
          <w:lang w:val="fr-CA"/>
        </w:rPr>
        <w:t>788</w:t>
      </w:r>
      <w:r w:rsidR="00E713CF" w:rsidRPr="002C7BFC">
        <w:rPr>
          <w:lang w:val="fr-CA"/>
        </w:rPr>
        <w:t xml:space="preserve">; </w:t>
      </w:r>
      <w:r w:rsidR="00812331" w:rsidRPr="002C7BFC">
        <w:rPr>
          <w:i/>
          <w:lang w:val="fr-CA"/>
        </w:rPr>
        <w:t xml:space="preserve">Canada (Procureur général) c. </w:t>
      </w:r>
      <w:proofErr w:type="spellStart"/>
      <w:r w:rsidR="00812331" w:rsidRPr="002C7BFC">
        <w:rPr>
          <w:i/>
          <w:lang w:val="fr-CA"/>
        </w:rPr>
        <w:t>Hislop</w:t>
      </w:r>
      <w:proofErr w:type="spellEnd"/>
      <w:r w:rsidR="00812331" w:rsidRPr="002C7BFC">
        <w:rPr>
          <w:lang w:val="fr-CA"/>
        </w:rPr>
        <w:t>, 2007 CSC 10, [2007] 1 R.C.S. 429.</w:t>
      </w:r>
    </w:p>
    <w:p w:rsidR="004D7D95" w:rsidRPr="002C7BFC" w:rsidRDefault="004D7D95" w:rsidP="00470A48">
      <w:pPr>
        <w:pStyle w:val="SCCNormalDoubleSpacing"/>
        <w:widowControl w:val="0"/>
        <w:spacing w:after="720" w:line="240" w:lineRule="auto"/>
        <w:rPr>
          <w:b/>
          <w:lang w:val="fr-CA"/>
        </w:rPr>
      </w:pPr>
      <w:r w:rsidRPr="002C7BFC">
        <w:rPr>
          <w:b/>
          <w:lang w:val="fr-CA"/>
        </w:rPr>
        <w:t>Lois et règlements cités</w:t>
      </w:r>
    </w:p>
    <w:p w:rsidR="00F702B6" w:rsidRPr="002C7BFC" w:rsidRDefault="00F702B6" w:rsidP="00470A48">
      <w:pPr>
        <w:pStyle w:val="SCCNormalDoubleSpacing"/>
        <w:widowControl w:val="0"/>
        <w:spacing w:after="240" w:line="240" w:lineRule="auto"/>
        <w:ind w:left="539" w:hanging="539"/>
        <w:rPr>
          <w:lang w:val="fr-CA"/>
        </w:rPr>
      </w:pPr>
      <w:r w:rsidRPr="002C7BFC">
        <w:rPr>
          <w:i/>
          <w:lang w:val="fr-CA"/>
        </w:rPr>
        <w:t>Code civil du Québec</w:t>
      </w:r>
      <w:r w:rsidRPr="002C7BFC">
        <w:rPr>
          <w:lang w:val="fr-CA"/>
        </w:rPr>
        <w:t xml:space="preserve">, </w:t>
      </w:r>
      <w:r w:rsidR="003A7610">
        <w:rPr>
          <w:lang w:val="fr-CA"/>
        </w:rPr>
        <w:t>art.</w:t>
      </w:r>
      <w:r w:rsidR="00470A48">
        <w:rPr>
          <w:lang w:val="fr-CA"/>
        </w:rPr>
        <w:t xml:space="preserve"> </w:t>
      </w:r>
      <w:r w:rsidRPr="002C7BFC">
        <w:rPr>
          <w:lang w:val="fr-CA"/>
        </w:rPr>
        <w:t>1435, 2904.</w:t>
      </w:r>
    </w:p>
    <w:p w:rsidR="00F702B6" w:rsidRPr="002C7BFC" w:rsidRDefault="00F702B6" w:rsidP="00470A48">
      <w:pPr>
        <w:pStyle w:val="SCCNormalDoubleSpacing"/>
        <w:widowControl w:val="0"/>
        <w:spacing w:after="240" w:line="240" w:lineRule="auto"/>
        <w:ind w:left="539" w:hanging="539"/>
        <w:rPr>
          <w:lang w:val="fr-CA"/>
        </w:rPr>
      </w:pPr>
      <w:r w:rsidRPr="002C7BFC">
        <w:rPr>
          <w:i/>
          <w:lang w:val="fr-CA"/>
        </w:rPr>
        <w:t>Loi constitutionnelle de 1867</w:t>
      </w:r>
      <w:r w:rsidRPr="002C7BFC">
        <w:rPr>
          <w:lang w:val="fr-CA"/>
        </w:rPr>
        <w:t xml:space="preserve">, </w:t>
      </w:r>
      <w:r w:rsidR="003A7610">
        <w:rPr>
          <w:lang w:val="fr-CA"/>
        </w:rPr>
        <w:t>art.</w:t>
      </w:r>
      <w:r w:rsidR="00470A48">
        <w:rPr>
          <w:lang w:val="fr-CA"/>
        </w:rPr>
        <w:t xml:space="preserve"> </w:t>
      </w:r>
      <w:r w:rsidRPr="002C7BFC">
        <w:rPr>
          <w:lang w:val="fr-CA"/>
        </w:rPr>
        <w:t>91(18).</w:t>
      </w:r>
    </w:p>
    <w:p w:rsidR="004D7D95" w:rsidRPr="002C7BFC" w:rsidRDefault="00F702B6" w:rsidP="00470A48">
      <w:pPr>
        <w:pStyle w:val="SCCNormalDoubleSpacing"/>
        <w:widowControl w:val="0"/>
        <w:spacing w:after="240" w:line="240" w:lineRule="auto"/>
        <w:ind w:left="539" w:hanging="539"/>
        <w:rPr>
          <w:lang w:val="fr-CA"/>
        </w:rPr>
      </w:pPr>
      <w:r w:rsidRPr="002C7BFC">
        <w:rPr>
          <w:i/>
          <w:lang w:val="fr-CA"/>
        </w:rPr>
        <w:t>Loi sur la protection du consommateur</w:t>
      </w:r>
      <w:r w:rsidRPr="002C7BFC">
        <w:rPr>
          <w:lang w:val="fr-CA"/>
        </w:rPr>
        <w:t xml:space="preserve">, RLRQ, </w:t>
      </w:r>
      <w:r w:rsidR="003A7610">
        <w:rPr>
          <w:lang w:val="fr-CA"/>
        </w:rPr>
        <w:t>ch.</w:t>
      </w:r>
      <w:r w:rsidR="00470A48">
        <w:rPr>
          <w:lang w:val="fr-CA"/>
        </w:rPr>
        <w:t xml:space="preserve"> </w:t>
      </w:r>
      <w:r w:rsidRPr="002C7BFC">
        <w:rPr>
          <w:lang w:val="fr-CA"/>
        </w:rPr>
        <w:t>P</w:t>
      </w:r>
      <w:r w:rsidR="00470A48">
        <w:rPr>
          <w:lang w:val="fr-CA"/>
        </w:rPr>
        <w:t>-</w:t>
      </w:r>
      <w:r w:rsidRPr="002C7BFC">
        <w:rPr>
          <w:lang w:val="fr-CA"/>
        </w:rPr>
        <w:t xml:space="preserve">40.1, </w:t>
      </w:r>
      <w:r w:rsidR="003A7610">
        <w:rPr>
          <w:lang w:val="fr-CA"/>
        </w:rPr>
        <w:t>art.</w:t>
      </w:r>
      <w:r w:rsidR="00470A48">
        <w:rPr>
          <w:lang w:val="fr-CA"/>
        </w:rPr>
        <w:t xml:space="preserve"> </w:t>
      </w:r>
      <w:r w:rsidRPr="002C7BFC">
        <w:rPr>
          <w:lang w:val="fr-CA"/>
        </w:rPr>
        <w:t xml:space="preserve">12, 29, 30, </w:t>
      </w:r>
      <w:r w:rsidR="000C7DDC" w:rsidRPr="002C7BFC">
        <w:rPr>
          <w:lang w:val="fr-CA"/>
        </w:rPr>
        <w:t xml:space="preserve">72, 83, 91, 92, </w:t>
      </w:r>
      <w:r w:rsidRPr="002C7BFC">
        <w:rPr>
          <w:lang w:val="fr-CA"/>
        </w:rPr>
        <w:t>219, 271, 272.</w:t>
      </w:r>
    </w:p>
    <w:p w:rsidR="00BF151C" w:rsidRPr="002C7BFC" w:rsidRDefault="00BF151C" w:rsidP="00470A48">
      <w:pPr>
        <w:pStyle w:val="SCCNormalDoubleSpacing"/>
        <w:widowControl w:val="0"/>
        <w:spacing w:after="720" w:line="240" w:lineRule="auto"/>
        <w:ind w:left="540" w:hanging="540"/>
        <w:rPr>
          <w:lang w:val="fr-CA"/>
        </w:rPr>
      </w:pPr>
      <w:r w:rsidRPr="002C7BFC">
        <w:rPr>
          <w:i/>
          <w:lang w:val="fr-CA"/>
        </w:rPr>
        <w:t>Loi sur les lettres de change</w:t>
      </w:r>
      <w:r w:rsidRPr="002C7BFC">
        <w:rPr>
          <w:lang w:val="fr-CA"/>
        </w:rPr>
        <w:t xml:space="preserve">, L.R.C. 1985, </w:t>
      </w:r>
      <w:r w:rsidR="003A7610">
        <w:rPr>
          <w:lang w:val="fr-CA"/>
        </w:rPr>
        <w:t>ch.</w:t>
      </w:r>
      <w:r w:rsidR="00470A48">
        <w:rPr>
          <w:lang w:val="fr-CA"/>
        </w:rPr>
        <w:t xml:space="preserve"> </w:t>
      </w:r>
      <w:r w:rsidRPr="002C7BFC">
        <w:rPr>
          <w:lang w:val="fr-CA"/>
        </w:rPr>
        <w:t>B</w:t>
      </w:r>
      <w:r w:rsidR="00470A48">
        <w:rPr>
          <w:lang w:val="fr-CA"/>
        </w:rPr>
        <w:t>-</w:t>
      </w:r>
      <w:r w:rsidRPr="002C7BFC">
        <w:rPr>
          <w:lang w:val="fr-CA"/>
        </w:rPr>
        <w:t>4.</w:t>
      </w:r>
    </w:p>
    <w:p w:rsidR="004D7D95" w:rsidRPr="002C7BFC" w:rsidRDefault="004D7D95" w:rsidP="00470A48">
      <w:pPr>
        <w:pStyle w:val="SCCNormalDoubleSpacing"/>
        <w:widowControl w:val="0"/>
        <w:spacing w:after="720" w:line="240" w:lineRule="auto"/>
        <w:rPr>
          <w:b/>
          <w:lang w:val="fr-CA"/>
        </w:rPr>
      </w:pPr>
      <w:r w:rsidRPr="002C7BFC">
        <w:rPr>
          <w:b/>
          <w:lang w:val="fr-CA"/>
        </w:rPr>
        <w:lastRenderedPageBreak/>
        <w:t>Doctrine et autres documents cités</w:t>
      </w:r>
    </w:p>
    <w:p w:rsidR="00AD78B9" w:rsidRPr="003A7610" w:rsidRDefault="00AD78B9" w:rsidP="00470A48">
      <w:pPr>
        <w:pStyle w:val="SCCNormalDoubleSpacing"/>
        <w:widowControl w:val="0"/>
        <w:spacing w:after="240" w:line="240" w:lineRule="auto"/>
        <w:ind w:left="539" w:hanging="539"/>
        <w:rPr>
          <w:lang w:val="en-US"/>
        </w:rPr>
      </w:pPr>
      <w:r w:rsidRPr="004E1945">
        <w:rPr>
          <w:lang w:val="en-US"/>
        </w:rPr>
        <w:t xml:space="preserve">Crawford, Bradley.  </w:t>
      </w:r>
      <w:proofErr w:type="gramStart"/>
      <w:r w:rsidRPr="003A7610">
        <w:rPr>
          <w:i/>
          <w:lang w:val="en-US"/>
        </w:rPr>
        <w:t>The Law of Banking and Payment in Canada</w:t>
      </w:r>
      <w:r w:rsidRPr="003A7610">
        <w:rPr>
          <w:lang w:val="en-US"/>
        </w:rPr>
        <w:t xml:space="preserve">, </w:t>
      </w:r>
      <w:r w:rsidR="003A7610">
        <w:rPr>
          <w:lang w:val="en-US"/>
        </w:rPr>
        <w:t>vol.</w:t>
      </w:r>
      <w:r w:rsidR="00470A48">
        <w:rPr>
          <w:lang w:val="en-US"/>
        </w:rPr>
        <w:t xml:space="preserve"> </w:t>
      </w:r>
      <w:r w:rsidRPr="003A7610">
        <w:rPr>
          <w:lang w:val="en-US"/>
        </w:rPr>
        <w:t>2.</w:t>
      </w:r>
      <w:proofErr w:type="gramEnd"/>
      <w:r w:rsidRPr="003A7610">
        <w:rPr>
          <w:lang w:val="en-US"/>
        </w:rPr>
        <w:t xml:space="preserve">  Aurora, Ont</w:t>
      </w:r>
      <w:proofErr w:type="gramStart"/>
      <w:r w:rsidRPr="003A7610">
        <w:rPr>
          <w:lang w:val="en-US"/>
        </w:rPr>
        <w:t>.</w:t>
      </w:r>
      <w:r w:rsidR="00470A48">
        <w:rPr>
          <w:lang w:val="en-US"/>
        </w:rPr>
        <w:t> :</w:t>
      </w:r>
      <w:proofErr w:type="gramEnd"/>
      <w:r w:rsidRPr="003A7610">
        <w:rPr>
          <w:lang w:val="en-US"/>
        </w:rPr>
        <w:t xml:space="preserve"> Canada Law Book, 2008 (loose</w:t>
      </w:r>
      <w:r w:rsidR="00470A48">
        <w:rPr>
          <w:lang w:val="en-US"/>
        </w:rPr>
        <w:t>-</w:t>
      </w:r>
      <w:r w:rsidRPr="003A7610">
        <w:rPr>
          <w:lang w:val="en-US"/>
        </w:rPr>
        <w:t>leaf updated June 2014, release 11).</w:t>
      </w:r>
    </w:p>
    <w:p w:rsidR="00AD78B9" w:rsidRPr="002C7BFC" w:rsidRDefault="00AD78B9" w:rsidP="00470A48">
      <w:pPr>
        <w:pStyle w:val="SCCNormalDoubleSpacing"/>
        <w:widowControl w:val="0"/>
        <w:spacing w:after="240" w:line="240" w:lineRule="auto"/>
        <w:ind w:left="539" w:hanging="539"/>
        <w:rPr>
          <w:lang w:val="fr-CA"/>
        </w:rPr>
      </w:pPr>
      <w:r w:rsidRPr="002C7BFC">
        <w:rPr>
          <w:lang w:val="fr-CA"/>
        </w:rPr>
        <w:t xml:space="preserve">L’Heureux, Nicole, Édith Fortin et Marc </w:t>
      </w:r>
      <w:proofErr w:type="spellStart"/>
      <w:r w:rsidRPr="002C7BFC">
        <w:rPr>
          <w:lang w:val="fr-CA"/>
        </w:rPr>
        <w:t>Lacoursière</w:t>
      </w:r>
      <w:proofErr w:type="spellEnd"/>
      <w:r w:rsidRPr="002C7BFC">
        <w:rPr>
          <w:lang w:val="fr-CA"/>
        </w:rPr>
        <w:t xml:space="preserve">.  </w:t>
      </w:r>
      <w:r w:rsidRPr="002C7BFC">
        <w:rPr>
          <w:i/>
          <w:lang w:val="fr-CA"/>
        </w:rPr>
        <w:t>Droit bancaire</w:t>
      </w:r>
      <w:r w:rsidRPr="002C7BFC">
        <w:rPr>
          <w:lang w:val="fr-CA"/>
        </w:rPr>
        <w:t>, 4</w:t>
      </w:r>
      <w:r w:rsidRPr="002C7BFC">
        <w:rPr>
          <w:vertAlign w:val="superscript"/>
          <w:lang w:val="fr-CA"/>
        </w:rPr>
        <w:t>e</w:t>
      </w:r>
      <w:r w:rsidRPr="002C7BFC">
        <w:rPr>
          <w:lang w:val="fr-CA"/>
        </w:rPr>
        <w:t xml:space="preserve"> éd.  </w:t>
      </w:r>
      <w:proofErr w:type="spellStart"/>
      <w:r w:rsidRPr="002C7BFC">
        <w:rPr>
          <w:lang w:val="fr-CA"/>
        </w:rPr>
        <w:t>Cowansville</w:t>
      </w:r>
      <w:proofErr w:type="spellEnd"/>
      <w:r w:rsidRPr="002C7BFC">
        <w:rPr>
          <w:lang w:val="fr-CA"/>
        </w:rPr>
        <w:t xml:space="preserve">, </w:t>
      </w:r>
      <w:proofErr w:type="spellStart"/>
      <w:r w:rsidRPr="002C7BFC">
        <w:rPr>
          <w:lang w:val="fr-CA"/>
        </w:rPr>
        <w:t>Qué</w:t>
      </w:r>
      <w:proofErr w:type="spellEnd"/>
      <w:r w:rsidRPr="002C7BFC">
        <w:rPr>
          <w:lang w:val="fr-CA"/>
        </w:rPr>
        <w:t>.</w:t>
      </w:r>
      <w:r w:rsidR="00470A48">
        <w:rPr>
          <w:lang w:val="fr-CA"/>
        </w:rPr>
        <w:t> :</w:t>
      </w:r>
      <w:r w:rsidRPr="002C7BFC">
        <w:rPr>
          <w:lang w:val="fr-CA"/>
        </w:rPr>
        <w:t xml:space="preserve"> Yvon Blais, 2004.</w:t>
      </w:r>
    </w:p>
    <w:p w:rsidR="00AD78B9" w:rsidRPr="003A7610" w:rsidRDefault="00AD78B9" w:rsidP="00470A48">
      <w:pPr>
        <w:pStyle w:val="SCCNormalDoubleSpacing"/>
        <w:widowControl w:val="0"/>
        <w:spacing w:after="240" w:line="240" w:lineRule="auto"/>
        <w:ind w:left="539" w:hanging="539"/>
        <w:rPr>
          <w:lang w:val="en-US"/>
        </w:rPr>
      </w:pPr>
      <w:proofErr w:type="spellStart"/>
      <w:r w:rsidRPr="002C7BFC">
        <w:rPr>
          <w:lang w:val="fr-CA"/>
        </w:rPr>
        <w:t>Lluelles</w:t>
      </w:r>
      <w:proofErr w:type="spellEnd"/>
      <w:r w:rsidRPr="002C7BFC">
        <w:rPr>
          <w:lang w:val="fr-CA"/>
        </w:rPr>
        <w:t xml:space="preserve">, Didier, et Benoît Moore.  </w:t>
      </w:r>
      <w:r w:rsidRPr="002C7BFC">
        <w:rPr>
          <w:i/>
          <w:lang w:val="fr-CA"/>
        </w:rPr>
        <w:t>Droit des obligations</w:t>
      </w:r>
      <w:r w:rsidRPr="002C7BFC">
        <w:rPr>
          <w:lang w:val="fr-CA"/>
        </w:rPr>
        <w:t>, 2</w:t>
      </w:r>
      <w:r w:rsidRPr="002C7BFC">
        <w:rPr>
          <w:vertAlign w:val="superscript"/>
          <w:lang w:val="fr-CA"/>
        </w:rPr>
        <w:t>e</w:t>
      </w:r>
      <w:r w:rsidRPr="002C7BFC">
        <w:rPr>
          <w:lang w:val="fr-CA"/>
        </w:rPr>
        <w:t xml:space="preserve"> éd.  </w:t>
      </w:r>
      <w:proofErr w:type="gramStart"/>
      <w:r w:rsidRPr="003A7610">
        <w:rPr>
          <w:lang w:val="en-US"/>
        </w:rPr>
        <w:t>Montréal</w:t>
      </w:r>
      <w:r w:rsidR="00470A48">
        <w:rPr>
          <w:lang w:val="en-US"/>
        </w:rPr>
        <w:t> :</w:t>
      </w:r>
      <w:proofErr w:type="gramEnd"/>
      <w:r w:rsidRPr="003A7610">
        <w:rPr>
          <w:lang w:val="en-US"/>
        </w:rPr>
        <w:t xml:space="preserve"> </w:t>
      </w:r>
      <w:proofErr w:type="spellStart"/>
      <w:r w:rsidRPr="003A7610">
        <w:rPr>
          <w:lang w:val="en-US"/>
        </w:rPr>
        <w:t>Thémis</w:t>
      </w:r>
      <w:proofErr w:type="spellEnd"/>
      <w:r w:rsidRPr="003A7610">
        <w:rPr>
          <w:lang w:val="en-US"/>
        </w:rPr>
        <w:t>, 2012.</w:t>
      </w:r>
    </w:p>
    <w:p w:rsidR="00AD78B9" w:rsidRPr="002C7BFC" w:rsidRDefault="00AD78B9" w:rsidP="00470A48">
      <w:pPr>
        <w:pStyle w:val="SCCNormalDoubleSpacing"/>
        <w:widowControl w:val="0"/>
        <w:spacing w:after="720" w:line="240" w:lineRule="auto"/>
        <w:ind w:left="540" w:hanging="540"/>
        <w:rPr>
          <w:lang w:val="fr-CA"/>
        </w:rPr>
      </w:pPr>
      <w:r w:rsidRPr="003A7610">
        <w:rPr>
          <w:lang w:val="en-US"/>
        </w:rPr>
        <w:t>Ogilvie, M.</w:t>
      </w:r>
      <w:r w:rsidR="00470A48">
        <w:rPr>
          <w:lang w:val="en-US"/>
        </w:rPr>
        <w:t xml:space="preserve"> </w:t>
      </w:r>
      <w:r w:rsidRPr="003A7610">
        <w:rPr>
          <w:lang w:val="en-US"/>
        </w:rPr>
        <w:t xml:space="preserve">H.  </w:t>
      </w:r>
      <w:r w:rsidRPr="003A7610">
        <w:rPr>
          <w:i/>
          <w:lang w:val="en-US"/>
        </w:rPr>
        <w:t>Bank and Customer Law in Canada</w:t>
      </w:r>
      <w:r w:rsidRPr="003A7610">
        <w:rPr>
          <w:lang w:val="en-US"/>
        </w:rPr>
        <w:t xml:space="preserve">, 2nd </w:t>
      </w:r>
      <w:proofErr w:type="gramStart"/>
      <w:r w:rsidRPr="003A7610">
        <w:rPr>
          <w:lang w:val="en-US"/>
        </w:rPr>
        <w:t>ed</w:t>
      </w:r>
      <w:proofErr w:type="gramEnd"/>
      <w:r w:rsidRPr="003A7610">
        <w:rPr>
          <w:lang w:val="en-US"/>
        </w:rPr>
        <w:t xml:space="preserve">.  </w:t>
      </w:r>
      <w:r w:rsidRPr="002C7BFC">
        <w:rPr>
          <w:lang w:val="fr-CA"/>
        </w:rPr>
        <w:t>Toronto</w:t>
      </w:r>
      <w:r w:rsidR="00470A48">
        <w:rPr>
          <w:lang w:val="fr-CA"/>
        </w:rPr>
        <w:t> :</w:t>
      </w:r>
      <w:r w:rsidRPr="002C7BFC">
        <w:rPr>
          <w:lang w:val="fr-CA"/>
        </w:rPr>
        <w:t xml:space="preserve"> Irwin Law, 2013.</w:t>
      </w:r>
    </w:p>
    <w:p w:rsidR="00911543" w:rsidRPr="002C7BFC" w:rsidRDefault="004D7D95" w:rsidP="00470A48">
      <w:pPr>
        <w:pStyle w:val="SCCNormalDoubleSpacing"/>
        <w:widowControl w:val="0"/>
        <w:spacing w:after="480"/>
        <w:rPr>
          <w:lang w:val="fr-CA"/>
        </w:rPr>
      </w:pPr>
      <w:r w:rsidRPr="002C7BFC">
        <w:rPr>
          <w:lang w:val="fr-CA"/>
        </w:rPr>
        <w:tab/>
        <w:t>POURVOI contre un arrêt de la Cour d’appel du Québec (</w:t>
      </w:r>
      <w:r w:rsidR="00FC2BE3" w:rsidRPr="002C7BFC">
        <w:rPr>
          <w:lang w:val="fr-CA"/>
        </w:rPr>
        <w:t xml:space="preserve">les juges </w:t>
      </w:r>
      <w:r w:rsidR="00911543" w:rsidRPr="002C7BFC">
        <w:rPr>
          <w:lang w:val="fr-CA"/>
        </w:rPr>
        <w:t xml:space="preserve">Forget, </w:t>
      </w:r>
      <w:proofErr w:type="spellStart"/>
      <w:r w:rsidR="00911543" w:rsidRPr="002C7BFC">
        <w:rPr>
          <w:lang w:val="fr-CA"/>
        </w:rPr>
        <w:t>Dalphond</w:t>
      </w:r>
      <w:proofErr w:type="spellEnd"/>
      <w:r w:rsidR="00911543" w:rsidRPr="002C7BFC">
        <w:rPr>
          <w:lang w:val="fr-CA"/>
        </w:rPr>
        <w:t xml:space="preserve"> </w:t>
      </w:r>
      <w:r w:rsidR="00FC2BE3" w:rsidRPr="002C7BFC">
        <w:rPr>
          <w:lang w:val="fr-CA"/>
        </w:rPr>
        <w:t>et</w:t>
      </w:r>
      <w:r w:rsidR="00911543" w:rsidRPr="002C7BFC">
        <w:rPr>
          <w:lang w:val="fr-CA"/>
        </w:rPr>
        <w:t xml:space="preserve"> </w:t>
      </w:r>
      <w:proofErr w:type="spellStart"/>
      <w:r w:rsidR="00911543" w:rsidRPr="002C7BFC">
        <w:rPr>
          <w:lang w:val="fr-CA"/>
        </w:rPr>
        <w:t>Bich</w:t>
      </w:r>
      <w:proofErr w:type="spellEnd"/>
      <w:r w:rsidR="00911543" w:rsidRPr="002C7BFC">
        <w:rPr>
          <w:lang w:val="fr-CA"/>
        </w:rPr>
        <w:t xml:space="preserve">), 2012 QCCA 1395, [2012] R.J.Q. 1526, </w:t>
      </w:r>
      <w:r w:rsidR="005B11DB" w:rsidRPr="002C7BFC">
        <w:rPr>
          <w:lang w:val="fr-CA"/>
        </w:rPr>
        <w:t>[2012]</w:t>
      </w:r>
      <w:r w:rsidR="00911543" w:rsidRPr="002C7BFC">
        <w:rPr>
          <w:lang w:val="fr-CA"/>
        </w:rPr>
        <w:t xml:space="preserve"> AZ</w:t>
      </w:r>
      <w:r w:rsidR="00470A48">
        <w:rPr>
          <w:lang w:val="fr-CA"/>
        </w:rPr>
        <w:t>-</w:t>
      </w:r>
      <w:r w:rsidR="00911543" w:rsidRPr="002C7BFC">
        <w:rPr>
          <w:lang w:val="fr-CA"/>
        </w:rPr>
        <w:t xml:space="preserve">50881448, [2012] </w:t>
      </w:r>
      <w:r w:rsidR="00FC2BE3" w:rsidRPr="002C7BFC">
        <w:rPr>
          <w:lang w:val="fr-CA"/>
        </w:rPr>
        <w:t>J.</w:t>
      </w:r>
      <w:r w:rsidR="00911543" w:rsidRPr="002C7BFC">
        <w:rPr>
          <w:lang w:val="fr-CA"/>
        </w:rPr>
        <w:t xml:space="preserve">Q. </w:t>
      </w:r>
      <w:r w:rsidR="00FC2BE3" w:rsidRPr="002C7BFC">
        <w:rPr>
          <w:lang w:val="fr-CA"/>
        </w:rPr>
        <w:t>n</w:t>
      </w:r>
      <w:r w:rsidR="00911543" w:rsidRPr="002C7BFC">
        <w:rPr>
          <w:vertAlign w:val="superscript"/>
          <w:lang w:val="fr-CA"/>
        </w:rPr>
        <w:t>o</w:t>
      </w:r>
      <w:r w:rsidR="00470A48">
        <w:rPr>
          <w:lang w:val="fr-CA"/>
        </w:rPr>
        <w:t xml:space="preserve"> </w:t>
      </w:r>
      <w:r w:rsidR="00911543" w:rsidRPr="002C7BFC">
        <w:rPr>
          <w:lang w:val="fr-CA"/>
        </w:rPr>
        <w:t>7</w:t>
      </w:r>
      <w:r w:rsidR="00E22C38" w:rsidRPr="002C7BFC">
        <w:rPr>
          <w:lang w:val="fr-CA"/>
        </w:rPr>
        <w:t xml:space="preserve">427 (QL), 2012 </w:t>
      </w:r>
      <w:proofErr w:type="spellStart"/>
      <w:r w:rsidR="00E22C38" w:rsidRPr="002C7BFC">
        <w:rPr>
          <w:lang w:val="fr-CA"/>
        </w:rPr>
        <w:t>CarswellQue</w:t>
      </w:r>
      <w:proofErr w:type="spellEnd"/>
      <w:r w:rsidR="00E22C38" w:rsidRPr="002C7BFC">
        <w:rPr>
          <w:lang w:val="fr-CA"/>
        </w:rPr>
        <w:t xml:space="preserve"> </w:t>
      </w:r>
      <w:r w:rsidR="00163B1F">
        <w:rPr>
          <w:lang w:val="fr-CA"/>
        </w:rPr>
        <w:t>77</w:t>
      </w:r>
      <w:r w:rsidR="00E22C38" w:rsidRPr="002C7BFC">
        <w:rPr>
          <w:lang w:val="fr-CA"/>
        </w:rPr>
        <w:t>81</w:t>
      </w:r>
      <w:r w:rsidR="00911543" w:rsidRPr="002C7BFC">
        <w:rPr>
          <w:lang w:val="fr-CA"/>
        </w:rPr>
        <w:t xml:space="preserve">, </w:t>
      </w:r>
      <w:r w:rsidR="00E22C38" w:rsidRPr="002C7BFC">
        <w:rPr>
          <w:lang w:val="fr-CA"/>
        </w:rPr>
        <w:t>qui a infirmé une dé</w:t>
      </w:r>
      <w:r w:rsidR="00911543" w:rsidRPr="002C7BFC">
        <w:rPr>
          <w:lang w:val="fr-CA"/>
        </w:rPr>
        <w:t xml:space="preserve">cision </w:t>
      </w:r>
      <w:r w:rsidR="00E22C38" w:rsidRPr="002C7BFC">
        <w:rPr>
          <w:lang w:val="fr-CA"/>
        </w:rPr>
        <w:t>du juge</w:t>
      </w:r>
      <w:r w:rsidR="00911543" w:rsidRPr="002C7BFC">
        <w:rPr>
          <w:lang w:val="fr-CA"/>
        </w:rPr>
        <w:t xml:space="preserve"> Gascon, 2009 QCCS 2743, </w:t>
      </w:r>
      <w:r w:rsidR="005B11DB" w:rsidRPr="002C7BFC">
        <w:rPr>
          <w:lang w:val="fr-CA"/>
        </w:rPr>
        <w:t>[2009]</w:t>
      </w:r>
      <w:r w:rsidR="00911543" w:rsidRPr="002C7BFC">
        <w:rPr>
          <w:lang w:val="fr-CA"/>
        </w:rPr>
        <w:t xml:space="preserve"> AZ</w:t>
      </w:r>
      <w:r w:rsidR="00470A48">
        <w:rPr>
          <w:lang w:val="fr-CA"/>
        </w:rPr>
        <w:t>-</w:t>
      </w:r>
      <w:r w:rsidR="00911543" w:rsidRPr="002C7BFC">
        <w:rPr>
          <w:lang w:val="fr-CA"/>
        </w:rPr>
        <w:t>50561028, [2009] J.Q. n</w:t>
      </w:r>
      <w:r w:rsidR="00911543" w:rsidRPr="002C7BFC">
        <w:rPr>
          <w:vertAlign w:val="superscript"/>
          <w:lang w:val="fr-CA"/>
        </w:rPr>
        <w:t>o</w:t>
      </w:r>
      <w:r w:rsidR="00470A48">
        <w:rPr>
          <w:lang w:val="fr-CA"/>
        </w:rPr>
        <w:t xml:space="preserve"> </w:t>
      </w:r>
      <w:r w:rsidR="00911543" w:rsidRPr="002C7BFC">
        <w:rPr>
          <w:lang w:val="fr-CA"/>
        </w:rPr>
        <w:t xml:space="preserve">5770 (QL), 2009 </w:t>
      </w:r>
      <w:proofErr w:type="spellStart"/>
      <w:r w:rsidR="00911543" w:rsidRPr="002C7BFC">
        <w:rPr>
          <w:lang w:val="fr-CA"/>
        </w:rPr>
        <w:t>Carswel</w:t>
      </w:r>
      <w:r w:rsidR="005B11DB" w:rsidRPr="002C7BFC">
        <w:rPr>
          <w:lang w:val="fr-CA"/>
        </w:rPr>
        <w:t>l</w:t>
      </w:r>
      <w:r w:rsidR="00911543" w:rsidRPr="002C7BFC">
        <w:rPr>
          <w:lang w:val="fr-CA"/>
        </w:rPr>
        <w:t>Que</w:t>
      </w:r>
      <w:proofErr w:type="spellEnd"/>
      <w:r w:rsidR="00911543" w:rsidRPr="002C7BFC">
        <w:rPr>
          <w:lang w:val="fr-CA"/>
        </w:rPr>
        <w:t xml:space="preserve"> 14191.  </w:t>
      </w:r>
      <w:r w:rsidR="00BC7DAA" w:rsidRPr="002C7BFC">
        <w:rPr>
          <w:lang w:val="fr-CA"/>
        </w:rPr>
        <w:t>Pourvoi</w:t>
      </w:r>
      <w:r w:rsidR="00911543" w:rsidRPr="002C7BFC">
        <w:rPr>
          <w:lang w:val="fr-CA"/>
        </w:rPr>
        <w:t xml:space="preserve"> </w:t>
      </w:r>
      <w:r w:rsidR="00AD5204" w:rsidRPr="002C7BFC">
        <w:rPr>
          <w:lang w:val="fr-CA"/>
        </w:rPr>
        <w:t>accueilli en partie</w:t>
      </w:r>
      <w:r w:rsidR="00911543" w:rsidRPr="002C7BFC">
        <w:rPr>
          <w:lang w:val="fr-CA"/>
        </w:rPr>
        <w:t xml:space="preserve">. </w:t>
      </w:r>
    </w:p>
    <w:p w:rsidR="00A66E31" w:rsidRPr="002C7BFC" w:rsidRDefault="00354DEA" w:rsidP="00470A48">
      <w:pPr>
        <w:pStyle w:val="SCCNormalDoubleSpacing"/>
        <w:widowControl w:val="0"/>
        <w:spacing w:after="480"/>
        <w:rPr>
          <w:lang w:val="fr-CA"/>
        </w:rPr>
      </w:pPr>
      <w:r w:rsidRPr="002C7BFC">
        <w:rPr>
          <w:i/>
          <w:lang w:val="fr-CA"/>
        </w:rPr>
        <w:tab/>
      </w:r>
      <w:r w:rsidR="00BE5B90" w:rsidRPr="002C7BFC">
        <w:rPr>
          <w:i/>
          <w:lang w:val="fr-CA"/>
        </w:rPr>
        <w:t>Bruce</w:t>
      </w:r>
      <w:r w:rsidR="00470A48">
        <w:rPr>
          <w:i/>
          <w:lang w:val="fr-CA"/>
        </w:rPr>
        <w:t xml:space="preserve"> </w:t>
      </w:r>
      <w:r w:rsidRPr="002C7BFC">
        <w:rPr>
          <w:i/>
          <w:lang w:val="fr-CA"/>
        </w:rPr>
        <w:t>W. Johnston</w:t>
      </w:r>
      <w:r w:rsidRPr="002C7BFC">
        <w:rPr>
          <w:lang w:val="fr-CA"/>
        </w:rPr>
        <w:t xml:space="preserve">, </w:t>
      </w:r>
      <w:r w:rsidR="00BE5B90" w:rsidRPr="002C7BFC">
        <w:rPr>
          <w:i/>
          <w:lang w:val="fr-CA"/>
        </w:rPr>
        <w:t>Philippe</w:t>
      </w:r>
      <w:r w:rsidR="00470A48">
        <w:rPr>
          <w:i/>
          <w:lang w:val="fr-CA"/>
        </w:rPr>
        <w:t xml:space="preserve"> </w:t>
      </w:r>
      <w:r w:rsidRPr="002C7BFC">
        <w:rPr>
          <w:i/>
          <w:lang w:val="fr-CA"/>
        </w:rPr>
        <w:t>H. Trudel</w:t>
      </w:r>
      <w:r w:rsidR="000C0ADE" w:rsidRPr="002C7BFC">
        <w:rPr>
          <w:lang w:val="fr-CA"/>
        </w:rPr>
        <w:t xml:space="preserve">, </w:t>
      </w:r>
      <w:r w:rsidRPr="002C7BFC">
        <w:rPr>
          <w:i/>
          <w:lang w:val="fr-CA"/>
        </w:rPr>
        <w:t xml:space="preserve">André </w:t>
      </w:r>
      <w:proofErr w:type="spellStart"/>
      <w:r w:rsidRPr="002C7BFC">
        <w:rPr>
          <w:i/>
          <w:lang w:val="fr-CA"/>
        </w:rPr>
        <w:t>Lespérance</w:t>
      </w:r>
      <w:proofErr w:type="spellEnd"/>
      <w:r w:rsidR="000C0ADE" w:rsidRPr="002C7BFC">
        <w:rPr>
          <w:lang w:val="fr-CA"/>
        </w:rPr>
        <w:t xml:space="preserve"> et </w:t>
      </w:r>
      <w:r w:rsidR="00BE5B90" w:rsidRPr="002C7BFC">
        <w:rPr>
          <w:i/>
          <w:lang w:val="fr-CA"/>
        </w:rPr>
        <w:t>Andrew</w:t>
      </w:r>
      <w:r w:rsidR="00470A48">
        <w:rPr>
          <w:i/>
          <w:lang w:val="fr-CA"/>
        </w:rPr>
        <w:t xml:space="preserve"> </w:t>
      </w:r>
      <w:r w:rsidR="000C0ADE" w:rsidRPr="002C7BFC">
        <w:rPr>
          <w:i/>
          <w:lang w:val="fr-CA"/>
        </w:rPr>
        <w:t xml:space="preserve">E. </w:t>
      </w:r>
      <w:proofErr w:type="spellStart"/>
      <w:r w:rsidR="000C0ADE" w:rsidRPr="002C7BFC">
        <w:rPr>
          <w:i/>
          <w:lang w:val="fr-CA"/>
        </w:rPr>
        <w:t>Cleland</w:t>
      </w:r>
      <w:proofErr w:type="spellEnd"/>
      <w:r w:rsidRPr="002C7BFC">
        <w:rPr>
          <w:lang w:val="fr-CA"/>
        </w:rPr>
        <w:t>, pour l</w:t>
      </w:r>
      <w:r w:rsidR="000C0ADE" w:rsidRPr="002C7BFC">
        <w:rPr>
          <w:lang w:val="fr-CA"/>
        </w:rPr>
        <w:t>’</w:t>
      </w:r>
      <w:r w:rsidRPr="002C7BFC">
        <w:rPr>
          <w:lang w:val="fr-CA"/>
        </w:rPr>
        <w:t>appelant.</w:t>
      </w:r>
    </w:p>
    <w:p w:rsidR="00A66E31" w:rsidRPr="002C7BFC" w:rsidRDefault="00354DEA" w:rsidP="00470A48">
      <w:pPr>
        <w:pStyle w:val="SCCNormalDoubleSpacing"/>
        <w:widowControl w:val="0"/>
        <w:spacing w:after="480"/>
        <w:rPr>
          <w:lang w:val="fr-CA"/>
        </w:rPr>
      </w:pPr>
      <w:r w:rsidRPr="002C7BFC">
        <w:rPr>
          <w:i/>
          <w:lang w:val="fr-CA"/>
        </w:rPr>
        <w:tab/>
      </w:r>
      <w:proofErr w:type="spellStart"/>
      <w:r w:rsidRPr="002C7BFC">
        <w:rPr>
          <w:i/>
          <w:lang w:val="fr-CA"/>
        </w:rPr>
        <w:t>Raynold</w:t>
      </w:r>
      <w:proofErr w:type="spellEnd"/>
      <w:r w:rsidRPr="002C7BFC">
        <w:rPr>
          <w:i/>
          <w:lang w:val="fr-CA"/>
        </w:rPr>
        <w:t xml:space="preserve"> Langlois</w:t>
      </w:r>
      <w:r w:rsidRPr="002C7BFC">
        <w:rPr>
          <w:lang w:val="fr-CA"/>
        </w:rPr>
        <w:t xml:space="preserve">, </w:t>
      </w:r>
      <w:proofErr w:type="gramStart"/>
      <w:r w:rsidRPr="002C7BFC">
        <w:rPr>
          <w:i/>
          <w:lang w:val="fr-CA"/>
        </w:rPr>
        <w:t>c.r.</w:t>
      </w:r>
      <w:r w:rsidRPr="002C7BFC">
        <w:rPr>
          <w:lang w:val="fr-CA"/>
        </w:rPr>
        <w:t>,</w:t>
      </w:r>
      <w:proofErr w:type="gramEnd"/>
      <w:r w:rsidRPr="002C7BFC">
        <w:rPr>
          <w:lang w:val="fr-CA"/>
        </w:rPr>
        <w:t xml:space="preserve"> </w:t>
      </w:r>
      <w:r w:rsidRPr="002C7BFC">
        <w:rPr>
          <w:i/>
          <w:lang w:val="fr-CA"/>
        </w:rPr>
        <w:t>Vincent de l</w:t>
      </w:r>
      <w:r w:rsidR="00A81B76" w:rsidRPr="002C7BFC">
        <w:rPr>
          <w:i/>
          <w:lang w:val="fr-CA"/>
        </w:rPr>
        <w:t>’</w:t>
      </w:r>
      <w:r w:rsidRPr="002C7BFC">
        <w:rPr>
          <w:i/>
          <w:lang w:val="fr-CA"/>
        </w:rPr>
        <w:t>Étoile</w:t>
      </w:r>
      <w:r w:rsidRPr="002C7BFC">
        <w:rPr>
          <w:lang w:val="fr-CA"/>
        </w:rPr>
        <w:t xml:space="preserve"> et </w:t>
      </w:r>
      <w:r w:rsidRPr="002C7BFC">
        <w:rPr>
          <w:i/>
          <w:lang w:val="fr-CA"/>
        </w:rPr>
        <w:t xml:space="preserve">Chantal </w:t>
      </w:r>
      <w:proofErr w:type="spellStart"/>
      <w:r w:rsidRPr="002C7BFC">
        <w:rPr>
          <w:i/>
          <w:lang w:val="fr-CA"/>
        </w:rPr>
        <w:t>Chatelain</w:t>
      </w:r>
      <w:proofErr w:type="spellEnd"/>
      <w:r w:rsidRPr="002C7BFC">
        <w:rPr>
          <w:lang w:val="fr-CA"/>
        </w:rPr>
        <w:t>, pour l</w:t>
      </w:r>
      <w:r w:rsidR="009634DC" w:rsidRPr="002C7BFC">
        <w:rPr>
          <w:lang w:val="fr-CA"/>
        </w:rPr>
        <w:t>’</w:t>
      </w:r>
      <w:r w:rsidRPr="002C7BFC">
        <w:rPr>
          <w:lang w:val="fr-CA"/>
        </w:rPr>
        <w:t>intimée.</w:t>
      </w:r>
    </w:p>
    <w:p w:rsidR="000A2189" w:rsidRPr="002C7BFC" w:rsidRDefault="00BE5B90" w:rsidP="00470A48">
      <w:pPr>
        <w:pStyle w:val="SCCNormalDoubleSpacing"/>
        <w:widowControl w:val="0"/>
        <w:spacing w:after="480"/>
        <w:rPr>
          <w:lang w:val="fr-CA"/>
        </w:rPr>
      </w:pPr>
      <w:r w:rsidRPr="002C7BFC">
        <w:rPr>
          <w:i/>
          <w:lang w:val="fr-CA"/>
        </w:rPr>
        <w:tab/>
        <w:t>Janet</w:t>
      </w:r>
      <w:r w:rsidR="00470A48">
        <w:rPr>
          <w:i/>
          <w:lang w:val="fr-CA"/>
        </w:rPr>
        <w:t xml:space="preserve"> </w:t>
      </w:r>
      <w:r w:rsidR="000A2189" w:rsidRPr="002C7BFC">
        <w:rPr>
          <w:i/>
          <w:lang w:val="fr-CA"/>
        </w:rPr>
        <w:t xml:space="preserve">E. </w:t>
      </w:r>
      <w:proofErr w:type="spellStart"/>
      <w:r w:rsidR="000A2189" w:rsidRPr="002C7BFC">
        <w:rPr>
          <w:i/>
          <w:lang w:val="fr-CA"/>
        </w:rPr>
        <w:t>Minor</w:t>
      </w:r>
      <w:proofErr w:type="spellEnd"/>
      <w:r w:rsidR="000A2189" w:rsidRPr="002C7BFC">
        <w:rPr>
          <w:lang w:val="fr-CA"/>
        </w:rPr>
        <w:t xml:space="preserve"> et </w:t>
      </w:r>
      <w:r w:rsidRPr="002C7BFC">
        <w:rPr>
          <w:i/>
          <w:lang w:val="fr-CA"/>
        </w:rPr>
        <w:t>Robert</w:t>
      </w:r>
      <w:r w:rsidR="00470A48">
        <w:rPr>
          <w:i/>
          <w:lang w:val="fr-CA"/>
        </w:rPr>
        <w:t xml:space="preserve"> </w:t>
      </w:r>
      <w:r w:rsidR="000A2189" w:rsidRPr="002C7BFC">
        <w:rPr>
          <w:i/>
          <w:lang w:val="fr-CA"/>
        </w:rPr>
        <w:t>A. Donato</w:t>
      </w:r>
      <w:r w:rsidR="000A2189" w:rsidRPr="002C7BFC">
        <w:rPr>
          <w:lang w:val="fr-CA"/>
        </w:rPr>
        <w:t>, pour l’intervenant le procureur général de l’Ontario.</w:t>
      </w:r>
    </w:p>
    <w:p w:rsidR="00A66E31" w:rsidRPr="002C7BFC" w:rsidRDefault="00354DEA" w:rsidP="00470A48">
      <w:pPr>
        <w:pStyle w:val="SCCNormalDoubleSpacing"/>
        <w:widowControl w:val="0"/>
        <w:spacing w:after="480"/>
        <w:rPr>
          <w:lang w:val="fr-CA"/>
        </w:rPr>
      </w:pPr>
      <w:r w:rsidRPr="002C7BFC">
        <w:rPr>
          <w:i/>
          <w:lang w:val="fr-CA"/>
        </w:rPr>
        <w:lastRenderedPageBreak/>
        <w:tab/>
        <w:t>Jean</w:t>
      </w:r>
      <w:r w:rsidR="00470A48">
        <w:rPr>
          <w:i/>
          <w:lang w:val="fr-CA"/>
        </w:rPr>
        <w:t>-</w:t>
      </w:r>
      <w:r w:rsidRPr="002C7BFC">
        <w:rPr>
          <w:i/>
          <w:lang w:val="fr-CA"/>
        </w:rPr>
        <w:t xml:space="preserve">François </w:t>
      </w:r>
      <w:proofErr w:type="spellStart"/>
      <w:r w:rsidRPr="002C7BFC">
        <w:rPr>
          <w:i/>
          <w:lang w:val="fr-CA"/>
        </w:rPr>
        <w:t>Jobin</w:t>
      </w:r>
      <w:proofErr w:type="spellEnd"/>
      <w:r w:rsidRPr="002C7BFC">
        <w:rPr>
          <w:lang w:val="fr-CA"/>
        </w:rPr>
        <w:t xml:space="preserve">, </w:t>
      </w:r>
      <w:r w:rsidRPr="002C7BFC">
        <w:rPr>
          <w:i/>
          <w:lang w:val="fr-CA"/>
        </w:rPr>
        <w:t>Francis Demers</w:t>
      </w:r>
      <w:r w:rsidRPr="002C7BFC">
        <w:rPr>
          <w:lang w:val="fr-CA"/>
        </w:rPr>
        <w:t xml:space="preserve"> et </w:t>
      </w:r>
      <w:r w:rsidRPr="002C7BFC">
        <w:rPr>
          <w:i/>
          <w:lang w:val="fr-CA"/>
        </w:rPr>
        <w:t>Samuel Chayer</w:t>
      </w:r>
      <w:r w:rsidRPr="002C7BFC">
        <w:rPr>
          <w:lang w:val="fr-CA"/>
        </w:rPr>
        <w:t>, pour l</w:t>
      </w:r>
      <w:r w:rsidR="000A2189" w:rsidRPr="002C7BFC">
        <w:rPr>
          <w:lang w:val="fr-CA"/>
        </w:rPr>
        <w:t>’</w:t>
      </w:r>
      <w:r w:rsidRPr="002C7BFC">
        <w:rPr>
          <w:lang w:val="fr-CA"/>
        </w:rPr>
        <w:t>intervenant</w:t>
      </w:r>
      <w:r w:rsidR="000A2189" w:rsidRPr="002C7BFC">
        <w:rPr>
          <w:lang w:val="fr-CA"/>
        </w:rPr>
        <w:t xml:space="preserve"> le p</w:t>
      </w:r>
      <w:r w:rsidRPr="002C7BFC">
        <w:rPr>
          <w:lang w:val="fr-CA"/>
        </w:rPr>
        <w:t>rocureur général du Québec.</w:t>
      </w:r>
    </w:p>
    <w:p w:rsidR="00A66E31" w:rsidRPr="002C7BFC" w:rsidRDefault="00354DEA" w:rsidP="00470A48">
      <w:pPr>
        <w:pStyle w:val="SCCNormalDoubleSpacing"/>
        <w:widowControl w:val="0"/>
        <w:spacing w:after="480"/>
        <w:rPr>
          <w:lang w:val="fr-CA"/>
        </w:rPr>
      </w:pPr>
      <w:r w:rsidRPr="002C7BFC">
        <w:rPr>
          <w:i/>
          <w:lang w:val="fr-CA"/>
        </w:rPr>
        <w:tab/>
        <w:t>Marc Migneault</w:t>
      </w:r>
      <w:r w:rsidR="000A2189" w:rsidRPr="002C7BFC">
        <w:rPr>
          <w:lang w:val="fr-CA"/>
        </w:rPr>
        <w:t xml:space="preserve"> et </w:t>
      </w:r>
      <w:r w:rsidR="000A2189" w:rsidRPr="002C7BFC">
        <w:rPr>
          <w:i/>
          <w:lang w:val="fr-CA"/>
        </w:rPr>
        <w:t>Joël Simard</w:t>
      </w:r>
      <w:r w:rsidRPr="002C7BFC">
        <w:rPr>
          <w:lang w:val="fr-CA"/>
        </w:rPr>
        <w:t>, pour l</w:t>
      </w:r>
      <w:r w:rsidR="000A2189" w:rsidRPr="002C7BFC">
        <w:rPr>
          <w:lang w:val="fr-CA"/>
        </w:rPr>
        <w:t>’</w:t>
      </w:r>
      <w:r w:rsidRPr="002C7BFC">
        <w:rPr>
          <w:lang w:val="fr-CA"/>
        </w:rPr>
        <w:t>intervenant</w:t>
      </w:r>
      <w:r w:rsidR="000A2189" w:rsidRPr="002C7BFC">
        <w:rPr>
          <w:lang w:val="fr-CA"/>
        </w:rPr>
        <w:t xml:space="preserve"> le </w:t>
      </w:r>
      <w:r w:rsidR="00163B1F">
        <w:rPr>
          <w:lang w:val="fr-CA"/>
        </w:rPr>
        <w:t>p</w:t>
      </w:r>
      <w:r w:rsidRPr="002C7BFC">
        <w:rPr>
          <w:lang w:val="fr-CA"/>
        </w:rPr>
        <w:t>résident de l</w:t>
      </w:r>
      <w:r w:rsidR="000A2189" w:rsidRPr="002C7BFC">
        <w:rPr>
          <w:lang w:val="fr-CA"/>
        </w:rPr>
        <w:t>’</w:t>
      </w:r>
      <w:r w:rsidRPr="002C7BFC">
        <w:rPr>
          <w:lang w:val="fr-CA"/>
        </w:rPr>
        <w:t>Office de la protection du consommateur.</w:t>
      </w:r>
    </w:p>
    <w:p w:rsidR="00B24911" w:rsidRPr="00B7015E" w:rsidRDefault="00B7015E" w:rsidP="00470A48">
      <w:pPr>
        <w:pStyle w:val="JudgeJuge"/>
        <w:widowControl w:val="0"/>
        <w:spacing w:before="480"/>
        <w:rPr>
          <w:smallCaps w:val="0"/>
          <w:lang w:val="fr-CA"/>
        </w:rPr>
      </w:pPr>
      <w:r w:rsidRPr="00B7015E">
        <w:rPr>
          <w:smallCaps w:val="0"/>
          <w:lang w:val="fr-CA"/>
        </w:rPr>
        <w:tab/>
        <w:t>Versi</w:t>
      </w:r>
      <w:r>
        <w:rPr>
          <w:smallCaps w:val="0"/>
          <w:lang w:val="fr-CA"/>
        </w:rPr>
        <w:t>on française du jugement de la Cour rendu par</w:t>
      </w:r>
    </w:p>
    <w:p w:rsidR="00B24911" w:rsidRPr="0056797A" w:rsidRDefault="00B24911" w:rsidP="00470A48">
      <w:pPr>
        <w:pStyle w:val="JudgeJuge"/>
        <w:widowControl w:val="0"/>
        <w:spacing w:before="480"/>
        <w:rPr>
          <w:lang w:val="fr-CA"/>
        </w:rPr>
      </w:pPr>
      <w:r w:rsidRPr="0056797A">
        <w:rPr>
          <w:lang w:val="fr-CA"/>
        </w:rPr>
        <w:tab/>
        <w:t xml:space="preserve">Les juges </w:t>
      </w:r>
      <w:proofErr w:type="spellStart"/>
      <w:r w:rsidRPr="0056797A">
        <w:rPr>
          <w:lang w:val="fr-CA"/>
        </w:rPr>
        <w:t>Rothstein</w:t>
      </w:r>
      <w:proofErr w:type="spellEnd"/>
      <w:r w:rsidRPr="0056797A">
        <w:rPr>
          <w:lang w:val="fr-CA"/>
        </w:rPr>
        <w:t xml:space="preserve"> et Wagner — </w:t>
      </w:r>
    </w:p>
    <w:p w:rsidR="00B24911" w:rsidRPr="0056797A" w:rsidRDefault="00B24911" w:rsidP="00470A48">
      <w:pPr>
        <w:pStyle w:val="Title1LevelTitre1Niveau-AltL"/>
        <w:widowControl w:val="0"/>
        <w:rPr>
          <w:rFonts w:cs="Times New Roman"/>
          <w:lang w:val="fr-CA"/>
        </w:rPr>
      </w:pPr>
      <w:r w:rsidRPr="0056797A">
        <w:rPr>
          <w:rFonts w:cs="Times New Roman"/>
          <w:lang w:val="fr-CA"/>
        </w:rPr>
        <w:t>Introduction</w:t>
      </w:r>
    </w:p>
    <w:p w:rsidR="00B24911" w:rsidRPr="0056797A" w:rsidRDefault="00B24911" w:rsidP="00470A48">
      <w:pPr>
        <w:pStyle w:val="ParaNoNdepar-AltN"/>
        <w:widowControl w:val="0"/>
        <w:rPr>
          <w:rFonts w:cs="Times New Roman"/>
          <w:lang w:val="fr-CA"/>
        </w:rPr>
      </w:pPr>
      <w:r w:rsidRPr="0056797A">
        <w:rPr>
          <w:rFonts w:cs="Times New Roman"/>
          <w:lang w:val="fr-CA"/>
        </w:rPr>
        <w:t>La Fédération des caisses Desjardins du Québec est une coopérative québécoise de services financiers qui émet des cartes de crédit. Ces cartes permettent entre autres à leurs titulaires de faire des achats en devises étrangères. Des frais de conversion s</w:t>
      </w:r>
      <w:r>
        <w:rPr>
          <w:rFonts w:cs="Times New Roman"/>
          <w:lang w:val="fr-CA"/>
        </w:rPr>
        <w:t>’</w:t>
      </w:r>
      <w:r w:rsidRPr="0056797A">
        <w:rPr>
          <w:rFonts w:cs="Times New Roman"/>
          <w:lang w:val="fr-CA"/>
        </w:rPr>
        <w:t>appliquent à ces opérations, c</w:t>
      </w:r>
      <w:r>
        <w:rPr>
          <w:rFonts w:cs="Times New Roman"/>
          <w:lang w:val="fr-CA"/>
        </w:rPr>
        <w:t>’</w:t>
      </w:r>
      <w:r w:rsidRPr="0056797A">
        <w:rPr>
          <w:rFonts w:cs="Times New Roman"/>
          <w:lang w:val="fr-CA"/>
        </w:rPr>
        <w:t>est</w:t>
      </w:r>
      <w:r w:rsidR="00470A48">
        <w:rPr>
          <w:rFonts w:cs="Times New Roman"/>
          <w:lang w:val="fr-CA"/>
        </w:rPr>
        <w:t>-</w:t>
      </w:r>
      <w:r w:rsidRPr="0056797A">
        <w:rPr>
          <w:rFonts w:cs="Times New Roman"/>
          <w:lang w:val="fr-CA"/>
        </w:rPr>
        <w:t>à</w:t>
      </w:r>
      <w:r w:rsidR="00470A48">
        <w:rPr>
          <w:rFonts w:cs="Times New Roman"/>
          <w:lang w:val="fr-CA"/>
        </w:rPr>
        <w:t>-</w:t>
      </w:r>
      <w:r w:rsidRPr="0056797A">
        <w:rPr>
          <w:rFonts w:cs="Times New Roman"/>
          <w:lang w:val="fr-CA"/>
        </w:rPr>
        <w:t>dire qu</w:t>
      </w:r>
      <w:r>
        <w:rPr>
          <w:rFonts w:cs="Times New Roman"/>
          <w:lang w:val="fr-CA"/>
        </w:rPr>
        <w:t>’</w:t>
      </w:r>
      <w:r w:rsidRPr="0056797A">
        <w:rPr>
          <w:rFonts w:cs="Times New Roman"/>
          <w:lang w:val="fr-CA"/>
        </w:rPr>
        <w:t xml:space="preserve">un pourcentage de la somme convertie est exigé pour ce service de conversion. La </w:t>
      </w:r>
      <w:r w:rsidRPr="0056797A">
        <w:rPr>
          <w:rFonts w:cs="Times New Roman"/>
          <w:i/>
          <w:lang w:val="fr-CA"/>
        </w:rPr>
        <w:t xml:space="preserve">Loi sur la protection du consommateur </w:t>
      </w:r>
      <w:r w:rsidRPr="0056797A">
        <w:rPr>
          <w:rFonts w:cs="Times New Roman"/>
          <w:lang w:val="fr-CA"/>
        </w:rPr>
        <w:t>du Québec, RLRQ</w:t>
      </w:r>
      <w:r w:rsidR="00B7015E">
        <w:rPr>
          <w:rFonts w:cs="Times New Roman"/>
          <w:lang w:val="fr-CA"/>
        </w:rPr>
        <w:t>,</w:t>
      </w:r>
      <w:r w:rsidRPr="0056797A">
        <w:rPr>
          <w:rFonts w:cs="Times New Roman"/>
          <w:lang w:val="fr-CA"/>
        </w:rPr>
        <w:t xml:space="preserve"> ch.</w:t>
      </w:r>
      <w:r w:rsidR="00470A48">
        <w:rPr>
          <w:rFonts w:cs="Times New Roman"/>
          <w:lang w:val="fr-CA"/>
        </w:rPr>
        <w:t xml:space="preserve"> </w:t>
      </w:r>
      <w:r w:rsidRPr="0056797A">
        <w:rPr>
          <w:rFonts w:cs="Times New Roman"/>
          <w:lang w:val="fr-CA"/>
        </w:rPr>
        <w:t>P</w:t>
      </w:r>
      <w:r w:rsidR="00470A48">
        <w:rPr>
          <w:rFonts w:cs="Times New Roman"/>
          <w:lang w:val="fr-CA"/>
        </w:rPr>
        <w:t>-</w:t>
      </w:r>
      <w:r w:rsidRPr="0056797A">
        <w:rPr>
          <w:rFonts w:cs="Times New Roman"/>
          <w:lang w:val="fr-CA"/>
        </w:rPr>
        <w:t>40.1 (</w:t>
      </w:r>
      <w:r w:rsidR="00470A48">
        <w:rPr>
          <w:rFonts w:cs="Times New Roman"/>
          <w:lang w:val="fr-CA"/>
        </w:rPr>
        <w:t>« </w:t>
      </w:r>
      <w:proofErr w:type="spellStart"/>
      <w:r w:rsidRPr="0056797A">
        <w:rPr>
          <w:rFonts w:cs="Times New Roman"/>
          <w:i/>
          <w:lang w:val="fr-CA"/>
        </w:rPr>
        <w:t>L.p.c</w:t>
      </w:r>
      <w:proofErr w:type="spellEnd"/>
      <w:r w:rsidRPr="0056797A">
        <w:rPr>
          <w:rFonts w:cs="Times New Roman"/>
          <w:i/>
          <w:lang w:val="fr-CA"/>
        </w:rPr>
        <w:t>.</w:t>
      </w:r>
      <w:r w:rsidR="00470A48">
        <w:rPr>
          <w:rFonts w:cs="Times New Roman"/>
          <w:i/>
          <w:lang w:val="fr-CA"/>
        </w:rPr>
        <w:t> »</w:t>
      </w:r>
      <w:r w:rsidRPr="0056797A">
        <w:rPr>
          <w:rFonts w:cs="Times New Roman"/>
          <w:lang w:val="fr-CA"/>
        </w:rPr>
        <w:t>)</w:t>
      </w:r>
      <w:r>
        <w:rPr>
          <w:rFonts w:cs="Times New Roman"/>
          <w:lang w:val="fr-CA"/>
        </w:rPr>
        <w:t>,</w:t>
      </w:r>
      <w:r w:rsidRPr="0056797A">
        <w:rPr>
          <w:rFonts w:cs="Times New Roman"/>
          <w:lang w:val="fr-CA"/>
        </w:rPr>
        <w:t xml:space="preserve"> impose différentes règles sur la teneur et la mention des frais et droits dans les contrats de crédit variable, tels que les contrats de cartes de crédit. À l</w:t>
      </w:r>
      <w:r>
        <w:rPr>
          <w:rFonts w:cs="Times New Roman"/>
          <w:lang w:val="fr-CA"/>
        </w:rPr>
        <w:t>’</w:t>
      </w:r>
      <w:r w:rsidRPr="0056797A">
        <w:rPr>
          <w:rFonts w:cs="Times New Roman"/>
          <w:lang w:val="fr-CA"/>
        </w:rPr>
        <w:t xml:space="preserve">instar des pourvois connexes </w:t>
      </w:r>
      <w:r w:rsidRPr="0056797A">
        <w:rPr>
          <w:rFonts w:cs="Times New Roman"/>
          <w:i/>
          <w:lang w:val="fr-CA"/>
        </w:rPr>
        <w:t>Banque de Montréal c. Marcotte</w:t>
      </w:r>
      <w:r w:rsidRPr="0056797A">
        <w:rPr>
          <w:rFonts w:cs="Times New Roman"/>
          <w:lang w:val="fr-CA"/>
        </w:rPr>
        <w:t>, 2014 CSC 55</w:t>
      </w:r>
      <w:r w:rsidR="002A6161">
        <w:rPr>
          <w:rFonts w:cs="Times New Roman"/>
          <w:lang w:val="fr-CA"/>
        </w:rPr>
        <w:t>, [2014] 2 R.C.S. 726</w:t>
      </w:r>
      <w:r w:rsidRPr="0056797A">
        <w:rPr>
          <w:rFonts w:cs="Times New Roman"/>
          <w:lang w:val="fr-CA"/>
        </w:rPr>
        <w:t xml:space="preserve"> (</w:t>
      </w:r>
      <w:r w:rsidR="00470A48">
        <w:rPr>
          <w:rFonts w:cs="Times New Roman"/>
          <w:lang w:val="fr-CA"/>
        </w:rPr>
        <w:t>« </w:t>
      </w:r>
      <w:r w:rsidRPr="0056797A">
        <w:rPr>
          <w:rFonts w:cs="Times New Roman"/>
          <w:lang w:val="fr-CA"/>
        </w:rPr>
        <w:t>arrêt BMO</w:t>
      </w:r>
      <w:r w:rsidR="00470A48">
        <w:rPr>
          <w:rFonts w:cs="Times New Roman"/>
          <w:lang w:val="fr-CA"/>
        </w:rPr>
        <w:t> »</w:t>
      </w:r>
      <w:r w:rsidRPr="0056797A">
        <w:rPr>
          <w:rFonts w:cs="Times New Roman"/>
          <w:lang w:val="fr-CA"/>
        </w:rPr>
        <w:t>)</w:t>
      </w:r>
      <w:r>
        <w:rPr>
          <w:rFonts w:cs="Times New Roman"/>
          <w:lang w:val="fr-CA"/>
        </w:rPr>
        <w:t>,</w:t>
      </w:r>
      <w:r w:rsidRPr="0056797A">
        <w:rPr>
          <w:rFonts w:cs="Times New Roman"/>
          <w:lang w:val="fr-CA"/>
        </w:rPr>
        <w:t xml:space="preserve"> et </w:t>
      </w:r>
      <w:r w:rsidRPr="0056797A">
        <w:rPr>
          <w:rFonts w:cs="Times New Roman"/>
          <w:i/>
          <w:lang w:val="fr-CA"/>
        </w:rPr>
        <w:t>Banque Amex du Canada c. Adams</w:t>
      </w:r>
      <w:r w:rsidRPr="0056797A">
        <w:rPr>
          <w:rFonts w:cs="Times New Roman"/>
          <w:lang w:val="fr-CA"/>
        </w:rPr>
        <w:t>, 2014 CSC 56</w:t>
      </w:r>
      <w:r w:rsidR="002A6161">
        <w:rPr>
          <w:rFonts w:cs="Times New Roman"/>
          <w:lang w:val="fr-CA"/>
        </w:rPr>
        <w:t xml:space="preserve">, [2014] 2 R.C.S. </w:t>
      </w:r>
      <w:r w:rsidR="00ED1995">
        <w:rPr>
          <w:rFonts w:cs="Times New Roman"/>
          <w:lang w:val="fr-CA"/>
        </w:rPr>
        <w:t>788</w:t>
      </w:r>
      <w:r w:rsidRPr="0056797A">
        <w:rPr>
          <w:rFonts w:cs="Times New Roman"/>
          <w:lang w:val="fr-CA"/>
        </w:rPr>
        <w:t xml:space="preserve"> (</w:t>
      </w:r>
      <w:r w:rsidR="00470A48">
        <w:rPr>
          <w:rFonts w:cs="Times New Roman"/>
          <w:lang w:val="fr-CA"/>
        </w:rPr>
        <w:t>« </w:t>
      </w:r>
      <w:r w:rsidRPr="0056797A">
        <w:rPr>
          <w:rFonts w:cs="Times New Roman"/>
          <w:lang w:val="fr-CA"/>
        </w:rPr>
        <w:t>arrêt Amex</w:t>
      </w:r>
      <w:r w:rsidR="00470A48">
        <w:rPr>
          <w:rFonts w:cs="Times New Roman"/>
          <w:lang w:val="fr-CA"/>
        </w:rPr>
        <w:t> »</w:t>
      </w:r>
      <w:r w:rsidRPr="0056797A">
        <w:rPr>
          <w:rFonts w:cs="Times New Roman"/>
          <w:lang w:val="fr-CA"/>
        </w:rPr>
        <w:t xml:space="preserve">), le présent pourvoi soulève la question de savoir si la manière dont les frais de conversion ont été mentionnés et imposés par Desjardins respectait la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 xml:space="preserve"> </w:t>
      </w:r>
    </w:p>
    <w:p w:rsidR="00B24911" w:rsidRPr="0056797A" w:rsidRDefault="00B24911" w:rsidP="00470A48">
      <w:pPr>
        <w:pStyle w:val="ParaNoNdepar-AltN"/>
        <w:widowControl w:val="0"/>
        <w:rPr>
          <w:rFonts w:cs="Times New Roman"/>
          <w:lang w:val="fr-CA"/>
        </w:rPr>
      </w:pPr>
      <w:r w:rsidRPr="0056797A">
        <w:rPr>
          <w:rFonts w:cs="Times New Roman"/>
          <w:lang w:val="fr-CA"/>
        </w:rPr>
        <w:lastRenderedPageBreak/>
        <w:t>Plusieurs des questions soulevées dans le présent pourvoi sont abordées dans l</w:t>
      </w:r>
      <w:r>
        <w:rPr>
          <w:rFonts w:cs="Times New Roman"/>
          <w:lang w:val="fr-CA"/>
        </w:rPr>
        <w:t>’</w:t>
      </w:r>
      <w:r w:rsidRPr="0056797A">
        <w:rPr>
          <w:rFonts w:cs="Times New Roman"/>
          <w:lang w:val="fr-CA"/>
        </w:rPr>
        <w:t xml:space="preserve">arrêt BMO. Les présents motifs en abordent deux autres. Dans un premier temps, nous répondrons à la question de savoir si le paiement fait par carte de crédit est de même nature que celui fait par lettre de change, une matière qui relève de la compétence exclusive du Parlement en vertu de la </w:t>
      </w:r>
      <w:r w:rsidRPr="0056797A">
        <w:rPr>
          <w:rFonts w:cs="Times New Roman"/>
          <w:i/>
          <w:lang w:val="fr-CA"/>
        </w:rPr>
        <w:t>Loi constitutionnelle de 1867</w:t>
      </w:r>
      <w:r w:rsidRPr="0056797A">
        <w:rPr>
          <w:rFonts w:cs="Times New Roman"/>
          <w:lang w:val="fr-CA"/>
        </w:rPr>
        <w:t>, de sorte que les doctrines de l</w:t>
      </w:r>
      <w:r>
        <w:rPr>
          <w:rFonts w:cs="Times New Roman"/>
          <w:lang w:val="fr-CA"/>
        </w:rPr>
        <w:t>’</w:t>
      </w:r>
      <w:r w:rsidRPr="0056797A">
        <w:rPr>
          <w:rFonts w:cs="Times New Roman"/>
          <w:lang w:val="fr-CA"/>
        </w:rPr>
        <w:t>exclusivité des compétences et de la prépondérance fédérale pourraient s</w:t>
      </w:r>
      <w:r>
        <w:rPr>
          <w:rFonts w:cs="Times New Roman"/>
          <w:lang w:val="fr-CA"/>
        </w:rPr>
        <w:t>’</w:t>
      </w:r>
      <w:r w:rsidRPr="0056797A">
        <w:rPr>
          <w:rFonts w:cs="Times New Roman"/>
          <w:lang w:val="fr-CA"/>
        </w:rPr>
        <w:t xml:space="preserve">appliquer. Puis, nous déterminerons si Desjardins a respecté les règles de la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 xml:space="preserve"> en ce qui a trait à la mention des frais de conversion. </w:t>
      </w:r>
    </w:p>
    <w:p w:rsidR="00B24911" w:rsidRPr="0056797A" w:rsidRDefault="00B24911" w:rsidP="00470A48">
      <w:pPr>
        <w:pStyle w:val="Title1LevelTitre1Niveau-AltL"/>
        <w:widowControl w:val="0"/>
        <w:rPr>
          <w:rFonts w:cs="Times New Roman"/>
          <w:lang w:val="fr-CA"/>
        </w:rPr>
      </w:pPr>
      <w:r w:rsidRPr="0056797A">
        <w:rPr>
          <w:rFonts w:cs="Times New Roman"/>
          <w:lang w:val="fr-CA"/>
        </w:rPr>
        <w:t>Les faits</w:t>
      </w:r>
    </w:p>
    <w:p w:rsidR="00B24911" w:rsidRPr="0056797A" w:rsidRDefault="00B24911" w:rsidP="00470A48">
      <w:pPr>
        <w:pStyle w:val="Title2LevelTitre2Niveau"/>
        <w:widowControl w:val="0"/>
        <w:numPr>
          <w:ilvl w:val="0"/>
          <w:numId w:val="0"/>
        </w:numPr>
        <w:rPr>
          <w:rFonts w:cs="Times New Roman"/>
          <w:lang w:val="fr-CA"/>
        </w:rPr>
      </w:pPr>
      <w:r w:rsidRPr="0056797A">
        <w:rPr>
          <w:rFonts w:cs="Times New Roman"/>
          <w:lang w:val="fr-CA"/>
        </w:rPr>
        <w:t>Conventions régissant l</w:t>
      </w:r>
      <w:r>
        <w:rPr>
          <w:rFonts w:cs="Times New Roman"/>
          <w:lang w:val="fr-CA"/>
        </w:rPr>
        <w:t>’</w:t>
      </w:r>
      <w:r w:rsidRPr="0056797A">
        <w:rPr>
          <w:rFonts w:cs="Times New Roman"/>
          <w:lang w:val="fr-CA"/>
        </w:rPr>
        <w:t>utilisation des cartes émises par Desjardins</w:t>
      </w:r>
    </w:p>
    <w:p w:rsidR="00B24911" w:rsidRPr="0056797A" w:rsidRDefault="00B24911" w:rsidP="00470A48">
      <w:pPr>
        <w:pStyle w:val="ParaNoNdepar-AltN"/>
        <w:widowControl w:val="0"/>
        <w:rPr>
          <w:rFonts w:cs="Times New Roman"/>
          <w:lang w:val="fr-CA"/>
        </w:rPr>
      </w:pPr>
      <w:r w:rsidRPr="0056797A">
        <w:rPr>
          <w:rFonts w:cs="Times New Roman"/>
          <w:lang w:val="fr-CA"/>
        </w:rPr>
        <w:t>Un aperçu général des cartes de crédit et des frais de conversion ainsi que l</w:t>
      </w:r>
      <w:r>
        <w:rPr>
          <w:rFonts w:cs="Times New Roman"/>
          <w:lang w:val="fr-CA"/>
        </w:rPr>
        <w:t>’</w:t>
      </w:r>
      <w:r w:rsidRPr="0056797A">
        <w:rPr>
          <w:rFonts w:cs="Times New Roman"/>
          <w:lang w:val="fr-CA"/>
        </w:rPr>
        <w:t xml:space="preserve">historique procédural des recours collectifs entrepris contre les neuf banques, Desjardins et Banque Amex du Canada (respectivement, le </w:t>
      </w:r>
      <w:r w:rsidR="00470A48">
        <w:rPr>
          <w:rFonts w:cs="Times New Roman"/>
          <w:lang w:val="fr-CA"/>
        </w:rPr>
        <w:t>« </w:t>
      </w:r>
      <w:r w:rsidRPr="0056797A">
        <w:rPr>
          <w:rFonts w:cs="Times New Roman"/>
          <w:lang w:val="fr-CA"/>
        </w:rPr>
        <w:t>recours contre BMO</w:t>
      </w:r>
      <w:r w:rsidR="00470A48">
        <w:rPr>
          <w:rFonts w:cs="Times New Roman"/>
          <w:lang w:val="fr-CA"/>
        </w:rPr>
        <w:t> »</w:t>
      </w:r>
      <w:r w:rsidRPr="0056797A">
        <w:rPr>
          <w:rFonts w:cs="Times New Roman"/>
          <w:lang w:val="fr-CA"/>
        </w:rPr>
        <w:t xml:space="preserve">, le </w:t>
      </w:r>
      <w:r w:rsidR="00470A48">
        <w:rPr>
          <w:rFonts w:cs="Times New Roman"/>
          <w:lang w:val="fr-CA"/>
        </w:rPr>
        <w:t>« </w:t>
      </w:r>
      <w:r w:rsidRPr="0056797A">
        <w:rPr>
          <w:rFonts w:cs="Times New Roman"/>
          <w:lang w:val="fr-CA"/>
        </w:rPr>
        <w:t>recours contre Desjardins</w:t>
      </w:r>
      <w:r w:rsidR="00470A48">
        <w:rPr>
          <w:rFonts w:cs="Times New Roman"/>
          <w:lang w:val="fr-CA"/>
        </w:rPr>
        <w:t> »</w:t>
      </w:r>
      <w:r w:rsidRPr="0056797A">
        <w:rPr>
          <w:rFonts w:cs="Times New Roman"/>
          <w:lang w:val="fr-CA"/>
        </w:rPr>
        <w:t xml:space="preserve"> et le </w:t>
      </w:r>
      <w:r w:rsidR="00470A48">
        <w:rPr>
          <w:rFonts w:cs="Times New Roman"/>
          <w:lang w:val="fr-CA"/>
        </w:rPr>
        <w:t>« </w:t>
      </w:r>
      <w:r w:rsidRPr="0056797A">
        <w:rPr>
          <w:rFonts w:cs="Times New Roman"/>
          <w:lang w:val="fr-CA"/>
        </w:rPr>
        <w:t>recours contre Amex</w:t>
      </w:r>
      <w:r w:rsidR="00470A48">
        <w:rPr>
          <w:rFonts w:cs="Times New Roman"/>
          <w:lang w:val="fr-CA"/>
        </w:rPr>
        <w:t> »</w:t>
      </w:r>
      <w:r w:rsidRPr="0056797A">
        <w:rPr>
          <w:rFonts w:cs="Times New Roman"/>
          <w:lang w:val="fr-CA"/>
        </w:rPr>
        <w:t>), figurent dans l</w:t>
      </w:r>
      <w:r>
        <w:rPr>
          <w:rFonts w:cs="Times New Roman"/>
          <w:lang w:val="fr-CA"/>
        </w:rPr>
        <w:t>’</w:t>
      </w:r>
      <w:r w:rsidRPr="0056797A">
        <w:rPr>
          <w:rFonts w:cs="Times New Roman"/>
          <w:lang w:val="fr-CA"/>
        </w:rPr>
        <w:t xml:space="preserve">arrêt BMO. </w:t>
      </w:r>
    </w:p>
    <w:p w:rsidR="00B24911" w:rsidRPr="0056797A" w:rsidRDefault="00B24911" w:rsidP="00470A48">
      <w:pPr>
        <w:pStyle w:val="ParaNoNdepar-AltN"/>
        <w:widowControl w:val="0"/>
        <w:rPr>
          <w:rFonts w:cs="Times New Roman"/>
          <w:lang w:val="fr-CA"/>
        </w:rPr>
      </w:pPr>
      <w:r w:rsidRPr="0056797A">
        <w:rPr>
          <w:rFonts w:cs="Times New Roman"/>
          <w:lang w:val="fr-CA"/>
        </w:rPr>
        <w:t>Jusqu</w:t>
      </w:r>
      <w:r>
        <w:rPr>
          <w:rFonts w:cs="Times New Roman"/>
          <w:lang w:val="fr-CA"/>
        </w:rPr>
        <w:t>’</w:t>
      </w:r>
      <w:r w:rsidRPr="0056797A">
        <w:rPr>
          <w:rFonts w:cs="Times New Roman"/>
          <w:lang w:val="fr-CA"/>
        </w:rPr>
        <w:t>au 1</w:t>
      </w:r>
      <w:r w:rsidRPr="0056797A">
        <w:rPr>
          <w:rFonts w:cs="Times New Roman"/>
          <w:vertAlign w:val="superscript"/>
          <w:lang w:val="fr-CA"/>
        </w:rPr>
        <w:t>er</w:t>
      </w:r>
      <w:r w:rsidR="00470A48">
        <w:rPr>
          <w:rFonts w:cs="Times New Roman"/>
          <w:lang w:val="fr-CA"/>
        </w:rPr>
        <w:t xml:space="preserve"> </w:t>
      </w:r>
      <w:r w:rsidRPr="0056797A">
        <w:rPr>
          <w:rFonts w:cs="Times New Roman"/>
          <w:lang w:val="fr-CA"/>
        </w:rPr>
        <w:t>avril</w:t>
      </w:r>
      <w:r w:rsidR="00470A48">
        <w:rPr>
          <w:rFonts w:cs="Times New Roman"/>
          <w:lang w:val="fr-CA"/>
        </w:rPr>
        <w:t xml:space="preserve"> </w:t>
      </w:r>
      <w:r w:rsidRPr="0056797A">
        <w:rPr>
          <w:rFonts w:cs="Times New Roman"/>
          <w:lang w:val="fr-CA"/>
        </w:rPr>
        <w:t>2006, les clauses suivantes figuraient dans les conventions régissant l</w:t>
      </w:r>
      <w:r>
        <w:rPr>
          <w:rFonts w:cs="Times New Roman"/>
          <w:lang w:val="fr-CA"/>
        </w:rPr>
        <w:t>’</w:t>
      </w:r>
      <w:r w:rsidRPr="0056797A">
        <w:rPr>
          <w:rFonts w:cs="Times New Roman"/>
          <w:lang w:val="fr-CA"/>
        </w:rPr>
        <w:t>utilisation des cartes de crédit émises par Desjardins</w:t>
      </w:r>
      <w:r w:rsidR="00470A48">
        <w:rPr>
          <w:rFonts w:cs="Times New Roman"/>
          <w:lang w:val="fr-CA"/>
        </w:rPr>
        <w:t> :</w:t>
      </w:r>
    </w:p>
    <w:p w:rsidR="00B24911" w:rsidRPr="0056797A" w:rsidRDefault="00B24911" w:rsidP="00470A48">
      <w:pPr>
        <w:pStyle w:val="Citation-AltC"/>
        <w:widowControl w:val="0"/>
        <w:spacing w:after="240"/>
        <w:ind w:hanging="1166"/>
        <w:contextualSpacing w:val="0"/>
        <w:rPr>
          <w:lang w:val="fr-CA"/>
        </w:rPr>
      </w:pPr>
      <w:r w:rsidRPr="0056797A">
        <w:rPr>
          <w:b/>
          <w:lang w:val="fr-CA"/>
        </w:rPr>
        <w:tab/>
      </w:r>
      <w:r w:rsidRPr="0056797A">
        <w:rPr>
          <w:lang w:val="fr-CA"/>
        </w:rPr>
        <w:t>18.</w:t>
      </w:r>
      <w:r w:rsidR="00470A48">
        <w:rPr>
          <w:lang w:val="fr-CA"/>
        </w:rPr>
        <w:t xml:space="preserve">  </w:t>
      </w:r>
      <w:r w:rsidRPr="0056797A">
        <w:rPr>
          <w:lang w:val="fr-CA"/>
        </w:rPr>
        <w:t xml:space="preserve">Monnaie étrangère </w:t>
      </w:r>
    </w:p>
    <w:p w:rsidR="00B24911" w:rsidRPr="0056797A" w:rsidRDefault="00B24911" w:rsidP="00470A48">
      <w:pPr>
        <w:pStyle w:val="Citation-AltC"/>
        <w:widowControl w:val="0"/>
        <w:spacing w:after="240"/>
        <w:ind w:hanging="1166"/>
        <w:contextualSpacing w:val="0"/>
        <w:rPr>
          <w:lang w:val="fr-CA"/>
        </w:rPr>
      </w:pPr>
      <w:r w:rsidRPr="0056797A">
        <w:rPr>
          <w:lang w:val="fr-CA"/>
        </w:rPr>
        <w:tab/>
        <w:t>Toute avance d</w:t>
      </w:r>
      <w:r>
        <w:rPr>
          <w:lang w:val="fr-CA"/>
        </w:rPr>
        <w:t>’</w:t>
      </w:r>
      <w:r w:rsidRPr="0056797A">
        <w:rPr>
          <w:lang w:val="fr-CA"/>
        </w:rPr>
        <w:t xml:space="preserve">argent ou tout achat effectué en monnaie étrangère avec </w:t>
      </w:r>
      <w:r w:rsidRPr="0056797A">
        <w:rPr>
          <w:lang w:val="fr-CA"/>
        </w:rPr>
        <w:lastRenderedPageBreak/>
        <w:t xml:space="preserve">la carte Visa Desjardins sera payable en monnaie canadienne et la conversion sera faite aux taux de change déterminés par la Fédération lors de la comptabilisation de la pièce justificative. </w:t>
      </w:r>
    </w:p>
    <w:p w:rsidR="00B24911" w:rsidRPr="0056797A" w:rsidRDefault="00B24911" w:rsidP="00470A48">
      <w:pPr>
        <w:pStyle w:val="Citation-AltC"/>
        <w:widowControl w:val="0"/>
        <w:spacing w:after="240"/>
        <w:ind w:left="1168" w:hanging="1168"/>
        <w:contextualSpacing w:val="0"/>
        <w:rPr>
          <w:lang w:val="fr-CA"/>
        </w:rPr>
      </w:pPr>
      <w:r w:rsidRPr="0056797A">
        <w:rPr>
          <w:lang w:val="fr-CA"/>
        </w:rPr>
        <w:tab/>
        <w:t>Le détenteur ne peut tirer un chèque dans une devise autre que la canadienne. Tout chèque tiré en monnaie étrangère sera automatiquement retourné au détenteur.</w:t>
      </w:r>
    </w:p>
    <w:p w:rsidR="00B24911" w:rsidRPr="0056797A" w:rsidRDefault="00B24911" w:rsidP="00470A48">
      <w:pPr>
        <w:pStyle w:val="Citation-AltC"/>
        <w:widowControl w:val="0"/>
        <w:spacing w:after="240"/>
        <w:ind w:hanging="1166"/>
        <w:contextualSpacing w:val="0"/>
        <w:rPr>
          <w:lang w:val="fr-CA"/>
        </w:rPr>
      </w:pPr>
      <w:r w:rsidRPr="0056797A">
        <w:rPr>
          <w:b/>
          <w:lang w:val="fr-CA"/>
        </w:rPr>
        <w:tab/>
      </w:r>
      <w:r w:rsidRPr="0056797A">
        <w:rPr>
          <w:lang w:val="fr-CA"/>
        </w:rPr>
        <w:t>20.</w:t>
      </w:r>
      <w:r w:rsidR="00470A48">
        <w:rPr>
          <w:lang w:val="fr-CA"/>
        </w:rPr>
        <w:t xml:space="preserve">  </w:t>
      </w:r>
      <w:r w:rsidRPr="0056797A">
        <w:rPr>
          <w:lang w:val="fr-CA"/>
        </w:rPr>
        <w:t xml:space="preserve">Frais administratifs </w:t>
      </w:r>
    </w:p>
    <w:p w:rsidR="00B24911" w:rsidRPr="0056797A" w:rsidRDefault="00B24911" w:rsidP="00470A48">
      <w:pPr>
        <w:pStyle w:val="Citation-AltC"/>
        <w:widowControl w:val="0"/>
        <w:spacing w:after="240"/>
        <w:ind w:hanging="1166"/>
        <w:contextualSpacing w:val="0"/>
        <w:rPr>
          <w:lang w:val="fr-CA"/>
        </w:rPr>
      </w:pPr>
      <w:r w:rsidRPr="0056797A">
        <w:rPr>
          <w:lang w:val="fr-CA"/>
        </w:rPr>
        <w:tab/>
        <w:t xml:space="preserve">Sous réserve de la </w:t>
      </w:r>
      <w:r w:rsidRPr="0056797A">
        <w:rPr>
          <w:i/>
          <w:lang w:val="fr-CA"/>
        </w:rPr>
        <w:t>Loi sur la protection du consommateur</w:t>
      </w:r>
      <w:r w:rsidRPr="0056797A">
        <w:rPr>
          <w:lang w:val="fr-CA"/>
        </w:rPr>
        <w:t xml:space="preserve">, le détenteur reconnaît que des frais administratifs lui seront exigés pour toute demande de copie de facture ou relevé de compte et accepte que ces frais soient portés directement à son compte Visa Desjardins. </w:t>
      </w:r>
    </w:p>
    <w:p w:rsidR="00B24911" w:rsidRPr="0056797A" w:rsidRDefault="00B24911" w:rsidP="00470A48">
      <w:pPr>
        <w:pStyle w:val="Citation-AltC"/>
        <w:widowControl w:val="0"/>
        <w:spacing w:after="240"/>
        <w:ind w:hanging="1166"/>
        <w:contextualSpacing w:val="0"/>
        <w:rPr>
          <w:lang w:val="fr-CA"/>
        </w:rPr>
      </w:pPr>
      <w:r w:rsidRPr="0056797A">
        <w:rPr>
          <w:lang w:val="fr-CA"/>
        </w:rPr>
        <w:tab/>
        <w:t>Des frais administratifs seront également exigibles pour toute opération, selon la tarification indiquée à l</w:t>
      </w:r>
      <w:r>
        <w:rPr>
          <w:lang w:val="fr-CA"/>
        </w:rPr>
        <w:t>’</w:t>
      </w:r>
      <w:r w:rsidR="00AB22A0">
        <w:rPr>
          <w:lang w:val="fr-CA"/>
        </w:rPr>
        <w:t>endos [ou au verso]</w:t>
      </w:r>
      <w:r w:rsidRPr="0056797A">
        <w:rPr>
          <w:lang w:val="fr-CA"/>
        </w:rPr>
        <w:t xml:space="preserve"> de son relevé de compte, et le détenteur accepte que ces frais administratifs soient portés directement à son compte Visa Desjardins. </w:t>
      </w:r>
    </w:p>
    <w:p w:rsidR="00B24911" w:rsidRPr="0056797A" w:rsidRDefault="00B24911" w:rsidP="00470A48">
      <w:pPr>
        <w:pStyle w:val="Citation-AltC"/>
        <w:widowControl w:val="0"/>
        <w:ind w:hanging="1166"/>
        <w:rPr>
          <w:lang w:val="fr-CA"/>
        </w:rPr>
      </w:pPr>
      <w:r w:rsidRPr="0056797A">
        <w:rPr>
          <w:lang w:val="fr-CA"/>
        </w:rPr>
        <w:t>(Motifs de la Cour d</w:t>
      </w:r>
      <w:r>
        <w:rPr>
          <w:lang w:val="fr-CA"/>
        </w:rPr>
        <w:t>’</w:t>
      </w:r>
      <w:r w:rsidRPr="0056797A">
        <w:rPr>
          <w:lang w:val="fr-CA"/>
        </w:rPr>
        <w:t xml:space="preserve">appel, 2012 QCCA 1395, </w:t>
      </w:r>
      <w:r w:rsidR="00AB22A0">
        <w:rPr>
          <w:lang w:val="fr-CA"/>
        </w:rPr>
        <w:t>[</w:t>
      </w:r>
      <w:r w:rsidRPr="0056797A">
        <w:rPr>
          <w:lang w:val="fr-CA"/>
        </w:rPr>
        <w:t>2012</w:t>
      </w:r>
      <w:r w:rsidR="00AB22A0">
        <w:rPr>
          <w:lang w:val="fr-CA"/>
        </w:rPr>
        <w:t>]</w:t>
      </w:r>
      <w:r w:rsidRPr="0056797A">
        <w:rPr>
          <w:lang w:val="fr-CA"/>
        </w:rPr>
        <w:t xml:space="preserve"> R.J.Q. 1526, par.</w:t>
      </w:r>
      <w:r w:rsidR="00470A48">
        <w:rPr>
          <w:lang w:val="fr-CA"/>
        </w:rPr>
        <w:t xml:space="preserve"> </w:t>
      </w:r>
      <w:r w:rsidRPr="0056797A">
        <w:rPr>
          <w:lang w:val="fr-CA"/>
        </w:rPr>
        <w:t>14)</w:t>
      </w:r>
    </w:p>
    <w:p w:rsidR="00B24911" w:rsidRPr="0056797A" w:rsidRDefault="00B24911" w:rsidP="00470A48">
      <w:pPr>
        <w:pStyle w:val="ParaNoNdepar-AltN"/>
        <w:widowControl w:val="0"/>
        <w:rPr>
          <w:rFonts w:cs="Times New Roman"/>
          <w:lang w:val="fr-CA"/>
        </w:rPr>
      </w:pPr>
      <w:r w:rsidRPr="0056797A">
        <w:rPr>
          <w:rFonts w:cs="Times New Roman"/>
          <w:lang w:val="fr-CA"/>
        </w:rPr>
        <w:t>Le 1</w:t>
      </w:r>
      <w:r w:rsidRPr="0056797A">
        <w:rPr>
          <w:rFonts w:cs="Times New Roman"/>
          <w:vertAlign w:val="superscript"/>
          <w:lang w:val="fr-CA"/>
        </w:rPr>
        <w:t>er</w:t>
      </w:r>
      <w:r w:rsidR="00470A48">
        <w:rPr>
          <w:rFonts w:cs="Times New Roman"/>
          <w:lang w:val="fr-CA"/>
        </w:rPr>
        <w:t xml:space="preserve"> </w:t>
      </w:r>
      <w:r w:rsidRPr="0056797A">
        <w:rPr>
          <w:rFonts w:cs="Times New Roman"/>
          <w:lang w:val="fr-CA"/>
        </w:rPr>
        <w:t>avril</w:t>
      </w:r>
      <w:r w:rsidR="00470A48">
        <w:rPr>
          <w:rFonts w:cs="Times New Roman"/>
          <w:lang w:val="fr-CA"/>
        </w:rPr>
        <w:t xml:space="preserve"> </w:t>
      </w:r>
      <w:r w:rsidRPr="0056797A">
        <w:rPr>
          <w:rFonts w:cs="Times New Roman"/>
          <w:lang w:val="fr-CA"/>
        </w:rPr>
        <w:t>2006, la clause 18 a été remplacée par la suivante</w:t>
      </w:r>
      <w:r w:rsidR="00470A48">
        <w:rPr>
          <w:rFonts w:cs="Times New Roman"/>
          <w:lang w:val="fr-CA"/>
        </w:rPr>
        <w:t> :</w:t>
      </w:r>
    </w:p>
    <w:p w:rsidR="00B24911" w:rsidRPr="0056797A" w:rsidRDefault="00B24911" w:rsidP="00470A48">
      <w:pPr>
        <w:pStyle w:val="Citation-AltC"/>
        <w:widowControl w:val="0"/>
        <w:spacing w:after="240"/>
        <w:ind w:left="1168" w:hanging="1168"/>
        <w:contextualSpacing w:val="0"/>
        <w:rPr>
          <w:lang w:val="fr-CA"/>
        </w:rPr>
      </w:pPr>
      <w:r w:rsidRPr="0056797A">
        <w:rPr>
          <w:b/>
          <w:lang w:val="fr-CA"/>
        </w:rPr>
        <w:tab/>
      </w:r>
      <w:r w:rsidRPr="0056797A">
        <w:rPr>
          <w:lang w:val="fr-CA"/>
        </w:rPr>
        <w:t>18.</w:t>
      </w:r>
      <w:r w:rsidR="00470A48">
        <w:rPr>
          <w:lang w:val="fr-CA"/>
        </w:rPr>
        <w:t xml:space="preserve">  </w:t>
      </w:r>
      <w:r w:rsidRPr="0056797A">
        <w:rPr>
          <w:lang w:val="fr-CA"/>
        </w:rPr>
        <w:t>Service de conversion de monnaie étrangère</w:t>
      </w:r>
    </w:p>
    <w:p w:rsidR="00B24911" w:rsidRPr="0056797A" w:rsidRDefault="00B24911" w:rsidP="00470A48">
      <w:pPr>
        <w:pStyle w:val="Citation-AltC"/>
        <w:widowControl w:val="0"/>
        <w:spacing w:after="240"/>
        <w:ind w:left="1168" w:hanging="1168"/>
        <w:contextualSpacing w:val="0"/>
        <w:rPr>
          <w:lang w:val="fr-CA"/>
        </w:rPr>
      </w:pPr>
      <w:r w:rsidRPr="0056797A">
        <w:rPr>
          <w:lang w:val="fr-CA"/>
        </w:rPr>
        <w:tab/>
        <w:t>Toute avance d</w:t>
      </w:r>
      <w:r>
        <w:rPr>
          <w:lang w:val="fr-CA"/>
        </w:rPr>
        <w:t>’</w:t>
      </w:r>
      <w:r w:rsidRPr="0056797A">
        <w:rPr>
          <w:lang w:val="fr-CA"/>
        </w:rPr>
        <w:t>argent ou tout achat effectué en monnaie étrangère avec la carte Visa Desjardins sera payable en monnaie canadienne et la conversion sera faite au taux de change déterminé par la Fédération ou son fournisseur lors de la comptabilisation de la pièce justificative. Le détenteur ne peut tirer un chèque dans une devise autre que canadienne. Tout chèque tiré en monnaie étrangère sera automatiquement retourné au détenteur.</w:t>
      </w:r>
    </w:p>
    <w:p w:rsidR="00B24911" w:rsidRPr="0056797A" w:rsidRDefault="00B24911" w:rsidP="00470A48">
      <w:pPr>
        <w:pStyle w:val="Citation-AltC"/>
        <w:widowControl w:val="0"/>
        <w:ind w:hanging="1166"/>
        <w:rPr>
          <w:lang w:val="fr-CA"/>
        </w:rPr>
      </w:pPr>
      <w:r w:rsidRPr="0056797A">
        <w:rPr>
          <w:lang w:val="fr-CA"/>
        </w:rPr>
        <w:tab/>
        <w:t>Des frais de conversion de devises de 1,8</w:t>
      </w:r>
      <w:r w:rsidR="00470A48">
        <w:rPr>
          <w:lang w:val="fr-CA"/>
        </w:rPr>
        <w:t xml:space="preserve"> </w:t>
      </w:r>
      <w:r w:rsidRPr="0056797A">
        <w:rPr>
          <w:lang w:val="fr-CA"/>
        </w:rPr>
        <w:t>% sur les montants enregistrés au compte en devises étrangères et convertis en dollars seront exigibles. La somme payable à titre de frais de conversion est réputée être un achat courant au sens de l</w:t>
      </w:r>
      <w:r>
        <w:rPr>
          <w:lang w:val="fr-CA"/>
        </w:rPr>
        <w:t>’</w:t>
      </w:r>
      <w:r w:rsidRPr="0056797A">
        <w:rPr>
          <w:lang w:val="fr-CA"/>
        </w:rPr>
        <w:t>article</w:t>
      </w:r>
      <w:r w:rsidR="00470A48">
        <w:rPr>
          <w:lang w:val="fr-CA"/>
        </w:rPr>
        <w:t xml:space="preserve"> </w:t>
      </w:r>
      <w:r w:rsidRPr="0056797A">
        <w:rPr>
          <w:lang w:val="fr-CA"/>
        </w:rPr>
        <w:t>9 et sera comptabilisée au compte du détenteur au jour où est effectuée la conversion. [</w:t>
      </w:r>
      <w:proofErr w:type="gramStart"/>
      <w:r w:rsidRPr="0056797A">
        <w:rPr>
          <w:i/>
          <w:lang w:val="fr-CA"/>
        </w:rPr>
        <w:t>ibid</w:t>
      </w:r>
      <w:proofErr w:type="gramEnd"/>
      <w:r w:rsidRPr="0056797A">
        <w:rPr>
          <w:lang w:val="fr-CA"/>
        </w:rPr>
        <w:t>., par.</w:t>
      </w:r>
      <w:r w:rsidR="00470A48">
        <w:rPr>
          <w:lang w:val="fr-CA"/>
        </w:rPr>
        <w:t xml:space="preserve"> </w:t>
      </w:r>
      <w:r w:rsidRPr="0056797A">
        <w:rPr>
          <w:lang w:val="fr-CA"/>
        </w:rPr>
        <w:t>15]</w:t>
      </w:r>
    </w:p>
    <w:p w:rsidR="00B24911" w:rsidRPr="0056797A" w:rsidRDefault="00B24911" w:rsidP="00470A48">
      <w:pPr>
        <w:pStyle w:val="ParaNoNdepar-AltN"/>
        <w:widowControl w:val="0"/>
        <w:rPr>
          <w:rFonts w:cs="Times New Roman"/>
          <w:lang w:val="fr-CA"/>
        </w:rPr>
      </w:pPr>
      <w:r w:rsidRPr="0056797A">
        <w:rPr>
          <w:rFonts w:cs="Times New Roman"/>
          <w:lang w:val="fr-CA"/>
        </w:rPr>
        <w:t xml:space="preserve">Les relevés mensuels envoyés aux titulaires des cartes de crédit émises </w:t>
      </w:r>
      <w:r w:rsidRPr="0056797A">
        <w:rPr>
          <w:rFonts w:cs="Times New Roman"/>
          <w:lang w:val="fr-CA"/>
        </w:rPr>
        <w:lastRenderedPageBreak/>
        <w:t>par Desjardins contiennent les renseignements suivants (avant et après le 1</w:t>
      </w:r>
      <w:r w:rsidRPr="0056797A">
        <w:rPr>
          <w:rFonts w:cs="Times New Roman"/>
          <w:vertAlign w:val="superscript"/>
          <w:lang w:val="fr-CA"/>
        </w:rPr>
        <w:t>er</w:t>
      </w:r>
      <w:r w:rsidR="00470A48">
        <w:rPr>
          <w:rFonts w:cs="Times New Roman"/>
          <w:lang w:val="fr-CA"/>
        </w:rPr>
        <w:t xml:space="preserve"> </w:t>
      </w:r>
      <w:r w:rsidRPr="0056797A">
        <w:rPr>
          <w:rFonts w:cs="Times New Roman"/>
          <w:lang w:val="fr-CA"/>
        </w:rPr>
        <w:t>avril 2006, quoique le taux de conversion de devises fût de 1,7% avant janvier</w:t>
      </w:r>
      <w:r w:rsidR="00470A48">
        <w:rPr>
          <w:rFonts w:cs="Times New Roman"/>
          <w:lang w:val="fr-CA"/>
        </w:rPr>
        <w:t xml:space="preserve"> </w:t>
      </w:r>
      <w:r w:rsidRPr="0056797A">
        <w:rPr>
          <w:rFonts w:cs="Times New Roman"/>
          <w:lang w:val="fr-CA"/>
        </w:rPr>
        <w:t>2001)</w:t>
      </w:r>
      <w:r w:rsidR="00470A48">
        <w:rPr>
          <w:rFonts w:cs="Times New Roman"/>
          <w:lang w:val="fr-CA"/>
        </w:rPr>
        <w:t> :</w:t>
      </w:r>
    </w:p>
    <w:p w:rsidR="00B24911" w:rsidRPr="0056797A" w:rsidRDefault="00B24911" w:rsidP="00470A48">
      <w:pPr>
        <w:pStyle w:val="Citation-AltC"/>
        <w:widowControl w:val="0"/>
        <w:spacing w:after="240"/>
        <w:ind w:left="1168" w:hanging="1168"/>
        <w:contextualSpacing w:val="0"/>
        <w:rPr>
          <w:i/>
          <w:lang w:val="fr-CA"/>
        </w:rPr>
      </w:pPr>
      <w:r w:rsidRPr="0056797A">
        <w:rPr>
          <w:b/>
          <w:i/>
          <w:lang w:val="fr-CA"/>
        </w:rPr>
        <w:tab/>
      </w:r>
      <w:r w:rsidRPr="0056797A">
        <w:rPr>
          <w:i/>
          <w:lang w:val="fr-CA"/>
        </w:rPr>
        <w:t>Frais administratifs</w:t>
      </w:r>
    </w:p>
    <w:p w:rsidR="00B24911" w:rsidRPr="0056797A" w:rsidRDefault="00B24911" w:rsidP="00470A48">
      <w:pPr>
        <w:pStyle w:val="Citation-AltC"/>
        <w:widowControl w:val="0"/>
        <w:spacing w:after="240"/>
        <w:ind w:left="1168" w:hanging="1168"/>
        <w:contextualSpacing w:val="0"/>
        <w:rPr>
          <w:lang w:val="fr-CA"/>
        </w:rPr>
      </w:pPr>
      <w:r w:rsidRPr="0056797A">
        <w:rPr>
          <w:lang w:val="fr-CA"/>
        </w:rPr>
        <w:tab/>
        <w:t xml:space="preserve">Sous réserve des dispositions de la </w:t>
      </w:r>
      <w:r w:rsidRPr="0056797A">
        <w:rPr>
          <w:i/>
          <w:lang w:val="fr-CA"/>
        </w:rPr>
        <w:t>Loi sur la protection du consommateur</w:t>
      </w:r>
      <w:r w:rsidRPr="0056797A">
        <w:rPr>
          <w:lang w:val="fr-CA"/>
        </w:rPr>
        <w:t>, les frais suivants seront portés, le cas échéant, à votre compte VISA Desjardins</w:t>
      </w:r>
      <w:r w:rsidR="00470A48">
        <w:rPr>
          <w:lang w:val="fr-CA"/>
        </w:rPr>
        <w:t> :</w:t>
      </w:r>
    </w:p>
    <w:p w:rsidR="00B24911" w:rsidRPr="0056797A" w:rsidRDefault="00B24911" w:rsidP="00470A48">
      <w:pPr>
        <w:pStyle w:val="Citation-AltC"/>
        <w:widowControl w:val="0"/>
        <w:spacing w:after="240"/>
        <w:ind w:left="1168" w:hanging="1168"/>
        <w:contextualSpacing w:val="0"/>
        <w:rPr>
          <w:lang w:val="fr-CA"/>
        </w:rPr>
      </w:pPr>
      <w:r w:rsidRPr="0056797A">
        <w:rPr>
          <w:lang w:val="fr-CA"/>
        </w:rPr>
        <w:tab/>
        <w:t>Copie de facture ou relevé de compte</w:t>
      </w:r>
      <w:r w:rsidR="00470A48">
        <w:rPr>
          <w:lang w:val="fr-CA"/>
        </w:rPr>
        <w:t> :</w:t>
      </w:r>
      <w:r w:rsidRPr="0056797A">
        <w:rPr>
          <w:lang w:val="fr-CA"/>
        </w:rPr>
        <w:t xml:space="preserve"> 5</w:t>
      </w:r>
      <w:r w:rsidR="00470A48">
        <w:rPr>
          <w:lang w:val="fr-CA"/>
        </w:rPr>
        <w:t xml:space="preserve"> </w:t>
      </w:r>
      <w:r w:rsidRPr="0056797A">
        <w:rPr>
          <w:lang w:val="fr-CA"/>
        </w:rPr>
        <w:t>$.</w:t>
      </w:r>
    </w:p>
    <w:p w:rsidR="00B24911" w:rsidRPr="0056797A" w:rsidRDefault="00B24911" w:rsidP="00470A48">
      <w:pPr>
        <w:pStyle w:val="Citation-AltC"/>
        <w:widowControl w:val="0"/>
        <w:spacing w:after="240"/>
        <w:ind w:left="1168" w:hanging="1168"/>
        <w:contextualSpacing w:val="0"/>
        <w:rPr>
          <w:lang w:val="fr-CA"/>
        </w:rPr>
      </w:pPr>
      <w:r w:rsidRPr="0056797A">
        <w:rPr>
          <w:lang w:val="fr-CA"/>
        </w:rPr>
        <w:tab/>
        <w:t>Chèque sans provision</w:t>
      </w:r>
      <w:r w:rsidR="00470A48">
        <w:rPr>
          <w:lang w:val="fr-CA"/>
        </w:rPr>
        <w:t> :</w:t>
      </w:r>
      <w:r w:rsidRPr="0056797A">
        <w:rPr>
          <w:lang w:val="fr-CA"/>
        </w:rPr>
        <w:t xml:space="preserve"> 20</w:t>
      </w:r>
      <w:r w:rsidR="00470A48">
        <w:rPr>
          <w:lang w:val="fr-CA"/>
        </w:rPr>
        <w:t xml:space="preserve"> </w:t>
      </w:r>
      <w:r w:rsidRPr="0056797A">
        <w:rPr>
          <w:lang w:val="fr-CA"/>
        </w:rPr>
        <w:t>$.</w:t>
      </w:r>
    </w:p>
    <w:p w:rsidR="00B24911" w:rsidRPr="0056797A" w:rsidRDefault="00B24911" w:rsidP="00470A48">
      <w:pPr>
        <w:pStyle w:val="Citation-AltC"/>
        <w:widowControl w:val="0"/>
        <w:spacing w:after="240"/>
        <w:ind w:left="1168" w:hanging="1168"/>
        <w:contextualSpacing w:val="0"/>
        <w:rPr>
          <w:lang w:val="fr-CA"/>
        </w:rPr>
      </w:pPr>
      <w:r w:rsidRPr="0056797A">
        <w:rPr>
          <w:lang w:val="fr-CA"/>
        </w:rPr>
        <w:tab/>
        <w:t>Arrêt de paiement d</w:t>
      </w:r>
      <w:r>
        <w:rPr>
          <w:lang w:val="fr-CA"/>
        </w:rPr>
        <w:t>’</w:t>
      </w:r>
      <w:r w:rsidRPr="0056797A">
        <w:rPr>
          <w:lang w:val="fr-CA"/>
        </w:rPr>
        <w:t>un chèque</w:t>
      </w:r>
      <w:r w:rsidR="00470A48">
        <w:rPr>
          <w:lang w:val="fr-CA"/>
        </w:rPr>
        <w:t> :</w:t>
      </w:r>
      <w:r w:rsidRPr="0056797A">
        <w:rPr>
          <w:lang w:val="fr-CA"/>
        </w:rPr>
        <w:t xml:space="preserve"> 10</w:t>
      </w:r>
      <w:r w:rsidR="00470A48">
        <w:rPr>
          <w:lang w:val="fr-CA"/>
        </w:rPr>
        <w:t xml:space="preserve"> </w:t>
      </w:r>
      <w:r w:rsidRPr="0056797A">
        <w:rPr>
          <w:lang w:val="fr-CA"/>
        </w:rPr>
        <w:t>$.</w:t>
      </w:r>
    </w:p>
    <w:p w:rsidR="00B24911" w:rsidRPr="0056797A" w:rsidRDefault="00B24911" w:rsidP="00470A48">
      <w:pPr>
        <w:pStyle w:val="Citation-AltC"/>
        <w:widowControl w:val="0"/>
        <w:spacing w:after="240"/>
        <w:ind w:left="1168" w:hanging="1168"/>
        <w:contextualSpacing w:val="0"/>
        <w:rPr>
          <w:lang w:val="fr-CA"/>
        </w:rPr>
      </w:pPr>
      <w:r w:rsidRPr="0056797A">
        <w:rPr>
          <w:lang w:val="fr-CA"/>
        </w:rPr>
        <w:tab/>
        <w:t>Conversion de devises</w:t>
      </w:r>
      <w:r w:rsidR="00470A48">
        <w:rPr>
          <w:lang w:val="fr-CA"/>
        </w:rPr>
        <w:t> :</w:t>
      </w:r>
      <w:r w:rsidRPr="0056797A">
        <w:rPr>
          <w:lang w:val="fr-CA"/>
        </w:rPr>
        <w:t xml:space="preserve"> frais de 1,8 % sur les montants enregistrés au compte en devises étrangères et convertis en dollars canadiens. </w:t>
      </w:r>
    </w:p>
    <w:p w:rsidR="00B24911" w:rsidRDefault="00B24911" w:rsidP="00470A48">
      <w:pPr>
        <w:pStyle w:val="Citation-AltC"/>
        <w:widowControl w:val="0"/>
        <w:tabs>
          <w:tab w:val="left" w:pos="3261"/>
          <w:tab w:val="left" w:pos="5103"/>
          <w:tab w:val="left" w:pos="5954"/>
          <w:tab w:val="left" w:pos="7371"/>
        </w:tabs>
        <w:ind w:hanging="1166"/>
        <w:rPr>
          <w:lang w:val="fr-CA"/>
        </w:rPr>
      </w:pPr>
      <w:r w:rsidRPr="0056797A">
        <w:rPr>
          <w:lang w:val="fr-CA"/>
        </w:rPr>
        <w:tab/>
        <w:t>Avances de fonds</w:t>
      </w:r>
      <w:r w:rsidR="00470A48">
        <w:rPr>
          <w:lang w:val="fr-CA"/>
        </w:rPr>
        <w:t> :</w:t>
      </w:r>
      <w:r w:rsidRPr="0056797A">
        <w:rPr>
          <w:lang w:val="fr-CA"/>
        </w:rPr>
        <w:tab/>
      </w:r>
    </w:p>
    <w:p w:rsidR="003E53E4" w:rsidRDefault="003E53E4" w:rsidP="00470A48">
      <w:pPr>
        <w:pStyle w:val="Citation-AltC"/>
        <w:widowControl w:val="0"/>
        <w:tabs>
          <w:tab w:val="left" w:pos="3261"/>
          <w:tab w:val="left" w:pos="5103"/>
          <w:tab w:val="left" w:pos="5954"/>
          <w:tab w:val="left" w:pos="7371"/>
        </w:tabs>
        <w:ind w:hanging="1166"/>
        <w:rPr>
          <w:lang w:val="fr-CA"/>
        </w:rPr>
      </w:pPr>
    </w:p>
    <w:p w:rsidR="003E53E4" w:rsidRPr="0056797A" w:rsidRDefault="003E53E4" w:rsidP="00470A48">
      <w:pPr>
        <w:pStyle w:val="Citation-AltC"/>
        <w:widowControl w:val="0"/>
        <w:tabs>
          <w:tab w:val="left" w:pos="2880"/>
          <w:tab w:val="left" w:pos="3600"/>
          <w:tab w:val="left" w:pos="4680"/>
          <w:tab w:val="left" w:pos="6480"/>
        </w:tabs>
        <w:rPr>
          <w:lang w:val="fr-CA"/>
        </w:rPr>
      </w:pPr>
      <w:proofErr w:type="gramStart"/>
      <w:r w:rsidRPr="0056797A">
        <w:rPr>
          <w:lang w:val="fr-CA"/>
        </w:rPr>
        <w:t>réseau</w:t>
      </w:r>
      <w:proofErr w:type="gramEnd"/>
      <w:r w:rsidRPr="0056797A">
        <w:rPr>
          <w:lang w:val="fr-CA"/>
        </w:rPr>
        <w:t xml:space="preserve"> Desjardins</w:t>
      </w:r>
      <w:r w:rsidR="00470A48">
        <w:rPr>
          <w:lang w:val="fr-CA"/>
        </w:rPr>
        <w:t> :</w:t>
      </w:r>
      <w:r w:rsidRPr="0056797A">
        <w:rPr>
          <w:lang w:val="fr-CA"/>
        </w:rPr>
        <w:tab/>
        <w:t>1,00</w:t>
      </w:r>
      <w:r w:rsidR="00470A48">
        <w:rPr>
          <w:lang w:val="fr-CA"/>
        </w:rPr>
        <w:t xml:space="preserve"> </w:t>
      </w:r>
      <w:r w:rsidRPr="0056797A">
        <w:rPr>
          <w:lang w:val="fr-CA"/>
        </w:rPr>
        <w:t>$</w:t>
      </w:r>
      <w:r w:rsidRPr="0056797A">
        <w:rPr>
          <w:lang w:val="fr-CA"/>
        </w:rPr>
        <w:tab/>
        <w:t>États</w:t>
      </w:r>
      <w:r w:rsidR="00470A48">
        <w:rPr>
          <w:lang w:val="fr-CA"/>
        </w:rPr>
        <w:t>-</w:t>
      </w:r>
      <w:r w:rsidRPr="0056797A">
        <w:rPr>
          <w:lang w:val="fr-CA"/>
        </w:rPr>
        <w:t>Unis</w:t>
      </w:r>
      <w:r w:rsidR="00470A48">
        <w:rPr>
          <w:lang w:val="fr-CA"/>
        </w:rPr>
        <w:t> :</w:t>
      </w:r>
      <w:r w:rsidRPr="0056797A">
        <w:rPr>
          <w:lang w:val="fr-CA"/>
        </w:rPr>
        <w:tab/>
        <w:t>2,50</w:t>
      </w:r>
      <w:r w:rsidR="00470A48">
        <w:rPr>
          <w:lang w:val="fr-CA"/>
        </w:rPr>
        <w:t xml:space="preserve"> </w:t>
      </w:r>
      <w:r w:rsidRPr="0056797A">
        <w:rPr>
          <w:lang w:val="fr-CA"/>
        </w:rPr>
        <w:t>$</w:t>
      </w:r>
    </w:p>
    <w:p w:rsidR="003E53E4" w:rsidRPr="0056797A" w:rsidRDefault="003E53E4" w:rsidP="00470A48">
      <w:pPr>
        <w:pStyle w:val="Citation-AltC"/>
        <w:widowControl w:val="0"/>
        <w:tabs>
          <w:tab w:val="left" w:pos="2880"/>
          <w:tab w:val="left" w:pos="3600"/>
          <w:tab w:val="left" w:pos="4680"/>
          <w:tab w:val="left" w:pos="6480"/>
        </w:tabs>
        <w:rPr>
          <w:lang w:val="fr-CA"/>
        </w:rPr>
      </w:pPr>
      <w:proofErr w:type="gramStart"/>
      <w:r w:rsidRPr="003E53E4">
        <w:rPr>
          <w:lang w:val="fr-CA"/>
        </w:rPr>
        <w:t>réseau</w:t>
      </w:r>
      <w:proofErr w:type="gramEnd"/>
      <w:r w:rsidRPr="0056797A">
        <w:rPr>
          <w:lang w:val="fr-CA"/>
        </w:rPr>
        <w:t xml:space="preserve"> </w:t>
      </w:r>
      <w:proofErr w:type="spellStart"/>
      <w:r w:rsidRPr="0056797A">
        <w:rPr>
          <w:i/>
          <w:lang w:val="fr-CA"/>
        </w:rPr>
        <w:t>Interac</w:t>
      </w:r>
      <w:proofErr w:type="spellEnd"/>
      <w:r w:rsidR="00470A48">
        <w:rPr>
          <w:lang w:val="fr-CA"/>
        </w:rPr>
        <w:t> :</w:t>
      </w:r>
      <w:r w:rsidRPr="0056797A">
        <w:rPr>
          <w:lang w:val="fr-CA"/>
        </w:rPr>
        <w:tab/>
      </w:r>
      <w:r>
        <w:rPr>
          <w:lang w:val="fr-CA"/>
        </w:rPr>
        <w:tab/>
      </w:r>
      <w:r w:rsidRPr="0056797A">
        <w:rPr>
          <w:lang w:val="fr-CA"/>
        </w:rPr>
        <w:t>1,25</w:t>
      </w:r>
      <w:r w:rsidR="00470A48">
        <w:rPr>
          <w:lang w:val="fr-CA"/>
        </w:rPr>
        <w:t xml:space="preserve"> </w:t>
      </w:r>
      <w:r w:rsidRPr="0056797A">
        <w:rPr>
          <w:lang w:val="fr-CA"/>
        </w:rPr>
        <w:t>$</w:t>
      </w:r>
      <w:r w:rsidRPr="0056797A">
        <w:rPr>
          <w:lang w:val="fr-CA"/>
        </w:rPr>
        <w:tab/>
        <w:t>autres pays</w:t>
      </w:r>
      <w:r w:rsidR="00470A48">
        <w:rPr>
          <w:lang w:val="fr-CA"/>
        </w:rPr>
        <w:t> :</w:t>
      </w:r>
      <w:r w:rsidRPr="0056797A">
        <w:rPr>
          <w:lang w:val="fr-CA"/>
        </w:rPr>
        <w:tab/>
        <w:t>3,50</w:t>
      </w:r>
      <w:r w:rsidR="00470A48">
        <w:rPr>
          <w:lang w:val="fr-CA"/>
        </w:rPr>
        <w:t xml:space="preserve"> </w:t>
      </w:r>
      <w:r w:rsidRPr="0056797A">
        <w:rPr>
          <w:lang w:val="fr-CA"/>
        </w:rPr>
        <w:t>$</w:t>
      </w:r>
    </w:p>
    <w:p w:rsidR="003E53E4" w:rsidRDefault="003E53E4" w:rsidP="00470A48">
      <w:pPr>
        <w:pStyle w:val="Citation-AltC"/>
        <w:widowControl w:val="0"/>
        <w:tabs>
          <w:tab w:val="left" w:pos="2880"/>
          <w:tab w:val="left" w:pos="4860"/>
          <w:tab w:val="left" w:pos="5580"/>
          <w:tab w:val="left" w:pos="7200"/>
        </w:tabs>
        <w:spacing w:after="0"/>
        <w:ind w:hanging="1166"/>
        <w:contextualSpacing w:val="0"/>
        <w:rPr>
          <w:lang w:val="fr-CA"/>
        </w:rPr>
      </w:pPr>
    </w:p>
    <w:p w:rsidR="00B24911" w:rsidRPr="0056797A" w:rsidRDefault="00B24911" w:rsidP="00470A48">
      <w:pPr>
        <w:pStyle w:val="Citation-AltC"/>
        <w:widowControl w:val="0"/>
        <w:tabs>
          <w:tab w:val="left" w:pos="2880"/>
          <w:tab w:val="left" w:pos="4860"/>
          <w:tab w:val="left" w:pos="5580"/>
          <w:tab w:val="left" w:pos="7200"/>
        </w:tabs>
        <w:ind w:left="1168" w:hanging="1168"/>
        <w:contextualSpacing w:val="0"/>
        <w:rPr>
          <w:lang w:val="fr-CA"/>
        </w:rPr>
      </w:pPr>
      <w:r w:rsidRPr="0056797A">
        <w:rPr>
          <w:lang w:val="fr-CA"/>
        </w:rPr>
        <w:tab/>
        <w:t>[</w:t>
      </w:r>
      <w:proofErr w:type="gramStart"/>
      <w:r w:rsidRPr="0056797A">
        <w:rPr>
          <w:i/>
          <w:lang w:val="fr-CA"/>
        </w:rPr>
        <w:t>ibid</w:t>
      </w:r>
      <w:proofErr w:type="gramEnd"/>
      <w:r w:rsidRPr="0056797A">
        <w:rPr>
          <w:lang w:val="fr-CA"/>
        </w:rPr>
        <w:t>., par.</w:t>
      </w:r>
      <w:r w:rsidR="00470A48">
        <w:rPr>
          <w:lang w:val="fr-CA"/>
        </w:rPr>
        <w:t xml:space="preserve"> </w:t>
      </w:r>
      <w:r w:rsidRPr="0056797A">
        <w:rPr>
          <w:lang w:val="fr-CA"/>
        </w:rPr>
        <w:t>16]</w:t>
      </w:r>
    </w:p>
    <w:p w:rsidR="00B24911" w:rsidRPr="0056797A" w:rsidRDefault="00B24911" w:rsidP="00470A48">
      <w:pPr>
        <w:pStyle w:val="ParaNoNdepar-AltN"/>
        <w:widowControl w:val="0"/>
        <w:rPr>
          <w:rFonts w:cs="Times New Roman"/>
          <w:lang w:val="fr-CA"/>
        </w:rPr>
      </w:pPr>
      <w:r w:rsidRPr="0056797A">
        <w:rPr>
          <w:rFonts w:cs="Times New Roman"/>
          <w:lang w:val="fr-CA"/>
        </w:rPr>
        <w:t>M.</w:t>
      </w:r>
      <w:r w:rsidR="00470A48">
        <w:rPr>
          <w:rFonts w:cs="Times New Roman"/>
          <w:lang w:val="fr-CA"/>
        </w:rPr>
        <w:t xml:space="preserve"> </w:t>
      </w:r>
      <w:r w:rsidRPr="0056797A">
        <w:rPr>
          <w:rFonts w:cs="Times New Roman"/>
          <w:lang w:val="fr-CA"/>
        </w:rPr>
        <w:t>Marcotte, seul représentant du groupe dans le recours contre Desjardins, connaissait l</w:t>
      </w:r>
      <w:r>
        <w:rPr>
          <w:rFonts w:cs="Times New Roman"/>
          <w:lang w:val="fr-CA"/>
        </w:rPr>
        <w:t>’</w:t>
      </w:r>
      <w:r w:rsidRPr="0056797A">
        <w:rPr>
          <w:rFonts w:cs="Times New Roman"/>
          <w:lang w:val="fr-CA"/>
        </w:rPr>
        <w:t>existence des frais de conversion qui s</w:t>
      </w:r>
      <w:r>
        <w:rPr>
          <w:rFonts w:cs="Times New Roman"/>
          <w:lang w:val="fr-CA"/>
        </w:rPr>
        <w:t>’</w:t>
      </w:r>
      <w:r w:rsidRPr="0056797A">
        <w:rPr>
          <w:rFonts w:cs="Times New Roman"/>
          <w:lang w:val="fr-CA"/>
        </w:rPr>
        <w:t>appliquaient lorsqu</w:t>
      </w:r>
      <w:r>
        <w:rPr>
          <w:rFonts w:cs="Times New Roman"/>
          <w:lang w:val="fr-CA"/>
        </w:rPr>
        <w:t>’</w:t>
      </w:r>
      <w:r w:rsidRPr="0056797A">
        <w:rPr>
          <w:rFonts w:cs="Times New Roman"/>
          <w:lang w:val="fr-CA"/>
        </w:rPr>
        <w:t xml:space="preserve">il utilisait sa carte pour faire des achats en devises étrangères et il a continué de recourir aux services de conversion après le dépôt des requêtes en autorisation dans les recours contre BMO et Desjardins. </w:t>
      </w:r>
    </w:p>
    <w:p w:rsidR="00B24911" w:rsidRPr="0056797A" w:rsidRDefault="00B24911" w:rsidP="00470A48">
      <w:pPr>
        <w:pStyle w:val="Title1LevelTitre1Niveau-AltL"/>
        <w:widowControl w:val="0"/>
        <w:rPr>
          <w:rFonts w:cs="Times New Roman"/>
          <w:lang w:val="fr-CA"/>
        </w:rPr>
      </w:pPr>
      <w:r w:rsidRPr="0056797A">
        <w:rPr>
          <w:rFonts w:cs="Times New Roman"/>
          <w:lang w:val="fr-CA"/>
        </w:rPr>
        <w:t>Historique judiciaire</w:t>
      </w:r>
    </w:p>
    <w:p w:rsidR="00B24911" w:rsidRPr="0056797A" w:rsidRDefault="00B24911" w:rsidP="00470A48">
      <w:pPr>
        <w:pStyle w:val="ParaNoNdepar-AltN"/>
        <w:widowControl w:val="0"/>
        <w:rPr>
          <w:rFonts w:cs="Times New Roman"/>
          <w:lang w:val="fr-CA"/>
        </w:rPr>
      </w:pPr>
      <w:r w:rsidRPr="0056797A">
        <w:rPr>
          <w:rFonts w:cs="Times New Roman"/>
          <w:lang w:val="fr-CA"/>
        </w:rPr>
        <w:t>Comme nous l</w:t>
      </w:r>
      <w:r>
        <w:rPr>
          <w:rFonts w:cs="Times New Roman"/>
          <w:lang w:val="fr-CA"/>
        </w:rPr>
        <w:t>’</w:t>
      </w:r>
      <w:r w:rsidRPr="0056797A">
        <w:rPr>
          <w:rFonts w:cs="Times New Roman"/>
          <w:lang w:val="fr-CA"/>
        </w:rPr>
        <w:t>expliquons dans l</w:t>
      </w:r>
      <w:r>
        <w:rPr>
          <w:rFonts w:cs="Times New Roman"/>
          <w:lang w:val="fr-CA"/>
        </w:rPr>
        <w:t>’</w:t>
      </w:r>
      <w:r w:rsidRPr="0056797A">
        <w:rPr>
          <w:rFonts w:cs="Times New Roman"/>
          <w:lang w:val="fr-CA"/>
        </w:rPr>
        <w:t xml:space="preserve">arrêt BMO, des décisions distinctes ont </w:t>
      </w:r>
      <w:r w:rsidRPr="0056797A">
        <w:rPr>
          <w:rFonts w:cs="Times New Roman"/>
          <w:lang w:val="fr-CA"/>
        </w:rPr>
        <w:lastRenderedPageBreak/>
        <w:t>été rendues en première instance et en appel dans les recours contre BMO, Desjardins et Amex. Cependant, ces décisions se recoupent et renvoient donc les unes aux autres au besoin. Nous nous attarderons ci</w:t>
      </w:r>
      <w:r w:rsidR="00470A48">
        <w:rPr>
          <w:rFonts w:cs="Times New Roman"/>
          <w:lang w:val="fr-CA"/>
        </w:rPr>
        <w:t>-</w:t>
      </w:r>
      <w:r w:rsidRPr="0056797A">
        <w:rPr>
          <w:rFonts w:cs="Times New Roman"/>
          <w:lang w:val="fr-CA"/>
        </w:rPr>
        <w:t>après aux parties des décisions des juridictions inférieures dans le recours contre Desjardins qui ne sont pas résumées dans l</w:t>
      </w:r>
      <w:r>
        <w:rPr>
          <w:rFonts w:cs="Times New Roman"/>
          <w:lang w:val="fr-CA"/>
        </w:rPr>
        <w:t>’</w:t>
      </w:r>
      <w:r w:rsidRPr="0056797A">
        <w:rPr>
          <w:rFonts w:cs="Times New Roman"/>
          <w:lang w:val="fr-CA"/>
        </w:rPr>
        <w:t>arrêt BMO.</w:t>
      </w:r>
    </w:p>
    <w:p w:rsidR="00B24911" w:rsidRPr="0056797A" w:rsidRDefault="00B24911" w:rsidP="00470A48">
      <w:pPr>
        <w:pStyle w:val="Title2LevelTitre2Niveau"/>
        <w:widowControl w:val="0"/>
        <w:rPr>
          <w:rFonts w:cs="Times New Roman"/>
          <w:lang w:val="fr-CA"/>
        </w:rPr>
      </w:pPr>
      <w:r w:rsidRPr="0056797A">
        <w:rPr>
          <w:rFonts w:cs="Times New Roman"/>
          <w:lang w:val="fr-CA"/>
        </w:rPr>
        <w:t>Cour supérieure du Québec, 2009 QCCS 2743 (</w:t>
      </w:r>
      <w:proofErr w:type="spellStart"/>
      <w:r w:rsidRPr="0056797A">
        <w:rPr>
          <w:rFonts w:cs="Times New Roman"/>
          <w:lang w:val="fr-CA"/>
        </w:rPr>
        <w:t>CanLII</w:t>
      </w:r>
      <w:proofErr w:type="spellEnd"/>
      <w:r w:rsidRPr="0056797A">
        <w:rPr>
          <w:rFonts w:cs="Times New Roman"/>
          <w:lang w:val="fr-CA"/>
        </w:rPr>
        <w:t xml:space="preserve">) </w:t>
      </w:r>
    </w:p>
    <w:p w:rsidR="00B24911" w:rsidRPr="0056797A" w:rsidRDefault="00B24911" w:rsidP="00470A48">
      <w:pPr>
        <w:pStyle w:val="ParaNoNdepar-AltN"/>
        <w:widowControl w:val="0"/>
        <w:rPr>
          <w:rFonts w:cs="Times New Roman"/>
          <w:lang w:val="fr-CA"/>
        </w:rPr>
      </w:pPr>
      <w:r w:rsidRPr="0056797A">
        <w:rPr>
          <w:rFonts w:cs="Times New Roman"/>
          <w:lang w:val="fr-CA"/>
        </w:rPr>
        <w:t>Le juge</w:t>
      </w:r>
      <w:r w:rsidR="00470A48">
        <w:rPr>
          <w:rFonts w:cs="Times New Roman"/>
          <w:lang w:val="fr-CA"/>
        </w:rPr>
        <w:t xml:space="preserve"> </w:t>
      </w:r>
      <w:r w:rsidRPr="0056797A">
        <w:rPr>
          <w:rFonts w:cs="Times New Roman"/>
          <w:lang w:val="fr-CA"/>
        </w:rPr>
        <w:t xml:space="preserve">Gascon, maintenant juge de notre Cour, a conclu que les frais de conversion étaient des frais de crédit au sens de la </w:t>
      </w:r>
      <w:proofErr w:type="spellStart"/>
      <w:r w:rsidRPr="0056797A">
        <w:rPr>
          <w:rFonts w:cs="Times New Roman"/>
          <w:i/>
          <w:lang w:val="fr-CA"/>
        </w:rPr>
        <w:t>L.p.c</w:t>
      </w:r>
      <w:proofErr w:type="spellEnd"/>
      <w:r w:rsidRPr="0056797A">
        <w:rPr>
          <w:rFonts w:cs="Times New Roman"/>
          <w:lang w:val="fr-CA"/>
        </w:rPr>
        <w:t>. Comme ces frais de conversion n</w:t>
      </w:r>
      <w:r>
        <w:rPr>
          <w:rFonts w:cs="Times New Roman"/>
          <w:lang w:val="fr-CA"/>
        </w:rPr>
        <w:t>’</w:t>
      </w:r>
      <w:r w:rsidRPr="0056797A">
        <w:rPr>
          <w:rFonts w:cs="Times New Roman"/>
          <w:lang w:val="fr-CA"/>
        </w:rPr>
        <w:t xml:space="preserve">étaient pas inclus dans le taux de crédit, ce qui constitue une infraction </w:t>
      </w:r>
      <w:proofErr w:type="gramStart"/>
      <w:r w:rsidRPr="0056797A">
        <w:rPr>
          <w:rFonts w:cs="Times New Roman"/>
          <w:lang w:val="fr-CA"/>
        </w:rPr>
        <w:t>aux art</w:t>
      </w:r>
      <w:proofErr w:type="gramEnd"/>
      <w:r w:rsidRPr="0056797A">
        <w:rPr>
          <w:rFonts w:cs="Times New Roman"/>
          <w:lang w:val="fr-CA"/>
        </w:rPr>
        <w:t>.</w:t>
      </w:r>
      <w:r w:rsidR="00470A48">
        <w:rPr>
          <w:rFonts w:cs="Times New Roman"/>
          <w:lang w:val="fr-CA"/>
        </w:rPr>
        <w:t xml:space="preserve"> </w:t>
      </w:r>
      <w:r w:rsidRPr="0056797A">
        <w:rPr>
          <w:rFonts w:cs="Times New Roman"/>
          <w:lang w:val="fr-CA"/>
        </w:rPr>
        <w:t xml:space="preserve">72, 83, 91 et 92 </w:t>
      </w:r>
      <w:r w:rsidRPr="0056797A">
        <w:rPr>
          <w:rFonts w:cs="Times New Roman"/>
          <w:i/>
          <w:lang w:val="fr-CA"/>
        </w:rPr>
        <w:t>L.p.c.</w:t>
      </w:r>
      <w:r w:rsidRPr="0056797A">
        <w:rPr>
          <w:rFonts w:cs="Times New Roman"/>
          <w:lang w:val="fr-CA"/>
        </w:rPr>
        <w:t>, il en a ordonné, en vertu de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272 </w:t>
      </w:r>
      <w:r w:rsidRPr="0056797A">
        <w:rPr>
          <w:rFonts w:cs="Times New Roman"/>
          <w:i/>
          <w:lang w:val="fr-CA"/>
        </w:rPr>
        <w:t>L.p.c.</w:t>
      </w:r>
      <w:r w:rsidRPr="0056797A">
        <w:rPr>
          <w:rFonts w:cs="Times New Roman"/>
          <w:lang w:val="fr-CA"/>
        </w:rPr>
        <w:t>, le remboursement pour la période visée par le recours collectif. Il a ordonné le recouvrement collectif de 28</w:t>
      </w:r>
      <w:r w:rsidR="00470A48">
        <w:rPr>
          <w:rFonts w:cs="Times New Roman"/>
          <w:lang w:val="fr-CA"/>
        </w:rPr>
        <w:t xml:space="preserve"> </w:t>
      </w:r>
      <w:r w:rsidRPr="0056797A">
        <w:rPr>
          <w:rFonts w:cs="Times New Roman"/>
          <w:lang w:val="fr-CA"/>
        </w:rPr>
        <w:t>392</w:t>
      </w:r>
      <w:r w:rsidR="00470A48">
        <w:rPr>
          <w:rFonts w:cs="Times New Roman"/>
          <w:lang w:val="fr-CA"/>
        </w:rPr>
        <w:t xml:space="preserve"> </w:t>
      </w:r>
      <w:r w:rsidRPr="0056797A">
        <w:rPr>
          <w:rFonts w:cs="Times New Roman"/>
          <w:lang w:val="fr-CA"/>
        </w:rPr>
        <w:t>240</w:t>
      </w:r>
      <w:r w:rsidR="00470A48">
        <w:rPr>
          <w:rFonts w:cs="Times New Roman"/>
          <w:lang w:val="fr-CA"/>
        </w:rPr>
        <w:t xml:space="preserve"> </w:t>
      </w:r>
      <w:r w:rsidRPr="0056797A">
        <w:rPr>
          <w:rFonts w:cs="Times New Roman"/>
          <w:lang w:val="fr-CA"/>
        </w:rPr>
        <w:t>$ pour le remboursement des frais de conversion perçus entre 2004 et 2007 et a ordonné le recouvrement individuel dans le cas des frais perçus entre 2000 et 2003, les délais de prescription étant différents pour tous les membres du groupe (comme nous le verrons plus loin).</w:t>
      </w:r>
    </w:p>
    <w:p w:rsidR="00B24911" w:rsidRPr="0056797A" w:rsidRDefault="00B24911" w:rsidP="00470A48">
      <w:pPr>
        <w:pStyle w:val="ParaNoNdepar-AltN"/>
        <w:widowControl w:val="0"/>
        <w:rPr>
          <w:rFonts w:cs="Times New Roman"/>
          <w:lang w:val="fr-CA"/>
        </w:rPr>
      </w:pPr>
      <w:r w:rsidRPr="0056797A">
        <w:rPr>
          <w:rFonts w:cs="Times New Roman"/>
          <w:lang w:val="fr-CA"/>
        </w:rPr>
        <w:t>Pour les mêmes motifs que ceux exprimés dans le recours contre BMO, le juge</w:t>
      </w:r>
      <w:r w:rsidR="00470A48">
        <w:rPr>
          <w:rFonts w:cs="Times New Roman"/>
          <w:lang w:val="fr-CA"/>
        </w:rPr>
        <w:t xml:space="preserve"> </w:t>
      </w:r>
      <w:r w:rsidRPr="0056797A">
        <w:rPr>
          <w:rFonts w:cs="Times New Roman"/>
          <w:lang w:val="fr-CA"/>
        </w:rPr>
        <w:t>Gascon a rejeté l</w:t>
      </w:r>
      <w:r>
        <w:rPr>
          <w:rFonts w:cs="Times New Roman"/>
          <w:lang w:val="fr-CA"/>
        </w:rPr>
        <w:t>’</w:t>
      </w:r>
      <w:r w:rsidRPr="0056797A">
        <w:rPr>
          <w:rFonts w:cs="Times New Roman"/>
          <w:lang w:val="fr-CA"/>
        </w:rPr>
        <w:t>argument de Desjardins selon lequel, en payant les frais de conversion, les titulaires de cartes avaient renoncé à leur droit d</w:t>
      </w:r>
      <w:r>
        <w:rPr>
          <w:rFonts w:cs="Times New Roman"/>
          <w:lang w:val="fr-CA"/>
        </w:rPr>
        <w:t>’</w:t>
      </w:r>
      <w:r w:rsidRPr="0056797A">
        <w:rPr>
          <w:rFonts w:cs="Times New Roman"/>
          <w:lang w:val="fr-CA"/>
        </w:rPr>
        <w:t>en réclamer le remboursement. Toutefois, il a partiellement fait droit au moyen fondé sur la prescription soulevé par Desjardins. Il a convenu que les frais de conversion imposés conformément aux contrats conclus après le 17</w:t>
      </w:r>
      <w:r w:rsidR="00470A48">
        <w:rPr>
          <w:rFonts w:cs="Times New Roman"/>
          <w:lang w:val="fr-CA"/>
        </w:rPr>
        <w:t xml:space="preserve"> </w:t>
      </w:r>
      <w:r w:rsidRPr="0056797A">
        <w:rPr>
          <w:rFonts w:cs="Times New Roman"/>
          <w:lang w:val="fr-CA"/>
        </w:rPr>
        <w:t>avril 2000 n</w:t>
      </w:r>
      <w:r>
        <w:rPr>
          <w:rFonts w:cs="Times New Roman"/>
          <w:lang w:val="fr-CA"/>
        </w:rPr>
        <w:t>’</w:t>
      </w:r>
      <w:r w:rsidRPr="0056797A">
        <w:rPr>
          <w:rFonts w:cs="Times New Roman"/>
          <w:lang w:val="fr-CA"/>
        </w:rPr>
        <w:t xml:space="preserve">étaient pas sujets à </w:t>
      </w:r>
      <w:r w:rsidRPr="0056797A">
        <w:rPr>
          <w:rFonts w:cs="Times New Roman"/>
          <w:lang w:val="fr-CA"/>
        </w:rPr>
        <w:lastRenderedPageBreak/>
        <w:t>prescription. Le juge Gascon a cependant conclu que le renouvellement de la carte de crédit, qui a lieu tous les trois ans dans le cas des cartes Desjardins, emporte la formation d</w:t>
      </w:r>
      <w:r>
        <w:rPr>
          <w:rFonts w:cs="Times New Roman"/>
          <w:lang w:val="fr-CA"/>
        </w:rPr>
        <w:t>’</w:t>
      </w:r>
      <w:r w:rsidRPr="0056797A">
        <w:rPr>
          <w:rFonts w:cs="Times New Roman"/>
          <w:lang w:val="fr-CA"/>
        </w:rPr>
        <w:t xml:space="preserve">un nouveau contrat et, partant, un nouveau point de départ du délai de prescription. </w:t>
      </w:r>
    </w:p>
    <w:p w:rsidR="00B24911" w:rsidRPr="0056797A" w:rsidRDefault="00B24911" w:rsidP="00470A48">
      <w:pPr>
        <w:pStyle w:val="ParaNoNdepar-AltN"/>
        <w:widowControl w:val="0"/>
        <w:rPr>
          <w:rFonts w:cs="Times New Roman"/>
          <w:lang w:val="fr-CA"/>
        </w:rPr>
      </w:pPr>
      <w:r w:rsidRPr="0056797A">
        <w:rPr>
          <w:rFonts w:cs="Times New Roman"/>
          <w:lang w:val="fr-CA"/>
        </w:rPr>
        <w:t>Selon le juge Gascon, Desjardins avait indiqué les frais de conversion comme il se doit tant avant qu</w:t>
      </w:r>
      <w:r>
        <w:rPr>
          <w:rFonts w:cs="Times New Roman"/>
          <w:lang w:val="fr-CA"/>
        </w:rPr>
        <w:t>’</w:t>
      </w:r>
      <w:r w:rsidRPr="0056797A">
        <w:rPr>
          <w:rFonts w:cs="Times New Roman"/>
          <w:lang w:val="fr-CA"/>
        </w:rPr>
        <w:t>après le 1</w:t>
      </w:r>
      <w:r w:rsidRPr="0056797A">
        <w:rPr>
          <w:rFonts w:cs="Times New Roman"/>
          <w:vertAlign w:val="superscript"/>
          <w:lang w:val="fr-CA"/>
        </w:rPr>
        <w:t>er</w:t>
      </w:r>
      <w:r w:rsidR="00470A48">
        <w:rPr>
          <w:rFonts w:cs="Times New Roman"/>
          <w:lang w:val="fr-CA"/>
        </w:rPr>
        <w:t xml:space="preserve"> </w:t>
      </w:r>
      <w:r w:rsidRPr="0056797A">
        <w:rPr>
          <w:rFonts w:cs="Times New Roman"/>
          <w:lang w:val="fr-CA"/>
        </w:rPr>
        <w:t>avril 2006, et qu</w:t>
      </w:r>
      <w:r>
        <w:rPr>
          <w:rFonts w:cs="Times New Roman"/>
          <w:lang w:val="fr-CA"/>
        </w:rPr>
        <w:t>’</w:t>
      </w:r>
      <w:r w:rsidRPr="0056797A">
        <w:rPr>
          <w:rFonts w:cs="Times New Roman"/>
          <w:lang w:val="fr-CA"/>
        </w:rPr>
        <w:t>elle n</w:t>
      </w:r>
      <w:r>
        <w:rPr>
          <w:rFonts w:cs="Times New Roman"/>
          <w:lang w:val="fr-CA"/>
        </w:rPr>
        <w:t>’</w:t>
      </w:r>
      <w:r w:rsidRPr="0056797A">
        <w:rPr>
          <w:rFonts w:cs="Times New Roman"/>
          <w:lang w:val="fr-CA"/>
        </w:rPr>
        <w:t xml:space="preserve">avait donc pas contrevenu </w:t>
      </w:r>
      <w:proofErr w:type="gramStart"/>
      <w:r w:rsidRPr="0056797A">
        <w:rPr>
          <w:rFonts w:cs="Times New Roman"/>
          <w:lang w:val="fr-CA"/>
        </w:rPr>
        <w:t>aux art</w:t>
      </w:r>
      <w:proofErr w:type="gramEnd"/>
      <w:r w:rsidRPr="0056797A">
        <w:rPr>
          <w:rFonts w:cs="Times New Roman"/>
          <w:lang w:val="fr-CA"/>
        </w:rPr>
        <w:t>.</w:t>
      </w:r>
      <w:r w:rsidR="00470A48">
        <w:rPr>
          <w:rFonts w:cs="Times New Roman"/>
          <w:lang w:val="fr-CA"/>
        </w:rPr>
        <w:t xml:space="preserve"> </w:t>
      </w:r>
      <w:r w:rsidRPr="0056797A">
        <w:rPr>
          <w:rFonts w:cs="Times New Roman"/>
          <w:lang w:val="fr-CA"/>
        </w:rPr>
        <w:t xml:space="preserve">12 ou 219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 xml:space="preserve"> Certes, avant le 1</w:t>
      </w:r>
      <w:r w:rsidRPr="0056797A">
        <w:rPr>
          <w:rFonts w:cs="Times New Roman"/>
          <w:vertAlign w:val="superscript"/>
          <w:lang w:val="fr-CA"/>
        </w:rPr>
        <w:t>er</w:t>
      </w:r>
      <w:r w:rsidR="00470A48">
        <w:rPr>
          <w:rFonts w:cs="Times New Roman"/>
          <w:lang w:val="fr-CA"/>
        </w:rPr>
        <w:t xml:space="preserve"> </w:t>
      </w:r>
      <w:r w:rsidRPr="0056797A">
        <w:rPr>
          <w:rFonts w:cs="Times New Roman"/>
          <w:lang w:val="fr-CA"/>
        </w:rPr>
        <w:t>avril 2006, ces frais étaient mentionnés dans une clause externe non accessible aux titulaires de cartes lors de la formation du contrat, mais la preuve démontre que M.</w:t>
      </w:r>
      <w:r w:rsidR="00470A48">
        <w:rPr>
          <w:rFonts w:cs="Times New Roman"/>
          <w:lang w:val="fr-CA"/>
        </w:rPr>
        <w:t xml:space="preserve"> </w:t>
      </w:r>
      <w:r w:rsidRPr="0056797A">
        <w:rPr>
          <w:rFonts w:cs="Times New Roman"/>
          <w:lang w:val="fr-CA"/>
        </w:rPr>
        <w:t>Marcotte avait connaissance de cette clause lors de la conclusion de son contrat, et rien ne permet de croire que les autres membres du groupe n</w:t>
      </w:r>
      <w:r>
        <w:rPr>
          <w:rFonts w:cs="Times New Roman"/>
          <w:lang w:val="fr-CA"/>
        </w:rPr>
        <w:t>’</w:t>
      </w:r>
      <w:r w:rsidRPr="0056797A">
        <w:rPr>
          <w:rFonts w:cs="Times New Roman"/>
          <w:lang w:val="fr-CA"/>
        </w:rPr>
        <w:t>en avaient pas connaissance. Le renouvellement d</w:t>
      </w:r>
      <w:r>
        <w:rPr>
          <w:rFonts w:cs="Times New Roman"/>
          <w:lang w:val="fr-CA"/>
        </w:rPr>
        <w:t>’</w:t>
      </w:r>
      <w:r w:rsidRPr="0056797A">
        <w:rPr>
          <w:rFonts w:cs="Times New Roman"/>
          <w:lang w:val="fr-CA"/>
        </w:rPr>
        <w:t>une carte de crédit, qui se produit tous les trois ans dans le cas de Desjardins, emporte formation d</w:t>
      </w:r>
      <w:r>
        <w:rPr>
          <w:rFonts w:cs="Times New Roman"/>
          <w:lang w:val="fr-CA"/>
        </w:rPr>
        <w:t>’</w:t>
      </w:r>
      <w:r w:rsidRPr="0056797A">
        <w:rPr>
          <w:rFonts w:cs="Times New Roman"/>
          <w:lang w:val="fr-CA"/>
        </w:rPr>
        <w:t>un nouveau contrat. Comme les titulaires auront reçu le relevé mensuel faisant état des frais de conversion avant de renouveler leur contrat, ils auront conclu la nouvelle entente en toute connaissance de la clause externe indiquant ces frais. Il ressortait de la preuve que cette conclusion était valable dans le cas de M.</w:t>
      </w:r>
      <w:r w:rsidR="00470A48">
        <w:rPr>
          <w:rFonts w:cs="Times New Roman"/>
          <w:lang w:val="fr-CA"/>
        </w:rPr>
        <w:t xml:space="preserve"> </w:t>
      </w:r>
      <w:r w:rsidRPr="0056797A">
        <w:rPr>
          <w:rFonts w:cs="Times New Roman"/>
          <w:lang w:val="fr-CA"/>
        </w:rPr>
        <w:t>Marcotte; si elle ne l</w:t>
      </w:r>
      <w:r>
        <w:rPr>
          <w:rFonts w:cs="Times New Roman"/>
          <w:lang w:val="fr-CA"/>
        </w:rPr>
        <w:t>’</w:t>
      </w:r>
      <w:r w:rsidRPr="0056797A">
        <w:rPr>
          <w:rFonts w:cs="Times New Roman"/>
          <w:lang w:val="fr-CA"/>
        </w:rPr>
        <w:t>était pas pour les autres membres du groupe, c</w:t>
      </w:r>
      <w:r>
        <w:rPr>
          <w:rFonts w:cs="Times New Roman"/>
          <w:lang w:val="fr-CA"/>
        </w:rPr>
        <w:t>’</w:t>
      </w:r>
      <w:r w:rsidRPr="0056797A">
        <w:rPr>
          <w:rFonts w:cs="Times New Roman"/>
          <w:lang w:val="fr-CA"/>
        </w:rPr>
        <w:t>était à eux qu</w:t>
      </w:r>
      <w:r>
        <w:rPr>
          <w:rFonts w:cs="Times New Roman"/>
          <w:lang w:val="fr-CA"/>
        </w:rPr>
        <w:t>’</w:t>
      </w:r>
      <w:r w:rsidRPr="0056797A">
        <w:rPr>
          <w:rFonts w:cs="Times New Roman"/>
          <w:lang w:val="fr-CA"/>
        </w:rPr>
        <w:t>il incombait de démontrer qu</w:t>
      </w:r>
      <w:r>
        <w:rPr>
          <w:rFonts w:cs="Times New Roman"/>
          <w:lang w:val="fr-CA"/>
        </w:rPr>
        <w:t>’</w:t>
      </w:r>
      <w:r w:rsidRPr="0056797A">
        <w:rPr>
          <w:rFonts w:cs="Times New Roman"/>
          <w:lang w:val="fr-CA"/>
        </w:rPr>
        <w:t>ils n</w:t>
      </w:r>
      <w:r>
        <w:rPr>
          <w:rFonts w:cs="Times New Roman"/>
          <w:lang w:val="fr-CA"/>
        </w:rPr>
        <w:t>’</w:t>
      </w:r>
      <w:r w:rsidRPr="0056797A">
        <w:rPr>
          <w:rFonts w:cs="Times New Roman"/>
          <w:lang w:val="fr-CA"/>
        </w:rPr>
        <w:t>étaient pas au courant de la clause externe. Aucune preuve en ce sens n</w:t>
      </w:r>
      <w:r>
        <w:rPr>
          <w:rFonts w:cs="Times New Roman"/>
          <w:lang w:val="fr-CA"/>
        </w:rPr>
        <w:t>’</w:t>
      </w:r>
      <w:r w:rsidRPr="0056797A">
        <w:rPr>
          <w:rFonts w:cs="Times New Roman"/>
          <w:lang w:val="fr-CA"/>
        </w:rPr>
        <w:t xml:space="preserve">a été produite. </w:t>
      </w:r>
    </w:p>
    <w:p w:rsidR="00B24911" w:rsidRPr="0056797A" w:rsidRDefault="00B24911" w:rsidP="00470A48">
      <w:pPr>
        <w:pStyle w:val="ParaNoNdepar-AltN"/>
        <w:widowControl w:val="0"/>
        <w:rPr>
          <w:rFonts w:cs="Times New Roman"/>
          <w:lang w:val="fr-CA"/>
        </w:rPr>
      </w:pPr>
      <w:r w:rsidRPr="0056797A">
        <w:rPr>
          <w:rFonts w:cs="Times New Roman"/>
          <w:lang w:val="fr-CA"/>
        </w:rPr>
        <w:t>Le juge Gascon a rejeté l</w:t>
      </w:r>
      <w:r>
        <w:rPr>
          <w:rFonts w:cs="Times New Roman"/>
          <w:lang w:val="fr-CA"/>
        </w:rPr>
        <w:t>’</w:t>
      </w:r>
      <w:r w:rsidRPr="0056797A">
        <w:rPr>
          <w:rFonts w:cs="Times New Roman"/>
          <w:lang w:val="fr-CA"/>
        </w:rPr>
        <w:t>argument constitutionnel avancé par Desjardins, à savoir que celle</w:t>
      </w:r>
      <w:r w:rsidR="00470A48">
        <w:rPr>
          <w:rFonts w:cs="Times New Roman"/>
          <w:lang w:val="fr-CA"/>
        </w:rPr>
        <w:t>-</w:t>
      </w:r>
      <w:r w:rsidRPr="0056797A">
        <w:rPr>
          <w:rFonts w:cs="Times New Roman"/>
          <w:lang w:val="fr-CA"/>
        </w:rPr>
        <w:t>ci échappait à l</w:t>
      </w:r>
      <w:r>
        <w:rPr>
          <w:rFonts w:cs="Times New Roman"/>
          <w:lang w:val="fr-CA"/>
        </w:rPr>
        <w:t>’</w:t>
      </w:r>
      <w:r w:rsidRPr="0056797A">
        <w:rPr>
          <w:rFonts w:cs="Times New Roman"/>
          <w:lang w:val="fr-CA"/>
        </w:rPr>
        <w:t xml:space="preserve">application de la </w:t>
      </w:r>
      <w:proofErr w:type="spellStart"/>
      <w:r w:rsidRPr="0056797A">
        <w:rPr>
          <w:rFonts w:cs="Times New Roman"/>
          <w:i/>
          <w:lang w:val="fr-CA"/>
        </w:rPr>
        <w:t>L.p.c</w:t>
      </w:r>
      <w:proofErr w:type="spellEnd"/>
      <w:r w:rsidRPr="0056797A">
        <w:rPr>
          <w:rFonts w:cs="Times New Roman"/>
          <w:i/>
          <w:lang w:val="fr-CA"/>
        </w:rPr>
        <w:t xml:space="preserve">. </w:t>
      </w:r>
      <w:r w:rsidRPr="0056797A">
        <w:rPr>
          <w:rFonts w:cs="Times New Roman"/>
          <w:lang w:val="fr-CA"/>
        </w:rPr>
        <w:t xml:space="preserve">par le jeu de la doctrine de </w:t>
      </w:r>
      <w:r w:rsidRPr="0056797A">
        <w:rPr>
          <w:rFonts w:cs="Times New Roman"/>
          <w:lang w:val="fr-CA"/>
        </w:rPr>
        <w:lastRenderedPageBreak/>
        <w:t>l</w:t>
      </w:r>
      <w:r>
        <w:rPr>
          <w:rFonts w:cs="Times New Roman"/>
          <w:lang w:val="fr-CA"/>
        </w:rPr>
        <w:t>’</w:t>
      </w:r>
      <w:r w:rsidRPr="0056797A">
        <w:rPr>
          <w:rFonts w:cs="Times New Roman"/>
          <w:lang w:val="fr-CA"/>
        </w:rPr>
        <w:t>exclusivité des compétences. Il a conclu que le paiement par carte de crédit ne relève pas de la compétence fédérale sur les lettres de change conférée par le par.</w:t>
      </w:r>
      <w:r w:rsidR="00470A48">
        <w:rPr>
          <w:rFonts w:cs="Times New Roman"/>
          <w:lang w:val="fr-CA"/>
        </w:rPr>
        <w:t xml:space="preserve"> </w:t>
      </w:r>
      <w:r w:rsidRPr="0056797A">
        <w:rPr>
          <w:rFonts w:cs="Times New Roman"/>
          <w:lang w:val="fr-CA"/>
        </w:rPr>
        <w:t xml:space="preserve">91(18) de la </w:t>
      </w:r>
      <w:r w:rsidRPr="0056797A">
        <w:rPr>
          <w:rFonts w:cs="Times New Roman"/>
          <w:i/>
          <w:lang w:val="fr-CA"/>
        </w:rPr>
        <w:t>Loi constitutionnelle de 1867</w:t>
      </w:r>
      <w:r w:rsidRPr="0056797A">
        <w:rPr>
          <w:rFonts w:cs="Times New Roman"/>
          <w:lang w:val="fr-CA"/>
        </w:rPr>
        <w:t>. Il a également rejeté l</w:t>
      </w:r>
      <w:r>
        <w:rPr>
          <w:rFonts w:cs="Times New Roman"/>
          <w:lang w:val="fr-CA"/>
        </w:rPr>
        <w:t>’</w:t>
      </w:r>
      <w:r w:rsidRPr="0056797A">
        <w:rPr>
          <w:rFonts w:cs="Times New Roman"/>
          <w:lang w:val="fr-CA"/>
        </w:rPr>
        <w:t>argument fondé sur la doctrine de la prépondérance fédérale, estimant que Desjardins n</w:t>
      </w:r>
      <w:r>
        <w:rPr>
          <w:rFonts w:cs="Times New Roman"/>
          <w:lang w:val="fr-CA"/>
        </w:rPr>
        <w:t>’</w:t>
      </w:r>
      <w:r w:rsidRPr="0056797A">
        <w:rPr>
          <w:rFonts w:cs="Times New Roman"/>
          <w:lang w:val="fr-CA"/>
        </w:rPr>
        <w:t xml:space="preserve">avait opposé aucune législation fédérale, par exemple la </w:t>
      </w:r>
      <w:r w:rsidRPr="0056797A">
        <w:rPr>
          <w:rFonts w:cs="Times New Roman"/>
          <w:i/>
          <w:lang w:val="fr-CA"/>
        </w:rPr>
        <w:t>Loi sur les lettres de change</w:t>
      </w:r>
      <w:r w:rsidRPr="0056797A">
        <w:rPr>
          <w:rFonts w:cs="Times New Roman"/>
          <w:lang w:val="fr-CA"/>
        </w:rPr>
        <w:t>, L.R.C. 1985, ch.</w:t>
      </w:r>
      <w:r w:rsidR="00470A48">
        <w:rPr>
          <w:rFonts w:cs="Times New Roman"/>
          <w:lang w:val="fr-CA"/>
        </w:rPr>
        <w:t xml:space="preserve"> </w:t>
      </w:r>
      <w:r w:rsidRPr="0056797A">
        <w:rPr>
          <w:rFonts w:cs="Times New Roman"/>
          <w:lang w:val="fr-CA"/>
        </w:rPr>
        <w:t>B</w:t>
      </w:r>
      <w:r w:rsidR="00470A48">
        <w:rPr>
          <w:rFonts w:cs="Times New Roman"/>
          <w:lang w:val="fr-CA"/>
        </w:rPr>
        <w:t>-</w:t>
      </w:r>
      <w:r w:rsidRPr="0056797A">
        <w:rPr>
          <w:rFonts w:cs="Times New Roman"/>
          <w:lang w:val="fr-CA"/>
        </w:rPr>
        <w:t xml:space="preserve">4, dont les dispositions se révéleraient incompatibles avec les dispositions pertinentes de la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 xml:space="preserve"> ou qui empêcheraient la réalisation des objectifs de cette dernière. </w:t>
      </w:r>
    </w:p>
    <w:p w:rsidR="00B24911" w:rsidRPr="0056797A" w:rsidRDefault="00B24911" w:rsidP="00470A48">
      <w:pPr>
        <w:pStyle w:val="ParaNoNdepar-AltN"/>
        <w:widowControl w:val="0"/>
        <w:rPr>
          <w:rFonts w:cs="Times New Roman"/>
          <w:lang w:val="fr-CA"/>
        </w:rPr>
      </w:pPr>
      <w:r w:rsidRPr="0056797A">
        <w:rPr>
          <w:rFonts w:cs="Times New Roman"/>
          <w:lang w:val="fr-CA"/>
        </w:rPr>
        <w:t>Enfin, le juge</w:t>
      </w:r>
      <w:r w:rsidR="00470A48">
        <w:rPr>
          <w:rFonts w:cs="Times New Roman"/>
          <w:lang w:val="fr-CA"/>
        </w:rPr>
        <w:t xml:space="preserve"> </w:t>
      </w:r>
      <w:r w:rsidRPr="0056797A">
        <w:rPr>
          <w:rFonts w:cs="Times New Roman"/>
          <w:lang w:val="fr-CA"/>
        </w:rPr>
        <w:t>Gascon a refusé de condamner Desjardins à des dommages</w:t>
      </w:r>
      <w:r w:rsidR="00470A48">
        <w:rPr>
          <w:rFonts w:cs="Times New Roman"/>
          <w:lang w:val="fr-CA"/>
        </w:rPr>
        <w:t>-</w:t>
      </w:r>
      <w:r w:rsidRPr="0056797A">
        <w:rPr>
          <w:rFonts w:cs="Times New Roman"/>
          <w:lang w:val="fr-CA"/>
        </w:rPr>
        <w:t>intérêts punitifs étant donné la réparation considérable à laquelle elle était tenue, le fait que son comportement ne pouvait être qualifié de répréhensible, l</w:t>
      </w:r>
      <w:r>
        <w:rPr>
          <w:rFonts w:cs="Times New Roman"/>
          <w:lang w:val="fr-CA"/>
        </w:rPr>
        <w:t>’</w:t>
      </w:r>
      <w:r w:rsidRPr="0056797A">
        <w:rPr>
          <w:rFonts w:cs="Times New Roman"/>
          <w:lang w:val="fr-CA"/>
        </w:rPr>
        <w:t>utilité du service de conversion et le caractère exceptionnel de ce type de dommages</w:t>
      </w:r>
      <w:r w:rsidR="00470A48">
        <w:rPr>
          <w:rFonts w:cs="Times New Roman"/>
          <w:lang w:val="fr-CA"/>
        </w:rPr>
        <w:t>-</w:t>
      </w:r>
      <w:r w:rsidRPr="0056797A">
        <w:rPr>
          <w:rFonts w:cs="Times New Roman"/>
          <w:lang w:val="fr-CA"/>
        </w:rPr>
        <w:t xml:space="preserve">intérêts. </w:t>
      </w:r>
    </w:p>
    <w:p w:rsidR="00B24911" w:rsidRPr="0056797A" w:rsidRDefault="00B24911" w:rsidP="00470A48">
      <w:pPr>
        <w:pStyle w:val="Title2LevelTitre2Niveau"/>
        <w:widowControl w:val="0"/>
        <w:rPr>
          <w:rFonts w:cs="Times New Roman"/>
          <w:lang w:val="fr-CA"/>
        </w:rPr>
      </w:pPr>
      <w:r w:rsidRPr="0056797A">
        <w:rPr>
          <w:rFonts w:cs="Times New Roman"/>
          <w:lang w:val="fr-CA"/>
        </w:rPr>
        <w:t>Cour d</w:t>
      </w:r>
      <w:r>
        <w:rPr>
          <w:rFonts w:cs="Times New Roman"/>
          <w:lang w:val="fr-CA"/>
        </w:rPr>
        <w:t>’</w:t>
      </w:r>
      <w:r w:rsidRPr="0056797A">
        <w:rPr>
          <w:rFonts w:cs="Times New Roman"/>
          <w:lang w:val="fr-CA"/>
        </w:rPr>
        <w:t>appel du Québec, 2012 QCCA 1395, [2012] R.J.Q. 1526</w:t>
      </w:r>
    </w:p>
    <w:p w:rsidR="00B24911" w:rsidRPr="0056797A" w:rsidRDefault="00B24911" w:rsidP="00470A48">
      <w:pPr>
        <w:pStyle w:val="ParaNoNdepar-AltN"/>
        <w:widowControl w:val="0"/>
        <w:rPr>
          <w:rFonts w:cs="Times New Roman"/>
          <w:lang w:val="fr-CA"/>
        </w:rPr>
      </w:pPr>
      <w:r w:rsidRPr="0056797A">
        <w:rPr>
          <w:rFonts w:cs="Times New Roman"/>
          <w:lang w:val="fr-CA"/>
        </w:rPr>
        <w:t>Le juge</w:t>
      </w:r>
      <w:r w:rsidR="00470A48">
        <w:rPr>
          <w:rFonts w:cs="Times New Roman"/>
          <w:lang w:val="fr-CA"/>
        </w:rPr>
        <w:t xml:space="preserve"> </w:t>
      </w:r>
      <w:proofErr w:type="spellStart"/>
      <w:r w:rsidRPr="0056797A">
        <w:rPr>
          <w:rFonts w:cs="Times New Roman"/>
          <w:lang w:val="fr-CA"/>
        </w:rPr>
        <w:t>Dalphond</w:t>
      </w:r>
      <w:proofErr w:type="spellEnd"/>
      <w:r w:rsidRPr="0056797A">
        <w:rPr>
          <w:rFonts w:cs="Times New Roman"/>
          <w:lang w:val="fr-CA"/>
        </w:rPr>
        <w:t xml:space="preserve"> a accueilli l</w:t>
      </w:r>
      <w:r>
        <w:rPr>
          <w:rFonts w:cs="Times New Roman"/>
          <w:lang w:val="fr-CA"/>
        </w:rPr>
        <w:t>’</w:t>
      </w:r>
      <w:r w:rsidRPr="0056797A">
        <w:rPr>
          <w:rFonts w:cs="Times New Roman"/>
          <w:lang w:val="fr-CA"/>
        </w:rPr>
        <w:t>appel et infirmé l</w:t>
      </w:r>
      <w:r>
        <w:rPr>
          <w:rFonts w:cs="Times New Roman"/>
          <w:lang w:val="fr-CA"/>
        </w:rPr>
        <w:t>’</w:t>
      </w:r>
      <w:r w:rsidRPr="0056797A">
        <w:rPr>
          <w:rFonts w:cs="Times New Roman"/>
          <w:lang w:val="fr-CA"/>
        </w:rPr>
        <w:t>ordonnance prononcée à l</w:t>
      </w:r>
      <w:r>
        <w:rPr>
          <w:rFonts w:cs="Times New Roman"/>
          <w:lang w:val="fr-CA"/>
        </w:rPr>
        <w:t>’</w:t>
      </w:r>
      <w:r w:rsidRPr="0056797A">
        <w:rPr>
          <w:rFonts w:cs="Times New Roman"/>
          <w:lang w:val="fr-CA"/>
        </w:rPr>
        <w:t>encontre de Desjardins. Comme il est expliqué dans l</w:t>
      </w:r>
      <w:r>
        <w:rPr>
          <w:rFonts w:cs="Times New Roman"/>
          <w:lang w:val="fr-CA"/>
        </w:rPr>
        <w:t>’</w:t>
      </w:r>
      <w:r w:rsidRPr="0056797A">
        <w:rPr>
          <w:rFonts w:cs="Times New Roman"/>
          <w:lang w:val="fr-CA"/>
        </w:rPr>
        <w:t>arrêt BMO, le juge</w:t>
      </w:r>
      <w:r w:rsidR="00470A48">
        <w:rPr>
          <w:rFonts w:cs="Times New Roman"/>
          <w:lang w:val="fr-CA"/>
        </w:rPr>
        <w:t xml:space="preserve"> </w:t>
      </w:r>
      <w:proofErr w:type="spellStart"/>
      <w:r w:rsidRPr="0056797A">
        <w:rPr>
          <w:rFonts w:cs="Times New Roman"/>
          <w:lang w:val="fr-CA"/>
        </w:rPr>
        <w:t>Dalphond</w:t>
      </w:r>
      <w:proofErr w:type="spellEnd"/>
      <w:r w:rsidRPr="0056797A">
        <w:rPr>
          <w:rFonts w:cs="Times New Roman"/>
          <w:lang w:val="fr-CA"/>
        </w:rPr>
        <w:t xml:space="preserve"> a conclu que les frais de conversion appartenaient au capital net et non aux frais de crédit au sens de la </w:t>
      </w:r>
      <w:proofErr w:type="spellStart"/>
      <w:r w:rsidRPr="0056797A">
        <w:rPr>
          <w:rFonts w:cs="Times New Roman"/>
          <w:i/>
          <w:lang w:val="fr-CA"/>
        </w:rPr>
        <w:t>L.p.c</w:t>
      </w:r>
      <w:proofErr w:type="spellEnd"/>
      <w:r w:rsidRPr="0056797A">
        <w:rPr>
          <w:rFonts w:cs="Times New Roman"/>
          <w:lang w:val="fr-CA"/>
        </w:rPr>
        <w:t xml:space="preserve">. </w:t>
      </w:r>
    </w:p>
    <w:p w:rsidR="00B24911" w:rsidRPr="0056797A" w:rsidRDefault="00B24911" w:rsidP="00470A48">
      <w:pPr>
        <w:pStyle w:val="ParaNoNdepar-AltN"/>
        <w:widowControl w:val="0"/>
        <w:rPr>
          <w:rFonts w:cs="Times New Roman"/>
          <w:lang w:val="fr-CA"/>
        </w:rPr>
      </w:pPr>
      <w:r w:rsidRPr="0056797A">
        <w:rPr>
          <w:rFonts w:cs="Times New Roman"/>
          <w:lang w:val="fr-CA"/>
        </w:rPr>
        <w:t>Dans une remarque incidente, le juge</w:t>
      </w:r>
      <w:r w:rsidR="00470A48">
        <w:rPr>
          <w:rFonts w:cs="Times New Roman"/>
          <w:lang w:val="fr-CA"/>
        </w:rPr>
        <w:t xml:space="preserve"> </w:t>
      </w:r>
      <w:proofErr w:type="spellStart"/>
      <w:r w:rsidRPr="0056797A">
        <w:rPr>
          <w:rFonts w:cs="Times New Roman"/>
          <w:lang w:val="fr-CA"/>
        </w:rPr>
        <w:t>Dalphond</w:t>
      </w:r>
      <w:proofErr w:type="spellEnd"/>
      <w:r w:rsidRPr="0056797A">
        <w:rPr>
          <w:rFonts w:cs="Times New Roman"/>
          <w:lang w:val="fr-CA"/>
        </w:rPr>
        <w:t xml:space="preserve"> a souligné que, même si les frais de conversion étaient des frais de crédit, la réparation applicable serait celle </w:t>
      </w:r>
      <w:r w:rsidRPr="0056797A">
        <w:rPr>
          <w:rFonts w:cs="Times New Roman"/>
          <w:lang w:val="fr-CA"/>
        </w:rPr>
        <w:lastRenderedPageBreak/>
        <w:t>prévue à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271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 xml:space="preserve"> — en vertu duquel le tribunal peut refuser d</w:t>
      </w:r>
      <w:r>
        <w:rPr>
          <w:rFonts w:cs="Times New Roman"/>
          <w:lang w:val="fr-CA"/>
        </w:rPr>
        <w:t>’</w:t>
      </w:r>
      <w:r w:rsidRPr="0056797A">
        <w:rPr>
          <w:rFonts w:cs="Times New Roman"/>
          <w:lang w:val="fr-CA"/>
        </w:rPr>
        <w:t>ordonner la restitution en l</w:t>
      </w:r>
      <w:r>
        <w:rPr>
          <w:rFonts w:cs="Times New Roman"/>
          <w:lang w:val="fr-CA"/>
        </w:rPr>
        <w:t>’</w:t>
      </w:r>
      <w:r w:rsidRPr="0056797A">
        <w:rPr>
          <w:rFonts w:cs="Times New Roman"/>
          <w:lang w:val="fr-CA"/>
        </w:rPr>
        <w:t>absence de préjudice au consommateur — et non celle prévue à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272, qui ne </w:t>
      </w:r>
      <w:proofErr w:type="gramStart"/>
      <w:r w:rsidRPr="0056797A">
        <w:rPr>
          <w:rFonts w:cs="Times New Roman"/>
          <w:lang w:val="fr-CA"/>
        </w:rPr>
        <w:t>s</w:t>
      </w:r>
      <w:r>
        <w:rPr>
          <w:rFonts w:cs="Times New Roman"/>
          <w:lang w:val="fr-CA"/>
        </w:rPr>
        <w:t>’</w:t>
      </w:r>
      <w:r w:rsidRPr="0056797A">
        <w:rPr>
          <w:rFonts w:cs="Times New Roman"/>
          <w:lang w:val="fr-CA"/>
        </w:rPr>
        <w:t>applique</w:t>
      </w:r>
      <w:proofErr w:type="gramEnd"/>
      <w:r w:rsidRPr="0056797A">
        <w:rPr>
          <w:rFonts w:cs="Times New Roman"/>
          <w:lang w:val="fr-CA"/>
        </w:rPr>
        <w:t xml:space="preserve"> pas en l</w:t>
      </w:r>
      <w:r>
        <w:rPr>
          <w:rFonts w:cs="Times New Roman"/>
          <w:lang w:val="fr-CA"/>
        </w:rPr>
        <w:t>’</w:t>
      </w:r>
      <w:r w:rsidRPr="0056797A">
        <w:rPr>
          <w:rFonts w:cs="Times New Roman"/>
          <w:lang w:val="fr-CA"/>
        </w:rPr>
        <w:t>espèce. Il souscrit à la conclusion du juge Gascon sur l</w:t>
      </w:r>
      <w:r>
        <w:rPr>
          <w:rFonts w:cs="Times New Roman"/>
          <w:lang w:val="fr-CA"/>
        </w:rPr>
        <w:t>’</w:t>
      </w:r>
      <w:r w:rsidRPr="0056797A">
        <w:rPr>
          <w:rFonts w:cs="Times New Roman"/>
          <w:lang w:val="fr-CA"/>
        </w:rPr>
        <w:t>inapplicabilité des doctrines de l</w:t>
      </w:r>
      <w:r>
        <w:rPr>
          <w:rFonts w:cs="Times New Roman"/>
          <w:lang w:val="fr-CA"/>
        </w:rPr>
        <w:t>’</w:t>
      </w:r>
      <w:r w:rsidRPr="0056797A">
        <w:rPr>
          <w:rFonts w:cs="Times New Roman"/>
          <w:lang w:val="fr-CA"/>
        </w:rPr>
        <w:t xml:space="preserve">exclusivité des compétences et de la prépondérance fédérale. </w:t>
      </w:r>
    </w:p>
    <w:p w:rsidR="00B24911" w:rsidRPr="0056797A" w:rsidRDefault="00B24911" w:rsidP="00470A48">
      <w:pPr>
        <w:pStyle w:val="Title1LevelTitre1Niveau-AltL"/>
        <w:widowControl w:val="0"/>
        <w:rPr>
          <w:rFonts w:cs="Times New Roman"/>
          <w:lang w:val="fr-CA"/>
        </w:rPr>
      </w:pPr>
      <w:r w:rsidRPr="0056797A">
        <w:rPr>
          <w:rFonts w:cs="Times New Roman"/>
          <w:lang w:val="fr-CA"/>
        </w:rPr>
        <w:t>Questions en litige</w:t>
      </w:r>
    </w:p>
    <w:p w:rsidR="00B24911" w:rsidRPr="0056797A" w:rsidRDefault="00B24911" w:rsidP="00470A48">
      <w:pPr>
        <w:pStyle w:val="ParaNoNdepar-AltN"/>
        <w:widowControl w:val="0"/>
        <w:rPr>
          <w:rFonts w:cs="Times New Roman"/>
          <w:lang w:val="fr-CA"/>
        </w:rPr>
      </w:pPr>
      <w:r w:rsidRPr="0056797A">
        <w:rPr>
          <w:rFonts w:cs="Times New Roman"/>
          <w:lang w:val="fr-CA"/>
        </w:rPr>
        <w:t>Le présent pourvoi soulève les questions suivantes</w:t>
      </w:r>
      <w:r w:rsidR="00470A48">
        <w:rPr>
          <w:rFonts w:cs="Times New Roman"/>
          <w:lang w:val="fr-CA"/>
        </w:rPr>
        <w:t> :</w:t>
      </w:r>
    </w:p>
    <w:p w:rsidR="00B24911" w:rsidRPr="0056797A" w:rsidRDefault="00B24911" w:rsidP="00470A48">
      <w:pPr>
        <w:pStyle w:val="Citation-AltC"/>
        <w:widowControl w:val="0"/>
        <w:spacing w:after="240" w:line="480" w:lineRule="auto"/>
        <w:ind w:left="0" w:hanging="1168"/>
        <w:contextualSpacing w:val="0"/>
        <w:rPr>
          <w:rFonts w:eastAsiaTheme="minorEastAsia"/>
          <w:lang w:val="fr-CA"/>
        </w:rPr>
      </w:pPr>
      <w:r w:rsidRPr="0056797A">
        <w:rPr>
          <w:rFonts w:eastAsiaTheme="minorEastAsia"/>
          <w:lang w:val="fr-CA"/>
        </w:rPr>
        <w:tab/>
        <w:t>a)</w:t>
      </w:r>
      <w:r w:rsidR="00470A48">
        <w:rPr>
          <w:rFonts w:eastAsiaTheme="minorEastAsia"/>
          <w:lang w:val="fr-CA"/>
        </w:rPr>
        <w:t xml:space="preserve">  </w:t>
      </w:r>
      <w:r w:rsidRPr="0056797A">
        <w:rPr>
          <w:rFonts w:eastAsiaTheme="minorEastAsia"/>
          <w:lang w:val="fr-CA"/>
        </w:rPr>
        <w:t>Les frais de conversion appartiennent</w:t>
      </w:r>
      <w:r w:rsidR="00470A48">
        <w:rPr>
          <w:rFonts w:eastAsiaTheme="minorEastAsia"/>
          <w:lang w:val="fr-CA"/>
        </w:rPr>
        <w:t>-</w:t>
      </w:r>
      <w:r w:rsidRPr="0056797A">
        <w:rPr>
          <w:rFonts w:eastAsiaTheme="minorEastAsia"/>
          <w:lang w:val="fr-CA"/>
        </w:rPr>
        <w:t xml:space="preserve">ils au capital net ou aux frais de crédit au sens de la </w:t>
      </w:r>
      <w:r w:rsidRPr="0056797A">
        <w:rPr>
          <w:rFonts w:eastAsiaTheme="minorEastAsia"/>
          <w:i/>
          <w:lang w:val="fr-CA"/>
        </w:rPr>
        <w:t>L.p.c.</w:t>
      </w:r>
      <w:r w:rsidRPr="0056797A">
        <w:rPr>
          <w:rFonts w:eastAsiaTheme="minorEastAsia"/>
          <w:lang w:val="fr-CA"/>
        </w:rPr>
        <w:t>?</w:t>
      </w:r>
    </w:p>
    <w:p w:rsidR="00B24911" w:rsidRPr="0056797A" w:rsidRDefault="00B24911" w:rsidP="00470A48">
      <w:pPr>
        <w:pStyle w:val="Citation-AltC"/>
        <w:widowControl w:val="0"/>
        <w:spacing w:after="240" w:line="480" w:lineRule="auto"/>
        <w:ind w:left="0" w:hanging="1168"/>
        <w:contextualSpacing w:val="0"/>
        <w:rPr>
          <w:rFonts w:eastAsiaTheme="minorEastAsia"/>
          <w:lang w:val="fr-CA"/>
        </w:rPr>
      </w:pPr>
      <w:r w:rsidRPr="0056797A">
        <w:rPr>
          <w:rFonts w:eastAsiaTheme="minorEastAsia"/>
          <w:lang w:val="fr-CA"/>
        </w:rPr>
        <w:tab/>
        <w:t>b)</w:t>
      </w:r>
      <w:r w:rsidR="00470A48">
        <w:rPr>
          <w:rFonts w:eastAsiaTheme="minorEastAsia"/>
          <w:lang w:val="fr-CA"/>
        </w:rPr>
        <w:t xml:space="preserve">  </w:t>
      </w:r>
      <w:r w:rsidRPr="0056797A">
        <w:rPr>
          <w:rFonts w:eastAsiaTheme="minorEastAsia"/>
          <w:lang w:val="fr-CA"/>
        </w:rPr>
        <w:t>Le paiement d</w:t>
      </w:r>
      <w:r>
        <w:rPr>
          <w:rFonts w:eastAsiaTheme="minorEastAsia"/>
          <w:lang w:val="fr-CA"/>
        </w:rPr>
        <w:t>’</w:t>
      </w:r>
      <w:r w:rsidRPr="0056797A">
        <w:rPr>
          <w:rFonts w:eastAsiaTheme="minorEastAsia"/>
          <w:lang w:val="fr-CA"/>
        </w:rPr>
        <w:t>un bien ou d</w:t>
      </w:r>
      <w:r>
        <w:rPr>
          <w:rFonts w:eastAsiaTheme="minorEastAsia"/>
          <w:lang w:val="fr-CA"/>
        </w:rPr>
        <w:t>’</w:t>
      </w:r>
      <w:r w:rsidRPr="0056797A">
        <w:rPr>
          <w:rFonts w:eastAsiaTheme="minorEastAsia"/>
          <w:lang w:val="fr-CA"/>
        </w:rPr>
        <w:t>un service en devises étrangères au moyen d</w:t>
      </w:r>
      <w:r>
        <w:rPr>
          <w:rFonts w:eastAsiaTheme="minorEastAsia"/>
          <w:lang w:val="fr-CA"/>
        </w:rPr>
        <w:t>’</w:t>
      </w:r>
      <w:r w:rsidRPr="0056797A">
        <w:rPr>
          <w:rFonts w:eastAsiaTheme="minorEastAsia"/>
          <w:lang w:val="fr-CA"/>
        </w:rPr>
        <w:t>une carte de crédit est</w:t>
      </w:r>
      <w:r w:rsidR="00470A48">
        <w:rPr>
          <w:rFonts w:eastAsiaTheme="minorEastAsia"/>
          <w:lang w:val="fr-CA"/>
        </w:rPr>
        <w:t>-</w:t>
      </w:r>
      <w:r w:rsidRPr="0056797A">
        <w:rPr>
          <w:rFonts w:eastAsiaTheme="minorEastAsia"/>
          <w:lang w:val="fr-CA"/>
        </w:rPr>
        <w:t>il de même nature sur le plan juridique que celui fait au moyen d</w:t>
      </w:r>
      <w:r>
        <w:rPr>
          <w:rFonts w:eastAsiaTheme="minorEastAsia"/>
          <w:lang w:val="fr-CA"/>
        </w:rPr>
        <w:t>’</w:t>
      </w:r>
      <w:r w:rsidRPr="0056797A">
        <w:rPr>
          <w:rFonts w:eastAsiaTheme="minorEastAsia"/>
          <w:lang w:val="fr-CA"/>
        </w:rPr>
        <w:t>une lettre de change, une matière qui relève de la compétence exclusive du Parlement en vertu du par.</w:t>
      </w:r>
      <w:r w:rsidR="00470A48">
        <w:rPr>
          <w:rFonts w:eastAsiaTheme="minorEastAsia"/>
          <w:lang w:val="fr-CA"/>
        </w:rPr>
        <w:t xml:space="preserve"> </w:t>
      </w:r>
      <w:r w:rsidRPr="0056797A">
        <w:rPr>
          <w:rFonts w:eastAsiaTheme="minorEastAsia"/>
          <w:lang w:val="fr-CA"/>
        </w:rPr>
        <w:t xml:space="preserve">91(18) de la </w:t>
      </w:r>
      <w:r w:rsidRPr="0056797A">
        <w:rPr>
          <w:rFonts w:eastAsiaTheme="minorEastAsia"/>
          <w:i/>
          <w:lang w:val="fr-CA"/>
        </w:rPr>
        <w:t>Loi constitutionnelle de 1867</w:t>
      </w:r>
      <w:r w:rsidRPr="0056797A">
        <w:rPr>
          <w:rFonts w:eastAsiaTheme="minorEastAsia"/>
          <w:lang w:val="fr-CA"/>
        </w:rPr>
        <w:t>, de sorte que les doctrines de l</w:t>
      </w:r>
      <w:r>
        <w:rPr>
          <w:rFonts w:eastAsiaTheme="minorEastAsia"/>
          <w:lang w:val="fr-CA"/>
        </w:rPr>
        <w:t>’</w:t>
      </w:r>
      <w:r w:rsidRPr="0056797A">
        <w:rPr>
          <w:rFonts w:eastAsiaTheme="minorEastAsia"/>
          <w:lang w:val="fr-CA"/>
        </w:rPr>
        <w:t>exclusivité des compétences et de la prépondérance fédérale pourraient s</w:t>
      </w:r>
      <w:r>
        <w:rPr>
          <w:rFonts w:eastAsiaTheme="minorEastAsia"/>
          <w:lang w:val="fr-CA"/>
        </w:rPr>
        <w:t>’</w:t>
      </w:r>
      <w:r w:rsidRPr="0056797A">
        <w:rPr>
          <w:rFonts w:eastAsiaTheme="minorEastAsia"/>
          <w:lang w:val="fr-CA"/>
        </w:rPr>
        <w:t>appliquer?</w:t>
      </w:r>
    </w:p>
    <w:p w:rsidR="00B24911" w:rsidRPr="0056797A" w:rsidRDefault="00B24911" w:rsidP="00470A48">
      <w:pPr>
        <w:pStyle w:val="Citation-AltC"/>
        <w:widowControl w:val="0"/>
        <w:spacing w:after="240" w:line="480" w:lineRule="auto"/>
        <w:ind w:left="0" w:hanging="1168"/>
        <w:contextualSpacing w:val="0"/>
        <w:rPr>
          <w:rFonts w:eastAsiaTheme="minorEastAsia"/>
          <w:lang w:val="fr-CA"/>
        </w:rPr>
      </w:pPr>
      <w:r w:rsidRPr="0056797A">
        <w:rPr>
          <w:rFonts w:eastAsiaTheme="minorEastAsia"/>
          <w:lang w:val="fr-CA"/>
        </w:rPr>
        <w:tab/>
        <w:t>c)</w:t>
      </w:r>
      <w:r w:rsidR="00470A48">
        <w:rPr>
          <w:rFonts w:eastAsiaTheme="minorEastAsia"/>
          <w:lang w:val="fr-CA"/>
        </w:rPr>
        <w:t xml:space="preserve">  </w:t>
      </w:r>
      <w:r w:rsidRPr="0056797A">
        <w:rPr>
          <w:rFonts w:eastAsiaTheme="minorEastAsia"/>
          <w:lang w:val="fr-CA"/>
        </w:rPr>
        <w:t>Desjardins a</w:t>
      </w:r>
      <w:r w:rsidR="00470A48">
        <w:rPr>
          <w:rFonts w:eastAsiaTheme="minorEastAsia"/>
          <w:lang w:val="fr-CA"/>
        </w:rPr>
        <w:t>-</w:t>
      </w:r>
      <w:r w:rsidRPr="0056797A">
        <w:rPr>
          <w:rFonts w:eastAsiaTheme="minorEastAsia"/>
          <w:lang w:val="fr-CA"/>
        </w:rPr>
        <w:t>t</w:t>
      </w:r>
      <w:r w:rsidR="00470A48">
        <w:rPr>
          <w:rFonts w:eastAsiaTheme="minorEastAsia"/>
          <w:lang w:val="fr-CA"/>
        </w:rPr>
        <w:t>-</w:t>
      </w:r>
      <w:r w:rsidRPr="0056797A">
        <w:rPr>
          <w:rFonts w:eastAsiaTheme="minorEastAsia"/>
          <w:lang w:val="fr-CA"/>
        </w:rPr>
        <w:t>elle mentionné les frais de conversion aux titulaires de ses cartes?</w:t>
      </w:r>
    </w:p>
    <w:p w:rsidR="00B24911" w:rsidRPr="0056797A" w:rsidRDefault="00B24911" w:rsidP="00470A48">
      <w:pPr>
        <w:pStyle w:val="Citation-AltC"/>
        <w:widowControl w:val="0"/>
        <w:spacing w:after="240" w:line="480" w:lineRule="auto"/>
        <w:ind w:left="0" w:hanging="1168"/>
        <w:contextualSpacing w:val="0"/>
        <w:rPr>
          <w:rFonts w:eastAsiaTheme="minorEastAsia"/>
          <w:lang w:val="fr-CA"/>
        </w:rPr>
      </w:pPr>
      <w:r w:rsidRPr="0056797A">
        <w:rPr>
          <w:lang w:val="fr-CA"/>
        </w:rPr>
        <w:tab/>
        <w:t>d)</w:t>
      </w:r>
      <w:r w:rsidR="00470A48">
        <w:rPr>
          <w:lang w:val="fr-CA"/>
        </w:rPr>
        <w:t xml:space="preserve">  </w:t>
      </w:r>
      <w:r w:rsidRPr="0056797A">
        <w:rPr>
          <w:lang w:val="fr-CA"/>
        </w:rPr>
        <w:t xml:space="preserve">Quelle est la </w:t>
      </w:r>
      <w:r w:rsidRPr="003E53E4">
        <w:rPr>
          <w:rFonts w:eastAsiaTheme="minorEastAsia"/>
          <w:lang w:val="fr-CA"/>
        </w:rPr>
        <w:t>réparation</w:t>
      </w:r>
      <w:r w:rsidRPr="0056797A">
        <w:rPr>
          <w:lang w:val="fr-CA"/>
        </w:rPr>
        <w:t xml:space="preserve"> qu</w:t>
      </w:r>
      <w:r>
        <w:rPr>
          <w:lang w:val="fr-CA"/>
        </w:rPr>
        <w:t>’</w:t>
      </w:r>
      <w:r w:rsidRPr="0056797A">
        <w:rPr>
          <w:lang w:val="fr-CA"/>
        </w:rPr>
        <w:t>il convient d</w:t>
      </w:r>
      <w:r>
        <w:rPr>
          <w:lang w:val="fr-CA"/>
        </w:rPr>
        <w:t>’</w:t>
      </w:r>
      <w:r w:rsidRPr="0056797A">
        <w:rPr>
          <w:lang w:val="fr-CA"/>
        </w:rPr>
        <w:t>ordonner?</w:t>
      </w:r>
    </w:p>
    <w:p w:rsidR="00B24911" w:rsidRPr="0056797A" w:rsidRDefault="00B24911" w:rsidP="00470A48">
      <w:pPr>
        <w:pStyle w:val="Title1LevelTitre1Niveau-AltL"/>
        <w:widowControl w:val="0"/>
        <w:rPr>
          <w:rFonts w:cs="Times New Roman"/>
          <w:lang w:val="fr-CA"/>
        </w:rPr>
      </w:pPr>
      <w:r w:rsidRPr="0056797A">
        <w:rPr>
          <w:rFonts w:cs="Times New Roman"/>
          <w:lang w:val="fr-CA"/>
        </w:rPr>
        <w:t>Analyse</w:t>
      </w:r>
    </w:p>
    <w:p w:rsidR="00B24911" w:rsidRPr="0056797A" w:rsidRDefault="00B24911" w:rsidP="00470A48">
      <w:pPr>
        <w:pStyle w:val="Title2LevelTitre2Niveau"/>
        <w:widowControl w:val="0"/>
        <w:rPr>
          <w:rFonts w:cs="Times New Roman"/>
          <w:lang w:val="fr-CA"/>
        </w:rPr>
      </w:pPr>
      <w:r w:rsidRPr="0056797A">
        <w:rPr>
          <w:rFonts w:cs="Times New Roman"/>
          <w:lang w:val="fr-CA"/>
        </w:rPr>
        <w:t xml:space="preserve">Les frais de conversion appartiennent au capital net au sens de la </w:t>
      </w:r>
      <w:proofErr w:type="spellStart"/>
      <w:r w:rsidRPr="0056797A">
        <w:rPr>
          <w:rFonts w:cs="Times New Roman"/>
          <w:lang w:val="fr-CA"/>
        </w:rPr>
        <w:t>L.p.c</w:t>
      </w:r>
      <w:proofErr w:type="spellEnd"/>
      <w:r w:rsidRPr="0056797A">
        <w:rPr>
          <w:rFonts w:cs="Times New Roman"/>
          <w:lang w:val="fr-CA"/>
        </w:rPr>
        <w:t>.</w:t>
      </w:r>
    </w:p>
    <w:p w:rsidR="00B24911" w:rsidRPr="0056797A" w:rsidRDefault="00B24911" w:rsidP="00470A48">
      <w:pPr>
        <w:pStyle w:val="ParaNoNdepar-AltN"/>
        <w:widowControl w:val="0"/>
        <w:rPr>
          <w:rFonts w:cs="Times New Roman"/>
          <w:lang w:val="fr-CA"/>
        </w:rPr>
      </w:pPr>
      <w:r w:rsidRPr="0056797A">
        <w:rPr>
          <w:rFonts w:cs="Times New Roman"/>
          <w:lang w:val="fr-CA"/>
        </w:rPr>
        <w:lastRenderedPageBreak/>
        <w:t>Pour les motifs exprimés dans l</w:t>
      </w:r>
      <w:r>
        <w:rPr>
          <w:rFonts w:cs="Times New Roman"/>
          <w:lang w:val="fr-CA"/>
        </w:rPr>
        <w:t>’</w:t>
      </w:r>
      <w:r w:rsidRPr="0056797A">
        <w:rPr>
          <w:rFonts w:cs="Times New Roman"/>
          <w:lang w:val="fr-CA"/>
        </w:rPr>
        <w:t xml:space="preserve">arrêt BMO, les frais de conversion appartiennent au capital net au sens de la </w:t>
      </w:r>
      <w:proofErr w:type="spellStart"/>
      <w:r w:rsidRPr="0056797A">
        <w:rPr>
          <w:rFonts w:cs="Times New Roman"/>
          <w:i/>
          <w:lang w:val="fr-CA"/>
        </w:rPr>
        <w:t>L.p.c</w:t>
      </w:r>
      <w:proofErr w:type="spellEnd"/>
      <w:r w:rsidRPr="0056797A">
        <w:rPr>
          <w:rFonts w:cs="Times New Roman"/>
          <w:lang w:val="fr-CA"/>
        </w:rPr>
        <w:t>.</w:t>
      </w:r>
    </w:p>
    <w:p w:rsidR="00B24911" w:rsidRPr="0056797A" w:rsidRDefault="00B24911" w:rsidP="00470A48">
      <w:pPr>
        <w:pStyle w:val="Title2LevelTitre2Niveau"/>
        <w:widowControl w:val="0"/>
        <w:rPr>
          <w:rFonts w:cs="Times New Roman"/>
          <w:lang w:val="fr-CA"/>
        </w:rPr>
      </w:pPr>
      <w:r w:rsidRPr="0056797A">
        <w:rPr>
          <w:rFonts w:cs="Times New Roman"/>
          <w:lang w:val="fr-CA"/>
        </w:rPr>
        <w:t>Le paiement d</w:t>
      </w:r>
      <w:r>
        <w:rPr>
          <w:rFonts w:cs="Times New Roman"/>
          <w:lang w:val="fr-CA"/>
        </w:rPr>
        <w:t>’</w:t>
      </w:r>
      <w:r w:rsidRPr="0056797A">
        <w:rPr>
          <w:rFonts w:cs="Times New Roman"/>
          <w:lang w:val="fr-CA"/>
        </w:rPr>
        <w:t>un bien ou d</w:t>
      </w:r>
      <w:r>
        <w:rPr>
          <w:rFonts w:cs="Times New Roman"/>
          <w:lang w:val="fr-CA"/>
        </w:rPr>
        <w:t>’</w:t>
      </w:r>
      <w:r w:rsidRPr="0056797A">
        <w:rPr>
          <w:rFonts w:cs="Times New Roman"/>
          <w:lang w:val="fr-CA"/>
        </w:rPr>
        <w:t>un service en devises étrangères au moyen d</w:t>
      </w:r>
      <w:r>
        <w:rPr>
          <w:rFonts w:cs="Times New Roman"/>
          <w:lang w:val="fr-CA"/>
        </w:rPr>
        <w:t>’</w:t>
      </w:r>
      <w:r w:rsidRPr="0056797A">
        <w:rPr>
          <w:rFonts w:cs="Times New Roman"/>
          <w:lang w:val="fr-CA"/>
        </w:rPr>
        <w:t>une carte de crédit n</w:t>
      </w:r>
      <w:r>
        <w:rPr>
          <w:rFonts w:cs="Times New Roman"/>
          <w:lang w:val="fr-CA"/>
        </w:rPr>
        <w:t>’</w:t>
      </w:r>
      <w:r w:rsidRPr="0056797A">
        <w:rPr>
          <w:rFonts w:cs="Times New Roman"/>
          <w:lang w:val="fr-CA"/>
        </w:rPr>
        <w:t>est pas assimilé à celui effectué par lettre de change</w:t>
      </w:r>
    </w:p>
    <w:p w:rsidR="00B24911" w:rsidRPr="0056797A" w:rsidRDefault="00B24911" w:rsidP="00470A48">
      <w:pPr>
        <w:pStyle w:val="ParaNoNdepar-AltN"/>
        <w:widowControl w:val="0"/>
        <w:rPr>
          <w:rFonts w:cs="Times New Roman"/>
          <w:lang w:val="fr-CA"/>
        </w:rPr>
      </w:pPr>
      <w:r w:rsidRPr="0056797A">
        <w:rPr>
          <w:rFonts w:cs="Times New Roman"/>
          <w:lang w:val="fr-CA"/>
        </w:rPr>
        <w:t>Desjardins soutient que le paiement par carte de crédit est analogue au paiement par lettre de change et qu</w:t>
      </w:r>
      <w:r>
        <w:rPr>
          <w:rFonts w:cs="Times New Roman"/>
          <w:lang w:val="fr-CA"/>
        </w:rPr>
        <w:t>’</w:t>
      </w:r>
      <w:r w:rsidRPr="0056797A">
        <w:rPr>
          <w:rFonts w:cs="Times New Roman"/>
          <w:lang w:val="fr-CA"/>
        </w:rPr>
        <w:t>il relève à ce titre de la compétence fédérale exclusive prévue au par.</w:t>
      </w:r>
      <w:r w:rsidR="00470A48">
        <w:rPr>
          <w:rFonts w:cs="Times New Roman"/>
          <w:lang w:val="fr-CA"/>
        </w:rPr>
        <w:t xml:space="preserve"> </w:t>
      </w:r>
      <w:r w:rsidRPr="0056797A">
        <w:rPr>
          <w:rFonts w:cs="Times New Roman"/>
          <w:lang w:val="fr-CA"/>
        </w:rPr>
        <w:t xml:space="preserve">91(18) de la </w:t>
      </w:r>
      <w:r w:rsidRPr="0056797A">
        <w:rPr>
          <w:rFonts w:cs="Times New Roman"/>
          <w:i/>
          <w:iCs/>
          <w:lang w:val="fr-CA"/>
        </w:rPr>
        <w:t>Loi constitutionnelle de 1867</w:t>
      </w:r>
      <w:r w:rsidRPr="0056797A">
        <w:rPr>
          <w:rFonts w:cs="Times New Roman"/>
          <w:lang w:val="fr-CA"/>
        </w:rPr>
        <w:t>. Nous partageons l</w:t>
      </w:r>
      <w:r>
        <w:rPr>
          <w:rFonts w:cs="Times New Roman"/>
          <w:lang w:val="fr-CA"/>
        </w:rPr>
        <w:t>’</w:t>
      </w:r>
      <w:r w:rsidRPr="0056797A">
        <w:rPr>
          <w:rFonts w:cs="Times New Roman"/>
          <w:lang w:val="fr-CA"/>
        </w:rPr>
        <w:t>avis de la Cour d</w:t>
      </w:r>
      <w:r>
        <w:rPr>
          <w:rFonts w:cs="Times New Roman"/>
          <w:lang w:val="fr-CA"/>
        </w:rPr>
        <w:t>’</w:t>
      </w:r>
      <w:r w:rsidRPr="0056797A">
        <w:rPr>
          <w:rFonts w:cs="Times New Roman"/>
          <w:lang w:val="fr-CA"/>
        </w:rPr>
        <w:t xml:space="preserve">appel à propos de ce moyen constitutionnel selon lequel </w:t>
      </w:r>
      <w:r w:rsidR="00470A48">
        <w:rPr>
          <w:rFonts w:cs="Times New Roman"/>
          <w:lang w:val="fr-CA"/>
        </w:rPr>
        <w:t>« </w:t>
      </w:r>
      <w:r w:rsidRPr="0056797A">
        <w:rPr>
          <w:rFonts w:cs="Times New Roman"/>
          <w:lang w:val="fr-CA"/>
        </w:rPr>
        <w:t>il n</w:t>
      </w:r>
      <w:r>
        <w:rPr>
          <w:rFonts w:cs="Times New Roman"/>
          <w:lang w:val="fr-CA"/>
        </w:rPr>
        <w:t>’</w:t>
      </w:r>
      <w:r w:rsidRPr="0056797A">
        <w:rPr>
          <w:rFonts w:cs="Times New Roman"/>
          <w:lang w:val="fr-CA"/>
        </w:rPr>
        <w:t>est pas nécessaire d</w:t>
      </w:r>
      <w:r>
        <w:rPr>
          <w:rFonts w:cs="Times New Roman"/>
          <w:lang w:val="fr-CA"/>
        </w:rPr>
        <w:t>’</w:t>
      </w:r>
      <w:r w:rsidRPr="0056797A">
        <w:rPr>
          <w:rFonts w:cs="Times New Roman"/>
          <w:lang w:val="fr-CA"/>
        </w:rPr>
        <w:t>en traiter longuement</w:t>
      </w:r>
      <w:r w:rsidR="00470A48">
        <w:rPr>
          <w:rFonts w:cs="Times New Roman"/>
          <w:lang w:val="fr-CA"/>
        </w:rPr>
        <w:t> »</w:t>
      </w:r>
      <w:r w:rsidRPr="0056797A">
        <w:rPr>
          <w:rFonts w:cs="Times New Roman"/>
          <w:lang w:val="fr-CA"/>
        </w:rPr>
        <w:t xml:space="preserve"> (par.</w:t>
      </w:r>
      <w:r w:rsidR="00470A48">
        <w:rPr>
          <w:rFonts w:cs="Times New Roman"/>
          <w:lang w:val="fr-CA"/>
        </w:rPr>
        <w:t xml:space="preserve"> </w:t>
      </w:r>
      <w:r w:rsidRPr="0056797A">
        <w:rPr>
          <w:rFonts w:cs="Times New Roman"/>
          <w:lang w:val="fr-CA"/>
        </w:rPr>
        <w:t>68). Desjardins prétend essentiellement que la facturette signée par le titulaire de la carte est assimilée à la lettre de change, que le commerçant peut par la suite échanger auprès de la société émettrice contre des espèces. Suivant l</w:t>
      </w:r>
      <w:r>
        <w:rPr>
          <w:rFonts w:cs="Times New Roman"/>
          <w:lang w:val="fr-CA"/>
        </w:rPr>
        <w:t>’</w:t>
      </w:r>
      <w:r w:rsidRPr="0056797A">
        <w:rPr>
          <w:rFonts w:cs="Times New Roman"/>
          <w:lang w:val="fr-CA"/>
        </w:rPr>
        <w:t>interprétation de Desjardins, les modes de paiement tels les cartes</w:t>
      </w:r>
      <w:r w:rsidR="00470A48">
        <w:rPr>
          <w:rFonts w:cs="Times New Roman"/>
          <w:lang w:val="fr-CA"/>
        </w:rPr>
        <w:t>-</w:t>
      </w:r>
      <w:r w:rsidRPr="0056797A">
        <w:rPr>
          <w:rFonts w:cs="Times New Roman"/>
          <w:lang w:val="fr-CA"/>
        </w:rPr>
        <w:t>cadeaux et les coupons</w:t>
      </w:r>
      <w:r w:rsidR="00470A48">
        <w:rPr>
          <w:rFonts w:cs="Times New Roman"/>
          <w:lang w:val="fr-CA"/>
        </w:rPr>
        <w:t>-</w:t>
      </w:r>
      <w:r w:rsidRPr="0056797A">
        <w:rPr>
          <w:rFonts w:cs="Times New Roman"/>
          <w:lang w:val="fr-CA"/>
        </w:rPr>
        <w:t xml:space="preserve">épargne entreraient également dans la catégorie des lettres de change. </w:t>
      </w:r>
    </w:p>
    <w:p w:rsidR="00B24911" w:rsidRPr="0056797A" w:rsidRDefault="00B24911" w:rsidP="00470A48">
      <w:pPr>
        <w:pStyle w:val="ParaNoNdepar-AltN"/>
        <w:widowControl w:val="0"/>
        <w:rPr>
          <w:rFonts w:cs="Times New Roman"/>
          <w:lang w:val="fr-CA"/>
        </w:rPr>
      </w:pPr>
      <w:r w:rsidRPr="0056797A">
        <w:rPr>
          <w:rFonts w:cs="Times New Roman"/>
          <w:lang w:val="fr-CA"/>
        </w:rPr>
        <w:t>Cependant, Desjardins ne cite aucune source à l</w:t>
      </w:r>
      <w:r>
        <w:rPr>
          <w:rFonts w:cs="Times New Roman"/>
          <w:lang w:val="fr-CA"/>
        </w:rPr>
        <w:t>’</w:t>
      </w:r>
      <w:r w:rsidRPr="0056797A">
        <w:rPr>
          <w:rFonts w:cs="Times New Roman"/>
          <w:lang w:val="fr-CA"/>
        </w:rPr>
        <w:t>appui de sa prétention suivant laquelle les cartes de crédit relèvent de la compétence fédérale en matière de lettres de change. En fait, cette théorie a toujours été rejetée par les auteurs (voir, p.</w:t>
      </w:r>
      <w:r w:rsidR="00470A48">
        <w:rPr>
          <w:rFonts w:cs="Times New Roman"/>
          <w:lang w:val="fr-CA"/>
        </w:rPr>
        <w:t xml:space="preserve"> </w:t>
      </w:r>
      <w:r w:rsidRPr="0056797A">
        <w:rPr>
          <w:rFonts w:cs="Times New Roman"/>
          <w:lang w:val="fr-CA"/>
        </w:rPr>
        <w:t>ex.</w:t>
      </w:r>
      <w:r w:rsidR="00DA13CE">
        <w:rPr>
          <w:rFonts w:cs="Times New Roman"/>
          <w:lang w:val="fr-CA"/>
        </w:rPr>
        <w:t>,</w:t>
      </w:r>
      <w:r w:rsidRPr="0056797A">
        <w:rPr>
          <w:rFonts w:cs="Times New Roman"/>
          <w:lang w:val="fr-CA"/>
        </w:rPr>
        <w:t xml:space="preserve"> M.</w:t>
      </w:r>
      <w:r w:rsidR="00470A48">
        <w:rPr>
          <w:rFonts w:cs="Times New Roman"/>
          <w:lang w:val="fr-CA"/>
        </w:rPr>
        <w:t xml:space="preserve"> </w:t>
      </w:r>
      <w:r w:rsidRPr="0056797A">
        <w:rPr>
          <w:rFonts w:cs="Times New Roman"/>
          <w:lang w:val="fr-CA"/>
        </w:rPr>
        <w:t xml:space="preserve">H. </w:t>
      </w:r>
      <w:proofErr w:type="spellStart"/>
      <w:r w:rsidRPr="0056797A">
        <w:rPr>
          <w:rFonts w:cs="Times New Roman"/>
          <w:lang w:val="fr-CA"/>
        </w:rPr>
        <w:t>Ogilvie</w:t>
      </w:r>
      <w:proofErr w:type="spellEnd"/>
      <w:r w:rsidRPr="0056797A">
        <w:rPr>
          <w:rFonts w:cs="Times New Roman"/>
          <w:lang w:val="fr-CA"/>
        </w:rPr>
        <w:t xml:space="preserve">, </w:t>
      </w:r>
      <w:r w:rsidRPr="0056797A">
        <w:rPr>
          <w:rFonts w:cs="Times New Roman"/>
          <w:i/>
          <w:lang w:val="fr-CA"/>
        </w:rPr>
        <w:t>Bank and Customer Law in Canada</w:t>
      </w:r>
      <w:r w:rsidRPr="0056797A">
        <w:rPr>
          <w:rFonts w:cs="Times New Roman"/>
          <w:lang w:val="fr-CA"/>
        </w:rPr>
        <w:t xml:space="preserve"> (2</w:t>
      </w:r>
      <w:r w:rsidRPr="0056797A">
        <w:rPr>
          <w:rFonts w:cs="Times New Roman"/>
          <w:vertAlign w:val="superscript"/>
          <w:lang w:val="fr-CA"/>
        </w:rPr>
        <w:t>e</w:t>
      </w:r>
      <w:r w:rsidRPr="0056797A">
        <w:rPr>
          <w:rFonts w:cs="Times New Roman"/>
          <w:lang w:val="fr-CA"/>
        </w:rPr>
        <w:t xml:space="preserve"> éd. 2013)</w:t>
      </w:r>
      <w:r w:rsidR="00DA13CE">
        <w:rPr>
          <w:rFonts w:cs="Times New Roman"/>
          <w:lang w:val="fr-CA"/>
        </w:rPr>
        <w:t>,</w:t>
      </w:r>
      <w:r w:rsidRPr="0056797A">
        <w:rPr>
          <w:rFonts w:cs="Times New Roman"/>
          <w:lang w:val="fr-CA"/>
        </w:rPr>
        <w:t xml:space="preserve"> p.</w:t>
      </w:r>
      <w:r w:rsidR="00470A48">
        <w:rPr>
          <w:rFonts w:cs="Times New Roman"/>
          <w:lang w:val="fr-CA"/>
        </w:rPr>
        <w:t xml:space="preserve"> </w:t>
      </w:r>
      <w:r w:rsidRPr="0056797A">
        <w:rPr>
          <w:rFonts w:cs="Times New Roman"/>
          <w:lang w:val="fr-CA"/>
        </w:rPr>
        <w:t>404</w:t>
      </w:r>
      <w:r w:rsidR="00470A48">
        <w:rPr>
          <w:rFonts w:cs="Times New Roman"/>
          <w:lang w:val="fr-CA"/>
        </w:rPr>
        <w:t>-</w:t>
      </w:r>
      <w:r w:rsidRPr="0056797A">
        <w:rPr>
          <w:rFonts w:cs="Times New Roman"/>
          <w:lang w:val="fr-CA"/>
        </w:rPr>
        <w:t>405</w:t>
      </w:r>
      <w:r w:rsidR="00470A48">
        <w:rPr>
          <w:rFonts w:cs="Times New Roman"/>
          <w:lang w:val="fr-CA"/>
        </w:rPr>
        <w:t> :</w:t>
      </w:r>
      <w:r w:rsidRPr="0056797A">
        <w:rPr>
          <w:rFonts w:cs="Times New Roman"/>
          <w:lang w:val="fr-CA"/>
        </w:rPr>
        <w:t xml:space="preserve"> [</w:t>
      </w:r>
      <w:r w:rsidRPr="0056797A">
        <w:rPr>
          <w:rFonts w:cs="Times New Roman"/>
          <w:smallCaps/>
          <w:lang w:val="fr-CA"/>
        </w:rPr>
        <w:t>traduction</w:t>
      </w:r>
      <w:r w:rsidRPr="0056797A">
        <w:rPr>
          <w:rFonts w:cs="Times New Roman"/>
          <w:lang w:val="fr-CA"/>
        </w:rPr>
        <w:t xml:space="preserve">] </w:t>
      </w:r>
      <w:r w:rsidR="00470A48">
        <w:rPr>
          <w:rFonts w:cs="Times New Roman"/>
          <w:lang w:val="fr-CA"/>
        </w:rPr>
        <w:t>« </w:t>
      </w:r>
      <w:r w:rsidRPr="0056797A">
        <w:rPr>
          <w:rFonts w:cs="Times New Roman"/>
          <w:lang w:val="fr-CA"/>
        </w:rPr>
        <w:t>De plus, l</w:t>
      </w:r>
      <w:r>
        <w:rPr>
          <w:rFonts w:cs="Times New Roman"/>
          <w:lang w:val="fr-CA"/>
        </w:rPr>
        <w:t>’</w:t>
      </w:r>
      <w:r w:rsidRPr="0056797A">
        <w:rPr>
          <w:rFonts w:cs="Times New Roman"/>
          <w:lang w:val="fr-CA"/>
        </w:rPr>
        <w:t>analogie avec les lettres de change ne tient pas, non seulement parce qu</w:t>
      </w:r>
      <w:r>
        <w:rPr>
          <w:rFonts w:cs="Times New Roman"/>
          <w:lang w:val="fr-CA"/>
        </w:rPr>
        <w:t>’</w:t>
      </w:r>
      <w:r w:rsidRPr="0056797A">
        <w:rPr>
          <w:rFonts w:cs="Times New Roman"/>
          <w:lang w:val="fr-CA"/>
        </w:rPr>
        <w:t>il n</w:t>
      </w:r>
      <w:r>
        <w:rPr>
          <w:rFonts w:cs="Times New Roman"/>
          <w:lang w:val="fr-CA"/>
        </w:rPr>
        <w:t>’</w:t>
      </w:r>
      <w:r w:rsidRPr="0056797A">
        <w:rPr>
          <w:rFonts w:cs="Times New Roman"/>
          <w:lang w:val="fr-CA"/>
        </w:rPr>
        <w:t>y a pas d</w:t>
      </w:r>
      <w:r>
        <w:rPr>
          <w:rFonts w:cs="Times New Roman"/>
          <w:lang w:val="fr-CA"/>
        </w:rPr>
        <w:t>’</w:t>
      </w:r>
      <w:r w:rsidRPr="0056797A">
        <w:rPr>
          <w:rFonts w:cs="Times New Roman"/>
          <w:lang w:val="fr-CA"/>
        </w:rPr>
        <w:t>effet de commerce négociable, mais aussi parce que l</w:t>
      </w:r>
      <w:r>
        <w:rPr>
          <w:rFonts w:cs="Times New Roman"/>
          <w:lang w:val="fr-CA"/>
        </w:rPr>
        <w:t>’</w:t>
      </w:r>
      <w:r w:rsidRPr="0056797A">
        <w:rPr>
          <w:rFonts w:cs="Times New Roman"/>
          <w:lang w:val="fr-CA"/>
        </w:rPr>
        <w:t>opération faite par carte de crédit fait intervenir trois parties, alors que l</w:t>
      </w:r>
      <w:r>
        <w:rPr>
          <w:rFonts w:cs="Times New Roman"/>
          <w:lang w:val="fr-CA"/>
        </w:rPr>
        <w:t>’</w:t>
      </w:r>
      <w:r w:rsidRPr="0056797A">
        <w:rPr>
          <w:rFonts w:cs="Times New Roman"/>
          <w:lang w:val="fr-CA"/>
        </w:rPr>
        <w:t xml:space="preserve">effet de </w:t>
      </w:r>
      <w:r w:rsidRPr="0056797A">
        <w:rPr>
          <w:rFonts w:cs="Times New Roman"/>
          <w:lang w:val="fr-CA"/>
        </w:rPr>
        <w:lastRenderedPageBreak/>
        <w:t>commerce se négoc</w:t>
      </w:r>
      <w:r w:rsidR="00DA13CE">
        <w:rPr>
          <w:rFonts w:cs="Times New Roman"/>
          <w:lang w:val="fr-CA"/>
        </w:rPr>
        <w:t>ie entre deux parties seulement</w:t>
      </w:r>
      <w:r w:rsidR="00470A48">
        <w:rPr>
          <w:rFonts w:cs="Times New Roman"/>
          <w:lang w:val="fr-CA"/>
        </w:rPr>
        <w:t> »</w:t>
      </w:r>
      <w:r w:rsidRPr="0056797A">
        <w:rPr>
          <w:rFonts w:cs="Times New Roman"/>
          <w:lang w:val="fr-CA"/>
        </w:rPr>
        <w:t xml:space="preserve">; </w:t>
      </w:r>
      <w:r w:rsidR="00DA13CE">
        <w:rPr>
          <w:rFonts w:cs="Times New Roman"/>
          <w:lang w:val="fr-CA"/>
        </w:rPr>
        <w:t xml:space="preserve">et </w:t>
      </w:r>
      <w:r w:rsidRPr="0056797A">
        <w:rPr>
          <w:rFonts w:cs="Times New Roman"/>
          <w:lang w:val="fr-CA"/>
        </w:rPr>
        <w:t xml:space="preserve">B. Crawford, </w:t>
      </w:r>
      <w:r w:rsidRPr="0056797A">
        <w:rPr>
          <w:rFonts w:cs="Times New Roman"/>
          <w:i/>
          <w:iCs/>
          <w:lang w:val="fr-CA"/>
        </w:rPr>
        <w:t xml:space="preserve">The Law of </w:t>
      </w:r>
      <w:proofErr w:type="spellStart"/>
      <w:r w:rsidRPr="0056797A">
        <w:rPr>
          <w:rFonts w:cs="Times New Roman"/>
          <w:i/>
          <w:iCs/>
          <w:lang w:val="fr-CA"/>
        </w:rPr>
        <w:t>Banking</w:t>
      </w:r>
      <w:proofErr w:type="spellEnd"/>
      <w:r w:rsidRPr="0056797A">
        <w:rPr>
          <w:rFonts w:cs="Times New Roman"/>
          <w:i/>
          <w:iCs/>
          <w:lang w:val="fr-CA"/>
        </w:rPr>
        <w:t xml:space="preserve"> and </w:t>
      </w:r>
      <w:proofErr w:type="spellStart"/>
      <w:r w:rsidRPr="0056797A">
        <w:rPr>
          <w:rFonts w:cs="Times New Roman"/>
          <w:i/>
          <w:iCs/>
          <w:lang w:val="fr-CA"/>
        </w:rPr>
        <w:t>Payment</w:t>
      </w:r>
      <w:proofErr w:type="spellEnd"/>
      <w:r w:rsidRPr="0056797A">
        <w:rPr>
          <w:rFonts w:cs="Times New Roman"/>
          <w:i/>
          <w:iCs/>
          <w:lang w:val="fr-CA"/>
        </w:rPr>
        <w:t xml:space="preserve"> in Canada</w:t>
      </w:r>
      <w:r w:rsidRPr="0056797A">
        <w:rPr>
          <w:rFonts w:cs="Times New Roman"/>
          <w:lang w:val="fr-CA"/>
        </w:rPr>
        <w:t>, vol.</w:t>
      </w:r>
      <w:r w:rsidR="00470A48">
        <w:rPr>
          <w:rFonts w:cs="Times New Roman"/>
          <w:lang w:val="fr-CA"/>
        </w:rPr>
        <w:t xml:space="preserve"> </w:t>
      </w:r>
      <w:r w:rsidRPr="0056797A">
        <w:rPr>
          <w:rFonts w:cs="Times New Roman"/>
          <w:lang w:val="fr-CA"/>
        </w:rPr>
        <w:t>2 (feuilles mobiles), p.</w:t>
      </w:r>
      <w:r w:rsidR="00470A48">
        <w:rPr>
          <w:rFonts w:cs="Times New Roman"/>
          <w:lang w:val="fr-CA"/>
        </w:rPr>
        <w:t xml:space="preserve"> </w:t>
      </w:r>
      <w:r w:rsidRPr="0056797A">
        <w:rPr>
          <w:rFonts w:cs="Times New Roman"/>
          <w:lang w:val="fr-CA"/>
        </w:rPr>
        <w:t>13</w:t>
      </w:r>
      <w:r w:rsidR="00470A48">
        <w:rPr>
          <w:rFonts w:cs="Times New Roman"/>
          <w:lang w:val="fr-CA"/>
        </w:rPr>
        <w:t>-</w:t>
      </w:r>
      <w:r w:rsidRPr="0056797A">
        <w:rPr>
          <w:rFonts w:cs="Times New Roman"/>
          <w:lang w:val="fr-CA"/>
        </w:rPr>
        <w:t>9</w:t>
      </w:r>
      <w:r w:rsidR="00470A48">
        <w:rPr>
          <w:rFonts w:cs="Times New Roman"/>
          <w:lang w:val="fr-CA"/>
        </w:rPr>
        <w:t> :</w:t>
      </w:r>
      <w:r w:rsidRPr="0056797A">
        <w:rPr>
          <w:rFonts w:cs="Times New Roman"/>
          <w:lang w:val="fr-CA"/>
        </w:rPr>
        <w:t xml:space="preserve"> [</w:t>
      </w:r>
      <w:r w:rsidRPr="0056797A">
        <w:rPr>
          <w:rFonts w:cs="Times New Roman"/>
          <w:smallCaps/>
          <w:lang w:val="fr-CA"/>
        </w:rPr>
        <w:t>traduction</w:t>
      </w:r>
      <w:r w:rsidRPr="0056797A">
        <w:rPr>
          <w:rFonts w:cs="Times New Roman"/>
          <w:lang w:val="fr-CA"/>
        </w:rPr>
        <w:t xml:space="preserve">] </w:t>
      </w:r>
      <w:r w:rsidR="00470A48">
        <w:rPr>
          <w:rFonts w:cs="Times New Roman"/>
          <w:lang w:val="fr-CA"/>
        </w:rPr>
        <w:t>« </w:t>
      </w:r>
      <w:r w:rsidRPr="0056797A">
        <w:rPr>
          <w:rFonts w:cs="Times New Roman"/>
          <w:lang w:val="fr-CA"/>
        </w:rPr>
        <w:t>L</w:t>
      </w:r>
      <w:r>
        <w:rPr>
          <w:rFonts w:cs="Times New Roman"/>
          <w:lang w:val="fr-CA"/>
        </w:rPr>
        <w:t>’</w:t>
      </w:r>
      <w:r w:rsidRPr="0056797A">
        <w:rPr>
          <w:rFonts w:cs="Times New Roman"/>
          <w:lang w:val="fr-CA"/>
        </w:rPr>
        <w:t>analogie [entre les cartes et les lettres de change] est presque parfaite [.</w:t>
      </w:r>
      <w:r w:rsidR="00470A48">
        <w:rPr>
          <w:rFonts w:cs="Times New Roman"/>
          <w:lang w:val="fr-CA"/>
        </w:rPr>
        <w:t xml:space="preserve"> </w:t>
      </w:r>
      <w:r w:rsidRPr="0056797A">
        <w:rPr>
          <w:rFonts w:cs="Times New Roman"/>
          <w:lang w:val="fr-CA"/>
        </w:rPr>
        <w:t>.</w:t>
      </w:r>
      <w:r w:rsidR="00470A48">
        <w:rPr>
          <w:rFonts w:cs="Times New Roman"/>
          <w:lang w:val="fr-CA"/>
        </w:rPr>
        <w:t xml:space="preserve"> </w:t>
      </w:r>
      <w:r w:rsidRPr="0056797A">
        <w:rPr>
          <w:rFonts w:cs="Times New Roman"/>
          <w:lang w:val="fr-CA"/>
        </w:rPr>
        <w:t>.] Or, elle pose deux</w:t>
      </w:r>
      <w:r w:rsidR="00470A48">
        <w:rPr>
          <w:rFonts w:cs="Times New Roman"/>
          <w:lang w:val="fr-CA"/>
        </w:rPr>
        <w:t xml:space="preserve"> </w:t>
      </w:r>
      <w:r w:rsidRPr="0056797A">
        <w:rPr>
          <w:rFonts w:cs="Times New Roman"/>
          <w:lang w:val="fr-CA"/>
        </w:rPr>
        <w:t xml:space="preserve"> problèmes dans la mesure où elle illustre le fondement juridique des systèmes modernes de cartes de crédit</w:t>
      </w:r>
      <w:r w:rsidR="00470A48">
        <w:rPr>
          <w:rFonts w:cs="Times New Roman"/>
          <w:lang w:val="fr-CA"/>
        </w:rPr>
        <w:t> »</w:t>
      </w:r>
      <w:r w:rsidRPr="0056797A">
        <w:rPr>
          <w:rFonts w:cs="Times New Roman"/>
          <w:lang w:val="fr-CA"/>
        </w:rPr>
        <w:t xml:space="preserve">). </w:t>
      </w:r>
    </w:p>
    <w:p w:rsidR="00B24911" w:rsidRPr="0056797A" w:rsidRDefault="00B24911" w:rsidP="00470A48">
      <w:pPr>
        <w:pStyle w:val="ParaNoNdepar-AltN"/>
        <w:widowControl w:val="0"/>
        <w:rPr>
          <w:rFonts w:cs="Times New Roman"/>
          <w:lang w:val="fr-CA"/>
        </w:rPr>
      </w:pPr>
      <w:r w:rsidRPr="0056797A">
        <w:rPr>
          <w:rFonts w:cs="Times New Roman"/>
          <w:lang w:val="fr-CA"/>
        </w:rPr>
        <w:t>Il ne s</w:t>
      </w:r>
      <w:r>
        <w:rPr>
          <w:rFonts w:cs="Times New Roman"/>
          <w:lang w:val="fr-CA"/>
        </w:rPr>
        <w:t>’</w:t>
      </w:r>
      <w:r w:rsidRPr="0056797A">
        <w:rPr>
          <w:rFonts w:cs="Times New Roman"/>
          <w:lang w:val="fr-CA"/>
        </w:rPr>
        <w:t>agit pas, comme l</w:t>
      </w:r>
      <w:r>
        <w:rPr>
          <w:rFonts w:cs="Times New Roman"/>
          <w:lang w:val="fr-CA"/>
        </w:rPr>
        <w:t>’</w:t>
      </w:r>
      <w:r w:rsidRPr="0056797A">
        <w:rPr>
          <w:rFonts w:cs="Times New Roman"/>
          <w:lang w:val="fr-CA"/>
        </w:rPr>
        <w:t>affirme Desjardins, d</w:t>
      </w:r>
      <w:r>
        <w:rPr>
          <w:rFonts w:cs="Times New Roman"/>
          <w:lang w:val="fr-CA"/>
        </w:rPr>
        <w:t>’</w:t>
      </w:r>
      <w:r w:rsidRPr="0056797A">
        <w:rPr>
          <w:rFonts w:cs="Times New Roman"/>
          <w:lang w:val="fr-CA"/>
        </w:rPr>
        <w:t>un cas où un changement social survenu au Canada — la préférence pour le paiement par carte de crédit plutôt que par chèque — justifierait une nouvelle interprétation du par.</w:t>
      </w:r>
      <w:r w:rsidR="00470A48">
        <w:rPr>
          <w:rFonts w:cs="Times New Roman"/>
          <w:lang w:val="fr-CA"/>
        </w:rPr>
        <w:t xml:space="preserve"> </w:t>
      </w:r>
      <w:r w:rsidRPr="0056797A">
        <w:rPr>
          <w:rFonts w:cs="Times New Roman"/>
          <w:lang w:val="fr-CA"/>
        </w:rPr>
        <w:t xml:space="preserve">91(18) de la </w:t>
      </w:r>
      <w:r w:rsidRPr="0056797A">
        <w:rPr>
          <w:rFonts w:cs="Times New Roman"/>
          <w:i/>
          <w:lang w:val="fr-CA"/>
        </w:rPr>
        <w:t xml:space="preserve">Loi constitutionnelle de 1867 </w:t>
      </w:r>
      <w:r w:rsidRPr="0056797A">
        <w:rPr>
          <w:rFonts w:cs="Times New Roman"/>
          <w:lang w:val="fr-CA"/>
        </w:rPr>
        <w:t xml:space="preserve">qui engloberait les cartes de crédit. Le terme </w:t>
      </w:r>
      <w:r w:rsidR="00470A48">
        <w:rPr>
          <w:rFonts w:cs="Times New Roman"/>
          <w:lang w:val="fr-CA"/>
        </w:rPr>
        <w:t>« </w:t>
      </w:r>
      <w:r w:rsidRPr="0056797A">
        <w:rPr>
          <w:rFonts w:cs="Times New Roman"/>
          <w:lang w:val="fr-CA"/>
        </w:rPr>
        <w:t>lettres de change</w:t>
      </w:r>
      <w:r w:rsidR="00470A48">
        <w:rPr>
          <w:rFonts w:cs="Times New Roman"/>
          <w:lang w:val="fr-CA"/>
        </w:rPr>
        <w:t> »</w:t>
      </w:r>
      <w:r w:rsidRPr="0056797A">
        <w:rPr>
          <w:rFonts w:cs="Times New Roman"/>
          <w:lang w:val="fr-CA"/>
        </w:rPr>
        <w:t xml:space="preserve"> est un terme consacré autour duquel s</w:t>
      </w:r>
      <w:r>
        <w:rPr>
          <w:rFonts w:cs="Times New Roman"/>
          <w:lang w:val="fr-CA"/>
        </w:rPr>
        <w:t>’</w:t>
      </w:r>
      <w:r w:rsidRPr="0056797A">
        <w:rPr>
          <w:rFonts w:cs="Times New Roman"/>
          <w:lang w:val="fr-CA"/>
        </w:rPr>
        <w:t xml:space="preserve">articule tout un régime législatif, à savoir la </w:t>
      </w:r>
      <w:r w:rsidRPr="0056797A">
        <w:rPr>
          <w:rFonts w:cs="Times New Roman"/>
          <w:i/>
          <w:lang w:val="fr-CA"/>
        </w:rPr>
        <w:t>Loi sur les lettres de change</w:t>
      </w:r>
      <w:r w:rsidRPr="0056797A">
        <w:rPr>
          <w:rFonts w:cs="Times New Roman"/>
          <w:lang w:val="fr-CA"/>
        </w:rPr>
        <w:t xml:space="preserve">. Bien que la Cour reconnaisse que la Constitution canadienne doit être </w:t>
      </w:r>
      <w:r w:rsidR="00470A48">
        <w:rPr>
          <w:rFonts w:cs="Times New Roman"/>
          <w:lang w:val="fr-CA"/>
        </w:rPr>
        <w:t>« </w:t>
      </w:r>
      <w:r w:rsidRPr="0056797A">
        <w:rPr>
          <w:rFonts w:cs="Times New Roman"/>
          <w:lang w:val="fr-CA"/>
        </w:rPr>
        <w:t>capable d</w:t>
      </w:r>
      <w:r>
        <w:rPr>
          <w:rFonts w:cs="Times New Roman"/>
          <w:lang w:val="fr-CA"/>
        </w:rPr>
        <w:t>’</w:t>
      </w:r>
      <w:r w:rsidRPr="0056797A">
        <w:rPr>
          <w:rFonts w:cs="Times New Roman"/>
          <w:lang w:val="fr-CA"/>
        </w:rPr>
        <w:t>évoluer au moyen d</w:t>
      </w:r>
      <w:r>
        <w:rPr>
          <w:rFonts w:cs="Times New Roman"/>
          <w:lang w:val="fr-CA"/>
        </w:rPr>
        <w:t>’</w:t>
      </w:r>
      <w:r w:rsidRPr="0056797A">
        <w:rPr>
          <w:rFonts w:cs="Times New Roman"/>
          <w:lang w:val="fr-CA"/>
        </w:rPr>
        <w:t>une interprétation progressiste</w:t>
      </w:r>
      <w:r w:rsidR="00470A48">
        <w:rPr>
          <w:rFonts w:cs="Times New Roman"/>
          <w:lang w:val="fr-CA"/>
        </w:rPr>
        <w:t> »</w:t>
      </w:r>
      <w:r w:rsidRPr="0056797A">
        <w:rPr>
          <w:rFonts w:cs="Times New Roman"/>
          <w:lang w:val="fr-CA"/>
        </w:rPr>
        <w:t xml:space="preserve">, cette évolution doit respecter </w:t>
      </w:r>
      <w:r w:rsidR="00470A48">
        <w:rPr>
          <w:rFonts w:cs="Times New Roman"/>
          <w:lang w:val="fr-CA"/>
        </w:rPr>
        <w:t>« </w:t>
      </w:r>
      <w:r w:rsidRPr="0056797A">
        <w:rPr>
          <w:rFonts w:cs="Times New Roman"/>
          <w:lang w:val="fr-CA"/>
        </w:rPr>
        <w:t>les limites naturelles du texte</w:t>
      </w:r>
      <w:r w:rsidR="00470A48">
        <w:rPr>
          <w:rFonts w:cs="Times New Roman"/>
          <w:lang w:val="fr-CA"/>
        </w:rPr>
        <w:t> »</w:t>
      </w:r>
      <w:r w:rsidRPr="0056797A">
        <w:rPr>
          <w:rFonts w:cs="Times New Roman"/>
          <w:lang w:val="fr-CA"/>
        </w:rPr>
        <w:t xml:space="preserve"> (</w:t>
      </w:r>
      <w:r w:rsidRPr="0056797A">
        <w:rPr>
          <w:rFonts w:cs="Times New Roman"/>
          <w:i/>
          <w:lang w:val="fr-CA"/>
        </w:rPr>
        <w:t xml:space="preserve">Canada (Procureur général) c. </w:t>
      </w:r>
      <w:proofErr w:type="spellStart"/>
      <w:r w:rsidRPr="0056797A">
        <w:rPr>
          <w:rFonts w:cs="Times New Roman"/>
          <w:i/>
          <w:lang w:val="fr-CA"/>
        </w:rPr>
        <w:t>Hislop</w:t>
      </w:r>
      <w:proofErr w:type="spellEnd"/>
      <w:r w:rsidRPr="0056797A">
        <w:rPr>
          <w:rFonts w:cs="Times New Roman"/>
          <w:lang w:val="fr-CA"/>
        </w:rPr>
        <w:t>, 2007 CSC 10, [2007] 1 R.C.S. 429, par.</w:t>
      </w:r>
      <w:r w:rsidR="00470A48">
        <w:rPr>
          <w:rFonts w:cs="Times New Roman"/>
          <w:lang w:val="fr-CA"/>
        </w:rPr>
        <w:t xml:space="preserve"> </w:t>
      </w:r>
      <w:r w:rsidRPr="0056797A">
        <w:rPr>
          <w:rFonts w:cs="Times New Roman"/>
          <w:lang w:val="fr-CA"/>
        </w:rPr>
        <w:t xml:space="preserve">94). La définition du terme </w:t>
      </w:r>
      <w:r w:rsidR="00470A48">
        <w:rPr>
          <w:rFonts w:cs="Times New Roman"/>
          <w:lang w:val="fr-CA"/>
        </w:rPr>
        <w:t>« </w:t>
      </w:r>
      <w:r w:rsidRPr="0056797A">
        <w:rPr>
          <w:rFonts w:cs="Times New Roman"/>
          <w:lang w:val="fr-CA"/>
        </w:rPr>
        <w:t>lettres de change</w:t>
      </w:r>
      <w:r w:rsidR="00470A48">
        <w:rPr>
          <w:rFonts w:cs="Times New Roman"/>
          <w:lang w:val="fr-CA"/>
        </w:rPr>
        <w:t> »</w:t>
      </w:r>
      <w:r w:rsidRPr="0056797A">
        <w:rPr>
          <w:rFonts w:cs="Times New Roman"/>
          <w:lang w:val="fr-CA"/>
        </w:rPr>
        <w:t xml:space="preserve"> n</w:t>
      </w:r>
      <w:r>
        <w:rPr>
          <w:rFonts w:cs="Times New Roman"/>
          <w:lang w:val="fr-CA"/>
        </w:rPr>
        <w:t>’</w:t>
      </w:r>
      <w:r w:rsidRPr="0056797A">
        <w:rPr>
          <w:rFonts w:cs="Times New Roman"/>
          <w:lang w:val="fr-CA"/>
        </w:rPr>
        <w:t>a pas changé au Canada. Si les effets d</w:t>
      </w:r>
      <w:r>
        <w:rPr>
          <w:rFonts w:cs="Times New Roman"/>
          <w:lang w:val="fr-CA"/>
        </w:rPr>
        <w:t>’</w:t>
      </w:r>
      <w:r w:rsidRPr="0056797A">
        <w:rPr>
          <w:rFonts w:cs="Times New Roman"/>
          <w:lang w:val="fr-CA"/>
        </w:rPr>
        <w:t>un paiement par carte de crédit peuvent parfois être identiques à ceux d</w:t>
      </w:r>
      <w:r>
        <w:rPr>
          <w:rFonts w:cs="Times New Roman"/>
          <w:lang w:val="fr-CA"/>
        </w:rPr>
        <w:t>’</w:t>
      </w:r>
      <w:r w:rsidRPr="0056797A">
        <w:rPr>
          <w:rFonts w:cs="Times New Roman"/>
          <w:lang w:val="fr-CA"/>
        </w:rPr>
        <w:t>un paiement par lettre de change, les limites naturelles du texte du par.</w:t>
      </w:r>
      <w:r w:rsidR="00470A48">
        <w:rPr>
          <w:rFonts w:cs="Times New Roman"/>
          <w:lang w:val="fr-CA"/>
        </w:rPr>
        <w:t xml:space="preserve"> </w:t>
      </w:r>
      <w:r w:rsidRPr="0056797A">
        <w:rPr>
          <w:rFonts w:cs="Times New Roman"/>
          <w:lang w:val="fr-CA"/>
        </w:rPr>
        <w:t xml:space="preserve">91(18) de la </w:t>
      </w:r>
      <w:r w:rsidRPr="0056797A">
        <w:rPr>
          <w:rFonts w:cs="Times New Roman"/>
          <w:i/>
          <w:lang w:val="fr-CA"/>
        </w:rPr>
        <w:t xml:space="preserve">Loi constitutionnelle de 1867 </w:t>
      </w:r>
      <w:r w:rsidRPr="0056797A">
        <w:rPr>
          <w:rFonts w:cs="Times New Roman"/>
          <w:lang w:val="fr-CA"/>
        </w:rPr>
        <w:t>empêchent une nouvelle interprétation de la disposition qui engloberait les cartes de crédit.</w:t>
      </w:r>
    </w:p>
    <w:p w:rsidR="00B24911" w:rsidRPr="0056797A" w:rsidRDefault="00B24911" w:rsidP="00470A48">
      <w:pPr>
        <w:pStyle w:val="ParaNoNdepar-AltN"/>
        <w:widowControl w:val="0"/>
        <w:rPr>
          <w:rFonts w:cs="Times New Roman"/>
          <w:lang w:val="fr-CA"/>
        </w:rPr>
      </w:pPr>
      <w:r w:rsidRPr="0056797A">
        <w:rPr>
          <w:rFonts w:cs="Times New Roman"/>
          <w:lang w:val="fr-CA"/>
        </w:rPr>
        <w:t>Nous concluons que le paiement par carte de crédit ne relève pas de la compétence fédérale exclusive en matière de lettres de change. Ainsi, l</w:t>
      </w:r>
      <w:r>
        <w:rPr>
          <w:rFonts w:cs="Times New Roman"/>
          <w:lang w:val="fr-CA"/>
        </w:rPr>
        <w:t>’</w:t>
      </w:r>
      <w:r w:rsidRPr="0056797A">
        <w:rPr>
          <w:rFonts w:cs="Times New Roman"/>
          <w:lang w:val="fr-CA"/>
        </w:rPr>
        <w:t xml:space="preserve">application de </w:t>
      </w:r>
      <w:r w:rsidRPr="0056797A">
        <w:rPr>
          <w:rFonts w:cs="Times New Roman"/>
          <w:lang w:val="fr-CA"/>
        </w:rPr>
        <w:lastRenderedPageBreak/>
        <w:t xml:space="preserve">la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 xml:space="preserve"> aux cartes de crédit émises par Desjardins respecte le partage des compétences, et ni la doctrine de l</w:t>
      </w:r>
      <w:r>
        <w:rPr>
          <w:rFonts w:cs="Times New Roman"/>
          <w:lang w:val="fr-CA"/>
        </w:rPr>
        <w:t>’</w:t>
      </w:r>
      <w:r w:rsidRPr="0056797A">
        <w:rPr>
          <w:rFonts w:cs="Times New Roman"/>
          <w:lang w:val="fr-CA"/>
        </w:rPr>
        <w:t>exclusivité des compétences ni celle de la prépondérance fédérale ne s</w:t>
      </w:r>
      <w:r>
        <w:rPr>
          <w:rFonts w:cs="Times New Roman"/>
          <w:lang w:val="fr-CA"/>
        </w:rPr>
        <w:t>’</w:t>
      </w:r>
      <w:r w:rsidRPr="0056797A">
        <w:rPr>
          <w:rFonts w:cs="Times New Roman"/>
          <w:lang w:val="fr-CA"/>
        </w:rPr>
        <w:t>appliquent.</w:t>
      </w:r>
    </w:p>
    <w:p w:rsidR="00B24911" w:rsidRPr="0056797A" w:rsidRDefault="00B24911" w:rsidP="00470A48">
      <w:pPr>
        <w:pStyle w:val="Title2LevelTitre2Niveau"/>
        <w:widowControl w:val="0"/>
        <w:rPr>
          <w:rFonts w:cs="Times New Roman"/>
          <w:lang w:val="fr-CA"/>
        </w:rPr>
      </w:pPr>
      <w:r w:rsidRPr="0056797A">
        <w:rPr>
          <w:rFonts w:cs="Times New Roman"/>
          <w:lang w:val="fr-CA"/>
        </w:rPr>
        <w:t>Desjardins n</w:t>
      </w:r>
      <w:r>
        <w:rPr>
          <w:rFonts w:cs="Times New Roman"/>
          <w:lang w:val="fr-CA"/>
        </w:rPr>
        <w:t>’</w:t>
      </w:r>
      <w:r w:rsidRPr="0056797A">
        <w:rPr>
          <w:rFonts w:cs="Times New Roman"/>
          <w:lang w:val="fr-CA"/>
        </w:rPr>
        <w:t>a pas indiqué les frais de conversion</w:t>
      </w:r>
    </w:p>
    <w:p w:rsidR="00B24911" w:rsidRPr="0056797A" w:rsidRDefault="00B24911" w:rsidP="00470A48">
      <w:pPr>
        <w:pStyle w:val="ParaNoNdepar-AltN"/>
        <w:widowControl w:val="0"/>
        <w:rPr>
          <w:rFonts w:cs="Times New Roman"/>
          <w:lang w:val="fr-CA"/>
        </w:rPr>
      </w:pPr>
      <w:r w:rsidRPr="0056797A">
        <w:rPr>
          <w:rFonts w:cs="Times New Roman"/>
          <w:lang w:val="fr-CA"/>
        </w:rPr>
        <w:t>Aux termes de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12 </w:t>
      </w:r>
      <w:r w:rsidRPr="0056797A">
        <w:rPr>
          <w:rFonts w:cs="Times New Roman"/>
          <w:i/>
          <w:lang w:val="fr-CA"/>
        </w:rPr>
        <w:t>L.p.c.</w:t>
      </w:r>
      <w:r w:rsidRPr="0056797A">
        <w:rPr>
          <w:rFonts w:cs="Times New Roman"/>
          <w:lang w:val="fr-CA"/>
        </w:rPr>
        <w:t xml:space="preserve">, </w:t>
      </w:r>
      <w:r w:rsidR="00470A48">
        <w:rPr>
          <w:rFonts w:cs="Times New Roman"/>
          <w:lang w:val="fr-CA"/>
        </w:rPr>
        <w:t>« </w:t>
      </w:r>
      <w:r w:rsidRPr="0056797A">
        <w:rPr>
          <w:rFonts w:cs="Times New Roman"/>
          <w:lang w:val="fr-CA"/>
        </w:rPr>
        <w:t>[a]</w:t>
      </w:r>
      <w:proofErr w:type="spellStart"/>
      <w:r w:rsidRPr="0056797A">
        <w:rPr>
          <w:rFonts w:cs="Times New Roman"/>
          <w:lang w:val="fr-CA"/>
        </w:rPr>
        <w:t>ucuns</w:t>
      </w:r>
      <w:proofErr w:type="spellEnd"/>
      <w:r w:rsidRPr="0056797A">
        <w:rPr>
          <w:rFonts w:cs="Times New Roman"/>
          <w:lang w:val="fr-CA"/>
        </w:rPr>
        <w:t xml:space="preserve"> frais ne peuvent être réclamés d</w:t>
      </w:r>
      <w:r>
        <w:rPr>
          <w:rFonts w:cs="Times New Roman"/>
          <w:lang w:val="fr-CA"/>
        </w:rPr>
        <w:t>’</w:t>
      </w:r>
      <w:r w:rsidRPr="0056797A">
        <w:rPr>
          <w:rFonts w:cs="Times New Roman"/>
          <w:lang w:val="fr-CA"/>
        </w:rPr>
        <w:t>un consommateur, à moins que le contrat n</w:t>
      </w:r>
      <w:r>
        <w:rPr>
          <w:rFonts w:cs="Times New Roman"/>
          <w:lang w:val="fr-CA"/>
        </w:rPr>
        <w:t>’</w:t>
      </w:r>
      <w:r w:rsidRPr="0056797A">
        <w:rPr>
          <w:rFonts w:cs="Times New Roman"/>
          <w:lang w:val="fr-CA"/>
        </w:rPr>
        <w:t>en mentionne de façon précise le montant.</w:t>
      </w:r>
      <w:r w:rsidR="00470A48">
        <w:rPr>
          <w:rFonts w:cs="Times New Roman"/>
          <w:lang w:val="fr-CA"/>
        </w:rPr>
        <w:t> »</w:t>
      </w:r>
      <w:r w:rsidRPr="0056797A">
        <w:rPr>
          <w:rFonts w:cs="Times New Roman"/>
          <w:lang w:val="fr-CA"/>
        </w:rPr>
        <w:t xml:space="preserve"> Nous souscrivons à la conclusion de la Cour d</w:t>
      </w:r>
      <w:r>
        <w:rPr>
          <w:rFonts w:cs="Times New Roman"/>
          <w:lang w:val="fr-CA"/>
        </w:rPr>
        <w:t>’</w:t>
      </w:r>
      <w:r w:rsidRPr="0056797A">
        <w:rPr>
          <w:rFonts w:cs="Times New Roman"/>
          <w:lang w:val="fr-CA"/>
        </w:rPr>
        <w:t>appel selon laquelle les frais de conversion appartiennent au capital net. Or, une question demeure</w:t>
      </w:r>
      <w:r w:rsidR="00470A48">
        <w:rPr>
          <w:rFonts w:cs="Times New Roman"/>
          <w:lang w:val="fr-CA"/>
        </w:rPr>
        <w:t> :</w:t>
      </w:r>
      <w:r w:rsidRPr="0056797A">
        <w:rPr>
          <w:rFonts w:cs="Times New Roman"/>
          <w:lang w:val="fr-CA"/>
        </w:rPr>
        <w:t xml:space="preserve"> les frais de conversion ont</w:t>
      </w:r>
      <w:r w:rsidR="00470A48">
        <w:rPr>
          <w:rFonts w:cs="Times New Roman"/>
          <w:lang w:val="fr-CA"/>
        </w:rPr>
        <w:t>-</w:t>
      </w:r>
      <w:r w:rsidRPr="0056797A">
        <w:rPr>
          <w:rFonts w:cs="Times New Roman"/>
          <w:lang w:val="fr-CA"/>
        </w:rPr>
        <w:t>ils été indiqués dans le contrat avec les consommateurs comme le veut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12 </w:t>
      </w:r>
      <w:r w:rsidRPr="0056797A">
        <w:rPr>
          <w:rFonts w:cs="Times New Roman"/>
          <w:i/>
          <w:lang w:val="fr-CA"/>
        </w:rPr>
        <w:t>L.p.c.</w:t>
      </w:r>
      <w:r w:rsidRPr="0056797A">
        <w:rPr>
          <w:rFonts w:cs="Times New Roman"/>
          <w:lang w:val="fr-CA"/>
        </w:rPr>
        <w:t>? Nous sommes appelés à déterminer si Desjardins a satisfait à cette obligation en indiquant les frais de conversion au verso du relevé mensuel envoyé à ses clients. Plus précisément, la mention des frais de conversion au verso du relevé mensuel constitue</w:t>
      </w:r>
      <w:r w:rsidR="00470A48">
        <w:rPr>
          <w:rFonts w:cs="Times New Roman"/>
          <w:lang w:val="fr-CA"/>
        </w:rPr>
        <w:t>-</w:t>
      </w:r>
      <w:r w:rsidRPr="0056797A">
        <w:rPr>
          <w:rFonts w:cs="Times New Roman"/>
          <w:lang w:val="fr-CA"/>
        </w:rPr>
        <w:t>t</w:t>
      </w:r>
      <w:r w:rsidR="00470A48">
        <w:rPr>
          <w:rFonts w:cs="Times New Roman"/>
          <w:lang w:val="fr-CA"/>
        </w:rPr>
        <w:t>-</w:t>
      </w:r>
      <w:r w:rsidRPr="0056797A">
        <w:rPr>
          <w:rFonts w:cs="Times New Roman"/>
          <w:lang w:val="fr-CA"/>
        </w:rPr>
        <w:t>elle une clause externe du contrat de carte de crédit au sens où il faut l</w:t>
      </w:r>
      <w:r>
        <w:rPr>
          <w:rFonts w:cs="Times New Roman"/>
          <w:lang w:val="fr-CA"/>
        </w:rPr>
        <w:t>’</w:t>
      </w:r>
      <w:r w:rsidRPr="0056797A">
        <w:rPr>
          <w:rFonts w:cs="Times New Roman"/>
          <w:lang w:val="fr-CA"/>
        </w:rPr>
        <w:t>entendre pour l</w:t>
      </w:r>
      <w:r>
        <w:rPr>
          <w:rFonts w:cs="Times New Roman"/>
          <w:lang w:val="fr-CA"/>
        </w:rPr>
        <w:t>’</w:t>
      </w:r>
      <w:r w:rsidRPr="0056797A">
        <w:rPr>
          <w:rFonts w:cs="Times New Roman"/>
          <w:lang w:val="fr-CA"/>
        </w:rPr>
        <w:t xml:space="preserve">application du </w:t>
      </w:r>
      <w:r w:rsidRPr="0056797A">
        <w:rPr>
          <w:rFonts w:cs="Times New Roman"/>
          <w:i/>
          <w:lang w:val="fr-CA"/>
        </w:rPr>
        <w:t xml:space="preserve">Code civil du Québec </w:t>
      </w:r>
      <w:r w:rsidRPr="0056797A">
        <w:rPr>
          <w:rFonts w:cs="Times New Roman"/>
          <w:lang w:val="fr-CA"/>
        </w:rPr>
        <w:t>(</w:t>
      </w:r>
      <w:r w:rsidR="00470A48">
        <w:rPr>
          <w:rFonts w:cs="Times New Roman"/>
          <w:lang w:val="fr-CA"/>
        </w:rPr>
        <w:t>« </w:t>
      </w:r>
      <w:proofErr w:type="spellStart"/>
      <w:r w:rsidRPr="0056797A">
        <w:rPr>
          <w:rFonts w:cs="Times New Roman"/>
          <w:i/>
          <w:lang w:val="fr-CA"/>
        </w:rPr>
        <w:t>C.c.Q</w:t>
      </w:r>
      <w:proofErr w:type="spellEnd"/>
      <w:r w:rsidRPr="0056797A">
        <w:rPr>
          <w:rFonts w:cs="Times New Roman"/>
          <w:i/>
          <w:lang w:val="fr-CA"/>
        </w:rPr>
        <w:t>.</w:t>
      </w:r>
      <w:r w:rsidR="00470A48">
        <w:rPr>
          <w:rFonts w:cs="Times New Roman"/>
          <w:lang w:val="fr-CA"/>
        </w:rPr>
        <w:t> »</w:t>
      </w:r>
      <w:r w:rsidRPr="0056797A">
        <w:rPr>
          <w:rFonts w:cs="Times New Roman"/>
          <w:lang w:val="fr-CA"/>
        </w:rPr>
        <w:t xml:space="preserve">)? </w:t>
      </w:r>
    </w:p>
    <w:p w:rsidR="00B24911" w:rsidRPr="0056797A" w:rsidRDefault="00B24911" w:rsidP="00470A48">
      <w:pPr>
        <w:pStyle w:val="ParaNoNdepar-AltN"/>
        <w:widowControl w:val="0"/>
        <w:rPr>
          <w:rFonts w:cs="Times New Roman"/>
          <w:lang w:val="fr-CA"/>
        </w:rPr>
      </w:pPr>
      <w:r w:rsidRPr="0056797A">
        <w:rPr>
          <w:rFonts w:cs="Times New Roman"/>
          <w:lang w:val="fr-CA"/>
        </w:rPr>
        <w:t>M.</w:t>
      </w:r>
      <w:r w:rsidR="00470A48">
        <w:rPr>
          <w:rFonts w:cs="Times New Roman"/>
          <w:lang w:val="fr-CA"/>
        </w:rPr>
        <w:t xml:space="preserve"> </w:t>
      </w:r>
      <w:r w:rsidRPr="0056797A">
        <w:rPr>
          <w:rFonts w:cs="Times New Roman"/>
          <w:lang w:val="fr-CA"/>
        </w:rPr>
        <w:t>Marcotte soutient que le tableau des frais figurant au verso du relevé mensuel de Desjardins n</w:t>
      </w:r>
      <w:r>
        <w:rPr>
          <w:rFonts w:cs="Times New Roman"/>
          <w:lang w:val="fr-CA"/>
        </w:rPr>
        <w:t>’</w:t>
      </w:r>
      <w:r w:rsidRPr="0056797A">
        <w:rPr>
          <w:rFonts w:cs="Times New Roman"/>
          <w:lang w:val="fr-CA"/>
        </w:rPr>
        <w:t>est pas une clause externe qui lie les parties parce que le consommateur n</w:t>
      </w:r>
      <w:r>
        <w:rPr>
          <w:rFonts w:cs="Times New Roman"/>
          <w:lang w:val="fr-CA"/>
        </w:rPr>
        <w:t>’</w:t>
      </w:r>
      <w:r w:rsidRPr="0056797A">
        <w:rPr>
          <w:rFonts w:cs="Times New Roman"/>
          <w:lang w:val="fr-CA"/>
        </w:rPr>
        <w:t>en avait pas connaissance au moment de la formation du contrat. Il ajoute que, si ce tableau des frais constitue effectivement une clause externe, les entreprises pourraient demander l</w:t>
      </w:r>
      <w:r>
        <w:rPr>
          <w:rFonts w:cs="Times New Roman"/>
          <w:lang w:val="fr-CA"/>
        </w:rPr>
        <w:t>’</w:t>
      </w:r>
      <w:r w:rsidRPr="0056797A">
        <w:rPr>
          <w:rFonts w:cs="Times New Roman"/>
          <w:lang w:val="fr-CA"/>
        </w:rPr>
        <w:t>exécution forcée de clauses non portées à la connaissance du consommateur au moment de la conclusion du contrat. Subsidiairement, M.</w:t>
      </w:r>
      <w:r w:rsidR="00470A48">
        <w:rPr>
          <w:rFonts w:cs="Times New Roman"/>
          <w:lang w:val="fr-CA"/>
        </w:rPr>
        <w:t xml:space="preserve"> </w:t>
      </w:r>
      <w:r w:rsidRPr="0056797A">
        <w:rPr>
          <w:rFonts w:cs="Times New Roman"/>
          <w:lang w:val="fr-CA"/>
        </w:rPr>
        <w:t xml:space="preserve">Marcotte fait valoir que si la Cour considère le tableau des frais </w:t>
      </w:r>
      <w:r w:rsidRPr="0056797A">
        <w:rPr>
          <w:rFonts w:cs="Times New Roman"/>
          <w:lang w:val="fr-CA"/>
        </w:rPr>
        <w:lastRenderedPageBreak/>
        <w:t>comme une clause externe, elle ne saurait lier les consommateurs sans preuve qu</w:t>
      </w:r>
      <w:r>
        <w:rPr>
          <w:rFonts w:cs="Times New Roman"/>
          <w:lang w:val="fr-CA"/>
        </w:rPr>
        <w:t>’</w:t>
      </w:r>
      <w:r w:rsidRPr="0056797A">
        <w:rPr>
          <w:rFonts w:cs="Times New Roman"/>
          <w:lang w:val="fr-CA"/>
        </w:rPr>
        <w:t>elle a été portée à leur connaissance. C</w:t>
      </w:r>
      <w:r>
        <w:rPr>
          <w:rFonts w:cs="Times New Roman"/>
          <w:lang w:val="fr-CA"/>
        </w:rPr>
        <w:t>’</w:t>
      </w:r>
      <w:r w:rsidRPr="0056797A">
        <w:rPr>
          <w:rFonts w:cs="Times New Roman"/>
          <w:lang w:val="fr-CA"/>
        </w:rPr>
        <w:t>est à Desjardins, affirme</w:t>
      </w:r>
      <w:r w:rsidR="00470A48">
        <w:rPr>
          <w:rFonts w:cs="Times New Roman"/>
          <w:lang w:val="fr-CA"/>
        </w:rPr>
        <w:t>-</w:t>
      </w:r>
      <w:r w:rsidRPr="0056797A">
        <w:rPr>
          <w:rFonts w:cs="Times New Roman"/>
          <w:lang w:val="fr-CA"/>
        </w:rPr>
        <w:t>t</w:t>
      </w:r>
      <w:r w:rsidR="00470A48">
        <w:rPr>
          <w:rFonts w:cs="Times New Roman"/>
          <w:lang w:val="fr-CA"/>
        </w:rPr>
        <w:t>-</w:t>
      </w:r>
      <w:r w:rsidRPr="0056797A">
        <w:rPr>
          <w:rFonts w:cs="Times New Roman"/>
          <w:lang w:val="fr-CA"/>
        </w:rPr>
        <w:t>il, qu</w:t>
      </w:r>
      <w:r>
        <w:rPr>
          <w:rFonts w:cs="Times New Roman"/>
          <w:lang w:val="fr-CA"/>
        </w:rPr>
        <w:t>’</w:t>
      </w:r>
      <w:r w:rsidRPr="0056797A">
        <w:rPr>
          <w:rFonts w:cs="Times New Roman"/>
          <w:lang w:val="fr-CA"/>
        </w:rPr>
        <w:t>il appartient de démontrer qu</w:t>
      </w:r>
      <w:r>
        <w:rPr>
          <w:rFonts w:cs="Times New Roman"/>
          <w:lang w:val="fr-CA"/>
        </w:rPr>
        <w:t>’</w:t>
      </w:r>
      <w:r w:rsidRPr="0056797A">
        <w:rPr>
          <w:rFonts w:cs="Times New Roman"/>
          <w:lang w:val="fr-CA"/>
        </w:rPr>
        <w:t>il était au courant de l</w:t>
      </w:r>
      <w:r>
        <w:rPr>
          <w:rFonts w:cs="Times New Roman"/>
          <w:lang w:val="fr-CA"/>
        </w:rPr>
        <w:t>’</w:t>
      </w:r>
      <w:r w:rsidRPr="0056797A">
        <w:rPr>
          <w:rFonts w:cs="Times New Roman"/>
          <w:lang w:val="fr-CA"/>
        </w:rPr>
        <w:t>existence de cette clause.</w:t>
      </w:r>
    </w:p>
    <w:p w:rsidR="00B24911" w:rsidRPr="0056797A" w:rsidRDefault="00B24911" w:rsidP="00470A48">
      <w:pPr>
        <w:pStyle w:val="ParaNoNdepar-AltN"/>
        <w:widowControl w:val="0"/>
        <w:rPr>
          <w:rFonts w:cs="Times New Roman"/>
          <w:lang w:val="fr-CA"/>
        </w:rPr>
      </w:pPr>
      <w:r w:rsidRPr="0056797A">
        <w:rPr>
          <w:rFonts w:cs="Times New Roman"/>
          <w:lang w:val="fr-CA"/>
        </w:rPr>
        <w:t>Desjardins soutient que M.</w:t>
      </w:r>
      <w:r w:rsidR="00470A48">
        <w:rPr>
          <w:rFonts w:cs="Times New Roman"/>
          <w:lang w:val="fr-CA"/>
        </w:rPr>
        <w:t xml:space="preserve"> </w:t>
      </w:r>
      <w:r w:rsidRPr="0056797A">
        <w:rPr>
          <w:rFonts w:cs="Times New Roman"/>
          <w:lang w:val="fr-CA"/>
        </w:rPr>
        <w:t>Marcotte a admis au procès qu</w:t>
      </w:r>
      <w:r>
        <w:rPr>
          <w:rFonts w:cs="Times New Roman"/>
          <w:lang w:val="fr-CA"/>
        </w:rPr>
        <w:t>’</w:t>
      </w:r>
      <w:r w:rsidRPr="0056797A">
        <w:rPr>
          <w:rFonts w:cs="Times New Roman"/>
          <w:lang w:val="fr-CA"/>
        </w:rPr>
        <w:t>il était au courant de la clause externe indiquant les frais de conversion, et que cette connaissance devrait être imputée aux autres membres du groupe. Subsidiairement, Desjardins fait valoir que le recours collectif ne saurait être justifié si les autres membres du groupe n</w:t>
      </w:r>
      <w:r>
        <w:rPr>
          <w:rFonts w:cs="Times New Roman"/>
          <w:lang w:val="fr-CA"/>
        </w:rPr>
        <w:t>’</w:t>
      </w:r>
      <w:r w:rsidRPr="0056797A">
        <w:rPr>
          <w:rFonts w:cs="Times New Roman"/>
          <w:lang w:val="fr-CA"/>
        </w:rPr>
        <w:t>ont pas cette même connaissance.</w:t>
      </w:r>
    </w:p>
    <w:p w:rsidR="00B24911" w:rsidRPr="0056797A" w:rsidRDefault="00B24911" w:rsidP="00470A48">
      <w:pPr>
        <w:pStyle w:val="ParaNoNdepar-AltN"/>
        <w:widowControl w:val="0"/>
        <w:rPr>
          <w:rFonts w:cs="Times New Roman"/>
          <w:lang w:val="fr-CA"/>
        </w:rPr>
      </w:pPr>
      <w:r w:rsidRPr="0056797A">
        <w:rPr>
          <w:rFonts w:cs="Times New Roman"/>
          <w:lang w:val="fr-CA"/>
        </w:rPr>
        <w:t>Selon le principal argument de M.</w:t>
      </w:r>
      <w:r w:rsidR="00470A48">
        <w:rPr>
          <w:rFonts w:cs="Times New Roman"/>
          <w:lang w:val="fr-CA"/>
        </w:rPr>
        <w:t xml:space="preserve"> </w:t>
      </w:r>
      <w:r w:rsidRPr="0056797A">
        <w:rPr>
          <w:rFonts w:cs="Times New Roman"/>
          <w:lang w:val="fr-CA"/>
        </w:rPr>
        <w:t xml:space="preserve">Marcotte, la mention des </w:t>
      </w:r>
      <w:r w:rsidR="00470A48">
        <w:rPr>
          <w:rFonts w:cs="Times New Roman"/>
          <w:lang w:val="fr-CA"/>
        </w:rPr>
        <w:t>« </w:t>
      </w:r>
      <w:r w:rsidRPr="0056797A">
        <w:rPr>
          <w:rFonts w:cs="Times New Roman"/>
          <w:lang w:val="fr-CA"/>
        </w:rPr>
        <w:t>frais administratifs</w:t>
      </w:r>
      <w:r w:rsidR="00470A48">
        <w:rPr>
          <w:rFonts w:cs="Times New Roman"/>
          <w:lang w:val="fr-CA"/>
        </w:rPr>
        <w:t> »</w:t>
      </w:r>
      <w:r w:rsidRPr="0056797A">
        <w:rPr>
          <w:rFonts w:cs="Times New Roman"/>
          <w:lang w:val="fr-CA"/>
        </w:rPr>
        <w:t xml:space="preserve"> qui figure dans la convention renvoie les titulaires à une clause externe qui leur indique la tarification applicable. Cette clause externe doit donc, pour être valide, être conforme à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1435 </w:t>
      </w:r>
      <w:r w:rsidRPr="0056797A">
        <w:rPr>
          <w:rFonts w:cs="Times New Roman"/>
          <w:i/>
          <w:lang w:val="fr-CA"/>
        </w:rPr>
        <w:t>C.c.Q.</w:t>
      </w:r>
      <w:r w:rsidRPr="0056797A">
        <w:rPr>
          <w:rFonts w:cs="Times New Roman"/>
          <w:lang w:val="fr-CA"/>
        </w:rPr>
        <w:t>, que voici</w:t>
      </w:r>
      <w:r w:rsidR="00470A48">
        <w:rPr>
          <w:rFonts w:cs="Times New Roman"/>
          <w:lang w:val="fr-CA"/>
        </w:rPr>
        <w:t> :</w:t>
      </w:r>
    </w:p>
    <w:p w:rsidR="00B24911" w:rsidRPr="0056797A" w:rsidRDefault="00B24911" w:rsidP="00470A48">
      <w:pPr>
        <w:pStyle w:val="Citation-AltC"/>
        <w:widowControl w:val="0"/>
        <w:spacing w:after="240"/>
        <w:ind w:left="1168" w:hanging="1168"/>
        <w:contextualSpacing w:val="0"/>
        <w:rPr>
          <w:lang w:val="fr-CA"/>
        </w:rPr>
      </w:pPr>
      <w:bookmarkStart w:id="0" w:name="D1435_Y"/>
      <w:bookmarkStart w:id="1" w:name="s1435"/>
      <w:bookmarkEnd w:id="0"/>
      <w:bookmarkEnd w:id="1"/>
      <w:r w:rsidRPr="0056797A">
        <w:rPr>
          <w:lang w:val="fr-CA"/>
        </w:rPr>
        <w:tab/>
      </w:r>
      <w:r w:rsidRPr="0056797A">
        <w:rPr>
          <w:b/>
          <w:lang w:val="fr-CA"/>
        </w:rPr>
        <w:t>1435</w:t>
      </w:r>
      <w:r w:rsidRPr="00ED1995">
        <w:rPr>
          <w:b/>
          <w:sz w:val="36"/>
          <w:szCs w:val="36"/>
          <w:lang w:val="fr-CA"/>
        </w:rPr>
        <w:t>.</w:t>
      </w:r>
      <w:r w:rsidR="00470A48">
        <w:rPr>
          <w:lang w:val="fr-CA"/>
        </w:rPr>
        <w:t xml:space="preserve">  </w:t>
      </w:r>
      <w:r w:rsidRPr="0056797A">
        <w:rPr>
          <w:lang w:val="fr-CA"/>
        </w:rPr>
        <w:t>La clause externe à laquelle renvoie le contrat lie les parties.</w:t>
      </w:r>
    </w:p>
    <w:p w:rsidR="00B24911" w:rsidRPr="0056797A" w:rsidRDefault="00B24911" w:rsidP="00470A48">
      <w:pPr>
        <w:pStyle w:val="Citation-AltC"/>
        <w:widowControl w:val="0"/>
        <w:ind w:hanging="1166"/>
        <w:rPr>
          <w:lang w:val="fr-CA"/>
        </w:rPr>
      </w:pPr>
      <w:r w:rsidRPr="0056797A">
        <w:rPr>
          <w:lang w:val="fr-CA"/>
        </w:rPr>
        <w:tab/>
        <w:t>Toutefois, dans un contrat de consommation ou d</w:t>
      </w:r>
      <w:r>
        <w:rPr>
          <w:lang w:val="fr-CA"/>
        </w:rPr>
        <w:t>’</w:t>
      </w:r>
      <w:r w:rsidRPr="0056797A">
        <w:rPr>
          <w:lang w:val="fr-CA"/>
        </w:rPr>
        <w:t>adhésion, cette clause est nulle si, au moment de la formation du contrat, elle n</w:t>
      </w:r>
      <w:r>
        <w:rPr>
          <w:lang w:val="fr-CA"/>
        </w:rPr>
        <w:t>’</w:t>
      </w:r>
      <w:r w:rsidRPr="0056797A">
        <w:rPr>
          <w:lang w:val="fr-CA"/>
        </w:rPr>
        <w:t>a pas été expressément portée à la connaissance du consommateur ou de la partie qui y adhère, à moins que l</w:t>
      </w:r>
      <w:r>
        <w:rPr>
          <w:lang w:val="fr-CA"/>
        </w:rPr>
        <w:t>’</w:t>
      </w:r>
      <w:r w:rsidRPr="0056797A">
        <w:rPr>
          <w:lang w:val="fr-CA"/>
        </w:rPr>
        <w:t>autre partie ne prouve que le consommateur ou l</w:t>
      </w:r>
      <w:r>
        <w:rPr>
          <w:lang w:val="fr-CA"/>
        </w:rPr>
        <w:t>’</w:t>
      </w:r>
      <w:r w:rsidRPr="0056797A">
        <w:rPr>
          <w:lang w:val="fr-CA"/>
        </w:rPr>
        <w:t>adhérent en avait par ailleurs connaissance.</w:t>
      </w:r>
    </w:p>
    <w:p w:rsidR="00B24911" w:rsidRPr="0056797A" w:rsidRDefault="00B24911" w:rsidP="00470A48">
      <w:pPr>
        <w:pStyle w:val="ParaNoNdepar-AltN"/>
        <w:widowControl w:val="0"/>
        <w:rPr>
          <w:rFonts w:cs="Times New Roman"/>
          <w:lang w:val="fr-CA"/>
        </w:rPr>
      </w:pPr>
      <w:r w:rsidRPr="0056797A">
        <w:rPr>
          <w:rFonts w:cs="Times New Roman"/>
          <w:lang w:val="fr-CA"/>
        </w:rPr>
        <w:t>Il ressort de la preuve produite au procès que cette clause n</w:t>
      </w:r>
      <w:r>
        <w:rPr>
          <w:rFonts w:cs="Times New Roman"/>
          <w:lang w:val="fr-CA"/>
        </w:rPr>
        <w:t>’</w:t>
      </w:r>
      <w:r w:rsidRPr="0056797A">
        <w:rPr>
          <w:rFonts w:cs="Times New Roman"/>
          <w:lang w:val="fr-CA"/>
        </w:rPr>
        <w:t>a pas été expressément portée à la connaissance du consommateur au moment de la formation du contrat</w:t>
      </w:r>
      <w:r w:rsidR="00470A48">
        <w:rPr>
          <w:rFonts w:cs="Times New Roman"/>
          <w:lang w:val="fr-CA"/>
        </w:rPr>
        <w:t> :</w:t>
      </w:r>
    </w:p>
    <w:p w:rsidR="00B24911" w:rsidRPr="0056797A" w:rsidRDefault="00B24911" w:rsidP="00470A48">
      <w:pPr>
        <w:pStyle w:val="Citation-AltC"/>
        <w:widowControl w:val="0"/>
        <w:spacing w:after="240"/>
        <w:ind w:left="1168" w:hanging="1168"/>
        <w:contextualSpacing w:val="0"/>
        <w:rPr>
          <w:lang w:val="fr-CA"/>
        </w:rPr>
      </w:pPr>
      <w:r w:rsidRPr="0056797A">
        <w:rPr>
          <w:lang w:val="fr-CA"/>
        </w:rPr>
        <w:lastRenderedPageBreak/>
        <w:tab/>
      </w:r>
      <w:r w:rsidR="00DA13CE">
        <w:rPr>
          <w:lang w:val="fr-CA"/>
        </w:rPr>
        <w:tab/>
      </w:r>
      <w:r w:rsidRPr="0056797A">
        <w:rPr>
          <w:lang w:val="fr-CA"/>
        </w:rPr>
        <w:t>Avant le 1</w:t>
      </w:r>
      <w:r w:rsidRPr="0056797A">
        <w:rPr>
          <w:vertAlign w:val="superscript"/>
          <w:lang w:val="fr-CA"/>
        </w:rPr>
        <w:t>er</w:t>
      </w:r>
      <w:r w:rsidR="00470A48">
        <w:rPr>
          <w:lang w:val="fr-CA"/>
        </w:rPr>
        <w:t xml:space="preserve"> </w:t>
      </w:r>
      <w:r w:rsidRPr="0056797A">
        <w:rPr>
          <w:lang w:val="fr-CA"/>
        </w:rPr>
        <w:t>avril 2006, il est acquis que les frais de conversion ne sont pas divulgués dans les contrats de crédit variable de Desjardins. Ils le sont uniquement à l</w:t>
      </w:r>
      <w:r>
        <w:rPr>
          <w:lang w:val="fr-CA"/>
        </w:rPr>
        <w:t>’</w:t>
      </w:r>
      <w:r w:rsidRPr="0056797A">
        <w:rPr>
          <w:lang w:val="fr-CA"/>
        </w:rPr>
        <w:t>endos des relevés de compte envoyés mensuellement aux dét</w:t>
      </w:r>
      <w:r w:rsidR="00DA13CE">
        <w:rPr>
          <w:lang w:val="fr-CA"/>
        </w:rPr>
        <w:t>enteurs de cartes. [</w:t>
      </w:r>
      <w:proofErr w:type="gramStart"/>
      <w:r w:rsidR="00DA13CE">
        <w:rPr>
          <w:lang w:val="fr-CA"/>
        </w:rPr>
        <w:t>m</w:t>
      </w:r>
      <w:r w:rsidRPr="0056797A">
        <w:rPr>
          <w:lang w:val="fr-CA"/>
        </w:rPr>
        <w:t>otifs</w:t>
      </w:r>
      <w:proofErr w:type="gramEnd"/>
      <w:r w:rsidRPr="0056797A">
        <w:rPr>
          <w:lang w:val="fr-CA"/>
        </w:rPr>
        <w:t xml:space="preserve"> de première instance, par.</w:t>
      </w:r>
      <w:r w:rsidR="00470A48">
        <w:rPr>
          <w:lang w:val="fr-CA"/>
        </w:rPr>
        <w:t xml:space="preserve"> </w:t>
      </w:r>
      <w:r w:rsidRPr="0056797A">
        <w:rPr>
          <w:lang w:val="fr-CA"/>
        </w:rPr>
        <w:t>333]</w:t>
      </w:r>
    </w:p>
    <w:p w:rsidR="00B24911" w:rsidRPr="0056797A" w:rsidRDefault="00B24911" w:rsidP="00470A48">
      <w:pPr>
        <w:pStyle w:val="ParaNoNdepar-AltN"/>
        <w:widowControl w:val="0"/>
        <w:rPr>
          <w:rFonts w:cs="Times New Roman"/>
          <w:lang w:val="fr-CA"/>
        </w:rPr>
      </w:pPr>
      <w:r w:rsidRPr="0056797A">
        <w:rPr>
          <w:rFonts w:cs="Times New Roman"/>
          <w:lang w:val="fr-CA"/>
        </w:rPr>
        <w:t>Peut</w:t>
      </w:r>
      <w:r w:rsidR="00470A48">
        <w:rPr>
          <w:rFonts w:cs="Times New Roman"/>
          <w:lang w:val="fr-CA"/>
        </w:rPr>
        <w:t>-</w:t>
      </w:r>
      <w:r w:rsidRPr="0056797A">
        <w:rPr>
          <w:rFonts w:cs="Times New Roman"/>
          <w:lang w:val="fr-CA"/>
        </w:rPr>
        <w:t xml:space="preserve">on alors conclure que, dans la présente affaire, les consommateurs avaient connaissance de cette clause? Le libellé de la disposition en cause, ainsi que la doctrine, laissent entendre que le moment pertinent pour déterminer si les consommateurs avaient connaissance de la clause est celui de la formation du contrat (D. </w:t>
      </w:r>
      <w:proofErr w:type="spellStart"/>
      <w:r w:rsidRPr="0056797A">
        <w:rPr>
          <w:rFonts w:cs="Times New Roman"/>
          <w:lang w:val="fr-CA"/>
        </w:rPr>
        <w:t>Lluelles</w:t>
      </w:r>
      <w:proofErr w:type="spellEnd"/>
      <w:r w:rsidRPr="0056797A">
        <w:rPr>
          <w:rFonts w:cs="Times New Roman"/>
          <w:lang w:val="fr-CA"/>
        </w:rPr>
        <w:t xml:space="preserve"> et B. Moore, </w:t>
      </w:r>
      <w:r w:rsidRPr="0056797A">
        <w:rPr>
          <w:rFonts w:cs="Times New Roman"/>
          <w:i/>
          <w:iCs/>
          <w:lang w:val="fr-CA"/>
        </w:rPr>
        <w:t>Droit des obligations</w:t>
      </w:r>
      <w:r w:rsidRPr="0056797A">
        <w:rPr>
          <w:rFonts w:cs="Times New Roman"/>
          <w:iCs/>
          <w:lang w:val="fr-CA"/>
        </w:rPr>
        <w:t xml:space="preserve"> (</w:t>
      </w:r>
      <w:r w:rsidRPr="0056797A">
        <w:rPr>
          <w:rFonts w:cs="Times New Roman"/>
          <w:lang w:val="fr-CA"/>
        </w:rPr>
        <w:t>2</w:t>
      </w:r>
      <w:r w:rsidRPr="0056797A">
        <w:rPr>
          <w:rFonts w:cs="Times New Roman"/>
          <w:vertAlign w:val="superscript"/>
          <w:lang w:val="fr-CA"/>
        </w:rPr>
        <w:t>e</w:t>
      </w:r>
      <w:r w:rsidRPr="0056797A">
        <w:rPr>
          <w:rFonts w:cs="Times New Roman"/>
          <w:lang w:val="fr-CA"/>
        </w:rPr>
        <w:t xml:space="preserve"> éd. 2012), p.</w:t>
      </w:r>
      <w:r w:rsidR="00470A48">
        <w:rPr>
          <w:rFonts w:cs="Times New Roman"/>
          <w:lang w:val="fr-CA"/>
        </w:rPr>
        <w:t xml:space="preserve"> </w:t>
      </w:r>
      <w:r w:rsidRPr="0056797A">
        <w:rPr>
          <w:rFonts w:cs="Times New Roman"/>
          <w:lang w:val="fr-CA"/>
        </w:rPr>
        <w:t>795</w:t>
      </w:r>
      <w:r w:rsidR="00470A48">
        <w:rPr>
          <w:rFonts w:cs="Times New Roman"/>
          <w:lang w:val="fr-CA"/>
        </w:rPr>
        <w:t>-</w:t>
      </w:r>
      <w:r w:rsidRPr="0056797A">
        <w:rPr>
          <w:rFonts w:cs="Times New Roman"/>
          <w:lang w:val="fr-CA"/>
        </w:rPr>
        <w:t>796).</w:t>
      </w:r>
    </w:p>
    <w:p w:rsidR="00B24911" w:rsidRPr="0056797A" w:rsidRDefault="00B24911" w:rsidP="00470A48">
      <w:pPr>
        <w:pStyle w:val="ParaNoNdepar-AltN"/>
        <w:widowControl w:val="0"/>
        <w:rPr>
          <w:rFonts w:cs="Times New Roman"/>
          <w:lang w:val="fr-CA"/>
        </w:rPr>
      </w:pPr>
      <w:r w:rsidRPr="0056797A">
        <w:rPr>
          <w:rFonts w:cs="Times New Roman"/>
          <w:lang w:val="fr-CA"/>
        </w:rPr>
        <w:t>Le juge du procès a conclu à tort que le renouvellement d</w:t>
      </w:r>
      <w:r>
        <w:rPr>
          <w:rFonts w:cs="Times New Roman"/>
          <w:lang w:val="fr-CA"/>
        </w:rPr>
        <w:t>’</w:t>
      </w:r>
      <w:r w:rsidRPr="0056797A">
        <w:rPr>
          <w:rFonts w:cs="Times New Roman"/>
          <w:lang w:val="fr-CA"/>
        </w:rPr>
        <w:t>une carte de crédit emporte la formation d</w:t>
      </w:r>
      <w:r>
        <w:rPr>
          <w:rFonts w:cs="Times New Roman"/>
          <w:lang w:val="fr-CA"/>
        </w:rPr>
        <w:t>’</w:t>
      </w:r>
      <w:r w:rsidRPr="0056797A">
        <w:rPr>
          <w:rFonts w:cs="Times New Roman"/>
          <w:lang w:val="fr-CA"/>
        </w:rPr>
        <w:t>un nouveau contrat. Il y a une seule convention</w:t>
      </w:r>
      <w:r w:rsidR="00470A48">
        <w:rPr>
          <w:rFonts w:cs="Times New Roman"/>
          <w:lang w:val="fr-CA"/>
        </w:rPr>
        <w:t>-</w:t>
      </w:r>
      <w:r w:rsidRPr="0056797A">
        <w:rPr>
          <w:rFonts w:cs="Times New Roman"/>
          <w:lang w:val="fr-CA"/>
        </w:rPr>
        <w:t>cadre et elle entre en vigueur à la première utilisation de la carte de crédit. (N. L</w:t>
      </w:r>
      <w:r>
        <w:rPr>
          <w:rFonts w:cs="Times New Roman"/>
          <w:lang w:val="fr-CA"/>
        </w:rPr>
        <w:t>’</w:t>
      </w:r>
      <w:r w:rsidRPr="0056797A">
        <w:rPr>
          <w:rFonts w:cs="Times New Roman"/>
          <w:lang w:val="fr-CA"/>
        </w:rPr>
        <w:t xml:space="preserve">Heureux, É. Fortin et M. </w:t>
      </w:r>
      <w:proofErr w:type="spellStart"/>
      <w:r w:rsidRPr="0056797A">
        <w:rPr>
          <w:rFonts w:cs="Times New Roman"/>
          <w:lang w:val="fr-CA"/>
        </w:rPr>
        <w:t>Lacoursière</w:t>
      </w:r>
      <w:proofErr w:type="spellEnd"/>
      <w:r w:rsidRPr="0056797A">
        <w:rPr>
          <w:rFonts w:cs="Times New Roman"/>
          <w:lang w:val="fr-CA"/>
        </w:rPr>
        <w:t xml:space="preserve">, </w:t>
      </w:r>
      <w:r w:rsidRPr="0056797A">
        <w:rPr>
          <w:rFonts w:cs="Times New Roman"/>
          <w:i/>
          <w:iCs/>
          <w:lang w:val="fr-CA"/>
        </w:rPr>
        <w:t>Droit bancaire</w:t>
      </w:r>
      <w:r w:rsidRPr="0056797A">
        <w:rPr>
          <w:rFonts w:cs="Times New Roman"/>
          <w:lang w:val="fr-CA"/>
        </w:rPr>
        <w:t xml:space="preserve"> (4</w:t>
      </w:r>
      <w:r w:rsidRPr="0056797A">
        <w:rPr>
          <w:rFonts w:cs="Times New Roman"/>
          <w:vertAlign w:val="superscript"/>
          <w:lang w:val="fr-CA"/>
        </w:rPr>
        <w:t>e</w:t>
      </w:r>
      <w:r w:rsidR="00470A48">
        <w:rPr>
          <w:rFonts w:cs="Times New Roman"/>
          <w:vertAlign w:val="superscript"/>
          <w:lang w:val="fr-CA"/>
        </w:rPr>
        <w:t xml:space="preserve"> </w:t>
      </w:r>
      <w:r w:rsidRPr="0056797A">
        <w:rPr>
          <w:rFonts w:cs="Times New Roman"/>
          <w:lang w:val="fr-CA"/>
        </w:rPr>
        <w:t>éd. 2004), p.</w:t>
      </w:r>
      <w:r w:rsidR="00470A48">
        <w:rPr>
          <w:rFonts w:cs="Times New Roman"/>
          <w:lang w:val="fr-CA"/>
        </w:rPr>
        <w:t xml:space="preserve"> </w:t>
      </w:r>
      <w:r w:rsidRPr="0056797A">
        <w:rPr>
          <w:rFonts w:cs="Times New Roman"/>
          <w:lang w:val="fr-CA"/>
        </w:rPr>
        <w:t>610 et 634; art.</w:t>
      </w:r>
      <w:r w:rsidR="00470A48">
        <w:rPr>
          <w:rFonts w:cs="Times New Roman"/>
          <w:lang w:val="fr-CA"/>
        </w:rPr>
        <w:t xml:space="preserve"> </w:t>
      </w:r>
      <w:r w:rsidRPr="0056797A">
        <w:rPr>
          <w:rFonts w:cs="Times New Roman"/>
          <w:lang w:val="fr-CA"/>
        </w:rPr>
        <w:t xml:space="preserve">29 et 30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w:t>
      </w:r>
      <w:r w:rsidRPr="0056797A">
        <w:rPr>
          <w:rFonts w:cs="Times New Roman"/>
          <w:i/>
          <w:iCs/>
          <w:lang w:val="fr-CA"/>
        </w:rPr>
        <w:t xml:space="preserve"> </w:t>
      </w:r>
      <w:r w:rsidRPr="0056797A">
        <w:rPr>
          <w:rFonts w:cs="Times New Roman"/>
          <w:iCs/>
          <w:lang w:val="fr-CA"/>
        </w:rPr>
        <w:t>Le</w:t>
      </w:r>
      <w:r w:rsidRPr="0056797A">
        <w:rPr>
          <w:rFonts w:cs="Times New Roman"/>
          <w:lang w:val="fr-CA"/>
        </w:rPr>
        <w:t xml:space="preserve"> remplacement de la carte de crédit n</w:t>
      </w:r>
      <w:r>
        <w:rPr>
          <w:rFonts w:cs="Times New Roman"/>
          <w:lang w:val="fr-CA"/>
        </w:rPr>
        <w:t>’</w:t>
      </w:r>
      <w:r w:rsidRPr="0056797A">
        <w:rPr>
          <w:rFonts w:cs="Times New Roman"/>
          <w:lang w:val="fr-CA"/>
        </w:rPr>
        <w:t>a pas pour effet de créer une nouvelle relation contractuelle. Il est donc impossible que les consommateurs aient eu connaissance de la clause externe faisant état du taux de conversion au moment de la formation de la convention, étant donné que cette clause ne figurait qu</w:t>
      </w:r>
      <w:r>
        <w:rPr>
          <w:rFonts w:cs="Times New Roman"/>
          <w:lang w:val="fr-CA"/>
        </w:rPr>
        <w:t>’</w:t>
      </w:r>
      <w:r w:rsidRPr="0056797A">
        <w:rPr>
          <w:rFonts w:cs="Times New Roman"/>
          <w:lang w:val="fr-CA"/>
        </w:rPr>
        <w:t>au premier relevé mensuel de la carte de crédit</w:t>
      </w:r>
      <w:r w:rsidR="00470A48">
        <w:rPr>
          <w:rFonts w:cs="Times New Roman"/>
          <w:lang w:val="fr-CA"/>
        </w:rPr>
        <w:t> :</w:t>
      </w:r>
      <w:r w:rsidRPr="0056797A">
        <w:rPr>
          <w:rFonts w:cs="Times New Roman"/>
          <w:lang w:val="fr-CA"/>
        </w:rPr>
        <w:t xml:space="preserve"> ils ne pouvaient donc en prendre connaissance qu</w:t>
      </w:r>
      <w:r>
        <w:rPr>
          <w:rFonts w:cs="Times New Roman"/>
          <w:lang w:val="fr-CA"/>
        </w:rPr>
        <w:t>’</w:t>
      </w:r>
      <w:r w:rsidRPr="0056797A">
        <w:rPr>
          <w:rFonts w:cs="Times New Roman"/>
          <w:lang w:val="fr-CA"/>
        </w:rPr>
        <w:t>après avoir utilisé la carte une première fois. En conséquence, Desjardins a contrevenu à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12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 xml:space="preserve"> en imposant des frais sans les indiquer dans ses contrats avec les consommateurs, c</w:t>
      </w:r>
      <w:r>
        <w:rPr>
          <w:rFonts w:cs="Times New Roman"/>
          <w:lang w:val="fr-CA"/>
        </w:rPr>
        <w:t>’</w:t>
      </w:r>
      <w:r w:rsidRPr="0056797A">
        <w:rPr>
          <w:rFonts w:cs="Times New Roman"/>
          <w:lang w:val="fr-CA"/>
        </w:rPr>
        <w:t>est</w:t>
      </w:r>
      <w:r w:rsidR="00470A48">
        <w:rPr>
          <w:rFonts w:cs="Times New Roman"/>
          <w:lang w:val="fr-CA"/>
        </w:rPr>
        <w:t>-</w:t>
      </w:r>
      <w:r w:rsidRPr="0056797A">
        <w:rPr>
          <w:rFonts w:cs="Times New Roman"/>
          <w:lang w:val="fr-CA"/>
        </w:rPr>
        <w:t>à</w:t>
      </w:r>
      <w:r w:rsidR="00470A48">
        <w:rPr>
          <w:rFonts w:cs="Times New Roman"/>
          <w:lang w:val="fr-CA"/>
        </w:rPr>
        <w:t>-</w:t>
      </w:r>
      <w:r w:rsidRPr="0056797A">
        <w:rPr>
          <w:rFonts w:cs="Times New Roman"/>
          <w:lang w:val="fr-CA"/>
        </w:rPr>
        <w:t>dire dans la convention régissant l</w:t>
      </w:r>
      <w:r>
        <w:rPr>
          <w:rFonts w:cs="Times New Roman"/>
          <w:lang w:val="fr-CA"/>
        </w:rPr>
        <w:t>’</w:t>
      </w:r>
      <w:r w:rsidRPr="0056797A">
        <w:rPr>
          <w:rFonts w:cs="Times New Roman"/>
          <w:lang w:val="fr-CA"/>
        </w:rPr>
        <w:t>utilisation de la carte.</w:t>
      </w:r>
    </w:p>
    <w:p w:rsidR="00B24911" w:rsidRPr="0056797A" w:rsidRDefault="00B24911" w:rsidP="00470A48">
      <w:pPr>
        <w:pStyle w:val="Title2LevelTitre2Niveau"/>
        <w:widowControl w:val="0"/>
        <w:rPr>
          <w:rFonts w:cs="Times New Roman"/>
          <w:lang w:val="fr-CA"/>
        </w:rPr>
      </w:pPr>
      <w:r w:rsidRPr="0056797A">
        <w:rPr>
          <w:rFonts w:cs="Times New Roman"/>
          <w:lang w:val="fr-CA"/>
        </w:rPr>
        <w:t>Desjardins est tenue de rembourser les frais de conversion</w:t>
      </w:r>
    </w:p>
    <w:p w:rsidR="00B24911" w:rsidRPr="0056797A" w:rsidRDefault="00B24911" w:rsidP="00470A48">
      <w:pPr>
        <w:pStyle w:val="ParaNoNdepar-AltN"/>
        <w:widowControl w:val="0"/>
        <w:rPr>
          <w:rFonts w:cs="Times New Roman"/>
          <w:lang w:val="fr-CA"/>
        </w:rPr>
      </w:pPr>
      <w:r w:rsidRPr="0056797A">
        <w:rPr>
          <w:rFonts w:cs="Times New Roman"/>
          <w:lang w:val="fr-CA"/>
        </w:rPr>
        <w:lastRenderedPageBreak/>
        <w:t>Pour les motifs exprimés dans l</w:t>
      </w:r>
      <w:r>
        <w:rPr>
          <w:rFonts w:cs="Times New Roman"/>
          <w:lang w:val="fr-CA"/>
        </w:rPr>
        <w:t>’</w:t>
      </w:r>
      <w:r w:rsidRPr="0056797A">
        <w:rPr>
          <w:rFonts w:cs="Times New Roman"/>
          <w:lang w:val="fr-CA"/>
        </w:rPr>
        <w:t>arrêt BMO, il convient d</w:t>
      </w:r>
      <w:r>
        <w:rPr>
          <w:rFonts w:cs="Times New Roman"/>
          <w:lang w:val="fr-CA"/>
        </w:rPr>
        <w:t>’</w:t>
      </w:r>
      <w:r w:rsidRPr="0056797A">
        <w:rPr>
          <w:rFonts w:cs="Times New Roman"/>
          <w:lang w:val="fr-CA"/>
        </w:rPr>
        <w:t>ordonner à Desjardins de rembourser les frais de conversion à titre de sanction pour avoir omis de les indiquer dans la convention régissant l</w:t>
      </w:r>
      <w:r>
        <w:rPr>
          <w:rFonts w:cs="Times New Roman"/>
          <w:lang w:val="fr-CA"/>
        </w:rPr>
        <w:t>’</w:t>
      </w:r>
      <w:r w:rsidRPr="0056797A">
        <w:rPr>
          <w:rFonts w:cs="Times New Roman"/>
          <w:lang w:val="fr-CA"/>
        </w:rPr>
        <w:t>utilisation de la carte, ce qui constitue une infraction à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12 </w:t>
      </w:r>
      <w:proofErr w:type="spellStart"/>
      <w:r w:rsidRPr="0056797A">
        <w:rPr>
          <w:rFonts w:cs="Times New Roman"/>
          <w:i/>
          <w:lang w:val="fr-CA"/>
        </w:rPr>
        <w:t>L.p.c</w:t>
      </w:r>
      <w:proofErr w:type="spellEnd"/>
      <w:r w:rsidRPr="0056797A">
        <w:rPr>
          <w:rFonts w:cs="Times New Roman"/>
          <w:lang w:val="fr-CA"/>
        </w:rPr>
        <w:t xml:space="preserve">.  </w:t>
      </w:r>
    </w:p>
    <w:p w:rsidR="00B24911" w:rsidRPr="0056797A" w:rsidRDefault="00B24911" w:rsidP="00470A48">
      <w:pPr>
        <w:pStyle w:val="ParaNoNdepar-AltN"/>
        <w:widowControl w:val="0"/>
        <w:rPr>
          <w:rFonts w:cs="Times New Roman"/>
          <w:lang w:val="fr-CA"/>
        </w:rPr>
      </w:pPr>
      <w:r w:rsidRPr="0056797A">
        <w:rPr>
          <w:rFonts w:cs="Times New Roman"/>
          <w:lang w:val="fr-CA"/>
        </w:rPr>
        <w:t>Bien que Desjardins n</w:t>
      </w:r>
      <w:r>
        <w:rPr>
          <w:rFonts w:cs="Times New Roman"/>
          <w:lang w:val="fr-CA"/>
        </w:rPr>
        <w:t>’</w:t>
      </w:r>
      <w:r w:rsidRPr="0056797A">
        <w:rPr>
          <w:rFonts w:cs="Times New Roman"/>
          <w:lang w:val="fr-CA"/>
        </w:rPr>
        <w:t>ait pas respecté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12 </w:t>
      </w:r>
      <w:r w:rsidRPr="0056797A">
        <w:rPr>
          <w:rFonts w:cs="Times New Roman"/>
          <w:i/>
          <w:lang w:val="fr-CA"/>
        </w:rPr>
        <w:t>L.p.c.</w:t>
      </w:r>
      <w:r w:rsidRPr="0056797A">
        <w:rPr>
          <w:rFonts w:cs="Times New Roman"/>
          <w:lang w:val="fr-CA"/>
        </w:rPr>
        <w:t>, elle a tout de même indiqué ces frais dans les relevés mensuels des cartes de crédit. Ainsi, contrairement à la situation des titulaires de cartes émises par les banques visées dans l</w:t>
      </w:r>
      <w:r>
        <w:rPr>
          <w:rFonts w:cs="Times New Roman"/>
          <w:lang w:val="fr-CA"/>
        </w:rPr>
        <w:t>’</w:t>
      </w:r>
      <w:r w:rsidRPr="0056797A">
        <w:rPr>
          <w:rFonts w:cs="Times New Roman"/>
          <w:lang w:val="fr-CA"/>
        </w:rPr>
        <w:t>arrêt BMO qui n</w:t>
      </w:r>
      <w:r>
        <w:rPr>
          <w:rFonts w:cs="Times New Roman"/>
          <w:lang w:val="fr-CA"/>
        </w:rPr>
        <w:t>’</w:t>
      </w:r>
      <w:r w:rsidRPr="0056797A">
        <w:rPr>
          <w:rFonts w:cs="Times New Roman"/>
          <w:lang w:val="fr-CA"/>
        </w:rPr>
        <w:t>avaient pas du tout mentionné les frais, la prescription n</w:t>
      </w:r>
      <w:r>
        <w:rPr>
          <w:rFonts w:cs="Times New Roman"/>
          <w:lang w:val="fr-CA"/>
        </w:rPr>
        <w:t>’</w:t>
      </w:r>
      <w:r w:rsidRPr="0056797A">
        <w:rPr>
          <w:rFonts w:cs="Times New Roman"/>
          <w:lang w:val="fr-CA"/>
        </w:rPr>
        <w:t>a été suspendue dans le cas de chaque membre du groupe impliqué dans le recours contre Desjardins qu</w:t>
      </w:r>
      <w:r>
        <w:rPr>
          <w:rFonts w:cs="Times New Roman"/>
          <w:lang w:val="fr-CA"/>
        </w:rPr>
        <w:t>’</w:t>
      </w:r>
      <w:r w:rsidRPr="0056797A">
        <w:rPr>
          <w:rFonts w:cs="Times New Roman"/>
          <w:lang w:val="fr-CA"/>
        </w:rPr>
        <w:t>entre le moment de la formation de son contrat et le moment où il a reçu son premier relevé mensuel. Le renouvellement de la carte n</w:t>
      </w:r>
      <w:r>
        <w:rPr>
          <w:rFonts w:cs="Times New Roman"/>
          <w:lang w:val="fr-CA"/>
        </w:rPr>
        <w:t>’</w:t>
      </w:r>
      <w:r w:rsidRPr="0056797A">
        <w:rPr>
          <w:rFonts w:cs="Times New Roman"/>
          <w:lang w:val="fr-CA"/>
        </w:rPr>
        <w:t>a eu aucun impact sur la prescription, car, répétons</w:t>
      </w:r>
      <w:r w:rsidR="00470A48">
        <w:rPr>
          <w:rFonts w:cs="Times New Roman"/>
          <w:lang w:val="fr-CA"/>
        </w:rPr>
        <w:t>-</w:t>
      </w:r>
      <w:r w:rsidRPr="0056797A">
        <w:rPr>
          <w:rFonts w:cs="Times New Roman"/>
          <w:lang w:val="fr-CA"/>
        </w:rPr>
        <w:t>le, aucun nouveau contrat n</w:t>
      </w:r>
      <w:r>
        <w:rPr>
          <w:rFonts w:cs="Times New Roman"/>
          <w:lang w:val="fr-CA"/>
        </w:rPr>
        <w:t>’</w:t>
      </w:r>
      <w:r w:rsidRPr="0056797A">
        <w:rPr>
          <w:rFonts w:cs="Times New Roman"/>
          <w:lang w:val="fr-CA"/>
        </w:rPr>
        <w:t>est alors formé.</w:t>
      </w:r>
    </w:p>
    <w:p w:rsidR="00B24911" w:rsidRPr="0056797A" w:rsidRDefault="00B24911" w:rsidP="00470A48">
      <w:pPr>
        <w:pStyle w:val="ParaNoNdepar-AltN"/>
        <w:widowControl w:val="0"/>
        <w:rPr>
          <w:rFonts w:cs="Times New Roman"/>
          <w:lang w:val="fr-CA"/>
        </w:rPr>
      </w:pPr>
      <w:r w:rsidRPr="0056797A">
        <w:rPr>
          <w:rFonts w:cs="Times New Roman"/>
          <w:lang w:val="fr-CA"/>
        </w:rPr>
        <w:t>En conséquence, les demandes de certains membres du groupe sont prescrites. À titre d</w:t>
      </w:r>
      <w:r>
        <w:rPr>
          <w:rFonts w:cs="Times New Roman"/>
          <w:lang w:val="fr-CA"/>
        </w:rPr>
        <w:t>’</w:t>
      </w:r>
      <w:r w:rsidRPr="0056797A">
        <w:rPr>
          <w:rFonts w:cs="Times New Roman"/>
          <w:lang w:val="fr-CA"/>
        </w:rPr>
        <w:t>exemple, le juge</w:t>
      </w:r>
      <w:r w:rsidR="00470A48">
        <w:rPr>
          <w:rFonts w:cs="Times New Roman"/>
          <w:lang w:val="fr-CA"/>
        </w:rPr>
        <w:t xml:space="preserve"> </w:t>
      </w:r>
      <w:r w:rsidRPr="0056797A">
        <w:rPr>
          <w:rFonts w:cs="Times New Roman"/>
          <w:lang w:val="fr-CA"/>
        </w:rPr>
        <w:t>Gascon a souligné que M.</w:t>
      </w:r>
      <w:r w:rsidR="00470A48">
        <w:rPr>
          <w:rFonts w:cs="Times New Roman"/>
          <w:lang w:val="fr-CA"/>
        </w:rPr>
        <w:t xml:space="preserve"> </w:t>
      </w:r>
      <w:r w:rsidRPr="0056797A">
        <w:rPr>
          <w:rFonts w:cs="Times New Roman"/>
          <w:lang w:val="fr-CA"/>
        </w:rPr>
        <w:t>Marcotte était au courant de l</w:t>
      </w:r>
      <w:r>
        <w:rPr>
          <w:rFonts w:cs="Times New Roman"/>
          <w:lang w:val="fr-CA"/>
        </w:rPr>
        <w:t>’</w:t>
      </w:r>
      <w:r w:rsidRPr="0056797A">
        <w:rPr>
          <w:rFonts w:cs="Times New Roman"/>
          <w:lang w:val="fr-CA"/>
        </w:rPr>
        <w:t>existence des frais de conversion bien avant le 17</w:t>
      </w:r>
      <w:r w:rsidR="00470A48">
        <w:rPr>
          <w:rFonts w:cs="Times New Roman"/>
          <w:lang w:val="fr-CA"/>
        </w:rPr>
        <w:t xml:space="preserve"> </w:t>
      </w:r>
      <w:r w:rsidRPr="0056797A">
        <w:rPr>
          <w:rFonts w:cs="Times New Roman"/>
          <w:lang w:val="fr-CA"/>
        </w:rPr>
        <w:t>avril</w:t>
      </w:r>
      <w:r w:rsidR="00470A48">
        <w:rPr>
          <w:rFonts w:cs="Times New Roman"/>
          <w:lang w:val="fr-CA"/>
        </w:rPr>
        <w:t xml:space="preserve"> </w:t>
      </w:r>
      <w:r w:rsidRPr="0056797A">
        <w:rPr>
          <w:rFonts w:cs="Times New Roman"/>
          <w:lang w:val="fr-CA"/>
        </w:rPr>
        <w:t>2000 (motifs de première instance, par.</w:t>
      </w:r>
      <w:r w:rsidR="00470A48">
        <w:rPr>
          <w:rFonts w:cs="Times New Roman"/>
          <w:lang w:val="fr-CA"/>
        </w:rPr>
        <w:t xml:space="preserve"> </w:t>
      </w:r>
      <w:r w:rsidRPr="0056797A">
        <w:rPr>
          <w:rFonts w:cs="Times New Roman"/>
          <w:lang w:val="fr-CA"/>
        </w:rPr>
        <w:t>352). Même si ce dernier n</w:t>
      </w:r>
      <w:r>
        <w:rPr>
          <w:rFonts w:cs="Times New Roman"/>
          <w:lang w:val="fr-CA"/>
        </w:rPr>
        <w:t>’</w:t>
      </w:r>
      <w:r w:rsidRPr="0056797A">
        <w:rPr>
          <w:rFonts w:cs="Times New Roman"/>
          <w:lang w:val="fr-CA"/>
        </w:rPr>
        <w:t>avait pas une connaissance personnelle de ces frais à ce moment, il ne lui était pas impossible de les connaître. Il aurait pu consulter le verso des relevés mensuels qu</w:t>
      </w:r>
      <w:r>
        <w:rPr>
          <w:rFonts w:cs="Times New Roman"/>
          <w:lang w:val="fr-CA"/>
        </w:rPr>
        <w:t>’</w:t>
      </w:r>
      <w:r w:rsidRPr="0056797A">
        <w:rPr>
          <w:rFonts w:cs="Times New Roman"/>
          <w:lang w:val="fr-CA"/>
        </w:rPr>
        <w:t>il recevait depuis une quinzaine d</w:t>
      </w:r>
      <w:r>
        <w:rPr>
          <w:rFonts w:cs="Times New Roman"/>
          <w:lang w:val="fr-CA"/>
        </w:rPr>
        <w:t>’</w:t>
      </w:r>
      <w:r w:rsidRPr="0056797A">
        <w:rPr>
          <w:rFonts w:cs="Times New Roman"/>
          <w:lang w:val="fr-CA"/>
        </w:rPr>
        <w:t>années en date du 17</w:t>
      </w:r>
      <w:r w:rsidR="00470A48">
        <w:rPr>
          <w:rFonts w:cs="Times New Roman"/>
          <w:lang w:val="fr-CA"/>
        </w:rPr>
        <w:t xml:space="preserve"> </w:t>
      </w:r>
      <w:r w:rsidRPr="0056797A">
        <w:rPr>
          <w:rFonts w:cs="Times New Roman"/>
          <w:lang w:val="fr-CA"/>
        </w:rPr>
        <w:t>avril</w:t>
      </w:r>
      <w:r w:rsidR="00470A48">
        <w:rPr>
          <w:rFonts w:cs="Times New Roman"/>
          <w:lang w:val="fr-CA"/>
        </w:rPr>
        <w:t xml:space="preserve"> </w:t>
      </w:r>
      <w:r w:rsidRPr="0056797A">
        <w:rPr>
          <w:rFonts w:cs="Times New Roman"/>
          <w:lang w:val="fr-CA"/>
        </w:rPr>
        <w:t>2000. Ainsi, la suspension de la prescription prévue à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2904 </w:t>
      </w:r>
      <w:proofErr w:type="spellStart"/>
      <w:r w:rsidRPr="0056797A">
        <w:rPr>
          <w:rFonts w:cs="Times New Roman"/>
          <w:i/>
          <w:lang w:val="fr-CA"/>
        </w:rPr>
        <w:t>C.c.Q</w:t>
      </w:r>
      <w:proofErr w:type="spellEnd"/>
      <w:r w:rsidRPr="0056797A">
        <w:rPr>
          <w:rFonts w:cs="Times New Roman"/>
          <w:lang w:val="fr-CA"/>
        </w:rPr>
        <w:t>. avait pris fin dans son cas depuis bien longtemps. Le droit d</w:t>
      </w:r>
      <w:r>
        <w:rPr>
          <w:rFonts w:cs="Times New Roman"/>
          <w:lang w:val="fr-CA"/>
        </w:rPr>
        <w:t>’</w:t>
      </w:r>
      <w:r w:rsidRPr="0056797A">
        <w:rPr>
          <w:rFonts w:cs="Times New Roman"/>
          <w:lang w:val="fr-CA"/>
        </w:rPr>
        <w:t>action personnel de M.</w:t>
      </w:r>
      <w:r w:rsidR="00470A48">
        <w:rPr>
          <w:rFonts w:cs="Times New Roman"/>
          <w:lang w:val="fr-CA"/>
        </w:rPr>
        <w:t xml:space="preserve"> </w:t>
      </w:r>
      <w:r w:rsidRPr="0056797A">
        <w:rPr>
          <w:rFonts w:cs="Times New Roman"/>
          <w:lang w:val="fr-CA"/>
        </w:rPr>
        <w:t xml:space="preserve">Marcotte était donc prescrit à la date à laquelle les recours contre </w:t>
      </w:r>
      <w:r w:rsidRPr="0056797A">
        <w:rPr>
          <w:rFonts w:cs="Times New Roman"/>
          <w:lang w:val="fr-CA"/>
        </w:rPr>
        <w:lastRenderedPageBreak/>
        <w:t>BMO et Desjardins ont été entrepris. De même, les demandes des autres titulaires de cartes qui sont des consommateurs et qui ont reçu leur premier relevé mensuel avant le 17</w:t>
      </w:r>
      <w:r w:rsidR="00470A48">
        <w:rPr>
          <w:rFonts w:cs="Times New Roman"/>
          <w:lang w:val="fr-CA"/>
        </w:rPr>
        <w:t xml:space="preserve"> </w:t>
      </w:r>
      <w:r w:rsidRPr="0056797A">
        <w:rPr>
          <w:rFonts w:cs="Times New Roman"/>
          <w:lang w:val="fr-CA"/>
        </w:rPr>
        <w:t>avril 2000 sont prescrites. Les seules qui ne le sont pas sont les demandes des titulaires de cartes qui sont des consommateurs ayant conclu leur contrat avec Desjardins avant le 1</w:t>
      </w:r>
      <w:r w:rsidRPr="0056797A">
        <w:rPr>
          <w:rFonts w:cs="Times New Roman"/>
          <w:vertAlign w:val="superscript"/>
          <w:lang w:val="fr-CA"/>
        </w:rPr>
        <w:t>er</w:t>
      </w:r>
      <w:r w:rsidR="00470A48">
        <w:rPr>
          <w:rFonts w:cs="Times New Roman"/>
          <w:lang w:val="fr-CA"/>
        </w:rPr>
        <w:t xml:space="preserve"> </w:t>
      </w:r>
      <w:r w:rsidRPr="0056797A">
        <w:rPr>
          <w:rFonts w:cs="Times New Roman"/>
          <w:lang w:val="fr-CA"/>
        </w:rPr>
        <w:t>avril 2006 (date de la première mention des frais de conversion dans le contrat de Desjardins) et qui ont reçu leur premier relevé mensuel — au verso duquel figuraient ces frais — le 17</w:t>
      </w:r>
      <w:r w:rsidR="00470A48">
        <w:rPr>
          <w:rFonts w:cs="Times New Roman"/>
          <w:lang w:val="fr-CA"/>
        </w:rPr>
        <w:t xml:space="preserve"> </w:t>
      </w:r>
      <w:r w:rsidRPr="0056797A">
        <w:rPr>
          <w:rFonts w:cs="Times New Roman"/>
          <w:lang w:val="fr-CA"/>
        </w:rPr>
        <w:t>avril 2000 ou après.</w:t>
      </w:r>
    </w:p>
    <w:p w:rsidR="00B24911" w:rsidRPr="0056797A" w:rsidRDefault="00B24911" w:rsidP="00470A48">
      <w:pPr>
        <w:pStyle w:val="ParaNoNdepar-AltN"/>
        <w:widowControl w:val="0"/>
        <w:rPr>
          <w:rFonts w:cs="Times New Roman"/>
          <w:lang w:val="fr-CA"/>
        </w:rPr>
      </w:pPr>
      <w:r w:rsidRPr="0056797A">
        <w:rPr>
          <w:rFonts w:cs="Times New Roman"/>
          <w:lang w:val="fr-CA"/>
        </w:rPr>
        <w:t>La preuve au dossier ne permet pas de déterminer le total des frais que Desjardins est tenue de rembourser aux membres du groupe dont les demandes ne sont pas prescrites. Parallèlement, rien n</w:t>
      </w:r>
      <w:r>
        <w:rPr>
          <w:rFonts w:cs="Times New Roman"/>
          <w:lang w:val="fr-CA"/>
        </w:rPr>
        <w:t>’</w:t>
      </w:r>
      <w:r w:rsidRPr="0056797A">
        <w:rPr>
          <w:rFonts w:cs="Times New Roman"/>
          <w:lang w:val="fr-CA"/>
        </w:rPr>
        <w:t>indique qu</w:t>
      </w:r>
      <w:r>
        <w:rPr>
          <w:rFonts w:cs="Times New Roman"/>
          <w:lang w:val="fr-CA"/>
        </w:rPr>
        <w:t>’</w:t>
      </w:r>
      <w:r w:rsidRPr="0056797A">
        <w:rPr>
          <w:rFonts w:cs="Times New Roman"/>
          <w:lang w:val="fr-CA"/>
        </w:rPr>
        <w:t>il serait impossible de calculer ce total avec suffisamment de précision. Comme le signale le juge Gascon, c</w:t>
      </w:r>
      <w:r>
        <w:rPr>
          <w:rFonts w:cs="Times New Roman"/>
          <w:lang w:val="fr-CA"/>
        </w:rPr>
        <w:t>’</w:t>
      </w:r>
      <w:r w:rsidRPr="0056797A">
        <w:rPr>
          <w:rFonts w:cs="Times New Roman"/>
          <w:lang w:val="fr-CA"/>
        </w:rPr>
        <w:t>est au représentant du groupe qu</w:t>
      </w:r>
      <w:r>
        <w:rPr>
          <w:rFonts w:cs="Times New Roman"/>
          <w:lang w:val="fr-CA"/>
        </w:rPr>
        <w:t>’</w:t>
      </w:r>
      <w:r w:rsidRPr="0056797A">
        <w:rPr>
          <w:rFonts w:cs="Times New Roman"/>
          <w:lang w:val="fr-CA"/>
        </w:rPr>
        <w:t>il incombe de prouver que le recouvrement collectif est possible. Cependant, Desjardins est tenue de fournir les renseignements qui permettront à celui</w:t>
      </w:r>
      <w:r w:rsidR="00470A48">
        <w:rPr>
          <w:rFonts w:cs="Times New Roman"/>
          <w:lang w:val="fr-CA"/>
        </w:rPr>
        <w:t>-</w:t>
      </w:r>
      <w:r w:rsidRPr="0056797A">
        <w:rPr>
          <w:rFonts w:cs="Times New Roman"/>
          <w:lang w:val="fr-CA"/>
        </w:rPr>
        <w:t>ci de faire cette preuve. Le recouvrement individuel ne sera ordonné que si Desjardins est incapable, en agissant avec diligence raisonnable, de fournir les renseignements qui permettront de calculer avec suffisamment de précision le montant des demandes qui ne sont pas prescrites. Ainsi qu</w:t>
      </w:r>
      <w:r>
        <w:rPr>
          <w:rFonts w:cs="Times New Roman"/>
          <w:lang w:val="fr-CA"/>
        </w:rPr>
        <w:t>’</w:t>
      </w:r>
      <w:r w:rsidRPr="0056797A">
        <w:rPr>
          <w:rFonts w:cs="Times New Roman"/>
          <w:lang w:val="fr-CA"/>
        </w:rPr>
        <w:t xml:space="preserve">il a été ordonné au procès, les autres détails relatifs à la procédure de recouvrement seront réglés à une date ultérieure par la Cour supérieure. </w:t>
      </w:r>
    </w:p>
    <w:p w:rsidR="00B24911" w:rsidRPr="0056797A" w:rsidRDefault="00B24911" w:rsidP="00470A48">
      <w:pPr>
        <w:pStyle w:val="ParaNoNdepar-AltN"/>
        <w:widowControl w:val="0"/>
        <w:rPr>
          <w:rFonts w:cs="Times New Roman"/>
          <w:lang w:val="fr-CA"/>
        </w:rPr>
      </w:pPr>
      <w:r w:rsidRPr="0056797A">
        <w:rPr>
          <w:rFonts w:cs="Times New Roman"/>
          <w:lang w:val="fr-CA"/>
        </w:rPr>
        <w:t>La conduite de Desjardins ne justifie pas l</w:t>
      </w:r>
      <w:r>
        <w:rPr>
          <w:rFonts w:cs="Times New Roman"/>
          <w:lang w:val="fr-CA"/>
        </w:rPr>
        <w:t>’</w:t>
      </w:r>
      <w:r w:rsidRPr="0056797A">
        <w:rPr>
          <w:rFonts w:cs="Times New Roman"/>
          <w:lang w:val="fr-CA"/>
        </w:rPr>
        <w:t>octroi de dommages</w:t>
      </w:r>
      <w:r w:rsidR="00470A48">
        <w:rPr>
          <w:rFonts w:cs="Times New Roman"/>
          <w:lang w:val="fr-CA"/>
        </w:rPr>
        <w:t>-</w:t>
      </w:r>
      <w:r w:rsidRPr="0056797A">
        <w:rPr>
          <w:rFonts w:cs="Times New Roman"/>
          <w:lang w:val="fr-CA"/>
        </w:rPr>
        <w:t>intérêts punitifs, tout particulièrement si on la compare à celle des banques qui n</w:t>
      </w:r>
      <w:r>
        <w:rPr>
          <w:rFonts w:cs="Times New Roman"/>
          <w:lang w:val="fr-CA"/>
        </w:rPr>
        <w:t>’</w:t>
      </w:r>
      <w:r w:rsidRPr="0056797A">
        <w:rPr>
          <w:rFonts w:cs="Times New Roman"/>
          <w:lang w:val="fr-CA"/>
        </w:rPr>
        <w:t xml:space="preserve">ont pas </w:t>
      </w:r>
      <w:r w:rsidRPr="0056797A">
        <w:rPr>
          <w:rFonts w:cs="Times New Roman"/>
          <w:lang w:val="fr-CA"/>
        </w:rPr>
        <w:lastRenderedPageBreak/>
        <w:t>mentionné les frais de conversion. Desjardins les a indiqués dans les relevés mensuels des cartes de crédit. Les titulaires de cartes qui sont des consommateurs auront reçu leur premier relevé peu après avoir conclu le contrat et n</w:t>
      </w:r>
      <w:r>
        <w:rPr>
          <w:rFonts w:cs="Times New Roman"/>
          <w:lang w:val="fr-CA"/>
        </w:rPr>
        <w:t>’</w:t>
      </w:r>
      <w:r w:rsidRPr="0056797A">
        <w:rPr>
          <w:rFonts w:cs="Times New Roman"/>
          <w:lang w:val="fr-CA"/>
        </w:rPr>
        <w:t>auront pas engagé des frais de conversion importants, si tant est qu</w:t>
      </w:r>
      <w:r>
        <w:rPr>
          <w:rFonts w:cs="Times New Roman"/>
          <w:lang w:val="fr-CA"/>
        </w:rPr>
        <w:t>’</w:t>
      </w:r>
      <w:r w:rsidRPr="0056797A">
        <w:rPr>
          <w:rFonts w:cs="Times New Roman"/>
          <w:lang w:val="fr-CA"/>
        </w:rPr>
        <w:t>ils en aient engagé. Bien que Desjardins n</w:t>
      </w:r>
      <w:r>
        <w:rPr>
          <w:rFonts w:cs="Times New Roman"/>
          <w:lang w:val="fr-CA"/>
        </w:rPr>
        <w:t>’</w:t>
      </w:r>
      <w:r w:rsidRPr="0056797A">
        <w:rPr>
          <w:rFonts w:cs="Times New Roman"/>
          <w:lang w:val="fr-CA"/>
        </w:rPr>
        <w:t>ait pas respecté les prescriptions de l</w:t>
      </w:r>
      <w:r>
        <w:rPr>
          <w:rFonts w:cs="Times New Roman"/>
          <w:lang w:val="fr-CA"/>
        </w:rPr>
        <w:t>’</w:t>
      </w:r>
      <w:r w:rsidRPr="0056797A">
        <w:rPr>
          <w:rFonts w:cs="Times New Roman"/>
          <w:lang w:val="fr-CA"/>
        </w:rPr>
        <w:t>art.</w:t>
      </w:r>
      <w:r w:rsidR="00470A48">
        <w:rPr>
          <w:rFonts w:cs="Times New Roman"/>
          <w:lang w:val="fr-CA"/>
        </w:rPr>
        <w:t xml:space="preserve"> </w:t>
      </w:r>
      <w:r w:rsidRPr="0056797A">
        <w:rPr>
          <w:rFonts w:cs="Times New Roman"/>
          <w:lang w:val="fr-CA"/>
        </w:rPr>
        <w:t xml:space="preserve">12 </w:t>
      </w:r>
      <w:r w:rsidRPr="0056797A">
        <w:rPr>
          <w:rFonts w:cs="Times New Roman"/>
          <w:i/>
          <w:lang w:val="fr-CA"/>
        </w:rPr>
        <w:t>L.p.c.</w:t>
      </w:r>
      <w:r w:rsidRPr="0056797A">
        <w:rPr>
          <w:rFonts w:cs="Times New Roman"/>
          <w:lang w:val="fr-CA"/>
        </w:rPr>
        <w:t>, la manière avec laquelle elle a mentionné les frais ne constitue pas une conduite marquée au coin de l</w:t>
      </w:r>
      <w:r>
        <w:rPr>
          <w:rFonts w:cs="Times New Roman"/>
          <w:lang w:val="fr-CA"/>
        </w:rPr>
        <w:t>’</w:t>
      </w:r>
      <w:r w:rsidRPr="0056797A">
        <w:rPr>
          <w:rFonts w:cs="Times New Roman"/>
          <w:lang w:val="fr-CA"/>
        </w:rPr>
        <w:t>insouciance ou de la négligence. Rien n</w:t>
      </w:r>
      <w:r>
        <w:rPr>
          <w:rFonts w:cs="Times New Roman"/>
          <w:lang w:val="fr-CA"/>
        </w:rPr>
        <w:t>’</w:t>
      </w:r>
      <w:r w:rsidRPr="0056797A">
        <w:rPr>
          <w:rFonts w:cs="Times New Roman"/>
          <w:lang w:val="fr-CA"/>
        </w:rPr>
        <w:t>indique qu</w:t>
      </w:r>
      <w:r>
        <w:rPr>
          <w:rFonts w:cs="Times New Roman"/>
          <w:lang w:val="fr-CA"/>
        </w:rPr>
        <w:t>’</w:t>
      </w:r>
      <w:r w:rsidRPr="0056797A">
        <w:rPr>
          <w:rFonts w:cs="Times New Roman"/>
          <w:lang w:val="fr-CA"/>
        </w:rPr>
        <w:t>il est nécessaire de condamner Desjardins à des dommages</w:t>
      </w:r>
      <w:r w:rsidR="00470A48">
        <w:rPr>
          <w:rFonts w:cs="Times New Roman"/>
          <w:lang w:val="fr-CA"/>
        </w:rPr>
        <w:t>-</w:t>
      </w:r>
      <w:r w:rsidRPr="0056797A">
        <w:rPr>
          <w:rFonts w:cs="Times New Roman"/>
          <w:lang w:val="fr-CA"/>
        </w:rPr>
        <w:t xml:space="preserve">intérêts punitifs pour décourager la répétition de comportements indésirables ou favoriser la réalisation des objectifs de la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 xml:space="preserve"> En outre, l</w:t>
      </w:r>
      <w:r>
        <w:rPr>
          <w:rFonts w:cs="Times New Roman"/>
          <w:lang w:val="fr-CA"/>
        </w:rPr>
        <w:t>’</w:t>
      </w:r>
      <w:r w:rsidRPr="0056797A">
        <w:rPr>
          <w:rFonts w:cs="Times New Roman"/>
          <w:lang w:val="fr-CA"/>
        </w:rPr>
        <w:t>effet dissuasif général d</w:t>
      </w:r>
      <w:r>
        <w:rPr>
          <w:rFonts w:cs="Times New Roman"/>
          <w:lang w:val="fr-CA"/>
        </w:rPr>
        <w:t>’</w:t>
      </w:r>
      <w:r w:rsidRPr="0056797A">
        <w:rPr>
          <w:rFonts w:cs="Times New Roman"/>
          <w:lang w:val="fr-CA"/>
        </w:rPr>
        <w:t xml:space="preserve">une telle sanction serait insuffisant pour la justifier.  </w:t>
      </w:r>
    </w:p>
    <w:p w:rsidR="00B24911" w:rsidRPr="0056797A" w:rsidRDefault="00B24911" w:rsidP="00470A48">
      <w:pPr>
        <w:pStyle w:val="Title1LevelTitre1Niveau-AltL"/>
        <w:widowControl w:val="0"/>
        <w:rPr>
          <w:rFonts w:cs="Times New Roman"/>
          <w:lang w:val="fr-CA"/>
        </w:rPr>
      </w:pPr>
      <w:r w:rsidRPr="0056797A">
        <w:rPr>
          <w:rFonts w:cs="Times New Roman"/>
          <w:lang w:val="fr-CA"/>
        </w:rPr>
        <w:t>Conclusion</w:t>
      </w:r>
    </w:p>
    <w:p w:rsidR="00B24911" w:rsidRPr="0056797A" w:rsidRDefault="00B24911" w:rsidP="00470A48">
      <w:pPr>
        <w:pStyle w:val="ParaNoNdepar-AltN"/>
        <w:widowControl w:val="0"/>
        <w:rPr>
          <w:rFonts w:cs="Times New Roman"/>
          <w:lang w:val="fr-CA"/>
        </w:rPr>
      </w:pPr>
      <w:r w:rsidRPr="0056797A">
        <w:rPr>
          <w:rFonts w:cs="Times New Roman"/>
          <w:lang w:val="fr-CA"/>
        </w:rPr>
        <w:t xml:space="preserve">Les dispositions pertinentes de la </w:t>
      </w:r>
      <w:proofErr w:type="spellStart"/>
      <w:r w:rsidRPr="0056797A">
        <w:rPr>
          <w:rFonts w:cs="Times New Roman"/>
          <w:i/>
          <w:lang w:val="fr-CA"/>
        </w:rPr>
        <w:t>L.p.c</w:t>
      </w:r>
      <w:proofErr w:type="spellEnd"/>
      <w:r w:rsidRPr="0056797A">
        <w:rPr>
          <w:rFonts w:cs="Times New Roman"/>
          <w:i/>
          <w:lang w:val="fr-CA"/>
        </w:rPr>
        <w:t>.</w:t>
      </w:r>
      <w:r w:rsidRPr="0056797A">
        <w:rPr>
          <w:rFonts w:cs="Times New Roman"/>
          <w:lang w:val="fr-CA"/>
        </w:rPr>
        <w:t xml:space="preserve"> sont constitutionnellement applicables et opérantes. Nous sommes d</w:t>
      </w:r>
      <w:r>
        <w:rPr>
          <w:rFonts w:cs="Times New Roman"/>
          <w:lang w:val="fr-CA"/>
        </w:rPr>
        <w:t>’</w:t>
      </w:r>
      <w:r w:rsidRPr="0056797A">
        <w:rPr>
          <w:rFonts w:cs="Times New Roman"/>
          <w:lang w:val="fr-CA"/>
        </w:rPr>
        <w:t>avis d</w:t>
      </w:r>
      <w:r>
        <w:rPr>
          <w:rFonts w:cs="Times New Roman"/>
          <w:lang w:val="fr-CA"/>
        </w:rPr>
        <w:t>’</w:t>
      </w:r>
      <w:r w:rsidRPr="0056797A">
        <w:rPr>
          <w:rFonts w:cs="Times New Roman"/>
          <w:lang w:val="fr-CA"/>
        </w:rPr>
        <w:t>accueillir en partie le pourvoi et d</w:t>
      </w:r>
      <w:r>
        <w:rPr>
          <w:rFonts w:cs="Times New Roman"/>
          <w:lang w:val="fr-CA"/>
        </w:rPr>
        <w:t>’</w:t>
      </w:r>
      <w:r w:rsidRPr="0056797A">
        <w:rPr>
          <w:rFonts w:cs="Times New Roman"/>
          <w:lang w:val="fr-CA"/>
        </w:rPr>
        <w:t>ordonner le remboursement des frais de conversion. En raison du succès mitigé de l</w:t>
      </w:r>
      <w:r>
        <w:rPr>
          <w:rFonts w:cs="Times New Roman"/>
          <w:lang w:val="fr-CA"/>
        </w:rPr>
        <w:t>’</w:t>
      </w:r>
      <w:r w:rsidRPr="0056797A">
        <w:rPr>
          <w:rFonts w:cs="Times New Roman"/>
          <w:lang w:val="fr-CA"/>
        </w:rPr>
        <w:t xml:space="preserve">appel, aucuns dépens ne sont accordés. </w:t>
      </w:r>
    </w:p>
    <w:p w:rsidR="006531DC" w:rsidRPr="002C7BFC" w:rsidRDefault="004D7D95" w:rsidP="00470A48">
      <w:pPr>
        <w:pStyle w:val="SCCNormalDoubleSpacing"/>
        <w:widowControl w:val="0"/>
        <w:spacing w:after="480"/>
        <w:rPr>
          <w:i/>
          <w:lang w:val="fr-CA"/>
        </w:rPr>
      </w:pPr>
      <w:r w:rsidRPr="002C7BFC">
        <w:rPr>
          <w:lang w:val="fr-CA"/>
        </w:rPr>
        <w:tab/>
      </w:r>
      <w:r w:rsidR="006531DC" w:rsidRPr="002C7BFC">
        <w:rPr>
          <w:i/>
          <w:lang w:val="fr-CA"/>
        </w:rPr>
        <w:t xml:space="preserve">Pourvoi </w:t>
      </w:r>
      <w:r w:rsidR="00AD5204" w:rsidRPr="002C7BFC">
        <w:rPr>
          <w:i/>
          <w:lang w:val="fr-CA"/>
        </w:rPr>
        <w:t>accueilli en partie</w:t>
      </w:r>
      <w:r w:rsidR="006531DC" w:rsidRPr="002C7BFC">
        <w:rPr>
          <w:i/>
          <w:lang w:val="fr-CA"/>
        </w:rPr>
        <w:t>.</w:t>
      </w:r>
    </w:p>
    <w:p w:rsidR="006531DC" w:rsidRPr="002C7BFC" w:rsidRDefault="006531DC" w:rsidP="00470A48">
      <w:pPr>
        <w:pStyle w:val="SCCLawFirm"/>
        <w:widowControl w:val="0"/>
        <w:spacing w:after="480"/>
        <w:rPr>
          <w:lang w:val="fr-CA"/>
        </w:rPr>
      </w:pPr>
      <w:r w:rsidRPr="002C7BFC">
        <w:rPr>
          <w:lang w:val="fr-CA"/>
        </w:rPr>
        <w:tab/>
        <w:t>Procureurs de l’appelant</w:t>
      </w:r>
      <w:r w:rsidR="00470A48">
        <w:rPr>
          <w:lang w:val="fr-CA"/>
        </w:rPr>
        <w:t xml:space="preserve"> : </w:t>
      </w:r>
      <w:r w:rsidRPr="002C7BFC">
        <w:rPr>
          <w:lang w:val="fr-CA"/>
        </w:rPr>
        <w:t>Trudel &amp; Johnston, Montréal</w:t>
      </w:r>
      <w:r w:rsidR="006F5A89" w:rsidRPr="002C7BFC">
        <w:rPr>
          <w:lang w:val="fr-CA"/>
        </w:rPr>
        <w:t xml:space="preserve">; Lauzon Bélanger </w:t>
      </w:r>
      <w:proofErr w:type="spellStart"/>
      <w:r w:rsidR="006F5A89" w:rsidRPr="002C7BFC">
        <w:rPr>
          <w:lang w:val="fr-CA"/>
        </w:rPr>
        <w:t>Lespérance</w:t>
      </w:r>
      <w:proofErr w:type="spellEnd"/>
      <w:r w:rsidR="006F5A89" w:rsidRPr="002C7BFC">
        <w:rPr>
          <w:lang w:val="fr-CA"/>
        </w:rPr>
        <w:t xml:space="preserve"> </w:t>
      </w:r>
      <w:proofErr w:type="spellStart"/>
      <w:r w:rsidR="006F5A89" w:rsidRPr="002C7BFC">
        <w:rPr>
          <w:lang w:val="fr-CA"/>
        </w:rPr>
        <w:t>inc</w:t>
      </w:r>
      <w:proofErr w:type="spellEnd"/>
      <w:r w:rsidR="006F5A89" w:rsidRPr="002C7BFC">
        <w:rPr>
          <w:lang w:val="fr-CA"/>
        </w:rPr>
        <w:t>., Montréal</w:t>
      </w:r>
      <w:r w:rsidRPr="002C7BFC">
        <w:rPr>
          <w:lang w:val="fr-CA"/>
        </w:rPr>
        <w:t>.</w:t>
      </w:r>
    </w:p>
    <w:p w:rsidR="006531DC" w:rsidRPr="002C7BFC" w:rsidRDefault="006531DC" w:rsidP="00470A48">
      <w:pPr>
        <w:pStyle w:val="SCCLawFirm"/>
        <w:widowControl w:val="0"/>
        <w:spacing w:after="480"/>
        <w:rPr>
          <w:lang w:val="fr-CA"/>
        </w:rPr>
      </w:pPr>
      <w:r w:rsidRPr="002C7BFC">
        <w:rPr>
          <w:lang w:val="fr-CA"/>
        </w:rPr>
        <w:tab/>
        <w:t>Procureurs de l’intimée</w:t>
      </w:r>
      <w:r w:rsidR="00470A48">
        <w:rPr>
          <w:lang w:val="fr-CA"/>
        </w:rPr>
        <w:t xml:space="preserve"> : </w:t>
      </w:r>
      <w:r w:rsidRPr="002C7BFC">
        <w:rPr>
          <w:lang w:val="fr-CA"/>
        </w:rPr>
        <w:t xml:space="preserve">Langlois </w:t>
      </w:r>
      <w:proofErr w:type="spellStart"/>
      <w:r w:rsidRPr="002C7BFC">
        <w:rPr>
          <w:lang w:val="fr-CA"/>
        </w:rPr>
        <w:t>Kronström</w:t>
      </w:r>
      <w:proofErr w:type="spellEnd"/>
      <w:r w:rsidRPr="002C7BFC">
        <w:rPr>
          <w:lang w:val="fr-CA"/>
        </w:rPr>
        <w:t xml:space="preserve"> Desjardins, Montréal.</w:t>
      </w:r>
    </w:p>
    <w:p w:rsidR="006531DC" w:rsidRPr="002C7BFC" w:rsidRDefault="006531DC" w:rsidP="00470A48">
      <w:pPr>
        <w:pStyle w:val="SCCLawFirm"/>
        <w:widowControl w:val="0"/>
        <w:spacing w:after="480"/>
        <w:rPr>
          <w:lang w:val="fr-CA"/>
        </w:rPr>
      </w:pPr>
      <w:r w:rsidRPr="002C7BFC">
        <w:rPr>
          <w:lang w:val="fr-CA"/>
        </w:rPr>
        <w:lastRenderedPageBreak/>
        <w:tab/>
        <w:t>Procureur de l’intervenant le procureur général de l’Ontario</w:t>
      </w:r>
      <w:r w:rsidR="00470A48">
        <w:rPr>
          <w:lang w:val="fr-CA"/>
        </w:rPr>
        <w:t xml:space="preserve"> : </w:t>
      </w:r>
      <w:r w:rsidRPr="002C7BFC">
        <w:rPr>
          <w:lang w:val="fr-CA"/>
        </w:rPr>
        <w:t>Procureur général de l’Ontario, Toronto.</w:t>
      </w:r>
    </w:p>
    <w:p w:rsidR="006531DC" w:rsidRPr="002C7BFC" w:rsidRDefault="006531DC" w:rsidP="00470A48">
      <w:pPr>
        <w:pStyle w:val="SCCLawFirm"/>
        <w:widowControl w:val="0"/>
        <w:spacing w:after="480"/>
        <w:rPr>
          <w:lang w:val="fr-CA"/>
        </w:rPr>
      </w:pPr>
      <w:r w:rsidRPr="002C7BFC">
        <w:rPr>
          <w:lang w:val="fr-CA"/>
        </w:rPr>
        <w:tab/>
        <w:t>Procureurs de l’intervenant le procureur général du Québec</w:t>
      </w:r>
      <w:r w:rsidR="00470A48">
        <w:rPr>
          <w:lang w:val="fr-CA"/>
        </w:rPr>
        <w:t xml:space="preserve"> : </w:t>
      </w:r>
      <w:r w:rsidRPr="002C7BFC">
        <w:rPr>
          <w:lang w:val="fr-CA"/>
        </w:rPr>
        <w:t>Bernard, Roy &amp; Associés, Montréal.</w:t>
      </w:r>
    </w:p>
    <w:p w:rsidR="00D805E5" w:rsidRDefault="006531DC" w:rsidP="00470A48">
      <w:pPr>
        <w:pStyle w:val="SCCLawFirm"/>
        <w:widowControl w:val="0"/>
        <w:rPr>
          <w:b/>
          <w:i w:val="0"/>
          <w:lang w:val="fr-CA"/>
        </w:rPr>
      </w:pPr>
      <w:r w:rsidRPr="002C7BFC">
        <w:rPr>
          <w:lang w:val="fr-CA"/>
        </w:rPr>
        <w:tab/>
      </w:r>
      <w:r w:rsidR="00DA13CE">
        <w:rPr>
          <w:lang w:val="fr-CA"/>
        </w:rPr>
        <w:t>Procureurs de l’intervenant le p</w:t>
      </w:r>
      <w:r w:rsidRPr="002C7BFC">
        <w:rPr>
          <w:lang w:val="fr-CA"/>
        </w:rPr>
        <w:t>résident de l’Office de la protection du consommateur</w:t>
      </w:r>
      <w:r w:rsidR="00470A48">
        <w:rPr>
          <w:lang w:val="fr-CA"/>
        </w:rPr>
        <w:t xml:space="preserve"> : </w:t>
      </w:r>
      <w:r w:rsidRPr="002C7BFC">
        <w:rPr>
          <w:lang w:val="fr-CA"/>
        </w:rPr>
        <w:t>Allard, Renaud et Associés, Trois</w:t>
      </w:r>
      <w:r w:rsidR="00470A48">
        <w:rPr>
          <w:lang w:val="fr-CA"/>
        </w:rPr>
        <w:t>-</w:t>
      </w:r>
      <w:r w:rsidRPr="002C7BFC">
        <w:rPr>
          <w:lang w:val="fr-CA"/>
        </w:rPr>
        <w:t>Rivières; Office de la protection du consommateur, Trois</w:t>
      </w:r>
      <w:r w:rsidR="00470A48">
        <w:rPr>
          <w:lang w:val="fr-CA"/>
        </w:rPr>
        <w:t>-</w:t>
      </w:r>
      <w:r w:rsidRPr="002C7BFC">
        <w:rPr>
          <w:lang w:val="fr-CA"/>
        </w:rPr>
        <w:t>Rivières.</w:t>
      </w:r>
    </w:p>
    <w:p w:rsidR="00B24911" w:rsidRPr="00B24911" w:rsidRDefault="00B24911" w:rsidP="00470A48">
      <w:pPr>
        <w:pStyle w:val="SCCNormalDoubleSpacing"/>
        <w:widowControl w:val="0"/>
        <w:rPr>
          <w:lang w:val="fr-CA"/>
        </w:rPr>
      </w:pPr>
    </w:p>
    <w:sectPr w:rsidR="00B24911" w:rsidRPr="00B24911"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2F" w:rsidRDefault="0073122F">
      <w:r>
        <w:separator/>
      </w:r>
    </w:p>
  </w:endnote>
  <w:endnote w:type="continuationSeparator" w:id="0">
    <w:p w:rsidR="0073122F" w:rsidRDefault="00731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F" w:rsidRDefault="00731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F" w:rsidRDefault="007312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F" w:rsidRDefault="00731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2F" w:rsidRDefault="0073122F">
      <w:r>
        <w:separator/>
      </w:r>
    </w:p>
  </w:footnote>
  <w:footnote w:type="continuationSeparator" w:id="0">
    <w:p w:rsidR="0073122F" w:rsidRDefault="00731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F" w:rsidRDefault="007312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F" w:rsidRPr="00450352" w:rsidRDefault="0073122F"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F" w:rsidRDefault="00731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55422454"/>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8727F8F"/>
    <w:multiLevelType w:val="hybridMultilevel"/>
    <w:tmpl w:val="C14C2E1E"/>
    <w:lvl w:ilvl="0" w:tplc="10090001">
      <w:start w:val="1"/>
      <w:numFmt w:val="decimal"/>
      <w:lvlText w:val="%1."/>
      <w:lvlJc w:val="left"/>
      <w:pPr>
        <w:ind w:left="720" w:hanging="360"/>
      </w:p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23FC7"/>
    <w:rsid w:val="00025198"/>
    <w:rsid w:val="00056D83"/>
    <w:rsid w:val="000578A3"/>
    <w:rsid w:val="00060A80"/>
    <w:rsid w:val="000648CC"/>
    <w:rsid w:val="000A115A"/>
    <w:rsid w:val="000A2189"/>
    <w:rsid w:val="000C0ADE"/>
    <w:rsid w:val="000C59B8"/>
    <w:rsid w:val="000C6AF0"/>
    <w:rsid w:val="000C780F"/>
    <w:rsid w:val="000C7DDC"/>
    <w:rsid w:val="000D0A77"/>
    <w:rsid w:val="000F7993"/>
    <w:rsid w:val="00104F33"/>
    <w:rsid w:val="00111DE2"/>
    <w:rsid w:val="00116B38"/>
    <w:rsid w:val="00117067"/>
    <w:rsid w:val="00135406"/>
    <w:rsid w:val="00135972"/>
    <w:rsid w:val="001426A9"/>
    <w:rsid w:val="00154D7C"/>
    <w:rsid w:val="001570B0"/>
    <w:rsid w:val="0015752C"/>
    <w:rsid w:val="00157737"/>
    <w:rsid w:val="00163B1F"/>
    <w:rsid w:val="00165277"/>
    <w:rsid w:val="00170592"/>
    <w:rsid w:val="001720F7"/>
    <w:rsid w:val="00180E73"/>
    <w:rsid w:val="00184590"/>
    <w:rsid w:val="00195D83"/>
    <w:rsid w:val="001A00C1"/>
    <w:rsid w:val="001B2761"/>
    <w:rsid w:val="001B33E0"/>
    <w:rsid w:val="001B4573"/>
    <w:rsid w:val="001C0727"/>
    <w:rsid w:val="001C779F"/>
    <w:rsid w:val="001D2AC1"/>
    <w:rsid w:val="001D4E88"/>
    <w:rsid w:val="001F4738"/>
    <w:rsid w:val="002004CF"/>
    <w:rsid w:val="00220FC2"/>
    <w:rsid w:val="002222F4"/>
    <w:rsid w:val="00224FC0"/>
    <w:rsid w:val="00225EA4"/>
    <w:rsid w:val="00226EAF"/>
    <w:rsid w:val="00231F3A"/>
    <w:rsid w:val="002406EE"/>
    <w:rsid w:val="00243EC8"/>
    <w:rsid w:val="00254BB2"/>
    <w:rsid w:val="0026084E"/>
    <w:rsid w:val="00270D93"/>
    <w:rsid w:val="002745CC"/>
    <w:rsid w:val="002A6161"/>
    <w:rsid w:val="002B6FBE"/>
    <w:rsid w:val="002B7924"/>
    <w:rsid w:val="002C10A6"/>
    <w:rsid w:val="002C7BFC"/>
    <w:rsid w:val="002D28C3"/>
    <w:rsid w:val="002D39A4"/>
    <w:rsid w:val="002D41EA"/>
    <w:rsid w:val="002E258B"/>
    <w:rsid w:val="002E6705"/>
    <w:rsid w:val="002F0915"/>
    <w:rsid w:val="0030329A"/>
    <w:rsid w:val="0031086F"/>
    <w:rsid w:val="003111C5"/>
    <w:rsid w:val="00313960"/>
    <w:rsid w:val="0031414C"/>
    <w:rsid w:val="00314E01"/>
    <w:rsid w:val="0032089D"/>
    <w:rsid w:val="003310DE"/>
    <w:rsid w:val="003323B0"/>
    <w:rsid w:val="00340A49"/>
    <w:rsid w:val="0035169A"/>
    <w:rsid w:val="0035259D"/>
    <w:rsid w:val="00354DEA"/>
    <w:rsid w:val="00364B18"/>
    <w:rsid w:val="003740F0"/>
    <w:rsid w:val="00396AAB"/>
    <w:rsid w:val="003A125D"/>
    <w:rsid w:val="003A2E6D"/>
    <w:rsid w:val="003A4C70"/>
    <w:rsid w:val="003A7610"/>
    <w:rsid w:val="003B215F"/>
    <w:rsid w:val="003C799C"/>
    <w:rsid w:val="003D0399"/>
    <w:rsid w:val="003E1C71"/>
    <w:rsid w:val="003E53E4"/>
    <w:rsid w:val="003F327B"/>
    <w:rsid w:val="00406166"/>
    <w:rsid w:val="0040704B"/>
    <w:rsid w:val="00410A55"/>
    <w:rsid w:val="00411300"/>
    <w:rsid w:val="00413F17"/>
    <w:rsid w:val="00415417"/>
    <w:rsid w:val="00424414"/>
    <w:rsid w:val="00426659"/>
    <w:rsid w:val="00450352"/>
    <w:rsid w:val="00454BDB"/>
    <w:rsid w:val="00465132"/>
    <w:rsid w:val="00470A48"/>
    <w:rsid w:val="004774E8"/>
    <w:rsid w:val="00480C90"/>
    <w:rsid w:val="00480F08"/>
    <w:rsid w:val="0048396F"/>
    <w:rsid w:val="004850E3"/>
    <w:rsid w:val="00493C18"/>
    <w:rsid w:val="004A600C"/>
    <w:rsid w:val="004A6118"/>
    <w:rsid w:val="004C478D"/>
    <w:rsid w:val="004D7D95"/>
    <w:rsid w:val="004E06A9"/>
    <w:rsid w:val="004E1945"/>
    <w:rsid w:val="004E2C26"/>
    <w:rsid w:val="004F1BE0"/>
    <w:rsid w:val="00511A24"/>
    <w:rsid w:val="005125A8"/>
    <w:rsid w:val="00517549"/>
    <w:rsid w:val="00520ABC"/>
    <w:rsid w:val="00521AE8"/>
    <w:rsid w:val="00527180"/>
    <w:rsid w:val="00545B82"/>
    <w:rsid w:val="00555291"/>
    <w:rsid w:val="00566AD1"/>
    <w:rsid w:val="00567FE2"/>
    <w:rsid w:val="00583EDE"/>
    <w:rsid w:val="005A5713"/>
    <w:rsid w:val="005A6079"/>
    <w:rsid w:val="005B11DB"/>
    <w:rsid w:val="005E4698"/>
    <w:rsid w:val="00603924"/>
    <w:rsid w:val="00610539"/>
    <w:rsid w:val="00613969"/>
    <w:rsid w:val="00625C35"/>
    <w:rsid w:val="006465B1"/>
    <w:rsid w:val="00647E49"/>
    <w:rsid w:val="006531DC"/>
    <w:rsid w:val="00656313"/>
    <w:rsid w:val="006565F4"/>
    <w:rsid w:val="00684EEA"/>
    <w:rsid w:val="0069689B"/>
    <w:rsid w:val="006B0EA3"/>
    <w:rsid w:val="006B5FF5"/>
    <w:rsid w:val="006E1DBD"/>
    <w:rsid w:val="006E284C"/>
    <w:rsid w:val="006F30AF"/>
    <w:rsid w:val="006F5A89"/>
    <w:rsid w:val="00701759"/>
    <w:rsid w:val="00705C15"/>
    <w:rsid w:val="007110F6"/>
    <w:rsid w:val="00711B2E"/>
    <w:rsid w:val="007208D1"/>
    <w:rsid w:val="007306A1"/>
    <w:rsid w:val="0073122F"/>
    <w:rsid w:val="007327DC"/>
    <w:rsid w:val="00744518"/>
    <w:rsid w:val="00747288"/>
    <w:rsid w:val="00747DD3"/>
    <w:rsid w:val="007549C8"/>
    <w:rsid w:val="00766D14"/>
    <w:rsid w:val="00767A0F"/>
    <w:rsid w:val="00785111"/>
    <w:rsid w:val="00791272"/>
    <w:rsid w:val="007966D3"/>
    <w:rsid w:val="007A05F6"/>
    <w:rsid w:val="007A5D45"/>
    <w:rsid w:val="007B0C94"/>
    <w:rsid w:val="007B6F4A"/>
    <w:rsid w:val="007E1C47"/>
    <w:rsid w:val="007E337A"/>
    <w:rsid w:val="007E5C70"/>
    <w:rsid w:val="007F2FF5"/>
    <w:rsid w:val="007F3F08"/>
    <w:rsid w:val="00804CC6"/>
    <w:rsid w:val="00812331"/>
    <w:rsid w:val="00814841"/>
    <w:rsid w:val="00817190"/>
    <w:rsid w:val="008260E2"/>
    <w:rsid w:val="008322BD"/>
    <w:rsid w:val="00834F73"/>
    <w:rsid w:val="00864C8A"/>
    <w:rsid w:val="00864CF8"/>
    <w:rsid w:val="00874914"/>
    <w:rsid w:val="00891422"/>
    <w:rsid w:val="00892E1A"/>
    <w:rsid w:val="008B660A"/>
    <w:rsid w:val="008C01DA"/>
    <w:rsid w:val="008C7DA8"/>
    <w:rsid w:val="008F2674"/>
    <w:rsid w:val="008F78E9"/>
    <w:rsid w:val="00911543"/>
    <w:rsid w:val="00914E8F"/>
    <w:rsid w:val="009179F9"/>
    <w:rsid w:val="00917C7A"/>
    <w:rsid w:val="00933E5E"/>
    <w:rsid w:val="00935218"/>
    <w:rsid w:val="00937C52"/>
    <w:rsid w:val="009403F3"/>
    <w:rsid w:val="009555B7"/>
    <w:rsid w:val="009567AA"/>
    <w:rsid w:val="009602C9"/>
    <w:rsid w:val="009634DC"/>
    <w:rsid w:val="00967374"/>
    <w:rsid w:val="00980F81"/>
    <w:rsid w:val="00987FBF"/>
    <w:rsid w:val="009A343A"/>
    <w:rsid w:val="009A7117"/>
    <w:rsid w:val="009B2F23"/>
    <w:rsid w:val="009B57B3"/>
    <w:rsid w:val="009D2920"/>
    <w:rsid w:val="009D5AEB"/>
    <w:rsid w:val="009F0E33"/>
    <w:rsid w:val="00A149DF"/>
    <w:rsid w:val="00A1755C"/>
    <w:rsid w:val="00A21B90"/>
    <w:rsid w:val="00A22AAC"/>
    <w:rsid w:val="00A41805"/>
    <w:rsid w:val="00A5159E"/>
    <w:rsid w:val="00A51882"/>
    <w:rsid w:val="00A52AFB"/>
    <w:rsid w:val="00A548CB"/>
    <w:rsid w:val="00A5521C"/>
    <w:rsid w:val="00A643E7"/>
    <w:rsid w:val="00A66E31"/>
    <w:rsid w:val="00A73C38"/>
    <w:rsid w:val="00A81B76"/>
    <w:rsid w:val="00AB22A0"/>
    <w:rsid w:val="00AB670D"/>
    <w:rsid w:val="00AD5204"/>
    <w:rsid w:val="00AD78B9"/>
    <w:rsid w:val="00AF03C5"/>
    <w:rsid w:val="00B000D8"/>
    <w:rsid w:val="00B00F75"/>
    <w:rsid w:val="00B13542"/>
    <w:rsid w:val="00B145B6"/>
    <w:rsid w:val="00B24911"/>
    <w:rsid w:val="00B279EB"/>
    <w:rsid w:val="00B50C81"/>
    <w:rsid w:val="00B557F8"/>
    <w:rsid w:val="00B7015E"/>
    <w:rsid w:val="00B815FC"/>
    <w:rsid w:val="00B85679"/>
    <w:rsid w:val="00B93FBC"/>
    <w:rsid w:val="00BA7DA0"/>
    <w:rsid w:val="00BB2D34"/>
    <w:rsid w:val="00BB2EE4"/>
    <w:rsid w:val="00BB4C92"/>
    <w:rsid w:val="00BC2108"/>
    <w:rsid w:val="00BC7DAA"/>
    <w:rsid w:val="00BD0E9E"/>
    <w:rsid w:val="00BD1BEC"/>
    <w:rsid w:val="00BD32FF"/>
    <w:rsid w:val="00BE5B90"/>
    <w:rsid w:val="00BF151C"/>
    <w:rsid w:val="00BF6FE9"/>
    <w:rsid w:val="00C02092"/>
    <w:rsid w:val="00C237EE"/>
    <w:rsid w:val="00C24D91"/>
    <w:rsid w:val="00C26DB2"/>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24666"/>
    <w:rsid w:val="00D31401"/>
    <w:rsid w:val="00D32086"/>
    <w:rsid w:val="00D37A3F"/>
    <w:rsid w:val="00D4431D"/>
    <w:rsid w:val="00D4667A"/>
    <w:rsid w:val="00D52218"/>
    <w:rsid w:val="00D63A1C"/>
    <w:rsid w:val="00D7516F"/>
    <w:rsid w:val="00D805E5"/>
    <w:rsid w:val="00D95F8E"/>
    <w:rsid w:val="00DA0590"/>
    <w:rsid w:val="00DA13CE"/>
    <w:rsid w:val="00DB65C3"/>
    <w:rsid w:val="00DC1739"/>
    <w:rsid w:val="00DC1788"/>
    <w:rsid w:val="00DE319C"/>
    <w:rsid w:val="00DF0CA8"/>
    <w:rsid w:val="00DF2B48"/>
    <w:rsid w:val="00DF49A7"/>
    <w:rsid w:val="00E07EE2"/>
    <w:rsid w:val="00E07FD1"/>
    <w:rsid w:val="00E22C38"/>
    <w:rsid w:val="00E239BA"/>
    <w:rsid w:val="00E24573"/>
    <w:rsid w:val="00E25E1E"/>
    <w:rsid w:val="00E27EE7"/>
    <w:rsid w:val="00E32F74"/>
    <w:rsid w:val="00E35404"/>
    <w:rsid w:val="00E45109"/>
    <w:rsid w:val="00E45D7F"/>
    <w:rsid w:val="00E47B7A"/>
    <w:rsid w:val="00E56A44"/>
    <w:rsid w:val="00E60269"/>
    <w:rsid w:val="00E713CF"/>
    <w:rsid w:val="00E964FC"/>
    <w:rsid w:val="00E96B50"/>
    <w:rsid w:val="00E97830"/>
    <w:rsid w:val="00ED1995"/>
    <w:rsid w:val="00EE0830"/>
    <w:rsid w:val="00EE6CB8"/>
    <w:rsid w:val="00EE7FA8"/>
    <w:rsid w:val="00EF0683"/>
    <w:rsid w:val="00F0070C"/>
    <w:rsid w:val="00F00EB7"/>
    <w:rsid w:val="00F31C9E"/>
    <w:rsid w:val="00F36AB6"/>
    <w:rsid w:val="00F37A09"/>
    <w:rsid w:val="00F409CE"/>
    <w:rsid w:val="00F4379D"/>
    <w:rsid w:val="00F50D2D"/>
    <w:rsid w:val="00F56C8B"/>
    <w:rsid w:val="00F62639"/>
    <w:rsid w:val="00F66810"/>
    <w:rsid w:val="00F702B6"/>
    <w:rsid w:val="00F84DF4"/>
    <w:rsid w:val="00F85C97"/>
    <w:rsid w:val="00FB37D2"/>
    <w:rsid w:val="00FC2BE3"/>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B2491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24911"/>
    <w:rPr>
      <w:rFonts w:eastAsiaTheme="minorHAnsi" w:cstheme="minorBidi"/>
      <w:sz w:val="24"/>
      <w:szCs w:val="22"/>
      <w:lang w:eastAsia="en-US"/>
    </w:rPr>
  </w:style>
  <w:style w:type="character" w:customStyle="1" w:styleId="SCCBanSummaryChar">
    <w:name w:val="SCC.BanSummary Char"/>
    <w:basedOn w:val="DefaultParagraphFont"/>
    <w:link w:val="SCCBanSummary"/>
    <w:rsid w:val="00B24911"/>
    <w:rPr>
      <w:b/>
      <w:sz w:val="24"/>
    </w:rPr>
  </w:style>
  <w:style w:type="table" w:styleId="TableGrid">
    <w:name w:val="Table Grid"/>
    <w:basedOn w:val="TableNormal"/>
    <w:uiPriority w:val="59"/>
    <w:rsid w:val="00B24911"/>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2491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2491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24911"/>
    <w:pPr>
      <w:tabs>
        <w:tab w:val="left" w:pos="1166"/>
      </w:tabs>
      <w:spacing w:after="480" w:line="480" w:lineRule="auto"/>
    </w:pPr>
    <w:rPr>
      <w:smallCaps/>
      <w:sz w:val="24"/>
      <w:szCs w:val="24"/>
    </w:rPr>
  </w:style>
  <w:style w:type="paragraph" w:customStyle="1" w:styleId="ParaNoNdepar-AltN">
    <w:name w:val="Para. No. / Nº de par. - Alt N"/>
    <w:uiPriority w:val="99"/>
    <w:qFormat/>
    <w:rsid w:val="00B24911"/>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24911"/>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24911"/>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B24911"/>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B24911"/>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B24911"/>
    <w:pPr>
      <w:numPr>
        <w:ilvl w:val="4"/>
      </w:numPr>
      <w:tabs>
        <w:tab w:val="clear" w:pos="576"/>
        <w:tab w:val="left" w:pos="1620"/>
      </w:tabs>
      <w:ind w:left="1620" w:hanging="540"/>
    </w:pPr>
  </w:style>
  <w:style w:type="paragraph" w:styleId="TOC1">
    <w:name w:val="toc 1"/>
    <w:basedOn w:val="Normal"/>
    <w:next w:val="Normal"/>
    <w:autoRedefine/>
    <w:uiPriority w:val="39"/>
    <w:unhideWhenUsed/>
    <w:rsid w:val="00B2491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2491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2491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2491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2491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24911"/>
    <w:pPr>
      <w:tabs>
        <w:tab w:val="left" w:pos="2160"/>
        <w:tab w:val="right" w:leader="dot" w:pos="8270"/>
      </w:tabs>
      <w:spacing w:after="100"/>
      <w:ind w:left="1800"/>
    </w:pPr>
    <w:rPr>
      <w:noProof/>
    </w:rPr>
  </w:style>
  <w:style w:type="table" w:customStyle="1" w:styleId="TableGrid1">
    <w:name w:val="Table Grid1"/>
    <w:basedOn w:val="TableNormal"/>
    <w:uiPriority w:val="59"/>
    <w:rsid w:val="00B24911"/>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B24911"/>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B24911"/>
    <w:rPr>
      <w:color w:val="0000FF" w:themeColor="hyperlink"/>
      <w:u w:val="single"/>
    </w:rPr>
  </w:style>
  <w:style w:type="paragraph" w:customStyle="1" w:styleId="citationenretrait1">
    <w:name w:val="citationenretrait1"/>
    <w:basedOn w:val="Normal"/>
    <w:rsid w:val="00B24911"/>
    <w:pPr>
      <w:spacing w:before="120" w:after="120"/>
      <w:ind w:left="720" w:right="720"/>
      <w:jc w:val="both"/>
    </w:pPr>
    <w:rPr>
      <w:rFonts w:ascii="Arial" w:hAnsi="Arial" w:cs="Arial"/>
      <w:sz w:val="22"/>
      <w:szCs w:val="22"/>
    </w:rPr>
  </w:style>
  <w:style w:type="character" w:styleId="SubtleEmphasis">
    <w:name w:val="Subtle Emphasis"/>
    <w:uiPriority w:val="19"/>
    <w:qFormat/>
    <w:rsid w:val="00B24911"/>
    <w:rPr>
      <w:i/>
      <w:iCs/>
    </w:rPr>
  </w:style>
  <w:style w:type="paragraph" w:customStyle="1" w:styleId="citation-altc1">
    <w:name w:val="citation-altc1"/>
    <w:basedOn w:val="Normal"/>
    <w:rsid w:val="00B24911"/>
    <w:pPr>
      <w:spacing w:after="720"/>
      <w:ind w:left="1166"/>
      <w:jc w:val="both"/>
    </w:pPr>
    <w:rPr>
      <w:szCs w:val="24"/>
    </w:rPr>
  </w:style>
  <w:style w:type="character" w:styleId="CommentReference">
    <w:name w:val="annotation reference"/>
    <w:basedOn w:val="DefaultParagraphFont"/>
    <w:uiPriority w:val="99"/>
    <w:semiHidden/>
    <w:unhideWhenUsed/>
    <w:rsid w:val="00B24911"/>
    <w:rPr>
      <w:sz w:val="16"/>
      <w:szCs w:val="16"/>
    </w:rPr>
  </w:style>
  <w:style w:type="paragraph" w:styleId="CommentText">
    <w:name w:val="annotation text"/>
    <w:basedOn w:val="Normal"/>
    <w:link w:val="CommentTextChar"/>
    <w:uiPriority w:val="99"/>
    <w:semiHidden/>
    <w:unhideWhenUsed/>
    <w:rsid w:val="00B24911"/>
    <w:rPr>
      <w:sz w:val="20"/>
    </w:rPr>
  </w:style>
  <w:style w:type="character" w:customStyle="1" w:styleId="CommentTextChar">
    <w:name w:val="Comment Text Char"/>
    <w:basedOn w:val="DefaultParagraphFont"/>
    <w:link w:val="CommentText"/>
    <w:uiPriority w:val="99"/>
    <w:semiHidden/>
    <w:rsid w:val="00B24911"/>
  </w:style>
  <w:style w:type="paragraph" w:styleId="CommentSubject">
    <w:name w:val="annotation subject"/>
    <w:basedOn w:val="CommentText"/>
    <w:next w:val="CommentText"/>
    <w:link w:val="CommentSubjectChar"/>
    <w:uiPriority w:val="99"/>
    <w:semiHidden/>
    <w:unhideWhenUsed/>
    <w:rsid w:val="00B24911"/>
    <w:rPr>
      <w:b/>
      <w:bCs/>
    </w:rPr>
  </w:style>
  <w:style w:type="character" w:customStyle="1" w:styleId="CommentSubjectChar">
    <w:name w:val="Comment Subject Char"/>
    <w:basedOn w:val="CommentTextChar"/>
    <w:link w:val="CommentSubject"/>
    <w:uiPriority w:val="99"/>
    <w:semiHidden/>
    <w:rsid w:val="00B24911"/>
    <w:rPr>
      <w:b/>
      <w:bCs/>
    </w:rPr>
  </w:style>
  <w:style w:type="paragraph" w:customStyle="1" w:styleId="loose">
    <w:name w:val="loose"/>
    <w:basedOn w:val="Normal"/>
    <w:rsid w:val="00B24911"/>
    <w:pPr>
      <w:spacing w:before="210"/>
    </w:pPr>
    <w:rPr>
      <w:szCs w:val="24"/>
    </w:rPr>
  </w:style>
  <w:style w:type="character" w:customStyle="1" w:styleId="bold1">
    <w:name w:val="bold1"/>
    <w:basedOn w:val="DefaultParagraphFont"/>
    <w:rsid w:val="00B24911"/>
    <w:rPr>
      <w:b/>
      <w:bCs/>
    </w:rPr>
  </w:style>
  <w:style w:type="character" w:customStyle="1" w:styleId="SCCLsocPartyRoleChar">
    <w:name w:val="SCC.Lsoc.PartyRole Char"/>
    <w:basedOn w:val="DefaultParagraphFont"/>
    <w:rsid w:val="000A115A"/>
    <w:rPr>
      <w:lang w:val="fr-CA"/>
    </w:rPr>
  </w:style>
  <w:style w:type="paragraph" w:customStyle="1" w:styleId="SCCLsocPrefix">
    <w:name w:val="SCC.Lsoc.Prefix"/>
    <w:basedOn w:val="Normal"/>
    <w:next w:val="Normal"/>
    <w:link w:val="SCCLsocPrefixChar"/>
    <w:rsid w:val="000A115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A115A"/>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5503</Words>
  <Characters>28448</Characters>
  <Application>Microsoft Office Word</Application>
  <DocSecurity>0</DocSecurity>
  <Lines>237</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2014-09-19T19:29:00Z</dcterms:created>
  <dcterms:modified xsi:type="dcterms:W3CDTF">2015-02-26T18:24:00Z</dcterms:modified>
</cp:coreProperties>
</file>