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21" w:rsidRPr="00A82D21" w:rsidRDefault="00A82D21" w:rsidP="00A82D21">
      <w:pPr>
        <w:pStyle w:val="Header"/>
        <w:rPr>
          <w:szCs w:val="24"/>
        </w:rPr>
      </w:pPr>
      <w:r w:rsidRPr="00A82D21">
        <w:rPr>
          <w:szCs w:val="24"/>
        </w:rPr>
        <w:ptab w:relativeTo="margin" w:alignment="center" w:leader="none"/>
      </w:r>
      <w:r w:rsidRPr="00A82D21">
        <w:rPr>
          <w:szCs w:val="24"/>
        </w:rPr>
        <w:t xml:space="preserve"> </w:t>
      </w:r>
      <w:r w:rsidRPr="00A82D21">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05pt;height:64.7pt" o:ole="">
            <v:imagedata r:id="rId8" o:title=""/>
          </v:shape>
          <o:OLEObject Type="Embed" ProgID="Presentations.Drawing.13" ShapeID="_x0000_i1030" DrawAspect="Content" ObjectID="_1487136083" r:id="rId9"/>
        </w:object>
      </w:r>
      <w:r w:rsidRPr="00A82D21">
        <w:rPr>
          <w:szCs w:val="24"/>
        </w:rPr>
        <w:t xml:space="preserve"> </w:t>
      </w:r>
      <w:r w:rsidRPr="00A82D21">
        <w:rPr>
          <w:szCs w:val="24"/>
        </w:rPr>
        <w:ptab w:relativeTo="margin" w:alignment="right" w:leader="none"/>
      </w:r>
    </w:p>
    <w:p w:rsidR="00A82D21" w:rsidRPr="00A82D21" w:rsidRDefault="00A82D21" w:rsidP="00A82D21">
      <w:pPr>
        <w:pStyle w:val="Header"/>
        <w:rPr>
          <w:szCs w:val="24"/>
        </w:rPr>
      </w:pPr>
    </w:p>
    <w:p w:rsidR="00A82D21" w:rsidRPr="00A82D21" w:rsidRDefault="00A82D21" w:rsidP="00A82D21">
      <w:pPr>
        <w:jc w:val="center"/>
        <w:rPr>
          <w:b/>
          <w:szCs w:val="24"/>
        </w:rPr>
      </w:pPr>
      <w:r w:rsidRPr="00A82D21">
        <w:rPr>
          <w:b/>
          <w:szCs w:val="24"/>
        </w:rPr>
        <w:t>COUR SUPRÊME DU CANADA</w:t>
      </w:r>
    </w:p>
    <w:p w:rsidR="00A82D21" w:rsidRPr="00A82D21" w:rsidRDefault="00A82D21" w:rsidP="00A82D21">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82D21" w:rsidRPr="00A82D21" w:rsidTr="00BA652B">
        <w:trPr>
          <w:cantSplit/>
        </w:trPr>
        <w:tc>
          <w:tcPr>
            <w:tcW w:w="6768" w:type="dxa"/>
          </w:tcPr>
          <w:p w:rsidR="00A82D21" w:rsidRPr="00A82D21" w:rsidRDefault="00A82D21" w:rsidP="00BA652B">
            <w:pPr>
              <w:rPr>
                <w:rFonts w:ascii="Times New Roman" w:hAnsi="Times New Roman" w:cs="Times New Roman"/>
                <w:szCs w:val="24"/>
                <w:lang w:val="fr-CA"/>
              </w:rPr>
            </w:pPr>
            <w:r w:rsidRPr="00A82D21">
              <w:rPr>
                <w:rFonts w:ascii="Times New Roman" w:hAnsi="Times New Roman" w:cs="Times New Roman"/>
                <w:b/>
                <w:smallCaps/>
                <w:szCs w:val="24"/>
                <w:lang w:val="fr-CA"/>
              </w:rPr>
              <w:t>Référence :</w:t>
            </w:r>
            <w:r w:rsidRPr="00A82D21">
              <w:rPr>
                <w:rFonts w:ascii="Times New Roman" w:hAnsi="Times New Roman" w:cs="Times New Roman"/>
                <w:szCs w:val="24"/>
                <w:lang w:val="fr-CA"/>
              </w:rPr>
              <w:t xml:space="preserve"> </w:t>
            </w:r>
            <w:r w:rsidRPr="00A82D21">
              <w:rPr>
                <w:rStyle w:val="SCCAppellantForCitationChar"/>
                <w:rFonts w:ascii="Times New Roman" w:hAnsi="Times New Roman" w:cs="Times New Roman"/>
                <w:i w:val="0"/>
                <w:szCs w:val="24"/>
                <w:lang w:val="fr-CA"/>
              </w:rPr>
              <w:t>Pétrolière Impériale</w:t>
            </w:r>
            <w:r w:rsidRPr="00A82D21">
              <w:rPr>
                <w:rStyle w:val="QuoteChar"/>
                <w:rFonts w:ascii="Times New Roman" w:hAnsi="Times New Roman" w:cs="Times New Roman"/>
                <w:szCs w:val="24"/>
                <w:lang w:val="fr-CA"/>
              </w:rPr>
              <w:t xml:space="preserve"> c. </w:t>
            </w:r>
            <w:r w:rsidRPr="00A82D21">
              <w:rPr>
                <w:rStyle w:val="SCCRespondentForCitationChar"/>
                <w:rFonts w:ascii="Times New Roman" w:hAnsi="Times New Roman" w:cs="Times New Roman"/>
                <w:i w:val="0"/>
                <w:szCs w:val="24"/>
                <w:lang w:val="fr-CA"/>
              </w:rPr>
              <w:t>Jacques</w:t>
            </w:r>
            <w:r w:rsidRPr="00A82D21">
              <w:rPr>
                <w:rStyle w:val="QuoteChar"/>
                <w:rFonts w:ascii="Times New Roman" w:hAnsi="Times New Roman" w:cs="Times New Roman"/>
                <w:i w:val="0"/>
                <w:szCs w:val="24"/>
                <w:lang w:val="fr-CA"/>
              </w:rPr>
              <w:t>,</w:t>
            </w:r>
            <w:r w:rsidRPr="00A82D21">
              <w:rPr>
                <w:rFonts w:ascii="Times New Roman" w:hAnsi="Times New Roman" w:cs="Times New Roman"/>
                <w:i/>
                <w:szCs w:val="24"/>
                <w:lang w:val="fr-CA"/>
              </w:rPr>
              <w:t xml:space="preserve"> </w:t>
            </w:r>
            <w:r w:rsidRPr="00A82D21">
              <w:rPr>
                <w:rFonts w:ascii="Times New Roman" w:hAnsi="Times New Roman" w:cs="Times New Roman"/>
                <w:szCs w:val="24"/>
                <w:lang w:val="fr-CA"/>
              </w:rPr>
              <w:t>2014 CSC 66</w:t>
            </w:r>
            <w:r>
              <w:rPr>
                <w:rFonts w:ascii="Times New Roman" w:hAnsi="Times New Roman" w:cs="Times New Roman"/>
                <w:szCs w:val="24"/>
                <w:lang w:val="fr-CA"/>
              </w:rPr>
              <w:t xml:space="preserve">, </w:t>
            </w:r>
            <w:r w:rsidRPr="00A82D21">
              <w:rPr>
                <w:rFonts w:ascii="Times New Roman" w:hAnsi="Times New Roman" w:cs="Times New Roman"/>
                <w:szCs w:val="24"/>
                <w:lang w:val="fr-CA"/>
              </w:rPr>
              <w:t>[2014] 3 R.C.S. 287</w:t>
            </w:r>
          </w:p>
        </w:tc>
        <w:tc>
          <w:tcPr>
            <w:tcW w:w="2808" w:type="dxa"/>
          </w:tcPr>
          <w:p w:rsidR="00A82D21" w:rsidRPr="00A82D21" w:rsidRDefault="00A82D21" w:rsidP="00BA652B">
            <w:pPr>
              <w:rPr>
                <w:rFonts w:ascii="Times New Roman" w:hAnsi="Times New Roman" w:cs="Times New Roman"/>
                <w:szCs w:val="24"/>
              </w:rPr>
            </w:pPr>
            <w:r w:rsidRPr="00A82D21">
              <w:rPr>
                <w:rFonts w:ascii="Times New Roman" w:hAnsi="Times New Roman" w:cs="Times New Roman"/>
                <w:b/>
                <w:smallCaps/>
                <w:szCs w:val="24"/>
              </w:rPr>
              <w:t>Date :</w:t>
            </w:r>
            <w:r w:rsidRPr="00A82D21">
              <w:rPr>
                <w:rFonts w:ascii="Times New Roman" w:hAnsi="Times New Roman" w:cs="Times New Roman"/>
                <w:szCs w:val="24"/>
              </w:rPr>
              <w:t xml:space="preserve"> 20141017</w:t>
            </w:r>
          </w:p>
          <w:p w:rsidR="00A82D21" w:rsidRPr="00A82D21" w:rsidRDefault="00A82D21" w:rsidP="00BA652B">
            <w:pPr>
              <w:rPr>
                <w:rFonts w:ascii="Times New Roman" w:hAnsi="Times New Roman" w:cs="Times New Roman"/>
                <w:szCs w:val="24"/>
              </w:rPr>
            </w:pPr>
            <w:r w:rsidRPr="00A82D21">
              <w:rPr>
                <w:rFonts w:ascii="Times New Roman" w:hAnsi="Times New Roman" w:cs="Times New Roman"/>
                <w:b/>
                <w:smallCaps/>
                <w:szCs w:val="24"/>
              </w:rPr>
              <w:t>Dossier :</w:t>
            </w:r>
            <w:r w:rsidRPr="00A82D21">
              <w:rPr>
                <w:rFonts w:ascii="Times New Roman" w:hAnsi="Times New Roman" w:cs="Times New Roman"/>
                <w:szCs w:val="24"/>
              </w:rPr>
              <w:t xml:space="preserve"> 35226, 35231</w:t>
            </w:r>
          </w:p>
        </w:tc>
      </w:tr>
    </w:tbl>
    <w:p w:rsidR="00A82D21" w:rsidRPr="00A82D21" w:rsidRDefault="00A82D21" w:rsidP="00A82D21">
      <w:pPr>
        <w:rPr>
          <w:szCs w:val="24"/>
        </w:rPr>
      </w:pPr>
    </w:p>
    <w:p w:rsidR="00A82D21" w:rsidRPr="00A82D21" w:rsidRDefault="00A82D21" w:rsidP="00A82D21">
      <w:pPr>
        <w:pStyle w:val="SCCLsocPrefix"/>
        <w:rPr>
          <w:rFonts w:cs="Times New Roman"/>
        </w:rPr>
      </w:pPr>
      <w:r w:rsidRPr="00A82D21">
        <w:rPr>
          <w:rFonts w:cs="Times New Roman"/>
        </w:rPr>
        <w:t>Entre :</w:t>
      </w:r>
    </w:p>
    <w:p w:rsidR="00A82D21" w:rsidRPr="00A82D21" w:rsidRDefault="00A82D21" w:rsidP="00CD3A81">
      <w:pPr>
        <w:pStyle w:val="SCCLsocParty"/>
        <w:jc w:val="center"/>
        <w:rPr>
          <w:szCs w:val="24"/>
        </w:rPr>
      </w:pPr>
      <w:r w:rsidRPr="00A82D21">
        <w:rPr>
          <w:szCs w:val="24"/>
        </w:rPr>
        <w:t>Pétrolière Impériale</w:t>
      </w:r>
    </w:p>
    <w:p w:rsidR="00A82D21" w:rsidRPr="00A82D21" w:rsidRDefault="00A82D21" w:rsidP="00CD3A81">
      <w:pPr>
        <w:jc w:val="center"/>
        <w:rPr>
          <w:szCs w:val="24"/>
        </w:rPr>
      </w:pPr>
      <w:r w:rsidRPr="00A82D21">
        <w:rPr>
          <w:szCs w:val="24"/>
        </w:rPr>
        <w:t>Appelante</w:t>
      </w:r>
    </w:p>
    <w:p w:rsidR="00A82D21" w:rsidRPr="00CD3A81" w:rsidRDefault="00A82D21" w:rsidP="00CD3A81">
      <w:pPr>
        <w:pStyle w:val="SCCLsocVersus"/>
        <w:spacing w:after="0"/>
        <w:jc w:val="center"/>
        <w:rPr>
          <w:i w:val="0"/>
          <w:szCs w:val="24"/>
        </w:rPr>
      </w:pPr>
      <w:proofErr w:type="gramStart"/>
      <w:r w:rsidRPr="00CD3A81">
        <w:rPr>
          <w:i w:val="0"/>
          <w:szCs w:val="24"/>
        </w:rPr>
        <w:t>et</w:t>
      </w:r>
      <w:proofErr w:type="gramEnd"/>
    </w:p>
    <w:p w:rsidR="00A82D21" w:rsidRPr="00A82D21" w:rsidRDefault="00A82D21" w:rsidP="00CD3A81">
      <w:pPr>
        <w:pStyle w:val="SCCLsocParty"/>
        <w:jc w:val="center"/>
        <w:rPr>
          <w:szCs w:val="24"/>
          <w:lang w:val="fr-CA"/>
        </w:rPr>
      </w:pPr>
      <w:r w:rsidRPr="00A82D21">
        <w:rPr>
          <w:szCs w:val="24"/>
          <w:lang w:val="fr-CA"/>
        </w:rPr>
        <w:t>Simon Jacques, Marcel Lafontaine, Association pour la protection automobile, procureur général du Québec et directeur des poursuites pénales du Canada</w:t>
      </w:r>
    </w:p>
    <w:p w:rsidR="00A82D21" w:rsidRPr="00A82D21" w:rsidRDefault="00A82D21" w:rsidP="00CD3A81">
      <w:pPr>
        <w:jc w:val="center"/>
        <w:rPr>
          <w:szCs w:val="24"/>
          <w:lang w:val="fr-CA"/>
        </w:rPr>
      </w:pPr>
      <w:r w:rsidRPr="00A82D21">
        <w:rPr>
          <w:szCs w:val="24"/>
          <w:lang w:val="fr-CA"/>
        </w:rPr>
        <w:t>Intimés</w:t>
      </w:r>
    </w:p>
    <w:p w:rsidR="00A82D21" w:rsidRPr="00A82D21" w:rsidRDefault="00A82D21" w:rsidP="00CD3A81">
      <w:pPr>
        <w:pStyle w:val="SCCLsocOtherPartySeparator"/>
        <w:spacing w:after="0"/>
        <w:jc w:val="center"/>
        <w:rPr>
          <w:szCs w:val="24"/>
          <w:lang w:val="fr-CA"/>
        </w:rPr>
      </w:pPr>
      <w:r w:rsidRPr="00A82D21">
        <w:rPr>
          <w:szCs w:val="24"/>
          <w:lang w:val="fr-CA"/>
        </w:rPr>
        <w:t>- et -</w:t>
      </w:r>
    </w:p>
    <w:p w:rsidR="00A82D21" w:rsidRPr="00A82D21" w:rsidRDefault="00A82D21" w:rsidP="00CD3A81">
      <w:pPr>
        <w:pStyle w:val="SCCLsocParty"/>
        <w:jc w:val="center"/>
        <w:rPr>
          <w:szCs w:val="24"/>
          <w:lang w:val="fr-CA"/>
        </w:rPr>
      </w:pPr>
      <w:r w:rsidRPr="00A82D21">
        <w:rPr>
          <w:szCs w:val="24"/>
          <w:lang w:val="fr-CA"/>
        </w:rPr>
        <w:t>Procureur général de l’Ontario, Couche-Tard inc., Alimentation Couche-Tard inc., Dépan-Escompte Couche-Tard inc., Céline Bonin, Richard Bédard, Carole Aubut, Ultramar ltée, Luc Forget, Jacques Ouellet, Pétroles Therrien inc., Distributions Pétrolières Therrien inc., Irving Oil Inc./Opérations pétroles Irving ltée, Groupe Pétrolier Olco inc., Coop fédérée, Robert Murphy, Gary Neiderer, 9142-0935 Québec inc., 9131-4716 Québec inc., Groupe Denis Mongeau inc., France Benoît, Richard Michaud, Luc Couturier, Guy Angers, Philippe Gosselin &amp; Associés ltée, André Bilodeau, Carol Lehoux, Claude Bédard, Stéphane Grant, Pétroles Cadrin Inc., Daniel Drouin, Pétroles Global inc./Global Fuels Inc., Pétroles Global (Québec) inc./Global Fuels (Quebec) inc., Provigo Distribution inc., Christian Payette, Pierre Bourassa, Daniel Leblond, Dépanneur Magog-Orford inc, 2944-4841 Québec inc., Société coopérative agricole des Bois-Francs, Gestion Astral inc., Lise Delisle, 134553 Canada inc., Garage Luc Fecteau et fils inc., Station-Service Jacques Blais inc., 9029-6815 Québec inc., Garage Jacques Robert inc., Gérald Groulx Station Service inc., Services Autogarde D.D. inc., 9010-1460 Québec inc., Armand Pouliot, Julie Roberge, Station-Service Pouliot et Roberge s.e.n.c., 9038-6095 Québec inc., 9083-0670 Québec inc., Gestion Ghislain Lallier inc., 2429-7822 Québec inc., 2627-3458 Québec inc., 9098-0111 Québec inc., 2311-5959 Québec inc., Gaz-O-Pneus inc., C. Lagrandeur et fils inc., Universy Galt Service inc., Valérie Houde, Sylvie Fréchette, Robert Beaurivage, 9011-4653 Québec inc., Pétroles Remay inc., Variétés Jean-Yves Plourde inc. et 9016-8360 Québec inc.</w:t>
      </w:r>
    </w:p>
    <w:p w:rsidR="00A82D21" w:rsidRPr="00A82D21" w:rsidRDefault="00A82D21" w:rsidP="00CD3A81">
      <w:pPr>
        <w:jc w:val="center"/>
        <w:rPr>
          <w:szCs w:val="24"/>
          <w:lang w:val="fr-CA"/>
        </w:rPr>
      </w:pPr>
      <w:r w:rsidRPr="00A82D21">
        <w:rPr>
          <w:szCs w:val="24"/>
          <w:lang w:val="fr-CA"/>
        </w:rPr>
        <w:t>Intervenants</w:t>
      </w:r>
      <w:r w:rsidRPr="00A82D21">
        <w:rPr>
          <w:szCs w:val="24"/>
          <w:lang w:val="fr-CA"/>
        </w:rPr>
        <w:br/>
      </w:r>
    </w:p>
    <w:p w:rsidR="00A82D21" w:rsidRDefault="00A82D21" w:rsidP="00CD3A81">
      <w:pPr>
        <w:pStyle w:val="SCCLsocPrefix"/>
        <w:jc w:val="both"/>
        <w:rPr>
          <w:rFonts w:cs="Times New Roman"/>
        </w:rPr>
      </w:pPr>
      <w:r w:rsidRPr="00A82D21">
        <w:rPr>
          <w:rFonts w:cs="Times New Roman"/>
        </w:rPr>
        <w:t>Et entre :</w:t>
      </w:r>
    </w:p>
    <w:p w:rsidR="00CD3A81" w:rsidRPr="00CD3A81" w:rsidRDefault="00CD3A81" w:rsidP="00CD3A81">
      <w:pPr>
        <w:rPr>
          <w:lang w:val="fr-CA" w:eastAsia="en-US"/>
        </w:rPr>
      </w:pPr>
    </w:p>
    <w:p w:rsidR="00A82D21" w:rsidRPr="00A82D21" w:rsidRDefault="00A82D21" w:rsidP="00CD3A81">
      <w:pPr>
        <w:pStyle w:val="SCCLsocParty"/>
        <w:jc w:val="center"/>
        <w:rPr>
          <w:szCs w:val="24"/>
          <w:lang w:val="fr-CA"/>
        </w:rPr>
      </w:pPr>
      <w:r w:rsidRPr="00A82D21">
        <w:rPr>
          <w:szCs w:val="24"/>
          <w:lang w:val="fr-CA"/>
        </w:rPr>
        <w:t xml:space="preserve">Couche-Tard inc., Alimentation Couche-Tard inc., Dépan-Escompte Couche-Tard inc., Céline Bonin, Richard Bédard, Ultramar ltée, Pétroles Therrien inc., </w:t>
      </w:r>
      <w:r w:rsidRPr="00A82D21">
        <w:rPr>
          <w:szCs w:val="24"/>
          <w:lang w:val="fr-CA"/>
        </w:rPr>
        <w:lastRenderedPageBreak/>
        <w:t>Distributions Pétrolières Therrien inc, Opérations pétroles Irving ltée, Groupe Pétrolier Olco inc., Coop fédérée, Robert Murphy, Gary Neiderer, 9142-0935 Québec inc., 9131-4716 Québec inc. et Groupe Denis Mongeau inc.</w:t>
      </w:r>
    </w:p>
    <w:p w:rsidR="00A82D21" w:rsidRPr="00A82D21" w:rsidRDefault="00A82D21" w:rsidP="00CD3A81">
      <w:pPr>
        <w:jc w:val="center"/>
        <w:rPr>
          <w:szCs w:val="24"/>
          <w:lang w:val="fr-CA"/>
        </w:rPr>
      </w:pPr>
      <w:r w:rsidRPr="00A82D21">
        <w:rPr>
          <w:szCs w:val="24"/>
          <w:lang w:val="fr-CA"/>
        </w:rPr>
        <w:t>Appelants</w:t>
      </w:r>
    </w:p>
    <w:p w:rsidR="00A82D21" w:rsidRPr="00CD3A81" w:rsidRDefault="00A82D21" w:rsidP="00CD3A81">
      <w:pPr>
        <w:pStyle w:val="SCCLsocVersus"/>
        <w:spacing w:after="0"/>
        <w:jc w:val="center"/>
        <w:rPr>
          <w:i w:val="0"/>
          <w:szCs w:val="24"/>
          <w:lang w:val="fr-CA"/>
        </w:rPr>
      </w:pPr>
      <w:proofErr w:type="gramStart"/>
      <w:r w:rsidRPr="00CD3A81">
        <w:rPr>
          <w:i w:val="0"/>
          <w:szCs w:val="24"/>
          <w:lang w:val="fr-CA"/>
        </w:rPr>
        <w:t>et</w:t>
      </w:r>
      <w:proofErr w:type="gramEnd"/>
    </w:p>
    <w:p w:rsidR="00A82D21" w:rsidRPr="00A82D21" w:rsidRDefault="00A82D21" w:rsidP="00CD3A81">
      <w:pPr>
        <w:pStyle w:val="SCCLsocParty"/>
        <w:jc w:val="center"/>
        <w:rPr>
          <w:szCs w:val="24"/>
          <w:lang w:val="fr-CA"/>
        </w:rPr>
      </w:pPr>
      <w:r w:rsidRPr="00A82D21">
        <w:rPr>
          <w:szCs w:val="24"/>
          <w:lang w:val="fr-CA"/>
        </w:rPr>
        <w:t>Simon Jacques, Marcel Lafontaine, Association pour la protection automobile, procureur général du Québec, directeur des poursuites pénales du Canada, France Benoît, Richard Michaud, Luc Couturier, Guy Angers, Philippe Gosselin &amp; Associés ltée, André Bilodeau, Carol Lehoux, Claude Bédard, Stéphane Grant, Pétroles Cadrin inc., Daniel Drouin, Pétroles Global inc./Global Fuels Inc., Pétroles Global (Québec) inc./Global Fuels (Québec) inc., Provigo Distribution inc., Christian Payette, Pierre Bourassa, Daniel Leblond, Dépanneur Magog-Orford inc., 2944-4841 Québec inc., Société coopérative agricole des Bois-Francs, Gestion Astral inc., Lise Delisle, 134553 Canada inc., Garage Luc Fecteau et fils inc., Station-Service Jacques Blais inc., 9029-6815 Québec inc,, Garage Jacques Robert inc., Gérald Groulx Station-Service inc., Services Autogarde D.D. inc., 9010-1460 Québec inc., Armand Pouliot, Julie Roberge, Station-Service Pouliot et Roberge s.e.n.c., 9038-6095 Québec inc., 9083-0670 Québec inc., Gestion Ghislain Lallier inc., 2627-3458 Québec inc., 2429-7822 Québec inc., Universy Galt Service inc., 9098-0111 Québec inc., 2311-5959 Québec inc., Gaz-O-Pneus inc., C. Lagrandeur et fils inc., Valérie Houde, Sylvie Fréchette, Robert Beaurivage, 9011-4653 Québec inc., Pétroles Remay inc., Variétés Jean-Yves Plourde inc., 9016-8360 Québec inc., Carole Aubut, Luc Forget et Jacques Ouellet</w:t>
      </w:r>
    </w:p>
    <w:p w:rsidR="00A82D21" w:rsidRPr="00A82D21" w:rsidRDefault="00A82D21" w:rsidP="00CD3A81">
      <w:pPr>
        <w:jc w:val="center"/>
        <w:rPr>
          <w:szCs w:val="24"/>
          <w:lang w:val="fr-CA"/>
        </w:rPr>
      </w:pPr>
      <w:r w:rsidRPr="00A82D21">
        <w:rPr>
          <w:szCs w:val="24"/>
          <w:lang w:val="fr-CA"/>
        </w:rPr>
        <w:t>Intimés</w:t>
      </w:r>
    </w:p>
    <w:p w:rsidR="00A82D21" w:rsidRPr="00A82D21" w:rsidRDefault="00A82D21" w:rsidP="00CD3A81">
      <w:pPr>
        <w:pStyle w:val="SCCLsocOtherPartySeparator"/>
        <w:spacing w:after="0"/>
        <w:jc w:val="center"/>
        <w:rPr>
          <w:szCs w:val="24"/>
          <w:lang w:val="fr-CA"/>
        </w:rPr>
      </w:pPr>
      <w:r w:rsidRPr="00A82D21">
        <w:rPr>
          <w:szCs w:val="24"/>
          <w:lang w:val="fr-CA"/>
        </w:rPr>
        <w:t>- et -</w:t>
      </w:r>
    </w:p>
    <w:p w:rsidR="00A82D21" w:rsidRPr="00A82D21" w:rsidRDefault="00A82D21" w:rsidP="00CD3A81">
      <w:pPr>
        <w:pStyle w:val="SCCLsocParty"/>
        <w:jc w:val="center"/>
        <w:rPr>
          <w:szCs w:val="24"/>
          <w:lang w:val="fr-CA"/>
        </w:rPr>
      </w:pPr>
      <w:r w:rsidRPr="00A82D21">
        <w:rPr>
          <w:szCs w:val="24"/>
          <w:lang w:val="fr-CA"/>
        </w:rPr>
        <w:t>Procureur général de l’Ontario</w:t>
      </w:r>
    </w:p>
    <w:p w:rsidR="00A82D21" w:rsidRPr="00A82D21" w:rsidRDefault="00A82D21" w:rsidP="00CD3A81">
      <w:pPr>
        <w:jc w:val="center"/>
        <w:rPr>
          <w:szCs w:val="24"/>
          <w:lang w:val="fr-CA"/>
        </w:rPr>
      </w:pPr>
      <w:r w:rsidRPr="00A82D21">
        <w:rPr>
          <w:szCs w:val="24"/>
          <w:lang w:val="fr-CA"/>
        </w:rPr>
        <w:t>Intervenant</w:t>
      </w:r>
    </w:p>
    <w:p w:rsidR="00A82D21" w:rsidRPr="00A82D21" w:rsidRDefault="00A82D21" w:rsidP="00CD3A81">
      <w:pPr>
        <w:jc w:val="center"/>
        <w:rPr>
          <w:szCs w:val="24"/>
          <w:lang w:val="fr-CA"/>
        </w:rPr>
      </w:pPr>
    </w:p>
    <w:p w:rsidR="00A82D21" w:rsidRPr="00A82D21" w:rsidRDefault="00A82D21" w:rsidP="00A82D21">
      <w:pPr>
        <w:rPr>
          <w:b/>
          <w:smallCaps/>
          <w:szCs w:val="24"/>
          <w:lang w:val="fr-CA"/>
        </w:rPr>
      </w:pPr>
      <w:r w:rsidRPr="00A82D21">
        <w:rPr>
          <w:b/>
          <w:smallCaps/>
          <w:szCs w:val="24"/>
          <w:lang w:val="fr-CA"/>
        </w:rPr>
        <w:t>Traduction française officielle </w:t>
      </w:r>
      <w:proofErr w:type="gramStart"/>
      <w:r w:rsidRPr="00A82D21">
        <w:rPr>
          <w:b/>
          <w:smallCaps/>
          <w:szCs w:val="24"/>
          <w:lang w:val="fr-CA"/>
        </w:rPr>
        <w:t>:</w:t>
      </w:r>
      <w:r w:rsidRPr="00A82D21">
        <w:rPr>
          <w:smallCaps/>
          <w:szCs w:val="24"/>
          <w:lang w:val="fr-CA"/>
        </w:rPr>
        <w:t xml:space="preserve">  </w:t>
      </w:r>
      <w:r w:rsidRPr="00A82D21">
        <w:rPr>
          <w:szCs w:val="24"/>
          <w:lang w:val="fr-CA"/>
        </w:rPr>
        <w:t>Motifs</w:t>
      </w:r>
      <w:proofErr w:type="gramEnd"/>
      <w:r w:rsidRPr="00A82D21">
        <w:rPr>
          <w:szCs w:val="24"/>
          <w:lang w:val="fr-CA"/>
        </w:rPr>
        <w:t xml:space="preserve"> de la juge en chef McLachlin et motifs de la juge Abella.</w:t>
      </w:r>
    </w:p>
    <w:p w:rsidR="00A82D21" w:rsidRPr="00A82D21" w:rsidRDefault="00A82D21" w:rsidP="00A82D21">
      <w:pPr>
        <w:rPr>
          <w:b/>
          <w:smallCaps/>
          <w:szCs w:val="24"/>
          <w:lang w:val="fr-CA"/>
        </w:rPr>
      </w:pPr>
    </w:p>
    <w:p w:rsidR="00A82D21" w:rsidRPr="00A82D21" w:rsidRDefault="00A82D21" w:rsidP="00A82D21">
      <w:pPr>
        <w:rPr>
          <w:szCs w:val="24"/>
          <w:lang w:val="fr-CA"/>
        </w:rPr>
      </w:pPr>
      <w:r w:rsidRPr="00A82D21">
        <w:rPr>
          <w:b/>
          <w:smallCaps/>
          <w:szCs w:val="24"/>
          <w:lang w:val="fr-CA"/>
        </w:rPr>
        <w:t>Coram :</w:t>
      </w:r>
      <w:r w:rsidRPr="00A82D21">
        <w:rPr>
          <w:szCs w:val="24"/>
          <w:lang w:val="fr-CA"/>
        </w:rPr>
        <w:t xml:space="preserve"> La juge en chef McLachlin et les juges LeBel, Abella, Rothstein, Cromwell, Moldaver et Wagner</w:t>
      </w:r>
    </w:p>
    <w:p w:rsidR="00A82D21" w:rsidRPr="00A82D21" w:rsidRDefault="00A82D21" w:rsidP="00A82D21">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82D21" w:rsidRPr="00A82D21" w:rsidTr="00BA652B">
        <w:trPr>
          <w:cantSplit/>
        </w:trPr>
        <w:tc>
          <w:tcPr>
            <w:tcW w:w="3618" w:type="dxa"/>
          </w:tcPr>
          <w:p w:rsidR="00A82D21" w:rsidRPr="00A82D21" w:rsidRDefault="00A82D21" w:rsidP="00BA652B">
            <w:pPr>
              <w:rPr>
                <w:rFonts w:ascii="Times New Roman" w:hAnsi="Times New Roman" w:cs="Times New Roman"/>
                <w:b/>
                <w:smallCaps/>
                <w:szCs w:val="24"/>
                <w:lang w:val="fr-CA"/>
              </w:rPr>
            </w:pPr>
            <w:r w:rsidRPr="00A82D21">
              <w:rPr>
                <w:rFonts w:ascii="Times New Roman" w:hAnsi="Times New Roman" w:cs="Times New Roman"/>
                <w:b/>
                <w:smallCaps/>
                <w:szCs w:val="24"/>
                <w:lang w:val="fr-CA"/>
              </w:rPr>
              <w:t>Motifs de jugement conjoints :</w:t>
            </w:r>
          </w:p>
          <w:p w:rsidR="00A82D21" w:rsidRPr="00A82D21" w:rsidRDefault="00A82D21" w:rsidP="00BA652B">
            <w:pPr>
              <w:rPr>
                <w:rFonts w:ascii="Times New Roman" w:hAnsi="Times New Roman" w:cs="Times New Roman"/>
                <w:szCs w:val="24"/>
                <w:lang w:val="fr-CA"/>
              </w:rPr>
            </w:pPr>
            <w:r w:rsidRPr="00A82D21">
              <w:rPr>
                <w:rFonts w:ascii="Times New Roman" w:hAnsi="Times New Roman" w:cs="Times New Roman"/>
                <w:szCs w:val="24"/>
                <w:lang w:val="fr-CA"/>
              </w:rPr>
              <w:t>(par. 1 à 88)</w:t>
            </w:r>
          </w:p>
          <w:p w:rsidR="00A82D21" w:rsidRPr="00A82D21" w:rsidRDefault="00A82D21" w:rsidP="00BA652B">
            <w:pPr>
              <w:rPr>
                <w:rFonts w:ascii="Times New Roman" w:hAnsi="Times New Roman" w:cs="Times New Roman"/>
                <w:szCs w:val="24"/>
                <w:lang w:val="fr-CA"/>
              </w:rPr>
            </w:pPr>
          </w:p>
          <w:p w:rsidR="00A82D21" w:rsidRPr="00A82D21" w:rsidRDefault="00A82D21" w:rsidP="00BA652B">
            <w:pPr>
              <w:rPr>
                <w:rFonts w:ascii="Times New Roman" w:hAnsi="Times New Roman" w:cs="Times New Roman"/>
                <w:b/>
                <w:smallCaps/>
                <w:szCs w:val="24"/>
                <w:lang w:val="fr-CA"/>
              </w:rPr>
            </w:pPr>
            <w:r w:rsidRPr="00A82D21">
              <w:rPr>
                <w:rFonts w:ascii="Times New Roman" w:hAnsi="Times New Roman" w:cs="Times New Roman"/>
                <w:b/>
                <w:smallCaps/>
                <w:szCs w:val="24"/>
                <w:lang w:val="fr-CA"/>
              </w:rPr>
              <w:t>Motifs concordants :</w:t>
            </w:r>
          </w:p>
          <w:p w:rsidR="00A82D21" w:rsidRPr="00A82D21" w:rsidRDefault="00A82D21" w:rsidP="00BA652B">
            <w:pPr>
              <w:rPr>
                <w:rFonts w:ascii="Times New Roman" w:hAnsi="Times New Roman" w:cs="Times New Roman"/>
                <w:szCs w:val="24"/>
                <w:lang w:val="fr-CA"/>
              </w:rPr>
            </w:pPr>
            <w:r w:rsidRPr="00A82D21">
              <w:rPr>
                <w:rFonts w:ascii="Times New Roman" w:hAnsi="Times New Roman" w:cs="Times New Roman"/>
                <w:szCs w:val="24"/>
                <w:lang w:val="fr-CA"/>
              </w:rPr>
              <w:t>(par. 89 à 91)</w:t>
            </w:r>
          </w:p>
          <w:p w:rsidR="00A82D21" w:rsidRPr="00A82D21" w:rsidRDefault="00A82D21" w:rsidP="00BA652B">
            <w:pPr>
              <w:rPr>
                <w:rFonts w:ascii="Times New Roman" w:hAnsi="Times New Roman" w:cs="Times New Roman"/>
                <w:szCs w:val="24"/>
                <w:lang w:val="fr-CA"/>
              </w:rPr>
            </w:pPr>
          </w:p>
          <w:p w:rsidR="00A82D21" w:rsidRPr="00A82D21" w:rsidRDefault="00A82D21" w:rsidP="00BA652B">
            <w:pPr>
              <w:rPr>
                <w:rFonts w:ascii="Times New Roman" w:hAnsi="Times New Roman" w:cs="Times New Roman"/>
                <w:b/>
                <w:smallCaps/>
                <w:szCs w:val="24"/>
                <w:lang w:val="fr-CA"/>
              </w:rPr>
            </w:pPr>
            <w:r w:rsidRPr="00A82D21">
              <w:rPr>
                <w:rFonts w:ascii="Times New Roman" w:hAnsi="Times New Roman" w:cs="Times New Roman"/>
                <w:b/>
                <w:smallCaps/>
                <w:szCs w:val="24"/>
                <w:lang w:val="fr-CA"/>
              </w:rPr>
              <w:t>Motifs dissidents :</w:t>
            </w:r>
          </w:p>
          <w:p w:rsidR="00A82D21" w:rsidRPr="00A82D21" w:rsidRDefault="00A82D21" w:rsidP="00BA652B">
            <w:pPr>
              <w:rPr>
                <w:rFonts w:ascii="Times New Roman" w:hAnsi="Times New Roman" w:cs="Times New Roman"/>
                <w:szCs w:val="24"/>
              </w:rPr>
            </w:pPr>
            <w:r w:rsidRPr="00A82D21">
              <w:rPr>
                <w:rFonts w:ascii="Times New Roman" w:hAnsi="Times New Roman" w:cs="Times New Roman"/>
                <w:szCs w:val="24"/>
              </w:rPr>
              <w:t>(par. 92 à 107)</w:t>
            </w:r>
          </w:p>
        </w:tc>
        <w:tc>
          <w:tcPr>
            <w:tcW w:w="5958" w:type="dxa"/>
          </w:tcPr>
          <w:p w:rsidR="00A82D21" w:rsidRPr="00A82D21" w:rsidRDefault="00A82D21" w:rsidP="00BA652B">
            <w:pPr>
              <w:rPr>
                <w:rFonts w:ascii="Times New Roman" w:hAnsi="Times New Roman" w:cs="Times New Roman"/>
                <w:szCs w:val="24"/>
                <w:lang w:val="fr-CA"/>
              </w:rPr>
            </w:pPr>
            <w:r w:rsidRPr="00A82D21">
              <w:rPr>
                <w:rFonts w:ascii="Times New Roman" w:hAnsi="Times New Roman" w:cs="Times New Roman"/>
                <w:szCs w:val="24"/>
                <w:lang w:val="fr-CA"/>
              </w:rPr>
              <w:t>Les juges LeBel et Wagner (avec l’accord des juges Rothstein, Cromwell et Moldaver)</w:t>
            </w:r>
          </w:p>
          <w:p w:rsidR="00A82D21" w:rsidRPr="00A82D21" w:rsidRDefault="00A82D21" w:rsidP="00BA652B">
            <w:pPr>
              <w:rPr>
                <w:rFonts w:ascii="Times New Roman" w:hAnsi="Times New Roman" w:cs="Times New Roman"/>
                <w:szCs w:val="24"/>
                <w:lang w:val="fr-CA"/>
              </w:rPr>
            </w:pPr>
          </w:p>
          <w:p w:rsidR="00A82D21" w:rsidRPr="00A82D21" w:rsidRDefault="00A82D21" w:rsidP="00BA652B">
            <w:pPr>
              <w:rPr>
                <w:rFonts w:ascii="Times New Roman" w:hAnsi="Times New Roman" w:cs="Times New Roman"/>
                <w:szCs w:val="24"/>
                <w:lang w:val="fr-CA"/>
              </w:rPr>
            </w:pPr>
            <w:r w:rsidRPr="00A82D21">
              <w:rPr>
                <w:rFonts w:ascii="Times New Roman" w:hAnsi="Times New Roman" w:cs="Times New Roman"/>
                <w:szCs w:val="24"/>
                <w:lang w:val="fr-CA"/>
              </w:rPr>
              <w:t>La juge en chef McLachlin</w:t>
            </w:r>
          </w:p>
          <w:p w:rsidR="00A82D21" w:rsidRPr="00A82D21" w:rsidRDefault="00A82D21" w:rsidP="00BA652B">
            <w:pPr>
              <w:rPr>
                <w:rFonts w:ascii="Times New Roman" w:hAnsi="Times New Roman" w:cs="Times New Roman"/>
                <w:szCs w:val="24"/>
                <w:lang w:val="fr-CA"/>
              </w:rPr>
            </w:pPr>
          </w:p>
          <w:p w:rsidR="00A82D21" w:rsidRPr="00A82D21" w:rsidRDefault="00A82D21" w:rsidP="00BA652B">
            <w:pPr>
              <w:rPr>
                <w:rFonts w:ascii="Times New Roman" w:hAnsi="Times New Roman" w:cs="Times New Roman"/>
                <w:szCs w:val="24"/>
                <w:lang w:val="fr-CA"/>
              </w:rPr>
            </w:pPr>
          </w:p>
          <w:p w:rsidR="00A82D21" w:rsidRPr="00A82D21" w:rsidRDefault="00A82D21" w:rsidP="00BA652B">
            <w:pPr>
              <w:rPr>
                <w:rFonts w:ascii="Times New Roman" w:hAnsi="Times New Roman" w:cs="Times New Roman"/>
                <w:szCs w:val="24"/>
                <w:lang w:val="fr-CA"/>
              </w:rPr>
            </w:pPr>
            <w:r w:rsidRPr="00A82D21">
              <w:rPr>
                <w:rFonts w:ascii="Times New Roman" w:hAnsi="Times New Roman" w:cs="Times New Roman"/>
                <w:szCs w:val="24"/>
                <w:lang w:val="fr-CA"/>
              </w:rPr>
              <w:t>La juge Abella</w:t>
            </w:r>
          </w:p>
        </w:tc>
      </w:tr>
    </w:tbl>
    <w:p w:rsidR="00A82D21" w:rsidRPr="00A82D21" w:rsidRDefault="00A82D21" w:rsidP="00A82D21">
      <w:pPr>
        <w:rPr>
          <w:szCs w:val="24"/>
          <w:lang w:val="fr-CA"/>
        </w:rPr>
      </w:pPr>
    </w:p>
    <w:p w:rsidR="00A82D21" w:rsidRPr="00A82D21" w:rsidRDefault="00A82D21" w:rsidP="00A82D21">
      <w:pPr>
        <w:rPr>
          <w:szCs w:val="24"/>
          <w:lang w:val="fr-CA"/>
        </w:rPr>
      </w:pPr>
      <w:r w:rsidRPr="00A82D21">
        <w:rPr>
          <w:noProof/>
          <w:szCs w:val="24"/>
          <w:lang w:val="fr-CA"/>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A82D21" w:rsidRPr="00A82D21" w:rsidRDefault="00A82D21" w:rsidP="007962BB">
      <w:pPr>
        <w:widowControl w:val="0"/>
        <w:spacing w:after="720"/>
        <w:jc w:val="both"/>
        <w:rPr>
          <w:rStyle w:val="SCCAppellantForRunningHeadChar"/>
          <w:szCs w:val="24"/>
          <w:lang w:val="fr-CA"/>
        </w:rPr>
      </w:pPr>
    </w:p>
    <w:p w:rsidR="004D7D95" w:rsidRPr="00A82D21" w:rsidRDefault="003E64FD" w:rsidP="007962BB">
      <w:pPr>
        <w:widowControl w:val="0"/>
        <w:spacing w:after="720"/>
        <w:jc w:val="both"/>
        <w:rPr>
          <w:rStyle w:val="SCCRespondentForRunningHeadChar"/>
          <w:szCs w:val="24"/>
          <w:lang w:val="fr-CA"/>
        </w:rPr>
      </w:pPr>
      <w:r w:rsidRPr="00A82D21">
        <w:rPr>
          <w:rStyle w:val="SCCAppellantForRunningHeadChar"/>
          <w:szCs w:val="24"/>
          <w:lang w:val="fr-CA"/>
        </w:rPr>
        <w:t>p</w:t>
      </w:r>
      <w:r w:rsidR="004D7D95" w:rsidRPr="00A82D21">
        <w:rPr>
          <w:rStyle w:val="SCCAppellantForRunningHeadChar"/>
          <w:szCs w:val="24"/>
          <w:lang w:val="fr-CA"/>
        </w:rPr>
        <w:t xml:space="preserve">étrolière </w:t>
      </w:r>
      <w:r w:rsidRPr="00A82D21">
        <w:rPr>
          <w:rStyle w:val="SCCAppellantForRunningHeadChar"/>
          <w:szCs w:val="24"/>
          <w:lang w:val="fr-CA"/>
        </w:rPr>
        <w:t>i</w:t>
      </w:r>
      <w:r w:rsidR="004D7D95" w:rsidRPr="00A82D21">
        <w:rPr>
          <w:rStyle w:val="SCCAppellantForRunningHeadChar"/>
          <w:szCs w:val="24"/>
          <w:lang w:val="fr-CA"/>
        </w:rPr>
        <w:t>mpériale</w:t>
      </w:r>
      <w:r w:rsidR="004D7D95" w:rsidRPr="00A82D21">
        <w:rPr>
          <w:szCs w:val="24"/>
          <w:lang w:val="fr-CA"/>
        </w:rPr>
        <w:t xml:space="preserve"> </w:t>
      </w:r>
      <w:r w:rsidR="004D7D95" w:rsidRPr="00A82D21">
        <w:rPr>
          <w:i/>
          <w:szCs w:val="24"/>
          <w:lang w:val="fr-CA"/>
        </w:rPr>
        <w:t>c.</w:t>
      </w:r>
      <w:r w:rsidR="004D7D95" w:rsidRPr="00A82D21">
        <w:rPr>
          <w:szCs w:val="24"/>
          <w:lang w:val="fr-CA"/>
        </w:rPr>
        <w:t xml:space="preserve"> </w:t>
      </w:r>
      <w:r w:rsidRPr="00A82D21">
        <w:rPr>
          <w:rStyle w:val="SCCRespondentForRunningHeadChar"/>
          <w:szCs w:val="24"/>
          <w:lang w:val="fr-CA"/>
        </w:rPr>
        <w:t>j</w:t>
      </w:r>
      <w:r w:rsidR="004D7D95" w:rsidRPr="00A82D21">
        <w:rPr>
          <w:rStyle w:val="SCCRespondentForRunningHeadChar"/>
          <w:szCs w:val="24"/>
          <w:lang w:val="fr-CA"/>
        </w:rPr>
        <w:t>acques</w:t>
      </w:r>
      <w:r w:rsidR="002B1A6B" w:rsidRPr="00A82D21">
        <w:rPr>
          <w:rStyle w:val="SCCRespondentForRunningHeadChar"/>
          <w:szCs w:val="24"/>
          <w:lang w:val="fr-CA"/>
        </w:rPr>
        <w:t xml:space="preserve">, </w:t>
      </w:r>
      <w:r w:rsidR="002B1A6B" w:rsidRPr="00A82D21">
        <w:rPr>
          <w:szCs w:val="24"/>
          <w:lang w:val="fr-CA"/>
        </w:rPr>
        <w:t>2014 CSC 66, [2014] 3 R.C.S. 287</w:t>
      </w:r>
    </w:p>
    <w:p w:rsidR="00BD46F1" w:rsidRPr="00A82D21" w:rsidRDefault="005E7845" w:rsidP="007962BB">
      <w:pPr>
        <w:pStyle w:val="SCCLsocLastPartyInRole"/>
        <w:widowControl w:val="0"/>
        <w:rPr>
          <w:szCs w:val="24"/>
          <w:lang w:val="fr-CA"/>
        </w:rPr>
      </w:pPr>
      <w:r w:rsidRPr="00A82D21">
        <w:rPr>
          <w:szCs w:val="24"/>
          <w:lang w:val="fr-CA"/>
        </w:rPr>
        <w:t>Pétrolière Impériale</w:t>
      </w:r>
      <w:r w:rsidRPr="00A82D21">
        <w:rPr>
          <w:rStyle w:val="SCCLsocPartyRole"/>
          <w:szCs w:val="24"/>
          <w:lang w:val="fr-CA"/>
        </w:rPr>
        <w:tab/>
        <w:t>Appelante</w:t>
      </w:r>
    </w:p>
    <w:p w:rsidR="00BD46F1" w:rsidRPr="00A82D21" w:rsidRDefault="005E7845" w:rsidP="007962BB">
      <w:pPr>
        <w:pStyle w:val="SCCLsocVersus"/>
        <w:widowControl w:val="0"/>
        <w:rPr>
          <w:szCs w:val="24"/>
          <w:lang w:val="fr-CA"/>
        </w:rPr>
      </w:pPr>
      <w:proofErr w:type="gramStart"/>
      <w:r w:rsidRPr="00A82D21">
        <w:rPr>
          <w:szCs w:val="24"/>
          <w:lang w:val="fr-CA"/>
        </w:rPr>
        <w:t>c</w:t>
      </w:r>
      <w:proofErr w:type="gramEnd"/>
      <w:r w:rsidRPr="00A82D21">
        <w:rPr>
          <w:szCs w:val="24"/>
          <w:lang w:val="fr-CA"/>
        </w:rPr>
        <w:t>.</w:t>
      </w:r>
    </w:p>
    <w:p w:rsidR="003E64FD" w:rsidRPr="00A82D21" w:rsidRDefault="005E7845" w:rsidP="007962BB">
      <w:pPr>
        <w:pStyle w:val="SCCLsocParty"/>
        <w:widowControl w:val="0"/>
        <w:rPr>
          <w:szCs w:val="24"/>
          <w:lang w:val="fr-CA"/>
        </w:rPr>
      </w:pPr>
      <w:r w:rsidRPr="00A82D21">
        <w:rPr>
          <w:szCs w:val="24"/>
          <w:lang w:val="fr-CA"/>
        </w:rPr>
        <w:t>Simon Jacques,</w:t>
      </w:r>
      <w:r w:rsidR="003E64FD" w:rsidRPr="00A82D21">
        <w:rPr>
          <w:szCs w:val="24"/>
          <w:lang w:val="fr-CA"/>
        </w:rPr>
        <w:t xml:space="preserve"> </w:t>
      </w:r>
      <w:r w:rsidRPr="00A82D21">
        <w:rPr>
          <w:szCs w:val="24"/>
          <w:lang w:val="fr-CA"/>
        </w:rPr>
        <w:t xml:space="preserve">Marcel Lafontaine, Association </w:t>
      </w:r>
    </w:p>
    <w:p w:rsidR="003E64FD" w:rsidRPr="00A82D21" w:rsidRDefault="005E7845" w:rsidP="007962BB">
      <w:pPr>
        <w:pStyle w:val="SCCLsocParty"/>
        <w:widowControl w:val="0"/>
        <w:rPr>
          <w:szCs w:val="24"/>
          <w:lang w:val="fr-CA"/>
        </w:rPr>
      </w:pPr>
      <w:proofErr w:type="gramStart"/>
      <w:r w:rsidRPr="00A82D21">
        <w:rPr>
          <w:szCs w:val="24"/>
          <w:lang w:val="fr-CA"/>
        </w:rPr>
        <w:t>pour</w:t>
      </w:r>
      <w:proofErr w:type="gramEnd"/>
      <w:r w:rsidRPr="00A82D21">
        <w:rPr>
          <w:szCs w:val="24"/>
          <w:lang w:val="fr-CA"/>
        </w:rPr>
        <w:t xml:space="preserve"> la protection automobile,</w:t>
      </w:r>
      <w:r w:rsidR="003E64FD" w:rsidRPr="00A82D21">
        <w:rPr>
          <w:szCs w:val="24"/>
          <w:lang w:val="fr-CA"/>
        </w:rPr>
        <w:t xml:space="preserve"> p</w:t>
      </w:r>
      <w:r w:rsidRPr="00A82D21">
        <w:rPr>
          <w:szCs w:val="24"/>
          <w:lang w:val="fr-CA"/>
        </w:rPr>
        <w:t xml:space="preserve">rocureur général du </w:t>
      </w:r>
    </w:p>
    <w:p w:rsidR="00BD46F1" w:rsidRPr="00A82D21" w:rsidRDefault="005E7845" w:rsidP="007962BB">
      <w:pPr>
        <w:pStyle w:val="SCCLsocParty"/>
        <w:widowControl w:val="0"/>
        <w:spacing w:after="720"/>
        <w:rPr>
          <w:rStyle w:val="SCCLsocPartyRole"/>
          <w:szCs w:val="24"/>
          <w:lang w:val="fr-CA"/>
        </w:rPr>
      </w:pPr>
      <w:r w:rsidRPr="00A82D21">
        <w:rPr>
          <w:szCs w:val="24"/>
          <w:lang w:val="fr-CA"/>
        </w:rPr>
        <w:t>Québec</w:t>
      </w:r>
      <w:r w:rsidR="003E64FD" w:rsidRPr="00A82D21">
        <w:rPr>
          <w:szCs w:val="24"/>
          <w:lang w:val="fr-CA"/>
        </w:rPr>
        <w:t xml:space="preserve"> et d</w:t>
      </w:r>
      <w:r w:rsidRPr="00A82D21">
        <w:rPr>
          <w:szCs w:val="24"/>
          <w:lang w:val="fr-CA"/>
        </w:rPr>
        <w:t>irecteur des poursuites pénales du Canada</w:t>
      </w:r>
      <w:r w:rsidR="003E64FD" w:rsidRPr="00A82D21">
        <w:rPr>
          <w:rStyle w:val="SCCLsocPartyRole"/>
          <w:szCs w:val="24"/>
          <w:lang w:val="fr-CA"/>
        </w:rPr>
        <w:tab/>
        <w:t>Intimé</w:t>
      </w:r>
      <w:r w:rsidRPr="00A82D21">
        <w:rPr>
          <w:rStyle w:val="SCCLsocPartyRole"/>
          <w:szCs w:val="24"/>
          <w:lang w:val="fr-CA"/>
        </w:rPr>
        <w:t>s</w:t>
      </w:r>
    </w:p>
    <w:p w:rsidR="00BD46F1" w:rsidRPr="00A82D21" w:rsidRDefault="005E7845" w:rsidP="007962BB">
      <w:pPr>
        <w:pStyle w:val="SCCLsocOtherPartySeparator"/>
        <w:widowControl w:val="0"/>
        <w:rPr>
          <w:szCs w:val="24"/>
          <w:lang w:val="fr-CA"/>
        </w:rPr>
      </w:pPr>
      <w:proofErr w:type="gramStart"/>
      <w:r w:rsidRPr="00A82D21">
        <w:rPr>
          <w:szCs w:val="24"/>
          <w:lang w:val="fr-CA"/>
        </w:rPr>
        <w:t>et</w:t>
      </w:r>
      <w:proofErr w:type="gramEnd"/>
    </w:p>
    <w:p w:rsidR="00D758CD" w:rsidRPr="00A82D21" w:rsidRDefault="003E64FD" w:rsidP="007962BB">
      <w:pPr>
        <w:pStyle w:val="SCCLsocParty"/>
        <w:widowControl w:val="0"/>
        <w:rPr>
          <w:szCs w:val="24"/>
          <w:lang w:val="fr-CA"/>
        </w:rPr>
      </w:pPr>
      <w:r w:rsidRPr="00A82D21">
        <w:rPr>
          <w:szCs w:val="24"/>
          <w:lang w:val="fr-CA"/>
        </w:rPr>
        <w:t>Procureur général de l</w:t>
      </w:r>
      <w:r w:rsidR="00D70D07" w:rsidRPr="00A82D21">
        <w:rPr>
          <w:szCs w:val="24"/>
          <w:lang w:val="fr-CA"/>
        </w:rPr>
        <w:t>’</w:t>
      </w:r>
      <w:r w:rsidR="005E7845" w:rsidRPr="00A82D21">
        <w:rPr>
          <w:szCs w:val="24"/>
          <w:lang w:val="fr-CA"/>
        </w:rPr>
        <w:t>Ontario,</w:t>
      </w:r>
      <w:r w:rsidRPr="00A82D21">
        <w:rPr>
          <w:szCs w:val="24"/>
          <w:lang w:val="fr-CA"/>
        </w:rPr>
        <w:t xml:space="preserve"> </w:t>
      </w:r>
      <w:r w:rsidR="005E7845" w:rsidRPr="00A82D21">
        <w:rPr>
          <w:szCs w:val="24"/>
          <w:lang w:val="fr-CA"/>
        </w:rPr>
        <w:t>Couche</w:t>
      </w:r>
      <w:r w:rsidR="007962BB" w:rsidRPr="00A82D21">
        <w:rPr>
          <w:szCs w:val="24"/>
          <w:lang w:val="fr-CA"/>
        </w:rPr>
        <w:t>-</w:t>
      </w:r>
      <w:r w:rsidR="005E7845" w:rsidRPr="00A82D21">
        <w:rPr>
          <w:szCs w:val="24"/>
          <w:lang w:val="fr-CA"/>
        </w:rPr>
        <w:t>Tard inc.,</w:t>
      </w:r>
      <w:r w:rsidRPr="00A82D21">
        <w:rPr>
          <w:szCs w:val="24"/>
          <w:lang w:val="fr-CA"/>
        </w:rPr>
        <w:t xml:space="preserve"> </w:t>
      </w:r>
      <w:r w:rsidR="005E7845" w:rsidRPr="00A82D21">
        <w:rPr>
          <w:szCs w:val="24"/>
          <w:lang w:val="fr-CA"/>
        </w:rPr>
        <w:t xml:space="preserve">Alimentation </w:t>
      </w:r>
    </w:p>
    <w:p w:rsidR="00D758CD" w:rsidRPr="00A82D21" w:rsidRDefault="005E7845" w:rsidP="007962BB">
      <w:pPr>
        <w:pStyle w:val="SCCLsocParty"/>
        <w:widowControl w:val="0"/>
        <w:rPr>
          <w:szCs w:val="24"/>
          <w:lang w:val="fr-CA"/>
        </w:rPr>
      </w:pPr>
      <w:r w:rsidRPr="00A82D21">
        <w:rPr>
          <w:szCs w:val="24"/>
          <w:lang w:val="fr-CA"/>
        </w:rPr>
        <w:t>Couche</w:t>
      </w:r>
      <w:r w:rsidR="007962BB" w:rsidRPr="00A82D21">
        <w:rPr>
          <w:szCs w:val="24"/>
          <w:lang w:val="fr-CA"/>
        </w:rPr>
        <w:t>-</w:t>
      </w:r>
      <w:r w:rsidRPr="00A82D21">
        <w:rPr>
          <w:szCs w:val="24"/>
          <w:lang w:val="fr-CA"/>
        </w:rPr>
        <w:t>Tard inc., Dépan</w:t>
      </w:r>
      <w:r w:rsidR="007962BB" w:rsidRPr="00A82D21">
        <w:rPr>
          <w:szCs w:val="24"/>
          <w:lang w:val="fr-CA"/>
        </w:rPr>
        <w:t>-</w:t>
      </w:r>
      <w:r w:rsidRPr="00A82D21">
        <w:rPr>
          <w:szCs w:val="24"/>
          <w:lang w:val="fr-CA"/>
        </w:rPr>
        <w:t>Escompte Couche</w:t>
      </w:r>
      <w:r w:rsidR="007962BB" w:rsidRPr="00A82D21">
        <w:rPr>
          <w:szCs w:val="24"/>
          <w:lang w:val="fr-CA"/>
        </w:rPr>
        <w:t>-</w:t>
      </w:r>
      <w:r w:rsidRPr="00A82D21">
        <w:rPr>
          <w:szCs w:val="24"/>
          <w:lang w:val="fr-CA"/>
        </w:rPr>
        <w:t>Tard inc.,</w:t>
      </w:r>
      <w:r w:rsidR="003E64FD" w:rsidRPr="00A82D21">
        <w:rPr>
          <w:szCs w:val="24"/>
          <w:lang w:val="fr-CA"/>
        </w:rPr>
        <w:t xml:space="preserve"> </w:t>
      </w:r>
      <w:r w:rsidRPr="00A82D21">
        <w:rPr>
          <w:szCs w:val="24"/>
          <w:lang w:val="fr-CA"/>
        </w:rPr>
        <w:t xml:space="preserve">Céline </w:t>
      </w:r>
    </w:p>
    <w:p w:rsidR="00D758CD" w:rsidRPr="00A82D21" w:rsidRDefault="005E7845" w:rsidP="007962BB">
      <w:pPr>
        <w:pStyle w:val="SCCLsocParty"/>
        <w:widowControl w:val="0"/>
        <w:rPr>
          <w:szCs w:val="24"/>
          <w:lang w:val="fr-CA"/>
        </w:rPr>
      </w:pPr>
      <w:r w:rsidRPr="00A82D21">
        <w:rPr>
          <w:szCs w:val="24"/>
          <w:lang w:val="fr-CA"/>
        </w:rPr>
        <w:t>Bonin,</w:t>
      </w:r>
      <w:r w:rsidR="003E64FD" w:rsidRPr="00A82D21">
        <w:rPr>
          <w:szCs w:val="24"/>
          <w:lang w:val="fr-CA"/>
        </w:rPr>
        <w:t xml:space="preserve"> </w:t>
      </w:r>
      <w:r w:rsidRPr="00A82D21">
        <w:rPr>
          <w:szCs w:val="24"/>
          <w:lang w:val="fr-CA"/>
        </w:rPr>
        <w:t>Richard Bédard,</w:t>
      </w:r>
      <w:r w:rsidR="003E64FD" w:rsidRPr="00A82D21">
        <w:rPr>
          <w:szCs w:val="24"/>
          <w:lang w:val="fr-CA"/>
        </w:rPr>
        <w:t xml:space="preserve"> </w:t>
      </w:r>
      <w:r w:rsidRPr="00A82D21">
        <w:rPr>
          <w:szCs w:val="24"/>
          <w:lang w:val="fr-CA"/>
        </w:rPr>
        <w:t>Carole Aubut,</w:t>
      </w:r>
      <w:r w:rsidR="003E64FD" w:rsidRPr="00A82D21">
        <w:rPr>
          <w:szCs w:val="24"/>
          <w:lang w:val="fr-CA"/>
        </w:rPr>
        <w:t xml:space="preserve"> </w:t>
      </w:r>
      <w:r w:rsidRPr="00A82D21">
        <w:rPr>
          <w:szCs w:val="24"/>
          <w:lang w:val="fr-CA"/>
        </w:rPr>
        <w:t>Ultramar ltée,</w:t>
      </w:r>
      <w:r w:rsidR="003E64FD" w:rsidRPr="00A82D21">
        <w:rPr>
          <w:szCs w:val="24"/>
          <w:lang w:val="fr-CA"/>
        </w:rPr>
        <w:t xml:space="preserve"> </w:t>
      </w:r>
      <w:r w:rsidRPr="00A82D21">
        <w:rPr>
          <w:szCs w:val="24"/>
          <w:lang w:val="fr-CA"/>
        </w:rPr>
        <w:t>Luc Forget,</w:t>
      </w:r>
      <w:r w:rsidR="003E64FD" w:rsidRPr="00A82D21">
        <w:rPr>
          <w:szCs w:val="24"/>
          <w:lang w:val="fr-CA"/>
        </w:rPr>
        <w:t xml:space="preserve"> </w:t>
      </w:r>
    </w:p>
    <w:p w:rsidR="00D758CD" w:rsidRPr="00A82D21" w:rsidRDefault="005E7845" w:rsidP="007962BB">
      <w:pPr>
        <w:pStyle w:val="SCCLsocParty"/>
        <w:widowControl w:val="0"/>
        <w:rPr>
          <w:szCs w:val="24"/>
          <w:lang w:val="fr-CA"/>
        </w:rPr>
      </w:pPr>
      <w:r w:rsidRPr="00A82D21">
        <w:rPr>
          <w:szCs w:val="24"/>
          <w:lang w:val="fr-CA"/>
        </w:rPr>
        <w:t>Jacques Ouellet,</w:t>
      </w:r>
      <w:r w:rsidR="003E64FD" w:rsidRPr="00A82D21">
        <w:rPr>
          <w:szCs w:val="24"/>
          <w:lang w:val="fr-CA"/>
        </w:rPr>
        <w:t xml:space="preserve"> </w:t>
      </w:r>
      <w:r w:rsidRPr="00A82D21">
        <w:rPr>
          <w:szCs w:val="24"/>
          <w:lang w:val="fr-CA"/>
        </w:rPr>
        <w:t xml:space="preserve">Pétroles Therrien inc., Distributions Pétrolières </w:t>
      </w:r>
    </w:p>
    <w:p w:rsidR="00BD46F1" w:rsidRPr="00A82D21" w:rsidRDefault="005E7845" w:rsidP="007962BB">
      <w:pPr>
        <w:pStyle w:val="SCCLsocParty"/>
        <w:widowControl w:val="0"/>
        <w:rPr>
          <w:szCs w:val="24"/>
          <w:lang w:val="fr-CA"/>
        </w:rPr>
      </w:pPr>
      <w:r w:rsidRPr="00A82D21">
        <w:rPr>
          <w:szCs w:val="24"/>
          <w:lang w:val="fr-CA"/>
        </w:rPr>
        <w:t>Therrien inc.,</w:t>
      </w:r>
      <w:r w:rsidR="003E64FD" w:rsidRPr="00A82D21">
        <w:rPr>
          <w:szCs w:val="24"/>
          <w:lang w:val="fr-CA"/>
        </w:rPr>
        <w:t xml:space="preserve"> </w:t>
      </w:r>
      <w:r w:rsidR="00F618C1" w:rsidRPr="00A82D21">
        <w:rPr>
          <w:szCs w:val="24"/>
          <w:lang w:val="fr-CA"/>
        </w:rPr>
        <w:t>Pétroles Irving inc</w:t>
      </w:r>
      <w:proofErr w:type="gramStart"/>
      <w:r w:rsidR="000501C5" w:rsidRPr="00A82D21">
        <w:rPr>
          <w:szCs w:val="24"/>
          <w:lang w:val="fr-CA"/>
        </w:rPr>
        <w:t>.</w:t>
      </w:r>
      <w:r w:rsidRPr="00A82D21">
        <w:rPr>
          <w:szCs w:val="24"/>
          <w:lang w:val="fr-CA"/>
        </w:rPr>
        <w:t>/</w:t>
      </w:r>
      <w:proofErr w:type="gramEnd"/>
      <w:r w:rsidR="00557086" w:rsidRPr="00A82D21">
        <w:rPr>
          <w:szCs w:val="24"/>
          <w:lang w:val="fr-CA"/>
        </w:rPr>
        <w:t xml:space="preserve">Opérations pétroles </w:t>
      </w:r>
      <w:r w:rsidR="008E3A82" w:rsidRPr="00A82D21">
        <w:rPr>
          <w:szCs w:val="24"/>
          <w:lang w:val="fr-CA"/>
        </w:rPr>
        <w:t xml:space="preserve">Irving </w:t>
      </w:r>
      <w:r w:rsidR="00557086" w:rsidRPr="00A82D21">
        <w:rPr>
          <w:szCs w:val="24"/>
          <w:lang w:val="fr-CA"/>
        </w:rPr>
        <w:t>ltée</w:t>
      </w:r>
      <w:r w:rsidRPr="00A82D21">
        <w:rPr>
          <w:szCs w:val="24"/>
          <w:lang w:val="fr-CA"/>
        </w:rPr>
        <w:t>,</w:t>
      </w:r>
      <w:r w:rsidR="000501C5" w:rsidRPr="00A82D21">
        <w:rPr>
          <w:szCs w:val="24"/>
          <w:lang w:val="fr-CA"/>
        </w:rPr>
        <w:t xml:space="preserve"> </w:t>
      </w:r>
    </w:p>
    <w:p w:rsidR="00D758CD" w:rsidRPr="00A82D21" w:rsidRDefault="005E7845" w:rsidP="007962BB">
      <w:pPr>
        <w:pStyle w:val="SCCLsocParty"/>
        <w:widowControl w:val="0"/>
        <w:rPr>
          <w:szCs w:val="24"/>
          <w:lang w:val="fr-CA"/>
        </w:rPr>
      </w:pPr>
      <w:r w:rsidRPr="00A82D21">
        <w:rPr>
          <w:szCs w:val="24"/>
          <w:lang w:val="fr-CA"/>
        </w:rPr>
        <w:t>Groupe Pétrolier Olco inc.,</w:t>
      </w:r>
      <w:r w:rsidR="000501C5" w:rsidRPr="00A82D21">
        <w:rPr>
          <w:szCs w:val="24"/>
          <w:lang w:val="fr-CA"/>
        </w:rPr>
        <w:t xml:space="preserve"> </w:t>
      </w:r>
      <w:r w:rsidRPr="00A82D21">
        <w:rPr>
          <w:szCs w:val="24"/>
          <w:lang w:val="fr-CA"/>
        </w:rPr>
        <w:t xml:space="preserve">Coop fédérée, Robert Murphy, Gary </w:t>
      </w:r>
    </w:p>
    <w:p w:rsidR="00D758CD" w:rsidRPr="00A82D21" w:rsidRDefault="005E7845" w:rsidP="007962BB">
      <w:pPr>
        <w:pStyle w:val="SCCLsocParty"/>
        <w:widowControl w:val="0"/>
        <w:rPr>
          <w:szCs w:val="24"/>
          <w:lang w:val="fr-CA"/>
        </w:rPr>
      </w:pPr>
      <w:r w:rsidRPr="00A82D21">
        <w:rPr>
          <w:szCs w:val="24"/>
          <w:lang w:val="fr-CA"/>
        </w:rPr>
        <w:t>Neiderer,</w:t>
      </w:r>
      <w:r w:rsidR="000501C5" w:rsidRPr="00A82D21">
        <w:rPr>
          <w:szCs w:val="24"/>
          <w:lang w:val="fr-CA"/>
        </w:rPr>
        <w:t xml:space="preserve"> </w:t>
      </w:r>
      <w:r w:rsidRPr="00A82D21">
        <w:rPr>
          <w:szCs w:val="24"/>
          <w:lang w:val="fr-CA"/>
        </w:rPr>
        <w:t>9142</w:t>
      </w:r>
      <w:r w:rsidR="007962BB" w:rsidRPr="00A82D21">
        <w:rPr>
          <w:szCs w:val="24"/>
          <w:lang w:val="fr-CA"/>
        </w:rPr>
        <w:t>-</w:t>
      </w:r>
      <w:r w:rsidRPr="00A82D21">
        <w:rPr>
          <w:szCs w:val="24"/>
          <w:lang w:val="fr-CA"/>
        </w:rPr>
        <w:t>0935 Québec inc., 9131</w:t>
      </w:r>
      <w:r w:rsidR="007962BB" w:rsidRPr="00A82D21">
        <w:rPr>
          <w:szCs w:val="24"/>
          <w:lang w:val="fr-CA"/>
        </w:rPr>
        <w:t>-</w:t>
      </w:r>
      <w:r w:rsidRPr="00A82D21">
        <w:rPr>
          <w:szCs w:val="24"/>
          <w:lang w:val="fr-CA"/>
        </w:rPr>
        <w:t>4716 Québec inc.,</w:t>
      </w:r>
      <w:r w:rsidR="00D758CD" w:rsidRPr="00A82D21">
        <w:rPr>
          <w:szCs w:val="24"/>
          <w:lang w:val="fr-CA"/>
        </w:rPr>
        <w:t xml:space="preserve"> </w:t>
      </w:r>
      <w:r w:rsidRPr="00A82D21">
        <w:rPr>
          <w:szCs w:val="24"/>
          <w:lang w:val="fr-CA"/>
        </w:rPr>
        <w:t xml:space="preserve">Groupe </w:t>
      </w:r>
    </w:p>
    <w:p w:rsidR="00D758CD" w:rsidRPr="00A82D21" w:rsidRDefault="005E7845" w:rsidP="007962BB">
      <w:pPr>
        <w:pStyle w:val="SCCLsocParty"/>
        <w:widowControl w:val="0"/>
        <w:rPr>
          <w:szCs w:val="24"/>
          <w:lang w:val="fr-CA"/>
        </w:rPr>
      </w:pPr>
      <w:r w:rsidRPr="00A82D21">
        <w:rPr>
          <w:szCs w:val="24"/>
          <w:lang w:val="fr-CA"/>
        </w:rPr>
        <w:t>Denis Mongeau inc.,</w:t>
      </w:r>
      <w:r w:rsidR="000501C5" w:rsidRPr="00A82D21">
        <w:rPr>
          <w:szCs w:val="24"/>
          <w:lang w:val="fr-CA"/>
        </w:rPr>
        <w:t xml:space="preserve"> </w:t>
      </w:r>
      <w:r w:rsidRPr="00A82D21">
        <w:rPr>
          <w:szCs w:val="24"/>
          <w:lang w:val="fr-CA"/>
        </w:rPr>
        <w:t>France Benoît,</w:t>
      </w:r>
      <w:r w:rsidR="000501C5" w:rsidRPr="00A82D21">
        <w:rPr>
          <w:szCs w:val="24"/>
          <w:lang w:val="fr-CA"/>
        </w:rPr>
        <w:t xml:space="preserve"> </w:t>
      </w:r>
      <w:r w:rsidRPr="00A82D21">
        <w:rPr>
          <w:szCs w:val="24"/>
          <w:lang w:val="fr-CA"/>
        </w:rPr>
        <w:t>Richard Michaud,</w:t>
      </w:r>
      <w:r w:rsidR="000501C5" w:rsidRPr="00A82D21">
        <w:rPr>
          <w:szCs w:val="24"/>
          <w:lang w:val="fr-CA"/>
        </w:rPr>
        <w:t xml:space="preserve"> </w:t>
      </w:r>
      <w:r w:rsidRPr="00A82D21">
        <w:rPr>
          <w:szCs w:val="24"/>
          <w:lang w:val="fr-CA"/>
        </w:rPr>
        <w:t xml:space="preserve">Luc </w:t>
      </w:r>
    </w:p>
    <w:p w:rsidR="00D758CD" w:rsidRPr="00A82D21" w:rsidRDefault="005E7845" w:rsidP="007962BB">
      <w:pPr>
        <w:pStyle w:val="SCCLsocParty"/>
        <w:widowControl w:val="0"/>
        <w:rPr>
          <w:szCs w:val="24"/>
          <w:lang w:val="fr-CA"/>
        </w:rPr>
      </w:pPr>
      <w:r w:rsidRPr="00A82D21">
        <w:rPr>
          <w:szCs w:val="24"/>
          <w:lang w:val="fr-CA"/>
        </w:rPr>
        <w:t>Couturier,</w:t>
      </w:r>
      <w:r w:rsidR="000501C5" w:rsidRPr="00A82D21">
        <w:rPr>
          <w:szCs w:val="24"/>
          <w:lang w:val="fr-CA"/>
        </w:rPr>
        <w:t xml:space="preserve"> </w:t>
      </w:r>
      <w:r w:rsidRPr="00A82D21">
        <w:rPr>
          <w:szCs w:val="24"/>
          <w:lang w:val="fr-CA"/>
        </w:rPr>
        <w:t>Guy Angers,</w:t>
      </w:r>
      <w:r w:rsidR="000501C5" w:rsidRPr="00A82D21">
        <w:rPr>
          <w:szCs w:val="24"/>
          <w:lang w:val="fr-CA"/>
        </w:rPr>
        <w:t xml:space="preserve"> </w:t>
      </w:r>
      <w:r w:rsidRPr="00A82D21">
        <w:rPr>
          <w:szCs w:val="24"/>
          <w:lang w:val="fr-CA"/>
        </w:rPr>
        <w:t>Philippe Gosselin &amp; Associés ltée,</w:t>
      </w:r>
      <w:r w:rsidR="000501C5" w:rsidRPr="00A82D21">
        <w:rPr>
          <w:szCs w:val="24"/>
          <w:lang w:val="fr-CA"/>
        </w:rPr>
        <w:t xml:space="preserve"> </w:t>
      </w:r>
      <w:r w:rsidRPr="00A82D21">
        <w:rPr>
          <w:szCs w:val="24"/>
          <w:lang w:val="fr-CA"/>
        </w:rPr>
        <w:t xml:space="preserve">André </w:t>
      </w:r>
    </w:p>
    <w:p w:rsidR="00D758CD" w:rsidRPr="00A82D21" w:rsidRDefault="005E7845" w:rsidP="007962BB">
      <w:pPr>
        <w:pStyle w:val="SCCLsocParty"/>
        <w:widowControl w:val="0"/>
        <w:rPr>
          <w:szCs w:val="24"/>
          <w:lang w:val="fr-CA"/>
        </w:rPr>
      </w:pPr>
      <w:r w:rsidRPr="00A82D21">
        <w:rPr>
          <w:szCs w:val="24"/>
          <w:lang w:val="fr-CA"/>
        </w:rPr>
        <w:t>Bilodeau, Carol Lehoux, Claude Bédard, Stéphane Grant,</w:t>
      </w:r>
      <w:r w:rsidR="000501C5" w:rsidRPr="00A82D21">
        <w:rPr>
          <w:szCs w:val="24"/>
          <w:lang w:val="fr-CA"/>
        </w:rPr>
        <w:t xml:space="preserve"> </w:t>
      </w:r>
      <w:r w:rsidRPr="00A82D21">
        <w:rPr>
          <w:szCs w:val="24"/>
          <w:lang w:val="fr-CA"/>
        </w:rPr>
        <w:t xml:space="preserve">Pétroles </w:t>
      </w:r>
    </w:p>
    <w:p w:rsidR="00D758CD" w:rsidRPr="00A82D21" w:rsidRDefault="00840512" w:rsidP="007962BB">
      <w:pPr>
        <w:pStyle w:val="SCCLsocParty"/>
        <w:widowControl w:val="0"/>
        <w:rPr>
          <w:szCs w:val="24"/>
          <w:lang w:val="fr-CA"/>
        </w:rPr>
      </w:pPr>
      <w:r w:rsidRPr="00A82D21">
        <w:rPr>
          <w:szCs w:val="24"/>
          <w:lang w:val="fr-CA"/>
        </w:rPr>
        <w:t>Cadrin i</w:t>
      </w:r>
      <w:r w:rsidR="005E7845" w:rsidRPr="00A82D21">
        <w:rPr>
          <w:szCs w:val="24"/>
          <w:lang w:val="fr-CA"/>
        </w:rPr>
        <w:t>nc., Daniel Drouin,</w:t>
      </w:r>
      <w:r w:rsidR="000501C5" w:rsidRPr="00A82D21">
        <w:rPr>
          <w:szCs w:val="24"/>
          <w:lang w:val="fr-CA"/>
        </w:rPr>
        <w:t xml:space="preserve"> </w:t>
      </w:r>
      <w:r w:rsidR="005E7845" w:rsidRPr="00A82D21">
        <w:rPr>
          <w:szCs w:val="24"/>
          <w:lang w:val="fr-CA"/>
        </w:rPr>
        <w:t xml:space="preserve">Pétroles </w:t>
      </w:r>
      <w:r w:rsidR="000501C5" w:rsidRPr="00A82D21">
        <w:rPr>
          <w:szCs w:val="24"/>
          <w:lang w:val="fr-CA"/>
        </w:rPr>
        <w:t>Global inc</w:t>
      </w:r>
      <w:proofErr w:type="gramStart"/>
      <w:r w:rsidR="000501C5" w:rsidRPr="00A82D21">
        <w:rPr>
          <w:szCs w:val="24"/>
          <w:lang w:val="fr-CA"/>
        </w:rPr>
        <w:t>.</w:t>
      </w:r>
      <w:r w:rsidR="004F3FFB" w:rsidRPr="00A82D21">
        <w:rPr>
          <w:szCs w:val="24"/>
          <w:lang w:val="fr-CA"/>
        </w:rPr>
        <w:t>/</w:t>
      </w:r>
      <w:proofErr w:type="gramEnd"/>
      <w:r w:rsidR="004F3FFB" w:rsidRPr="00A82D21">
        <w:rPr>
          <w:szCs w:val="24"/>
          <w:lang w:val="fr-CA"/>
        </w:rPr>
        <w:t>Global Fuels I</w:t>
      </w:r>
      <w:r w:rsidR="005E7845" w:rsidRPr="00A82D21">
        <w:rPr>
          <w:szCs w:val="24"/>
          <w:lang w:val="fr-CA"/>
        </w:rPr>
        <w:t>nc.,</w:t>
      </w:r>
      <w:r w:rsidR="000501C5" w:rsidRPr="00A82D21">
        <w:rPr>
          <w:szCs w:val="24"/>
          <w:lang w:val="fr-CA"/>
        </w:rPr>
        <w:t xml:space="preserve"> </w:t>
      </w:r>
    </w:p>
    <w:p w:rsidR="00D758CD" w:rsidRPr="00A82D21" w:rsidRDefault="000501C5" w:rsidP="007962BB">
      <w:pPr>
        <w:pStyle w:val="SCCLsocParty"/>
        <w:widowControl w:val="0"/>
        <w:rPr>
          <w:szCs w:val="24"/>
          <w:lang w:val="fr-CA"/>
        </w:rPr>
      </w:pPr>
      <w:r w:rsidRPr="00A82D21">
        <w:rPr>
          <w:szCs w:val="24"/>
          <w:lang w:val="fr-CA"/>
        </w:rPr>
        <w:t>Pétroles Global (Québec) inc</w:t>
      </w:r>
      <w:proofErr w:type="gramStart"/>
      <w:r w:rsidRPr="00A82D21">
        <w:rPr>
          <w:szCs w:val="24"/>
          <w:lang w:val="fr-CA"/>
        </w:rPr>
        <w:t>.</w:t>
      </w:r>
      <w:r w:rsidR="00D758CD" w:rsidRPr="00A82D21">
        <w:rPr>
          <w:szCs w:val="24"/>
          <w:lang w:val="fr-CA"/>
        </w:rPr>
        <w:t>/</w:t>
      </w:r>
      <w:proofErr w:type="gramEnd"/>
      <w:r w:rsidR="005E7845" w:rsidRPr="00A82D21">
        <w:rPr>
          <w:szCs w:val="24"/>
          <w:lang w:val="fr-CA"/>
        </w:rPr>
        <w:t xml:space="preserve">Global Fuels (Quebec) </w:t>
      </w:r>
      <w:r w:rsidR="00B85333" w:rsidRPr="00A82D21">
        <w:rPr>
          <w:szCs w:val="24"/>
          <w:lang w:val="fr-CA"/>
        </w:rPr>
        <w:t>I</w:t>
      </w:r>
      <w:r w:rsidR="005E7845" w:rsidRPr="00A82D21">
        <w:rPr>
          <w:szCs w:val="24"/>
          <w:lang w:val="fr-CA"/>
        </w:rPr>
        <w:t>nc.,</w:t>
      </w:r>
      <w:r w:rsidRPr="00A82D21">
        <w:rPr>
          <w:szCs w:val="24"/>
          <w:lang w:val="fr-CA"/>
        </w:rPr>
        <w:t xml:space="preserve"> </w:t>
      </w:r>
      <w:r w:rsidR="005E7845" w:rsidRPr="00A82D21">
        <w:rPr>
          <w:szCs w:val="24"/>
          <w:lang w:val="fr-CA"/>
        </w:rPr>
        <w:t xml:space="preserve">Provigo </w:t>
      </w:r>
    </w:p>
    <w:p w:rsidR="00D758CD" w:rsidRPr="00A82D21" w:rsidRDefault="005E7845" w:rsidP="007962BB">
      <w:pPr>
        <w:pStyle w:val="SCCLsocParty"/>
        <w:widowControl w:val="0"/>
        <w:rPr>
          <w:szCs w:val="24"/>
          <w:lang w:val="fr-CA"/>
        </w:rPr>
      </w:pPr>
      <w:r w:rsidRPr="00A82D21">
        <w:rPr>
          <w:szCs w:val="24"/>
          <w:lang w:val="fr-CA"/>
        </w:rPr>
        <w:t>Distribution inc.,</w:t>
      </w:r>
      <w:r w:rsidR="000501C5" w:rsidRPr="00A82D21">
        <w:rPr>
          <w:szCs w:val="24"/>
          <w:lang w:val="fr-CA"/>
        </w:rPr>
        <w:t xml:space="preserve"> </w:t>
      </w:r>
      <w:r w:rsidRPr="00A82D21">
        <w:rPr>
          <w:szCs w:val="24"/>
          <w:lang w:val="fr-CA"/>
        </w:rPr>
        <w:t>Christian Payette,</w:t>
      </w:r>
      <w:r w:rsidR="000501C5" w:rsidRPr="00A82D21">
        <w:rPr>
          <w:szCs w:val="24"/>
          <w:lang w:val="fr-CA"/>
        </w:rPr>
        <w:t xml:space="preserve"> </w:t>
      </w:r>
      <w:r w:rsidRPr="00A82D21">
        <w:rPr>
          <w:szCs w:val="24"/>
          <w:lang w:val="fr-CA"/>
        </w:rPr>
        <w:t>Pierre Bourassa,</w:t>
      </w:r>
      <w:r w:rsidR="000501C5" w:rsidRPr="00A82D21">
        <w:rPr>
          <w:szCs w:val="24"/>
          <w:lang w:val="fr-CA"/>
        </w:rPr>
        <w:t xml:space="preserve"> </w:t>
      </w:r>
      <w:r w:rsidRPr="00A82D21">
        <w:rPr>
          <w:szCs w:val="24"/>
          <w:lang w:val="fr-CA"/>
        </w:rPr>
        <w:t xml:space="preserve">Daniel </w:t>
      </w:r>
    </w:p>
    <w:p w:rsidR="00D758CD" w:rsidRPr="00A82D21" w:rsidRDefault="005E7845" w:rsidP="007962BB">
      <w:pPr>
        <w:pStyle w:val="SCCLsocParty"/>
        <w:widowControl w:val="0"/>
        <w:rPr>
          <w:szCs w:val="24"/>
          <w:lang w:val="fr-CA"/>
        </w:rPr>
      </w:pPr>
      <w:r w:rsidRPr="00A82D21">
        <w:rPr>
          <w:szCs w:val="24"/>
          <w:lang w:val="fr-CA"/>
        </w:rPr>
        <w:t>Leblond,</w:t>
      </w:r>
      <w:r w:rsidR="000501C5" w:rsidRPr="00A82D21">
        <w:rPr>
          <w:szCs w:val="24"/>
          <w:lang w:val="fr-CA"/>
        </w:rPr>
        <w:t xml:space="preserve"> </w:t>
      </w:r>
      <w:r w:rsidRPr="00A82D21">
        <w:rPr>
          <w:szCs w:val="24"/>
          <w:lang w:val="fr-CA"/>
        </w:rPr>
        <w:t>Dépanneur Magog</w:t>
      </w:r>
      <w:r w:rsidR="007962BB" w:rsidRPr="00A82D21">
        <w:rPr>
          <w:szCs w:val="24"/>
          <w:lang w:val="fr-CA"/>
        </w:rPr>
        <w:t>-</w:t>
      </w:r>
      <w:r w:rsidRPr="00A82D21">
        <w:rPr>
          <w:szCs w:val="24"/>
          <w:lang w:val="fr-CA"/>
        </w:rPr>
        <w:t>Orford inc</w:t>
      </w:r>
      <w:r w:rsidR="004F3FFB" w:rsidRPr="00A82D21">
        <w:rPr>
          <w:szCs w:val="24"/>
          <w:lang w:val="fr-CA"/>
        </w:rPr>
        <w:t>.</w:t>
      </w:r>
      <w:r w:rsidRPr="00A82D21">
        <w:rPr>
          <w:szCs w:val="24"/>
          <w:lang w:val="fr-CA"/>
        </w:rPr>
        <w:t>,</w:t>
      </w:r>
      <w:r w:rsidR="000501C5" w:rsidRPr="00A82D21">
        <w:rPr>
          <w:szCs w:val="24"/>
          <w:lang w:val="fr-CA"/>
        </w:rPr>
        <w:t xml:space="preserve"> </w:t>
      </w:r>
      <w:r w:rsidRPr="00A82D21">
        <w:rPr>
          <w:szCs w:val="24"/>
          <w:lang w:val="fr-CA"/>
        </w:rPr>
        <w:t>2944</w:t>
      </w:r>
      <w:r w:rsidR="007962BB" w:rsidRPr="00A82D21">
        <w:rPr>
          <w:szCs w:val="24"/>
          <w:lang w:val="fr-CA"/>
        </w:rPr>
        <w:t>-</w:t>
      </w:r>
      <w:r w:rsidRPr="00A82D21">
        <w:rPr>
          <w:szCs w:val="24"/>
          <w:lang w:val="fr-CA"/>
        </w:rPr>
        <w:t>4841 Québec inc.,</w:t>
      </w:r>
      <w:r w:rsidR="000501C5" w:rsidRPr="00A82D21">
        <w:rPr>
          <w:szCs w:val="24"/>
          <w:lang w:val="fr-CA"/>
        </w:rPr>
        <w:t xml:space="preserve"> </w:t>
      </w:r>
    </w:p>
    <w:p w:rsidR="00D758CD" w:rsidRPr="00A82D21" w:rsidRDefault="005E7845" w:rsidP="007962BB">
      <w:pPr>
        <w:pStyle w:val="SCCLsocParty"/>
        <w:widowControl w:val="0"/>
        <w:rPr>
          <w:szCs w:val="24"/>
          <w:lang w:val="fr-CA"/>
        </w:rPr>
      </w:pPr>
      <w:r w:rsidRPr="00A82D21">
        <w:rPr>
          <w:szCs w:val="24"/>
          <w:lang w:val="fr-CA"/>
        </w:rPr>
        <w:t>Société coopérative agricole des Bois</w:t>
      </w:r>
      <w:r w:rsidR="007962BB" w:rsidRPr="00A82D21">
        <w:rPr>
          <w:szCs w:val="24"/>
          <w:lang w:val="fr-CA"/>
        </w:rPr>
        <w:t>-</w:t>
      </w:r>
      <w:r w:rsidRPr="00A82D21">
        <w:rPr>
          <w:szCs w:val="24"/>
          <w:lang w:val="fr-CA"/>
        </w:rPr>
        <w:t>Francs,</w:t>
      </w:r>
      <w:r w:rsidR="000501C5" w:rsidRPr="00A82D21">
        <w:rPr>
          <w:szCs w:val="24"/>
          <w:lang w:val="fr-CA"/>
        </w:rPr>
        <w:t xml:space="preserve"> </w:t>
      </w:r>
      <w:r w:rsidRPr="00A82D21">
        <w:rPr>
          <w:szCs w:val="24"/>
          <w:lang w:val="fr-CA"/>
        </w:rPr>
        <w:t>Gestion Astral inc</w:t>
      </w:r>
      <w:proofErr w:type="gramStart"/>
      <w:r w:rsidRPr="00A82D21">
        <w:rPr>
          <w:szCs w:val="24"/>
          <w:lang w:val="fr-CA"/>
        </w:rPr>
        <w:t>.,</w:t>
      </w:r>
      <w:proofErr w:type="gramEnd"/>
      <w:r w:rsidRPr="00A82D21">
        <w:rPr>
          <w:szCs w:val="24"/>
          <w:lang w:val="fr-CA"/>
        </w:rPr>
        <w:t xml:space="preserve"> </w:t>
      </w:r>
    </w:p>
    <w:p w:rsidR="000501C5" w:rsidRPr="00A82D21" w:rsidRDefault="005E7845" w:rsidP="007962BB">
      <w:pPr>
        <w:pStyle w:val="SCCLsocParty"/>
        <w:widowControl w:val="0"/>
        <w:rPr>
          <w:szCs w:val="24"/>
          <w:lang w:val="fr-CA"/>
        </w:rPr>
      </w:pPr>
      <w:r w:rsidRPr="00A82D21">
        <w:rPr>
          <w:szCs w:val="24"/>
          <w:lang w:val="fr-CA"/>
        </w:rPr>
        <w:t>Lise Delisle,</w:t>
      </w:r>
      <w:r w:rsidR="000501C5" w:rsidRPr="00A82D21">
        <w:rPr>
          <w:szCs w:val="24"/>
          <w:lang w:val="fr-CA"/>
        </w:rPr>
        <w:t xml:space="preserve"> </w:t>
      </w:r>
      <w:r w:rsidRPr="00A82D21">
        <w:rPr>
          <w:szCs w:val="24"/>
          <w:lang w:val="fr-CA"/>
        </w:rPr>
        <w:t>134553 Canada inc.,</w:t>
      </w:r>
      <w:r w:rsidR="000501C5" w:rsidRPr="00A82D21">
        <w:rPr>
          <w:szCs w:val="24"/>
          <w:lang w:val="fr-CA"/>
        </w:rPr>
        <w:t xml:space="preserve"> </w:t>
      </w:r>
      <w:r w:rsidRPr="00A82D21">
        <w:rPr>
          <w:szCs w:val="24"/>
          <w:lang w:val="fr-CA"/>
        </w:rPr>
        <w:t xml:space="preserve">Garage Luc Fecteau et fils inc., </w:t>
      </w:r>
    </w:p>
    <w:p w:rsidR="00DC3C6A" w:rsidRPr="00A82D21" w:rsidRDefault="005E7845" w:rsidP="007962BB">
      <w:pPr>
        <w:pStyle w:val="SCCLsocParty"/>
        <w:widowControl w:val="0"/>
        <w:rPr>
          <w:szCs w:val="24"/>
          <w:lang w:val="fr-CA"/>
        </w:rPr>
      </w:pPr>
      <w:r w:rsidRPr="00A82D21">
        <w:rPr>
          <w:szCs w:val="24"/>
          <w:lang w:val="fr-CA"/>
        </w:rPr>
        <w:t>Station</w:t>
      </w:r>
      <w:r w:rsidR="007962BB" w:rsidRPr="00A82D21">
        <w:rPr>
          <w:szCs w:val="24"/>
          <w:lang w:val="fr-CA"/>
        </w:rPr>
        <w:t>-</w:t>
      </w:r>
      <w:r w:rsidRPr="00A82D21">
        <w:rPr>
          <w:szCs w:val="24"/>
          <w:lang w:val="fr-CA"/>
        </w:rPr>
        <w:t>Service Jacques Blais inc., 9029</w:t>
      </w:r>
      <w:r w:rsidR="007962BB" w:rsidRPr="00A82D21">
        <w:rPr>
          <w:szCs w:val="24"/>
          <w:lang w:val="fr-CA"/>
        </w:rPr>
        <w:t>-</w:t>
      </w:r>
      <w:r w:rsidRPr="00A82D21">
        <w:rPr>
          <w:szCs w:val="24"/>
          <w:lang w:val="fr-CA"/>
        </w:rPr>
        <w:t xml:space="preserve">6815 Québec inc., Garage </w:t>
      </w:r>
    </w:p>
    <w:p w:rsidR="00DC3C6A" w:rsidRPr="00A82D21" w:rsidRDefault="005E7845" w:rsidP="007962BB">
      <w:pPr>
        <w:pStyle w:val="SCCLsocParty"/>
        <w:widowControl w:val="0"/>
        <w:rPr>
          <w:szCs w:val="24"/>
          <w:lang w:val="fr-CA"/>
        </w:rPr>
      </w:pPr>
      <w:r w:rsidRPr="00A82D21">
        <w:rPr>
          <w:szCs w:val="24"/>
          <w:lang w:val="fr-CA"/>
        </w:rPr>
        <w:t>Jacques Robert inc.,</w:t>
      </w:r>
      <w:r w:rsidR="000501C5" w:rsidRPr="00A82D21">
        <w:rPr>
          <w:szCs w:val="24"/>
          <w:lang w:val="fr-CA"/>
        </w:rPr>
        <w:t xml:space="preserve"> </w:t>
      </w:r>
      <w:r w:rsidRPr="00A82D21">
        <w:rPr>
          <w:szCs w:val="24"/>
          <w:lang w:val="fr-CA"/>
        </w:rPr>
        <w:t xml:space="preserve">Gérald Groulx Station Service inc., Services </w:t>
      </w:r>
    </w:p>
    <w:p w:rsidR="00DC3C6A" w:rsidRPr="00A82D21" w:rsidRDefault="005E7845" w:rsidP="007962BB">
      <w:pPr>
        <w:pStyle w:val="SCCLsocParty"/>
        <w:widowControl w:val="0"/>
        <w:rPr>
          <w:szCs w:val="24"/>
          <w:lang w:val="fr-CA"/>
        </w:rPr>
      </w:pPr>
      <w:r w:rsidRPr="00A82D21">
        <w:rPr>
          <w:szCs w:val="24"/>
          <w:lang w:val="fr-CA"/>
        </w:rPr>
        <w:t>Autogarde D.D. inc., 9010</w:t>
      </w:r>
      <w:r w:rsidR="007962BB" w:rsidRPr="00A82D21">
        <w:rPr>
          <w:szCs w:val="24"/>
          <w:lang w:val="fr-CA"/>
        </w:rPr>
        <w:t>-</w:t>
      </w:r>
      <w:r w:rsidRPr="00A82D21">
        <w:rPr>
          <w:szCs w:val="24"/>
          <w:lang w:val="fr-CA"/>
        </w:rPr>
        <w:t>1460 Québec inc.,</w:t>
      </w:r>
      <w:r w:rsidR="005A3609" w:rsidRPr="00A82D21">
        <w:rPr>
          <w:szCs w:val="24"/>
          <w:lang w:val="fr-CA"/>
        </w:rPr>
        <w:t xml:space="preserve"> </w:t>
      </w:r>
      <w:r w:rsidRPr="00A82D21">
        <w:rPr>
          <w:szCs w:val="24"/>
          <w:lang w:val="fr-CA"/>
        </w:rPr>
        <w:t xml:space="preserve">Armand Pouliot, </w:t>
      </w:r>
    </w:p>
    <w:p w:rsidR="00DC3C6A" w:rsidRPr="00A82D21" w:rsidRDefault="005E7845" w:rsidP="007962BB">
      <w:pPr>
        <w:pStyle w:val="SCCLsocParty"/>
        <w:widowControl w:val="0"/>
        <w:rPr>
          <w:szCs w:val="24"/>
          <w:lang w:val="fr-CA"/>
        </w:rPr>
      </w:pPr>
      <w:r w:rsidRPr="00A82D21">
        <w:rPr>
          <w:szCs w:val="24"/>
          <w:lang w:val="fr-CA"/>
        </w:rPr>
        <w:t>Julie Roberge, Station</w:t>
      </w:r>
      <w:r w:rsidR="007962BB" w:rsidRPr="00A82D21">
        <w:rPr>
          <w:szCs w:val="24"/>
          <w:lang w:val="fr-CA"/>
        </w:rPr>
        <w:t>-</w:t>
      </w:r>
      <w:r w:rsidRPr="00A82D21">
        <w:rPr>
          <w:szCs w:val="24"/>
          <w:lang w:val="fr-CA"/>
        </w:rPr>
        <w:t>Service Pouliot et Roberge s.e.n.c.,</w:t>
      </w:r>
      <w:r w:rsidR="005A3609" w:rsidRPr="00A82D21">
        <w:rPr>
          <w:szCs w:val="24"/>
          <w:lang w:val="fr-CA"/>
        </w:rPr>
        <w:t xml:space="preserve"> </w:t>
      </w:r>
      <w:r w:rsidRPr="00A82D21">
        <w:rPr>
          <w:szCs w:val="24"/>
          <w:lang w:val="fr-CA"/>
        </w:rPr>
        <w:t>9038</w:t>
      </w:r>
      <w:r w:rsidR="007962BB" w:rsidRPr="00A82D21">
        <w:rPr>
          <w:szCs w:val="24"/>
          <w:lang w:val="fr-CA"/>
        </w:rPr>
        <w:t>-</w:t>
      </w:r>
      <w:r w:rsidRPr="00A82D21">
        <w:rPr>
          <w:szCs w:val="24"/>
          <w:lang w:val="fr-CA"/>
        </w:rPr>
        <w:t xml:space="preserve">6095 </w:t>
      </w:r>
    </w:p>
    <w:p w:rsidR="00DC3C6A" w:rsidRPr="00A82D21" w:rsidRDefault="005E7845" w:rsidP="007962BB">
      <w:pPr>
        <w:pStyle w:val="SCCLsocParty"/>
        <w:widowControl w:val="0"/>
        <w:rPr>
          <w:szCs w:val="24"/>
          <w:lang w:val="fr-CA"/>
        </w:rPr>
      </w:pPr>
      <w:r w:rsidRPr="00A82D21">
        <w:rPr>
          <w:szCs w:val="24"/>
          <w:lang w:val="fr-CA"/>
        </w:rPr>
        <w:t>Québec inc.,</w:t>
      </w:r>
      <w:r w:rsidR="005A3609" w:rsidRPr="00A82D21">
        <w:rPr>
          <w:szCs w:val="24"/>
          <w:lang w:val="fr-CA"/>
        </w:rPr>
        <w:t xml:space="preserve"> </w:t>
      </w:r>
      <w:r w:rsidRPr="00A82D21">
        <w:rPr>
          <w:szCs w:val="24"/>
          <w:lang w:val="fr-CA"/>
        </w:rPr>
        <w:t>9083</w:t>
      </w:r>
      <w:r w:rsidR="007962BB" w:rsidRPr="00A82D21">
        <w:rPr>
          <w:szCs w:val="24"/>
          <w:lang w:val="fr-CA"/>
        </w:rPr>
        <w:t>-</w:t>
      </w:r>
      <w:r w:rsidRPr="00A82D21">
        <w:rPr>
          <w:szCs w:val="24"/>
          <w:lang w:val="fr-CA"/>
        </w:rPr>
        <w:t>0670 Québec inc., Gestion Ghislain Lallier inc.,</w:t>
      </w:r>
      <w:r w:rsidR="005A3609" w:rsidRPr="00A82D21">
        <w:rPr>
          <w:szCs w:val="24"/>
          <w:lang w:val="fr-CA"/>
        </w:rPr>
        <w:t xml:space="preserve"> </w:t>
      </w:r>
    </w:p>
    <w:p w:rsidR="00DC3C6A" w:rsidRPr="00A82D21" w:rsidRDefault="005E7845" w:rsidP="007962BB">
      <w:pPr>
        <w:pStyle w:val="SCCLsocParty"/>
        <w:widowControl w:val="0"/>
        <w:rPr>
          <w:szCs w:val="24"/>
          <w:lang w:val="fr-CA"/>
        </w:rPr>
      </w:pPr>
      <w:r w:rsidRPr="00A82D21">
        <w:rPr>
          <w:szCs w:val="24"/>
          <w:lang w:val="fr-CA"/>
        </w:rPr>
        <w:t>2429</w:t>
      </w:r>
      <w:r w:rsidR="007962BB" w:rsidRPr="00A82D21">
        <w:rPr>
          <w:szCs w:val="24"/>
          <w:lang w:val="fr-CA"/>
        </w:rPr>
        <w:t>-</w:t>
      </w:r>
      <w:r w:rsidRPr="00A82D21">
        <w:rPr>
          <w:szCs w:val="24"/>
          <w:lang w:val="fr-CA"/>
        </w:rPr>
        <w:t>7822 Québec inc.,</w:t>
      </w:r>
      <w:r w:rsidR="005A3609" w:rsidRPr="00A82D21">
        <w:rPr>
          <w:szCs w:val="24"/>
          <w:lang w:val="fr-CA"/>
        </w:rPr>
        <w:t xml:space="preserve"> </w:t>
      </w:r>
      <w:r w:rsidRPr="00A82D21">
        <w:rPr>
          <w:szCs w:val="24"/>
          <w:lang w:val="fr-CA"/>
        </w:rPr>
        <w:t>2627</w:t>
      </w:r>
      <w:r w:rsidR="007962BB" w:rsidRPr="00A82D21">
        <w:rPr>
          <w:szCs w:val="24"/>
          <w:lang w:val="fr-CA"/>
        </w:rPr>
        <w:t>-</w:t>
      </w:r>
      <w:r w:rsidRPr="00A82D21">
        <w:rPr>
          <w:szCs w:val="24"/>
          <w:lang w:val="fr-CA"/>
        </w:rPr>
        <w:t>3458 Québec inc.,</w:t>
      </w:r>
      <w:r w:rsidR="005A3609" w:rsidRPr="00A82D21">
        <w:rPr>
          <w:szCs w:val="24"/>
          <w:lang w:val="fr-CA"/>
        </w:rPr>
        <w:t xml:space="preserve"> </w:t>
      </w:r>
      <w:r w:rsidRPr="00A82D21">
        <w:rPr>
          <w:szCs w:val="24"/>
          <w:lang w:val="fr-CA"/>
        </w:rPr>
        <w:t>9098</w:t>
      </w:r>
      <w:r w:rsidR="007962BB" w:rsidRPr="00A82D21">
        <w:rPr>
          <w:szCs w:val="24"/>
          <w:lang w:val="fr-CA"/>
        </w:rPr>
        <w:t>-</w:t>
      </w:r>
      <w:r w:rsidRPr="00A82D21">
        <w:rPr>
          <w:szCs w:val="24"/>
          <w:lang w:val="fr-CA"/>
        </w:rPr>
        <w:t xml:space="preserve">0111 Québec </w:t>
      </w:r>
    </w:p>
    <w:p w:rsidR="00DC3C6A" w:rsidRPr="00A82D21" w:rsidRDefault="005E7845" w:rsidP="007962BB">
      <w:pPr>
        <w:pStyle w:val="SCCLsocParty"/>
        <w:widowControl w:val="0"/>
        <w:rPr>
          <w:szCs w:val="24"/>
          <w:lang w:val="fr-CA"/>
        </w:rPr>
      </w:pPr>
      <w:r w:rsidRPr="00A82D21">
        <w:rPr>
          <w:szCs w:val="24"/>
          <w:lang w:val="fr-CA"/>
        </w:rPr>
        <w:t>inc.,</w:t>
      </w:r>
      <w:r w:rsidR="005A3609" w:rsidRPr="00A82D21">
        <w:rPr>
          <w:szCs w:val="24"/>
          <w:lang w:val="fr-CA"/>
        </w:rPr>
        <w:t xml:space="preserve"> </w:t>
      </w:r>
      <w:r w:rsidRPr="00A82D21">
        <w:rPr>
          <w:szCs w:val="24"/>
          <w:lang w:val="fr-CA"/>
        </w:rPr>
        <w:t>2311</w:t>
      </w:r>
      <w:r w:rsidR="007962BB" w:rsidRPr="00A82D21">
        <w:rPr>
          <w:szCs w:val="24"/>
          <w:lang w:val="fr-CA"/>
        </w:rPr>
        <w:t>-</w:t>
      </w:r>
      <w:r w:rsidRPr="00A82D21">
        <w:rPr>
          <w:szCs w:val="24"/>
          <w:lang w:val="fr-CA"/>
        </w:rPr>
        <w:t>5959 Québec inc., Gaz</w:t>
      </w:r>
      <w:r w:rsidR="007962BB" w:rsidRPr="00A82D21">
        <w:rPr>
          <w:szCs w:val="24"/>
          <w:lang w:val="fr-CA"/>
        </w:rPr>
        <w:t>-</w:t>
      </w:r>
      <w:r w:rsidRPr="00A82D21">
        <w:rPr>
          <w:szCs w:val="24"/>
          <w:lang w:val="fr-CA"/>
        </w:rPr>
        <w:t>O</w:t>
      </w:r>
      <w:r w:rsidR="007962BB" w:rsidRPr="00A82D21">
        <w:rPr>
          <w:szCs w:val="24"/>
          <w:lang w:val="fr-CA"/>
        </w:rPr>
        <w:t>-</w:t>
      </w:r>
      <w:r w:rsidRPr="00A82D21">
        <w:rPr>
          <w:szCs w:val="24"/>
          <w:lang w:val="fr-CA"/>
        </w:rPr>
        <w:t>Pneus inc.,</w:t>
      </w:r>
      <w:r w:rsidR="005A3609" w:rsidRPr="00A82D21">
        <w:rPr>
          <w:szCs w:val="24"/>
          <w:lang w:val="fr-CA"/>
        </w:rPr>
        <w:t xml:space="preserve"> </w:t>
      </w:r>
      <w:r w:rsidRPr="00A82D21">
        <w:rPr>
          <w:szCs w:val="24"/>
          <w:lang w:val="fr-CA"/>
        </w:rPr>
        <w:t xml:space="preserve">C. Lagrandeur et </w:t>
      </w:r>
    </w:p>
    <w:p w:rsidR="00DC3C6A" w:rsidRPr="00A82D21" w:rsidRDefault="005E7845" w:rsidP="007962BB">
      <w:pPr>
        <w:pStyle w:val="SCCLsocParty"/>
        <w:widowControl w:val="0"/>
        <w:rPr>
          <w:szCs w:val="24"/>
          <w:lang w:val="fr-CA"/>
        </w:rPr>
      </w:pPr>
      <w:proofErr w:type="gramStart"/>
      <w:r w:rsidRPr="00A82D21">
        <w:rPr>
          <w:szCs w:val="24"/>
          <w:lang w:val="fr-CA"/>
        </w:rPr>
        <w:lastRenderedPageBreak/>
        <w:t>fils</w:t>
      </w:r>
      <w:proofErr w:type="gramEnd"/>
      <w:r w:rsidRPr="00A82D21">
        <w:rPr>
          <w:szCs w:val="24"/>
          <w:lang w:val="fr-CA"/>
        </w:rPr>
        <w:t xml:space="preserve"> inc.,</w:t>
      </w:r>
      <w:r w:rsidR="005A3609" w:rsidRPr="00A82D21">
        <w:rPr>
          <w:szCs w:val="24"/>
          <w:lang w:val="fr-CA"/>
        </w:rPr>
        <w:t xml:space="preserve"> </w:t>
      </w:r>
      <w:r w:rsidRPr="00A82D21">
        <w:rPr>
          <w:szCs w:val="24"/>
          <w:lang w:val="fr-CA"/>
        </w:rPr>
        <w:t>Universy Galt Service inc.,</w:t>
      </w:r>
      <w:r w:rsidR="005A3609" w:rsidRPr="00A82D21">
        <w:rPr>
          <w:szCs w:val="24"/>
          <w:lang w:val="fr-CA"/>
        </w:rPr>
        <w:t xml:space="preserve"> </w:t>
      </w:r>
      <w:r w:rsidRPr="00A82D21">
        <w:rPr>
          <w:szCs w:val="24"/>
          <w:lang w:val="fr-CA"/>
        </w:rPr>
        <w:t xml:space="preserve">Valérie Houde, Sylvie Fréchette, </w:t>
      </w:r>
    </w:p>
    <w:p w:rsidR="00DC3C6A" w:rsidRPr="00A82D21" w:rsidRDefault="005E7845" w:rsidP="007962BB">
      <w:pPr>
        <w:pStyle w:val="SCCLsocParty"/>
        <w:widowControl w:val="0"/>
        <w:rPr>
          <w:szCs w:val="24"/>
          <w:lang w:val="fr-CA"/>
        </w:rPr>
      </w:pPr>
      <w:r w:rsidRPr="00A82D21">
        <w:rPr>
          <w:szCs w:val="24"/>
          <w:lang w:val="fr-CA"/>
        </w:rPr>
        <w:t>Robert Beaurivage,</w:t>
      </w:r>
      <w:r w:rsidR="005A3609" w:rsidRPr="00A82D21">
        <w:rPr>
          <w:szCs w:val="24"/>
          <w:lang w:val="fr-CA"/>
        </w:rPr>
        <w:t xml:space="preserve"> </w:t>
      </w:r>
      <w:r w:rsidRPr="00A82D21">
        <w:rPr>
          <w:szCs w:val="24"/>
          <w:lang w:val="fr-CA"/>
        </w:rPr>
        <w:t>9011</w:t>
      </w:r>
      <w:r w:rsidR="007962BB" w:rsidRPr="00A82D21">
        <w:rPr>
          <w:szCs w:val="24"/>
          <w:lang w:val="fr-CA"/>
        </w:rPr>
        <w:t>-</w:t>
      </w:r>
      <w:r w:rsidRPr="00A82D21">
        <w:rPr>
          <w:szCs w:val="24"/>
          <w:lang w:val="fr-CA"/>
        </w:rPr>
        <w:t xml:space="preserve">4653 Québec inc., Pétroles Remay inc., </w:t>
      </w:r>
    </w:p>
    <w:p w:rsidR="00BD46F1" w:rsidRPr="00A82D21" w:rsidRDefault="005E7845" w:rsidP="007962BB">
      <w:pPr>
        <w:pStyle w:val="SCCLsocParty"/>
        <w:widowControl w:val="0"/>
        <w:spacing w:after="720"/>
        <w:rPr>
          <w:szCs w:val="24"/>
          <w:lang w:val="fr-CA"/>
        </w:rPr>
      </w:pPr>
      <w:r w:rsidRPr="00A82D21">
        <w:rPr>
          <w:szCs w:val="24"/>
          <w:lang w:val="fr-CA"/>
        </w:rPr>
        <w:t>Variétés Jean</w:t>
      </w:r>
      <w:r w:rsidR="007962BB" w:rsidRPr="00A82D21">
        <w:rPr>
          <w:szCs w:val="24"/>
          <w:lang w:val="fr-CA"/>
        </w:rPr>
        <w:t>-</w:t>
      </w:r>
      <w:r w:rsidRPr="00A82D21">
        <w:rPr>
          <w:szCs w:val="24"/>
          <w:lang w:val="fr-CA"/>
        </w:rPr>
        <w:t>Yves Plourde inc.</w:t>
      </w:r>
      <w:r w:rsidR="00CA4F35" w:rsidRPr="00A82D21">
        <w:rPr>
          <w:szCs w:val="24"/>
          <w:lang w:val="fr-CA"/>
        </w:rPr>
        <w:t xml:space="preserve"> et</w:t>
      </w:r>
      <w:r w:rsidRPr="00A82D21">
        <w:rPr>
          <w:szCs w:val="24"/>
          <w:lang w:val="fr-CA"/>
        </w:rPr>
        <w:t xml:space="preserve"> 9016</w:t>
      </w:r>
      <w:r w:rsidR="007962BB" w:rsidRPr="00A82D21">
        <w:rPr>
          <w:szCs w:val="24"/>
          <w:lang w:val="fr-CA"/>
        </w:rPr>
        <w:t>-</w:t>
      </w:r>
      <w:r w:rsidRPr="00A82D21">
        <w:rPr>
          <w:szCs w:val="24"/>
          <w:lang w:val="fr-CA"/>
        </w:rPr>
        <w:t>8360 Québec inc.</w:t>
      </w:r>
      <w:r w:rsidR="00D758CD" w:rsidRPr="00A82D21">
        <w:rPr>
          <w:rStyle w:val="SCCLsocPartyRole"/>
          <w:szCs w:val="24"/>
          <w:lang w:val="fr-CA"/>
        </w:rPr>
        <w:tab/>
        <w:t>Intervenant</w:t>
      </w:r>
      <w:r w:rsidRPr="00A82D21">
        <w:rPr>
          <w:rStyle w:val="SCCLsocPartyRole"/>
          <w:szCs w:val="24"/>
          <w:lang w:val="fr-CA"/>
        </w:rPr>
        <w:t>s</w:t>
      </w:r>
    </w:p>
    <w:p w:rsidR="004D7D95" w:rsidRPr="00A82D21" w:rsidRDefault="007962BB" w:rsidP="007962BB">
      <w:pPr>
        <w:widowControl w:val="0"/>
        <w:spacing w:after="720"/>
        <w:jc w:val="both"/>
        <w:rPr>
          <w:szCs w:val="24"/>
          <w:lang w:val="fr-CA"/>
        </w:rPr>
      </w:pPr>
      <w:r w:rsidRPr="00A82D21">
        <w:rPr>
          <w:szCs w:val="24"/>
          <w:lang w:val="fr-CA"/>
        </w:rPr>
        <w:t>-</w:t>
      </w:r>
      <w:r w:rsidR="004D2D28" w:rsidRPr="00A82D21">
        <w:rPr>
          <w:szCs w:val="24"/>
          <w:lang w:val="fr-CA"/>
        </w:rPr>
        <w:t xml:space="preserve"> et </w:t>
      </w:r>
      <w:r w:rsidRPr="00A82D21">
        <w:rPr>
          <w:szCs w:val="24"/>
          <w:lang w:val="fr-CA"/>
        </w:rPr>
        <w:t>-</w:t>
      </w:r>
    </w:p>
    <w:p w:rsidR="00ED116A" w:rsidRPr="00A82D21" w:rsidRDefault="004D2D28" w:rsidP="007962BB">
      <w:pPr>
        <w:pStyle w:val="SCCLsocParty"/>
        <w:widowControl w:val="0"/>
        <w:rPr>
          <w:szCs w:val="24"/>
          <w:lang w:val="fr-CA"/>
        </w:rPr>
      </w:pPr>
      <w:r w:rsidRPr="00A82D21">
        <w:rPr>
          <w:szCs w:val="24"/>
          <w:lang w:val="fr-CA"/>
        </w:rPr>
        <w:t>Couche</w:t>
      </w:r>
      <w:r w:rsidR="007962BB" w:rsidRPr="00A82D21">
        <w:rPr>
          <w:szCs w:val="24"/>
          <w:lang w:val="fr-CA"/>
        </w:rPr>
        <w:t>-</w:t>
      </w:r>
      <w:r w:rsidRPr="00A82D21">
        <w:rPr>
          <w:szCs w:val="24"/>
          <w:lang w:val="fr-CA"/>
        </w:rPr>
        <w:t>Tard inc., Alimentation Couche</w:t>
      </w:r>
      <w:r w:rsidR="007962BB" w:rsidRPr="00A82D21">
        <w:rPr>
          <w:szCs w:val="24"/>
          <w:lang w:val="fr-CA"/>
        </w:rPr>
        <w:t>-</w:t>
      </w:r>
      <w:r w:rsidRPr="00A82D21">
        <w:rPr>
          <w:szCs w:val="24"/>
          <w:lang w:val="fr-CA"/>
        </w:rPr>
        <w:t>Tard inc., Dépan</w:t>
      </w:r>
      <w:r w:rsidR="007962BB" w:rsidRPr="00A82D21">
        <w:rPr>
          <w:szCs w:val="24"/>
          <w:lang w:val="fr-CA"/>
        </w:rPr>
        <w:t>-</w:t>
      </w:r>
      <w:r w:rsidRPr="00A82D21">
        <w:rPr>
          <w:szCs w:val="24"/>
          <w:lang w:val="fr-CA"/>
        </w:rPr>
        <w:t xml:space="preserve">Escompte </w:t>
      </w:r>
    </w:p>
    <w:p w:rsidR="00ED116A" w:rsidRPr="00A82D21" w:rsidRDefault="004D2D28" w:rsidP="007962BB">
      <w:pPr>
        <w:pStyle w:val="SCCLsocParty"/>
        <w:widowControl w:val="0"/>
        <w:rPr>
          <w:szCs w:val="24"/>
          <w:lang w:val="fr-CA"/>
        </w:rPr>
      </w:pPr>
      <w:r w:rsidRPr="00A82D21">
        <w:rPr>
          <w:szCs w:val="24"/>
          <w:lang w:val="fr-CA"/>
        </w:rPr>
        <w:t>Couche</w:t>
      </w:r>
      <w:r w:rsidR="007962BB" w:rsidRPr="00A82D21">
        <w:rPr>
          <w:szCs w:val="24"/>
          <w:lang w:val="fr-CA"/>
        </w:rPr>
        <w:t>-</w:t>
      </w:r>
      <w:r w:rsidRPr="00A82D21">
        <w:rPr>
          <w:szCs w:val="24"/>
          <w:lang w:val="fr-CA"/>
        </w:rPr>
        <w:t xml:space="preserve">Tard inc., Céline Bonin, Richard Bédard, Ultramar ltée, </w:t>
      </w:r>
    </w:p>
    <w:p w:rsidR="00ED116A" w:rsidRPr="00A82D21" w:rsidRDefault="004D2D28" w:rsidP="007962BB">
      <w:pPr>
        <w:pStyle w:val="SCCLsocParty"/>
        <w:widowControl w:val="0"/>
        <w:rPr>
          <w:szCs w:val="24"/>
          <w:lang w:val="fr-CA"/>
        </w:rPr>
      </w:pPr>
      <w:r w:rsidRPr="00A82D21">
        <w:rPr>
          <w:szCs w:val="24"/>
          <w:lang w:val="fr-CA"/>
        </w:rPr>
        <w:t>Pétroles Therrien inc., Distributions Pétrolières Therrien inc</w:t>
      </w:r>
      <w:proofErr w:type="gramStart"/>
      <w:r w:rsidR="00BF31AC" w:rsidRPr="00A82D21">
        <w:rPr>
          <w:szCs w:val="24"/>
          <w:lang w:val="fr-CA"/>
        </w:rPr>
        <w:t>.</w:t>
      </w:r>
      <w:r w:rsidRPr="00A82D21">
        <w:rPr>
          <w:szCs w:val="24"/>
          <w:lang w:val="fr-CA"/>
        </w:rPr>
        <w:t>,</w:t>
      </w:r>
      <w:proofErr w:type="gramEnd"/>
      <w:r w:rsidRPr="00A82D21">
        <w:rPr>
          <w:szCs w:val="24"/>
          <w:lang w:val="fr-CA"/>
        </w:rPr>
        <w:t xml:space="preserve"> </w:t>
      </w:r>
    </w:p>
    <w:p w:rsidR="00ED116A" w:rsidRPr="00A82D21" w:rsidRDefault="00557086" w:rsidP="007962BB">
      <w:pPr>
        <w:pStyle w:val="SCCLsocParty"/>
        <w:widowControl w:val="0"/>
        <w:rPr>
          <w:szCs w:val="24"/>
          <w:lang w:val="fr-CA"/>
        </w:rPr>
      </w:pPr>
      <w:r w:rsidRPr="00A82D21">
        <w:rPr>
          <w:szCs w:val="24"/>
          <w:lang w:val="fr-CA"/>
        </w:rPr>
        <w:t>Opérations pétroles Irving ltée</w:t>
      </w:r>
      <w:r w:rsidR="004D2D28" w:rsidRPr="00A82D21">
        <w:rPr>
          <w:szCs w:val="24"/>
          <w:lang w:val="fr-CA"/>
        </w:rPr>
        <w:t xml:space="preserve">, Groupe Pétrolier Olco inc., Coop </w:t>
      </w:r>
    </w:p>
    <w:p w:rsidR="00ED116A" w:rsidRPr="00A82D21" w:rsidRDefault="004D2D28" w:rsidP="007962BB">
      <w:pPr>
        <w:pStyle w:val="SCCLsocParty"/>
        <w:widowControl w:val="0"/>
        <w:rPr>
          <w:szCs w:val="24"/>
          <w:lang w:val="fr-CA"/>
        </w:rPr>
      </w:pPr>
      <w:r w:rsidRPr="00A82D21">
        <w:rPr>
          <w:szCs w:val="24"/>
          <w:lang w:val="fr-CA"/>
        </w:rPr>
        <w:t>fédérée, Robert Murphy, Gary Neiderer, 9142</w:t>
      </w:r>
      <w:r w:rsidR="007962BB" w:rsidRPr="00A82D21">
        <w:rPr>
          <w:szCs w:val="24"/>
          <w:lang w:val="fr-CA"/>
        </w:rPr>
        <w:t>-</w:t>
      </w:r>
      <w:r w:rsidRPr="00A82D21">
        <w:rPr>
          <w:szCs w:val="24"/>
          <w:lang w:val="fr-CA"/>
        </w:rPr>
        <w:t>0935 Québec inc</w:t>
      </w:r>
      <w:proofErr w:type="gramStart"/>
      <w:r w:rsidRPr="00A82D21">
        <w:rPr>
          <w:szCs w:val="24"/>
          <w:lang w:val="fr-CA"/>
        </w:rPr>
        <w:t>.,</w:t>
      </w:r>
      <w:proofErr w:type="gramEnd"/>
      <w:r w:rsidRPr="00A82D21">
        <w:rPr>
          <w:szCs w:val="24"/>
          <w:lang w:val="fr-CA"/>
        </w:rPr>
        <w:t xml:space="preserve"> </w:t>
      </w:r>
    </w:p>
    <w:p w:rsidR="004D2D28" w:rsidRPr="00A82D21" w:rsidRDefault="00BF31AC" w:rsidP="007962BB">
      <w:pPr>
        <w:pStyle w:val="SCCLsocParty"/>
        <w:widowControl w:val="0"/>
        <w:spacing w:after="720"/>
        <w:rPr>
          <w:szCs w:val="24"/>
          <w:lang w:val="fr-CA"/>
        </w:rPr>
      </w:pPr>
      <w:r w:rsidRPr="00A82D21">
        <w:rPr>
          <w:szCs w:val="24"/>
          <w:lang w:val="fr-CA"/>
        </w:rPr>
        <w:t>9131</w:t>
      </w:r>
      <w:r w:rsidR="007962BB" w:rsidRPr="00A82D21">
        <w:rPr>
          <w:szCs w:val="24"/>
          <w:lang w:val="fr-CA"/>
        </w:rPr>
        <w:t>-</w:t>
      </w:r>
      <w:r w:rsidRPr="00A82D21">
        <w:rPr>
          <w:szCs w:val="24"/>
          <w:lang w:val="fr-CA"/>
        </w:rPr>
        <w:t>4716 Québec inc. et</w:t>
      </w:r>
      <w:r w:rsidR="004D2D28" w:rsidRPr="00A82D21">
        <w:rPr>
          <w:szCs w:val="24"/>
          <w:lang w:val="fr-CA"/>
        </w:rPr>
        <w:t xml:space="preserve"> Groupe Denis Mongeau inc.</w:t>
      </w:r>
      <w:r w:rsidR="001D051A" w:rsidRPr="00A82D21">
        <w:rPr>
          <w:rStyle w:val="SCCLsocPartyRole"/>
          <w:szCs w:val="24"/>
          <w:lang w:val="fr-CA"/>
        </w:rPr>
        <w:tab/>
        <w:t>Appelant</w:t>
      </w:r>
      <w:r w:rsidR="004D2D28" w:rsidRPr="00A82D21">
        <w:rPr>
          <w:rStyle w:val="SCCLsocPartyRole"/>
          <w:szCs w:val="24"/>
          <w:lang w:val="fr-CA"/>
        </w:rPr>
        <w:t>s</w:t>
      </w:r>
    </w:p>
    <w:p w:rsidR="004D2D28" w:rsidRPr="00A82D21" w:rsidRDefault="004D2D28" w:rsidP="007962BB">
      <w:pPr>
        <w:pStyle w:val="SCCLsocVersus"/>
        <w:widowControl w:val="0"/>
        <w:rPr>
          <w:szCs w:val="24"/>
          <w:lang w:val="fr-CA"/>
        </w:rPr>
      </w:pPr>
      <w:proofErr w:type="gramStart"/>
      <w:r w:rsidRPr="00A82D21">
        <w:rPr>
          <w:szCs w:val="24"/>
          <w:lang w:val="fr-CA"/>
        </w:rPr>
        <w:t>c</w:t>
      </w:r>
      <w:proofErr w:type="gramEnd"/>
      <w:r w:rsidRPr="00A82D21">
        <w:rPr>
          <w:szCs w:val="24"/>
          <w:lang w:val="fr-CA"/>
        </w:rPr>
        <w:t>.</w:t>
      </w:r>
    </w:p>
    <w:p w:rsidR="00ED116A" w:rsidRPr="00A82D21" w:rsidRDefault="004D2D28" w:rsidP="007962BB">
      <w:pPr>
        <w:pStyle w:val="SCCLsocParty"/>
        <w:widowControl w:val="0"/>
        <w:rPr>
          <w:szCs w:val="24"/>
          <w:lang w:val="fr-CA"/>
        </w:rPr>
      </w:pPr>
      <w:r w:rsidRPr="00A82D21">
        <w:rPr>
          <w:szCs w:val="24"/>
          <w:lang w:val="fr-CA"/>
        </w:rPr>
        <w:t>Simon Jacques,</w:t>
      </w:r>
      <w:r w:rsidR="000E73F2" w:rsidRPr="00A82D21">
        <w:rPr>
          <w:szCs w:val="24"/>
          <w:lang w:val="fr-CA"/>
        </w:rPr>
        <w:t xml:space="preserve"> </w:t>
      </w:r>
      <w:r w:rsidRPr="00A82D21">
        <w:rPr>
          <w:szCs w:val="24"/>
          <w:lang w:val="fr-CA"/>
        </w:rPr>
        <w:t xml:space="preserve">Marcel Lafontaine, Association pour la protection </w:t>
      </w:r>
    </w:p>
    <w:p w:rsidR="00ED116A" w:rsidRPr="00A82D21" w:rsidRDefault="004D2D28" w:rsidP="007962BB">
      <w:pPr>
        <w:pStyle w:val="SCCLsocParty"/>
        <w:widowControl w:val="0"/>
        <w:rPr>
          <w:szCs w:val="24"/>
          <w:lang w:val="fr-CA"/>
        </w:rPr>
      </w:pPr>
      <w:proofErr w:type="gramStart"/>
      <w:r w:rsidRPr="00A82D21">
        <w:rPr>
          <w:szCs w:val="24"/>
          <w:lang w:val="fr-CA"/>
        </w:rPr>
        <w:t>automobile</w:t>
      </w:r>
      <w:proofErr w:type="gramEnd"/>
      <w:r w:rsidRPr="00A82D21">
        <w:rPr>
          <w:szCs w:val="24"/>
          <w:lang w:val="fr-CA"/>
        </w:rPr>
        <w:t>,</w:t>
      </w:r>
      <w:r w:rsidR="000E73F2" w:rsidRPr="00A82D21">
        <w:rPr>
          <w:szCs w:val="24"/>
          <w:lang w:val="fr-CA"/>
        </w:rPr>
        <w:t xml:space="preserve"> p</w:t>
      </w:r>
      <w:r w:rsidRPr="00A82D21">
        <w:rPr>
          <w:szCs w:val="24"/>
          <w:lang w:val="fr-CA"/>
        </w:rPr>
        <w:t>rocureur général du Québec,</w:t>
      </w:r>
      <w:r w:rsidR="000E73F2" w:rsidRPr="00A82D21">
        <w:rPr>
          <w:szCs w:val="24"/>
          <w:lang w:val="fr-CA"/>
        </w:rPr>
        <w:t xml:space="preserve"> d</w:t>
      </w:r>
      <w:r w:rsidRPr="00A82D21">
        <w:rPr>
          <w:szCs w:val="24"/>
          <w:lang w:val="fr-CA"/>
        </w:rPr>
        <w:t xml:space="preserve">irecteur des poursuites </w:t>
      </w:r>
    </w:p>
    <w:p w:rsidR="00ED116A" w:rsidRPr="00A82D21" w:rsidRDefault="004D2D28" w:rsidP="007962BB">
      <w:pPr>
        <w:pStyle w:val="SCCLsocParty"/>
        <w:widowControl w:val="0"/>
        <w:rPr>
          <w:szCs w:val="24"/>
          <w:lang w:val="fr-CA"/>
        </w:rPr>
      </w:pPr>
      <w:proofErr w:type="gramStart"/>
      <w:r w:rsidRPr="00A82D21">
        <w:rPr>
          <w:szCs w:val="24"/>
          <w:lang w:val="fr-CA"/>
        </w:rPr>
        <w:t>pénales</w:t>
      </w:r>
      <w:proofErr w:type="gramEnd"/>
      <w:r w:rsidRPr="00A82D21">
        <w:rPr>
          <w:szCs w:val="24"/>
          <w:lang w:val="fr-CA"/>
        </w:rPr>
        <w:t xml:space="preserve"> du Canada,</w:t>
      </w:r>
      <w:r w:rsidR="000E73F2" w:rsidRPr="00A82D21">
        <w:rPr>
          <w:szCs w:val="24"/>
          <w:lang w:val="fr-CA"/>
        </w:rPr>
        <w:t xml:space="preserve"> </w:t>
      </w:r>
      <w:r w:rsidRPr="00A82D21">
        <w:rPr>
          <w:szCs w:val="24"/>
          <w:lang w:val="fr-CA"/>
        </w:rPr>
        <w:t>France Benoît,</w:t>
      </w:r>
      <w:r w:rsidR="000E73F2" w:rsidRPr="00A82D21">
        <w:rPr>
          <w:szCs w:val="24"/>
          <w:lang w:val="fr-CA"/>
        </w:rPr>
        <w:t xml:space="preserve"> </w:t>
      </w:r>
      <w:r w:rsidRPr="00A82D21">
        <w:rPr>
          <w:szCs w:val="24"/>
          <w:lang w:val="fr-CA"/>
        </w:rPr>
        <w:t>Richard Michaud,</w:t>
      </w:r>
      <w:r w:rsidR="000E73F2" w:rsidRPr="00A82D21">
        <w:rPr>
          <w:szCs w:val="24"/>
          <w:lang w:val="fr-CA"/>
        </w:rPr>
        <w:t xml:space="preserve"> </w:t>
      </w:r>
      <w:r w:rsidRPr="00A82D21">
        <w:rPr>
          <w:szCs w:val="24"/>
          <w:lang w:val="fr-CA"/>
        </w:rPr>
        <w:t>Luc Couturier,</w:t>
      </w:r>
      <w:r w:rsidR="000E73F2" w:rsidRPr="00A82D21">
        <w:rPr>
          <w:szCs w:val="24"/>
          <w:lang w:val="fr-CA"/>
        </w:rPr>
        <w:t xml:space="preserve"> </w:t>
      </w:r>
    </w:p>
    <w:p w:rsidR="00ED116A" w:rsidRPr="00A82D21" w:rsidRDefault="004D2D28" w:rsidP="007962BB">
      <w:pPr>
        <w:pStyle w:val="SCCLsocParty"/>
        <w:widowControl w:val="0"/>
        <w:rPr>
          <w:szCs w:val="24"/>
          <w:lang w:val="fr-CA"/>
        </w:rPr>
      </w:pPr>
      <w:r w:rsidRPr="00A82D21">
        <w:rPr>
          <w:szCs w:val="24"/>
          <w:lang w:val="fr-CA"/>
        </w:rPr>
        <w:t>Guy Angers,</w:t>
      </w:r>
      <w:r w:rsidR="000E73F2" w:rsidRPr="00A82D21">
        <w:rPr>
          <w:szCs w:val="24"/>
          <w:lang w:val="fr-CA"/>
        </w:rPr>
        <w:t xml:space="preserve"> </w:t>
      </w:r>
      <w:r w:rsidRPr="00A82D21">
        <w:rPr>
          <w:szCs w:val="24"/>
          <w:lang w:val="fr-CA"/>
        </w:rPr>
        <w:t>Philippe Gosselin &amp; Associés ltée,</w:t>
      </w:r>
      <w:r w:rsidR="000E73F2" w:rsidRPr="00A82D21">
        <w:rPr>
          <w:szCs w:val="24"/>
          <w:lang w:val="fr-CA"/>
        </w:rPr>
        <w:t xml:space="preserve"> </w:t>
      </w:r>
      <w:r w:rsidRPr="00A82D21">
        <w:rPr>
          <w:szCs w:val="24"/>
          <w:lang w:val="fr-CA"/>
        </w:rPr>
        <w:t xml:space="preserve">André Bilodeau, Carol </w:t>
      </w:r>
    </w:p>
    <w:p w:rsidR="00ED116A" w:rsidRPr="00A82D21" w:rsidRDefault="004D2D28" w:rsidP="007962BB">
      <w:pPr>
        <w:pStyle w:val="SCCLsocParty"/>
        <w:widowControl w:val="0"/>
        <w:rPr>
          <w:szCs w:val="24"/>
          <w:lang w:val="fr-CA"/>
        </w:rPr>
      </w:pPr>
      <w:r w:rsidRPr="00A82D21">
        <w:rPr>
          <w:szCs w:val="24"/>
          <w:lang w:val="fr-CA"/>
        </w:rPr>
        <w:t>Lehoux, Claude Bédard, Stéphane Grant,</w:t>
      </w:r>
      <w:r w:rsidR="000E73F2" w:rsidRPr="00A82D21">
        <w:rPr>
          <w:szCs w:val="24"/>
          <w:lang w:val="fr-CA"/>
        </w:rPr>
        <w:t xml:space="preserve"> </w:t>
      </w:r>
      <w:r w:rsidRPr="00A82D21">
        <w:rPr>
          <w:szCs w:val="24"/>
          <w:lang w:val="fr-CA"/>
        </w:rPr>
        <w:t xml:space="preserve">Pétroles Cadrin inc., Daniel </w:t>
      </w:r>
    </w:p>
    <w:p w:rsidR="00ED116A" w:rsidRPr="00A82D21" w:rsidRDefault="004D2D28" w:rsidP="007962BB">
      <w:pPr>
        <w:pStyle w:val="SCCLsocParty"/>
        <w:widowControl w:val="0"/>
        <w:rPr>
          <w:szCs w:val="24"/>
          <w:lang w:val="fr-CA"/>
        </w:rPr>
      </w:pPr>
      <w:r w:rsidRPr="00A82D21">
        <w:rPr>
          <w:szCs w:val="24"/>
          <w:lang w:val="fr-CA"/>
        </w:rPr>
        <w:t>Drouin,</w:t>
      </w:r>
      <w:r w:rsidR="000E73F2" w:rsidRPr="00A82D21">
        <w:rPr>
          <w:szCs w:val="24"/>
          <w:lang w:val="fr-CA"/>
        </w:rPr>
        <w:t xml:space="preserve"> </w:t>
      </w:r>
      <w:r w:rsidRPr="00A82D21">
        <w:rPr>
          <w:szCs w:val="24"/>
          <w:lang w:val="fr-CA"/>
        </w:rPr>
        <w:t>Pétroles Global inc</w:t>
      </w:r>
      <w:proofErr w:type="gramStart"/>
      <w:r w:rsidRPr="00A82D21">
        <w:rPr>
          <w:szCs w:val="24"/>
          <w:lang w:val="fr-CA"/>
        </w:rPr>
        <w:t>./</w:t>
      </w:r>
      <w:proofErr w:type="gramEnd"/>
      <w:r w:rsidRPr="00A82D21">
        <w:rPr>
          <w:szCs w:val="24"/>
          <w:lang w:val="fr-CA"/>
        </w:rPr>
        <w:t>Global Fuels Inc.,</w:t>
      </w:r>
      <w:r w:rsidR="000E73F2" w:rsidRPr="00A82D21">
        <w:rPr>
          <w:szCs w:val="24"/>
          <w:lang w:val="fr-CA"/>
        </w:rPr>
        <w:t xml:space="preserve"> </w:t>
      </w:r>
      <w:r w:rsidRPr="00A82D21">
        <w:rPr>
          <w:szCs w:val="24"/>
          <w:lang w:val="fr-CA"/>
        </w:rPr>
        <w:t xml:space="preserve">Pétroles Global (Québec) </w:t>
      </w:r>
    </w:p>
    <w:p w:rsidR="00ED116A" w:rsidRPr="00A82D21" w:rsidRDefault="004D2D28" w:rsidP="007962BB">
      <w:pPr>
        <w:pStyle w:val="SCCLsocParty"/>
        <w:widowControl w:val="0"/>
        <w:rPr>
          <w:szCs w:val="24"/>
          <w:lang w:val="fr-CA"/>
        </w:rPr>
      </w:pPr>
      <w:r w:rsidRPr="00A82D21">
        <w:rPr>
          <w:szCs w:val="24"/>
          <w:lang w:val="fr-CA"/>
        </w:rPr>
        <w:t>inc</w:t>
      </w:r>
      <w:proofErr w:type="gramStart"/>
      <w:r w:rsidRPr="00A82D21">
        <w:rPr>
          <w:szCs w:val="24"/>
          <w:lang w:val="fr-CA"/>
        </w:rPr>
        <w:t>./</w:t>
      </w:r>
      <w:proofErr w:type="gramEnd"/>
      <w:r w:rsidRPr="00A82D21">
        <w:rPr>
          <w:szCs w:val="24"/>
          <w:lang w:val="fr-CA"/>
        </w:rPr>
        <w:t>Global Fuels (Québec) Inc.,</w:t>
      </w:r>
      <w:r w:rsidR="000E73F2" w:rsidRPr="00A82D21">
        <w:rPr>
          <w:szCs w:val="24"/>
          <w:lang w:val="fr-CA"/>
        </w:rPr>
        <w:t xml:space="preserve"> </w:t>
      </w:r>
      <w:r w:rsidRPr="00A82D21">
        <w:rPr>
          <w:szCs w:val="24"/>
          <w:lang w:val="fr-CA"/>
        </w:rPr>
        <w:t>Provigo Distribution inc.,</w:t>
      </w:r>
      <w:r w:rsidR="000E73F2" w:rsidRPr="00A82D21">
        <w:rPr>
          <w:szCs w:val="24"/>
          <w:lang w:val="fr-CA"/>
        </w:rPr>
        <w:t xml:space="preserve"> </w:t>
      </w:r>
      <w:r w:rsidRPr="00A82D21">
        <w:rPr>
          <w:szCs w:val="24"/>
          <w:lang w:val="fr-CA"/>
        </w:rPr>
        <w:t xml:space="preserve">Christian </w:t>
      </w:r>
    </w:p>
    <w:p w:rsidR="00ED116A" w:rsidRPr="00A82D21" w:rsidRDefault="004D2D28" w:rsidP="007962BB">
      <w:pPr>
        <w:pStyle w:val="SCCLsocParty"/>
        <w:widowControl w:val="0"/>
        <w:rPr>
          <w:szCs w:val="24"/>
          <w:lang w:val="fr-CA"/>
        </w:rPr>
      </w:pPr>
      <w:r w:rsidRPr="00A82D21">
        <w:rPr>
          <w:szCs w:val="24"/>
          <w:lang w:val="fr-CA"/>
        </w:rPr>
        <w:t>Payette,</w:t>
      </w:r>
      <w:r w:rsidR="000E73F2" w:rsidRPr="00A82D21">
        <w:rPr>
          <w:szCs w:val="24"/>
          <w:lang w:val="fr-CA"/>
        </w:rPr>
        <w:t xml:space="preserve"> </w:t>
      </w:r>
      <w:r w:rsidRPr="00A82D21">
        <w:rPr>
          <w:szCs w:val="24"/>
          <w:lang w:val="fr-CA"/>
        </w:rPr>
        <w:t>Pierre Bourassa,</w:t>
      </w:r>
      <w:r w:rsidR="000E73F2" w:rsidRPr="00A82D21">
        <w:rPr>
          <w:szCs w:val="24"/>
          <w:lang w:val="fr-CA"/>
        </w:rPr>
        <w:t xml:space="preserve"> </w:t>
      </w:r>
      <w:r w:rsidRPr="00A82D21">
        <w:rPr>
          <w:szCs w:val="24"/>
          <w:lang w:val="fr-CA"/>
        </w:rPr>
        <w:t>Daniel Leblond,</w:t>
      </w:r>
      <w:r w:rsidR="000E73F2" w:rsidRPr="00A82D21">
        <w:rPr>
          <w:szCs w:val="24"/>
          <w:lang w:val="fr-CA"/>
        </w:rPr>
        <w:t xml:space="preserve"> </w:t>
      </w:r>
      <w:r w:rsidRPr="00A82D21">
        <w:rPr>
          <w:szCs w:val="24"/>
          <w:lang w:val="fr-CA"/>
        </w:rPr>
        <w:t>Dépanneur Magog</w:t>
      </w:r>
      <w:r w:rsidR="007962BB" w:rsidRPr="00A82D21">
        <w:rPr>
          <w:szCs w:val="24"/>
          <w:lang w:val="fr-CA"/>
        </w:rPr>
        <w:t>-</w:t>
      </w:r>
      <w:r w:rsidRPr="00A82D21">
        <w:rPr>
          <w:szCs w:val="24"/>
          <w:lang w:val="fr-CA"/>
        </w:rPr>
        <w:t xml:space="preserve">Orford </w:t>
      </w:r>
    </w:p>
    <w:p w:rsidR="00ED116A" w:rsidRPr="00A82D21" w:rsidRDefault="004D2D28" w:rsidP="007962BB">
      <w:pPr>
        <w:pStyle w:val="SCCLsocParty"/>
        <w:widowControl w:val="0"/>
        <w:rPr>
          <w:szCs w:val="24"/>
          <w:lang w:val="fr-CA"/>
        </w:rPr>
      </w:pPr>
      <w:r w:rsidRPr="00A82D21">
        <w:rPr>
          <w:szCs w:val="24"/>
          <w:lang w:val="fr-CA"/>
        </w:rPr>
        <w:t>inc.,</w:t>
      </w:r>
      <w:r w:rsidR="000E73F2" w:rsidRPr="00A82D21">
        <w:rPr>
          <w:szCs w:val="24"/>
          <w:lang w:val="fr-CA"/>
        </w:rPr>
        <w:t xml:space="preserve"> </w:t>
      </w:r>
      <w:r w:rsidRPr="00A82D21">
        <w:rPr>
          <w:szCs w:val="24"/>
          <w:lang w:val="fr-CA"/>
        </w:rPr>
        <w:t>2944</w:t>
      </w:r>
      <w:r w:rsidR="007962BB" w:rsidRPr="00A82D21">
        <w:rPr>
          <w:szCs w:val="24"/>
          <w:lang w:val="fr-CA"/>
        </w:rPr>
        <w:t>-</w:t>
      </w:r>
      <w:r w:rsidRPr="00A82D21">
        <w:rPr>
          <w:szCs w:val="24"/>
          <w:lang w:val="fr-CA"/>
        </w:rPr>
        <w:t>4841 Québec inc.,</w:t>
      </w:r>
      <w:r w:rsidR="000E73F2" w:rsidRPr="00A82D21">
        <w:rPr>
          <w:szCs w:val="24"/>
          <w:lang w:val="fr-CA"/>
        </w:rPr>
        <w:t xml:space="preserve"> </w:t>
      </w:r>
      <w:r w:rsidRPr="00A82D21">
        <w:rPr>
          <w:szCs w:val="24"/>
          <w:lang w:val="fr-CA"/>
        </w:rPr>
        <w:t>Société coopérative agricole des Bois</w:t>
      </w:r>
      <w:r w:rsidR="007962BB" w:rsidRPr="00A82D21">
        <w:rPr>
          <w:szCs w:val="24"/>
          <w:lang w:val="fr-CA"/>
        </w:rPr>
        <w:t>-</w:t>
      </w:r>
      <w:r w:rsidRPr="00A82D21">
        <w:rPr>
          <w:szCs w:val="24"/>
          <w:lang w:val="fr-CA"/>
        </w:rPr>
        <w:t>Francs,</w:t>
      </w:r>
      <w:r w:rsidR="000E73F2" w:rsidRPr="00A82D21">
        <w:rPr>
          <w:szCs w:val="24"/>
          <w:lang w:val="fr-CA"/>
        </w:rPr>
        <w:t xml:space="preserve"> </w:t>
      </w:r>
    </w:p>
    <w:p w:rsidR="00ED116A" w:rsidRPr="00A82D21" w:rsidRDefault="004D2D28" w:rsidP="007962BB">
      <w:pPr>
        <w:pStyle w:val="SCCLsocParty"/>
        <w:widowControl w:val="0"/>
        <w:rPr>
          <w:szCs w:val="24"/>
          <w:lang w:val="fr-CA"/>
        </w:rPr>
      </w:pPr>
      <w:r w:rsidRPr="00A82D21">
        <w:rPr>
          <w:szCs w:val="24"/>
          <w:lang w:val="fr-CA"/>
        </w:rPr>
        <w:t>Gestion Astral inc., Lise Delisle,</w:t>
      </w:r>
      <w:r w:rsidR="000E73F2" w:rsidRPr="00A82D21">
        <w:rPr>
          <w:szCs w:val="24"/>
          <w:lang w:val="fr-CA"/>
        </w:rPr>
        <w:t xml:space="preserve"> </w:t>
      </w:r>
      <w:r w:rsidRPr="00A82D21">
        <w:rPr>
          <w:szCs w:val="24"/>
          <w:lang w:val="fr-CA"/>
        </w:rPr>
        <w:t>134553 Canada inc.,</w:t>
      </w:r>
      <w:r w:rsidR="000E73F2" w:rsidRPr="00A82D21">
        <w:rPr>
          <w:szCs w:val="24"/>
          <w:lang w:val="fr-CA"/>
        </w:rPr>
        <w:t xml:space="preserve"> </w:t>
      </w:r>
      <w:r w:rsidRPr="00A82D21">
        <w:rPr>
          <w:szCs w:val="24"/>
          <w:lang w:val="fr-CA"/>
        </w:rPr>
        <w:t xml:space="preserve">Garage Luc </w:t>
      </w:r>
    </w:p>
    <w:p w:rsidR="00ED116A" w:rsidRPr="00A82D21" w:rsidRDefault="004D2D28" w:rsidP="007962BB">
      <w:pPr>
        <w:pStyle w:val="SCCLsocParty"/>
        <w:widowControl w:val="0"/>
        <w:rPr>
          <w:szCs w:val="24"/>
          <w:lang w:val="fr-CA"/>
        </w:rPr>
      </w:pPr>
      <w:r w:rsidRPr="00A82D21">
        <w:rPr>
          <w:szCs w:val="24"/>
          <w:lang w:val="fr-CA"/>
        </w:rPr>
        <w:t>Fecteau et fils inc., Station</w:t>
      </w:r>
      <w:r w:rsidR="007962BB" w:rsidRPr="00A82D21">
        <w:rPr>
          <w:szCs w:val="24"/>
          <w:lang w:val="fr-CA"/>
        </w:rPr>
        <w:t>-</w:t>
      </w:r>
      <w:r w:rsidRPr="00A82D21">
        <w:rPr>
          <w:szCs w:val="24"/>
          <w:lang w:val="fr-CA"/>
        </w:rPr>
        <w:t>Service Jacques Blais inc., 9029</w:t>
      </w:r>
      <w:r w:rsidR="007962BB" w:rsidRPr="00A82D21">
        <w:rPr>
          <w:szCs w:val="24"/>
          <w:lang w:val="fr-CA"/>
        </w:rPr>
        <w:t>-</w:t>
      </w:r>
      <w:r w:rsidRPr="00A82D21">
        <w:rPr>
          <w:szCs w:val="24"/>
          <w:lang w:val="fr-CA"/>
        </w:rPr>
        <w:t xml:space="preserve">6815 Québec </w:t>
      </w:r>
    </w:p>
    <w:p w:rsidR="00ED116A" w:rsidRPr="00A82D21" w:rsidRDefault="004D2D28" w:rsidP="007962BB">
      <w:pPr>
        <w:pStyle w:val="SCCLsocParty"/>
        <w:widowControl w:val="0"/>
        <w:rPr>
          <w:szCs w:val="24"/>
          <w:lang w:val="fr-CA"/>
        </w:rPr>
      </w:pPr>
      <w:proofErr w:type="gramStart"/>
      <w:r w:rsidRPr="00A82D21">
        <w:rPr>
          <w:szCs w:val="24"/>
          <w:lang w:val="fr-CA"/>
        </w:rPr>
        <w:t>inc</w:t>
      </w:r>
      <w:proofErr w:type="gramEnd"/>
      <w:r w:rsidR="001714AA" w:rsidRPr="00A82D21">
        <w:rPr>
          <w:szCs w:val="24"/>
          <w:lang w:val="fr-CA"/>
        </w:rPr>
        <w:t>.</w:t>
      </w:r>
      <w:r w:rsidRPr="00A82D21">
        <w:rPr>
          <w:szCs w:val="24"/>
          <w:lang w:val="fr-CA"/>
        </w:rPr>
        <w:t>, Garage Jacques Robert inc.,</w:t>
      </w:r>
      <w:r w:rsidR="000E73F2" w:rsidRPr="00A82D21">
        <w:rPr>
          <w:szCs w:val="24"/>
          <w:lang w:val="fr-CA"/>
        </w:rPr>
        <w:t xml:space="preserve"> </w:t>
      </w:r>
      <w:r w:rsidRPr="00A82D21">
        <w:rPr>
          <w:szCs w:val="24"/>
          <w:lang w:val="fr-CA"/>
        </w:rPr>
        <w:t>Gérald Groulx Station</w:t>
      </w:r>
      <w:r w:rsidR="007962BB" w:rsidRPr="00A82D21">
        <w:rPr>
          <w:szCs w:val="24"/>
          <w:lang w:val="fr-CA"/>
        </w:rPr>
        <w:t>-</w:t>
      </w:r>
      <w:r w:rsidRPr="00A82D21">
        <w:rPr>
          <w:szCs w:val="24"/>
          <w:lang w:val="fr-CA"/>
        </w:rPr>
        <w:t xml:space="preserve">Service inc., </w:t>
      </w:r>
    </w:p>
    <w:p w:rsidR="00ED116A" w:rsidRPr="00A82D21" w:rsidRDefault="004D2D28" w:rsidP="007962BB">
      <w:pPr>
        <w:pStyle w:val="SCCLsocParty"/>
        <w:widowControl w:val="0"/>
        <w:rPr>
          <w:szCs w:val="24"/>
          <w:lang w:val="fr-CA"/>
        </w:rPr>
      </w:pPr>
      <w:r w:rsidRPr="00A82D21">
        <w:rPr>
          <w:szCs w:val="24"/>
          <w:lang w:val="fr-CA"/>
        </w:rPr>
        <w:t>Services Autogarde D.D. inc., 9010</w:t>
      </w:r>
      <w:r w:rsidR="007962BB" w:rsidRPr="00A82D21">
        <w:rPr>
          <w:szCs w:val="24"/>
          <w:lang w:val="fr-CA"/>
        </w:rPr>
        <w:t>-</w:t>
      </w:r>
      <w:r w:rsidRPr="00A82D21">
        <w:rPr>
          <w:szCs w:val="24"/>
          <w:lang w:val="fr-CA"/>
        </w:rPr>
        <w:t>1460 Québec inc.,</w:t>
      </w:r>
      <w:r w:rsidR="000E73F2" w:rsidRPr="00A82D21">
        <w:rPr>
          <w:szCs w:val="24"/>
          <w:lang w:val="fr-CA"/>
        </w:rPr>
        <w:t xml:space="preserve"> </w:t>
      </w:r>
      <w:r w:rsidRPr="00A82D21">
        <w:rPr>
          <w:szCs w:val="24"/>
          <w:lang w:val="fr-CA"/>
        </w:rPr>
        <w:t xml:space="preserve">Armand Pouliot, </w:t>
      </w:r>
    </w:p>
    <w:p w:rsidR="00ED116A" w:rsidRPr="00A82D21" w:rsidRDefault="004D2D28" w:rsidP="007962BB">
      <w:pPr>
        <w:pStyle w:val="SCCLsocParty"/>
        <w:widowControl w:val="0"/>
        <w:rPr>
          <w:szCs w:val="24"/>
          <w:lang w:val="fr-CA"/>
        </w:rPr>
      </w:pPr>
      <w:r w:rsidRPr="00A82D21">
        <w:rPr>
          <w:szCs w:val="24"/>
          <w:lang w:val="fr-CA"/>
        </w:rPr>
        <w:t>Julie Roberge, Station</w:t>
      </w:r>
      <w:r w:rsidR="007962BB" w:rsidRPr="00A82D21">
        <w:rPr>
          <w:szCs w:val="24"/>
          <w:lang w:val="fr-CA"/>
        </w:rPr>
        <w:t>-</w:t>
      </w:r>
      <w:r w:rsidRPr="00A82D21">
        <w:rPr>
          <w:szCs w:val="24"/>
          <w:lang w:val="fr-CA"/>
        </w:rPr>
        <w:t>Service Pouliot et Roberge s.e.n.c.,</w:t>
      </w:r>
      <w:r w:rsidR="000E73F2" w:rsidRPr="00A82D21">
        <w:rPr>
          <w:szCs w:val="24"/>
          <w:lang w:val="fr-CA"/>
        </w:rPr>
        <w:t xml:space="preserve"> </w:t>
      </w:r>
      <w:r w:rsidRPr="00A82D21">
        <w:rPr>
          <w:szCs w:val="24"/>
          <w:lang w:val="fr-CA"/>
        </w:rPr>
        <w:t>9038</w:t>
      </w:r>
      <w:r w:rsidR="007962BB" w:rsidRPr="00A82D21">
        <w:rPr>
          <w:szCs w:val="24"/>
          <w:lang w:val="fr-CA"/>
        </w:rPr>
        <w:t>-</w:t>
      </w:r>
      <w:r w:rsidRPr="00A82D21">
        <w:rPr>
          <w:szCs w:val="24"/>
          <w:lang w:val="fr-CA"/>
        </w:rPr>
        <w:t xml:space="preserve">6095 </w:t>
      </w:r>
    </w:p>
    <w:p w:rsidR="00ED116A" w:rsidRPr="00A82D21" w:rsidRDefault="004D2D28" w:rsidP="007962BB">
      <w:pPr>
        <w:pStyle w:val="SCCLsocParty"/>
        <w:widowControl w:val="0"/>
        <w:rPr>
          <w:szCs w:val="24"/>
          <w:lang w:val="fr-CA"/>
        </w:rPr>
      </w:pPr>
      <w:r w:rsidRPr="00A82D21">
        <w:rPr>
          <w:szCs w:val="24"/>
          <w:lang w:val="fr-CA"/>
        </w:rPr>
        <w:t>Québec inc.,</w:t>
      </w:r>
      <w:r w:rsidR="000E73F2" w:rsidRPr="00A82D21">
        <w:rPr>
          <w:szCs w:val="24"/>
          <w:lang w:val="fr-CA"/>
        </w:rPr>
        <w:t xml:space="preserve"> </w:t>
      </w:r>
      <w:r w:rsidRPr="00A82D21">
        <w:rPr>
          <w:szCs w:val="24"/>
          <w:lang w:val="fr-CA"/>
        </w:rPr>
        <w:t>9083</w:t>
      </w:r>
      <w:r w:rsidR="007962BB" w:rsidRPr="00A82D21">
        <w:rPr>
          <w:szCs w:val="24"/>
          <w:lang w:val="fr-CA"/>
        </w:rPr>
        <w:t>-</w:t>
      </w:r>
      <w:r w:rsidRPr="00A82D21">
        <w:rPr>
          <w:szCs w:val="24"/>
          <w:lang w:val="fr-CA"/>
        </w:rPr>
        <w:t>0670 Québec inc., Gestion Ghislain Lallier inc</w:t>
      </w:r>
      <w:r w:rsidR="001714AA" w:rsidRPr="00A82D21">
        <w:rPr>
          <w:szCs w:val="24"/>
          <w:lang w:val="fr-CA"/>
        </w:rPr>
        <w:t>.</w:t>
      </w:r>
      <w:r w:rsidRPr="00A82D21">
        <w:rPr>
          <w:szCs w:val="24"/>
          <w:lang w:val="fr-CA"/>
        </w:rPr>
        <w:t xml:space="preserve">, </w:t>
      </w:r>
    </w:p>
    <w:p w:rsidR="00ED116A" w:rsidRPr="00A82D21" w:rsidRDefault="004D2D28" w:rsidP="007962BB">
      <w:pPr>
        <w:pStyle w:val="SCCLsocParty"/>
        <w:widowControl w:val="0"/>
        <w:rPr>
          <w:szCs w:val="24"/>
          <w:lang w:val="fr-CA"/>
        </w:rPr>
      </w:pPr>
      <w:r w:rsidRPr="00A82D21">
        <w:rPr>
          <w:szCs w:val="24"/>
          <w:lang w:val="fr-CA"/>
        </w:rPr>
        <w:t>2627</w:t>
      </w:r>
      <w:r w:rsidR="007962BB" w:rsidRPr="00A82D21">
        <w:rPr>
          <w:szCs w:val="24"/>
          <w:lang w:val="fr-CA"/>
        </w:rPr>
        <w:t>-</w:t>
      </w:r>
      <w:r w:rsidRPr="00A82D21">
        <w:rPr>
          <w:szCs w:val="24"/>
          <w:lang w:val="fr-CA"/>
        </w:rPr>
        <w:t>3458 Québec inc.,</w:t>
      </w:r>
      <w:r w:rsidR="000E73F2" w:rsidRPr="00A82D21">
        <w:rPr>
          <w:szCs w:val="24"/>
          <w:lang w:val="fr-CA"/>
        </w:rPr>
        <w:t xml:space="preserve"> </w:t>
      </w:r>
      <w:r w:rsidRPr="00A82D21">
        <w:rPr>
          <w:szCs w:val="24"/>
          <w:lang w:val="fr-CA"/>
        </w:rPr>
        <w:t>2429</w:t>
      </w:r>
      <w:r w:rsidR="007962BB" w:rsidRPr="00A82D21">
        <w:rPr>
          <w:szCs w:val="24"/>
          <w:lang w:val="fr-CA"/>
        </w:rPr>
        <w:t>-</w:t>
      </w:r>
      <w:r w:rsidRPr="00A82D21">
        <w:rPr>
          <w:szCs w:val="24"/>
          <w:lang w:val="fr-CA"/>
        </w:rPr>
        <w:t xml:space="preserve">7822 Québec inc., Universy Galt Service </w:t>
      </w:r>
    </w:p>
    <w:p w:rsidR="00ED116A" w:rsidRPr="00A82D21" w:rsidRDefault="004D2D28" w:rsidP="007962BB">
      <w:pPr>
        <w:pStyle w:val="SCCLsocParty"/>
        <w:widowControl w:val="0"/>
        <w:rPr>
          <w:szCs w:val="24"/>
          <w:lang w:val="fr-CA"/>
        </w:rPr>
      </w:pPr>
      <w:r w:rsidRPr="00A82D21">
        <w:rPr>
          <w:szCs w:val="24"/>
          <w:lang w:val="fr-CA"/>
        </w:rPr>
        <w:t>inc.,</w:t>
      </w:r>
      <w:r w:rsidR="000E73F2" w:rsidRPr="00A82D21">
        <w:rPr>
          <w:szCs w:val="24"/>
          <w:lang w:val="fr-CA"/>
        </w:rPr>
        <w:t xml:space="preserve"> </w:t>
      </w:r>
      <w:r w:rsidRPr="00A82D21">
        <w:rPr>
          <w:szCs w:val="24"/>
          <w:lang w:val="fr-CA"/>
        </w:rPr>
        <w:t>9098</w:t>
      </w:r>
      <w:r w:rsidR="007962BB" w:rsidRPr="00A82D21">
        <w:rPr>
          <w:szCs w:val="24"/>
          <w:lang w:val="fr-CA"/>
        </w:rPr>
        <w:t>-</w:t>
      </w:r>
      <w:r w:rsidRPr="00A82D21">
        <w:rPr>
          <w:szCs w:val="24"/>
          <w:lang w:val="fr-CA"/>
        </w:rPr>
        <w:t>0111 Québec inc.,</w:t>
      </w:r>
      <w:r w:rsidR="000E73F2" w:rsidRPr="00A82D21">
        <w:rPr>
          <w:szCs w:val="24"/>
          <w:lang w:val="fr-CA"/>
        </w:rPr>
        <w:t xml:space="preserve"> </w:t>
      </w:r>
      <w:r w:rsidRPr="00A82D21">
        <w:rPr>
          <w:szCs w:val="24"/>
          <w:lang w:val="fr-CA"/>
        </w:rPr>
        <w:t>2311</w:t>
      </w:r>
      <w:r w:rsidR="007962BB" w:rsidRPr="00A82D21">
        <w:rPr>
          <w:szCs w:val="24"/>
          <w:lang w:val="fr-CA"/>
        </w:rPr>
        <w:t>-</w:t>
      </w:r>
      <w:r w:rsidRPr="00A82D21">
        <w:rPr>
          <w:szCs w:val="24"/>
          <w:lang w:val="fr-CA"/>
        </w:rPr>
        <w:t>5959 Québec inc., Gaz</w:t>
      </w:r>
      <w:r w:rsidR="007962BB" w:rsidRPr="00A82D21">
        <w:rPr>
          <w:szCs w:val="24"/>
          <w:lang w:val="fr-CA"/>
        </w:rPr>
        <w:t>-</w:t>
      </w:r>
      <w:r w:rsidRPr="00A82D21">
        <w:rPr>
          <w:szCs w:val="24"/>
          <w:lang w:val="fr-CA"/>
        </w:rPr>
        <w:t>O</w:t>
      </w:r>
      <w:r w:rsidR="007962BB" w:rsidRPr="00A82D21">
        <w:rPr>
          <w:szCs w:val="24"/>
          <w:lang w:val="fr-CA"/>
        </w:rPr>
        <w:t>-</w:t>
      </w:r>
      <w:r w:rsidRPr="00A82D21">
        <w:rPr>
          <w:szCs w:val="24"/>
          <w:lang w:val="fr-CA"/>
        </w:rPr>
        <w:t>Pneus inc.,</w:t>
      </w:r>
      <w:r w:rsidR="000E73F2" w:rsidRPr="00A82D21">
        <w:rPr>
          <w:szCs w:val="24"/>
          <w:lang w:val="fr-CA"/>
        </w:rPr>
        <w:t xml:space="preserve"> </w:t>
      </w:r>
    </w:p>
    <w:p w:rsidR="00ED116A" w:rsidRPr="00A82D21" w:rsidRDefault="004D2D28" w:rsidP="007962BB">
      <w:pPr>
        <w:pStyle w:val="SCCLsocParty"/>
        <w:widowControl w:val="0"/>
        <w:rPr>
          <w:szCs w:val="24"/>
          <w:lang w:val="fr-CA"/>
        </w:rPr>
      </w:pPr>
      <w:r w:rsidRPr="00A82D21">
        <w:rPr>
          <w:szCs w:val="24"/>
          <w:lang w:val="fr-CA"/>
        </w:rPr>
        <w:t>C. Lagrandeur et fils inc.,</w:t>
      </w:r>
      <w:r w:rsidR="000E73F2" w:rsidRPr="00A82D21">
        <w:rPr>
          <w:szCs w:val="24"/>
          <w:lang w:val="fr-CA"/>
        </w:rPr>
        <w:t xml:space="preserve"> </w:t>
      </w:r>
      <w:r w:rsidRPr="00A82D21">
        <w:rPr>
          <w:szCs w:val="24"/>
          <w:lang w:val="fr-CA"/>
        </w:rPr>
        <w:t xml:space="preserve">Valérie Houde, Sylvie Fréchette, Robert </w:t>
      </w:r>
    </w:p>
    <w:p w:rsidR="00ED116A" w:rsidRPr="00A82D21" w:rsidRDefault="004D2D28" w:rsidP="007962BB">
      <w:pPr>
        <w:pStyle w:val="SCCLsocParty"/>
        <w:widowControl w:val="0"/>
        <w:rPr>
          <w:szCs w:val="24"/>
          <w:lang w:val="fr-CA"/>
        </w:rPr>
      </w:pPr>
      <w:r w:rsidRPr="00A82D21">
        <w:rPr>
          <w:szCs w:val="24"/>
          <w:lang w:val="fr-CA"/>
        </w:rPr>
        <w:t>Beaurivage,</w:t>
      </w:r>
      <w:r w:rsidR="000E73F2" w:rsidRPr="00A82D21">
        <w:rPr>
          <w:szCs w:val="24"/>
          <w:lang w:val="fr-CA"/>
        </w:rPr>
        <w:t xml:space="preserve"> </w:t>
      </w:r>
      <w:r w:rsidRPr="00A82D21">
        <w:rPr>
          <w:szCs w:val="24"/>
          <w:lang w:val="fr-CA"/>
        </w:rPr>
        <w:t>9011</w:t>
      </w:r>
      <w:r w:rsidR="007962BB" w:rsidRPr="00A82D21">
        <w:rPr>
          <w:szCs w:val="24"/>
          <w:lang w:val="fr-CA"/>
        </w:rPr>
        <w:t>-</w:t>
      </w:r>
      <w:r w:rsidRPr="00A82D21">
        <w:rPr>
          <w:szCs w:val="24"/>
          <w:lang w:val="fr-CA"/>
        </w:rPr>
        <w:t>4653 Québec inc.,</w:t>
      </w:r>
      <w:r w:rsidR="000E73F2" w:rsidRPr="00A82D21">
        <w:rPr>
          <w:szCs w:val="24"/>
          <w:lang w:val="fr-CA"/>
        </w:rPr>
        <w:t xml:space="preserve"> </w:t>
      </w:r>
      <w:r w:rsidRPr="00A82D21">
        <w:rPr>
          <w:szCs w:val="24"/>
          <w:lang w:val="fr-CA"/>
        </w:rPr>
        <w:t>Pétroles Remay inc.,</w:t>
      </w:r>
      <w:r w:rsidR="000E73F2" w:rsidRPr="00A82D21">
        <w:rPr>
          <w:szCs w:val="24"/>
          <w:lang w:val="fr-CA"/>
        </w:rPr>
        <w:t xml:space="preserve"> </w:t>
      </w:r>
      <w:r w:rsidRPr="00A82D21">
        <w:rPr>
          <w:szCs w:val="24"/>
          <w:lang w:val="fr-CA"/>
        </w:rPr>
        <w:t xml:space="preserve">Variétés </w:t>
      </w:r>
    </w:p>
    <w:p w:rsidR="00ED116A" w:rsidRPr="00A82D21" w:rsidRDefault="004D2D28" w:rsidP="007962BB">
      <w:pPr>
        <w:pStyle w:val="SCCLsocParty"/>
        <w:widowControl w:val="0"/>
        <w:rPr>
          <w:szCs w:val="24"/>
          <w:lang w:val="fr-CA"/>
        </w:rPr>
      </w:pPr>
      <w:r w:rsidRPr="00A82D21">
        <w:rPr>
          <w:szCs w:val="24"/>
          <w:lang w:val="fr-CA"/>
        </w:rPr>
        <w:t>Jean</w:t>
      </w:r>
      <w:r w:rsidR="007962BB" w:rsidRPr="00A82D21">
        <w:rPr>
          <w:szCs w:val="24"/>
          <w:lang w:val="fr-CA"/>
        </w:rPr>
        <w:t>-</w:t>
      </w:r>
      <w:r w:rsidRPr="00A82D21">
        <w:rPr>
          <w:szCs w:val="24"/>
          <w:lang w:val="fr-CA"/>
        </w:rPr>
        <w:t>Yves Plourde inc.,</w:t>
      </w:r>
      <w:r w:rsidR="000E73F2" w:rsidRPr="00A82D21">
        <w:rPr>
          <w:szCs w:val="24"/>
          <w:lang w:val="fr-CA"/>
        </w:rPr>
        <w:t xml:space="preserve"> </w:t>
      </w:r>
      <w:r w:rsidRPr="00A82D21">
        <w:rPr>
          <w:szCs w:val="24"/>
          <w:lang w:val="fr-CA"/>
        </w:rPr>
        <w:t>9016</w:t>
      </w:r>
      <w:r w:rsidR="007962BB" w:rsidRPr="00A82D21">
        <w:rPr>
          <w:szCs w:val="24"/>
          <w:lang w:val="fr-CA"/>
        </w:rPr>
        <w:t>-</w:t>
      </w:r>
      <w:r w:rsidRPr="00A82D21">
        <w:rPr>
          <w:szCs w:val="24"/>
          <w:lang w:val="fr-CA"/>
        </w:rPr>
        <w:t>8360 Québec inc.,</w:t>
      </w:r>
      <w:r w:rsidR="000E73F2" w:rsidRPr="00A82D21">
        <w:rPr>
          <w:szCs w:val="24"/>
          <w:lang w:val="fr-CA"/>
        </w:rPr>
        <w:t xml:space="preserve"> </w:t>
      </w:r>
      <w:r w:rsidRPr="00A82D21">
        <w:rPr>
          <w:szCs w:val="24"/>
          <w:lang w:val="fr-CA"/>
        </w:rPr>
        <w:t>Carole Aubut,</w:t>
      </w:r>
      <w:r w:rsidR="000E73F2" w:rsidRPr="00A82D21">
        <w:rPr>
          <w:szCs w:val="24"/>
          <w:lang w:val="fr-CA"/>
        </w:rPr>
        <w:t xml:space="preserve"> Luc </w:t>
      </w:r>
    </w:p>
    <w:p w:rsidR="004D2D28" w:rsidRPr="00A82D21" w:rsidRDefault="000E73F2" w:rsidP="007962BB">
      <w:pPr>
        <w:pStyle w:val="SCCLsocParty"/>
        <w:widowControl w:val="0"/>
        <w:spacing w:after="720"/>
        <w:rPr>
          <w:szCs w:val="24"/>
          <w:lang w:val="fr-CA"/>
        </w:rPr>
      </w:pPr>
      <w:r w:rsidRPr="00A82D21">
        <w:rPr>
          <w:szCs w:val="24"/>
          <w:lang w:val="fr-CA"/>
        </w:rPr>
        <w:t xml:space="preserve">Forget et </w:t>
      </w:r>
      <w:r w:rsidR="004D2D28" w:rsidRPr="00A82D21">
        <w:rPr>
          <w:szCs w:val="24"/>
          <w:lang w:val="fr-CA"/>
        </w:rPr>
        <w:t>Jacques Ouellet</w:t>
      </w:r>
      <w:r w:rsidRPr="00A82D21">
        <w:rPr>
          <w:rStyle w:val="SCCLsocPartyRole"/>
          <w:szCs w:val="24"/>
          <w:lang w:val="fr-CA"/>
        </w:rPr>
        <w:tab/>
        <w:t>Intimé</w:t>
      </w:r>
      <w:r w:rsidR="004D2D28" w:rsidRPr="00A82D21">
        <w:rPr>
          <w:rStyle w:val="SCCLsocPartyRole"/>
          <w:szCs w:val="24"/>
          <w:lang w:val="fr-CA"/>
        </w:rPr>
        <w:t>s</w:t>
      </w:r>
    </w:p>
    <w:p w:rsidR="004D2D28" w:rsidRPr="00A82D21" w:rsidRDefault="004D2D28" w:rsidP="007962BB">
      <w:pPr>
        <w:pStyle w:val="SCCLsocOtherPartySeparator"/>
        <w:widowControl w:val="0"/>
        <w:rPr>
          <w:szCs w:val="24"/>
          <w:lang w:val="fr-CA"/>
        </w:rPr>
      </w:pPr>
      <w:proofErr w:type="gramStart"/>
      <w:r w:rsidRPr="00A82D21">
        <w:rPr>
          <w:szCs w:val="24"/>
          <w:lang w:val="fr-CA"/>
        </w:rPr>
        <w:t>et</w:t>
      </w:r>
      <w:proofErr w:type="gramEnd"/>
    </w:p>
    <w:p w:rsidR="004D2D28" w:rsidRPr="00A82D21" w:rsidRDefault="004D2D28" w:rsidP="007962BB">
      <w:pPr>
        <w:pStyle w:val="SCCLsocLastPartyInRole"/>
        <w:widowControl w:val="0"/>
        <w:rPr>
          <w:szCs w:val="24"/>
          <w:lang w:val="fr-CA"/>
        </w:rPr>
      </w:pPr>
      <w:r w:rsidRPr="00A82D21">
        <w:rPr>
          <w:szCs w:val="24"/>
          <w:lang w:val="fr-CA"/>
        </w:rPr>
        <w:lastRenderedPageBreak/>
        <w:t>Procureur général de l</w:t>
      </w:r>
      <w:r w:rsidR="00D70D07" w:rsidRPr="00A82D21">
        <w:rPr>
          <w:szCs w:val="24"/>
          <w:lang w:val="fr-CA"/>
        </w:rPr>
        <w:t>’</w:t>
      </w:r>
      <w:r w:rsidRPr="00A82D21">
        <w:rPr>
          <w:szCs w:val="24"/>
          <w:lang w:val="fr-CA"/>
        </w:rPr>
        <w:t>Ontario</w:t>
      </w:r>
      <w:r w:rsidRPr="00A82D21">
        <w:rPr>
          <w:rStyle w:val="SCCLsocPartyRole"/>
          <w:szCs w:val="24"/>
          <w:lang w:val="fr-CA"/>
        </w:rPr>
        <w:tab/>
        <w:t>Intervenant</w:t>
      </w:r>
    </w:p>
    <w:p w:rsidR="004D7D95" w:rsidRPr="00A82D21" w:rsidRDefault="004D7D95" w:rsidP="007962BB">
      <w:pPr>
        <w:widowControl w:val="0"/>
        <w:spacing w:after="720"/>
        <w:jc w:val="both"/>
        <w:rPr>
          <w:b/>
          <w:szCs w:val="24"/>
          <w:lang w:val="fr-CA"/>
        </w:rPr>
      </w:pPr>
      <w:r w:rsidRPr="00A82D21">
        <w:rPr>
          <w:b/>
          <w:szCs w:val="24"/>
          <w:lang w:val="fr-CA"/>
        </w:rPr>
        <w:t>Répertorié</w:t>
      </w:r>
      <w:r w:rsidR="007962BB" w:rsidRPr="00A82D21">
        <w:rPr>
          <w:b/>
          <w:szCs w:val="24"/>
          <w:lang w:val="fr-CA"/>
        </w:rPr>
        <w:t xml:space="preserve"> : </w:t>
      </w:r>
      <w:r w:rsidRPr="00A82D21">
        <w:rPr>
          <w:rStyle w:val="SCCAppellantForIndexChar"/>
          <w:szCs w:val="24"/>
          <w:lang w:val="fr-CA"/>
        </w:rPr>
        <w:t>Pétrolière Impériale</w:t>
      </w:r>
      <w:r w:rsidRPr="00A82D21">
        <w:rPr>
          <w:b/>
          <w:szCs w:val="24"/>
          <w:lang w:val="fr-CA"/>
        </w:rPr>
        <w:t xml:space="preserve"> </w:t>
      </w:r>
      <w:r w:rsidRPr="00A82D21">
        <w:rPr>
          <w:b/>
          <w:i/>
          <w:szCs w:val="24"/>
          <w:lang w:val="fr-CA"/>
        </w:rPr>
        <w:t>c.</w:t>
      </w:r>
      <w:r w:rsidRPr="00A82D21">
        <w:rPr>
          <w:b/>
          <w:szCs w:val="24"/>
          <w:lang w:val="fr-CA"/>
        </w:rPr>
        <w:t xml:space="preserve"> </w:t>
      </w:r>
      <w:r w:rsidRPr="00A82D21">
        <w:rPr>
          <w:rStyle w:val="SCCRespondentForIndexChar"/>
          <w:szCs w:val="24"/>
          <w:lang w:val="fr-CA"/>
        </w:rPr>
        <w:t>Jacques</w:t>
      </w:r>
    </w:p>
    <w:p w:rsidR="004D7D95" w:rsidRPr="00A82D21" w:rsidRDefault="00F62639" w:rsidP="007962BB">
      <w:pPr>
        <w:pStyle w:val="SCCSystemYear"/>
        <w:widowControl w:val="0"/>
        <w:spacing w:after="720"/>
        <w:jc w:val="both"/>
        <w:rPr>
          <w:szCs w:val="24"/>
          <w:lang w:val="fr-CA"/>
        </w:rPr>
      </w:pPr>
      <w:r w:rsidRPr="00A82D21">
        <w:rPr>
          <w:szCs w:val="24"/>
          <w:lang w:val="fr-CA"/>
        </w:rPr>
        <w:t>2014</w:t>
      </w:r>
      <w:r w:rsidR="004D7D95" w:rsidRPr="00A82D21">
        <w:rPr>
          <w:szCs w:val="24"/>
          <w:lang w:val="fr-CA"/>
        </w:rPr>
        <w:t xml:space="preserve"> CSC</w:t>
      </w:r>
      <w:r w:rsidR="007962BB" w:rsidRPr="00A82D21">
        <w:rPr>
          <w:szCs w:val="24"/>
          <w:lang w:val="fr-CA"/>
        </w:rPr>
        <w:t xml:space="preserve"> </w:t>
      </w:r>
      <w:r w:rsidR="00E35E8C" w:rsidRPr="00A82D21">
        <w:rPr>
          <w:szCs w:val="24"/>
          <w:lang w:val="fr-CA"/>
        </w:rPr>
        <w:t>66</w:t>
      </w:r>
    </w:p>
    <w:p w:rsidR="004D7D95" w:rsidRPr="00A82D21" w:rsidRDefault="004D7D95" w:rsidP="007962BB">
      <w:pPr>
        <w:widowControl w:val="0"/>
        <w:spacing w:after="720"/>
        <w:jc w:val="both"/>
        <w:rPr>
          <w:szCs w:val="24"/>
          <w:lang w:val="fr-CA"/>
        </w:rPr>
      </w:pPr>
      <w:r w:rsidRPr="00A82D21">
        <w:rPr>
          <w:szCs w:val="24"/>
          <w:lang w:val="fr-CA"/>
        </w:rPr>
        <w:t>N</w:t>
      </w:r>
      <w:r w:rsidRPr="00A82D21">
        <w:rPr>
          <w:szCs w:val="24"/>
          <w:vertAlign w:val="superscript"/>
          <w:lang w:val="fr-CA"/>
        </w:rPr>
        <w:t>o</w:t>
      </w:r>
      <w:r w:rsidR="00BC1E71" w:rsidRPr="00A82D21">
        <w:rPr>
          <w:szCs w:val="24"/>
          <w:vertAlign w:val="superscript"/>
          <w:lang w:val="fr-CA"/>
        </w:rPr>
        <w:t>s</w:t>
      </w:r>
      <w:r w:rsidRPr="00A82D21">
        <w:rPr>
          <w:szCs w:val="24"/>
          <w:lang w:val="fr-CA"/>
        </w:rPr>
        <w:t xml:space="preserve"> du greffe</w:t>
      </w:r>
      <w:r w:rsidR="007962BB" w:rsidRPr="00A82D21">
        <w:rPr>
          <w:szCs w:val="24"/>
          <w:lang w:val="fr-CA"/>
        </w:rPr>
        <w:t xml:space="preserve"> : </w:t>
      </w:r>
      <w:r w:rsidRPr="00A82D21">
        <w:rPr>
          <w:szCs w:val="24"/>
          <w:lang w:val="fr-CA"/>
        </w:rPr>
        <w:t>35226</w:t>
      </w:r>
      <w:r w:rsidR="00BC1E71" w:rsidRPr="00A82D21">
        <w:rPr>
          <w:szCs w:val="24"/>
          <w:lang w:val="fr-CA"/>
        </w:rPr>
        <w:t>, 35231</w:t>
      </w:r>
      <w:r w:rsidRPr="00A82D21">
        <w:rPr>
          <w:szCs w:val="24"/>
          <w:lang w:val="fr-CA"/>
        </w:rPr>
        <w:t>.</w:t>
      </w:r>
    </w:p>
    <w:p w:rsidR="004D7D95" w:rsidRPr="00A82D21" w:rsidRDefault="00F62639" w:rsidP="007962BB">
      <w:pPr>
        <w:widowControl w:val="0"/>
        <w:spacing w:after="720"/>
        <w:jc w:val="both"/>
        <w:rPr>
          <w:szCs w:val="24"/>
          <w:lang w:val="fr-CA"/>
        </w:rPr>
      </w:pPr>
      <w:r w:rsidRPr="00A82D21">
        <w:rPr>
          <w:szCs w:val="24"/>
          <w:lang w:val="fr-CA"/>
        </w:rPr>
        <w:t>2014</w:t>
      </w:r>
      <w:r w:rsidR="007962BB" w:rsidRPr="00A82D21">
        <w:rPr>
          <w:szCs w:val="24"/>
          <w:lang w:val="fr-CA"/>
        </w:rPr>
        <w:t xml:space="preserve"> : </w:t>
      </w:r>
      <w:r w:rsidR="00F21B17" w:rsidRPr="00A82D21">
        <w:rPr>
          <w:szCs w:val="24"/>
          <w:lang w:val="fr-CA"/>
        </w:rPr>
        <w:t>24</w:t>
      </w:r>
      <w:r w:rsidR="007962BB" w:rsidRPr="00A82D21">
        <w:rPr>
          <w:szCs w:val="24"/>
          <w:lang w:val="fr-CA"/>
        </w:rPr>
        <w:t xml:space="preserve"> </w:t>
      </w:r>
      <w:r w:rsidRPr="00A82D21">
        <w:rPr>
          <w:szCs w:val="24"/>
          <w:lang w:val="fr-CA"/>
        </w:rPr>
        <w:t>avril</w:t>
      </w:r>
      <w:r w:rsidR="00E45FE1" w:rsidRPr="00A82D21">
        <w:rPr>
          <w:szCs w:val="24"/>
          <w:lang w:val="fr-CA"/>
        </w:rPr>
        <w:t>; 2014</w:t>
      </w:r>
      <w:r w:rsidR="007962BB" w:rsidRPr="00A82D21">
        <w:rPr>
          <w:szCs w:val="24"/>
          <w:lang w:val="fr-CA"/>
        </w:rPr>
        <w:t xml:space="preserve"> : </w:t>
      </w:r>
      <w:r w:rsidR="00F21B17" w:rsidRPr="00A82D21">
        <w:rPr>
          <w:szCs w:val="24"/>
          <w:lang w:val="fr-CA"/>
        </w:rPr>
        <w:t>17</w:t>
      </w:r>
      <w:r w:rsidR="007962BB" w:rsidRPr="00A82D21">
        <w:rPr>
          <w:szCs w:val="24"/>
          <w:lang w:val="fr-CA"/>
        </w:rPr>
        <w:t xml:space="preserve"> </w:t>
      </w:r>
      <w:r w:rsidR="00E45FE1" w:rsidRPr="00A82D21">
        <w:rPr>
          <w:szCs w:val="24"/>
          <w:lang w:val="fr-CA"/>
        </w:rPr>
        <w:t>octobre</w:t>
      </w:r>
      <w:r w:rsidR="004D7D95" w:rsidRPr="00A82D21">
        <w:rPr>
          <w:szCs w:val="24"/>
          <w:lang w:val="fr-CA"/>
        </w:rPr>
        <w:t>.</w:t>
      </w:r>
    </w:p>
    <w:p w:rsidR="004D7D95" w:rsidRPr="00A82D21" w:rsidRDefault="004D7D95" w:rsidP="007962BB">
      <w:pPr>
        <w:widowControl w:val="0"/>
        <w:spacing w:after="720"/>
        <w:jc w:val="both"/>
        <w:rPr>
          <w:szCs w:val="24"/>
          <w:lang w:val="fr-CA"/>
        </w:rPr>
      </w:pPr>
      <w:r w:rsidRPr="00A82D21">
        <w:rPr>
          <w:szCs w:val="24"/>
          <w:lang w:val="fr-CA"/>
        </w:rPr>
        <w:t>Présents</w:t>
      </w:r>
      <w:r w:rsidR="007962BB" w:rsidRPr="00A82D21">
        <w:rPr>
          <w:szCs w:val="24"/>
          <w:lang w:val="fr-CA"/>
        </w:rPr>
        <w:t xml:space="preserve"> : </w:t>
      </w:r>
      <w:r w:rsidRPr="00A82D21">
        <w:rPr>
          <w:szCs w:val="24"/>
          <w:lang w:val="fr-CA"/>
        </w:rPr>
        <w:t>La juge en chef McLachlin et les juges LeBel, Abella, Rothstein, Cromwell, Moldaver et Wagner.</w:t>
      </w:r>
    </w:p>
    <w:p w:rsidR="004D7D95" w:rsidRPr="00A82D21" w:rsidRDefault="004D7D95" w:rsidP="007962BB">
      <w:pPr>
        <w:widowControl w:val="0"/>
        <w:spacing w:after="720"/>
        <w:jc w:val="both"/>
        <w:rPr>
          <w:smallCaps/>
          <w:szCs w:val="24"/>
          <w:lang w:val="fr-CA"/>
        </w:rPr>
      </w:pPr>
      <w:r w:rsidRPr="00A82D21">
        <w:rPr>
          <w:smallCaps/>
          <w:szCs w:val="24"/>
          <w:lang w:val="fr-CA"/>
        </w:rPr>
        <w:t xml:space="preserve">en appel de la </w:t>
      </w:r>
      <w:r w:rsidR="00DC3C6A" w:rsidRPr="00A82D21">
        <w:rPr>
          <w:smallCaps/>
          <w:szCs w:val="24"/>
          <w:lang w:val="fr-CA"/>
        </w:rPr>
        <w:t>cour d</w:t>
      </w:r>
      <w:r w:rsidR="00D70D07" w:rsidRPr="00A82D21">
        <w:rPr>
          <w:smallCaps/>
          <w:szCs w:val="24"/>
          <w:lang w:val="fr-CA"/>
        </w:rPr>
        <w:t>’</w:t>
      </w:r>
      <w:r w:rsidR="00DC3C6A" w:rsidRPr="00A82D21">
        <w:rPr>
          <w:smallCaps/>
          <w:szCs w:val="24"/>
          <w:lang w:val="fr-CA"/>
        </w:rPr>
        <w:t>appel du québec</w:t>
      </w:r>
    </w:p>
    <w:p w:rsidR="007922D6" w:rsidRPr="00A82D21" w:rsidRDefault="007922D6" w:rsidP="007962BB">
      <w:pPr>
        <w:pStyle w:val="SCCNormalDoubleSpacing"/>
        <w:widowControl w:val="0"/>
        <w:spacing w:after="480"/>
        <w:rPr>
          <w:i/>
          <w:szCs w:val="24"/>
          <w:lang w:val="fr-CA"/>
        </w:rPr>
      </w:pPr>
      <w:r w:rsidRPr="00A82D21">
        <w:rPr>
          <w:i/>
          <w:szCs w:val="24"/>
          <w:lang w:val="fr-CA"/>
        </w:rPr>
        <w:tab/>
        <w:t xml:space="preserve">Preuve </w:t>
      </w:r>
      <w:r w:rsidR="00F21B17" w:rsidRPr="00A82D21">
        <w:rPr>
          <w:i/>
          <w:szCs w:val="24"/>
          <w:lang w:val="fr-CA"/>
        </w:rPr>
        <w:t>—</w:t>
      </w:r>
      <w:r w:rsidRPr="00A82D21">
        <w:rPr>
          <w:i/>
          <w:szCs w:val="24"/>
          <w:lang w:val="fr-CA"/>
        </w:rPr>
        <w:t xml:space="preserve"> Procédure civile </w:t>
      </w:r>
      <w:r w:rsidR="00F21B17" w:rsidRPr="00A82D21">
        <w:rPr>
          <w:i/>
          <w:szCs w:val="24"/>
          <w:lang w:val="fr-CA"/>
        </w:rPr>
        <w:t>—</w:t>
      </w:r>
      <w:r w:rsidRPr="00A82D21">
        <w:rPr>
          <w:i/>
          <w:szCs w:val="24"/>
          <w:lang w:val="fr-CA"/>
        </w:rPr>
        <w:t xml:space="preserve"> Communication de la preuve </w:t>
      </w:r>
      <w:r w:rsidR="00F21B17" w:rsidRPr="00A82D21">
        <w:rPr>
          <w:i/>
          <w:szCs w:val="24"/>
          <w:lang w:val="fr-CA"/>
        </w:rPr>
        <w:t>—</w:t>
      </w:r>
      <w:r w:rsidRPr="00A82D21">
        <w:rPr>
          <w:i/>
          <w:szCs w:val="24"/>
          <w:lang w:val="fr-CA"/>
        </w:rPr>
        <w:t xml:space="preserve"> Requête sollicitant la communication de documents déposée dans le cadre d</w:t>
      </w:r>
      <w:r w:rsidR="00D70D07" w:rsidRPr="00A82D21">
        <w:rPr>
          <w:i/>
          <w:szCs w:val="24"/>
          <w:lang w:val="fr-CA"/>
        </w:rPr>
        <w:t>’</w:t>
      </w:r>
      <w:r w:rsidRPr="00A82D21">
        <w:rPr>
          <w:i/>
          <w:szCs w:val="24"/>
          <w:lang w:val="fr-CA"/>
        </w:rPr>
        <w:t>un recours collectif et demandant la communication par un tiers d</w:t>
      </w:r>
      <w:r w:rsidR="00D70D07" w:rsidRPr="00A82D21">
        <w:rPr>
          <w:i/>
          <w:szCs w:val="24"/>
          <w:lang w:val="fr-CA"/>
        </w:rPr>
        <w:t>’</w:t>
      </w:r>
      <w:r w:rsidRPr="00A82D21">
        <w:rPr>
          <w:i/>
          <w:szCs w:val="24"/>
          <w:lang w:val="fr-CA"/>
        </w:rPr>
        <w:t>enregistrements de communications privées interceptées dans le cadre d</w:t>
      </w:r>
      <w:r w:rsidR="00D70D07" w:rsidRPr="00A82D21">
        <w:rPr>
          <w:i/>
          <w:szCs w:val="24"/>
          <w:lang w:val="fr-CA"/>
        </w:rPr>
        <w:t>’</w:t>
      </w:r>
      <w:r w:rsidRPr="00A82D21">
        <w:rPr>
          <w:i/>
          <w:szCs w:val="24"/>
          <w:lang w:val="fr-CA"/>
        </w:rPr>
        <w:t xml:space="preserve">une enquête pénale </w:t>
      </w:r>
      <w:r w:rsidR="00F21B17" w:rsidRPr="00A82D21">
        <w:rPr>
          <w:i/>
          <w:szCs w:val="24"/>
          <w:lang w:val="fr-CA"/>
        </w:rPr>
        <w:t>—</w:t>
      </w:r>
      <w:r w:rsidRPr="00A82D21">
        <w:rPr>
          <w:i/>
          <w:szCs w:val="24"/>
          <w:lang w:val="fr-CA"/>
        </w:rPr>
        <w:t xml:space="preserve"> Défendeurs dans le recours collectif s</w:t>
      </w:r>
      <w:r w:rsidR="00D70D07" w:rsidRPr="00A82D21">
        <w:rPr>
          <w:i/>
          <w:szCs w:val="24"/>
          <w:lang w:val="fr-CA"/>
        </w:rPr>
        <w:t>’</w:t>
      </w:r>
      <w:r w:rsidRPr="00A82D21">
        <w:rPr>
          <w:i/>
          <w:szCs w:val="24"/>
          <w:lang w:val="fr-CA"/>
        </w:rPr>
        <w:t>opposant à la communication au motif qu</w:t>
      </w:r>
      <w:r w:rsidR="00D70D07" w:rsidRPr="00A82D21">
        <w:rPr>
          <w:i/>
          <w:szCs w:val="24"/>
          <w:lang w:val="fr-CA"/>
        </w:rPr>
        <w:t>’</w:t>
      </w:r>
      <w:r w:rsidRPr="00A82D21">
        <w:rPr>
          <w:i/>
          <w:szCs w:val="24"/>
          <w:lang w:val="fr-CA"/>
        </w:rPr>
        <w:t xml:space="preserve">il existe des immunités de divulgation de source légale et prétorienne </w:t>
      </w:r>
      <w:r w:rsidR="00F21B17" w:rsidRPr="00A82D21">
        <w:rPr>
          <w:i/>
          <w:szCs w:val="24"/>
          <w:lang w:val="fr-CA"/>
        </w:rPr>
        <w:t>—</w:t>
      </w:r>
      <w:r w:rsidRPr="00A82D21">
        <w:rPr>
          <w:i/>
          <w:szCs w:val="24"/>
          <w:lang w:val="fr-CA"/>
        </w:rPr>
        <w:t xml:space="preserve"> Une partie à un recours civil peut</w:t>
      </w:r>
      <w:r w:rsidR="007962BB" w:rsidRPr="00A82D21">
        <w:rPr>
          <w:i/>
          <w:szCs w:val="24"/>
          <w:lang w:val="fr-CA"/>
        </w:rPr>
        <w:t>-</w:t>
      </w:r>
      <w:r w:rsidRPr="00A82D21">
        <w:rPr>
          <w:i/>
          <w:szCs w:val="24"/>
          <w:lang w:val="fr-CA"/>
        </w:rPr>
        <w:t>elle demander que lui soient communiqués des enregistrements de conversations privées interceptées par l</w:t>
      </w:r>
      <w:r w:rsidR="00D70D07" w:rsidRPr="00A82D21">
        <w:rPr>
          <w:i/>
          <w:szCs w:val="24"/>
          <w:lang w:val="fr-CA"/>
        </w:rPr>
        <w:t>’</w:t>
      </w:r>
      <w:r w:rsidRPr="00A82D21">
        <w:rPr>
          <w:i/>
          <w:szCs w:val="24"/>
          <w:lang w:val="fr-CA"/>
        </w:rPr>
        <w:t>État dans le cadre d</w:t>
      </w:r>
      <w:r w:rsidR="00D70D07" w:rsidRPr="00A82D21">
        <w:rPr>
          <w:i/>
          <w:szCs w:val="24"/>
          <w:lang w:val="fr-CA"/>
        </w:rPr>
        <w:t>’</w:t>
      </w:r>
      <w:r w:rsidRPr="00A82D21">
        <w:rPr>
          <w:i/>
          <w:szCs w:val="24"/>
          <w:lang w:val="fr-CA"/>
        </w:rPr>
        <w:t xml:space="preserve">une enquête pénale? </w:t>
      </w:r>
      <w:r w:rsidR="00F21B17" w:rsidRPr="00A82D21">
        <w:rPr>
          <w:i/>
          <w:szCs w:val="24"/>
          <w:lang w:val="fr-CA"/>
        </w:rPr>
        <w:t>—</w:t>
      </w:r>
      <w:r w:rsidRPr="00A82D21">
        <w:rPr>
          <w:i/>
          <w:szCs w:val="24"/>
          <w:lang w:val="fr-CA"/>
        </w:rPr>
        <w:t xml:space="preserve"> Comment les modalités et les limites de la communication doivent</w:t>
      </w:r>
      <w:r w:rsidR="007962BB" w:rsidRPr="00A82D21">
        <w:rPr>
          <w:i/>
          <w:szCs w:val="24"/>
          <w:lang w:val="fr-CA"/>
        </w:rPr>
        <w:t>-</w:t>
      </w:r>
      <w:r w:rsidRPr="00A82D21">
        <w:rPr>
          <w:i/>
          <w:szCs w:val="24"/>
          <w:lang w:val="fr-CA"/>
        </w:rPr>
        <w:t xml:space="preserve">elles être établies? </w:t>
      </w:r>
      <w:r w:rsidR="00F21B17" w:rsidRPr="00A82D21">
        <w:rPr>
          <w:i/>
          <w:szCs w:val="24"/>
          <w:lang w:val="fr-CA"/>
        </w:rPr>
        <w:t>—</w:t>
      </w:r>
      <w:r w:rsidRPr="00A82D21">
        <w:rPr>
          <w:i/>
          <w:szCs w:val="24"/>
          <w:lang w:val="fr-CA"/>
        </w:rPr>
        <w:t xml:space="preserve"> Code de procédure civile, RLRQ, </w:t>
      </w:r>
      <w:r w:rsidR="00F21B17" w:rsidRPr="00A82D21">
        <w:rPr>
          <w:i/>
          <w:szCs w:val="24"/>
          <w:lang w:val="fr-CA"/>
        </w:rPr>
        <w:t>ch.</w:t>
      </w:r>
      <w:r w:rsidR="007962BB" w:rsidRPr="00A82D21">
        <w:rPr>
          <w:i/>
          <w:szCs w:val="24"/>
          <w:lang w:val="fr-CA"/>
        </w:rPr>
        <w:t xml:space="preserve"> </w:t>
      </w:r>
      <w:r w:rsidRPr="00A82D21">
        <w:rPr>
          <w:i/>
          <w:szCs w:val="24"/>
          <w:lang w:val="fr-CA"/>
        </w:rPr>
        <w:t>C</w:t>
      </w:r>
      <w:r w:rsidR="007962BB" w:rsidRPr="00A82D21">
        <w:rPr>
          <w:i/>
          <w:szCs w:val="24"/>
          <w:lang w:val="fr-CA"/>
        </w:rPr>
        <w:t>-</w:t>
      </w:r>
      <w:r w:rsidRPr="00A82D21">
        <w:rPr>
          <w:i/>
          <w:szCs w:val="24"/>
          <w:lang w:val="fr-CA"/>
        </w:rPr>
        <w:t xml:space="preserve">25, </w:t>
      </w:r>
      <w:r w:rsidR="00F21B17" w:rsidRPr="00A82D21">
        <w:rPr>
          <w:i/>
          <w:szCs w:val="24"/>
          <w:lang w:val="fr-CA"/>
        </w:rPr>
        <w:t>art.</w:t>
      </w:r>
      <w:r w:rsidR="007962BB" w:rsidRPr="00A82D21">
        <w:rPr>
          <w:i/>
          <w:szCs w:val="24"/>
          <w:lang w:val="fr-CA"/>
        </w:rPr>
        <w:t xml:space="preserve"> </w:t>
      </w:r>
      <w:r w:rsidRPr="00A82D21">
        <w:rPr>
          <w:i/>
          <w:szCs w:val="24"/>
          <w:lang w:val="fr-CA"/>
        </w:rPr>
        <w:t>402</w:t>
      </w:r>
      <w:r w:rsidR="00544A20" w:rsidRPr="00A82D21">
        <w:rPr>
          <w:i/>
          <w:szCs w:val="24"/>
          <w:lang w:val="fr-CA"/>
        </w:rPr>
        <w:t xml:space="preserve"> —</w:t>
      </w:r>
      <w:r w:rsidRPr="00A82D21">
        <w:rPr>
          <w:i/>
          <w:szCs w:val="24"/>
          <w:lang w:val="fr-CA"/>
        </w:rPr>
        <w:t xml:space="preserve"> Code criminel, </w:t>
      </w:r>
      <w:r w:rsidRPr="00A82D21">
        <w:rPr>
          <w:i/>
          <w:szCs w:val="24"/>
          <w:lang w:val="fr-CA"/>
        </w:rPr>
        <w:lastRenderedPageBreak/>
        <w:t xml:space="preserve">L.R.C. 1985, </w:t>
      </w:r>
      <w:r w:rsidR="00F21B17" w:rsidRPr="00A82D21">
        <w:rPr>
          <w:i/>
          <w:szCs w:val="24"/>
          <w:lang w:val="fr-CA"/>
        </w:rPr>
        <w:t>ch.</w:t>
      </w:r>
      <w:r w:rsidR="007962BB" w:rsidRPr="00A82D21">
        <w:rPr>
          <w:i/>
          <w:szCs w:val="24"/>
          <w:lang w:val="fr-CA"/>
        </w:rPr>
        <w:t xml:space="preserve"> </w:t>
      </w:r>
      <w:r w:rsidRPr="00A82D21">
        <w:rPr>
          <w:i/>
          <w:szCs w:val="24"/>
          <w:lang w:val="fr-CA"/>
        </w:rPr>
        <w:t>C</w:t>
      </w:r>
      <w:r w:rsidR="007962BB" w:rsidRPr="00A82D21">
        <w:rPr>
          <w:i/>
          <w:szCs w:val="24"/>
          <w:lang w:val="fr-CA"/>
        </w:rPr>
        <w:t>-</w:t>
      </w:r>
      <w:r w:rsidRPr="00A82D21">
        <w:rPr>
          <w:i/>
          <w:szCs w:val="24"/>
          <w:lang w:val="fr-CA"/>
        </w:rPr>
        <w:t xml:space="preserve">46, </w:t>
      </w:r>
      <w:r w:rsidR="00893AA4" w:rsidRPr="00A82D21">
        <w:rPr>
          <w:i/>
          <w:szCs w:val="24"/>
          <w:lang w:val="fr-CA"/>
        </w:rPr>
        <w:t xml:space="preserve">art. </w:t>
      </w:r>
      <w:r w:rsidR="00276FC0" w:rsidRPr="00A82D21">
        <w:rPr>
          <w:i/>
          <w:szCs w:val="24"/>
          <w:lang w:val="fr-CA"/>
        </w:rPr>
        <w:t>193(2)</w:t>
      </w:r>
      <w:r w:rsidRPr="00A82D21">
        <w:rPr>
          <w:i/>
          <w:szCs w:val="24"/>
          <w:lang w:val="fr-CA"/>
        </w:rPr>
        <w:t xml:space="preserve">a) </w:t>
      </w:r>
      <w:r w:rsidR="00F21B17" w:rsidRPr="00A82D21">
        <w:rPr>
          <w:i/>
          <w:szCs w:val="24"/>
          <w:lang w:val="fr-CA"/>
        </w:rPr>
        <w:t>—</w:t>
      </w:r>
      <w:r w:rsidRPr="00A82D21">
        <w:rPr>
          <w:i/>
          <w:szCs w:val="24"/>
          <w:lang w:val="fr-CA"/>
        </w:rPr>
        <w:t xml:space="preserve"> Loi sur la concurrence, L.R.C. 1985, </w:t>
      </w:r>
      <w:r w:rsidR="00F21B17" w:rsidRPr="00A82D21">
        <w:rPr>
          <w:i/>
          <w:szCs w:val="24"/>
          <w:lang w:val="fr-CA"/>
        </w:rPr>
        <w:t>ch.</w:t>
      </w:r>
      <w:r w:rsidR="007962BB" w:rsidRPr="00A82D21">
        <w:rPr>
          <w:i/>
          <w:szCs w:val="24"/>
          <w:lang w:val="fr-CA"/>
        </w:rPr>
        <w:t xml:space="preserve"> </w:t>
      </w:r>
      <w:r w:rsidRPr="00A82D21">
        <w:rPr>
          <w:i/>
          <w:szCs w:val="24"/>
          <w:lang w:val="fr-CA"/>
        </w:rPr>
        <w:t>C</w:t>
      </w:r>
      <w:r w:rsidR="007962BB" w:rsidRPr="00A82D21">
        <w:rPr>
          <w:i/>
          <w:szCs w:val="24"/>
          <w:lang w:val="fr-CA"/>
        </w:rPr>
        <w:t>-</w:t>
      </w:r>
      <w:r w:rsidRPr="00A82D21">
        <w:rPr>
          <w:i/>
          <w:szCs w:val="24"/>
          <w:lang w:val="fr-CA"/>
        </w:rPr>
        <w:t xml:space="preserve">34, </w:t>
      </w:r>
      <w:r w:rsidR="00F21B17" w:rsidRPr="00A82D21">
        <w:rPr>
          <w:i/>
          <w:szCs w:val="24"/>
          <w:lang w:val="fr-CA"/>
        </w:rPr>
        <w:t>art.</w:t>
      </w:r>
      <w:r w:rsidR="007962BB" w:rsidRPr="00A82D21">
        <w:rPr>
          <w:i/>
          <w:szCs w:val="24"/>
          <w:lang w:val="fr-CA"/>
        </w:rPr>
        <w:t xml:space="preserve"> </w:t>
      </w:r>
      <w:r w:rsidRPr="00A82D21">
        <w:rPr>
          <w:i/>
          <w:szCs w:val="24"/>
          <w:lang w:val="fr-CA"/>
        </w:rPr>
        <w:t>29, 36.</w:t>
      </w:r>
    </w:p>
    <w:p w:rsidR="007922D6" w:rsidRPr="00A82D21" w:rsidRDefault="007922D6" w:rsidP="007962BB">
      <w:pPr>
        <w:pStyle w:val="SCCNormalDoubleSpacing"/>
        <w:widowControl w:val="0"/>
        <w:spacing w:after="480"/>
        <w:rPr>
          <w:szCs w:val="24"/>
          <w:lang w:val="fr-CA"/>
        </w:rPr>
      </w:pPr>
      <w:r w:rsidRPr="00A82D21">
        <w:rPr>
          <w:szCs w:val="24"/>
          <w:lang w:val="fr-CA"/>
        </w:rPr>
        <w:tab/>
        <w:t>Pour mener à bien l</w:t>
      </w:r>
      <w:r w:rsidR="00D70D07" w:rsidRPr="00A82D21">
        <w:rPr>
          <w:szCs w:val="24"/>
          <w:lang w:val="fr-CA"/>
        </w:rPr>
        <w:t>’</w:t>
      </w:r>
      <w:r w:rsidRPr="00A82D21">
        <w:rPr>
          <w:szCs w:val="24"/>
          <w:lang w:val="fr-CA"/>
        </w:rPr>
        <w:t xml:space="preserve">enquête </w:t>
      </w:r>
      <w:r w:rsidR="003D19FF" w:rsidRPr="00A82D21">
        <w:rPr>
          <w:szCs w:val="24"/>
          <w:lang w:val="fr-CA"/>
        </w:rPr>
        <w:t>« </w:t>
      </w:r>
      <w:r w:rsidRPr="00A82D21">
        <w:rPr>
          <w:szCs w:val="24"/>
          <w:lang w:val="fr-CA"/>
        </w:rPr>
        <w:t>Octane</w:t>
      </w:r>
      <w:r w:rsidR="003D19FF" w:rsidRPr="00A82D21">
        <w:rPr>
          <w:szCs w:val="24"/>
          <w:lang w:val="fr-CA"/>
        </w:rPr>
        <w:t> »</w:t>
      </w:r>
      <w:r w:rsidRPr="00A82D21">
        <w:rPr>
          <w:szCs w:val="24"/>
          <w:lang w:val="fr-CA"/>
        </w:rPr>
        <w:t xml:space="preserve"> sur des allégations de complot en vue de fixer les prix de l</w:t>
      </w:r>
      <w:r w:rsidR="00D70D07" w:rsidRPr="00A82D21">
        <w:rPr>
          <w:szCs w:val="24"/>
          <w:lang w:val="fr-CA"/>
        </w:rPr>
        <w:t>’</w:t>
      </w:r>
      <w:r w:rsidRPr="00A82D21">
        <w:rPr>
          <w:szCs w:val="24"/>
          <w:lang w:val="fr-CA"/>
        </w:rPr>
        <w:t xml:space="preserve">essence à la pompe dans certaines régions du Québec, le Bureau de la concurrence du Canada obtient, en vertu de la Partie VI du </w:t>
      </w:r>
      <w:r w:rsidRPr="00A82D21">
        <w:rPr>
          <w:i/>
          <w:szCs w:val="24"/>
          <w:lang w:val="fr-CA"/>
        </w:rPr>
        <w:t>Code criminel</w:t>
      </w:r>
      <w:r w:rsidRPr="00A82D21">
        <w:rPr>
          <w:szCs w:val="24"/>
          <w:lang w:val="fr-CA"/>
        </w:rPr>
        <w:t>, des autorisations judiciaires qui lui permettent d</w:t>
      </w:r>
      <w:r w:rsidR="00D70D07" w:rsidRPr="00A82D21">
        <w:rPr>
          <w:szCs w:val="24"/>
          <w:lang w:val="fr-CA"/>
        </w:rPr>
        <w:t>’</w:t>
      </w:r>
      <w:r w:rsidRPr="00A82D21">
        <w:rPr>
          <w:szCs w:val="24"/>
          <w:lang w:val="fr-CA"/>
        </w:rPr>
        <w:t>intercepter et d</w:t>
      </w:r>
      <w:r w:rsidR="00D70D07" w:rsidRPr="00A82D21">
        <w:rPr>
          <w:szCs w:val="24"/>
          <w:lang w:val="fr-CA"/>
        </w:rPr>
        <w:t>’</w:t>
      </w:r>
      <w:r w:rsidRPr="00A82D21">
        <w:rPr>
          <w:szCs w:val="24"/>
          <w:lang w:val="fr-CA"/>
        </w:rPr>
        <w:t>enregistrer plus de 220</w:t>
      </w:r>
      <w:r w:rsidR="007962BB" w:rsidRPr="00A82D21">
        <w:rPr>
          <w:szCs w:val="24"/>
          <w:lang w:val="fr-CA"/>
        </w:rPr>
        <w:t xml:space="preserve"> </w:t>
      </w:r>
      <w:r w:rsidRPr="00A82D21">
        <w:rPr>
          <w:szCs w:val="24"/>
          <w:lang w:val="fr-CA"/>
        </w:rPr>
        <w:t>000 communications privées</w:t>
      </w:r>
      <w:r w:rsidR="00F45EEA" w:rsidRPr="00A82D21">
        <w:rPr>
          <w:szCs w:val="24"/>
          <w:lang w:val="fr-CA"/>
        </w:rPr>
        <w:t xml:space="preserve">. </w:t>
      </w:r>
      <w:r w:rsidRPr="00A82D21">
        <w:rPr>
          <w:szCs w:val="24"/>
          <w:lang w:val="fr-CA"/>
        </w:rPr>
        <w:t>L</w:t>
      </w:r>
      <w:r w:rsidR="00D70D07" w:rsidRPr="00A82D21">
        <w:rPr>
          <w:szCs w:val="24"/>
          <w:lang w:val="fr-CA"/>
        </w:rPr>
        <w:t>’</w:t>
      </w:r>
      <w:r w:rsidRPr="00A82D21">
        <w:rPr>
          <w:szCs w:val="24"/>
          <w:lang w:val="fr-CA"/>
        </w:rPr>
        <w:t>enquête conduit au dépôt d</w:t>
      </w:r>
      <w:r w:rsidR="00D70D07" w:rsidRPr="00A82D21">
        <w:rPr>
          <w:szCs w:val="24"/>
          <w:lang w:val="fr-CA"/>
        </w:rPr>
        <w:t>’</w:t>
      </w:r>
      <w:r w:rsidRPr="00A82D21">
        <w:rPr>
          <w:szCs w:val="24"/>
          <w:lang w:val="fr-CA"/>
        </w:rPr>
        <w:t>accusations contre 54 personnes, dont certains des appelants</w:t>
      </w:r>
      <w:r w:rsidR="00F45EEA" w:rsidRPr="00A82D21">
        <w:rPr>
          <w:szCs w:val="24"/>
          <w:lang w:val="fr-CA"/>
        </w:rPr>
        <w:t xml:space="preserve">. </w:t>
      </w:r>
      <w:r w:rsidRPr="00A82D21">
        <w:rPr>
          <w:szCs w:val="24"/>
          <w:lang w:val="fr-CA"/>
        </w:rPr>
        <w:t>Parallèlement aux procédures pénales, les intimés intentent un recours collectif reprochant à plusieurs personnes, dont les appelants, de s</w:t>
      </w:r>
      <w:r w:rsidR="00D70D07" w:rsidRPr="00A82D21">
        <w:rPr>
          <w:szCs w:val="24"/>
          <w:lang w:val="fr-CA"/>
        </w:rPr>
        <w:t>’</w:t>
      </w:r>
      <w:r w:rsidRPr="00A82D21">
        <w:rPr>
          <w:szCs w:val="24"/>
          <w:lang w:val="fr-CA"/>
        </w:rPr>
        <w:t xml:space="preserve">être livrées à des activités anticoncurrentielles, en violation des devoirs imposés par </w:t>
      </w:r>
      <w:proofErr w:type="gramStart"/>
      <w:r w:rsidRPr="00A82D21">
        <w:rPr>
          <w:szCs w:val="24"/>
          <w:lang w:val="fr-CA"/>
        </w:rPr>
        <w:t xml:space="preserve">les </w:t>
      </w:r>
      <w:r w:rsidR="00F21B17" w:rsidRPr="00A82D21">
        <w:rPr>
          <w:szCs w:val="24"/>
          <w:lang w:val="fr-CA"/>
        </w:rPr>
        <w:t>art</w:t>
      </w:r>
      <w:proofErr w:type="gramEnd"/>
      <w:r w:rsidR="00F21B17" w:rsidRPr="00A82D21">
        <w:rPr>
          <w:szCs w:val="24"/>
          <w:lang w:val="fr-CA"/>
        </w:rPr>
        <w:t>.</w:t>
      </w:r>
      <w:r w:rsidR="007962BB" w:rsidRPr="00A82D21">
        <w:rPr>
          <w:szCs w:val="24"/>
          <w:lang w:val="fr-CA"/>
        </w:rPr>
        <w:t xml:space="preserve"> </w:t>
      </w:r>
      <w:r w:rsidRPr="00A82D21">
        <w:rPr>
          <w:szCs w:val="24"/>
          <w:lang w:val="fr-CA"/>
        </w:rPr>
        <w:t>1457</w:t>
      </w:r>
      <w:r w:rsidR="00942A81" w:rsidRPr="00A82D21">
        <w:rPr>
          <w:szCs w:val="24"/>
          <w:lang w:val="fr-CA"/>
        </w:rPr>
        <w:t xml:space="preserve"> du </w:t>
      </w:r>
      <w:r w:rsidR="00942A81" w:rsidRPr="00A82D21">
        <w:rPr>
          <w:i/>
          <w:szCs w:val="24"/>
          <w:lang w:val="fr-CA"/>
        </w:rPr>
        <w:t>Code civil du Québec</w:t>
      </w:r>
      <w:r w:rsidR="00942A81" w:rsidRPr="00A82D21">
        <w:rPr>
          <w:szCs w:val="24"/>
          <w:lang w:val="fr-CA"/>
        </w:rPr>
        <w:t xml:space="preserve"> (</w:t>
      </w:r>
      <w:r w:rsidR="003D19FF" w:rsidRPr="00A82D21">
        <w:rPr>
          <w:szCs w:val="24"/>
          <w:lang w:val="fr-CA"/>
        </w:rPr>
        <w:t>« </w:t>
      </w:r>
      <w:r w:rsidRPr="00A82D21">
        <w:rPr>
          <w:i/>
          <w:szCs w:val="24"/>
          <w:lang w:val="fr-CA"/>
        </w:rPr>
        <w:t>C.c.Q.</w:t>
      </w:r>
      <w:r w:rsidR="003D19FF" w:rsidRPr="00A82D21">
        <w:rPr>
          <w:szCs w:val="24"/>
          <w:lang w:val="fr-CA"/>
        </w:rPr>
        <w:t> »</w:t>
      </w:r>
      <w:r w:rsidR="00942A81" w:rsidRPr="00A82D21">
        <w:rPr>
          <w:szCs w:val="24"/>
          <w:lang w:val="fr-CA"/>
        </w:rPr>
        <w:t>)</w:t>
      </w:r>
      <w:r w:rsidRPr="00A82D21">
        <w:rPr>
          <w:szCs w:val="24"/>
          <w:lang w:val="fr-CA"/>
        </w:rPr>
        <w:t xml:space="preserve"> et 36 de la </w:t>
      </w:r>
      <w:r w:rsidRPr="00A82D21">
        <w:rPr>
          <w:i/>
          <w:szCs w:val="24"/>
          <w:lang w:val="fr-CA"/>
        </w:rPr>
        <w:t>Loi sur la concurrence</w:t>
      </w:r>
      <w:r w:rsidR="00F45EEA" w:rsidRPr="00A82D21">
        <w:rPr>
          <w:szCs w:val="24"/>
          <w:lang w:val="fr-CA"/>
        </w:rPr>
        <w:t xml:space="preserve">. </w:t>
      </w:r>
      <w:r w:rsidRPr="00A82D21">
        <w:rPr>
          <w:szCs w:val="24"/>
          <w:lang w:val="fr-CA"/>
        </w:rPr>
        <w:t>Dans le but d</w:t>
      </w:r>
      <w:r w:rsidR="00D70D07" w:rsidRPr="00A82D21">
        <w:rPr>
          <w:szCs w:val="24"/>
          <w:lang w:val="fr-CA"/>
        </w:rPr>
        <w:t>’</w:t>
      </w:r>
      <w:r w:rsidRPr="00A82D21">
        <w:rPr>
          <w:szCs w:val="24"/>
          <w:lang w:val="fr-CA"/>
        </w:rPr>
        <w:t>étayer leur recours, ils déposent, conformément à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402</w:t>
      </w:r>
      <w:r w:rsidR="00942A81" w:rsidRPr="00A82D21">
        <w:rPr>
          <w:szCs w:val="24"/>
          <w:lang w:val="fr-CA"/>
        </w:rPr>
        <w:t xml:space="preserve"> du </w:t>
      </w:r>
      <w:r w:rsidR="00942A81" w:rsidRPr="00A82D21">
        <w:rPr>
          <w:i/>
          <w:szCs w:val="24"/>
          <w:lang w:val="fr-CA"/>
        </w:rPr>
        <w:t>Code de procédure civile</w:t>
      </w:r>
      <w:r w:rsidR="00942A81" w:rsidRPr="00A82D21">
        <w:rPr>
          <w:szCs w:val="24"/>
          <w:lang w:val="fr-CA"/>
        </w:rPr>
        <w:t xml:space="preserve"> (</w:t>
      </w:r>
      <w:r w:rsidR="003D19FF" w:rsidRPr="00A82D21">
        <w:rPr>
          <w:szCs w:val="24"/>
          <w:lang w:val="fr-CA"/>
        </w:rPr>
        <w:t>« </w:t>
      </w:r>
      <w:r w:rsidRPr="00A82D21">
        <w:rPr>
          <w:i/>
          <w:szCs w:val="24"/>
          <w:lang w:val="fr-CA"/>
        </w:rPr>
        <w:t>C.p.c.</w:t>
      </w:r>
      <w:r w:rsidR="003D19FF" w:rsidRPr="00A82D21">
        <w:rPr>
          <w:szCs w:val="24"/>
          <w:lang w:val="fr-CA"/>
        </w:rPr>
        <w:t> »</w:t>
      </w:r>
      <w:r w:rsidR="00942A81" w:rsidRPr="00A82D21">
        <w:rPr>
          <w:szCs w:val="24"/>
          <w:lang w:val="fr-CA"/>
        </w:rPr>
        <w:t>)</w:t>
      </w:r>
      <w:r w:rsidRPr="00A82D21">
        <w:rPr>
          <w:szCs w:val="24"/>
          <w:lang w:val="fr-CA"/>
        </w:rPr>
        <w:t>, une requête sollicitant du Directeur des poursuites pénales du Canada et du Bureau de la concurrence la communication des enregistrements déjà communiqués aux accusés dans les procédures pénales parallèles</w:t>
      </w:r>
      <w:r w:rsidR="00F45EEA" w:rsidRPr="00A82D21">
        <w:rPr>
          <w:szCs w:val="24"/>
          <w:lang w:val="fr-CA"/>
        </w:rPr>
        <w:t xml:space="preserve">. </w:t>
      </w:r>
      <w:r w:rsidRPr="00A82D21">
        <w:rPr>
          <w:szCs w:val="24"/>
          <w:lang w:val="fr-CA"/>
        </w:rPr>
        <w:t>Les appelants s</w:t>
      </w:r>
      <w:r w:rsidR="00D70D07" w:rsidRPr="00A82D21">
        <w:rPr>
          <w:szCs w:val="24"/>
          <w:lang w:val="fr-CA"/>
        </w:rPr>
        <w:t>’</w:t>
      </w:r>
      <w:r w:rsidR="00F81058" w:rsidRPr="00A82D21">
        <w:rPr>
          <w:szCs w:val="24"/>
          <w:lang w:val="fr-CA"/>
        </w:rPr>
        <w:t xml:space="preserve">y </w:t>
      </w:r>
      <w:r w:rsidRPr="00A82D21">
        <w:rPr>
          <w:szCs w:val="24"/>
          <w:lang w:val="fr-CA"/>
        </w:rPr>
        <w:t>opposent</w:t>
      </w:r>
      <w:r w:rsidR="00F45EEA" w:rsidRPr="00A82D21">
        <w:rPr>
          <w:szCs w:val="24"/>
          <w:lang w:val="fr-CA"/>
        </w:rPr>
        <w:t xml:space="preserve">. </w:t>
      </w:r>
    </w:p>
    <w:p w:rsidR="007922D6" w:rsidRPr="00A82D21" w:rsidRDefault="007922D6" w:rsidP="007962BB">
      <w:pPr>
        <w:pStyle w:val="SCCNormalDoubleSpacing"/>
        <w:widowControl w:val="0"/>
        <w:spacing w:after="480"/>
        <w:rPr>
          <w:szCs w:val="24"/>
          <w:lang w:val="fr-CA"/>
        </w:rPr>
      </w:pPr>
      <w:r w:rsidRPr="00A82D21">
        <w:rPr>
          <w:szCs w:val="24"/>
          <w:lang w:val="fr-CA"/>
        </w:rPr>
        <w:tab/>
        <w:t>D</w:t>
      </w:r>
      <w:r w:rsidR="00D70D07" w:rsidRPr="00A82D21">
        <w:rPr>
          <w:szCs w:val="24"/>
          <w:lang w:val="fr-CA"/>
        </w:rPr>
        <w:t>’</w:t>
      </w:r>
      <w:r w:rsidRPr="00A82D21">
        <w:rPr>
          <w:szCs w:val="24"/>
          <w:lang w:val="fr-CA"/>
        </w:rPr>
        <w:t xml:space="preserve">avis que les éléments de preuve sollicités par les intimés sont pertinents et que ni la </w:t>
      </w:r>
      <w:r w:rsidRPr="00A82D21">
        <w:rPr>
          <w:i/>
          <w:szCs w:val="24"/>
          <w:lang w:val="fr-CA"/>
        </w:rPr>
        <w:t>Loi sur la concurrence</w:t>
      </w:r>
      <w:r w:rsidRPr="00A82D21">
        <w:rPr>
          <w:szCs w:val="24"/>
          <w:lang w:val="fr-CA"/>
        </w:rPr>
        <w:t xml:space="preserve"> ni le </w:t>
      </w:r>
      <w:r w:rsidRPr="00A82D21">
        <w:rPr>
          <w:i/>
          <w:szCs w:val="24"/>
          <w:lang w:val="fr-CA"/>
        </w:rPr>
        <w:t>Code criminel</w:t>
      </w:r>
      <w:r w:rsidRPr="00A82D21">
        <w:rPr>
          <w:szCs w:val="24"/>
          <w:lang w:val="fr-CA"/>
        </w:rPr>
        <w:t xml:space="preserve"> ne créent d</w:t>
      </w:r>
      <w:r w:rsidR="00D70D07" w:rsidRPr="00A82D21">
        <w:rPr>
          <w:szCs w:val="24"/>
          <w:lang w:val="fr-CA"/>
        </w:rPr>
        <w:t>’</w:t>
      </w:r>
      <w:r w:rsidRPr="00A82D21">
        <w:rPr>
          <w:szCs w:val="24"/>
          <w:lang w:val="fr-CA"/>
        </w:rPr>
        <w:t>immunité de divulgation, la Cour supérieure accueille la requête</w:t>
      </w:r>
      <w:r w:rsidR="00F45EEA" w:rsidRPr="00A82D21">
        <w:rPr>
          <w:szCs w:val="24"/>
          <w:lang w:val="fr-CA"/>
        </w:rPr>
        <w:t xml:space="preserve">. </w:t>
      </w:r>
      <w:r w:rsidRPr="00A82D21">
        <w:rPr>
          <w:szCs w:val="24"/>
          <w:lang w:val="fr-CA"/>
        </w:rPr>
        <w:t>Afin d</w:t>
      </w:r>
      <w:r w:rsidR="00D70D07" w:rsidRPr="00A82D21">
        <w:rPr>
          <w:szCs w:val="24"/>
          <w:lang w:val="fr-CA"/>
        </w:rPr>
        <w:t>’</w:t>
      </w:r>
      <w:r w:rsidRPr="00A82D21">
        <w:rPr>
          <w:szCs w:val="24"/>
          <w:lang w:val="fr-CA"/>
        </w:rPr>
        <w:t>encadrer le processus de communication des documents et l</w:t>
      </w:r>
      <w:r w:rsidR="00D70D07" w:rsidRPr="00A82D21">
        <w:rPr>
          <w:szCs w:val="24"/>
          <w:lang w:val="fr-CA"/>
        </w:rPr>
        <w:t>’</w:t>
      </w:r>
      <w:r w:rsidRPr="00A82D21">
        <w:rPr>
          <w:szCs w:val="24"/>
          <w:lang w:val="fr-CA"/>
        </w:rPr>
        <w:t>étendue de celle</w:t>
      </w:r>
      <w:r w:rsidR="007962BB" w:rsidRPr="00A82D21">
        <w:rPr>
          <w:szCs w:val="24"/>
          <w:lang w:val="fr-CA"/>
        </w:rPr>
        <w:t>-</w:t>
      </w:r>
      <w:r w:rsidR="00F81058" w:rsidRPr="00A82D21">
        <w:rPr>
          <w:szCs w:val="24"/>
          <w:lang w:val="fr-CA"/>
        </w:rPr>
        <w:t>ci, elle ordonne au d</w:t>
      </w:r>
      <w:r w:rsidRPr="00A82D21">
        <w:rPr>
          <w:szCs w:val="24"/>
          <w:lang w:val="fr-CA"/>
        </w:rPr>
        <w:t xml:space="preserve">irecteur des poursuites pénales et au Bureau de la concurrence de communiquer uniquement aux avocats et experts participant aux procédures civiles les </w:t>
      </w:r>
      <w:r w:rsidRPr="00A82D21">
        <w:rPr>
          <w:szCs w:val="24"/>
          <w:lang w:val="fr-CA"/>
        </w:rPr>
        <w:lastRenderedPageBreak/>
        <w:t>enregistrements demand</w:t>
      </w:r>
      <w:r w:rsidR="00195405" w:rsidRPr="00A82D21">
        <w:rPr>
          <w:szCs w:val="24"/>
          <w:lang w:val="fr-CA"/>
        </w:rPr>
        <w:t>és et de filtrer ceux</w:t>
      </w:r>
      <w:r w:rsidR="007962BB" w:rsidRPr="00A82D21">
        <w:rPr>
          <w:szCs w:val="24"/>
          <w:lang w:val="fr-CA"/>
        </w:rPr>
        <w:t>-</w:t>
      </w:r>
      <w:r w:rsidR="00195405" w:rsidRPr="00A82D21">
        <w:rPr>
          <w:szCs w:val="24"/>
          <w:lang w:val="fr-CA"/>
        </w:rPr>
        <w:t>ci pour</w:t>
      </w:r>
      <w:r w:rsidRPr="00A82D21">
        <w:rPr>
          <w:szCs w:val="24"/>
          <w:lang w:val="fr-CA"/>
        </w:rPr>
        <w:t xml:space="preserve"> protéger la vie privée des tiers complètement étrangers au litige</w:t>
      </w:r>
      <w:r w:rsidR="00F45EEA" w:rsidRPr="00A82D21">
        <w:rPr>
          <w:szCs w:val="24"/>
          <w:lang w:val="fr-CA"/>
        </w:rPr>
        <w:t xml:space="preserve">. </w:t>
      </w:r>
      <w:r w:rsidRPr="00A82D21">
        <w:rPr>
          <w:szCs w:val="24"/>
          <w:lang w:val="fr-CA"/>
        </w:rPr>
        <w:t>La Cour d</w:t>
      </w:r>
      <w:r w:rsidR="00D70D07" w:rsidRPr="00A82D21">
        <w:rPr>
          <w:szCs w:val="24"/>
          <w:lang w:val="fr-CA"/>
        </w:rPr>
        <w:t>’</w:t>
      </w:r>
      <w:r w:rsidRPr="00A82D21">
        <w:rPr>
          <w:szCs w:val="24"/>
          <w:lang w:val="fr-CA"/>
        </w:rPr>
        <w:t>appel refuse la permission d</w:t>
      </w:r>
      <w:r w:rsidR="00D70D07" w:rsidRPr="00A82D21">
        <w:rPr>
          <w:szCs w:val="24"/>
          <w:lang w:val="fr-CA"/>
        </w:rPr>
        <w:t>’</w:t>
      </w:r>
      <w:r w:rsidRPr="00A82D21">
        <w:rPr>
          <w:szCs w:val="24"/>
          <w:lang w:val="fr-CA"/>
        </w:rPr>
        <w:t>appeler de cette décision.</w:t>
      </w:r>
    </w:p>
    <w:p w:rsidR="007922D6" w:rsidRPr="00A82D21" w:rsidRDefault="007922D6" w:rsidP="007962BB">
      <w:pPr>
        <w:pStyle w:val="SCCNormalDoubleSpacing"/>
        <w:widowControl w:val="0"/>
        <w:spacing w:after="480"/>
        <w:rPr>
          <w:szCs w:val="24"/>
          <w:lang w:val="fr-CA"/>
        </w:rPr>
      </w:pPr>
      <w:r w:rsidRPr="00A82D21">
        <w:rPr>
          <w:szCs w:val="24"/>
          <w:lang w:val="fr-CA"/>
        </w:rPr>
        <w:tab/>
      </w:r>
      <w:r w:rsidRPr="00A82D21">
        <w:rPr>
          <w:i/>
          <w:szCs w:val="24"/>
          <w:lang w:val="fr-CA"/>
        </w:rPr>
        <w:t>Arrêt</w:t>
      </w:r>
      <w:r w:rsidR="007962BB" w:rsidRPr="00A82D21">
        <w:rPr>
          <w:szCs w:val="24"/>
          <w:lang w:val="fr-CA"/>
        </w:rPr>
        <w:t> </w:t>
      </w:r>
      <w:r w:rsidR="00F618C1" w:rsidRPr="00A82D21">
        <w:rPr>
          <w:szCs w:val="24"/>
          <w:lang w:val="fr-CA"/>
        </w:rPr>
        <w:t>(la juge Abella est dissidente)</w:t>
      </w:r>
      <w:r w:rsidR="00F81058" w:rsidRPr="00A82D21">
        <w:rPr>
          <w:szCs w:val="24"/>
          <w:lang w:val="fr-CA"/>
        </w:rPr>
        <w:t xml:space="preserve"> </w:t>
      </w:r>
      <w:r w:rsidR="007962BB" w:rsidRPr="00A82D21">
        <w:rPr>
          <w:szCs w:val="24"/>
          <w:lang w:val="fr-CA"/>
        </w:rPr>
        <w:t>:</w:t>
      </w:r>
      <w:r w:rsidRPr="00A82D21">
        <w:rPr>
          <w:szCs w:val="24"/>
          <w:lang w:val="fr-CA"/>
        </w:rPr>
        <w:t xml:space="preserve"> Les pourvois sont rejetés.</w:t>
      </w:r>
    </w:p>
    <w:p w:rsidR="007922D6" w:rsidRPr="00A82D21" w:rsidRDefault="007922D6" w:rsidP="007962BB">
      <w:pPr>
        <w:pStyle w:val="SCCNormalDoubleSpacing"/>
        <w:widowControl w:val="0"/>
        <w:spacing w:after="480"/>
        <w:rPr>
          <w:szCs w:val="24"/>
          <w:lang w:val="fr-CA"/>
        </w:rPr>
      </w:pPr>
      <w:r w:rsidRPr="00A82D21">
        <w:rPr>
          <w:szCs w:val="24"/>
          <w:lang w:val="fr-CA"/>
        </w:rPr>
        <w:tab/>
      </w:r>
      <w:r w:rsidRPr="00A82D21">
        <w:rPr>
          <w:i/>
          <w:szCs w:val="24"/>
          <w:lang w:val="fr-CA"/>
        </w:rPr>
        <w:t>Les</w:t>
      </w:r>
      <w:r w:rsidRPr="00A82D21">
        <w:rPr>
          <w:szCs w:val="24"/>
          <w:lang w:val="fr-CA"/>
        </w:rPr>
        <w:t xml:space="preserve"> juges LeBel, Rothstein, Cromwell, Moldaver et Wagner</w:t>
      </w:r>
      <w:r w:rsidR="007962BB" w:rsidRPr="00A82D21">
        <w:rPr>
          <w:szCs w:val="24"/>
          <w:lang w:val="fr-CA"/>
        </w:rPr>
        <w:t> :</w:t>
      </w:r>
      <w:r w:rsidRPr="00A82D21">
        <w:rPr>
          <w:szCs w:val="24"/>
          <w:lang w:val="fr-CA"/>
        </w:rPr>
        <w:t xml:space="preserve"> Une partie à un recours civil peut demander que lui soient communiqués des enregistrements de conversations privées interceptées par l</w:t>
      </w:r>
      <w:r w:rsidR="00D70D07" w:rsidRPr="00A82D21">
        <w:rPr>
          <w:szCs w:val="24"/>
          <w:lang w:val="fr-CA"/>
        </w:rPr>
        <w:t>’</w:t>
      </w:r>
      <w:r w:rsidRPr="00A82D21">
        <w:rPr>
          <w:szCs w:val="24"/>
          <w:lang w:val="fr-CA"/>
        </w:rPr>
        <w:t>État dans le cadre d</w:t>
      </w:r>
      <w:r w:rsidR="00D70D07" w:rsidRPr="00A82D21">
        <w:rPr>
          <w:szCs w:val="24"/>
          <w:lang w:val="fr-CA"/>
        </w:rPr>
        <w:t>’</w:t>
      </w:r>
      <w:r w:rsidRPr="00A82D21">
        <w:rPr>
          <w:szCs w:val="24"/>
          <w:lang w:val="fr-CA"/>
        </w:rPr>
        <w:t>une enquête pénale. Bien que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29 de la </w:t>
      </w:r>
      <w:r w:rsidRPr="00A82D21">
        <w:rPr>
          <w:i/>
          <w:szCs w:val="24"/>
          <w:lang w:val="fr-CA"/>
        </w:rPr>
        <w:t>Loi sur la concurrence</w:t>
      </w:r>
      <w:r w:rsidRPr="00A82D21">
        <w:rPr>
          <w:szCs w:val="24"/>
          <w:lang w:val="fr-CA"/>
        </w:rPr>
        <w:t xml:space="preserve"> énonce la confidentialité du dossier d</w:t>
      </w:r>
      <w:r w:rsidR="00D70D07" w:rsidRPr="00A82D21">
        <w:rPr>
          <w:szCs w:val="24"/>
          <w:lang w:val="fr-CA"/>
        </w:rPr>
        <w:t>’</w:t>
      </w:r>
      <w:r w:rsidRPr="00A82D21">
        <w:rPr>
          <w:szCs w:val="24"/>
          <w:lang w:val="fr-CA"/>
        </w:rPr>
        <w:t>enquête constitué par le Bureau de la concurrence, il n</w:t>
      </w:r>
      <w:r w:rsidR="00D70D07" w:rsidRPr="00A82D21">
        <w:rPr>
          <w:szCs w:val="24"/>
          <w:lang w:val="fr-CA"/>
        </w:rPr>
        <w:t>’</w:t>
      </w:r>
      <w:r w:rsidRPr="00A82D21">
        <w:rPr>
          <w:szCs w:val="24"/>
          <w:lang w:val="fr-CA"/>
        </w:rPr>
        <w:t xml:space="preserve">interdit pas la communication des conversations privées interceptées en vertu de la partie VI du </w:t>
      </w:r>
      <w:r w:rsidRPr="00A82D21">
        <w:rPr>
          <w:i/>
          <w:szCs w:val="24"/>
          <w:lang w:val="fr-CA"/>
        </w:rPr>
        <w:t>Code criminel</w:t>
      </w:r>
      <w:r w:rsidRPr="00A82D21">
        <w:rPr>
          <w:szCs w:val="24"/>
          <w:lang w:val="fr-CA"/>
        </w:rPr>
        <w:t>, car celles</w:t>
      </w:r>
      <w:r w:rsidR="007962BB" w:rsidRPr="00A82D21">
        <w:rPr>
          <w:szCs w:val="24"/>
          <w:lang w:val="fr-CA"/>
        </w:rPr>
        <w:t>-</w:t>
      </w:r>
      <w:r w:rsidRPr="00A82D21">
        <w:rPr>
          <w:szCs w:val="24"/>
          <w:lang w:val="fr-CA"/>
        </w:rPr>
        <w:t xml:space="preserve">ci ne font pas partie des éléments mentionnés aux </w:t>
      </w:r>
      <w:r w:rsidR="00F21B17" w:rsidRPr="00A82D21">
        <w:rPr>
          <w:szCs w:val="24"/>
          <w:lang w:val="fr-CA"/>
        </w:rPr>
        <w:t>al.</w:t>
      </w:r>
      <w:r w:rsidR="007962BB" w:rsidRPr="00A82D21">
        <w:rPr>
          <w:szCs w:val="24"/>
          <w:lang w:val="fr-CA"/>
        </w:rPr>
        <w:t xml:space="preserve"> </w:t>
      </w:r>
      <w:r w:rsidRPr="00A82D21">
        <w:rPr>
          <w:szCs w:val="24"/>
          <w:lang w:val="fr-CA"/>
        </w:rPr>
        <w:t>29(1)</w:t>
      </w:r>
      <w:r w:rsidRPr="00A82D21">
        <w:rPr>
          <w:i/>
          <w:szCs w:val="24"/>
          <w:lang w:val="fr-CA"/>
        </w:rPr>
        <w:t>a</w:t>
      </w:r>
      <w:r w:rsidRPr="00A82D21">
        <w:rPr>
          <w:szCs w:val="24"/>
          <w:lang w:val="fr-CA"/>
        </w:rPr>
        <w:t xml:space="preserve">) à </w:t>
      </w:r>
      <w:r w:rsidRPr="00A82D21">
        <w:rPr>
          <w:i/>
          <w:szCs w:val="24"/>
          <w:lang w:val="fr-CA"/>
        </w:rPr>
        <w:t>e</w:t>
      </w:r>
      <w:r w:rsidRPr="00A82D21">
        <w:rPr>
          <w:szCs w:val="24"/>
          <w:lang w:val="fr-CA"/>
        </w:rPr>
        <w:t>)</w:t>
      </w:r>
      <w:r w:rsidR="00F45EEA" w:rsidRPr="00A82D21">
        <w:rPr>
          <w:szCs w:val="24"/>
          <w:lang w:val="fr-CA"/>
        </w:rPr>
        <w:t xml:space="preserve">. </w:t>
      </w:r>
      <w:r w:rsidRPr="00A82D21">
        <w:rPr>
          <w:szCs w:val="24"/>
          <w:lang w:val="fr-CA"/>
        </w:rPr>
        <w:t xml:space="preserve">De plus, même si le </w:t>
      </w:r>
      <w:r w:rsidR="00F21B17" w:rsidRPr="00A82D21">
        <w:rPr>
          <w:szCs w:val="24"/>
          <w:lang w:val="fr-CA"/>
        </w:rPr>
        <w:t>par.</w:t>
      </w:r>
      <w:r w:rsidR="007962BB" w:rsidRPr="00A82D21">
        <w:rPr>
          <w:szCs w:val="24"/>
          <w:lang w:val="fr-CA"/>
        </w:rPr>
        <w:t xml:space="preserve"> </w:t>
      </w:r>
      <w:r w:rsidRPr="00A82D21">
        <w:rPr>
          <w:szCs w:val="24"/>
          <w:lang w:val="fr-CA"/>
        </w:rPr>
        <w:t xml:space="preserve">193(1) </w:t>
      </w:r>
      <w:r w:rsidR="004C428D" w:rsidRPr="00A82D21">
        <w:rPr>
          <w:szCs w:val="24"/>
          <w:lang w:val="fr-CA"/>
        </w:rPr>
        <w:t xml:space="preserve">du </w:t>
      </w:r>
      <w:r w:rsidR="004C428D" w:rsidRPr="00A82D21">
        <w:rPr>
          <w:i/>
          <w:szCs w:val="24"/>
          <w:lang w:val="fr-CA"/>
        </w:rPr>
        <w:t>Code criminel</w:t>
      </w:r>
      <w:r w:rsidR="004C428D" w:rsidRPr="00A82D21">
        <w:rPr>
          <w:szCs w:val="24"/>
          <w:lang w:val="fr-CA"/>
        </w:rPr>
        <w:t xml:space="preserve"> </w:t>
      </w:r>
      <w:r w:rsidRPr="00A82D21">
        <w:rPr>
          <w:szCs w:val="24"/>
          <w:lang w:val="fr-CA"/>
        </w:rPr>
        <w:t>établit le principe selon lequel il est illégal de divulguer ou d</w:t>
      </w:r>
      <w:r w:rsidR="00D70D07" w:rsidRPr="00A82D21">
        <w:rPr>
          <w:szCs w:val="24"/>
          <w:lang w:val="fr-CA"/>
        </w:rPr>
        <w:t>’</w:t>
      </w:r>
      <w:r w:rsidRPr="00A82D21">
        <w:rPr>
          <w:szCs w:val="24"/>
          <w:lang w:val="fr-CA"/>
        </w:rPr>
        <w:t>utiliser une communication privée interceptée sans le consentement de son auteur ou du destinataire, des exemptions tempèrent cette interdiction générale</w:t>
      </w:r>
      <w:r w:rsidR="00F45EEA" w:rsidRPr="00A82D21">
        <w:rPr>
          <w:szCs w:val="24"/>
          <w:lang w:val="fr-CA"/>
        </w:rPr>
        <w:t xml:space="preserve">. </w:t>
      </w:r>
      <w:r w:rsidRPr="00A82D21">
        <w:rPr>
          <w:szCs w:val="24"/>
          <w:lang w:val="fr-CA"/>
        </w:rPr>
        <w:t>L</w:t>
      </w:r>
      <w:r w:rsidR="00D70D07" w:rsidRPr="00A82D21">
        <w:rPr>
          <w:szCs w:val="24"/>
          <w:lang w:val="fr-CA"/>
        </w:rPr>
        <w:t>’</w:t>
      </w:r>
      <w:r w:rsidRPr="00A82D21">
        <w:rPr>
          <w:szCs w:val="24"/>
          <w:lang w:val="fr-CA"/>
        </w:rPr>
        <w:t>alinéa 193(2)</w:t>
      </w:r>
      <w:r w:rsidRPr="00A82D21">
        <w:rPr>
          <w:i/>
          <w:szCs w:val="24"/>
          <w:lang w:val="fr-CA"/>
        </w:rPr>
        <w:t>a</w:t>
      </w:r>
      <w:r w:rsidRPr="00A82D21">
        <w:rPr>
          <w:szCs w:val="24"/>
          <w:lang w:val="fr-CA"/>
        </w:rPr>
        <w:t>) dispose que l</w:t>
      </w:r>
      <w:r w:rsidR="00D70D07" w:rsidRPr="00A82D21">
        <w:rPr>
          <w:szCs w:val="24"/>
          <w:lang w:val="fr-CA"/>
        </w:rPr>
        <w:t>’</w:t>
      </w:r>
      <w:r w:rsidRPr="00A82D21">
        <w:rPr>
          <w:szCs w:val="24"/>
          <w:lang w:val="fr-CA"/>
        </w:rPr>
        <w:t xml:space="preserve">infraction établie au </w:t>
      </w:r>
      <w:r w:rsidR="00F21B17" w:rsidRPr="00A82D21">
        <w:rPr>
          <w:szCs w:val="24"/>
          <w:lang w:val="fr-CA"/>
        </w:rPr>
        <w:t>par.</w:t>
      </w:r>
      <w:r w:rsidR="007962BB" w:rsidRPr="00A82D21">
        <w:rPr>
          <w:szCs w:val="24"/>
          <w:lang w:val="fr-CA"/>
        </w:rPr>
        <w:t xml:space="preserve"> </w:t>
      </w:r>
      <w:r w:rsidRPr="00A82D21">
        <w:rPr>
          <w:szCs w:val="24"/>
          <w:lang w:val="fr-CA"/>
        </w:rPr>
        <w:t>193(1) ne s</w:t>
      </w:r>
      <w:r w:rsidR="00D70D07" w:rsidRPr="00A82D21">
        <w:rPr>
          <w:szCs w:val="24"/>
          <w:lang w:val="fr-CA"/>
        </w:rPr>
        <w:t>’</w:t>
      </w:r>
      <w:r w:rsidRPr="00A82D21">
        <w:rPr>
          <w:szCs w:val="24"/>
          <w:lang w:val="fr-CA"/>
        </w:rPr>
        <w:t>applique pas lorsqu</w:t>
      </w:r>
      <w:r w:rsidR="00D70D07" w:rsidRPr="00A82D21">
        <w:rPr>
          <w:szCs w:val="24"/>
          <w:lang w:val="fr-CA"/>
        </w:rPr>
        <w:t>’</w:t>
      </w:r>
      <w:r w:rsidRPr="00A82D21">
        <w:rPr>
          <w:szCs w:val="24"/>
          <w:lang w:val="fr-CA"/>
        </w:rPr>
        <w:t xml:space="preserve">une divulgation est faite </w:t>
      </w:r>
      <w:r w:rsidR="003D19FF" w:rsidRPr="00A82D21">
        <w:rPr>
          <w:szCs w:val="24"/>
          <w:lang w:val="fr-CA"/>
        </w:rPr>
        <w:t>« </w:t>
      </w:r>
      <w:r w:rsidRPr="00A82D21">
        <w:rPr>
          <w:szCs w:val="24"/>
          <w:lang w:val="fr-CA"/>
        </w:rPr>
        <w:t>au cours ou aux fins d</w:t>
      </w:r>
      <w:r w:rsidR="00D70D07" w:rsidRPr="00A82D21">
        <w:rPr>
          <w:szCs w:val="24"/>
          <w:lang w:val="fr-CA"/>
        </w:rPr>
        <w:t>’</w:t>
      </w:r>
      <w:r w:rsidRPr="00A82D21">
        <w:rPr>
          <w:szCs w:val="24"/>
          <w:lang w:val="fr-CA"/>
        </w:rPr>
        <w:t>une déposition lors de poursuites civiles</w:t>
      </w:r>
      <w:r w:rsidR="003D19FF" w:rsidRPr="00A82D21">
        <w:rPr>
          <w:szCs w:val="24"/>
          <w:lang w:val="fr-CA"/>
        </w:rPr>
        <w:t> »</w:t>
      </w:r>
      <w:r w:rsidR="00F45EEA" w:rsidRPr="00A82D21">
        <w:rPr>
          <w:szCs w:val="24"/>
          <w:lang w:val="fr-CA"/>
        </w:rPr>
        <w:t xml:space="preserve">. </w:t>
      </w:r>
      <w:r w:rsidRPr="00A82D21">
        <w:rPr>
          <w:szCs w:val="24"/>
          <w:lang w:val="fr-CA"/>
        </w:rPr>
        <w:t>Rien dans le texte de cette disposition ne justifie de restreindre l</w:t>
      </w:r>
      <w:r w:rsidR="00D70D07" w:rsidRPr="00A82D21">
        <w:rPr>
          <w:szCs w:val="24"/>
          <w:lang w:val="fr-CA"/>
        </w:rPr>
        <w:t>’</w:t>
      </w:r>
      <w:r w:rsidRPr="00A82D21">
        <w:rPr>
          <w:szCs w:val="24"/>
          <w:lang w:val="fr-CA"/>
        </w:rPr>
        <w:t>application de celle</w:t>
      </w:r>
      <w:r w:rsidR="007962BB" w:rsidRPr="00A82D21">
        <w:rPr>
          <w:szCs w:val="24"/>
          <w:lang w:val="fr-CA"/>
        </w:rPr>
        <w:t>-</w:t>
      </w:r>
      <w:r w:rsidRPr="00A82D21">
        <w:rPr>
          <w:szCs w:val="24"/>
          <w:lang w:val="fr-CA"/>
        </w:rPr>
        <w:t>ci au seul moment de la déposition</w:t>
      </w:r>
      <w:r w:rsidR="00F45EEA" w:rsidRPr="00A82D21">
        <w:rPr>
          <w:szCs w:val="24"/>
          <w:lang w:val="fr-CA"/>
        </w:rPr>
        <w:t xml:space="preserve">. </w:t>
      </w:r>
      <w:r w:rsidRPr="00A82D21">
        <w:rPr>
          <w:szCs w:val="24"/>
          <w:lang w:val="fr-CA"/>
        </w:rPr>
        <w:t>Les documents qui sont demandés durant la phase exploratoire de tout recours civil peuvent l</w:t>
      </w:r>
      <w:r w:rsidR="00D70D07" w:rsidRPr="00A82D21">
        <w:rPr>
          <w:szCs w:val="24"/>
          <w:lang w:val="fr-CA"/>
        </w:rPr>
        <w:t>’</w:t>
      </w:r>
      <w:r w:rsidRPr="00A82D21">
        <w:rPr>
          <w:szCs w:val="24"/>
          <w:lang w:val="fr-CA"/>
        </w:rPr>
        <w:t xml:space="preserve">être </w:t>
      </w:r>
      <w:r w:rsidR="003D19FF" w:rsidRPr="00A82D21">
        <w:rPr>
          <w:szCs w:val="24"/>
          <w:lang w:val="fr-CA"/>
        </w:rPr>
        <w:t>« </w:t>
      </w:r>
      <w:r w:rsidRPr="00A82D21">
        <w:rPr>
          <w:szCs w:val="24"/>
          <w:lang w:val="fr-CA"/>
        </w:rPr>
        <w:t>aux fins</w:t>
      </w:r>
      <w:r w:rsidR="003D19FF" w:rsidRPr="00A82D21">
        <w:rPr>
          <w:szCs w:val="24"/>
          <w:lang w:val="fr-CA"/>
        </w:rPr>
        <w:t> »</w:t>
      </w:r>
      <w:r w:rsidRPr="00A82D21">
        <w:rPr>
          <w:szCs w:val="24"/>
          <w:lang w:val="fr-CA"/>
        </w:rPr>
        <w:t xml:space="preserve"> de témoigner à l</w:t>
      </w:r>
      <w:r w:rsidR="00D70D07" w:rsidRPr="00A82D21">
        <w:rPr>
          <w:szCs w:val="24"/>
          <w:lang w:val="fr-CA"/>
        </w:rPr>
        <w:t>’</w:t>
      </w:r>
      <w:r w:rsidRPr="00A82D21">
        <w:rPr>
          <w:szCs w:val="24"/>
          <w:lang w:val="fr-CA"/>
        </w:rPr>
        <w:t>audience</w:t>
      </w:r>
      <w:r w:rsidR="00F45EEA" w:rsidRPr="00A82D21">
        <w:rPr>
          <w:szCs w:val="24"/>
          <w:lang w:val="fr-CA"/>
        </w:rPr>
        <w:t xml:space="preserve">. </w:t>
      </w:r>
      <w:r w:rsidRPr="00A82D21">
        <w:rPr>
          <w:szCs w:val="24"/>
          <w:lang w:val="fr-CA"/>
        </w:rPr>
        <w:t>L</w:t>
      </w:r>
      <w:r w:rsidR="00D70D07" w:rsidRPr="00A82D21">
        <w:rPr>
          <w:szCs w:val="24"/>
          <w:lang w:val="fr-CA"/>
        </w:rPr>
        <w:t>’</w:t>
      </w:r>
      <w:r w:rsidRPr="00A82D21">
        <w:rPr>
          <w:szCs w:val="24"/>
          <w:lang w:val="fr-CA"/>
        </w:rPr>
        <w:t>objet et le contexte de cette disposition n</w:t>
      </w:r>
      <w:r w:rsidR="00D70D07" w:rsidRPr="00A82D21">
        <w:rPr>
          <w:szCs w:val="24"/>
          <w:lang w:val="fr-CA"/>
        </w:rPr>
        <w:t>’</w:t>
      </w:r>
      <w:r w:rsidRPr="00A82D21">
        <w:rPr>
          <w:szCs w:val="24"/>
          <w:lang w:val="fr-CA"/>
        </w:rPr>
        <w:t>admettent aucune autre conclusion</w:t>
      </w:r>
      <w:r w:rsidR="00F45EEA" w:rsidRPr="00A82D21">
        <w:rPr>
          <w:szCs w:val="24"/>
          <w:lang w:val="fr-CA"/>
        </w:rPr>
        <w:t xml:space="preserve">. </w:t>
      </w:r>
      <w:r w:rsidRPr="00A82D21">
        <w:rPr>
          <w:szCs w:val="24"/>
          <w:lang w:val="fr-CA"/>
        </w:rPr>
        <w:t>L</w:t>
      </w:r>
      <w:r w:rsidR="00D70D07" w:rsidRPr="00A82D21">
        <w:rPr>
          <w:szCs w:val="24"/>
          <w:lang w:val="fr-CA"/>
        </w:rPr>
        <w:t>’</w:t>
      </w:r>
      <w:r w:rsidRPr="00A82D21">
        <w:rPr>
          <w:szCs w:val="24"/>
          <w:lang w:val="fr-CA"/>
        </w:rPr>
        <w:t>alinéa 193(2)</w:t>
      </w:r>
      <w:r w:rsidRPr="00A82D21">
        <w:rPr>
          <w:i/>
          <w:szCs w:val="24"/>
          <w:lang w:val="fr-CA"/>
        </w:rPr>
        <w:t>a</w:t>
      </w:r>
      <w:r w:rsidRPr="00A82D21">
        <w:rPr>
          <w:szCs w:val="24"/>
          <w:lang w:val="fr-CA"/>
        </w:rPr>
        <w:t>) n</w:t>
      </w:r>
      <w:r w:rsidR="00D70D07" w:rsidRPr="00A82D21">
        <w:rPr>
          <w:szCs w:val="24"/>
          <w:lang w:val="fr-CA"/>
        </w:rPr>
        <w:t>’</w:t>
      </w:r>
      <w:r w:rsidRPr="00A82D21">
        <w:rPr>
          <w:szCs w:val="24"/>
          <w:lang w:val="fr-CA"/>
        </w:rPr>
        <w:t xml:space="preserve">est pas uniquement destiné à faciliter la lutte contre la criminalité, mais a pour objet </w:t>
      </w:r>
      <w:r w:rsidRPr="00A82D21">
        <w:rPr>
          <w:szCs w:val="24"/>
          <w:lang w:val="fr-CA"/>
        </w:rPr>
        <w:lastRenderedPageBreak/>
        <w:t>d</w:t>
      </w:r>
      <w:r w:rsidR="00D70D07" w:rsidRPr="00A82D21">
        <w:rPr>
          <w:szCs w:val="24"/>
          <w:lang w:val="fr-CA"/>
        </w:rPr>
        <w:t>’</w:t>
      </w:r>
      <w:r w:rsidRPr="00A82D21">
        <w:rPr>
          <w:szCs w:val="24"/>
          <w:lang w:val="fr-CA"/>
        </w:rPr>
        <w:t>assurer aux tribunaux qu</w:t>
      </w:r>
      <w:r w:rsidR="00D70D07" w:rsidRPr="00A82D21">
        <w:rPr>
          <w:szCs w:val="24"/>
          <w:lang w:val="fr-CA"/>
        </w:rPr>
        <w:t>’</w:t>
      </w:r>
      <w:r w:rsidRPr="00A82D21">
        <w:rPr>
          <w:szCs w:val="24"/>
          <w:lang w:val="fr-CA"/>
        </w:rPr>
        <w:t>ils auront accès à toute l</w:t>
      </w:r>
      <w:r w:rsidR="00D70D07" w:rsidRPr="00A82D21">
        <w:rPr>
          <w:szCs w:val="24"/>
          <w:lang w:val="fr-CA"/>
        </w:rPr>
        <w:t>’</w:t>
      </w:r>
      <w:r w:rsidRPr="00A82D21">
        <w:rPr>
          <w:szCs w:val="24"/>
          <w:lang w:val="fr-CA"/>
        </w:rPr>
        <w:t>information pertinente aux procédures dont ils sont saisis</w:t>
      </w:r>
      <w:r w:rsidR="00F45EEA" w:rsidRPr="00A82D21">
        <w:rPr>
          <w:szCs w:val="24"/>
          <w:lang w:val="fr-CA"/>
        </w:rPr>
        <w:t xml:space="preserve">. </w:t>
      </w:r>
      <w:r w:rsidRPr="00A82D21">
        <w:rPr>
          <w:szCs w:val="24"/>
          <w:lang w:val="fr-CA"/>
        </w:rPr>
        <w:t>De même, jurisprudence et doctrine appuient une interprétation large de l</w:t>
      </w:r>
      <w:r w:rsidR="00D70D07" w:rsidRPr="00A82D21">
        <w:rPr>
          <w:szCs w:val="24"/>
          <w:lang w:val="fr-CA"/>
        </w:rPr>
        <w:t>’</w:t>
      </w:r>
      <w:r w:rsidR="00F21B17" w:rsidRPr="00A82D21">
        <w:rPr>
          <w:szCs w:val="24"/>
          <w:lang w:val="fr-CA"/>
        </w:rPr>
        <w:t>al.</w:t>
      </w:r>
      <w:r w:rsidR="007962BB" w:rsidRPr="00A82D21">
        <w:rPr>
          <w:szCs w:val="24"/>
          <w:lang w:val="fr-CA"/>
        </w:rPr>
        <w:t xml:space="preserve"> </w:t>
      </w:r>
      <w:r w:rsidRPr="00A82D21">
        <w:rPr>
          <w:szCs w:val="24"/>
          <w:lang w:val="fr-CA"/>
        </w:rPr>
        <w:t>193(2)</w:t>
      </w:r>
      <w:r w:rsidRPr="00A82D21">
        <w:rPr>
          <w:i/>
          <w:szCs w:val="24"/>
          <w:lang w:val="fr-CA"/>
        </w:rPr>
        <w:t>a</w:t>
      </w:r>
      <w:r w:rsidRPr="00A82D21">
        <w:rPr>
          <w:szCs w:val="24"/>
          <w:lang w:val="fr-CA"/>
        </w:rPr>
        <w:t>)</w:t>
      </w:r>
      <w:r w:rsidR="00F45EEA" w:rsidRPr="00A82D21">
        <w:rPr>
          <w:szCs w:val="24"/>
          <w:lang w:val="fr-CA"/>
        </w:rPr>
        <w:t xml:space="preserve">. </w:t>
      </w:r>
      <w:r w:rsidRPr="00A82D21">
        <w:rPr>
          <w:szCs w:val="24"/>
          <w:lang w:val="fr-CA"/>
        </w:rPr>
        <w:t>Enfin, l</w:t>
      </w:r>
      <w:r w:rsidR="00D70D07" w:rsidRPr="00A82D21">
        <w:rPr>
          <w:szCs w:val="24"/>
          <w:lang w:val="fr-CA"/>
        </w:rPr>
        <w:t>’</w:t>
      </w:r>
      <w:r w:rsidRPr="00A82D21">
        <w:rPr>
          <w:szCs w:val="24"/>
          <w:lang w:val="fr-CA"/>
        </w:rPr>
        <w:t xml:space="preserve">admissibilité en preuve des enregistrements de communications privées est régie par le </w:t>
      </w:r>
      <w:r w:rsidR="00F21B17" w:rsidRPr="00A82D21">
        <w:rPr>
          <w:szCs w:val="24"/>
          <w:lang w:val="fr-CA"/>
        </w:rPr>
        <w:t>par.</w:t>
      </w:r>
      <w:r w:rsidR="007962BB" w:rsidRPr="00A82D21">
        <w:rPr>
          <w:szCs w:val="24"/>
          <w:lang w:val="fr-CA"/>
        </w:rPr>
        <w:t xml:space="preserve"> </w:t>
      </w:r>
      <w:r w:rsidRPr="00A82D21">
        <w:rPr>
          <w:szCs w:val="24"/>
          <w:lang w:val="fr-CA"/>
        </w:rPr>
        <w:t xml:space="preserve">24(2) de la </w:t>
      </w:r>
      <w:r w:rsidRPr="00A82D21">
        <w:rPr>
          <w:i/>
          <w:szCs w:val="24"/>
          <w:lang w:val="fr-CA"/>
        </w:rPr>
        <w:t>Charte</w:t>
      </w:r>
      <w:r w:rsidRPr="00A82D21">
        <w:rPr>
          <w:szCs w:val="24"/>
          <w:lang w:val="fr-CA"/>
        </w:rPr>
        <w:t xml:space="preserve"> et les différentes lois provinciales applicables. </w:t>
      </w:r>
    </w:p>
    <w:p w:rsidR="007922D6" w:rsidRPr="00A82D21" w:rsidRDefault="007922D6" w:rsidP="007962BB">
      <w:pPr>
        <w:pStyle w:val="SCCNormalDoubleSpacing"/>
        <w:widowControl w:val="0"/>
        <w:spacing w:after="480"/>
        <w:rPr>
          <w:szCs w:val="24"/>
          <w:lang w:val="fr-CA"/>
        </w:rPr>
      </w:pPr>
      <w:r w:rsidRPr="00A82D21">
        <w:rPr>
          <w:szCs w:val="24"/>
          <w:lang w:val="fr-CA"/>
        </w:rPr>
        <w:tab/>
        <w:t>L</w:t>
      </w:r>
      <w:r w:rsidR="00D70D07" w:rsidRPr="00A82D21">
        <w:rPr>
          <w:szCs w:val="24"/>
          <w:lang w:val="fr-CA"/>
        </w:rPr>
        <w:t>’</w:t>
      </w:r>
      <w:r w:rsidRPr="00A82D21">
        <w:rPr>
          <w:szCs w:val="24"/>
          <w:lang w:val="fr-CA"/>
        </w:rPr>
        <w:t xml:space="preserve">article 193 du </w:t>
      </w:r>
      <w:r w:rsidRPr="00A82D21">
        <w:rPr>
          <w:i/>
          <w:szCs w:val="24"/>
          <w:lang w:val="fr-CA"/>
        </w:rPr>
        <w:t>Code criminel</w:t>
      </w:r>
      <w:r w:rsidRPr="00A82D21">
        <w:rPr>
          <w:szCs w:val="24"/>
          <w:lang w:val="fr-CA"/>
        </w:rPr>
        <w:t xml:space="preserve"> ne crée pas de mécanisme de divulgation en soi ni un droit d</w:t>
      </w:r>
      <w:r w:rsidR="00D70D07" w:rsidRPr="00A82D21">
        <w:rPr>
          <w:szCs w:val="24"/>
          <w:lang w:val="fr-CA"/>
        </w:rPr>
        <w:t>’</w:t>
      </w:r>
      <w:r w:rsidRPr="00A82D21">
        <w:rPr>
          <w:szCs w:val="24"/>
          <w:lang w:val="fr-CA"/>
        </w:rPr>
        <w:t>accès</w:t>
      </w:r>
      <w:r w:rsidR="00F45EEA" w:rsidRPr="00A82D21">
        <w:rPr>
          <w:szCs w:val="24"/>
          <w:lang w:val="fr-CA"/>
        </w:rPr>
        <w:t xml:space="preserve">. </w:t>
      </w:r>
      <w:r w:rsidRPr="00A82D21">
        <w:rPr>
          <w:szCs w:val="24"/>
          <w:lang w:val="fr-CA"/>
        </w:rPr>
        <w:t>Puisque la poursuite civile en l</w:t>
      </w:r>
      <w:r w:rsidR="00D70D07" w:rsidRPr="00A82D21">
        <w:rPr>
          <w:szCs w:val="24"/>
          <w:lang w:val="fr-CA"/>
        </w:rPr>
        <w:t>’</w:t>
      </w:r>
      <w:r w:rsidRPr="00A82D21">
        <w:rPr>
          <w:szCs w:val="24"/>
          <w:lang w:val="fr-CA"/>
        </w:rPr>
        <w:t>espèce est intentée en vertu de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36 de la </w:t>
      </w:r>
      <w:r w:rsidRPr="00A82D21">
        <w:rPr>
          <w:i/>
          <w:szCs w:val="24"/>
          <w:lang w:val="fr-CA"/>
        </w:rPr>
        <w:t>Loi sur la concurrence</w:t>
      </w:r>
      <w:r w:rsidRPr="00A82D21">
        <w:rPr>
          <w:szCs w:val="24"/>
          <w:lang w:val="fr-CA"/>
        </w:rPr>
        <w:t xml:space="preserve"> et de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1457 </w:t>
      </w:r>
      <w:r w:rsidRPr="00A82D21">
        <w:rPr>
          <w:i/>
          <w:szCs w:val="24"/>
          <w:lang w:val="fr-CA"/>
        </w:rPr>
        <w:t>C.c.Q.</w:t>
      </w:r>
      <w:r w:rsidRPr="00A82D21">
        <w:rPr>
          <w:szCs w:val="24"/>
          <w:lang w:val="fr-CA"/>
        </w:rPr>
        <w:t>, c</w:t>
      </w:r>
      <w:r w:rsidR="00D70D07" w:rsidRPr="00A82D21">
        <w:rPr>
          <w:szCs w:val="24"/>
          <w:lang w:val="fr-CA"/>
        </w:rPr>
        <w:t>’</w:t>
      </w:r>
      <w:r w:rsidRPr="00A82D21">
        <w:rPr>
          <w:szCs w:val="24"/>
          <w:lang w:val="fr-CA"/>
        </w:rPr>
        <w:t>est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402 </w:t>
      </w:r>
      <w:r w:rsidRPr="00A82D21">
        <w:rPr>
          <w:i/>
          <w:szCs w:val="24"/>
          <w:lang w:val="fr-CA"/>
        </w:rPr>
        <w:t>C.p.c.</w:t>
      </w:r>
      <w:r w:rsidRPr="00A82D21">
        <w:rPr>
          <w:szCs w:val="24"/>
          <w:lang w:val="fr-CA"/>
        </w:rPr>
        <w:t xml:space="preserve"> qui </w:t>
      </w:r>
      <w:proofErr w:type="gramStart"/>
      <w:r w:rsidRPr="00A82D21">
        <w:rPr>
          <w:szCs w:val="24"/>
          <w:lang w:val="fr-CA"/>
        </w:rPr>
        <w:t>prévoit</w:t>
      </w:r>
      <w:proofErr w:type="gramEnd"/>
      <w:r w:rsidRPr="00A82D21">
        <w:rPr>
          <w:szCs w:val="24"/>
          <w:lang w:val="fr-CA"/>
        </w:rPr>
        <w:t xml:space="preserve"> la procédure permettant d</w:t>
      </w:r>
      <w:r w:rsidR="00D70D07" w:rsidRPr="00A82D21">
        <w:rPr>
          <w:szCs w:val="24"/>
          <w:lang w:val="fr-CA"/>
        </w:rPr>
        <w:t>’</w:t>
      </w:r>
      <w:r w:rsidRPr="00A82D21">
        <w:rPr>
          <w:szCs w:val="24"/>
          <w:lang w:val="fr-CA"/>
        </w:rPr>
        <w:t>accéder aux enregistrements</w:t>
      </w:r>
      <w:r w:rsidR="00F45EEA" w:rsidRPr="00A82D21">
        <w:rPr>
          <w:szCs w:val="24"/>
          <w:lang w:val="fr-CA"/>
        </w:rPr>
        <w:t xml:space="preserve">. </w:t>
      </w:r>
      <w:r w:rsidRPr="00A82D21">
        <w:rPr>
          <w:szCs w:val="24"/>
          <w:lang w:val="fr-CA"/>
        </w:rPr>
        <w:t>Le premier alinéa de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402 </w:t>
      </w:r>
      <w:r w:rsidRPr="00A82D21">
        <w:rPr>
          <w:i/>
          <w:szCs w:val="24"/>
          <w:lang w:val="fr-CA"/>
        </w:rPr>
        <w:t>C.p.c.</w:t>
      </w:r>
      <w:r w:rsidRPr="00A82D21">
        <w:rPr>
          <w:szCs w:val="24"/>
          <w:lang w:val="fr-CA"/>
        </w:rPr>
        <w:t xml:space="preserve"> habilite un juge à ordonner la communication de documents relatifs au litige qui se trouvent entre les mains d</w:t>
      </w:r>
      <w:r w:rsidR="00D70D07" w:rsidRPr="00A82D21">
        <w:rPr>
          <w:szCs w:val="24"/>
          <w:lang w:val="fr-CA"/>
        </w:rPr>
        <w:t>’</w:t>
      </w:r>
      <w:r w:rsidRPr="00A82D21">
        <w:rPr>
          <w:szCs w:val="24"/>
          <w:lang w:val="fr-CA"/>
        </w:rPr>
        <w:t>un tiers</w:t>
      </w:r>
      <w:r w:rsidR="00F45EEA" w:rsidRPr="00A82D21">
        <w:rPr>
          <w:szCs w:val="24"/>
          <w:lang w:val="fr-CA"/>
        </w:rPr>
        <w:t xml:space="preserve">. </w:t>
      </w:r>
      <w:r w:rsidRPr="00A82D21">
        <w:rPr>
          <w:szCs w:val="24"/>
          <w:lang w:val="fr-CA"/>
        </w:rPr>
        <w:t>Le juge jouit d</w:t>
      </w:r>
      <w:r w:rsidR="00D70D07" w:rsidRPr="00A82D21">
        <w:rPr>
          <w:szCs w:val="24"/>
          <w:lang w:val="fr-CA"/>
        </w:rPr>
        <w:t>’</w:t>
      </w:r>
      <w:r w:rsidRPr="00A82D21">
        <w:rPr>
          <w:szCs w:val="24"/>
          <w:lang w:val="fr-CA"/>
        </w:rPr>
        <w:t>une grande discrétion, mais favorisera généralement la communication</w:t>
      </w:r>
      <w:r w:rsidR="00F45EEA" w:rsidRPr="00A82D21">
        <w:rPr>
          <w:szCs w:val="24"/>
          <w:lang w:val="fr-CA"/>
        </w:rPr>
        <w:t xml:space="preserve">. </w:t>
      </w:r>
      <w:r w:rsidRPr="00A82D21">
        <w:rPr>
          <w:szCs w:val="24"/>
          <w:lang w:val="fr-CA"/>
        </w:rPr>
        <w:t>Il doit cependant refuser la communication en présence d</w:t>
      </w:r>
      <w:r w:rsidR="00D70D07" w:rsidRPr="00A82D21">
        <w:rPr>
          <w:szCs w:val="24"/>
          <w:lang w:val="fr-CA"/>
        </w:rPr>
        <w:t>’</w:t>
      </w:r>
      <w:r w:rsidRPr="00A82D21">
        <w:rPr>
          <w:szCs w:val="24"/>
          <w:lang w:val="fr-CA"/>
        </w:rPr>
        <w:t>une immunité de divulgation de source légale ou prétorienne</w:t>
      </w:r>
      <w:r w:rsidR="00F45EEA" w:rsidRPr="00A82D21">
        <w:rPr>
          <w:szCs w:val="24"/>
          <w:lang w:val="fr-CA"/>
        </w:rPr>
        <w:t xml:space="preserve">. </w:t>
      </w:r>
      <w:r w:rsidRPr="00A82D21">
        <w:rPr>
          <w:szCs w:val="24"/>
          <w:lang w:val="fr-CA"/>
        </w:rPr>
        <w:t>Dans l</w:t>
      </w:r>
      <w:r w:rsidR="00D70D07" w:rsidRPr="00A82D21">
        <w:rPr>
          <w:szCs w:val="24"/>
          <w:lang w:val="fr-CA"/>
        </w:rPr>
        <w:t>’</w:t>
      </w:r>
      <w:r w:rsidRPr="00A82D21">
        <w:rPr>
          <w:szCs w:val="24"/>
          <w:lang w:val="fr-CA"/>
        </w:rPr>
        <w:t>exercice de sa discrétion, le juge pourra considérer, entre autres, la pertinence des documents à l</w:t>
      </w:r>
      <w:r w:rsidR="00D70D07" w:rsidRPr="00A82D21">
        <w:rPr>
          <w:szCs w:val="24"/>
          <w:lang w:val="fr-CA"/>
        </w:rPr>
        <w:t>’</w:t>
      </w:r>
      <w:r w:rsidRPr="00A82D21">
        <w:rPr>
          <w:szCs w:val="24"/>
          <w:lang w:val="fr-CA"/>
        </w:rPr>
        <w:t>égard du litige, le degré d</w:t>
      </w:r>
      <w:r w:rsidR="00D70D07" w:rsidRPr="00A82D21">
        <w:rPr>
          <w:szCs w:val="24"/>
          <w:lang w:val="fr-CA"/>
        </w:rPr>
        <w:t>’</w:t>
      </w:r>
      <w:r w:rsidRPr="00A82D21">
        <w:rPr>
          <w:szCs w:val="24"/>
          <w:lang w:val="fr-CA"/>
        </w:rPr>
        <w:t>atteinte à la vie privée d</w:t>
      </w:r>
      <w:r w:rsidR="00D70D07" w:rsidRPr="00A82D21">
        <w:rPr>
          <w:szCs w:val="24"/>
          <w:lang w:val="fr-CA"/>
        </w:rPr>
        <w:t>’</w:t>
      </w:r>
      <w:r w:rsidRPr="00A82D21">
        <w:rPr>
          <w:szCs w:val="24"/>
          <w:lang w:val="fr-CA"/>
        </w:rPr>
        <w:t>une partie ou d</w:t>
      </w:r>
      <w:r w:rsidR="00D70D07" w:rsidRPr="00A82D21">
        <w:rPr>
          <w:szCs w:val="24"/>
          <w:lang w:val="fr-CA"/>
        </w:rPr>
        <w:t>’</w:t>
      </w:r>
      <w:r w:rsidRPr="00A82D21">
        <w:rPr>
          <w:szCs w:val="24"/>
          <w:lang w:val="fr-CA"/>
        </w:rPr>
        <w:t>un tiers au litige et l</w:t>
      </w:r>
      <w:r w:rsidR="00D70D07" w:rsidRPr="00A82D21">
        <w:rPr>
          <w:szCs w:val="24"/>
          <w:lang w:val="fr-CA"/>
        </w:rPr>
        <w:t>’</w:t>
      </w:r>
      <w:r w:rsidRPr="00A82D21">
        <w:rPr>
          <w:szCs w:val="24"/>
          <w:lang w:val="fr-CA"/>
        </w:rPr>
        <w:t>importance de demeurer sensible au devoir de protéger la vie privée</w:t>
      </w:r>
      <w:r w:rsidR="00F45EEA" w:rsidRPr="00A82D21">
        <w:rPr>
          <w:szCs w:val="24"/>
          <w:lang w:val="fr-CA"/>
        </w:rPr>
        <w:t xml:space="preserve">. </w:t>
      </w:r>
      <w:r w:rsidRPr="00A82D21">
        <w:rPr>
          <w:szCs w:val="24"/>
          <w:lang w:val="fr-CA"/>
        </w:rPr>
        <w:t>Le concept de pertinence s</w:t>
      </w:r>
      <w:r w:rsidR="00D70D07" w:rsidRPr="00A82D21">
        <w:rPr>
          <w:szCs w:val="24"/>
          <w:lang w:val="fr-CA"/>
        </w:rPr>
        <w:t>’</w:t>
      </w:r>
      <w:r w:rsidRPr="00A82D21">
        <w:rPr>
          <w:szCs w:val="24"/>
          <w:lang w:val="fr-CA"/>
        </w:rPr>
        <w:t>apprécie généralement de manière large au cours de la phase exploratoire de l</w:t>
      </w:r>
      <w:r w:rsidR="00D70D07" w:rsidRPr="00A82D21">
        <w:rPr>
          <w:szCs w:val="24"/>
          <w:lang w:val="fr-CA"/>
        </w:rPr>
        <w:t>’</w:t>
      </w:r>
      <w:r w:rsidRPr="00A82D21">
        <w:rPr>
          <w:szCs w:val="24"/>
          <w:lang w:val="fr-CA"/>
        </w:rPr>
        <w:t>instance</w:t>
      </w:r>
      <w:r w:rsidR="00F45EEA" w:rsidRPr="00A82D21">
        <w:rPr>
          <w:szCs w:val="24"/>
          <w:lang w:val="fr-CA"/>
        </w:rPr>
        <w:t xml:space="preserve">. </w:t>
      </w:r>
      <w:r w:rsidRPr="00A82D21">
        <w:rPr>
          <w:szCs w:val="24"/>
          <w:lang w:val="fr-CA"/>
        </w:rPr>
        <w:t>L</w:t>
      </w:r>
      <w:r w:rsidR="00D70D07" w:rsidRPr="00A82D21">
        <w:rPr>
          <w:szCs w:val="24"/>
          <w:lang w:val="fr-CA"/>
        </w:rPr>
        <w:t>’</w:t>
      </w:r>
      <w:r w:rsidRPr="00A82D21">
        <w:rPr>
          <w:szCs w:val="24"/>
          <w:lang w:val="fr-CA"/>
        </w:rPr>
        <w:t>impact de la communication sur les droits de personnes innocentes exige un examen attentif d</w:t>
      </w:r>
      <w:r w:rsidR="00D70D07" w:rsidRPr="00A82D21">
        <w:rPr>
          <w:szCs w:val="24"/>
          <w:lang w:val="fr-CA"/>
        </w:rPr>
        <w:t>’</w:t>
      </w:r>
      <w:r w:rsidRPr="00A82D21">
        <w:rPr>
          <w:szCs w:val="24"/>
          <w:lang w:val="fr-CA"/>
        </w:rPr>
        <w:t>une requête en communication, mais ne justifie pas pour autant l</w:t>
      </w:r>
      <w:r w:rsidR="00D70D07" w:rsidRPr="00A82D21">
        <w:rPr>
          <w:szCs w:val="24"/>
          <w:lang w:val="fr-CA"/>
        </w:rPr>
        <w:t>’</w:t>
      </w:r>
      <w:r w:rsidRPr="00A82D21">
        <w:rPr>
          <w:szCs w:val="24"/>
          <w:lang w:val="fr-CA"/>
        </w:rPr>
        <w:t>opposition à la communication en toutes circonstances</w:t>
      </w:r>
      <w:r w:rsidR="00F45EEA" w:rsidRPr="00A82D21">
        <w:rPr>
          <w:szCs w:val="24"/>
          <w:lang w:val="fr-CA"/>
        </w:rPr>
        <w:t xml:space="preserve">. </w:t>
      </w:r>
      <w:r w:rsidRPr="00A82D21">
        <w:rPr>
          <w:szCs w:val="24"/>
          <w:lang w:val="fr-CA"/>
        </w:rPr>
        <w:t>L</w:t>
      </w:r>
      <w:r w:rsidR="00D70D07" w:rsidRPr="00A82D21">
        <w:rPr>
          <w:szCs w:val="24"/>
          <w:lang w:val="fr-CA"/>
        </w:rPr>
        <w:t>’</w:t>
      </w:r>
      <w:r w:rsidRPr="00A82D21">
        <w:rPr>
          <w:szCs w:val="24"/>
          <w:lang w:val="fr-CA"/>
        </w:rPr>
        <w:t>étendue de la protection du droit à la vie privée des personnes innocentes doit toujours être mesurée en fonction des divers intérêts en jeu</w:t>
      </w:r>
      <w:r w:rsidR="00F45EEA" w:rsidRPr="00A82D21">
        <w:rPr>
          <w:szCs w:val="24"/>
          <w:lang w:val="fr-CA"/>
        </w:rPr>
        <w:t xml:space="preserve">. </w:t>
      </w:r>
      <w:r w:rsidRPr="00A82D21">
        <w:rPr>
          <w:szCs w:val="24"/>
          <w:lang w:val="fr-CA"/>
        </w:rPr>
        <w:t>Enfin, en octroyant au juge le pouvoir de refuser d</w:t>
      </w:r>
      <w:r w:rsidR="00D70D07" w:rsidRPr="00A82D21">
        <w:rPr>
          <w:szCs w:val="24"/>
          <w:lang w:val="fr-CA"/>
        </w:rPr>
        <w:t>’</w:t>
      </w:r>
      <w:r w:rsidRPr="00A82D21">
        <w:rPr>
          <w:szCs w:val="24"/>
          <w:lang w:val="fr-CA"/>
        </w:rPr>
        <w:t>accorder la communication s</w:t>
      </w:r>
      <w:r w:rsidR="00D70D07" w:rsidRPr="00A82D21">
        <w:rPr>
          <w:szCs w:val="24"/>
          <w:lang w:val="fr-CA"/>
        </w:rPr>
        <w:t>’</w:t>
      </w:r>
      <w:r w:rsidRPr="00A82D21">
        <w:rPr>
          <w:szCs w:val="24"/>
          <w:lang w:val="fr-CA"/>
        </w:rPr>
        <w:t xml:space="preserve">il existe une </w:t>
      </w:r>
      <w:r w:rsidRPr="00A82D21">
        <w:rPr>
          <w:szCs w:val="24"/>
          <w:lang w:val="fr-CA"/>
        </w:rPr>
        <w:lastRenderedPageBreak/>
        <w:t>barrière légale ou prétorienne à une telle communication,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402, </w:t>
      </w:r>
      <w:r w:rsidR="00F21B17" w:rsidRPr="00A82D21">
        <w:rPr>
          <w:szCs w:val="24"/>
          <w:lang w:val="fr-CA"/>
        </w:rPr>
        <w:t>al.</w:t>
      </w:r>
      <w:r w:rsidR="007962BB" w:rsidRPr="00A82D21">
        <w:rPr>
          <w:szCs w:val="24"/>
          <w:lang w:val="fr-CA"/>
        </w:rPr>
        <w:t xml:space="preserve"> </w:t>
      </w:r>
      <w:r w:rsidRPr="00A82D21">
        <w:rPr>
          <w:szCs w:val="24"/>
          <w:lang w:val="fr-CA"/>
        </w:rPr>
        <w:t>1 prévoit déjà que, au besoin, le principe de communication qu</w:t>
      </w:r>
      <w:r w:rsidR="00D70D07" w:rsidRPr="00A82D21">
        <w:rPr>
          <w:szCs w:val="24"/>
          <w:lang w:val="fr-CA"/>
        </w:rPr>
        <w:t>’</w:t>
      </w:r>
      <w:r w:rsidRPr="00A82D21">
        <w:rPr>
          <w:szCs w:val="24"/>
          <w:lang w:val="fr-CA"/>
        </w:rPr>
        <w:t>il codifie cèderait devant un texte fédéral prohibitif applicable.</w:t>
      </w:r>
    </w:p>
    <w:p w:rsidR="007922D6" w:rsidRPr="00A82D21" w:rsidRDefault="007922D6" w:rsidP="007962BB">
      <w:pPr>
        <w:pStyle w:val="SCCNormalDoubleSpacing"/>
        <w:widowControl w:val="0"/>
        <w:spacing w:after="480"/>
        <w:rPr>
          <w:szCs w:val="24"/>
          <w:lang w:val="fr-CA"/>
        </w:rPr>
      </w:pPr>
      <w:r w:rsidRPr="00A82D21">
        <w:rPr>
          <w:szCs w:val="24"/>
          <w:lang w:val="fr-CA"/>
        </w:rPr>
        <w:tab/>
        <w:t>Le juge jouit aussi d</w:t>
      </w:r>
      <w:r w:rsidR="00D70D07" w:rsidRPr="00A82D21">
        <w:rPr>
          <w:szCs w:val="24"/>
          <w:lang w:val="fr-CA"/>
        </w:rPr>
        <w:t>’</w:t>
      </w:r>
      <w:r w:rsidRPr="00A82D21">
        <w:rPr>
          <w:szCs w:val="24"/>
          <w:lang w:val="fr-CA"/>
        </w:rPr>
        <w:t>une grande discrétion pour contrôler le processus de communication de la preuve durant la phase exploratoire de l</w:t>
      </w:r>
      <w:r w:rsidR="00D70D07" w:rsidRPr="00A82D21">
        <w:rPr>
          <w:szCs w:val="24"/>
          <w:lang w:val="fr-CA"/>
        </w:rPr>
        <w:t>’</w:t>
      </w:r>
      <w:r w:rsidRPr="00A82D21">
        <w:rPr>
          <w:szCs w:val="24"/>
          <w:lang w:val="fr-CA"/>
        </w:rPr>
        <w:t>instance, pour en établir les modalités et en fixer les limites</w:t>
      </w:r>
      <w:r w:rsidR="00F45EEA" w:rsidRPr="00A82D21">
        <w:rPr>
          <w:szCs w:val="24"/>
          <w:lang w:val="fr-CA"/>
        </w:rPr>
        <w:t xml:space="preserve">. </w:t>
      </w:r>
      <w:r w:rsidRPr="00A82D21">
        <w:rPr>
          <w:szCs w:val="24"/>
          <w:lang w:val="fr-CA"/>
        </w:rPr>
        <w:t>Pour ce faire, il doit soupeser les intérêts en présence, en limitant les risques d</w:t>
      </w:r>
      <w:r w:rsidR="00D70D07" w:rsidRPr="00A82D21">
        <w:rPr>
          <w:szCs w:val="24"/>
          <w:lang w:val="fr-CA"/>
        </w:rPr>
        <w:t>’</w:t>
      </w:r>
      <w:r w:rsidRPr="00A82D21">
        <w:rPr>
          <w:szCs w:val="24"/>
          <w:lang w:val="fr-CA"/>
        </w:rPr>
        <w:t>atteinte à la vie privée et en évitant de restreindre indûment l</w:t>
      </w:r>
      <w:r w:rsidR="00D70D07" w:rsidRPr="00A82D21">
        <w:rPr>
          <w:szCs w:val="24"/>
          <w:lang w:val="fr-CA"/>
        </w:rPr>
        <w:t>’</w:t>
      </w:r>
      <w:r w:rsidRPr="00A82D21">
        <w:rPr>
          <w:szCs w:val="24"/>
          <w:lang w:val="fr-CA"/>
        </w:rPr>
        <w:t>accès aux documents pertinents, pour que les procédures demeurent équitables, que la recherche de la vérité ne soit pas entravée et que le déroulement de l</w:t>
      </w:r>
      <w:r w:rsidR="00D70D07" w:rsidRPr="00A82D21">
        <w:rPr>
          <w:szCs w:val="24"/>
          <w:lang w:val="fr-CA"/>
        </w:rPr>
        <w:t>’</w:t>
      </w:r>
      <w:r w:rsidRPr="00A82D21">
        <w:rPr>
          <w:szCs w:val="24"/>
          <w:lang w:val="fr-CA"/>
        </w:rPr>
        <w:t>instance ne soit pas retardé de manière injustifiée</w:t>
      </w:r>
      <w:r w:rsidR="00F45EEA" w:rsidRPr="00A82D21">
        <w:rPr>
          <w:szCs w:val="24"/>
          <w:lang w:val="fr-CA"/>
        </w:rPr>
        <w:t xml:space="preserve">. </w:t>
      </w:r>
      <w:r w:rsidRPr="00A82D21">
        <w:rPr>
          <w:szCs w:val="24"/>
          <w:lang w:val="fr-CA"/>
        </w:rPr>
        <w:t>Dans les cas où les documents demandés sont le produit d</w:t>
      </w:r>
      <w:r w:rsidR="00D70D07" w:rsidRPr="00A82D21">
        <w:rPr>
          <w:szCs w:val="24"/>
          <w:lang w:val="fr-CA"/>
        </w:rPr>
        <w:t>’</w:t>
      </w:r>
      <w:r w:rsidRPr="00A82D21">
        <w:rPr>
          <w:szCs w:val="24"/>
          <w:lang w:val="fr-CA"/>
        </w:rPr>
        <w:t>une enquête pénale, le juge devra aussi considérer l</w:t>
      </w:r>
      <w:r w:rsidR="00D70D07" w:rsidRPr="00A82D21">
        <w:rPr>
          <w:szCs w:val="24"/>
          <w:lang w:val="fr-CA"/>
        </w:rPr>
        <w:t>’</w:t>
      </w:r>
      <w:r w:rsidRPr="00A82D21">
        <w:rPr>
          <w:szCs w:val="24"/>
          <w:lang w:val="fr-CA"/>
        </w:rPr>
        <w:t>impact de la communication sur le bon déroulement des procédures pénales et le droit des accusés concernés à un procès juste et équitable</w:t>
      </w:r>
      <w:r w:rsidR="00F45EEA" w:rsidRPr="00A82D21">
        <w:rPr>
          <w:szCs w:val="24"/>
          <w:lang w:val="fr-CA"/>
        </w:rPr>
        <w:t xml:space="preserve">. </w:t>
      </w:r>
      <w:r w:rsidRPr="00A82D21">
        <w:rPr>
          <w:szCs w:val="24"/>
          <w:lang w:val="fr-CA"/>
        </w:rPr>
        <w:t>Cependant, au cours de la phase exploratoire de l</w:t>
      </w:r>
      <w:r w:rsidR="00D70D07" w:rsidRPr="00A82D21">
        <w:rPr>
          <w:szCs w:val="24"/>
          <w:lang w:val="fr-CA"/>
        </w:rPr>
        <w:t>’</w:t>
      </w:r>
      <w:r w:rsidRPr="00A82D21">
        <w:rPr>
          <w:szCs w:val="24"/>
          <w:lang w:val="fr-CA"/>
        </w:rPr>
        <w:t xml:space="preserve">instance, le droit au respect de la vie privée, le bon déroulement des procédures pénales et le droit à une défense pleine et entière sont, dans une certaine mesure, </w:t>
      </w:r>
      <w:proofErr w:type="gramStart"/>
      <w:r w:rsidRPr="00A82D21">
        <w:rPr>
          <w:szCs w:val="24"/>
          <w:lang w:val="fr-CA"/>
        </w:rPr>
        <w:t>protégés</w:t>
      </w:r>
      <w:proofErr w:type="gramEnd"/>
      <w:r w:rsidRPr="00A82D21">
        <w:rPr>
          <w:szCs w:val="24"/>
          <w:lang w:val="fr-CA"/>
        </w:rPr>
        <w:t xml:space="preserve"> par le devoir de confidentialité qui s</w:t>
      </w:r>
      <w:r w:rsidR="00D70D07" w:rsidRPr="00A82D21">
        <w:rPr>
          <w:szCs w:val="24"/>
          <w:lang w:val="fr-CA"/>
        </w:rPr>
        <w:t>’</w:t>
      </w:r>
      <w:r w:rsidRPr="00A82D21">
        <w:rPr>
          <w:szCs w:val="24"/>
          <w:lang w:val="fr-CA"/>
        </w:rPr>
        <w:t>impose aux parties, à leurs avocats et à leurs experts</w:t>
      </w:r>
      <w:r w:rsidR="00F45EEA" w:rsidRPr="00A82D21">
        <w:rPr>
          <w:szCs w:val="24"/>
          <w:lang w:val="fr-CA"/>
        </w:rPr>
        <w:t xml:space="preserve">. </w:t>
      </w:r>
      <w:r w:rsidRPr="00A82D21">
        <w:rPr>
          <w:szCs w:val="24"/>
          <w:lang w:val="fr-CA"/>
        </w:rPr>
        <w:t>Le juge dispose néanmoins des pouvoirs nécessaires pour fixer d</w:t>
      </w:r>
      <w:r w:rsidR="00D70D07" w:rsidRPr="00A82D21">
        <w:rPr>
          <w:szCs w:val="24"/>
          <w:lang w:val="fr-CA"/>
        </w:rPr>
        <w:t>’</w:t>
      </w:r>
      <w:r w:rsidRPr="00A82D21">
        <w:rPr>
          <w:szCs w:val="24"/>
          <w:lang w:val="fr-CA"/>
        </w:rPr>
        <w:t>autres modalités</w:t>
      </w:r>
      <w:r w:rsidR="00F45EEA" w:rsidRPr="00A82D21">
        <w:rPr>
          <w:szCs w:val="24"/>
          <w:lang w:val="fr-CA"/>
        </w:rPr>
        <w:t xml:space="preserve">. </w:t>
      </w:r>
      <w:r w:rsidRPr="00A82D21">
        <w:rPr>
          <w:szCs w:val="24"/>
          <w:lang w:val="fr-CA"/>
        </w:rPr>
        <w:t>Dans tous les cas, tout en respectant le principe de proportionnalité qui fait intrinsèquement partie de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402 </w:t>
      </w:r>
      <w:r w:rsidRPr="00A82D21">
        <w:rPr>
          <w:i/>
          <w:szCs w:val="24"/>
          <w:lang w:val="fr-CA"/>
        </w:rPr>
        <w:t>C.p.c.</w:t>
      </w:r>
      <w:r w:rsidRPr="00A82D21">
        <w:rPr>
          <w:szCs w:val="24"/>
          <w:lang w:val="fr-CA"/>
        </w:rPr>
        <w:t>, en plus d</w:t>
      </w:r>
      <w:r w:rsidR="00D70D07" w:rsidRPr="00A82D21">
        <w:rPr>
          <w:szCs w:val="24"/>
          <w:lang w:val="fr-CA"/>
        </w:rPr>
        <w:t>’</w:t>
      </w:r>
      <w:r w:rsidRPr="00A82D21">
        <w:rPr>
          <w:szCs w:val="24"/>
          <w:lang w:val="fr-CA"/>
        </w:rPr>
        <w:t>être consacré à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4.2 </w:t>
      </w:r>
      <w:r w:rsidRPr="00A82D21">
        <w:rPr>
          <w:i/>
          <w:szCs w:val="24"/>
          <w:lang w:val="fr-CA"/>
        </w:rPr>
        <w:t>C.p.c.</w:t>
      </w:r>
      <w:r w:rsidRPr="00A82D21">
        <w:rPr>
          <w:szCs w:val="24"/>
          <w:lang w:val="fr-CA"/>
        </w:rPr>
        <w:t>, le juge doit considérer l</w:t>
      </w:r>
      <w:r w:rsidR="00D70D07" w:rsidRPr="00A82D21">
        <w:rPr>
          <w:szCs w:val="24"/>
          <w:lang w:val="fr-CA"/>
        </w:rPr>
        <w:t>’</w:t>
      </w:r>
      <w:r w:rsidRPr="00A82D21">
        <w:rPr>
          <w:szCs w:val="24"/>
          <w:lang w:val="fr-CA"/>
        </w:rPr>
        <w:t>impact financier et administratif des modalités qu</w:t>
      </w:r>
      <w:r w:rsidR="00D70D07" w:rsidRPr="00A82D21">
        <w:rPr>
          <w:szCs w:val="24"/>
          <w:lang w:val="fr-CA"/>
        </w:rPr>
        <w:t>’</w:t>
      </w:r>
      <w:r w:rsidRPr="00A82D21">
        <w:rPr>
          <w:szCs w:val="24"/>
          <w:lang w:val="fr-CA"/>
        </w:rPr>
        <w:t>il impose, de même que leur influence sur le déroulement général de l</w:t>
      </w:r>
      <w:r w:rsidR="00D70D07" w:rsidRPr="00A82D21">
        <w:rPr>
          <w:szCs w:val="24"/>
          <w:lang w:val="fr-CA"/>
        </w:rPr>
        <w:t>’</w:t>
      </w:r>
      <w:r w:rsidRPr="00A82D21">
        <w:rPr>
          <w:szCs w:val="24"/>
          <w:lang w:val="fr-CA"/>
        </w:rPr>
        <w:t xml:space="preserve">instance. </w:t>
      </w:r>
    </w:p>
    <w:p w:rsidR="003D1FE9" w:rsidRPr="00A82D21" w:rsidRDefault="007922D6" w:rsidP="007962BB">
      <w:pPr>
        <w:pStyle w:val="SCCNormalDoubleSpacing"/>
        <w:widowControl w:val="0"/>
        <w:spacing w:after="480"/>
        <w:rPr>
          <w:szCs w:val="24"/>
          <w:lang w:val="fr-CA"/>
        </w:rPr>
      </w:pPr>
      <w:r w:rsidRPr="00A82D21">
        <w:rPr>
          <w:szCs w:val="24"/>
          <w:lang w:val="fr-CA"/>
        </w:rPr>
        <w:lastRenderedPageBreak/>
        <w:tab/>
        <w:t>L</w:t>
      </w:r>
      <w:r w:rsidR="00D70D07" w:rsidRPr="00A82D21">
        <w:rPr>
          <w:szCs w:val="24"/>
          <w:lang w:val="fr-CA"/>
        </w:rPr>
        <w:t>’</w:t>
      </w:r>
      <w:r w:rsidRPr="00A82D21">
        <w:rPr>
          <w:szCs w:val="24"/>
          <w:lang w:val="fr-CA"/>
        </w:rPr>
        <w:t>ordonnance de la Cour supérieure en l</w:t>
      </w:r>
      <w:r w:rsidR="00D70D07" w:rsidRPr="00A82D21">
        <w:rPr>
          <w:szCs w:val="24"/>
          <w:lang w:val="fr-CA"/>
        </w:rPr>
        <w:t>’</w:t>
      </w:r>
      <w:r w:rsidRPr="00A82D21">
        <w:rPr>
          <w:szCs w:val="24"/>
          <w:lang w:val="fr-CA"/>
        </w:rPr>
        <w:t>espèce respecte ces principes</w:t>
      </w:r>
      <w:r w:rsidR="00F45EEA" w:rsidRPr="00A82D21">
        <w:rPr>
          <w:szCs w:val="24"/>
          <w:lang w:val="fr-CA"/>
        </w:rPr>
        <w:t xml:space="preserve">. </w:t>
      </w:r>
      <w:r w:rsidRPr="00A82D21">
        <w:rPr>
          <w:szCs w:val="24"/>
          <w:lang w:val="fr-CA"/>
        </w:rPr>
        <w:t>Il n</w:t>
      </w:r>
      <w:r w:rsidR="00D70D07" w:rsidRPr="00A82D21">
        <w:rPr>
          <w:szCs w:val="24"/>
          <w:lang w:val="fr-CA"/>
        </w:rPr>
        <w:t>’</w:t>
      </w:r>
      <w:r w:rsidRPr="00A82D21">
        <w:rPr>
          <w:szCs w:val="24"/>
          <w:lang w:val="fr-CA"/>
        </w:rPr>
        <w:t>existe aucun obstacle factuel ou légal à la communication des documents que sollicitent les intimés en vertu de l</w:t>
      </w:r>
      <w:r w:rsidR="00D70D07" w:rsidRPr="00A82D21">
        <w:rPr>
          <w:szCs w:val="24"/>
          <w:lang w:val="fr-CA"/>
        </w:rPr>
        <w:t>’</w:t>
      </w:r>
      <w:r w:rsidR="00F21B17" w:rsidRPr="00A82D21">
        <w:rPr>
          <w:szCs w:val="24"/>
          <w:lang w:val="fr-CA"/>
        </w:rPr>
        <w:t>art.</w:t>
      </w:r>
      <w:r w:rsidR="007962BB" w:rsidRPr="00A82D21">
        <w:rPr>
          <w:szCs w:val="24"/>
          <w:lang w:val="fr-CA"/>
        </w:rPr>
        <w:t xml:space="preserve"> </w:t>
      </w:r>
      <w:r w:rsidRPr="00A82D21">
        <w:rPr>
          <w:szCs w:val="24"/>
          <w:lang w:val="fr-CA"/>
        </w:rPr>
        <w:t xml:space="preserve">402 </w:t>
      </w:r>
      <w:r w:rsidRPr="00A82D21">
        <w:rPr>
          <w:i/>
          <w:szCs w:val="24"/>
          <w:lang w:val="fr-CA"/>
        </w:rPr>
        <w:t>C.p.c</w:t>
      </w:r>
      <w:r w:rsidR="00F45EEA" w:rsidRPr="00A82D21">
        <w:rPr>
          <w:szCs w:val="24"/>
          <w:lang w:val="fr-CA"/>
        </w:rPr>
        <w:t xml:space="preserve">. </w:t>
      </w:r>
      <w:r w:rsidRPr="00A82D21">
        <w:rPr>
          <w:szCs w:val="24"/>
          <w:lang w:val="fr-CA"/>
        </w:rPr>
        <w:t>Rien ne permet de remettre en question la conclusion de la Cour supérieure selon laquelle les éléments de preuve sollicités sont pertinents</w:t>
      </w:r>
      <w:r w:rsidR="00F45EEA" w:rsidRPr="00A82D21">
        <w:rPr>
          <w:szCs w:val="24"/>
          <w:lang w:val="fr-CA"/>
        </w:rPr>
        <w:t xml:space="preserve">. </w:t>
      </w:r>
      <w:r w:rsidRPr="00A82D21">
        <w:rPr>
          <w:szCs w:val="24"/>
          <w:lang w:val="fr-CA"/>
        </w:rPr>
        <w:t>De plus, la portée de l</w:t>
      </w:r>
      <w:r w:rsidR="00D70D07" w:rsidRPr="00A82D21">
        <w:rPr>
          <w:szCs w:val="24"/>
          <w:lang w:val="fr-CA"/>
        </w:rPr>
        <w:t>’</w:t>
      </w:r>
      <w:r w:rsidRPr="00A82D21">
        <w:rPr>
          <w:szCs w:val="24"/>
          <w:lang w:val="fr-CA"/>
        </w:rPr>
        <w:t>ordonnance de communication est limitée de manière à protéger le droit à la vie privée de l</w:t>
      </w:r>
      <w:r w:rsidR="00D70D07" w:rsidRPr="00A82D21">
        <w:rPr>
          <w:szCs w:val="24"/>
          <w:lang w:val="fr-CA"/>
        </w:rPr>
        <w:t>’</w:t>
      </w:r>
      <w:r w:rsidRPr="00A82D21">
        <w:rPr>
          <w:szCs w:val="24"/>
          <w:lang w:val="fr-CA"/>
        </w:rPr>
        <w:t>ensemble des personnes dont les conversations ont été interceptées</w:t>
      </w:r>
      <w:r w:rsidR="00F45EEA" w:rsidRPr="00A82D21">
        <w:rPr>
          <w:szCs w:val="24"/>
          <w:lang w:val="fr-CA"/>
        </w:rPr>
        <w:t xml:space="preserve">. </w:t>
      </w:r>
      <w:r w:rsidRPr="00A82D21">
        <w:rPr>
          <w:szCs w:val="24"/>
          <w:lang w:val="fr-CA"/>
        </w:rPr>
        <w:t>Ces limites assurent également que la communication ne constitue pas une entrave au bon déroulement des procédures pénales ou une atteinte au droit qu</w:t>
      </w:r>
      <w:r w:rsidR="00D70D07" w:rsidRPr="00A82D21">
        <w:rPr>
          <w:szCs w:val="24"/>
          <w:lang w:val="fr-CA"/>
        </w:rPr>
        <w:t>’</w:t>
      </w:r>
      <w:r w:rsidRPr="00A82D21">
        <w:rPr>
          <w:szCs w:val="24"/>
          <w:lang w:val="fr-CA"/>
        </w:rPr>
        <w:t>ont les parties toujours accusées au pénal de subir un procès juste et équitable</w:t>
      </w:r>
      <w:r w:rsidR="00F45EEA" w:rsidRPr="00A82D21">
        <w:rPr>
          <w:szCs w:val="24"/>
          <w:lang w:val="fr-CA"/>
        </w:rPr>
        <w:t xml:space="preserve">. </w:t>
      </w:r>
      <w:r w:rsidRPr="00A82D21">
        <w:rPr>
          <w:szCs w:val="24"/>
          <w:lang w:val="fr-CA"/>
        </w:rPr>
        <w:t>Rien n</w:t>
      </w:r>
      <w:r w:rsidR="00D70D07" w:rsidRPr="00A82D21">
        <w:rPr>
          <w:szCs w:val="24"/>
          <w:lang w:val="fr-CA"/>
        </w:rPr>
        <w:t>’</w:t>
      </w:r>
      <w:r w:rsidRPr="00A82D21">
        <w:rPr>
          <w:szCs w:val="24"/>
          <w:lang w:val="fr-CA"/>
        </w:rPr>
        <w:t>indique que l</w:t>
      </w:r>
      <w:r w:rsidR="00D70D07" w:rsidRPr="00A82D21">
        <w:rPr>
          <w:szCs w:val="24"/>
          <w:lang w:val="fr-CA"/>
        </w:rPr>
        <w:t>’</w:t>
      </w:r>
      <w:r w:rsidRPr="00A82D21">
        <w:rPr>
          <w:szCs w:val="24"/>
          <w:lang w:val="fr-CA"/>
        </w:rPr>
        <w:t>ordonnance crée un fardeau financier et administratif excessif pour le tiers visé en l</w:t>
      </w:r>
      <w:r w:rsidR="00D70D07" w:rsidRPr="00A82D21">
        <w:rPr>
          <w:szCs w:val="24"/>
          <w:lang w:val="fr-CA"/>
        </w:rPr>
        <w:t>’</w:t>
      </w:r>
      <w:r w:rsidRPr="00A82D21">
        <w:rPr>
          <w:szCs w:val="24"/>
          <w:lang w:val="fr-CA"/>
        </w:rPr>
        <w:t xml:space="preserve">espèce. </w:t>
      </w:r>
    </w:p>
    <w:p w:rsidR="003D1FE9" w:rsidRPr="00A82D21" w:rsidRDefault="003D1FE9" w:rsidP="007962BB">
      <w:pPr>
        <w:pStyle w:val="SCCNormalDoubleSpacing"/>
        <w:widowControl w:val="0"/>
        <w:spacing w:after="480"/>
        <w:rPr>
          <w:szCs w:val="24"/>
          <w:lang w:val="fr-CA"/>
        </w:rPr>
      </w:pPr>
      <w:r w:rsidRPr="00A82D21">
        <w:rPr>
          <w:szCs w:val="24"/>
          <w:lang w:val="fr-CA"/>
        </w:rPr>
        <w:tab/>
      </w:r>
      <w:r w:rsidRPr="00A82D21">
        <w:rPr>
          <w:i/>
          <w:szCs w:val="24"/>
          <w:lang w:val="fr-CA"/>
        </w:rPr>
        <w:t>La</w:t>
      </w:r>
      <w:r w:rsidRPr="00A82D21">
        <w:rPr>
          <w:szCs w:val="24"/>
          <w:lang w:val="fr-CA"/>
        </w:rPr>
        <w:t xml:space="preserve"> juge en chef McLachlin</w:t>
      </w:r>
      <w:r w:rsidR="007962BB" w:rsidRPr="00A82D21">
        <w:rPr>
          <w:szCs w:val="24"/>
          <w:lang w:val="fr-CA"/>
        </w:rPr>
        <w:t> :</w:t>
      </w:r>
      <w:r w:rsidRPr="00A82D21">
        <w:rPr>
          <w:szCs w:val="24"/>
          <w:lang w:val="fr-CA"/>
        </w:rPr>
        <w:t xml:space="preserve"> En l</w:t>
      </w:r>
      <w:r w:rsidR="00D70D07" w:rsidRPr="00A82D21">
        <w:rPr>
          <w:szCs w:val="24"/>
          <w:lang w:val="fr-CA"/>
        </w:rPr>
        <w:t>’</w:t>
      </w:r>
      <w:r w:rsidRPr="00A82D21">
        <w:rPr>
          <w:szCs w:val="24"/>
          <w:lang w:val="fr-CA"/>
        </w:rPr>
        <w:t>espèce, le pouvoir d</w:t>
      </w:r>
      <w:r w:rsidR="00D70D07" w:rsidRPr="00A82D21">
        <w:rPr>
          <w:szCs w:val="24"/>
          <w:lang w:val="fr-CA"/>
        </w:rPr>
        <w:t>’</w:t>
      </w:r>
      <w:r w:rsidRPr="00A82D21">
        <w:rPr>
          <w:szCs w:val="24"/>
          <w:lang w:val="fr-CA"/>
        </w:rPr>
        <w:t>obtenir les communications privées interceptées découle uniquement de l</w:t>
      </w:r>
      <w:r w:rsidR="00D70D07" w:rsidRPr="00A82D21">
        <w:rPr>
          <w:szCs w:val="24"/>
          <w:lang w:val="fr-CA"/>
        </w:rPr>
        <w:t>’</w:t>
      </w:r>
      <w:r w:rsidRPr="00A82D21">
        <w:rPr>
          <w:szCs w:val="24"/>
          <w:lang w:val="fr-CA"/>
        </w:rPr>
        <w:t>art.</w:t>
      </w:r>
      <w:r w:rsidR="007962BB" w:rsidRPr="00A82D21">
        <w:rPr>
          <w:szCs w:val="24"/>
          <w:lang w:val="fr-CA"/>
        </w:rPr>
        <w:t xml:space="preserve"> </w:t>
      </w:r>
      <w:r w:rsidRPr="00A82D21">
        <w:rPr>
          <w:szCs w:val="24"/>
          <w:lang w:val="fr-CA"/>
        </w:rPr>
        <w:t xml:space="preserve">402 du </w:t>
      </w:r>
      <w:r w:rsidRPr="00A82D21">
        <w:rPr>
          <w:i/>
          <w:szCs w:val="24"/>
          <w:lang w:val="fr-CA"/>
        </w:rPr>
        <w:t>C</w:t>
      </w:r>
      <w:r w:rsidR="006E4CC2" w:rsidRPr="00A82D21">
        <w:rPr>
          <w:i/>
          <w:szCs w:val="24"/>
          <w:lang w:val="fr-CA"/>
        </w:rPr>
        <w:t>.p.c.</w:t>
      </w:r>
      <w:r w:rsidRPr="00A82D21">
        <w:rPr>
          <w:szCs w:val="24"/>
          <w:lang w:val="fr-CA"/>
        </w:rPr>
        <w:t>, et non de l</w:t>
      </w:r>
      <w:r w:rsidR="00D70D07" w:rsidRPr="00A82D21">
        <w:rPr>
          <w:szCs w:val="24"/>
          <w:lang w:val="fr-CA"/>
        </w:rPr>
        <w:t>’</w:t>
      </w:r>
      <w:r w:rsidRPr="00A82D21">
        <w:rPr>
          <w:szCs w:val="24"/>
          <w:lang w:val="fr-CA"/>
        </w:rPr>
        <w:t>al.</w:t>
      </w:r>
      <w:r w:rsidR="007962BB" w:rsidRPr="00A82D21">
        <w:rPr>
          <w:szCs w:val="24"/>
          <w:lang w:val="fr-CA"/>
        </w:rPr>
        <w:t xml:space="preserve"> </w:t>
      </w:r>
      <w:r w:rsidRPr="00A82D21">
        <w:rPr>
          <w:szCs w:val="24"/>
          <w:lang w:val="fr-CA"/>
        </w:rPr>
        <w:t>193(2)</w:t>
      </w:r>
      <w:r w:rsidRPr="00A82D21">
        <w:rPr>
          <w:i/>
          <w:szCs w:val="24"/>
          <w:lang w:val="fr-CA"/>
        </w:rPr>
        <w:t>a</w:t>
      </w:r>
      <w:r w:rsidRPr="00A82D21">
        <w:rPr>
          <w:szCs w:val="24"/>
          <w:lang w:val="fr-CA"/>
        </w:rPr>
        <w:t xml:space="preserve">) du </w:t>
      </w:r>
      <w:r w:rsidRPr="00A82D21">
        <w:rPr>
          <w:i/>
          <w:szCs w:val="24"/>
          <w:lang w:val="fr-CA"/>
        </w:rPr>
        <w:t>Code criminel</w:t>
      </w:r>
      <w:r w:rsidRPr="00A82D21">
        <w:rPr>
          <w:szCs w:val="24"/>
          <w:lang w:val="fr-CA"/>
        </w:rPr>
        <w:t>. Lorsque l</w:t>
      </w:r>
      <w:r w:rsidR="00D70D07" w:rsidRPr="00A82D21">
        <w:rPr>
          <w:szCs w:val="24"/>
          <w:lang w:val="fr-CA"/>
        </w:rPr>
        <w:t>’</w:t>
      </w:r>
      <w:r w:rsidRPr="00A82D21">
        <w:rPr>
          <w:szCs w:val="24"/>
          <w:lang w:val="fr-CA"/>
        </w:rPr>
        <w:t>État a par ailleurs le pouvoir ou l</w:t>
      </w:r>
      <w:r w:rsidR="00D70D07" w:rsidRPr="00A82D21">
        <w:rPr>
          <w:szCs w:val="24"/>
          <w:lang w:val="fr-CA"/>
        </w:rPr>
        <w:t>’</w:t>
      </w:r>
      <w:r w:rsidRPr="00A82D21">
        <w:rPr>
          <w:szCs w:val="24"/>
          <w:lang w:val="fr-CA"/>
        </w:rPr>
        <w:t>obligation de divulguer dans une instance civile des commu</w:t>
      </w:r>
      <w:r w:rsidR="004F4928" w:rsidRPr="00A82D21">
        <w:rPr>
          <w:szCs w:val="24"/>
          <w:lang w:val="fr-CA"/>
        </w:rPr>
        <w:t>nications privées interceptées,</w:t>
      </w:r>
      <w:r w:rsidRPr="00A82D21">
        <w:rPr>
          <w:szCs w:val="24"/>
          <w:lang w:val="fr-CA"/>
        </w:rPr>
        <w:t xml:space="preserve"> l</w:t>
      </w:r>
      <w:r w:rsidR="00D70D07" w:rsidRPr="00A82D21">
        <w:rPr>
          <w:szCs w:val="24"/>
          <w:lang w:val="fr-CA"/>
        </w:rPr>
        <w:t>’</w:t>
      </w:r>
      <w:r w:rsidRPr="00A82D21">
        <w:rPr>
          <w:szCs w:val="24"/>
          <w:lang w:val="fr-CA"/>
        </w:rPr>
        <w:t>al.</w:t>
      </w:r>
      <w:r w:rsidR="007962BB" w:rsidRPr="00A82D21">
        <w:rPr>
          <w:szCs w:val="24"/>
          <w:lang w:val="fr-CA"/>
        </w:rPr>
        <w:t xml:space="preserve"> </w:t>
      </w:r>
      <w:r w:rsidRPr="00A82D21">
        <w:rPr>
          <w:szCs w:val="24"/>
          <w:lang w:val="fr-CA"/>
        </w:rPr>
        <w:t>193(2)</w:t>
      </w:r>
      <w:r w:rsidRPr="00A82D21">
        <w:rPr>
          <w:i/>
          <w:szCs w:val="24"/>
          <w:lang w:val="fr-CA"/>
        </w:rPr>
        <w:t>a</w:t>
      </w:r>
      <w:r w:rsidRPr="00A82D21">
        <w:rPr>
          <w:szCs w:val="24"/>
          <w:lang w:val="fr-CA"/>
        </w:rPr>
        <w:t>) protège les autorités contre toute sanction criminelle.</w:t>
      </w:r>
    </w:p>
    <w:p w:rsidR="003D1FE9" w:rsidRPr="00A82D21" w:rsidRDefault="003D1FE9" w:rsidP="007962BB">
      <w:pPr>
        <w:pStyle w:val="SCCNormalDoubleSpacing"/>
        <w:widowControl w:val="0"/>
        <w:spacing w:after="480"/>
        <w:rPr>
          <w:szCs w:val="24"/>
          <w:lang w:val="fr-CA"/>
        </w:rPr>
      </w:pPr>
      <w:r w:rsidRPr="00A82D21">
        <w:rPr>
          <w:szCs w:val="24"/>
          <w:lang w:val="fr-CA"/>
        </w:rPr>
        <w:tab/>
      </w:r>
      <w:r w:rsidRPr="00A82D21">
        <w:rPr>
          <w:i/>
          <w:szCs w:val="24"/>
          <w:lang w:val="fr-CA"/>
        </w:rPr>
        <w:t>La</w:t>
      </w:r>
      <w:r w:rsidRPr="00A82D21">
        <w:rPr>
          <w:szCs w:val="24"/>
          <w:lang w:val="fr-CA"/>
        </w:rPr>
        <w:t xml:space="preserve"> juge Abella (dissidente)</w:t>
      </w:r>
      <w:r w:rsidR="007962BB" w:rsidRPr="00A82D21">
        <w:rPr>
          <w:szCs w:val="24"/>
          <w:lang w:val="fr-CA"/>
        </w:rPr>
        <w:t> :</w:t>
      </w:r>
      <w:r w:rsidRPr="00A82D21">
        <w:rPr>
          <w:szCs w:val="24"/>
          <w:lang w:val="fr-CA"/>
        </w:rPr>
        <w:t xml:space="preserve"> En droit canadien</w:t>
      </w:r>
      <w:r w:rsidR="002A7975" w:rsidRPr="00A82D21">
        <w:rPr>
          <w:szCs w:val="24"/>
          <w:lang w:val="fr-CA"/>
        </w:rPr>
        <w:t>,</w:t>
      </w:r>
      <w:r w:rsidRPr="00A82D21">
        <w:rPr>
          <w:szCs w:val="24"/>
          <w:lang w:val="fr-CA"/>
        </w:rPr>
        <w:t xml:space="preserve"> aucune activité de surveillance électronique ne peut être autorisée à l</w:t>
      </w:r>
      <w:r w:rsidR="00D70D07" w:rsidRPr="00A82D21">
        <w:rPr>
          <w:szCs w:val="24"/>
          <w:lang w:val="fr-CA"/>
        </w:rPr>
        <w:t>’</w:t>
      </w:r>
      <w:r w:rsidRPr="00A82D21">
        <w:rPr>
          <w:szCs w:val="24"/>
          <w:lang w:val="fr-CA"/>
        </w:rPr>
        <w:t>occasion d</w:t>
      </w:r>
      <w:r w:rsidR="00D70D07" w:rsidRPr="00A82D21">
        <w:rPr>
          <w:szCs w:val="24"/>
          <w:lang w:val="fr-CA"/>
        </w:rPr>
        <w:t>’</w:t>
      </w:r>
      <w:r w:rsidRPr="00A82D21">
        <w:rPr>
          <w:szCs w:val="24"/>
          <w:lang w:val="fr-CA"/>
        </w:rPr>
        <w:t>une instance civile en vue de recueillir des éléments de preuve. La surveillance électronique ne peut être autorisée que dans les circonstance</w:t>
      </w:r>
      <w:r w:rsidR="00CE01C6" w:rsidRPr="00A82D21">
        <w:rPr>
          <w:szCs w:val="24"/>
          <w:lang w:val="fr-CA"/>
        </w:rPr>
        <w:t>s limitées énoncées à la partie</w:t>
      </w:r>
      <w:r w:rsidR="007962BB" w:rsidRPr="00A82D21">
        <w:rPr>
          <w:szCs w:val="24"/>
          <w:lang w:val="fr-CA"/>
        </w:rPr>
        <w:t xml:space="preserve"> </w:t>
      </w:r>
      <w:r w:rsidRPr="00A82D21">
        <w:rPr>
          <w:szCs w:val="24"/>
          <w:lang w:val="fr-CA"/>
        </w:rPr>
        <w:t xml:space="preserve">VI du </w:t>
      </w:r>
      <w:r w:rsidRPr="00A82D21">
        <w:rPr>
          <w:i/>
          <w:szCs w:val="24"/>
          <w:lang w:val="fr-CA"/>
        </w:rPr>
        <w:t>Code criminel</w:t>
      </w:r>
      <w:r w:rsidRPr="00A82D21">
        <w:rPr>
          <w:szCs w:val="24"/>
          <w:lang w:val="fr-CA"/>
        </w:rPr>
        <w:t>, dans le cadre d</w:t>
      </w:r>
      <w:r w:rsidR="00D70D07" w:rsidRPr="00A82D21">
        <w:rPr>
          <w:szCs w:val="24"/>
          <w:lang w:val="fr-CA"/>
        </w:rPr>
        <w:t>’</w:t>
      </w:r>
      <w:r w:rsidRPr="00A82D21">
        <w:rPr>
          <w:szCs w:val="24"/>
          <w:lang w:val="fr-CA"/>
        </w:rPr>
        <w:t xml:space="preserve">enquêtes relatives à des crimes graves, ou encore en vertu de la </w:t>
      </w:r>
      <w:r w:rsidRPr="00A82D21">
        <w:rPr>
          <w:i/>
          <w:szCs w:val="24"/>
          <w:lang w:val="fr-CA"/>
        </w:rPr>
        <w:t xml:space="preserve">Loi sur le </w:t>
      </w:r>
      <w:r w:rsidR="00F618C1" w:rsidRPr="00A82D21">
        <w:rPr>
          <w:i/>
          <w:szCs w:val="24"/>
          <w:lang w:val="fr-CA"/>
        </w:rPr>
        <w:t>S</w:t>
      </w:r>
      <w:r w:rsidRPr="00A82D21">
        <w:rPr>
          <w:i/>
          <w:szCs w:val="24"/>
          <w:lang w:val="fr-CA"/>
        </w:rPr>
        <w:t>ervice canadien du renseignement de sécurité</w:t>
      </w:r>
      <w:r w:rsidRPr="00A82D21">
        <w:rPr>
          <w:szCs w:val="24"/>
          <w:lang w:val="fr-CA"/>
        </w:rPr>
        <w:t>, en matière d</w:t>
      </w:r>
      <w:r w:rsidR="00D70D07" w:rsidRPr="00A82D21">
        <w:rPr>
          <w:szCs w:val="24"/>
          <w:lang w:val="fr-CA"/>
        </w:rPr>
        <w:t>’</w:t>
      </w:r>
      <w:r w:rsidRPr="00A82D21">
        <w:rPr>
          <w:szCs w:val="24"/>
          <w:lang w:val="fr-CA"/>
        </w:rPr>
        <w:t xml:space="preserve">enquêtes </w:t>
      </w:r>
      <w:r w:rsidRPr="00A82D21">
        <w:rPr>
          <w:szCs w:val="24"/>
          <w:lang w:val="fr-CA"/>
        </w:rPr>
        <w:lastRenderedPageBreak/>
        <w:t>sur des menaces envers la sécurité du Canada. La partie</w:t>
      </w:r>
      <w:r w:rsidR="007962BB" w:rsidRPr="00A82D21">
        <w:rPr>
          <w:szCs w:val="24"/>
          <w:lang w:val="fr-CA"/>
        </w:rPr>
        <w:t xml:space="preserve"> </w:t>
      </w:r>
      <w:r w:rsidRPr="00A82D21">
        <w:rPr>
          <w:szCs w:val="24"/>
          <w:lang w:val="fr-CA"/>
        </w:rPr>
        <w:t>VI reconnaît le caractère exceptionnellement attentatoire de la surveillance électronique, en ce qu</w:t>
      </w:r>
      <w:r w:rsidR="00D70D07" w:rsidRPr="00A82D21">
        <w:rPr>
          <w:szCs w:val="24"/>
          <w:lang w:val="fr-CA"/>
        </w:rPr>
        <w:t>’</w:t>
      </w:r>
      <w:r w:rsidRPr="00A82D21">
        <w:rPr>
          <w:szCs w:val="24"/>
          <w:lang w:val="fr-CA"/>
        </w:rPr>
        <w:t>elle permet l</w:t>
      </w:r>
      <w:r w:rsidR="00D70D07" w:rsidRPr="00A82D21">
        <w:rPr>
          <w:szCs w:val="24"/>
          <w:lang w:val="fr-CA"/>
        </w:rPr>
        <w:t>’</w:t>
      </w:r>
      <w:r w:rsidRPr="00A82D21">
        <w:rPr>
          <w:szCs w:val="24"/>
          <w:lang w:val="fr-CA"/>
        </w:rPr>
        <w:t>interception de communications privées par l</w:t>
      </w:r>
      <w:r w:rsidR="00D70D07" w:rsidRPr="00A82D21">
        <w:rPr>
          <w:szCs w:val="24"/>
          <w:lang w:val="fr-CA"/>
        </w:rPr>
        <w:t>’</w:t>
      </w:r>
      <w:r w:rsidRPr="00A82D21">
        <w:rPr>
          <w:szCs w:val="24"/>
          <w:lang w:val="fr-CA"/>
        </w:rPr>
        <w:t xml:space="preserve">État </w:t>
      </w:r>
      <w:r w:rsidRPr="00A82D21">
        <w:rPr>
          <w:i/>
          <w:szCs w:val="24"/>
          <w:lang w:val="fr-CA"/>
        </w:rPr>
        <w:t>uniquement</w:t>
      </w:r>
      <w:r w:rsidRPr="00A82D21">
        <w:rPr>
          <w:szCs w:val="24"/>
          <w:lang w:val="fr-CA"/>
        </w:rPr>
        <w:t xml:space="preserve"> si certaines garanties expresses sont respectées. Tant qu</w:t>
      </w:r>
      <w:r w:rsidR="00D70D07" w:rsidRPr="00A82D21">
        <w:rPr>
          <w:szCs w:val="24"/>
          <w:lang w:val="fr-CA"/>
        </w:rPr>
        <w:t>’</w:t>
      </w:r>
      <w:r w:rsidRPr="00A82D21">
        <w:rPr>
          <w:szCs w:val="24"/>
          <w:lang w:val="fr-CA"/>
        </w:rPr>
        <w:t>il n</w:t>
      </w:r>
      <w:r w:rsidR="00D70D07" w:rsidRPr="00A82D21">
        <w:rPr>
          <w:szCs w:val="24"/>
          <w:lang w:val="fr-CA"/>
        </w:rPr>
        <w:t>’</w:t>
      </w:r>
      <w:r w:rsidRPr="00A82D21">
        <w:rPr>
          <w:szCs w:val="24"/>
          <w:lang w:val="fr-CA"/>
        </w:rPr>
        <w:t>a pas été statué sur la légalité d</w:t>
      </w:r>
      <w:r w:rsidR="00D70D07" w:rsidRPr="00A82D21">
        <w:rPr>
          <w:szCs w:val="24"/>
          <w:lang w:val="fr-CA"/>
        </w:rPr>
        <w:t>’</w:t>
      </w:r>
      <w:r w:rsidRPr="00A82D21">
        <w:rPr>
          <w:szCs w:val="24"/>
          <w:lang w:val="fr-CA"/>
        </w:rPr>
        <w:t xml:space="preserve">une interception contestée, les communications interceptées ne sont pas admissibles dans une instance pénale. </w:t>
      </w:r>
    </w:p>
    <w:p w:rsidR="003D1FE9" w:rsidRPr="00A82D21" w:rsidRDefault="00CE01C6" w:rsidP="007962BB">
      <w:pPr>
        <w:pStyle w:val="SCCNormalDoubleSpacing"/>
        <w:widowControl w:val="0"/>
        <w:spacing w:after="480"/>
        <w:rPr>
          <w:szCs w:val="24"/>
          <w:lang w:val="fr-CA"/>
        </w:rPr>
      </w:pPr>
      <w:r w:rsidRPr="00A82D21">
        <w:rPr>
          <w:szCs w:val="24"/>
          <w:lang w:val="fr-CA"/>
        </w:rPr>
        <w:tab/>
      </w:r>
      <w:r w:rsidR="003D1FE9" w:rsidRPr="00A82D21">
        <w:rPr>
          <w:szCs w:val="24"/>
          <w:lang w:val="fr-CA"/>
        </w:rPr>
        <w:t>L</w:t>
      </w:r>
      <w:r w:rsidR="00D70D07" w:rsidRPr="00A82D21">
        <w:rPr>
          <w:szCs w:val="24"/>
          <w:lang w:val="fr-CA"/>
        </w:rPr>
        <w:t>’</w:t>
      </w:r>
      <w:r w:rsidR="003D1FE9" w:rsidRPr="00A82D21">
        <w:rPr>
          <w:szCs w:val="24"/>
          <w:lang w:val="fr-CA"/>
        </w:rPr>
        <w:t>alinéa</w:t>
      </w:r>
      <w:r w:rsidR="007962BB" w:rsidRPr="00A82D21">
        <w:rPr>
          <w:szCs w:val="24"/>
          <w:lang w:val="fr-CA"/>
        </w:rPr>
        <w:t xml:space="preserve"> </w:t>
      </w:r>
      <w:r w:rsidR="003D1FE9" w:rsidRPr="00A82D21">
        <w:rPr>
          <w:szCs w:val="24"/>
          <w:lang w:val="fr-CA"/>
        </w:rPr>
        <w:t>193(2)</w:t>
      </w:r>
      <w:r w:rsidR="003D1FE9" w:rsidRPr="00A82D21">
        <w:rPr>
          <w:i/>
          <w:szCs w:val="24"/>
          <w:lang w:val="fr-CA"/>
        </w:rPr>
        <w:t>a</w:t>
      </w:r>
      <w:r w:rsidR="003D1FE9" w:rsidRPr="00A82D21">
        <w:rPr>
          <w:szCs w:val="24"/>
          <w:lang w:val="fr-CA"/>
        </w:rPr>
        <w:t>) ne devrait pas être interprété d</w:t>
      </w:r>
      <w:r w:rsidR="00D70D07" w:rsidRPr="00A82D21">
        <w:rPr>
          <w:szCs w:val="24"/>
          <w:lang w:val="fr-CA"/>
        </w:rPr>
        <w:t>’</w:t>
      </w:r>
      <w:r w:rsidR="003D1FE9" w:rsidRPr="00A82D21">
        <w:rPr>
          <w:szCs w:val="24"/>
          <w:lang w:val="fr-CA"/>
        </w:rPr>
        <w:t>une manière qui écarte les mesures de protection de la vie privée que prévoit la partie</w:t>
      </w:r>
      <w:r w:rsidR="007962BB" w:rsidRPr="00A82D21">
        <w:rPr>
          <w:szCs w:val="24"/>
          <w:lang w:val="fr-CA"/>
        </w:rPr>
        <w:t xml:space="preserve"> </w:t>
      </w:r>
      <w:r w:rsidR="003D1FE9" w:rsidRPr="00A82D21">
        <w:rPr>
          <w:szCs w:val="24"/>
          <w:lang w:val="fr-CA"/>
        </w:rPr>
        <w:t>VI. Cette disposition ne crée pas un droit d</w:t>
      </w:r>
      <w:r w:rsidR="00D70D07" w:rsidRPr="00A82D21">
        <w:rPr>
          <w:szCs w:val="24"/>
          <w:lang w:val="fr-CA"/>
        </w:rPr>
        <w:t>’</w:t>
      </w:r>
      <w:r w:rsidR="003D1FE9" w:rsidRPr="00A82D21">
        <w:rPr>
          <w:szCs w:val="24"/>
          <w:lang w:val="fr-CA"/>
        </w:rPr>
        <w:t>accès aux communications interceptées et ne peut être invoqué</w:t>
      </w:r>
      <w:r w:rsidR="004F4928" w:rsidRPr="00A82D21">
        <w:rPr>
          <w:szCs w:val="24"/>
          <w:lang w:val="fr-CA"/>
        </w:rPr>
        <w:t>e</w:t>
      </w:r>
      <w:r w:rsidR="003D1FE9" w:rsidRPr="00A82D21">
        <w:rPr>
          <w:szCs w:val="24"/>
          <w:lang w:val="fr-CA"/>
        </w:rPr>
        <w:t xml:space="preserve"> pour prévenir une décision judiciaire relative à la validité d</w:t>
      </w:r>
      <w:r w:rsidR="00D70D07" w:rsidRPr="00A82D21">
        <w:rPr>
          <w:szCs w:val="24"/>
          <w:lang w:val="fr-CA"/>
        </w:rPr>
        <w:t>’</w:t>
      </w:r>
      <w:r w:rsidR="003D1FE9" w:rsidRPr="00A82D21">
        <w:rPr>
          <w:szCs w:val="24"/>
          <w:lang w:val="fr-CA"/>
        </w:rPr>
        <w:t>interceptions. Tant que la validité de ces interceptions n</w:t>
      </w:r>
      <w:r w:rsidR="00D70D07" w:rsidRPr="00A82D21">
        <w:rPr>
          <w:szCs w:val="24"/>
          <w:lang w:val="fr-CA"/>
        </w:rPr>
        <w:t>’</w:t>
      </w:r>
      <w:r w:rsidR="003D1FE9" w:rsidRPr="00A82D21">
        <w:rPr>
          <w:szCs w:val="24"/>
          <w:lang w:val="fr-CA"/>
        </w:rPr>
        <w:t>a pas été constatée ou concédée et que les communications interceptées n</w:t>
      </w:r>
      <w:r w:rsidR="00D70D07" w:rsidRPr="00A82D21">
        <w:rPr>
          <w:szCs w:val="24"/>
          <w:lang w:val="fr-CA"/>
        </w:rPr>
        <w:t>’</w:t>
      </w:r>
      <w:r w:rsidR="003D1FE9" w:rsidRPr="00A82D21">
        <w:rPr>
          <w:szCs w:val="24"/>
          <w:lang w:val="fr-CA"/>
        </w:rPr>
        <w:t>ont pas été admises en preuve dans une instance criminelle, elles conservent à toutes fins utiles leur caractère privé et le public ne peut y avoir accès. Le fait de se fonder sur l</w:t>
      </w:r>
      <w:r w:rsidR="00D70D07" w:rsidRPr="00A82D21">
        <w:rPr>
          <w:szCs w:val="24"/>
          <w:lang w:val="fr-CA"/>
        </w:rPr>
        <w:t>’</w:t>
      </w:r>
      <w:r w:rsidR="003D1FE9" w:rsidRPr="00A82D21">
        <w:rPr>
          <w:szCs w:val="24"/>
          <w:lang w:val="fr-CA"/>
        </w:rPr>
        <w:t>al.</w:t>
      </w:r>
      <w:r w:rsidR="007962BB" w:rsidRPr="00A82D21">
        <w:rPr>
          <w:szCs w:val="24"/>
          <w:lang w:val="fr-CA"/>
        </w:rPr>
        <w:t xml:space="preserve"> </w:t>
      </w:r>
      <w:r w:rsidR="003D1FE9" w:rsidRPr="00A82D21">
        <w:rPr>
          <w:szCs w:val="24"/>
          <w:lang w:val="fr-CA"/>
        </w:rPr>
        <w:t>193(2)</w:t>
      </w:r>
      <w:r w:rsidR="003D1FE9" w:rsidRPr="00A82D21">
        <w:rPr>
          <w:i/>
          <w:szCs w:val="24"/>
          <w:lang w:val="fr-CA"/>
        </w:rPr>
        <w:t>a</w:t>
      </w:r>
      <w:r w:rsidR="003D1FE9" w:rsidRPr="00A82D21">
        <w:rPr>
          <w:szCs w:val="24"/>
          <w:lang w:val="fr-CA"/>
        </w:rPr>
        <w:t>) afin de permettre à des plaideurs dans une instance civile d</w:t>
      </w:r>
      <w:r w:rsidR="00D70D07" w:rsidRPr="00A82D21">
        <w:rPr>
          <w:szCs w:val="24"/>
          <w:lang w:val="fr-CA"/>
        </w:rPr>
        <w:t>’</w:t>
      </w:r>
      <w:r w:rsidR="003D1FE9" w:rsidRPr="00A82D21">
        <w:rPr>
          <w:szCs w:val="24"/>
          <w:lang w:val="fr-CA"/>
        </w:rPr>
        <w:t>obtenir la divulgation de communications interceptées dans une enquête criminelle — avant qu</w:t>
      </w:r>
      <w:r w:rsidR="00D70D07" w:rsidRPr="00A82D21">
        <w:rPr>
          <w:szCs w:val="24"/>
          <w:lang w:val="fr-CA"/>
        </w:rPr>
        <w:t>’</w:t>
      </w:r>
      <w:r w:rsidR="003D1FE9" w:rsidRPr="00A82D21">
        <w:rPr>
          <w:szCs w:val="24"/>
          <w:lang w:val="fr-CA"/>
        </w:rPr>
        <w:t>une interception contestée ait été jugée légale — permet à ces mêmes plaideurs de bénéficier indirectement d</w:t>
      </w:r>
      <w:r w:rsidR="00D70D07" w:rsidRPr="00A82D21">
        <w:rPr>
          <w:szCs w:val="24"/>
          <w:lang w:val="fr-CA"/>
        </w:rPr>
        <w:t>’</w:t>
      </w:r>
      <w:r w:rsidR="003D1FE9" w:rsidRPr="00A82D21">
        <w:rPr>
          <w:szCs w:val="24"/>
          <w:lang w:val="fr-CA"/>
        </w:rPr>
        <w:t>une technique d</w:t>
      </w:r>
      <w:r w:rsidR="00D70D07" w:rsidRPr="00A82D21">
        <w:rPr>
          <w:szCs w:val="24"/>
          <w:lang w:val="fr-CA"/>
        </w:rPr>
        <w:t>’</w:t>
      </w:r>
      <w:r w:rsidR="003D1FE9" w:rsidRPr="00A82D21">
        <w:rPr>
          <w:szCs w:val="24"/>
          <w:lang w:val="fr-CA"/>
        </w:rPr>
        <w:t>enquête extraordinaire à laquelle ils n</w:t>
      </w:r>
      <w:r w:rsidR="00D70D07" w:rsidRPr="00A82D21">
        <w:rPr>
          <w:szCs w:val="24"/>
          <w:lang w:val="fr-CA"/>
        </w:rPr>
        <w:t>’</w:t>
      </w:r>
      <w:r w:rsidR="003D1FE9" w:rsidRPr="00A82D21">
        <w:rPr>
          <w:szCs w:val="24"/>
          <w:lang w:val="fr-CA"/>
        </w:rPr>
        <w:t>ont autrement pas droit en vertu de la loi.</w:t>
      </w:r>
    </w:p>
    <w:p w:rsidR="003D1FE9" w:rsidRPr="00A82D21" w:rsidRDefault="003D1FE9" w:rsidP="007962BB">
      <w:pPr>
        <w:pStyle w:val="SCCNormalDoubleSpacing"/>
        <w:widowControl w:val="0"/>
        <w:spacing w:after="480"/>
        <w:rPr>
          <w:szCs w:val="24"/>
          <w:lang w:val="fr-CA"/>
        </w:rPr>
      </w:pPr>
      <w:r w:rsidRPr="00A82D21">
        <w:rPr>
          <w:szCs w:val="24"/>
          <w:lang w:val="fr-CA"/>
        </w:rPr>
        <w:tab/>
        <w:t xml:space="preserve">Le droit général au respect de la vie privée ainsi que le droit particulier au respect du secret professionnel sont expressément protégés </w:t>
      </w:r>
      <w:r w:rsidR="002A7975" w:rsidRPr="00A82D21">
        <w:rPr>
          <w:szCs w:val="24"/>
          <w:lang w:val="fr-CA"/>
        </w:rPr>
        <w:t>dans</w:t>
      </w:r>
      <w:r w:rsidRPr="00A82D21">
        <w:rPr>
          <w:szCs w:val="24"/>
          <w:lang w:val="fr-CA"/>
        </w:rPr>
        <w:t xml:space="preserve"> la </w:t>
      </w:r>
      <w:r w:rsidRPr="00A82D21">
        <w:rPr>
          <w:i/>
          <w:szCs w:val="24"/>
          <w:lang w:val="fr-CA"/>
        </w:rPr>
        <w:t>Charte des droits et libertés de la personne</w:t>
      </w:r>
      <w:r w:rsidRPr="00A82D21">
        <w:rPr>
          <w:szCs w:val="24"/>
          <w:lang w:val="fr-CA"/>
        </w:rPr>
        <w:t xml:space="preserve"> du Québec. Par conséquent, le pouvoir discrétionnaire conféré à l</w:t>
      </w:r>
      <w:r w:rsidR="00D70D07" w:rsidRPr="00A82D21">
        <w:rPr>
          <w:szCs w:val="24"/>
          <w:lang w:val="fr-CA"/>
        </w:rPr>
        <w:t>’</w:t>
      </w:r>
      <w:r w:rsidRPr="00A82D21">
        <w:rPr>
          <w:szCs w:val="24"/>
          <w:lang w:val="fr-CA"/>
        </w:rPr>
        <w:t>art.</w:t>
      </w:r>
      <w:r w:rsidR="007962BB" w:rsidRPr="00A82D21">
        <w:rPr>
          <w:szCs w:val="24"/>
          <w:lang w:val="fr-CA"/>
        </w:rPr>
        <w:t xml:space="preserve"> </w:t>
      </w:r>
      <w:r w:rsidRPr="00A82D21">
        <w:rPr>
          <w:szCs w:val="24"/>
          <w:lang w:val="fr-CA"/>
        </w:rPr>
        <w:t xml:space="preserve">402 du </w:t>
      </w:r>
      <w:r w:rsidRPr="00A82D21">
        <w:rPr>
          <w:i/>
          <w:szCs w:val="24"/>
          <w:lang w:val="fr-CA"/>
        </w:rPr>
        <w:t>Code de procédure civile</w:t>
      </w:r>
      <w:r w:rsidRPr="00A82D21">
        <w:rPr>
          <w:szCs w:val="24"/>
          <w:lang w:val="fr-CA"/>
        </w:rPr>
        <w:t xml:space="preserve"> ne devrait pas être interprété d</w:t>
      </w:r>
      <w:r w:rsidR="00D70D07" w:rsidRPr="00A82D21">
        <w:rPr>
          <w:szCs w:val="24"/>
          <w:lang w:val="fr-CA"/>
        </w:rPr>
        <w:t>’</w:t>
      </w:r>
      <w:r w:rsidRPr="00A82D21">
        <w:rPr>
          <w:szCs w:val="24"/>
          <w:lang w:val="fr-CA"/>
        </w:rPr>
        <w:t xml:space="preserve">une </w:t>
      </w:r>
      <w:r w:rsidRPr="00A82D21">
        <w:rPr>
          <w:szCs w:val="24"/>
          <w:lang w:val="fr-CA"/>
        </w:rPr>
        <w:lastRenderedPageBreak/>
        <w:t>manière qui supprimerait la protection scrupuleuse contre la divulgation des communications interceptées prévue par d</w:t>
      </w:r>
      <w:r w:rsidR="00D70D07" w:rsidRPr="00A82D21">
        <w:rPr>
          <w:szCs w:val="24"/>
          <w:lang w:val="fr-CA"/>
        </w:rPr>
        <w:t>’</w:t>
      </w:r>
      <w:r w:rsidRPr="00A82D21">
        <w:rPr>
          <w:szCs w:val="24"/>
          <w:lang w:val="fr-CA"/>
        </w:rPr>
        <w:t>autres règles de droit. Cette disposition confère un vaste pouvoir discrétionnaire au juge de première instance, mais ne lui donne pas carte blanche pour ordonner la divulgation de communications jouissant d</w:t>
      </w:r>
      <w:r w:rsidR="00D70D07" w:rsidRPr="00A82D21">
        <w:rPr>
          <w:szCs w:val="24"/>
          <w:lang w:val="fr-CA"/>
        </w:rPr>
        <w:t>’</w:t>
      </w:r>
      <w:r w:rsidRPr="00A82D21">
        <w:rPr>
          <w:szCs w:val="24"/>
          <w:lang w:val="fr-CA"/>
        </w:rPr>
        <w:t xml:space="preserve">une protection légale pratiquement impénétrable, comme </w:t>
      </w:r>
      <w:r w:rsidR="00F81058" w:rsidRPr="00A82D21">
        <w:rPr>
          <w:szCs w:val="24"/>
          <w:lang w:val="fr-CA"/>
        </w:rPr>
        <w:t>c’est le car pour</w:t>
      </w:r>
      <w:r w:rsidRPr="00A82D21">
        <w:rPr>
          <w:szCs w:val="24"/>
          <w:lang w:val="fr-CA"/>
        </w:rPr>
        <w:t xml:space="preserve"> les communications privilégiées</w:t>
      </w:r>
      <w:r w:rsidR="00F45EEA" w:rsidRPr="00A82D21">
        <w:rPr>
          <w:szCs w:val="24"/>
          <w:lang w:val="fr-CA"/>
        </w:rPr>
        <w:t xml:space="preserve">. </w:t>
      </w:r>
      <w:r w:rsidRPr="00A82D21">
        <w:rPr>
          <w:szCs w:val="24"/>
          <w:lang w:val="fr-CA"/>
        </w:rPr>
        <w:t xml:space="preserve">Les éléments de preuve recueillis au moyen de mesures de surveillance électronique ont droit à la même protection et, </w:t>
      </w:r>
      <w:r w:rsidR="002A7975" w:rsidRPr="00A82D21">
        <w:rPr>
          <w:szCs w:val="24"/>
          <w:lang w:val="fr-CA"/>
        </w:rPr>
        <w:t>en conséquence</w:t>
      </w:r>
      <w:r w:rsidRPr="00A82D21">
        <w:rPr>
          <w:szCs w:val="24"/>
          <w:lang w:val="fr-CA"/>
        </w:rPr>
        <w:t>, ne se prêtent pas à une mise en balance des intérêts opposés.</w:t>
      </w:r>
    </w:p>
    <w:p w:rsidR="004D7D95" w:rsidRPr="00A82D21" w:rsidRDefault="004D7D95" w:rsidP="007962BB">
      <w:pPr>
        <w:pStyle w:val="SCCNormalDoubleSpacing"/>
        <w:widowControl w:val="0"/>
        <w:spacing w:after="720" w:line="240" w:lineRule="auto"/>
        <w:rPr>
          <w:b/>
          <w:szCs w:val="24"/>
          <w:lang w:val="fr-CA"/>
        </w:rPr>
      </w:pPr>
      <w:r w:rsidRPr="00A82D21">
        <w:rPr>
          <w:b/>
          <w:szCs w:val="24"/>
          <w:lang w:val="fr-CA"/>
        </w:rPr>
        <w:t>Jurisprudence</w:t>
      </w:r>
    </w:p>
    <w:p w:rsidR="00A24561" w:rsidRPr="00A82D21" w:rsidRDefault="00A24561" w:rsidP="007962BB">
      <w:pPr>
        <w:pStyle w:val="SCCNormalDoubleSpacing"/>
        <w:widowControl w:val="0"/>
        <w:spacing w:after="720" w:line="240" w:lineRule="auto"/>
        <w:rPr>
          <w:szCs w:val="24"/>
          <w:lang w:val="fr-CA"/>
        </w:rPr>
      </w:pPr>
      <w:r w:rsidRPr="00A82D21">
        <w:rPr>
          <w:szCs w:val="24"/>
          <w:lang w:val="fr-CA"/>
        </w:rPr>
        <w:t>Citée par les juges LeBel et Wagner</w:t>
      </w:r>
    </w:p>
    <w:p w:rsidR="00DC3F8D" w:rsidRPr="00A82D21" w:rsidRDefault="004D7D95" w:rsidP="007962BB">
      <w:pPr>
        <w:pStyle w:val="SCCNormalDoubleSpacing"/>
        <w:widowControl w:val="0"/>
        <w:spacing w:after="480"/>
        <w:rPr>
          <w:szCs w:val="24"/>
          <w:lang w:val="en-US"/>
        </w:rPr>
      </w:pPr>
      <w:r w:rsidRPr="00A82D21">
        <w:rPr>
          <w:szCs w:val="24"/>
          <w:lang w:val="fr-CA"/>
        </w:rPr>
        <w:tab/>
      </w:r>
      <w:r w:rsidR="001B27F1" w:rsidRPr="00A82D21">
        <w:rPr>
          <w:b/>
          <w:szCs w:val="24"/>
          <w:lang w:val="en-US"/>
        </w:rPr>
        <w:t xml:space="preserve">Arrêts </w:t>
      </w:r>
      <w:r w:rsidR="004F4928" w:rsidRPr="00A82D21">
        <w:rPr>
          <w:b/>
          <w:szCs w:val="24"/>
          <w:lang w:val="en-US"/>
        </w:rPr>
        <w:t>examinés</w:t>
      </w:r>
      <w:r w:rsidR="007962BB" w:rsidRPr="00A82D21">
        <w:rPr>
          <w:b/>
          <w:szCs w:val="24"/>
          <w:lang w:val="en-US"/>
        </w:rPr>
        <w:t> :</w:t>
      </w:r>
      <w:r w:rsidR="001B27F1" w:rsidRPr="00A82D21">
        <w:rPr>
          <w:b/>
          <w:szCs w:val="24"/>
          <w:lang w:val="en-US"/>
        </w:rPr>
        <w:t xml:space="preserve"> </w:t>
      </w:r>
      <w:r w:rsidR="001B27F1" w:rsidRPr="00A82D21">
        <w:rPr>
          <w:i/>
          <w:szCs w:val="24"/>
          <w:lang w:val="en-US"/>
        </w:rPr>
        <w:t>Tide Shore Logging</w:t>
      </w:r>
      <w:r w:rsidR="001B27F1" w:rsidRPr="00A82D21">
        <w:rPr>
          <w:szCs w:val="24"/>
          <w:lang w:val="en-US"/>
        </w:rPr>
        <w:t xml:space="preserve"> </w:t>
      </w:r>
      <w:r w:rsidR="001B27F1" w:rsidRPr="00A82D21">
        <w:rPr>
          <w:i/>
          <w:szCs w:val="24"/>
          <w:lang w:val="en-US"/>
        </w:rPr>
        <w:t>Ltd. c. Commonwealth Insurance Co.</w:t>
      </w:r>
      <w:r w:rsidR="001B27F1" w:rsidRPr="00A82D21">
        <w:rPr>
          <w:szCs w:val="24"/>
          <w:lang w:val="en-US"/>
        </w:rPr>
        <w:t xml:space="preserve"> (1979), 13 B.C.L.R. 316; </w:t>
      </w:r>
      <w:r w:rsidR="001B27F1" w:rsidRPr="00A82D21">
        <w:rPr>
          <w:i/>
          <w:szCs w:val="24"/>
          <w:lang w:val="en-US"/>
        </w:rPr>
        <w:t>Ault c. Canada (Attorney General)</w:t>
      </w:r>
      <w:r w:rsidR="001B27F1" w:rsidRPr="00A82D21">
        <w:rPr>
          <w:szCs w:val="24"/>
          <w:lang w:val="en-US"/>
        </w:rPr>
        <w:t xml:space="preserve"> (2007), 88 O.R. (3d) 541; </w:t>
      </w:r>
      <w:r w:rsidR="001B27F1" w:rsidRPr="00A82D21">
        <w:rPr>
          <w:i/>
          <w:szCs w:val="24"/>
          <w:lang w:val="en-US"/>
        </w:rPr>
        <w:t>Canada (Procureur général) c. Charbonneau</w:t>
      </w:r>
      <w:r w:rsidR="001B27F1" w:rsidRPr="00A82D21">
        <w:rPr>
          <w:szCs w:val="24"/>
          <w:lang w:val="en-US"/>
        </w:rPr>
        <w:t xml:space="preserve">, 2012 QCCS 1701 (CanLII); </w:t>
      </w:r>
      <w:r w:rsidR="001B27F1" w:rsidRPr="00A82D21">
        <w:rPr>
          <w:b/>
          <w:szCs w:val="24"/>
          <w:lang w:val="en-US"/>
        </w:rPr>
        <w:t>distinction d</w:t>
      </w:r>
      <w:r w:rsidR="00D70D07" w:rsidRPr="00A82D21">
        <w:rPr>
          <w:b/>
          <w:szCs w:val="24"/>
          <w:lang w:val="en-US"/>
        </w:rPr>
        <w:t>’</w:t>
      </w:r>
      <w:r w:rsidR="001B27F1" w:rsidRPr="00A82D21">
        <w:rPr>
          <w:b/>
          <w:szCs w:val="24"/>
          <w:lang w:val="en-US"/>
        </w:rPr>
        <w:t>avec l</w:t>
      </w:r>
      <w:r w:rsidR="00D70D07" w:rsidRPr="00A82D21">
        <w:rPr>
          <w:b/>
          <w:szCs w:val="24"/>
          <w:lang w:val="en-US"/>
        </w:rPr>
        <w:t>’</w:t>
      </w:r>
      <w:r w:rsidR="001B27F1" w:rsidRPr="00A82D21">
        <w:rPr>
          <w:b/>
          <w:szCs w:val="24"/>
          <w:lang w:val="en-US"/>
        </w:rPr>
        <w:t>arrêt</w:t>
      </w:r>
      <w:r w:rsidR="007962BB" w:rsidRPr="00A82D21">
        <w:rPr>
          <w:b/>
          <w:szCs w:val="24"/>
          <w:lang w:val="en-US"/>
        </w:rPr>
        <w:t> :</w:t>
      </w:r>
      <w:r w:rsidR="001B27F1" w:rsidRPr="00A82D21">
        <w:rPr>
          <w:b/>
          <w:szCs w:val="24"/>
          <w:lang w:val="en-US"/>
        </w:rPr>
        <w:t xml:space="preserve"> </w:t>
      </w:r>
      <w:r w:rsidR="001B27F1" w:rsidRPr="00A82D21">
        <w:rPr>
          <w:i/>
          <w:szCs w:val="24"/>
          <w:lang w:val="en-US"/>
        </w:rPr>
        <w:t>Michaud</w:t>
      </w:r>
      <w:r w:rsidR="001B27F1" w:rsidRPr="00A82D21">
        <w:rPr>
          <w:szCs w:val="24"/>
          <w:lang w:val="en-US"/>
        </w:rPr>
        <w:t xml:space="preserve"> </w:t>
      </w:r>
      <w:r w:rsidR="001B27F1" w:rsidRPr="00A82D21">
        <w:rPr>
          <w:i/>
          <w:szCs w:val="24"/>
          <w:lang w:val="en-US"/>
        </w:rPr>
        <w:t>c. Québec (Procureur général)</w:t>
      </w:r>
      <w:r w:rsidR="001B27F1" w:rsidRPr="00A82D21">
        <w:rPr>
          <w:szCs w:val="24"/>
          <w:lang w:val="en-US"/>
        </w:rPr>
        <w:t>, [1996] 3 R.C.S. 3;</w:t>
      </w:r>
      <w:r w:rsidR="001B27F1" w:rsidRPr="00A82D21">
        <w:rPr>
          <w:i/>
          <w:szCs w:val="24"/>
          <w:lang w:val="en-US"/>
        </w:rPr>
        <w:t xml:space="preserve"> </w:t>
      </w:r>
      <w:r w:rsidR="001B27F1" w:rsidRPr="00A82D21">
        <w:rPr>
          <w:b/>
          <w:szCs w:val="24"/>
          <w:lang w:val="en-US"/>
        </w:rPr>
        <w:t>a</w:t>
      </w:r>
      <w:r w:rsidRPr="00A82D21">
        <w:rPr>
          <w:b/>
          <w:szCs w:val="24"/>
          <w:lang w:val="en-US"/>
        </w:rPr>
        <w:t>rrêts mentionnés</w:t>
      </w:r>
      <w:r w:rsidR="007962BB" w:rsidRPr="00A82D21">
        <w:rPr>
          <w:b/>
          <w:szCs w:val="24"/>
          <w:lang w:val="en-US"/>
        </w:rPr>
        <w:t> :</w:t>
      </w:r>
      <w:r w:rsidRPr="00A82D21">
        <w:rPr>
          <w:szCs w:val="24"/>
          <w:lang w:val="en-US"/>
        </w:rPr>
        <w:t xml:space="preserve"> </w:t>
      </w:r>
      <w:r w:rsidR="00D4473C" w:rsidRPr="00A82D21">
        <w:rPr>
          <w:i/>
          <w:szCs w:val="24"/>
          <w:lang w:val="en-US"/>
        </w:rPr>
        <w:t>Jacques c.</w:t>
      </w:r>
      <w:r w:rsidR="00D4473C" w:rsidRPr="00A82D21">
        <w:rPr>
          <w:szCs w:val="24"/>
          <w:lang w:val="en-US"/>
        </w:rPr>
        <w:t xml:space="preserve"> </w:t>
      </w:r>
      <w:r w:rsidR="00D4473C" w:rsidRPr="00A82D21">
        <w:rPr>
          <w:i/>
          <w:szCs w:val="24"/>
          <w:lang w:val="en-US"/>
        </w:rPr>
        <w:t>Petro</w:t>
      </w:r>
      <w:r w:rsidR="007962BB" w:rsidRPr="00A82D21">
        <w:rPr>
          <w:i/>
          <w:szCs w:val="24"/>
          <w:lang w:val="en-US"/>
        </w:rPr>
        <w:t>-</w:t>
      </w:r>
      <w:r w:rsidR="00D4473C" w:rsidRPr="00A82D21">
        <w:rPr>
          <w:i/>
          <w:szCs w:val="24"/>
          <w:lang w:val="en-US"/>
        </w:rPr>
        <w:t>Canada</w:t>
      </w:r>
      <w:r w:rsidR="00D4473C" w:rsidRPr="00A82D21">
        <w:rPr>
          <w:szCs w:val="24"/>
          <w:lang w:val="en-US"/>
        </w:rPr>
        <w:t>, 2009 QCCS 5603 (CanLII)</w:t>
      </w:r>
      <w:r w:rsidR="003E0D79" w:rsidRPr="00A82D21">
        <w:rPr>
          <w:szCs w:val="24"/>
          <w:lang w:val="en-US"/>
        </w:rPr>
        <w:t xml:space="preserve">; </w:t>
      </w:r>
      <w:r w:rsidR="0076212F" w:rsidRPr="00A82D21">
        <w:rPr>
          <w:i/>
          <w:szCs w:val="24"/>
          <w:lang w:val="en-US"/>
        </w:rPr>
        <w:t>Glegg</w:t>
      </w:r>
      <w:r w:rsidR="0076212F" w:rsidRPr="00A82D21">
        <w:rPr>
          <w:szCs w:val="24"/>
          <w:lang w:val="en-US"/>
        </w:rPr>
        <w:t xml:space="preserve"> </w:t>
      </w:r>
      <w:r w:rsidR="0076212F" w:rsidRPr="00A82D21">
        <w:rPr>
          <w:i/>
          <w:szCs w:val="24"/>
          <w:lang w:val="en-US"/>
        </w:rPr>
        <w:t>c.</w:t>
      </w:r>
      <w:r w:rsidR="0076212F" w:rsidRPr="00A82D21">
        <w:rPr>
          <w:szCs w:val="24"/>
          <w:lang w:val="en-US"/>
        </w:rPr>
        <w:t xml:space="preserve"> </w:t>
      </w:r>
      <w:r w:rsidR="0076212F" w:rsidRPr="00A82D21">
        <w:rPr>
          <w:i/>
          <w:szCs w:val="24"/>
          <w:lang w:val="en-US"/>
        </w:rPr>
        <w:t>Smith &amp; Nephew Inc.</w:t>
      </w:r>
      <w:r w:rsidR="0076212F" w:rsidRPr="00A82D21">
        <w:rPr>
          <w:szCs w:val="24"/>
          <w:lang w:val="en-US"/>
        </w:rPr>
        <w:t>, 2005 CSC 31, [2005] 1 R.C.S. 724</w:t>
      </w:r>
      <w:r w:rsidR="006D5BBB" w:rsidRPr="00A82D21">
        <w:rPr>
          <w:szCs w:val="24"/>
          <w:lang w:val="en-US"/>
        </w:rPr>
        <w:t xml:space="preserve">; </w:t>
      </w:r>
      <w:r w:rsidR="00F21B17" w:rsidRPr="00A82D21">
        <w:rPr>
          <w:i/>
          <w:szCs w:val="24"/>
          <w:lang w:val="en-US"/>
        </w:rPr>
        <w:t>P.</w:t>
      </w:r>
      <w:r w:rsidR="007962BB" w:rsidRPr="00A82D21">
        <w:rPr>
          <w:i/>
          <w:szCs w:val="24"/>
          <w:lang w:val="en-US"/>
        </w:rPr>
        <w:t xml:space="preserve"> </w:t>
      </w:r>
      <w:r w:rsidR="006D5BBB" w:rsidRPr="00A82D21">
        <w:rPr>
          <w:i/>
          <w:szCs w:val="24"/>
          <w:lang w:val="en-US"/>
        </w:rPr>
        <w:t>(D.) c. Wagg</w:t>
      </w:r>
      <w:r w:rsidR="006D5BBB" w:rsidRPr="00A82D21">
        <w:rPr>
          <w:szCs w:val="24"/>
          <w:lang w:val="en-US"/>
        </w:rPr>
        <w:t xml:space="preserve"> (2004), 71 O.R. (3d) 229</w:t>
      </w:r>
      <w:r w:rsidR="00717639" w:rsidRPr="00A82D21">
        <w:rPr>
          <w:szCs w:val="24"/>
          <w:lang w:val="en-US"/>
        </w:rPr>
        <w:t>;</w:t>
      </w:r>
      <w:r w:rsidR="00717639" w:rsidRPr="00A82D21">
        <w:rPr>
          <w:i/>
          <w:szCs w:val="24"/>
          <w:lang w:val="en-US"/>
        </w:rPr>
        <w:t xml:space="preserve"> R</w:t>
      </w:r>
      <w:r w:rsidR="00717639" w:rsidRPr="00A82D21">
        <w:rPr>
          <w:szCs w:val="24"/>
          <w:lang w:val="en-US"/>
        </w:rPr>
        <w:t xml:space="preserve">. </w:t>
      </w:r>
      <w:r w:rsidR="00717639" w:rsidRPr="00A82D21">
        <w:rPr>
          <w:i/>
          <w:szCs w:val="24"/>
          <w:lang w:val="en-US"/>
        </w:rPr>
        <w:t>c.</w:t>
      </w:r>
      <w:r w:rsidR="00717639" w:rsidRPr="00A82D21">
        <w:rPr>
          <w:szCs w:val="24"/>
          <w:lang w:val="en-US"/>
        </w:rPr>
        <w:t xml:space="preserve"> </w:t>
      </w:r>
      <w:r w:rsidR="00717639" w:rsidRPr="00A82D21">
        <w:rPr>
          <w:i/>
          <w:szCs w:val="24"/>
          <w:lang w:val="en-US"/>
        </w:rPr>
        <w:t>Nikolovski</w:t>
      </w:r>
      <w:r w:rsidR="00717639" w:rsidRPr="00A82D21">
        <w:rPr>
          <w:szCs w:val="24"/>
          <w:lang w:val="en-US"/>
        </w:rPr>
        <w:t>, [1996] 3 R.C.S. 1197</w:t>
      </w:r>
      <w:r w:rsidR="009F2B69" w:rsidRPr="00A82D21">
        <w:rPr>
          <w:szCs w:val="24"/>
          <w:lang w:val="en-US"/>
        </w:rPr>
        <w:t xml:space="preserve">; </w:t>
      </w:r>
      <w:r w:rsidR="009F2B69" w:rsidRPr="00A82D21">
        <w:rPr>
          <w:i/>
          <w:szCs w:val="24"/>
          <w:lang w:val="en-US"/>
        </w:rPr>
        <w:t>Frenette</w:t>
      </w:r>
      <w:r w:rsidR="009F2B69" w:rsidRPr="00A82D21">
        <w:rPr>
          <w:szCs w:val="24"/>
          <w:lang w:val="en-US"/>
        </w:rPr>
        <w:t xml:space="preserve"> </w:t>
      </w:r>
      <w:r w:rsidR="009F2B69" w:rsidRPr="00A82D21">
        <w:rPr>
          <w:i/>
          <w:szCs w:val="24"/>
          <w:lang w:val="en-US"/>
        </w:rPr>
        <w:t>c. Métropolitaine (La), cie d</w:t>
      </w:r>
      <w:r w:rsidR="00D70D07" w:rsidRPr="00A82D21">
        <w:rPr>
          <w:i/>
          <w:szCs w:val="24"/>
          <w:lang w:val="en-US"/>
        </w:rPr>
        <w:t>’</w:t>
      </w:r>
      <w:r w:rsidR="009F2B69" w:rsidRPr="00A82D21">
        <w:rPr>
          <w:i/>
          <w:szCs w:val="24"/>
          <w:lang w:val="en-US"/>
        </w:rPr>
        <w:t>assurance</w:t>
      </w:r>
      <w:r w:rsidR="007962BB" w:rsidRPr="00A82D21">
        <w:rPr>
          <w:i/>
          <w:szCs w:val="24"/>
          <w:lang w:val="en-US"/>
        </w:rPr>
        <w:t>-</w:t>
      </w:r>
      <w:r w:rsidR="009F2B69" w:rsidRPr="00A82D21">
        <w:rPr>
          <w:i/>
          <w:szCs w:val="24"/>
          <w:lang w:val="en-US"/>
        </w:rPr>
        <w:t>vie</w:t>
      </w:r>
      <w:r w:rsidR="009F2B69" w:rsidRPr="00A82D21">
        <w:rPr>
          <w:szCs w:val="24"/>
          <w:lang w:val="en-US"/>
        </w:rPr>
        <w:t xml:space="preserve">, [1992] 1 R.C.S. 647; </w:t>
      </w:r>
      <w:r w:rsidR="009F2B69" w:rsidRPr="00A82D21">
        <w:rPr>
          <w:i/>
          <w:szCs w:val="24"/>
          <w:lang w:val="en-US"/>
        </w:rPr>
        <w:t>Jones</w:t>
      </w:r>
      <w:r w:rsidR="009F2B69" w:rsidRPr="00A82D21">
        <w:rPr>
          <w:szCs w:val="24"/>
          <w:lang w:val="en-US"/>
        </w:rPr>
        <w:t xml:space="preserve"> </w:t>
      </w:r>
      <w:r w:rsidR="009F2B69" w:rsidRPr="00A82D21">
        <w:rPr>
          <w:i/>
          <w:szCs w:val="24"/>
          <w:lang w:val="en-US"/>
        </w:rPr>
        <w:t>c.</w:t>
      </w:r>
      <w:r w:rsidR="009F2B69" w:rsidRPr="00A82D21">
        <w:rPr>
          <w:szCs w:val="24"/>
          <w:lang w:val="en-US"/>
        </w:rPr>
        <w:t xml:space="preserve"> </w:t>
      </w:r>
      <w:r w:rsidR="009F2B69" w:rsidRPr="00A82D21">
        <w:rPr>
          <w:i/>
          <w:szCs w:val="24"/>
          <w:lang w:val="en-US"/>
        </w:rPr>
        <w:t>National Coal Board</w:t>
      </w:r>
      <w:r w:rsidR="009F2B69" w:rsidRPr="00A82D21">
        <w:rPr>
          <w:szCs w:val="24"/>
          <w:lang w:val="en-US"/>
        </w:rPr>
        <w:t>, [1957] 2 Q.B. 55</w:t>
      </w:r>
      <w:r w:rsidR="006644DA" w:rsidRPr="00A82D21">
        <w:rPr>
          <w:szCs w:val="24"/>
          <w:lang w:val="en-US"/>
        </w:rPr>
        <w:t xml:space="preserve">; </w:t>
      </w:r>
      <w:r w:rsidR="006644DA" w:rsidRPr="00A82D21">
        <w:rPr>
          <w:i/>
          <w:szCs w:val="24"/>
          <w:lang w:val="en-US"/>
        </w:rPr>
        <w:t>Technologie Labtronix Inc.</w:t>
      </w:r>
      <w:r w:rsidR="006644DA" w:rsidRPr="00A82D21">
        <w:rPr>
          <w:szCs w:val="24"/>
          <w:lang w:val="en-US"/>
        </w:rPr>
        <w:t xml:space="preserve"> </w:t>
      </w:r>
      <w:r w:rsidR="006644DA" w:rsidRPr="00A82D21">
        <w:rPr>
          <w:i/>
          <w:szCs w:val="24"/>
          <w:lang w:val="en-US"/>
        </w:rPr>
        <w:t>c. Technologie Micro Contrôle Inc.</w:t>
      </w:r>
      <w:r w:rsidR="006644DA" w:rsidRPr="00A82D21">
        <w:rPr>
          <w:szCs w:val="24"/>
          <w:lang w:val="en-US"/>
        </w:rPr>
        <w:t>, [1998] R.J.Q. 2312</w:t>
      </w:r>
      <w:r w:rsidR="00A070B7" w:rsidRPr="00A82D21">
        <w:rPr>
          <w:szCs w:val="24"/>
          <w:lang w:val="en-US"/>
        </w:rPr>
        <w:t xml:space="preserve">; </w:t>
      </w:r>
      <w:r w:rsidR="00A070B7" w:rsidRPr="00A82D21">
        <w:rPr>
          <w:i/>
          <w:szCs w:val="24"/>
          <w:lang w:val="en-US"/>
        </w:rPr>
        <w:t>Blaikie</w:t>
      </w:r>
      <w:r w:rsidR="00A070B7" w:rsidRPr="00A82D21">
        <w:rPr>
          <w:szCs w:val="24"/>
          <w:lang w:val="en-US"/>
        </w:rPr>
        <w:t xml:space="preserve"> </w:t>
      </w:r>
      <w:r w:rsidR="00A070B7" w:rsidRPr="00A82D21">
        <w:rPr>
          <w:i/>
          <w:szCs w:val="24"/>
          <w:lang w:val="en-US"/>
        </w:rPr>
        <w:t>c.</w:t>
      </w:r>
      <w:r w:rsidR="00A070B7" w:rsidRPr="00A82D21">
        <w:rPr>
          <w:szCs w:val="24"/>
          <w:lang w:val="en-US"/>
        </w:rPr>
        <w:t xml:space="preserve"> </w:t>
      </w:r>
      <w:r w:rsidR="00A070B7" w:rsidRPr="00A82D21">
        <w:rPr>
          <w:i/>
          <w:szCs w:val="24"/>
          <w:lang w:val="en-US"/>
        </w:rPr>
        <w:t>Commission des valeurs mobilières du Québec</w:t>
      </w:r>
      <w:r w:rsidR="00A070B7" w:rsidRPr="00A82D21">
        <w:rPr>
          <w:szCs w:val="24"/>
          <w:lang w:val="en-US"/>
        </w:rPr>
        <w:t>, [1990] R.D.J. 473</w:t>
      </w:r>
      <w:r w:rsidR="00BF29B5" w:rsidRPr="00A82D21">
        <w:rPr>
          <w:szCs w:val="24"/>
          <w:lang w:val="en-US"/>
        </w:rPr>
        <w:t xml:space="preserve">; </w:t>
      </w:r>
      <w:r w:rsidR="00BF29B5" w:rsidRPr="00A82D21">
        <w:rPr>
          <w:i/>
          <w:szCs w:val="24"/>
          <w:lang w:val="en-US"/>
        </w:rPr>
        <w:t>Autorité des marchés financiers c.</w:t>
      </w:r>
      <w:r w:rsidR="00BF29B5" w:rsidRPr="00A82D21">
        <w:rPr>
          <w:szCs w:val="24"/>
          <w:lang w:val="en-US"/>
        </w:rPr>
        <w:t xml:space="preserve"> </w:t>
      </w:r>
      <w:r w:rsidR="00BF29B5" w:rsidRPr="00A82D21">
        <w:rPr>
          <w:i/>
          <w:szCs w:val="24"/>
          <w:lang w:val="en-US"/>
        </w:rPr>
        <w:t>Panju</w:t>
      </w:r>
      <w:r w:rsidR="00BF29B5" w:rsidRPr="00A82D21">
        <w:rPr>
          <w:szCs w:val="24"/>
          <w:lang w:val="en-US"/>
        </w:rPr>
        <w:t xml:space="preserve">, 2008 QCCA 832, [2008] R.J.Q. 1233; </w:t>
      </w:r>
      <w:r w:rsidR="00BF29B5" w:rsidRPr="00A82D21">
        <w:rPr>
          <w:i/>
          <w:szCs w:val="24"/>
          <w:lang w:val="en-US"/>
        </w:rPr>
        <w:lastRenderedPageBreak/>
        <w:t>Fédération des infirmières et infirmiers du Québec c.</w:t>
      </w:r>
      <w:r w:rsidR="00BF29B5" w:rsidRPr="00A82D21">
        <w:rPr>
          <w:szCs w:val="24"/>
          <w:lang w:val="en-US"/>
        </w:rPr>
        <w:t xml:space="preserve"> </w:t>
      </w:r>
      <w:r w:rsidR="00BF29B5" w:rsidRPr="00A82D21">
        <w:rPr>
          <w:i/>
          <w:szCs w:val="24"/>
          <w:lang w:val="en-US"/>
        </w:rPr>
        <w:t>Hôpital Laval</w:t>
      </w:r>
      <w:r w:rsidR="00BF29B5" w:rsidRPr="00A82D21">
        <w:rPr>
          <w:szCs w:val="24"/>
          <w:lang w:val="en-US"/>
        </w:rPr>
        <w:t xml:space="preserve">, 2006 QCCA 1345, [2006] R.J.Q. 2384; </w:t>
      </w:r>
      <w:r w:rsidR="00BF29B5" w:rsidRPr="00A82D21">
        <w:rPr>
          <w:i/>
          <w:szCs w:val="24"/>
          <w:lang w:val="en-US"/>
        </w:rPr>
        <w:t>Westfalia Surge Canada Co. c. Ferme Hamelon (JFD) et Fils</w:t>
      </w:r>
      <w:r w:rsidR="00BF29B5" w:rsidRPr="00A82D21">
        <w:rPr>
          <w:szCs w:val="24"/>
          <w:lang w:val="en-US"/>
        </w:rPr>
        <w:t>, 2005 QCCA 514 (CanLII)</w:t>
      </w:r>
      <w:r w:rsidR="008463F0" w:rsidRPr="00A82D21">
        <w:rPr>
          <w:szCs w:val="24"/>
          <w:lang w:val="en-US"/>
        </w:rPr>
        <w:t xml:space="preserve">; </w:t>
      </w:r>
      <w:r w:rsidR="008463F0" w:rsidRPr="00A82D21">
        <w:rPr>
          <w:i/>
          <w:szCs w:val="24"/>
          <w:lang w:val="en-US"/>
        </w:rPr>
        <w:t xml:space="preserve">Westinghouse Canada Inc. c. </w:t>
      </w:r>
      <w:r w:rsidR="00BF29B5" w:rsidRPr="00A82D21">
        <w:rPr>
          <w:i/>
          <w:szCs w:val="24"/>
          <w:lang w:val="en-US"/>
        </w:rPr>
        <w:t>Arkwright Boston Manufacturers Mutual Insurance Co.</w:t>
      </w:r>
      <w:r w:rsidR="00BF29B5" w:rsidRPr="00A82D21">
        <w:rPr>
          <w:szCs w:val="24"/>
          <w:lang w:val="en-US"/>
        </w:rPr>
        <w:t>, [1993] R.J.Q. 2735</w:t>
      </w:r>
      <w:r w:rsidR="008463F0" w:rsidRPr="00A82D21">
        <w:rPr>
          <w:szCs w:val="24"/>
          <w:lang w:val="en-US"/>
        </w:rPr>
        <w:t>;</w:t>
      </w:r>
      <w:r w:rsidR="00C01CDD" w:rsidRPr="00A82D21">
        <w:rPr>
          <w:szCs w:val="24"/>
          <w:lang w:val="en-US"/>
        </w:rPr>
        <w:t xml:space="preserve"> </w:t>
      </w:r>
      <w:r w:rsidR="00BF29B5" w:rsidRPr="00A82D21">
        <w:rPr>
          <w:i/>
          <w:szCs w:val="24"/>
          <w:lang w:val="en-US"/>
        </w:rPr>
        <w:t>Lac d</w:t>
      </w:r>
      <w:r w:rsidR="00D70D07" w:rsidRPr="00A82D21">
        <w:rPr>
          <w:i/>
          <w:szCs w:val="24"/>
          <w:lang w:val="en-US"/>
        </w:rPr>
        <w:t>’</w:t>
      </w:r>
      <w:r w:rsidR="00BF29B5" w:rsidRPr="00A82D21">
        <w:rPr>
          <w:i/>
          <w:szCs w:val="24"/>
          <w:lang w:val="en-US"/>
        </w:rPr>
        <w:t>Amiante du Québec Ltée c.</w:t>
      </w:r>
      <w:r w:rsidR="00BF29B5" w:rsidRPr="00A82D21">
        <w:rPr>
          <w:szCs w:val="24"/>
          <w:lang w:val="en-US"/>
        </w:rPr>
        <w:t xml:space="preserve"> </w:t>
      </w:r>
      <w:r w:rsidR="00BF29B5" w:rsidRPr="00A82D21">
        <w:rPr>
          <w:i/>
          <w:szCs w:val="24"/>
          <w:lang w:val="en-US"/>
        </w:rPr>
        <w:t>2858</w:t>
      </w:r>
      <w:r w:rsidR="007962BB" w:rsidRPr="00A82D21">
        <w:rPr>
          <w:i/>
          <w:szCs w:val="24"/>
          <w:lang w:val="en-US"/>
        </w:rPr>
        <w:t>-</w:t>
      </w:r>
      <w:r w:rsidR="00BF29B5" w:rsidRPr="00A82D21">
        <w:rPr>
          <w:i/>
          <w:szCs w:val="24"/>
          <w:lang w:val="en-US"/>
        </w:rPr>
        <w:t>0702 Québec Inc.</w:t>
      </w:r>
      <w:r w:rsidR="00BF29B5" w:rsidRPr="00A82D21">
        <w:rPr>
          <w:szCs w:val="24"/>
          <w:lang w:val="en-US"/>
        </w:rPr>
        <w:t xml:space="preserve">, </w:t>
      </w:r>
      <w:r w:rsidR="00C01CDD" w:rsidRPr="00A82D21">
        <w:rPr>
          <w:szCs w:val="24"/>
          <w:lang w:val="en-US"/>
        </w:rPr>
        <w:t xml:space="preserve">2001 CSC 51, </w:t>
      </w:r>
      <w:r w:rsidR="00BF29B5" w:rsidRPr="00A82D21">
        <w:rPr>
          <w:szCs w:val="24"/>
          <w:lang w:val="en-US"/>
        </w:rPr>
        <w:t>[2001] 2 R.C.S. 743</w:t>
      </w:r>
      <w:r w:rsidR="00C01CDD" w:rsidRPr="00A82D21">
        <w:rPr>
          <w:szCs w:val="24"/>
          <w:lang w:val="en-US"/>
        </w:rPr>
        <w:t xml:space="preserve">; </w:t>
      </w:r>
      <w:r w:rsidR="00BF29B5" w:rsidRPr="00A82D21">
        <w:rPr>
          <w:i/>
          <w:szCs w:val="24"/>
          <w:lang w:val="en-US"/>
        </w:rPr>
        <w:t>Communauté urbaine</w:t>
      </w:r>
      <w:r w:rsidR="00C01CDD" w:rsidRPr="00A82D21">
        <w:rPr>
          <w:i/>
          <w:szCs w:val="24"/>
          <w:lang w:val="en-US"/>
        </w:rPr>
        <w:t xml:space="preserve"> de Montréal</w:t>
      </w:r>
      <w:r w:rsidR="00BF29B5" w:rsidRPr="00A82D21">
        <w:rPr>
          <w:szCs w:val="24"/>
          <w:lang w:val="en-US"/>
        </w:rPr>
        <w:t xml:space="preserve"> </w:t>
      </w:r>
      <w:r w:rsidR="00BF29B5" w:rsidRPr="00A82D21">
        <w:rPr>
          <w:i/>
          <w:szCs w:val="24"/>
          <w:lang w:val="en-US"/>
        </w:rPr>
        <w:t>c.</w:t>
      </w:r>
      <w:r w:rsidR="00BF29B5" w:rsidRPr="00A82D21">
        <w:rPr>
          <w:szCs w:val="24"/>
          <w:lang w:val="en-US"/>
        </w:rPr>
        <w:t xml:space="preserve"> </w:t>
      </w:r>
      <w:r w:rsidR="00BF29B5" w:rsidRPr="00A82D21">
        <w:rPr>
          <w:i/>
          <w:szCs w:val="24"/>
          <w:lang w:val="en-US"/>
        </w:rPr>
        <w:t>Chubb du Canada compagnie d</w:t>
      </w:r>
      <w:r w:rsidR="00D70D07" w:rsidRPr="00A82D21">
        <w:rPr>
          <w:i/>
          <w:szCs w:val="24"/>
          <w:lang w:val="en-US"/>
        </w:rPr>
        <w:t>’</w:t>
      </w:r>
      <w:r w:rsidR="00BF29B5" w:rsidRPr="00A82D21">
        <w:rPr>
          <w:i/>
          <w:szCs w:val="24"/>
          <w:lang w:val="en-US"/>
        </w:rPr>
        <w:t>assurances</w:t>
      </w:r>
      <w:r w:rsidR="00BF29B5" w:rsidRPr="00A82D21">
        <w:rPr>
          <w:szCs w:val="24"/>
          <w:lang w:val="en-US"/>
        </w:rPr>
        <w:t xml:space="preserve">, </w:t>
      </w:r>
      <w:r w:rsidR="00C01CDD" w:rsidRPr="00A82D21">
        <w:rPr>
          <w:szCs w:val="24"/>
          <w:lang w:val="en-US"/>
        </w:rPr>
        <w:t>[</w:t>
      </w:r>
      <w:r w:rsidR="00BF29B5" w:rsidRPr="00A82D21">
        <w:rPr>
          <w:szCs w:val="24"/>
          <w:lang w:val="en-US"/>
        </w:rPr>
        <w:t>1998</w:t>
      </w:r>
      <w:r w:rsidR="00C01CDD" w:rsidRPr="00A82D21">
        <w:rPr>
          <w:szCs w:val="24"/>
          <w:lang w:val="en-US"/>
        </w:rPr>
        <w:t>]</w:t>
      </w:r>
      <w:r w:rsidR="00BF29B5" w:rsidRPr="00A82D21">
        <w:rPr>
          <w:szCs w:val="24"/>
          <w:lang w:val="en-US"/>
        </w:rPr>
        <w:t xml:space="preserve"> </w:t>
      </w:r>
      <w:r w:rsidR="00C01CDD" w:rsidRPr="00A82D21">
        <w:rPr>
          <w:szCs w:val="24"/>
          <w:lang w:val="en-US"/>
        </w:rPr>
        <w:t>R.J.Q. 759</w:t>
      </w:r>
      <w:r w:rsidR="00DC3F8D" w:rsidRPr="00A82D21">
        <w:rPr>
          <w:szCs w:val="24"/>
          <w:lang w:val="en-US"/>
        </w:rPr>
        <w:t xml:space="preserve">; </w:t>
      </w:r>
      <w:r w:rsidR="00DC3F8D" w:rsidRPr="00A82D21">
        <w:rPr>
          <w:i/>
          <w:szCs w:val="24"/>
          <w:lang w:val="en-US"/>
        </w:rPr>
        <w:t>Kruger Inc.</w:t>
      </w:r>
      <w:r w:rsidR="00DC3F8D" w:rsidRPr="00A82D21">
        <w:rPr>
          <w:szCs w:val="24"/>
          <w:lang w:val="en-US"/>
        </w:rPr>
        <w:t xml:space="preserve"> </w:t>
      </w:r>
      <w:r w:rsidR="00DC3F8D" w:rsidRPr="00A82D21">
        <w:rPr>
          <w:i/>
          <w:szCs w:val="24"/>
          <w:lang w:val="en-US"/>
        </w:rPr>
        <w:t>c.</w:t>
      </w:r>
      <w:r w:rsidR="00DC3F8D" w:rsidRPr="00A82D21">
        <w:rPr>
          <w:szCs w:val="24"/>
          <w:lang w:val="en-US"/>
        </w:rPr>
        <w:t xml:space="preserve"> </w:t>
      </w:r>
      <w:r w:rsidR="00DC3F8D" w:rsidRPr="00A82D21">
        <w:rPr>
          <w:i/>
          <w:szCs w:val="24"/>
          <w:lang w:val="en-US"/>
        </w:rPr>
        <w:t>Kruger</w:t>
      </w:r>
      <w:r w:rsidR="00DC3F8D" w:rsidRPr="00A82D21">
        <w:rPr>
          <w:szCs w:val="24"/>
          <w:lang w:val="en-US"/>
        </w:rPr>
        <w:t xml:space="preserve">, [1987] R.D.J. 11; </w:t>
      </w:r>
      <w:r w:rsidR="00DC3F8D" w:rsidRPr="00A82D21">
        <w:rPr>
          <w:i/>
          <w:szCs w:val="24"/>
          <w:lang w:val="en-US"/>
        </w:rPr>
        <w:t>Industries GDS inc.</w:t>
      </w:r>
      <w:r w:rsidR="00DC3F8D" w:rsidRPr="00A82D21">
        <w:rPr>
          <w:szCs w:val="24"/>
          <w:lang w:val="en-US"/>
        </w:rPr>
        <w:t xml:space="preserve"> </w:t>
      </w:r>
      <w:r w:rsidR="00DC3F8D" w:rsidRPr="00A82D21">
        <w:rPr>
          <w:i/>
          <w:szCs w:val="24"/>
          <w:lang w:val="en-US"/>
        </w:rPr>
        <w:t>c.</w:t>
      </w:r>
      <w:r w:rsidR="00DC3F8D" w:rsidRPr="00A82D21">
        <w:rPr>
          <w:szCs w:val="24"/>
          <w:lang w:val="en-US"/>
        </w:rPr>
        <w:t xml:space="preserve"> </w:t>
      </w:r>
      <w:r w:rsidR="00DC3F8D" w:rsidRPr="00A82D21">
        <w:rPr>
          <w:i/>
          <w:szCs w:val="24"/>
          <w:lang w:val="en-US"/>
        </w:rPr>
        <w:t>Carbotech inc.</w:t>
      </w:r>
      <w:r w:rsidR="00DC3F8D" w:rsidRPr="00A82D21">
        <w:rPr>
          <w:szCs w:val="24"/>
          <w:lang w:val="en-US"/>
        </w:rPr>
        <w:t>, 2005 QCCA 655 (CanLII)</w:t>
      </w:r>
      <w:r w:rsidR="008D6674" w:rsidRPr="00A82D21">
        <w:rPr>
          <w:szCs w:val="24"/>
          <w:lang w:val="en-US"/>
        </w:rPr>
        <w:t xml:space="preserve">; </w:t>
      </w:r>
      <w:r w:rsidR="008D6674" w:rsidRPr="00A82D21">
        <w:rPr>
          <w:i/>
          <w:szCs w:val="24"/>
          <w:lang w:val="en-US"/>
        </w:rPr>
        <w:t>Corp</w:t>
      </w:r>
      <w:r w:rsidR="00077312" w:rsidRPr="00A82D21">
        <w:rPr>
          <w:i/>
          <w:szCs w:val="24"/>
          <w:lang w:val="en-US"/>
        </w:rPr>
        <w:t>oration</w:t>
      </w:r>
      <w:r w:rsidR="008D6674" w:rsidRPr="00A82D21">
        <w:rPr>
          <w:i/>
          <w:szCs w:val="24"/>
          <w:lang w:val="en-US"/>
        </w:rPr>
        <w:t xml:space="preserve"> de financement commercial Transamérica Canada</w:t>
      </w:r>
      <w:r w:rsidR="00077312" w:rsidRPr="00A82D21">
        <w:rPr>
          <w:i/>
          <w:szCs w:val="24"/>
          <w:lang w:val="en-US"/>
        </w:rPr>
        <w:t xml:space="preserve"> c. Beaudoin</w:t>
      </w:r>
      <w:r w:rsidR="008D6674" w:rsidRPr="00A82D21">
        <w:rPr>
          <w:szCs w:val="24"/>
          <w:lang w:val="en-US"/>
        </w:rPr>
        <w:t>, [1995] R.D.J. 633</w:t>
      </w:r>
      <w:r w:rsidR="00D60BD9" w:rsidRPr="00A82D21">
        <w:rPr>
          <w:szCs w:val="24"/>
          <w:lang w:val="en-US"/>
        </w:rPr>
        <w:t xml:space="preserve">; </w:t>
      </w:r>
      <w:r w:rsidR="00D60BD9" w:rsidRPr="00A82D21">
        <w:rPr>
          <w:i/>
          <w:szCs w:val="24"/>
          <w:lang w:val="en-US"/>
        </w:rPr>
        <w:t>Union Canadienne, compagnie d</w:t>
      </w:r>
      <w:r w:rsidR="00D70D07" w:rsidRPr="00A82D21">
        <w:rPr>
          <w:i/>
          <w:szCs w:val="24"/>
          <w:lang w:val="en-US"/>
        </w:rPr>
        <w:t>’</w:t>
      </w:r>
      <w:r w:rsidR="00D60BD9" w:rsidRPr="00A82D21">
        <w:rPr>
          <w:i/>
          <w:szCs w:val="24"/>
          <w:lang w:val="en-US"/>
        </w:rPr>
        <w:t>assurance</w:t>
      </w:r>
      <w:r w:rsidR="00D60BD9" w:rsidRPr="00A82D21">
        <w:rPr>
          <w:szCs w:val="24"/>
          <w:lang w:val="en-US"/>
        </w:rPr>
        <w:t xml:space="preserve"> </w:t>
      </w:r>
      <w:r w:rsidR="00D60BD9" w:rsidRPr="00A82D21">
        <w:rPr>
          <w:i/>
          <w:szCs w:val="24"/>
          <w:lang w:val="en-US"/>
        </w:rPr>
        <w:t>c.</w:t>
      </w:r>
      <w:r w:rsidR="00D60BD9" w:rsidRPr="00A82D21">
        <w:rPr>
          <w:szCs w:val="24"/>
          <w:lang w:val="en-US"/>
        </w:rPr>
        <w:t xml:space="preserve"> </w:t>
      </w:r>
      <w:r w:rsidR="00D60BD9" w:rsidRPr="00A82D21">
        <w:rPr>
          <w:i/>
          <w:szCs w:val="24"/>
          <w:lang w:val="en-US"/>
        </w:rPr>
        <w:t>St</w:t>
      </w:r>
      <w:r w:rsidR="007962BB" w:rsidRPr="00A82D21">
        <w:rPr>
          <w:i/>
          <w:szCs w:val="24"/>
          <w:lang w:val="en-US"/>
        </w:rPr>
        <w:t>-</w:t>
      </w:r>
      <w:r w:rsidR="00D60BD9" w:rsidRPr="00A82D21">
        <w:rPr>
          <w:i/>
          <w:szCs w:val="24"/>
          <w:lang w:val="en-US"/>
        </w:rPr>
        <w:t>Pierre</w:t>
      </w:r>
      <w:r w:rsidR="00D60BD9" w:rsidRPr="00A82D21">
        <w:rPr>
          <w:szCs w:val="24"/>
          <w:lang w:val="en-US"/>
        </w:rPr>
        <w:t xml:space="preserve">, 2012 QCCA 433, </w:t>
      </w:r>
      <w:r w:rsidR="00367D0E" w:rsidRPr="00A82D21">
        <w:rPr>
          <w:szCs w:val="24"/>
          <w:lang w:val="en-US"/>
        </w:rPr>
        <w:t>[2012] R.J.Q. 340</w:t>
      </w:r>
      <w:r w:rsidR="00D60BD9" w:rsidRPr="00A82D21">
        <w:rPr>
          <w:szCs w:val="24"/>
          <w:lang w:val="en-US"/>
        </w:rPr>
        <w:t xml:space="preserve">; </w:t>
      </w:r>
      <w:r w:rsidR="00D60BD9" w:rsidRPr="00A82D21">
        <w:rPr>
          <w:i/>
          <w:szCs w:val="24"/>
          <w:lang w:val="en-US"/>
        </w:rPr>
        <w:t>Goulet</w:t>
      </w:r>
      <w:r w:rsidR="00D60BD9" w:rsidRPr="00A82D21">
        <w:rPr>
          <w:szCs w:val="24"/>
          <w:lang w:val="en-US"/>
        </w:rPr>
        <w:t xml:space="preserve"> </w:t>
      </w:r>
      <w:r w:rsidR="00D60BD9" w:rsidRPr="00A82D21">
        <w:rPr>
          <w:i/>
          <w:szCs w:val="24"/>
          <w:lang w:val="en-US"/>
        </w:rPr>
        <w:t>c.</w:t>
      </w:r>
      <w:r w:rsidR="00D60BD9" w:rsidRPr="00A82D21">
        <w:rPr>
          <w:szCs w:val="24"/>
          <w:lang w:val="en-US"/>
        </w:rPr>
        <w:t xml:space="preserve"> </w:t>
      </w:r>
      <w:r w:rsidR="005A5141" w:rsidRPr="00A82D21">
        <w:rPr>
          <w:i/>
          <w:szCs w:val="24"/>
          <w:lang w:val="en-US"/>
        </w:rPr>
        <w:t>Lussier</w:t>
      </w:r>
      <w:r w:rsidR="00D60BD9" w:rsidRPr="00A82D21">
        <w:rPr>
          <w:szCs w:val="24"/>
          <w:lang w:val="en-US"/>
        </w:rPr>
        <w:t>, [1989] R.J.Q. 2085</w:t>
      </w:r>
      <w:r w:rsidR="005A5141" w:rsidRPr="00A82D21">
        <w:rPr>
          <w:szCs w:val="24"/>
          <w:lang w:val="en-US"/>
        </w:rPr>
        <w:t>;</w:t>
      </w:r>
      <w:r w:rsidR="00D60BD9" w:rsidRPr="00A82D21">
        <w:rPr>
          <w:szCs w:val="24"/>
          <w:lang w:val="en-US"/>
        </w:rPr>
        <w:t xml:space="preserve"> </w:t>
      </w:r>
      <w:r w:rsidR="00D60BD9" w:rsidRPr="00A82D21">
        <w:rPr>
          <w:i/>
          <w:szCs w:val="24"/>
          <w:lang w:val="en-US"/>
        </w:rPr>
        <w:t>M.</w:t>
      </w:r>
      <w:r w:rsidR="005A5141" w:rsidRPr="00A82D21">
        <w:rPr>
          <w:i/>
          <w:szCs w:val="24"/>
          <w:lang w:val="en-US"/>
        </w:rPr>
        <w:t xml:space="preserve"> (A.)</w:t>
      </w:r>
      <w:r w:rsidR="00D60BD9" w:rsidRPr="00A82D21">
        <w:rPr>
          <w:szCs w:val="24"/>
          <w:lang w:val="en-US"/>
        </w:rPr>
        <w:t xml:space="preserve"> </w:t>
      </w:r>
      <w:r w:rsidR="00D60BD9" w:rsidRPr="00A82D21">
        <w:rPr>
          <w:i/>
          <w:szCs w:val="24"/>
          <w:lang w:val="en-US"/>
        </w:rPr>
        <w:t>c.</w:t>
      </w:r>
      <w:r w:rsidR="00D60BD9" w:rsidRPr="00A82D21">
        <w:rPr>
          <w:szCs w:val="24"/>
          <w:lang w:val="en-US"/>
        </w:rPr>
        <w:t xml:space="preserve"> </w:t>
      </w:r>
      <w:r w:rsidR="00D60BD9" w:rsidRPr="00A82D21">
        <w:rPr>
          <w:i/>
          <w:szCs w:val="24"/>
          <w:lang w:val="en-US"/>
        </w:rPr>
        <w:t>Ryan</w:t>
      </w:r>
      <w:r w:rsidR="00D60BD9" w:rsidRPr="00A82D21">
        <w:rPr>
          <w:szCs w:val="24"/>
          <w:lang w:val="en-US"/>
        </w:rPr>
        <w:t>, [1997] 1 R.C.S. 157;</w:t>
      </w:r>
      <w:r w:rsidR="00D60BD9" w:rsidRPr="00A82D21">
        <w:rPr>
          <w:i/>
          <w:szCs w:val="24"/>
          <w:lang w:val="en-US"/>
        </w:rPr>
        <w:t xml:space="preserve"> R.</w:t>
      </w:r>
      <w:r w:rsidR="00D60BD9" w:rsidRPr="00A82D21">
        <w:rPr>
          <w:szCs w:val="24"/>
          <w:lang w:val="en-US"/>
        </w:rPr>
        <w:t xml:space="preserve"> </w:t>
      </w:r>
      <w:r w:rsidR="00D60BD9" w:rsidRPr="00A82D21">
        <w:rPr>
          <w:i/>
          <w:szCs w:val="24"/>
          <w:lang w:val="en-US"/>
        </w:rPr>
        <w:t>c.</w:t>
      </w:r>
      <w:r w:rsidR="00D60BD9" w:rsidRPr="00A82D21">
        <w:rPr>
          <w:szCs w:val="24"/>
          <w:lang w:val="en-US"/>
        </w:rPr>
        <w:t xml:space="preserve"> </w:t>
      </w:r>
      <w:r w:rsidR="00D60BD9" w:rsidRPr="00A82D21">
        <w:rPr>
          <w:i/>
          <w:szCs w:val="24"/>
          <w:lang w:val="en-US"/>
        </w:rPr>
        <w:t>Corbett</w:t>
      </w:r>
      <w:r w:rsidR="00D60BD9" w:rsidRPr="00A82D21">
        <w:rPr>
          <w:szCs w:val="24"/>
          <w:lang w:val="en-US"/>
        </w:rPr>
        <w:t xml:space="preserve">, [1988] 1 R.C.S. 670; </w:t>
      </w:r>
      <w:r w:rsidR="00D60BD9" w:rsidRPr="00A82D21">
        <w:rPr>
          <w:i/>
          <w:szCs w:val="24"/>
          <w:lang w:val="en-US"/>
        </w:rPr>
        <w:t>R.</w:t>
      </w:r>
      <w:r w:rsidR="00D60BD9" w:rsidRPr="00A82D21">
        <w:rPr>
          <w:szCs w:val="24"/>
          <w:lang w:val="en-US"/>
        </w:rPr>
        <w:t xml:space="preserve"> </w:t>
      </w:r>
      <w:r w:rsidR="00D60BD9" w:rsidRPr="00A82D21">
        <w:rPr>
          <w:i/>
          <w:szCs w:val="24"/>
          <w:lang w:val="en-US"/>
        </w:rPr>
        <w:t>c.</w:t>
      </w:r>
      <w:r w:rsidR="00D60BD9" w:rsidRPr="00A82D21">
        <w:rPr>
          <w:szCs w:val="24"/>
          <w:lang w:val="en-US"/>
        </w:rPr>
        <w:t xml:space="preserve"> </w:t>
      </w:r>
      <w:r w:rsidR="00D60BD9" w:rsidRPr="00A82D21">
        <w:rPr>
          <w:i/>
          <w:szCs w:val="24"/>
          <w:lang w:val="en-US"/>
        </w:rPr>
        <w:t>Seaboyer</w:t>
      </w:r>
      <w:r w:rsidR="00D60BD9" w:rsidRPr="00A82D21">
        <w:rPr>
          <w:szCs w:val="24"/>
          <w:lang w:val="en-US"/>
        </w:rPr>
        <w:t>, [1991] 2 R.C.S. 577</w:t>
      </w:r>
      <w:r w:rsidR="00D0678C" w:rsidRPr="00A82D21">
        <w:rPr>
          <w:szCs w:val="24"/>
          <w:lang w:val="en-US"/>
        </w:rPr>
        <w:t>;</w:t>
      </w:r>
      <w:r w:rsidR="00A31705" w:rsidRPr="00A82D21">
        <w:rPr>
          <w:i/>
          <w:szCs w:val="24"/>
          <w:lang w:val="en-US"/>
        </w:rPr>
        <w:t xml:space="preserve"> Lyons c. La Reine</w:t>
      </w:r>
      <w:r w:rsidR="00A31705" w:rsidRPr="00A82D21">
        <w:rPr>
          <w:szCs w:val="24"/>
          <w:lang w:val="en-US"/>
        </w:rPr>
        <w:t xml:space="preserve">, [1984] 2 R.C.S. 633; </w:t>
      </w:r>
      <w:r w:rsidR="00A31705" w:rsidRPr="00A82D21">
        <w:rPr>
          <w:i/>
          <w:szCs w:val="24"/>
          <w:lang w:val="en-US"/>
        </w:rPr>
        <w:t>R. c. Duarte</w:t>
      </w:r>
      <w:r w:rsidR="00A31705" w:rsidRPr="00A82D21">
        <w:rPr>
          <w:szCs w:val="24"/>
          <w:lang w:val="en-US"/>
        </w:rPr>
        <w:t xml:space="preserve">, [1990] 1 R.C.S. 30; </w:t>
      </w:r>
      <w:r w:rsidR="00A31705" w:rsidRPr="00A82D21">
        <w:rPr>
          <w:i/>
          <w:szCs w:val="24"/>
          <w:lang w:val="en-US"/>
        </w:rPr>
        <w:t>R. c. Tse</w:t>
      </w:r>
      <w:r w:rsidR="00A31705" w:rsidRPr="00A82D21">
        <w:rPr>
          <w:szCs w:val="24"/>
          <w:lang w:val="en-US"/>
        </w:rPr>
        <w:t xml:space="preserve">, 2012 CSC 16, [2012] 1 R.C.S. 531; </w:t>
      </w:r>
      <w:r w:rsidR="00A31705" w:rsidRPr="00A82D21">
        <w:rPr>
          <w:i/>
          <w:szCs w:val="24"/>
          <w:lang w:val="en-US"/>
        </w:rPr>
        <w:t>R. c. Société TELUS Communications</w:t>
      </w:r>
      <w:r w:rsidR="00A31705" w:rsidRPr="00A82D21">
        <w:rPr>
          <w:szCs w:val="24"/>
          <w:lang w:val="en-US"/>
        </w:rPr>
        <w:t>, 2013 CSC 16, [2013] 2 R.C.S. 3</w:t>
      </w:r>
      <w:r w:rsidR="000C3D0B" w:rsidRPr="00A82D21">
        <w:rPr>
          <w:szCs w:val="24"/>
          <w:lang w:val="en-US"/>
        </w:rPr>
        <w:t xml:space="preserve">; </w:t>
      </w:r>
      <w:r w:rsidR="000C3D0B" w:rsidRPr="00A82D21">
        <w:rPr>
          <w:i/>
          <w:szCs w:val="24"/>
          <w:lang w:val="en-US"/>
        </w:rPr>
        <w:t>R. c. Welsh</w:t>
      </w:r>
      <w:r w:rsidR="000C3D0B" w:rsidRPr="00A82D21">
        <w:rPr>
          <w:szCs w:val="24"/>
          <w:lang w:val="en-US"/>
        </w:rPr>
        <w:t xml:space="preserve"> (1977), 15 O.R. (2d) 1</w:t>
      </w:r>
      <w:r w:rsidR="00881825" w:rsidRPr="00A82D21">
        <w:rPr>
          <w:szCs w:val="24"/>
          <w:lang w:val="en-US"/>
        </w:rPr>
        <w:t xml:space="preserve">; </w:t>
      </w:r>
      <w:r w:rsidR="00881825" w:rsidRPr="00A82D21">
        <w:rPr>
          <w:i/>
          <w:szCs w:val="24"/>
          <w:lang w:val="en-US"/>
        </w:rPr>
        <w:t>Subilomar Properties (Dundas) Ltd. c. Cloverdale Shopping Centre Ltd.</w:t>
      </w:r>
      <w:r w:rsidR="00881825" w:rsidRPr="00A82D21">
        <w:rPr>
          <w:szCs w:val="24"/>
          <w:lang w:val="en-US"/>
        </w:rPr>
        <w:t xml:space="preserve">, [1973] R.C.S. 596; </w:t>
      </w:r>
      <w:r w:rsidR="00881825" w:rsidRPr="00A82D21">
        <w:rPr>
          <w:i/>
          <w:szCs w:val="24"/>
          <w:lang w:val="en-US"/>
        </w:rPr>
        <w:t>Air Canada c. Ontario (Régie des alcools)</w:t>
      </w:r>
      <w:r w:rsidR="00881825" w:rsidRPr="00A82D21">
        <w:rPr>
          <w:szCs w:val="24"/>
          <w:lang w:val="en-US"/>
        </w:rPr>
        <w:t>, [1997] 2 R.C.S. 581</w:t>
      </w:r>
      <w:r w:rsidR="00001E69" w:rsidRPr="00A82D21">
        <w:rPr>
          <w:szCs w:val="24"/>
          <w:lang w:val="en-US"/>
        </w:rPr>
        <w:t>;</w:t>
      </w:r>
      <w:r w:rsidR="002523E1" w:rsidRPr="00A82D21">
        <w:rPr>
          <w:szCs w:val="24"/>
          <w:lang w:val="en-US"/>
        </w:rPr>
        <w:t xml:space="preserve"> </w:t>
      </w:r>
      <w:r w:rsidR="002523E1" w:rsidRPr="00A82D21">
        <w:rPr>
          <w:i/>
          <w:szCs w:val="24"/>
          <w:lang w:val="en-US"/>
        </w:rPr>
        <w:t>Law Society of Upper Canada c. Canada (Attorney General)</w:t>
      </w:r>
      <w:r w:rsidR="002523E1" w:rsidRPr="00A82D21">
        <w:rPr>
          <w:szCs w:val="24"/>
          <w:lang w:val="en-US"/>
        </w:rPr>
        <w:t xml:space="preserve"> (2008), 89 O.R. (3d) 209; </w:t>
      </w:r>
      <w:r w:rsidR="002523E1" w:rsidRPr="00A82D21">
        <w:rPr>
          <w:i/>
          <w:szCs w:val="24"/>
          <w:lang w:val="en-US"/>
        </w:rPr>
        <w:t xml:space="preserve">Re Board of Commissioners of Police for City of Thunder </w:t>
      </w:r>
      <w:r w:rsidR="00D47E6B" w:rsidRPr="00A82D21">
        <w:rPr>
          <w:i/>
          <w:szCs w:val="24"/>
          <w:lang w:val="en-US"/>
        </w:rPr>
        <w:t xml:space="preserve">Bay </w:t>
      </w:r>
      <w:r w:rsidR="002523E1" w:rsidRPr="00A82D21">
        <w:rPr>
          <w:i/>
          <w:szCs w:val="24"/>
          <w:lang w:val="en-US"/>
        </w:rPr>
        <w:t>and Sundell</w:t>
      </w:r>
      <w:r w:rsidR="002523E1" w:rsidRPr="00A82D21">
        <w:rPr>
          <w:szCs w:val="24"/>
          <w:lang w:val="en-US"/>
        </w:rPr>
        <w:t xml:space="preserve"> (1984), 15 C.C.C. (3d) 574;</w:t>
      </w:r>
      <w:r w:rsidR="002523E1" w:rsidRPr="00A82D21">
        <w:rPr>
          <w:i/>
          <w:szCs w:val="24"/>
          <w:lang w:val="en-US"/>
        </w:rPr>
        <w:t xml:space="preserve"> Children</w:t>
      </w:r>
      <w:r w:rsidR="00D70D07" w:rsidRPr="00A82D21">
        <w:rPr>
          <w:i/>
          <w:szCs w:val="24"/>
          <w:lang w:val="en-US"/>
        </w:rPr>
        <w:t>’</w:t>
      </w:r>
      <w:r w:rsidR="002523E1" w:rsidRPr="00A82D21">
        <w:rPr>
          <w:i/>
          <w:szCs w:val="24"/>
          <w:lang w:val="en-US"/>
        </w:rPr>
        <w:t xml:space="preserve">s Aid Society of Thunder Bay </w:t>
      </w:r>
      <w:r w:rsidR="008756E5" w:rsidRPr="00A82D21">
        <w:rPr>
          <w:i/>
          <w:szCs w:val="24"/>
          <w:lang w:val="en-US"/>
        </w:rPr>
        <w:t xml:space="preserve">(District) </w:t>
      </w:r>
      <w:r w:rsidR="002523E1" w:rsidRPr="00A82D21">
        <w:rPr>
          <w:i/>
          <w:szCs w:val="24"/>
          <w:lang w:val="en-US"/>
        </w:rPr>
        <w:t>c. D. (S.)</w:t>
      </w:r>
      <w:r w:rsidR="002523E1" w:rsidRPr="00A82D21">
        <w:rPr>
          <w:szCs w:val="24"/>
          <w:lang w:val="en-US"/>
        </w:rPr>
        <w:t>, 2011 ONCJ 100, 2 R.F.L. (7th) 202</w:t>
      </w:r>
      <w:r w:rsidR="00000662" w:rsidRPr="00A82D21">
        <w:rPr>
          <w:szCs w:val="24"/>
          <w:lang w:val="en-US"/>
        </w:rPr>
        <w:t xml:space="preserve">; </w:t>
      </w:r>
      <w:r w:rsidR="00000662" w:rsidRPr="00A82D21">
        <w:rPr>
          <w:i/>
          <w:szCs w:val="24"/>
          <w:lang w:val="en-US"/>
        </w:rPr>
        <w:t>Procureur général de la Nouvelle</w:t>
      </w:r>
      <w:r w:rsidR="007962BB" w:rsidRPr="00A82D21">
        <w:rPr>
          <w:i/>
          <w:szCs w:val="24"/>
          <w:lang w:val="en-US"/>
        </w:rPr>
        <w:t>-</w:t>
      </w:r>
      <w:r w:rsidR="00000662" w:rsidRPr="00A82D21">
        <w:rPr>
          <w:i/>
          <w:szCs w:val="24"/>
          <w:lang w:val="en-US"/>
        </w:rPr>
        <w:t>Écosse c. MacIntyre</w:t>
      </w:r>
      <w:r w:rsidR="00000662" w:rsidRPr="00A82D21">
        <w:rPr>
          <w:szCs w:val="24"/>
          <w:lang w:val="en-US"/>
        </w:rPr>
        <w:t xml:space="preserve">, [1982] 1 R.C.S. 175; </w:t>
      </w:r>
      <w:r w:rsidR="00000662" w:rsidRPr="00A82D21">
        <w:rPr>
          <w:i/>
          <w:szCs w:val="24"/>
          <w:lang w:val="en-US"/>
        </w:rPr>
        <w:t>R. c. Durette</w:t>
      </w:r>
      <w:r w:rsidR="00000662" w:rsidRPr="00A82D21">
        <w:rPr>
          <w:szCs w:val="24"/>
          <w:lang w:val="en-US"/>
        </w:rPr>
        <w:t>, [1994] 1 R.C.S. 469</w:t>
      </w:r>
      <w:r w:rsidR="002C4BBD" w:rsidRPr="00A82D21">
        <w:rPr>
          <w:szCs w:val="24"/>
          <w:lang w:val="en-US"/>
        </w:rPr>
        <w:t xml:space="preserve">; </w:t>
      </w:r>
      <w:r w:rsidR="002C4BBD" w:rsidRPr="00A82D21">
        <w:rPr>
          <w:i/>
          <w:szCs w:val="24"/>
          <w:lang w:val="en-US"/>
        </w:rPr>
        <w:t>Vickery</w:t>
      </w:r>
      <w:r w:rsidR="002C4BBD" w:rsidRPr="00A82D21">
        <w:rPr>
          <w:szCs w:val="24"/>
          <w:lang w:val="en-US"/>
        </w:rPr>
        <w:t xml:space="preserve"> </w:t>
      </w:r>
      <w:r w:rsidR="002C4BBD" w:rsidRPr="00A82D21">
        <w:rPr>
          <w:i/>
          <w:szCs w:val="24"/>
          <w:lang w:val="en-US"/>
        </w:rPr>
        <w:t>c.</w:t>
      </w:r>
      <w:r w:rsidR="002C4BBD" w:rsidRPr="00A82D21">
        <w:rPr>
          <w:szCs w:val="24"/>
          <w:lang w:val="en-US"/>
        </w:rPr>
        <w:t xml:space="preserve"> </w:t>
      </w:r>
      <w:r w:rsidR="002C4BBD" w:rsidRPr="00A82D21">
        <w:rPr>
          <w:i/>
          <w:szCs w:val="24"/>
          <w:lang w:val="en-US"/>
        </w:rPr>
        <w:t>Cour suprême de la Nouvelle</w:t>
      </w:r>
      <w:r w:rsidR="007962BB" w:rsidRPr="00A82D21">
        <w:rPr>
          <w:i/>
          <w:szCs w:val="24"/>
          <w:lang w:val="en-US"/>
        </w:rPr>
        <w:t>-</w:t>
      </w:r>
      <w:r w:rsidR="002C4BBD" w:rsidRPr="00A82D21">
        <w:rPr>
          <w:i/>
          <w:szCs w:val="24"/>
          <w:lang w:val="en-US"/>
        </w:rPr>
        <w:t>Écosse (Protonotaire)</w:t>
      </w:r>
      <w:r w:rsidR="002C4BBD" w:rsidRPr="00A82D21">
        <w:rPr>
          <w:szCs w:val="24"/>
          <w:lang w:val="en-US"/>
        </w:rPr>
        <w:t xml:space="preserve">, [1991] </w:t>
      </w:r>
      <w:r w:rsidR="005800DE" w:rsidRPr="00A82D21">
        <w:rPr>
          <w:szCs w:val="24"/>
          <w:lang w:val="en-US"/>
        </w:rPr>
        <w:t xml:space="preserve">1 </w:t>
      </w:r>
      <w:r w:rsidR="002C4BBD" w:rsidRPr="00A82D21">
        <w:rPr>
          <w:szCs w:val="24"/>
          <w:lang w:val="en-US"/>
        </w:rPr>
        <w:t xml:space="preserve">R.C.S. 671; </w:t>
      </w:r>
      <w:r w:rsidR="002C4BBD" w:rsidRPr="00A82D21">
        <w:rPr>
          <w:i/>
          <w:szCs w:val="24"/>
          <w:lang w:val="en-US"/>
        </w:rPr>
        <w:t>Phillips</w:t>
      </w:r>
      <w:r w:rsidR="002C4BBD" w:rsidRPr="00A82D21">
        <w:rPr>
          <w:szCs w:val="24"/>
          <w:lang w:val="en-US"/>
        </w:rPr>
        <w:t xml:space="preserve"> </w:t>
      </w:r>
      <w:r w:rsidR="002C4BBD" w:rsidRPr="00A82D21">
        <w:rPr>
          <w:i/>
          <w:szCs w:val="24"/>
          <w:lang w:val="en-US"/>
        </w:rPr>
        <w:t>c. Vancouver Sun</w:t>
      </w:r>
      <w:r w:rsidR="002C4BBD" w:rsidRPr="00A82D21">
        <w:rPr>
          <w:szCs w:val="24"/>
          <w:lang w:val="en-US"/>
        </w:rPr>
        <w:t>, 2004 BCCA 14, 27 B.C</w:t>
      </w:r>
      <w:r w:rsidR="00F618C1" w:rsidRPr="00A82D21">
        <w:rPr>
          <w:szCs w:val="24"/>
          <w:lang w:val="en-US"/>
        </w:rPr>
        <w:t>.</w:t>
      </w:r>
      <w:r w:rsidR="002C4BBD" w:rsidRPr="00A82D21">
        <w:rPr>
          <w:szCs w:val="24"/>
          <w:lang w:val="en-US"/>
        </w:rPr>
        <w:t>L.R. (4th) 27</w:t>
      </w:r>
      <w:r w:rsidR="00616AAD" w:rsidRPr="00A82D21">
        <w:rPr>
          <w:szCs w:val="24"/>
          <w:lang w:val="en-US"/>
        </w:rPr>
        <w:t>;</w:t>
      </w:r>
      <w:r w:rsidR="00616AAD" w:rsidRPr="00A82D21">
        <w:rPr>
          <w:i/>
          <w:szCs w:val="24"/>
          <w:lang w:val="en-US"/>
        </w:rPr>
        <w:t xml:space="preserve"> Marché Lionel Coudry inc.</w:t>
      </w:r>
      <w:r w:rsidR="00616AAD" w:rsidRPr="00A82D21">
        <w:rPr>
          <w:szCs w:val="24"/>
          <w:lang w:val="en-US"/>
        </w:rPr>
        <w:t xml:space="preserve"> </w:t>
      </w:r>
      <w:r w:rsidR="00616AAD" w:rsidRPr="00A82D21">
        <w:rPr>
          <w:i/>
          <w:szCs w:val="24"/>
          <w:lang w:val="en-US"/>
        </w:rPr>
        <w:t>c. Métro inc.</w:t>
      </w:r>
      <w:r w:rsidR="00616AAD" w:rsidRPr="00A82D21">
        <w:rPr>
          <w:szCs w:val="24"/>
          <w:lang w:val="en-US"/>
        </w:rPr>
        <w:t>, 2004 CanLII 73143;</w:t>
      </w:r>
      <w:r w:rsidR="00616AAD" w:rsidRPr="00A82D21">
        <w:rPr>
          <w:i/>
          <w:szCs w:val="24"/>
          <w:lang w:val="en-US"/>
        </w:rPr>
        <w:t xml:space="preserve"> Southam</w:t>
      </w:r>
      <w:r w:rsidR="00616AAD" w:rsidRPr="00A82D21">
        <w:rPr>
          <w:szCs w:val="24"/>
          <w:lang w:val="en-US"/>
        </w:rPr>
        <w:t xml:space="preserve"> </w:t>
      </w:r>
      <w:r w:rsidR="00616AAD" w:rsidRPr="00A82D21">
        <w:rPr>
          <w:i/>
          <w:szCs w:val="24"/>
          <w:lang w:val="en-US"/>
        </w:rPr>
        <w:t>Inc. c. Landry</w:t>
      </w:r>
      <w:r w:rsidR="00616AAD" w:rsidRPr="00A82D21">
        <w:rPr>
          <w:szCs w:val="24"/>
          <w:lang w:val="en-US"/>
        </w:rPr>
        <w:t>, 2003 CanLII 71970</w:t>
      </w:r>
      <w:r w:rsidR="00F35BF2" w:rsidRPr="00A82D21">
        <w:rPr>
          <w:szCs w:val="24"/>
          <w:lang w:val="en-US"/>
        </w:rPr>
        <w:t xml:space="preserve">; </w:t>
      </w:r>
      <w:r w:rsidR="00F35BF2" w:rsidRPr="00A82D21">
        <w:rPr>
          <w:i/>
          <w:szCs w:val="24"/>
          <w:lang w:val="en-US"/>
        </w:rPr>
        <w:lastRenderedPageBreak/>
        <w:t>Daishowa inc.</w:t>
      </w:r>
      <w:r w:rsidR="00F35BF2" w:rsidRPr="00A82D21">
        <w:rPr>
          <w:szCs w:val="24"/>
          <w:lang w:val="en-US"/>
        </w:rPr>
        <w:t xml:space="preserve"> </w:t>
      </w:r>
      <w:r w:rsidR="00F35BF2" w:rsidRPr="00A82D21">
        <w:rPr>
          <w:i/>
          <w:szCs w:val="24"/>
          <w:lang w:val="en-US"/>
        </w:rPr>
        <w:t>c.</w:t>
      </w:r>
      <w:r w:rsidR="00F35BF2" w:rsidRPr="00A82D21">
        <w:rPr>
          <w:szCs w:val="24"/>
          <w:lang w:val="en-US"/>
        </w:rPr>
        <w:t xml:space="preserve"> </w:t>
      </w:r>
      <w:r w:rsidR="00F35BF2" w:rsidRPr="00A82D21">
        <w:rPr>
          <w:i/>
          <w:szCs w:val="24"/>
          <w:lang w:val="en-US"/>
        </w:rPr>
        <w:t xml:space="preserve">Commission de la </w:t>
      </w:r>
      <w:r w:rsidR="00F5016B" w:rsidRPr="00A82D21">
        <w:rPr>
          <w:i/>
          <w:szCs w:val="24"/>
          <w:lang w:val="en-US"/>
        </w:rPr>
        <w:t>santé et de la s</w:t>
      </w:r>
      <w:r w:rsidR="00F35BF2" w:rsidRPr="00A82D21">
        <w:rPr>
          <w:i/>
          <w:szCs w:val="24"/>
          <w:lang w:val="en-US"/>
        </w:rPr>
        <w:t xml:space="preserve">écurité du </w:t>
      </w:r>
      <w:r w:rsidR="00F5016B" w:rsidRPr="00A82D21">
        <w:rPr>
          <w:i/>
          <w:szCs w:val="24"/>
          <w:lang w:val="en-US"/>
        </w:rPr>
        <w:t>t</w:t>
      </w:r>
      <w:r w:rsidR="00F35BF2" w:rsidRPr="00A82D21">
        <w:rPr>
          <w:i/>
          <w:szCs w:val="24"/>
          <w:lang w:val="en-US"/>
        </w:rPr>
        <w:t>ravail</w:t>
      </w:r>
      <w:r w:rsidR="00F35BF2" w:rsidRPr="00A82D21">
        <w:rPr>
          <w:szCs w:val="24"/>
          <w:lang w:val="en-US"/>
        </w:rPr>
        <w:t xml:space="preserve">, [1993] R.J.Q. 175, conf. </w:t>
      </w:r>
      <w:r w:rsidR="00F21B17" w:rsidRPr="00A82D21">
        <w:rPr>
          <w:szCs w:val="24"/>
          <w:lang w:val="en-US"/>
        </w:rPr>
        <w:t>par.</w:t>
      </w:r>
      <w:r w:rsidR="00E84351" w:rsidRPr="00A82D21">
        <w:rPr>
          <w:szCs w:val="24"/>
          <w:lang w:val="en-US"/>
        </w:rPr>
        <w:t xml:space="preserve"> [1993] </w:t>
      </w:r>
      <w:r w:rsidR="00F35BF2" w:rsidRPr="00A82D21">
        <w:rPr>
          <w:szCs w:val="24"/>
          <w:lang w:val="en-US"/>
        </w:rPr>
        <w:t>AZ</w:t>
      </w:r>
      <w:r w:rsidR="007962BB" w:rsidRPr="00A82D21">
        <w:rPr>
          <w:szCs w:val="24"/>
          <w:lang w:val="en-US"/>
        </w:rPr>
        <w:t>-</w:t>
      </w:r>
      <w:r w:rsidR="00F35BF2" w:rsidRPr="00A82D21">
        <w:rPr>
          <w:szCs w:val="24"/>
          <w:lang w:val="en-US"/>
        </w:rPr>
        <w:t xml:space="preserve">50072356; </w:t>
      </w:r>
      <w:r w:rsidR="00F35BF2" w:rsidRPr="00A82D21">
        <w:rPr>
          <w:i/>
          <w:szCs w:val="24"/>
          <w:lang w:val="en-US"/>
        </w:rPr>
        <w:t>S.M.</w:t>
      </w:r>
      <w:r w:rsidR="00F35BF2" w:rsidRPr="00A82D21">
        <w:rPr>
          <w:szCs w:val="24"/>
          <w:lang w:val="en-US"/>
        </w:rPr>
        <w:t xml:space="preserve"> </w:t>
      </w:r>
      <w:proofErr w:type="gramStart"/>
      <w:r w:rsidR="00F35BF2" w:rsidRPr="00A82D21">
        <w:rPr>
          <w:i/>
          <w:szCs w:val="24"/>
          <w:lang w:val="en-US"/>
        </w:rPr>
        <w:t>c</w:t>
      </w:r>
      <w:proofErr w:type="gramEnd"/>
      <w:r w:rsidR="00F35BF2" w:rsidRPr="00A82D21">
        <w:rPr>
          <w:i/>
          <w:szCs w:val="24"/>
          <w:lang w:val="en-US"/>
        </w:rPr>
        <w:t>.</w:t>
      </w:r>
      <w:r w:rsidR="00F35BF2" w:rsidRPr="00A82D21">
        <w:rPr>
          <w:szCs w:val="24"/>
          <w:lang w:val="en-US"/>
        </w:rPr>
        <w:t xml:space="preserve"> </w:t>
      </w:r>
      <w:r w:rsidR="00F35BF2" w:rsidRPr="00A82D21">
        <w:rPr>
          <w:i/>
          <w:szCs w:val="24"/>
          <w:lang w:val="en-US"/>
        </w:rPr>
        <w:t>S.G.</w:t>
      </w:r>
      <w:r w:rsidR="00F35BF2" w:rsidRPr="00A82D21">
        <w:rPr>
          <w:szCs w:val="24"/>
          <w:lang w:val="en-US"/>
        </w:rPr>
        <w:t>, [1986] R.D.J. 617</w:t>
      </w:r>
      <w:r w:rsidR="00DC3F8D" w:rsidRPr="00A82D21">
        <w:rPr>
          <w:szCs w:val="24"/>
          <w:lang w:val="en-US"/>
        </w:rPr>
        <w:t>.</w:t>
      </w:r>
    </w:p>
    <w:p w:rsidR="00A24561" w:rsidRPr="00A82D21" w:rsidRDefault="00A24561" w:rsidP="007962BB">
      <w:pPr>
        <w:pStyle w:val="SCCNormalDoubleSpacing"/>
        <w:widowControl w:val="0"/>
        <w:spacing w:after="720" w:line="240" w:lineRule="auto"/>
        <w:rPr>
          <w:szCs w:val="24"/>
          <w:lang w:val="fr-CA"/>
        </w:rPr>
      </w:pPr>
      <w:r w:rsidRPr="00A82D21">
        <w:rPr>
          <w:szCs w:val="24"/>
          <w:lang w:val="fr-CA"/>
        </w:rPr>
        <w:t>Citée par la juge Abella (dissidente)</w:t>
      </w:r>
    </w:p>
    <w:p w:rsidR="00A24561" w:rsidRPr="00A82D21" w:rsidRDefault="00A24561" w:rsidP="007962BB">
      <w:pPr>
        <w:pStyle w:val="SCCNormalDoubleSpacing"/>
        <w:widowControl w:val="0"/>
        <w:spacing w:before="480" w:after="480"/>
        <w:rPr>
          <w:szCs w:val="24"/>
          <w:lang w:val="en-US"/>
        </w:rPr>
      </w:pPr>
      <w:r w:rsidRPr="00A82D21">
        <w:rPr>
          <w:szCs w:val="24"/>
          <w:lang w:val="fr-CA"/>
        </w:rPr>
        <w:tab/>
      </w:r>
      <w:r w:rsidRPr="00A82D21">
        <w:rPr>
          <w:i/>
          <w:szCs w:val="24"/>
          <w:lang w:val="en-US"/>
        </w:rPr>
        <w:t xml:space="preserve">R. </w:t>
      </w:r>
      <w:r w:rsidR="0034416A" w:rsidRPr="00A82D21">
        <w:rPr>
          <w:i/>
          <w:szCs w:val="24"/>
          <w:lang w:val="en-US"/>
        </w:rPr>
        <w:t>c</w:t>
      </w:r>
      <w:r w:rsidRPr="00A82D21">
        <w:rPr>
          <w:i/>
          <w:szCs w:val="24"/>
          <w:lang w:val="en-US"/>
        </w:rPr>
        <w:t>. Duarte</w:t>
      </w:r>
      <w:r w:rsidRPr="00A82D21">
        <w:rPr>
          <w:szCs w:val="24"/>
          <w:lang w:val="en-US"/>
        </w:rPr>
        <w:t xml:space="preserve">, [1990] 1 </w:t>
      </w:r>
      <w:r w:rsidR="0034416A" w:rsidRPr="00A82D21">
        <w:rPr>
          <w:szCs w:val="24"/>
          <w:lang w:val="en-US"/>
        </w:rPr>
        <w:t>R.C.</w:t>
      </w:r>
      <w:r w:rsidRPr="00A82D21">
        <w:rPr>
          <w:szCs w:val="24"/>
          <w:lang w:val="en-US"/>
        </w:rPr>
        <w:t xml:space="preserve">S. 30; </w:t>
      </w:r>
      <w:r w:rsidRPr="00A82D21">
        <w:rPr>
          <w:bCs/>
          <w:i/>
          <w:szCs w:val="24"/>
        </w:rPr>
        <w:t xml:space="preserve">R. </w:t>
      </w:r>
      <w:r w:rsidR="0034416A" w:rsidRPr="00A82D21">
        <w:rPr>
          <w:bCs/>
          <w:i/>
          <w:szCs w:val="24"/>
        </w:rPr>
        <w:t>c</w:t>
      </w:r>
      <w:r w:rsidRPr="00A82D21">
        <w:rPr>
          <w:bCs/>
          <w:i/>
          <w:szCs w:val="24"/>
        </w:rPr>
        <w:t>. Mills</w:t>
      </w:r>
      <w:r w:rsidRPr="00A82D21">
        <w:rPr>
          <w:bCs/>
          <w:szCs w:val="24"/>
        </w:rPr>
        <w:t xml:space="preserve">, [1999] 3 </w:t>
      </w:r>
      <w:r w:rsidR="0034416A" w:rsidRPr="00A82D21">
        <w:rPr>
          <w:bCs/>
          <w:szCs w:val="24"/>
        </w:rPr>
        <w:t>R.C.</w:t>
      </w:r>
      <w:r w:rsidRPr="00A82D21">
        <w:rPr>
          <w:bCs/>
          <w:szCs w:val="24"/>
        </w:rPr>
        <w:t xml:space="preserve">S. 668; </w:t>
      </w:r>
      <w:r w:rsidRPr="00A82D21">
        <w:rPr>
          <w:bCs/>
          <w:i/>
          <w:szCs w:val="24"/>
        </w:rPr>
        <w:t xml:space="preserve">R. </w:t>
      </w:r>
      <w:r w:rsidR="0034416A" w:rsidRPr="00A82D21">
        <w:rPr>
          <w:bCs/>
          <w:i/>
          <w:szCs w:val="24"/>
        </w:rPr>
        <w:t>c</w:t>
      </w:r>
      <w:r w:rsidRPr="00A82D21">
        <w:rPr>
          <w:bCs/>
          <w:i/>
          <w:szCs w:val="24"/>
        </w:rPr>
        <w:t>. Commisso</w:t>
      </w:r>
      <w:r w:rsidRPr="00A82D21">
        <w:rPr>
          <w:bCs/>
          <w:szCs w:val="24"/>
        </w:rPr>
        <w:t xml:space="preserve">, [1983] 2 </w:t>
      </w:r>
      <w:r w:rsidR="0034416A" w:rsidRPr="00A82D21">
        <w:rPr>
          <w:bCs/>
          <w:szCs w:val="24"/>
        </w:rPr>
        <w:t>R.C.</w:t>
      </w:r>
      <w:r w:rsidRPr="00A82D21">
        <w:rPr>
          <w:bCs/>
          <w:szCs w:val="24"/>
        </w:rPr>
        <w:t xml:space="preserve">S. 121; </w:t>
      </w:r>
      <w:r w:rsidRPr="00A82D21">
        <w:rPr>
          <w:bCs/>
          <w:i/>
          <w:szCs w:val="24"/>
        </w:rPr>
        <w:t xml:space="preserve">Goodis </w:t>
      </w:r>
      <w:r w:rsidR="0034416A" w:rsidRPr="00A82D21">
        <w:rPr>
          <w:bCs/>
          <w:i/>
          <w:szCs w:val="24"/>
        </w:rPr>
        <w:t>c</w:t>
      </w:r>
      <w:r w:rsidRPr="00A82D21">
        <w:rPr>
          <w:bCs/>
          <w:i/>
          <w:szCs w:val="24"/>
        </w:rPr>
        <w:t>. Ontario (Minist</w:t>
      </w:r>
      <w:r w:rsidR="0034416A" w:rsidRPr="00A82D21">
        <w:rPr>
          <w:bCs/>
          <w:i/>
          <w:szCs w:val="24"/>
        </w:rPr>
        <w:t>ère</w:t>
      </w:r>
      <w:r w:rsidRPr="00A82D21">
        <w:rPr>
          <w:bCs/>
          <w:i/>
          <w:szCs w:val="24"/>
        </w:rPr>
        <w:t xml:space="preserve"> </w:t>
      </w:r>
      <w:r w:rsidR="0034416A" w:rsidRPr="00A82D21">
        <w:rPr>
          <w:bCs/>
          <w:i/>
          <w:szCs w:val="24"/>
        </w:rPr>
        <w:t>des Services c</w:t>
      </w:r>
      <w:r w:rsidRPr="00A82D21">
        <w:rPr>
          <w:bCs/>
          <w:i/>
          <w:szCs w:val="24"/>
        </w:rPr>
        <w:t>orrectio</w:t>
      </w:r>
      <w:r w:rsidR="0034416A" w:rsidRPr="00A82D21">
        <w:rPr>
          <w:bCs/>
          <w:i/>
          <w:szCs w:val="24"/>
        </w:rPr>
        <w:t>nnels</w:t>
      </w:r>
      <w:r w:rsidRPr="00A82D21">
        <w:rPr>
          <w:bCs/>
          <w:i/>
          <w:szCs w:val="24"/>
        </w:rPr>
        <w:t>)</w:t>
      </w:r>
      <w:r w:rsidRPr="00A82D21">
        <w:rPr>
          <w:bCs/>
          <w:szCs w:val="24"/>
        </w:rPr>
        <w:t xml:space="preserve">, 2006 </w:t>
      </w:r>
      <w:r w:rsidR="0034416A" w:rsidRPr="00A82D21">
        <w:rPr>
          <w:bCs/>
          <w:szCs w:val="24"/>
        </w:rPr>
        <w:t>C</w:t>
      </w:r>
      <w:r w:rsidRPr="00A82D21">
        <w:rPr>
          <w:bCs/>
          <w:szCs w:val="24"/>
        </w:rPr>
        <w:t xml:space="preserve">SC 31, [2006] 2 </w:t>
      </w:r>
      <w:r w:rsidR="0034416A" w:rsidRPr="00A82D21">
        <w:rPr>
          <w:bCs/>
          <w:szCs w:val="24"/>
        </w:rPr>
        <w:t>R.C.</w:t>
      </w:r>
      <w:r w:rsidRPr="00A82D21">
        <w:rPr>
          <w:bCs/>
          <w:szCs w:val="24"/>
        </w:rPr>
        <w:t xml:space="preserve">S. 32; </w:t>
      </w:r>
      <w:r w:rsidRPr="00A82D21">
        <w:rPr>
          <w:i/>
          <w:szCs w:val="24"/>
          <w:lang w:val="en-US"/>
        </w:rPr>
        <w:t xml:space="preserve">R. </w:t>
      </w:r>
      <w:r w:rsidR="0034416A" w:rsidRPr="00A82D21">
        <w:rPr>
          <w:i/>
          <w:szCs w:val="24"/>
          <w:lang w:val="en-US"/>
        </w:rPr>
        <w:t>c</w:t>
      </w:r>
      <w:r w:rsidRPr="00A82D21">
        <w:rPr>
          <w:i/>
          <w:szCs w:val="24"/>
          <w:lang w:val="en-US"/>
        </w:rPr>
        <w:t>. Araujo</w:t>
      </w:r>
      <w:r w:rsidRPr="00A82D21">
        <w:rPr>
          <w:szCs w:val="24"/>
          <w:lang w:val="en-US"/>
        </w:rPr>
        <w:t xml:space="preserve">, 2000 </w:t>
      </w:r>
      <w:r w:rsidR="0034416A" w:rsidRPr="00A82D21">
        <w:rPr>
          <w:szCs w:val="24"/>
          <w:lang w:val="en-US"/>
        </w:rPr>
        <w:t>C</w:t>
      </w:r>
      <w:r w:rsidRPr="00A82D21">
        <w:rPr>
          <w:szCs w:val="24"/>
          <w:lang w:val="en-US"/>
        </w:rPr>
        <w:t xml:space="preserve">SC 65, [2000] 2 </w:t>
      </w:r>
      <w:r w:rsidR="0034416A" w:rsidRPr="00A82D21">
        <w:rPr>
          <w:szCs w:val="24"/>
          <w:lang w:val="en-US"/>
        </w:rPr>
        <w:t>R.C.</w:t>
      </w:r>
      <w:r w:rsidRPr="00A82D21">
        <w:rPr>
          <w:szCs w:val="24"/>
          <w:lang w:val="en-US"/>
        </w:rPr>
        <w:t>S. 992</w:t>
      </w:r>
      <w:r w:rsidRPr="00A82D21">
        <w:rPr>
          <w:szCs w:val="24"/>
        </w:rPr>
        <w:t xml:space="preserve">; </w:t>
      </w:r>
      <w:r w:rsidRPr="00A82D21">
        <w:rPr>
          <w:i/>
          <w:szCs w:val="24"/>
        </w:rPr>
        <w:t xml:space="preserve">National Broadcasting Co. </w:t>
      </w:r>
      <w:r w:rsidR="0034416A" w:rsidRPr="00A82D21">
        <w:rPr>
          <w:i/>
          <w:szCs w:val="24"/>
        </w:rPr>
        <w:t>c</w:t>
      </w:r>
      <w:r w:rsidRPr="00A82D21">
        <w:rPr>
          <w:i/>
          <w:szCs w:val="24"/>
        </w:rPr>
        <w:t>. United States Department of Justice</w:t>
      </w:r>
      <w:r w:rsidRPr="00A82D21">
        <w:rPr>
          <w:szCs w:val="24"/>
        </w:rPr>
        <w:t xml:space="preserve">, 735 F.2d 51 (1984); </w:t>
      </w:r>
      <w:r w:rsidRPr="00A82D21">
        <w:rPr>
          <w:i/>
          <w:szCs w:val="24"/>
        </w:rPr>
        <w:t>In re Motion to Unseal Electronic Surveillance Evidence</w:t>
      </w:r>
      <w:r w:rsidRPr="00A82D21">
        <w:rPr>
          <w:szCs w:val="24"/>
        </w:rPr>
        <w:t>, 990 F.2d 1015 (1993)</w:t>
      </w:r>
      <w:r w:rsidR="00A60936" w:rsidRPr="00A82D21">
        <w:rPr>
          <w:szCs w:val="24"/>
        </w:rPr>
        <w:t>.</w:t>
      </w:r>
    </w:p>
    <w:p w:rsidR="004D7D95" w:rsidRPr="00A82D21" w:rsidRDefault="004D7D95" w:rsidP="007962BB">
      <w:pPr>
        <w:pStyle w:val="SCCNormalDoubleSpacing"/>
        <w:widowControl w:val="0"/>
        <w:spacing w:after="720" w:line="240" w:lineRule="auto"/>
        <w:rPr>
          <w:b/>
          <w:szCs w:val="24"/>
          <w:lang w:val="fr-CA"/>
        </w:rPr>
      </w:pPr>
      <w:r w:rsidRPr="00A82D21">
        <w:rPr>
          <w:b/>
          <w:szCs w:val="24"/>
          <w:lang w:val="fr-CA"/>
        </w:rPr>
        <w:t>Lois et règlements cités</w:t>
      </w:r>
    </w:p>
    <w:p w:rsidR="005C7193" w:rsidRPr="00A82D21" w:rsidRDefault="005C7193" w:rsidP="007962BB">
      <w:pPr>
        <w:pStyle w:val="SCCNormalDoubleSpacing"/>
        <w:widowControl w:val="0"/>
        <w:spacing w:after="240" w:line="240" w:lineRule="auto"/>
        <w:ind w:left="547" w:hanging="547"/>
        <w:rPr>
          <w:szCs w:val="24"/>
          <w:lang w:val="fr-CA"/>
        </w:rPr>
      </w:pPr>
      <w:r w:rsidRPr="00A82D21">
        <w:rPr>
          <w:i/>
          <w:szCs w:val="24"/>
          <w:lang w:val="fr-CA"/>
        </w:rPr>
        <w:t>Charte canadienne des droits et libertés</w:t>
      </w:r>
      <w:r w:rsidRPr="00A82D21">
        <w:rPr>
          <w:szCs w:val="24"/>
          <w:lang w:val="fr-CA"/>
        </w:rPr>
        <w:t xml:space="preserve">, </w:t>
      </w:r>
      <w:r w:rsidR="00F21B17" w:rsidRPr="00A82D21">
        <w:rPr>
          <w:szCs w:val="24"/>
          <w:lang w:val="fr-CA"/>
        </w:rPr>
        <w:t>art.</w:t>
      </w:r>
      <w:r w:rsidR="007962BB" w:rsidRPr="00A82D21">
        <w:rPr>
          <w:szCs w:val="24"/>
          <w:lang w:val="fr-CA"/>
        </w:rPr>
        <w:t xml:space="preserve"> </w:t>
      </w:r>
      <w:r w:rsidRPr="00A82D21">
        <w:rPr>
          <w:szCs w:val="24"/>
          <w:lang w:val="fr-CA"/>
        </w:rPr>
        <w:t>8</w:t>
      </w:r>
      <w:r w:rsidR="00361C11" w:rsidRPr="00A82D21">
        <w:rPr>
          <w:szCs w:val="24"/>
          <w:lang w:val="fr-CA"/>
        </w:rPr>
        <w:t>, 24(2)</w:t>
      </w:r>
      <w:r w:rsidRPr="00A82D21">
        <w:rPr>
          <w:szCs w:val="24"/>
          <w:lang w:val="fr-CA"/>
        </w:rPr>
        <w:t>.</w:t>
      </w:r>
    </w:p>
    <w:p w:rsidR="00BC14F3" w:rsidRPr="00A82D21" w:rsidRDefault="00BC14F3" w:rsidP="007962BB">
      <w:pPr>
        <w:pStyle w:val="SCCNormalDoubleSpacing"/>
        <w:widowControl w:val="0"/>
        <w:spacing w:after="240" w:line="240" w:lineRule="auto"/>
        <w:ind w:left="547" w:hanging="547"/>
        <w:rPr>
          <w:szCs w:val="24"/>
          <w:lang w:val="fr-CA"/>
        </w:rPr>
      </w:pPr>
      <w:r w:rsidRPr="00A82D21">
        <w:rPr>
          <w:i/>
          <w:szCs w:val="24"/>
          <w:lang w:val="fr-CA"/>
        </w:rPr>
        <w:t>Charte des droits et libertés de la personne</w:t>
      </w:r>
      <w:r w:rsidRPr="00A82D21">
        <w:rPr>
          <w:szCs w:val="24"/>
          <w:lang w:val="fr-CA"/>
        </w:rPr>
        <w:t xml:space="preserve">, RLRQ, </w:t>
      </w:r>
      <w:r w:rsidR="00F21B17" w:rsidRPr="00A82D21">
        <w:rPr>
          <w:szCs w:val="24"/>
          <w:lang w:val="fr-CA"/>
        </w:rPr>
        <w:t>ch.</w:t>
      </w:r>
      <w:r w:rsidR="007962BB" w:rsidRPr="00A82D21">
        <w:rPr>
          <w:szCs w:val="24"/>
          <w:lang w:val="fr-CA"/>
        </w:rPr>
        <w:t xml:space="preserve"> </w:t>
      </w:r>
      <w:r w:rsidRPr="00A82D21">
        <w:rPr>
          <w:szCs w:val="24"/>
          <w:lang w:val="fr-CA"/>
        </w:rPr>
        <w:t>C</w:t>
      </w:r>
      <w:r w:rsidR="007962BB" w:rsidRPr="00A82D21">
        <w:rPr>
          <w:szCs w:val="24"/>
          <w:lang w:val="fr-CA"/>
        </w:rPr>
        <w:t>-</w:t>
      </w:r>
      <w:r w:rsidRPr="00A82D21">
        <w:rPr>
          <w:szCs w:val="24"/>
          <w:lang w:val="fr-CA"/>
        </w:rPr>
        <w:t xml:space="preserve">12, </w:t>
      </w:r>
      <w:r w:rsidR="00F21B17" w:rsidRPr="00A82D21">
        <w:rPr>
          <w:szCs w:val="24"/>
          <w:lang w:val="fr-CA"/>
        </w:rPr>
        <w:t>art.</w:t>
      </w:r>
      <w:r w:rsidR="007962BB" w:rsidRPr="00A82D21">
        <w:rPr>
          <w:szCs w:val="24"/>
          <w:lang w:val="fr-CA"/>
        </w:rPr>
        <w:t xml:space="preserve"> </w:t>
      </w:r>
      <w:r w:rsidRPr="00A82D21">
        <w:rPr>
          <w:szCs w:val="24"/>
          <w:lang w:val="fr-CA"/>
        </w:rPr>
        <w:t>5, 9.</w:t>
      </w:r>
    </w:p>
    <w:p w:rsidR="00F91760" w:rsidRPr="00A82D21" w:rsidRDefault="003F4AB9" w:rsidP="007962BB">
      <w:pPr>
        <w:pStyle w:val="SCCNormalDoubleSpacing"/>
        <w:widowControl w:val="0"/>
        <w:spacing w:after="240" w:line="240" w:lineRule="auto"/>
        <w:ind w:left="547" w:hanging="547"/>
        <w:rPr>
          <w:szCs w:val="24"/>
          <w:lang w:val="fr-CA"/>
        </w:rPr>
      </w:pPr>
      <w:r w:rsidRPr="00A82D21">
        <w:rPr>
          <w:i/>
          <w:szCs w:val="24"/>
          <w:lang w:val="fr-CA"/>
        </w:rPr>
        <w:t>Code civil du Québec</w:t>
      </w:r>
      <w:r w:rsidRPr="00A82D21">
        <w:rPr>
          <w:szCs w:val="24"/>
          <w:lang w:val="fr-CA"/>
        </w:rPr>
        <w:t xml:space="preserve">, </w:t>
      </w:r>
      <w:r w:rsidR="00F21B17" w:rsidRPr="00A82D21">
        <w:rPr>
          <w:szCs w:val="24"/>
          <w:lang w:val="fr-CA"/>
        </w:rPr>
        <w:t>art.</w:t>
      </w:r>
      <w:r w:rsidR="007962BB" w:rsidRPr="00A82D21">
        <w:rPr>
          <w:szCs w:val="24"/>
          <w:lang w:val="fr-CA"/>
        </w:rPr>
        <w:t xml:space="preserve"> </w:t>
      </w:r>
      <w:r w:rsidR="00A3314F" w:rsidRPr="00A82D21">
        <w:rPr>
          <w:szCs w:val="24"/>
          <w:lang w:val="fr-CA"/>
        </w:rPr>
        <w:t xml:space="preserve">35, 36, </w:t>
      </w:r>
      <w:r w:rsidRPr="00A82D21">
        <w:rPr>
          <w:szCs w:val="24"/>
          <w:lang w:val="fr-CA"/>
        </w:rPr>
        <w:t>1457</w:t>
      </w:r>
      <w:r w:rsidR="0058256D" w:rsidRPr="00A82D21">
        <w:rPr>
          <w:szCs w:val="24"/>
          <w:lang w:val="fr-CA"/>
        </w:rPr>
        <w:t xml:space="preserve">, </w:t>
      </w:r>
      <w:r w:rsidR="00A3314F" w:rsidRPr="00A82D21">
        <w:rPr>
          <w:szCs w:val="24"/>
          <w:lang w:val="fr-CA"/>
        </w:rPr>
        <w:t xml:space="preserve">2803, </w:t>
      </w:r>
      <w:r w:rsidR="0058256D" w:rsidRPr="00A82D21">
        <w:rPr>
          <w:szCs w:val="24"/>
          <w:lang w:val="fr-CA"/>
        </w:rPr>
        <w:t>2858</w:t>
      </w:r>
      <w:r w:rsidRPr="00A82D21">
        <w:rPr>
          <w:szCs w:val="24"/>
          <w:lang w:val="fr-CA"/>
        </w:rPr>
        <w:t>.</w:t>
      </w:r>
    </w:p>
    <w:p w:rsidR="00F91760" w:rsidRPr="00A82D21" w:rsidRDefault="00F91760" w:rsidP="007962BB">
      <w:pPr>
        <w:pStyle w:val="SCCNormalDoubleSpacing"/>
        <w:widowControl w:val="0"/>
        <w:spacing w:after="240" w:line="240" w:lineRule="auto"/>
        <w:ind w:left="547" w:hanging="547"/>
        <w:rPr>
          <w:szCs w:val="24"/>
          <w:lang w:val="en-US"/>
        </w:rPr>
      </w:pPr>
      <w:r w:rsidRPr="00A82D21">
        <w:rPr>
          <w:i/>
          <w:szCs w:val="24"/>
          <w:lang w:val="fr-CA"/>
        </w:rPr>
        <w:t>Code criminel</w:t>
      </w:r>
      <w:r w:rsidRPr="00A82D21">
        <w:rPr>
          <w:szCs w:val="24"/>
          <w:lang w:val="fr-CA"/>
        </w:rPr>
        <w:t xml:space="preserve">, L.R.C. 1985, </w:t>
      </w:r>
      <w:r w:rsidR="00F21B17" w:rsidRPr="00A82D21">
        <w:rPr>
          <w:szCs w:val="24"/>
          <w:lang w:val="fr-CA"/>
        </w:rPr>
        <w:t>ch.</w:t>
      </w:r>
      <w:r w:rsidR="007962BB" w:rsidRPr="00A82D21">
        <w:rPr>
          <w:szCs w:val="24"/>
          <w:lang w:val="fr-CA"/>
        </w:rPr>
        <w:t xml:space="preserve"> </w:t>
      </w:r>
      <w:proofErr w:type="gramStart"/>
      <w:r w:rsidRPr="00A82D21">
        <w:rPr>
          <w:szCs w:val="24"/>
          <w:lang w:val="en-US"/>
        </w:rPr>
        <w:t>C</w:t>
      </w:r>
      <w:r w:rsidR="007962BB" w:rsidRPr="00A82D21">
        <w:rPr>
          <w:szCs w:val="24"/>
          <w:lang w:val="en-US"/>
        </w:rPr>
        <w:t>-</w:t>
      </w:r>
      <w:r w:rsidR="002D757C" w:rsidRPr="00A82D21">
        <w:rPr>
          <w:szCs w:val="24"/>
          <w:lang w:val="en-US"/>
        </w:rPr>
        <w:t>46, partie</w:t>
      </w:r>
      <w:r w:rsidR="007962BB" w:rsidRPr="00A82D21">
        <w:rPr>
          <w:szCs w:val="24"/>
          <w:lang w:val="en-US"/>
        </w:rPr>
        <w:t xml:space="preserve"> </w:t>
      </w:r>
      <w:r w:rsidRPr="00A82D21">
        <w:rPr>
          <w:szCs w:val="24"/>
          <w:lang w:val="en-US"/>
        </w:rPr>
        <w:t>VI</w:t>
      </w:r>
      <w:r w:rsidR="004C799D" w:rsidRPr="00A82D21">
        <w:rPr>
          <w:szCs w:val="24"/>
          <w:lang w:val="en-US"/>
        </w:rPr>
        <w:t xml:space="preserve">, </w:t>
      </w:r>
      <w:r w:rsidR="00F21B17" w:rsidRPr="00A82D21">
        <w:rPr>
          <w:szCs w:val="24"/>
          <w:lang w:val="en-US"/>
        </w:rPr>
        <w:t>art.</w:t>
      </w:r>
      <w:proofErr w:type="gramEnd"/>
      <w:r w:rsidR="007962BB" w:rsidRPr="00A82D21">
        <w:rPr>
          <w:szCs w:val="24"/>
          <w:lang w:val="en-US"/>
        </w:rPr>
        <w:t xml:space="preserve"> </w:t>
      </w:r>
      <w:r w:rsidR="00272392" w:rsidRPr="00A82D21">
        <w:rPr>
          <w:szCs w:val="24"/>
          <w:lang w:val="en-US"/>
        </w:rPr>
        <w:t>183</w:t>
      </w:r>
      <w:r w:rsidR="00F2533C" w:rsidRPr="00A82D21">
        <w:rPr>
          <w:szCs w:val="24"/>
          <w:lang w:val="en-US"/>
        </w:rPr>
        <w:t xml:space="preserve"> </w:t>
      </w:r>
      <w:r w:rsidR="003D19FF" w:rsidRPr="00A82D21">
        <w:rPr>
          <w:szCs w:val="24"/>
          <w:lang w:val="en-US"/>
        </w:rPr>
        <w:t>« </w:t>
      </w:r>
      <w:r w:rsidR="00F2533C" w:rsidRPr="00A82D21">
        <w:rPr>
          <w:szCs w:val="24"/>
          <w:lang w:val="en-US"/>
        </w:rPr>
        <w:t>infraction</w:t>
      </w:r>
      <w:r w:rsidR="003D19FF" w:rsidRPr="00A82D21">
        <w:rPr>
          <w:szCs w:val="24"/>
          <w:lang w:val="en-US"/>
        </w:rPr>
        <w:t> »</w:t>
      </w:r>
      <w:r w:rsidR="00272392" w:rsidRPr="00A82D21">
        <w:rPr>
          <w:szCs w:val="24"/>
          <w:lang w:val="en-US"/>
        </w:rPr>
        <w:t xml:space="preserve">, </w:t>
      </w:r>
      <w:r w:rsidR="00E535A9" w:rsidRPr="00A82D21">
        <w:rPr>
          <w:szCs w:val="24"/>
          <w:lang w:val="en-US"/>
        </w:rPr>
        <w:t xml:space="preserve">184, </w:t>
      </w:r>
      <w:r w:rsidR="00357A3B" w:rsidRPr="00A82D21">
        <w:rPr>
          <w:szCs w:val="24"/>
          <w:lang w:val="en-US"/>
        </w:rPr>
        <w:t>186(1</w:t>
      </w:r>
      <w:proofErr w:type="gramStart"/>
      <w:r w:rsidR="00357A3B" w:rsidRPr="00A82D21">
        <w:rPr>
          <w:szCs w:val="24"/>
          <w:lang w:val="en-US"/>
        </w:rPr>
        <w:t>)</w:t>
      </w:r>
      <w:proofErr w:type="gramEnd"/>
      <w:r w:rsidR="00357A3B" w:rsidRPr="00A82D21">
        <w:rPr>
          <w:i/>
          <w:szCs w:val="24"/>
          <w:lang w:val="en-US"/>
        </w:rPr>
        <w:t>b</w:t>
      </w:r>
      <w:r w:rsidR="00357A3B" w:rsidRPr="00A82D21">
        <w:rPr>
          <w:szCs w:val="24"/>
          <w:lang w:val="en-US"/>
        </w:rPr>
        <w:t>)</w:t>
      </w:r>
      <w:r w:rsidR="00941EB6" w:rsidRPr="00A82D21">
        <w:rPr>
          <w:szCs w:val="24"/>
          <w:lang w:val="en-US"/>
        </w:rPr>
        <w:t>, 187(1)</w:t>
      </w:r>
      <w:r w:rsidR="00941EB6" w:rsidRPr="00A82D21">
        <w:rPr>
          <w:i/>
          <w:szCs w:val="24"/>
          <w:lang w:val="en-US"/>
        </w:rPr>
        <w:t>a</w:t>
      </w:r>
      <w:r w:rsidR="00941EB6" w:rsidRPr="00A82D21">
        <w:rPr>
          <w:szCs w:val="24"/>
          <w:lang w:val="en-US"/>
        </w:rPr>
        <w:t>)(ii) [abr. &amp; remp. 1993, ch. 40, art. 7], (</w:t>
      </w:r>
      <w:r w:rsidR="00F618C1" w:rsidRPr="00A82D21">
        <w:rPr>
          <w:szCs w:val="24"/>
          <w:lang w:val="en-US"/>
        </w:rPr>
        <w:t>1.</w:t>
      </w:r>
      <w:r w:rsidR="00941EB6" w:rsidRPr="00A82D21">
        <w:rPr>
          <w:szCs w:val="24"/>
          <w:lang w:val="en-US"/>
        </w:rPr>
        <w:t>3)</w:t>
      </w:r>
      <w:r w:rsidR="00357A3B" w:rsidRPr="00A82D21">
        <w:rPr>
          <w:szCs w:val="24"/>
          <w:lang w:val="en-US"/>
        </w:rPr>
        <w:t xml:space="preserve">, </w:t>
      </w:r>
      <w:r w:rsidR="00627AF7" w:rsidRPr="00A82D21">
        <w:rPr>
          <w:szCs w:val="24"/>
          <w:lang w:val="en-US"/>
        </w:rPr>
        <w:t xml:space="preserve">189, 190, </w:t>
      </w:r>
      <w:r w:rsidR="004C799D" w:rsidRPr="00A82D21">
        <w:rPr>
          <w:szCs w:val="24"/>
          <w:lang w:val="en-US"/>
        </w:rPr>
        <w:t>193</w:t>
      </w:r>
      <w:r w:rsidR="002D6F47" w:rsidRPr="00A82D21">
        <w:rPr>
          <w:szCs w:val="24"/>
          <w:lang w:val="en-US"/>
        </w:rPr>
        <w:t>, 196</w:t>
      </w:r>
      <w:r w:rsidRPr="00A82D21">
        <w:rPr>
          <w:szCs w:val="24"/>
          <w:lang w:val="en-US"/>
        </w:rPr>
        <w:t>.</w:t>
      </w:r>
    </w:p>
    <w:p w:rsidR="00F618C1" w:rsidRPr="00A82D21" w:rsidRDefault="00F618C1" w:rsidP="00F618C1">
      <w:pPr>
        <w:pStyle w:val="SCCNormalDoubleSpacing"/>
        <w:widowControl w:val="0"/>
        <w:spacing w:after="240" w:line="240" w:lineRule="auto"/>
        <w:ind w:left="547" w:hanging="547"/>
        <w:rPr>
          <w:szCs w:val="24"/>
          <w:lang w:val="fr-CA"/>
        </w:rPr>
      </w:pPr>
      <w:r w:rsidRPr="00A82D21">
        <w:rPr>
          <w:i/>
          <w:szCs w:val="24"/>
          <w:lang w:val="fr-CA"/>
        </w:rPr>
        <w:t>Code criminel</w:t>
      </w:r>
      <w:r w:rsidRPr="00A82D21">
        <w:rPr>
          <w:szCs w:val="24"/>
          <w:lang w:val="fr-CA"/>
        </w:rPr>
        <w:t>, S.R.C. 1970, ch. C-34, art. 178.16, 178.2(2).</w:t>
      </w:r>
    </w:p>
    <w:p w:rsidR="00FE7363" w:rsidRPr="00A82D21" w:rsidRDefault="00FE7363" w:rsidP="007962BB">
      <w:pPr>
        <w:pStyle w:val="SCCNormalDoubleSpacing"/>
        <w:widowControl w:val="0"/>
        <w:spacing w:after="240" w:line="240" w:lineRule="auto"/>
        <w:ind w:left="547" w:hanging="547"/>
        <w:rPr>
          <w:szCs w:val="24"/>
          <w:lang w:val="fr-CA"/>
        </w:rPr>
      </w:pPr>
      <w:r w:rsidRPr="00A82D21">
        <w:rPr>
          <w:i/>
          <w:szCs w:val="24"/>
          <w:lang w:val="fr-CA"/>
        </w:rPr>
        <w:t>Code de procédure civile</w:t>
      </w:r>
      <w:r w:rsidRPr="00A82D21">
        <w:rPr>
          <w:szCs w:val="24"/>
          <w:lang w:val="fr-CA"/>
        </w:rPr>
        <w:t xml:space="preserve">, RLRQ, </w:t>
      </w:r>
      <w:r w:rsidR="00F21B17" w:rsidRPr="00A82D21">
        <w:rPr>
          <w:szCs w:val="24"/>
          <w:lang w:val="fr-CA"/>
        </w:rPr>
        <w:t>ch.</w:t>
      </w:r>
      <w:r w:rsidR="007962BB" w:rsidRPr="00A82D21">
        <w:rPr>
          <w:szCs w:val="24"/>
          <w:lang w:val="fr-CA"/>
        </w:rPr>
        <w:t xml:space="preserve"> </w:t>
      </w:r>
      <w:r w:rsidRPr="00A82D21">
        <w:rPr>
          <w:szCs w:val="24"/>
          <w:lang w:val="fr-CA"/>
        </w:rPr>
        <w:t>C</w:t>
      </w:r>
      <w:r w:rsidR="007962BB" w:rsidRPr="00A82D21">
        <w:rPr>
          <w:szCs w:val="24"/>
          <w:lang w:val="fr-CA"/>
        </w:rPr>
        <w:t>-</w:t>
      </w:r>
      <w:r w:rsidRPr="00A82D21">
        <w:rPr>
          <w:szCs w:val="24"/>
          <w:lang w:val="fr-CA"/>
        </w:rPr>
        <w:t xml:space="preserve">25, </w:t>
      </w:r>
      <w:r w:rsidR="00F21B17" w:rsidRPr="00A82D21">
        <w:rPr>
          <w:szCs w:val="24"/>
          <w:lang w:val="fr-CA"/>
        </w:rPr>
        <w:t>art.</w:t>
      </w:r>
      <w:r w:rsidR="007962BB" w:rsidRPr="00A82D21">
        <w:rPr>
          <w:szCs w:val="24"/>
          <w:lang w:val="fr-CA"/>
        </w:rPr>
        <w:t xml:space="preserve"> </w:t>
      </w:r>
      <w:r w:rsidR="009C3C8F" w:rsidRPr="00A82D21">
        <w:rPr>
          <w:szCs w:val="24"/>
          <w:lang w:val="fr-CA"/>
        </w:rPr>
        <w:t>2,</w:t>
      </w:r>
      <w:r w:rsidR="008641F8" w:rsidRPr="00A82D21">
        <w:rPr>
          <w:szCs w:val="24"/>
          <w:lang w:val="fr-CA"/>
        </w:rPr>
        <w:t xml:space="preserve"> 4.2,</w:t>
      </w:r>
      <w:r w:rsidR="009C3C8F" w:rsidRPr="00A82D21">
        <w:rPr>
          <w:szCs w:val="24"/>
          <w:lang w:val="fr-CA"/>
        </w:rPr>
        <w:t xml:space="preserve"> 20, </w:t>
      </w:r>
      <w:r w:rsidR="00150C95" w:rsidRPr="00A82D21">
        <w:rPr>
          <w:szCs w:val="24"/>
          <w:lang w:val="fr-CA"/>
        </w:rPr>
        <w:t xml:space="preserve">29, </w:t>
      </w:r>
      <w:r w:rsidR="009C3C8F" w:rsidRPr="00A82D21">
        <w:rPr>
          <w:szCs w:val="24"/>
          <w:lang w:val="fr-CA"/>
        </w:rPr>
        <w:t xml:space="preserve">46, </w:t>
      </w:r>
      <w:r w:rsidR="00D8780E" w:rsidRPr="00A82D21">
        <w:rPr>
          <w:szCs w:val="24"/>
          <w:lang w:val="fr-CA"/>
        </w:rPr>
        <w:t xml:space="preserve">76, 77, </w:t>
      </w:r>
      <w:r w:rsidR="004364EA" w:rsidRPr="00A82D21">
        <w:rPr>
          <w:szCs w:val="24"/>
          <w:lang w:val="fr-CA"/>
        </w:rPr>
        <w:t xml:space="preserve">395, </w:t>
      </w:r>
      <w:r w:rsidRPr="00A82D21">
        <w:rPr>
          <w:szCs w:val="24"/>
          <w:lang w:val="fr-CA"/>
        </w:rPr>
        <w:t>402</w:t>
      </w:r>
      <w:r w:rsidR="00DF2DE9" w:rsidRPr="00A82D21">
        <w:rPr>
          <w:szCs w:val="24"/>
          <w:lang w:val="fr-CA"/>
        </w:rPr>
        <w:t>, 1045</w:t>
      </w:r>
      <w:r w:rsidRPr="00A82D21">
        <w:rPr>
          <w:szCs w:val="24"/>
          <w:lang w:val="fr-CA"/>
        </w:rPr>
        <w:t>.</w:t>
      </w:r>
    </w:p>
    <w:p w:rsidR="00FE7363" w:rsidRPr="00A82D21" w:rsidRDefault="005C7193" w:rsidP="007962BB">
      <w:pPr>
        <w:pStyle w:val="SCCNormalDoubleSpacing"/>
        <w:widowControl w:val="0"/>
        <w:spacing w:after="240" w:line="240" w:lineRule="auto"/>
        <w:ind w:left="547" w:hanging="547"/>
        <w:rPr>
          <w:szCs w:val="24"/>
          <w:lang w:val="fr-CA"/>
        </w:rPr>
      </w:pPr>
      <w:r w:rsidRPr="00A82D21">
        <w:rPr>
          <w:i/>
          <w:szCs w:val="24"/>
          <w:lang w:val="fr-CA"/>
        </w:rPr>
        <w:t>Déclaration canadienne des droits</w:t>
      </w:r>
      <w:r w:rsidRPr="00A82D21">
        <w:rPr>
          <w:szCs w:val="24"/>
          <w:lang w:val="fr-CA"/>
        </w:rPr>
        <w:t>, L.R.C. 1985, a</w:t>
      </w:r>
      <w:r w:rsidR="00F21B17" w:rsidRPr="00A82D21">
        <w:rPr>
          <w:szCs w:val="24"/>
          <w:lang w:val="fr-CA"/>
        </w:rPr>
        <w:t>pp.</w:t>
      </w:r>
      <w:r w:rsidR="007962BB" w:rsidRPr="00A82D21">
        <w:rPr>
          <w:szCs w:val="24"/>
          <w:lang w:val="fr-CA"/>
        </w:rPr>
        <w:t xml:space="preserve"> </w:t>
      </w:r>
      <w:r w:rsidRPr="00A82D21">
        <w:rPr>
          <w:szCs w:val="24"/>
          <w:lang w:val="fr-CA"/>
        </w:rPr>
        <w:t xml:space="preserve">III, </w:t>
      </w:r>
      <w:r w:rsidR="00F21B17" w:rsidRPr="00A82D21">
        <w:rPr>
          <w:szCs w:val="24"/>
          <w:lang w:val="fr-CA"/>
        </w:rPr>
        <w:t>art.</w:t>
      </w:r>
      <w:r w:rsidR="007962BB" w:rsidRPr="00A82D21">
        <w:rPr>
          <w:szCs w:val="24"/>
          <w:lang w:val="fr-CA"/>
        </w:rPr>
        <w:t xml:space="preserve"> </w:t>
      </w:r>
      <w:r w:rsidR="00C83573" w:rsidRPr="00A82D21">
        <w:rPr>
          <w:szCs w:val="24"/>
          <w:lang w:val="fr-CA"/>
        </w:rPr>
        <w:t>2</w:t>
      </w:r>
      <w:r w:rsidR="00C83573" w:rsidRPr="00A82D21">
        <w:rPr>
          <w:i/>
          <w:szCs w:val="24"/>
          <w:lang w:val="fr-CA"/>
        </w:rPr>
        <w:t>e</w:t>
      </w:r>
      <w:r w:rsidR="00C83573" w:rsidRPr="00A82D21">
        <w:rPr>
          <w:szCs w:val="24"/>
          <w:lang w:val="fr-CA"/>
        </w:rPr>
        <w:t>).</w:t>
      </w:r>
    </w:p>
    <w:p w:rsidR="00B419B9" w:rsidRPr="00A82D21" w:rsidRDefault="00B419B9" w:rsidP="007962BB">
      <w:pPr>
        <w:pStyle w:val="SCCNormalDoubleSpacing"/>
        <w:widowControl w:val="0"/>
        <w:spacing w:after="240" w:line="240" w:lineRule="auto"/>
        <w:ind w:left="547" w:hanging="547"/>
        <w:rPr>
          <w:szCs w:val="24"/>
          <w:lang w:val="fr-CA"/>
        </w:rPr>
      </w:pPr>
      <w:r w:rsidRPr="00A82D21">
        <w:rPr>
          <w:i/>
          <w:szCs w:val="24"/>
          <w:lang w:val="fr-CA"/>
        </w:rPr>
        <w:t>Loi constitutionnelle de 1867</w:t>
      </w:r>
      <w:r w:rsidRPr="00A82D21">
        <w:rPr>
          <w:szCs w:val="24"/>
          <w:lang w:val="fr-CA"/>
        </w:rPr>
        <w:t xml:space="preserve">, </w:t>
      </w:r>
      <w:r w:rsidR="00F21B17" w:rsidRPr="00A82D21">
        <w:rPr>
          <w:szCs w:val="24"/>
          <w:lang w:val="fr-CA"/>
        </w:rPr>
        <w:t>art.</w:t>
      </w:r>
      <w:r w:rsidR="007962BB" w:rsidRPr="00A82D21">
        <w:rPr>
          <w:szCs w:val="24"/>
          <w:lang w:val="fr-CA"/>
        </w:rPr>
        <w:t xml:space="preserve"> </w:t>
      </w:r>
      <w:r w:rsidRPr="00A82D21">
        <w:rPr>
          <w:szCs w:val="24"/>
          <w:lang w:val="fr-CA"/>
        </w:rPr>
        <w:t>91(27).</w:t>
      </w:r>
    </w:p>
    <w:p w:rsidR="005379D6" w:rsidRPr="00A82D21" w:rsidRDefault="005379D6" w:rsidP="007962BB">
      <w:pPr>
        <w:pStyle w:val="SCCNormalDoubleSpacing"/>
        <w:widowControl w:val="0"/>
        <w:spacing w:after="240" w:line="240" w:lineRule="auto"/>
        <w:ind w:left="547" w:hanging="547"/>
        <w:rPr>
          <w:szCs w:val="24"/>
          <w:lang w:val="fr-CA"/>
        </w:rPr>
      </w:pPr>
      <w:r w:rsidRPr="00A82D21">
        <w:rPr>
          <w:i/>
          <w:szCs w:val="24"/>
          <w:lang w:val="fr-CA"/>
        </w:rPr>
        <w:t>Loi modifiant le Code criminel, la Loi sur la responsabilité civile de l</w:t>
      </w:r>
      <w:r w:rsidR="00D70D07" w:rsidRPr="00A82D21">
        <w:rPr>
          <w:i/>
          <w:szCs w:val="24"/>
          <w:lang w:val="fr-CA"/>
        </w:rPr>
        <w:t>’</w:t>
      </w:r>
      <w:r w:rsidRPr="00A82D21">
        <w:rPr>
          <w:i/>
          <w:szCs w:val="24"/>
          <w:lang w:val="fr-CA"/>
        </w:rPr>
        <w:t>État et le contentieux administratif et la Loi sur la radiocommunication</w:t>
      </w:r>
      <w:r w:rsidR="002D757C" w:rsidRPr="00A82D21">
        <w:rPr>
          <w:szCs w:val="24"/>
          <w:lang w:val="fr-CA"/>
        </w:rPr>
        <w:t>, L.C. 1993, c</w:t>
      </w:r>
      <w:r w:rsidR="007C0D5B" w:rsidRPr="00A82D21">
        <w:rPr>
          <w:szCs w:val="24"/>
          <w:lang w:val="fr-CA"/>
        </w:rPr>
        <w:t>h</w:t>
      </w:r>
      <w:r w:rsidR="002D757C" w:rsidRPr="00A82D21">
        <w:rPr>
          <w:szCs w:val="24"/>
          <w:lang w:val="fr-CA"/>
        </w:rPr>
        <w:t>.</w:t>
      </w:r>
      <w:r w:rsidR="007962BB" w:rsidRPr="00A82D21">
        <w:rPr>
          <w:szCs w:val="24"/>
          <w:lang w:val="fr-CA"/>
        </w:rPr>
        <w:t xml:space="preserve"> </w:t>
      </w:r>
      <w:r w:rsidR="003F3E74" w:rsidRPr="00A82D21">
        <w:rPr>
          <w:szCs w:val="24"/>
          <w:lang w:val="fr-CA"/>
        </w:rPr>
        <w:lastRenderedPageBreak/>
        <w:t xml:space="preserve">40, </w:t>
      </w:r>
      <w:r w:rsidR="00F21B17" w:rsidRPr="00A82D21">
        <w:rPr>
          <w:szCs w:val="24"/>
          <w:lang w:val="fr-CA"/>
        </w:rPr>
        <w:t>art.</w:t>
      </w:r>
      <w:r w:rsidR="007962BB" w:rsidRPr="00A82D21">
        <w:rPr>
          <w:szCs w:val="24"/>
          <w:lang w:val="fr-CA"/>
        </w:rPr>
        <w:t xml:space="preserve"> </w:t>
      </w:r>
      <w:r w:rsidR="003F3E74" w:rsidRPr="00A82D21">
        <w:rPr>
          <w:szCs w:val="24"/>
          <w:lang w:val="fr-CA"/>
        </w:rPr>
        <w:t>10(1</w:t>
      </w:r>
      <w:r w:rsidRPr="00A82D21">
        <w:rPr>
          <w:szCs w:val="24"/>
          <w:lang w:val="fr-CA"/>
        </w:rPr>
        <w:t>).</w:t>
      </w:r>
    </w:p>
    <w:p w:rsidR="004D7D95" w:rsidRPr="00A82D21" w:rsidRDefault="003F4AB9" w:rsidP="007962BB">
      <w:pPr>
        <w:pStyle w:val="SCCNormalDoubleSpacing"/>
        <w:widowControl w:val="0"/>
        <w:spacing w:after="240" w:line="240" w:lineRule="auto"/>
        <w:ind w:left="547" w:hanging="547"/>
        <w:rPr>
          <w:szCs w:val="24"/>
          <w:lang w:val="fr-CA"/>
        </w:rPr>
      </w:pPr>
      <w:r w:rsidRPr="00A82D21">
        <w:rPr>
          <w:i/>
          <w:szCs w:val="24"/>
          <w:lang w:val="fr-CA"/>
        </w:rPr>
        <w:t>Loi sur la concurrence</w:t>
      </w:r>
      <w:r w:rsidRPr="00A82D21">
        <w:rPr>
          <w:szCs w:val="24"/>
          <w:lang w:val="fr-CA"/>
        </w:rPr>
        <w:t xml:space="preserve">, L.R.C. 1985, </w:t>
      </w:r>
      <w:r w:rsidR="00F21B17" w:rsidRPr="00A82D21">
        <w:rPr>
          <w:szCs w:val="24"/>
          <w:lang w:val="fr-CA"/>
        </w:rPr>
        <w:t>ch.</w:t>
      </w:r>
      <w:r w:rsidR="007962BB" w:rsidRPr="00A82D21">
        <w:rPr>
          <w:szCs w:val="24"/>
          <w:lang w:val="fr-CA"/>
        </w:rPr>
        <w:t xml:space="preserve"> </w:t>
      </w:r>
      <w:r w:rsidRPr="00A82D21">
        <w:rPr>
          <w:szCs w:val="24"/>
          <w:lang w:val="fr-CA"/>
        </w:rPr>
        <w:t>C</w:t>
      </w:r>
      <w:r w:rsidR="007962BB" w:rsidRPr="00A82D21">
        <w:rPr>
          <w:szCs w:val="24"/>
          <w:lang w:val="fr-CA"/>
        </w:rPr>
        <w:t>-</w:t>
      </w:r>
      <w:r w:rsidRPr="00A82D21">
        <w:rPr>
          <w:szCs w:val="24"/>
          <w:lang w:val="fr-CA"/>
        </w:rPr>
        <w:t>34</w:t>
      </w:r>
      <w:r w:rsidR="00FE7363" w:rsidRPr="00A82D21">
        <w:rPr>
          <w:szCs w:val="24"/>
          <w:lang w:val="fr-CA"/>
        </w:rPr>
        <w:t xml:space="preserve">, </w:t>
      </w:r>
      <w:r w:rsidR="00F21B17" w:rsidRPr="00A82D21">
        <w:rPr>
          <w:szCs w:val="24"/>
          <w:lang w:val="fr-CA"/>
        </w:rPr>
        <w:t>art.</w:t>
      </w:r>
      <w:r w:rsidR="007962BB" w:rsidRPr="00A82D21">
        <w:rPr>
          <w:szCs w:val="24"/>
          <w:lang w:val="fr-CA"/>
        </w:rPr>
        <w:t xml:space="preserve"> </w:t>
      </w:r>
      <w:r w:rsidR="004D3960" w:rsidRPr="00A82D21">
        <w:rPr>
          <w:szCs w:val="24"/>
          <w:lang w:val="fr-CA"/>
        </w:rPr>
        <w:t xml:space="preserve">29, </w:t>
      </w:r>
      <w:r w:rsidR="00FE7363" w:rsidRPr="00A82D21">
        <w:rPr>
          <w:szCs w:val="24"/>
          <w:lang w:val="fr-CA"/>
        </w:rPr>
        <w:t>36</w:t>
      </w:r>
      <w:r w:rsidRPr="00A82D21">
        <w:rPr>
          <w:szCs w:val="24"/>
          <w:lang w:val="fr-CA"/>
        </w:rPr>
        <w:t>.</w:t>
      </w:r>
    </w:p>
    <w:p w:rsidR="00C545F7" w:rsidRPr="00A82D21" w:rsidRDefault="00C545F7" w:rsidP="007962BB">
      <w:pPr>
        <w:pStyle w:val="SCCNormalDoubleSpacing"/>
        <w:widowControl w:val="0"/>
        <w:spacing w:after="240" w:line="240" w:lineRule="auto"/>
        <w:ind w:left="547" w:hanging="547"/>
        <w:rPr>
          <w:szCs w:val="24"/>
          <w:lang w:val="fr-CA"/>
        </w:rPr>
      </w:pPr>
      <w:r w:rsidRPr="00A82D21">
        <w:rPr>
          <w:i/>
          <w:szCs w:val="24"/>
          <w:lang w:val="fr-CA"/>
        </w:rPr>
        <w:t>Loi sur la Cour suprême</w:t>
      </w:r>
      <w:r w:rsidRPr="00A82D21">
        <w:rPr>
          <w:szCs w:val="24"/>
          <w:lang w:val="fr-CA"/>
        </w:rPr>
        <w:t xml:space="preserve">, L.R.C. 1985, </w:t>
      </w:r>
      <w:r w:rsidR="00F21B17" w:rsidRPr="00A82D21">
        <w:rPr>
          <w:szCs w:val="24"/>
          <w:lang w:val="fr-CA"/>
        </w:rPr>
        <w:t>ch.</w:t>
      </w:r>
      <w:r w:rsidR="007962BB" w:rsidRPr="00A82D21">
        <w:rPr>
          <w:szCs w:val="24"/>
          <w:lang w:val="fr-CA"/>
        </w:rPr>
        <w:t xml:space="preserve"> </w:t>
      </w:r>
      <w:r w:rsidRPr="00A82D21">
        <w:rPr>
          <w:szCs w:val="24"/>
          <w:lang w:val="fr-CA"/>
        </w:rPr>
        <w:t>S</w:t>
      </w:r>
      <w:r w:rsidR="007962BB" w:rsidRPr="00A82D21">
        <w:rPr>
          <w:szCs w:val="24"/>
          <w:lang w:val="fr-CA"/>
        </w:rPr>
        <w:t>-</w:t>
      </w:r>
      <w:r w:rsidRPr="00A82D21">
        <w:rPr>
          <w:szCs w:val="24"/>
          <w:lang w:val="fr-CA"/>
        </w:rPr>
        <w:t xml:space="preserve">26, </w:t>
      </w:r>
      <w:r w:rsidR="00F21B17" w:rsidRPr="00A82D21">
        <w:rPr>
          <w:szCs w:val="24"/>
          <w:lang w:val="fr-CA"/>
        </w:rPr>
        <w:t>art.</w:t>
      </w:r>
      <w:r w:rsidR="007962BB" w:rsidRPr="00A82D21">
        <w:rPr>
          <w:szCs w:val="24"/>
          <w:lang w:val="fr-CA"/>
        </w:rPr>
        <w:t xml:space="preserve"> </w:t>
      </w:r>
      <w:r w:rsidRPr="00A82D21">
        <w:rPr>
          <w:szCs w:val="24"/>
          <w:lang w:val="fr-CA"/>
        </w:rPr>
        <w:t>40(1).</w:t>
      </w:r>
    </w:p>
    <w:p w:rsidR="003F4AB9" w:rsidRPr="00A82D21" w:rsidRDefault="00925DD3" w:rsidP="007962BB">
      <w:pPr>
        <w:pStyle w:val="SCCNormalDoubleSpacing"/>
        <w:widowControl w:val="0"/>
        <w:spacing w:after="240" w:line="240" w:lineRule="auto"/>
        <w:ind w:left="547" w:hanging="547"/>
        <w:rPr>
          <w:szCs w:val="24"/>
          <w:lang w:val="fr-CA"/>
        </w:rPr>
      </w:pPr>
      <w:r w:rsidRPr="00A82D21">
        <w:rPr>
          <w:i/>
          <w:szCs w:val="24"/>
          <w:lang w:val="fr-CA"/>
        </w:rPr>
        <w:t>Loi sur le Service canadien du renseignement de sécurité</w:t>
      </w:r>
      <w:r w:rsidRPr="00A82D21">
        <w:rPr>
          <w:szCs w:val="24"/>
          <w:lang w:val="fr-CA"/>
        </w:rPr>
        <w:t xml:space="preserve">, L.R.C. 1985, </w:t>
      </w:r>
      <w:r w:rsidR="00F21B17" w:rsidRPr="00A82D21">
        <w:rPr>
          <w:szCs w:val="24"/>
          <w:lang w:val="fr-CA"/>
        </w:rPr>
        <w:t>ch.</w:t>
      </w:r>
      <w:r w:rsidR="007962BB" w:rsidRPr="00A82D21">
        <w:rPr>
          <w:szCs w:val="24"/>
          <w:lang w:val="fr-CA"/>
        </w:rPr>
        <w:t xml:space="preserve"> </w:t>
      </w:r>
      <w:r w:rsidRPr="00A82D21">
        <w:rPr>
          <w:szCs w:val="24"/>
          <w:lang w:val="fr-CA"/>
        </w:rPr>
        <w:t>C</w:t>
      </w:r>
      <w:r w:rsidR="007962BB" w:rsidRPr="00A82D21">
        <w:rPr>
          <w:szCs w:val="24"/>
          <w:lang w:val="fr-CA"/>
        </w:rPr>
        <w:t>-</w:t>
      </w:r>
      <w:r w:rsidRPr="00A82D21">
        <w:rPr>
          <w:szCs w:val="24"/>
          <w:lang w:val="fr-CA"/>
        </w:rPr>
        <w:t xml:space="preserve">23, </w:t>
      </w:r>
      <w:r w:rsidR="00F21B17" w:rsidRPr="00A82D21">
        <w:rPr>
          <w:szCs w:val="24"/>
          <w:lang w:val="fr-CA"/>
        </w:rPr>
        <w:t>art.</w:t>
      </w:r>
      <w:r w:rsidR="007962BB" w:rsidRPr="00A82D21">
        <w:rPr>
          <w:szCs w:val="24"/>
          <w:lang w:val="fr-CA"/>
        </w:rPr>
        <w:t xml:space="preserve"> </w:t>
      </w:r>
      <w:r w:rsidRPr="00A82D21">
        <w:rPr>
          <w:szCs w:val="24"/>
          <w:lang w:val="fr-CA"/>
        </w:rPr>
        <w:t>12</w:t>
      </w:r>
      <w:r w:rsidR="00641CCD" w:rsidRPr="00A82D21">
        <w:rPr>
          <w:szCs w:val="24"/>
          <w:lang w:val="fr-CA"/>
        </w:rPr>
        <w:t>, 21</w:t>
      </w:r>
      <w:r w:rsidRPr="00A82D21">
        <w:rPr>
          <w:szCs w:val="24"/>
          <w:lang w:val="fr-CA"/>
        </w:rPr>
        <w:t>.</w:t>
      </w:r>
    </w:p>
    <w:p w:rsidR="0086305B" w:rsidRPr="00A82D21" w:rsidRDefault="00105564" w:rsidP="007962BB">
      <w:pPr>
        <w:pStyle w:val="SCCNormalDoubleSpacing"/>
        <w:widowControl w:val="0"/>
        <w:spacing w:after="240" w:line="240" w:lineRule="auto"/>
        <w:ind w:left="547" w:hanging="547"/>
        <w:rPr>
          <w:szCs w:val="24"/>
          <w:lang w:val="fr-CA"/>
        </w:rPr>
      </w:pPr>
      <w:r w:rsidRPr="00A82D21">
        <w:rPr>
          <w:i/>
          <w:szCs w:val="24"/>
          <w:lang w:val="fr-CA"/>
        </w:rPr>
        <w:t>Règles de procédure civile</w:t>
      </w:r>
      <w:r w:rsidRPr="00A82D21">
        <w:rPr>
          <w:szCs w:val="24"/>
          <w:lang w:val="fr-CA"/>
        </w:rPr>
        <w:t>, R.R.O. 1990, Règl. 194.</w:t>
      </w:r>
      <w:r w:rsidR="0086305B" w:rsidRPr="00A82D21">
        <w:rPr>
          <w:szCs w:val="24"/>
          <w:lang w:val="fr-CA"/>
        </w:rPr>
        <w:t xml:space="preserve"> </w:t>
      </w:r>
    </w:p>
    <w:p w:rsidR="0086305B" w:rsidRPr="00A82D21" w:rsidRDefault="0086305B" w:rsidP="00F618C1">
      <w:pPr>
        <w:pStyle w:val="SCCNormalDoubleSpacing"/>
        <w:widowControl w:val="0"/>
        <w:spacing w:after="240" w:line="240" w:lineRule="auto"/>
        <w:ind w:left="547" w:hanging="547"/>
        <w:rPr>
          <w:szCs w:val="24"/>
        </w:rPr>
      </w:pPr>
      <w:proofErr w:type="gramStart"/>
      <w:r w:rsidRPr="00A82D21">
        <w:rPr>
          <w:i/>
          <w:szCs w:val="24"/>
        </w:rPr>
        <w:t>Regulation of Investigatory Powers Act 2000</w:t>
      </w:r>
      <w:r w:rsidRPr="00A82D21">
        <w:rPr>
          <w:szCs w:val="24"/>
        </w:rPr>
        <w:t xml:space="preserve"> (</w:t>
      </w:r>
      <w:r w:rsidR="00840F92" w:rsidRPr="00A82D21">
        <w:rPr>
          <w:szCs w:val="24"/>
        </w:rPr>
        <w:t>R.-U.</w:t>
      </w:r>
      <w:r w:rsidRPr="00A82D21">
        <w:rPr>
          <w:szCs w:val="24"/>
        </w:rPr>
        <w:t>), 2000, c</w:t>
      </w:r>
      <w:r w:rsidR="007C0D5B" w:rsidRPr="00A82D21">
        <w:rPr>
          <w:szCs w:val="24"/>
        </w:rPr>
        <w:t>h</w:t>
      </w:r>
      <w:r w:rsidRPr="00A82D21">
        <w:rPr>
          <w:szCs w:val="24"/>
        </w:rPr>
        <w:t>.</w:t>
      </w:r>
      <w:r w:rsidR="007962BB" w:rsidRPr="00A82D21">
        <w:rPr>
          <w:szCs w:val="24"/>
        </w:rPr>
        <w:t xml:space="preserve"> </w:t>
      </w:r>
      <w:r w:rsidRPr="00A82D21">
        <w:rPr>
          <w:szCs w:val="24"/>
        </w:rPr>
        <w:t xml:space="preserve">23, </w:t>
      </w:r>
      <w:r w:rsidR="007C0D5B" w:rsidRPr="00A82D21">
        <w:rPr>
          <w:szCs w:val="24"/>
        </w:rPr>
        <w:t>art</w:t>
      </w:r>
      <w:r w:rsidRPr="00A82D21">
        <w:rPr>
          <w:szCs w:val="24"/>
        </w:rPr>
        <w:t>.</w:t>
      </w:r>
      <w:proofErr w:type="gramEnd"/>
      <w:r w:rsidR="007962BB" w:rsidRPr="00A82D21">
        <w:rPr>
          <w:szCs w:val="24"/>
        </w:rPr>
        <w:t xml:space="preserve"> </w:t>
      </w:r>
      <w:proofErr w:type="gramStart"/>
      <w:r w:rsidRPr="00A82D21">
        <w:rPr>
          <w:szCs w:val="24"/>
        </w:rPr>
        <w:t>17, 18.</w:t>
      </w:r>
      <w:proofErr w:type="gramEnd"/>
    </w:p>
    <w:p w:rsidR="0086305B" w:rsidRPr="00A82D21" w:rsidRDefault="0086305B" w:rsidP="007962BB">
      <w:pPr>
        <w:pStyle w:val="SCCNormalDoubleSpacing"/>
        <w:widowControl w:val="0"/>
        <w:spacing w:after="720" w:line="240" w:lineRule="auto"/>
        <w:ind w:left="540" w:hanging="540"/>
        <w:rPr>
          <w:szCs w:val="24"/>
        </w:rPr>
      </w:pPr>
      <w:proofErr w:type="gramStart"/>
      <w:r w:rsidRPr="00A82D21">
        <w:rPr>
          <w:i/>
          <w:iCs/>
          <w:szCs w:val="24"/>
        </w:rPr>
        <w:t>Supreme Court Rules</w:t>
      </w:r>
      <w:r w:rsidRPr="00A82D21">
        <w:rPr>
          <w:szCs w:val="24"/>
        </w:rPr>
        <w:t xml:space="preserve">, B.C. Reg. 310/76, </w:t>
      </w:r>
      <w:r w:rsidR="007C0D5B" w:rsidRPr="00A82D21">
        <w:rPr>
          <w:szCs w:val="24"/>
        </w:rPr>
        <w:t>règle</w:t>
      </w:r>
      <w:r w:rsidR="007962BB" w:rsidRPr="00A82D21">
        <w:rPr>
          <w:szCs w:val="24"/>
        </w:rPr>
        <w:t xml:space="preserve"> </w:t>
      </w:r>
      <w:r w:rsidRPr="00A82D21">
        <w:rPr>
          <w:szCs w:val="24"/>
        </w:rPr>
        <w:t>26(11).</w:t>
      </w:r>
      <w:proofErr w:type="gramEnd"/>
    </w:p>
    <w:p w:rsidR="004D7D95" w:rsidRPr="00A82D21" w:rsidRDefault="004D7D95" w:rsidP="007962BB">
      <w:pPr>
        <w:pStyle w:val="SCCNormalDoubleSpacing"/>
        <w:widowControl w:val="0"/>
        <w:spacing w:after="720" w:line="240" w:lineRule="auto"/>
        <w:rPr>
          <w:b/>
          <w:szCs w:val="24"/>
          <w:lang w:val="fr-CA"/>
        </w:rPr>
      </w:pPr>
      <w:r w:rsidRPr="00A82D21">
        <w:rPr>
          <w:b/>
          <w:szCs w:val="24"/>
          <w:lang w:val="fr-CA"/>
        </w:rPr>
        <w:t>Doctrine et autres documents cités</w:t>
      </w:r>
    </w:p>
    <w:p w:rsidR="00D958C8" w:rsidRPr="00A82D21" w:rsidRDefault="00D958C8" w:rsidP="007962BB">
      <w:pPr>
        <w:pStyle w:val="SCCNormalDoubleSpacing"/>
        <w:widowControl w:val="0"/>
        <w:spacing w:after="240" w:line="240" w:lineRule="auto"/>
        <w:ind w:left="540" w:hanging="540"/>
        <w:rPr>
          <w:szCs w:val="24"/>
          <w:lang w:val="fr-CA"/>
        </w:rPr>
      </w:pPr>
      <w:r w:rsidRPr="00A82D21">
        <w:rPr>
          <w:szCs w:val="24"/>
          <w:lang w:val="fr-CA"/>
        </w:rPr>
        <w:t>Baudouin, Jean</w:t>
      </w:r>
      <w:r w:rsidR="007962BB" w:rsidRPr="00A82D21">
        <w:rPr>
          <w:szCs w:val="24"/>
          <w:lang w:val="fr-CA"/>
        </w:rPr>
        <w:t>-</w:t>
      </w:r>
      <w:r w:rsidRPr="00A82D21">
        <w:rPr>
          <w:szCs w:val="24"/>
          <w:lang w:val="fr-CA"/>
        </w:rPr>
        <w:t xml:space="preserve">Louis.  </w:t>
      </w:r>
      <w:r w:rsidRPr="00A82D21">
        <w:rPr>
          <w:i/>
          <w:szCs w:val="24"/>
          <w:lang w:val="fr-CA"/>
        </w:rPr>
        <w:t>Secret professionnel et droit au secret dans le droit de la preuve</w:t>
      </w:r>
      <w:r w:rsidR="007962BB" w:rsidRPr="00A82D21">
        <w:rPr>
          <w:i/>
          <w:szCs w:val="24"/>
          <w:lang w:val="fr-CA"/>
        </w:rPr>
        <w:t> :</w:t>
      </w:r>
      <w:r w:rsidRPr="00A82D21">
        <w:rPr>
          <w:i/>
          <w:szCs w:val="24"/>
          <w:lang w:val="fr-CA"/>
        </w:rPr>
        <w:t xml:space="preserve"> Étude de Droit Québecois comparé au Droit Français et à la Common</w:t>
      </w:r>
      <w:r w:rsidR="007962BB" w:rsidRPr="00A82D21">
        <w:rPr>
          <w:i/>
          <w:szCs w:val="24"/>
          <w:lang w:val="fr-CA"/>
        </w:rPr>
        <w:t>-</w:t>
      </w:r>
      <w:r w:rsidRPr="00A82D21">
        <w:rPr>
          <w:i/>
          <w:szCs w:val="24"/>
          <w:lang w:val="fr-CA"/>
        </w:rPr>
        <w:t>Law</w:t>
      </w:r>
      <w:r w:rsidRPr="00A82D21">
        <w:rPr>
          <w:szCs w:val="24"/>
          <w:lang w:val="fr-CA"/>
        </w:rPr>
        <w:t>.  Paris</w:t>
      </w:r>
      <w:r w:rsidR="007962BB" w:rsidRPr="00A82D21">
        <w:rPr>
          <w:szCs w:val="24"/>
          <w:lang w:val="fr-CA"/>
        </w:rPr>
        <w:t> :</w:t>
      </w:r>
      <w:r w:rsidRPr="00A82D21">
        <w:rPr>
          <w:szCs w:val="24"/>
          <w:lang w:val="fr-CA"/>
        </w:rPr>
        <w:t xml:space="preserve"> L.G.D.J., 1965.</w:t>
      </w:r>
    </w:p>
    <w:p w:rsidR="00D958C8" w:rsidRPr="00A82D21" w:rsidRDefault="0025530F" w:rsidP="007962BB">
      <w:pPr>
        <w:pStyle w:val="SCCNormalDoubleSpacing"/>
        <w:widowControl w:val="0"/>
        <w:spacing w:after="240" w:line="240" w:lineRule="auto"/>
        <w:ind w:left="540" w:hanging="540"/>
        <w:rPr>
          <w:szCs w:val="24"/>
          <w:lang w:val="fr-CA"/>
        </w:rPr>
      </w:pPr>
      <w:r w:rsidRPr="00A82D21">
        <w:rPr>
          <w:szCs w:val="24"/>
          <w:lang w:val="fr-CA"/>
        </w:rPr>
        <w:t>Bellemare,</w:t>
      </w:r>
      <w:r w:rsidR="00790EBB" w:rsidRPr="00A82D21">
        <w:rPr>
          <w:szCs w:val="24"/>
          <w:lang w:val="fr-CA"/>
        </w:rPr>
        <w:t xml:space="preserve"> Daniel</w:t>
      </w:r>
      <w:r w:rsidR="007962BB" w:rsidRPr="00A82D21">
        <w:rPr>
          <w:szCs w:val="24"/>
          <w:lang w:val="fr-CA"/>
        </w:rPr>
        <w:t xml:space="preserve"> </w:t>
      </w:r>
      <w:r w:rsidRPr="00A82D21">
        <w:rPr>
          <w:szCs w:val="24"/>
          <w:lang w:val="fr-CA"/>
        </w:rPr>
        <w:t xml:space="preserve">A.  </w:t>
      </w:r>
      <w:r w:rsidRPr="00A82D21">
        <w:rPr>
          <w:i/>
          <w:szCs w:val="24"/>
          <w:lang w:val="fr-CA"/>
        </w:rPr>
        <w:t>L</w:t>
      </w:r>
      <w:r w:rsidR="00D70D07" w:rsidRPr="00A82D21">
        <w:rPr>
          <w:i/>
          <w:szCs w:val="24"/>
          <w:lang w:val="fr-CA"/>
        </w:rPr>
        <w:t>’</w:t>
      </w:r>
      <w:r w:rsidRPr="00A82D21">
        <w:rPr>
          <w:i/>
          <w:szCs w:val="24"/>
          <w:lang w:val="fr-CA"/>
        </w:rPr>
        <w:t>écoute électronique au Canada</w:t>
      </w:r>
      <w:r w:rsidRPr="00A82D21">
        <w:rPr>
          <w:szCs w:val="24"/>
          <w:lang w:val="fr-CA"/>
        </w:rPr>
        <w:t>.  Cowansville, Qué.</w:t>
      </w:r>
      <w:r w:rsidR="007962BB" w:rsidRPr="00A82D21">
        <w:rPr>
          <w:szCs w:val="24"/>
          <w:lang w:val="fr-CA"/>
        </w:rPr>
        <w:t> :</w:t>
      </w:r>
      <w:r w:rsidRPr="00A82D21">
        <w:rPr>
          <w:szCs w:val="24"/>
          <w:lang w:val="fr-CA"/>
        </w:rPr>
        <w:t xml:space="preserve"> Yvon Blais, 1981.</w:t>
      </w:r>
    </w:p>
    <w:p w:rsidR="000472E3" w:rsidRPr="00A82D21" w:rsidRDefault="00591E94" w:rsidP="007962BB">
      <w:pPr>
        <w:pStyle w:val="SCCNormalDoubleSpacing"/>
        <w:widowControl w:val="0"/>
        <w:spacing w:after="240" w:line="240" w:lineRule="auto"/>
        <w:ind w:left="540" w:hanging="540"/>
        <w:rPr>
          <w:szCs w:val="24"/>
          <w:lang w:val="en-US"/>
        </w:rPr>
      </w:pPr>
      <w:r w:rsidRPr="00A82D21">
        <w:rPr>
          <w:szCs w:val="24"/>
          <w:lang w:val="en-US"/>
        </w:rPr>
        <w:t>Brown, Henry</w:t>
      </w:r>
      <w:r w:rsidR="007962BB" w:rsidRPr="00A82D21">
        <w:rPr>
          <w:szCs w:val="24"/>
          <w:lang w:val="en-US"/>
        </w:rPr>
        <w:t xml:space="preserve"> </w:t>
      </w:r>
      <w:r w:rsidR="000472E3" w:rsidRPr="00A82D21">
        <w:rPr>
          <w:szCs w:val="24"/>
          <w:lang w:val="en-US"/>
        </w:rPr>
        <w:t xml:space="preserve">S.  </w:t>
      </w:r>
      <w:proofErr w:type="gramStart"/>
      <w:r w:rsidR="000472E3" w:rsidRPr="00A82D21">
        <w:rPr>
          <w:i/>
          <w:szCs w:val="24"/>
          <w:lang w:val="en-US"/>
        </w:rPr>
        <w:t>Supreme Court of Canada Practice 2014</w:t>
      </w:r>
      <w:r w:rsidR="000472E3" w:rsidRPr="00A82D21">
        <w:rPr>
          <w:szCs w:val="24"/>
          <w:lang w:val="en-US"/>
        </w:rPr>
        <w:t>.</w:t>
      </w:r>
      <w:proofErr w:type="gramEnd"/>
      <w:r w:rsidR="000472E3" w:rsidRPr="00A82D21">
        <w:rPr>
          <w:szCs w:val="24"/>
          <w:lang w:val="en-US"/>
        </w:rPr>
        <w:t xml:space="preserve">  Scarborough, Ont</w:t>
      </w:r>
      <w:proofErr w:type="gramStart"/>
      <w:r w:rsidR="000472E3" w:rsidRPr="00A82D21">
        <w:rPr>
          <w:szCs w:val="24"/>
          <w:lang w:val="en-US"/>
        </w:rPr>
        <w:t>.</w:t>
      </w:r>
      <w:r w:rsidR="007962BB" w:rsidRPr="00A82D21">
        <w:rPr>
          <w:szCs w:val="24"/>
          <w:lang w:val="en-US"/>
        </w:rPr>
        <w:t> :</w:t>
      </w:r>
      <w:proofErr w:type="gramEnd"/>
      <w:r w:rsidR="000472E3" w:rsidRPr="00A82D21">
        <w:rPr>
          <w:szCs w:val="24"/>
          <w:lang w:val="en-US"/>
        </w:rPr>
        <w:t xml:space="preserve"> Thomson Professional Publishing Canada, 2013.</w:t>
      </w:r>
    </w:p>
    <w:p w:rsidR="003973DE" w:rsidRPr="00A82D21" w:rsidRDefault="003973DE" w:rsidP="007962BB">
      <w:pPr>
        <w:pStyle w:val="SCCNormalDoubleSpacing"/>
        <w:widowControl w:val="0"/>
        <w:spacing w:after="240" w:line="240" w:lineRule="auto"/>
        <w:ind w:left="540" w:hanging="540"/>
        <w:rPr>
          <w:szCs w:val="24"/>
          <w:lang w:val="fr-CA"/>
        </w:rPr>
      </w:pPr>
      <w:r w:rsidRPr="00A82D21">
        <w:rPr>
          <w:szCs w:val="24"/>
          <w:lang w:val="fr-CA"/>
        </w:rPr>
        <w:t>Côté, Pierre</w:t>
      </w:r>
      <w:r w:rsidR="007962BB" w:rsidRPr="00A82D21">
        <w:rPr>
          <w:szCs w:val="24"/>
          <w:lang w:val="fr-CA"/>
        </w:rPr>
        <w:t>-</w:t>
      </w:r>
      <w:r w:rsidRPr="00A82D21">
        <w:rPr>
          <w:szCs w:val="24"/>
          <w:lang w:val="fr-CA"/>
        </w:rPr>
        <w:t xml:space="preserve">André, avec la collaboration de Stéphane Beaulac et Mathieu Devinat.  </w:t>
      </w:r>
      <w:r w:rsidRPr="00A82D21">
        <w:rPr>
          <w:i/>
          <w:szCs w:val="24"/>
          <w:lang w:val="fr-CA"/>
        </w:rPr>
        <w:t>Interprétation des lois</w:t>
      </w:r>
      <w:r w:rsidRPr="00A82D21">
        <w:rPr>
          <w:szCs w:val="24"/>
          <w:lang w:val="fr-CA"/>
        </w:rPr>
        <w:t>, 4</w:t>
      </w:r>
      <w:r w:rsidRPr="00A82D21">
        <w:rPr>
          <w:szCs w:val="24"/>
          <w:vertAlign w:val="superscript"/>
          <w:lang w:val="fr-CA"/>
        </w:rPr>
        <w:t>e</w:t>
      </w:r>
      <w:r w:rsidRPr="00A82D21">
        <w:rPr>
          <w:szCs w:val="24"/>
          <w:lang w:val="fr-CA"/>
        </w:rPr>
        <w:t xml:space="preserve"> éd.  Montréal</w:t>
      </w:r>
      <w:r w:rsidR="007962BB" w:rsidRPr="00A82D21">
        <w:rPr>
          <w:szCs w:val="24"/>
          <w:lang w:val="fr-CA"/>
        </w:rPr>
        <w:t> :</w:t>
      </w:r>
      <w:r w:rsidRPr="00A82D21">
        <w:rPr>
          <w:szCs w:val="24"/>
          <w:lang w:val="fr-CA"/>
        </w:rPr>
        <w:t xml:space="preserve"> Thémis, 2009.</w:t>
      </w:r>
    </w:p>
    <w:p w:rsidR="00427EFF" w:rsidRPr="00A82D21" w:rsidRDefault="00427EFF" w:rsidP="007962BB">
      <w:pPr>
        <w:pStyle w:val="SCCNormalDoubleSpacing"/>
        <w:widowControl w:val="0"/>
        <w:spacing w:after="240" w:line="240" w:lineRule="auto"/>
        <w:ind w:left="540" w:hanging="540"/>
        <w:rPr>
          <w:szCs w:val="24"/>
          <w:lang w:val="fr-CA"/>
        </w:rPr>
      </w:pPr>
      <w:r w:rsidRPr="00A82D21">
        <w:rPr>
          <w:szCs w:val="24"/>
          <w:lang w:val="en-US"/>
        </w:rPr>
        <w:t>Driedger, Elmer</w:t>
      </w:r>
      <w:r w:rsidR="007962BB" w:rsidRPr="00A82D21">
        <w:rPr>
          <w:szCs w:val="24"/>
          <w:lang w:val="en-US"/>
        </w:rPr>
        <w:t xml:space="preserve"> </w:t>
      </w:r>
      <w:r w:rsidRPr="00A82D21">
        <w:rPr>
          <w:szCs w:val="24"/>
          <w:lang w:val="en-US"/>
        </w:rPr>
        <w:t xml:space="preserve">A.  </w:t>
      </w:r>
      <w:r w:rsidRPr="00A82D21">
        <w:rPr>
          <w:i/>
          <w:szCs w:val="24"/>
          <w:lang w:val="en-US"/>
        </w:rPr>
        <w:t>Construction of Statutes</w:t>
      </w:r>
      <w:r w:rsidRPr="00A82D21">
        <w:rPr>
          <w:szCs w:val="24"/>
          <w:lang w:val="en-US"/>
        </w:rPr>
        <w:t xml:space="preserve">, 2nd </w:t>
      </w:r>
      <w:proofErr w:type="gramStart"/>
      <w:r w:rsidRPr="00A82D21">
        <w:rPr>
          <w:szCs w:val="24"/>
          <w:lang w:val="en-US"/>
        </w:rPr>
        <w:t>ed</w:t>
      </w:r>
      <w:proofErr w:type="gramEnd"/>
      <w:r w:rsidRPr="00A82D21">
        <w:rPr>
          <w:szCs w:val="24"/>
          <w:lang w:val="en-US"/>
        </w:rPr>
        <w:t xml:space="preserve">.  </w:t>
      </w:r>
      <w:r w:rsidRPr="00A82D21">
        <w:rPr>
          <w:szCs w:val="24"/>
          <w:lang w:val="fr-CA"/>
        </w:rPr>
        <w:t>Toronto</w:t>
      </w:r>
      <w:r w:rsidR="007962BB" w:rsidRPr="00A82D21">
        <w:rPr>
          <w:szCs w:val="24"/>
          <w:lang w:val="fr-CA"/>
        </w:rPr>
        <w:t> :</w:t>
      </w:r>
      <w:r w:rsidRPr="00A82D21">
        <w:rPr>
          <w:szCs w:val="24"/>
          <w:lang w:val="fr-CA"/>
        </w:rPr>
        <w:t xml:space="preserve"> Butterworths, 1983.</w:t>
      </w:r>
    </w:p>
    <w:p w:rsidR="006644DA" w:rsidRPr="00A82D21" w:rsidRDefault="006644DA" w:rsidP="007962BB">
      <w:pPr>
        <w:pStyle w:val="SCCNormalDoubleSpacing"/>
        <w:widowControl w:val="0"/>
        <w:spacing w:after="240" w:line="240" w:lineRule="auto"/>
        <w:ind w:left="540" w:hanging="540"/>
        <w:rPr>
          <w:szCs w:val="24"/>
          <w:lang w:val="fr-CA"/>
        </w:rPr>
      </w:pPr>
      <w:r w:rsidRPr="00A82D21">
        <w:rPr>
          <w:szCs w:val="24"/>
          <w:lang w:val="fr-CA"/>
        </w:rPr>
        <w:t xml:space="preserve">Ducharme, Léo.  </w:t>
      </w:r>
      <w:r w:rsidR="003D19FF" w:rsidRPr="00A82D21">
        <w:rPr>
          <w:szCs w:val="24"/>
          <w:lang w:val="fr-CA"/>
        </w:rPr>
        <w:t>« </w:t>
      </w:r>
      <w:r w:rsidRPr="00A82D21">
        <w:rPr>
          <w:szCs w:val="24"/>
          <w:lang w:val="fr-CA"/>
        </w:rPr>
        <w:t>Rapports canadiens — première partie</w:t>
      </w:r>
      <w:r w:rsidR="007962BB" w:rsidRPr="00A82D21">
        <w:rPr>
          <w:szCs w:val="24"/>
          <w:lang w:val="fr-CA"/>
        </w:rPr>
        <w:t> :</w:t>
      </w:r>
      <w:r w:rsidRPr="00A82D21">
        <w:rPr>
          <w:szCs w:val="24"/>
          <w:lang w:val="fr-CA"/>
        </w:rPr>
        <w:t xml:space="preserve"> la vérité et la législation sur la procédure civile en droit québécois</w:t>
      </w:r>
      <w:r w:rsidR="003D19FF" w:rsidRPr="00A82D21">
        <w:rPr>
          <w:szCs w:val="24"/>
          <w:lang w:val="fr-CA"/>
        </w:rPr>
        <w:t> »</w:t>
      </w:r>
      <w:r w:rsidRPr="00A82D21">
        <w:rPr>
          <w:szCs w:val="24"/>
          <w:lang w:val="fr-CA"/>
        </w:rPr>
        <w:t xml:space="preserve">, dans </w:t>
      </w:r>
      <w:r w:rsidR="005551AC" w:rsidRPr="00A82D21">
        <w:rPr>
          <w:i/>
          <w:szCs w:val="24"/>
          <w:lang w:val="fr-CA"/>
        </w:rPr>
        <w:t>Travaux de l</w:t>
      </w:r>
      <w:r w:rsidR="00D70D07" w:rsidRPr="00A82D21">
        <w:rPr>
          <w:i/>
          <w:szCs w:val="24"/>
          <w:lang w:val="fr-CA"/>
        </w:rPr>
        <w:t>’</w:t>
      </w:r>
      <w:r w:rsidR="005551AC" w:rsidRPr="00A82D21">
        <w:rPr>
          <w:i/>
          <w:szCs w:val="24"/>
          <w:lang w:val="fr-CA"/>
        </w:rPr>
        <w:t>A</w:t>
      </w:r>
      <w:r w:rsidRPr="00A82D21">
        <w:rPr>
          <w:i/>
          <w:szCs w:val="24"/>
          <w:lang w:val="fr-CA"/>
        </w:rPr>
        <w:t>ssociation Henri Capitant des amis de la culture</w:t>
      </w:r>
      <w:r w:rsidR="0016482F" w:rsidRPr="00A82D21">
        <w:rPr>
          <w:i/>
          <w:szCs w:val="24"/>
          <w:lang w:val="fr-CA"/>
        </w:rPr>
        <w:t xml:space="preserve"> juridique française</w:t>
      </w:r>
      <w:r w:rsidRPr="00A82D21">
        <w:rPr>
          <w:szCs w:val="24"/>
          <w:lang w:val="fr-CA"/>
        </w:rPr>
        <w:t>,</w:t>
      </w:r>
      <w:r w:rsidR="005F7B51" w:rsidRPr="00A82D21">
        <w:rPr>
          <w:szCs w:val="24"/>
          <w:lang w:val="fr-CA"/>
        </w:rPr>
        <w:t xml:space="preserve"> t.</w:t>
      </w:r>
      <w:r w:rsidR="007962BB" w:rsidRPr="00A82D21">
        <w:rPr>
          <w:szCs w:val="24"/>
          <w:lang w:val="fr-CA"/>
        </w:rPr>
        <w:t xml:space="preserve"> </w:t>
      </w:r>
      <w:r w:rsidRPr="00A82D21">
        <w:rPr>
          <w:szCs w:val="24"/>
          <w:lang w:val="fr-CA"/>
        </w:rPr>
        <w:t xml:space="preserve">38, </w:t>
      </w:r>
      <w:r w:rsidRPr="00A82D21">
        <w:rPr>
          <w:i/>
          <w:szCs w:val="24"/>
          <w:lang w:val="fr-CA"/>
        </w:rPr>
        <w:t>La vérité et le droit — Journées canadiennes</w:t>
      </w:r>
      <w:r w:rsidRPr="00A82D21">
        <w:rPr>
          <w:szCs w:val="24"/>
          <w:lang w:val="fr-CA"/>
        </w:rPr>
        <w:t>.  Paris</w:t>
      </w:r>
      <w:r w:rsidR="007962BB" w:rsidRPr="00A82D21">
        <w:rPr>
          <w:szCs w:val="24"/>
          <w:lang w:val="fr-CA"/>
        </w:rPr>
        <w:t> :</w:t>
      </w:r>
      <w:r w:rsidRPr="00A82D21">
        <w:rPr>
          <w:szCs w:val="24"/>
          <w:lang w:val="fr-CA"/>
        </w:rPr>
        <w:t xml:space="preserve"> Économica, 1987, 657.</w:t>
      </w:r>
    </w:p>
    <w:p w:rsidR="006644DA" w:rsidRPr="00A82D21" w:rsidRDefault="006644DA" w:rsidP="007962BB">
      <w:pPr>
        <w:pStyle w:val="SCCNormalDoubleSpacing"/>
        <w:widowControl w:val="0"/>
        <w:spacing w:after="240" w:line="240" w:lineRule="auto"/>
        <w:ind w:left="540" w:hanging="540"/>
        <w:rPr>
          <w:szCs w:val="24"/>
          <w:lang w:val="fr-CA"/>
        </w:rPr>
      </w:pPr>
      <w:r w:rsidRPr="00A82D21">
        <w:rPr>
          <w:szCs w:val="24"/>
          <w:lang w:val="fr-CA"/>
        </w:rPr>
        <w:t>Ducharme, Léo, et Charles</w:t>
      </w:r>
      <w:r w:rsidR="007962BB" w:rsidRPr="00A82D21">
        <w:rPr>
          <w:szCs w:val="24"/>
          <w:lang w:val="fr-CA"/>
        </w:rPr>
        <w:t>-</w:t>
      </w:r>
      <w:r w:rsidRPr="00A82D21">
        <w:rPr>
          <w:szCs w:val="24"/>
          <w:lang w:val="fr-CA"/>
        </w:rPr>
        <w:t xml:space="preserve">Maxime Panaccio.  </w:t>
      </w:r>
      <w:r w:rsidRPr="00A82D21">
        <w:rPr>
          <w:i/>
          <w:szCs w:val="24"/>
          <w:lang w:val="fr-CA"/>
        </w:rPr>
        <w:t>L</w:t>
      </w:r>
      <w:r w:rsidR="00D70D07" w:rsidRPr="00A82D21">
        <w:rPr>
          <w:i/>
          <w:szCs w:val="24"/>
          <w:lang w:val="fr-CA"/>
        </w:rPr>
        <w:t>’</w:t>
      </w:r>
      <w:r w:rsidRPr="00A82D21">
        <w:rPr>
          <w:i/>
          <w:szCs w:val="24"/>
          <w:lang w:val="fr-CA"/>
        </w:rPr>
        <w:t>administration de la preuve</w:t>
      </w:r>
      <w:r w:rsidRPr="00A82D21">
        <w:rPr>
          <w:szCs w:val="24"/>
          <w:lang w:val="fr-CA"/>
        </w:rPr>
        <w:t>, 4</w:t>
      </w:r>
      <w:r w:rsidRPr="00A82D21">
        <w:rPr>
          <w:szCs w:val="24"/>
          <w:vertAlign w:val="superscript"/>
          <w:lang w:val="fr-CA"/>
        </w:rPr>
        <w:t>e</w:t>
      </w:r>
      <w:r w:rsidRPr="00A82D21">
        <w:rPr>
          <w:szCs w:val="24"/>
          <w:lang w:val="fr-CA"/>
        </w:rPr>
        <w:t xml:space="preserve"> éd.  Montréal</w:t>
      </w:r>
      <w:r w:rsidR="007962BB" w:rsidRPr="00A82D21">
        <w:rPr>
          <w:szCs w:val="24"/>
          <w:lang w:val="fr-CA"/>
        </w:rPr>
        <w:t> :</w:t>
      </w:r>
      <w:r w:rsidRPr="00A82D21">
        <w:rPr>
          <w:szCs w:val="24"/>
          <w:lang w:val="fr-CA"/>
        </w:rPr>
        <w:t xml:space="preserve"> Wilson &amp; Lafleur, 2010.</w:t>
      </w:r>
    </w:p>
    <w:p w:rsidR="00DC3F8D" w:rsidRPr="00A82D21" w:rsidRDefault="0059259E" w:rsidP="007962BB">
      <w:pPr>
        <w:pStyle w:val="SCCNormalDoubleSpacing"/>
        <w:widowControl w:val="0"/>
        <w:spacing w:after="240" w:line="240" w:lineRule="auto"/>
        <w:ind w:left="540" w:hanging="540"/>
        <w:rPr>
          <w:szCs w:val="24"/>
          <w:lang w:val="fr-CA"/>
        </w:rPr>
      </w:pPr>
      <w:r w:rsidRPr="00A82D21">
        <w:rPr>
          <w:szCs w:val="24"/>
          <w:lang w:val="fr-CA"/>
        </w:rPr>
        <w:t xml:space="preserve">Ferland, Denis, et Benoît Emery.  </w:t>
      </w:r>
      <w:r w:rsidRPr="00A82D21">
        <w:rPr>
          <w:i/>
          <w:szCs w:val="24"/>
          <w:lang w:val="fr-CA"/>
        </w:rPr>
        <w:t>Précis de procédure civile du Québec</w:t>
      </w:r>
      <w:r w:rsidRPr="00A82D21">
        <w:rPr>
          <w:szCs w:val="24"/>
          <w:lang w:val="fr-CA"/>
        </w:rPr>
        <w:t xml:space="preserve">, </w:t>
      </w:r>
      <w:r w:rsidR="00F21B17" w:rsidRPr="00A82D21">
        <w:rPr>
          <w:szCs w:val="24"/>
          <w:lang w:val="fr-CA"/>
        </w:rPr>
        <w:t>vol.</w:t>
      </w:r>
      <w:r w:rsidR="007962BB" w:rsidRPr="00A82D21">
        <w:rPr>
          <w:szCs w:val="24"/>
          <w:lang w:val="fr-CA"/>
        </w:rPr>
        <w:t xml:space="preserve"> </w:t>
      </w:r>
      <w:r w:rsidRPr="00A82D21">
        <w:rPr>
          <w:szCs w:val="24"/>
          <w:lang w:val="fr-CA"/>
        </w:rPr>
        <w:t>1, 4</w:t>
      </w:r>
      <w:r w:rsidRPr="00A82D21">
        <w:rPr>
          <w:szCs w:val="24"/>
          <w:vertAlign w:val="superscript"/>
          <w:lang w:val="fr-CA"/>
        </w:rPr>
        <w:t>e</w:t>
      </w:r>
      <w:r w:rsidRPr="00A82D21">
        <w:rPr>
          <w:szCs w:val="24"/>
          <w:lang w:val="fr-CA"/>
        </w:rPr>
        <w:t xml:space="preserve"> éd.</w:t>
      </w:r>
      <w:r w:rsidR="00DC3F8D" w:rsidRPr="00A82D21">
        <w:rPr>
          <w:szCs w:val="24"/>
          <w:lang w:val="fr-CA"/>
        </w:rPr>
        <w:t xml:space="preserve">  </w:t>
      </w:r>
      <w:r w:rsidRPr="00A82D21">
        <w:rPr>
          <w:szCs w:val="24"/>
          <w:lang w:val="fr-CA"/>
        </w:rPr>
        <w:t>Cowansville,</w:t>
      </w:r>
      <w:r w:rsidR="00DC3F8D" w:rsidRPr="00A82D21">
        <w:rPr>
          <w:szCs w:val="24"/>
          <w:lang w:val="fr-CA"/>
        </w:rPr>
        <w:t xml:space="preserve"> Qué.</w:t>
      </w:r>
      <w:r w:rsidR="007962BB" w:rsidRPr="00A82D21">
        <w:rPr>
          <w:szCs w:val="24"/>
          <w:lang w:val="fr-CA"/>
        </w:rPr>
        <w:t> :</w:t>
      </w:r>
      <w:r w:rsidRPr="00A82D21">
        <w:rPr>
          <w:szCs w:val="24"/>
          <w:lang w:val="fr-CA"/>
        </w:rPr>
        <w:t xml:space="preserve"> Yvon Blais, 2003</w:t>
      </w:r>
      <w:r w:rsidR="00DC3F8D" w:rsidRPr="00A82D21">
        <w:rPr>
          <w:szCs w:val="24"/>
          <w:lang w:val="fr-CA"/>
        </w:rPr>
        <w:t>.</w:t>
      </w:r>
    </w:p>
    <w:p w:rsidR="005C02DC" w:rsidRPr="00A82D21" w:rsidRDefault="005C02DC" w:rsidP="007962BB">
      <w:pPr>
        <w:pStyle w:val="SCCNormalDoubleSpacing"/>
        <w:widowControl w:val="0"/>
        <w:spacing w:after="240" w:line="240" w:lineRule="auto"/>
        <w:ind w:left="540" w:hanging="540"/>
        <w:rPr>
          <w:szCs w:val="24"/>
        </w:rPr>
      </w:pPr>
      <w:proofErr w:type="gramStart"/>
      <w:r w:rsidRPr="00A82D21">
        <w:rPr>
          <w:szCs w:val="24"/>
        </w:rPr>
        <w:t>Fishman, Clifford S., and Anne T. McKenna.</w:t>
      </w:r>
      <w:proofErr w:type="gramEnd"/>
      <w:r w:rsidRPr="00A82D21">
        <w:rPr>
          <w:szCs w:val="24"/>
        </w:rPr>
        <w:t xml:space="preserve">  </w:t>
      </w:r>
      <w:r w:rsidRPr="00A82D21">
        <w:rPr>
          <w:i/>
          <w:szCs w:val="24"/>
        </w:rPr>
        <w:t xml:space="preserve">Wiretapping &amp; </w:t>
      </w:r>
      <w:proofErr w:type="gramStart"/>
      <w:r w:rsidRPr="00A82D21">
        <w:rPr>
          <w:i/>
          <w:szCs w:val="24"/>
        </w:rPr>
        <w:t>Eavesdropping</w:t>
      </w:r>
      <w:r w:rsidR="007962BB" w:rsidRPr="00A82D21">
        <w:rPr>
          <w:i/>
          <w:szCs w:val="24"/>
        </w:rPr>
        <w:t> :</w:t>
      </w:r>
      <w:proofErr w:type="gramEnd"/>
      <w:r w:rsidRPr="00A82D21">
        <w:rPr>
          <w:i/>
          <w:szCs w:val="24"/>
        </w:rPr>
        <w:t xml:space="preserve"> Surveillance in the Internet Age</w:t>
      </w:r>
      <w:r w:rsidRPr="00A82D21">
        <w:rPr>
          <w:szCs w:val="24"/>
        </w:rPr>
        <w:t xml:space="preserve">, 3rd ed., </w:t>
      </w:r>
      <w:r w:rsidR="00F21B17" w:rsidRPr="00A82D21">
        <w:rPr>
          <w:szCs w:val="24"/>
        </w:rPr>
        <w:t>vol.</w:t>
      </w:r>
      <w:r w:rsidR="007962BB" w:rsidRPr="00A82D21">
        <w:rPr>
          <w:szCs w:val="24"/>
        </w:rPr>
        <w:t xml:space="preserve"> </w:t>
      </w:r>
      <w:r w:rsidRPr="00A82D21">
        <w:rPr>
          <w:szCs w:val="24"/>
        </w:rPr>
        <w:t>4.  Eagan, Minn</w:t>
      </w:r>
      <w:proofErr w:type="gramStart"/>
      <w:r w:rsidRPr="00A82D21">
        <w:rPr>
          <w:szCs w:val="24"/>
        </w:rPr>
        <w:t>.</w:t>
      </w:r>
      <w:r w:rsidR="007962BB" w:rsidRPr="00A82D21">
        <w:rPr>
          <w:szCs w:val="24"/>
        </w:rPr>
        <w:t> :</w:t>
      </w:r>
      <w:proofErr w:type="gramEnd"/>
      <w:r w:rsidRPr="00A82D21">
        <w:rPr>
          <w:szCs w:val="24"/>
        </w:rPr>
        <w:t xml:space="preserve"> Thomson/West, </w:t>
      </w:r>
      <w:r w:rsidRPr="00A82D21">
        <w:rPr>
          <w:szCs w:val="24"/>
        </w:rPr>
        <w:lastRenderedPageBreak/>
        <w:t>2007 (loose</w:t>
      </w:r>
      <w:r w:rsidR="007962BB" w:rsidRPr="00A82D21">
        <w:rPr>
          <w:szCs w:val="24"/>
        </w:rPr>
        <w:t>-</w:t>
      </w:r>
      <w:r w:rsidRPr="00A82D21">
        <w:rPr>
          <w:szCs w:val="24"/>
        </w:rPr>
        <w:t>leaf updated November 2012</w:t>
      </w:r>
      <w:r w:rsidR="00F618C1" w:rsidRPr="00A82D21">
        <w:rPr>
          <w:szCs w:val="24"/>
        </w:rPr>
        <w:t>)</w:t>
      </w:r>
      <w:r w:rsidRPr="00A82D21">
        <w:rPr>
          <w:szCs w:val="24"/>
        </w:rPr>
        <w:t>.</w:t>
      </w:r>
    </w:p>
    <w:p w:rsidR="0069710A" w:rsidRPr="00A82D21" w:rsidRDefault="0069710A" w:rsidP="007962BB">
      <w:pPr>
        <w:pStyle w:val="SCCNormalDoubleSpacing"/>
        <w:widowControl w:val="0"/>
        <w:spacing w:after="240" w:line="240" w:lineRule="auto"/>
        <w:ind w:left="540" w:hanging="540"/>
        <w:rPr>
          <w:szCs w:val="24"/>
          <w:lang w:val="fr-CA"/>
        </w:rPr>
      </w:pPr>
      <w:r w:rsidRPr="00A82D21">
        <w:rPr>
          <w:szCs w:val="24"/>
          <w:lang w:val="en-US"/>
        </w:rPr>
        <w:t xml:space="preserve">Grammond, </w:t>
      </w:r>
      <w:r w:rsidR="0059259E" w:rsidRPr="00A82D21">
        <w:rPr>
          <w:szCs w:val="24"/>
          <w:lang w:val="en-US"/>
        </w:rPr>
        <w:t>Sébastien</w:t>
      </w:r>
      <w:r w:rsidRPr="00A82D21">
        <w:rPr>
          <w:szCs w:val="24"/>
          <w:lang w:val="en-US"/>
        </w:rPr>
        <w:t xml:space="preserve">. </w:t>
      </w:r>
      <w:r w:rsidR="0059259E" w:rsidRPr="00A82D21">
        <w:rPr>
          <w:szCs w:val="24"/>
          <w:lang w:val="en-US"/>
        </w:rPr>
        <w:t xml:space="preserve"> </w:t>
      </w:r>
      <w:r w:rsidR="003D19FF" w:rsidRPr="00A82D21">
        <w:rPr>
          <w:szCs w:val="24"/>
          <w:lang w:val="fr-CA"/>
        </w:rPr>
        <w:t>« </w:t>
      </w:r>
      <w:r w:rsidR="0059259E" w:rsidRPr="00A82D21">
        <w:rPr>
          <w:szCs w:val="24"/>
          <w:lang w:val="fr-CA"/>
        </w:rPr>
        <w:t>La justice secrète</w:t>
      </w:r>
      <w:r w:rsidR="007962BB" w:rsidRPr="00A82D21">
        <w:rPr>
          <w:szCs w:val="24"/>
          <w:lang w:val="fr-CA"/>
        </w:rPr>
        <w:t> :</w:t>
      </w:r>
      <w:r w:rsidR="0059259E" w:rsidRPr="00A82D21">
        <w:rPr>
          <w:szCs w:val="24"/>
          <w:lang w:val="fr-CA"/>
        </w:rPr>
        <w:t xml:space="preserve"> information c</w:t>
      </w:r>
      <w:r w:rsidRPr="00A82D21">
        <w:rPr>
          <w:szCs w:val="24"/>
          <w:lang w:val="fr-CA"/>
        </w:rPr>
        <w:t>onfidentielle et procès civil</w:t>
      </w:r>
      <w:r w:rsidR="003D19FF" w:rsidRPr="00A82D21">
        <w:rPr>
          <w:szCs w:val="24"/>
          <w:lang w:val="fr-CA"/>
        </w:rPr>
        <w:t> »</w:t>
      </w:r>
      <w:r w:rsidR="0059259E" w:rsidRPr="00A82D21">
        <w:rPr>
          <w:szCs w:val="24"/>
          <w:lang w:val="fr-CA"/>
        </w:rPr>
        <w:t xml:space="preserve"> (1996)</w:t>
      </w:r>
      <w:r w:rsidRPr="00A82D21">
        <w:rPr>
          <w:szCs w:val="24"/>
          <w:lang w:val="fr-CA"/>
        </w:rPr>
        <w:t>,</w:t>
      </w:r>
      <w:r w:rsidR="0059259E" w:rsidRPr="00A82D21">
        <w:rPr>
          <w:szCs w:val="24"/>
          <w:lang w:val="fr-CA"/>
        </w:rPr>
        <w:t xml:space="preserve"> 56 </w:t>
      </w:r>
      <w:r w:rsidR="0059259E" w:rsidRPr="00A82D21">
        <w:rPr>
          <w:i/>
          <w:szCs w:val="24"/>
          <w:lang w:val="fr-CA"/>
        </w:rPr>
        <w:t>R. du B.</w:t>
      </w:r>
      <w:r w:rsidR="0059259E" w:rsidRPr="00A82D21">
        <w:rPr>
          <w:szCs w:val="24"/>
          <w:lang w:val="fr-CA"/>
        </w:rPr>
        <w:t xml:space="preserve"> 437</w:t>
      </w:r>
      <w:r w:rsidRPr="00A82D21">
        <w:rPr>
          <w:szCs w:val="24"/>
          <w:lang w:val="fr-CA"/>
        </w:rPr>
        <w:t>.</w:t>
      </w:r>
    </w:p>
    <w:p w:rsidR="00BA3326" w:rsidRPr="00A82D21" w:rsidRDefault="00591E94" w:rsidP="007962BB">
      <w:pPr>
        <w:pStyle w:val="SCCNormalDoubleSpacing"/>
        <w:widowControl w:val="0"/>
        <w:spacing w:after="240" w:line="240" w:lineRule="auto"/>
        <w:ind w:left="540" w:hanging="540"/>
        <w:rPr>
          <w:szCs w:val="24"/>
          <w:lang w:val="en-US"/>
        </w:rPr>
      </w:pPr>
      <w:r w:rsidRPr="00A82D21">
        <w:rPr>
          <w:szCs w:val="24"/>
          <w:lang w:val="en-US"/>
        </w:rPr>
        <w:t>Hubbard, Robert</w:t>
      </w:r>
      <w:r w:rsidR="007962BB" w:rsidRPr="00A82D21">
        <w:rPr>
          <w:szCs w:val="24"/>
          <w:lang w:val="en-US"/>
        </w:rPr>
        <w:t xml:space="preserve"> </w:t>
      </w:r>
      <w:r w:rsidR="001665BC" w:rsidRPr="00A82D21">
        <w:rPr>
          <w:szCs w:val="24"/>
          <w:lang w:val="en-US"/>
        </w:rPr>
        <w:t>W., Peter M.</w:t>
      </w:r>
      <w:r w:rsidR="007962BB" w:rsidRPr="00A82D21">
        <w:rPr>
          <w:szCs w:val="24"/>
          <w:lang w:val="en-US"/>
        </w:rPr>
        <w:t xml:space="preserve"> </w:t>
      </w:r>
      <w:r w:rsidR="001665BC" w:rsidRPr="00A82D21">
        <w:rPr>
          <w:szCs w:val="24"/>
          <w:lang w:val="en-US"/>
        </w:rPr>
        <w:t>Brauti and Scott</w:t>
      </w:r>
      <w:r w:rsidR="007962BB" w:rsidRPr="00A82D21">
        <w:rPr>
          <w:szCs w:val="24"/>
          <w:lang w:val="en-US"/>
        </w:rPr>
        <w:t xml:space="preserve"> </w:t>
      </w:r>
      <w:r w:rsidR="001665BC" w:rsidRPr="00A82D21">
        <w:rPr>
          <w:szCs w:val="24"/>
          <w:lang w:val="en-US"/>
        </w:rPr>
        <w:t xml:space="preserve">K. Fenton.  </w:t>
      </w:r>
      <w:r w:rsidR="001665BC" w:rsidRPr="00A82D21">
        <w:rPr>
          <w:i/>
          <w:szCs w:val="24"/>
          <w:lang w:val="en-US"/>
        </w:rPr>
        <w:t xml:space="preserve">Wiretapping and Other Electronic </w:t>
      </w:r>
      <w:proofErr w:type="gramStart"/>
      <w:r w:rsidR="001665BC" w:rsidRPr="00A82D21">
        <w:rPr>
          <w:i/>
          <w:szCs w:val="24"/>
          <w:lang w:val="en-US"/>
        </w:rPr>
        <w:t>Surveillance</w:t>
      </w:r>
      <w:r w:rsidR="007962BB" w:rsidRPr="00A82D21">
        <w:rPr>
          <w:i/>
          <w:szCs w:val="24"/>
          <w:lang w:val="en-US"/>
        </w:rPr>
        <w:t> :</w:t>
      </w:r>
      <w:proofErr w:type="gramEnd"/>
      <w:r w:rsidR="001665BC" w:rsidRPr="00A82D21">
        <w:rPr>
          <w:i/>
          <w:szCs w:val="24"/>
          <w:lang w:val="en-US"/>
        </w:rPr>
        <w:t xml:space="preserve"> Law and Procedure</w:t>
      </w:r>
      <w:r w:rsidR="001665BC" w:rsidRPr="00A82D21">
        <w:rPr>
          <w:szCs w:val="24"/>
          <w:lang w:val="en-US"/>
        </w:rPr>
        <w:t xml:space="preserve">, </w:t>
      </w:r>
      <w:r w:rsidR="00F21B17" w:rsidRPr="00A82D21">
        <w:rPr>
          <w:szCs w:val="24"/>
          <w:lang w:val="en-US"/>
        </w:rPr>
        <w:t>vol.</w:t>
      </w:r>
      <w:r w:rsidR="007962BB" w:rsidRPr="00A82D21">
        <w:rPr>
          <w:szCs w:val="24"/>
          <w:lang w:val="en-US"/>
        </w:rPr>
        <w:t xml:space="preserve"> </w:t>
      </w:r>
      <w:r w:rsidR="001665BC" w:rsidRPr="00A82D21">
        <w:rPr>
          <w:szCs w:val="24"/>
          <w:lang w:val="en-US"/>
        </w:rPr>
        <w:t>1.  Aurora, Ont</w:t>
      </w:r>
      <w:proofErr w:type="gramStart"/>
      <w:r w:rsidR="001665BC" w:rsidRPr="00A82D21">
        <w:rPr>
          <w:szCs w:val="24"/>
          <w:lang w:val="en-US"/>
        </w:rPr>
        <w:t>.</w:t>
      </w:r>
      <w:r w:rsidR="007962BB" w:rsidRPr="00A82D21">
        <w:rPr>
          <w:szCs w:val="24"/>
          <w:lang w:val="en-US"/>
        </w:rPr>
        <w:t> :</w:t>
      </w:r>
      <w:proofErr w:type="gramEnd"/>
      <w:r w:rsidR="001665BC" w:rsidRPr="00A82D21">
        <w:rPr>
          <w:szCs w:val="24"/>
          <w:lang w:val="en-US"/>
        </w:rPr>
        <w:t xml:space="preserve"> Canada Law Book, 2000 (loose</w:t>
      </w:r>
      <w:r w:rsidR="007962BB" w:rsidRPr="00A82D21">
        <w:rPr>
          <w:szCs w:val="24"/>
          <w:lang w:val="en-US"/>
        </w:rPr>
        <w:t>-</w:t>
      </w:r>
      <w:r w:rsidR="001665BC" w:rsidRPr="00A82D21">
        <w:rPr>
          <w:szCs w:val="24"/>
          <w:lang w:val="en-US"/>
        </w:rPr>
        <w:t>leaf updated February 2014, release 30).</w:t>
      </w:r>
    </w:p>
    <w:p w:rsidR="00162B6E" w:rsidRPr="00A82D21" w:rsidRDefault="00162B6E" w:rsidP="007962BB">
      <w:pPr>
        <w:pStyle w:val="SCCNormalDoubleSpacing"/>
        <w:widowControl w:val="0"/>
        <w:spacing w:after="240" w:line="240" w:lineRule="auto"/>
        <w:ind w:left="540" w:hanging="540"/>
        <w:rPr>
          <w:szCs w:val="24"/>
          <w:lang w:val="fr-CA"/>
        </w:rPr>
      </w:pPr>
      <w:r w:rsidRPr="00A82D21">
        <w:rPr>
          <w:szCs w:val="24"/>
          <w:lang w:val="fr-CA"/>
        </w:rPr>
        <w:t xml:space="preserve">Marseille, Claude.  </w:t>
      </w:r>
      <w:r w:rsidRPr="00A82D21">
        <w:rPr>
          <w:i/>
          <w:szCs w:val="24"/>
          <w:lang w:val="fr-CA"/>
        </w:rPr>
        <w:t>La règle de la pertinence en droit de la preuve civile québécois</w:t>
      </w:r>
      <w:r w:rsidRPr="00A82D21">
        <w:rPr>
          <w:szCs w:val="24"/>
          <w:lang w:val="fr-CA"/>
        </w:rPr>
        <w:t>.  Cowansville, Qué.</w:t>
      </w:r>
      <w:r w:rsidR="007962BB" w:rsidRPr="00A82D21">
        <w:rPr>
          <w:szCs w:val="24"/>
          <w:lang w:val="fr-CA"/>
        </w:rPr>
        <w:t> :</w:t>
      </w:r>
      <w:r w:rsidRPr="00A82D21">
        <w:rPr>
          <w:szCs w:val="24"/>
          <w:lang w:val="fr-CA"/>
        </w:rPr>
        <w:t xml:space="preserve"> Yvon Blais, 2004.</w:t>
      </w:r>
    </w:p>
    <w:p w:rsidR="00AB4E07" w:rsidRPr="00A82D21" w:rsidRDefault="00AB4E07" w:rsidP="007962BB">
      <w:pPr>
        <w:pStyle w:val="SCCNormalDoubleSpacing"/>
        <w:widowControl w:val="0"/>
        <w:spacing w:after="240" w:line="240" w:lineRule="auto"/>
        <w:ind w:left="540" w:hanging="540"/>
        <w:rPr>
          <w:szCs w:val="24"/>
          <w:lang w:val="fr-CA"/>
        </w:rPr>
      </w:pPr>
      <w:r w:rsidRPr="00A82D21">
        <w:rPr>
          <w:i/>
          <w:szCs w:val="24"/>
          <w:lang w:val="fr-CA"/>
        </w:rPr>
        <w:t>Petit Robert</w:t>
      </w:r>
      <w:r w:rsidR="007962BB" w:rsidRPr="00A82D21">
        <w:rPr>
          <w:i/>
          <w:szCs w:val="24"/>
          <w:lang w:val="fr-CA"/>
        </w:rPr>
        <w:t> :</w:t>
      </w:r>
      <w:r w:rsidRPr="00A82D21">
        <w:rPr>
          <w:i/>
          <w:szCs w:val="24"/>
          <w:lang w:val="fr-CA"/>
        </w:rPr>
        <w:t xml:space="preserve"> dictionnaire alphabétique et analogique de la langue française</w:t>
      </w:r>
      <w:r w:rsidRPr="00A82D21">
        <w:rPr>
          <w:szCs w:val="24"/>
          <w:lang w:val="fr-CA"/>
        </w:rPr>
        <w:t>, nouvelle éd.  Paris</w:t>
      </w:r>
      <w:r w:rsidR="007962BB" w:rsidRPr="00A82D21">
        <w:rPr>
          <w:szCs w:val="24"/>
          <w:lang w:val="fr-CA"/>
        </w:rPr>
        <w:t> :</w:t>
      </w:r>
      <w:r w:rsidRPr="00A82D21">
        <w:rPr>
          <w:szCs w:val="24"/>
          <w:lang w:val="fr-CA"/>
        </w:rPr>
        <w:t xml:space="preserve"> Le Robert, 2012, </w:t>
      </w:r>
      <w:r w:rsidR="003D19FF" w:rsidRPr="00A82D21">
        <w:rPr>
          <w:szCs w:val="24"/>
          <w:lang w:val="fr-CA"/>
        </w:rPr>
        <w:t>« </w:t>
      </w:r>
      <w:r w:rsidRPr="00A82D21">
        <w:rPr>
          <w:szCs w:val="24"/>
          <w:lang w:val="fr-CA"/>
        </w:rPr>
        <w:t>fin</w:t>
      </w:r>
      <w:r w:rsidR="003D19FF" w:rsidRPr="00A82D21">
        <w:rPr>
          <w:szCs w:val="24"/>
          <w:lang w:val="fr-CA"/>
        </w:rPr>
        <w:t> »</w:t>
      </w:r>
      <w:r w:rsidRPr="00A82D21">
        <w:rPr>
          <w:szCs w:val="24"/>
          <w:lang w:val="fr-CA"/>
        </w:rPr>
        <w:t>.</w:t>
      </w:r>
    </w:p>
    <w:p w:rsidR="00135EEF" w:rsidRPr="00A82D21" w:rsidRDefault="00135EEF" w:rsidP="007962BB">
      <w:pPr>
        <w:pStyle w:val="SCCNormalDoubleSpacing"/>
        <w:widowControl w:val="0"/>
        <w:spacing w:after="240" w:line="240" w:lineRule="auto"/>
        <w:ind w:left="547" w:hanging="547"/>
        <w:rPr>
          <w:szCs w:val="24"/>
          <w:lang w:val="fr-CA"/>
        </w:rPr>
      </w:pPr>
      <w:r w:rsidRPr="00A82D21">
        <w:rPr>
          <w:szCs w:val="24"/>
          <w:lang w:val="fr-CA"/>
        </w:rPr>
        <w:t xml:space="preserve">Québec.  Ministère de la Justice.  Comité de révision de la procédure civile.  </w:t>
      </w:r>
      <w:r w:rsidRPr="00A82D21">
        <w:rPr>
          <w:i/>
          <w:szCs w:val="24"/>
          <w:lang w:val="fr-CA"/>
        </w:rPr>
        <w:t>Rapport du Comité de révision de la procédure civile</w:t>
      </w:r>
      <w:r w:rsidR="007962BB" w:rsidRPr="00A82D21">
        <w:rPr>
          <w:i/>
          <w:szCs w:val="24"/>
          <w:lang w:val="fr-CA"/>
        </w:rPr>
        <w:t> :</w:t>
      </w:r>
      <w:r w:rsidRPr="00A82D21">
        <w:rPr>
          <w:i/>
          <w:szCs w:val="24"/>
          <w:lang w:val="fr-CA"/>
        </w:rPr>
        <w:t xml:space="preserve"> une nouvelle culture judiciaire</w:t>
      </w:r>
      <w:r w:rsidRPr="00A82D21">
        <w:rPr>
          <w:szCs w:val="24"/>
          <w:lang w:val="fr-CA"/>
        </w:rPr>
        <w:t>.  Québec</w:t>
      </w:r>
      <w:r w:rsidR="007962BB" w:rsidRPr="00A82D21">
        <w:rPr>
          <w:szCs w:val="24"/>
          <w:lang w:val="fr-CA"/>
        </w:rPr>
        <w:t> :</w:t>
      </w:r>
      <w:r w:rsidRPr="00A82D21">
        <w:rPr>
          <w:szCs w:val="24"/>
          <w:lang w:val="fr-CA"/>
        </w:rPr>
        <w:t xml:space="preserve"> Le Comité, 2001.</w:t>
      </w:r>
    </w:p>
    <w:p w:rsidR="00135EEF" w:rsidRPr="00A82D21" w:rsidRDefault="005550C3" w:rsidP="007962BB">
      <w:pPr>
        <w:pStyle w:val="SCCNormalDoubleSpacing"/>
        <w:widowControl w:val="0"/>
        <w:spacing w:after="240" w:line="240" w:lineRule="auto"/>
        <w:ind w:left="547" w:hanging="547"/>
        <w:rPr>
          <w:szCs w:val="24"/>
          <w:lang w:val="fr-CA"/>
        </w:rPr>
      </w:pPr>
      <w:r w:rsidRPr="00A82D21">
        <w:rPr>
          <w:szCs w:val="24"/>
          <w:lang w:val="fr-CA"/>
        </w:rPr>
        <w:t>Reid, Hubert</w:t>
      </w:r>
      <w:r w:rsidR="003B62EE" w:rsidRPr="00A82D21">
        <w:rPr>
          <w:szCs w:val="24"/>
          <w:lang w:val="fr-CA"/>
        </w:rPr>
        <w:t>, avec la collaboration de Simon Reid</w:t>
      </w:r>
      <w:r w:rsidRPr="00A82D21">
        <w:rPr>
          <w:szCs w:val="24"/>
          <w:lang w:val="fr-CA"/>
        </w:rPr>
        <w:t xml:space="preserve">. </w:t>
      </w:r>
      <w:r w:rsidR="005F1039" w:rsidRPr="00A82D21">
        <w:rPr>
          <w:szCs w:val="24"/>
          <w:lang w:val="fr-CA"/>
        </w:rPr>
        <w:t xml:space="preserve"> </w:t>
      </w:r>
      <w:r w:rsidRPr="00A82D21">
        <w:rPr>
          <w:i/>
          <w:szCs w:val="24"/>
          <w:lang w:val="fr-CA"/>
        </w:rPr>
        <w:t>Dictionnaire de droit québécois et canadien avec table des abréviations et lexique anglais</w:t>
      </w:r>
      <w:r w:rsidR="00114B5E" w:rsidRPr="00A82D21">
        <w:rPr>
          <w:i/>
          <w:szCs w:val="24"/>
          <w:lang w:val="fr-CA"/>
        </w:rPr>
        <w:t>-</w:t>
      </w:r>
      <w:r w:rsidRPr="00A82D21">
        <w:rPr>
          <w:i/>
          <w:szCs w:val="24"/>
          <w:lang w:val="fr-CA"/>
        </w:rPr>
        <w:t>français</w:t>
      </w:r>
      <w:r w:rsidRPr="00A82D21">
        <w:rPr>
          <w:szCs w:val="24"/>
          <w:lang w:val="fr-CA"/>
        </w:rPr>
        <w:t>,</w:t>
      </w:r>
      <w:r w:rsidR="005F1039" w:rsidRPr="00A82D21">
        <w:rPr>
          <w:szCs w:val="24"/>
          <w:lang w:val="fr-CA"/>
        </w:rPr>
        <w:t xml:space="preserve"> </w:t>
      </w:r>
      <w:r w:rsidR="00114B5E" w:rsidRPr="00A82D21">
        <w:rPr>
          <w:szCs w:val="24"/>
          <w:lang w:val="fr-CA"/>
        </w:rPr>
        <w:t>4</w:t>
      </w:r>
      <w:r w:rsidRPr="00A82D21">
        <w:rPr>
          <w:szCs w:val="24"/>
          <w:vertAlign w:val="superscript"/>
          <w:lang w:val="fr-CA"/>
        </w:rPr>
        <w:t>e</w:t>
      </w:r>
      <w:r w:rsidRPr="00A82D21">
        <w:rPr>
          <w:szCs w:val="24"/>
          <w:lang w:val="fr-CA"/>
        </w:rPr>
        <w:t xml:space="preserve"> éd. </w:t>
      </w:r>
      <w:r w:rsidR="005F1039" w:rsidRPr="00A82D21">
        <w:rPr>
          <w:szCs w:val="24"/>
          <w:lang w:val="fr-CA"/>
        </w:rPr>
        <w:t xml:space="preserve"> </w:t>
      </w:r>
      <w:r w:rsidRPr="00A82D21">
        <w:rPr>
          <w:szCs w:val="24"/>
          <w:lang w:val="fr-CA"/>
        </w:rPr>
        <w:t>Montréal</w:t>
      </w:r>
      <w:r w:rsidR="007962BB" w:rsidRPr="00A82D21">
        <w:rPr>
          <w:szCs w:val="24"/>
          <w:lang w:val="fr-CA"/>
        </w:rPr>
        <w:t> :</w:t>
      </w:r>
      <w:r w:rsidRPr="00A82D21">
        <w:rPr>
          <w:szCs w:val="24"/>
          <w:lang w:val="fr-CA"/>
        </w:rPr>
        <w:t xml:space="preserve"> Wilson &amp; Lafleur, 20</w:t>
      </w:r>
      <w:r w:rsidR="005F1039" w:rsidRPr="00A82D21">
        <w:rPr>
          <w:szCs w:val="24"/>
          <w:lang w:val="fr-CA"/>
        </w:rPr>
        <w:t>1</w:t>
      </w:r>
      <w:r w:rsidRPr="00A82D21">
        <w:rPr>
          <w:szCs w:val="24"/>
          <w:lang w:val="fr-CA"/>
        </w:rPr>
        <w:t>0,</w:t>
      </w:r>
      <w:r w:rsidR="005F1039" w:rsidRPr="00A82D21">
        <w:rPr>
          <w:szCs w:val="24"/>
          <w:lang w:val="fr-CA"/>
        </w:rPr>
        <w:t xml:space="preserve"> </w:t>
      </w:r>
      <w:r w:rsidR="003D19FF" w:rsidRPr="00A82D21">
        <w:rPr>
          <w:szCs w:val="24"/>
          <w:lang w:val="fr-CA"/>
        </w:rPr>
        <w:t>« </w:t>
      </w:r>
      <w:r w:rsidR="005F1039" w:rsidRPr="00A82D21">
        <w:rPr>
          <w:szCs w:val="24"/>
          <w:lang w:val="fr-CA"/>
        </w:rPr>
        <w:t>fins</w:t>
      </w:r>
      <w:r w:rsidR="003D19FF" w:rsidRPr="00A82D21">
        <w:rPr>
          <w:szCs w:val="24"/>
          <w:lang w:val="fr-CA"/>
        </w:rPr>
        <w:t> »</w:t>
      </w:r>
      <w:r w:rsidRPr="00A82D21">
        <w:rPr>
          <w:szCs w:val="24"/>
          <w:lang w:val="fr-CA"/>
        </w:rPr>
        <w:t>.</w:t>
      </w:r>
    </w:p>
    <w:p w:rsidR="005551AC" w:rsidRPr="00A82D21" w:rsidRDefault="002820CA" w:rsidP="007962BB">
      <w:pPr>
        <w:pStyle w:val="SCCNormalDoubleSpacing"/>
        <w:widowControl w:val="0"/>
        <w:spacing w:after="240" w:line="240" w:lineRule="auto"/>
        <w:ind w:left="547" w:hanging="547"/>
        <w:rPr>
          <w:szCs w:val="24"/>
          <w:lang w:val="en-US"/>
        </w:rPr>
      </w:pPr>
      <w:r w:rsidRPr="00A82D21">
        <w:rPr>
          <w:szCs w:val="24"/>
          <w:lang w:val="fr-CA"/>
        </w:rPr>
        <w:t>Royer, Jean</w:t>
      </w:r>
      <w:r w:rsidR="007962BB" w:rsidRPr="00A82D21">
        <w:rPr>
          <w:szCs w:val="24"/>
          <w:lang w:val="fr-CA"/>
        </w:rPr>
        <w:t>-</w:t>
      </w:r>
      <w:r w:rsidRPr="00A82D21">
        <w:rPr>
          <w:szCs w:val="24"/>
          <w:lang w:val="fr-CA"/>
        </w:rPr>
        <w:t>Claude, et Sophie Lavallée</w:t>
      </w:r>
      <w:r w:rsidR="005551AC" w:rsidRPr="00A82D21">
        <w:rPr>
          <w:szCs w:val="24"/>
          <w:lang w:val="fr-CA"/>
        </w:rPr>
        <w:t xml:space="preserve">.  </w:t>
      </w:r>
      <w:r w:rsidRPr="00A82D21">
        <w:rPr>
          <w:i/>
          <w:szCs w:val="24"/>
          <w:lang w:val="fr-CA"/>
        </w:rPr>
        <w:t>La preuve civile</w:t>
      </w:r>
      <w:r w:rsidRPr="00A82D21">
        <w:rPr>
          <w:szCs w:val="24"/>
          <w:lang w:val="fr-CA"/>
        </w:rPr>
        <w:t>, 4</w:t>
      </w:r>
      <w:r w:rsidRPr="00A82D21">
        <w:rPr>
          <w:szCs w:val="24"/>
          <w:vertAlign w:val="superscript"/>
          <w:lang w:val="fr-CA"/>
        </w:rPr>
        <w:t>e</w:t>
      </w:r>
      <w:r w:rsidRPr="00A82D21">
        <w:rPr>
          <w:szCs w:val="24"/>
          <w:lang w:val="fr-CA"/>
        </w:rPr>
        <w:t xml:space="preserve"> éd</w:t>
      </w:r>
      <w:r w:rsidR="005551AC" w:rsidRPr="00A82D21">
        <w:rPr>
          <w:szCs w:val="24"/>
          <w:lang w:val="fr-CA"/>
        </w:rPr>
        <w:t xml:space="preserve">. </w:t>
      </w:r>
      <w:r w:rsidRPr="00A82D21">
        <w:rPr>
          <w:szCs w:val="24"/>
          <w:lang w:val="fr-CA"/>
        </w:rPr>
        <w:t xml:space="preserve"> </w:t>
      </w:r>
      <w:r w:rsidRPr="00A82D21">
        <w:rPr>
          <w:szCs w:val="24"/>
          <w:lang w:val="en-US"/>
        </w:rPr>
        <w:t>Cowansville,</w:t>
      </w:r>
      <w:r w:rsidR="005551AC" w:rsidRPr="00A82D21">
        <w:rPr>
          <w:szCs w:val="24"/>
          <w:lang w:val="en-US"/>
        </w:rPr>
        <w:t xml:space="preserve"> Qué.</w:t>
      </w:r>
      <w:r w:rsidR="007962BB" w:rsidRPr="00A82D21">
        <w:rPr>
          <w:szCs w:val="24"/>
          <w:lang w:val="en-US"/>
        </w:rPr>
        <w:t> :</w:t>
      </w:r>
      <w:r w:rsidRPr="00A82D21">
        <w:rPr>
          <w:szCs w:val="24"/>
          <w:lang w:val="en-US"/>
        </w:rPr>
        <w:t xml:space="preserve"> Yvon Blais, </w:t>
      </w:r>
      <w:r w:rsidR="005551AC" w:rsidRPr="00A82D21">
        <w:rPr>
          <w:szCs w:val="24"/>
          <w:lang w:val="en-US"/>
        </w:rPr>
        <w:t>2008.</w:t>
      </w:r>
    </w:p>
    <w:p w:rsidR="00427EFF" w:rsidRPr="00A82D21" w:rsidRDefault="00427EFF" w:rsidP="007962BB">
      <w:pPr>
        <w:pStyle w:val="SCCNormalDoubleSpacing"/>
        <w:widowControl w:val="0"/>
        <w:spacing w:after="240" w:line="240" w:lineRule="auto"/>
        <w:ind w:left="540" w:hanging="540"/>
        <w:rPr>
          <w:szCs w:val="24"/>
          <w:lang w:val="fr-CA"/>
        </w:rPr>
      </w:pPr>
      <w:r w:rsidRPr="00A82D21">
        <w:rPr>
          <w:szCs w:val="24"/>
          <w:lang w:val="en-US"/>
        </w:rPr>
        <w:t xml:space="preserve">Sullivan, Ruth.  </w:t>
      </w:r>
      <w:r w:rsidRPr="00A82D21">
        <w:rPr>
          <w:i/>
          <w:szCs w:val="24"/>
          <w:lang w:val="en-US"/>
        </w:rPr>
        <w:t>Sullivan on the Construction of Statutes</w:t>
      </w:r>
      <w:r w:rsidRPr="00A82D21">
        <w:rPr>
          <w:szCs w:val="24"/>
          <w:lang w:val="en-US"/>
        </w:rPr>
        <w:t xml:space="preserve">, 5th </w:t>
      </w:r>
      <w:proofErr w:type="gramStart"/>
      <w:r w:rsidRPr="00A82D21">
        <w:rPr>
          <w:szCs w:val="24"/>
          <w:lang w:val="en-US"/>
        </w:rPr>
        <w:t>ed</w:t>
      </w:r>
      <w:proofErr w:type="gramEnd"/>
      <w:r w:rsidRPr="00A82D21">
        <w:rPr>
          <w:szCs w:val="24"/>
          <w:lang w:val="en-US"/>
        </w:rPr>
        <w:t xml:space="preserve">.  </w:t>
      </w:r>
      <w:r w:rsidRPr="00A82D21">
        <w:rPr>
          <w:szCs w:val="24"/>
          <w:lang w:val="fr-CA"/>
        </w:rPr>
        <w:t xml:space="preserve">Markham, Ont. </w:t>
      </w:r>
      <w:r w:rsidR="007962BB" w:rsidRPr="00A82D21">
        <w:rPr>
          <w:szCs w:val="24"/>
          <w:lang w:val="fr-CA"/>
        </w:rPr>
        <w:t> :</w:t>
      </w:r>
      <w:r w:rsidRPr="00A82D21">
        <w:rPr>
          <w:szCs w:val="24"/>
          <w:lang w:val="fr-CA"/>
        </w:rPr>
        <w:t xml:space="preserve"> LexisNexis, 2008.</w:t>
      </w:r>
    </w:p>
    <w:p w:rsidR="00162B6E" w:rsidRPr="00A82D21" w:rsidRDefault="00162B6E" w:rsidP="007962BB">
      <w:pPr>
        <w:pStyle w:val="SCCNormalDoubleSpacing"/>
        <w:widowControl w:val="0"/>
        <w:spacing w:after="720" w:line="240" w:lineRule="auto"/>
        <w:ind w:left="540" w:hanging="540"/>
        <w:rPr>
          <w:szCs w:val="24"/>
          <w:lang w:val="fr-CA"/>
        </w:rPr>
      </w:pPr>
      <w:r w:rsidRPr="00A82D21">
        <w:rPr>
          <w:szCs w:val="24"/>
          <w:lang w:val="fr-CA"/>
        </w:rPr>
        <w:t xml:space="preserve">Tessier, Pierre.  </w:t>
      </w:r>
      <w:r w:rsidR="003D19FF" w:rsidRPr="00A82D21">
        <w:rPr>
          <w:szCs w:val="24"/>
          <w:lang w:val="fr-CA"/>
        </w:rPr>
        <w:t>« </w:t>
      </w:r>
      <w:r w:rsidRPr="00A82D21">
        <w:rPr>
          <w:szCs w:val="24"/>
          <w:lang w:val="fr-CA"/>
        </w:rPr>
        <w:t>La vérité et la justice</w:t>
      </w:r>
      <w:r w:rsidR="003D19FF" w:rsidRPr="00A82D21">
        <w:rPr>
          <w:szCs w:val="24"/>
          <w:lang w:val="fr-CA"/>
        </w:rPr>
        <w:t> »</w:t>
      </w:r>
      <w:r w:rsidRPr="00A82D21">
        <w:rPr>
          <w:szCs w:val="24"/>
          <w:lang w:val="fr-CA"/>
        </w:rPr>
        <w:t xml:space="preserve"> (1988), 19 </w:t>
      </w:r>
      <w:r w:rsidRPr="00A82D21">
        <w:rPr>
          <w:i/>
          <w:szCs w:val="24"/>
          <w:lang w:val="fr-CA"/>
        </w:rPr>
        <w:t>R.G.D.</w:t>
      </w:r>
      <w:r w:rsidRPr="00A82D21">
        <w:rPr>
          <w:szCs w:val="24"/>
          <w:lang w:val="fr-CA"/>
        </w:rPr>
        <w:t xml:space="preserve"> 29.</w:t>
      </w:r>
    </w:p>
    <w:p w:rsidR="00B47311" w:rsidRPr="00A82D21" w:rsidRDefault="004D7D95" w:rsidP="007962BB">
      <w:pPr>
        <w:pStyle w:val="SCCNormalDoubleSpacing"/>
        <w:widowControl w:val="0"/>
        <w:spacing w:before="480" w:after="480"/>
        <w:rPr>
          <w:szCs w:val="24"/>
          <w:lang w:val="fr-CA"/>
        </w:rPr>
      </w:pPr>
      <w:r w:rsidRPr="00A82D21">
        <w:rPr>
          <w:szCs w:val="24"/>
          <w:lang w:val="fr-CA"/>
        </w:rPr>
        <w:tab/>
        <w:t>POURVOI contre un arrêt de la Cour d</w:t>
      </w:r>
      <w:r w:rsidR="00D70D07" w:rsidRPr="00A82D21">
        <w:rPr>
          <w:szCs w:val="24"/>
          <w:lang w:val="fr-CA"/>
        </w:rPr>
        <w:t>’</w:t>
      </w:r>
      <w:r w:rsidRPr="00A82D21">
        <w:rPr>
          <w:szCs w:val="24"/>
          <w:lang w:val="fr-CA"/>
        </w:rPr>
        <w:t>appel du Québec (</w:t>
      </w:r>
      <w:r w:rsidR="00DC3C6A" w:rsidRPr="00A82D21">
        <w:rPr>
          <w:szCs w:val="24"/>
          <w:lang w:val="fr-CA"/>
        </w:rPr>
        <w:t>les juges Morin, Rochon et Vézina</w:t>
      </w:r>
      <w:r w:rsidRPr="00A82D21">
        <w:rPr>
          <w:szCs w:val="24"/>
          <w:lang w:val="fr-CA"/>
        </w:rPr>
        <w:t>)</w:t>
      </w:r>
      <w:r w:rsidR="00DC3C6A" w:rsidRPr="00A82D21">
        <w:rPr>
          <w:szCs w:val="24"/>
          <w:lang w:val="fr-CA"/>
        </w:rPr>
        <w:t>, 2012 QCCA 2265</w:t>
      </w:r>
      <w:r w:rsidR="00C03AA9" w:rsidRPr="00A82D21">
        <w:rPr>
          <w:szCs w:val="24"/>
          <w:lang w:val="fr-CA"/>
        </w:rPr>
        <w:t xml:space="preserve">, </w:t>
      </w:r>
      <w:r w:rsidR="003F0561" w:rsidRPr="00A82D21">
        <w:rPr>
          <w:szCs w:val="24"/>
          <w:lang w:val="fr-CA"/>
        </w:rPr>
        <w:t xml:space="preserve">[2012] </w:t>
      </w:r>
      <w:r w:rsidR="00B47311" w:rsidRPr="00A82D21">
        <w:rPr>
          <w:szCs w:val="24"/>
          <w:lang w:val="fr-CA"/>
        </w:rPr>
        <w:t>AZ</w:t>
      </w:r>
      <w:r w:rsidR="007962BB" w:rsidRPr="00A82D21">
        <w:rPr>
          <w:szCs w:val="24"/>
          <w:lang w:val="fr-CA"/>
        </w:rPr>
        <w:t>-</w:t>
      </w:r>
      <w:r w:rsidR="00CE2E49" w:rsidRPr="00A82D21">
        <w:rPr>
          <w:szCs w:val="24"/>
          <w:lang w:val="fr-CA"/>
        </w:rPr>
        <w:t xml:space="preserve">50922387, </w:t>
      </w:r>
      <w:r w:rsidR="00B47311" w:rsidRPr="00A82D21">
        <w:rPr>
          <w:szCs w:val="24"/>
          <w:lang w:val="fr-CA"/>
        </w:rPr>
        <w:t>[2012] J.Q. n</w:t>
      </w:r>
      <w:r w:rsidR="00B47311" w:rsidRPr="00A82D21">
        <w:rPr>
          <w:szCs w:val="24"/>
          <w:vertAlign w:val="superscript"/>
          <w:lang w:val="fr-CA"/>
        </w:rPr>
        <w:t>o</w:t>
      </w:r>
      <w:r w:rsidR="007962BB" w:rsidRPr="00A82D21">
        <w:rPr>
          <w:szCs w:val="24"/>
          <w:lang w:val="fr-CA"/>
        </w:rPr>
        <w:t xml:space="preserve"> </w:t>
      </w:r>
      <w:r w:rsidR="00B47311" w:rsidRPr="00A82D21">
        <w:rPr>
          <w:szCs w:val="24"/>
          <w:lang w:val="fr-CA"/>
        </w:rPr>
        <w:t xml:space="preserve">16661 (QL), 2012 CarswellQue 13421, qui a </w:t>
      </w:r>
      <w:r w:rsidR="00557086" w:rsidRPr="00A82D21">
        <w:rPr>
          <w:szCs w:val="24"/>
          <w:lang w:val="fr-CA"/>
        </w:rPr>
        <w:t>refusé la permission d</w:t>
      </w:r>
      <w:r w:rsidR="00D70D07" w:rsidRPr="00A82D21">
        <w:rPr>
          <w:szCs w:val="24"/>
          <w:lang w:val="fr-CA"/>
        </w:rPr>
        <w:t>’</w:t>
      </w:r>
      <w:r w:rsidR="00557086" w:rsidRPr="00A82D21">
        <w:rPr>
          <w:szCs w:val="24"/>
          <w:lang w:val="fr-CA"/>
        </w:rPr>
        <w:t xml:space="preserve">appeler </w:t>
      </w:r>
      <w:r w:rsidR="00ED26F1" w:rsidRPr="00A82D21">
        <w:rPr>
          <w:szCs w:val="24"/>
          <w:lang w:val="fr-CA"/>
        </w:rPr>
        <w:t>d</w:t>
      </w:r>
      <w:r w:rsidR="00D70D07" w:rsidRPr="00A82D21">
        <w:rPr>
          <w:szCs w:val="24"/>
          <w:lang w:val="fr-CA"/>
        </w:rPr>
        <w:t>’</w:t>
      </w:r>
      <w:r w:rsidR="00B47311" w:rsidRPr="00A82D21">
        <w:rPr>
          <w:szCs w:val="24"/>
          <w:lang w:val="fr-CA"/>
        </w:rPr>
        <w:t xml:space="preserve">une décision de la juge Bélanger, 2012 QCCS 2954, </w:t>
      </w:r>
      <w:r w:rsidR="00F62F11" w:rsidRPr="00A82D21">
        <w:rPr>
          <w:szCs w:val="24"/>
          <w:lang w:val="fr-CA"/>
        </w:rPr>
        <w:t xml:space="preserve">[2012] </w:t>
      </w:r>
      <w:r w:rsidR="00B47311" w:rsidRPr="00A82D21">
        <w:rPr>
          <w:szCs w:val="24"/>
          <w:lang w:val="fr-CA"/>
        </w:rPr>
        <w:t>AZ</w:t>
      </w:r>
      <w:r w:rsidR="007962BB" w:rsidRPr="00A82D21">
        <w:rPr>
          <w:szCs w:val="24"/>
          <w:lang w:val="fr-CA"/>
        </w:rPr>
        <w:t>-</w:t>
      </w:r>
      <w:r w:rsidR="00CE2E49" w:rsidRPr="00A82D21">
        <w:rPr>
          <w:szCs w:val="24"/>
          <w:lang w:val="fr-CA"/>
        </w:rPr>
        <w:t xml:space="preserve">50869641, </w:t>
      </w:r>
      <w:r w:rsidR="00B47311" w:rsidRPr="00A82D21">
        <w:rPr>
          <w:szCs w:val="24"/>
          <w:lang w:val="fr-CA"/>
        </w:rPr>
        <w:t>[2012] J.Q. n</w:t>
      </w:r>
      <w:r w:rsidR="00B47311" w:rsidRPr="00A82D21">
        <w:rPr>
          <w:szCs w:val="24"/>
          <w:vertAlign w:val="superscript"/>
          <w:lang w:val="fr-CA"/>
        </w:rPr>
        <w:t>o</w:t>
      </w:r>
      <w:r w:rsidR="007962BB" w:rsidRPr="00A82D21">
        <w:rPr>
          <w:szCs w:val="24"/>
          <w:lang w:val="fr-CA"/>
        </w:rPr>
        <w:t xml:space="preserve"> </w:t>
      </w:r>
      <w:r w:rsidR="00B47311" w:rsidRPr="00A82D21">
        <w:rPr>
          <w:szCs w:val="24"/>
          <w:lang w:val="fr-CA"/>
        </w:rPr>
        <w:t xml:space="preserve">6264 (QL), 2012 CarswellQue 6715.  Pourvoi </w:t>
      </w:r>
      <w:r w:rsidR="00CE2E49" w:rsidRPr="00A82D21">
        <w:rPr>
          <w:szCs w:val="24"/>
          <w:lang w:val="fr-CA"/>
        </w:rPr>
        <w:t>rejeté</w:t>
      </w:r>
      <w:r w:rsidR="00D351D2" w:rsidRPr="00A82D21">
        <w:rPr>
          <w:szCs w:val="24"/>
          <w:lang w:val="fr-CA"/>
        </w:rPr>
        <w:t>, la juge Abella est dissidente</w:t>
      </w:r>
      <w:r w:rsidR="00CE2E49" w:rsidRPr="00A82D21">
        <w:rPr>
          <w:szCs w:val="24"/>
          <w:lang w:val="fr-CA"/>
        </w:rPr>
        <w:t>.</w:t>
      </w:r>
    </w:p>
    <w:p w:rsidR="00CE2E49" w:rsidRPr="00A82D21" w:rsidRDefault="00CE2E49" w:rsidP="007962BB">
      <w:pPr>
        <w:pStyle w:val="SCCNormalDoubleSpacing"/>
        <w:widowControl w:val="0"/>
        <w:spacing w:before="480" w:after="480"/>
        <w:rPr>
          <w:szCs w:val="24"/>
          <w:lang w:val="fr-CA"/>
        </w:rPr>
      </w:pPr>
      <w:r w:rsidRPr="00A82D21">
        <w:rPr>
          <w:szCs w:val="24"/>
          <w:lang w:val="fr-CA"/>
        </w:rPr>
        <w:tab/>
        <w:t>POURVOI contre un arrêt de la Cour d</w:t>
      </w:r>
      <w:r w:rsidR="00D70D07" w:rsidRPr="00A82D21">
        <w:rPr>
          <w:szCs w:val="24"/>
          <w:lang w:val="fr-CA"/>
        </w:rPr>
        <w:t>’</w:t>
      </w:r>
      <w:r w:rsidRPr="00A82D21">
        <w:rPr>
          <w:szCs w:val="24"/>
          <w:lang w:val="fr-CA"/>
        </w:rPr>
        <w:t xml:space="preserve">appel du Québec (les juges Morin, Rochon et Vézina), 2012 QCCA 2266, </w:t>
      </w:r>
      <w:r w:rsidR="00F62F11" w:rsidRPr="00A82D21">
        <w:rPr>
          <w:szCs w:val="24"/>
          <w:lang w:val="fr-CA"/>
        </w:rPr>
        <w:t>[2012]</w:t>
      </w:r>
      <w:r w:rsidRPr="00A82D21">
        <w:rPr>
          <w:szCs w:val="24"/>
          <w:lang w:val="fr-CA"/>
        </w:rPr>
        <w:t xml:space="preserve"> AZ</w:t>
      </w:r>
      <w:r w:rsidR="007962BB" w:rsidRPr="00A82D21">
        <w:rPr>
          <w:szCs w:val="24"/>
          <w:lang w:val="fr-CA"/>
        </w:rPr>
        <w:t>-</w:t>
      </w:r>
      <w:r w:rsidRPr="00A82D21">
        <w:rPr>
          <w:szCs w:val="24"/>
          <w:lang w:val="fr-CA"/>
        </w:rPr>
        <w:t>50922388, [2012] J.Q. n</w:t>
      </w:r>
      <w:r w:rsidRPr="00A82D21">
        <w:rPr>
          <w:szCs w:val="24"/>
          <w:vertAlign w:val="superscript"/>
          <w:lang w:val="fr-CA"/>
        </w:rPr>
        <w:t>o</w:t>
      </w:r>
      <w:r w:rsidR="007962BB" w:rsidRPr="00A82D21">
        <w:rPr>
          <w:szCs w:val="24"/>
          <w:lang w:val="fr-CA"/>
        </w:rPr>
        <w:t xml:space="preserve"> </w:t>
      </w:r>
      <w:r w:rsidRPr="00A82D21">
        <w:rPr>
          <w:szCs w:val="24"/>
          <w:lang w:val="fr-CA"/>
        </w:rPr>
        <w:lastRenderedPageBreak/>
        <w:t xml:space="preserve">16662 (QL), 2012 CarswellQue 13424, </w:t>
      </w:r>
      <w:r w:rsidR="00557086" w:rsidRPr="00A82D21">
        <w:rPr>
          <w:szCs w:val="24"/>
          <w:lang w:val="fr-CA"/>
        </w:rPr>
        <w:t>qui a refusé la permission d</w:t>
      </w:r>
      <w:r w:rsidR="00D70D07" w:rsidRPr="00A82D21">
        <w:rPr>
          <w:szCs w:val="24"/>
          <w:lang w:val="fr-CA"/>
        </w:rPr>
        <w:t>’</w:t>
      </w:r>
      <w:r w:rsidR="00557086" w:rsidRPr="00A82D21">
        <w:rPr>
          <w:szCs w:val="24"/>
          <w:lang w:val="fr-CA"/>
        </w:rPr>
        <w:t xml:space="preserve">appeler </w:t>
      </w:r>
      <w:r w:rsidR="00ED26F1" w:rsidRPr="00A82D21">
        <w:rPr>
          <w:szCs w:val="24"/>
          <w:lang w:val="fr-CA"/>
        </w:rPr>
        <w:t>d</w:t>
      </w:r>
      <w:r w:rsidR="00D70D07" w:rsidRPr="00A82D21">
        <w:rPr>
          <w:szCs w:val="24"/>
          <w:lang w:val="fr-CA"/>
        </w:rPr>
        <w:t>’</w:t>
      </w:r>
      <w:r w:rsidR="00557086" w:rsidRPr="00A82D21">
        <w:rPr>
          <w:szCs w:val="24"/>
          <w:lang w:val="fr-CA"/>
        </w:rPr>
        <w:t>une</w:t>
      </w:r>
      <w:r w:rsidRPr="00A82D21">
        <w:rPr>
          <w:szCs w:val="24"/>
          <w:lang w:val="fr-CA"/>
        </w:rPr>
        <w:t xml:space="preserve"> décision de la juge Bélanger, 2012 QCCS 2954,</w:t>
      </w:r>
      <w:r w:rsidR="00F62F11" w:rsidRPr="00A82D21">
        <w:rPr>
          <w:szCs w:val="24"/>
          <w:lang w:val="fr-CA"/>
        </w:rPr>
        <w:t xml:space="preserve"> [2012]</w:t>
      </w:r>
      <w:r w:rsidRPr="00A82D21">
        <w:rPr>
          <w:szCs w:val="24"/>
          <w:lang w:val="fr-CA"/>
        </w:rPr>
        <w:t xml:space="preserve"> AZ</w:t>
      </w:r>
      <w:r w:rsidR="007962BB" w:rsidRPr="00A82D21">
        <w:rPr>
          <w:szCs w:val="24"/>
          <w:lang w:val="fr-CA"/>
        </w:rPr>
        <w:t>-</w:t>
      </w:r>
      <w:r w:rsidRPr="00A82D21">
        <w:rPr>
          <w:szCs w:val="24"/>
          <w:lang w:val="fr-CA"/>
        </w:rPr>
        <w:t>50869641, [2012] J.Q. n</w:t>
      </w:r>
      <w:r w:rsidRPr="00A82D21">
        <w:rPr>
          <w:szCs w:val="24"/>
          <w:vertAlign w:val="superscript"/>
          <w:lang w:val="fr-CA"/>
        </w:rPr>
        <w:t>o</w:t>
      </w:r>
      <w:r w:rsidR="007962BB" w:rsidRPr="00A82D21">
        <w:rPr>
          <w:szCs w:val="24"/>
          <w:lang w:val="fr-CA"/>
        </w:rPr>
        <w:t xml:space="preserve"> </w:t>
      </w:r>
      <w:r w:rsidRPr="00A82D21">
        <w:rPr>
          <w:szCs w:val="24"/>
          <w:lang w:val="fr-CA"/>
        </w:rPr>
        <w:t>6264 (QL), 2012 CarswellQue 6715.  Pourvoi rejeté</w:t>
      </w:r>
      <w:r w:rsidR="00D351D2" w:rsidRPr="00A82D21">
        <w:rPr>
          <w:szCs w:val="24"/>
          <w:lang w:val="fr-CA"/>
        </w:rPr>
        <w:t>, la juge Abella est dissidente</w:t>
      </w:r>
      <w:r w:rsidRPr="00A82D21">
        <w:rPr>
          <w:szCs w:val="24"/>
          <w:lang w:val="fr-CA"/>
        </w:rPr>
        <w:t>.</w:t>
      </w:r>
    </w:p>
    <w:p w:rsidR="00BD46F1" w:rsidRPr="00A82D21" w:rsidRDefault="005E7845" w:rsidP="007962BB">
      <w:pPr>
        <w:pStyle w:val="SCCNormalDoubleSpacing"/>
        <w:widowControl w:val="0"/>
        <w:spacing w:before="480" w:after="480"/>
        <w:rPr>
          <w:szCs w:val="24"/>
          <w:lang w:val="fr-CA"/>
        </w:rPr>
      </w:pPr>
      <w:r w:rsidRPr="00A82D21">
        <w:rPr>
          <w:rStyle w:val="SCCCounselNameChar"/>
          <w:szCs w:val="24"/>
          <w:lang w:val="fr-CA"/>
        </w:rPr>
        <w:tab/>
        <w:t>Billy Katelanos</w:t>
      </w:r>
      <w:r w:rsidRPr="00A82D21">
        <w:rPr>
          <w:rStyle w:val="SCCCounselSeparatorChar"/>
          <w:szCs w:val="24"/>
          <w:lang w:val="fr-CA"/>
        </w:rPr>
        <w:t xml:space="preserve">, </w:t>
      </w:r>
      <w:r w:rsidRPr="00A82D21">
        <w:rPr>
          <w:rStyle w:val="SCCCounselNameChar"/>
          <w:szCs w:val="24"/>
          <w:lang w:val="fr-CA"/>
        </w:rPr>
        <w:t>Paule Hamelin</w:t>
      </w:r>
      <w:r w:rsidRPr="00A82D21">
        <w:rPr>
          <w:rStyle w:val="SCCCounselSeparatorChar"/>
          <w:szCs w:val="24"/>
          <w:lang w:val="fr-CA"/>
        </w:rPr>
        <w:t xml:space="preserve"> et </w:t>
      </w:r>
      <w:r w:rsidR="00C40E62" w:rsidRPr="00A82D21">
        <w:rPr>
          <w:rStyle w:val="SCCCounselNameChar"/>
          <w:szCs w:val="24"/>
          <w:lang w:val="fr-CA"/>
        </w:rPr>
        <w:t>Guy Régimbald</w:t>
      </w:r>
      <w:r w:rsidRPr="00A82D21">
        <w:rPr>
          <w:rStyle w:val="SCCCounselPartyRoleChar"/>
          <w:szCs w:val="24"/>
          <w:lang w:val="fr-CA"/>
        </w:rPr>
        <w:t>, pour l</w:t>
      </w:r>
      <w:r w:rsidR="00D70D07" w:rsidRPr="00A82D21">
        <w:rPr>
          <w:rStyle w:val="SCCCounselPartyRoleChar"/>
          <w:szCs w:val="24"/>
          <w:lang w:val="fr-CA"/>
        </w:rPr>
        <w:t>’</w:t>
      </w:r>
      <w:r w:rsidR="00C40E62" w:rsidRPr="00A82D21">
        <w:rPr>
          <w:rStyle w:val="SCCCounselPartyRoleChar"/>
          <w:szCs w:val="24"/>
          <w:lang w:val="fr-CA"/>
        </w:rPr>
        <w:t>appelante Pétrolière Impériale</w:t>
      </w:r>
      <w:r w:rsidRPr="00A82D21">
        <w:rPr>
          <w:rStyle w:val="SCCCounselPartyRoleChar"/>
          <w:szCs w:val="24"/>
          <w:lang w:val="fr-CA"/>
        </w:rPr>
        <w:t>.</w:t>
      </w:r>
    </w:p>
    <w:p w:rsidR="00C40E62" w:rsidRPr="00A82D21" w:rsidRDefault="00C40E62" w:rsidP="007962BB">
      <w:pPr>
        <w:pStyle w:val="SCCNormalDoubleSpacing"/>
        <w:widowControl w:val="0"/>
        <w:spacing w:before="480" w:after="480"/>
        <w:rPr>
          <w:rStyle w:val="SCCCounselSeparatorChar"/>
          <w:szCs w:val="24"/>
          <w:lang w:val="fr-CA"/>
        </w:rPr>
      </w:pPr>
      <w:r w:rsidRPr="00A82D21">
        <w:rPr>
          <w:rStyle w:val="SCCCounselNameChar"/>
          <w:szCs w:val="24"/>
          <w:lang w:val="fr-CA"/>
        </w:rPr>
        <w:tab/>
        <w:t>Jean</w:t>
      </w:r>
      <w:r w:rsidR="007962BB" w:rsidRPr="00A82D21">
        <w:rPr>
          <w:rStyle w:val="SCCCounselNameChar"/>
          <w:szCs w:val="24"/>
          <w:lang w:val="fr-CA"/>
        </w:rPr>
        <w:t>-</w:t>
      </w:r>
      <w:r w:rsidRPr="00A82D21">
        <w:rPr>
          <w:rStyle w:val="SCCCounselNameChar"/>
          <w:szCs w:val="24"/>
          <w:lang w:val="fr-CA"/>
        </w:rPr>
        <w:t>Philippe Groleau</w:t>
      </w:r>
      <w:r w:rsidRPr="00A82D21">
        <w:rPr>
          <w:rStyle w:val="SCCCounselPartyRoleChar"/>
          <w:szCs w:val="24"/>
          <w:lang w:val="fr-CA"/>
        </w:rPr>
        <w:t xml:space="preserve">, </w:t>
      </w:r>
      <w:r w:rsidRPr="00A82D21">
        <w:rPr>
          <w:rStyle w:val="SCCCounselNameChar"/>
          <w:szCs w:val="24"/>
          <w:lang w:val="fr-CA"/>
        </w:rPr>
        <w:t>Louis</w:t>
      </w:r>
      <w:r w:rsidR="007962BB" w:rsidRPr="00A82D21">
        <w:rPr>
          <w:rStyle w:val="SCCCounselNameChar"/>
          <w:szCs w:val="24"/>
          <w:lang w:val="fr-CA"/>
        </w:rPr>
        <w:t>-</w:t>
      </w:r>
      <w:r w:rsidRPr="00A82D21">
        <w:rPr>
          <w:rStyle w:val="SCCCounselNameChar"/>
          <w:szCs w:val="24"/>
          <w:lang w:val="fr-CA"/>
        </w:rPr>
        <w:t>Martin O</w:t>
      </w:r>
      <w:r w:rsidR="00D70D07" w:rsidRPr="00A82D21">
        <w:rPr>
          <w:rStyle w:val="SCCCounselNameChar"/>
          <w:szCs w:val="24"/>
          <w:lang w:val="fr-CA"/>
        </w:rPr>
        <w:t>’</w:t>
      </w:r>
      <w:r w:rsidRPr="00A82D21">
        <w:rPr>
          <w:rStyle w:val="SCCCounselNameChar"/>
          <w:szCs w:val="24"/>
          <w:lang w:val="fr-CA"/>
        </w:rPr>
        <w:t>Nei</w:t>
      </w:r>
      <w:r w:rsidR="003D19FF" w:rsidRPr="00A82D21">
        <w:rPr>
          <w:rStyle w:val="SCCCounselNameChar"/>
          <w:szCs w:val="24"/>
          <w:lang w:val="fr-CA"/>
        </w:rPr>
        <w:t>l</w:t>
      </w:r>
      <w:r w:rsidRPr="00A82D21">
        <w:rPr>
          <w:rStyle w:val="SCCCounselNameChar"/>
          <w:szCs w:val="24"/>
          <w:lang w:val="fr-CA"/>
        </w:rPr>
        <w:t>l</w:t>
      </w:r>
      <w:r w:rsidRPr="00A82D21">
        <w:rPr>
          <w:rStyle w:val="SCCCounselSeparatorChar"/>
          <w:szCs w:val="24"/>
          <w:lang w:val="fr-CA"/>
        </w:rPr>
        <w:t xml:space="preserve">, </w:t>
      </w:r>
      <w:r w:rsidRPr="00A82D21">
        <w:rPr>
          <w:rStyle w:val="SCCCounselNameChar"/>
          <w:szCs w:val="24"/>
          <w:lang w:val="fr-CA"/>
        </w:rPr>
        <w:t>Louis Belleau</w:t>
      </w:r>
      <w:r w:rsidRPr="00A82D21">
        <w:rPr>
          <w:rStyle w:val="SCCCounselSeparatorChar"/>
          <w:szCs w:val="24"/>
          <w:lang w:val="fr-CA"/>
        </w:rPr>
        <w:t xml:space="preserve">, </w:t>
      </w:r>
      <w:r w:rsidRPr="00A82D21">
        <w:rPr>
          <w:rStyle w:val="SCCCounselNameChar"/>
          <w:szCs w:val="24"/>
          <w:lang w:val="fr-CA"/>
        </w:rPr>
        <w:t>Julie Chenette</w:t>
      </w:r>
      <w:r w:rsidRPr="00A82D21">
        <w:rPr>
          <w:rStyle w:val="SCCCounselNameChar"/>
          <w:i w:val="0"/>
          <w:szCs w:val="24"/>
          <w:lang w:val="fr-CA"/>
        </w:rPr>
        <w:t xml:space="preserve">, </w:t>
      </w:r>
      <w:r w:rsidRPr="00A82D21">
        <w:rPr>
          <w:rStyle w:val="SCCCounselNameChar"/>
          <w:szCs w:val="24"/>
          <w:lang w:val="fr-CA"/>
        </w:rPr>
        <w:t>Sylvain Lussier</w:t>
      </w:r>
      <w:r w:rsidRPr="00A82D21">
        <w:rPr>
          <w:rStyle w:val="SCCCounselSeparatorChar"/>
          <w:szCs w:val="24"/>
          <w:lang w:val="fr-CA"/>
        </w:rPr>
        <w:t xml:space="preserve">, </w:t>
      </w:r>
      <w:r w:rsidRPr="00A82D21">
        <w:rPr>
          <w:rStyle w:val="SCCCounselNameChar"/>
          <w:szCs w:val="24"/>
          <w:lang w:val="fr-CA"/>
        </w:rPr>
        <w:t>Elizabeth Meloche</w:t>
      </w:r>
      <w:r w:rsidRPr="00A82D21">
        <w:rPr>
          <w:rStyle w:val="SCCCounselPartyRoleChar"/>
          <w:szCs w:val="24"/>
          <w:lang w:val="fr-CA"/>
        </w:rPr>
        <w:t xml:space="preserve">, </w:t>
      </w:r>
      <w:r w:rsidRPr="00A82D21">
        <w:rPr>
          <w:rStyle w:val="SCCCounselNameChar"/>
          <w:szCs w:val="24"/>
          <w:lang w:val="fr-CA"/>
        </w:rPr>
        <w:t>Sidney Elbaz</w:t>
      </w:r>
      <w:r w:rsidRPr="00A82D21">
        <w:rPr>
          <w:rStyle w:val="SCCCounselSeparatorChar"/>
          <w:szCs w:val="24"/>
          <w:lang w:val="fr-CA"/>
        </w:rPr>
        <w:t xml:space="preserve">, </w:t>
      </w:r>
      <w:r w:rsidRPr="00A82D21">
        <w:rPr>
          <w:rStyle w:val="SCCCounselNameChar"/>
          <w:szCs w:val="24"/>
          <w:lang w:val="fr-CA"/>
        </w:rPr>
        <w:t>Rachel April</w:t>
      </w:r>
      <w:r w:rsidR="00A2484D" w:rsidRPr="00A82D21">
        <w:rPr>
          <w:rStyle w:val="SCCCounselNameChar"/>
          <w:szCs w:val="24"/>
          <w:lang w:val="fr-CA"/>
        </w:rPr>
        <w:t xml:space="preserve"> </w:t>
      </w:r>
      <w:r w:rsidRPr="00A82D21">
        <w:rPr>
          <w:rStyle w:val="SCCCounselNameChar"/>
          <w:szCs w:val="24"/>
          <w:lang w:val="fr-CA"/>
        </w:rPr>
        <w:t>Giguère</w:t>
      </w:r>
      <w:r w:rsidRPr="00A82D21">
        <w:rPr>
          <w:rStyle w:val="SCCCounselPartyRoleChar"/>
          <w:szCs w:val="24"/>
          <w:lang w:val="fr-CA"/>
        </w:rPr>
        <w:t xml:space="preserve">, </w:t>
      </w:r>
      <w:r w:rsidRPr="00A82D21">
        <w:rPr>
          <w:rStyle w:val="SCCCounselNameChar"/>
          <w:szCs w:val="24"/>
          <w:lang w:val="fr-CA"/>
        </w:rPr>
        <w:t>Marie</w:t>
      </w:r>
      <w:r w:rsidR="007962BB" w:rsidRPr="00A82D21">
        <w:rPr>
          <w:rStyle w:val="SCCCounselNameChar"/>
          <w:szCs w:val="24"/>
          <w:lang w:val="fr-CA"/>
        </w:rPr>
        <w:t>-</w:t>
      </w:r>
      <w:r w:rsidRPr="00A82D21">
        <w:rPr>
          <w:rStyle w:val="SCCCounselNameChar"/>
          <w:szCs w:val="24"/>
          <w:lang w:val="fr-CA"/>
        </w:rPr>
        <w:t>Geneviève Masson</w:t>
      </w:r>
      <w:r w:rsidRPr="00A82D21">
        <w:rPr>
          <w:rStyle w:val="SCCCounselNameChar"/>
          <w:i w:val="0"/>
          <w:szCs w:val="24"/>
          <w:lang w:val="fr-CA"/>
        </w:rPr>
        <w:t xml:space="preserve">, </w:t>
      </w:r>
      <w:r w:rsidRPr="00A82D21">
        <w:rPr>
          <w:rStyle w:val="SCCCounselNameChar"/>
          <w:szCs w:val="24"/>
          <w:lang w:val="fr-CA"/>
        </w:rPr>
        <w:t>Pascale Cloutier</w:t>
      </w:r>
      <w:r w:rsidRPr="00A82D21">
        <w:rPr>
          <w:rStyle w:val="SCCCounselSeparatorChar"/>
          <w:szCs w:val="24"/>
          <w:lang w:val="fr-CA"/>
        </w:rPr>
        <w:t xml:space="preserve"> et </w:t>
      </w:r>
      <w:r w:rsidRPr="00A82D21">
        <w:rPr>
          <w:rStyle w:val="SCCCounselNameChar"/>
          <w:szCs w:val="24"/>
          <w:lang w:val="fr-CA"/>
        </w:rPr>
        <w:t>Fadi Amine</w:t>
      </w:r>
      <w:r w:rsidRPr="00A82D21">
        <w:rPr>
          <w:rStyle w:val="SCCCounselNameChar"/>
          <w:i w:val="0"/>
          <w:szCs w:val="24"/>
          <w:lang w:val="fr-CA"/>
        </w:rPr>
        <w:t>, pour les appelants</w:t>
      </w:r>
      <w:r w:rsidR="001A065B" w:rsidRPr="00A82D21">
        <w:rPr>
          <w:rStyle w:val="SCCCounselNameChar"/>
          <w:i w:val="0"/>
          <w:szCs w:val="24"/>
          <w:lang w:val="fr-CA"/>
        </w:rPr>
        <w:t xml:space="preserve"> Couche</w:t>
      </w:r>
      <w:r w:rsidR="007962BB" w:rsidRPr="00A82D21">
        <w:rPr>
          <w:rStyle w:val="SCCCounselNameChar"/>
          <w:i w:val="0"/>
          <w:szCs w:val="24"/>
          <w:lang w:val="fr-CA"/>
        </w:rPr>
        <w:t>-</w:t>
      </w:r>
      <w:r w:rsidR="001A065B" w:rsidRPr="00A82D21">
        <w:rPr>
          <w:rStyle w:val="SCCCounselNameChar"/>
          <w:i w:val="0"/>
          <w:szCs w:val="24"/>
          <w:lang w:val="fr-CA"/>
        </w:rPr>
        <w:t>Tard inc.</w:t>
      </w:r>
      <w:r w:rsidR="00557086" w:rsidRPr="00A82D21">
        <w:rPr>
          <w:rStyle w:val="SCCCounselNameChar"/>
          <w:i w:val="0"/>
          <w:szCs w:val="24"/>
          <w:lang w:val="fr-CA"/>
        </w:rPr>
        <w:t xml:space="preserve"> et autres</w:t>
      </w:r>
      <w:r w:rsidR="001A065B" w:rsidRPr="00A82D21">
        <w:rPr>
          <w:rStyle w:val="SCCCounselNameChar"/>
          <w:i w:val="0"/>
          <w:szCs w:val="24"/>
          <w:lang w:val="fr-CA"/>
        </w:rPr>
        <w:t>.</w:t>
      </w:r>
    </w:p>
    <w:p w:rsidR="00F82C45" w:rsidRPr="00A82D21" w:rsidRDefault="00F82C45" w:rsidP="007962BB">
      <w:pPr>
        <w:pStyle w:val="SCCNormalDoubleSpacing"/>
        <w:widowControl w:val="0"/>
        <w:spacing w:before="480" w:after="480"/>
        <w:rPr>
          <w:rStyle w:val="SCCCounselNameChar"/>
          <w:i w:val="0"/>
          <w:szCs w:val="24"/>
          <w:lang w:val="fr-CA"/>
        </w:rPr>
      </w:pPr>
      <w:r w:rsidRPr="00A82D21">
        <w:rPr>
          <w:rStyle w:val="SCCCounselNameChar"/>
          <w:i w:val="0"/>
          <w:szCs w:val="24"/>
          <w:lang w:val="fr-CA"/>
        </w:rPr>
        <w:tab/>
      </w:r>
      <w:r w:rsidRPr="00A82D21">
        <w:rPr>
          <w:rStyle w:val="SCCCounselNameChar"/>
          <w:szCs w:val="24"/>
          <w:lang w:val="fr-CA"/>
        </w:rPr>
        <w:t xml:space="preserve">Louis </w:t>
      </w:r>
      <w:r w:rsidR="00F21B17" w:rsidRPr="00A82D21">
        <w:rPr>
          <w:rStyle w:val="SCCCounselNameChar"/>
          <w:szCs w:val="24"/>
          <w:lang w:val="fr-CA"/>
        </w:rPr>
        <w:t>P.</w:t>
      </w:r>
      <w:r w:rsidR="007962BB" w:rsidRPr="00A82D21">
        <w:rPr>
          <w:rStyle w:val="SCCCounselNameChar"/>
          <w:szCs w:val="24"/>
          <w:lang w:val="fr-CA"/>
        </w:rPr>
        <w:t xml:space="preserve"> </w:t>
      </w:r>
      <w:r w:rsidRPr="00A82D21">
        <w:rPr>
          <w:rStyle w:val="SCCCounselNameChar"/>
          <w:szCs w:val="24"/>
          <w:lang w:val="fr-CA"/>
        </w:rPr>
        <w:t>Bélanger</w:t>
      </w:r>
      <w:r w:rsidRPr="00A82D21">
        <w:rPr>
          <w:rStyle w:val="SCCCounselNameChar"/>
          <w:i w:val="0"/>
          <w:szCs w:val="24"/>
          <w:lang w:val="fr-CA"/>
        </w:rPr>
        <w:t xml:space="preserve"> et </w:t>
      </w:r>
      <w:r w:rsidRPr="00A82D21">
        <w:rPr>
          <w:rStyle w:val="SCCCounselNameChar"/>
          <w:szCs w:val="24"/>
          <w:lang w:val="fr-CA"/>
        </w:rPr>
        <w:t>Julie Girard</w:t>
      </w:r>
      <w:r w:rsidRPr="00A82D21">
        <w:rPr>
          <w:rStyle w:val="SCCCounselNameChar"/>
          <w:i w:val="0"/>
          <w:szCs w:val="24"/>
          <w:lang w:val="fr-CA"/>
        </w:rPr>
        <w:t>, pour l</w:t>
      </w:r>
      <w:r w:rsidR="00D70D07" w:rsidRPr="00A82D21">
        <w:rPr>
          <w:rStyle w:val="SCCCounselNameChar"/>
          <w:i w:val="0"/>
          <w:szCs w:val="24"/>
          <w:lang w:val="fr-CA"/>
        </w:rPr>
        <w:t>’</w:t>
      </w:r>
      <w:r w:rsidRPr="00A82D21">
        <w:rPr>
          <w:rStyle w:val="SCCCounselNameChar"/>
          <w:i w:val="0"/>
          <w:szCs w:val="24"/>
          <w:lang w:val="fr-CA"/>
        </w:rPr>
        <w:t>appelante Ultramar ltée.</w:t>
      </w:r>
    </w:p>
    <w:p w:rsidR="00C53DD3" w:rsidRPr="00A82D21" w:rsidRDefault="005E7845" w:rsidP="007962BB">
      <w:pPr>
        <w:pStyle w:val="SCCNormalDoubleSpacing"/>
        <w:widowControl w:val="0"/>
        <w:spacing w:before="480" w:after="480"/>
        <w:rPr>
          <w:rStyle w:val="SCCCounselPartyRoleChar"/>
          <w:szCs w:val="24"/>
          <w:lang w:val="fr-CA"/>
        </w:rPr>
      </w:pPr>
      <w:r w:rsidRPr="00A82D21">
        <w:rPr>
          <w:rStyle w:val="SCCCounselNameChar"/>
          <w:szCs w:val="24"/>
          <w:lang w:val="fr-CA"/>
        </w:rPr>
        <w:tab/>
        <w:t>Pierre LeBel</w:t>
      </w:r>
      <w:r w:rsidRPr="00A82D21">
        <w:rPr>
          <w:rStyle w:val="SCCCounselSeparatorChar"/>
          <w:szCs w:val="24"/>
          <w:lang w:val="fr-CA"/>
        </w:rPr>
        <w:t xml:space="preserve">, </w:t>
      </w:r>
      <w:r w:rsidRPr="00A82D21">
        <w:rPr>
          <w:rStyle w:val="SCCCounselNameChar"/>
          <w:szCs w:val="24"/>
          <w:lang w:val="fr-CA"/>
        </w:rPr>
        <w:t>Guy Paquette</w:t>
      </w:r>
      <w:r w:rsidR="00C53DD3" w:rsidRPr="00A82D21">
        <w:rPr>
          <w:rStyle w:val="SCCCounselNameChar"/>
          <w:i w:val="0"/>
          <w:szCs w:val="24"/>
          <w:lang w:val="fr-CA"/>
        </w:rPr>
        <w:t xml:space="preserve">, </w:t>
      </w:r>
      <w:r w:rsidR="00C53DD3" w:rsidRPr="00A82D21">
        <w:rPr>
          <w:rStyle w:val="SCCCounselNameChar"/>
          <w:szCs w:val="24"/>
          <w:lang w:val="fr-CA"/>
        </w:rPr>
        <w:t>Nicolas Guimond</w:t>
      </w:r>
      <w:r w:rsidRPr="00A82D21">
        <w:rPr>
          <w:rStyle w:val="SCCCounselSeparatorChar"/>
          <w:szCs w:val="24"/>
          <w:lang w:val="fr-CA"/>
        </w:rPr>
        <w:t xml:space="preserve"> et </w:t>
      </w:r>
      <w:r w:rsidRPr="00A82D21">
        <w:rPr>
          <w:rStyle w:val="SCCCounselNameChar"/>
          <w:szCs w:val="24"/>
          <w:lang w:val="fr-CA"/>
        </w:rPr>
        <w:t>Claudia Lalancette</w:t>
      </w:r>
      <w:r w:rsidRPr="00A82D21">
        <w:rPr>
          <w:rStyle w:val="SCCCounselPartyRoleChar"/>
          <w:szCs w:val="24"/>
          <w:lang w:val="fr-CA"/>
        </w:rPr>
        <w:t>, pour l</w:t>
      </w:r>
      <w:r w:rsidR="00C53DD3" w:rsidRPr="00A82D21">
        <w:rPr>
          <w:rStyle w:val="SCCCounselPartyRoleChar"/>
          <w:szCs w:val="24"/>
          <w:lang w:val="fr-CA"/>
        </w:rPr>
        <w:t xml:space="preserve">es </w:t>
      </w:r>
      <w:r w:rsidRPr="00A82D21">
        <w:rPr>
          <w:rStyle w:val="SCCCounselPartyRoleChar"/>
          <w:szCs w:val="24"/>
          <w:lang w:val="fr-CA"/>
        </w:rPr>
        <w:t>intimé</w:t>
      </w:r>
      <w:r w:rsidR="00C53DD3" w:rsidRPr="00A82D21">
        <w:rPr>
          <w:rStyle w:val="SCCCounselPartyRoleChar"/>
          <w:szCs w:val="24"/>
          <w:lang w:val="fr-CA"/>
        </w:rPr>
        <w:t>s Simon Jacques</w:t>
      </w:r>
      <w:r w:rsidR="00557086" w:rsidRPr="00A82D21">
        <w:rPr>
          <w:rStyle w:val="SCCCounselPartyRoleChar"/>
          <w:szCs w:val="24"/>
          <w:lang w:val="fr-CA"/>
        </w:rPr>
        <w:t xml:space="preserve"> et autres</w:t>
      </w:r>
      <w:r w:rsidR="00D32358" w:rsidRPr="00A82D21">
        <w:rPr>
          <w:rStyle w:val="SCCCounselPartyRoleChar"/>
          <w:szCs w:val="24"/>
          <w:lang w:val="fr-CA"/>
        </w:rPr>
        <w:t>.</w:t>
      </w:r>
    </w:p>
    <w:p w:rsidR="00E80F96" w:rsidRPr="00A82D21" w:rsidRDefault="00CE23DD" w:rsidP="007962BB">
      <w:pPr>
        <w:pStyle w:val="SCCNormalDoubleSpacing"/>
        <w:widowControl w:val="0"/>
        <w:spacing w:before="480" w:after="480"/>
        <w:rPr>
          <w:szCs w:val="24"/>
          <w:lang w:val="fr-CA"/>
        </w:rPr>
      </w:pPr>
      <w:r w:rsidRPr="00A82D21">
        <w:rPr>
          <w:rStyle w:val="SCCCounselNameChar"/>
          <w:szCs w:val="24"/>
          <w:lang w:val="fr-CA"/>
        </w:rPr>
        <w:tab/>
        <w:t>Dominique</w:t>
      </w:r>
      <w:r w:rsidR="007962BB" w:rsidRPr="00A82D21">
        <w:rPr>
          <w:rStyle w:val="SCCCounselNameChar"/>
          <w:szCs w:val="24"/>
          <w:lang w:val="fr-CA"/>
        </w:rPr>
        <w:t xml:space="preserve"> </w:t>
      </w:r>
      <w:r w:rsidR="00E80F96" w:rsidRPr="00A82D21">
        <w:rPr>
          <w:rStyle w:val="SCCCounselNameChar"/>
          <w:szCs w:val="24"/>
          <w:lang w:val="fr-CA"/>
        </w:rPr>
        <w:t>A. Jobin</w:t>
      </w:r>
      <w:r w:rsidR="00E80F96" w:rsidRPr="00A82D21">
        <w:rPr>
          <w:rStyle w:val="SCCCounselNameChar"/>
          <w:i w:val="0"/>
          <w:szCs w:val="24"/>
          <w:lang w:val="fr-CA"/>
        </w:rPr>
        <w:t xml:space="preserve">, </w:t>
      </w:r>
      <w:r w:rsidR="00E80F96" w:rsidRPr="00A82D21">
        <w:rPr>
          <w:rStyle w:val="SCCCounselNameChar"/>
          <w:szCs w:val="24"/>
          <w:lang w:val="fr-CA"/>
        </w:rPr>
        <w:t>Patricia Blair</w:t>
      </w:r>
      <w:r w:rsidR="00E80F96" w:rsidRPr="00A82D21">
        <w:rPr>
          <w:rStyle w:val="SCCCounselSeparatorChar"/>
          <w:szCs w:val="24"/>
          <w:lang w:val="fr-CA"/>
        </w:rPr>
        <w:t xml:space="preserve">, </w:t>
      </w:r>
      <w:r w:rsidR="00E80F96" w:rsidRPr="00A82D21">
        <w:rPr>
          <w:rStyle w:val="SCCCounselNameChar"/>
          <w:szCs w:val="24"/>
          <w:lang w:val="fr-CA"/>
        </w:rPr>
        <w:t>Émilie</w:t>
      </w:r>
      <w:r w:rsidR="007962BB" w:rsidRPr="00A82D21">
        <w:rPr>
          <w:rStyle w:val="SCCCounselNameChar"/>
          <w:szCs w:val="24"/>
          <w:lang w:val="fr-CA"/>
        </w:rPr>
        <w:t>-</w:t>
      </w:r>
      <w:r w:rsidR="00E80F96" w:rsidRPr="00A82D21">
        <w:rPr>
          <w:rStyle w:val="SCCCounselNameChar"/>
          <w:szCs w:val="24"/>
          <w:lang w:val="fr-CA"/>
        </w:rPr>
        <w:t>Annick Landry</w:t>
      </w:r>
      <w:r w:rsidR="007962BB" w:rsidRPr="00A82D21">
        <w:rPr>
          <w:rStyle w:val="SCCCounselNameChar"/>
          <w:szCs w:val="24"/>
          <w:lang w:val="fr-CA"/>
        </w:rPr>
        <w:t>-</w:t>
      </w:r>
      <w:r w:rsidR="00E80F96" w:rsidRPr="00A82D21">
        <w:rPr>
          <w:rStyle w:val="SCCCounselNameChar"/>
          <w:szCs w:val="24"/>
          <w:lang w:val="fr-CA"/>
        </w:rPr>
        <w:t>Therriault</w:t>
      </w:r>
      <w:r w:rsidR="004A5EA2" w:rsidRPr="00A82D21">
        <w:rPr>
          <w:rStyle w:val="SCCCounselNameChar"/>
          <w:i w:val="0"/>
          <w:szCs w:val="24"/>
          <w:lang w:val="fr-CA"/>
        </w:rPr>
        <w:t xml:space="preserve"> et</w:t>
      </w:r>
      <w:r w:rsidR="00E80F96" w:rsidRPr="00A82D21">
        <w:rPr>
          <w:rStyle w:val="SCCCounselNameChar"/>
          <w:szCs w:val="24"/>
          <w:lang w:val="fr-CA"/>
        </w:rPr>
        <w:t xml:space="preserve"> Jean</w:t>
      </w:r>
      <w:r w:rsidR="007962BB" w:rsidRPr="00A82D21">
        <w:rPr>
          <w:rStyle w:val="SCCCounselNameChar"/>
          <w:szCs w:val="24"/>
          <w:lang w:val="fr-CA"/>
        </w:rPr>
        <w:t>-</w:t>
      </w:r>
      <w:r w:rsidR="00E80F96" w:rsidRPr="00A82D21">
        <w:rPr>
          <w:rStyle w:val="SCCCounselNameChar"/>
          <w:szCs w:val="24"/>
          <w:lang w:val="fr-CA"/>
        </w:rPr>
        <w:t>Vincent Lacroix</w:t>
      </w:r>
      <w:r w:rsidR="004A5EA2" w:rsidRPr="00A82D21">
        <w:rPr>
          <w:rStyle w:val="SCCCounselSeparatorChar"/>
          <w:szCs w:val="24"/>
          <w:lang w:val="fr-CA"/>
        </w:rPr>
        <w:t xml:space="preserve">, </w:t>
      </w:r>
      <w:r w:rsidR="00E80F96" w:rsidRPr="00A82D21">
        <w:rPr>
          <w:rStyle w:val="SCCCounselPartyRoleChar"/>
          <w:szCs w:val="24"/>
          <w:lang w:val="fr-CA"/>
        </w:rPr>
        <w:t>pour l</w:t>
      </w:r>
      <w:r w:rsidR="00D70D07" w:rsidRPr="00A82D21">
        <w:rPr>
          <w:rStyle w:val="SCCCounselPartyRoleChar"/>
          <w:szCs w:val="24"/>
          <w:lang w:val="fr-CA"/>
        </w:rPr>
        <w:t>’</w:t>
      </w:r>
      <w:r w:rsidR="00E80F96" w:rsidRPr="00A82D21">
        <w:rPr>
          <w:rStyle w:val="SCCCounselPartyRoleChar"/>
          <w:szCs w:val="24"/>
          <w:lang w:val="fr-CA"/>
        </w:rPr>
        <w:t>intimé</w:t>
      </w:r>
      <w:r w:rsidR="004A5EA2" w:rsidRPr="00A82D21">
        <w:rPr>
          <w:rStyle w:val="SCCCounselPartyRoleChar"/>
          <w:szCs w:val="24"/>
          <w:lang w:val="fr-CA"/>
        </w:rPr>
        <w:t xml:space="preserve"> le procureur général du Québec</w:t>
      </w:r>
      <w:r w:rsidR="00E80F96" w:rsidRPr="00A82D21">
        <w:rPr>
          <w:rStyle w:val="SCCCounselPartyRoleChar"/>
          <w:szCs w:val="24"/>
          <w:lang w:val="fr-CA"/>
        </w:rPr>
        <w:t>.</w:t>
      </w:r>
    </w:p>
    <w:p w:rsidR="00E80F96" w:rsidRPr="00A82D21" w:rsidRDefault="00E80F96" w:rsidP="007962BB">
      <w:pPr>
        <w:pStyle w:val="SCCNormalDoubleSpacing"/>
        <w:widowControl w:val="0"/>
        <w:spacing w:before="480" w:after="480"/>
        <w:rPr>
          <w:szCs w:val="24"/>
          <w:lang w:val="fr-CA"/>
        </w:rPr>
      </w:pPr>
      <w:r w:rsidRPr="00A82D21">
        <w:rPr>
          <w:rStyle w:val="SCCCounselNameChar"/>
          <w:szCs w:val="24"/>
          <w:lang w:val="fr-CA"/>
        </w:rPr>
        <w:tab/>
      </w:r>
      <w:r w:rsidR="004A5EA2" w:rsidRPr="00A82D21">
        <w:rPr>
          <w:rStyle w:val="SCCCounselNameChar"/>
          <w:szCs w:val="24"/>
          <w:lang w:val="fr-CA"/>
        </w:rPr>
        <w:t xml:space="preserve">François Lacasse </w:t>
      </w:r>
      <w:r w:rsidR="004A5EA2" w:rsidRPr="00A82D21">
        <w:rPr>
          <w:rStyle w:val="SCCCounselNameChar"/>
          <w:i w:val="0"/>
          <w:szCs w:val="24"/>
          <w:lang w:val="fr-CA"/>
        </w:rPr>
        <w:t xml:space="preserve">et </w:t>
      </w:r>
      <w:r w:rsidRPr="00A82D21">
        <w:rPr>
          <w:rStyle w:val="SCCCounselNameChar"/>
          <w:szCs w:val="24"/>
          <w:lang w:val="fr-CA"/>
        </w:rPr>
        <w:t>Stéphane Hould</w:t>
      </w:r>
      <w:r w:rsidRPr="00A82D21">
        <w:rPr>
          <w:rStyle w:val="SCCCounselPartyRoleChar"/>
          <w:szCs w:val="24"/>
          <w:lang w:val="fr-CA"/>
        </w:rPr>
        <w:t>, pour l</w:t>
      </w:r>
      <w:r w:rsidR="00D70D07" w:rsidRPr="00A82D21">
        <w:rPr>
          <w:rStyle w:val="SCCCounselPartyRoleChar"/>
          <w:szCs w:val="24"/>
          <w:lang w:val="fr-CA"/>
        </w:rPr>
        <w:t>’</w:t>
      </w:r>
      <w:r w:rsidRPr="00A82D21">
        <w:rPr>
          <w:rStyle w:val="SCCCounselPartyRoleChar"/>
          <w:szCs w:val="24"/>
          <w:lang w:val="fr-CA"/>
        </w:rPr>
        <w:t>intimé</w:t>
      </w:r>
      <w:r w:rsidR="004A5EA2" w:rsidRPr="00A82D21">
        <w:rPr>
          <w:rStyle w:val="SCCCounselPartyRoleChar"/>
          <w:szCs w:val="24"/>
          <w:lang w:val="fr-CA"/>
        </w:rPr>
        <w:t xml:space="preserve"> le directeur des poursuites pénales du Canada</w:t>
      </w:r>
      <w:r w:rsidRPr="00A82D21">
        <w:rPr>
          <w:rStyle w:val="SCCCounselPartyRoleChar"/>
          <w:szCs w:val="24"/>
          <w:lang w:val="fr-CA"/>
        </w:rPr>
        <w:t>.</w:t>
      </w:r>
    </w:p>
    <w:p w:rsidR="0085213F" w:rsidRPr="00A82D21" w:rsidRDefault="0085213F" w:rsidP="007962BB">
      <w:pPr>
        <w:pStyle w:val="SCCNormalDoubleSpacing"/>
        <w:widowControl w:val="0"/>
        <w:spacing w:before="480" w:after="480"/>
        <w:rPr>
          <w:szCs w:val="24"/>
          <w:lang w:val="fr-CA"/>
        </w:rPr>
      </w:pPr>
      <w:r w:rsidRPr="00A82D21">
        <w:rPr>
          <w:rStyle w:val="SCCCounselNameChar"/>
          <w:szCs w:val="24"/>
          <w:lang w:val="fr-CA"/>
        </w:rPr>
        <w:tab/>
        <w:t>Deborah Calderwood</w:t>
      </w:r>
      <w:r w:rsidRPr="00A82D21">
        <w:rPr>
          <w:rStyle w:val="SCCCounselNameChar"/>
          <w:i w:val="0"/>
          <w:szCs w:val="24"/>
          <w:lang w:val="fr-CA"/>
        </w:rPr>
        <w:t xml:space="preserve"> et </w:t>
      </w:r>
      <w:r w:rsidRPr="00A82D21">
        <w:rPr>
          <w:rStyle w:val="SCCCounselNameChar"/>
          <w:szCs w:val="24"/>
          <w:lang w:val="fr-CA"/>
        </w:rPr>
        <w:t>Megan Stephens</w:t>
      </w:r>
      <w:r w:rsidRPr="00A82D21">
        <w:rPr>
          <w:rStyle w:val="SCCCounselPartyRoleChar"/>
          <w:szCs w:val="24"/>
          <w:lang w:val="fr-CA"/>
        </w:rPr>
        <w:t>, pour l</w:t>
      </w:r>
      <w:r w:rsidR="00D70D07" w:rsidRPr="00A82D21">
        <w:rPr>
          <w:rStyle w:val="SCCCounselPartyRoleChar"/>
          <w:szCs w:val="24"/>
          <w:lang w:val="fr-CA"/>
        </w:rPr>
        <w:t>’</w:t>
      </w:r>
      <w:r w:rsidRPr="00A82D21">
        <w:rPr>
          <w:rStyle w:val="SCCCounselPartyRoleChar"/>
          <w:szCs w:val="24"/>
          <w:lang w:val="fr-CA"/>
        </w:rPr>
        <w:t>intervenant le procureur général de l</w:t>
      </w:r>
      <w:r w:rsidR="00D70D07" w:rsidRPr="00A82D21">
        <w:rPr>
          <w:rStyle w:val="SCCCounselPartyRoleChar"/>
          <w:szCs w:val="24"/>
          <w:lang w:val="fr-CA"/>
        </w:rPr>
        <w:t>’</w:t>
      </w:r>
      <w:r w:rsidRPr="00A82D21">
        <w:rPr>
          <w:rStyle w:val="SCCCounselPartyRoleChar"/>
          <w:szCs w:val="24"/>
          <w:lang w:val="fr-CA"/>
        </w:rPr>
        <w:t>Ontario.</w:t>
      </w:r>
    </w:p>
    <w:p w:rsidR="003D19FF" w:rsidRPr="00A82D21" w:rsidRDefault="00F618C1" w:rsidP="00F618C1">
      <w:pPr>
        <w:pStyle w:val="SCCNormalDoubleSpacing"/>
        <w:widowControl w:val="0"/>
        <w:spacing w:before="480" w:after="480"/>
        <w:rPr>
          <w:szCs w:val="24"/>
          <w:lang w:val="fr-CA"/>
        </w:rPr>
      </w:pPr>
      <w:r w:rsidRPr="00A82D21">
        <w:rPr>
          <w:szCs w:val="24"/>
          <w:lang w:val="fr-CA"/>
        </w:rPr>
        <w:lastRenderedPageBreak/>
        <w:tab/>
        <w:t xml:space="preserve">Le </w:t>
      </w:r>
      <w:r w:rsidRPr="00A82D21">
        <w:rPr>
          <w:rStyle w:val="SCCCounselPartyRoleChar"/>
          <w:szCs w:val="24"/>
          <w:lang w:val="fr-CA"/>
        </w:rPr>
        <w:t>jugement</w:t>
      </w:r>
      <w:r w:rsidRPr="00A82D21">
        <w:rPr>
          <w:szCs w:val="24"/>
          <w:lang w:val="fr-CA"/>
        </w:rPr>
        <w:t xml:space="preserve"> des juges LeBel, Rothstein, Cromwell, Moldaver et Wagner a été rendu par</w:t>
      </w:r>
    </w:p>
    <w:p w:rsidR="007962BB" w:rsidRPr="00A82D21" w:rsidRDefault="007962BB" w:rsidP="00F618C1">
      <w:pPr>
        <w:pStyle w:val="TitleTitre-AltT"/>
        <w:widowControl w:val="0"/>
        <w:tabs>
          <w:tab w:val="clear" w:pos="360"/>
          <w:tab w:val="left" w:pos="1170"/>
        </w:tabs>
        <w:rPr>
          <w:rFonts w:cs="Times New Roman"/>
          <w:szCs w:val="24"/>
          <w:lang w:val="fr-CA"/>
        </w:rPr>
      </w:pPr>
      <w:r w:rsidRPr="00A82D21">
        <w:rPr>
          <w:rFonts w:cs="Times New Roman"/>
          <w:szCs w:val="24"/>
          <w:lang w:val="fr-CA"/>
        </w:rPr>
        <w:tab/>
      </w:r>
      <w:r w:rsidR="00F618C1" w:rsidRPr="00A82D21">
        <w:rPr>
          <w:rFonts w:cs="Times New Roman"/>
          <w:szCs w:val="24"/>
          <w:lang w:val="fr-CA"/>
        </w:rPr>
        <w:tab/>
      </w:r>
      <w:r w:rsidRPr="00A82D21">
        <w:rPr>
          <w:rFonts w:cs="Times New Roman"/>
          <w:smallCaps/>
          <w:szCs w:val="24"/>
          <w:lang w:val="fr-CA"/>
        </w:rPr>
        <w:t>Les juges LeBel et Wagner</w:t>
      </w:r>
      <w:r w:rsidRPr="00A82D21">
        <w:rPr>
          <w:rFonts w:cs="Times New Roman"/>
          <w:szCs w:val="24"/>
          <w:lang w:val="fr-CA"/>
        </w:rPr>
        <w:t xml:space="preserve"> — </w:t>
      </w:r>
    </w:p>
    <w:p w:rsidR="007962BB" w:rsidRPr="00A82D21" w:rsidRDefault="007962BB" w:rsidP="007962BB">
      <w:pPr>
        <w:pStyle w:val="Title1LevelTitre1Niveau-AltL"/>
        <w:widowControl w:val="0"/>
        <w:rPr>
          <w:rFonts w:cs="Times New Roman"/>
          <w:szCs w:val="24"/>
        </w:rPr>
      </w:pPr>
      <w:r w:rsidRPr="00A82D21">
        <w:rPr>
          <w:rFonts w:cs="Times New Roman"/>
          <w:szCs w:val="24"/>
        </w:rPr>
        <w:t>Introduction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pourvois dont nous sommes saisis portent sur la question de savoir si une partie à un recours civil peut demander que lui soient communiqués des enregistrements de conversations privées interceptées par l’État dans le cadre d’une enquête pénale. </w:t>
      </w:r>
    </w:p>
    <w:p w:rsidR="007962BB" w:rsidRPr="00A82D21" w:rsidRDefault="007962BB" w:rsidP="007962BB">
      <w:pPr>
        <w:pStyle w:val="Title1LevelTitre1Niveau-AltL"/>
        <w:widowControl w:val="0"/>
        <w:rPr>
          <w:rFonts w:cs="Times New Roman"/>
          <w:szCs w:val="24"/>
        </w:rPr>
      </w:pPr>
      <w:r w:rsidRPr="00A82D21">
        <w:rPr>
          <w:rFonts w:cs="Times New Roman"/>
          <w:szCs w:val="24"/>
        </w:rPr>
        <w:t>L’origine du litige</w:t>
      </w:r>
      <w:r w:rsidRPr="00A82D21">
        <w:rPr>
          <w:rFonts w:cs="Times New Roman"/>
          <w:szCs w:val="24"/>
          <w:u w:val="none"/>
        </w:rPr>
        <w:t xml:space="preserv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Au tout début de l’été 2004, le Bureau de la concurrence du Canada entreprend une enquête (</w:t>
      </w:r>
      <w:r w:rsidR="003D19FF" w:rsidRPr="00A82D21">
        <w:rPr>
          <w:rFonts w:cs="Times New Roman"/>
          <w:szCs w:val="24"/>
          <w:lang w:val="fr-CA"/>
        </w:rPr>
        <w:t>« </w:t>
      </w:r>
      <w:r w:rsidRPr="00A82D21">
        <w:rPr>
          <w:rFonts w:cs="Times New Roman"/>
          <w:szCs w:val="24"/>
          <w:lang w:val="fr-CA"/>
        </w:rPr>
        <w:t>l’enquête Octane</w:t>
      </w:r>
      <w:r w:rsidR="003D19FF" w:rsidRPr="00A82D21">
        <w:rPr>
          <w:rFonts w:cs="Times New Roman"/>
          <w:szCs w:val="24"/>
          <w:lang w:val="fr-CA"/>
        </w:rPr>
        <w:t> »</w:t>
      </w:r>
      <w:r w:rsidRPr="00A82D21">
        <w:rPr>
          <w:rFonts w:cs="Times New Roman"/>
          <w:szCs w:val="24"/>
          <w:lang w:val="fr-CA"/>
        </w:rPr>
        <w:t xml:space="preserve">) sur des allégations de complot en vue de fixer les prix de l’essence à la pompe dans certaines régions du Québec. Pour mener à bien cette enquête, le Bureau de la concurrence obtient de la Cour du Québec, en vertu de la partie VI du </w:t>
      </w:r>
      <w:r w:rsidRPr="00A82D21">
        <w:rPr>
          <w:rFonts w:cs="Times New Roman"/>
          <w:i/>
          <w:szCs w:val="24"/>
          <w:lang w:val="fr-CA"/>
        </w:rPr>
        <w:t>Code criminel</w:t>
      </w:r>
      <w:r w:rsidRPr="00A82D21">
        <w:rPr>
          <w:rFonts w:cs="Times New Roman"/>
          <w:szCs w:val="24"/>
          <w:lang w:val="fr-CA"/>
        </w:rPr>
        <w:t>, L.R.C. 1985, ch. C-46 (</w:t>
      </w:r>
      <w:r w:rsidR="003D19FF" w:rsidRPr="00A82D21">
        <w:rPr>
          <w:rFonts w:cs="Times New Roman"/>
          <w:szCs w:val="24"/>
          <w:lang w:val="fr-CA"/>
        </w:rPr>
        <w:t>« </w:t>
      </w:r>
      <w:r w:rsidRPr="00A82D21">
        <w:rPr>
          <w:rFonts w:cs="Times New Roman"/>
          <w:i/>
          <w:szCs w:val="24"/>
          <w:lang w:val="fr-CA"/>
        </w:rPr>
        <w:t>C. cr.</w:t>
      </w:r>
      <w:r w:rsidR="003D19FF" w:rsidRPr="00A82D21">
        <w:rPr>
          <w:rFonts w:cs="Times New Roman"/>
          <w:szCs w:val="24"/>
          <w:lang w:val="fr-CA"/>
        </w:rPr>
        <w:t> »</w:t>
      </w:r>
      <w:r w:rsidRPr="00A82D21">
        <w:rPr>
          <w:rFonts w:cs="Times New Roman"/>
          <w:szCs w:val="24"/>
          <w:lang w:val="fr-CA"/>
        </w:rPr>
        <w:t>), sept autorisations judiciaires qui lui permettent d’intercepter et d’enregistrer plus de 220 000 communications privées.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L’enquête Octane conduit, en 2008, au dépôt d’une série d’accusations contre 13 personnes physiques et 11 personnes morales. L’État reproche à ces personnes d’avoir comploté pour fixer les prix à la pompe dans différentes villes des </w:t>
      </w:r>
      <w:r w:rsidRPr="00A82D21">
        <w:rPr>
          <w:rFonts w:cs="Times New Roman"/>
          <w:szCs w:val="24"/>
          <w:lang w:val="fr-CA"/>
        </w:rPr>
        <w:lastRenderedPageBreak/>
        <w:t>régions suivantes : Estrie, Chaudière-Appalaches et Centre-du-Québec. En juillet 2010 et septembre 2012, d’autres accusations pour les mêmes infractions sont déposées contre 30 autres personnes, portant ainsi le nombre total d’accusés à 54. Un certain nombre des appelants devant notre Cour ont fait ou font toujours partie de ces accusés.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Parallèlement aux procédures pénales, les intimés Simon Jacques, Marcel Lafontaine et l’Association pour la protection automobile (</w:t>
      </w:r>
      <w:r w:rsidR="003D19FF" w:rsidRPr="00A82D21">
        <w:rPr>
          <w:rFonts w:cs="Times New Roman"/>
          <w:szCs w:val="24"/>
          <w:lang w:val="fr-CA"/>
        </w:rPr>
        <w:t>« </w:t>
      </w:r>
      <w:r w:rsidRPr="00A82D21">
        <w:rPr>
          <w:rFonts w:cs="Times New Roman"/>
          <w:szCs w:val="24"/>
          <w:lang w:val="fr-CA"/>
        </w:rPr>
        <w:t>Jacques et autres</w:t>
      </w:r>
      <w:r w:rsidR="003D19FF" w:rsidRPr="00A82D21">
        <w:rPr>
          <w:rFonts w:cs="Times New Roman"/>
          <w:szCs w:val="24"/>
          <w:lang w:val="fr-CA"/>
        </w:rPr>
        <w:t> »</w:t>
      </w:r>
      <w:r w:rsidRPr="00A82D21">
        <w:rPr>
          <w:rFonts w:cs="Times New Roman"/>
          <w:szCs w:val="24"/>
          <w:lang w:val="fr-CA"/>
        </w:rPr>
        <w:t xml:space="preserve">) intentent, devant la Cour supérieure du Québec, un recours collectif contre plusieurs personnes, dont les appelants. Ils leur reprochent d’avoir violé les devoirs que leur imposent les </w:t>
      </w:r>
      <w:proofErr w:type="gramStart"/>
      <w:r w:rsidRPr="00A82D21">
        <w:rPr>
          <w:rFonts w:cs="Times New Roman"/>
          <w:szCs w:val="24"/>
          <w:lang w:val="fr-CA"/>
        </w:rPr>
        <w:t>art</w:t>
      </w:r>
      <w:proofErr w:type="gramEnd"/>
      <w:r w:rsidRPr="00A82D21">
        <w:rPr>
          <w:rFonts w:cs="Times New Roman"/>
          <w:szCs w:val="24"/>
          <w:lang w:val="fr-CA"/>
        </w:rPr>
        <w:t xml:space="preserve">. 1457 du </w:t>
      </w:r>
      <w:r w:rsidRPr="00A82D21">
        <w:rPr>
          <w:rFonts w:cs="Times New Roman"/>
          <w:i/>
          <w:szCs w:val="24"/>
          <w:lang w:val="fr-CA"/>
        </w:rPr>
        <w:t>Code civil du Québec</w:t>
      </w:r>
      <w:r w:rsidRPr="00A82D21">
        <w:rPr>
          <w:rFonts w:cs="Times New Roman"/>
          <w:szCs w:val="24"/>
          <w:lang w:val="fr-CA"/>
        </w:rPr>
        <w:t xml:space="preserve"> (</w:t>
      </w:r>
      <w:r w:rsidR="003D19FF" w:rsidRPr="00A82D21">
        <w:rPr>
          <w:rFonts w:cs="Times New Roman"/>
          <w:szCs w:val="24"/>
          <w:lang w:val="fr-CA"/>
        </w:rPr>
        <w:t>« </w:t>
      </w:r>
      <w:r w:rsidRPr="00A82D21">
        <w:rPr>
          <w:rFonts w:cs="Times New Roman"/>
          <w:i/>
          <w:szCs w:val="24"/>
          <w:lang w:val="fr-CA"/>
        </w:rPr>
        <w:t>C.c.Q.</w:t>
      </w:r>
      <w:r w:rsidR="003D19FF" w:rsidRPr="00A82D21">
        <w:rPr>
          <w:rFonts w:cs="Times New Roman"/>
          <w:szCs w:val="24"/>
          <w:lang w:val="fr-CA"/>
        </w:rPr>
        <w:t> »</w:t>
      </w:r>
      <w:r w:rsidRPr="00A82D21">
        <w:rPr>
          <w:rFonts w:cs="Times New Roman"/>
          <w:szCs w:val="24"/>
          <w:lang w:val="fr-CA"/>
        </w:rPr>
        <w:t xml:space="preserve">) et 36 de la </w:t>
      </w:r>
      <w:r w:rsidRPr="00A82D21">
        <w:rPr>
          <w:rFonts w:cs="Times New Roman"/>
          <w:i/>
          <w:szCs w:val="24"/>
          <w:lang w:val="fr-CA"/>
        </w:rPr>
        <w:t>Loi sur la concurrence</w:t>
      </w:r>
      <w:r w:rsidRPr="00A82D21">
        <w:rPr>
          <w:rFonts w:cs="Times New Roman"/>
          <w:szCs w:val="24"/>
          <w:lang w:val="fr-CA"/>
        </w:rPr>
        <w:t>, L.R.C. 1985, ch. C-34, en se livrant à des activités anticoncurrentielles. Le 30 novembre 2009, la Cour supérieure autorise l’exercice de ce recours collectif (</w:t>
      </w:r>
      <w:r w:rsidRPr="00A82D21">
        <w:rPr>
          <w:rFonts w:cs="Times New Roman"/>
          <w:i/>
          <w:szCs w:val="24"/>
          <w:lang w:val="fr-CA"/>
        </w:rPr>
        <w:t>Jacques c.</w:t>
      </w:r>
      <w:r w:rsidRPr="00A82D21">
        <w:rPr>
          <w:rFonts w:cs="Times New Roman"/>
          <w:szCs w:val="24"/>
          <w:lang w:val="fr-CA"/>
        </w:rPr>
        <w:t xml:space="preserve"> </w:t>
      </w:r>
      <w:r w:rsidRPr="00A82D21">
        <w:rPr>
          <w:rFonts w:cs="Times New Roman"/>
          <w:i/>
          <w:szCs w:val="24"/>
          <w:lang w:val="fr-CA"/>
        </w:rPr>
        <w:t>Petro-Canada</w:t>
      </w:r>
      <w:r w:rsidRPr="00A82D21">
        <w:rPr>
          <w:rFonts w:cs="Times New Roman"/>
          <w:szCs w:val="24"/>
          <w:lang w:val="fr-CA"/>
        </w:rPr>
        <w:t>, 2009 QCCS 5603 (CanLII)), lequel sera amendé par la suite.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 8 décembre 2011, dans le but d’étayer leur recours, les intimés déposent une requête sollicitant la communication de documents conformément à l’art. 402 du </w:t>
      </w:r>
      <w:r w:rsidRPr="00A82D21">
        <w:rPr>
          <w:rFonts w:cs="Times New Roman"/>
          <w:i/>
          <w:szCs w:val="24"/>
          <w:lang w:val="fr-CA"/>
        </w:rPr>
        <w:t>Code de procédure civile</w:t>
      </w:r>
      <w:r w:rsidRPr="00A82D21">
        <w:rPr>
          <w:rFonts w:cs="Times New Roman"/>
          <w:szCs w:val="24"/>
          <w:lang w:val="fr-CA"/>
        </w:rPr>
        <w:t>, RLRQ</w:t>
      </w:r>
      <w:r w:rsidR="00F618C1" w:rsidRPr="00A82D21">
        <w:rPr>
          <w:rFonts w:cs="Times New Roman"/>
          <w:szCs w:val="24"/>
          <w:lang w:val="fr-CA"/>
        </w:rPr>
        <w:t>,</w:t>
      </w:r>
      <w:r w:rsidRPr="00A82D21">
        <w:rPr>
          <w:rFonts w:cs="Times New Roman"/>
          <w:szCs w:val="24"/>
          <w:lang w:val="fr-CA"/>
        </w:rPr>
        <w:t xml:space="preserve"> ch. C-25 (</w:t>
      </w:r>
      <w:r w:rsidR="003D19FF" w:rsidRPr="00A82D21">
        <w:rPr>
          <w:rFonts w:cs="Times New Roman"/>
          <w:szCs w:val="24"/>
          <w:lang w:val="fr-CA"/>
        </w:rPr>
        <w:t>« </w:t>
      </w:r>
      <w:r w:rsidRPr="00A82D21">
        <w:rPr>
          <w:rFonts w:cs="Times New Roman"/>
          <w:i/>
          <w:szCs w:val="24"/>
          <w:lang w:val="fr-CA"/>
        </w:rPr>
        <w:t>C.p.c.</w:t>
      </w:r>
      <w:r w:rsidR="003D19FF" w:rsidRPr="00A82D21">
        <w:rPr>
          <w:rFonts w:cs="Times New Roman"/>
          <w:szCs w:val="24"/>
          <w:lang w:val="fr-CA"/>
        </w:rPr>
        <w:t> »</w:t>
      </w:r>
      <w:r w:rsidR="006C4060" w:rsidRPr="00A82D21">
        <w:rPr>
          <w:rFonts w:cs="Times New Roman"/>
          <w:szCs w:val="24"/>
          <w:lang w:val="fr-CA"/>
        </w:rPr>
        <w:t>). Ils demandent au d</w:t>
      </w:r>
      <w:r w:rsidRPr="00A82D21">
        <w:rPr>
          <w:rFonts w:cs="Times New Roman"/>
          <w:szCs w:val="24"/>
          <w:lang w:val="fr-CA"/>
        </w:rPr>
        <w:t>irecteur des poursuites pénales du Canada (</w:t>
      </w:r>
      <w:r w:rsidR="003D19FF" w:rsidRPr="00A82D21">
        <w:rPr>
          <w:rFonts w:cs="Times New Roman"/>
          <w:szCs w:val="24"/>
          <w:lang w:val="fr-CA"/>
        </w:rPr>
        <w:t>« </w:t>
      </w:r>
      <w:r w:rsidRPr="00A82D21">
        <w:rPr>
          <w:rFonts w:cs="Times New Roman"/>
          <w:szCs w:val="24"/>
          <w:lang w:val="fr-CA"/>
        </w:rPr>
        <w:t>DPP</w:t>
      </w:r>
      <w:r w:rsidR="003D19FF" w:rsidRPr="00A82D21">
        <w:rPr>
          <w:rFonts w:cs="Times New Roman"/>
          <w:szCs w:val="24"/>
          <w:lang w:val="fr-CA"/>
        </w:rPr>
        <w:t> »</w:t>
      </w:r>
      <w:r w:rsidRPr="00A82D21">
        <w:rPr>
          <w:rFonts w:cs="Times New Roman"/>
          <w:szCs w:val="24"/>
          <w:lang w:val="fr-CA"/>
        </w:rPr>
        <w:t>), ainsi qu’au Bureau de la concurrence, de leur communiquer l’ensemble des communications privées interceptées durant l’enquête Octane. Peu avant l’audition de cette requête, les intimés en réduisent la portée aux enregistrements déjà divulgués aux accusés dans le cadre des procédures pénales parallèles. Les appelants s’opposent à cette requête.</w:t>
      </w:r>
    </w:p>
    <w:p w:rsidR="007962BB" w:rsidRPr="00A82D21" w:rsidRDefault="007962BB" w:rsidP="007962BB">
      <w:pPr>
        <w:pStyle w:val="Title1LevelTitre1Niveau-AltL"/>
        <w:widowControl w:val="0"/>
        <w:rPr>
          <w:rFonts w:cs="Times New Roman"/>
          <w:szCs w:val="24"/>
          <w:lang w:val="fr-CA"/>
        </w:rPr>
      </w:pPr>
      <w:r w:rsidRPr="00A82D21">
        <w:rPr>
          <w:rFonts w:cs="Times New Roman"/>
          <w:szCs w:val="24"/>
          <w:lang w:val="fr-CA"/>
        </w:rPr>
        <w:lastRenderedPageBreak/>
        <w:t>Historique judiciaire</w:t>
      </w:r>
    </w:p>
    <w:p w:rsidR="007962BB" w:rsidRPr="00A82D21" w:rsidRDefault="007962BB" w:rsidP="007962BB">
      <w:pPr>
        <w:pStyle w:val="Title2LevelTitre2Niveau"/>
        <w:widowControl w:val="0"/>
        <w:rPr>
          <w:rFonts w:cs="Times New Roman"/>
          <w:szCs w:val="24"/>
          <w:lang w:val="fr-CA"/>
        </w:rPr>
      </w:pPr>
      <w:r w:rsidRPr="00A82D21">
        <w:rPr>
          <w:rFonts w:cs="Times New Roman"/>
          <w:szCs w:val="24"/>
          <w:lang w:val="fr-CA"/>
        </w:rPr>
        <w:t>Décision de la Cour supérieure (2012 QCCS 2954 (CanLII))</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 28 juin 2012, la juge Bélanger, alors juge à la Cour supérieure, accueille la requête des intimés. Elle ordonne au Bureau de la concurrence et au DPP de communiquer uniquement aux avocats et experts participant aux procédures civiles les enregistrements demandés et de filtrer ceux-ci afin de protéger la vie privée des </w:t>
      </w:r>
      <w:r w:rsidR="003D19FF" w:rsidRPr="00A82D21">
        <w:rPr>
          <w:rFonts w:cs="Times New Roman"/>
          <w:szCs w:val="24"/>
          <w:lang w:val="fr-CA"/>
        </w:rPr>
        <w:t>« </w:t>
      </w:r>
      <w:r w:rsidRPr="00A82D21">
        <w:rPr>
          <w:rFonts w:cs="Times New Roman"/>
          <w:szCs w:val="24"/>
          <w:lang w:val="fr-CA"/>
        </w:rPr>
        <w:t>tiers complètement étrangers au litige</w:t>
      </w:r>
      <w:r w:rsidR="003D19FF" w:rsidRPr="00A82D21">
        <w:rPr>
          <w:rFonts w:cs="Times New Roman"/>
          <w:szCs w:val="24"/>
          <w:lang w:val="fr-CA"/>
        </w:rPr>
        <w:t> »</w:t>
      </w:r>
      <w:r w:rsidRPr="00A82D21">
        <w:rPr>
          <w:rFonts w:cs="Times New Roman"/>
          <w:szCs w:val="24"/>
          <w:lang w:val="fr-CA"/>
        </w:rPr>
        <w:t xml:space="preserve"> (par. 98).</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Au soutien de sa décision, la juge Bélanger souligne d’abord que, dans la mesure où un élément de preuve en la possession d’un tiers est pertinent, les tribunaux détiennent le pouvoir d’en ordonner la communication (art. 402 et 1045 </w:t>
      </w:r>
      <w:r w:rsidRPr="00A82D21">
        <w:rPr>
          <w:rFonts w:cs="Times New Roman"/>
          <w:i/>
          <w:szCs w:val="24"/>
          <w:lang w:val="fr-CA"/>
        </w:rPr>
        <w:t>C.p.c.</w:t>
      </w:r>
      <w:r w:rsidRPr="00A82D21">
        <w:rPr>
          <w:rFonts w:cs="Times New Roman"/>
          <w:szCs w:val="24"/>
          <w:lang w:val="fr-CA"/>
        </w:rPr>
        <w:t xml:space="preserve">). Ce pouvoir est toutefois restreint si l’élément de preuve est visé par une immunité de divulgation. Or, estime-t-elle, ce n’est pas le cas en l’espèce. En effet, contrairement aux prétentions des appelants, ni la </w:t>
      </w:r>
      <w:r w:rsidRPr="00A82D21">
        <w:rPr>
          <w:rFonts w:cs="Times New Roman"/>
          <w:i/>
          <w:szCs w:val="24"/>
          <w:lang w:val="fr-CA"/>
        </w:rPr>
        <w:t>Loi sur la concurrence</w:t>
      </w:r>
      <w:r w:rsidRPr="00A82D21">
        <w:rPr>
          <w:rFonts w:cs="Times New Roman"/>
          <w:szCs w:val="24"/>
          <w:lang w:val="fr-CA"/>
        </w:rPr>
        <w:t xml:space="preserve"> ni le </w:t>
      </w:r>
      <w:r w:rsidRPr="00A82D21">
        <w:rPr>
          <w:rFonts w:cs="Times New Roman"/>
          <w:i/>
          <w:szCs w:val="24"/>
          <w:lang w:val="fr-CA"/>
        </w:rPr>
        <w:t>Code criminel</w:t>
      </w:r>
      <w:r w:rsidRPr="00A82D21">
        <w:rPr>
          <w:rFonts w:cs="Times New Roman"/>
          <w:szCs w:val="24"/>
          <w:lang w:val="fr-CA"/>
        </w:rPr>
        <w:t xml:space="preserve"> ne créent une telle immunité. D’une part, l’art. 29 de la </w:t>
      </w:r>
      <w:r w:rsidRPr="00A82D21">
        <w:rPr>
          <w:rFonts w:cs="Times New Roman"/>
          <w:i/>
          <w:szCs w:val="24"/>
          <w:lang w:val="fr-CA"/>
        </w:rPr>
        <w:t>Loi sur la concurrence</w:t>
      </w:r>
      <w:r w:rsidRPr="00A82D21">
        <w:rPr>
          <w:rFonts w:cs="Times New Roman"/>
          <w:szCs w:val="24"/>
          <w:lang w:val="fr-CA"/>
        </w:rPr>
        <w:t xml:space="preserve"> permet expressément qu’une preuve obtenue soit communiquée </w:t>
      </w:r>
      <w:r w:rsidR="003D19FF" w:rsidRPr="00A82D21">
        <w:rPr>
          <w:rFonts w:cs="Times New Roman"/>
          <w:szCs w:val="24"/>
          <w:lang w:val="fr-CA"/>
        </w:rPr>
        <w:t>« </w:t>
      </w:r>
      <w:r w:rsidRPr="00A82D21">
        <w:rPr>
          <w:rFonts w:cs="Times New Roman"/>
          <w:szCs w:val="24"/>
          <w:lang w:val="fr-CA"/>
        </w:rPr>
        <w:t>dans le cadre de l’application ou du contrôle</w:t>
      </w:r>
      <w:r w:rsidR="003D19FF" w:rsidRPr="00A82D21">
        <w:rPr>
          <w:rFonts w:cs="Times New Roman"/>
          <w:szCs w:val="24"/>
          <w:lang w:val="fr-CA"/>
        </w:rPr>
        <w:t> »</w:t>
      </w:r>
      <w:r w:rsidRPr="00A82D21">
        <w:rPr>
          <w:rFonts w:cs="Times New Roman"/>
          <w:szCs w:val="24"/>
          <w:lang w:val="fr-CA"/>
        </w:rPr>
        <w:t xml:space="preserve"> de cette loi, ce qui est le cas en l’espèce. D’autre part,</w:t>
      </w:r>
      <w:r w:rsidRPr="00A82D21">
        <w:rPr>
          <w:rFonts w:cs="Times New Roman"/>
          <w:i/>
          <w:szCs w:val="24"/>
          <w:lang w:val="fr-CA"/>
        </w:rPr>
        <w:t xml:space="preserve"> </w:t>
      </w:r>
      <w:r w:rsidRPr="00A82D21">
        <w:rPr>
          <w:rFonts w:cs="Times New Roman"/>
          <w:szCs w:val="24"/>
          <w:lang w:val="fr-CA"/>
        </w:rPr>
        <w:t>aux termes de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 xml:space="preserve">C. </w:t>
      </w:r>
      <w:proofErr w:type="gramStart"/>
      <w:r w:rsidRPr="00A82D21">
        <w:rPr>
          <w:rFonts w:cs="Times New Roman"/>
          <w:i/>
          <w:szCs w:val="24"/>
          <w:lang w:val="fr-CA"/>
        </w:rPr>
        <w:t>cr.</w:t>
      </w:r>
      <w:r w:rsidRPr="00A82D21">
        <w:rPr>
          <w:rFonts w:cs="Times New Roman"/>
          <w:szCs w:val="24"/>
          <w:lang w:val="fr-CA"/>
        </w:rPr>
        <w:t>,</w:t>
      </w:r>
      <w:proofErr w:type="gramEnd"/>
      <w:r w:rsidRPr="00A82D21">
        <w:rPr>
          <w:rFonts w:cs="Times New Roman"/>
          <w:szCs w:val="24"/>
          <w:lang w:val="fr-CA"/>
        </w:rPr>
        <w:t xml:space="preserve"> une personne peut divulguer une communication privée au cours ou aux fins d’une déposition faite lors de poursuites civiles. À cet égard, précise la juge Bélanger, la décision de notre Cour </w:t>
      </w:r>
      <w:r w:rsidRPr="00A82D21">
        <w:rPr>
          <w:rFonts w:cs="Times New Roman"/>
          <w:i/>
          <w:szCs w:val="24"/>
          <w:lang w:val="fr-CA"/>
        </w:rPr>
        <w:t>Michaud</w:t>
      </w:r>
      <w:r w:rsidRPr="00A82D21">
        <w:rPr>
          <w:rFonts w:cs="Times New Roman"/>
          <w:szCs w:val="24"/>
          <w:lang w:val="fr-CA"/>
        </w:rPr>
        <w:t xml:space="preserve"> </w:t>
      </w:r>
      <w:r w:rsidRPr="00A82D21">
        <w:rPr>
          <w:rFonts w:cs="Times New Roman"/>
          <w:i/>
          <w:szCs w:val="24"/>
          <w:lang w:val="fr-CA"/>
        </w:rPr>
        <w:t>c. Québec (Procureur général)</w:t>
      </w:r>
      <w:r w:rsidRPr="00A82D21">
        <w:rPr>
          <w:rFonts w:cs="Times New Roman"/>
          <w:szCs w:val="24"/>
          <w:lang w:val="fr-CA"/>
        </w:rPr>
        <w:t xml:space="preserve">, [1996] 3 R.C.S. 3, ne limite pas l’application de cet article aux seules situations où le demandeur à l’instance civile est également la </w:t>
      </w:r>
      <w:r w:rsidR="003D19FF" w:rsidRPr="00A82D21">
        <w:rPr>
          <w:rFonts w:cs="Times New Roman"/>
          <w:szCs w:val="24"/>
          <w:lang w:val="fr-CA"/>
        </w:rPr>
        <w:lastRenderedPageBreak/>
        <w:t>« </w:t>
      </w:r>
      <w:r w:rsidRPr="00A82D21">
        <w:rPr>
          <w:rFonts w:cs="Times New Roman"/>
          <w:szCs w:val="24"/>
          <w:lang w:val="fr-CA"/>
        </w:rPr>
        <w:t>cible</w:t>
      </w:r>
      <w:r w:rsidR="003D19FF" w:rsidRPr="00A82D21">
        <w:rPr>
          <w:rFonts w:cs="Times New Roman"/>
          <w:szCs w:val="24"/>
          <w:lang w:val="fr-CA"/>
        </w:rPr>
        <w:t> »</w:t>
      </w:r>
      <w:r w:rsidRPr="00A82D21">
        <w:rPr>
          <w:rFonts w:cs="Times New Roman"/>
          <w:szCs w:val="24"/>
          <w:lang w:val="fr-CA"/>
        </w:rPr>
        <w:t xml:space="preserve"> de l’écoute. Dans ce contexte, il n’existe donc aucun empêchement à ce que les fruits de l’écoute électronique soient communiqués en l’espèce.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Ensuite, la juge Bélanger affirme qu’en raison du caractère exceptionnel de l’interception des conversations privées, la communication de celles-ci doit être bien encadrée. S’appuyant sur l’arrêt de notre Cour </w:t>
      </w:r>
      <w:r w:rsidRPr="00A82D21">
        <w:rPr>
          <w:rFonts w:cs="Times New Roman"/>
          <w:i/>
          <w:szCs w:val="24"/>
          <w:lang w:val="fr-CA"/>
        </w:rPr>
        <w:t>Glegg</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Smith &amp; Nephew Inc.</w:t>
      </w:r>
      <w:r w:rsidRPr="00A82D21">
        <w:rPr>
          <w:rFonts w:cs="Times New Roman"/>
          <w:szCs w:val="24"/>
          <w:lang w:val="fr-CA"/>
        </w:rPr>
        <w:t xml:space="preserve">, 2005 CSC 31, [2005] 1 R.C.S. 724, elle indique que les tribunaux possèdent les pouvoirs nécessaires pour encadrer le processus de communication et l’étendue de celle-ci. Le droit d’accès aux fruits de l’écoute électronique doit selon elle être pondéré, de manière à respecter un juste équilibre entre les droits des parties et à assurer une saine administration de la justice.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Après avoir énuméré les divers éléments à considérer dans cette pondération, la juge Bélanger conclut que, sous réserve des communications touchant des </w:t>
      </w:r>
      <w:r w:rsidR="003D19FF" w:rsidRPr="00A82D21">
        <w:rPr>
          <w:rFonts w:cs="Times New Roman"/>
          <w:szCs w:val="24"/>
          <w:lang w:val="fr-CA"/>
        </w:rPr>
        <w:t>« </w:t>
      </w:r>
      <w:r w:rsidRPr="00A82D21">
        <w:rPr>
          <w:rFonts w:cs="Times New Roman"/>
          <w:szCs w:val="24"/>
          <w:lang w:val="fr-CA"/>
        </w:rPr>
        <w:t>tiers complètement étrangers au litige</w:t>
      </w:r>
      <w:r w:rsidR="003D19FF" w:rsidRPr="00A82D21">
        <w:rPr>
          <w:rFonts w:cs="Times New Roman"/>
          <w:szCs w:val="24"/>
          <w:lang w:val="fr-CA"/>
        </w:rPr>
        <w:t> »</w:t>
      </w:r>
      <w:r w:rsidRPr="00A82D21">
        <w:rPr>
          <w:rFonts w:cs="Times New Roman"/>
          <w:szCs w:val="24"/>
          <w:lang w:val="fr-CA"/>
        </w:rPr>
        <w:t xml:space="preserve"> (par. 98), il doit être fait droit à la demande. En l’espèce, les principes de conduite diligente des procédures et d’égalité des parties, l’importance et la fiabilité de la preuve audio dans la recherche de la vérité, de même que le faible risque d’atteinte à la vie privée et au droit à un procès juste et équitable qu’assurent le devoir implicite de confidentialité et les termes de l’ordonnance sont autant de considérations qui militent en faveur de la communication de la preuve. Toutefois, afin d’éviter d’influencer le déroulement des procédures criminelles, cette communication sera restreinte aux avocats et experts participant à l’instance civile.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La juge rejette aussi, en quelques lignes, l’argument subsidiaire d’inopérabilité de l’art. 193 </w:t>
      </w:r>
      <w:r w:rsidRPr="00A82D21">
        <w:rPr>
          <w:rFonts w:cs="Times New Roman"/>
          <w:i/>
          <w:szCs w:val="24"/>
          <w:lang w:val="fr-CA"/>
        </w:rPr>
        <w:t>C. cr.</w:t>
      </w:r>
      <w:r w:rsidRPr="00A82D21">
        <w:rPr>
          <w:rFonts w:cs="Times New Roman"/>
          <w:szCs w:val="24"/>
          <w:lang w:val="fr-CA"/>
        </w:rPr>
        <w:t xml:space="preserve"> Elle rappelle que l’ordonnance de communication n’est pas basée sur ce texte, mais bien sur la </w:t>
      </w:r>
      <w:r w:rsidRPr="00A82D21">
        <w:rPr>
          <w:rFonts w:cs="Times New Roman"/>
          <w:i/>
          <w:szCs w:val="24"/>
          <w:lang w:val="fr-CA"/>
        </w:rPr>
        <w:t>Loi sur la concurrence</w:t>
      </w:r>
      <w:r w:rsidRPr="00A82D21">
        <w:rPr>
          <w:rFonts w:cs="Times New Roman"/>
          <w:szCs w:val="24"/>
          <w:lang w:val="fr-CA"/>
        </w:rPr>
        <w:t xml:space="preserve"> et le </w:t>
      </w:r>
      <w:r w:rsidRPr="00A82D21">
        <w:rPr>
          <w:rFonts w:cs="Times New Roman"/>
          <w:i/>
          <w:szCs w:val="24"/>
          <w:lang w:val="fr-CA"/>
        </w:rPr>
        <w:t>Code de procédure civile</w:t>
      </w:r>
      <w:r w:rsidRPr="00A82D21">
        <w:rPr>
          <w:rFonts w:cs="Times New Roman"/>
          <w:szCs w:val="24"/>
          <w:lang w:val="fr-CA"/>
        </w:rPr>
        <w:t xml:space="preserve">. L’application de l’art. 193 </w:t>
      </w:r>
      <w:r w:rsidRPr="00A82D21">
        <w:rPr>
          <w:rFonts w:cs="Times New Roman"/>
          <w:i/>
          <w:szCs w:val="24"/>
          <w:lang w:val="fr-CA"/>
        </w:rPr>
        <w:t>C. cr.</w:t>
      </w:r>
      <w:r w:rsidRPr="00A82D21">
        <w:rPr>
          <w:rFonts w:cs="Times New Roman"/>
          <w:szCs w:val="24"/>
          <w:lang w:val="fr-CA"/>
        </w:rPr>
        <w:t xml:space="preserve"> ne devient donc pas la source d’une violation de l’art. 8 de la </w:t>
      </w:r>
      <w:r w:rsidRPr="00A82D21">
        <w:rPr>
          <w:rFonts w:cs="Times New Roman"/>
          <w:i/>
          <w:szCs w:val="24"/>
          <w:lang w:val="fr-CA"/>
        </w:rPr>
        <w:t>Charte canadienne des droits et libertés</w:t>
      </w:r>
      <w:r w:rsidRPr="00A82D21">
        <w:rPr>
          <w:rFonts w:cs="Times New Roman"/>
          <w:szCs w:val="24"/>
          <w:lang w:val="fr-CA"/>
        </w:rPr>
        <w:t xml:space="preserve"> et de l’al. 2</w:t>
      </w:r>
      <w:r w:rsidRPr="00A82D21">
        <w:rPr>
          <w:rFonts w:cs="Times New Roman"/>
          <w:i/>
          <w:szCs w:val="24"/>
          <w:lang w:val="fr-CA"/>
        </w:rPr>
        <w:t>e</w:t>
      </w:r>
      <w:r w:rsidRPr="00A82D21">
        <w:rPr>
          <w:rFonts w:cs="Times New Roman"/>
          <w:szCs w:val="24"/>
          <w:lang w:val="fr-CA"/>
        </w:rPr>
        <w:t xml:space="preserve">) de la </w:t>
      </w:r>
      <w:r w:rsidRPr="00A82D21">
        <w:rPr>
          <w:rFonts w:cs="Times New Roman"/>
          <w:i/>
          <w:szCs w:val="24"/>
          <w:lang w:val="fr-CA"/>
        </w:rPr>
        <w:t>Déclaration canadienne des droits</w:t>
      </w:r>
      <w:r w:rsidRPr="00A82D21">
        <w:rPr>
          <w:rFonts w:cs="Times New Roman"/>
          <w:szCs w:val="24"/>
          <w:lang w:val="fr-CA"/>
        </w:rPr>
        <w:t>, L.R.C. 1985, app. III.</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Finalement, à propos de l’appelante Pétrolière Impériale, la juge Bélanger conclut que l’absence de cette dernière dans les procédures pénales ne modifie pas son statut pour les besoins de la requête. Elle n’est pas un tiers au litige civil et, en ce sens, elle possède les mêmes droits et est tenue aux mêmes obligations que ses co-défendeurs. Pour cette raison, si les conversations interceptées sont pertinentes, elles doivent être communiquées. Quoi qu’il en soit, ajoute la juge, Pétrolière </w:t>
      </w:r>
      <w:r w:rsidR="00F618C1" w:rsidRPr="00A82D21">
        <w:rPr>
          <w:rFonts w:cs="Times New Roman"/>
          <w:szCs w:val="24"/>
          <w:lang w:val="fr-CA"/>
        </w:rPr>
        <w:t>I</w:t>
      </w:r>
      <w:r w:rsidRPr="00A82D21">
        <w:rPr>
          <w:rFonts w:cs="Times New Roman"/>
          <w:szCs w:val="24"/>
          <w:lang w:val="fr-CA"/>
        </w:rPr>
        <w:t>mpériale pourra, au besoin et au moment opportun, s’opposer à la production de la preuve.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En définitive, la juge Bélanger ordonne que les conversations interceptées dans le cadre de l’enquête Octane et déjà communiquées aux accusés dans les procédures pénales soient également communiquées aux avocats et experts participant à l’instance civile. Ces conversations devront toutefois être filtrées pour protéger le droit à la vie privée des tiers complètement étrangers au litige.</w:t>
      </w:r>
    </w:p>
    <w:p w:rsidR="007962BB" w:rsidRPr="00A82D21" w:rsidRDefault="007962BB" w:rsidP="00893AA4">
      <w:pPr>
        <w:pStyle w:val="Title2LevelTitre2Niveau"/>
        <w:widowControl w:val="0"/>
        <w:jc w:val="both"/>
        <w:rPr>
          <w:rFonts w:cs="Times New Roman"/>
          <w:szCs w:val="24"/>
          <w:lang w:val="fr-CA"/>
        </w:rPr>
      </w:pPr>
      <w:r w:rsidRPr="00A82D21">
        <w:rPr>
          <w:rFonts w:cs="Times New Roman"/>
          <w:szCs w:val="24"/>
          <w:lang w:val="fr-CA"/>
        </w:rPr>
        <w:t>Arrêts de la Cour d’appel (2012 QCCA 2265 (CanLII) et 2012 QCCA 2266 (CanLII))</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Dans deux arrêts distincts, les juges Morin, Rochon et Vézina de la Cour </w:t>
      </w:r>
      <w:r w:rsidRPr="00A82D21">
        <w:rPr>
          <w:rFonts w:cs="Times New Roman"/>
          <w:szCs w:val="24"/>
          <w:lang w:val="fr-CA"/>
        </w:rPr>
        <w:lastRenderedPageBreak/>
        <w:t xml:space="preserve">d’appel refusent de réexaminer le bien-fondé de la décision de première instance, concluant que l’art. 29 </w:t>
      </w:r>
      <w:r w:rsidRPr="00A82D21">
        <w:rPr>
          <w:rFonts w:cs="Times New Roman"/>
          <w:i/>
          <w:szCs w:val="24"/>
          <w:lang w:val="fr-CA"/>
        </w:rPr>
        <w:t>C.p.c.</w:t>
      </w:r>
      <w:r w:rsidRPr="00A82D21">
        <w:rPr>
          <w:rFonts w:cs="Times New Roman"/>
          <w:szCs w:val="24"/>
          <w:lang w:val="fr-CA"/>
        </w:rPr>
        <w:t xml:space="preserve">, qui permet l’appel de décisions interlocutoires, ne s’applique pas en l’espèce. De plus, souligne la cour, il est de jurisprudence constante qu’un jugement rejetant une objection à la preuve n’est en principe pas appelable, et l’ordonnance contestée, qui repose à la fois sur le </w:t>
      </w:r>
      <w:r w:rsidRPr="00A82D21">
        <w:rPr>
          <w:rFonts w:cs="Times New Roman"/>
          <w:i/>
          <w:szCs w:val="24"/>
          <w:lang w:val="fr-CA"/>
        </w:rPr>
        <w:t>Code de procédure civile</w:t>
      </w:r>
      <w:r w:rsidRPr="00A82D21">
        <w:rPr>
          <w:rFonts w:cs="Times New Roman"/>
          <w:szCs w:val="24"/>
          <w:lang w:val="fr-CA"/>
        </w:rPr>
        <w:t xml:space="preserve">, le </w:t>
      </w:r>
      <w:r w:rsidRPr="00A82D21">
        <w:rPr>
          <w:rFonts w:cs="Times New Roman"/>
          <w:i/>
          <w:szCs w:val="24"/>
          <w:lang w:val="fr-CA"/>
        </w:rPr>
        <w:t>Code criminel</w:t>
      </w:r>
      <w:r w:rsidRPr="00A82D21">
        <w:rPr>
          <w:rFonts w:cs="Times New Roman"/>
          <w:szCs w:val="24"/>
          <w:lang w:val="fr-CA"/>
        </w:rPr>
        <w:t xml:space="preserve"> et la </w:t>
      </w:r>
      <w:r w:rsidRPr="00A82D21">
        <w:rPr>
          <w:rFonts w:cs="Times New Roman"/>
          <w:i/>
          <w:szCs w:val="24"/>
          <w:lang w:val="fr-CA"/>
        </w:rPr>
        <w:t>Loi sur la concurrence</w:t>
      </w:r>
      <w:r w:rsidRPr="00A82D21">
        <w:rPr>
          <w:rFonts w:cs="Times New Roman"/>
          <w:szCs w:val="24"/>
          <w:lang w:val="fr-CA"/>
        </w:rPr>
        <w:t>, à été rendue à une étape préalable à la présentation de la preuve. La Cour d’appel rejette en conséquence les requêtes pour permission d’appeler.</w:t>
      </w:r>
    </w:p>
    <w:p w:rsidR="007962BB" w:rsidRPr="00A82D21" w:rsidRDefault="007962BB" w:rsidP="007962BB">
      <w:pPr>
        <w:pStyle w:val="Title1LevelTitre1Niveau-AltL"/>
        <w:widowControl w:val="0"/>
        <w:rPr>
          <w:rFonts w:cs="Times New Roman"/>
          <w:szCs w:val="24"/>
          <w:lang w:val="fr-CA"/>
        </w:rPr>
      </w:pPr>
      <w:r w:rsidRPr="00A82D21">
        <w:rPr>
          <w:rFonts w:cs="Times New Roman"/>
          <w:szCs w:val="24"/>
          <w:lang w:val="fr-CA"/>
        </w:rPr>
        <w:t>Questions en litige et thèses des parties</w:t>
      </w:r>
    </w:p>
    <w:p w:rsidR="007962BB" w:rsidRPr="00A82D21" w:rsidRDefault="007962BB" w:rsidP="00F633DF">
      <w:pPr>
        <w:pStyle w:val="Title2LevelTitre2Niveau"/>
        <w:widowControl w:val="0"/>
        <w:numPr>
          <w:ilvl w:val="1"/>
          <w:numId w:val="4"/>
        </w:numPr>
        <w:rPr>
          <w:rFonts w:cs="Times New Roman"/>
          <w:szCs w:val="24"/>
        </w:rPr>
      </w:pPr>
      <w:r w:rsidRPr="00A82D21">
        <w:rPr>
          <w:rFonts w:cs="Times New Roman"/>
          <w:szCs w:val="24"/>
        </w:rPr>
        <w:t>Les questions en litige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pourvois dont notre Cour est saisie soulèvent deux questions. Premièrement, la Cour doit se prononcer sur la validité d’une ordonnance requérant, dans le cadre d’une instance civile, la communication d’une série de conversations interceptées pour les besoins d’une enquête pénale. Plus exactement, la Cour doit décider s’il existe un empêchement à la communication, aux parties à l’instance civile, des conversations interceptées par l’État durant l’enquête Octane. Deuxièmement, la Cour doit statuer sur la constitutionnalité de l’art. 402 </w:t>
      </w:r>
      <w:r w:rsidRPr="00A82D21">
        <w:rPr>
          <w:rFonts w:cs="Times New Roman"/>
          <w:i/>
          <w:szCs w:val="24"/>
          <w:lang w:val="fr-CA"/>
        </w:rPr>
        <w:t>C.p.c.</w:t>
      </w:r>
      <w:r w:rsidRPr="00A82D21">
        <w:rPr>
          <w:rFonts w:cs="Times New Roman"/>
          <w:szCs w:val="24"/>
          <w:lang w:val="fr-CA"/>
        </w:rPr>
        <w:t>,</w:t>
      </w:r>
      <w:r w:rsidRPr="00A82D21">
        <w:rPr>
          <w:rFonts w:cs="Times New Roman"/>
          <w:i/>
          <w:szCs w:val="24"/>
          <w:lang w:val="fr-CA"/>
        </w:rPr>
        <w:t xml:space="preserve"> </w:t>
      </w:r>
      <w:r w:rsidRPr="00A82D21">
        <w:rPr>
          <w:rFonts w:cs="Times New Roman"/>
          <w:szCs w:val="24"/>
          <w:lang w:val="fr-CA"/>
        </w:rPr>
        <w:t xml:space="preserve">sur lequel est fondée l’ordonnance rendue en première instance. À cet effet, la Juge en chef a formulé, le 23 septembre 2013, la question suivante : </w:t>
      </w:r>
    </w:p>
    <w:p w:rsidR="007962BB" w:rsidRPr="00A82D21" w:rsidRDefault="007962BB" w:rsidP="007962BB">
      <w:pPr>
        <w:pStyle w:val="Citation-AltC"/>
        <w:widowControl w:val="0"/>
        <w:rPr>
          <w:szCs w:val="24"/>
          <w:lang w:val="fr-CA"/>
        </w:rPr>
      </w:pPr>
      <w:r w:rsidRPr="00A82D21">
        <w:rPr>
          <w:szCs w:val="24"/>
          <w:lang w:val="fr-CA"/>
        </w:rPr>
        <w:t xml:space="preserve">L’article 402 du </w:t>
      </w:r>
      <w:r w:rsidRPr="00A82D21">
        <w:rPr>
          <w:i/>
          <w:szCs w:val="24"/>
          <w:lang w:val="fr-CA"/>
        </w:rPr>
        <w:t xml:space="preserve">Code de procédure civile </w:t>
      </w:r>
      <w:r w:rsidRPr="00A82D21">
        <w:rPr>
          <w:szCs w:val="24"/>
          <w:lang w:val="fr-CA"/>
        </w:rPr>
        <w:t>[</w:t>
      </w:r>
      <w:r w:rsidR="003D19FF" w:rsidRPr="00A82D21">
        <w:rPr>
          <w:szCs w:val="24"/>
          <w:lang w:val="fr-CA"/>
        </w:rPr>
        <w:t>. . .</w:t>
      </w:r>
      <w:r w:rsidRPr="00A82D21">
        <w:rPr>
          <w:szCs w:val="24"/>
          <w:lang w:val="fr-CA"/>
        </w:rPr>
        <w:t xml:space="preserve">] s’applique-t-il constitutionnellement au regard de l’autorité législative que confère au </w:t>
      </w:r>
      <w:r w:rsidRPr="00A82D21">
        <w:rPr>
          <w:szCs w:val="24"/>
          <w:lang w:val="fr-CA"/>
        </w:rPr>
        <w:lastRenderedPageBreak/>
        <w:t xml:space="preserve">Parlement le par. 91(27) de la </w:t>
      </w:r>
      <w:r w:rsidRPr="00A82D21">
        <w:rPr>
          <w:i/>
          <w:szCs w:val="24"/>
          <w:lang w:val="fr-CA"/>
        </w:rPr>
        <w:t>Loi constitutionnelle de 1867</w:t>
      </w:r>
      <w:r w:rsidRPr="00A82D21">
        <w:rPr>
          <w:szCs w:val="24"/>
          <w:lang w:val="fr-CA"/>
        </w:rPr>
        <w: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Subsidiairement, les appelants demandent à la Cour de décider si la Cour d’appel a commis une erreur en refusant de les autoriser à faire appel de la décision de la juge Bélanger. Comme notre Cour a compétence à l’égard de l’appel sur le fond en vertu de sa loi constitutive (</w:t>
      </w:r>
      <w:r w:rsidRPr="00A82D21">
        <w:rPr>
          <w:rFonts w:cs="Times New Roman"/>
          <w:i/>
          <w:szCs w:val="24"/>
          <w:lang w:val="fr-CA"/>
        </w:rPr>
        <w:t>Loi sur la Cour suprême</w:t>
      </w:r>
      <w:r w:rsidRPr="00A82D21">
        <w:rPr>
          <w:rFonts w:cs="Times New Roman"/>
          <w:szCs w:val="24"/>
          <w:lang w:val="fr-CA"/>
        </w:rPr>
        <w:t xml:space="preserve">, L.R.C. 1985, ch. S-26, par. 40(1)), nous sommes d’avis qu’il n’est pas nécessaire de répondre à cette question (voir H. S. Brown, </w:t>
      </w:r>
      <w:r w:rsidRPr="00A82D21">
        <w:rPr>
          <w:rFonts w:cs="Times New Roman"/>
          <w:i/>
          <w:szCs w:val="24"/>
          <w:lang w:val="fr-CA"/>
        </w:rPr>
        <w:t>Supreme Court of Canada Practice</w:t>
      </w:r>
      <w:r w:rsidRPr="00A82D21">
        <w:rPr>
          <w:rFonts w:cs="Times New Roman"/>
          <w:szCs w:val="24"/>
          <w:lang w:val="fr-CA"/>
        </w:rPr>
        <w:t xml:space="preserve"> </w:t>
      </w:r>
      <w:r w:rsidRPr="00A82D21">
        <w:rPr>
          <w:rFonts w:cs="Times New Roman"/>
          <w:i/>
          <w:szCs w:val="24"/>
          <w:lang w:val="fr-CA"/>
        </w:rPr>
        <w:t xml:space="preserve">2014 </w:t>
      </w:r>
      <w:r w:rsidRPr="00A82D21">
        <w:rPr>
          <w:rFonts w:cs="Times New Roman"/>
          <w:szCs w:val="24"/>
          <w:lang w:val="fr-CA"/>
        </w:rPr>
        <w:t>(2013), p. 83-84).</w:t>
      </w:r>
    </w:p>
    <w:p w:rsidR="007962BB" w:rsidRPr="00A82D21" w:rsidRDefault="007962BB" w:rsidP="007962BB">
      <w:pPr>
        <w:pStyle w:val="Title2LevelTitre2Niveau"/>
        <w:widowControl w:val="0"/>
        <w:rPr>
          <w:rFonts w:cs="Times New Roman"/>
          <w:szCs w:val="24"/>
          <w:lang w:val="fr-CA"/>
        </w:rPr>
      </w:pPr>
      <w:r w:rsidRPr="00A82D21">
        <w:rPr>
          <w:rFonts w:cs="Times New Roman"/>
          <w:szCs w:val="24"/>
          <w:lang w:val="fr-CA"/>
        </w:rPr>
        <w:t>Les thèses des parties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De façon générale, les appelants prétendent que la communication des conversations privées interceptées est incompatible avec les dispositions du </w:t>
      </w:r>
      <w:r w:rsidRPr="00A82D21">
        <w:rPr>
          <w:rFonts w:cs="Times New Roman"/>
          <w:i/>
          <w:szCs w:val="24"/>
          <w:lang w:val="fr-CA"/>
        </w:rPr>
        <w:t>Code criminel</w:t>
      </w:r>
      <w:r w:rsidRPr="00A82D21">
        <w:rPr>
          <w:rFonts w:cs="Times New Roman"/>
          <w:szCs w:val="24"/>
          <w:lang w:val="fr-CA"/>
        </w:rPr>
        <w:t xml:space="preserve"> et de la </w:t>
      </w:r>
      <w:r w:rsidRPr="00A82D21">
        <w:rPr>
          <w:rFonts w:cs="Times New Roman"/>
          <w:i/>
          <w:szCs w:val="24"/>
          <w:lang w:val="fr-CA"/>
        </w:rPr>
        <w:t>Loi sur la concurrence</w:t>
      </w:r>
      <w:r w:rsidRPr="00A82D21">
        <w:rPr>
          <w:rFonts w:cs="Times New Roman"/>
          <w:szCs w:val="24"/>
          <w:lang w:val="fr-CA"/>
        </w:rPr>
        <w:t xml:space="preserve">. En conséquence, l’art. 402 </w:t>
      </w:r>
      <w:r w:rsidRPr="00A82D21">
        <w:rPr>
          <w:rFonts w:cs="Times New Roman"/>
          <w:i/>
          <w:szCs w:val="24"/>
          <w:lang w:val="fr-CA"/>
        </w:rPr>
        <w:t>C.p.c.</w:t>
      </w:r>
      <w:r w:rsidRPr="00A82D21">
        <w:rPr>
          <w:rFonts w:cs="Times New Roman"/>
          <w:szCs w:val="24"/>
          <w:lang w:val="fr-CA"/>
        </w:rPr>
        <w:t xml:space="preserve"> ne peut en autoriser la communication.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appelants Couche-Tard et autres indiquent en premier lieu que l’écoute électronique constitue l’atteinte la plus grave au droit à la vie privée — atteinte qui est exacerbée lorsque l’enregistrement est par la suite divulgué. En effet, selon eux, l’art. 193 </w:t>
      </w:r>
      <w:r w:rsidRPr="00A82D21">
        <w:rPr>
          <w:rFonts w:cs="Times New Roman"/>
          <w:i/>
          <w:szCs w:val="24"/>
          <w:lang w:val="fr-CA"/>
        </w:rPr>
        <w:t xml:space="preserve">C. cr. </w:t>
      </w:r>
      <w:r w:rsidRPr="00A82D21">
        <w:rPr>
          <w:rFonts w:cs="Times New Roman"/>
          <w:szCs w:val="24"/>
          <w:lang w:val="fr-CA"/>
        </w:rPr>
        <w:t xml:space="preserve">énonce une règle stricte de confidentialité, assortie de quelques exceptions énumérées de manière exhaustive aux par. 193(2) et (3). Couche-Tard et autres sont d’avis que toutes ces exceptions visent l’objectif de la lutte contre la criminalité, soit l’objectif étatique qui a justifié l’interception à l’origine. En second lieu, soulignent Couche-Tard et autres, une interprétation conforme à la méthode </w:t>
      </w:r>
      <w:r w:rsidRPr="00A82D21">
        <w:rPr>
          <w:rFonts w:cs="Times New Roman"/>
          <w:szCs w:val="24"/>
          <w:lang w:val="fr-CA"/>
        </w:rPr>
        <w:lastRenderedPageBreak/>
        <w:t xml:space="preserve">moderne d’interprétation des lois et à l’arrêt </w:t>
      </w:r>
      <w:r w:rsidRPr="00A82D21">
        <w:rPr>
          <w:rFonts w:cs="Times New Roman"/>
          <w:i/>
          <w:szCs w:val="24"/>
          <w:lang w:val="fr-CA"/>
        </w:rPr>
        <w:t>Michaud</w:t>
      </w:r>
      <w:r w:rsidRPr="00A82D21">
        <w:rPr>
          <w:rFonts w:cs="Times New Roman"/>
          <w:szCs w:val="24"/>
          <w:lang w:val="fr-CA"/>
        </w:rPr>
        <w:t xml:space="preserve"> de notre Cour force à conclure que</w:t>
      </w:r>
      <w:r w:rsidRPr="00A82D21">
        <w:rPr>
          <w:rFonts w:cs="Times New Roman"/>
          <w:i/>
          <w:szCs w:val="24"/>
          <w:lang w:val="fr-CA"/>
        </w:rPr>
        <w:t xml:space="preserve"> </w:t>
      </w:r>
      <w:r w:rsidRPr="00A82D21">
        <w:rPr>
          <w:rFonts w:cs="Times New Roman"/>
          <w:szCs w:val="24"/>
          <w:lang w:val="fr-CA"/>
        </w:rPr>
        <w:t xml:space="preserve">la partie VI </w:t>
      </w:r>
      <w:r w:rsidRPr="00A82D21">
        <w:rPr>
          <w:rFonts w:cs="Times New Roman"/>
          <w:i/>
          <w:szCs w:val="24"/>
          <w:lang w:val="fr-CA"/>
        </w:rPr>
        <w:t xml:space="preserve">C. cr. </w:t>
      </w:r>
      <w:r w:rsidRPr="00A82D21">
        <w:rPr>
          <w:rFonts w:cs="Times New Roman"/>
          <w:szCs w:val="24"/>
          <w:lang w:val="fr-CA"/>
        </w:rPr>
        <w:t xml:space="preserve">n’établit aucun droit d’accès aux fruits de l’écoute électronique en faveur d’un justiciable privé. Finalement, le libellé de l’art. 29 de la </w:t>
      </w:r>
      <w:r w:rsidRPr="00A82D21">
        <w:rPr>
          <w:rFonts w:cs="Times New Roman"/>
          <w:i/>
          <w:szCs w:val="24"/>
          <w:lang w:val="fr-CA"/>
        </w:rPr>
        <w:t>Loi sur la concurrence</w:t>
      </w:r>
      <w:r w:rsidRPr="00A82D21">
        <w:rPr>
          <w:rFonts w:cs="Times New Roman"/>
          <w:szCs w:val="24"/>
          <w:lang w:val="fr-CA"/>
        </w:rPr>
        <w:t xml:space="preserve"> confirme la nature confidentielle de l’écoute électronique et n’en permet pas la divulgation.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Pour sa part, l’appelante Pétrolière </w:t>
      </w:r>
      <w:r w:rsidR="00F618C1" w:rsidRPr="00A82D21">
        <w:rPr>
          <w:rFonts w:cs="Times New Roman"/>
          <w:szCs w:val="24"/>
          <w:lang w:val="fr-CA"/>
        </w:rPr>
        <w:t>I</w:t>
      </w:r>
      <w:r w:rsidRPr="00A82D21">
        <w:rPr>
          <w:rFonts w:cs="Times New Roman"/>
          <w:szCs w:val="24"/>
          <w:lang w:val="fr-CA"/>
        </w:rPr>
        <w:t xml:space="preserve">mpériale soutient que la requête des intimés Jacques et autres constitue une demande illégale d’autorisation d’intercepter des communications privées, mesure qui leur permettrait de se constituer une preuve qu’ils n’auraient pu obtenir autrement. En effet, le recours collectif fondé sur l’art. 1457 </w:t>
      </w:r>
      <w:r w:rsidRPr="00A82D21">
        <w:rPr>
          <w:rFonts w:cs="Times New Roman"/>
          <w:i/>
          <w:szCs w:val="24"/>
          <w:lang w:val="fr-CA"/>
        </w:rPr>
        <w:t>C.c.Q.</w:t>
      </w:r>
      <w:r w:rsidRPr="00A82D21">
        <w:rPr>
          <w:rFonts w:cs="Times New Roman"/>
          <w:szCs w:val="24"/>
          <w:lang w:val="fr-CA"/>
        </w:rPr>
        <w:t xml:space="preserve"> et l’art. 36 de la </w:t>
      </w:r>
      <w:r w:rsidRPr="00A82D21">
        <w:rPr>
          <w:rFonts w:cs="Times New Roman"/>
          <w:i/>
          <w:szCs w:val="24"/>
          <w:lang w:val="fr-CA"/>
        </w:rPr>
        <w:t xml:space="preserve">Loi sur la concurrence </w:t>
      </w:r>
      <w:r w:rsidRPr="00A82D21">
        <w:rPr>
          <w:rFonts w:cs="Times New Roman"/>
          <w:szCs w:val="24"/>
          <w:lang w:val="fr-CA"/>
        </w:rPr>
        <w:t xml:space="preserve">possède un caractère civil. Il vise à réparer un dommage pécuniaire, et non à réprimer le crime comme la partie VI </w:t>
      </w:r>
      <w:r w:rsidRPr="00A82D21">
        <w:rPr>
          <w:rFonts w:cs="Times New Roman"/>
          <w:i/>
          <w:szCs w:val="24"/>
          <w:lang w:val="fr-CA"/>
        </w:rPr>
        <w:t>C. cr</w:t>
      </w:r>
      <w:r w:rsidRPr="00A82D21">
        <w:rPr>
          <w:rFonts w:cs="Times New Roman"/>
          <w:szCs w:val="24"/>
          <w:lang w:val="fr-CA"/>
        </w:rPr>
        <w:t xml:space="preserve">. De plus, selon Pétrolière </w:t>
      </w:r>
      <w:r w:rsidR="00F618C1" w:rsidRPr="00A82D21">
        <w:rPr>
          <w:rFonts w:cs="Times New Roman"/>
          <w:szCs w:val="24"/>
          <w:lang w:val="fr-CA"/>
        </w:rPr>
        <w:t>I</w:t>
      </w:r>
      <w:r w:rsidRPr="00A82D21">
        <w:rPr>
          <w:rFonts w:cs="Times New Roman"/>
          <w:szCs w:val="24"/>
          <w:lang w:val="fr-CA"/>
        </w:rPr>
        <w:t>mpériale, l’al. 193(2)</w:t>
      </w:r>
      <w:r w:rsidRPr="00A82D21">
        <w:rPr>
          <w:rFonts w:cs="Times New Roman"/>
          <w:i/>
          <w:szCs w:val="24"/>
          <w:lang w:val="fr-CA"/>
        </w:rPr>
        <w:t>a</w:t>
      </w:r>
      <w:r w:rsidRPr="00A82D21">
        <w:rPr>
          <w:rFonts w:cs="Times New Roman"/>
          <w:szCs w:val="24"/>
          <w:lang w:val="fr-CA"/>
        </w:rPr>
        <w:t xml:space="preserve">) ne s’applique qu’aux parties qui sont légalement en possession des communications privées interceptées. En conséquence, la partie VI </w:t>
      </w:r>
      <w:r w:rsidRPr="00A82D21">
        <w:rPr>
          <w:rFonts w:cs="Times New Roman"/>
          <w:i/>
          <w:szCs w:val="24"/>
          <w:lang w:val="fr-CA"/>
        </w:rPr>
        <w:t xml:space="preserve">C. cr. </w:t>
      </w:r>
      <w:r w:rsidRPr="00A82D21">
        <w:rPr>
          <w:rFonts w:cs="Times New Roman"/>
          <w:szCs w:val="24"/>
          <w:lang w:val="fr-CA"/>
        </w:rPr>
        <w:t xml:space="preserve">ne peut avoir pour objet ou pour effet d’accorder à une partie à un litige civil un droit d’accès aux communications privées interceptées par l’État. Au surplus, Pétrolière </w:t>
      </w:r>
      <w:r w:rsidR="00F618C1" w:rsidRPr="00A82D21">
        <w:rPr>
          <w:rFonts w:cs="Times New Roman"/>
          <w:szCs w:val="24"/>
          <w:lang w:val="fr-CA"/>
        </w:rPr>
        <w:t>I</w:t>
      </w:r>
      <w:r w:rsidRPr="00A82D21">
        <w:rPr>
          <w:rFonts w:cs="Times New Roman"/>
          <w:szCs w:val="24"/>
          <w:lang w:val="fr-CA"/>
        </w:rPr>
        <w:t xml:space="preserve">mpériale plaide qu’elle est une </w:t>
      </w:r>
      <w:r w:rsidR="003D19FF" w:rsidRPr="00A82D21">
        <w:rPr>
          <w:rFonts w:cs="Times New Roman"/>
          <w:szCs w:val="24"/>
          <w:lang w:val="fr-CA"/>
        </w:rPr>
        <w:t>« </w:t>
      </w:r>
      <w:r w:rsidRPr="00A82D21">
        <w:rPr>
          <w:rFonts w:cs="Times New Roman"/>
          <w:szCs w:val="24"/>
          <w:lang w:val="fr-CA"/>
        </w:rPr>
        <w:t>personne innocente</w:t>
      </w:r>
      <w:r w:rsidR="003D19FF" w:rsidRPr="00A82D21">
        <w:rPr>
          <w:rFonts w:cs="Times New Roman"/>
          <w:szCs w:val="24"/>
          <w:lang w:val="fr-CA"/>
        </w:rPr>
        <w:t> »</w:t>
      </w:r>
      <w:r w:rsidRPr="00A82D21">
        <w:rPr>
          <w:rFonts w:cs="Times New Roman"/>
          <w:szCs w:val="24"/>
          <w:lang w:val="fr-CA"/>
        </w:rPr>
        <w:t xml:space="preserve">, puisqu’aucune accusation criminelle n’a été portée contre elle. Elle ajoute que l’intérêt public relatif à la protection des personnes innocentes peut représenter un obstacle à l’accès à des éléments de preuve dans le contexte d’une instance civile. Enfin, elle prétend que le par. 36(2) et l’art. 29 de la </w:t>
      </w:r>
      <w:r w:rsidRPr="00A82D21">
        <w:rPr>
          <w:rFonts w:cs="Times New Roman"/>
          <w:i/>
          <w:szCs w:val="24"/>
          <w:lang w:val="fr-CA"/>
        </w:rPr>
        <w:t>Loi sur la concurrence</w:t>
      </w:r>
      <w:r w:rsidRPr="00A82D21">
        <w:rPr>
          <w:rFonts w:cs="Times New Roman"/>
          <w:szCs w:val="24"/>
          <w:lang w:val="fr-CA"/>
        </w:rPr>
        <w:t xml:space="preserve"> ne permettent pas de contraindre le Bureau de la concurrence à communiquer les fruits de l’écoute électronique.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Globalement, les intimés affirment au contraire qu’aucune règle de droit fédérale n’interdit la communication de conversations interceptées lorsque celles-ci sont jugées pertinentes en vertu du droit provincial. À cet égard, le procureur général du Québec (</w:t>
      </w:r>
      <w:r w:rsidR="003D19FF" w:rsidRPr="00A82D21">
        <w:rPr>
          <w:rFonts w:cs="Times New Roman"/>
          <w:szCs w:val="24"/>
          <w:lang w:val="fr-CA"/>
        </w:rPr>
        <w:t>« </w:t>
      </w:r>
      <w:r w:rsidRPr="00A82D21">
        <w:rPr>
          <w:rFonts w:cs="Times New Roman"/>
          <w:szCs w:val="24"/>
          <w:lang w:val="fr-CA"/>
        </w:rPr>
        <w:t>PGQ</w:t>
      </w:r>
      <w:r w:rsidR="003D19FF" w:rsidRPr="00A82D21">
        <w:rPr>
          <w:rFonts w:cs="Times New Roman"/>
          <w:szCs w:val="24"/>
          <w:lang w:val="fr-CA"/>
        </w:rPr>
        <w:t> »</w:t>
      </w:r>
      <w:r w:rsidRPr="00A82D21">
        <w:rPr>
          <w:rFonts w:cs="Times New Roman"/>
          <w:szCs w:val="24"/>
          <w:lang w:val="fr-CA"/>
        </w:rPr>
        <w:t>) et le DPP, également intimés, appuient pour l’essentiel la thèse des intimés Jacques et autres. L’intervenant le procureur général de l’Ontario (</w:t>
      </w:r>
      <w:r w:rsidR="003D19FF" w:rsidRPr="00A82D21">
        <w:rPr>
          <w:rFonts w:cs="Times New Roman"/>
          <w:szCs w:val="24"/>
          <w:lang w:val="fr-CA"/>
        </w:rPr>
        <w:t>« </w:t>
      </w:r>
      <w:r w:rsidRPr="00A82D21">
        <w:rPr>
          <w:rFonts w:cs="Times New Roman"/>
          <w:szCs w:val="24"/>
          <w:lang w:val="fr-CA"/>
        </w:rPr>
        <w:t>PGO</w:t>
      </w:r>
      <w:r w:rsidR="003D19FF" w:rsidRPr="00A82D21">
        <w:rPr>
          <w:rFonts w:cs="Times New Roman"/>
          <w:szCs w:val="24"/>
          <w:lang w:val="fr-CA"/>
        </w:rPr>
        <w:t> »</w:t>
      </w:r>
      <w:r w:rsidRPr="00A82D21">
        <w:rPr>
          <w:rFonts w:cs="Times New Roman"/>
          <w:szCs w:val="24"/>
          <w:lang w:val="fr-CA"/>
        </w:rPr>
        <w:t xml:space="preserve">) insiste toutefois sur l’importance d’encadrer et de contrôler le processus de communication et la portée de celle-ci.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intimés Jacques et autres rappellent que la partie VI </w:t>
      </w:r>
      <w:r w:rsidRPr="00A82D21">
        <w:rPr>
          <w:rFonts w:cs="Times New Roman"/>
          <w:i/>
          <w:szCs w:val="24"/>
          <w:lang w:val="fr-CA"/>
        </w:rPr>
        <w:t xml:space="preserve">C. cr. </w:t>
      </w:r>
      <w:r w:rsidRPr="00A82D21">
        <w:rPr>
          <w:rFonts w:cs="Times New Roman"/>
          <w:szCs w:val="24"/>
          <w:lang w:val="fr-CA"/>
        </w:rPr>
        <w:t xml:space="preserve">protège la vie privée tout en permettant à ce qu’il y soit porté atteinte, et ce, dans l’intérêt du public à ce que justice soit rendue. À leur avis, bien qu’une communication ne puisse être interceptée que dans la poursuite de l’objectif de la lutte contre la criminalité, la divulgation de communications interceptées est permise dans un éventail plus large de circonstances déjà prévues au </w:t>
      </w:r>
      <w:r w:rsidRPr="00A82D21">
        <w:rPr>
          <w:rFonts w:cs="Times New Roman"/>
          <w:i/>
          <w:szCs w:val="24"/>
          <w:lang w:val="fr-CA"/>
        </w:rPr>
        <w:t>Code criminel</w:t>
      </w:r>
      <w:r w:rsidRPr="00A82D21">
        <w:rPr>
          <w:rFonts w:cs="Times New Roman"/>
          <w:szCs w:val="24"/>
          <w:lang w:val="fr-CA"/>
        </w:rPr>
        <w:t xml:space="preserve">. Par ailleurs, </w:t>
      </w:r>
      <w:proofErr w:type="gramStart"/>
      <w:r w:rsidRPr="00A82D21">
        <w:rPr>
          <w:rFonts w:cs="Times New Roman"/>
          <w:szCs w:val="24"/>
          <w:lang w:val="fr-CA"/>
        </w:rPr>
        <w:t>ils soutiennent</w:t>
      </w:r>
      <w:proofErr w:type="gramEnd"/>
      <w:r w:rsidRPr="00A82D21">
        <w:rPr>
          <w:rFonts w:cs="Times New Roman"/>
          <w:szCs w:val="24"/>
          <w:lang w:val="fr-CA"/>
        </w:rPr>
        <w:t xml:space="preserve"> que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 xml:space="preserve">C. cr. </w:t>
      </w:r>
      <w:r w:rsidRPr="00A82D21">
        <w:rPr>
          <w:rFonts w:cs="Times New Roman"/>
          <w:szCs w:val="24"/>
          <w:lang w:val="fr-CA"/>
        </w:rPr>
        <w:t xml:space="preserve">et l’art. 29 de la </w:t>
      </w:r>
      <w:r w:rsidRPr="00A82D21">
        <w:rPr>
          <w:rFonts w:cs="Times New Roman"/>
          <w:i/>
          <w:szCs w:val="24"/>
          <w:lang w:val="fr-CA"/>
        </w:rPr>
        <w:t>Loi sur la concurrence</w:t>
      </w:r>
      <w:r w:rsidRPr="00A82D21">
        <w:rPr>
          <w:rFonts w:cs="Times New Roman"/>
          <w:szCs w:val="24"/>
          <w:lang w:val="fr-CA"/>
        </w:rPr>
        <w:t xml:space="preserve"> ne constituent pas la source d’un droit permettant d’obtenir la communication des fruits de l’écoute électronique. En l’espèce, c’est plutôt l’art. 402 </w:t>
      </w:r>
      <w:r w:rsidRPr="00A82D21">
        <w:rPr>
          <w:rFonts w:cs="Times New Roman"/>
          <w:i/>
          <w:szCs w:val="24"/>
          <w:lang w:val="fr-CA"/>
        </w:rPr>
        <w:t>C.p.c.</w:t>
      </w:r>
      <w:r w:rsidRPr="00A82D21">
        <w:rPr>
          <w:rFonts w:cs="Times New Roman"/>
          <w:szCs w:val="24"/>
          <w:lang w:val="fr-CA"/>
        </w:rPr>
        <w:t xml:space="preserve"> qui </w:t>
      </w:r>
      <w:proofErr w:type="gramStart"/>
      <w:r w:rsidRPr="00A82D21">
        <w:rPr>
          <w:rFonts w:cs="Times New Roman"/>
          <w:szCs w:val="24"/>
          <w:lang w:val="fr-CA"/>
        </w:rPr>
        <w:t>crée</w:t>
      </w:r>
      <w:proofErr w:type="gramEnd"/>
      <w:r w:rsidRPr="00A82D21">
        <w:rPr>
          <w:rFonts w:cs="Times New Roman"/>
          <w:szCs w:val="24"/>
          <w:lang w:val="fr-CA"/>
        </w:rPr>
        <w:t xml:space="preserve"> un tel droit. En ce qui concerne l’atteinte invoquée par les appelants, les intimés Jacques et autres précisent que des mesures ont été mises en place pour limiter la communication et pour éviter qu’elle soit prématurée ou superflue. Finalement, à propos de l’argument de Pétrolière </w:t>
      </w:r>
      <w:r w:rsidR="00F618C1" w:rsidRPr="00A82D21">
        <w:rPr>
          <w:rFonts w:cs="Times New Roman"/>
          <w:szCs w:val="24"/>
          <w:lang w:val="fr-CA"/>
        </w:rPr>
        <w:t>I</w:t>
      </w:r>
      <w:r w:rsidRPr="00A82D21">
        <w:rPr>
          <w:rFonts w:cs="Times New Roman"/>
          <w:szCs w:val="24"/>
          <w:lang w:val="fr-CA"/>
        </w:rPr>
        <w:t>mpériale selon lequel elle serait un tiers innocent, ils plaident que la Cour supérieure n’a pas commis d’erreur en refusant de lui reconnaître ce statut. Comme l’a indiqué la juge Bélanger, la notion de tiers doit s’interpréter par rapport à l’instance civile au cours de laquelle la communication des documents est demandée.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Pour sa part, le DPP affirme que, suivant la méthode moderne d’interprétation des lois,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C. cr.</w:t>
      </w:r>
      <w:r w:rsidRPr="00A82D21">
        <w:rPr>
          <w:rFonts w:cs="Times New Roman"/>
          <w:szCs w:val="24"/>
          <w:lang w:val="fr-CA"/>
        </w:rPr>
        <w:t xml:space="preserve"> autorise la communication de conversations privées à un justiciable aux fins de déposition dans des poursuites civiles. D’après le DPP, l’art. 29 de la </w:t>
      </w:r>
      <w:r w:rsidRPr="00A82D21">
        <w:rPr>
          <w:rFonts w:cs="Times New Roman"/>
          <w:i/>
          <w:szCs w:val="24"/>
          <w:lang w:val="fr-CA"/>
        </w:rPr>
        <w:t>Loi sur la concurrence</w:t>
      </w:r>
      <w:r w:rsidRPr="00A82D21">
        <w:rPr>
          <w:rFonts w:cs="Times New Roman"/>
          <w:szCs w:val="24"/>
          <w:lang w:val="fr-CA"/>
        </w:rPr>
        <w:t xml:space="preserve"> n’empêche pas non plus une telle communication. Par ailleurs, il estime qu’il est incorrect d’assimiler la communication d’une conversation privée à une seconde interception fondée sur la partie VI </w:t>
      </w:r>
      <w:r w:rsidRPr="00A82D21">
        <w:rPr>
          <w:rFonts w:cs="Times New Roman"/>
          <w:i/>
          <w:szCs w:val="24"/>
          <w:lang w:val="fr-CA"/>
        </w:rPr>
        <w:t>C. cr. </w:t>
      </w:r>
      <w:r w:rsidRPr="00A82D21">
        <w:rPr>
          <w:rFonts w:cs="Times New Roman"/>
          <w:szCs w:val="24"/>
          <w:lang w:val="fr-CA"/>
        </w:rPr>
        <w:t xml:space="preserve">: l’interception et la communication sont des notions distinctes. En réponse aux arguments de l’appelante Pétrolière </w:t>
      </w:r>
      <w:r w:rsidR="00F618C1" w:rsidRPr="00A82D21">
        <w:rPr>
          <w:rFonts w:cs="Times New Roman"/>
          <w:szCs w:val="24"/>
          <w:lang w:val="fr-CA"/>
        </w:rPr>
        <w:t>I</w:t>
      </w:r>
      <w:r w:rsidRPr="00A82D21">
        <w:rPr>
          <w:rFonts w:cs="Times New Roman"/>
          <w:szCs w:val="24"/>
          <w:lang w:val="fr-CA"/>
        </w:rPr>
        <w:t xml:space="preserve">mpériale, le DPP ajoute que même si cette dernière pouvait être considérée comme un </w:t>
      </w:r>
      <w:r w:rsidR="003D19FF" w:rsidRPr="00A82D21">
        <w:rPr>
          <w:rFonts w:cs="Times New Roman"/>
          <w:szCs w:val="24"/>
          <w:lang w:val="fr-CA"/>
        </w:rPr>
        <w:t>« </w:t>
      </w:r>
      <w:r w:rsidRPr="00A82D21">
        <w:rPr>
          <w:rFonts w:cs="Times New Roman"/>
          <w:szCs w:val="24"/>
          <w:lang w:val="fr-CA"/>
        </w:rPr>
        <w:t>tiers innocent</w:t>
      </w:r>
      <w:r w:rsidR="003D19FF" w:rsidRPr="00A82D21">
        <w:rPr>
          <w:rFonts w:cs="Times New Roman"/>
          <w:szCs w:val="24"/>
          <w:lang w:val="fr-CA"/>
        </w:rPr>
        <w:t> »</w:t>
      </w:r>
      <w:r w:rsidRPr="00A82D21">
        <w:rPr>
          <w:rFonts w:cs="Times New Roman"/>
          <w:szCs w:val="24"/>
          <w:lang w:val="fr-CA"/>
        </w:rPr>
        <w:t>, ce qui n’est pas le cas, cette situation ne constituerait pas un obstacle à l’application de l’exemption prévue à l’al. 193(2)</w:t>
      </w:r>
      <w:r w:rsidRPr="00A82D21">
        <w:rPr>
          <w:rFonts w:cs="Times New Roman"/>
          <w:i/>
          <w:szCs w:val="24"/>
          <w:lang w:val="fr-CA"/>
        </w:rPr>
        <w:t>a</w:t>
      </w:r>
      <w:r w:rsidRPr="00A82D21">
        <w:rPr>
          <w:rFonts w:cs="Times New Roman"/>
          <w:szCs w:val="24"/>
          <w:lang w:val="fr-CA"/>
        </w:rPr>
        <w:t xml:space="preserve">), mais uniquement un facteur à considérer pour décider si la communication doit être ordonnée. Le </w:t>
      </w:r>
      <w:proofErr w:type="gramStart"/>
      <w:r w:rsidRPr="00A82D21">
        <w:rPr>
          <w:rFonts w:cs="Times New Roman"/>
          <w:szCs w:val="24"/>
          <w:lang w:val="fr-CA"/>
        </w:rPr>
        <w:t>DPP souligne</w:t>
      </w:r>
      <w:proofErr w:type="gramEnd"/>
      <w:r w:rsidRPr="00A82D21">
        <w:rPr>
          <w:rFonts w:cs="Times New Roman"/>
          <w:szCs w:val="24"/>
          <w:lang w:val="fr-CA"/>
        </w:rPr>
        <w:t xml:space="preserve"> également que l’al. 193(2)</w:t>
      </w:r>
      <w:r w:rsidRPr="00A82D21">
        <w:rPr>
          <w:rFonts w:cs="Times New Roman"/>
          <w:i/>
          <w:szCs w:val="24"/>
          <w:lang w:val="fr-CA"/>
        </w:rPr>
        <w:t>a</w:t>
      </w:r>
      <w:r w:rsidRPr="00A82D21">
        <w:rPr>
          <w:rFonts w:cs="Times New Roman"/>
          <w:szCs w:val="24"/>
          <w:lang w:val="fr-CA"/>
        </w:rPr>
        <w:t xml:space="preserve">) ne fait pas de distinctions selon que les communications privées interceptées concernent une personne </w:t>
      </w:r>
      <w:r w:rsidR="003D19FF" w:rsidRPr="00A82D21">
        <w:rPr>
          <w:rFonts w:cs="Times New Roman"/>
          <w:szCs w:val="24"/>
          <w:lang w:val="fr-CA"/>
        </w:rPr>
        <w:t>« </w:t>
      </w:r>
      <w:r w:rsidRPr="00A82D21">
        <w:rPr>
          <w:rFonts w:cs="Times New Roman"/>
          <w:szCs w:val="24"/>
          <w:lang w:val="fr-CA"/>
        </w:rPr>
        <w:t>innocente</w:t>
      </w:r>
      <w:r w:rsidR="003D19FF" w:rsidRPr="00A82D21">
        <w:rPr>
          <w:rFonts w:cs="Times New Roman"/>
          <w:szCs w:val="24"/>
          <w:lang w:val="fr-CA"/>
        </w:rPr>
        <w:t> »</w:t>
      </w:r>
      <w:r w:rsidRPr="00A82D21">
        <w:rPr>
          <w:rFonts w:cs="Times New Roman"/>
          <w:szCs w:val="24"/>
          <w:lang w:val="fr-CA"/>
        </w:rPr>
        <w:t xml:space="preserve"> ou non. De même, la notion de pertinence d’une communication privée ne dépend pas du statut de l’un ou de l’autre des interlocuteurs à la conversation.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À l’instar du DPP et des autres intimés, le PGQ exprime l’avis qu’un tribunal siégeant en matière civile peut autoriser la communication d’éléments de preuve découlant d’activités d’écoute électronique. L’article 402 </w:t>
      </w:r>
      <w:r w:rsidRPr="00A82D21">
        <w:rPr>
          <w:rFonts w:cs="Times New Roman"/>
          <w:i/>
          <w:szCs w:val="24"/>
          <w:lang w:val="fr-CA"/>
        </w:rPr>
        <w:t xml:space="preserve">C.p.c. </w:t>
      </w:r>
      <w:r w:rsidRPr="00A82D21">
        <w:rPr>
          <w:rFonts w:cs="Times New Roman"/>
          <w:szCs w:val="24"/>
          <w:lang w:val="fr-CA"/>
        </w:rPr>
        <w:t xml:space="preserve">le permet à l’étape des procédures préalables à l’instruction, dans la mesure où l’élément de preuve est pertinent et s’inscrit dans le processus de la recherche de la vérité. Le PGQ rappelle toutefois que cette communication demeure assujettie au pouvoir discrétionnaire du tribunal, qui en détermine l’étendue et les modalités, en soupesant </w:t>
      </w:r>
      <w:r w:rsidRPr="00A82D21">
        <w:rPr>
          <w:rFonts w:cs="Times New Roman"/>
          <w:szCs w:val="24"/>
          <w:lang w:val="fr-CA"/>
        </w:rPr>
        <w:lastRenderedPageBreak/>
        <w:t>les divers intérêts en jeu. Quant à l’al. 193(2)</w:t>
      </w:r>
      <w:r w:rsidRPr="00A82D21">
        <w:rPr>
          <w:rFonts w:cs="Times New Roman"/>
          <w:i/>
          <w:szCs w:val="24"/>
          <w:lang w:val="fr-CA"/>
        </w:rPr>
        <w:t>a</w:t>
      </w:r>
      <w:r w:rsidRPr="00A82D21">
        <w:rPr>
          <w:rFonts w:cs="Times New Roman"/>
          <w:szCs w:val="24"/>
          <w:lang w:val="fr-CA"/>
        </w:rPr>
        <w:t>), l’interprétation que proposent les appelants est trop restrictive selon le PGQ. Bien que l’interception d’une communication privée doive être faite dans la poursuite de l’objectif de lutte contre la criminalité, il n’en est pas ainsi pour la communication ultérieure des fruits de cette interception. Par ailleurs, d’après le PGQ, l’ordonnance rendue par la juge de première instance respecte un juste équilibre entre le droit à la vie privée et le droit des parties à un procès équitable. De même, elle assure la proportionnalité entre les objets de la disposition législative et la protection des valeurs de la</w:t>
      </w:r>
      <w:r w:rsidRPr="00A82D21">
        <w:rPr>
          <w:rFonts w:cs="Times New Roman"/>
          <w:i/>
          <w:szCs w:val="24"/>
          <w:lang w:val="fr-CA"/>
        </w:rPr>
        <w:t xml:space="preserve"> Charte</w:t>
      </w:r>
      <w:r w:rsidRPr="00A82D21">
        <w:rPr>
          <w:rFonts w:cs="Times New Roman"/>
          <w:szCs w:val="24"/>
          <w:lang w:val="fr-CA"/>
        </w:rPr>
        <w:t xml:space="preserve"> canadienne et de la </w:t>
      </w:r>
      <w:r w:rsidRPr="00A82D21">
        <w:rPr>
          <w:rFonts w:cs="Times New Roman"/>
          <w:i/>
          <w:szCs w:val="24"/>
          <w:lang w:val="fr-CA"/>
        </w:rPr>
        <w:t>Charte des droits et libertés de la personne</w:t>
      </w:r>
      <w:r w:rsidRPr="00A82D21">
        <w:rPr>
          <w:rFonts w:cs="Times New Roman"/>
          <w:szCs w:val="24"/>
          <w:lang w:val="fr-CA"/>
        </w:rPr>
        <w:t xml:space="preserve">, RLRQ, ch. C-12. Enfin, le PGQ affirme que la juge Bélanger a eu raison de conclure que Pétrolière </w:t>
      </w:r>
      <w:r w:rsidR="00F618C1" w:rsidRPr="00A82D21">
        <w:rPr>
          <w:rFonts w:cs="Times New Roman"/>
          <w:szCs w:val="24"/>
          <w:lang w:val="fr-CA"/>
        </w:rPr>
        <w:t>I</w:t>
      </w:r>
      <w:r w:rsidRPr="00A82D21">
        <w:rPr>
          <w:rFonts w:cs="Times New Roman"/>
          <w:szCs w:val="24"/>
          <w:lang w:val="fr-CA"/>
        </w:rPr>
        <w:t>mpériale n’est pas un tiers innocent et que, pour cette raison, elle ne possède pas plus de droits que ses codéfendeurs.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Pour sa part, le PGO propose une interprétation conservatrice de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C. cr.</w:t>
      </w:r>
      <w:r w:rsidRPr="00A82D21">
        <w:rPr>
          <w:rFonts w:cs="Times New Roman"/>
          <w:szCs w:val="24"/>
          <w:lang w:val="fr-CA"/>
        </w:rPr>
        <w:t xml:space="preserve"> qui tient compte non seulement de l’objet de la partie VI, mais également du respect d’autres impératifs importants, telle la recherche de la vérité. L’alinéa 193(2)</w:t>
      </w:r>
      <w:r w:rsidRPr="00A82D21">
        <w:rPr>
          <w:rFonts w:cs="Times New Roman"/>
          <w:i/>
          <w:szCs w:val="24"/>
          <w:lang w:val="fr-CA"/>
        </w:rPr>
        <w:t>a</w:t>
      </w:r>
      <w:r w:rsidRPr="00A82D21">
        <w:rPr>
          <w:rFonts w:cs="Times New Roman"/>
          <w:szCs w:val="24"/>
          <w:lang w:val="fr-CA"/>
        </w:rPr>
        <w:t xml:space="preserve">) ouvre la possibilité que soient communiquées, au cours de la phase exploratoire d’une instance civile, des conversations interceptées par l’État. Toutefois, la communication doit être limitée aux situations envisagées par la loi ou les principes de common law applicables, interprétés en conformité avec la partie VI. Lorsqu’une partie au litige est en possession de communications interceptées — comme c’est le cas des défendeurs en l’espèce qui sont par ailleurs accusés au criminel —, la demande de communication devrait leur être adressée directement et être circonscrite au moyen du cadre établi dans l’arrêt </w:t>
      </w:r>
      <w:r w:rsidRPr="00A82D21">
        <w:rPr>
          <w:rFonts w:cs="Times New Roman"/>
          <w:i/>
          <w:szCs w:val="24"/>
          <w:lang w:val="fr-CA"/>
        </w:rPr>
        <w:t>P. (D.) c.</w:t>
      </w:r>
      <w:r w:rsidRPr="00A82D21">
        <w:rPr>
          <w:rFonts w:cs="Times New Roman"/>
          <w:szCs w:val="24"/>
          <w:lang w:val="fr-CA"/>
        </w:rPr>
        <w:t xml:space="preserve"> </w:t>
      </w:r>
      <w:r w:rsidRPr="00A82D21">
        <w:rPr>
          <w:rFonts w:cs="Times New Roman"/>
          <w:i/>
          <w:szCs w:val="24"/>
          <w:lang w:val="fr-CA"/>
        </w:rPr>
        <w:t xml:space="preserve">Wagg </w:t>
      </w:r>
      <w:r w:rsidRPr="00A82D21">
        <w:rPr>
          <w:rFonts w:cs="Times New Roman"/>
          <w:szCs w:val="24"/>
          <w:lang w:val="fr-CA"/>
        </w:rPr>
        <w:t xml:space="preserve">(2004), 71 </w:t>
      </w:r>
      <w:r w:rsidRPr="00A82D21">
        <w:rPr>
          <w:rFonts w:cs="Times New Roman"/>
          <w:szCs w:val="24"/>
          <w:lang w:val="fr-CA"/>
        </w:rPr>
        <w:lastRenderedPageBreak/>
        <w:t>O.R. (3d)</w:t>
      </w:r>
      <w:r w:rsidRPr="00A82D21">
        <w:rPr>
          <w:rFonts w:cs="Times New Roman"/>
          <w:i/>
          <w:szCs w:val="24"/>
          <w:lang w:val="fr-CA"/>
        </w:rPr>
        <w:t xml:space="preserve"> </w:t>
      </w:r>
      <w:r w:rsidRPr="00A82D21">
        <w:rPr>
          <w:rFonts w:cs="Times New Roman"/>
          <w:szCs w:val="24"/>
          <w:lang w:val="fr-CA"/>
        </w:rPr>
        <w:t>229, par la Cour d’appel de l’Ontario en 2004. Par ailleurs, si l’État est seul à posséder des communications interceptées, le fardeau de justification de la demande de communication devrait être beaucoup plus exigeant.</w:t>
      </w:r>
    </w:p>
    <w:p w:rsidR="007962BB" w:rsidRPr="00A82D21" w:rsidRDefault="007962BB" w:rsidP="007962BB">
      <w:pPr>
        <w:pStyle w:val="Title1LevelTitre1Niveau-AltL"/>
        <w:widowControl w:val="0"/>
        <w:rPr>
          <w:rFonts w:cs="Times New Roman"/>
          <w:szCs w:val="24"/>
        </w:rPr>
      </w:pPr>
      <w:r w:rsidRPr="00A82D21">
        <w:rPr>
          <w:rFonts w:cs="Times New Roman"/>
          <w:szCs w:val="24"/>
        </w:rPr>
        <w:t>Analyse</w:t>
      </w:r>
    </w:p>
    <w:p w:rsidR="007962BB" w:rsidRPr="00A82D21" w:rsidRDefault="007962BB" w:rsidP="007962BB">
      <w:pPr>
        <w:pStyle w:val="Title2LevelTitre2Niveau"/>
        <w:widowControl w:val="0"/>
        <w:rPr>
          <w:rFonts w:cs="Times New Roman"/>
          <w:szCs w:val="24"/>
          <w:lang w:val="fr-CA"/>
        </w:rPr>
      </w:pPr>
      <w:r w:rsidRPr="00A82D21">
        <w:rPr>
          <w:rFonts w:cs="Times New Roman"/>
          <w:szCs w:val="24"/>
          <w:lang w:val="fr-CA"/>
        </w:rPr>
        <w:t>La communication de la preuve durant la phase exploratoire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Il y a de cela près de 20 ans, le juge Cory rappelait que </w:t>
      </w:r>
      <w:r w:rsidR="003D19FF" w:rsidRPr="00A82D21">
        <w:rPr>
          <w:rFonts w:cs="Times New Roman"/>
          <w:szCs w:val="24"/>
          <w:lang w:val="fr-CA"/>
        </w:rPr>
        <w:t>« </w:t>
      </w:r>
      <w:r w:rsidRPr="00A82D21">
        <w:rPr>
          <w:rFonts w:cs="Times New Roman"/>
          <w:szCs w:val="24"/>
          <w:lang w:val="fr-CA"/>
        </w:rPr>
        <w:t>[l]’objectif ultime d’un procès, criminel ou civil, doit être la recherche et la découverte de la vérité</w:t>
      </w:r>
      <w:r w:rsidR="003D19FF" w:rsidRPr="00A82D21">
        <w:rPr>
          <w:rFonts w:cs="Times New Roman"/>
          <w:szCs w:val="24"/>
          <w:lang w:val="fr-CA"/>
        </w:rPr>
        <w:t> »</w:t>
      </w:r>
      <w:r w:rsidRPr="00A82D21">
        <w:rPr>
          <w:rFonts w:cs="Times New Roman"/>
          <w:i/>
          <w:szCs w:val="24"/>
          <w:lang w:val="fr-CA"/>
        </w:rPr>
        <w:t xml:space="preserve"> </w:t>
      </w:r>
      <w:r w:rsidRPr="00A82D21">
        <w:rPr>
          <w:rFonts w:cs="Times New Roman"/>
          <w:szCs w:val="24"/>
          <w:lang w:val="fr-CA"/>
        </w:rPr>
        <w:t>(</w:t>
      </w:r>
      <w:r w:rsidRPr="00A82D21">
        <w:rPr>
          <w:rFonts w:cs="Times New Roman"/>
          <w:i/>
          <w:szCs w:val="24"/>
          <w:lang w:val="fr-CA"/>
        </w:rPr>
        <w:t>R</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Nikolovski</w:t>
      </w:r>
      <w:r w:rsidRPr="00A82D21">
        <w:rPr>
          <w:rFonts w:cs="Times New Roman"/>
          <w:szCs w:val="24"/>
          <w:lang w:val="fr-CA"/>
        </w:rPr>
        <w:t xml:space="preserve">, [1996] 3 R.C.S. 1197, par. 13). Sous réserve du respect des objectifs parallèles de proportionnalité et d’efficacité, dont l’importance croît dans le cadre de la procédure civile, la recherche de la vérité demeure le principe cardinal de la conduite de l’instance civile (voir  P. Tessier, </w:t>
      </w:r>
      <w:r w:rsidR="003D19FF" w:rsidRPr="00A82D21">
        <w:rPr>
          <w:rFonts w:cs="Times New Roman"/>
          <w:szCs w:val="24"/>
          <w:lang w:val="fr-CA"/>
        </w:rPr>
        <w:t>« </w:t>
      </w:r>
      <w:r w:rsidRPr="00A82D21">
        <w:rPr>
          <w:rFonts w:cs="Times New Roman"/>
          <w:szCs w:val="24"/>
          <w:lang w:val="fr-CA"/>
        </w:rPr>
        <w:t>La vérité et la justice</w:t>
      </w:r>
      <w:r w:rsidR="003D19FF" w:rsidRPr="00A82D21">
        <w:rPr>
          <w:rFonts w:cs="Times New Roman"/>
          <w:szCs w:val="24"/>
          <w:lang w:val="fr-CA"/>
        </w:rPr>
        <w:t> »</w:t>
      </w:r>
      <w:r w:rsidRPr="00A82D21">
        <w:rPr>
          <w:rFonts w:cs="Times New Roman"/>
          <w:szCs w:val="24"/>
          <w:lang w:val="fr-CA"/>
        </w:rPr>
        <w:t xml:space="preserve"> (1988), 19 </w:t>
      </w:r>
      <w:r w:rsidRPr="00A82D21">
        <w:rPr>
          <w:rFonts w:cs="Times New Roman"/>
          <w:i/>
          <w:szCs w:val="24"/>
          <w:lang w:val="fr-CA"/>
        </w:rPr>
        <w:t>R.G.D.</w:t>
      </w:r>
      <w:r w:rsidRPr="00A82D21">
        <w:rPr>
          <w:rFonts w:cs="Times New Roman"/>
          <w:szCs w:val="24"/>
          <w:lang w:val="fr-CA"/>
        </w:rPr>
        <w:t xml:space="preserve"> 29, p. 32; C. Marseille, </w:t>
      </w:r>
      <w:r w:rsidRPr="00A82D21">
        <w:rPr>
          <w:rFonts w:cs="Times New Roman"/>
          <w:i/>
          <w:szCs w:val="24"/>
          <w:lang w:val="fr-CA"/>
        </w:rPr>
        <w:t>La règle de la pertinence en droit de la preuve civile québécois</w:t>
      </w:r>
      <w:r w:rsidRPr="00A82D21">
        <w:rPr>
          <w:rFonts w:cs="Times New Roman"/>
          <w:szCs w:val="24"/>
          <w:lang w:val="fr-CA"/>
        </w:rPr>
        <w:t xml:space="preserve"> (2004), p. 3). Guidé par cet objectif, le régime juridique de la preuve civile permet au juge </w:t>
      </w:r>
      <w:r w:rsidR="003D19FF" w:rsidRPr="00A82D21">
        <w:rPr>
          <w:rFonts w:cs="Times New Roman"/>
          <w:szCs w:val="24"/>
          <w:lang w:val="fr-CA"/>
        </w:rPr>
        <w:t>« </w:t>
      </w:r>
      <w:r w:rsidRPr="00A82D21">
        <w:rPr>
          <w:rFonts w:cs="Times New Roman"/>
          <w:szCs w:val="24"/>
          <w:lang w:val="fr-CA"/>
        </w:rPr>
        <w:t>de découvrir [cette] vérité et de rendre justice conformément à la loi</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Frenette</w:t>
      </w:r>
      <w:r w:rsidRPr="00A82D21">
        <w:rPr>
          <w:rFonts w:cs="Times New Roman"/>
          <w:szCs w:val="24"/>
          <w:lang w:val="fr-CA"/>
        </w:rPr>
        <w:t xml:space="preserve"> </w:t>
      </w:r>
      <w:r w:rsidRPr="00A82D21">
        <w:rPr>
          <w:rFonts w:cs="Times New Roman"/>
          <w:i/>
          <w:szCs w:val="24"/>
          <w:lang w:val="fr-CA"/>
        </w:rPr>
        <w:t>c. Métropolitaine (La), cie d’assurance-vie</w:t>
      </w:r>
      <w:r w:rsidRPr="00A82D21">
        <w:rPr>
          <w:rFonts w:cs="Times New Roman"/>
          <w:szCs w:val="24"/>
          <w:lang w:val="fr-CA"/>
        </w:rPr>
        <w:t xml:space="preserve">, [1992] 1 R.C.S. 647, p. 666, citant </w:t>
      </w:r>
      <w:r w:rsidRPr="00A82D21">
        <w:rPr>
          <w:rFonts w:cs="Times New Roman"/>
          <w:i/>
          <w:szCs w:val="24"/>
          <w:lang w:val="fr-CA"/>
        </w:rPr>
        <w:t>Jones</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National Coal Board</w:t>
      </w:r>
      <w:r w:rsidRPr="00A82D21">
        <w:rPr>
          <w:rFonts w:cs="Times New Roman"/>
          <w:szCs w:val="24"/>
          <w:lang w:val="fr-CA"/>
        </w:rPr>
        <w:t>, [1957] 2 Q.B. 55 (C.A.), p. 63).</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Même si les pouvoirs d’intervention du juge dans la conduite de l’instance civile sont devenus de plus en plus importants, en règle générale, ce dernier ne participe pas activement à la recherche de la vérité (L. Ducharme et C.-M. Panaccio, </w:t>
      </w:r>
      <w:r w:rsidRPr="00A82D21">
        <w:rPr>
          <w:rFonts w:cs="Times New Roman"/>
          <w:i/>
          <w:szCs w:val="24"/>
          <w:lang w:val="fr-CA"/>
        </w:rPr>
        <w:t>L’administration de la preuve</w:t>
      </w:r>
      <w:r w:rsidRPr="00A82D21">
        <w:rPr>
          <w:rFonts w:cs="Times New Roman"/>
          <w:szCs w:val="24"/>
          <w:lang w:val="fr-CA"/>
        </w:rPr>
        <w:t xml:space="preserve"> (4</w:t>
      </w:r>
      <w:r w:rsidRPr="00A82D21">
        <w:rPr>
          <w:rFonts w:cs="Times New Roman"/>
          <w:szCs w:val="24"/>
          <w:vertAlign w:val="superscript"/>
          <w:lang w:val="fr-CA"/>
        </w:rPr>
        <w:t>e</w:t>
      </w:r>
      <w:r w:rsidRPr="00A82D21">
        <w:rPr>
          <w:rFonts w:cs="Times New Roman"/>
          <w:szCs w:val="24"/>
          <w:lang w:val="fr-CA"/>
        </w:rPr>
        <w:t xml:space="preserve"> éd. 2010), p. 7; </w:t>
      </w:r>
      <w:r w:rsidRPr="00A82D21">
        <w:rPr>
          <w:rFonts w:cs="Times New Roman"/>
          <w:i/>
          <w:szCs w:val="24"/>
          <w:lang w:val="fr-CA"/>
        </w:rPr>
        <w:t xml:space="preserve">Technologie Labtronix </w:t>
      </w:r>
      <w:r w:rsidRPr="00A82D21">
        <w:rPr>
          <w:rFonts w:cs="Times New Roman"/>
          <w:i/>
          <w:szCs w:val="24"/>
          <w:lang w:val="fr-CA"/>
        </w:rPr>
        <w:lastRenderedPageBreak/>
        <w:t>Inc.</w:t>
      </w:r>
      <w:r w:rsidRPr="00A82D21">
        <w:rPr>
          <w:rFonts w:cs="Times New Roman"/>
          <w:szCs w:val="24"/>
          <w:lang w:val="fr-CA"/>
        </w:rPr>
        <w:t xml:space="preserve"> </w:t>
      </w:r>
      <w:r w:rsidRPr="00A82D21">
        <w:rPr>
          <w:rFonts w:cs="Times New Roman"/>
          <w:i/>
          <w:szCs w:val="24"/>
          <w:lang w:val="fr-CA"/>
        </w:rPr>
        <w:t>c. Technologie Micro Contrôle Inc.</w:t>
      </w:r>
      <w:r w:rsidRPr="00A82D21">
        <w:rPr>
          <w:rFonts w:cs="Times New Roman"/>
          <w:szCs w:val="24"/>
          <w:lang w:val="fr-CA"/>
        </w:rPr>
        <w:t>, [1998] R.J.Q. 2312</w:t>
      </w:r>
      <w:r w:rsidR="00A92E12" w:rsidRPr="00A82D21">
        <w:rPr>
          <w:rFonts w:cs="Times New Roman"/>
          <w:szCs w:val="24"/>
          <w:lang w:val="fr-CA"/>
        </w:rPr>
        <w:t xml:space="preserve"> (C.A.)</w:t>
      </w:r>
      <w:r w:rsidRPr="00A82D21">
        <w:rPr>
          <w:rFonts w:cs="Times New Roman"/>
          <w:szCs w:val="24"/>
          <w:lang w:val="fr-CA"/>
        </w:rPr>
        <w:t xml:space="preserve">, p. 2325). En effet, dans un système accusatoire et contradictoire, la délicate tâche de faire apparaître la vérité revient d’abord et avant tout aux parties (voir art. 2803 </w:t>
      </w:r>
      <w:r w:rsidRPr="00A82D21">
        <w:rPr>
          <w:rFonts w:cs="Times New Roman"/>
          <w:i/>
          <w:szCs w:val="24"/>
          <w:lang w:val="fr-CA"/>
        </w:rPr>
        <w:t>C.c.Q.</w:t>
      </w:r>
      <w:r w:rsidRPr="00A82D21">
        <w:rPr>
          <w:rFonts w:cs="Times New Roman"/>
          <w:szCs w:val="24"/>
          <w:lang w:val="fr-CA"/>
        </w:rPr>
        <w:t xml:space="preserve">; art. 76 et 77 </w:t>
      </w:r>
      <w:r w:rsidRPr="00A82D21">
        <w:rPr>
          <w:rFonts w:cs="Times New Roman"/>
          <w:i/>
          <w:szCs w:val="24"/>
          <w:lang w:val="fr-CA"/>
        </w:rPr>
        <w:t>C.p.c.</w:t>
      </w:r>
      <w:r w:rsidRPr="00A82D21">
        <w:rPr>
          <w:rFonts w:cs="Times New Roman"/>
          <w:szCs w:val="24"/>
          <w:lang w:val="fr-CA"/>
        </w:rPr>
        <w:t xml:space="preserve">). Dans ce contexte, où l’objectif de recherche de vérité continue de primer, le législateur québécois a instauré un régime général de preuve destiné à encadrer et à faciliter la mise en œuvre de ce processus dont les parties demeurent les maîtres (voir L. Ducharme, </w:t>
      </w:r>
      <w:r w:rsidR="003D19FF" w:rsidRPr="00A82D21">
        <w:rPr>
          <w:rFonts w:cs="Times New Roman"/>
          <w:szCs w:val="24"/>
          <w:lang w:val="fr-CA"/>
        </w:rPr>
        <w:t>« </w:t>
      </w:r>
      <w:r w:rsidRPr="00A82D21">
        <w:rPr>
          <w:rFonts w:cs="Times New Roman"/>
          <w:szCs w:val="24"/>
          <w:lang w:val="fr-CA"/>
        </w:rPr>
        <w:t>Rapports canadiens — première partie : la vérité et la législation sur la procédure civile en droit québécois</w:t>
      </w:r>
      <w:r w:rsidR="003D19FF" w:rsidRPr="00A82D21">
        <w:rPr>
          <w:rFonts w:cs="Times New Roman"/>
          <w:szCs w:val="24"/>
          <w:lang w:val="fr-CA"/>
        </w:rPr>
        <w:t> »</w:t>
      </w:r>
      <w:r w:rsidRPr="00A82D21">
        <w:rPr>
          <w:rFonts w:cs="Times New Roman"/>
          <w:szCs w:val="24"/>
          <w:lang w:val="fr-CA"/>
        </w:rPr>
        <w:t xml:space="preserve">, dans </w:t>
      </w:r>
      <w:r w:rsidRPr="00A82D21">
        <w:rPr>
          <w:rFonts w:cs="Times New Roman"/>
          <w:i/>
          <w:szCs w:val="24"/>
          <w:lang w:val="fr-CA"/>
        </w:rPr>
        <w:t>Travaux de l’Association Henri Capitant des amis de la culture juridique française</w:t>
      </w:r>
      <w:r w:rsidRPr="00A82D21">
        <w:rPr>
          <w:rFonts w:cs="Times New Roman"/>
          <w:szCs w:val="24"/>
          <w:lang w:val="fr-CA"/>
        </w:rPr>
        <w:t>,</w:t>
      </w:r>
      <w:r w:rsidRPr="00A82D21">
        <w:rPr>
          <w:rFonts w:cs="Times New Roman"/>
          <w:i/>
          <w:szCs w:val="24"/>
          <w:lang w:val="fr-CA"/>
        </w:rPr>
        <w:t xml:space="preserve"> </w:t>
      </w:r>
      <w:r w:rsidRPr="00A82D21">
        <w:rPr>
          <w:rFonts w:cs="Times New Roman"/>
          <w:szCs w:val="24"/>
          <w:lang w:val="fr-CA"/>
        </w:rPr>
        <w:t>t. 38,</w:t>
      </w:r>
      <w:r w:rsidRPr="00A82D21">
        <w:rPr>
          <w:rFonts w:cs="Times New Roman"/>
          <w:i/>
          <w:szCs w:val="24"/>
          <w:lang w:val="fr-CA"/>
        </w:rPr>
        <w:t xml:space="preserve"> La vérité et le droit — Journées canadiennes</w:t>
      </w:r>
      <w:r w:rsidRPr="00A82D21">
        <w:rPr>
          <w:rFonts w:cs="Times New Roman"/>
          <w:szCs w:val="24"/>
          <w:lang w:val="fr-CA"/>
        </w:rPr>
        <w:t xml:space="preserve"> (1987), 657).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Période névralgique dans cette quête de la vérité au prétoire, la phase </w:t>
      </w:r>
      <w:r w:rsidR="003D19FF" w:rsidRPr="00A82D21">
        <w:rPr>
          <w:rFonts w:cs="Times New Roman"/>
          <w:szCs w:val="24"/>
          <w:lang w:val="fr-CA"/>
        </w:rPr>
        <w:t>« </w:t>
      </w:r>
      <w:r w:rsidRPr="00A82D21">
        <w:rPr>
          <w:rFonts w:cs="Times New Roman"/>
          <w:szCs w:val="24"/>
          <w:lang w:val="fr-CA"/>
        </w:rPr>
        <w:t>exploratoire</w:t>
      </w:r>
      <w:r w:rsidR="003D19FF" w:rsidRPr="00A82D21">
        <w:rPr>
          <w:rFonts w:cs="Times New Roman"/>
          <w:szCs w:val="24"/>
          <w:lang w:val="fr-CA"/>
        </w:rPr>
        <w:t> »</w:t>
      </w:r>
      <w:r w:rsidRPr="00A82D21">
        <w:rPr>
          <w:rFonts w:cs="Times New Roman"/>
          <w:szCs w:val="24"/>
          <w:lang w:val="fr-CA"/>
        </w:rPr>
        <w:t xml:space="preserve"> précédant l’audition favorise la communication des éléments de preuve susceptibles de permettre aux parties d’établir la véracité des faits qu’elles allèguent (J.-C. Royer et S. Lavallée, </w:t>
      </w:r>
      <w:r w:rsidRPr="00A82D21">
        <w:rPr>
          <w:rFonts w:cs="Times New Roman"/>
          <w:i/>
          <w:szCs w:val="24"/>
          <w:lang w:val="fr-CA"/>
        </w:rPr>
        <w:t>La preuve civile</w:t>
      </w:r>
      <w:r w:rsidRPr="00A82D21">
        <w:rPr>
          <w:rFonts w:cs="Times New Roman"/>
          <w:szCs w:val="24"/>
          <w:lang w:val="fr-CA"/>
        </w:rPr>
        <w:t xml:space="preserve"> (4</w:t>
      </w:r>
      <w:r w:rsidRPr="00A82D21">
        <w:rPr>
          <w:rFonts w:cs="Times New Roman"/>
          <w:szCs w:val="24"/>
          <w:vertAlign w:val="superscript"/>
          <w:lang w:val="fr-CA"/>
        </w:rPr>
        <w:t>e</w:t>
      </w:r>
      <w:r w:rsidRPr="00A82D21">
        <w:rPr>
          <w:rFonts w:cs="Times New Roman"/>
          <w:szCs w:val="24"/>
          <w:lang w:val="fr-CA"/>
        </w:rPr>
        <w:t xml:space="preserve"> éd. 2008), p. 485 et 493; J.-L. Baudouin, </w:t>
      </w:r>
      <w:r w:rsidRPr="00A82D21">
        <w:rPr>
          <w:rFonts w:cs="Times New Roman"/>
          <w:i/>
          <w:szCs w:val="24"/>
          <w:lang w:val="fr-CA"/>
        </w:rPr>
        <w:t>Secret professionnel et droit au secret dans le droit de la preuve : Étude de Droit Québécois comparé au Droit Français et à la Common-Law</w:t>
      </w:r>
      <w:r w:rsidRPr="00A82D21">
        <w:rPr>
          <w:rFonts w:cs="Times New Roman"/>
          <w:szCs w:val="24"/>
          <w:lang w:val="fr-CA"/>
        </w:rPr>
        <w:t xml:space="preserve"> (1965), p. 173; voir aussi </w:t>
      </w:r>
      <w:r w:rsidRPr="00A82D21">
        <w:rPr>
          <w:rFonts w:cs="Times New Roman"/>
          <w:i/>
          <w:szCs w:val="24"/>
          <w:lang w:val="fr-CA"/>
        </w:rPr>
        <w:t>Blaikie</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Commission des valeurs mobilières du Québec</w:t>
      </w:r>
      <w:r w:rsidR="00F618C1" w:rsidRPr="00A82D21">
        <w:rPr>
          <w:rFonts w:cs="Times New Roman"/>
          <w:szCs w:val="24"/>
          <w:lang w:val="fr-CA"/>
        </w:rPr>
        <w:t>, [1990] R.D.J. 473, p. 476-4</w:t>
      </w:r>
      <w:r w:rsidRPr="00A82D21">
        <w:rPr>
          <w:rFonts w:cs="Times New Roman"/>
          <w:szCs w:val="24"/>
          <w:lang w:val="fr-CA"/>
        </w:rPr>
        <w:t xml:space="preserve">77). Cette phase permet à chacune des parties </w:t>
      </w:r>
      <w:r w:rsidR="003D19FF" w:rsidRPr="00A82D21">
        <w:rPr>
          <w:rFonts w:cs="Times New Roman"/>
          <w:szCs w:val="24"/>
          <w:lang w:val="fr-CA"/>
        </w:rPr>
        <w:t>« </w:t>
      </w:r>
      <w:r w:rsidRPr="00A82D21">
        <w:rPr>
          <w:rFonts w:cs="Times New Roman"/>
          <w:szCs w:val="24"/>
          <w:lang w:val="fr-CA"/>
        </w:rPr>
        <w:t>d’être mieux informé[e]s sur les faits en litige et, plus spécialement, sur les moyens de preuve dont dispose la partie adverse</w:t>
      </w:r>
      <w:r w:rsidR="003D19FF" w:rsidRPr="00A82D21">
        <w:rPr>
          <w:rFonts w:cs="Times New Roman"/>
          <w:szCs w:val="24"/>
          <w:lang w:val="fr-CA"/>
        </w:rPr>
        <w:t> »</w:t>
      </w:r>
      <w:r w:rsidRPr="00A82D21">
        <w:rPr>
          <w:rFonts w:cs="Times New Roman"/>
          <w:szCs w:val="24"/>
          <w:lang w:val="fr-CA"/>
        </w:rPr>
        <w:t xml:space="preserve"> (Ducharme et Panaccio, p. 365). Décrivant de manière plus précise encore l’étape de la communication des pièces, le comité chargé de réformer la procédure civile québécoise affirmait d’ailleurs, au début des années deux mille, que cette étape </w:t>
      </w:r>
      <w:r w:rsidR="003D19FF" w:rsidRPr="00A82D21">
        <w:rPr>
          <w:rFonts w:cs="Times New Roman"/>
          <w:szCs w:val="24"/>
          <w:lang w:val="fr-CA"/>
        </w:rPr>
        <w:t>« </w:t>
      </w:r>
      <w:r w:rsidRPr="00A82D21">
        <w:rPr>
          <w:rFonts w:cs="Times New Roman"/>
          <w:szCs w:val="24"/>
          <w:lang w:val="fr-CA"/>
        </w:rPr>
        <w:t xml:space="preserve">favorise la transparence des débats et la responsabilisation des </w:t>
      </w:r>
      <w:r w:rsidRPr="00A82D21">
        <w:rPr>
          <w:rFonts w:cs="Times New Roman"/>
          <w:szCs w:val="24"/>
          <w:lang w:val="fr-CA"/>
        </w:rPr>
        <w:lastRenderedPageBreak/>
        <w:t>parties et des procureurs. Elle favorise également les admissions, permet de circonscrire rapidement les questions en litige et facilite les transactions</w:t>
      </w:r>
      <w:r w:rsidR="003D19FF" w:rsidRPr="00A82D21">
        <w:rPr>
          <w:rFonts w:cs="Times New Roman"/>
          <w:szCs w:val="24"/>
          <w:lang w:val="fr-CA"/>
        </w:rPr>
        <w:t> »</w:t>
      </w:r>
      <w:r w:rsidRPr="00A82D21">
        <w:rPr>
          <w:rFonts w:cs="Times New Roman"/>
          <w:szCs w:val="24"/>
          <w:lang w:val="fr-CA"/>
        </w:rPr>
        <w:t xml:space="preserve"> (Comité de révision de la procédure civile, D. Ferland (prés.), </w:t>
      </w:r>
      <w:r w:rsidRPr="00A82D21">
        <w:rPr>
          <w:rFonts w:cs="Times New Roman"/>
          <w:i/>
          <w:szCs w:val="24"/>
          <w:lang w:val="fr-CA"/>
        </w:rPr>
        <w:t>Rapport du Comité de révision de la procédure civile : une nouvelle culture judiciaire</w:t>
      </w:r>
      <w:r w:rsidRPr="00A82D21">
        <w:rPr>
          <w:rFonts w:cs="Times New Roman"/>
          <w:szCs w:val="24"/>
          <w:lang w:val="fr-CA"/>
        </w:rPr>
        <w:t xml:space="preserve"> (2001), p. 138; voir aussi </w:t>
      </w:r>
      <w:r w:rsidRPr="00A82D21">
        <w:rPr>
          <w:rFonts w:cs="Times New Roman"/>
          <w:i/>
          <w:szCs w:val="24"/>
          <w:lang w:val="fr-CA"/>
        </w:rPr>
        <w:t>Frenette</w:t>
      </w:r>
      <w:r w:rsidRPr="00A82D21">
        <w:rPr>
          <w:rFonts w:cs="Times New Roman"/>
          <w:szCs w:val="24"/>
          <w:lang w:val="fr-CA"/>
        </w:rPr>
        <w:t>, p. 679</w:t>
      </w:r>
      <w:r w:rsidR="00F618C1" w:rsidRPr="00A82D21">
        <w:rPr>
          <w:rFonts w:cs="Times New Roman"/>
          <w:szCs w:val="24"/>
          <w:lang w:val="fr-CA"/>
        </w:rPr>
        <w:t>-</w:t>
      </w:r>
      <w:r w:rsidRPr="00A82D21">
        <w:rPr>
          <w:rFonts w:cs="Times New Roman"/>
          <w:szCs w:val="24"/>
          <w:lang w:val="fr-CA"/>
        </w:rPr>
        <w:t xml:space="preserve">680; </w:t>
      </w:r>
      <w:r w:rsidRPr="00A82D21">
        <w:rPr>
          <w:rFonts w:cs="Times New Roman"/>
          <w:i/>
          <w:szCs w:val="24"/>
          <w:lang w:val="fr-CA"/>
        </w:rPr>
        <w:t>Glegg</w:t>
      </w:r>
      <w:r w:rsidRPr="00A82D21">
        <w:rPr>
          <w:rFonts w:cs="Times New Roman"/>
          <w:szCs w:val="24"/>
          <w:lang w:val="fr-CA"/>
        </w:rPr>
        <w:t>, par. 22).</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Conscient de l’importance de l’étape exploratoire dans le processus civil, le législateur québécois a eu tôt fait de l’encadrer en édictant une série de règles d’application générale, qui habilitent le juge à ordonner la communication de documents relatifs au litige. Contrairement aux prétentions des appelants, ce sont ces règles, et non pas les différentes lois fédérales qu’ils invoquent, qui permettent aux parties de requérir la communication des documents. En ce sens, elles constituent le fondement du </w:t>
      </w:r>
      <w:r w:rsidR="003D19FF" w:rsidRPr="00A82D21">
        <w:rPr>
          <w:rFonts w:cs="Times New Roman"/>
          <w:szCs w:val="24"/>
          <w:lang w:val="fr-CA"/>
        </w:rPr>
        <w:t>« </w:t>
      </w:r>
      <w:r w:rsidRPr="00A82D21">
        <w:rPr>
          <w:rFonts w:cs="Times New Roman"/>
          <w:szCs w:val="24"/>
          <w:lang w:val="fr-CA"/>
        </w:rPr>
        <w:t>droit d’accès</w:t>
      </w:r>
      <w:r w:rsidR="003D19FF" w:rsidRPr="00A82D21">
        <w:rPr>
          <w:rFonts w:cs="Times New Roman"/>
          <w:szCs w:val="24"/>
          <w:lang w:val="fr-CA"/>
        </w:rPr>
        <w:t> »</w:t>
      </w:r>
      <w:r w:rsidRPr="00A82D21">
        <w:rPr>
          <w:rFonts w:cs="Times New Roman"/>
          <w:szCs w:val="24"/>
          <w:lang w:val="fr-CA"/>
        </w:rPr>
        <w:t xml:space="preserve"> à l’information. Parmi ces règles, aujourd’hui codifiées au ch. III du titre V du </w:t>
      </w:r>
      <w:r w:rsidRPr="00A82D21">
        <w:rPr>
          <w:rFonts w:cs="Times New Roman"/>
          <w:i/>
          <w:szCs w:val="24"/>
          <w:lang w:val="fr-CA"/>
        </w:rPr>
        <w:t>Code de procédure civile</w:t>
      </w:r>
      <w:r w:rsidRPr="00A82D21">
        <w:rPr>
          <w:rFonts w:cs="Times New Roman"/>
          <w:szCs w:val="24"/>
          <w:lang w:val="fr-CA"/>
        </w:rPr>
        <w:t>, mentionnons l’art. 402, dont le premier alinéa est rédigé ainsi :</w:t>
      </w:r>
    </w:p>
    <w:p w:rsidR="007962BB" w:rsidRPr="00A82D21" w:rsidRDefault="007962BB" w:rsidP="007962BB">
      <w:pPr>
        <w:pStyle w:val="Citation-AltC"/>
        <w:widowControl w:val="0"/>
        <w:rPr>
          <w:szCs w:val="24"/>
          <w:lang w:val="fr-CA"/>
        </w:rPr>
      </w:pPr>
      <w:r w:rsidRPr="00A82D21">
        <w:rPr>
          <w:b/>
          <w:bCs/>
          <w:szCs w:val="24"/>
          <w:lang w:val="fr-CA"/>
        </w:rPr>
        <w:t>402.</w:t>
      </w:r>
      <w:r w:rsidRPr="00A82D21">
        <w:rPr>
          <w:bCs/>
          <w:szCs w:val="24"/>
          <w:lang w:val="fr-CA"/>
        </w:rPr>
        <w:t xml:space="preserve"> </w:t>
      </w:r>
      <w:r w:rsidRPr="00A82D21">
        <w:rPr>
          <w:szCs w:val="24"/>
          <w:lang w:val="fr-CA"/>
        </w:rPr>
        <w:t>Si, après production de la défense, il appert au dossier qu’un document se rapportant au litige est entre les mains d’un tiers, celui-ci sera tenu d’en donner communication aux parties, sur assignation autorisée par le tribunal, à moins de raisons le justifiant de s’y opposer.</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tribunaux ont donné une interprétation large et libérale à cet article (Royer et Lavallée, p. 487-489; </w:t>
      </w:r>
      <w:r w:rsidRPr="00A82D21">
        <w:rPr>
          <w:rFonts w:cs="Times New Roman"/>
          <w:i/>
          <w:szCs w:val="24"/>
          <w:lang w:val="fr-CA"/>
        </w:rPr>
        <w:t>Autorité des marchés financiers c.</w:t>
      </w:r>
      <w:r w:rsidRPr="00A82D21">
        <w:rPr>
          <w:rFonts w:cs="Times New Roman"/>
          <w:szCs w:val="24"/>
          <w:lang w:val="fr-CA"/>
        </w:rPr>
        <w:t xml:space="preserve"> </w:t>
      </w:r>
      <w:r w:rsidRPr="00A82D21">
        <w:rPr>
          <w:rFonts w:cs="Times New Roman"/>
          <w:i/>
          <w:szCs w:val="24"/>
          <w:lang w:val="fr-CA"/>
        </w:rPr>
        <w:t>Panju</w:t>
      </w:r>
      <w:r w:rsidRPr="00A82D21">
        <w:rPr>
          <w:rFonts w:cs="Times New Roman"/>
          <w:szCs w:val="24"/>
          <w:lang w:val="fr-CA"/>
        </w:rPr>
        <w:t xml:space="preserve">, 2008 QCCA 832, [2008] R.J.Q. 1233; </w:t>
      </w:r>
      <w:r w:rsidRPr="00A82D21">
        <w:rPr>
          <w:rFonts w:cs="Times New Roman"/>
          <w:i/>
          <w:szCs w:val="24"/>
          <w:lang w:val="fr-CA"/>
        </w:rPr>
        <w:t>Fédération des infirmières et infirmiers du Québec c.</w:t>
      </w:r>
      <w:r w:rsidRPr="00A82D21">
        <w:rPr>
          <w:rFonts w:cs="Times New Roman"/>
          <w:szCs w:val="24"/>
          <w:lang w:val="fr-CA"/>
        </w:rPr>
        <w:t xml:space="preserve"> </w:t>
      </w:r>
      <w:r w:rsidRPr="00A82D21">
        <w:rPr>
          <w:rFonts w:cs="Times New Roman"/>
          <w:i/>
          <w:szCs w:val="24"/>
          <w:lang w:val="fr-CA"/>
        </w:rPr>
        <w:t>Hôpital Laval</w:t>
      </w:r>
      <w:r w:rsidRPr="00A82D21">
        <w:rPr>
          <w:rFonts w:cs="Times New Roman"/>
          <w:szCs w:val="24"/>
          <w:lang w:val="fr-CA"/>
        </w:rPr>
        <w:t xml:space="preserve">, 2006 QCCA 1345, [2006] R.J.Q. 2384; </w:t>
      </w:r>
      <w:r w:rsidRPr="00A82D21">
        <w:rPr>
          <w:rFonts w:cs="Times New Roman"/>
          <w:i/>
          <w:szCs w:val="24"/>
          <w:lang w:val="fr-CA"/>
        </w:rPr>
        <w:t>Westfalia Surge Canada Co. c. Ferme Hamelon (JFD) et Fils</w:t>
      </w:r>
      <w:r w:rsidRPr="00A82D21">
        <w:rPr>
          <w:rFonts w:cs="Times New Roman"/>
          <w:szCs w:val="24"/>
          <w:lang w:val="fr-CA"/>
        </w:rPr>
        <w:t xml:space="preserve">, 2005 QCCA 514 (CanLII)). Ainsi, bien que le juge </w:t>
      </w:r>
      <w:r w:rsidRPr="00A82D21">
        <w:rPr>
          <w:rFonts w:cs="Times New Roman"/>
          <w:szCs w:val="24"/>
          <w:lang w:val="fr-CA"/>
        </w:rPr>
        <w:lastRenderedPageBreak/>
        <w:t xml:space="preserve">jouisse d’une grande discrétion dans l’exercice de son pouvoir de contrôle de l’application de l’art. 402, il favorisera généralement la communication. À ce propos, dans un arrêt de principe de la Cour d’appel, le juge Proulx soulignait que, </w:t>
      </w:r>
      <w:r w:rsidR="003D19FF" w:rsidRPr="00A82D21">
        <w:rPr>
          <w:rFonts w:cs="Times New Roman"/>
          <w:szCs w:val="24"/>
          <w:lang w:val="fr-CA"/>
        </w:rPr>
        <w:t>« </w:t>
      </w:r>
      <w:r w:rsidRPr="00A82D21">
        <w:rPr>
          <w:rFonts w:cs="Times New Roman"/>
          <w:szCs w:val="24"/>
          <w:lang w:val="fr-CA"/>
        </w:rPr>
        <w:t>au stade de l’interrogatoire préalable, tant avant qu’après défense, il y a lieu de favoriser la divulgation la plus complète de la preuve</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Westinghouse Canada Inc. c. Arkwright Boston Manufacturers Mutual Insurance Co.</w:t>
      </w:r>
      <w:r w:rsidRPr="00A82D21">
        <w:rPr>
          <w:rFonts w:cs="Times New Roman"/>
          <w:szCs w:val="24"/>
          <w:lang w:val="fr-CA"/>
        </w:rPr>
        <w:t>, [1993] R.J.Q. 2735 (</w:t>
      </w:r>
      <w:r w:rsidR="003D19FF" w:rsidRPr="00A82D21">
        <w:rPr>
          <w:rFonts w:cs="Times New Roman"/>
          <w:szCs w:val="24"/>
          <w:lang w:val="fr-CA"/>
        </w:rPr>
        <w:t>« </w:t>
      </w:r>
      <w:r w:rsidRPr="00A82D21">
        <w:rPr>
          <w:rFonts w:cs="Times New Roman"/>
          <w:i/>
          <w:szCs w:val="24"/>
          <w:lang w:val="fr-CA"/>
        </w:rPr>
        <w:t>Arkwright</w:t>
      </w:r>
      <w:r w:rsidR="003D19FF" w:rsidRPr="00A82D21">
        <w:rPr>
          <w:rFonts w:cs="Times New Roman"/>
          <w:szCs w:val="24"/>
          <w:lang w:val="fr-CA"/>
        </w:rPr>
        <w:t> »</w:t>
      </w:r>
      <w:r w:rsidRPr="00A82D21">
        <w:rPr>
          <w:rFonts w:cs="Times New Roman"/>
          <w:szCs w:val="24"/>
          <w:lang w:val="fr-CA"/>
        </w:rPr>
        <w:t>)</w:t>
      </w:r>
      <w:r w:rsidR="00F618C1" w:rsidRPr="00A82D21">
        <w:rPr>
          <w:rFonts w:cs="Times New Roman"/>
          <w:szCs w:val="24"/>
          <w:lang w:val="fr-CA"/>
        </w:rPr>
        <w:t>, p. 2741</w:t>
      </w:r>
      <w:r w:rsidRPr="00A82D21">
        <w:rPr>
          <w:rFonts w:cs="Times New Roman"/>
          <w:szCs w:val="24"/>
          <w:lang w:val="fr-CA"/>
        </w:rPr>
        <w:t xml:space="preserve">; voir aussi </w:t>
      </w:r>
      <w:r w:rsidRPr="00A82D21">
        <w:rPr>
          <w:rFonts w:cs="Times New Roman"/>
          <w:i/>
          <w:szCs w:val="24"/>
          <w:lang w:val="fr-CA"/>
        </w:rPr>
        <w:t>Lac d’Amiante du Québec Ltée c.</w:t>
      </w:r>
      <w:r w:rsidRPr="00A82D21">
        <w:rPr>
          <w:rFonts w:cs="Times New Roman"/>
          <w:szCs w:val="24"/>
          <w:lang w:val="fr-CA"/>
        </w:rPr>
        <w:t xml:space="preserve"> </w:t>
      </w:r>
      <w:r w:rsidRPr="00A82D21">
        <w:rPr>
          <w:rFonts w:cs="Times New Roman"/>
          <w:i/>
          <w:szCs w:val="24"/>
          <w:lang w:val="fr-CA"/>
        </w:rPr>
        <w:t>2858-0702 Québec Inc.</w:t>
      </w:r>
      <w:r w:rsidRPr="00A82D21">
        <w:rPr>
          <w:rFonts w:cs="Times New Roman"/>
          <w:szCs w:val="24"/>
          <w:lang w:val="fr-CA"/>
        </w:rPr>
        <w:t xml:space="preserve">, 2001 CSC 51, [2001] 2 R.C.S. 743, par. 60; </w:t>
      </w:r>
      <w:r w:rsidRPr="00A82D21">
        <w:rPr>
          <w:rFonts w:cs="Times New Roman"/>
          <w:i/>
          <w:szCs w:val="24"/>
          <w:lang w:val="fr-CA"/>
        </w:rPr>
        <w:t>Frenette</w:t>
      </w:r>
      <w:r w:rsidRPr="00A82D21">
        <w:rPr>
          <w:rFonts w:cs="Times New Roman"/>
          <w:szCs w:val="24"/>
          <w:lang w:val="fr-CA"/>
        </w:rPr>
        <w:t xml:space="preserve">, p. 680; </w:t>
      </w:r>
      <w:r w:rsidRPr="00A82D21">
        <w:rPr>
          <w:rFonts w:cs="Times New Roman"/>
          <w:i/>
          <w:szCs w:val="24"/>
          <w:lang w:val="fr-CA"/>
        </w:rPr>
        <w:t>Communauté urbaine de Montréal</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Chubb du Canada compagnie d’assurances</w:t>
      </w:r>
      <w:r w:rsidRPr="00A82D21">
        <w:rPr>
          <w:rFonts w:cs="Times New Roman"/>
          <w:szCs w:val="24"/>
          <w:lang w:val="fr-CA"/>
        </w:rPr>
        <w:t>, [1998] R.J.Q. 759 (</w:t>
      </w:r>
      <w:r w:rsidR="003D19FF" w:rsidRPr="00A82D21">
        <w:rPr>
          <w:rFonts w:cs="Times New Roman"/>
          <w:szCs w:val="24"/>
          <w:lang w:val="fr-CA"/>
        </w:rPr>
        <w:t>« </w:t>
      </w:r>
      <w:r w:rsidRPr="00A82D21">
        <w:rPr>
          <w:rFonts w:cs="Times New Roman"/>
          <w:i/>
          <w:szCs w:val="24"/>
          <w:lang w:val="fr-CA"/>
        </w:rPr>
        <w:t>Chubb</w:t>
      </w:r>
      <w:r w:rsidR="003D19FF" w:rsidRPr="00A82D21">
        <w:rPr>
          <w:rFonts w:cs="Times New Roman"/>
          <w:szCs w:val="24"/>
          <w:lang w:val="fr-CA"/>
        </w:rPr>
        <w:t> »</w:t>
      </w:r>
      <w:r w:rsidRPr="00A82D21">
        <w:rPr>
          <w:rFonts w:cs="Times New Roman"/>
          <w:szCs w:val="24"/>
          <w:lang w:val="fr-CA"/>
        </w:rPr>
        <w:t>), p. 764). Relativement au rôle de la phase exploratoire, ces propos nous semblent toujours pertinents.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Cependant, s’il doit être entendu de manière large, le droit à la communication dont dispose chacune des parties à une instance civile n’est pas pour autant illimité. D’une part, comme nous le verrons plus loin, l’étendue de la communication doit parfois être restreinte pour éviter qu’il soit porté atteinte aux intérêts de tiers. D’autre part, il importe de préciser que, aux termes de l’art. 402, al. 1 </w:t>
      </w:r>
      <w:r w:rsidRPr="00A82D21">
        <w:rPr>
          <w:rFonts w:cs="Times New Roman"/>
          <w:i/>
          <w:szCs w:val="24"/>
          <w:lang w:val="fr-CA"/>
        </w:rPr>
        <w:t>C.p.c.</w:t>
      </w:r>
      <w:r w:rsidRPr="00A82D21">
        <w:rPr>
          <w:rFonts w:cs="Times New Roman"/>
          <w:szCs w:val="24"/>
          <w:lang w:val="fr-CA"/>
        </w:rPr>
        <w:t xml:space="preserve">, le tribunal peut refuser d’ordonner la communication de documents en possession d’un tiers s’il existe des </w:t>
      </w:r>
      <w:r w:rsidR="003D19FF" w:rsidRPr="00A82D21">
        <w:rPr>
          <w:rFonts w:cs="Times New Roman"/>
          <w:szCs w:val="24"/>
          <w:lang w:val="fr-CA"/>
        </w:rPr>
        <w:t>« </w:t>
      </w:r>
      <w:r w:rsidRPr="00A82D21">
        <w:rPr>
          <w:rFonts w:cs="Times New Roman"/>
          <w:szCs w:val="24"/>
          <w:lang w:val="fr-CA"/>
        </w:rPr>
        <w:t>raisons le justifiant de s’y opposer</w:t>
      </w:r>
      <w:r w:rsidR="003D19FF" w:rsidRPr="00A82D21">
        <w:rPr>
          <w:rFonts w:cs="Times New Roman"/>
          <w:szCs w:val="24"/>
          <w:lang w:val="fr-CA"/>
        </w:rPr>
        <w:t> »</w:t>
      </w:r>
      <w:r w:rsidRPr="00A82D21">
        <w:rPr>
          <w:rFonts w:cs="Times New Roman"/>
          <w:szCs w:val="24"/>
          <w:lang w:val="fr-CA"/>
        </w:rPr>
        <w:t xml:space="preserve">. Dans l’exercice de sa discrétion, le tribunal pourra considérer, entre autres, la pertinence des documents à l’égard du litige, le degré d’atteinte à la vie privée d’une partie ou d’un tiers au litige et l’importance de demeurer sensible au devoir de protéger la vie privée prévu par la </w:t>
      </w:r>
      <w:r w:rsidRPr="00A82D21">
        <w:rPr>
          <w:rFonts w:cs="Times New Roman"/>
          <w:i/>
          <w:szCs w:val="24"/>
          <w:lang w:val="fr-CA"/>
        </w:rPr>
        <w:t>Charte des droits et libertés de la personne</w:t>
      </w:r>
      <w:r w:rsidRPr="00A82D21">
        <w:rPr>
          <w:rFonts w:cs="Times New Roman"/>
          <w:szCs w:val="24"/>
          <w:lang w:val="fr-CA"/>
        </w:rPr>
        <w:t xml:space="preserve"> (art. 5) et le </w:t>
      </w:r>
      <w:r w:rsidRPr="00A82D21">
        <w:rPr>
          <w:rFonts w:cs="Times New Roman"/>
          <w:i/>
          <w:szCs w:val="24"/>
          <w:lang w:val="fr-CA"/>
        </w:rPr>
        <w:t xml:space="preserve">Code civil du Québec </w:t>
      </w:r>
      <w:r w:rsidRPr="00A82D21">
        <w:rPr>
          <w:rFonts w:cs="Times New Roman"/>
          <w:szCs w:val="24"/>
          <w:lang w:val="fr-CA"/>
        </w:rPr>
        <w:t>(art. 35</w:t>
      </w:r>
      <w:r w:rsidR="00F618C1" w:rsidRPr="00A82D21">
        <w:rPr>
          <w:rFonts w:cs="Times New Roman"/>
          <w:szCs w:val="24"/>
          <w:lang w:val="fr-CA"/>
        </w:rPr>
        <w:t xml:space="preserve"> et </w:t>
      </w:r>
      <w:r w:rsidRPr="00A82D21">
        <w:rPr>
          <w:rFonts w:cs="Times New Roman"/>
          <w:szCs w:val="24"/>
          <w:lang w:val="fr-CA"/>
        </w:rPr>
        <w:t>36).</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Ainsi, il est possible de s’opposer à la communication si les documents faisant l’objet de la requête ne sont pas pertinents à l’égard du litige (D. Ferland et B. Emery, </w:t>
      </w:r>
      <w:r w:rsidRPr="00A82D21">
        <w:rPr>
          <w:rFonts w:cs="Times New Roman"/>
          <w:i/>
          <w:szCs w:val="24"/>
          <w:lang w:val="fr-CA"/>
        </w:rPr>
        <w:t>Précis de procédure civile du Québec</w:t>
      </w:r>
      <w:r w:rsidRPr="00A82D21">
        <w:rPr>
          <w:rFonts w:cs="Times New Roman"/>
          <w:szCs w:val="24"/>
          <w:lang w:val="fr-CA"/>
        </w:rPr>
        <w:t xml:space="preserve"> (4</w:t>
      </w:r>
      <w:r w:rsidRPr="00A82D21">
        <w:rPr>
          <w:rFonts w:cs="Times New Roman"/>
          <w:szCs w:val="24"/>
          <w:vertAlign w:val="superscript"/>
          <w:lang w:val="fr-CA"/>
        </w:rPr>
        <w:t>e</w:t>
      </w:r>
      <w:r w:rsidRPr="00A82D21">
        <w:rPr>
          <w:rFonts w:cs="Times New Roman"/>
          <w:szCs w:val="24"/>
          <w:lang w:val="fr-CA"/>
        </w:rPr>
        <w:t xml:space="preserve"> éd. 2003), vol. 1, p. 629). Quoique les tribunaux semblent plus prudents au moment d’évaluer la pertinence de documents de nature confidentielle, le concept de pertinence s’apprécie généralement de manière large au cours de la phase exploratoire de l’instance (</w:t>
      </w:r>
      <w:r w:rsidRPr="00A82D21">
        <w:rPr>
          <w:rFonts w:cs="Times New Roman"/>
          <w:i/>
          <w:szCs w:val="24"/>
          <w:lang w:val="fr-CA"/>
        </w:rPr>
        <w:t>Glegg</w:t>
      </w:r>
      <w:r w:rsidRPr="00A82D21">
        <w:rPr>
          <w:rFonts w:cs="Times New Roman"/>
          <w:szCs w:val="24"/>
          <w:lang w:val="fr-CA"/>
        </w:rPr>
        <w:t xml:space="preserve">, par. 23; </w:t>
      </w:r>
      <w:r w:rsidRPr="00A82D21">
        <w:rPr>
          <w:rFonts w:cs="Times New Roman"/>
          <w:i/>
          <w:szCs w:val="24"/>
          <w:lang w:val="fr-CA"/>
        </w:rPr>
        <w:t>Kruger Inc.</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Kruger</w:t>
      </w:r>
      <w:r w:rsidRPr="00A82D21">
        <w:rPr>
          <w:rFonts w:cs="Times New Roman"/>
          <w:szCs w:val="24"/>
          <w:lang w:val="fr-CA"/>
        </w:rPr>
        <w:t xml:space="preserve">, [1987] R.D.J. 11 (C.A.), p. 17; </w:t>
      </w:r>
      <w:r w:rsidRPr="00A82D21">
        <w:rPr>
          <w:rFonts w:cs="Times New Roman"/>
          <w:i/>
          <w:szCs w:val="24"/>
          <w:lang w:val="fr-CA"/>
        </w:rPr>
        <w:t>Industries GDS inc.</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Carbotech inc.</w:t>
      </w:r>
      <w:r w:rsidRPr="00A82D21">
        <w:rPr>
          <w:rFonts w:cs="Times New Roman"/>
          <w:szCs w:val="24"/>
          <w:lang w:val="fr-CA"/>
        </w:rPr>
        <w:t>, 2005 QCCA 655 (CanLII); voir aussi Royer et Lavallée, p. 490</w:t>
      </w:r>
      <w:r w:rsidR="00F618C1" w:rsidRPr="00A82D21">
        <w:rPr>
          <w:rFonts w:cs="Times New Roman"/>
          <w:szCs w:val="24"/>
          <w:lang w:val="fr-CA"/>
        </w:rPr>
        <w:t>-</w:t>
      </w:r>
      <w:r w:rsidRPr="00A82D21">
        <w:rPr>
          <w:rFonts w:cs="Times New Roman"/>
          <w:szCs w:val="24"/>
          <w:lang w:val="fr-CA"/>
        </w:rPr>
        <w:t xml:space="preserve">491; S. Grammond, </w:t>
      </w:r>
      <w:r w:rsidR="003D19FF" w:rsidRPr="00A82D21">
        <w:rPr>
          <w:rFonts w:cs="Times New Roman"/>
          <w:szCs w:val="24"/>
          <w:lang w:val="fr-CA"/>
        </w:rPr>
        <w:t>« </w:t>
      </w:r>
      <w:r w:rsidRPr="00A82D21">
        <w:rPr>
          <w:rFonts w:cs="Times New Roman"/>
          <w:szCs w:val="24"/>
          <w:lang w:val="fr-CA"/>
        </w:rPr>
        <w:t>La justice secrète : information confidentielle et procès civil</w:t>
      </w:r>
      <w:r w:rsidR="003D19FF" w:rsidRPr="00A82D21">
        <w:rPr>
          <w:rFonts w:cs="Times New Roman"/>
          <w:szCs w:val="24"/>
          <w:lang w:val="fr-CA"/>
        </w:rPr>
        <w:t> »</w:t>
      </w:r>
      <w:r w:rsidRPr="00A82D21">
        <w:rPr>
          <w:rFonts w:cs="Times New Roman"/>
          <w:szCs w:val="24"/>
          <w:lang w:val="fr-CA"/>
        </w:rPr>
        <w:t xml:space="preserve"> (1996), 56 </w:t>
      </w:r>
      <w:r w:rsidRPr="00A82D21">
        <w:rPr>
          <w:rFonts w:cs="Times New Roman"/>
          <w:i/>
          <w:szCs w:val="24"/>
          <w:lang w:val="fr-CA"/>
        </w:rPr>
        <w:t>R. du B.</w:t>
      </w:r>
      <w:r w:rsidRPr="00A82D21">
        <w:rPr>
          <w:rFonts w:cs="Times New Roman"/>
          <w:szCs w:val="24"/>
          <w:lang w:val="fr-CA"/>
        </w:rPr>
        <w:t xml:space="preserve"> 437, p. 457</w:t>
      </w:r>
      <w:r w:rsidR="00F618C1" w:rsidRPr="00A82D21">
        <w:rPr>
          <w:rFonts w:cs="Times New Roman"/>
          <w:szCs w:val="24"/>
          <w:lang w:val="fr-CA"/>
        </w:rPr>
        <w:t>-</w:t>
      </w:r>
      <w:r w:rsidRPr="00A82D21">
        <w:rPr>
          <w:rFonts w:cs="Times New Roman"/>
          <w:szCs w:val="24"/>
          <w:lang w:val="fr-CA"/>
        </w:rPr>
        <w:t>458). Pour être pertinent, le document demandé doit se rapporter au litige, être utile et être susceptible de faire avancer le débat (</w:t>
      </w:r>
      <w:r w:rsidRPr="00A82D21">
        <w:rPr>
          <w:rFonts w:cs="Times New Roman"/>
          <w:i/>
          <w:szCs w:val="24"/>
          <w:lang w:val="fr-CA"/>
        </w:rPr>
        <w:t>Glegg</w:t>
      </w:r>
      <w:r w:rsidRPr="00A82D21">
        <w:rPr>
          <w:rFonts w:cs="Times New Roman"/>
          <w:szCs w:val="24"/>
          <w:lang w:val="fr-CA"/>
        </w:rPr>
        <w:t xml:space="preserve">, par. 23; </w:t>
      </w:r>
      <w:r w:rsidRPr="00A82D21">
        <w:rPr>
          <w:rFonts w:cs="Times New Roman"/>
          <w:i/>
          <w:szCs w:val="24"/>
          <w:lang w:val="fr-CA"/>
        </w:rPr>
        <w:t>Arkwright</w:t>
      </w:r>
      <w:r w:rsidRPr="00A82D21">
        <w:rPr>
          <w:rFonts w:cs="Times New Roman"/>
          <w:szCs w:val="24"/>
          <w:lang w:val="fr-CA"/>
        </w:rPr>
        <w:t xml:space="preserve">, p. 2741; </w:t>
      </w:r>
      <w:r w:rsidRPr="00A82D21">
        <w:rPr>
          <w:rFonts w:cs="Times New Roman"/>
          <w:i/>
          <w:szCs w:val="24"/>
          <w:lang w:val="fr-CA"/>
        </w:rPr>
        <w:t>Chubb</w:t>
      </w:r>
      <w:r w:rsidRPr="00A82D21">
        <w:rPr>
          <w:rFonts w:cs="Times New Roman"/>
          <w:szCs w:val="24"/>
          <w:lang w:val="fr-CA"/>
        </w:rPr>
        <w:t xml:space="preserve">, p. 762; </w:t>
      </w:r>
      <w:r w:rsidRPr="00A82D21">
        <w:rPr>
          <w:rFonts w:cs="Times New Roman"/>
          <w:i/>
          <w:szCs w:val="24"/>
          <w:lang w:val="fr-CA"/>
        </w:rPr>
        <w:t>Westfalia Surge Canada Co.</w:t>
      </w:r>
      <w:r w:rsidRPr="00A82D21">
        <w:rPr>
          <w:rFonts w:cs="Times New Roman"/>
          <w:szCs w:val="24"/>
          <w:lang w:val="fr-CA"/>
        </w:rPr>
        <w:t xml:space="preserve">; </w:t>
      </w:r>
      <w:r w:rsidRPr="00A82D21">
        <w:rPr>
          <w:rFonts w:cs="Times New Roman"/>
          <w:i/>
          <w:szCs w:val="24"/>
          <w:lang w:val="fr-CA"/>
        </w:rPr>
        <w:t>Autorité des marchés financiers</w:t>
      </w:r>
      <w:r w:rsidRPr="00A82D21">
        <w:rPr>
          <w:rFonts w:cs="Times New Roman"/>
          <w:szCs w:val="24"/>
          <w:lang w:val="fr-CA"/>
        </w:rPr>
        <w:t xml:space="preserve">; </w:t>
      </w:r>
      <w:r w:rsidRPr="00A82D21">
        <w:rPr>
          <w:rFonts w:cs="Times New Roman"/>
          <w:i/>
          <w:szCs w:val="24"/>
          <w:lang w:val="fr-CA"/>
        </w:rPr>
        <w:t>Fédération des infirmières et infirmiers du Québec</w:t>
      </w:r>
      <w:r w:rsidRPr="00A82D21">
        <w:rPr>
          <w:rFonts w:cs="Times New Roman"/>
          <w:szCs w:val="24"/>
          <w:lang w:val="fr-CA"/>
        </w:rPr>
        <w:t xml:space="preserv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Cette obligation de pertinence empêche les parties de se livrer à une </w:t>
      </w:r>
      <w:r w:rsidR="003D19FF" w:rsidRPr="00A82D21">
        <w:rPr>
          <w:rFonts w:cs="Times New Roman"/>
          <w:szCs w:val="24"/>
          <w:lang w:val="fr-CA"/>
        </w:rPr>
        <w:t>« </w:t>
      </w:r>
      <w:r w:rsidRPr="00A82D21">
        <w:rPr>
          <w:rFonts w:cs="Times New Roman"/>
          <w:szCs w:val="24"/>
          <w:lang w:val="fr-CA"/>
        </w:rPr>
        <w:t>recherche à l’aveuglette</w:t>
      </w:r>
      <w:r w:rsidR="003D19FF" w:rsidRPr="00A82D21">
        <w:rPr>
          <w:rFonts w:cs="Times New Roman"/>
          <w:szCs w:val="24"/>
          <w:lang w:val="fr-CA"/>
        </w:rPr>
        <w:t> »</w:t>
      </w:r>
      <w:r w:rsidRPr="00A82D21">
        <w:rPr>
          <w:rFonts w:cs="Times New Roman"/>
          <w:szCs w:val="24"/>
          <w:lang w:val="fr-CA"/>
        </w:rPr>
        <w:t>. Elle permet d’éviter que le bon déroulement de l’instance soit ralenti, compliqué ou même compromis par l’introduction d’éléments inutiles pour établir l’existence des droits invoqués (voir Royer et Lavallée, p. 487; Marseille, p. 1 et 21). En ce sens, la règle de la pertinence représente une règle d’équilibre procédural qui tend à assurer l’efficacité du processus judiciaire, tout en facilitant la quête de la vérité.</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En l’espèce, la juge Bélanger a conclu que les éléments de preuve sollicités par les intimés sont pertinents. Rien dans le dossier ne permet de remettre en </w:t>
      </w:r>
      <w:r w:rsidRPr="00A82D21">
        <w:rPr>
          <w:rFonts w:cs="Times New Roman"/>
          <w:szCs w:val="24"/>
          <w:lang w:val="fr-CA"/>
        </w:rPr>
        <w:lastRenderedPageBreak/>
        <w:t xml:space="preserve">cause cette conclusion. D’une part, qu’ils aient été transcrits ou non, il est clair que les enregistrements en question constituent bel et bien des </w:t>
      </w:r>
      <w:r w:rsidR="003D19FF" w:rsidRPr="00A82D21">
        <w:rPr>
          <w:rFonts w:cs="Times New Roman"/>
          <w:szCs w:val="24"/>
          <w:lang w:val="fr-CA"/>
        </w:rPr>
        <w:t>« </w:t>
      </w:r>
      <w:proofErr w:type="gramStart"/>
      <w:r w:rsidRPr="00A82D21">
        <w:rPr>
          <w:rFonts w:cs="Times New Roman"/>
          <w:szCs w:val="24"/>
          <w:lang w:val="fr-CA"/>
        </w:rPr>
        <w:t>document[s</w:t>
      </w:r>
      <w:proofErr w:type="gramEnd"/>
      <w:r w:rsidRPr="00A82D21">
        <w:rPr>
          <w:rFonts w:cs="Times New Roman"/>
          <w:szCs w:val="24"/>
          <w:lang w:val="fr-CA"/>
        </w:rPr>
        <w:t>]</w:t>
      </w:r>
      <w:r w:rsidR="003D19FF" w:rsidRPr="00A82D21">
        <w:rPr>
          <w:rFonts w:cs="Times New Roman"/>
          <w:szCs w:val="24"/>
          <w:lang w:val="fr-CA"/>
        </w:rPr>
        <w:t> »</w:t>
      </w:r>
      <w:r w:rsidRPr="00A82D21">
        <w:rPr>
          <w:rFonts w:cs="Times New Roman"/>
          <w:szCs w:val="24"/>
          <w:lang w:val="fr-CA"/>
        </w:rPr>
        <w:t xml:space="preserve"> au sens de l’art. 402 </w:t>
      </w:r>
      <w:r w:rsidRPr="00A82D21">
        <w:rPr>
          <w:rFonts w:cs="Times New Roman"/>
          <w:i/>
          <w:szCs w:val="24"/>
          <w:lang w:val="fr-CA"/>
        </w:rPr>
        <w:t>C.p.c.</w:t>
      </w:r>
      <w:r w:rsidRPr="00A82D21">
        <w:rPr>
          <w:rFonts w:cs="Times New Roman"/>
          <w:szCs w:val="24"/>
          <w:lang w:val="fr-CA"/>
        </w:rPr>
        <w:t xml:space="preserve"> (Duch</w:t>
      </w:r>
      <w:r w:rsidR="007F42BB" w:rsidRPr="00A82D21">
        <w:rPr>
          <w:rFonts w:cs="Times New Roman"/>
          <w:szCs w:val="24"/>
          <w:lang w:val="fr-CA"/>
        </w:rPr>
        <w:t>arme et Panaccio, p. 428 et 455; v</w:t>
      </w:r>
      <w:r w:rsidRPr="00A82D21">
        <w:rPr>
          <w:rFonts w:cs="Times New Roman"/>
          <w:szCs w:val="24"/>
          <w:lang w:val="fr-CA"/>
        </w:rPr>
        <w:t xml:space="preserve">oir aussi </w:t>
      </w:r>
      <w:r w:rsidRPr="00A82D21">
        <w:rPr>
          <w:rFonts w:cs="Times New Roman"/>
          <w:i/>
          <w:szCs w:val="24"/>
          <w:lang w:val="fr-CA"/>
        </w:rPr>
        <w:t>Corporation de financement commercial Transamérica Canada c. Beaudoin</w:t>
      </w:r>
      <w:r w:rsidRPr="00A82D21">
        <w:rPr>
          <w:rFonts w:cs="Times New Roman"/>
          <w:szCs w:val="24"/>
          <w:lang w:val="fr-CA"/>
        </w:rPr>
        <w:t>, [1995] R.D.J. 633 (C.A.)). D’autre part, particulièrement dans la mesure où les demandeurs dans le recours entrepris en l’espèce cherchent à démontrer qu’il y a eu collusion entre les défendeurs, il y a tout lieu de croire que les enregistrements visés par la requête seront utiles pour la conduite de l’instance.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Pour l’application de l’art. 402 </w:t>
      </w:r>
      <w:r w:rsidRPr="00A82D21">
        <w:rPr>
          <w:rFonts w:cs="Times New Roman"/>
          <w:i/>
          <w:szCs w:val="24"/>
          <w:lang w:val="fr-CA"/>
        </w:rPr>
        <w:t>C.p.c.</w:t>
      </w:r>
      <w:r w:rsidRPr="00A82D21">
        <w:rPr>
          <w:rFonts w:cs="Times New Roman"/>
          <w:szCs w:val="24"/>
          <w:lang w:val="fr-CA"/>
        </w:rPr>
        <w:t>, l’opposition à la communication peut également reposer sur une immunité de divulgation de source légale ou prétorienne (voir Ducharme et Panaccio, p. 426</w:t>
      </w:r>
      <w:r w:rsidR="00F618C1" w:rsidRPr="00A82D21">
        <w:rPr>
          <w:rFonts w:cs="Times New Roman"/>
          <w:szCs w:val="24"/>
          <w:lang w:val="fr-CA"/>
        </w:rPr>
        <w:t>-</w:t>
      </w:r>
      <w:r w:rsidRPr="00A82D21">
        <w:rPr>
          <w:rFonts w:cs="Times New Roman"/>
          <w:szCs w:val="24"/>
          <w:lang w:val="fr-CA"/>
        </w:rPr>
        <w:t xml:space="preserve">427; </w:t>
      </w:r>
      <w:r w:rsidRPr="00A82D21">
        <w:rPr>
          <w:rFonts w:cs="Times New Roman"/>
          <w:i/>
          <w:szCs w:val="24"/>
          <w:lang w:val="fr-CA"/>
        </w:rPr>
        <w:t>Union Canadienne, compagnie d’assurance</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St-Pierre</w:t>
      </w:r>
      <w:r w:rsidRPr="00A82D21">
        <w:rPr>
          <w:rFonts w:cs="Times New Roman"/>
          <w:szCs w:val="24"/>
          <w:lang w:val="fr-CA"/>
        </w:rPr>
        <w:t xml:space="preserve">, 2012 QCCA 433, [2012] R.J.Q. 340, par. 21; </w:t>
      </w:r>
      <w:r w:rsidRPr="00A82D21">
        <w:rPr>
          <w:rFonts w:cs="Times New Roman"/>
          <w:i/>
          <w:szCs w:val="24"/>
          <w:lang w:val="fr-CA"/>
        </w:rPr>
        <w:t>Goulet</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Lussier</w:t>
      </w:r>
      <w:r w:rsidRPr="00A82D21">
        <w:rPr>
          <w:rFonts w:cs="Times New Roman"/>
          <w:szCs w:val="24"/>
          <w:lang w:val="fr-CA"/>
        </w:rPr>
        <w:t xml:space="preserve">, [1989] R.J.Q. 2085 (C.A.); voir aussi </w:t>
      </w:r>
      <w:r w:rsidRPr="00A82D21">
        <w:rPr>
          <w:rFonts w:cs="Times New Roman"/>
          <w:i/>
          <w:szCs w:val="24"/>
          <w:lang w:val="fr-CA"/>
        </w:rPr>
        <w:t>M. (A.)</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Ryan</w:t>
      </w:r>
      <w:r w:rsidRPr="00A82D21">
        <w:rPr>
          <w:rFonts w:cs="Times New Roman"/>
          <w:szCs w:val="24"/>
          <w:lang w:val="fr-CA"/>
        </w:rPr>
        <w:t>, [1997] 1 R.C.S. 157;</w:t>
      </w:r>
      <w:r w:rsidRPr="00A82D21">
        <w:rPr>
          <w:rFonts w:cs="Times New Roman"/>
          <w:i/>
          <w:szCs w:val="24"/>
          <w:lang w:val="fr-CA"/>
        </w:rPr>
        <w:t xml:space="preserve"> R.</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Corbett</w:t>
      </w:r>
      <w:r w:rsidRPr="00A82D21">
        <w:rPr>
          <w:rFonts w:cs="Times New Roman"/>
          <w:szCs w:val="24"/>
          <w:lang w:val="fr-CA"/>
        </w:rPr>
        <w:t xml:space="preserve">, [1988] 1 R.C.S. 670; </w:t>
      </w:r>
      <w:r w:rsidRPr="00A82D21">
        <w:rPr>
          <w:rFonts w:cs="Times New Roman"/>
          <w:i/>
          <w:szCs w:val="24"/>
          <w:lang w:val="fr-CA"/>
        </w:rPr>
        <w:t>R.</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Seaboyer</w:t>
      </w:r>
      <w:r w:rsidRPr="00A82D21">
        <w:rPr>
          <w:rFonts w:cs="Times New Roman"/>
          <w:szCs w:val="24"/>
          <w:lang w:val="fr-CA"/>
        </w:rPr>
        <w:t xml:space="preserve">, [1991] 2 R.C.S. 577). Les appelants plaident que la </w:t>
      </w:r>
      <w:r w:rsidRPr="00A82D21">
        <w:rPr>
          <w:rFonts w:cs="Times New Roman"/>
          <w:i/>
          <w:szCs w:val="24"/>
          <w:lang w:val="fr-CA"/>
        </w:rPr>
        <w:t>Loi sur la concurrence</w:t>
      </w:r>
      <w:r w:rsidRPr="00A82D21">
        <w:rPr>
          <w:rFonts w:cs="Times New Roman"/>
          <w:szCs w:val="24"/>
          <w:lang w:val="fr-CA"/>
        </w:rPr>
        <w:t xml:space="preserve"> et le </w:t>
      </w:r>
      <w:r w:rsidRPr="00A82D21">
        <w:rPr>
          <w:rFonts w:cs="Times New Roman"/>
          <w:i/>
          <w:szCs w:val="24"/>
          <w:lang w:val="fr-CA"/>
        </w:rPr>
        <w:t>Code criminel</w:t>
      </w:r>
      <w:r w:rsidRPr="00A82D21">
        <w:rPr>
          <w:rFonts w:cs="Times New Roman"/>
          <w:szCs w:val="24"/>
          <w:lang w:val="fr-CA"/>
        </w:rPr>
        <w:t xml:space="preserve"> créent de telles exceptions. Pour les raisons qui suivent, cet argument ne nous convainc pas.</w:t>
      </w:r>
    </w:p>
    <w:p w:rsidR="007962BB" w:rsidRPr="00A82D21" w:rsidRDefault="007962BB" w:rsidP="00893AA4">
      <w:pPr>
        <w:pStyle w:val="Title2LevelTitre2Niveau"/>
        <w:widowControl w:val="0"/>
        <w:jc w:val="both"/>
        <w:rPr>
          <w:rFonts w:cs="Times New Roman"/>
          <w:szCs w:val="24"/>
          <w:lang w:val="fr-CA"/>
        </w:rPr>
      </w:pPr>
      <w:r w:rsidRPr="00A82D21">
        <w:rPr>
          <w:rFonts w:cs="Times New Roman"/>
          <w:szCs w:val="24"/>
          <w:lang w:val="fr-CA"/>
        </w:rPr>
        <w:t>Les textes et principes invoqués par les appelants ne constituent pas une source valide d’opposition à la communication des enregistrements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Pour s’opposer à la communication, les appelants invoquent </w:t>
      </w:r>
      <w:proofErr w:type="gramStart"/>
      <w:r w:rsidRPr="00A82D21">
        <w:rPr>
          <w:rFonts w:cs="Times New Roman"/>
          <w:szCs w:val="24"/>
          <w:lang w:val="fr-CA"/>
        </w:rPr>
        <w:t>les art</w:t>
      </w:r>
      <w:proofErr w:type="gramEnd"/>
      <w:r w:rsidRPr="00A82D21">
        <w:rPr>
          <w:rFonts w:cs="Times New Roman"/>
          <w:szCs w:val="24"/>
          <w:lang w:val="fr-CA"/>
        </w:rPr>
        <w:t xml:space="preserve">. 29 et 36 de la </w:t>
      </w:r>
      <w:r w:rsidRPr="00A82D21">
        <w:rPr>
          <w:rFonts w:cs="Times New Roman"/>
          <w:i/>
          <w:szCs w:val="24"/>
          <w:lang w:val="fr-CA"/>
        </w:rPr>
        <w:t>Loi sur la concurrence</w:t>
      </w:r>
      <w:r w:rsidRPr="00A82D21">
        <w:rPr>
          <w:rFonts w:cs="Times New Roman"/>
          <w:szCs w:val="24"/>
          <w:lang w:val="fr-CA"/>
        </w:rPr>
        <w:t xml:space="preserve">, ainsi que l’art. 193 </w:t>
      </w:r>
      <w:r w:rsidRPr="00A82D21">
        <w:rPr>
          <w:rFonts w:cs="Times New Roman"/>
          <w:i/>
          <w:szCs w:val="24"/>
          <w:lang w:val="fr-CA"/>
        </w:rPr>
        <w:t>C. Cr</w:t>
      </w:r>
      <w:r w:rsidRPr="00A82D21">
        <w:rPr>
          <w:rFonts w:cs="Times New Roman"/>
          <w:szCs w:val="24"/>
          <w:lang w:val="fr-CA"/>
        </w:rPr>
        <w:t xml:space="preserve">. L’appelante Pétrolière </w:t>
      </w:r>
      <w:r w:rsidR="00F618C1" w:rsidRPr="00A82D21">
        <w:rPr>
          <w:rFonts w:cs="Times New Roman"/>
          <w:szCs w:val="24"/>
          <w:lang w:val="fr-CA"/>
        </w:rPr>
        <w:t>I</w:t>
      </w:r>
      <w:r w:rsidRPr="00A82D21">
        <w:rPr>
          <w:rFonts w:cs="Times New Roman"/>
          <w:szCs w:val="24"/>
          <w:lang w:val="fr-CA"/>
        </w:rPr>
        <w:t xml:space="preserve">mpériale ajoute pour sa part que son statut de </w:t>
      </w:r>
      <w:r w:rsidR="003D19FF" w:rsidRPr="00A82D21">
        <w:rPr>
          <w:rFonts w:cs="Times New Roman"/>
          <w:szCs w:val="24"/>
          <w:lang w:val="fr-CA"/>
        </w:rPr>
        <w:t>« </w:t>
      </w:r>
      <w:r w:rsidRPr="00A82D21">
        <w:rPr>
          <w:rFonts w:cs="Times New Roman"/>
          <w:szCs w:val="24"/>
          <w:lang w:val="fr-CA"/>
        </w:rPr>
        <w:t>tiers innocent</w:t>
      </w:r>
      <w:r w:rsidR="003D19FF" w:rsidRPr="00A82D21">
        <w:rPr>
          <w:rFonts w:cs="Times New Roman"/>
          <w:szCs w:val="24"/>
          <w:lang w:val="fr-CA"/>
        </w:rPr>
        <w:t> »</w:t>
      </w:r>
      <w:r w:rsidRPr="00A82D21">
        <w:rPr>
          <w:rFonts w:cs="Times New Roman"/>
          <w:szCs w:val="24"/>
          <w:lang w:val="fr-CA"/>
        </w:rPr>
        <w:t xml:space="preserve"> interdit toute communication des enregistrements la concernant. Nous examinerons maintenant ces </w:t>
      </w:r>
      <w:r w:rsidRPr="00A82D21">
        <w:rPr>
          <w:rFonts w:cs="Times New Roman"/>
          <w:szCs w:val="24"/>
          <w:lang w:val="fr-CA"/>
        </w:rPr>
        <w:lastRenderedPageBreak/>
        <w:t>différentes sources d’opposition à la communication des renseignements demandés.</w:t>
      </w:r>
    </w:p>
    <w:p w:rsidR="007962BB" w:rsidRPr="00A82D21" w:rsidRDefault="007962BB" w:rsidP="007962BB">
      <w:pPr>
        <w:pStyle w:val="ParaNoNdepar-AltN"/>
        <w:widowControl w:val="0"/>
        <w:numPr>
          <w:ilvl w:val="0"/>
          <w:numId w:val="0"/>
        </w:numPr>
        <w:rPr>
          <w:rFonts w:cs="Times New Roman"/>
          <w:szCs w:val="24"/>
          <w:lang w:val="fr-CA"/>
        </w:rPr>
      </w:pPr>
    </w:p>
    <w:p w:rsidR="007962BB" w:rsidRPr="00A82D21" w:rsidRDefault="007962BB" w:rsidP="00F633DF">
      <w:pPr>
        <w:pStyle w:val="Title3LevelTitre3Niveau"/>
        <w:widowControl w:val="0"/>
        <w:numPr>
          <w:ilvl w:val="2"/>
          <w:numId w:val="3"/>
        </w:numPr>
        <w:rPr>
          <w:rFonts w:cs="Times New Roman"/>
          <w:szCs w:val="24"/>
          <w:lang w:val="fr-CA"/>
        </w:rPr>
      </w:pPr>
      <w:r w:rsidRPr="00A82D21">
        <w:rPr>
          <w:rFonts w:cs="Times New Roman"/>
          <w:szCs w:val="24"/>
          <w:lang w:val="fr-CA"/>
        </w:rPr>
        <w:t xml:space="preserve">La </w:t>
      </w:r>
      <w:r w:rsidRPr="00A82D21">
        <w:rPr>
          <w:rFonts w:cs="Times New Roman"/>
          <w:i/>
          <w:szCs w:val="24"/>
          <w:lang w:val="fr-CA"/>
        </w:rPr>
        <w:t>Loi sur la concurrence</w:t>
      </w:r>
      <w:r w:rsidRPr="00A82D21">
        <w:rPr>
          <w:rFonts w:cs="Times New Roman"/>
          <w:szCs w:val="24"/>
          <w:lang w:val="fr-CA"/>
        </w:rPr>
        <w:t xml:space="preserve"> </w:t>
      </w:r>
    </w:p>
    <w:p w:rsidR="007962BB" w:rsidRPr="00A82D21" w:rsidRDefault="007962BB" w:rsidP="007962BB">
      <w:pPr>
        <w:pStyle w:val="ParaNoNdepar-AltN"/>
        <w:widowControl w:val="0"/>
        <w:rPr>
          <w:rFonts w:cs="Times New Roman"/>
          <w:szCs w:val="24"/>
          <w:lang w:val="fr-CA"/>
        </w:rPr>
      </w:pPr>
      <w:r w:rsidRPr="00A82D21">
        <w:rPr>
          <w:rFonts w:eastAsiaTheme="minorHAnsi" w:cs="Times New Roman"/>
          <w:szCs w:val="24"/>
          <w:lang w:val="fr-CA"/>
        </w:rPr>
        <w:t xml:space="preserve">Les </w:t>
      </w:r>
      <w:proofErr w:type="gramStart"/>
      <w:r w:rsidRPr="00A82D21">
        <w:rPr>
          <w:rFonts w:eastAsiaTheme="minorHAnsi" w:cs="Times New Roman"/>
          <w:szCs w:val="24"/>
          <w:lang w:val="fr-CA"/>
        </w:rPr>
        <w:t>appelants prétendent</w:t>
      </w:r>
      <w:proofErr w:type="gramEnd"/>
      <w:r w:rsidRPr="00A82D21">
        <w:rPr>
          <w:rFonts w:eastAsiaTheme="minorHAnsi" w:cs="Times New Roman"/>
          <w:szCs w:val="24"/>
          <w:lang w:val="fr-CA"/>
        </w:rPr>
        <w:t xml:space="preserve"> que l’art. 29 de la </w:t>
      </w:r>
      <w:r w:rsidRPr="00A82D21">
        <w:rPr>
          <w:rFonts w:eastAsiaTheme="minorHAnsi" w:cs="Times New Roman"/>
          <w:i/>
          <w:szCs w:val="24"/>
          <w:lang w:val="fr-CA"/>
        </w:rPr>
        <w:t>Loi sur la concurrence</w:t>
      </w:r>
      <w:r w:rsidRPr="00A82D21">
        <w:rPr>
          <w:rFonts w:eastAsiaTheme="minorHAnsi" w:cs="Times New Roman"/>
          <w:szCs w:val="24"/>
          <w:lang w:val="fr-CA"/>
        </w:rPr>
        <w:t xml:space="preserve"> confirme la nature confidentielle des enregistrements de communications privées interceptées et que cette disposition ne peut être invoquée pour exiger du Bureau de la concurrence la communication du produit de ses activités d’écoute électronique. Par ailleurs, </w:t>
      </w:r>
      <w:proofErr w:type="gramStart"/>
      <w:r w:rsidRPr="00A82D21">
        <w:rPr>
          <w:rFonts w:eastAsiaTheme="minorHAnsi" w:cs="Times New Roman"/>
          <w:szCs w:val="24"/>
          <w:lang w:val="fr-CA"/>
        </w:rPr>
        <w:t>ils ajoutent</w:t>
      </w:r>
      <w:proofErr w:type="gramEnd"/>
      <w:r w:rsidRPr="00A82D21">
        <w:rPr>
          <w:rFonts w:eastAsiaTheme="minorHAnsi" w:cs="Times New Roman"/>
          <w:szCs w:val="24"/>
          <w:lang w:val="fr-CA"/>
        </w:rPr>
        <w:t xml:space="preserve"> que l’art. 36 n’établit aucun droit à la communication. Enfin, l’appelante Pétrolière </w:t>
      </w:r>
      <w:r w:rsidR="00F618C1" w:rsidRPr="00A82D21">
        <w:rPr>
          <w:rFonts w:eastAsiaTheme="minorHAnsi" w:cs="Times New Roman"/>
          <w:szCs w:val="24"/>
          <w:lang w:val="fr-CA"/>
        </w:rPr>
        <w:t>I</w:t>
      </w:r>
      <w:r w:rsidRPr="00A82D21">
        <w:rPr>
          <w:rFonts w:eastAsiaTheme="minorHAnsi" w:cs="Times New Roman"/>
          <w:szCs w:val="24"/>
          <w:lang w:val="fr-CA"/>
        </w:rPr>
        <w:t xml:space="preserve">mpériale souligne que le par. 36(2) précise que la preuve fournie lors de procédures pénales ayant mené à une déclaration de culpabilité peut constituer une preuve dans le cadre d’un recours fondé sur l’art. 36, mais avance que l’ordonnance de la juge Bélanger aurait dû faire une distinction entre les défendeurs au recours civil qui ont été reconnus coupables au pénal et ceux qui ne l’ont pas été. </w:t>
      </w:r>
    </w:p>
    <w:p w:rsidR="007962BB" w:rsidRPr="00A82D21" w:rsidRDefault="007962BB" w:rsidP="007962BB">
      <w:pPr>
        <w:pStyle w:val="ParaNoNdepar-AltN"/>
        <w:widowControl w:val="0"/>
        <w:rPr>
          <w:rFonts w:cs="Times New Roman"/>
          <w:szCs w:val="24"/>
          <w:lang w:val="fr-CA"/>
        </w:rPr>
      </w:pPr>
      <w:r w:rsidRPr="00A82D21">
        <w:rPr>
          <w:rFonts w:eastAsiaTheme="minorHAnsi" w:cs="Times New Roman"/>
          <w:szCs w:val="24"/>
          <w:lang w:val="fr-CA"/>
        </w:rPr>
        <w:t xml:space="preserve">Ces moyens doivent être rejetés. Comme nous l’avons expliqué précédemment, ce n’est pas en vertu de l’art. 36 de la </w:t>
      </w:r>
      <w:r w:rsidRPr="00A82D21">
        <w:rPr>
          <w:rFonts w:eastAsiaTheme="minorHAnsi" w:cs="Times New Roman"/>
          <w:i/>
          <w:szCs w:val="24"/>
          <w:lang w:val="fr-CA"/>
        </w:rPr>
        <w:t>Loi sur la concurrence</w:t>
      </w:r>
      <w:r w:rsidRPr="00A82D21">
        <w:rPr>
          <w:rFonts w:eastAsiaTheme="minorHAnsi" w:cs="Times New Roman"/>
          <w:szCs w:val="24"/>
          <w:lang w:val="fr-CA"/>
        </w:rPr>
        <w:t xml:space="preserve"> que la communication des conversations privées interceptées a été ordonnée, mais bien sur le fondement de l’art. 402 </w:t>
      </w:r>
      <w:r w:rsidRPr="00A82D21">
        <w:rPr>
          <w:rFonts w:eastAsiaTheme="minorHAnsi" w:cs="Times New Roman"/>
          <w:i/>
          <w:szCs w:val="24"/>
          <w:lang w:val="fr-CA"/>
        </w:rPr>
        <w:t>C.p.c</w:t>
      </w:r>
      <w:r w:rsidRPr="00A82D21">
        <w:rPr>
          <w:rFonts w:eastAsiaTheme="minorHAnsi" w:cs="Times New Roman"/>
          <w:szCs w:val="24"/>
          <w:lang w:val="fr-CA"/>
        </w:rPr>
        <w:t>. L’article 29, quant à lui, énonce la confidentialité du dossier d’enquête constitué par le Bureau de la concurrence, particulièrement des catégories de renseignements mentionnées aux al. (1)</w:t>
      </w:r>
      <w:r w:rsidRPr="00A82D21">
        <w:rPr>
          <w:rFonts w:eastAsiaTheme="minorHAnsi" w:cs="Times New Roman"/>
          <w:i/>
          <w:szCs w:val="24"/>
          <w:lang w:val="fr-CA"/>
        </w:rPr>
        <w:t>a</w:t>
      </w:r>
      <w:r w:rsidRPr="00A82D21">
        <w:rPr>
          <w:rFonts w:eastAsiaTheme="minorHAnsi" w:cs="Times New Roman"/>
          <w:szCs w:val="24"/>
          <w:lang w:val="fr-CA"/>
        </w:rPr>
        <w:t xml:space="preserve">) à </w:t>
      </w:r>
      <w:r w:rsidRPr="00A82D21">
        <w:rPr>
          <w:rFonts w:eastAsiaTheme="minorHAnsi" w:cs="Times New Roman"/>
          <w:i/>
          <w:szCs w:val="24"/>
          <w:lang w:val="fr-CA"/>
        </w:rPr>
        <w:t>e</w:t>
      </w:r>
      <w:r w:rsidRPr="00A82D21">
        <w:rPr>
          <w:rFonts w:eastAsiaTheme="minorHAnsi" w:cs="Times New Roman"/>
          <w:szCs w:val="24"/>
          <w:lang w:val="fr-CA"/>
        </w:rPr>
        <w:t>) :</w:t>
      </w:r>
    </w:p>
    <w:p w:rsidR="00F618C1" w:rsidRPr="00A82D21" w:rsidRDefault="00F618C1" w:rsidP="00F618C1">
      <w:pPr>
        <w:pStyle w:val="ParaNoNdepar-AltN"/>
        <w:numPr>
          <w:ilvl w:val="0"/>
          <w:numId w:val="0"/>
        </w:numPr>
        <w:tabs>
          <w:tab w:val="left" w:pos="720"/>
          <w:tab w:val="left" w:pos="1440"/>
        </w:tabs>
        <w:spacing w:after="240" w:line="240" w:lineRule="auto"/>
        <w:ind w:left="720"/>
        <w:rPr>
          <w:rFonts w:cs="Times New Roman"/>
          <w:szCs w:val="24"/>
          <w:lang w:val="fr-CA"/>
        </w:rPr>
      </w:pPr>
      <w:r w:rsidRPr="00A82D21">
        <w:rPr>
          <w:rFonts w:cs="Times New Roman"/>
          <w:b/>
          <w:szCs w:val="24"/>
          <w:lang w:val="fr-CA"/>
        </w:rPr>
        <w:lastRenderedPageBreak/>
        <w:tab/>
        <w:t>29.</w:t>
      </w:r>
      <w:r w:rsidRPr="00A82D21">
        <w:rPr>
          <w:rFonts w:cs="Times New Roman"/>
          <w:szCs w:val="24"/>
          <w:lang w:val="fr-CA"/>
        </w:rPr>
        <w:t xml:space="preserve"> (1) Il est interdit à quiconque exerce ou a exercé des fonctions dans le cadre de l’application ou du contrôle d’application de la présente loi de communiquer ou de permettre que soient communiqués à une autre personne, sauf à un organisme canadien chargé du contrôle d’application de la loi ou </w:t>
      </w:r>
      <w:r w:rsidRPr="00A82D21">
        <w:rPr>
          <w:rFonts w:cs="Times New Roman"/>
          <w:szCs w:val="24"/>
          <w:u w:val="single"/>
          <w:lang w:val="fr-CA"/>
        </w:rPr>
        <w:t>dans le cadre de l’application ou du contrôle d’application de la présente loi</w:t>
      </w:r>
      <w:r w:rsidRPr="00A82D21">
        <w:rPr>
          <w:rFonts w:cs="Times New Roman"/>
          <w:szCs w:val="24"/>
          <w:lang w:val="fr-CA"/>
        </w:rPr>
        <w:t> :</w:t>
      </w:r>
    </w:p>
    <w:p w:rsidR="00F618C1" w:rsidRPr="00A82D21" w:rsidRDefault="00F618C1" w:rsidP="00F618C1">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a</w:t>
      </w:r>
      <w:r w:rsidRPr="00A82D21">
        <w:rPr>
          <w:rFonts w:cs="Times New Roman"/>
          <w:szCs w:val="24"/>
          <w:lang w:val="fr-CA"/>
        </w:rPr>
        <w:t>) l’identité d’une personne de qui des renseignements ont été obtenus en application de la présente loi;</w:t>
      </w:r>
    </w:p>
    <w:p w:rsidR="00F618C1" w:rsidRPr="00A82D21" w:rsidRDefault="00F618C1" w:rsidP="00F618C1">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b</w:t>
      </w:r>
      <w:r w:rsidRPr="00A82D21">
        <w:rPr>
          <w:rFonts w:cs="Times New Roman"/>
          <w:szCs w:val="24"/>
          <w:lang w:val="fr-CA"/>
        </w:rPr>
        <w:t>) l’un quelconque des renseignements obtenus en application de l’article 11, 15, 16 ou 114;</w:t>
      </w:r>
    </w:p>
    <w:p w:rsidR="00F618C1" w:rsidRPr="00A82D21" w:rsidRDefault="00F618C1" w:rsidP="00F618C1">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c</w:t>
      </w:r>
      <w:r w:rsidRPr="00A82D21">
        <w:rPr>
          <w:rFonts w:cs="Times New Roman"/>
          <w:szCs w:val="24"/>
          <w:lang w:val="fr-CA"/>
        </w:rPr>
        <w:t>) quoi que ce soit concernant la question de savoir si un avis a été donné ou si des renseignements ont été fournis conformément à l’article 114 à l’égard d’une transaction proposée;</w:t>
      </w:r>
    </w:p>
    <w:p w:rsidR="00F618C1" w:rsidRPr="00A82D21" w:rsidRDefault="00F618C1" w:rsidP="00F618C1">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d</w:t>
      </w:r>
      <w:r w:rsidRPr="00A82D21">
        <w:rPr>
          <w:rFonts w:cs="Times New Roman"/>
          <w:szCs w:val="24"/>
          <w:lang w:val="fr-CA"/>
        </w:rPr>
        <w:t>) tout renseignement obtenu d’une personne qui demande un certificat conformément à l’article 102;</w:t>
      </w:r>
    </w:p>
    <w:p w:rsidR="00F618C1" w:rsidRPr="00A82D21" w:rsidRDefault="00F618C1" w:rsidP="00F618C1">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e</w:t>
      </w:r>
      <w:r w:rsidRPr="00A82D21">
        <w:rPr>
          <w:rFonts w:cs="Times New Roman"/>
          <w:szCs w:val="24"/>
          <w:lang w:val="fr-CA"/>
        </w:rPr>
        <w:t>) des renseignements fournis volontairement dans le cadre de la présente loi.</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conversations privées interceptées en vertu de la partie VI </w:t>
      </w:r>
      <w:r w:rsidRPr="00A82D21">
        <w:rPr>
          <w:rFonts w:cs="Times New Roman"/>
          <w:i/>
          <w:szCs w:val="24"/>
          <w:lang w:val="fr-CA"/>
        </w:rPr>
        <w:t xml:space="preserve">C. cr. </w:t>
      </w:r>
      <w:r w:rsidRPr="00A82D21">
        <w:rPr>
          <w:rFonts w:cs="Times New Roman"/>
          <w:szCs w:val="24"/>
          <w:lang w:val="fr-CA"/>
        </w:rPr>
        <w:t>ne font pas partie des éléments mentionnés aux al. 29(1)</w:t>
      </w:r>
      <w:r w:rsidRPr="00A82D21">
        <w:rPr>
          <w:rFonts w:cs="Times New Roman"/>
          <w:i/>
          <w:szCs w:val="24"/>
          <w:lang w:val="fr-CA"/>
        </w:rPr>
        <w:t>a</w:t>
      </w:r>
      <w:r w:rsidRPr="00A82D21">
        <w:rPr>
          <w:rFonts w:cs="Times New Roman"/>
          <w:szCs w:val="24"/>
          <w:lang w:val="fr-CA"/>
        </w:rPr>
        <w:t xml:space="preserve">) à </w:t>
      </w:r>
      <w:r w:rsidRPr="00A82D21">
        <w:rPr>
          <w:rFonts w:cs="Times New Roman"/>
          <w:i/>
          <w:szCs w:val="24"/>
          <w:lang w:val="fr-CA"/>
        </w:rPr>
        <w:t>e</w:t>
      </w:r>
      <w:r w:rsidRPr="00A82D21">
        <w:rPr>
          <w:rFonts w:cs="Times New Roman"/>
          <w:szCs w:val="24"/>
          <w:lang w:val="fr-CA"/>
        </w:rPr>
        <w:t xml:space="preserve">). L’article 29 n’en interdit donc pas la communication. </w:t>
      </w:r>
      <w:r w:rsidRPr="00A82D21">
        <w:rPr>
          <w:rFonts w:eastAsiaTheme="minorHAnsi" w:cs="Times New Roman"/>
          <w:szCs w:val="24"/>
          <w:lang w:val="fr-CA"/>
        </w:rPr>
        <w:t xml:space="preserve">Il en va de même, à notre avis, de l’art. 193 </w:t>
      </w:r>
      <w:r w:rsidRPr="00A82D21">
        <w:rPr>
          <w:rFonts w:cs="Times New Roman"/>
          <w:i/>
          <w:szCs w:val="24"/>
          <w:lang w:val="fr-CA"/>
        </w:rPr>
        <w:t>C. cr</w:t>
      </w:r>
      <w:r w:rsidRPr="00A82D21">
        <w:rPr>
          <w:rFonts w:eastAsiaTheme="minorHAnsi" w:cs="Times New Roman"/>
          <w:szCs w:val="24"/>
          <w:lang w:val="fr-CA"/>
        </w:rPr>
        <w:t>.</w:t>
      </w:r>
    </w:p>
    <w:p w:rsidR="007962BB" w:rsidRPr="00A82D21" w:rsidRDefault="007962BB" w:rsidP="007962BB">
      <w:pPr>
        <w:pStyle w:val="Title3LevelTitre3Niveau"/>
        <w:widowControl w:val="0"/>
        <w:rPr>
          <w:rFonts w:cs="Times New Roman"/>
          <w:i/>
          <w:szCs w:val="24"/>
          <w:lang w:val="fr-CA"/>
        </w:rPr>
      </w:pPr>
      <w:r w:rsidRPr="00A82D21">
        <w:rPr>
          <w:rFonts w:cs="Times New Roman"/>
          <w:szCs w:val="24"/>
          <w:lang w:val="fr-CA"/>
        </w:rPr>
        <w:t xml:space="preserve">Le </w:t>
      </w:r>
      <w:r w:rsidRPr="00A82D21">
        <w:rPr>
          <w:rFonts w:cs="Times New Roman"/>
          <w:i/>
          <w:szCs w:val="24"/>
          <w:lang w:val="fr-CA"/>
        </w:rPr>
        <w:t>Code criminel</w:t>
      </w:r>
      <w:r w:rsidRPr="00A82D21">
        <w:rPr>
          <w:rFonts w:cs="Times New Roman"/>
          <w:szCs w:val="24"/>
          <w:lang w:val="fr-CA"/>
        </w:rPr>
        <w:t xml:space="preserve"> — l’al</w:t>
      </w:r>
      <w:r w:rsidR="00013DFF" w:rsidRPr="00A82D21">
        <w:rPr>
          <w:rFonts w:cs="Times New Roman"/>
          <w:szCs w:val="24"/>
          <w:lang w:val="fr-CA"/>
        </w:rPr>
        <w:t>.</w:t>
      </w:r>
      <w:r w:rsidRPr="00A82D21">
        <w:rPr>
          <w:rFonts w:cs="Times New Roman"/>
          <w:szCs w:val="24"/>
          <w:lang w:val="fr-CA"/>
        </w:rPr>
        <w:t xml:space="preserve"> 193(2)</w:t>
      </w:r>
      <w:r w:rsidRPr="00A82D21">
        <w:rPr>
          <w:rFonts w:cs="Times New Roman"/>
          <w:i/>
          <w:szCs w:val="24"/>
          <w:lang w:val="fr-CA"/>
        </w:rPr>
        <w:t>a</w:t>
      </w:r>
      <w:r w:rsidRPr="00A82D21">
        <w:rPr>
          <w:rFonts w:cs="Times New Roman"/>
          <w:szCs w:val="24"/>
          <w:lang w:val="fr-CA"/>
        </w:rPr>
        <w: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L’article 193 </w:t>
      </w:r>
      <w:r w:rsidRPr="00A82D21">
        <w:rPr>
          <w:rFonts w:cs="Times New Roman"/>
          <w:i/>
          <w:szCs w:val="24"/>
          <w:lang w:val="fr-CA"/>
        </w:rPr>
        <w:t xml:space="preserve">C. cr. </w:t>
      </w:r>
      <w:r w:rsidRPr="00A82D21">
        <w:rPr>
          <w:rFonts w:cs="Times New Roman"/>
          <w:szCs w:val="24"/>
          <w:lang w:val="fr-CA"/>
        </w:rPr>
        <w:t xml:space="preserve">se trouve à la partie VI intitulée </w:t>
      </w:r>
      <w:r w:rsidR="003D19FF" w:rsidRPr="00A82D21">
        <w:rPr>
          <w:rFonts w:cs="Times New Roman"/>
          <w:szCs w:val="24"/>
          <w:lang w:val="fr-CA"/>
        </w:rPr>
        <w:t>« </w:t>
      </w:r>
      <w:r w:rsidRPr="00A82D21">
        <w:rPr>
          <w:rFonts w:cs="Times New Roman"/>
          <w:szCs w:val="24"/>
          <w:lang w:val="fr-CA"/>
        </w:rPr>
        <w:t>Atteintes à la vie privée</w:t>
      </w:r>
      <w:r w:rsidR="003D19FF" w:rsidRPr="00A82D21">
        <w:rPr>
          <w:rFonts w:cs="Times New Roman"/>
          <w:szCs w:val="24"/>
          <w:lang w:val="fr-CA"/>
        </w:rPr>
        <w:t> »</w:t>
      </w:r>
      <w:r w:rsidRPr="00A82D21">
        <w:rPr>
          <w:rFonts w:cs="Times New Roman"/>
          <w:szCs w:val="24"/>
          <w:lang w:val="fr-CA"/>
        </w:rPr>
        <w:t xml:space="preserve">. Notre Cour s’est déjà penchée sur cette partie du </w:t>
      </w:r>
      <w:r w:rsidRPr="00A82D21">
        <w:rPr>
          <w:rFonts w:cs="Times New Roman"/>
          <w:i/>
          <w:szCs w:val="24"/>
          <w:lang w:val="fr-CA"/>
        </w:rPr>
        <w:t>Code criminel</w:t>
      </w:r>
      <w:r w:rsidRPr="00A82D21">
        <w:rPr>
          <w:rFonts w:cs="Times New Roman"/>
          <w:szCs w:val="24"/>
          <w:lang w:val="fr-CA"/>
        </w:rPr>
        <w:t xml:space="preserve"> dans les arrêts </w:t>
      </w:r>
      <w:r w:rsidRPr="00A82D21">
        <w:rPr>
          <w:rFonts w:cs="Times New Roman"/>
          <w:i/>
          <w:szCs w:val="24"/>
          <w:lang w:val="fr-CA"/>
        </w:rPr>
        <w:t>Lyons c. La Reine</w:t>
      </w:r>
      <w:r w:rsidRPr="00A82D21">
        <w:rPr>
          <w:rFonts w:cs="Times New Roman"/>
          <w:szCs w:val="24"/>
          <w:lang w:val="fr-CA"/>
        </w:rPr>
        <w:t>, [1984] 2 R.C.S. 633</w:t>
      </w:r>
      <w:r w:rsidR="00DF7DB7" w:rsidRPr="00A82D21">
        <w:rPr>
          <w:rFonts w:cs="Times New Roman"/>
          <w:szCs w:val="24"/>
          <w:lang w:val="fr-CA"/>
        </w:rPr>
        <w:t>,</w:t>
      </w:r>
      <w:r w:rsidRPr="00A82D21">
        <w:rPr>
          <w:rFonts w:cs="Times New Roman"/>
          <w:szCs w:val="24"/>
          <w:lang w:val="fr-CA"/>
        </w:rPr>
        <w:t xml:space="preserve"> </w:t>
      </w:r>
      <w:r w:rsidRPr="00A82D21">
        <w:rPr>
          <w:rFonts w:cs="Times New Roman"/>
          <w:i/>
          <w:szCs w:val="24"/>
          <w:lang w:val="fr-CA"/>
        </w:rPr>
        <w:t>R. c. Duarte</w:t>
      </w:r>
      <w:r w:rsidRPr="00A82D21">
        <w:rPr>
          <w:rFonts w:cs="Times New Roman"/>
          <w:szCs w:val="24"/>
          <w:lang w:val="fr-CA"/>
        </w:rPr>
        <w:t>, [1990] 1 R.C.S. 30</w:t>
      </w:r>
      <w:r w:rsidR="00DF7DB7" w:rsidRPr="00A82D21">
        <w:rPr>
          <w:rFonts w:cs="Times New Roman"/>
          <w:szCs w:val="24"/>
          <w:lang w:val="fr-CA"/>
        </w:rPr>
        <w:t>,</w:t>
      </w:r>
      <w:r w:rsidRPr="00A82D21">
        <w:rPr>
          <w:rFonts w:cs="Times New Roman"/>
          <w:szCs w:val="24"/>
          <w:lang w:val="fr-CA"/>
        </w:rPr>
        <w:t xml:space="preserve"> </w:t>
      </w:r>
      <w:r w:rsidRPr="00A82D21">
        <w:rPr>
          <w:rFonts w:cs="Times New Roman"/>
          <w:i/>
          <w:szCs w:val="24"/>
          <w:lang w:val="fr-CA"/>
        </w:rPr>
        <w:t>Michaud</w:t>
      </w:r>
      <w:r w:rsidR="00DF7DB7" w:rsidRPr="00A82D21">
        <w:rPr>
          <w:rFonts w:cs="Times New Roman"/>
          <w:szCs w:val="24"/>
          <w:lang w:val="fr-CA"/>
        </w:rPr>
        <w:t>,</w:t>
      </w:r>
      <w:r w:rsidRPr="00A82D21">
        <w:rPr>
          <w:rFonts w:cs="Times New Roman"/>
          <w:szCs w:val="24"/>
          <w:lang w:val="fr-CA"/>
        </w:rPr>
        <w:t xml:space="preserve"> </w:t>
      </w:r>
      <w:r w:rsidRPr="00A82D21">
        <w:rPr>
          <w:rFonts w:cs="Times New Roman"/>
          <w:i/>
          <w:szCs w:val="24"/>
          <w:lang w:val="fr-CA"/>
        </w:rPr>
        <w:t>R. c. Tse</w:t>
      </w:r>
      <w:r w:rsidRPr="00A82D21">
        <w:rPr>
          <w:rFonts w:cs="Times New Roman"/>
          <w:szCs w:val="24"/>
          <w:lang w:val="fr-CA"/>
        </w:rPr>
        <w:t>, 2012 CSC 16, [2012] 1 R.C.S. 531, par. 24</w:t>
      </w:r>
      <w:r w:rsidR="00DF7DB7" w:rsidRPr="00A82D21">
        <w:rPr>
          <w:rFonts w:cs="Times New Roman"/>
          <w:szCs w:val="24"/>
          <w:lang w:val="fr-CA"/>
        </w:rPr>
        <w:t>,</w:t>
      </w:r>
      <w:r w:rsidRPr="00A82D21">
        <w:rPr>
          <w:rFonts w:cs="Times New Roman"/>
          <w:szCs w:val="24"/>
          <w:lang w:val="fr-CA"/>
        </w:rPr>
        <w:t xml:space="preserve"> et plus récemment dans l’arrêt </w:t>
      </w:r>
      <w:r w:rsidRPr="00A82D21">
        <w:rPr>
          <w:rFonts w:cs="Times New Roman"/>
          <w:i/>
          <w:szCs w:val="24"/>
          <w:lang w:val="fr-CA"/>
        </w:rPr>
        <w:t>R. c. Société TELUS Communications</w:t>
      </w:r>
      <w:r w:rsidRPr="00A82D21">
        <w:rPr>
          <w:rFonts w:cs="Times New Roman"/>
          <w:szCs w:val="24"/>
          <w:lang w:val="fr-CA"/>
        </w:rPr>
        <w:t xml:space="preserve">, 2013 CSC 16, [2013] 2 R.C.S. 3, (particulièrement aux par. 22-31 et 73).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Résultat de modifications législatives apportées au </w:t>
      </w:r>
      <w:r w:rsidRPr="00A82D21">
        <w:rPr>
          <w:rFonts w:cs="Times New Roman"/>
          <w:i/>
          <w:szCs w:val="24"/>
          <w:lang w:val="fr-CA"/>
        </w:rPr>
        <w:t>Code criminel</w:t>
      </w:r>
      <w:r w:rsidRPr="00A82D21">
        <w:rPr>
          <w:rFonts w:cs="Times New Roman"/>
          <w:szCs w:val="24"/>
          <w:lang w:val="fr-CA"/>
        </w:rPr>
        <w:t xml:space="preserve"> en 1974 pour combler un vide juridique en matière de protection de la vie privée (</w:t>
      </w:r>
      <w:r w:rsidRPr="00A82D21">
        <w:rPr>
          <w:rFonts w:cs="Times New Roman"/>
          <w:i/>
          <w:szCs w:val="24"/>
          <w:lang w:val="fr-CA"/>
        </w:rPr>
        <w:t>Tse</w:t>
      </w:r>
      <w:r w:rsidRPr="00A82D21">
        <w:rPr>
          <w:rFonts w:cs="Times New Roman"/>
          <w:szCs w:val="24"/>
          <w:lang w:val="fr-CA"/>
        </w:rPr>
        <w:t xml:space="preserve">, par. 24), </w:t>
      </w:r>
      <w:r w:rsidR="003D19FF" w:rsidRPr="00A82D21">
        <w:rPr>
          <w:rFonts w:cs="Times New Roman"/>
          <w:szCs w:val="24"/>
          <w:lang w:val="fr-CA"/>
        </w:rPr>
        <w:t>« </w:t>
      </w:r>
      <w:r w:rsidRPr="00A82D21">
        <w:rPr>
          <w:rFonts w:cs="Times New Roman"/>
          <w:szCs w:val="24"/>
          <w:lang w:val="fr-CA"/>
        </w:rPr>
        <w:t xml:space="preserve">[l]a partie VI du </w:t>
      </w:r>
      <w:r w:rsidRPr="00A82D21">
        <w:rPr>
          <w:rFonts w:cs="Times New Roman"/>
          <w:i/>
          <w:szCs w:val="24"/>
          <w:lang w:val="fr-CA"/>
        </w:rPr>
        <w:t>Code</w:t>
      </w:r>
      <w:r w:rsidRPr="00A82D21">
        <w:rPr>
          <w:rFonts w:cs="Times New Roman"/>
          <w:szCs w:val="24"/>
          <w:lang w:val="fr-CA"/>
        </w:rPr>
        <w:t xml:space="preserve"> établit un régime de protection des communications privées</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TELUS</w:t>
      </w:r>
      <w:r w:rsidRPr="00A82D21">
        <w:rPr>
          <w:rFonts w:cs="Times New Roman"/>
          <w:szCs w:val="24"/>
          <w:lang w:val="fr-CA"/>
        </w:rPr>
        <w:t>,</w:t>
      </w:r>
      <w:r w:rsidRPr="00A82D21">
        <w:rPr>
          <w:rFonts w:cs="Times New Roman"/>
          <w:i/>
          <w:szCs w:val="24"/>
          <w:lang w:val="fr-CA"/>
        </w:rPr>
        <w:t xml:space="preserve"> </w:t>
      </w:r>
      <w:r w:rsidRPr="00A82D21">
        <w:rPr>
          <w:rFonts w:cs="Times New Roman"/>
          <w:szCs w:val="24"/>
          <w:lang w:val="fr-CA"/>
        </w:rPr>
        <w:t xml:space="preserve">par. 3). Son objet </w:t>
      </w:r>
      <w:r w:rsidR="003D19FF" w:rsidRPr="00A82D21">
        <w:rPr>
          <w:rFonts w:cs="Times New Roman"/>
          <w:szCs w:val="24"/>
          <w:lang w:val="fr-CA"/>
        </w:rPr>
        <w:t>« </w:t>
      </w:r>
      <w:r w:rsidRPr="00A82D21">
        <w:rPr>
          <w:rFonts w:cs="Times New Roman"/>
          <w:szCs w:val="24"/>
          <w:lang w:val="fr-CA"/>
        </w:rPr>
        <w:t>consiste à accorder une protection étendue aux communications privées contre les ingérences non autorisées de l’État</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ibid.</w:t>
      </w:r>
      <w:r w:rsidRPr="00A82D21">
        <w:rPr>
          <w:rFonts w:cs="Times New Roman"/>
          <w:szCs w:val="24"/>
          <w:lang w:val="fr-CA"/>
        </w:rPr>
        <w:t xml:space="preserve">, par. 35). Au-delà de cette protection, la partie VI a pour fonction d’établir un équilibre entre la protection de la vie privée et la répression du crime : elle </w:t>
      </w:r>
      <w:r w:rsidR="003D19FF" w:rsidRPr="00A82D21">
        <w:rPr>
          <w:rFonts w:cs="Times New Roman"/>
          <w:szCs w:val="24"/>
          <w:lang w:val="fr-CA"/>
        </w:rPr>
        <w:t>« </w:t>
      </w:r>
      <w:r w:rsidRPr="00A82D21">
        <w:rPr>
          <w:rFonts w:cs="Times New Roman"/>
          <w:szCs w:val="24"/>
          <w:lang w:val="fr-CA"/>
        </w:rPr>
        <w:t>vise à la fois à protéger la vie privée des personnes et à permettre d’y porter atteinte</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Lyons</w:t>
      </w:r>
      <w:r w:rsidRPr="00A82D21">
        <w:rPr>
          <w:rFonts w:cs="Times New Roman"/>
          <w:szCs w:val="24"/>
          <w:lang w:val="fr-CA"/>
        </w:rPr>
        <w:t xml:space="preserve">, p. 652; </w:t>
      </w:r>
      <w:r w:rsidRPr="00A82D21">
        <w:rPr>
          <w:rFonts w:cs="Times New Roman"/>
          <w:i/>
          <w:szCs w:val="24"/>
          <w:lang w:val="fr-CA"/>
        </w:rPr>
        <w:t>R. c.</w:t>
      </w:r>
      <w:r w:rsidRPr="00A82D21">
        <w:rPr>
          <w:rFonts w:cs="Times New Roman"/>
          <w:szCs w:val="24"/>
          <w:lang w:val="fr-CA"/>
        </w:rPr>
        <w:t xml:space="preserve"> </w:t>
      </w:r>
      <w:r w:rsidRPr="00A82D21">
        <w:rPr>
          <w:rFonts w:cs="Times New Roman"/>
          <w:i/>
          <w:szCs w:val="24"/>
          <w:lang w:val="fr-CA"/>
        </w:rPr>
        <w:t>Welsh</w:t>
      </w:r>
      <w:r w:rsidRPr="00A82D21">
        <w:rPr>
          <w:rFonts w:cs="Times New Roman"/>
          <w:szCs w:val="24"/>
          <w:lang w:val="fr-CA"/>
        </w:rPr>
        <w:t xml:space="preserve"> (1977), 15 O.R. (2d) 1</w:t>
      </w:r>
      <w:r w:rsidR="00B6558D" w:rsidRPr="00A82D21">
        <w:rPr>
          <w:rFonts w:cs="Times New Roman"/>
          <w:szCs w:val="24"/>
          <w:lang w:val="fr-CA"/>
        </w:rPr>
        <w:t xml:space="preserve"> (C.A.)</w:t>
      </w:r>
      <w:r w:rsidRPr="00A82D21">
        <w:rPr>
          <w:rFonts w:cs="Times New Roman"/>
          <w:szCs w:val="24"/>
          <w:lang w:val="fr-CA"/>
        </w:rPr>
        <w:t xml:space="preserve">, p. 7-8). Considérée ainsi, la partie VI vise donc à établir </w:t>
      </w:r>
      <w:r w:rsidR="003D19FF" w:rsidRPr="00A82D21">
        <w:rPr>
          <w:rFonts w:cs="Times New Roman"/>
          <w:szCs w:val="24"/>
          <w:lang w:val="fr-CA"/>
        </w:rPr>
        <w:t>« </w:t>
      </w:r>
      <w:r w:rsidRPr="00A82D21">
        <w:rPr>
          <w:rFonts w:cs="Times New Roman"/>
          <w:szCs w:val="24"/>
          <w:lang w:val="fr-CA"/>
        </w:rPr>
        <w:t>un équilibre raisonnable entre le droit des particuliers d’être laissés tranquilles et le droit de l’État de porter atteinte à la vie privée pour s’acquitter de ses responsabilités en matière d’application des lois</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Duarte</w:t>
      </w:r>
      <w:r w:rsidRPr="00A82D21">
        <w:rPr>
          <w:rFonts w:cs="Times New Roman"/>
          <w:szCs w:val="24"/>
          <w:lang w:val="fr-CA"/>
        </w:rPr>
        <w:t>, p. 45).</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Il n’est pas question ici de perturber l’équilibre que permet d’établir la partie VI en encadrant de manière stricte l’interception de communications privées. Il s’agit plutôt de décider si des conversations </w:t>
      </w:r>
      <w:r w:rsidRPr="00A82D21">
        <w:rPr>
          <w:rFonts w:cs="Times New Roman"/>
          <w:i/>
          <w:szCs w:val="24"/>
          <w:lang w:val="fr-CA"/>
        </w:rPr>
        <w:t>déjà interceptées</w:t>
      </w:r>
      <w:r w:rsidRPr="00A82D21">
        <w:rPr>
          <w:rFonts w:cs="Times New Roman"/>
          <w:szCs w:val="24"/>
          <w:lang w:val="fr-CA"/>
        </w:rPr>
        <w:t xml:space="preserve"> par l’État peuvent être communiquées à des particuliers parties à des procès civils, et ce, pour réaliser d’autres objectifs légitimes, comme la découverte de la vérité, l’équité procédurale et l’efficacité du processus judiciaire.</w:t>
      </w:r>
    </w:p>
    <w:p w:rsidR="007962BB" w:rsidRPr="00A82D21" w:rsidRDefault="007962BB" w:rsidP="00F633DF">
      <w:pPr>
        <w:pStyle w:val="Title4LevelTitre4Niveau"/>
        <w:widowControl w:val="0"/>
        <w:numPr>
          <w:ilvl w:val="1"/>
          <w:numId w:val="1"/>
        </w:numPr>
        <w:tabs>
          <w:tab w:val="left" w:pos="1710"/>
        </w:tabs>
        <w:ind w:left="1170" w:hanging="450"/>
        <w:rPr>
          <w:rFonts w:cs="Times New Roman"/>
          <w:szCs w:val="24"/>
          <w:lang w:val="fr-CA"/>
        </w:rPr>
      </w:pPr>
      <w:r w:rsidRPr="00A82D21">
        <w:rPr>
          <w:rFonts w:cs="Times New Roman"/>
          <w:szCs w:val="24"/>
          <w:lang w:val="fr-CA"/>
        </w:rPr>
        <w:t>Article 193 : une infraction, et non un mécanisme de divulgation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Aux termes du par. 184(1) </w:t>
      </w:r>
      <w:r w:rsidRPr="00A82D21">
        <w:rPr>
          <w:rFonts w:cs="Times New Roman"/>
          <w:i/>
          <w:szCs w:val="24"/>
          <w:lang w:val="fr-CA"/>
        </w:rPr>
        <w:t xml:space="preserve">C. </w:t>
      </w:r>
      <w:proofErr w:type="gramStart"/>
      <w:r w:rsidRPr="00A82D21">
        <w:rPr>
          <w:rFonts w:cs="Times New Roman"/>
          <w:i/>
          <w:szCs w:val="24"/>
          <w:lang w:val="fr-CA"/>
        </w:rPr>
        <w:t>cr.</w:t>
      </w:r>
      <w:r w:rsidRPr="00A82D21">
        <w:rPr>
          <w:rFonts w:cs="Times New Roman"/>
          <w:szCs w:val="24"/>
          <w:lang w:val="fr-CA"/>
        </w:rPr>
        <w:t>,</w:t>
      </w:r>
      <w:proofErr w:type="gramEnd"/>
      <w:r w:rsidRPr="00A82D21">
        <w:rPr>
          <w:rFonts w:cs="Times New Roman"/>
          <w:szCs w:val="24"/>
          <w:lang w:val="fr-CA"/>
        </w:rPr>
        <w:t xml:space="preserve"> qui figure à la partie VI, commet une infraction quiconque intercepte volontairement une communication privée, au moyen </w:t>
      </w:r>
      <w:r w:rsidRPr="00A82D21">
        <w:rPr>
          <w:rFonts w:cs="Times New Roman"/>
          <w:szCs w:val="24"/>
          <w:lang w:val="fr-CA"/>
        </w:rPr>
        <w:lastRenderedPageBreak/>
        <w:t xml:space="preserve">d’un dispositif électromagnétique, acoustique, mécanique ou autre. De surcroît, le par. 193(1) </w:t>
      </w:r>
      <w:r w:rsidRPr="00A82D21">
        <w:rPr>
          <w:rFonts w:cs="Times New Roman"/>
          <w:i/>
          <w:szCs w:val="24"/>
          <w:lang w:val="fr-CA"/>
        </w:rPr>
        <w:t>C. cr.</w:t>
      </w:r>
      <w:r w:rsidRPr="00A82D21">
        <w:rPr>
          <w:rFonts w:cs="Times New Roman"/>
          <w:szCs w:val="24"/>
          <w:lang w:val="fr-CA"/>
        </w:rPr>
        <w:t xml:space="preserve"> établit le principe selon lequel il est illégal de divulguer ou d’utiliser une communication privée interceptée sans le consentement de son auteur ou du destinataire</w:t>
      </w:r>
      <w:r w:rsidR="00013DFF" w:rsidRPr="00A82D21">
        <w:rPr>
          <w:rFonts w:cs="Times New Roman"/>
          <w:szCs w:val="24"/>
          <w:lang w:val="fr-CA"/>
        </w:rPr>
        <w:t xml:space="preserve"> </w:t>
      </w:r>
      <w:r w:rsidRPr="00A82D21">
        <w:rPr>
          <w:rFonts w:cs="Times New Roman"/>
          <w:szCs w:val="24"/>
          <w:lang w:val="fr-CA"/>
        </w:rPr>
        <w:t xml:space="preserve">: </w:t>
      </w:r>
    </w:p>
    <w:p w:rsidR="00013DFF" w:rsidRPr="00A82D21" w:rsidRDefault="00013DFF" w:rsidP="00013DFF">
      <w:pPr>
        <w:pStyle w:val="ParaNoNdepar-AltN"/>
        <w:numPr>
          <w:ilvl w:val="0"/>
          <w:numId w:val="0"/>
        </w:numPr>
        <w:tabs>
          <w:tab w:val="left" w:pos="720"/>
          <w:tab w:val="left" w:pos="1440"/>
        </w:tabs>
        <w:spacing w:after="240" w:line="240" w:lineRule="auto"/>
        <w:ind w:left="720"/>
        <w:rPr>
          <w:rFonts w:cs="Times New Roman"/>
          <w:szCs w:val="24"/>
          <w:lang w:val="fr-CA"/>
        </w:rPr>
      </w:pPr>
      <w:r w:rsidRPr="00A82D21">
        <w:rPr>
          <w:rFonts w:cs="Times New Roman"/>
          <w:szCs w:val="24"/>
          <w:lang w:val="fr-CA"/>
        </w:rPr>
        <w:tab/>
      </w:r>
      <w:r w:rsidRPr="00A82D21">
        <w:rPr>
          <w:rFonts w:cs="Times New Roman"/>
          <w:b/>
          <w:szCs w:val="24"/>
          <w:lang w:val="fr-CA"/>
        </w:rPr>
        <w:t>193.</w:t>
      </w:r>
      <w:r w:rsidRPr="00A82D21">
        <w:rPr>
          <w:rFonts w:cs="Times New Roman"/>
          <w:szCs w:val="24"/>
          <w:lang w:val="fr-CA"/>
        </w:rPr>
        <w:t xml:space="preserve"> (1) Lorsqu’une communication privée a été interceptée au moyen d’un dispositif électromagnétique, acoustique, mécanique ou autre sans le consentement, exprès ou tacite, de son auteur ou de la personne à laquelle son auteur la destinait, quiconque, selon le cas : </w:t>
      </w:r>
    </w:p>
    <w:p w:rsidR="00013DFF" w:rsidRPr="00A82D21" w:rsidRDefault="00013DFF" w:rsidP="00013DFF">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a</w:t>
      </w:r>
      <w:r w:rsidRPr="00A82D21">
        <w:rPr>
          <w:rFonts w:cs="Times New Roman"/>
          <w:szCs w:val="24"/>
          <w:lang w:val="fr-CA"/>
        </w:rPr>
        <w:t xml:space="preserve">) utilise ou divulgue volontairement tout ou partie de cette communication privée, ou la substance, le sens ou l’objet de tout ou partie de celle-ci; </w:t>
      </w:r>
    </w:p>
    <w:p w:rsidR="00013DFF" w:rsidRPr="00A82D21" w:rsidRDefault="00013DFF" w:rsidP="00013DFF">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b</w:t>
      </w:r>
      <w:r w:rsidRPr="00A82D21">
        <w:rPr>
          <w:rFonts w:cs="Times New Roman"/>
          <w:szCs w:val="24"/>
          <w:lang w:val="fr-CA"/>
        </w:rPr>
        <w:t xml:space="preserve">) en divulgue volontairement l’existence, </w:t>
      </w:r>
    </w:p>
    <w:p w:rsidR="00013DFF" w:rsidRPr="00A82D21" w:rsidRDefault="00013DFF" w:rsidP="00893AA4">
      <w:pPr>
        <w:pStyle w:val="ParaNoNdepar-AltN"/>
        <w:numPr>
          <w:ilvl w:val="0"/>
          <w:numId w:val="0"/>
        </w:numPr>
        <w:tabs>
          <w:tab w:val="left" w:pos="720"/>
          <w:tab w:val="left" w:pos="1440"/>
        </w:tabs>
        <w:spacing w:before="240" w:after="720" w:line="240" w:lineRule="auto"/>
        <w:ind w:left="720"/>
        <w:rPr>
          <w:rFonts w:cs="Times New Roman"/>
          <w:szCs w:val="24"/>
          <w:lang w:val="fr-CA"/>
        </w:rPr>
      </w:pPr>
      <w:proofErr w:type="gramStart"/>
      <w:r w:rsidRPr="00A82D21">
        <w:rPr>
          <w:rFonts w:cs="Times New Roman"/>
          <w:szCs w:val="24"/>
          <w:lang w:val="fr-CA"/>
        </w:rPr>
        <w:t>sans</w:t>
      </w:r>
      <w:proofErr w:type="gramEnd"/>
      <w:r w:rsidRPr="00A82D21">
        <w:rPr>
          <w:rFonts w:cs="Times New Roman"/>
          <w:szCs w:val="24"/>
          <w:lang w:val="fr-CA"/>
        </w:rPr>
        <w:t xml:space="preserve"> le consentement exprès de son auteur ou de la personne à laquelle son auteur la destinait, est coupable d’un acte criminel et passible d’un emprisonnement maximal de deux ans. </w:t>
      </w:r>
    </w:p>
    <w:p w:rsidR="007962BB" w:rsidRPr="00A82D21" w:rsidRDefault="007962BB" w:rsidP="007962BB">
      <w:pPr>
        <w:pStyle w:val="ParaNoNdepar-AltN"/>
        <w:widowControl w:val="0"/>
        <w:numPr>
          <w:ilvl w:val="0"/>
          <w:numId w:val="0"/>
        </w:numPr>
        <w:spacing w:before="0"/>
        <w:rPr>
          <w:rFonts w:cs="Times New Roman"/>
          <w:szCs w:val="24"/>
          <w:lang w:val="fr-CA"/>
        </w:rPr>
      </w:pPr>
      <w:r w:rsidRPr="00A82D21">
        <w:rPr>
          <w:rFonts w:cs="Times New Roman"/>
          <w:szCs w:val="24"/>
          <w:lang w:val="fr-CA"/>
        </w:rPr>
        <w:t xml:space="preserve">Ces dispositions ont pour objectif commun de protéger la vie privée des Canadiens. Comme l’a indiqué notre Cour dans </w:t>
      </w:r>
      <w:r w:rsidRPr="00A82D21">
        <w:rPr>
          <w:rFonts w:cs="Times New Roman"/>
          <w:i/>
          <w:szCs w:val="24"/>
          <w:lang w:val="fr-CA"/>
        </w:rPr>
        <w:t>Duarte</w:t>
      </w:r>
      <w:r w:rsidRPr="00A82D21">
        <w:rPr>
          <w:rFonts w:cs="Times New Roman"/>
          <w:szCs w:val="24"/>
          <w:lang w:val="fr-CA"/>
        </w:rPr>
        <w:t>, il est difficile de concevoir une activité de l’État qui soit plus dangereuse pour la vie privée que l’écoute électronique (p. 43).</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De prime abord, le par. 193(1) </w:t>
      </w:r>
      <w:r w:rsidRPr="00A82D21">
        <w:rPr>
          <w:rFonts w:cs="Times New Roman"/>
          <w:i/>
          <w:szCs w:val="24"/>
          <w:lang w:val="fr-CA"/>
        </w:rPr>
        <w:t>C.</w:t>
      </w:r>
      <w:r w:rsidR="007A759B" w:rsidRPr="00A82D21">
        <w:rPr>
          <w:rFonts w:cs="Times New Roman"/>
          <w:i/>
          <w:szCs w:val="24"/>
          <w:lang w:val="fr-CA"/>
        </w:rPr>
        <w:t xml:space="preserve"> </w:t>
      </w:r>
      <w:r w:rsidRPr="00A82D21">
        <w:rPr>
          <w:rFonts w:cs="Times New Roman"/>
          <w:i/>
          <w:szCs w:val="24"/>
          <w:lang w:val="fr-CA"/>
        </w:rPr>
        <w:t>cr.</w:t>
      </w:r>
      <w:r w:rsidRPr="00A82D21">
        <w:rPr>
          <w:rFonts w:cs="Times New Roman"/>
          <w:szCs w:val="24"/>
          <w:lang w:val="fr-CA"/>
        </w:rPr>
        <w:t xml:space="preserve"> semble donc faire obstacle à la communication de documents résultant de l’écoute électronique. Le droit à la protection de la vie privée n’étant toutefois pas absolu, une série d’exemptions, codifiées aux par. 193(2) et (3), tempèrent l’interdiction générale édictée au par. 193(1). L’alinéa 2</w:t>
      </w:r>
      <w:r w:rsidRPr="00A82D21">
        <w:rPr>
          <w:rFonts w:cs="Times New Roman"/>
          <w:i/>
          <w:szCs w:val="24"/>
          <w:lang w:val="fr-CA"/>
        </w:rPr>
        <w:t>a</w:t>
      </w:r>
      <w:r w:rsidRPr="00A82D21">
        <w:rPr>
          <w:rFonts w:cs="Times New Roman"/>
          <w:szCs w:val="24"/>
          <w:lang w:val="fr-CA"/>
        </w:rPr>
        <w:t>) vise notamment les dépositions au cours de poursuites civiles et pénales :</w:t>
      </w:r>
    </w:p>
    <w:p w:rsidR="00013DFF" w:rsidRPr="00A82D21" w:rsidRDefault="00F633DF" w:rsidP="00F633DF">
      <w:pPr>
        <w:pStyle w:val="ParaNoNdepar-AltN"/>
        <w:numPr>
          <w:ilvl w:val="0"/>
          <w:numId w:val="0"/>
        </w:numPr>
        <w:tabs>
          <w:tab w:val="left" w:pos="720"/>
          <w:tab w:val="left" w:pos="1440"/>
        </w:tabs>
        <w:spacing w:after="240" w:line="240" w:lineRule="auto"/>
        <w:ind w:left="720"/>
        <w:rPr>
          <w:rFonts w:cs="Times New Roman"/>
          <w:szCs w:val="24"/>
          <w:lang w:val="fr-CA"/>
        </w:rPr>
      </w:pPr>
      <w:r w:rsidRPr="00A82D21">
        <w:rPr>
          <w:rFonts w:cs="Times New Roman"/>
          <w:szCs w:val="24"/>
          <w:lang w:val="fr-CA"/>
        </w:rPr>
        <w:lastRenderedPageBreak/>
        <w:tab/>
      </w:r>
      <w:r w:rsidR="00013DFF" w:rsidRPr="00A82D21">
        <w:rPr>
          <w:rFonts w:cs="Times New Roman"/>
          <w:szCs w:val="24"/>
          <w:lang w:val="fr-CA"/>
        </w:rPr>
        <w:t xml:space="preserve">(2) [Exemptions] Le paragraphe (1) </w:t>
      </w:r>
      <w:r w:rsidR="00013DFF" w:rsidRPr="00A82D21">
        <w:rPr>
          <w:rFonts w:cs="Times New Roman"/>
          <w:szCs w:val="24"/>
          <w:u w:val="single"/>
          <w:lang w:val="fr-CA"/>
        </w:rPr>
        <w:t>ne s’applique pas à une personne qui divulgue</w:t>
      </w:r>
      <w:r w:rsidR="00013DFF" w:rsidRPr="00A82D21">
        <w:rPr>
          <w:rFonts w:cs="Times New Roman"/>
          <w:szCs w:val="24"/>
          <w:lang w:val="fr-CA"/>
        </w:rPr>
        <w:t xml:space="preserve"> soit tout ou partie d’une communication privée, ou la substance, le sens ou l’objet de tout ou partie de celle-ci, soit l’existence d’une communication privée :</w:t>
      </w:r>
    </w:p>
    <w:p w:rsidR="00013DFF" w:rsidRPr="00A82D21" w:rsidRDefault="00013DFF" w:rsidP="00F633DF">
      <w:pPr>
        <w:pStyle w:val="ParaNoNdepar-AltN"/>
        <w:numPr>
          <w:ilvl w:val="0"/>
          <w:numId w:val="0"/>
        </w:numPr>
        <w:tabs>
          <w:tab w:val="left" w:pos="1440"/>
        </w:tabs>
        <w:spacing w:before="0" w:after="240" w:line="240" w:lineRule="auto"/>
        <w:ind w:left="1440"/>
        <w:rPr>
          <w:rFonts w:cs="Times New Roman"/>
          <w:szCs w:val="24"/>
          <w:lang w:val="fr-CA"/>
        </w:rPr>
      </w:pPr>
      <w:r w:rsidRPr="00A82D21">
        <w:rPr>
          <w:rFonts w:cs="Times New Roman"/>
          <w:i/>
          <w:szCs w:val="24"/>
          <w:lang w:val="fr-CA"/>
        </w:rPr>
        <w:t>a</w:t>
      </w:r>
      <w:r w:rsidRPr="00A82D21">
        <w:rPr>
          <w:rFonts w:cs="Times New Roman"/>
          <w:szCs w:val="24"/>
          <w:lang w:val="fr-CA"/>
        </w:rPr>
        <w:t xml:space="preserve">) </w:t>
      </w:r>
      <w:r w:rsidRPr="00A82D21">
        <w:rPr>
          <w:rFonts w:cs="Times New Roman"/>
          <w:szCs w:val="24"/>
          <w:u w:val="single"/>
          <w:lang w:val="fr-CA"/>
        </w:rPr>
        <w:t>au cours ou aux fins d’une déposition lors de poursuites civiles</w:t>
      </w:r>
      <w:r w:rsidRPr="00A82D21">
        <w:rPr>
          <w:rFonts w:cs="Times New Roman"/>
          <w:szCs w:val="24"/>
          <w:lang w:val="fr-CA"/>
        </w:rPr>
        <w:t xml:space="preserve"> ou pénales ou de toutes autres procédures dans lesquelles elle peut être requise de déposer sous serment;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En soustrayant certaines situations bien définies de la portée de l’interdiction créée par le par. 193(1), ces exemptions autorisent une personne à communiquer des enregistrements qui, autrement, ne pourraient l’être. S’ils permettent une telle communication, les par. 193(2) et (3) ne créent toutefois ni un mécanisme de divulgation en soi ni, surtout, un droit d’accès. La procédure permettant </w:t>
      </w:r>
      <w:r w:rsidRPr="00A82D21">
        <w:rPr>
          <w:rFonts w:cs="Times New Roman"/>
          <w:i/>
          <w:szCs w:val="24"/>
          <w:lang w:val="fr-CA"/>
        </w:rPr>
        <w:t>d’accéder</w:t>
      </w:r>
      <w:r w:rsidRPr="00A82D21">
        <w:rPr>
          <w:rFonts w:cs="Times New Roman"/>
          <w:szCs w:val="24"/>
          <w:lang w:val="fr-CA"/>
        </w:rPr>
        <w:t xml:space="preserve"> aux enregistrements provient donc nécessairement d’une autre source. Comme nous sommes en présence d’une poursuite civile intentée en vertu de l’art. 36 de la </w:t>
      </w:r>
      <w:r w:rsidRPr="00A82D21">
        <w:rPr>
          <w:rFonts w:cs="Times New Roman"/>
          <w:i/>
          <w:szCs w:val="24"/>
          <w:lang w:val="fr-CA"/>
        </w:rPr>
        <w:t>Loi sur la concurrence</w:t>
      </w:r>
      <w:r w:rsidRPr="00A82D21">
        <w:rPr>
          <w:rFonts w:cs="Times New Roman"/>
          <w:szCs w:val="24"/>
          <w:lang w:val="fr-CA"/>
        </w:rPr>
        <w:t xml:space="preserve"> et de l’art. 1457 </w:t>
      </w:r>
      <w:r w:rsidRPr="00A82D21">
        <w:rPr>
          <w:rFonts w:cs="Times New Roman"/>
          <w:i/>
          <w:szCs w:val="24"/>
          <w:lang w:val="fr-CA"/>
        </w:rPr>
        <w:t>C.c.Q.</w:t>
      </w:r>
      <w:r w:rsidRPr="00A82D21">
        <w:rPr>
          <w:rFonts w:cs="Times New Roman"/>
          <w:szCs w:val="24"/>
          <w:lang w:val="fr-CA"/>
        </w:rPr>
        <w:t xml:space="preserve">, c’est l’art. 402 </w:t>
      </w:r>
      <w:r w:rsidRPr="00A82D21">
        <w:rPr>
          <w:rFonts w:cs="Times New Roman"/>
          <w:i/>
          <w:szCs w:val="24"/>
          <w:lang w:val="fr-CA"/>
        </w:rPr>
        <w:t>C.p.c.</w:t>
      </w:r>
      <w:r w:rsidRPr="00A82D21">
        <w:rPr>
          <w:rFonts w:cs="Times New Roman"/>
          <w:szCs w:val="24"/>
          <w:lang w:val="fr-CA"/>
        </w:rPr>
        <w:t xml:space="preserve"> qui </w:t>
      </w:r>
      <w:proofErr w:type="gramStart"/>
      <w:r w:rsidRPr="00A82D21">
        <w:rPr>
          <w:rFonts w:cs="Times New Roman"/>
          <w:szCs w:val="24"/>
          <w:lang w:val="fr-CA"/>
        </w:rPr>
        <w:t>établit</w:t>
      </w:r>
      <w:proofErr w:type="gramEnd"/>
      <w:r w:rsidRPr="00A82D21">
        <w:rPr>
          <w:rFonts w:cs="Times New Roman"/>
          <w:szCs w:val="24"/>
          <w:lang w:val="fr-CA"/>
        </w:rPr>
        <w:t xml:space="preserve"> cette procédure.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Pour cette raison, l’arrêt </w:t>
      </w:r>
      <w:r w:rsidRPr="00A82D21">
        <w:rPr>
          <w:rFonts w:cs="Times New Roman"/>
          <w:i/>
          <w:szCs w:val="24"/>
          <w:lang w:val="fr-CA"/>
        </w:rPr>
        <w:t>Michaud</w:t>
      </w:r>
      <w:r w:rsidRPr="00A82D21">
        <w:rPr>
          <w:rFonts w:cs="Times New Roman"/>
          <w:szCs w:val="24"/>
          <w:lang w:val="fr-CA"/>
        </w:rPr>
        <w:t xml:space="preserve"> — sur lequel les appelants appuient leur thèse — se distingue du présent appel. Dans cette affaire, la Sûreté du Québec avait mis M</w:t>
      </w:r>
      <w:r w:rsidRPr="00A82D21">
        <w:rPr>
          <w:rFonts w:cs="Times New Roman"/>
          <w:szCs w:val="24"/>
          <w:vertAlign w:val="superscript"/>
          <w:lang w:val="fr-CA"/>
        </w:rPr>
        <w:t>e</w:t>
      </w:r>
      <w:r w:rsidRPr="00A82D21">
        <w:rPr>
          <w:rFonts w:cs="Times New Roman"/>
          <w:szCs w:val="24"/>
          <w:lang w:val="fr-CA"/>
        </w:rPr>
        <w:t xml:space="preserve"> Michaud sur table d’écoute, parce qu’elle le soupçonnait d’avoir divulgué aux médias des documents confidentiels relatifs aux négociations constitutionnelles de l’Accord de Charlottetown. Toutefois, aucune accusation criminelle n’avait en définitive été portée contre M</w:t>
      </w:r>
      <w:r w:rsidRPr="00A82D21">
        <w:rPr>
          <w:rFonts w:cs="Times New Roman"/>
          <w:szCs w:val="24"/>
          <w:vertAlign w:val="superscript"/>
          <w:lang w:val="fr-CA"/>
        </w:rPr>
        <w:t>e</w:t>
      </w:r>
      <w:r w:rsidRPr="00A82D21">
        <w:rPr>
          <w:rFonts w:cs="Times New Roman"/>
          <w:szCs w:val="24"/>
          <w:lang w:val="fr-CA"/>
        </w:rPr>
        <w:t xml:space="preserve"> Michaud. Souhaitant intenter une action en dommages-intérêts pour perquisition illégale, ce dernier avait demandé, en vertu du sous-al. 187(1)</w:t>
      </w:r>
      <w:r w:rsidRPr="00A82D21">
        <w:rPr>
          <w:rFonts w:cs="Times New Roman"/>
          <w:i/>
          <w:szCs w:val="24"/>
          <w:lang w:val="fr-CA"/>
        </w:rPr>
        <w:t>a</w:t>
      </w:r>
      <w:proofErr w:type="gramStart"/>
      <w:r w:rsidRPr="00A82D21">
        <w:rPr>
          <w:rFonts w:cs="Times New Roman"/>
          <w:szCs w:val="24"/>
          <w:lang w:val="fr-CA"/>
        </w:rPr>
        <w:t>)(</w:t>
      </w:r>
      <w:proofErr w:type="gramEnd"/>
      <w:r w:rsidRPr="00A82D21">
        <w:rPr>
          <w:rFonts w:cs="Times New Roman"/>
          <w:szCs w:val="24"/>
          <w:lang w:val="fr-CA"/>
        </w:rPr>
        <w:t xml:space="preserve">ii) (maintenant le par. 187(1.3)) </w:t>
      </w:r>
      <w:r w:rsidRPr="00A82D21">
        <w:rPr>
          <w:rFonts w:cs="Times New Roman"/>
          <w:i/>
          <w:szCs w:val="24"/>
          <w:lang w:val="fr-CA"/>
        </w:rPr>
        <w:t>C. cr.</w:t>
      </w:r>
      <w:r w:rsidRPr="00A82D21">
        <w:rPr>
          <w:rFonts w:cs="Times New Roman"/>
          <w:szCs w:val="24"/>
          <w:lang w:val="fr-CA"/>
        </w:rPr>
        <w:t xml:space="preserve">, la communication du paquet scellé contenant les documents appuyant la demande d’autorisation </w:t>
      </w:r>
      <w:r w:rsidRPr="00A82D21">
        <w:rPr>
          <w:rFonts w:cs="Times New Roman"/>
          <w:szCs w:val="24"/>
          <w:lang w:val="fr-CA"/>
        </w:rPr>
        <w:lastRenderedPageBreak/>
        <w:t>judiciaire. Il avait également demandé la communication des enregistrements eux-mêmes. Comme le sous-al. 187(1)</w:t>
      </w:r>
      <w:r w:rsidRPr="00A82D21">
        <w:rPr>
          <w:rFonts w:cs="Times New Roman"/>
          <w:i/>
          <w:szCs w:val="24"/>
          <w:lang w:val="fr-CA"/>
        </w:rPr>
        <w:t>a</w:t>
      </w:r>
      <w:proofErr w:type="gramStart"/>
      <w:r w:rsidRPr="00A82D21">
        <w:rPr>
          <w:rFonts w:cs="Times New Roman"/>
          <w:szCs w:val="24"/>
          <w:lang w:val="fr-CA"/>
        </w:rPr>
        <w:t>)(</w:t>
      </w:r>
      <w:proofErr w:type="gramEnd"/>
      <w:r w:rsidRPr="00A82D21">
        <w:rPr>
          <w:rFonts w:cs="Times New Roman"/>
          <w:szCs w:val="24"/>
          <w:lang w:val="fr-CA"/>
        </w:rPr>
        <w:t xml:space="preserve">ii) donnait aux </w:t>
      </w:r>
      <w:r w:rsidRPr="00A82D21">
        <w:rPr>
          <w:rFonts w:cs="Times New Roman"/>
          <w:i/>
          <w:szCs w:val="24"/>
          <w:lang w:val="fr-CA"/>
        </w:rPr>
        <w:t>accusés</w:t>
      </w:r>
      <w:r w:rsidRPr="00A82D21">
        <w:rPr>
          <w:rFonts w:cs="Times New Roman"/>
          <w:szCs w:val="24"/>
          <w:lang w:val="fr-CA"/>
        </w:rPr>
        <w:t xml:space="preserve"> un accès automatique au paquet scellé en cas de procédures criminelles, la Cour devait décider si une cible d’écoute électronique ne faisant pas l’objet d’accusations criminelles bénéficiait de ce même accès automatique.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À la majorité, notre Cour a décidé que les cibles non accusées ne pouvaient réclamer l’accès automatique au paquet scellé. Elles devaient plutôt présenter une preuve préliminaire indiquant que l’autorisation initiale avait été obtenue illégalement. La Cour a ajouté que, </w:t>
      </w:r>
      <w:r w:rsidR="003D19FF" w:rsidRPr="00A82D21">
        <w:rPr>
          <w:rFonts w:cs="Times New Roman"/>
          <w:szCs w:val="24"/>
          <w:lang w:val="fr-CA"/>
        </w:rPr>
        <w:t>« </w:t>
      </w:r>
      <w:r w:rsidRPr="00A82D21">
        <w:rPr>
          <w:rFonts w:cs="Times New Roman"/>
          <w:szCs w:val="24"/>
          <w:lang w:val="fr-CA"/>
        </w:rPr>
        <w:t xml:space="preserve">en dehors d’une procédure criminelle, le </w:t>
      </w:r>
      <w:r w:rsidRPr="00A82D21">
        <w:rPr>
          <w:rFonts w:cs="Times New Roman"/>
          <w:i/>
          <w:szCs w:val="24"/>
          <w:lang w:val="fr-CA"/>
        </w:rPr>
        <w:t xml:space="preserve">Code </w:t>
      </w:r>
      <w:r w:rsidRPr="00A82D21">
        <w:rPr>
          <w:rFonts w:cs="Times New Roman"/>
          <w:szCs w:val="24"/>
          <w:lang w:val="fr-CA"/>
        </w:rPr>
        <w:t>ne prévoit pour la personne qui a été la cible d’une surveillance aucun moyen d’obtenir la divulgation des enregistrements</w:t>
      </w:r>
      <w:r w:rsidR="003D19FF" w:rsidRPr="00A82D21">
        <w:rPr>
          <w:rFonts w:cs="Times New Roman"/>
          <w:szCs w:val="24"/>
          <w:lang w:val="fr-CA"/>
        </w:rPr>
        <w:t> »</w:t>
      </w:r>
      <w:r w:rsidRPr="00A82D21">
        <w:rPr>
          <w:rFonts w:cs="Times New Roman"/>
          <w:szCs w:val="24"/>
          <w:lang w:val="fr-CA"/>
        </w:rPr>
        <w:t xml:space="preserve"> (par. 62). Les appelants s’appuient fortement sur ce passage. Or, à la différence de la présente situation, M</w:t>
      </w:r>
      <w:r w:rsidRPr="00A82D21">
        <w:rPr>
          <w:rFonts w:cs="Times New Roman"/>
          <w:szCs w:val="24"/>
          <w:vertAlign w:val="superscript"/>
          <w:lang w:val="fr-CA"/>
        </w:rPr>
        <w:t>e</w:t>
      </w:r>
      <w:r w:rsidRPr="00A82D21">
        <w:rPr>
          <w:rFonts w:cs="Times New Roman"/>
          <w:szCs w:val="24"/>
          <w:lang w:val="fr-CA"/>
        </w:rPr>
        <w:t xml:space="preserve"> Michaud n’avait toujours pas entrepris de recours civil lorsqu’il a déposé sa requête en vertu du sous-al. 187(1)</w:t>
      </w:r>
      <w:r w:rsidRPr="00A82D21">
        <w:rPr>
          <w:rFonts w:cs="Times New Roman"/>
          <w:i/>
          <w:szCs w:val="24"/>
          <w:lang w:val="fr-CA"/>
        </w:rPr>
        <w:t>a</w:t>
      </w:r>
      <w:proofErr w:type="gramStart"/>
      <w:r w:rsidRPr="00A82D21">
        <w:rPr>
          <w:rFonts w:cs="Times New Roman"/>
          <w:szCs w:val="24"/>
          <w:lang w:val="fr-CA"/>
        </w:rPr>
        <w:t>)(</w:t>
      </w:r>
      <w:proofErr w:type="gramEnd"/>
      <w:r w:rsidRPr="00A82D21">
        <w:rPr>
          <w:rFonts w:cs="Times New Roman"/>
          <w:szCs w:val="24"/>
          <w:lang w:val="fr-CA"/>
        </w:rPr>
        <w:t xml:space="preserve">ii) </w:t>
      </w:r>
      <w:r w:rsidRPr="00A82D21">
        <w:rPr>
          <w:rFonts w:cs="Times New Roman"/>
          <w:i/>
          <w:szCs w:val="24"/>
          <w:lang w:val="fr-CA"/>
        </w:rPr>
        <w:t>C. cr.</w:t>
      </w:r>
      <w:r w:rsidRPr="00A82D21">
        <w:rPr>
          <w:rFonts w:cs="Times New Roman"/>
          <w:szCs w:val="24"/>
          <w:lang w:val="fr-CA"/>
        </w:rPr>
        <w:t xml:space="preserve"> Puisque sa demande reposait donc uniquement sur le </w:t>
      </w:r>
      <w:r w:rsidRPr="00A82D21">
        <w:rPr>
          <w:rFonts w:cs="Times New Roman"/>
          <w:i/>
          <w:szCs w:val="24"/>
          <w:lang w:val="fr-CA"/>
        </w:rPr>
        <w:t>Code criminel</w:t>
      </w:r>
      <w:r w:rsidRPr="00A82D21">
        <w:rPr>
          <w:rFonts w:cs="Times New Roman"/>
          <w:szCs w:val="24"/>
          <w:lang w:val="fr-CA"/>
        </w:rPr>
        <w:t xml:space="preserve">, lequel n’accorde pas de droit d’accès aux fruits de l’écoute électronique en dehors d’une procédure criminelle, aucun mécanisme ne permettait au tribunal d’ordonner la communication demandée. Toutefois, loin de fermer entièrement la porte à une possible divulgation, la Cour a poursuivi son analyse et indiqué que les enregistrements pourraient être communiqués dans une action en dommages-intérêts fondée sur la </w:t>
      </w:r>
      <w:r w:rsidRPr="00A82D21">
        <w:rPr>
          <w:rFonts w:cs="Times New Roman"/>
          <w:i/>
          <w:szCs w:val="24"/>
          <w:lang w:val="fr-CA"/>
        </w:rPr>
        <w:t>Charte</w:t>
      </w:r>
      <w:r w:rsidRPr="00A82D21">
        <w:rPr>
          <w:rFonts w:cs="Times New Roman"/>
          <w:szCs w:val="24"/>
          <w:lang w:val="fr-CA"/>
        </w:rPr>
        <w:t xml:space="preserve">, dans la mesure où ils seraient </w:t>
      </w:r>
      <w:r w:rsidRPr="00A82D21">
        <w:rPr>
          <w:rFonts w:cs="Times New Roman"/>
          <w:i/>
          <w:szCs w:val="24"/>
          <w:lang w:val="fr-CA"/>
        </w:rPr>
        <w:t>pertinents</w:t>
      </w:r>
      <w:r w:rsidRPr="00A82D21">
        <w:rPr>
          <w:rFonts w:cs="Times New Roman"/>
          <w:szCs w:val="24"/>
          <w:lang w:val="fr-CA"/>
        </w:rPr>
        <w:t xml:space="preserve"> pour démontrer l’étendue du préjudice subi (</w:t>
      </w:r>
      <w:r w:rsidRPr="00A82D21">
        <w:rPr>
          <w:rFonts w:cs="Times New Roman"/>
          <w:i/>
          <w:szCs w:val="24"/>
          <w:lang w:val="fr-CA"/>
        </w:rPr>
        <w:t>Michaud</w:t>
      </w:r>
      <w:r w:rsidRPr="00A82D21">
        <w:rPr>
          <w:rFonts w:cs="Times New Roman"/>
          <w:szCs w:val="24"/>
          <w:lang w:val="fr-CA"/>
        </w:rPr>
        <w:t>, par. 63-65). Vu le contexte de cet arrêt, il revêt une pertinence limitée pour l’affaire qui nous occupe.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Comme nous l’avons expliqué plus haut, l’art. 402 </w:t>
      </w:r>
      <w:r w:rsidRPr="00A82D21">
        <w:rPr>
          <w:rFonts w:cs="Times New Roman"/>
          <w:i/>
          <w:szCs w:val="24"/>
          <w:lang w:val="fr-CA"/>
        </w:rPr>
        <w:t>C.p.c.</w:t>
      </w:r>
      <w:r w:rsidRPr="00A82D21">
        <w:rPr>
          <w:rFonts w:cs="Times New Roman"/>
          <w:szCs w:val="24"/>
          <w:lang w:val="fr-CA"/>
        </w:rPr>
        <w:t xml:space="preserve"> permet </w:t>
      </w:r>
      <w:r w:rsidRPr="00A82D21">
        <w:rPr>
          <w:rFonts w:cs="Times New Roman"/>
          <w:i/>
          <w:szCs w:val="24"/>
          <w:lang w:val="fr-CA"/>
        </w:rPr>
        <w:t>a priori</w:t>
      </w:r>
      <w:r w:rsidRPr="00A82D21">
        <w:rPr>
          <w:rFonts w:cs="Times New Roman"/>
          <w:szCs w:val="24"/>
          <w:lang w:val="fr-CA"/>
        </w:rPr>
        <w:t xml:space="preserve"> l’accès aux fruits de l’écoute électronique. Face à l’interdiction générale édictée par le par. 193(1) </w:t>
      </w:r>
      <w:r w:rsidRPr="00A82D21">
        <w:rPr>
          <w:rFonts w:cs="Times New Roman"/>
          <w:i/>
          <w:szCs w:val="24"/>
          <w:lang w:val="fr-CA"/>
        </w:rPr>
        <w:t xml:space="preserve">C. </w:t>
      </w:r>
      <w:proofErr w:type="gramStart"/>
      <w:r w:rsidRPr="00A82D21">
        <w:rPr>
          <w:rFonts w:cs="Times New Roman"/>
          <w:i/>
          <w:szCs w:val="24"/>
          <w:lang w:val="fr-CA"/>
        </w:rPr>
        <w:t>cr.</w:t>
      </w:r>
      <w:r w:rsidRPr="00A82D21">
        <w:rPr>
          <w:rFonts w:cs="Times New Roman"/>
          <w:szCs w:val="24"/>
          <w:lang w:val="fr-CA"/>
        </w:rPr>
        <w:t>,</w:t>
      </w:r>
      <w:proofErr w:type="gramEnd"/>
      <w:r w:rsidRPr="00A82D21">
        <w:rPr>
          <w:rFonts w:cs="Times New Roman"/>
          <w:szCs w:val="24"/>
          <w:lang w:val="fr-CA"/>
        </w:rPr>
        <w:t xml:space="preserve"> cependant,</w:t>
      </w:r>
      <w:r w:rsidRPr="00A82D21">
        <w:rPr>
          <w:rFonts w:cs="Times New Roman"/>
          <w:i/>
          <w:szCs w:val="24"/>
          <w:lang w:val="fr-CA"/>
        </w:rPr>
        <w:t xml:space="preserve"> </w:t>
      </w:r>
      <w:r w:rsidRPr="00A82D21">
        <w:rPr>
          <w:rFonts w:cs="Times New Roman"/>
          <w:szCs w:val="24"/>
          <w:lang w:val="fr-CA"/>
        </w:rPr>
        <w:t xml:space="preserve">la question consiste à se demander si l’une des exemptions prévues au par. 193(2) s’applique en l’espèce. Plus particulièrement, les </w:t>
      </w:r>
      <w:proofErr w:type="gramStart"/>
      <w:r w:rsidRPr="00A82D21">
        <w:rPr>
          <w:rFonts w:cs="Times New Roman"/>
          <w:szCs w:val="24"/>
          <w:lang w:val="fr-CA"/>
        </w:rPr>
        <w:t>intimés prétendent</w:t>
      </w:r>
      <w:proofErr w:type="gramEnd"/>
      <w:r w:rsidRPr="00A82D21">
        <w:rPr>
          <w:rFonts w:cs="Times New Roman"/>
          <w:szCs w:val="24"/>
          <w:lang w:val="fr-CA"/>
        </w:rPr>
        <w:t xml:space="preserve"> que l’al. 193(2)</w:t>
      </w:r>
      <w:r w:rsidRPr="00A82D21">
        <w:rPr>
          <w:rFonts w:cs="Times New Roman"/>
          <w:i/>
          <w:szCs w:val="24"/>
          <w:lang w:val="fr-CA"/>
        </w:rPr>
        <w:t>a</w:t>
      </w:r>
      <w:r w:rsidRPr="00A82D21">
        <w:rPr>
          <w:rFonts w:cs="Times New Roman"/>
          <w:szCs w:val="24"/>
          <w:lang w:val="fr-CA"/>
        </w:rPr>
        <w:t>) permet la communication d’enregistrements de conversations privées interceptées sans le consentement de leur auteur ou de la personne à laquelle leur auteur les destinait. Leur prétention est bien fondée. L’exemption énoncée à l’al. 193(2)</w:t>
      </w:r>
      <w:r w:rsidRPr="00A82D21">
        <w:rPr>
          <w:rFonts w:cs="Times New Roman"/>
          <w:i/>
          <w:szCs w:val="24"/>
          <w:lang w:val="fr-CA"/>
        </w:rPr>
        <w:t>a</w:t>
      </w:r>
      <w:r w:rsidRPr="00A82D21">
        <w:rPr>
          <w:rFonts w:cs="Times New Roman"/>
          <w:szCs w:val="24"/>
          <w:lang w:val="fr-CA"/>
        </w:rPr>
        <w:t xml:space="preserve">) habilite la personne qui a en sa possession de tels enregistrements à les communiquer. Toutefois, la communication s’effectue de la manière et dans la mesure prévues par l’ordonnance judiciaire qui l’autorise en vertu de l’art. 402 </w:t>
      </w:r>
      <w:r w:rsidRPr="00A82D21">
        <w:rPr>
          <w:rFonts w:cs="Times New Roman"/>
          <w:i/>
          <w:szCs w:val="24"/>
          <w:lang w:val="fr-CA"/>
        </w:rPr>
        <w:t>C.p.c</w:t>
      </w:r>
      <w:r w:rsidRPr="00A82D21">
        <w:rPr>
          <w:rFonts w:cs="Times New Roman"/>
          <w:szCs w:val="24"/>
          <w:lang w:val="fr-CA"/>
        </w:rPr>
        <w:t>.</w:t>
      </w:r>
    </w:p>
    <w:p w:rsidR="007962BB" w:rsidRPr="00A82D21" w:rsidRDefault="00F633DF" w:rsidP="00893AA4">
      <w:pPr>
        <w:pStyle w:val="Title4LevelTitre4Niveau"/>
        <w:widowControl w:val="0"/>
        <w:numPr>
          <w:ilvl w:val="0"/>
          <w:numId w:val="0"/>
        </w:numPr>
        <w:ind w:left="900"/>
        <w:jc w:val="both"/>
        <w:rPr>
          <w:rFonts w:cs="Times New Roman"/>
          <w:szCs w:val="24"/>
          <w:lang w:val="fr-CA"/>
        </w:rPr>
      </w:pPr>
      <w:r w:rsidRPr="00A82D21">
        <w:rPr>
          <w:rFonts w:cs="Times New Roman"/>
          <w:i w:val="0"/>
          <w:szCs w:val="24"/>
          <w:lang w:val="fr-CA"/>
        </w:rPr>
        <w:t>b)</w:t>
      </w:r>
      <w:r w:rsidRPr="00A82D21">
        <w:rPr>
          <w:rFonts w:cs="Times New Roman"/>
          <w:szCs w:val="24"/>
          <w:lang w:val="fr-CA"/>
        </w:rPr>
        <w:tab/>
        <w:t>L’exemption prévue à l’al.</w:t>
      </w:r>
      <w:r w:rsidR="007962BB" w:rsidRPr="00A82D21">
        <w:rPr>
          <w:rFonts w:cs="Times New Roman"/>
          <w:szCs w:val="24"/>
          <w:lang w:val="fr-CA"/>
        </w:rPr>
        <w:t xml:space="preserve"> 193(2)a) s’applique à l’espèce</w:t>
      </w:r>
    </w:p>
    <w:p w:rsidR="007962BB" w:rsidRPr="00A82D21" w:rsidRDefault="007962BB" w:rsidP="007962BB">
      <w:pPr>
        <w:pStyle w:val="ParaNoNdepar-AltN"/>
        <w:widowControl w:val="0"/>
        <w:spacing w:before="0"/>
        <w:rPr>
          <w:rFonts w:cs="Times New Roman"/>
          <w:szCs w:val="24"/>
          <w:lang w:val="fr-CA"/>
        </w:rPr>
      </w:pPr>
      <w:r w:rsidRPr="00A82D21">
        <w:rPr>
          <w:rFonts w:cs="Times New Roman"/>
          <w:szCs w:val="24"/>
          <w:lang w:val="fr-CA"/>
        </w:rPr>
        <w:t>Suivant la méthode moderne d’interprétation des lois, les termes d’une loi doivent être interprétés [</w:t>
      </w:r>
      <w:r w:rsidRPr="00A82D21">
        <w:rPr>
          <w:rFonts w:cs="Times New Roman"/>
          <w:smallCaps/>
          <w:szCs w:val="24"/>
          <w:lang w:val="fr-CA"/>
        </w:rPr>
        <w:t>traduction</w:t>
      </w:r>
      <w:r w:rsidRPr="00A82D21">
        <w:rPr>
          <w:rFonts w:cs="Times New Roman"/>
          <w:szCs w:val="24"/>
          <w:lang w:val="fr-CA"/>
        </w:rPr>
        <w:t xml:space="preserve">] </w:t>
      </w:r>
      <w:r w:rsidR="003D19FF" w:rsidRPr="00A82D21">
        <w:rPr>
          <w:rFonts w:cs="Times New Roman"/>
          <w:szCs w:val="24"/>
          <w:lang w:val="fr-CA"/>
        </w:rPr>
        <w:t>« </w:t>
      </w:r>
      <w:r w:rsidRPr="00A82D21">
        <w:rPr>
          <w:rFonts w:cs="Times New Roman"/>
          <w:szCs w:val="24"/>
          <w:lang w:val="fr-CA"/>
        </w:rPr>
        <w:t>dans leur contexte global en suivant le sens ordinaire et grammatical qui s’harmonise avec l’économie de la loi, l’objet de la loi et l’intention du législateur</w:t>
      </w:r>
      <w:r w:rsidR="003D19FF" w:rsidRPr="00A82D21">
        <w:rPr>
          <w:rFonts w:cs="Times New Roman"/>
          <w:szCs w:val="24"/>
          <w:lang w:val="fr-CA"/>
        </w:rPr>
        <w:t> »</w:t>
      </w:r>
      <w:r w:rsidRPr="00A82D21">
        <w:rPr>
          <w:rFonts w:cs="Times New Roman"/>
          <w:szCs w:val="24"/>
          <w:lang w:val="fr-CA"/>
        </w:rPr>
        <w:t xml:space="preserve"> (E. A. Driedger, </w:t>
      </w:r>
      <w:r w:rsidRPr="00A82D21">
        <w:rPr>
          <w:rFonts w:cs="Times New Roman"/>
          <w:i/>
          <w:szCs w:val="24"/>
          <w:lang w:val="fr-CA"/>
        </w:rPr>
        <w:t>Construction of Statutes</w:t>
      </w:r>
      <w:r w:rsidRPr="00A82D21">
        <w:rPr>
          <w:rFonts w:cs="Times New Roman"/>
          <w:szCs w:val="24"/>
          <w:lang w:val="fr-CA"/>
        </w:rPr>
        <w:t xml:space="preserve"> (2</w:t>
      </w:r>
      <w:r w:rsidRPr="00A82D21">
        <w:rPr>
          <w:rFonts w:cs="Times New Roman"/>
          <w:szCs w:val="24"/>
          <w:vertAlign w:val="superscript"/>
          <w:lang w:val="fr-CA"/>
        </w:rPr>
        <w:t>e</w:t>
      </w:r>
      <w:r w:rsidRPr="00A82D21">
        <w:rPr>
          <w:rFonts w:cs="Times New Roman"/>
          <w:szCs w:val="24"/>
          <w:lang w:val="fr-CA"/>
        </w:rPr>
        <w:t xml:space="preserve"> éd. 1983), p. 87, repris dans R. Sullivan, </w:t>
      </w:r>
      <w:r w:rsidRPr="00A82D21">
        <w:rPr>
          <w:rFonts w:cs="Times New Roman"/>
          <w:i/>
          <w:szCs w:val="24"/>
          <w:lang w:val="fr-CA"/>
        </w:rPr>
        <w:t>Sullivan on the Construction of Statutes</w:t>
      </w:r>
      <w:r w:rsidRPr="00A82D21">
        <w:rPr>
          <w:rFonts w:cs="Times New Roman"/>
          <w:szCs w:val="24"/>
          <w:lang w:val="fr-CA"/>
        </w:rPr>
        <w:t xml:space="preserve"> (5</w:t>
      </w:r>
      <w:r w:rsidRPr="00A82D21">
        <w:rPr>
          <w:rFonts w:cs="Times New Roman"/>
          <w:szCs w:val="24"/>
          <w:vertAlign w:val="superscript"/>
          <w:lang w:val="fr-CA"/>
        </w:rPr>
        <w:t>e</w:t>
      </w:r>
      <w:r w:rsidRPr="00A82D21">
        <w:rPr>
          <w:rFonts w:cs="Times New Roman"/>
          <w:szCs w:val="24"/>
          <w:lang w:val="fr-CA"/>
        </w:rPr>
        <w:t xml:space="preserve"> éd. 2008), p. 1). Comme nous le verrons ci-dessous, le sens ordinaire du texte de l’al. 193(2)</w:t>
      </w:r>
      <w:r w:rsidRPr="00A82D21">
        <w:rPr>
          <w:rFonts w:cs="Times New Roman"/>
          <w:i/>
          <w:szCs w:val="24"/>
          <w:lang w:val="fr-CA"/>
        </w:rPr>
        <w:t>a</w:t>
      </w:r>
      <w:r w:rsidRPr="00A82D21">
        <w:rPr>
          <w:rFonts w:cs="Times New Roman"/>
          <w:szCs w:val="24"/>
          <w:lang w:val="fr-CA"/>
        </w:rPr>
        <w:t xml:space="preserve">), le contexte dans lequel il se trouve et son objet imposent la conclusion selon laquelle l’exemption s’applique en l’espèce. </w:t>
      </w:r>
    </w:p>
    <w:p w:rsidR="007962BB" w:rsidRPr="00A82D21" w:rsidRDefault="007962BB" w:rsidP="00893AA4">
      <w:pPr>
        <w:pStyle w:val="Title5LevelTitre5Niveau"/>
        <w:widowControl w:val="0"/>
        <w:jc w:val="both"/>
        <w:rPr>
          <w:rStyle w:val="Emphasis"/>
          <w:rFonts w:cs="Times New Roman"/>
          <w:i w:val="0"/>
          <w:iCs w:val="0"/>
          <w:szCs w:val="24"/>
          <w:lang w:val="fr-CA"/>
        </w:rPr>
      </w:pPr>
      <w:r w:rsidRPr="00A82D21">
        <w:rPr>
          <w:rStyle w:val="Emphasis"/>
          <w:rFonts w:cs="Times New Roman"/>
          <w:i w:val="0"/>
          <w:szCs w:val="24"/>
          <w:lang w:val="fr-CA"/>
        </w:rPr>
        <w:t xml:space="preserve">Les termes </w:t>
      </w:r>
      <w:r w:rsidR="003D19FF" w:rsidRPr="00A82D21">
        <w:rPr>
          <w:rStyle w:val="Emphasis"/>
          <w:rFonts w:cs="Times New Roman"/>
          <w:i w:val="0"/>
          <w:szCs w:val="24"/>
          <w:lang w:val="fr-CA"/>
        </w:rPr>
        <w:t>« </w:t>
      </w:r>
      <w:r w:rsidRPr="00A82D21">
        <w:rPr>
          <w:rStyle w:val="Emphasis"/>
          <w:rFonts w:cs="Times New Roman"/>
          <w:i w:val="0"/>
          <w:szCs w:val="24"/>
          <w:lang w:val="fr-CA"/>
        </w:rPr>
        <w:t>aux fins d’une déposition lors de poursuites civiles</w:t>
      </w:r>
      <w:r w:rsidR="003D19FF" w:rsidRPr="00A82D21">
        <w:rPr>
          <w:rStyle w:val="Emphasis"/>
          <w:rFonts w:cs="Times New Roman"/>
          <w:i w:val="0"/>
          <w:szCs w:val="24"/>
          <w:lang w:val="fr-CA"/>
        </w:rPr>
        <w:t>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L’alinéa 193(2)</w:t>
      </w:r>
      <w:r w:rsidRPr="00A82D21">
        <w:rPr>
          <w:rFonts w:cs="Times New Roman"/>
          <w:i/>
          <w:szCs w:val="24"/>
          <w:lang w:val="fr-CA"/>
        </w:rPr>
        <w:t>a</w:t>
      </w:r>
      <w:r w:rsidRPr="00A82D21">
        <w:rPr>
          <w:rFonts w:cs="Times New Roman"/>
          <w:szCs w:val="24"/>
          <w:lang w:val="fr-CA"/>
        </w:rPr>
        <w:t xml:space="preserve">) dispose que l’infraction établie au par. 193(1) ne s’applique pas lorsque la divulgation est faite </w:t>
      </w:r>
      <w:r w:rsidR="003D19FF" w:rsidRPr="00A82D21">
        <w:rPr>
          <w:rFonts w:cs="Times New Roman"/>
          <w:szCs w:val="24"/>
          <w:lang w:val="fr-CA"/>
        </w:rPr>
        <w:t>« </w:t>
      </w:r>
      <w:r w:rsidRPr="00A82D21">
        <w:rPr>
          <w:rFonts w:cs="Times New Roman"/>
          <w:szCs w:val="24"/>
          <w:lang w:val="fr-CA"/>
        </w:rPr>
        <w:t xml:space="preserve">au cours </w:t>
      </w:r>
      <w:r w:rsidRPr="00A82D21">
        <w:rPr>
          <w:rFonts w:cs="Times New Roman"/>
          <w:szCs w:val="24"/>
          <w:u w:val="single"/>
          <w:lang w:val="fr-CA"/>
        </w:rPr>
        <w:t>ou aux fins</w:t>
      </w:r>
      <w:r w:rsidRPr="00A82D21">
        <w:rPr>
          <w:rFonts w:cs="Times New Roman"/>
          <w:szCs w:val="24"/>
          <w:lang w:val="fr-CA"/>
        </w:rPr>
        <w:t xml:space="preserve"> d’une </w:t>
      </w:r>
      <w:r w:rsidRPr="00A82D21">
        <w:rPr>
          <w:rFonts w:cs="Times New Roman"/>
          <w:szCs w:val="24"/>
          <w:u w:val="single"/>
          <w:lang w:val="fr-CA"/>
        </w:rPr>
        <w:t>déposition</w:t>
      </w:r>
      <w:r w:rsidRPr="00A82D21">
        <w:rPr>
          <w:rFonts w:cs="Times New Roman"/>
          <w:szCs w:val="24"/>
          <w:lang w:val="fr-CA"/>
        </w:rPr>
        <w:t xml:space="preserve"> lors de </w:t>
      </w:r>
      <w:r w:rsidRPr="00A82D21">
        <w:rPr>
          <w:rFonts w:cs="Times New Roman"/>
          <w:szCs w:val="24"/>
          <w:u w:val="single"/>
          <w:lang w:val="fr-CA"/>
        </w:rPr>
        <w:t>poursuites civiles</w:t>
      </w:r>
      <w:r w:rsidRPr="00A82D21">
        <w:rPr>
          <w:rFonts w:cs="Times New Roman"/>
          <w:szCs w:val="24"/>
          <w:lang w:val="fr-CA"/>
        </w:rPr>
        <w:t xml:space="preserve"> ou pénales ou de toutes autres procédures dans lesquelles [la personne qui divulgue] peut être requise de déposer sous serment</w:t>
      </w:r>
      <w:r w:rsidR="003D19FF" w:rsidRPr="00A82D21">
        <w:rPr>
          <w:rFonts w:cs="Times New Roman"/>
          <w:szCs w:val="24"/>
          <w:lang w:val="fr-CA"/>
        </w:rPr>
        <w:t> »</w:t>
      </w:r>
      <w:r w:rsidRPr="00A82D21">
        <w:rPr>
          <w:rFonts w:cs="Times New Roman"/>
          <w:szCs w:val="24"/>
          <w:lang w:val="fr-CA"/>
        </w:rPr>
        <w:t xml:space="preserve">. Une </w:t>
      </w:r>
      <w:r w:rsidR="003D19FF" w:rsidRPr="00A82D21">
        <w:rPr>
          <w:rFonts w:cs="Times New Roman"/>
          <w:szCs w:val="24"/>
          <w:lang w:val="fr-CA"/>
        </w:rPr>
        <w:t>« </w:t>
      </w:r>
      <w:r w:rsidRPr="00A82D21">
        <w:rPr>
          <w:rFonts w:cs="Times New Roman"/>
          <w:szCs w:val="24"/>
          <w:lang w:val="fr-CA"/>
        </w:rPr>
        <w:t>poursuite civile</w:t>
      </w:r>
      <w:r w:rsidR="003D19FF" w:rsidRPr="00A82D21">
        <w:rPr>
          <w:rFonts w:cs="Times New Roman"/>
          <w:szCs w:val="24"/>
          <w:lang w:val="fr-CA"/>
        </w:rPr>
        <w:t> »</w:t>
      </w:r>
      <w:r w:rsidRPr="00A82D21">
        <w:rPr>
          <w:rFonts w:cs="Times New Roman"/>
          <w:szCs w:val="24"/>
          <w:lang w:val="fr-CA"/>
        </w:rPr>
        <w:t xml:space="preserve">, qu’elle prenne ou non une forme traditionnelle, comporte toujours une phase exploratoire. De plus, le mot </w:t>
      </w:r>
      <w:r w:rsidR="003D19FF" w:rsidRPr="00A82D21">
        <w:rPr>
          <w:rFonts w:cs="Times New Roman"/>
          <w:szCs w:val="24"/>
          <w:lang w:val="fr-CA"/>
        </w:rPr>
        <w:t>« </w:t>
      </w:r>
      <w:r w:rsidRPr="00A82D21">
        <w:rPr>
          <w:rFonts w:cs="Times New Roman"/>
          <w:szCs w:val="24"/>
          <w:lang w:val="fr-CA"/>
        </w:rPr>
        <w:t>fins</w:t>
      </w:r>
      <w:r w:rsidR="003D19FF" w:rsidRPr="00A82D21">
        <w:rPr>
          <w:rFonts w:cs="Times New Roman"/>
          <w:szCs w:val="24"/>
          <w:lang w:val="fr-CA"/>
        </w:rPr>
        <w:t> »</w:t>
      </w:r>
      <w:r w:rsidRPr="00A82D21">
        <w:rPr>
          <w:rFonts w:cs="Times New Roman"/>
          <w:szCs w:val="24"/>
          <w:lang w:val="fr-CA"/>
        </w:rPr>
        <w:t xml:space="preserve"> se rapporte à une </w:t>
      </w:r>
      <w:r w:rsidR="003D19FF" w:rsidRPr="00A82D21">
        <w:rPr>
          <w:rFonts w:cs="Times New Roman"/>
          <w:szCs w:val="24"/>
          <w:lang w:val="fr-CA"/>
        </w:rPr>
        <w:t>« </w:t>
      </w:r>
      <w:r w:rsidRPr="00A82D21">
        <w:rPr>
          <w:rFonts w:cs="Times New Roman"/>
          <w:szCs w:val="24"/>
          <w:lang w:val="fr-CA"/>
        </w:rPr>
        <w:t>[c]hose qu’on veut réaliser, à laquelle on tend volontairement</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 xml:space="preserve">Le Petit Robert </w:t>
      </w:r>
      <w:r w:rsidRPr="00A82D21">
        <w:rPr>
          <w:rFonts w:cs="Times New Roman"/>
          <w:szCs w:val="24"/>
          <w:lang w:val="fr-CA"/>
        </w:rPr>
        <w:t>(nouv. éd.</w:t>
      </w:r>
      <w:r w:rsidRPr="00A82D21">
        <w:rPr>
          <w:rFonts w:cs="Times New Roman"/>
          <w:i/>
          <w:szCs w:val="24"/>
          <w:lang w:val="fr-CA"/>
        </w:rPr>
        <w:t xml:space="preserve"> </w:t>
      </w:r>
      <w:r w:rsidRPr="00A82D21">
        <w:rPr>
          <w:rFonts w:cs="Times New Roman"/>
          <w:szCs w:val="24"/>
          <w:lang w:val="fr-CA"/>
        </w:rPr>
        <w:t xml:space="preserve">2012), p. 1047), ou encore au </w:t>
      </w:r>
      <w:r w:rsidR="003D19FF" w:rsidRPr="00A82D21">
        <w:rPr>
          <w:rFonts w:cs="Times New Roman"/>
          <w:szCs w:val="24"/>
          <w:lang w:val="fr-CA"/>
        </w:rPr>
        <w:t>« </w:t>
      </w:r>
      <w:r w:rsidRPr="00A82D21">
        <w:rPr>
          <w:rFonts w:cs="Times New Roman"/>
          <w:szCs w:val="24"/>
          <w:lang w:val="fr-CA"/>
        </w:rPr>
        <w:t>[b]ut poursuivi</w:t>
      </w:r>
      <w:r w:rsidR="003D19FF" w:rsidRPr="00A82D21">
        <w:rPr>
          <w:rFonts w:cs="Times New Roman"/>
          <w:szCs w:val="24"/>
          <w:lang w:val="fr-CA"/>
        </w:rPr>
        <w:t> »</w:t>
      </w:r>
      <w:r w:rsidRPr="00A82D21">
        <w:rPr>
          <w:rFonts w:cs="Times New Roman"/>
          <w:szCs w:val="24"/>
          <w:lang w:val="fr-CA"/>
        </w:rPr>
        <w:t xml:space="preserve"> (H. Reid, avec la collaboration de S. Reid, </w:t>
      </w:r>
      <w:r w:rsidRPr="00A82D21">
        <w:rPr>
          <w:rFonts w:cs="Times New Roman"/>
          <w:i/>
          <w:szCs w:val="24"/>
          <w:lang w:val="fr-CA"/>
        </w:rPr>
        <w:t>Dictionnaire de droit québécois et canadien</w:t>
      </w:r>
      <w:r w:rsidRPr="00A82D21">
        <w:rPr>
          <w:rFonts w:cs="Times New Roman"/>
          <w:szCs w:val="24"/>
          <w:lang w:val="fr-CA"/>
        </w:rPr>
        <w:t xml:space="preserve"> (4</w:t>
      </w:r>
      <w:r w:rsidRPr="00A82D21">
        <w:rPr>
          <w:rFonts w:cs="Times New Roman"/>
          <w:szCs w:val="24"/>
          <w:vertAlign w:val="superscript"/>
          <w:lang w:val="fr-CA"/>
        </w:rPr>
        <w:t>e</w:t>
      </w:r>
      <w:r w:rsidRPr="00A82D21">
        <w:rPr>
          <w:rFonts w:cs="Times New Roman"/>
          <w:szCs w:val="24"/>
          <w:lang w:val="fr-CA"/>
        </w:rPr>
        <w:t xml:space="preserve"> éd. 2010), p. 270). La version anglaise, </w:t>
      </w:r>
      <w:r w:rsidR="003D19FF" w:rsidRPr="00A82D21">
        <w:rPr>
          <w:rFonts w:cs="Times New Roman"/>
          <w:szCs w:val="24"/>
          <w:lang w:val="fr-CA"/>
        </w:rPr>
        <w:t>« </w:t>
      </w:r>
      <w:r w:rsidRPr="00A82D21">
        <w:rPr>
          <w:rFonts w:cs="Times New Roman"/>
          <w:i/>
          <w:szCs w:val="24"/>
          <w:lang w:val="fr-CA"/>
        </w:rPr>
        <w:t>purpose</w:t>
      </w:r>
      <w:r w:rsidR="003D19FF" w:rsidRPr="00A82D21">
        <w:rPr>
          <w:rFonts w:cs="Times New Roman"/>
          <w:szCs w:val="24"/>
          <w:lang w:val="fr-CA"/>
        </w:rPr>
        <w:t> »</w:t>
      </w:r>
      <w:r w:rsidRPr="00A82D21">
        <w:rPr>
          <w:rFonts w:cs="Times New Roman"/>
          <w:szCs w:val="24"/>
          <w:lang w:val="fr-CA"/>
        </w:rPr>
        <w:t xml:space="preserve"> est au même effet. Dans ce contexte, si le législateur avait eu l’intention de limiter l’application de l’exemption au seul moment de la déposition, comme le prétendent les appelants, il n’aurait pas inclus les mots </w:t>
      </w:r>
      <w:r w:rsidR="003D19FF" w:rsidRPr="00A82D21">
        <w:rPr>
          <w:rFonts w:cs="Times New Roman"/>
          <w:szCs w:val="24"/>
          <w:lang w:val="fr-CA"/>
        </w:rPr>
        <w:t>« </w:t>
      </w:r>
      <w:r w:rsidRPr="00A82D21">
        <w:rPr>
          <w:rFonts w:cs="Times New Roman"/>
          <w:szCs w:val="24"/>
          <w:lang w:val="fr-CA"/>
        </w:rPr>
        <w:t>ou aux fins</w:t>
      </w:r>
      <w:r w:rsidR="003D19FF" w:rsidRPr="00A82D21">
        <w:rPr>
          <w:rFonts w:cs="Times New Roman"/>
          <w:szCs w:val="24"/>
          <w:lang w:val="fr-CA"/>
        </w:rPr>
        <w:t> »</w:t>
      </w:r>
      <w:r w:rsidRPr="00A82D21">
        <w:rPr>
          <w:rFonts w:cs="Times New Roman"/>
          <w:szCs w:val="24"/>
          <w:lang w:val="fr-CA"/>
        </w:rPr>
        <w:t xml:space="preserve">. Étant donné qu’il l’a fait, il faut présumer que ces termes ne sont pas redondants, éviter de les priver d’effet utile et reconnaître qu’ils indiquent l’intention de conférer à cette exemption une portée généreuse, qui englobe la phase exploratoire d’une instance civile (sur le principe de l’effet utile, voir P.-A. Côté, avec la collaboration de S. Beaulac et M. Devinat, </w:t>
      </w:r>
      <w:r w:rsidRPr="00A82D21">
        <w:rPr>
          <w:rFonts w:cs="Times New Roman"/>
          <w:i/>
          <w:szCs w:val="24"/>
          <w:lang w:val="fr-CA"/>
        </w:rPr>
        <w:t>Interprétation des lois</w:t>
      </w:r>
      <w:r w:rsidRPr="00A82D21">
        <w:rPr>
          <w:rFonts w:cs="Times New Roman"/>
          <w:szCs w:val="24"/>
          <w:lang w:val="fr-CA"/>
        </w:rPr>
        <w:t xml:space="preserve"> (4</w:t>
      </w:r>
      <w:r w:rsidRPr="00A82D21">
        <w:rPr>
          <w:rFonts w:cs="Times New Roman"/>
          <w:szCs w:val="24"/>
          <w:vertAlign w:val="superscript"/>
          <w:lang w:val="fr-CA"/>
        </w:rPr>
        <w:t>e</w:t>
      </w:r>
      <w:r w:rsidRPr="00A82D21">
        <w:rPr>
          <w:rFonts w:cs="Times New Roman"/>
          <w:szCs w:val="24"/>
          <w:lang w:val="fr-CA"/>
        </w:rPr>
        <w:t xml:space="preserve"> éd. 20</w:t>
      </w:r>
      <w:r w:rsidR="00F633DF" w:rsidRPr="00A82D21">
        <w:rPr>
          <w:rFonts w:cs="Times New Roman"/>
          <w:szCs w:val="24"/>
          <w:lang w:val="fr-CA"/>
        </w:rPr>
        <w:t>09</w:t>
      </w:r>
      <w:r w:rsidRPr="00A82D21">
        <w:rPr>
          <w:rFonts w:cs="Times New Roman"/>
          <w:szCs w:val="24"/>
          <w:lang w:val="fr-CA"/>
        </w:rPr>
        <w:t xml:space="preserve">), par. 1047-1048; </w:t>
      </w:r>
      <w:r w:rsidRPr="00A82D21">
        <w:rPr>
          <w:rFonts w:cs="Times New Roman"/>
          <w:i/>
          <w:szCs w:val="24"/>
          <w:lang w:val="fr-CA"/>
        </w:rPr>
        <w:t>Subilomar Properties (Dundas) Ltd. c. Cloverdale Shopping Centre Ltd.</w:t>
      </w:r>
      <w:r w:rsidRPr="00A82D21">
        <w:rPr>
          <w:rFonts w:cs="Times New Roman"/>
          <w:szCs w:val="24"/>
          <w:lang w:val="fr-CA"/>
        </w:rPr>
        <w:t xml:space="preserve">, [1973] R.C.S. 596, p. 603; </w:t>
      </w:r>
      <w:r w:rsidRPr="00A82D21">
        <w:rPr>
          <w:rFonts w:cs="Times New Roman"/>
          <w:i/>
          <w:szCs w:val="24"/>
          <w:lang w:val="fr-CA"/>
        </w:rPr>
        <w:t>Air Canada c. Ontario (Régie des alcools)</w:t>
      </w:r>
      <w:r w:rsidRPr="00A82D21">
        <w:rPr>
          <w:rFonts w:cs="Times New Roman"/>
          <w:szCs w:val="24"/>
          <w:lang w:val="fr-CA"/>
        </w:rPr>
        <w:t xml:space="preserve">, [1997] 2 R.C.S. 581, par. 53).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Subsidiairement, les appelants arguent que les mots </w:t>
      </w:r>
      <w:r w:rsidR="003D19FF" w:rsidRPr="00A82D21">
        <w:rPr>
          <w:rFonts w:cs="Times New Roman"/>
          <w:szCs w:val="24"/>
          <w:lang w:val="fr-CA"/>
        </w:rPr>
        <w:t>« </w:t>
      </w:r>
      <w:r w:rsidRPr="00A82D21">
        <w:rPr>
          <w:rFonts w:cs="Times New Roman"/>
          <w:szCs w:val="24"/>
          <w:lang w:val="fr-CA"/>
        </w:rPr>
        <w:t>aux fins d’une déposition</w:t>
      </w:r>
      <w:r w:rsidR="003D19FF" w:rsidRPr="00A82D21">
        <w:rPr>
          <w:rFonts w:cs="Times New Roman"/>
          <w:szCs w:val="24"/>
          <w:lang w:val="fr-CA"/>
        </w:rPr>
        <w:t> »</w:t>
      </w:r>
      <w:r w:rsidRPr="00A82D21">
        <w:rPr>
          <w:rFonts w:cs="Times New Roman"/>
          <w:szCs w:val="24"/>
          <w:lang w:val="fr-CA"/>
        </w:rPr>
        <w:t xml:space="preserve"> ne visent que les divulgations incidentes, c’est-à-dire celles qui surviennent en cours d’audience, dans le but, par exemple, de permettre à un témoin </w:t>
      </w:r>
      <w:r w:rsidRPr="00A82D21">
        <w:rPr>
          <w:rFonts w:cs="Times New Roman"/>
          <w:szCs w:val="24"/>
          <w:lang w:val="fr-CA"/>
        </w:rPr>
        <w:lastRenderedPageBreak/>
        <w:t>d’identifier les différentes voix enregistrées. Cette interprétation néglige le fait que la situation de divulgation incidente dont font mention les appelants est, comme nous le verrons plus loin, déjà visée par le par. 193(3). Interpréter ainsi l’al. (2)</w:t>
      </w:r>
      <w:r w:rsidRPr="00A82D21">
        <w:rPr>
          <w:rFonts w:cs="Times New Roman"/>
          <w:i/>
          <w:szCs w:val="24"/>
          <w:lang w:val="fr-CA"/>
        </w:rPr>
        <w:t>a</w:t>
      </w:r>
      <w:r w:rsidRPr="00A82D21">
        <w:rPr>
          <w:rFonts w:cs="Times New Roman"/>
          <w:szCs w:val="24"/>
          <w:lang w:val="fr-CA"/>
        </w:rPr>
        <w:t>) priverait donc d’effet utile le troisième paragraphe de l’art</w:t>
      </w:r>
      <w:r w:rsidR="00AC3001" w:rsidRPr="00A82D21">
        <w:rPr>
          <w:rFonts w:cs="Times New Roman"/>
          <w:szCs w:val="24"/>
          <w:lang w:val="fr-CA"/>
        </w:rPr>
        <w:t>.</w:t>
      </w:r>
      <w:r w:rsidRPr="00A82D21">
        <w:rPr>
          <w:rFonts w:cs="Times New Roman"/>
          <w:szCs w:val="24"/>
          <w:lang w:val="fr-CA"/>
        </w:rPr>
        <w:t xml:space="preserve"> 193, contrairement aux principes d’interprétation reconnus depuis longtemps par notre Cour (voir Côté, par. 1047-1050).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L’analyse du texte de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C. cr.</w:t>
      </w:r>
      <w:r w:rsidRPr="00A82D21">
        <w:rPr>
          <w:rFonts w:cs="Times New Roman"/>
          <w:szCs w:val="24"/>
          <w:lang w:val="fr-CA"/>
        </w:rPr>
        <w:t xml:space="preserve"> nous convainc que la communication des fruits de l’écoute électronique peut être effectuée durant la phase exploratoire de tout recours civil. Cette étape, nous l’avons vu, sert essentiellement à la préparation de l’audition de la cause. Or, les documents qui y sont alors demandés peuvent très bien l’être aux fins de témoigner à l’audience. À titre d’exemple, dans le cas qui nous occupe, on conçoit facilement que les procureurs des intimés souhaiteront interroger un représentant de l’État, tiers en possession des enregistrements des communications interceptées, afin de satisfaire aux conditions d’admissibilité d’une telle preuve matérielle.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Par conséquent, </w:t>
      </w:r>
      <w:proofErr w:type="gramStart"/>
      <w:r w:rsidRPr="00A82D21">
        <w:rPr>
          <w:rFonts w:cs="Times New Roman"/>
          <w:szCs w:val="24"/>
          <w:lang w:val="fr-CA"/>
        </w:rPr>
        <w:t>nous concluons</w:t>
      </w:r>
      <w:proofErr w:type="gramEnd"/>
      <w:r w:rsidRPr="00A82D21">
        <w:rPr>
          <w:rFonts w:cs="Times New Roman"/>
          <w:szCs w:val="24"/>
          <w:lang w:val="fr-CA"/>
        </w:rPr>
        <w:t xml:space="preserve"> que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C. cr.</w:t>
      </w:r>
      <w:r w:rsidRPr="00A82D21">
        <w:rPr>
          <w:rFonts w:cs="Times New Roman"/>
          <w:szCs w:val="24"/>
          <w:lang w:val="fr-CA"/>
        </w:rPr>
        <w:t xml:space="preserve"> s’applique en l’espèce. Rien dans le texte de cette disposition ne justifie de restreindre l’application de celle-ci au seul moment de la déposition. L’analyse de l’objet et du contexte de cette disposition n’admet aucune autre conclusion.</w:t>
      </w:r>
    </w:p>
    <w:p w:rsidR="007962BB" w:rsidRPr="00A82D21" w:rsidRDefault="007962BB" w:rsidP="007962BB">
      <w:pPr>
        <w:pStyle w:val="Title5LevelTitre5Niveau"/>
        <w:widowControl w:val="0"/>
        <w:rPr>
          <w:rStyle w:val="Emphasis"/>
          <w:rFonts w:cs="Times New Roman"/>
          <w:i w:val="0"/>
          <w:iCs w:val="0"/>
          <w:szCs w:val="24"/>
        </w:rPr>
      </w:pPr>
      <w:r w:rsidRPr="00A82D21">
        <w:rPr>
          <w:rStyle w:val="Emphasis"/>
          <w:rFonts w:cs="Times New Roman"/>
          <w:i w:val="0"/>
          <w:szCs w:val="24"/>
        </w:rPr>
        <w:t>Objet et contexte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Conformément à l’objectif général de la partie VI, l’objectif particulier de l’art. 193 consiste à prévenir la divulgation non autorisée de communications privées. Malgré son importance, cet objectif n’a pas un caractère absolu. Il doit parfois céder devant d’autres objectifs auxquels le législateur a choisi de donner priorité (voir </w:t>
      </w:r>
      <w:r w:rsidRPr="00A82D21">
        <w:rPr>
          <w:rFonts w:cs="Times New Roman"/>
          <w:i/>
          <w:szCs w:val="24"/>
          <w:lang w:val="fr-CA"/>
        </w:rPr>
        <w:t>Lyons</w:t>
      </w:r>
      <w:r w:rsidRPr="00A82D21">
        <w:rPr>
          <w:rFonts w:cs="Times New Roman"/>
          <w:szCs w:val="24"/>
          <w:lang w:val="fr-CA"/>
        </w:rPr>
        <w:t>, p. 652). L’exemption prévue à l’al. 193(2)</w:t>
      </w:r>
      <w:r w:rsidRPr="00A82D21">
        <w:rPr>
          <w:rFonts w:cs="Times New Roman"/>
          <w:i/>
          <w:szCs w:val="24"/>
          <w:lang w:val="fr-CA"/>
        </w:rPr>
        <w:t>a</w:t>
      </w:r>
      <w:r w:rsidRPr="00A82D21">
        <w:rPr>
          <w:rFonts w:cs="Times New Roman"/>
          <w:szCs w:val="24"/>
          <w:lang w:val="fr-CA"/>
        </w:rPr>
        <w:t xml:space="preserve">) représente le meilleur exemple d’une telle situation. Selon le PGQ, cet alinéa a pour objet </w:t>
      </w:r>
      <w:r w:rsidR="003D19FF" w:rsidRPr="00A82D21">
        <w:rPr>
          <w:rFonts w:cs="Times New Roman"/>
          <w:szCs w:val="24"/>
          <w:lang w:val="fr-CA"/>
        </w:rPr>
        <w:t>« </w:t>
      </w:r>
      <w:r w:rsidRPr="00A82D21">
        <w:rPr>
          <w:rFonts w:cs="Times New Roman"/>
          <w:szCs w:val="24"/>
          <w:lang w:val="fr-CA"/>
        </w:rPr>
        <w:t>d’assurer aux tribunaux compétents qu’ils auront accès à toute information pertinente aux procédures dont ils sont saisis, dans le respect des règles de procédure établies</w:t>
      </w:r>
      <w:r w:rsidR="003D19FF" w:rsidRPr="00A82D21">
        <w:rPr>
          <w:rFonts w:cs="Times New Roman"/>
          <w:szCs w:val="24"/>
          <w:lang w:val="fr-CA"/>
        </w:rPr>
        <w:t> »</w:t>
      </w:r>
      <w:r w:rsidRPr="00A82D21">
        <w:rPr>
          <w:rFonts w:cs="Times New Roman"/>
          <w:szCs w:val="24"/>
          <w:lang w:val="fr-CA"/>
        </w:rPr>
        <w:t xml:space="preserve"> (m.i. PGQ, par. 108). Cette perspective nous semble fidèle au contexte dans lequel s’inscrit cette disposition.</w:t>
      </w:r>
    </w:p>
    <w:p w:rsidR="007962BB" w:rsidRPr="00A82D21" w:rsidRDefault="007962BB" w:rsidP="00893AA4">
      <w:pPr>
        <w:widowControl w:val="0"/>
        <w:ind w:left="1170"/>
        <w:jc w:val="both"/>
        <w:rPr>
          <w:rStyle w:val="Emphasis"/>
          <w:szCs w:val="24"/>
          <w:lang w:val="fr-CA"/>
        </w:rPr>
      </w:pPr>
      <w:r w:rsidRPr="00A82D21">
        <w:rPr>
          <w:rStyle w:val="Emphasis"/>
          <w:i w:val="0"/>
          <w:szCs w:val="24"/>
          <w:lang w:val="fr-CA"/>
        </w:rPr>
        <w:t>a.</w:t>
      </w:r>
      <w:r w:rsidRPr="00A82D21">
        <w:rPr>
          <w:rStyle w:val="Emphasis"/>
          <w:szCs w:val="24"/>
          <w:lang w:val="fr-CA"/>
        </w:rPr>
        <w:t xml:space="preserve">  Les autres exemptions énoncées au par</w:t>
      </w:r>
      <w:r w:rsidR="00F633DF" w:rsidRPr="00A82D21">
        <w:rPr>
          <w:rStyle w:val="Emphasis"/>
          <w:szCs w:val="24"/>
          <w:lang w:val="fr-CA"/>
        </w:rPr>
        <w:t>.</w:t>
      </w:r>
      <w:r w:rsidRPr="00A82D21">
        <w:rPr>
          <w:rStyle w:val="Emphasis"/>
          <w:szCs w:val="24"/>
          <w:lang w:val="fr-CA"/>
        </w:rPr>
        <w:t xml:space="preserve"> 193(2)</w:t>
      </w:r>
    </w:p>
    <w:p w:rsidR="007962BB" w:rsidRPr="00A82D21" w:rsidRDefault="007962BB" w:rsidP="007962BB">
      <w:pPr>
        <w:widowControl w:val="0"/>
        <w:rPr>
          <w:rStyle w:val="Emphasis"/>
          <w:szCs w:val="24"/>
          <w:lang w:val="fr-CA"/>
        </w:rPr>
      </w:pPr>
    </w:p>
    <w:p w:rsidR="007962BB" w:rsidRPr="00A82D21" w:rsidRDefault="007962BB" w:rsidP="007962BB">
      <w:pPr>
        <w:pStyle w:val="ParaNoNdepar-AltN"/>
        <w:widowControl w:val="0"/>
        <w:spacing w:before="240"/>
        <w:rPr>
          <w:rFonts w:cs="Times New Roman"/>
          <w:szCs w:val="24"/>
          <w:lang w:val="fr-CA"/>
        </w:rPr>
      </w:pPr>
      <w:r w:rsidRPr="00A82D21">
        <w:rPr>
          <w:rFonts w:cs="Times New Roman"/>
          <w:szCs w:val="24"/>
          <w:lang w:val="fr-CA"/>
        </w:rPr>
        <w:t>Relativement au contexte, l’analyse de l’ensemble des exemptions figurant au par. 193(2) est pertinente, dans la mesure où elle permet de définir de manière cohérente l’objectif global de la disposition. Les appelants prétendent que toutes ces exemptions se rattachent à la lutte contre le crime et que, en conséquence, l’al. 193(2)</w:t>
      </w:r>
      <w:r w:rsidRPr="00A82D21">
        <w:rPr>
          <w:rFonts w:cs="Times New Roman"/>
          <w:i/>
          <w:szCs w:val="24"/>
          <w:lang w:val="fr-CA"/>
        </w:rPr>
        <w:t>a</w:t>
      </w:r>
      <w:r w:rsidRPr="00A82D21">
        <w:rPr>
          <w:rFonts w:cs="Times New Roman"/>
          <w:szCs w:val="24"/>
          <w:lang w:val="fr-CA"/>
        </w:rPr>
        <w:t xml:space="preserve">) doit être interprété en fonction de cet objectif. Avec égards, nous ne sommes pas de cet avis. </w:t>
      </w:r>
    </w:p>
    <w:p w:rsidR="007962BB" w:rsidRPr="00A82D21" w:rsidRDefault="007962BB" w:rsidP="007962BB">
      <w:pPr>
        <w:pStyle w:val="ParaNoNdepar-AltN"/>
        <w:widowControl w:val="0"/>
        <w:spacing w:before="240"/>
        <w:rPr>
          <w:rFonts w:cs="Times New Roman"/>
          <w:szCs w:val="24"/>
          <w:lang w:val="fr-CA"/>
        </w:rPr>
      </w:pPr>
      <w:r w:rsidRPr="00A82D21">
        <w:rPr>
          <w:rFonts w:cs="Times New Roman"/>
          <w:szCs w:val="24"/>
          <w:lang w:val="fr-CA"/>
        </w:rPr>
        <w:t>Il est vrai que la plupart des exemptions prévues au par. 193(2) visent à faciliter la lutte contre le crime. C’est le cas des dispositions suivantes : al. (2)</w:t>
      </w:r>
      <w:r w:rsidRPr="00A82D21">
        <w:rPr>
          <w:rFonts w:cs="Times New Roman"/>
          <w:i/>
          <w:szCs w:val="24"/>
          <w:lang w:val="fr-CA"/>
        </w:rPr>
        <w:t>b</w:t>
      </w:r>
      <w:r w:rsidRPr="00A82D21">
        <w:rPr>
          <w:rFonts w:cs="Times New Roman"/>
          <w:szCs w:val="24"/>
          <w:lang w:val="fr-CA"/>
        </w:rPr>
        <w:t>) (divulgation au cours ou aux fins d’une enquête en matière pénale); al. (2)</w:t>
      </w:r>
      <w:r w:rsidRPr="00A82D21">
        <w:rPr>
          <w:rFonts w:cs="Times New Roman"/>
          <w:i/>
          <w:szCs w:val="24"/>
          <w:lang w:val="fr-CA"/>
        </w:rPr>
        <w:t>c</w:t>
      </w:r>
      <w:r w:rsidRPr="00A82D21">
        <w:rPr>
          <w:rFonts w:cs="Times New Roman"/>
          <w:szCs w:val="24"/>
          <w:lang w:val="fr-CA"/>
        </w:rPr>
        <w:t xml:space="preserve">) (divulgation lors de la remise d’un préavis ou de détails complémentaires requis en </w:t>
      </w:r>
      <w:r w:rsidRPr="00A82D21">
        <w:rPr>
          <w:rFonts w:cs="Times New Roman"/>
          <w:szCs w:val="24"/>
          <w:lang w:val="fr-CA"/>
        </w:rPr>
        <w:lastRenderedPageBreak/>
        <w:t xml:space="preserve">application des art. 189 et 190 </w:t>
      </w:r>
      <w:r w:rsidRPr="00A82D21">
        <w:rPr>
          <w:rFonts w:cs="Times New Roman"/>
          <w:i/>
          <w:szCs w:val="24"/>
          <w:lang w:val="fr-CA"/>
        </w:rPr>
        <w:t>C. cr.</w:t>
      </w:r>
      <w:r w:rsidRPr="00A82D21">
        <w:rPr>
          <w:rFonts w:cs="Times New Roman"/>
          <w:szCs w:val="24"/>
          <w:lang w:val="fr-CA"/>
        </w:rPr>
        <w:t xml:space="preserve"> pour faire admettre des communications interceptées en preuve dans le cadre de procédures criminelles); al. (2)</w:t>
      </w:r>
      <w:r w:rsidRPr="00A82D21">
        <w:rPr>
          <w:rFonts w:cs="Times New Roman"/>
          <w:i/>
          <w:szCs w:val="24"/>
          <w:lang w:val="fr-CA"/>
        </w:rPr>
        <w:t>e</w:t>
      </w:r>
      <w:r w:rsidRPr="00A82D21">
        <w:rPr>
          <w:rFonts w:cs="Times New Roman"/>
          <w:szCs w:val="24"/>
          <w:lang w:val="fr-CA"/>
        </w:rPr>
        <w:t>) (divulgation à un agent de la paix ou à un poursuivant au Canada, ou à une personne ou un organisme étranger chargé de la recherche ou de la poursuite des infractions). L’alinéa (2)</w:t>
      </w:r>
      <w:r w:rsidRPr="00A82D21">
        <w:rPr>
          <w:rFonts w:cs="Times New Roman"/>
          <w:i/>
          <w:szCs w:val="24"/>
          <w:lang w:val="fr-CA"/>
        </w:rPr>
        <w:t>f</w:t>
      </w:r>
      <w:r w:rsidRPr="00A82D21">
        <w:rPr>
          <w:rFonts w:cs="Times New Roman"/>
          <w:szCs w:val="24"/>
          <w:lang w:val="fr-CA"/>
        </w:rPr>
        <w:t xml:space="preserve">) (divulgation au Service canadien du renseignement de sécurité pour qu’il exerce les fonctions que lui confie l’art. 12 de la </w:t>
      </w:r>
      <w:r w:rsidRPr="00A82D21">
        <w:rPr>
          <w:rFonts w:cs="Times New Roman"/>
          <w:i/>
          <w:szCs w:val="24"/>
          <w:lang w:val="fr-CA"/>
        </w:rPr>
        <w:t>Loi sur le Service canadien du renseignement de sécurité</w:t>
      </w:r>
      <w:r w:rsidRPr="00A82D21">
        <w:rPr>
          <w:rFonts w:cs="Times New Roman"/>
          <w:szCs w:val="24"/>
          <w:lang w:val="fr-CA"/>
        </w:rPr>
        <w:t>, L.R.C. 1985, ch. C-23) peut aussi, de façon générale, viser la lutte contre la criminalité. Cependant, les exemptions énoncées au par. 193(2) ne sont pas toutes conçues de cette manière. Ainsi, l’al. 193(2)</w:t>
      </w:r>
      <w:r w:rsidRPr="00A82D21">
        <w:rPr>
          <w:rFonts w:cs="Times New Roman"/>
          <w:i/>
          <w:szCs w:val="24"/>
          <w:lang w:val="fr-CA"/>
        </w:rPr>
        <w:t>d</w:t>
      </w:r>
      <w:r w:rsidRPr="00A82D21">
        <w:rPr>
          <w:rFonts w:cs="Times New Roman"/>
          <w:szCs w:val="24"/>
          <w:lang w:val="fr-CA"/>
        </w:rPr>
        <w:t xml:space="preserve">) </w:t>
      </w:r>
      <w:r w:rsidR="003D19FF" w:rsidRPr="00A82D21">
        <w:rPr>
          <w:rFonts w:cs="Times New Roman"/>
          <w:szCs w:val="24"/>
          <w:lang w:val="fr-CA"/>
        </w:rPr>
        <w:t>« </w:t>
      </w:r>
      <w:r w:rsidRPr="00A82D21">
        <w:rPr>
          <w:rFonts w:cs="Times New Roman"/>
          <w:szCs w:val="24"/>
          <w:lang w:val="fr-CA"/>
        </w:rPr>
        <w:t>écarte la responsabilité criminelle à l’égard de la divulgation intervenant dans le cadre de l’exploitation d’un système de communications ou d’un service de gestion ou de protection d’un ordinateur, si [cette] divulgation est nécessairement accessoire aux fins pour lesquelles les exploitants peuvent être exonérés de l’infraction d’interception [aux al</w:t>
      </w:r>
      <w:r w:rsidR="00F633DF" w:rsidRPr="00A82D21">
        <w:rPr>
          <w:rFonts w:cs="Times New Roman"/>
          <w:szCs w:val="24"/>
          <w:lang w:val="fr-CA"/>
        </w:rPr>
        <w:t>.</w:t>
      </w:r>
      <w:r w:rsidRPr="00A82D21">
        <w:rPr>
          <w:rFonts w:cs="Times New Roman"/>
          <w:szCs w:val="24"/>
          <w:lang w:val="fr-CA"/>
        </w:rPr>
        <w:t xml:space="preserve"> 184(2)</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d</w:t>
      </w:r>
      <w:r w:rsidRPr="00A82D21">
        <w:rPr>
          <w:rFonts w:cs="Times New Roman"/>
          <w:szCs w:val="24"/>
          <w:lang w:val="fr-CA"/>
        </w:rPr>
        <w:t xml:space="preserve">) ou </w:t>
      </w:r>
      <w:r w:rsidRPr="00A82D21">
        <w:rPr>
          <w:rFonts w:cs="Times New Roman"/>
          <w:i/>
          <w:szCs w:val="24"/>
          <w:lang w:val="fr-CA"/>
        </w:rPr>
        <w:t>e</w:t>
      </w:r>
      <w:r w:rsidRPr="00A82D21">
        <w:rPr>
          <w:rFonts w:cs="Times New Roman"/>
          <w:szCs w:val="24"/>
          <w:lang w:val="fr-CA"/>
        </w:rPr>
        <w:t>)]</w:t>
      </w:r>
      <w:r w:rsidR="003D19FF" w:rsidRPr="00A82D21">
        <w:rPr>
          <w:rFonts w:cs="Times New Roman"/>
          <w:szCs w:val="24"/>
          <w:lang w:val="fr-CA"/>
        </w:rPr>
        <w:t> »</w:t>
      </w:r>
      <w:r w:rsidRPr="00A82D21">
        <w:rPr>
          <w:rFonts w:cs="Times New Roman"/>
          <w:szCs w:val="24"/>
          <w:lang w:val="fr-CA"/>
        </w:rPr>
        <w:t xml:space="preserve"> (</w:t>
      </w:r>
      <w:r w:rsidRPr="00A82D21">
        <w:rPr>
          <w:rFonts w:cs="Times New Roman"/>
          <w:i/>
          <w:szCs w:val="24"/>
          <w:lang w:val="fr-CA"/>
        </w:rPr>
        <w:t>TELUS</w:t>
      </w:r>
      <w:r w:rsidRPr="00A82D21">
        <w:rPr>
          <w:rFonts w:cs="Times New Roman"/>
          <w:szCs w:val="24"/>
          <w:lang w:val="fr-CA"/>
        </w:rPr>
        <w:t xml:space="preserve">, par. 147, le juge Cromwell, dissident sur un autre point). À la lecture même de cet alinéa, on constate qu’il n’a pas pour objectif de lutter contre la criminalité. </w:t>
      </w:r>
    </w:p>
    <w:p w:rsidR="007962BB" w:rsidRPr="00A82D21" w:rsidRDefault="007962BB" w:rsidP="007962BB">
      <w:pPr>
        <w:pStyle w:val="ParaNoNdepar-AltN"/>
        <w:widowControl w:val="0"/>
        <w:spacing w:before="240"/>
        <w:rPr>
          <w:rFonts w:cs="Times New Roman"/>
          <w:szCs w:val="24"/>
          <w:lang w:val="fr-CA"/>
        </w:rPr>
      </w:pPr>
      <w:r w:rsidRPr="00A82D21">
        <w:rPr>
          <w:rFonts w:cs="Times New Roman"/>
          <w:szCs w:val="24"/>
          <w:lang w:val="fr-CA"/>
        </w:rPr>
        <w:t xml:space="preserve">Par ailleurs, il nous semble particulièrement important de souligner qu’à l’inverse des al. </w:t>
      </w:r>
      <w:r w:rsidRPr="00A82D21">
        <w:rPr>
          <w:rFonts w:cs="Times New Roman"/>
          <w:i/>
          <w:szCs w:val="24"/>
          <w:lang w:val="fr-CA"/>
        </w:rPr>
        <w:t>b</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e</w:t>
      </w:r>
      <w:r w:rsidRPr="00A82D21">
        <w:rPr>
          <w:rFonts w:cs="Times New Roman"/>
          <w:szCs w:val="24"/>
          <w:lang w:val="fr-CA"/>
        </w:rPr>
        <w:t xml:space="preserve">) et </w:t>
      </w:r>
      <w:r w:rsidRPr="00A82D21">
        <w:rPr>
          <w:rFonts w:cs="Times New Roman"/>
          <w:i/>
          <w:szCs w:val="24"/>
          <w:lang w:val="fr-CA"/>
        </w:rPr>
        <w:t>f</w:t>
      </w:r>
      <w:r w:rsidRPr="00A82D21">
        <w:rPr>
          <w:rFonts w:cs="Times New Roman"/>
          <w:szCs w:val="24"/>
          <w:lang w:val="fr-CA"/>
        </w:rPr>
        <w:t xml:space="preserve">), dont une simple lecture permet de dégager l’objectif, la détermination du but visé par l’al. </w:t>
      </w:r>
      <w:r w:rsidRPr="00A82D21">
        <w:rPr>
          <w:rFonts w:cs="Times New Roman"/>
          <w:i/>
          <w:szCs w:val="24"/>
          <w:lang w:val="fr-CA"/>
        </w:rPr>
        <w:t>a</w:t>
      </w:r>
      <w:r w:rsidRPr="00A82D21">
        <w:rPr>
          <w:rFonts w:cs="Times New Roman"/>
          <w:szCs w:val="24"/>
          <w:lang w:val="fr-CA"/>
        </w:rPr>
        <w:t xml:space="preserve">) requiert une analyse plus poussée. Bien qu’il soit évident que, dans le scénario où les enregistrements sont demandés </w:t>
      </w:r>
      <w:r w:rsidR="003D19FF" w:rsidRPr="00A82D21">
        <w:rPr>
          <w:rFonts w:cs="Times New Roman"/>
          <w:szCs w:val="24"/>
          <w:lang w:val="fr-CA"/>
        </w:rPr>
        <w:t>« </w:t>
      </w:r>
      <w:r w:rsidRPr="00A82D21">
        <w:rPr>
          <w:rFonts w:cs="Times New Roman"/>
          <w:szCs w:val="24"/>
          <w:lang w:val="fr-CA"/>
        </w:rPr>
        <w:t>au cours ou aux fins d’une déposition lors de poursuites [</w:t>
      </w:r>
      <w:r w:rsidR="003D19FF" w:rsidRPr="00A82D21">
        <w:rPr>
          <w:rFonts w:cs="Times New Roman"/>
          <w:szCs w:val="24"/>
          <w:lang w:val="fr-CA"/>
        </w:rPr>
        <w:t>. . .</w:t>
      </w:r>
      <w:r w:rsidRPr="00A82D21">
        <w:rPr>
          <w:rFonts w:cs="Times New Roman"/>
          <w:szCs w:val="24"/>
          <w:lang w:val="fr-CA"/>
        </w:rPr>
        <w:t>] pénales</w:t>
      </w:r>
      <w:r w:rsidR="003D19FF" w:rsidRPr="00A82D21">
        <w:rPr>
          <w:rFonts w:cs="Times New Roman"/>
          <w:szCs w:val="24"/>
          <w:lang w:val="fr-CA"/>
        </w:rPr>
        <w:t> »</w:t>
      </w:r>
      <w:r w:rsidRPr="00A82D21">
        <w:rPr>
          <w:rFonts w:cs="Times New Roman"/>
          <w:szCs w:val="24"/>
          <w:lang w:val="fr-CA"/>
        </w:rPr>
        <w:t xml:space="preserve">, l’objectif est de lutter contre la criminalité, il paraît difficile de tirer la même interprétation du scénario où ils le sont </w:t>
      </w:r>
      <w:r w:rsidR="003D19FF" w:rsidRPr="00A82D21">
        <w:rPr>
          <w:rFonts w:cs="Times New Roman"/>
          <w:szCs w:val="24"/>
          <w:lang w:val="fr-CA"/>
        </w:rPr>
        <w:t>« </w:t>
      </w:r>
      <w:r w:rsidRPr="00A82D21">
        <w:rPr>
          <w:rFonts w:cs="Times New Roman"/>
          <w:szCs w:val="24"/>
          <w:lang w:val="fr-CA"/>
        </w:rPr>
        <w:t>lors de poursuites civiles [</w:t>
      </w:r>
      <w:r w:rsidR="003D19FF" w:rsidRPr="00A82D21">
        <w:rPr>
          <w:rFonts w:cs="Times New Roman"/>
          <w:szCs w:val="24"/>
          <w:lang w:val="fr-CA"/>
        </w:rPr>
        <w:t>. . .</w:t>
      </w:r>
      <w:r w:rsidRPr="00A82D21">
        <w:rPr>
          <w:rFonts w:cs="Times New Roman"/>
          <w:szCs w:val="24"/>
          <w:lang w:val="fr-CA"/>
        </w:rPr>
        <w:t>] ou de toutes autres procédures</w:t>
      </w:r>
      <w:r w:rsidR="003D19FF" w:rsidRPr="00A82D21">
        <w:rPr>
          <w:rFonts w:cs="Times New Roman"/>
          <w:szCs w:val="24"/>
          <w:lang w:val="fr-CA"/>
        </w:rPr>
        <w:t> »</w:t>
      </w:r>
      <w:r w:rsidRPr="00A82D21">
        <w:rPr>
          <w:rFonts w:cs="Times New Roman"/>
          <w:szCs w:val="24"/>
          <w:lang w:val="fr-CA"/>
        </w:rPr>
        <w:t xml:space="preserve">. En effet, la </w:t>
      </w:r>
      <w:r w:rsidRPr="00A82D21">
        <w:rPr>
          <w:rFonts w:cs="Times New Roman"/>
          <w:szCs w:val="24"/>
          <w:lang w:val="fr-CA"/>
        </w:rPr>
        <w:lastRenderedPageBreak/>
        <w:t xml:space="preserve">lutte contre la criminalité (au sens strict du terme) prend d’abord et avant tout la forme d’enquêtes et de poursuites pénales. Or, si telle avait été la seule et unique fonction de cet al. </w:t>
      </w:r>
      <w:r w:rsidRPr="00A82D21">
        <w:rPr>
          <w:rFonts w:cs="Times New Roman"/>
          <w:i/>
          <w:szCs w:val="24"/>
          <w:lang w:val="fr-CA"/>
        </w:rPr>
        <w:t>a</w:t>
      </w:r>
      <w:r w:rsidRPr="00A82D21">
        <w:rPr>
          <w:rFonts w:cs="Times New Roman"/>
          <w:szCs w:val="24"/>
          <w:lang w:val="fr-CA"/>
        </w:rPr>
        <w:t xml:space="preserve">), le Parlement n’y aurait codifié que ce scénario (comme aux al. </w:t>
      </w:r>
      <w:r w:rsidRPr="00A82D21">
        <w:rPr>
          <w:rFonts w:cs="Times New Roman"/>
          <w:i/>
          <w:szCs w:val="24"/>
          <w:lang w:val="fr-CA"/>
        </w:rPr>
        <w:t>b</w:t>
      </w:r>
      <w:r w:rsidRPr="00A82D21">
        <w:rPr>
          <w:rFonts w:cs="Times New Roman"/>
          <w:szCs w:val="24"/>
          <w:lang w:val="fr-CA"/>
        </w:rPr>
        <w:t xml:space="preserve">) et </w:t>
      </w:r>
      <w:r w:rsidRPr="00A82D21">
        <w:rPr>
          <w:rFonts w:cs="Times New Roman"/>
          <w:i/>
          <w:szCs w:val="24"/>
          <w:lang w:val="fr-CA"/>
        </w:rPr>
        <w:t>e</w:t>
      </w:r>
      <w:r w:rsidRPr="00A82D21">
        <w:rPr>
          <w:rFonts w:cs="Times New Roman"/>
          <w:szCs w:val="24"/>
          <w:lang w:val="fr-CA"/>
        </w:rPr>
        <w:t xml:space="preserve">)). De plus, le législateur a adopté un style de rédaction beaucoup plus large que celui utilisé aux autres alinéas. Il nous semble en conséquence difficile de conclure que l’al. </w:t>
      </w:r>
      <w:r w:rsidRPr="00A82D21">
        <w:rPr>
          <w:rFonts w:cs="Times New Roman"/>
          <w:i/>
          <w:szCs w:val="24"/>
          <w:lang w:val="fr-CA"/>
        </w:rPr>
        <w:t>a</w:t>
      </w:r>
      <w:r w:rsidRPr="00A82D21">
        <w:rPr>
          <w:rFonts w:cs="Times New Roman"/>
          <w:szCs w:val="24"/>
          <w:lang w:val="fr-CA"/>
        </w:rPr>
        <w:t xml:space="preserve">) n’est destiné qu’à faciliter la lutte contre la criminalité. </w:t>
      </w:r>
    </w:p>
    <w:p w:rsidR="007962BB" w:rsidRPr="00A82D21" w:rsidRDefault="007962BB" w:rsidP="007962BB">
      <w:pPr>
        <w:pStyle w:val="ParaNoNdepar-AltN"/>
        <w:widowControl w:val="0"/>
        <w:spacing w:before="240"/>
        <w:rPr>
          <w:rFonts w:cs="Times New Roman"/>
          <w:szCs w:val="24"/>
          <w:lang w:val="fr-CA"/>
        </w:rPr>
      </w:pPr>
      <w:r w:rsidRPr="00A82D21">
        <w:rPr>
          <w:rFonts w:cs="Times New Roman"/>
          <w:szCs w:val="24"/>
          <w:lang w:val="fr-CA"/>
        </w:rPr>
        <w:t xml:space="preserve">Dans l’arrêt </w:t>
      </w:r>
      <w:r w:rsidRPr="00A82D21">
        <w:rPr>
          <w:rFonts w:cs="Times New Roman"/>
          <w:i/>
          <w:szCs w:val="24"/>
          <w:lang w:val="fr-CA"/>
        </w:rPr>
        <w:t>TELUS</w:t>
      </w:r>
      <w:r w:rsidRPr="00A82D21">
        <w:rPr>
          <w:rFonts w:cs="Times New Roman"/>
          <w:szCs w:val="24"/>
          <w:lang w:val="fr-CA"/>
        </w:rPr>
        <w:t xml:space="preserve">, notre Cour s’est penchée sur l’interprétation des exemptions prévues à l’art. 193. Comparant ces exemptions à celles relatives à l’interception que l’on trouve à l’art. 184 </w:t>
      </w:r>
      <w:r w:rsidRPr="00A82D21">
        <w:rPr>
          <w:rFonts w:cs="Times New Roman"/>
          <w:i/>
          <w:szCs w:val="24"/>
          <w:lang w:val="fr-CA"/>
        </w:rPr>
        <w:t xml:space="preserve">C. </w:t>
      </w:r>
      <w:proofErr w:type="gramStart"/>
      <w:r w:rsidRPr="00A82D21">
        <w:rPr>
          <w:rFonts w:cs="Times New Roman"/>
          <w:i/>
          <w:szCs w:val="24"/>
          <w:lang w:val="fr-CA"/>
        </w:rPr>
        <w:t>cr.</w:t>
      </w:r>
      <w:r w:rsidRPr="00A82D21">
        <w:rPr>
          <w:rFonts w:cs="Times New Roman"/>
          <w:szCs w:val="24"/>
          <w:lang w:val="fr-CA"/>
        </w:rPr>
        <w:t>,</w:t>
      </w:r>
      <w:proofErr w:type="gramEnd"/>
      <w:r w:rsidRPr="00A82D21">
        <w:rPr>
          <w:rFonts w:cs="Times New Roman"/>
          <w:szCs w:val="24"/>
          <w:lang w:val="fr-CA"/>
        </w:rPr>
        <w:t xml:space="preserve"> le juge Cromwell (dissident sur un autre point), a écrit ceci : </w:t>
      </w:r>
    </w:p>
    <w:p w:rsidR="007962BB" w:rsidRPr="00A82D21" w:rsidRDefault="007962BB" w:rsidP="007962BB">
      <w:pPr>
        <w:pStyle w:val="Citation-AltC"/>
        <w:widowControl w:val="0"/>
        <w:rPr>
          <w:szCs w:val="24"/>
        </w:rPr>
      </w:pPr>
      <w:r w:rsidRPr="00A82D21">
        <w:rPr>
          <w:szCs w:val="24"/>
          <w:lang w:val="fr-CA"/>
        </w:rPr>
        <w:t>L’article 193 prévoit des exemptions beaucoup plus permissives que celles prévues à l’art. 184, en particulier en ce qui a trait aux enquêtes en matière pénale. Aux termes de l’art. 184, la police ne peut intercepter de</w:t>
      </w:r>
      <w:r w:rsidR="00F633DF" w:rsidRPr="00A82D21">
        <w:rPr>
          <w:szCs w:val="24"/>
          <w:lang w:val="fr-CA"/>
        </w:rPr>
        <w:t>s</w:t>
      </w:r>
      <w:r w:rsidRPr="00A82D21">
        <w:rPr>
          <w:szCs w:val="24"/>
          <w:lang w:val="fr-CA"/>
        </w:rPr>
        <w:t xml:space="preserve"> communications que si elle est autorisée à le faire (al. 184(2</w:t>
      </w:r>
      <w:proofErr w:type="gramStart"/>
      <w:r w:rsidRPr="00A82D21">
        <w:rPr>
          <w:szCs w:val="24"/>
          <w:lang w:val="fr-CA"/>
        </w:rPr>
        <w:t>)</w:t>
      </w:r>
      <w:r w:rsidRPr="00A82D21">
        <w:rPr>
          <w:i/>
          <w:iCs/>
          <w:szCs w:val="24"/>
          <w:lang w:val="fr-CA"/>
        </w:rPr>
        <w:t>b</w:t>
      </w:r>
      <w:proofErr w:type="gramEnd"/>
      <w:r w:rsidRPr="00A82D21">
        <w:rPr>
          <w:szCs w:val="24"/>
          <w:lang w:val="fr-CA"/>
        </w:rPr>
        <w:t xml:space="preserve">)) ou dans certaines circonstances exceptionnelles (art. 184.4). L’article 193, par contre, </w:t>
      </w:r>
      <w:r w:rsidRPr="00A82D21">
        <w:rPr>
          <w:szCs w:val="24"/>
          <w:u w:val="single"/>
          <w:lang w:val="fr-CA"/>
        </w:rPr>
        <w:t>comprend de larges exemptions</w:t>
      </w:r>
      <w:r w:rsidRPr="00A82D21">
        <w:rPr>
          <w:szCs w:val="24"/>
          <w:lang w:val="fr-CA"/>
        </w:rPr>
        <w:t xml:space="preserve">, qui permettent la divulgation de communications interceptées </w:t>
      </w:r>
      <w:r w:rsidRPr="00A82D21">
        <w:rPr>
          <w:szCs w:val="24"/>
          <w:u w:val="single"/>
          <w:lang w:val="fr-CA"/>
        </w:rPr>
        <w:t>dans diverses circonstances, notamment lors de poursuites civiles ou pénales</w:t>
      </w:r>
      <w:r w:rsidRPr="00A82D21">
        <w:rPr>
          <w:szCs w:val="24"/>
          <w:lang w:val="fr-CA"/>
        </w:rPr>
        <w:t xml:space="preserve"> (al. 193(2</w:t>
      </w:r>
      <w:proofErr w:type="gramStart"/>
      <w:r w:rsidRPr="00A82D21">
        <w:rPr>
          <w:szCs w:val="24"/>
          <w:lang w:val="fr-CA"/>
        </w:rPr>
        <w:t>)</w:t>
      </w:r>
      <w:r w:rsidRPr="00A82D21">
        <w:rPr>
          <w:i/>
          <w:iCs/>
          <w:szCs w:val="24"/>
          <w:lang w:val="fr-CA"/>
        </w:rPr>
        <w:t>a</w:t>
      </w:r>
      <w:proofErr w:type="gramEnd"/>
      <w:r w:rsidRPr="00A82D21">
        <w:rPr>
          <w:szCs w:val="24"/>
          <w:lang w:val="fr-CA"/>
        </w:rPr>
        <w:t xml:space="preserve">)) et </w:t>
      </w:r>
      <w:r w:rsidR="003D19FF" w:rsidRPr="00A82D21">
        <w:rPr>
          <w:szCs w:val="24"/>
          <w:lang w:val="fr-CA"/>
        </w:rPr>
        <w:t>« </w:t>
      </w:r>
      <w:r w:rsidRPr="00A82D21">
        <w:rPr>
          <w:szCs w:val="24"/>
          <w:lang w:val="fr-CA"/>
        </w:rPr>
        <w:t>au cours ou aux fins d’une enquête en matière pénale</w:t>
      </w:r>
      <w:r w:rsidR="003D19FF" w:rsidRPr="00A82D21">
        <w:rPr>
          <w:szCs w:val="24"/>
          <w:lang w:val="fr-CA"/>
        </w:rPr>
        <w:t> »</w:t>
      </w:r>
      <w:r w:rsidRPr="00A82D21">
        <w:rPr>
          <w:szCs w:val="24"/>
          <w:lang w:val="fr-CA"/>
        </w:rPr>
        <w:t xml:space="preserve"> (al. 193(2)</w:t>
      </w:r>
      <w:r w:rsidRPr="00A82D21">
        <w:rPr>
          <w:i/>
          <w:iCs/>
          <w:szCs w:val="24"/>
          <w:lang w:val="fr-CA"/>
        </w:rPr>
        <w:t>b</w:t>
      </w:r>
      <w:r w:rsidRPr="00A82D21">
        <w:rPr>
          <w:szCs w:val="24"/>
          <w:lang w:val="fr-CA"/>
        </w:rPr>
        <w:t>)). [</w:t>
      </w:r>
      <w:r w:rsidRPr="00A82D21">
        <w:rPr>
          <w:szCs w:val="24"/>
        </w:rPr>
        <w:t>Nous soulignons; par. 146.]</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Ainsi, la rédaction de l’al. 193(2)</w:t>
      </w:r>
      <w:r w:rsidRPr="00A82D21">
        <w:rPr>
          <w:rFonts w:cs="Times New Roman"/>
          <w:i/>
          <w:szCs w:val="24"/>
          <w:lang w:val="fr-CA"/>
        </w:rPr>
        <w:t>a</w:t>
      </w:r>
      <w:r w:rsidRPr="00A82D21">
        <w:rPr>
          <w:rFonts w:cs="Times New Roman"/>
          <w:szCs w:val="24"/>
          <w:lang w:val="fr-CA"/>
        </w:rPr>
        <w:t>) impose une définition large de ses objectifs. Il est clair que cette disposition ne s’applique pas seulement aux procédures de lutte contre la criminalité.</w:t>
      </w:r>
    </w:p>
    <w:p w:rsidR="007962BB" w:rsidRPr="00A82D21" w:rsidRDefault="007962BB" w:rsidP="007962BB">
      <w:pPr>
        <w:widowControl w:val="0"/>
        <w:ind w:left="1170"/>
        <w:rPr>
          <w:rStyle w:val="Emphasis"/>
          <w:szCs w:val="24"/>
          <w:lang w:val="fr-CA"/>
        </w:rPr>
      </w:pPr>
      <w:r w:rsidRPr="00A82D21">
        <w:rPr>
          <w:rStyle w:val="Emphasis"/>
          <w:i w:val="0"/>
          <w:szCs w:val="24"/>
          <w:lang w:val="fr-CA"/>
        </w:rPr>
        <w:t>b.</w:t>
      </w:r>
      <w:r w:rsidRPr="00A82D21">
        <w:rPr>
          <w:rStyle w:val="Emphasis"/>
          <w:szCs w:val="24"/>
          <w:lang w:val="fr-CA"/>
        </w:rPr>
        <w:t xml:space="preserve">  Le paragraphe 193(3)</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Les appelants Couche-Tard et </w:t>
      </w:r>
      <w:proofErr w:type="gramStart"/>
      <w:r w:rsidRPr="00A82D21">
        <w:rPr>
          <w:rFonts w:cs="Times New Roman"/>
          <w:szCs w:val="24"/>
          <w:lang w:val="fr-CA"/>
        </w:rPr>
        <w:t>autres plaident</w:t>
      </w:r>
      <w:proofErr w:type="gramEnd"/>
      <w:r w:rsidRPr="00A82D21">
        <w:rPr>
          <w:rFonts w:cs="Times New Roman"/>
          <w:szCs w:val="24"/>
          <w:lang w:val="fr-CA"/>
        </w:rPr>
        <w:t xml:space="preserve"> également que l’interprétation donnée à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 xml:space="preserve">C. cr. </w:t>
      </w:r>
      <w:r w:rsidRPr="00A82D21">
        <w:rPr>
          <w:rFonts w:cs="Times New Roman"/>
          <w:szCs w:val="24"/>
          <w:lang w:val="fr-CA"/>
        </w:rPr>
        <w:t xml:space="preserve">par les juridictions inférieures ne peut être réconciliée avec le texte du par. 193(3), lequel </w:t>
      </w:r>
      <w:proofErr w:type="gramStart"/>
      <w:r w:rsidRPr="00A82D21">
        <w:rPr>
          <w:rFonts w:cs="Times New Roman"/>
          <w:szCs w:val="24"/>
          <w:lang w:val="fr-CA"/>
        </w:rPr>
        <w:t>dispose</w:t>
      </w:r>
      <w:proofErr w:type="gramEnd"/>
      <w:r w:rsidRPr="00A82D21">
        <w:rPr>
          <w:rFonts w:cs="Times New Roman"/>
          <w:szCs w:val="24"/>
          <w:lang w:val="fr-CA"/>
        </w:rPr>
        <w:t> :</w:t>
      </w:r>
    </w:p>
    <w:p w:rsidR="00F633DF" w:rsidRPr="00A82D21" w:rsidRDefault="00F633DF" w:rsidP="00F633DF">
      <w:pPr>
        <w:pStyle w:val="Citation-AltC"/>
        <w:widowControl w:val="0"/>
        <w:tabs>
          <w:tab w:val="left" w:pos="1980"/>
        </w:tabs>
        <w:rPr>
          <w:szCs w:val="24"/>
          <w:lang w:val="fr-CA"/>
        </w:rPr>
      </w:pPr>
      <w:r w:rsidRPr="00A82D21">
        <w:rPr>
          <w:szCs w:val="24"/>
          <w:lang w:val="fr-CA"/>
        </w:rPr>
        <w:tab/>
        <w:t>(3) Le paragraphe (1) ne s’applique pas aux personnes qui rapportent une communication privée, en tout ou en partie, ou qui en divulguent la substance, le sens ou l’objet, ou encore, qui en révèlent l’existence lorsque ce qu’elles révèlent avait déjà été légalement divulgué auparavant au cours d’un témoignage ou dans le but de témoigner dans les procédures visées à l’alinéa (2)</w:t>
      </w:r>
      <w:r w:rsidRPr="00A82D21">
        <w:rPr>
          <w:i/>
          <w:szCs w:val="24"/>
          <w:lang w:val="fr-CA"/>
        </w:rPr>
        <w:t>a</w:t>
      </w:r>
      <w:r w:rsidRPr="00A82D21">
        <w:rPr>
          <w:szCs w:val="24"/>
          <w:lang w:val="fr-CA"/>
        </w:rPr>
        <w: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De l’avis des appelants, ce paragraphe ne peut être concilié avec le reste de l’article que si la divulgation mentionnée survient à l’étape de la production de la preuve. Comme la preuve devient alors publique par l’effet du principe de la publicité des débats, il n’existerait plus, selon eux, de raison d’interdire à quiconque de rapporter le contenu d’une preuve déjà connue. Au contraire, prétendent-ils, il serait </w:t>
      </w:r>
      <w:r w:rsidR="003D19FF" w:rsidRPr="00A82D21">
        <w:rPr>
          <w:rFonts w:cs="Times New Roman"/>
          <w:szCs w:val="24"/>
          <w:lang w:val="fr-CA"/>
        </w:rPr>
        <w:t>« </w:t>
      </w:r>
      <w:r w:rsidRPr="00A82D21">
        <w:rPr>
          <w:rFonts w:cs="Times New Roman"/>
          <w:szCs w:val="24"/>
          <w:lang w:val="fr-CA"/>
        </w:rPr>
        <w:t>illogique pour le Parlement de permettre à un justiciable privé de rapporter publiquement le contenu de l’écoute électronique qui ne lui a été divulguée que dans le cadre d’une procédure civile de communication préalable</w:t>
      </w:r>
      <w:r w:rsidR="003D19FF" w:rsidRPr="00A82D21">
        <w:rPr>
          <w:rFonts w:cs="Times New Roman"/>
          <w:szCs w:val="24"/>
          <w:lang w:val="fr-CA"/>
        </w:rPr>
        <w:t> »</w:t>
      </w:r>
      <w:r w:rsidRPr="00A82D21">
        <w:rPr>
          <w:rFonts w:cs="Times New Roman"/>
          <w:szCs w:val="24"/>
          <w:lang w:val="fr-CA"/>
        </w:rPr>
        <w:t xml:space="preserve"> (m.a. Couche-Tard et autres, par. 66).</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Cette interprétation est mal fondée. D’une part, elle passe sous silence la possibilité que le Parlement ait pu, justement, souhaiter ne pas entraver la publicité des débats en permettant, à cette fin, que soient rapportés </w:t>
      </w:r>
      <w:r w:rsidR="003D19FF" w:rsidRPr="00A82D21">
        <w:rPr>
          <w:rFonts w:cs="Times New Roman"/>
          <w:szCs w:val="24"/>
          <w:lang w:val="fr-CA"/>
        </w:rPr>
        <w:t>« </w:t>
      </w:r>
      <w:r w:rsidRPr="00A82D21">
        <w:rPr>
          <w:rFonts w:cs="Times New Roman"/>
          <w:szCs w:val="24"/>
          <w:lang w:val="fr-CA"/>
        </w:rPr>
        <w:t>la substance, le sens ou l’objet</w:t>
      </w:r>
      <w:r w:rsidR="003D19FF" w:rsidRPr="00A82D21">
        <w:rPr>
          <w:rFonts w:cs="Times New Roman"/>
          <w:szCs w:val="24"/>
          <w:lang w:val="fr-CA"/>
        </w:rPr>
        <w:t> »</w:t>
      </w:r>
      <w:r w:rsidRPr="00A82D21">
        <w:rPr>
          <w:rFonts w:cs="Times New Roman"/>
          <w:szCs w:val="24"/>
          <w:lang w:val="fr-CA"/>
        </w:rPr>
        <w:t xml:space="preserve"> d’une communication privée </w:t>
      </w:r>
      <w:r w:rsidR="003D19FF" w:rsidRPr="00A82D21">
        <w:rPr>
          <w:rFonts w:cs="Times New Roman"/>
          <w:szCs w:val="24"/>
          <w:lang w:val="fr-CA"/>
        </w:rPr>
        <w:t>« </w:t>
      </w:r>
      <w:r w:rsidRPr="00A82D21">
        <w:rPr>
          <w:rFonts w:cs="Times New Roman"/>
          <w:szCs w:val="24"/>
          <w:lang w:val="fr-CA"/>
        </w:rPr>
        <w:t>légalement divulgué[e] auparavant au cours d’un témoignage</w:t>
      </w:r>
      <w:r w:rsidR="003D19FF" w:rsidRPr="00A82D21">
        <w:rPr>
          <w:rFonts w:cs="Times New Roman"/>
          <w:szCs w:val="24"/>
          <w:lang w:val="fr-CA"/>
        </w:rPr>
        <w:t> »</w:t>
      </w:r>
      <w:r w:rsidRPr="00A82D21">
        <w:rPr>
          <w:rFonts w:cs="Times New Roman"/>
          <w:szCs w:val="24"/>
          <w:lang w:val="fr-CA"/>
        </w:rPr>
        <w:t xml:space="preserve">. Interprétée ainsi, cette exemption permettrait par exemple à un journaliste de rapporter la substance de la communication entendue au procès. </w:t>
      </w:r>
      <w:r w:rsidRPr="00A82D21">
        <w:rPr>
          <w:rFonts w:cs="Times New Roman"/>
          <w:szCs w:val="24"/>
          <w:lang w:val="fr-CA"/>
        </w:rPr>
        <w:lastRenderedPageBreak/>
        <w:t xml:space="preserve">D’autre part, l’interprétation des appelants s’avère trop restrictive. Elle omet une série de scénarios précis. À titre d’exemple, un expert qui serait autorisé, dans le cadre d’une </w:t>
      </w:r>
      <w:r w:rsidR="003D19FF" w:rsidRPr="00A82D21">
        <w:rPr>
          <w:rFonts w:cs="Times New Roman"/>
          <w:szCs w:val="24"/>
          <w:lang w:val="fr-CA"/>
        </w:rPr>
        <w:t>« </w:t>
      </w:r>
      <w:r w:rsidRPr="00A82D21">
        <w:rPr>
          <w:rFonts w:cs="Times New Roman"/>
          <w:szCs w:val="24"/>
          <w:lang w:val="fr-CA"/>
        </w:rPr>
        <w:t>poursuite civile</w:t>
      </w:r>
      <w:r w:rsidR="003D19FF" w:rsidRPr="00A82D21">
        <w:rPr>
          <w:rFonts w:cs="Times New Roman"/>
          <w:szCs w:val="24"/>
          <w:lang w:val="fr-CA"/>
        </w:rPr>
        <w:t> »</w:t>
      </w:r>
      <w:r w:rsidRPr="00A82D21">
        <w:rPr>
          <w:rFonts w:cs="Times New Roman"/>
          <w:szCs w:val="24"/>
          <w:lang w:val="fr-CA"/>
        </w:rPr>
        <w:t xml:space="preserve">, à écouter des enregistrements de conversations privées communiquées </w:t>
      </w:r>
      <w:r w:rsidR="003D19FF" w:rsidRPr="00A82D21">
        <w:rPr>
          <w:rFonts w:cs="Times New Roman"/>
          <w:szCs w:val="24"/>
          <w:lang w:val="fr-CA"/>
        </w:rPr>
        <w:t>« </w:t>
      </w:r>
      <w:r w:rsidRPr="00A82D21">
        <w:rPr>
          <w:rFonts w:cs="Times New Roman"/>
          <w:szCs w:val="24"/>
          <w:lang w:val="fr-CA"/>
        </w:rPr>
        <w:t>aux fins d’une déposition</w:t>
      </w:r>
      <w:r w:rsidR="003D19FF" w:rsidRPr="00A82D21">
        <w:rPr>
          <w:rFonts w:cs="Times New Roman"/>
          <w:szCs w:val="24"/>
          <w:lang w:val="fr-CA"/>
        </w:rPr>
        <w:t> »</w:t>
      </w:r>
      <w:r w:rsidRPr="00A82D21">
        <w:rPr>
          <w:rFonts w:cs="Times New Roman"/>
          <w:szCs w:val="24"/>
          <w:lang w:val="fr-CA"/>
        </w:rPr>
        <w:t xml:space="preserve"> pourrait devoir en </w:t>
      </w:r>
      <w:r w:rsidR="003D19FF" w:rsidRPr="00A82D21">
        <w:rPr>
          <w:rFonts w:cs="Times New Roman"/>
          <w:szCs w:val="24"/>
          <w:lang w:val="fr-CA"/>
        </w:rPr>
        <w:t>« </w:t>
      </w:r>
      <w:r w:rsidRPr="00A82D21">
        <w:rPr>
          <w:rFonts w:cs="Times New Roman"/>
          <w:szCs w:val="24"/>
          <w:lang w:val="fr-CA"/>
        </w:rPr>
        <w:t>rapporter</w:t>
      </w:r>
      <w:r w:rsidR="003D19FF" w:rsidRPr="00A82D21">
        <w:rPr>
          <w:rFonts w:cs="Times New Roman"/>
          <w:szCs w:val="24"/>
          <w:lang w:val="fr-CA"/>
        </w:rPr>
        <w:t> »</w:t>
      </w:r>
      <w:r w:rsidRPr="00A82D21">
        <w:rPr>
          <w:rFonts w:cs="Times New Roman"/>
          <w:szCs w:val="24"/>
          <w:lang w:val="fr-CA"/>
        </w:rPr>
        <w:t xml:space="preserve"> le contenu lors de son témoignage en cour. Par ailleurs, dans le cas qui nous occupe, les procureurs des intimés voudront probablement utiliser le contenu des enregistrements afin de contre-interroger les appelants lors de leurs témoignages en cour. Ces témoins seront alors protégés par l’exemption énoncée au par. (3), car ils révéleront ce qui a </w:t>
      </w:r>
      <w:r w:rsidR="003D19FF" w:rsidRPr="00A82D21">
        <w:rPr>
          <w:rFonts w:cs="Times New Roman"/>
          <w:szCs w:val="24"/>
          <w:lang w:val="fr-CA"/>
        </w:rPr>
        <w:t>« </w:t>
      </w:r>
      <w:r w:rsidRPr="00A82D21">
        <w:rPr>
          <w:rFonts w:cs="Times New Roman"/>
          <w:szCs w:val="24"/>
          <w:lang w:val="fr-CA"/>
        </w:rPr>
        <w:t>déjà été légalement divulgué auparavant [</w:t>
      </w:r>
      <w:r w:rsidR="003D19FF" w:rsidRPr="00A82D21">
        <w:rPr>
          <w:rFonts w:cs="Times New Roman"/>
          <w:szCs w:val="24"/>
          <w:lang w:val="fr-CA"/>
        </w:rPr>
        <w:t>. . .</w:t>
      </w:r>
      <w:r w:rsidRPr="00A82D21">
        <w:rPr>
          <w:rFonts w:cs="Times New Roman"/>
          <w:szCs w:val="24"/>
          <w:lang w:val="fr-CA"/>
        </w:rPr>
        <w:t>] dans le but de témoigner</w:t>
      </w:r>
      <w:r w:rsidR="003D19FF" w:rsidRPr="00A82D21">
        <w:rPr>
          <w:rFonts w:cs="Times New Roman"/>
          <w:szCs w:val="24"/>
          <w:lang w:val="fr-CA"/>
        </w:rPr>
        <w:t> »</w:t>
      </w:r>
      <w:r w:rsidRPr="00A82D21">
        <w:rPr>
          <w:rFonts w:cs="Times New Roman"/>
          <w:szCs w:val="24"/>
          <w:lang w:val="fr-CA"/>
        </w:rPr>
        <w:t>, comme le prévoit l’al. (2)</w:t>
      </w:r>
      <w:r w:rsidRPr="00A82D21">
        <w:rPr>
          <w:rFonts w:cs="Times New Roman"/>
          <w:i/>
          <w:szCs w:val="24"/>
          <w:lang w:val="fr-CA"/>
        </w:rPr>
        <w:t>a</w:t>
      </w:r>
      <w:r w:rsidRPr="00A82D21">
        <w:rPr>
          <w:rFonts w:cs="Times New Roman"/>
          <w:szCs w:val="24"/>
          <w:lang w:val="fr-CA"/>
        </w:rPr>
        <w:t xml:space="preserve">). </w:t>
      </w:r>
    </w:p>
    <w:p w:rsidR="007962BB" w:rsidRPr="00A82D21" w:rsidRDefault="007962BB" w:rsidP="007962BB">
      <w:pPr>
        <w:widowControl w:val="0"/>
        <w:ind w:firstLine="1170"/>
        <w:rPr>
          <w:rStyle w:val="Emphasis"/>
          <w:szCs w:val="24"/>
          <w:lang w:val="fr-CA"/>
        </w:rPr>
      </w:pPr>
      <w:r w:rsidRPr="00A82D21">
        <w:rPr>
          <w:rStyle w:val="Emphasis"/>
          <w:i w:val="0"/>
          <w:szCs w:val="24"/>
          <w:lang w:val="fr-CA"/>
        </w:rPr>
        <w:t>c.</w:t>
      </w:r>
      <w:r w:rsidRPr="00A82D21">
        <w:rPr>
          <w:rStyle w:val="Emphasis"/>
          <w:szCs w:val="24"/>
          <w:lang w:val="fr-CA"/>
        </w:rPr>
        <w:t xml:space="preserve">  Historique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Sur la base des versions précédentes de l’al. 193(2)</w:t>
      </w:r>
      <w:r w:rsidRPr="00A82D21">
        <w:rPr>
          <w:rFonts w:cs="Times New Roman"/>
          <w:i/>
          <w:szCs w:val="24"/>
          <w:lang w:val="fr-CA"/>
        </w:rPr>
        <w:t>a</w:t>
      </w:r>
      <w:r w:rsidRPr="00A82D21">
        <w:rPr>
          <w:rFonts w:cs="Times New Roman"/>
          <w:szCs w:val="24"/>
          <w:lang w:val="fr-CA"/>
        </w:rPr>
        <w:t>), les appelants prétendent également que celui-ci n’a jamais eu pour fonction de permettre à un justiciable d’obtenir communication de fruits de mesures d’écoute électronique aux fins d’exercer un recours civil. Cet argument nous semble lui aussi mal fondé.</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Proclamé en vigueur en 1974, l’ancêtre de l’al. 193(2)</w:t>
      </w:r>
      <w:r w:rsidRPr="00A82D21">
        <w:rPr>
          <w:rFonts w:cs="Times New Roman"/>
          <w:i/>
          <w:szCs w:val="24"/>
          <w:lang w:val="fr-CA"/>
        </w:rPr>
        <w:t>a</w:t>
      </w:r>
      <w:r w:rsidRPr="00A82D21">
        <w:rPr>
          <w:rFonts w:cs="Times New Roman"/>
          <w:szCs w:val="24"/>
          <w:lang w:val="fr-CA"/>
        </w:rPr>
        <w:t>), l’al. 178.2(2)</w:t>
      </w:r>
      <w:r w:rsidRPr="00A82D21">
        <w:rPr>
          <w:rFonts w:cs="Times New Roman"/>
          <w:i/>
          <w:szCs w:val="24"/>
          <w:lang w:val="fr-CA"/>
        </w:rPr>
        <w:t>a</w:t>
      </w:r>
      <w:r w:rsidRPr="00A82D21">
        <w:rPr>
          <w:rFonts w:cs="Times New Roman"/>
          <w:szCs w:val="24"/>
          <w:lang w:val="fr-CA"/>
        </w:rPr>
        <w:t>), était libellé ainsi :</w:t>
      </w:r>
    </w:p>
    <w:p w:rsidR="00F633DF" w:rsidRPr="00A82D21" w:rsidRDefault="00F633DF" w:rsidP="00F633DF">
      <w:pPr>
        <w:pStyle w:val="Citation-AltC"/>
        <w:widowControl w:val="0"/>
        <w:tabs>
          <w:tab w:val="left" w:pos="1800"/>
        </w:tabs>
        <w:rPr>
          <w:szCs w:val="24"/>
          <w:lang w:val="fr-CA"/>
        </w:rPr>
      </w:pPr>
      <w:r w:rsidRPr="00A82D21">
        <w:rPr>
          <w:b/>
          <w:szCs w:val="24"/>
          <w:lang w:val="fr-CA"/>
        </w:rPr>
        <w:tab/>
      </w:r>
      <w:proofErr w:type="gramStart"/>
      <w:r w:rsidRPr="00A82D21">
        <w:rPr>
          <w:b/>
          <w:szCs w:val="24"/>
          <w:lang w:val="fr-CA"/>
        </w:rPr>
        <w:t>178.2</w:t>
      </w:r>
      <w:r w:rsidR="00A86E17" w:rsidRPr="00A82D21">
        <w:rPr>
          <w:b/>
          <w:szCs w:val="24"/>
          <w:lang w:val="fr-CA"/>
        </w:rPr>
        <w:t xml:space="preserve"> </w:t>
      </w:r>
      <w:r w:rsidRPr="00A82D21">
        <w:rPr>
          <w:szCs w:val="24"/>
          <w:lang w:val="fr-CA"/>
        </w:rPr>
        <w:t>.</w:t>
      </w:r>
      <w:proofErr w:type="gramEnd"/>
      <w:r w:rsidRPr="00A82D21">
        <w:rPr>
          <w:szCs w:val="24"/>
          <w:lang w:val="fr-CA"/>
        </w:rPr>
        <w:t> . .</w:t>
      </w:r>
    </w:p>
    <w:p w:rsidR="00F633DF" w:rsidRPr="00A82D21" w:rsidRDefault="00F633DF" w:rsidP="00F633DF">
      <w:pPr>
        <w:pStyle w:val="Citation-AltC"/>
        <w:widowControl w:val="0"/>
        <w:tabs>
          <w:tab w:val="left" w:pos="1980"/>
        </w:tabs>
        <w:rPr>
          <w:szCs w:val="24"/>
          <w:lang w:val="fr-CA"/>
        </w:rPr>
      </w:pPr>
    </w:p>
    <w:p w:rsidR="00F633DF" w:rsidRPr="00A82D21" w:rsidRDefault="00F633DF" w:rsidP="00F633DF">
      <w:pPr>
        <w:pStyle w:val="Citation-AltC"/>
        <w:widowControl w:val="0"/>
        <w:tabs>
          <w:tab w:val="left" w:pos="1800"/>
        </w:tabs>
        <w:spacing w:after="240"/>
        <w:rPr>
          <w:szCs w:val="24"/>
          <w:lang w:val="fr-CA"/>
        </w:rPr>
      </w:pPr>
      <w:r w:rsidRPr="00A82D21">
        <w:rPr>
          <w:szCs w:val="24"/>
          <w:lang w:val="fr-CA"/>
        </w:rPr>
        <w:tab/>
        <w:t xml:space="preserve">(2) Le paragraphe (1) ne s’applique pas à une personne qui divulgue soit tout ou partie d’une communication privée ou la substance, le sens ou l’objet de tout ou partie de celle-ci, soit l’existence d’une communication privée </w:t>
      </w:r>
    </w:p>
    <w:p w:rsidR="00F633DF" w:rsidRPr="00A82D21" w:rsidRDefault="00F633DF" w:rsidP="00E01D92">
      <w:pPr>
        <w:pStyle w:val="ParaNoNdepar-AltN"/>
        <w:numPr>
          <w:ilvl w:val="0"/>
          <w:numId w:val="0"/>
        </w:numPr>
        <w:tabs>
          <w:tab w:val="left" w:pos="1800"/>
        </w:tabs>
        <w:spacing w:before="0" w:after="240" w:line="240" w:lineRule="auto"/>
        <w:ind w:left="1800"/>
        <w:rPr>
          <w:rFonts w:cs="Times New Roman"/>
          <w:szCs w:val="24"/>
          <w:lang w:val="fr-CA"/>
        </w:rPr>
      </w:pPr>
      <w:r w:rsidRPr="00A82D21">
        <w:rPr>
          <w:rFonts w:cs="Times New Roman"/>
          <w:i/>
          <w:szCs w:val="24"/>
          <w:lang w:val="fr-CA"/>
        </w:rPr>
        <w:lastRenderedPageBreak/>
        <w:t>a</w:t>
      </w:r>
      <w:r w:rsidRPr="00A82D21">
        <w:rPr>
          <w:rFonts w:cs="Times New Roman"/>
          <w:szCs w:val="24"/>
          <w:lang w:val="fr-CA"/>
        </w:rPr>
        <w:t>) au cours ou aux fins d’une déposition lors de poursuites civiles ou pénales ou de toutes autres procédures dans lesquelles elle peut être requise de déposer sous serment lorsque la communication privée est admissible en preuve en vertu de l’article 178.16 ou le serait en vertu de cet article s’il s’appliquait aux poursuites ou procédures;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L’article 178.16 — auquel fait référence l’al. 178.2(2)</w:t>
      </w:r>
      <w:r w:rsidRPr="00A82D21">
        <w:rPr>
          <w:rFonts w:cs="Times New Roman"/>
          <w:i/>
          <w:szCs w:val="24"/>
          <w:lang w:val="fr-CA"/>
        </w:rPr>
        <w:t>a</w:t>
      </w:r>
      <w:r w:rsidRPr="00A82D21">
        <w:rPr>
          <w:rFonts w:cs="Times New Roman"/>
          <w:szCs w:val="24"/>
          <w:lang w:val="fr-CA"/>
        </w:rPr>
        <w:t xml:space="preserve">) — a été adopté avant l’entrée en vigueur de la </w:t>
      </w:r>
      <w:r w:rsidRPr="00A82D21">
        <w:rPr>
          <w:rFonts w:cs="Times New Roman"/>
          <w:i/>
          <w:szCs w:val="24"/>
          <w:lang w:val="fr-CA"/>
        </w:rPr>
        <w:t xml:space="preserve">Charte </w:t>
      </w:r>
      <w:r w:rsidRPr="00A82D21">
        <w:rPr>
          <w:rFonts w:cs="Times New Roman"/>
          <w:szCs w:val="24"/>
          <w:lang w:val="fr-CA"/>
        </w:rPr>
        <w:t>canadienne. Il établissait un régime selon lequel les communications interceptées par l’État étaient en principe inadmissibles en preuve contre leurs auteurs ou contre les personnes à qui les communications étaient destinées, sauf si elles avaient été obtenues légalement, ou si les personnes en question y consentaient :</w:t>
      </w:r>
    </w:p>
    <w:p w:rsidR="00E01D92" w:rsidRPr="00A82D21" w:rsidRDefault="00E01D92" w:rsidP="00E01D92">
      <w:pPr>
        <w:pStyle w:val="Citation-AltC"/>
        <w:widowControl w:val="0"/>
        <w:tabs>
          <w:tab w:val="left" w:pos="1800"/>
        </w:tabs>
        <w:spacing w:after="240"/>
        <w:rPr>
          <w:szCs w:val="24"/>
          <w:lang w:val="fr-CA"/>
        </w:rPr>
      </w:pPr>
      <w:r w:rsidRPr="00A82D21">
        <w:rPr>
          <w:szCs w:val="24"/>
          <w:lang w:val="fr-CA"/>
        </w:rPr>
        <w:tab/>
      </w:r>
      <w:r w:rsidRPr="00A82D21">
        <w:rPr>
          <w:b/>
          <w:szCs w:val="24"/>
          <w:lang w:val="fr-CA"/>
        </w:rPr>
        <w:t>178.16</w:t>
      </w:r>
      <w:r w:rsidRPr="00A82D21">
        <w:rPr>
          <w:szCs w:val="24"/>
          <w:lang w:val="fr-CA"/>
        </w:rPr>
        <w:t xml:space="preserve"> (1) Une communication privée qui a été interceptée et une preuve obtenue directement ou indirectement grâce à des renseignements recueillis par l’interception d’une communication privée sont toutes deux inadmissibles en preuve contre son auteur ou la personne à laquelle son auteur la destinait à moins</w:t>
      </w:r>
    </w:p>
    <w:p w:rsidR="00E01D92" w:rsidRPr="00A82D21" w:rsidRDefault="00E01D92" w:rsidP="00E01D92">
      <w:pPr>
        <w:pStyle w:val="ParaNoNdepar-AltN"/>
        <w:numPr>
          <w:ilvl w:val="0"/>
          <w:numId w:val="0"/>
        </w:numPr>
        <w:tabs>
          <w:tab w:val="left" w:pos="1800"/>
        </w:tabs>
        <w:spacing w:before="0" w:after="240" w:line="240" w:lineRule="auto"/>
        <w:ind w:left="1800"/>
        <w:rPr>
          <w:rFonts w:cs="Times New Roman"/>
          <w:szCs w:val="24"/>
          <w:lang w:val="fr-CA"/>
        </w:rPr>
      </w:pPr>
      <w:r w:rsidRPr="00A82D21">
        <w:rPr>
          <w:rFonts w:cs="Times New Roman"/>
          <w:i/>
          <w:szCs w:val="24"/>
          <w:lang w:val="fr-CA"/>
        </w:rPr>
        <w:t>a</w:t>
      </w:r>
      <w:r w:rsidRPr="00A82D21">
        <w:rPr>
          <w:rFonts w:cs="Times New Roman"/>
          <w:szCs w:val="24"/>
          <w:lang w:val="fr-CA"/>
        </w:rPr>
        <w:t>) que l’interception n’ait été faite légalement; ou</w:t>
      </w:r>
    </w:p>
    <w:p w:rsidR="00E01D92" w:rsidRPr="00A82D21" w:rsidRDefault="00E01D92" w:rsidP="00893AA4">
      <w:pPr>
        <w:pStyle w:val="ParaNoNdepar-AltN"/>
        <w:numPr>
          <w:ilvl w:val="0"/>
          <w:numId w:val="0"/>
        </w:numPr>
        <w:tabs>
          <w:tab w:val="left" w:pos="1800"/>
        </w:tabs>
        <w:spacing w:before="0" w:after="720" w:line="240" w:lineRule="auto"/>
        <w:ind w:left="1800"/>
        <w:rPr>
          <w:rFonts w:cs="Times New Roman"/>
          <w:szCs w:val="24"/>
          <w:lang w:val="fr-CA"/>
        </w:rPr>
      </w:pPr>
      <w:r w:rsidRPr="00A82D21">
        <w:rPr>
          <w:rFonts w:cs="Times New Roman"/>
          <w:i/>
          <w:szCs w:val="24"/>
          <w:lang w:val="fr-CA"/>
        </w:rPr>
        <w:t>b</w:t>
      </w:r>
      <w:r w:rsidRPr="00A82D21">
        <w:rPr>
          <w:rFonts w:cs="Times New Roman"/>
          <w:szCs w:val="24"/>
          <w:lang w:val="fr-CA"/>
        </w:rPr>
        <w:t>) que l’auteur de la communication privée ou la personne à laquelle son auteur la destinait n’ait expressément consenti à ce qu’elle soit admise en preuve.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Analysant conjointement l’al. 178.2(2)</w:t>
      </w:r>
      <w:r w:rsidRPr="00A82D21">
        <w:rPr>
          <w:rFonts w:cs="Times New Roman"/>
          <w:i/>
          <w:szCs w:val="24"/>
          <w:lang w:val="fr-CA"/>
        </w:rPr>
        <w:t>a</w:t>
      </w:r>
      <w:r w:rsidRPr="00A82D21">
        <w:rPr>
          <w:rFonts w:cs="Times New Roman"/>
          <w:szCs w:val="24"/>
          <w:lang w:val="fr-CA"/>
        </w:rPr>
        <w:t xml:space="preserve">) et l’art. 178.16, les appelants avancent que ces dispositions ont toujours régi la </w:t>
      </w:r>
      <w:r w:rsidRPr="00A82D21">
        <w:rPr>
          <w:rFonts w:cs="Times New Roman"/>
          <w:i/>
          <w:szCs w:val="24"/>
          <w:lang w:val="fr-CA"/>
        </w:rPr>
        <w:t>production</w:t>
      </w:r>
      <w:r w:rsidRPr="00A82D21">
        <w:rPr>
          <w:rFonts w:cs="Times New Roman"/>
          <w:szCs w:val="24"/>
          <w:lang w:val="fr-CA"/>
        </w:rPr>
        <w:t xml:space="preserve"> des éléments en preuve, et non leur </w:t>
      </w:r>
      <w:r w:rsidRPr="00A82D21">
        <w:rPr>
          <w:rFonts w:cs="Times New Roman"/>
          <w:i/>
          <w:szCs w:val="24"/>
          <w:lang w:val="fr-CA"/>
        </w:rPr>
        <w:t>communication</w:t>
      </w:r>
      <w:r w:rsidRPr="00A82D21">
        <w:rPr>
          <w:rFonts w:cs="Times New Roman"/>
          <w:szCs w:val="24"/>
          <w:lang w:val="fr-CA"/>
        </w:rPr>
        <w:t xml:space="preserve">. Suivant cet argument, du fait qu’à l’étape de l’admissibilité, l’art. 178.16 assujettissait l’État à l’obligation de prouver la légalité de l’interception, il faut conclure que le législateur n’a jamais souhaité que l’exemption profite aux justiciables dans des recours privés. En effet, soulignent-ils, il aurait été </w:t>
      </w:r>
      <w:r w:rsidRPr="00A82D21">
        <w:rPr>
          <w:rFonts w:cs="Times New Roman"/>
          <w:szCs w:val="24"/>
          <w:lang w:val="fr-CA"/>
        </w:rPr>
        <w:lastRenderedPageBreak/>
        <w:t xml:space="preserve">illogique d’imposer à l’État le fardeau de démontrer la légalité de l’interception de communications chaque fois qu’un justiciable souhaitait obtenir la communication des fruits de ces interceptions dans une action privée.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Cette interprétation nous paraît trop restrictive. D’une part, en ce qui concerne le fardeau potentiel imposé à l’État, les appelants omettent de considérer qu’en permettant l’admission en preuve d’une communication interceptée si une des personnes parties à la communication y a </w:t>
      </w:r>
      <w:r w:rsidR="003D19FF" w:rsidRPr="00A82D21">
        <w:rPr>
          <w:rFonts w:cs="Times New Roman"/>
          <w:szCs w:val="24"/>
          <w:lang w:val="fr-CA"/>
        </w:rPr>
        <w:t>« </w:t>
      </w:r>
      <w:r w:rsidRPr="00A82D21">
        <w:rPr>
          <w:rFonts w:cs="Times New Roman"/>
          <w:szCs w:val="24"/>
          <w:lang w:val="fr-CA"/>
        </w:rPr>
        <w:t>expressément consenti</w:t>
      </w:r>
      <w:r w:rsidR="003D19FF" w:rsidRPr="00A82D21">
        <w:rPr>
          <w:rFonts w:cs="Times New Roman"/>
          <w:szCs w:val="24"/>
          <w:lang w:val="fr-CA"/>
        </w:rPr>
        <w:t> »</w:t>
      </w:r>
      <w:r w:rsidRPr="00A82D21">
        <w:rPr>
          <w:rFonts w:cs="Times New Roman"/>
          <w:szCs w:val="24"/>
          <w:lang w:val="fr-CA"/>
        </w:rPr>
        <w:t xml:space="preserve"> (al. 178.16(1</w:t>
      </w:r>
      <w:proofErr w:type="gramStart"/>
      <w:r w:rsidRPr="00A82D21">
        <w:rPr>
          <w:rFonts w:cs="Times New Roman"/>
          <w:szCs w:val="24"/>
          <w:lang w:val="fr-CA"/>
        </w:rPr>
        <w:t>)</w:t>
      </w:r>
      <w:r w:rsidRPr="00A82D21">
        <w:rPr>
          <w:rFonts w:cs="Times New Roman"/>
          <w:i/>
          <w:szCs w:val="24"/>
          <w:lang w:val="fr-CA"/>
        </w:rPr>
        <w:t>b</w:t>
      </w:r>
      <w:proofErr w:type="gramEnd"/>
      <w:r w:rsidRPr="00A82D21">
        <w:rPr>
          <w:rFonts w:cs="Times New Roman"/>
          <w:szCs w:val="24"/>
          <w:lang w:val="fr-CA"/>
        </w:rPr>
        <w:t>)), le législateur avait ainsi prévu une solution qui le dégageait de ce fardeau éventuel. D’autre part, s’il est vrai que l’art. 178.16 avait pour fonction de régir l’admissibilité de la preuve, et donc sa production, il est inexact de prétendre que tel était également le rôle de l’al. 178.2(2)</w:t>
      </w:r>
      <w:r w:rsidRPr="00A82D21">
        <w:rPr>
          <w:rFonts w:cs="Times New Roman"/>
          <w:i/>
          <w:szCs w:val="24"/>
          <w:lang w:val="fr-CA"/>
        </w:rPr>
        <w:t>a</w:t>
      </w:r>
      <w:r w:rsidRPr="00A82D21">
        <w:rPr>
          <w:rFonts w:cs="Times New Roman"/>
          <w:szCs w:val="24"/>
          <w:lang w:val="fr-CA"/>
        </w:rPr>
        <w:t xml:space="preserve">). En effet, cette disposition visait </w:t>
      </w:r>
      <w:r w:rsidR="003D19FF" w:rsidRPr="00A82D21">
        <w:rPr>
          <w:rFonts w:cs="Times New Roman"/>
          <w:szCs w:val="24"/>
          <w:lang w:val="fr-CA"/>
        </w:rPr>
        <w:t>« </w:t>
      </w:r>
      <w:r w:rsidRPr="00A82D21">
        <w:rPr>
          <w:rFonts w:cs="Times New Roman"/>
          <w:szCs w:val="24"/>
          <w:lang w:val="fr-CA"/>
        </w:rPr>
        <w:t>à accorder une immunité aux divulgations effectuées au cours ou aux fins d’une poursuite civile ou pénale ou au cours ou aux fins de toute autre procédure</w:t>
      </w:r>
      <w:r w:rsidR="003D19FF" w:rsidRPr="00A82D21">
        <w:rPr>
          <w:rFonts w:cs="Times New Roman"/>
          <w:szCs w:val="24"/>
          <w:lang w:val="fr-CA"/>
        </w:rPr>
        <w:t> »</w:t>
      </w:r>
      <w:r w:rsidRPr="00A82D21">
        <w:rPr>
          <w:rFonts w:cs="Times New Roman"/>
          <w:szCs w:val="24"/>
          <w:lang w:val="fr-CA"/>
        </w:rPr>
        <w:t xml:space="preserve"> (D. A. Bellemare, </w:t>
      </w:r>
      <w:r w:rsidRPr="00A82D21">
        <w:rPr>
          <w:rFonts w:cs="Times New Roman"/>
          <w:i/>
          <w:szCs w:val="24"/>
          <w:lang w:val="fr-CA"/>
        </w:rPr>
        <w:t>L’écoute électronique au Canada</w:t>
      </w:r>
      <w:r w:rsidRPr="00A82D21">
        <w:rPr>
          <w:rFonts w:cs="Times New Roman"/>
          <w:szCs w:val="24"/>
          <w:lang w:val="fr-CA"/>
        </w:rPr>
        <w:t xml:space="preserve"> (1981), p. 153). Dans ce contexte, la seule différence entre ce régime et le régime actuel se trouve dans l’assujettissement de l’autorisation de divulgation à un examen préalable de la légalité de l’enregistrement ou, le cas échéant, à l’obtention du consentement d’une des personnes impliquées dans la conversation. C’est donc l’art. 178.16 qui avait pour fonction de régir la production des éléments en preuve, non pas le par. 178.2(2).</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Cela dit, en 1993, après l’adoption de la </w:t>
      </w:r>
      <w:r w:rsidRPr="00A82D21">
        <w:rPr>
          <w:rFonts w:cs="Times New Roman"/>
          <w:i/>
          <w:szCs w:val="24"/>
          <w:lang w:val="fr-CA"/>
        </w:rPr>
        <w:t xml:space="preserve">Charte </w:t>
      </w:r>
      <w:r w:rsidRPr="00A82D21">
        <w:rPr>
          <w:rFonts w:cs="Times New Roman"/>
          <w:szCs w:val="24"/>
          <w:lang w:val="fr-CA"/>
        </w:rPr>
        <w:t xml:space="preserve">canadienne, de larges pans de l’art. 178.16 (alors devenu l’art. 189) ont été abrogés. Par suite de cette abrogation, l’admissibilité en preuve des enregistrements de communications privées </w:t>
      </w:r>
      <w:r w:rsidRPr="00A82D21">
        <w:rPr>
          <w:rFonts w:cs="Times New Roman"/>
          <w:szCs w:val="24"/>
          <w:lang w:val="fr-CA"/>
        </w:rPr>
        <w:lastRenderedPageBreak/>
        <w:t xml:space="preserve">est désormais régie par le par. 24(2) de la </w:t>
      </w:r>
      <w:r w:rsidRPr="00A82D21">
        <w:rPr>
          <w:rFonts w:cs="Times New Roman"/>
          <w:i/>
          <w:szCs w:val="24"/>
          <w:lang w:val="fr-CA"/>
        </w:rPr>
        <w:t>Charte</w:t>
      </w:r>
      <w:r w:rsidRPr="00A82D21">
        <w:rPr>
          <w:rFonts w:cs="Times New Roman"/>
          <w:szCs w:val="24"/>
          <w:lang w:val="fr-CA"/>
        </w:rPr>
        <w:t xml:space="preserve"> et les différentes lois provinciales applicables (voir R. W. Hubbard, P. M. Brauti et S. K. Fenton, </w:t>
      </w:r>
      <w:r w:rsidRPr="00A82D21">
        <w:rPr>
          <w:rFonts w:cs="Times New Roman"/>
          <w:i/>
          <w:szCs w:val="24"/>
          <w:lang w:val="fr-CA"/>
        </w:rPr>
        <w:t>Wiretapping and Other Electronic Surveillance : Law and Pr</w:t>
      </w:r>
      <w:r w:rsidR="00125345" w:rsidRPr="00A82D21">
        <w:rPr>
          <w:rFonts w:cs="Times New Roman"/>
          <w:i/>
          <w:szCs w:val="24"/>
          <w:lang w:val="fr-CA"/>
        </w:rPr>
        <w:t>ocedur</w:t>
      </w:r>
      <w:r w:rsidRPr="00A82D21">
        <w:rPr>
          <w:rFonts w:cs="Times New Roman"/>
          <w:i/>
          <w:szCs w:val="24"/>
          <w:lang w:val="fr-CA"/>
        </w:rPr>
        <w:t>e</w:t>
      </w:r>
      <w:r w:rsidRPr="00A82D21">
        <w:rPr>
          <w:rFonts w:cs="Times New Roman"/>
          <w:szCs w:val="24"/>
          <w:lang w:val="fr-CA"/>
        </w:rPr>
        <w:t xml:space="preserve"> (feuilles mobiles), vol. 1, p. 1-20 et 1-21; </w:t>
      </w:r>
      <w:r w:rsidRPr="00A82D21">
        <w:rPr>
          <w:rFonts w:cs="Times New Roman"/>
          <w:i/>
          <w:szCs w:val="24"/>
          <w:lang w:val="fr-CA"/>
        </w:rPr>
        <w:t>Loi modifiant le Code criminel, la Loi sur la responsabilité civile de l’État et le contentieux administratif et la Loi sur la radiocommunication</w:t>
      </w:r>
      <w:r w:rsidRPr="00A82D21">
        <w:rPr>
          <w:rFonts w:cs="Times New Roman"/>
          <w:szCs w:val="24"/>
          <w:lang w:val="fr-CA"/>
        </w:rPr>
        <w:t xml:space="preserve">, L.C. 1993, ch. 40, par. 10(1)). Ces modifications législatives ont donc supprimé du </w:t>
      </w:r>
      <w:r w:rsidRPr="00A82D21">
        <w:rPr>
          <w:rFonts w:cs="Times New Roman"/>
          <w:i/>
          <w:szCs w:val="24"/>
          <w:lang w:val="fr-CA"/>
        </w:rPr>
        <w:t>Code criminel</w:t>
      </w:r>
      <w:r w:rsidRPr="00A82D21">
        <w:rPr>
          <w:rFonts w:cs="Times New Roman"/>
          <w:szCs w:val="24"/>
          <w:lang w:val="fr-CA"/>
        </w:rPr>
        <w:t xml:space="preserve"> l’essentiel du processus de contrôle de la légalité de la production en preuve des fruits de l’écoute électronique.</w:t>
      </w:r>
    </w:p>
    <w:p w:rsidR="007962BB" w:rsidRPr="00A82D21" w:rsidRDefault="007962BB" w:rsidP="007962BB">
      <w:pPr>
        <w:widowControl w:val="0"/>
        <w:ind w:firstLine="1170"/>
        <w:rPr>
          <w:rStyle w:val="Emphasis"/>
          <w:szCs w:val="24"/>
          <w:lang w:val="fr-CA"/>
        </w:rPr>
      </w:pPr>
      <w:r w:rsidRPr="00A82D21">
        <w:rPr>
          <w:rStyle w:val="Emphasis"/>
          <w:i w:val="0"/>
          <w:szCs w:val="24"/>
          <w:lang w:val="fr-CA"/>
        </w:rPr>
        <w:t>d.</w:t>
      </w:r>
      <w:r w:rsidRPr="00A82D21">
        <w:rPr>
          <w:rStyle w:val="Emphasis"/>
          <w:szCs w:val="24"/>
          <w:lang w:val="fr-CA"/>
        </w:rPr>
        <w:t xml:space="preserve">  Jurisprudence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La jurisprudence et la doctrine appuient une interprétation large de l’al. 193(2)</w:t>
      </w:r>
      <w:r w:rsidRPr="00A82D21">
        <w:rPr>
          <w:rFonts w:cs="Times New Roman"/>
          <w:i/>
          <w:szCs w:val="24"/>
          <w:lang w:val="fr-CA"/>
        </w:rPr>
        <w:t>a</w:t>
      </w:r>
      <w:r w:rsidRPr="00A82D21">
        <w:rPr>
          <w:rFonts w:cs="Times New Roman"/>
          <w:szCs w:val="24"/>
          <w:lang w:val="fr-CA"/>
        </w:rPr>
        <w:t xml:space="preserve">) </w:t>
      </w:r>
      <w:r w:rsidRPr="00A82D21">
        <w:rPr>
          <w:rFonts w:cs="Times New Roman"/>
          <w:i/>
          <w:szCs w:val="24"/>
          <w:lang w:val="fr-CA"/>
        </w:rPr>
        <w:t>C. cr</w:t>
      </w:r>
      <w:r w:rsidRPr="00A82D21">
        <w:rPr>
          <w:rFonts w:cs="Times New Roman"/>
          <w:szCs w:val="24"/>
          <w:lang w:val="fr-CA"/>
        </w:rPr>
        <w:t>. Nous allons maintenant examiner quelques décisions rendues à ce sujet.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À titre d’exemple, l’affaire </w:t>
      </w:r>
      <w:r w:rsidRPr="00A82D21">
        <w:rPr>
          <w:rFonts w:cs="Times New Roman"/>
          <w:i/>
          <w:szCs w:val="24"/>
          <w:lang w:val="fr-CA"/>
        </w:rPr>
        <w:t>Tide Shore Logging</w:t>
      </w:r>
      <w:r w:rsidRPr="00A82D21">
        <w:rPr>
          <w:rFonts w:cs="Times New Roman"/>
          <w:szCs w:val="24"/>
          <w:lang w:val="fr-CA"/>
        </w:rPr>
        <w:t xml:space="preserve"> </w:t>
      </w:r>
      <w:r w:rsidRPr="00A82D21">
        <w:rPr>
          <w:rFonts w:cs="Times New Roman"/>
          <w:i/>
          <w:szCs w:val="24"/>
          <w:lang w:val="fr-CA"/>
        </w:rPr>
        <w:t>Ltd. c. Commonwealth Insurance Co.</w:t>
      </w:r>
      <w:r w:rsidRPr="00A82D21">
        <w:rPr>
          <w:rFonts w:cs="Times New Roman"/>
          <w:szCs w:val="24"/>
          <w:lang w:val="fr-CA"/>
        </w:rPr>
        <w:t xml:space="preserve"> (1979), 13 B.C.L.R. 316, portait sur une demande de communication préalable d’enregistrements présentée en vertu du par. 26(11) des règles de procédure de la Cour suprême de la Colombie-Britannique</w:t>
      </w:r>
      <w:r w:rsidR="00E01D92" w:rsidRPr="00A82D21">
        <w:rPr>
          <w:rFonts w:cs="Times New Roman"/>
          <w:szCs w:val="24"/>
          <w:lang w:val="fr-CA"/>
        </w:rPr>
        <w:t xml:space="preserve"> (B.C. Reg. 310/76)</w:t>
      </w:r>
      <w:r w:rsidRPr="00A82D21">
        <w:rPr>
          <w:rFonts w:cs="Times New Roman"/>
          <w:szCs w:val="24"/>
          <w:lang w:val="fr-CA"/>
        </w:rPr>
        <w:t>. La Gendarmerie royale du Canada (</w:t>
      </w:r>
      <w:r w:rsidR="00E01D92" w:rsidRPr="00A82D21">
        <w:rPr>
          <w:rFonts w:cs="Times New Roman"/>
          <w:szCs w:val="24"/>
          <w:lang w:val="fr-CA"/>
        </w:rPr>
        <w:t xml:space="preserve">« </w:t>
      </w:r>
      <w:r w:rsidRPr="00A82D21">
        <w:rPr>
          <w:rFonts w:cs="Times New Roman"/>
          <w:szCs w:val="24"/>
          <w:lang w:val="fr-CA"/>
        </w:rPr>
        <w:t>GRC</w:t>
      </w:r>
      <w:r w:rsidR="00E01D92" w:rsidRPr="00A82D21">
        <w:rPr>
          <w:rFonts w:cs="Times New Roman"/>
          <w:szCs w:val="24"/>
          <w:lang w:val="fr-CA"/>
        </w:rPr>
        <w:t xml:space="preserve"> »</w:t>
      </w:r>
      <w:r w:rsidRPr="00A82D21">
        <w:rPr>
          <w:rFonts w:cs="Times New Roman"/>
          <w:szCs w:val="24"/>
          <w:lang w:val="fr-CA"/>
        </w:rPr>
        <w:t xml:space="preserve">) avait intercepté des communications privées de l’actionnaire principal de Tide Shore Logging à l’occasion d’une enquête criminelle sur l’incendie qui était au cœur du litige civil entre Tide Shore Logging et son assureur. Ce dernier refusait d’indemniser Tide Shore Logging, car il considérait que l’incendie avait été causé délibérément. Les avocats du procureur général de la Colombie-Britannique, au nom de la GRC, n’avaient pas d’objection à ce que les </w:t>
      </w:r>
      <w:r w:rsidRPr="00A82D21">
        <w:rPr>
          <w:rFonts w:cs="Times New Roman"/>
          <w:szCs w:val="24"/>
          <w:lang w:val="fr-CA"/>
        </w:rPr>
        <w:lastRenderedPageBreak/>
        <w:t>enregistrements soient communiqués, à la condition que leur communication n’entraîne pas la perpétration d’une infraction criminelle. La cour s’est penchée sur l’infraction figurant aujourd’hui au par. 193(1), ainsi que sur l’exemption maintenant prévue à l’al. 193(2)</w:t>
      </w:r>
      <w:r w:rsidRPr="00A82D21">
        <w:rPr>
          <w:rFonts w:cs="Times New Roman"/>
          <w:i/>
          <w:szCs w:val="24"/>
          <w:lang w:val="fr-CA"/>
        </w:rPr>
        <w:t>a</w:t>
      </w:r>
      <w:r w:rsidRPr="00A82D21">
        <w:rPr>
          <w:rFonts w:cs="Times New Roman"/>
          <w:szCs w:val="24"/>
          <w:lang w:val="fr-CA"/>
        </w:rPr>
        <w:t xml:space="preserve">). Convaincue qu’une telle communication préalable n’était pas visée par l’expression </w:t>
      </w:r>
      <w:r w:rsidR="003D19FF" w:rsidRPr="00A82D21">
        <w:rPr>
          <w:rFonts w:cs="Times New Roman"/>
          <w:szCs w:val="24"/>
          <w:lang w:val="fr-CA"/>
        </w:rPr>
        <w:t>« </w:t>
      </w:r>
      <w:r w:rsidRPr="00A82D21">
        <w:rPr>
          <w:rFonts w:cs="Times New Roman"/>
          <w:szCs w:val="24"/>
          <w:lang w:val="fr-CA"/>
        </w:rPr>
        <w:t>au cours d’une déposition</w:t>
      </w:r>
      <w:r w:rsidR="003D19FF" w:rsidRPr="00A82D21">
        <w:rPr>
          <w:rFonts w:cs="Times New Roman"/>
          <w:szCs w:val="24"/>
          <w:lang w:val="fr-CA"/>
        </w:rPr>
        <w:t> »</w:t>
      </w:r>
      <w:r w:rsidRPr="00A82D21">
        <w:rPr>
          <w:rFonts w:cs="Times New Roman"/>
          <w:szCs w:val="24"/>
          <w:lang w:val="fr-CA"/>
        </w:rPr>
        <w:t xml:space="preserve">, la cour estimait toutefois que la communication était visée par les termes </w:t>
      </w:r>
      <w:r w:rsidR="003D19FF" w:rsidRPr="00A82D21">
        <w:rPr>
          <w:rFonts w:cs="Times New Roman"/>
          <w:szCs w:val="24"/>
          <w:lang w:val="fr-CA"/>
        </w:rPr>
        <w:t>« </w:t>
      </w:r>
      <w:r w:rsidRPr="00A82D21">
        <w:rPr>
          <w:rFonts w:cs="Times New Roman"/>
          <w:szCs w:val="24"/>
          <w:lang w:val="fr-CA"/>
        </w:rPr>
        <w:t>aux fins d’une déposition</w:t>
      </w:r>
      <w:r w:rsidR="003D19FF" w:rsidRPr="00A82D21">
        <w:rPr>
          <w:rFonts w:cs="Times New Roman"/>
          <w:szCs w:val="24"/>
          <w:lang w:val="fr-CA"/>
        </w:rPr>
        <w:t> »</w:t>
      </w:r>
      <w:r w:rsidRPr="00A82D21">
        <w:rPr>
          <w:rFonts w:cs="Times New Roman"/>
          <w:szCs w:val="24"/>
          <w:lang w:val="fr-CA"/>
        </w:rPr>
        <w:t xml:space="preserve">. Elle a ordonné la communication des enregistrements, concluant que le Parlement avait clairement envisagé l’utilisation des communications interceptées dans des procédures civiles relevant des provinces, et non seulement dans des procédures civiles sur lesquelles le Parlement a compétence.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Au même effet, dans une procédure civile impliquant l’État (</w:t>
      </w:r>
      <w:r w:rsidRPr="00A82D21">
        <w:rPr>
          <w:rFonts w:cs="Times New Roman"/>
          <w:i/>
          <w:szCs w:val="24"/>
          <w:lang w:val="fr-CA"/>
        </w:rPr>
        <w:t>Ault c. Canada (Attorney General)</w:t>
      </w:r>
      <w:r w:rsidRPr="00A82D21">
        <w:rPr>
          <w:rFonts w:cs="Times New Roman"/>
          <w:szCs w:val="24"/>
          <w:lang w:val="fr-CA"/>
        </w:rPr>
        <w:t xml:space="preserve"> (2007), 88 O.R. (3d) 541</w:t>
      </w:r>
      <w:r w:rsidR="00E01D92" w:rsidRPr="00A82D21">
        <w:rPr>
          <w:rFonts w:cs="Times New Roman"/>
          <w:szCs w:val="24"/>
          <w:lang w:val="fr-CA"/>
        </w:rPr>
        <w:t>)</w:t>
      </w:r>
      <w:r w:rsidRPr="00A82D21">
        <w:rPr>
          <w:rFonts w:cs="Times New Roman"/>
          <w:szCs w:val="24"/>
          <w:lang w:val="fr-CA"/>
        </w:rPr>
        <w:t xml:space="preserve">, la Cour supérieure de justice de l’Ontario a refusé une requête visant à faire exclure les enregistrements obtenus au moyen d’un mandat d’écoute électronique que le gouvernement fédéral souhaitait produire en preuve (par. 31-32). La cour a également précisé que les demandeurs et les personnes ciblées par le mandat — qui s’opposaient à cette preuve en partie parce qu’elle était produite tardivement — auraient pu en demander la communication durant l’enquête préalable en vertu des </w:t>
      </w:r>
      <w:r w:rsidRPr="00A82D21">
        <w:rPr>
          <w:rFonts w:cs="Times New Roman"/>
          <w:i/>
          <w:szCs w:val="24"/>
          <w:lang w:val="fr-CA"/>
        </w:rPr>
        <w:t>Règles de procédure civile</w:t>
      </w:r>
      <w:r w:rsidRPr="00A82D21">
        <w:rPr>
          <w:rFonts w:cs="Times New Roman"/>
          <w:szCs w:val="24"/>
          <w:lang w:val="fr-CA"/>
        </w:rPr>
        <w:t xml:space="preserve"> de l’Ontario, R.R.O. 1990, Règl. 194 (par. 11). Selon la cour, l’al. 193(2)</w:t>
      </w:r>
      <w:r w:rsidRPr="00A82D21">
        <w:rPr>
          <w:rFonts w:cs="Times New Roman"/>
          <w:i/>
          <w:szCs w:val="24"/>
          <w:lang w:val="fr-CA"/>
        </w:rPr>
        <w:t>a</w:t>
      </w:r>
      <w:r w:rsidRPr="00A82D21">
        <w:rPr>
          <w:rFonts w:cs="Times New Roman"/>
          <w:szCs w:val="24"/>
          <w:lang w:val="fr-CA"/>
        </w:rPr>
        <w:t xml:space="preserve">) autorisait la production en preuve, dans une procédure civile, des fruits d’activités d’écoute électronique recueillis antérieurement dans le cadre d’une enquête criminelle (par. 31).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Plus récemment, dans </w:t>
      </w:r>
      <w:r w:rsidRPr="00A82D21">
        <w:rPr>
          <w:rFonts w:cs="Times New Roman"/>
          <w:i/>
          <w:szCs w:val="24"/>
          <w:lang w:val="fr-CA"/>
        </w:rPr>
        <w:t>Canada (Procureur général) c. Charbonneau</w:t>
      </w:r>
      <w:r w:rsidRPr="00A82D21">
        <w:rPr>
          <w:rFonts w:cs="Times New Roman"/>
          <w:szCs w:val="24"/>
          <w:lang w:val="fr-CA"/>
        </w:rPr>
        <w:t xml:space="preserve">, </w:t>
      </w:r>
      <w:r w:rsidRPr="00A82D21">
        <w:rPr>
          <w:rFonts w:cs="Times New Roman"/>
          <w:szCs w:val="24"/>
          <w:lang w:val="fr-CA"/>
        </w:rPr>
        <w:lastRenderedPageBreak/>
        <w:t xml:space="preserve">2012 QCCS 1701 (CanLII), la Cour supérieure du Québec a examiné une requête de la GRC visant à faire annuler un subpoena lui enjoignant de communiquer, entre autres choses, des communications privées qu’elle avait interceptées au cours d’une enquête. Le tribunal a conclu qu’aucun privilège ni aucune restriction n’empêchaient la GRC de communiquer à la Commission d’enquête sur l’octroi et la gestion des contrats publics dans l’industrie de la construction divers éléments d’enquête, y compris les communications interceptées. En réponse à l’argument de la GRC selon lequel aucune des exemptions énumérées à l’art. 193 </w:t>
      </w:r>
      <w:r w:rsidRPr="00A82D21">
        <w:rPr>
          <w:rFonts w:cs="Times New Roman"/>
          <w:i/>
          <w:szCs w:val="24"/>
          <w:lang w:val="fr-CA"/>
        </w:rPr>
        <w:t>C. cr.</w:t>
      </w:r>
      <w:r w:rsidRPr="00A82D21">
        <w:rPr>
          <w:rFonts w:cs="Times New Roman"/>
          <w:szCs w:val="24"/>
          <w:lang w:val="fr-CA"/>
        </w:rPr>
        <w:t xml:space="preserve"> ne s’appliquait dans cette affaire, la Cour supérieure a tiré la conclusion suivante :</w:t>
      </w:r>
    </w:p>
    <w:p w:rsidR="007962BB" w:rsidRPr="00A82D21" w:rsidRDefault="007962BB" w:rsidP="007962BB">
      <w:pPr>
        <w:pStyle w:val="Citation-AltC"/>
        <w:widowControl w:val="0"/>
        <w:ind w:left="1170" w:firstLine="450"/>
        <w:rPr>
          <w:szCs w:val="24"/>
          <w:lang w:val="fr-CA"/>
        </w:rPr>
      </w:pPr>
      <w:r w:rsidRPr="00A82D21">
        <w:rPr>
          <w:szCs w:val="24"/>
          <w:lang w:val="fr-CA"/>
        </w:rPr>
        <w:t xml:space="preserve">Le Tribunal n’ignore pas l’énoncé de la Cour suprême, dans l’arrêt </w:t>
      </w:r>
      <w:r w:rsidRPr="00A82D21">
        <w:rPr>
          <w:i/>
          <w:szCs w:val="24"/>
          <w:lang w:val="fr-CA"/>
        </w:rPr>
        <w:t>Michaud</w:t>
      </w:r>
      <w:r w:rsidRPr="00A82D21">
        <w:rPr>
          <w:szCs w:val="24"/>
          <w:lang w:val="fr-CA"/>
        </w:rPr>
        <w:t xml:space="preserve">, voulant que le régime édicté à l’article 193 </w:t>
      </w:r>
      <w:r w:rsidRPr="00A82D21">
        <w:rPr>
          <w:i/>
          <w:szCs w:val="24"/>
          <w:lang w:val="fr-CA"/>
        </w:rPr>
        <w:t>C.c.r.</w:t>
      </w:r>
      <w:r w:rsidRPr="00A82D21">
        <w:rPr>
          <w:szCs w:val="24"/>
          <w:lang w:val="fr-CA"/>
        </w:rPr>
        <w:t xml:space="preserve"> vise </w:t>
      </w:r>
      <w:r w:rsidR="003D19FF" w:rsidRPr="00A82D21">
        <w:rPr>
          <w:szCs w:val="24"/>
          <w:lang w:val="fr-CA"/>
        </w:rPr>
        <w:t>« </w:t>
      </w:r>
      <w:r w:rsidRPr="00A82D21">
        <w:rPr>
          <w:szCs w:val="24"/>
          <w:lang w:val="fr-CA"/>
        </w:rPr>
        <w:t>l’équilibre entre l’intérêt de la société à la détection du crime, notamment le crime organisé, et le droit de l’individu au respect de sa vie privée</w:t>
      </w:r>
      <w:r w:rsidR="003D19FF" w:rsidRPr="00A82D21">
        <w:rPr>
          <w:szCs w:val="24"/>
          <w:lang w:val="fr-CA"/>
        </w:rPr>
        <w:t> »</w:t>
      </w:r>
      <w:r w:rsidRPr="00A82D21">
        <w:rPr>
          <w:szCs w:val="24"/>
          <w:lang w:val="fr-CA"/>
        </w:rPr>
        <w:t xml:space="preserve">. Néanmoins, il faut conclure que l’article 193 permet, en l’instance, la communication à la Commission par la GRC des renseignements demandés. </w:t>
      </w:r>
    </w:p>
    <w:p w:rsidR="007962BB" w:rsidRPr="00A82D21" w:rsidRDefault="007962BB" w:rsidP="007962BB">
      <w:pPr>
        <w:pStyle w:val="Citation-AltC"/>
        <w:widowControl w:val="0"/>
        <w:rPr>
          <w:szCs w:val="24"/>
          <w:lang w:val="fr-CA"/>
        </w:rPr>
      </w:pPr>
    </w:p>
    <w:p w:rsidR="007962BB" w:rsidRPr="00A82D21" w:rsidRDefault="003D19FF" w:rsidP="007962BB">
      <w:pPr>
        <w:pStyle w:val="Citation-AltC"/>
        <w:widowControl w:val="0"/>
        <w:jc w:val="center"/>
        <w:rPr>
          <w:szCs w:val="24"/>
          <w:lang w:val="fr-CA"/>
        </w:rPr>
      </w:pPr>
      <w:r w:rsidRPr="00A82D21">
        <w:rPr>
          <w:szCs w:val="24"/>
          <w:lang w:val="fr-CA"/>
        </w:rPr>
        <w:t>. . .</w:t>
      </w:r>
    </w:p>
    <w:p w:rsidR="007962BB" w:rsidRPr="00A82D21" w:rsidRDefault="007962BB" w:rsidP="007962BB">
      <w:pPr>
        <w:pStyle w:val="Citation-AltC"/>
        <w:widowControl w:val="0"/>
        <w:rPr>
          <w:szCs w:val="24"/>
          <w:lang w:val="fr-CA"/>
        </w:rPr>
      </w:pPr>
    </w:p>
    <w:p w:rsidR="007962BB" w:rsidRPr="00A82D21" w:rsidRDefault="007962BB" w:rsidP="007962BB">
      <w:pPr>
        <w:pStyle w:val="Citation-AltC"/>
        <w:widowControl w:val="0"/>
        <w:ind w:firstLine="454"/>
        <w:rPr>
          <w:szCs w:val="24"/>
          <w:lang w:val="fr-CA"/>
        </w:rPr>
      </w:pPr>
      <w:r w:rsidRPr="00A82D21">
        <w:rPr>
          <w:szCs w:val="24"/>
          <w:lang w:val="fr-CA"/>
        </w:rPr>
        <w:t>La GRC avance que les travaux de la Commission ne constituent pas une enquête en matière civile ou pénale, semblant vouloir limiter l’exemption aux procédures judiciaires. Toutefois, elle passe sous silence que l’exception édictée à l’article 193(2)</w:t>
      </w:r>
      <w:r w:rsidRPr="00A82D21">
        <w:rPr>
          <w:i/>
          <w:szCs w:val="24"/>
          <w:lang w:val="fr-CA"/>
        </w:rPr>
        <w:t>a</w:t>
      </w:r>
      <w:r w:rsidRPr="00A82D21">
        <w:rPr>
          <w:szCs w:val="24"/>
          <w:lang w:val="fr-CA"/>
        </w:rPr>
        <w:t xml:space="preserve">) </w:t>
      </w:r>
      <w:r w:rsidRPr="00A82D21">
        <w:rPr>
          <w:i/>
          <w:szCs w:val="24"/>
          <w:lang w:val="fr-CA"/>
        </w:rPr>
        <w:t>C.c.r.</w:t>
      </w:r>
      <w:r w:rsidRPr="00A82D21">
        <w:rPr>
          <w:szCs w:val="24"/>
          <w:lang w:val="fr-CA"/>
        </w:rPr>
        <w:t xml:space="preserve"> concerne également toute autre procédure dans laquelle une personne peut être requise de déposer sous serment. Or, une commission d’enquête constitue une autre procédure aux fins de cette exception. [Soulignement omis; par. 34 et 36.]</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En somme, la jurisprudence a appliqué l’exemption énoncée à l’al. 193(2)</w:t>
      </w:r>
      <w:r w:rsidRPr="00A82D21">
        <w:rPr>
          <w:rFonts w:cs="Times New Roman"/>
          <w:i/>
          <w:szCs w:val="24"/>
          <w:lang w:val="fr-CA"/>
        </w:rPr>
        <w:t>a</w:t>
      </w:r>
      <w:r w:rsidRPr="00A82D21">
        <w:rPr>
          <w:rFonts w:cs="Times New Roman"/>
          <w:szCs w:val="24"/>
          <w:lang w:val="fr-CA"/>
        </w:rPr>
        <w:t xml:space="preserve">) dans des contextes autres qu’au cours de dépositions dans un procès, et dans des cas où l’État n’est pas directement partie prenante. </w:t>
      </w:r>
      <w:r w:rsidRPr="00A82D21">
        <w:rPr>
          <w:rFonts w:cs="Times New Roman"/>
          <w:szCs w:val="24"/>
        </w:rPr>
        <w:t>De plus, on constate que l’al. 193(2)</w:t>
      </w:r>
      <w:r w:rsidRPr="00A82D21">
        <w:rPr>
          <w:rFonts w:cs="Times New Roman"/>
          <w:i/>
          <w:szCs w:val="24"/>
        </w:rPr>
        <w:t>a</w:t>
      </w:r>
      <w:r w:rsidRPr="00A82D21">
        <w:rPr>
          <w:rFonts w:cs="Times New Roman"/>
          <w:szCs w:val="24"/>
        </w:rPr>
        <w:t xml:space="preserve">) a été appliqué à l’occasion d’audiences disciplinaires (par exemple, </w:t>
      </w:r>
      <w:r w:rsidRPr="00A82D21">
        <w:rPr>
          <w:rFonts w:cs="Times New Roman"/>
          <w:i/>
          <w:szCs w:val="24"/>
        </w:rPr>
        <w:t xml:space="preserve">Law </w:t>
      </w:r>
      <w:r w:rsidRPr="00A82D21">
        <w:rPr>
          <w:rFonts w:cs="Times New Roman"/>
          <w:i/>
          <w:szCs w:val="24"/>
        </w:rPr>
        <w:lastRenderedPageBreak/>
        <w:t>Society of Upper Canada c. Canada (Attorney General)</w:t>
      </w:r>
      <w:r w:rsidRPr="00A82D21">
        <w:rPr>
          <w:rFonts w:cs="Times New Roman"/>
          <w:szCs w:val="24"/>
        </w:rPr>
        <w:t xml:space="preserve"> (2008), 89 O.R. (3d) 209 (C.S.J.); </w:t>
      </w:r>
      <w:r w:rsidRPr="00A82D21">
        <w:rPr>
          <w:rFonts w:cs="Times New Roman"/>
          <w:i/>
          <w:szCs w:val="24"/>
        </w:rPr>
        <w:t>Re Board of Commissioners of Police for City of Thunder Bay and Sundell</w:t>
      </w:r>
      <w:r w:rsidRPr="00A82D21">
        <w:rPr>
          <w:rFonts w:cs="Times New Roman"/>
          <w:szCs w:val="24"/>
        </w:rPr>
        <w:t xml:space="preserve"> (1984), 15 C.C.C. (3d) 574 (</w:t>
      </w:r>
      <w:r w:rsidR="00E01D92" w:rsidRPr="00A82D21">
        <w:rPr>
          <w:rFonts w:cs="Times New Roman"/>
          <w:szCs w:val="24"/>
        </w:rPr>
        <w:t xml:space="preserve">C. div. </w:t>
      </w:r>
      <w:r w:rsidR="00E01D92" w:rsidRPr="00A82D21">
        <w:rPr>
          <w:rFonts w:cs="Times New Roman"/>
          <w:szCs w:val="24"/>
          <w:lang w:val="fr-CA"/>
        </w:rPr>
        <w:t>On</w:t>
      </w:r>
      <w:r w:rsidRPr="00A82D21">
        <w:rPr>
          <w:rFonts w:cs="Times New Roman"/>
          <w:szCs w:val="24"/>
          <w:lang w:val="fr-CA"/>
        </w:rPr>
        <w:t xml:space="preserve">t.)), et en matière de protection de la jeunesse (par exemple, </w:t>
      </w:r>
      <w:r w:rsidRPr="00A82D21">
        <w:rPr>
          <w:rFonts w:cs="Times New Roman"/>
          <w:i/>
          <w:szCs w:val="24"/>
          <w:lang w:val="fr-CA"/>
        </w:rPr>
        <w:t>Children’s Aid Society of Thunder Bay (District) c. D. (S.)</w:t>
      </w:r>
      <w:r w:rsidRPr="00A82D21">
        <w:rPr>
          <w:rFonts w:cs="Times New Roman"/>
          <w:szCs w:val="24"/>
          <w:lang w:val="fr-CA"/>
        </w:rPr>
        <w:t xml:space="preserve">, 2011 ONCJ 100, 2 R.F.L. (7th) 202).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La doctrine considère elle aussi que l’exemption prévue à l’al. 193(2)</w:t>
      </w:r>
      <w:r w:rsidRPr="00A82D21">
        <w:rPr>
          <w:rFonts w:cs="Times New Roman"/>
          <w:i/>
          <w:szCs w:val="24"/>
          <w:lang w:val="fr-CA"/>
        </w:rPr>
        <w:t>a</w:t>
      </w:r>
      <w:r w:rsidRPr="00A82D21">
        <w:rPr>
          <w:rFonts w:cs="Times New Roman"/>
          <w:szCs w:val="24"/>
          <w:lang w:val="fr-CA"/>
        </w:rPr>
        <w:t>) permet la divulgation, dans le cadre de procédures civiles, de communications privées interceptées dans le cadre d’enquêtes criminelles. Par exemple, les auteurs Hubbard, Brauti et Fenton écrivent ce qui suit :</w:t>
      </w:r>
    </w:p>
    <w:p w:rsidR="007962BB" w:rsidRPr="00A82D21" w:rsidRDefault="007962BB" w:rsidP="00E01D92">
      <w:pPr>
        <w:pStyle w:val="Citation-AltC"/>
        <w:widowControl w:val="0"/>
        <w:ind w:firstLine="454"/>
        <w:rPr>
          <w:szCs w:val="24"/>
          <w:lang w:val="fr-CA"/>
        </w:rPr>
      </w:pPr>
      <w:r w:rsidRPr="00A82D21">
        <w:rPr>
          <w:szCs w:val="24"/>
          <w:lang w:val="fr-CA"/>
        </w:rPr>
        <w:t>[</w:t>
      </w:r>
      <w:r w:rsidRPr="00A82D21">
        <w:rPr>
          <w:smallCaps/>
          <w:szCs w:val="24"/>
          <w:lang w:val="fr-CA"/>
        </w:rPr>
        <w:t>traduction</w:t>
      </w:r>
      <w:r w:rsidRPr="00A82D21">
        <w:rPr>
          <w:szCs w:val="24"/>
          <w:lang w:val="fr-CA"/>
        </w:rPr>
        <w:t>]</w:t>
      </w:r>
      <w:r w:rsidR="00E01D92" w:rsidRPr="00A82D21">
        <w:rPr>
          <w:szCs w:val="24"/>
          <w:lang w:val="fr-CA"/>
        </w:rPr>
        <w:t xml:space="preserve"> </w:t>
      </w:r>
      <w:r w:rsidRPr="00A82D21">
        <w:rPr>
          <w:szCs w:val="24"/>
          <w:lang w:val="fr-CA"/>
        </w:rPr>
        <w:t xml:space="preserve">Bien que des mesures d’écoute électronique ne puissent être </w:t>
      </w:r>
      <w:r w:rsidRPr="00A82D21">
        <w:rPr>
          <w:szCs w:val="24"/>
          <w:u w:val="single"/>
          <w:lang w:val="fr-CA"/>
        </w:rPr>
        <w:t>autorisées</w:t>
      </w:r>
      <w:r w:rsidRPr="00A82D21">
        <w:rPr>
          <w:szCs w:val="24"/>
          <w:lang w:val="fr-CA"/>
        </w:rPr>
        <w:t xml:space="preserve"> que pour les besoins d’enquêtes criminelles, </w:t>
      </w:r>
      <w:r w:rsidRPr="00A82D21">
        <w:rPr>
          <w:szCs w:val="24"/>
          <w:u w:val="single"/>
          <w:lang w:val="fr-CA"/>
        </w:rPr>
        <w:t>toute preuve recueillie conformément à une telle autorisation peut être utilisée dans une instance civile</w:t>
      </w:r>
      <w:r w:rsidRPr="00A82D21">
        <w:rPr>
          <w:szCs w:val="24"/>
          <w:lang w:val="fr-CA"/>
        </w:rPr>
        <w:t xml:space="preserve">. La raison pour laquelle la partie VI du </w:t>
      </w:r>
      <w:r w:rsidRPr="00A82D21">
        <w:rPr>
          <w:i/>
          <w:szCs w:val="24"/>
          <w:lang w:val="fr-CA"/>
        </w:rPr>
        <w:t>Code</w:t>
      </w:r>
      <w:r w:rsidRPr="00A82D21">
        <w:rPr>
          <w:szCs w:val="24"/>
          <w:lang w:val="fr-CA"/>
        </w:rPr>
        <w:t xml:space="preserve"> ne renferme aucune disposition autorisant expressément l’utilisation dans des procédures civiles de preuve obtenue par écoute électronique est que le </w:t>
      </w:r>
      <w:r w:rsidRPr="00A82D21">
        <w:rPr>
          <w:i/>
          <w:szCs w:val="24"/>
          <w:lang w:val="fr-CA"/>
        </w:rPr>
        <w:t>Code</w:t>
      </w:r>
      <w:r w:rsidRPr="00A82D21">
        <w:rPr>
          <w:szCs w:val="24"/>
          <w:lang w:val="fr-CA"/>
        </w:rPr>
        <w:t xml:space="preserve"> s’attache d’abord et avant tout à la procédure et aux infractions criminelles. Toutefois, l’art. 193 — qui </w:t>
      </w:r>
      <w:proofErr w:type="gramStart"/>
      <w:r w:rsidRPr="00A82D21">
        <w:rPr>
          <w:szCs w:val="24"/>
          <w:lang w:val="fr-CA"/>
        </w:rPr>
        <w:t>crée</w:t>
      </w:r>
      <w:proofErr w:type="gramEnd"/>
      <w:r w:rsidRPr="00A82D21">
        <w:rPr>
          <w:szCs w:val="24"/>
          <w:lang w:val="fr-CA"/>
        </w:rPr>
        <w:t xml:space="preserve"> l’infraction consistant à divulguer des renseignements interceptés au moyen de dispositifs électroniques — écarte cette infraction lorsque la preuve recueillie par écoute électronique est divulguée </w:t>
      </w:r>
      <w:r w:rsidR="003D19FF" w:rsidRPr="00A82D21">
        <w:rPr>
          <w:szCs w:val="24"/>
          <w:lang w:val="fr-CA"/>
        </w:rPr>
        <w:t>« </w:t>
      </w:r>
      <w:r w:rsidRPr="00A82D21">
        <w:rPr>
          <w:szCs w:val="24"/>
          <w:lang w:val="fr-CA"/>
        </w:rPr>
        <w:t xml:space="preserve">au cours ou aux fins d’une déposition lors de poursuites </w:t>
      </w:r>
      <w:r w:rsidRPr="00A82D21">
        <w:rPr>
          <w:i/>
          <w:szCs w:val="24"/>
          <w:lang w:val="fr-CA"/>
        </w:rPr>
        <w:t>civiles</w:t>
      </w:r>
      <w:r w:rsidRPr="00A82D21">
        <w:rPr>
          <w:szCs w:val="24"/>
          <w:lang w:val="fr-CA"/>
        </w:rPr>
        <w:t xml:space="preserve"> ou pénales</w:t>
      </w:r>
      <w:r w:rsidR="003D19FF" w:rsidRPr="00A82D21">
        <w:rPr>
          <w:szCs w:val="24"/>
          <w:lang w:val="fr-CA"/>
        </w:rPr>
        <w:t> »</w:t>
      </w:r>
      <w:r w:rsidRPr="00A82D21">
        <w:rPr>
          <w:szCs w:val="24"/>
          <w:lang w:val="fr-CA"/>
        </w:rPr>
        <w:t>. [Nous soulignons; p. 6-40.6a.]</w:t>
      </w:r>
    </w:p>
    <w:p w:rsidR="007962BB" w:rsidRPr="00A82D21" w:rsidRDefault="007962BB" w:rsidP="007962BB">
      <w:pPr>
        <w:pStyle w:val="Citation-AltC"/>
        <w:widowControl w:val="0"/>
        <w:ind w:left="0"/>
        <w:jc w:val="right"/>
        <w:rPr>
          <w:szCs w:val="24"/>
          <w:lang w:val="fr-CA"/>
        </w:rPr>
      </w:pP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Dans le même sens, après avoir passé en revue la jurisprudence sur la question, Bellemare conclut ainsi :</w:t>
      </w:r>
    </w:p>
    <w:p w:rsidR="007962BB" w:rsidRPr="00A82D21" w:rsidRDefault="003D19FF" w:rsidP="007962BB">
      <w:pPr>
        <w:pStyle w:val="Citation-AltC"/>
        <w:widowControl w:val="0"/>
        <w:ind w:firstLine="454"/>
        <w:rPr>
          <w:i/>
          <w:szCs w:val="24"/>
          <w:lang w:val="fr-CA"/>
        </w:rPr>
      </w:pPr>
      <w:r w:rsidRPr="00A82D21">
        <w:rPr>
          <w:szCs w:val="24"/>
          <w:lang w:val="fr-CA"/>
        </w:rPr>
        <w:t>. . .</w:t>
      </w:r>
      <w:r w:rsidR="007962BB" w:rsidRPr="00A82D21">
        <w:rPr>
          <w:szCs w:val="24"/>
          <w:lang w:val="fr-CA"/>
        </w:rPr>
        <w:t xml:space="preserve"> la divulgation faite au cours ou aux fins d’une poursuite ou d’une procédure de nature civile relevant d’une province pourra au même titre que celle faite au cours ou aux fins d’une procédure relevant de la juridiction du Parlement, être faite légalement dans la mesure où cette </w:t>
      </w:r>
      <w:r w:rsidR="007962BB" w:rsidRPr="00A82D21">
        <w:rPr>
          <w:szCs w:val="24"/>
          <w:lang w:val="fr-CA"/>
        </w:rPr>
        <w:lastRenderedPageBreak/>
        <w:t>divulgation rencontre les conditions d’application de l’article 178.20(2)(a) du Code criminel. [p. 156]</w:t>
      </w:r>
    </w:p>
    <w:p w:rsidR="007962BB" w:rsidRPr="00A82D21" w:rsidRDefault="007962BB" w:rsidP="007962BB">
      <w:pPr>
        <w:pStyle w:val="Title5LevelTitre5Niveau"/>
        <w:widowControl w:val="0"/>
        <w:rPr>
          <w:rFonts w:cs="Times New Roman"/>
          <w:szCs w:val="24"/>
        </w:rPr>
      </w:pPr>
      <w:r w:rsidRPr="00A82D21">
        <w:rPr>
          <w:rFonts w:cs="Times New Roman"/>
          <w:szCs w:val="24"/>
        </w:rPr>
        <w:t>Conclusion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L’analyse du texte, du contexte, de l’objectif et de la jurisprudence nous amène à conclure que l’al. 193(2)</w:t>
      </w:r>
      <w:r w:rsidRPr="00A82D21">
        <w:rPr>
          <w:rFonts w:cs="Times New Roman"/>
          <w:i/>
          <w:szCs w:val="24"/>
          <w:lang w:val="fr-CA"/>
        </w:rPr>
        <w:t>a</w:t>
      </w:r>
      <w:r w:rsidRPr="00A82D21">
        <w:rPr>
          <w:rFonts w:cs="Times New Roman"/>
          <w:szCs w:val="24"/>
          <w:lang w:val="fr-CA"/>
        </w:rPr>
        <w:t>) — qui constitue une exception à l’infraction criminelle créée par le par. 193(1) — s’applique en l’espèce. La décision de la juge Bélanger était donc, à cet égard, bien fondée.</w:t>
      </w:r>
    </w:p>
    <w:p w:rsidR="007962BB" w:rsidRPr="00A82D21" w:rsidRDefault="007962BB" w:rsidP="007962BB">
      <w:pPr>
        <w:pStyle w:val="Title3LevelTitre3Niveau"/>
        <w:widowControl w:val="0"/>
        <w:rPr>
          <w:rFonts w:cs="Times New Roman"/>
          <w:szCs w:val="24"/>
          <w:lang w:val="fr-CA"/>
        </w:rPr>
      </w:pPr>
      <w:r w:rsidRPr="00A82D21">
        <w:rPr>
          <w:rFonts w:cs="Times New Roman"/>
          <w:szCs w:val="24"/>
          <w:lang w:val="fr-CA"/>
        </w:rPr>
        <w:t xml:space="preserve">Le statut de </w:t>
      </w:r>
      <w:r w:rsidR="003D19FF" w:rsidRPr="00A82D21">
        <w:rPr>
          <w:rFonts w:cs="Times New Roman"/>
          <w:szCs w:val="24"/>
          <w:lang w:val="fr-CA"/>
        </w:rPr>
        <w:t>« </w:t>
      </w:r>
      <w:r w:rsidRPr="00A82D21">
        <w:rPr>
          <w:rFonts w:cs="Times New Roman"/>
          <w:szCs w:val="24"/>
          <w:lang w:val="fr-CA"/>
        </w:rPr>
        <w:t>tiers innocent</w:t>
      </w:r>
      <w:r w:rsidR="003D19FF" w:rsidRPr="00A82D21">
        <w:rPr>
          <w:rFonts w:cs="Times New Roman"/>
          <w:szCs w:val="24"/>
          <w:lang w:val="fr-CA"/>
        </w:rPr>
        <w:t>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En plus d’appuyer la thèse de ses codéfendeurs, une des appelantes, Pétrolière </w:t>
      </w:r>
      <w:r w:rsidR="00E01D92" w:rsidRPr="00A82D21">
        <w:rPr>
          <w:rFonts w:cs="Times New Roman"/>
          <w:szCs w:val="24"/>
          <w:lang w:val="fr-CA"/>
        </w:rPr>
        <w:t>I</w:t>
      </w:r>
      <w:r w:rsidRPr="00A82D21">
        <w:rPr>
          <w:rFonts w:cs="Times New Roman"/>
          <w:szCs w:val="24"/>
          <w:lang w:val="fr-CA"/>
        </w:rPr>
        <w:t xml:space="preserve">mpériale, soutient que l’absence d’accusation contre elle dans les procédures pénales parallèles et le fait qu’elle n’était pas </w:t>
      </w:r>
      <w:r w:rsidR="003D19FF" w:rsidRPr="00A82D21">
        <w:rPr>
          <w:rFonts w:cs="Times New Roman"/>
          <w:szCs w:val="24"/>
          <w:lang w:val="fr-CA"/>
        </w:rPr>
        <w:t>« </w:t>
      </w:r>
      <w:r w:rsidRPr="00A82D21">
        <w:rPr>
          <w:rFonts w:cs="Times New Roman"/>
          <w:szCs w:val="24"/>
          <w:lang w:val="fr-CA"/>
        </w:rPr>
        <w:t>ciblée</w:t>
      </w:r>
      <w:r w:rsidR="003D19FF" w:rsidRPr="00A82D21">
        <w:rPr>
          <w:rFonts w:cs="Times New Roman"/>
          <w:szCs w:val="24"/>
          <w:lang w:val="fr-CA"/>
        </w:rPr>
        <w:t> »</w:t>
      </w:r>
      <w:r w:rsidRPr="00A82D21">
        <w:rPr>
          <w:rFonts w:cs="Times New Roman"/>
          <w:szCs w:val="24"/>
          <w:lang w:val="fr-CA"/>
        </w:rPr>
        <w:t xml:space="preserve"> par l’opération d’écoute électronique lui confèrent le statut particulier de </w:t>
      </w:r>
      <w:r w:rsidR="003D19FF" w:rsidRPr="00A82D21">
        <w:rPr>
          <w:rFonts w:cs="Times New Roman"/>
          <w:szCs w:val="24"/>
          <w:lang w:val="fr-CA"/>
        </w:rPr>
        <w:t>« </w:t>
      </w:r>
      <w:r w:rsidRPr="00A82D21">
        <w:rPr>
          <w:rFonts w:cs="Times New Roman"/>
          <w:szCs w:val="24"/>
          <w:lang w:val="fr-CA"/>
        </w:rPr>
        <w:t>tiers innocent</w:t>
      </w:r>
      <w:r w:rsidR="003D19FF" w:rsidRPr="00A82D21">
        <w:rPr>
          <w:rFonts w:cs="Times New Roman"/>
          <w:szCs w:val="24"/>
          <w:lang w:val="fr-CA"/>
        </w:rPr>
        <w:t> »</w:t>
      </w:r>
      <w:r w:rsidRPr="00A82D21">
        <w:rPr>
          <w:rFonts w:cs="Times New Roman"/>
          <w:szCs w:val="24"/>
          <w:lang w:val="fr-CA"/>
        </w:rPr>
        <w:t>. Ce statut empêcherait la juge de première instance d’ordonner la communication des enregistrements la concernant, de près ou de loin. Cette prétention s’avère sans fondement.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Il nous apparaît nécessaire de rappeler que, bien qu’elle reste un tiers par rapport aux procédures pénales parallèles, Pétrolière </w:t>
      </w:r>
      <w:r w:rsidR="00864CF4" w:rsidRPr="00A82D21">
        <w:rPr>
          <w:rFonts w:cs="Times New Roman"/>
          <w:szCs w:val="24"/>
          <w:lang w:val="fr-CA"/>
        </w:rPr>
        <w:t>I</w:t>
      </w:r>
      <w:r w:rsidRPr="00A82D21">
        <w:rPr>
          <w:rFonts w:cs="Times New Roman"/>
          <w:szCs w:val="24"/>
          <w:lang w:val="fr-CA"/>
        </w:rPr>
        <w:t xml:space="preserve">mpériale est devenue une partie à l’instance civile. À ce titre, elle bénéficie des mêmes droits et est soumise aux mêmes règles procédurales que l’ensemble des parties en cause. Or, comme nous l’avons exposé plus haut, durant la phase exploratoire d’une instance, à défaut d’une </w:t>
      </w:r>
      <w:r w:rsidRPr="00A82D21">
        <w:rPr>
          <w:rFonts w:cs="Times New Roman"/>
          <w:szCs w:val="24"/>
          <w:lang w:val="fr-CA"/>
        </w:rPr>
        <w:lastRenderedPageBreak/>
        <w:t xml:space="preserve">exception précise, le tribunal doit favoriser la communication la plus complète de la preuve. Ce n’est qu’en présence de raisons le justifiant de s’y opposer que le juge pourra refuser d’ordonner la communication.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Dans cette optique, Pétrolière </w:t>
      </w:r>
      <w:r w:rsidR="00864CF4" w:rsidRPr="00A82D21">
        <w:rPr>
          <w:rFonts w:cs="Times New Roman"/>
          <w:szCs w:val="24"/>
          <w:lang w:val="fr-CA"/>
        </w:rPr>
        <w:t>I</w:t>
      </w:r>
      <w:r w:rsidRPr="00A82D21">
        <w:rPr>
          <w:rFonts w:cs="Times New Roman"/>
          <w:szCs w:val="24"/>
          <w:lang w:val="fr-CA"/>
        </w:rPr>
        <w:t xml:space="preserve">mpériale affirme que l’intérêt du public dans la protection de la vie privée des personnes innocentes revêt une importance telle qu’il justifie l’opposition à la communication, et ce, même si la preuve contenue dans les enregistrements a été jugée pertinente. Pour appuyer cette affirmation, elle cite entre autres les décisions </w:t>
      </w:r>
      <w:r w:rsidRPr="00A82D21">
        <w:rPr>
          <w:rFonts w:cs="Times New Roman"/>
          <w:i/>
          <w:szCs w:val="24"/>
          <w:lang w:val="fr-CA"/>
        </w:rPr>
        <w:t>Michaud</w:t>
      </w:r>
      <w:r w:rsidRPr="00A82D21">
        <w:rPr>
          <w:rFonts w:cs="Times New Roman"/>
          <w:szCs w:val="24"/>
          <w:lang w:val="fr-CA"/>
        </w:rPr>
        <w:t>,</w:t>
      </w:r>
      <w:r w:rsidRPr="00A82D21">
        <w:rPr>
          <w:rFonts w:cs="Times New Roman"/>
          <w:i/>
          <w:szCs w:val="24"/>
          <w:lang w:val="fr-CA"/>
        </w:rPr>
        <w:t xml:space="preserve"> Procureur général de la Nouvelle-Écosse c. MacIntyre</w:t>
      </w:r>
      <w:r w:rsidRPr="00A82D21">
        <w:rPr>
          <w:rFonts w:cs="Times New Roman"/>
          <w:szCs w:val="24"/>
          <w:lang w:val="fr-CA"/>
        </w:rPr>
        <w:t xml:space="preserve">, [1982] 1 R.C.S. 175, et </w:t>
      </w:r>
      <w:r w:rsidRPr="00A82D21">
        <w:rPr>
          <w:rFonts w:cs="Times New Roman"/>
          <w:i/>
          <w:szCs w:val="24"/>
          <w:lang w:val="fr-CA"/>
        </w:rPr>
        <w:t>R. c. Durette</w:t>
      </w:r>
      <w:r w:rsidRPr="00A82D21">
        <w:rPr>
          <w:rFonts w:cs="Times New Roman"/>
          <w:szCs w:val="24"/>
          <w:lang w:val="fr-CA"/>
        </w:rPr>
        <w:t xml:space="preserve">, [1994] 1 R.C.S. 469. De prétendre l’appelante, il ressort de ces arrêts qu’entre le principe de recherche de la vérité et celui de la protection des personnes innocentes, c’est le dernier qui doit prévaloir. En conséquence, ajoute-t-elle, la communication des enregistrements concernant le tiers innocent doit être refusée.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Nous sommes d’accord avec l’appelante pour dire que l’impact de la communication sur les droits des personnes innocentes exige un examen attentif d’une requête en communication. Cependant, cette règle de prudence ne saurait justifier pour autant l’opposition à la communication en toutes circonstances.</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D’une part, sans revenir sur la jurispr</w:t>
      </w:r>
      <w:r w:rsidR="00864CF4" w:rsidRPr="00A82D21">
        <w:rPr>
          <w:rFonts w:cs="Times New Roman"/>
          <w:szCs w:val="24"/>
          <w:lang w:val="fr-CA"/>
        </w:rPr>
        <w:t>udence invoquée par Pétrolière I</w:t>
      </w:r>
      <w:r w:rsidRPr="00A82D21">
        <w:rPr>
          <w:rFonts w:cs="Times New Roman"/>
          <w:szCs w:val="24"/>
          <w:lang w:val="fr-CA"/>
        </w:rPr>
        <w:t xml:space="preserve">mpériale, il importe de souligner que, dans les circonstances du présent pourvoi, le préjudice dont celle-ci serait menacée diffère des préjudices auxquels étaient exposées les personnes concernées dans les jugements qu’elle cite. En effet, dans la </w:t>
      </w:r>
      <w:r w:rsidRPr="00A82D21">
        <w:rPr>
          <w:rFonts w:cs="Times New Roman"/>
          <w:szCs w:val="24"/>
          <w:lang w:val="fr-CA"/>
        </w:rPr>
        <w:lastRenderedPageBreak/>
        <w:t>majorité de ces affaires, le contenu des conversations était susceptible d’être rendu public. En l’espèce, ce facteur n’est pas présent. En effet, l’ordonnance de la juge Bélanger limite la communication aux seuls professionnels participant à l’instance. D’autre part, il ne faut pas oublier que la protection des personnes innocentes — plus particulièrement la protection de leur droit à la vie privée — n’est pas absolue. L’étendue de cette protection reste tributaire des circonstances particulières de chaque affaire, et doit toujours être mesurée en fonction des divers intérêts en jeu (</w:t>
      </w:r>
      <w:r w:rsidRPr="00A82D21">
        <w:rPr>
          <w:rFonts w:cs="Times New Roman"/>
          <w:i/>
          <w:szCs w:val="24"/>
          <w:lang w:val="fr-CA"/>
        </w:rPr>
        <w:t>MacIntyre</w:t>
      </w:r>
      <w:r w:rsidRPr="00A82D21">
        <w:rPr>
          <w:rFonts w:cs="Times New Roman"/>
          <w:szCs w:val="24"/>
          <w:lang w:val="fr-CA"/>
        </w:rPr>
        <w:t>, p. 186</w:t>
      </w:r>
      <w:r w:rsidR="00864CF4" w:rsidRPr="00A82D21">
        <w:rPr>
          <w:rFonts w:cs="Times New Roman"/>
          <w:szCs w:val="24"/>
          <w:lang w:val="fr-CA"/>
        </w:rPr>
        <w:t>-</w:t>
      </w:r>
      <w:r w:rsidRPr="00A82D21">
        <w:rPr>
          <w:rFonts w:cs="Times New Roman"/>
          <w:szCs w:val="24"/>
          <w:lang w:val="fr-CA"/>
        </w:rPr>
        <w:t xml:space="preserve">187; </w:t>
      </w:r>
      <w:r w:rsidRPr="00A82D21">
        <w:rPr>
          <w:rFonts w:cs="Times New Roman"/>
          <w:i/>
          <w:szCs w:val="24"/>
          <w:lang w:val="fr-CA"/>
        </w:rPr>
        <w:t>Vickery</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Cour suprême de la Nouvelle-Écosse (Protonotaire)</w:t>
      </w:r>
      <w:r w:rsidRPr="00A82D21">
        <w:rPr>
          <w:rFonts w:cs="Times New Roman"/>
          <w:szCs w:val="24"/>
          <w:lang w:val="fr-CA"/>
        </w:rPr>
        <w:t xml:space="preserve">, [1991] 1 R.C.S. 671; </w:t>
      </w:r>
      <w:r w:rsidRPr="00A82D21">
        <w:rPr>
          <w:rFonts w:cs="Times New Roman"/>
          <w:i/>
          <w:szCs w:val="24"/>
          <w:lang w:val="fr-CA"/>
        </w:rPr>
        <w:t>Durette</w:t>
      </w:r>
      <w:r w:rsidRPr="00A82D21">
        <w:rPr>
          <w:rFonts w:cs="Times New Roman"/>
          <w:szCs w:val="24"/>
          <w:lang w:val="fr-CA"/>
        </w:rPr>
        <w:t xml:space="preserve">, p. 495; </w:t>
      </w:r>
      <w:r w:rsidRPr="00A82D21">
        <w:rPr>
          <w:rFonts w:cs="Times New Roman"/>
          <w:i/>
          <w:szCs w:val="24"/>
          <w:lang w:val="fr-CA"/>
        </w:rPr>
        <w:t>Phillips</w:t>
      </w:r>
      <w:r w:rsidRPr="00A82D21">
        <w:rPr>
          <w:rFonts w:cs="Times New Roman"/>
          <w:szCs w:val="24"/>
          <w:lang w:val="fr-CA"/>
        </w:rPr>
        <w:t xml:space="preserve"> </w:t>
      </w:r>
      <w:r w:rsidRPr="00A82D21">
        <w:rPr>
          <w:rFonts w:cs="Times New Roman"/>
          <w:i/>
          <w:szCs w:val="24"/>
          <w:lang w:val="fr-CA"/>
        </w:rPr>
        <w:t>c. Vancouver Sun</w:t>
      </w:r>
      <w:r w:rsidRPr="00A82D21">
        <w:rPr>
          <w:rFonts w:cs="Times New Roman"/>
          <w:szCs w:val="24"/>
          <w:lang w:val="fr-CA"/>
        </w:rPr>
        <w:t>, 2004 BCCA 14, 27 B.C.L.R. (4th) 27). En l’occurrence, dans la mesure où, comme nous le verrons, le préjudice potentiel se trouve considérablement réduit par les mesures prises par la juge pour encadrer la procédure de communication et l’étendue de celle-ci, le principe de la recherche de la vérité doit prévaloir.</w:t>
      </w:r>
    </w:p>
    <w:p w:rsidR="007962BB" w:rsidRPr="00A82D21" w:rsidRDefault="007962BB" w:rsidP="007962BB">
      <w:pPr>
        <w:pStyle w:val="Title3LevelTitre3Niveau"/>
        <w:widowControl w:val="0"/>
        <w:rPr>
          <w:rFonts w:cs="Times New Roman"/>
          <w:szCs w:val="24"/>
        </w:rPr>
      </w:pPr>
      <w:r w:rsidRPr="00A82D21">
        <w:rPr>
          <w:rFonts w:cs="Times New Roman"/>
          <w:szCs w:val="24"/>
        </w:rPr>
        <w:t>Conclusion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En définitive, il n’existe donc pas d’obstacle factuel ou légal à la communication des documents que sollicitent les intimés en vertu de l’art. 402 </w:t>
      </w:r>
      <w:r w:rsidRPr="00A82D21">
        <w:rPr>
          <w:rFonts w:cs="Times New Roman"/>
          <w:i/>
          <w:szCs w:val="24"/>
          <w:lang w:val="fr-CA"/>
        </w:rPr>
        <w:t>C.p.c</w:t>
      </w:r>
      <w:r w:rsidRPr="00A82D21">
        <w:rPr>
          <w:rFonts w:cs="Times New Roman"/>
          <w:szCs w:val="24"/>
          <w:lang w:val="fr-CA"/>
        </w:rPr>
        <w:t xml:space="preserve">. À notre avis, cette constatation suffit pour décider des arguments de nature constitutionnelle. Rien ne permet de conclure que cette disposition du </w:t>
      </w:r>
      <w:r w:rsidRPr="00A82D21">
        <w:rPr>
          <w:rFonts w:cs="Times New Roman"/>
          <w:i/>
          <w:szCs w:val="24"/>
          <w:lang w:val="fr-CA"/>
        </w:rPr>
        <w:t>Code de procédure civile</w:t>
      </w:r>
      <w:r w:rsidRPr="00A82D21">
        <w:rPr>
          <w:rFonts w:cs="Times New Roman"/>
          <w:szCs w:val="24"/>
          <w:lang w:val="fr-CA"/>
        </w:rPr>
        <w:t xml:space="preserve"> est incompatible avec les textes et les principes soulevés par les appelants. D’ailleurs, il nous semble que l’économie même de l’art. 402, al. 1 </w:t>
      </w:r>
      <w:r w:rsidRPr="00A82D21">
        <w:rPr>
          <w:rFonts w:cs="Times New Roman"/>
          <w:i/>
          <w:szCs w:val="24"/>
          <w:lang w:val="fr-CA"/>
        </w:rPr>
        <w:t>C.p.c.</w:t>
      </w:r>
      <w:r w:rsidRPr="00A82D21">
        <w:rPr>
          <w:rFonts w:cs="Times New Roman"/>
          <w:szCs w:val="24"/>
          <w:lang w:val="fr-CA"/>
        </w:rPr>
        <w:t xml:space="preserve"> rend peu plausible, sinon impossible, un tel conflit. En effet, en octroyant au juge le pouvoir de refuser d’accorder la communication s’il existe une barrière légale ou </w:t>
      </w:r>
      <w:r w:rsidRPr="00A82D21">
        <w:rPr>
          <w:rFonts w:cs="Times New Roman"/>
          <w:szCs w:val="24"/>
          <w:lang w:val="fr-CA"/>
        </w:rPr>
        <w:lastRenderedPageBreak/>
        <w:t>prétorienne à une telle communication, cet alinéa prévoit déjà que, au besoin, le principe de communication qu’il codifie cèderait devant un texte fédéral prohibitif applicable.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Toutefois, l’absence d’obstacle à la communication ne règle pas tout. Les intérêts en cause dans une affaire comme celle qui nous occupe commandent un examen du cadre régissant le processus de communication et l’étendue de celle-ci. </w:t>
      </w:r>
    </w:p>
    <w:p w:rsidR="007962BB" w:rsidRPr="00A82D21" w:rsidRDefault="007962BB" w:rsidP="007962BB">
      <w:pPr>
        <w:pStyle w:val="Title2LevelTitre2Niveau"/>
        <w:widowControl w:val="0"/>
        <w:rPr>
          <w:rFonts w:cs="Times New Roman"/>
          <w:szCs w:val="24"/>
        </w:rPr>
      </w:pPr>
      <w:r w:rsidRPr="00A82D21">
        <w:rPr>
          <w:rFonts w:cs="Times New Roman"/>
          <w:szCs w:val="24"/>
        </w:rPr>
        <w:t>L’encadrement de la communication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Les tribunaux ont, de tout temps, exercé un droit de regard et de contrôle sur le processus d’administration de la preuve. À cette fin, ils détiennent tous les pouvoirs nécessaires à l’exercice de ce contrôle (art. 2, 20 et 46 </w:t>
      </w:r>
      <w:r w:rsidRPr="00A82D21">
        <w:rPr>
          <w:rFonts w:cs="Times New Roman"/>
          <w:i/>
          <w:szCs w:val="24"/>
          <w:lang w:val="fr-CA"/>
        </w:rPr>
        <w:t>C.p.c.</w:t>
      </w:r>
      <w:r w:rsidRPr="00A82D21">
        <w:rPr>
          <w:rFonts w:cs="Times New Roman"/>
          <w:szCs w:val="24"/>
          <w:lang w:val="fr-CA"/>
        </w:rPr>
        <w:t xml:space="preserve">; </w:t>
      </w:r>
      <w:r w:rsidRPr="00A82D21">
        <w:rPr>
          <w:rFonts w:cs="Times New Roman"/>
          <w:i/>
          <w:szCs w:val="24"/>
          <w:lang w:val="fr-CA"/>
        </w:rPr>
        <w:t>Lac d’Amiante</w:t>
      </w:r>
      <w:r w:rsidRPr="00A82D21">
        <w:rPr>
          <w:rFonts w:cs="Times New Roman"/>
          <w:szCs w:val="24"/>
          <w:lang w:val="fr-CA"/>
        </w:rPr>
        <w:t>, par. 36</w:t>
      </w:r>
      <w:r w:rsidR="00864CF4" w:rsidRPr="00A82D21">
        <w:rPr>
          <w:rFonts w:cs="Times New Roman"/>
          <w:szCs w:val="24"/>
          <w:lang w:val="fr-CA"/>
        </w:rPr>
        <w:t>-</w:t>
      </w:r>
      <w:r w:rsidRPr="00A82D21">
        <w:rPr>
          <w:rFonts w:cs="Times New Roman"/>
          <w:szCs w:val="24"/>
          <w:lang w:val="fr-CA"/>
        </w:rPr>
        <w:t xml:space="preserve">37). Ces pouvoirs incluent celui de contrôler le processus de communication de la preuve, d’en établir les modalités et d’en fixer les limites (art. 395 </w:t>
      </w:r>
      <w:r w:rsidRPr="00A82D21">
        <w:rPr>
          <w:rFonts w:cs="Times New Roman"/>
          <w:i/>
          <w:szCs w:val="24"/>
          <w:lang w:val="fr-CA"/>
        </w:rPr>
        <w:t>C.p.c.</w:t>
      </w:r>
      <w:r w:rsidRPr="00A82D21">
        <w:rPr>
          <w:rFonts w:cs="Times New Roman"/>
          <w:szCs w:val="24"/>
          <w:lang w:val="fr-CA"/>
        </w:rPr>
        <w:t>;</w:t>
      </w:r>
      <w:r w:rsidRPr="00A82D21">
        <w:rPr>
          <w:rFonts w:cs="Times New Roman"/>
          <w:i/>
          <w:szCs w:val="24"/>
          <w:lang w:val="fr-CA"/>
        </w:rPr>
        <w:t xml:space="preserve"> Glegg</w:t>
      </w:r>
      <w:r w:rsidRPr="00A82D21">
        <w:rPr>
          <w:rFonts w:cs="Times New Roman"/>
          <w:szCs w:val="24"/>
          <w:lang w:val="fr-CA"/>
        </w:rPr>
        <w:t>, par. 29</w:t>
      </w:r>
      <w:r w:rsidR="00864CF4" w:rsidRPr="00A82D21">
        <w:rPr>
          <w:rFonts w:cs="Times New Roman"/>
          <w:szCs w:val="24"/>
          <w:lang w:val="fr-CA"/>
        </w:rPr>
        <w:t>-</w:t>
      </w:r>
      <w:r w:rsidRPr="00A82D21">
        <w:rPr>
          <w:rFonts w:cs="Times New Roman"/>
          <w:szCs w:val="24"/>
          <w:lang w:val="fr-CA"/>
        </w:rPr>
        <w:t>30). Le juge qui exerce ce pouvoir durant la phase exploratoire de l’instance jouit d’une grande discrétion (</w:t>
      </w:r>
      <w:r w:rsidRPr="00A82D21">
        <w:rPr>
          <w:rFonts w:cs="Times New Roman"/>
          <w:i/>
          <w:szCs w:val="24"/>
          <w:lang w:val="fr-CA"/>
        </w:rPr>
        <w:t>Frenette</w:t>
      </w:r>
      <w:r w:rsidRPr="00A82D21">
        <w:rPr>
          <w:rFonts w:cs="Times New Roman"/>
          <w:szCs w:val="24"/>
          <w:lang w:val="fr-CA"/>
        </w:rPr>
        <w:t>, p. 685;</w:t>
      </w:r>
      <w:r w:rsidRPr="00A82D21">
        <w:rPr>
          <w:rFonts w:cs="Times New Roman"/>
          <w:i/>
          <w:szCs w:val="24"/>
          <w:lang w:val="fr-CA"/>
        </w:rPr>
        <w:t xml:space="preserve"> </w:t>
      </w:r>
      <w:r w:rsidRPr="00A82D21">
        <w:rPr>
          <w:rFonts w:cs="Times New Roman"/>
          <w:szCs w:val="24"/>
          <w:lang w:val="fr-CA"/>
        </w:rPr>
        <w:t xml:space="preserve">Ferland et Emery, p. 627; Ducharme et Panaccio, p. 437). L’opportunité et l’intensité d’un tel contrôle varient donc en fonction des intérêts à protéger et des circonstances propres à chaque affaire.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Le juge qui établit les modalités de la communication de documents à caractère privé doit considérer et soupeser les différents intérêts en présence. Il doit, d’une part, limiter les risques d’atteinte à la vie privée et, d’autre part, éviter de </w:t>
      </w:r>
      <w:r w:rsidRPr="00A82D21">
        <w:rPr>
          <w:rFonts w:cs="Times New Roman"/>
          <w:szCs w:val="24"/>
          <w:lang w:val="fr-CA"/>
        </w:rPr>
        <w:lastRenderedPageBreak/>
        <w:t xml:space="preserve">restreindre indûment l’accès aux documents pertinents, pour que les procédures demeurent équitables, que la recherche de la vérité ne soit pas entravée et que le déroulement de l’instance ne soit pas retardé de manière injustifiée (voir </w:t>
      </w:r>
      <w:r w:rsidRPr="00A82D21">
        <w:rPr>
          <w:rFonts w:cs="Times New Roman"/>
          <w:i/>
          <w:szCs w:val="24"/>
          <w:lang w:val="fr-CA"/>
        </w:rPr>
        <w:t>Frenette</w:t>
      </w:r>
      <w:r w:rsidRPr="00A82D21">
        <w:rPr>
          <w:rFonts w:cs="Times New Roman"/>
          <w:szCs w:val="24"/>
          <w:lang w:val="fr-CA"/>
        </w:rPr>
        <w:t>, p. 685</w:t>
      </w:r>
      <w:r w:rsidR="00864CF4" w:rsidRPr="00A82D21">
        <w:rPr>
          <w:rFonts w:cs="Times New Roman"/>
          <w:szCs w:val="24"/>
          <w:lang w:val="fr-CA"/>
        </w:rPr>
        <w:t>-</w:t>
      </w:r>
      <w:r w:rsidRPr="00A82D21">
        <w:rPr>
          <w:rFonts w:cs="Times New Roman"/>
          <w:szCs w:val="24"/>
          <w:lang w:val="fr-CA"/>
        </w:rPr>
        <w:t xml:space="preserve">686). Dans les cas où, comme en l’espèce, les documents demandés par une partie sont le produit d’une enquête pénale, le juge devra considérer — en plus des facteurs que nous venons de mentionner — l’impact de la communication de ces documents sur le bon déroulement des procédures pénales et, s’il y a lieu, sur le droit des accusés concernés à un procès juste et équitable. L’intérêt de la société en général dans le respect de ces deux principes justifie qu’on leur accorde une attention particulière. À ce sujet, bien que nous ne soyons pas en présence d’un cas de la sorte, nous tenons à souligner que l’importance de ces principes est telle qu’ils pourraient justifier l’intervention de la Couronne dans une situation de communication de documents </w:t>
      </w:r>
      <w:r w:rsidRPr="00A82D21">
        <w:rPr>
          <w:rFonts w:cs="Times New Roman"/>
          <w:i/>
          <w:szCs w:val="24"/>
          <w:lang w:val="fr-CA"/>
        </w:rPr>
        <w:t>en la possession d’une des parties</w:t>
      </w:r>
      <w:r w:rsidRPr="00A82D21">
        <w:rPr>
          <w:rFonts w:cs="Times New Roman"/>
          <w:szCs w:val="24"/>
          <w:lang w:val="fr-CA"/>
        </w:rPr>
        <w:t xml:space="preserve"> au litige civil. Sur la base de ces principes, la Couronne elle-même pourrait s’opposer à ce que des documents qu’elle a déjà communiqués à un accusé, qui participe également à l’instance civile, soient communiqués à d’autres parties, ou encore demander que la communication soit assujettie à certaines modalités particulières. Les tribunaux qui détiennent un pouvoir de contrôle sur l’ensemble de l’instance devraient alors soupeser les différents intérêts en jeu pour décider si la communication demandée doit avoir lieu et, si oui, quelle doit être l’étendue de celle-ci.</w:t>
      </w:r>
    </w:p>
    <w:p w:rsidR="007962BB" w:rsidRPr="00A82D21" w:rsidRDefault="007962BB" w:rsidP="007962BB">
      <w:pPr>
        <w:pStyle w:val="ParaNoNdepar-AltN"/>
        <w:widowControl w:val="0"/>
        <w:tabs>
          <w:tab w:val="clear" w:pos="1152"/>
          <w:tab w:val="left" w:pos="1166"/>
        </w:tabs>
        <w:rPr>
          <w:rFonts w:cs="Times New Roman"/>
          <w:szCs w:val="24"/>
          <w:lang w:val="fr-CA"/>
        </w:rPr>
      </w:pPr>
      <w:r w:rsidRPr="00A82D21">
        <w:rPr>
          <w:rFonts w:cs="Times New Roman"/>
          <w:szCs w:val="24"/>
          <w:lang w:val="fr-CA"/>
        </w:rPr>
        <w:t xml:space="preserve">Cependant, au cours de la phase exploratoire de l’instance, le droit au respect de la vie privée, le bon déroulement des procédures pénales et le droit à une défense pleine et entière sont, dans une certaine mesure, protégés par le devoir de </w:t>
      </w:r>
      <w:r w:rsidRPr="00A82D21">
        <w:rPr>
          <w:rFonts w:cs="Times New Roman"/>
          <w:szCs w:val="24"/>
          <w:lang w:val="fr-CA"/>
        </w:rPr>
        <w:lastRenderedPageBreak/>
        <w:t xml:space="preserve">confidentialité qui s’impose aux parties, à leurs avocats et à leurs experts (voir </w:t>
      </w:r>
      <w:r w:rsidRPr="00A82D21">
        <w:rPr>
          <w:rFonts w:cs="Times New Roman"/>
          <w:i/>
          <w:szCs w:val="24"/>
          <w:lang w:val="fr-CA"/>
        </w:rPr>
        <w:t>Lac d’Amiante</w:t>
      </w:r>
      <w:r w:rsidRPr="00A82D21">
        <w:rPr>
          <w:rFonts w:cs="Times New Roman"/>
          <w:szCs w:val="24"/>
          <w:lang w:val="fr-CA"/>
        </w:rPr>
        <w:t>;</w:t>
      </w:r>
      <w:r w:rsidRPr="00A82D21">
        <w:rPr>
          <w:rFonts w:cs="Times New Roman"/>
          <w:i/>
          <w:szCs w:val="24"/>
          <w:lang w:val="fr-CA"/>
        </w:rPr>
        <w:t xml:space="preserve"> Autorité des marchés financiers</w:t>
      </w:r>
      <w:r w:rsidRPr="00A82D21">
        <w:rPr>
          <w:rFonts w:cs="Times New Roman"/>
          <w:szCs w:val="24"/>
          <w:lang w:val="fr-CA"/>
        </w:rPr>
        <w:t>, par. 57;</w:t>
      </w:r>
      <w:r w:rsidRPr="00A82D21">
        <w:rPr>
          <w:rFonts w:cs="Times New Roman"/>
          <w:i/>
          <w:szCs w:val="24"/>
          <w:lang w:val="fr-CA"/>
        </w:rPr>
        <w:t xml:space="preserve"> Marché Lionel Coudry inc.</w:t>
      </w:r>
      <w:r w:rsidRPr="00A82D21">
        <w:rPr>
          <w:rFonts w:cs="Times New Roman"/>
          <w:szCs w:val="24"/>
          <w:lang w:val="fr-CA"/>
        </w:rPr>
        <w:t xml:space="preserve"> </w:t>
      </w:r>
      <w:r w:rsidRPr="00A82D21">
        <w:rPr>
          <w:rFonts w:cs="Times New Roman"/>
          <w:i/>
          <w:szCs w:val="24"/>
          <w:lang w:val="fr-CA"/>
        </w:rPr>
        <w:t>c. Métro inc.</w:t>
      </w:r>
      <w:r w:rsidRPr="00A82D21">
        <w:rPr>
          <w:rFonts w:cs="Times New Roman"/>
          <w:szCs w:val="24"/>
          <w:lang w:val="fr-CA"/>
        </w:rPr>
        <w:t>, 2004 CanLII 73143 (C.A. Qué.), par. 7;</w:t>
      </w:r>
      <w:r w:rsidRPr="00A82D21">
        <w:rPr>
          <w:rFonts w:cs="Times New Roman"/>
          <w:i/>
          <w:szCs w:val="24"/>
          <w:lang w:val="fr-CA"/>
        </w:rPr>
        <w:t xml:space="preserve"> Southam</w:t>
      </w:r>
      <w:r w:rsidRPr="00A82D21">
        <w:rPr>
          <w:rFonts w:cs="Times New Roman"/>
          <w:szCs w:val="24"/>
          <w:lang w:val="fr-CA"/>
        </w:rPr>
        <w:t xml:space="preserve"> </w:t>
      </w:r>
      <w:r w:rsidR="00864CF4" w:rsidRPr="00A82D21">
        <w:rPr>
          <w:rFonts w:cs="Times New Roman"/>
          <w:i/>
          <w:szCs w:val="24"/>
          <w:lang w:val="fr-CA"/>
        </w:rPr>
        <w:t xml:space="preserve">Inc. </w:t>
      </w:r>
      <w:r w:rsidRPr="00A82D21">
        <w:rPr>
          <w:rFonts w:cs="Times New Roman"/>
          <w:i/>
          <w:szCs w:val="24"/>
          <w:lang w:val="fr-CA"/>
        </w:rPr>
        <w:t>c. Landry</w:t>
      </w:r>
      <w:r w:rsidRPr="00A82D21">
        <w:rPr>
          <w:rFonts w:cs="Times New Roman"/>
          <w:szCs w:val="24"/>
          <w:lang w:val="fr-CA"/>
        </w:rPr>
        <w:t>, 2003 CanLII 71970 (C.A. Qué.), par. 6). Malgré son importance, cette mesure de protection préventive ne suffira pas toujours. Si besoin est, le juge dispose des pouvoirs nécessaires pour fixer d’autres modalités (</w:t>
      </w:r>
      <w:r w:rsidRPr="00A82D21">
        <w:rPr>
          <w:rFonts w:cs="Times New Roman"/>
          <w:i/>
          <w:szCs w:val="24"/>
          <w:lang w:val="fr-CA"/>
        </w:rPr>
        <w:t>Glegg</w:t>
      </w:r>
      <w:r w:rsidRPr="00A82D21">
        <w:rPr>
          <w:rFonts w:cs="Times New Roman"/>
          <w:szCs w:val="24"/>
          <w:lang w:val="fr-CA"/>
        </w:rPr>
        <w:t xml:space="preserve">, par. 30). À titre d’exemple, il peut limiter le nombre de personnes autorisées à consulter les différents documents demandés, et préciser à quel titre et pour combien de temps elles peuvent le faire. Il lui est également possible d’établir les conditions dans lesquelles cet accès doit se dérouler, par exemple en ordonnant que la communication s’effectue d’une manière précise et, au besoin, à un moment et à un endroit déterminés. De même, si le type de document demandé s’y prête, il peut ordonner le </w:t>
      </w:r>
      <w:r w:rsidR="003D19FF" w:rsidRPr="00A82D21">
        <w:rPr>
          <w:rFonts w:cs="Times New Roman"/>
          <w:szCs w:val="24"/>
          <w:lang w:val="fr-CA"/>
        </w:rPr>
        <w:t>« </w:t>
      </w:r>
      <w:r w:rsidRPr="00A82D21">
        <w:rPr>
          <w:rFonts w:cs="Times New Roman"/>
          <w:szCs w:val="24"/>
          <w:lang w:val="fr-CA"/>
        </w:rPr>
        <w:t>filtrage</w:t>
      </w:r>
      <w:r w:rsidR="003D19FF" w:rsidRPr="00A82D21">
        <w:rPr>
          <w:rFonts w:cs="Times New Roman"/>
          <w:szCs w:val="24"/>
          <w:lang w:val="fr-CA"/>
        </w:rPr>
        <w:t> »</w:t>
      </w:r>
      <w:r w:rsidRPr="00A82D21">
        <w:rPr>
          <w:rFonts w:cs="Times New Roman"/>
          <w:szCs w:val="24"/>
          <w:lang w:val="fr-CA"/>
        </w:rPr>
        <w:t xml:space="preserve"> de l’information (Ducharme et Panaccio, p. 437</w:t>
      </w:r>
      <w:r w:rsidR="00864CF4" w:rsidRPr="00A82D21">
        <w:rPr>
          <w:rFonts w:cs="Times New Roman"/>
          <w:szCs w:val="24"/>
          <w:lang w:val="fr-CA"/>
        </w:rPr>
        <w:t>-</w:t>
      </w:r>
      <w:r w:rsidRPr="00A82D21">
        <w:rPr>
          <w:rFonts w:cs="Times New Roman"/>
          <w:szCs w:val="24"/>
          <w:lang w:val="fr-CA"/>
        </w:rPr>
        <w:t xml:space="preserve">438). </w:t>
      </w:r>
    </w:p>
    <w:p w:rsidR="007962BB" w:rsidRPr="00A82D21" w:rsidRDefault="007962BB" w:rsidP="007962BB">
      <w:pPr>
        <w:pStyle w:val="ParaNoNdepar-AltN"/>
        <w:widowControl w:val="0"/>
        <w:tabs>
          <w:tab w:val="clear" w:pos="1152"/>
          <w:tab w:val="left" w:pos="1166"/>
        </w:tabs>
        <w:rPr>
          <w:rFonts w:cs="Times New Roman"/>
          <w:szCs w:val="24"/>
          <w:lang w:val="fr-CA"/>
        </w:rPr>
      </w:pPr>
      <w:r w:rsidRPr="00A82D21">
        <w:rPr>
          <w:rFonts w:cs="Times New Roman"/>
          <w:szCs w:val="24"/>
          <w:lang w:val="fr-CA"/>
        </w:rPr>
        <w:t xml:space="preserve">Dans tous les cas, tout en respectant le principe de proportionnalité qui fait intrinsèquement partie de l’art. 402 </w:t>
      </w:r>
      <w:r w:rsidRPr="00A82D21">
        <w:rPr>
          <w:rFonts w:cs="Times New Roman"/>
          <w:i/>
          <w:szCs w:val="24"/>
          <w:lang w:val="fr-CA"/>
        </w:rPr>
        <w:t>C.p.c.</w:t>
      </w:r>
      <w:r w:rsidRPr="00A82D21">
        <w:rPr>
          <w:rFonts w:cs="Times New Roman"/>
          <w:szCs w:val="24"/>
          <w:lang w:val="fr-CA"/>
        </w:rPr>
        <w:t>,</w:t>
      </w:r>
      <w:r w:rsidRPr="00A82D21">
        <w:rPr>
          <w:rFonts w:cs="Times New Roman"/>
          <w:i/>
          <w:szCs w:val="24"/>
          <w:lang w:val="fr-CA"/>
        </w:rPr>
        <w:t xml:space="preserve"> </w:t>
      </w:r>
      <w:r w:rsidRPr="00A82D21">
        <w:rPr>
          <w:rFonts w:cs="Times New Roman"/>
          <w:szCs w:val="24"/>
          <w:lang w:val="fr-CA"/>
        </w:rPr>
        <w:t xml:space="preserve">en plus d’être consacré à l’art. 4.2 </w:t>
      </w:r>
      <w:r w:rsidRPr="00A82D21">
        <w:rPr>
          <w:rFonts w:cs="Times New Roman"/>
          <w:i/>
          <w:szCs w:val="24"/>
          <w:lang w:val="fr-CA"/>
        </w:rPr>
        <w:t>C.p.c.</w:t>
      </w:r>
      <w:r w:rsidRPr="00A82D21">
        <w:rPr>
          <w:rFonts w:cs="Times New Roman"/>
          <w:szCs w:val="24"/>
          <w:lang w:val="fr-CA"/>
        </w:rPr>
        <w:t>,</w:t>
      </w:r>
      <w:r w:rsidRPr="00A82D21">
        <w:rPr>
          <w:rFonts w:cs="Times New Roman"/>
          <w:i/>
          <w:szCs w:val="24"/>
          <w:lang w:val="fr-CA"/>
        </w:rPr>
        <w:t xml:space="preserve"> </w:t>
      </w:r>
      <w:r w:rsidRPr="00A82D21">
        <w:rPr>
          <w:rFonts w:cs="Times New Roman"/>
          <w:szCs w:val="24"/>
          <w:lang w:val="fr-CA"/>
        </w:rPr>
        <w:t>le juge doit considérer l’impact financier et administratif des modalités qu’il impose, de même que leur influence sur le déroulement général de l’instance. Cette remarque vaut également pour l’étendue de la communication ordonnée, bien que la quantité de documents visés par la requête ne constitue pas, à elle seule, un motif d’irrecevabilité (</w:t>
      </w:r>
      <w:r w:rsidRPr="00A82D21">
        <w:rPr>
          <w:rFonts w:cs="Times New Roman"/>
          <w:i/>
          <w:szCs w:val="24"/>
          <w:lang w:val="fr-CA"/>
        </w:rPr>
        <w:t>Daishowa inc.</w:t>
      </w:r>
      <w:r w:rsidRPr="00A82D21">
        <w:rPr>
          <w:rFonts w:cs="Times New Roman"/>
          <w:szCs w:val="24"/>
          <w:lang w:val="fr-CA"/>
        </w:rPr>
        <w:t xml:space="preserve"> </w:t>
      </w:r>
      <w:r w:rsidRPr="00A82D21">
        <w:rPr>
          <w:rFonts w:cs="Times New Roman"/>
          <w:i/>
          <w:szCs w:val="24"/>
          <w:lang w:val="fr-CA"/>
        </w:rPr>
        <w:t>c.</w:t>
      </w:r>
      <w:r w:rsidRPr="00A82D21">
        <w:rPr>
          <w:rFonts w:cs="Times New Roman"/>
          <w:szCs w:val="24"/>
          <w:lang w:val="fr-CA"/>
        </w:rPr>
        <w:t xml:space="preserve"> </w:t>
      </w:r>
      <w:r w:rsidRPr="00A82D21">
        <w:rPr>
          <w:rFonts w:cs="Times New Roman"/>
          <w:i/>
          <w:szCs w:val="24"/>
          <w:lang w:val="fr-CA"/>
        </w:rPr>
        <w:t>Commission de la santé et de la sécurité du travail</w:t>
      </w:r>
      <w:r w:rsidRPr="00A82D21">
        <w:rPr>
          <w:rFonts w:cs="Times New Roman"/>
          <w:szCs w:val="24"/>
          <w:lang w:val="fr-CA"/>
        </w:rPr>
        <w:t xml:space="preserve">, [1993] R.J.Q. 175 (C.S.), conf. par </w:t>
      </w:r>
      <w:r w:rsidR="00864CF4" w:rsidRPr="00A82D21">
        <w:rPr>
          <w:rFonts w:cs="Times New Roman"/>
          <w:szCs w:val="24"/>
          <w:lang w:val="fr-CA"/>
        </w:rPr>
        <w:t xml:space="preserve">[1993] </w:t>
      </w:r>
      <w:r w:rsidRPr="00A82D21">
        <w:rPr>
          <w:rFonts w:cs="Times New Roman"/>
          <w:szCs w:val="24"/>
          <w:lang w:val="fr-FR"/>
        </w:rPr>
        <w:t xml:space="preserve">AZ-50072356; </w:t>
      </w:r>
      <w:r w:rsidRPr="00A82D21">
        <w:rPr>
          <w:rFonts w:cs="Times New Roman"/>
          <w:i/>
          <w:szCs w:val="24"/>
          <w:lang w:val="fr-FR"/>
        </w:rPr>
        <w:t>S.M.</w:t>
      </w:r>
      <w:r w:rsidRPr="00A82D21">
        <w:rPr>
          <w:rFonts w:cs="Times New Roman"/>
          <w:szCs w:val="24"/>
          <w:lang w:val="fr-FR"/>
        </w:rPr>
        <w:t xml:space="preserve"> </w:t>
      </w:r>
      <w:r w:rsidRPr="00A82D21">
        <w:rPr>
          <w:rFonts w:cs="Times New Roman"/>
          <w:i/>
          <w:szCs w:val="24"/>
          <w:lang w:val="fr-FR"/>
        </w:rPr>
        <w:t>c.</w:t>
      </w:r>
      <w:r w:rsidRPr="00A82D21">
        <w:rPr>
          <w:rFonts w:cs="Times New Roman"/>
          <w:szCs w:val="24"/>
          <w:lang w:val="fr-FR"/>
        </w:rPr>
        <w:t xml:space="preserve"> </w:t>
      </w:r>
      <w:r w:rsidRPr="00A82D21">
        <w:rPr>
          <w:rFonts w:cs="Times New Roman"/>
          <w:i/>
          <w:szCs w:val="24"/>
          <w:lang w:val="fr-FR"/>
        </w:rPr>
        <w:t>S.G.</w:t>
      </w:r>
      <w:r w:rsidRPr="00A82D21">
        <w:rPr>
          <w:rFonts w:cs="Times New Roman"/>
          <w:szCs w:val="24"/>
          <w:lang w:val="fr-FR"/>
        </w:rPr>
        <w:t>, [1986] R.D.J. 617 (C.A.)</w:t>
      </w:r>
      <w:r w:rsidRPr="00A82D21">
        <w:rPr>
          <w:rFonts w:cs="Times New Roman"/>
          <w:szCs w:val="24"/>
          <w:lang w:val="fr-CA"/>
        </w:rPr>
        <w:t xml:space="preserve">). Pareillement, dans la mesure où le juge ordonne que la personne en possession des documents trie l’information avant de la communiquer, il doit </w:t>
      </w:r>
      <w:r w:rsidRPr="00A82D21">
        <w:rPr>
          <w:rFonts w:cs="Times New Roman"/>
          <w:szCs w:val="24"/>
          <w:lang w:val="fr-CA"/>
        </w:rPr>
        <w:lastRenderedPageBreak/>
        <w:t>également tenir compte du fardeau financier et administratif ainsi imposé à ce tiers. Conjugué au critère de la pertinence, ce facteur lui permettra de limiter au strict nécessaire l’étendue de la communication. La cour saisie de la demande de communication pourra aussi examiner la question des coûts qui lui sont afférents et imposer à la partie requérante l’obligation de payer une indemnité raisonnable à la personne qui se voit ainsi contrainte de communiquer des documents en sa possession.</w:t>
      </w:r>
    </w:p>
    <w:p w:rsidR="007962BB" w:rsidRPr="00A82D21" w:rsidRDefault="007962BB" w:rsidP="007962BB">
      <w:pPr>
        <w:pStyle w:val="ParaNoNdepar-AltN"/>
        <w:widowControl w:val="0"/>
        <w:tabs>
          <w:tab w:val="clear" w:pos="1152"/>
          <w:tab w:val="left" w:pos="1166"/>
        </w:tabs>
        <w:rPr>
          <w:rFonts w:cs="Times New Roman"/>
          <w:szCs w:val="24"/>
          <w:lang w:val="fr-CA"/>
        </w:rPr>
      </w:pPr>
      <w:r w:rsidRPr="00A82D21">
        <w:rPr>
          <w:rFonts w:cs="Times New Roman"/>
          <w:szCs w:val="24"/>
          <w:lang w:val="fr-CA"/>
        </w:rPr>
        <w:t xml:space="preserve">Lorsque les documents demandés sont les fruits d’une enquête pénale, le juge peut refuser d’en ordonner la communication s’il est convaincu que même des modalités très strictes de communication ne seraient pas suffisantes pour assurer notamment le bon déroulement des procédures pénales, la protection des droits des tiers ou, encore, le droit à un procès juste et équitable. Dans ces situations exceptionnelles, le juge aura donc le pouvoir de refuser une demande de communication en vertu de l’art. 402 </w:t>
      </w:r>
      <w:r w:rsidRPr="00A82D21">
        <w:rPr>
          <w:rFonts w:cs="Times New Roman"/>
          <w:i/>
          <w:szCs w:val="24"/>
          <w:lang w:val="fr-CA"/>
        </w:rPr>
        <w:t>C.p.c.</w:t>
      </w:r>
      <w:r w:rsidRPr="00A82D21">
        <w:rPr>
          <w:rFonts w:cs="Times New Roman"/>
          <w:szCs w:val="24"/>
          <w:lang w:val="fr-CA"/>
        </w:rPr>
        <w:t xml:space="preserve"> si, pour la société, l’effet préjudiciable de cette communication est plus grand que ses avantages potentiels. Dans ce contexte, le seul fait qu’on plaide qu’il y a eu violation des droits fondamentaux dans l’obtention de la preuve demandée ne permet pas au juge de refuser d’en ordonner la communication. Dans un tel cas, ce n’est pas la communication mais bien l’admissibilité de la preuve qui pourra être contestée en vertu de l’art. 2858 </w:t>
      </w:r>
      <w:r w:rsidRPr="00A82D21">
        <w:rPr>
          <w:rFonts w:cs="Times New Roman"/>
          <w:i/>
          <w:szCs w:val="24"/>
          <w:lang w:val="fr-CA"/>
        </w:rPr>
        <w:t>C.c.Q.</w:t>
      </w:r>
      <w:r w:rsidRPr="00A82D21">
        <w:rPr>
          <w:rFonts w:cs="Times New Roman"/>
          <w:szCs w:val="24"/>
          <w:lang w:val="fr-CA"/>
        </w:rPr>
        <w:t xml:space="preserve">, lequel précise qu’un tribunal </w:t>
      </w:r>
      <w:r w:rsidR="003D19FF" w:rsidRPr="00A82D21">
        <w:rPr>
          <w:rFonts w:cs="Times New Roman"/>
          <w:szCs w:val="24"/>
          <w:lang w:val="fr-CA"/>
        </w:rPr>
        <w:t>« </w:t>
      </w:r>
      <w:r w:rsidRPr="00A82D21">
        <w:rPr>
          <w:rFonts w:cs="Times New Roman"/>
          <w:szCs w:val="24"/>
          <w:lang w:val="fr-CA"/>
        </w:rPr>
        <w:t>doit, même d’office, rejeter tout élément de preuve obtenu dans des conditions qui portent atteinte aux droits et libertés fondamentaux et dont l’utilisation est susceptible de déconsidérer l’administration de la justice</w:t>
      </w:r>
      <w:r w:rsidR="003D19FF" w:rsidRPr="00A82D21">
        <w:rPr>
          <w:rFonts w:cs="Times New Roman"/>
          <w:szCs w:val="24"/>
          <w:lang w:val="fr-CA"/>
        </w:rPr>
        <w:t> »</w:t>
      </w:r>
      <w:r w:rsidRPr="00A82D21">
        <w:rPr>
          <w:rFonts w:cs="Times New Roman"/>
          <w:szCs w:val="24"/>
          <w:lang w:val="fr-CA"/>
        </w:rPr>
        <w:t>.</w:t>
      </w:r>
    </w:p>
    <w:p w:rsidR="007962BB" w:rsidRPr="00A82D21" w:rsidRDefault="007962BB" w:rsidP="007962BB">
      <w:pPr>
        <w:pStyle w:val="ParaNoNdepar-AltN"/>
        <w:widowControl w:val="0"/>
        <w:tabs>
          <w:tab w:val="clear" w:pos="1152"/>
          <w:tab w:val="left" w:pos="1166"/>
        </w:tabs>
        <w:rPr>
          <w:rFonts w:cs="Times New Roman"/>
          <w:szCs w:val="24"/>
          <w:lang w:val="fr-CA"/>
        </w:rPr>
      </w:pPr>
      <w:r w:rsidRPr="00A82D21">
        <w:rPr>
          <w:rFonts w:cs="Times New Roman"/>
          <w:szCs w:val="24"/>
          <w:lang w:val="fr-CA"/>
        </w:rPr>
        <w:lastRenderedPageBreak/>
        <w:t>En l’espèce, l’ordonnance de la juge Bélanger respecte complètement ces principes. Sa portée est limitée de manière à protéger le droit à la vie privée de l’ensemble des personnes dont les conversations ont été interceptées. Ces limites assurent également que la communication ne constitue pas une entrave au bon déroulement des procédures pénales et une atteinte au droit qu’ont les défendeurs toujours accusés au pénal de subir un procès juste et équitable. Finalement, rien n’indique que l’ordonnance crée un fardeau financier et administratif excessif pour le tiers visé en l’espèce.</w:t>
      </w:r>
    </w:p>
    <w:p w:rsidR="007962BB" w:rsidRPr="00A82D21" w:rsidRDefault="007962BB" w:rsidP="007962BB">
      <w:pPr>
        <w:pStyle w:val="Title1LevelTitre1Niveau-AltL"/>
        <w:widowControl w:val="0"/>
        <w:rPr>
          <w:rFonts w:cs="Times New Roman"/>
          <w:szCs w:val="24"/>
        </w:rPr>
      </w:pPr>
      <w:r w:rsidRPr="00A82D21">
        <w:rPr>
          <w:rFonts w:cs="Times New Roman"/>
          <w:szCs w:val="24"/>
        </w:rPr>
        <w:t>Conclusion</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Pour l’ensemble de ces motifs, nous sommes d’avis que les deux pourvois doivent être rejetés, avec dépens.</w:t>
      </w:r>
    </w:p>
    <w:p w:rsidR="00491A04" w:rsidRPr="00A82D21" w:rsidRDefault="00864CF4" w:rsidP="00864CF4">
      <w:pPr>
        <w:pStyle w:val="ParaNoNdepar-AltN"/>
        <w:widowControl w:val="0"/>
        <w:numPr>
          <w:ilvl w:val="0"/>
          <w:numId w:val="0"/>
        </w:numPr>
        <w:tabs>
          <w:tab w:val="left" w:pos="1170"/>
        </w:tabs>
        <w:rPr>
          <w:rFonts w:cs="Times New Roman"/>
          <w:szCs w:val="24"/>
          <w:lang w:val="fr-CA"/>
        </w:rPr>
      </w:pPr>
      <w:r w:rsidRPr="00A82D21">
        <w:rPr>
          <w:rFonts w:cs="Times New Roman"/>
          <w:szCs w:val="24"/>
          <w:lang w:val="fr-CA"/>
        </w:rPr>
        <w:tab/>
        <w:t>Version française des motifs rendus par</w:t>
      </w:r>
    </w:p>
    <w:p w:rsidR="007962BB" w:rsidRPr="00A82D21" w:rsidRDefault="00864CF4" w:rsidP="007962BB">
      <w:pPr>
        <w:pStyle w:val="ParaNoNdepar-AltN"/>
        <w:widowControl w:val="0"/>
        <w:rPr>
          <w:rFonts w:cs="Times New Roman"/>
          <w:szCs w:val="24"/>
          <w:lang w:val="fr-CA"/>
        </w:rPr>
      </w:pPr>
      <w:r w:rsidRPr="00A82D21">
        <w:rPr>
          <w:rFonts w:cs="Times New Roman"/>
          <w:smallCaps/>
          <w:szCs w:val="24"/>
          <w:lang w:val="fr-CA"/>
        </w:rPr>
        <w:t>La Juge en chef</w:t>
      </w:r>
      <w:r w:rsidRPr="00A82D21">
        <w:rPr>
          <w:rFonts w:cs="Times New Roman"/>
          <w:szCs w:val="24"/>
          <w:lang w:val="fr-CA"/>
        </w:rPr>
        <w:t xml:space="preserve"> — </w:t>
      </w:r>
      <w:r w:rsidR="007962BB" w:rsidRPr="00A82D21">
        <w:rPr>
          <w:rFonts w:cs="Times New Roman"/>
          <w:szCs w:val="24"/>
          <w:lang w:val="fr-CA"/>
        </w:rPr>
        <w:t>J’ai pris connaissance des motifs de mes collègues les juges LeBel et Wagner et je souscris à leur conclusion dans les présents pourvois. Toutefois, dans la mesure où l’on déduirait de leurs motifs que l’al. 193(2)</w:t>
      </w:r>
      <w:r w:rsidR="007962BB" w:rsidRPr="00A82D21">
        <w:rPr>
          <w:rFonts w:cs="Times New Roman"/>
          <w:i/>
          <w:szCs w:val="24"/>
          <w:lang w:val="fr-CA"/>
        </w:rPr>
        <w:t>a</w:t>
      </w:r>
      <w:r w:rsidR="007962BB" w:rsidRPr="00A82D21">
        <w:rPr>
          <w:rFonts w:cs="Times New Roman"/>
          <w:szCs w:val="24"/>
          <w:lang w:val="fr-CA"/>
        </w:rPr>
        <w:t xml:space="preserve">) du </w:t>
      </w:r>
      <w:r w:rsidR="007962BB" w:rsidRPr="00A82D21">
        <w:rPr>
          <w:rFonts w:cs="Times New Roman"/>
          <w:i/>
          <w:szCs w:val="24"/>
          <w:lang w:val="fr-CA"/>
        </w:rPr>
        <w:t>Code criminel</w:t>
      </w:r>
      <w:r w:rsidR="007962BB" w:rsidRPr="00A82D21">
        <w:rPr>
          <w:rFonts w:cs="Times New Roman"/>
          <w:szCs w:val="24"/>
          <w:lang w:val="fr-CA"/>
        </w:rPr>
        <w:t xml:space="preserve">, L.R.C. 1985, ch. C-46, habilite les autorités canadiennes à remettre, aux fins d’utilisation dans une instance civile, des communications privées interceptées (conclusion que je ne partage pas), je dois avec égards exprimer mon désaccord.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Je suis d’avis que, dans les circonstances de l’espèce, le pouvoir d’obtenir </w:t>
      </w:r>
      <w:r w:rsidRPr="00A82D21">
        <w:rPr>
          <w:rFonts w:cs="Times New Roman"/>
          <w:szCs w:val="24"/>
          <w:lang w:val="fr-CA"/>
        </w:rPr>
        <w:lastRenderedPageBreak/>
        <w:t xml:space="preserve">les communications privées interceptées découle uniquement de l’art. 402 du </w:t>
      </w:r>
      <w:r w:rsidRPr="00A82D21">
        <w:rPr>
          <w:rFonts w:cs="Times New Roman"/>
          <w:i/>
          <w:szCs w:val="24"/>
          <w:lang w:val="fr-CA"/>
        </w:rPr>
        <w:t>Code de procédure civile</w:t>
      </w:r>
      <w:r w:rsidRPr="00A82D21">
        <w:rPr>
          <w:rFonts w:cs="Times New Roman"/>
          <w:szCs w:val="24"/>
          <w:lang w:val="fr-CA"/>
        </w:rPr>
        <w:t>, RLRQ, ch. C-25, et non de l’al. 193(2)</w:t>
      </w:r>
      <w:r w:rsidRPr="00A82D21">
        <w:rPr>
          <w:rFonts w:cs="Times New Roman"/>
          <w:i/>
          <w:szCs w:val="24"/>
          <w:lang w:val="fr-CA"/>
        </w:rPr>
        <w:t>a</w:t>
      </w:r>
      <w:r w:rsidRPr="00A82D21">
        <w:rPr>
          <w:rFonts w:cs="Times New Roman"/>
          <w:szCs w:val="24"/>
          <w:lang w:val="fr-CA"/>
        </w:rPr>
        <w:t xml:space="preserve">) du </w:t>
      </w:r>
      <w:r w:rsidRPr="00A82D21">
        <w:rPr>
          <w:rFonts w:cs="Times New Roman"/>
          <w:i/>
          <w:szCs w:val="24"/>
          <w:lang w:val="fr-CA"/>
        </w:rPr>
        <w:t>Code criminel</w:t>
      </w:r>
      <w:r w:rsidRPr="00A82D21">
        <w:rPr>
          <w:rFonts w:cs="Times New Roman"/>
          <w:szCs w:val="24"/>
          <w:lang w:val="fr-CA"/>
        </w:rPr>
        <w:t>. L’exemption prévue par cet alinéa écarte l’application du par. 193(1), la disposition qui crée l’infraction. Lorsque l’État a par ailleurs le pouvoir ou l’obligation de divulguer dans une instance civile des communications privées interceptées — par exemple si un tribunal lui ordonne de le faire en vertu de l’art. 402 — l’al. 193(2)</w:t>
      </w:r>
      <w:r w:rsidRPr="00A82D21">
        <w:rPr>
          <w:rFonts w:cs="Times New Roman"/>
          <w:i/>
          <w:szCs w:val="24"/>
          <w:lang w:val="fr-CA"/>
        </w:rPr>
        <w:t>a</w:t>
      </w:r>
      <w:r w:rsidRPr="00A82D21">
        <w:rPr>
          <w:rFonts w:cs="Times New Roman"/>
          <w:szCs w:val="24"/>
          <w:lang w:val="fr-CA"/>
        </w:rPr>
        <w:t xml:space="preserve">) protège les autorités contre toute sanction criminelle.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Je souscris pour le reste aux motifs des juges LeBel et Wagner. Par conséquent, je rejetterais les pourvois. </w:t>
      </w:r>
    </w:p>
    <w:p w:rsidR="007962BB" w:rsidRPr="00A82D21" w:rsidRDefault="00864CF4" w:rsidP="00864CF4">
      <w:pPr>
        <w:pStyle w:val="JudgeJuge"/>
        <w:widowControl w:val="0"/>
        <w:tabs>
          <w:tab w:val="clear" w:pos="1260"/>
          <w:tab w:val="left" w:pos="1170"/>
        </w:tabs>
        <w:spacing w:before="240"/>
        <w:rPr>
          <w:smallCaps w:val="0"/>
          <w:szCs w:val="24"/>
          <w:lang w:val="fr-CA"/>
        </w:rPr>
      </w:pPr>
      <w:r w:rsidRPr="00A82D21">
        <w:rPr>
          <w:smallCaps w:val="0"/>
          <w:szCs w:val="24"/>
          <w:lang w:val="fr-CA"/>
        </w:rPr>
        <w:tab/>
        <w:t>Version française des motifs rendus par</w:t>
      </w:r>
    </w:p>
    <w:p w:rsidR="007962BB" w:rsidRPr="00A82D21" w:rsidRDefault="00864CF4" w:rsidP="007962BB">
      <w:pPr>
        <w:pStyle w:val="ParaNoNdepar-AltN"/>
        <w:widowControl w:val="0"/>
        <w:rPr>
          <w:rFonts w:cs="Times New Roman"/>
          <w:szCs w:val="24"/>
          <w:lang w:val="fr-CA"/>
        </w:rPr>
      </w:pPr>
      <w:r w:rsidRPr="00A82D21">
        <w:rPr>
          <w:rFonts w:cs="Times New Roman"/>
          <w:smallCaps/>
          <w:szCs w:val="24"/>
          <w:lang w:val="fr-CA"/>
        </w:rPr>
        <w:t>La juge Abella</w:t>
      </w:r>
      <w:r w:rsidRPr="00A82D21">
        <w:rPr>
          <w:rFonts w:cs="Times New Roman"/>
          <w:szCs w:val="24"/>
          <w:lang w:val="fr-CA"/>
        </w:rPr>
        <w:t xml:space="preserve"> </w:t>
      </w:r>
      <w:r w:rsidR="00B21EF5" w:rsidRPr="00A82D21">
        <w:rPr>
          <w:rFonts w:cs="Times New Roman"/>
          <w:szCs w:val="24"/>
          <w:lang w:val="fr-CA"/>
        </w:rPr>
        <w:t xml:space="preserve">(dissidente) </w:t>
      </w:r>
      <w:r w:rsidRPr="00A82D21">
        <w:rPr>
          <w:rFonts w:cs="Times New Roman"/>
          <w:szCs w:val="24"/>
          <w:lang w:val="fr-CA"/>
        </w:rPr>
        <w:t xml:space="preserve">— </w:t>
      </w:r>
      <w:r w:rsidR="003D19FF" w:rsidRPr="00A82D21">
        <w:rPr>
          <w:rFonts w:cs="Times New Roman"/>
          <w:szCs w:val="24"/>
          <w:lang w:val="fr-CA"/>
        </w:rPr>
        <w:t>« </w:t>
      </w:r>
      <w:r w:rsidR="007962BB" w:rsidRPr="00A82D21">
        <w:rPr>
          <w:rFonts w:cs="Times New Roman"/>
          <w:szCs w:val="24"/>
          <w:lang w:val="fr-CA"/>
        </w:rPr>
        <w:t>[O]n peut difficilement concevoir une activité de l’État qui soit plus dangereuse pour la vie privée des particuliers que la surveillance électronique</w:t>
      </w:r>
      <w:r w:rsidR="003D19FF" w:rsidRPr="00A82D21">
        <w:rPr>
          <w:rFonts w:cs="Times New Roman"/>
          <w:szCs w:val="24"/>
          <w:lang w:val="fr-CA"/>
        </w:rPr>
        <w:t> »</w:t>
      </w:r>
      <w:r w:rsidR="007962BB" w:rsidRPr="00A82D21">
        <w:rPr>
          <w:rFonts w:cs="Times New Roman"/>
          <w:szCs w:val="24"/>
          <w:lang w:val="fr-CA"/>
        </w:rPr>
        <w:t>. Ainsi s’exprimait le juge La Forest, en 1990, dans l’arrêt</w:t>
      </w:r>
      <w:r w:rsidR="007962BB" w:rsidRPr="00A82D21">
        <w:rPr>
          <w:rFonts w:cs="Times New Roman"/>
          <w:i/>
          <w:szCs w:val="24"/>
          <w:lang w:val="fr-CA"/>
        </w:rPr>
        <w:t xml:space="preserve"> Duarte</w:t>
      </w:r>
      <w:r w:rsidR="007962BB" w:rsidRPr="00A82D21">
        <w:rPr>
          <w:rStyle w:val="FootnoteReference"/>
          <w:rFonts w:cs="Times New Roman"/>
          <w:szCs w:val="24"/>
          <w:lang w:val="fr-CA"/>
        </w:rPr>
        <w:footnoteReference w:id="1"/>
      </w:r>
      <w:r w:rsidR="007962BB" w:rsidRPr="00A82D21">
        <w:rPr>
          <w:rFonts w:cs="Times New Roman"/>
          <w:szCs w:val="24"/>
          <w:lang w:val="fr-CA"/>
        </w:rPr>
        <w:t>. Dans le cours de ses réflexions au sujet de la menace que fait planer sur la vie privée des gens cette extraordinaire technique d’enquête, il a écrit ce qui suit :</w:t>
      </w:r>
    </w:p>
    <w:p w:rsidR="007962BB" w:rsidRPr="00A82D21" w:rsidRDefault="007962BB" w:rsidP="007962BB">
      <w:pPr>
        <w:pStyle w:val="Citation-AltC"/>
        <w:widowControl w:val="0"/>
        <w:ind w:hanging="1166"/>
        <w:rPr>
          <w:szCs w:val="24"/>
          <w:lang w:val="fr-CA"/>
        </w:rPr>
      </w:pPr>
      <w:r w:rsidRPr="00A82D21">
        <w:rPr>
          <w:szCs w:val="24"/>
          <w:lang w:val="fr-CA"/>
        </w:rPr>
        <w:tab/>
        <w:t>La surveillance électronique est à ce point efficace qu’elle rend possible, en l’absence de réglementation, l’anéantissement de tout espoir que nos communications restent privées. Une société nous exposant, au gré de l’État, au risque qu’un enregistrement électronique permanent soit fait de nos propos chaque fois que nous ouvrons la bouche, disposerait peut-être d’excellents moyens de combattre le crime, mais serait une société o</w:t>
      </w:r>
      <w:r w:rsidRPr="00A82D21">
        <w:rPr>
          <w:szCs w:val="24"/>
          <w:lang w:val="fr-FR"/>
        </w:rPr>
        <w:t>ù</w:t>
      </w:r>
      <w:r w:rsidRPr="00A82D21">
        <w:rPr>
          <w:szCs w:val="24"/>
          <w:lang w:val="fr-CA"/>
        </w:rPr>
        <w:t xml:space="preserve"> la notion de vie privée serait vide de sens. [p. 44]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Puis, dans l’arrêt </w:t>
      </w:r>
      <w:r w:rsidRPr="00A82D21">
        <w:rPr>
          <w:rFonts w:cs="Times New Roman"/>
          <w:i/>
          <w:szCs w:val="24"/>
          <w:lang w:val="fr-CA"/>
        </w:rPr>
        <w:t>R. c. Mills</w:t>
      </w:r>
      <w:r w:rsidRPr="00A82D21">
        <w:rPr>
          <w:rFonts w:cs="Times New Roman"/>
          <w:szCs w:val="24"/>
          <w:lang w:val="fr-CA"/>
        </w:rPr>
        <w:t xml:space="preserve">, [1999] 3 R.C.S. 668, notre Cour a conclu que </w:t>
      </w:r>
      <w:r w:rsidR="003D19FF" w:rsidRPr="00A82D21">
        <w:rPr>
          <w:rFonts w:cs="Times New Roman"/>
          <w:szCs w:val="24"/>
          <w:lang w:val="fr-CA"/>
        </w:rPr>
        <w:t>« </w:t>
      </w:r>
      <w:r w:rsidRPr="00A82D21">
        <w:rPr>
          <w:rFonts w:cs="Times New Roman"/>
          <w:szCs w:val="24"/>
          <w:lang w:val="fr-CA"/>
        </w:rPr>
        <w:t>[d]ans une société moderne, le droit à la protection de la vie privée comporte l’attente raisonnable que les renseignements privés ne resteront connus que des personnes à qui ils ont été divulgués et qu’ils ne seront utilisés que dans le but pour lequel ils ont été divulgués</w:t>
      </w:r>
      <w:r w:rsidR="003D19FF" w:rsidRPr="00A82D21">
        <w:rPr>
          <w:rFonts w:cs="Times New Roman"/>
          <w:szCs w:val="24"/>
          <w:lang w:val="fr-CA"/>
        </w:rPr>
        <w:t> »</w:t>
      </w:r>
      <w:r w:rsidRPr="00A82D21">
        <w:rPr>
          <w:rFonts w:cs="Times New Roman"/>
          <w:szCs w:val="24"/>
          <w:lang w:val="fr-CA"/>
        </w:rPr>
        <w:t xml:space="preserve"> (par. 108). Voir également </w:t>
      </w:r>
      <w:r w:rsidRPr="00A82D21">
        <w:rPr>
          <w:rFonts w:cs="Times New Roman"/>
          <w:i/>
          <w:szCs w:val="24"/>
          <w:lang w:val="fr-CA"/>
        </w:rPr>
        <w:t>R. c. Commisso</w:t>
      </w:r>
      <w:r w:rsidRPr="00A82D21">
        <w:rPr>
          <w:rFonts w:cs="Times New Roman"/>
          <w:szCs w:val="24"/>
          <w:lang w:val="fr-CA"/>
        </w:rPr>
        <w:t>, [1983] 2 R.C.S. 121, p. 134-135, le juge Dickson, dissident).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Notre</w:t>
      </w:r>
      <w:r w:rsidR="006340B6" w:rsidRPr="00A82D21">
        <w:rPr>
          <w:rFonts w:cs="Times New Roman"/>
          <w:szCs w:val="24"/>
          <w:lang w:val="fr-CA"/>
        </w:rPr>
        <w:t xml:space="preserve"> système de justice a pris à cœ</w:t>
      </w:r>
      <w:r w:rsidRPr="00A82D21">
        <w:rPr>
          <w:rFonts w:cs="Times New Roman"/>
          <w:szCs w:val="24"/>
          <w:lang w:val="fr-CA"/>
        </w:rPr>
        <w:t xml:space="preserve">ur ces mises en garde. En effet, la surveillance électronique ne peut être autorisée que dans les circonstances limitées énoncées à la partie VI du </w:t>
      </w:r>
      <w:r w:rsidRPr="00A82D21">
        <w:rPr>
          <w:rFonts w:cs="Times New Roman"/>
          <w:i/>
          <w:szCs w:val="24"/>
          <w:lang w:val="fr-CA"/>
        </w:rPr>
        <w:t>Code criminel</w:t>
      </w:r>
      <w:r w:rsidRPr="00A82D21">
        <w:rPr>
          <w:rStyle w:val="FootnoteReference"/>
          <w:rFonts w:cs="Times New Roman"/>
          <w:szCs w:val="24"/>
          <w:lang w:val="fr-CA"/>
        </w:rPr>
        <w:footnoteReference w:id="2"/>
      </w:r>
      <w:r w:rsidRPr="00A82D21">
        <w:rPr>
          <w:rFonts w:cs="Times New Roman"/>
          <w:szCs w:val="24"/>
          <w:lang w:val="fr-CA"/>
        </w:rPr>
        <w:t xml:space="preserve">, dans le cadre d’enquêtes relatives à des crimes graves, ou encore en vertu de la </w:t>
      </w:r>
      <w:r w:rsidRPr="00A82D21">
        <w:rPr>
          <w:rFonts w:cs="Times New Roman"/>
          <w:i/>
          <w:szCs w:val="24"/>
          <w:lang w:val="fr-CA"/>
        </w:rPr>
        <w:t xml:space="preserve">Loi sur le </w:t>
      </w:r>
      <w:r w:rsidR="00864CF4" w:rsidRPr="00A82D21">
        <w:rPr>
          <w:rFonts w:cs="Times New Roman"/>
          <w:i/>
          <w:szCs w:val="24"/>
          <w:lang w:val="fr-CA"/>
        </w:rPr>
        <w:t>S</w:t>
      </w:r>
      <w:r w:rsidRPr="00A82D21">
        <w:rPr>
          <w:rFonts w:cs="Times New Roman"/>
          <w:i/>
          <w:szCs w:val="24"/>
          <w:lang w:val="fr-CA"/>
        </w:rPr>
        <w:t>ervice canadien du renseignement de sécurité</w:t>
      </w:r>
      <w:r w:rsidRPr="00A82D21">
        <w:rPr>
          <w:rStyle w:val="FootnoteReference"/>
          <w:rFonts w:cs="Times New Roman"/>
          <w:szCs w:val="24"/>
          <w:lang w:val="fr-CA"/>
        </w:rPr>
        <w:footnoteReference w:id="3"/>
      </w:r>
      <w:r w:rsidRPr="00A82D21">
        <w:rPr>
          <w:rFonts w:cs="Times New Roman"/>
          <w:szCs w:val="24"/>
          <w:lang w:val="fr-CA"/>
        </w:rPr>
        <w:t xml:space="preserve">, en matière d’enquêtes sur des menaces envers la sécurité du Canada.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Il convient de souligner qu’en droit canadien aucune activité de surveillance électronique ne peut être autorisée à l’occasion d’une instance civile en vue de recueillir des éléments de preuve.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La question qui se pose dans les présents pourvois consiste à décider si des communications privées interceptées en vertu d’une autorisation accordée dans le cadre d’une enquête criminelle peuvent néanmoins être divulguées à l’étape de la communication préalable dans une instance civile. Avec égards pour l’opinion contraire, je suis d’avis que de telles communications ne peuvent être divulguées dans une instance civile que lorsqu’elles ont déjà été rendues publiques dans un procès </w:t>
      </w:r>
      <w:r w:rsidRPr="00A82D21">
        <w:rPr>
          <w:rFonts w:cs="Times New Roman"/>
          <w:szCs w:val="24"/>
          <w:lang w:val="fr-CA"/>
        </w:rPr>
        <w:lastRenderedPageBreak/>
        <w:t xml:space="preserve">criminel, ou lorsque les personnes visées par l’interception ont consenti à la divulgation ou ont autrement renoncé à leurs droits en matière de respect de la vie privée. Nous ne sommes en présence d’aucune de ces exceptions dans l’affaire dont nous sommes saisis.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La juge de première instance a ordonné que soient divulguées aux avocats et aux experts des demandeurs, sur la base de leur pertinence, des communications privées qui ont été interceptées. Elle l’a fait avant que quelque décision que ce soit ait été prononcée dans les procédures criminelles connexes concernant la validité de la surveillance électronique ou l’admissibilité des communications interceptées. L’ordonnance a été rendue en vertu de l’art. 402 du </w:t>
      </w:r>
      <w:r w:rsidRPr="00A82D21">
        <w:rPr>
          <w:rFonts w:cs="Times New Roman"/>
          <w:i/>
          <w:szCs w:val="24"/>
          <w:lang w:val="fr-CA"/>
        </w:rPr>
        <w:t>Code de procédure civile</w:t>
      </w:r>
      <w:r w:rsidRPr="00A82D21">
        <w:rPr>
          <w:rStyle w:val="FootnoteReference"/>
          <w:rFonts w:cs="Times New Roman"/>
          <w:szCs w:val="24"/>
          <w:lang w:val="fr-CA"/>
        </w:rPr>
        <w:footnoteReference w:id="4"/>
      </w:r>
      <w:r w:rsidRPr="00A82D21">
        <w:rPr>
          <w:rFonts w:cs="Times New Roman"/>
          <w:szCs w:val="24"/>
          <w:lang w:val="fr-CA"/>
        </w:rPr>
        <w:t xml:space="preserve">, qui énonce ce qui suit : </w:t>
      </w:r>
    </w:p>
    <w:p w:rsidR="007962BB" w:rsidRPr="00A82D21" w:rsidRDefault="007962BB" w:rsidP="007962BB">
      <w:pPr>
        <w:pStyle w:val="Citation-AltC"/>
        <w:widowControl w:val="0"/>
        <w:tabs>
          <w:tab w:val="left" w:pos="1440"/>
        </w:tabs>
        <w:ind w:hanging="1166"/>
        <w:rPr>
          <w:szCs w:val="24"/>
          <w:lang w:val="fr-CA"/>
        </w:rPr>
      </w:pPr>
      <w:r w:rsidRPr="00A82D21">
        <w:rPr>
          <w:b/>
          <w:szCs w:val="24"/>
          <w:lang w:val="fr-CA"/>
        </w:rPr>
        <w:tab/>
        <w:t>402.</w:t>
      </w:r>
      <w:r w:rsidRPr="00A82D21">
        <w:rPr>
          <w:szCs w:val="24"/>
          <w:lang w:val="fr-CA"/>
        </w:rPr>
        <w:t xml:space="preserve">  Si, après production de la défense, il appert au dossier qu’un document se rapportant au litige est entre les mains d’un tiers, celui-ci sera tenu d’en donner communication aux parties, sur assignation autorisée par le tribunal, à moins de raisons le justifiant de s’y opposer.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Cette disposition confère un vaste pouvoir discrétionnaire au juge de première instance, mais ne lui donne toutefois pas carte blanche pour ordonner la divulgation de communications jouissant d’une protection légale pratiquement impénétrable, comme </w:t>
      </w:r>
      <w:r w:rsidR="000C1A32" w:rsidRPr="00A82D21">
        <w:rPr>
          <w:rFonts w:cs="Times New Roman"/>
          <w:szCs w:val="24"/>
          <w:lang w:val="fr-CA"/>
        </w:rPr>
        <w:t>c’est le cas pour</w:t>
      </w:r>
      <w:r w:rsidRPr="00A82D21">
        <w:rPr>
          <w:rFonts w:cs="Times New Roman"/>
          <w:szCs w:val="24"/>
          <w:lang w:val="fr-CA"/>
        </w:rPr>
        <w:t xml:space="preserve"> les communications privilégiées. À mon avis, les éléments de preuve recueillis au moyen de mesures de surveillance électronique ont droit à la même protection et, par conséquent, ne se prêtent pas à une mise en balance des intérêts opposés.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lastRenderedPageBreak/>
        <w:t xml:space="preserve">Les décisions relatives au secret professionnel de l’avocat peuvent apporter des indications utiles. Par exemple, dans l’arrêt </w:t>
      </w:r>
      <w:r w:rsidRPr="00A82D21">
        <w:rPr>
          <w:rFonts w:cs="Times New Roman"/>
          <w:i/>
          <w:szCs w:val="24"/>
          <w:lang w:val="fr-CA"/>
        </w:rPr>
        <w:t>Goodis c. Ontario (Ministère des Services correctionnels)</w:t>
      </w:r>
      <w:r w:rsidRPr="00A82D21">
        <w:rPr>
          <w:rFonts w:cs="Times New Roman"/>
          <w:szCs w:val="24"/>
          <w:lang w:val="fr-CA"/>
        </w:rPr>
        <w:t xml:space="preserve">, [2006] 2 R.C.S. 32, la pertinence des communications ne justifiait pas la divulgation, à l’avocate de la partie adverse, de documents possiblement privilégiés. En d’autres mots, lorsque des communications sont protégées par un privilège, elles ne peuvent être soumises à une opération de mise en balance où le tribunal soupèse leur pertinence et leur immunité de divulgation. Elles sont protégées </w:t>
      </w:r>
      <w:r w:rsidRPr="00A82D21">
        <w:rPr>
          <w:rFonts w:cs="Times New Roman"/>
          <w:i/>
          <w:szCs w:val="24"/>
          <w:lang w:val="fr-CA"/>
        </w:rPr>
        <w:t>indépendamment</w:t>
      </w:r>
      <w:r w:rsidRPr="00A82D21">
        <w:rPr>
          <w:rFonts w:cs="Times New Roman"/>
          <w:szCs w:val="24"/>
          <w:lang w:val="fr-CA"/>
        </w:rPr>
        <w:t xml:space="preserve"> de leur pertinence.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Il me semble que cette façon de considérer les communications interceptées trouve un appui supplémentaire dans le fait législatif suivant : tant le droit général au respect de la vie privée que le droit particulier au respect du secret professionnel sont expressément protégés dans la </w:t>
      </w:r>
      <w:r w:rsidRPr="00A82D21">
        <w:rPr>
          <w:rFonts w:cs="Times New Roman"/>
          <w:i/>
          <w:szCs w:val="24"/>
          <w:lang w:val="fr-CA"/>
        </w:rPr>
        <w:t>Charte des droits et libertés de la personne</w:t>
      </w:r>
      <w:r w:rsidRPr="00A82D21">
        <w:rPr>
          <w:rStyle w:val="FootnoteReference"/>
          <w:rFonts w:cs="Times New Roman"/>
          <w:szCs w:val="24"/>
          <w:lang w:val="fr-CA"/>
        </w:rPr>
        <w:footnoteReference w:id="5"/>
      </w:r>
      <w:r w:rsidRPr="00A82D21">
        <w:rPr>
          <w:rFonts w:cs="Times New Roman"/>
          <w:szCs w:val="24"/>
          <w:lang w:val="fr-CA"/>
        </w:rPr>
        <w:t xml:space="preserve"> du Québec. Il ne faudrait donc pas interpréter le pouvoir discrétionnaire conféré à l’art. 402 du </w:t>
      </w:r>
      <w:r w:rsidRPr="00A82D21">
        <w:rPr>
          <w:rFonts w:cs="Times New Roman"/>
          <w:i/>
          <w:szCs w:val="24"/>
          <w:lang w:val="fr-CA"/>
        </w:rPr>
        <w:t>Code de procédure civile</w:t>
      </w:r>
      <w:r w:rsidRPr="00A82D21">
        <w:rPr>
          <w:rFonts w:cs="Times New Roman"/>
          <w:szCs w:val="24"/>
          <w:lang w:val="fr-CA"/>
        </w:rPr>
        <w:t xml:space="preserve"> d’une manière qui supprimerait la protection scrupuleuse contre la divulgation des communications interceptées prévue par d’autres règles de droit.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Cela nous amène à la protection plus grande que prévoit la partie VI du </w:t>
      </w:r>
      <w:r w:rsidRPr="00A82D21">
        <w:rPr>
          <w:rFonts w:cs="Times New Roman"/>
          <w:i/>
          <w:szCs w:val="24"/>
          <w:lang w:val="fr-CA"/>
        </w:rPr>
        <w:t>Code criminel</w:t>
      </w:r>
      <w:r w:rsidRPr="00A82D21">
        <w:rPr>
          <w:rFonts w:cs="Times New Roman"/>
          <w:szCs w:val="24"/>
          <w:lang w:val="fr-CA"/>
        </w:rPr>
        <w:t xml:space="preserve"> à l’égard des communications interceptées. Aux termes du par. 193(1), qui figure dans la partie VI, divulguer des communications interceptées constitue une infraction. Les seules exceptions sont énoncées aux par. 193(2) et (3). L’alinéa 193(2)</w:t>
      </w:r>
      <w:r w:rsidRPr="00A82D21">
        <w:rPr>
          <w:rFonts w:cs="Times New Roman"/>
          <w:i/>
          <w:szCs w:val="24"/>
          <w:lang w:val="fr-CA"/>
        </w:rPr>
        <w:t>a</w:t>
      </w:r>
      <w:r w:rsidRPr="00A82D21">
        <w:rPr>
          <w:rFonts w:cs="Times New Roman"/>
          <w:szCs w:val="24"/>
          <w:lang w:val="fr-CA"/>
        </w:rPr>
        <w:t xml:space="preserve">) est la disposition pertinente pour les besoins du présent pourvoi : </w:t>
      </w:r>
    </w:p>
    <w:p w:rsidR="007962BB" w:rsidRPr="00A82D21" w:rsidRDefault="007962BB" w:rsidP="008A4779">
      <w:pPr>
        <w:pStyle w:val="Citation-AltC"/>
        <w:widowControl w:val="0"/>
        <w:tabs>
          <w:tab w:val="left" w:pos="1710"/>
          <w:tab w:val="left" w:pos="1920"/>
        </w:tabs>
        <w:spacing w:after="240"/>
        <w:ind w:hanging="1166"/>
        <w:contextualSpacing w:val="0"/>
        <w:rPr>
          <w:szCs w:val="24"/>
          <w:lang w:val="fr-FR"/>
        </w:rPr>
      </w:pPr>
      <w:r w:rsidRPr="00A82D21">
        <w:rPr>
          <w:szCs w:val="24"/>
          <w:lang w:val="fr-FR"/>
        </w:rPr>
        <w:lastRenderedPageBreak/>
        <w:tab/>
      </w:r>
      <w:r w:rsidR="00864CF4" w:rsidRPr="00A82D21">
        <w:rPr>
          <w:szCs w:val="24"/>
          <w:lang w:val="fr-FR"/>
        </w:rPr>
        <w:tab/>
      </w:r>
      <w:r w:rsidRPr="00A82D21">
        <w:rPr>
          <w:b/>
          <w:szCs w:val="24"/>
          <w:lang w:val="fr-FR"/>
        </w:rPr>
        <w:t>193.</w:t>
      </w:r>
      <w:r w:rsidR="00864CF4" w:rsidRPr="00A82D21">
        <w:rPr>
          <w:b/>
          <w:szCs w:val="24"/>
          <w:lang w:val="fr-FR"/>
        </w:rPr>
        <w:t xml:space="preserve"> </w:t>
      </w:r>
      <w:r w:rsidR="003D19FF" w:rsidRPr="00A82D21">
        <w:rPr>
          <w:szCs w:val="24"/>
          <w:lang w:val="fr-FR"/>
        </w:rPr>
        <w:t>. . .</w:t>
      </w:r>
    </w:p>
    <w:p w:rsidR="007962BB" w:rsidRPr="00A82D21" w:rsidRDefault="00481597" w:rsidP="008A4779">
      <w:pPr>
        <w:pStyle w:val="Citation-AltC"/>
        <w:widowControl w:val="0"/>
        <w:tabs>
          <w:tab w:val="left" w:pos="1710"/>
          <w:tab w:val="left" w:pos="1920"/>
        </w:tabs>
        <w:spacing w:after="240"/>
        <w:ind w:hanging="1166"/>
        <w:contextualSpacing w:val="0"/>
        <w:rPr>
          <w:szCs w:val="24"/>
          <w:lang w:val="fr-FR"/>
        </w:rPr>
      </w:pPr>
      <w:r w:rsidRPr="00A82D21">
        <w:rPr>
          <w:szCs w:val="24"/>
          <w:lang w:val="fr-FR"/>
        </w:rPr>
        <w:tab/>
      </w:r>
      <w:r w:rsidRPr="00A82D21">
        <w:rPr>
          <w:szCs w:val="24"/>
          <w:lang w:val="fr-FR"/>
        </w:rPr>
        <w:tab/>
        <w:t xml:space="preserve">(2) </w:t>
      </w:r>
      <w:r w:rsidR="007962BB" w:rsidRPr="00A82D21">
        <w:rPr>
          <w:szCs w:val="24"/>
          <w:lang w:val="fr-FR"/>
        </w:rPr>
        <w:t>Le paragraphe (1) ne s’applique pas à une personne qui divulgue soit tout ou partie d’une communication privée, ou la substance, le sens ou l’objet de tout ou partie de celle-ci, soit l’existence d’une communication privée :</w:t>
      </w:r>
    </w:p>
    <w:p w:rsidR="007962BB" w:rsidRPr="00A82D21" w:rsidRDefault="007962BB" w:rsidP="00864CF4">
      <w:pPr>
        <w:pStyle w:val="Citation-AltC"/>
        <w:widowControl w:val="0"/>
        <w:tabs>
          <w:tab w:val="left" w:pos="2160"/>
        </w:tabs>
        <w:spacing w:after="640"/>
        <w:ind w:left="1714" w:hanging="1714"/>
        <w:contextualSpacing w:val="0"/>
        <w:rPr>
          <w:szCs w:val="24"/>
          <w:lang w:val="fr-CA"/>
        </w:rPr>
      </w:pPr>
      <w:r w:rsidRPr="00A82D21">
        <w:rPr>
          <w:i/>
          <w:iCs/>
          <w:szCs w:val="24"/>
          <w:lang w:val="fr-CA"/>
        </w:rPr>
        <w:tab/>
        <w:t>a</w:t>
      </w:r>
      <w:r w:rsidRPr="00A82D21">
        <w:rPr>
          <w:szCs w:val="24"/>
          <w:lang w:val="fr-CA"/>
        </w:rPr>
        <w:t>)</w:t>
      </w:r>
      <w:r w:rsidRPr="00A82D21">
        <w:rPr>
          <w:szCs w:val="24"/>
          <w:lang w:val="fr-CA"/>
        </w:rPr>
        <w:tab/>
        <w:t>au cours ou aux fins d’une déposition lors de poursuites civiles ou pénales ou de toutes autres procédures dans lesquelles elle peut être requise de déposer sous serment;</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La partie VI reconnaît le caractère exceptionnellement attentatoire de la surveillance électronique, en ce qu’elle permet l’interception de communications privées par l’État </w:t>
      </w:r>
      <w:r w:rsidRPr="00A82D21">
        <w:rPr>
          <w:rFonts w:cs="Times New Roman"/>
          <w:i/>
          <w:szCs w:val="24"/>
          <w:lang w:val="fr-CA"/>
        </w:rPr>
        <w:t>uniquement</w:t>
      </w:r>
      <w:r w:rsidRPr="00A82D21">
        <w:rPr>
          <w:rFonts w:cs="Times New Roman"/>
          <w:szCs w:val="24"/>
          <w:lang w:val="fr-CA"/>
        </w:rPr>
        <w:t xml:space="preserve"> si certaines garanties expresses sont respectées. Parmi ces garanties, mentionnons les suivantes : des restrictions quant aux types d’infractions criminelles à l’égard desquelles une autorisation peut être accordée</w:t>
      </w:r>
      <w:r w:rsidRPr="00A82D21">
        <w:rPr>
          <w:rStyle w:val="FootnoteReference"/>
          <w:rFonts w:cs="Times New Roman"/>
          <w:szCs w:val="24"/>
          <w:lang w:val="fr-CA"/>
        </w:rPr>
        <w:footnoteReference w:id="6"/>
      </w:r>
      <w:r w:rsidRPr="00A82D21">
        <w:rPr>
          <w:rFonts w:cs="Times New Roman"/>
          <w:szCs w:val="24"/>
          <w:lang w:val="fr-CA"/>
        </w:rPr>
        <w:t>; la condition exigeant qu’il n’existe aucune autre méthode raisonnable permettant d’enquêter sur le crime en question</w:t>
      </w:r>
      <w:r w:rsidRPr="00A82D21">
        <w:rPr>
          <w:rStyle w:val="FootnoteReference"/>
          <w:rFonts w:cs="Times New Roman"/>
          <w:szCs w:val="24"/>
          <w:lang w:val="fr-CA"/>
        </w:rPr>
        <w:footnoteReference w:id="7"/>
      </w:r>
      <w:r w:rsidRPr="00A82D21">
        <w:rPr>
          <w:rFonts w:cs="Times New Roman"/>
          <w:szCs w:val="24"/>
          <w:lang w:val="fr-CA"/>
        </w:rPr>
        <w:t>; l’obligation d’aviser dans un délai déterminé les personnes qui ont fait l’objet de l’interception</w:t>
      </w:r>
      <w:r w:rsidRPr="00A82D21">
        <w:rPr>
          <w:rStyle w:val="FootnoteReference"/>
          <w:rFonts w:cs="Times New Roman"/>
          <w:szCs w:val="24"/>
          <w:lang w:val="fr-CA"/>
        </w:rPr>
        <w:footnoteReference w:id="8"/>
      </w:r>
      <w:r w:rsidRPr="00A82D21">
        <w:rPr>
          <w:rFonts w:cs="Times New Roman"/>
          <w:szCs w:val="24"/>
          <w:lang w:val="fr-CA"/>
        </w:rPr>
        <w:t>, mesure qui leur permet d’attaquer la légalité de l’interception. Tant qu’il n’a pas été statué sur la légalité d’une interception contestée, les communications interceptées ne sont pas admissibles dans une instance pénale.</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Cela signifie que l’al. 193(2)</w:t>
      </w:r>
      <w:r w:rsidRPr="00A82D21">
        <w:rPr>
          <w:rFonts w:cs="Times New Roman"/>
          <w:i/>
          <w:szCs w:val="24"/>
          <w:lang w:val="fr-CA"/>
        </w:rPr>
        <w:t>a</w:t>
      </w:r>
      <w:r w:rsidRPr="00A82D21">
        <w:rPr>
          <w:rFonts w:cs="Times New Roman"/>
          <w:szCs w:val="24"/>
          <w:lang w:val="fr-CA"/>
        </w:rPr>
        <w:t>) ne devrait pas être interprété d’une manière qui écarte les mesures de protection de la vie privée que prévoit la partie VI. L’alinéa 193(2)</w:t>
      </w:r>
      <w:r w:rsidRPr="00A82D21">
        <w:rPr>
          <w:rFonts w:cs="Times New Roman"/>
          <w:i/>
          <w:szCs w:val="24"/>
          <w:lang w:val="fr-CA"/>
        </w:rPr>
        <w:t>a</w:t>
      </w:r>
      <w:r w:rsidRPr="00A82D21">
        <w:rPr>
          <w:rFonts w:cs="Times New Roman"/>
          <w:szCs w:val="24"/>
          <w:lang w:val="fr-CA"/>
        </w:rPr>
        <w:t xml:space="preserve">) ne crée pas un droit d’accès aux communications interceptées. À tout le moins, il ne devrait pas pouvoir être invoqué pour prévenir une décision </w:t>
      </w:r>
      <w:r w:rsidRPr="00A82D21">
        <w:rPr>
          <w:rFonts w:cs="Times New Roman"/>
          <w:szCs w:val="24"/>
          <w:lang w:val="fr-CA"/>
        </w:rPr>
        <w:lastRenderedPageBreak/>
        <w:t xml:space="preserve">judiciaire relative à la validité d’interceptions. Tant que la validité de ces interceptions n’a pas été constatée ou concédée et que les communications interceptées n’ont pas été admises en preuve dans une instance criminelle, elles conservent à toutes fins utiles leur caractère privé et le public ne peut y avoir accès. Si, par contre, les communications interceptées sont jugées légales et admissibles et sont rendues publiques dans l’instance en question, elles deviennent alors publiques à toutes fins utiles, y compris dans le cadre de procédures civiles.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Le fait de se fonder sur l’al. 193(2)</w:t>
      </w:r>
      <w:r w:rsidRPr="00A82D21">
        <w:rPr>
          <w:rFonts w:cs="Times New Roman"/>
          <w:i/>
          <w:szCs w:val="24"/>
          <w:lang w:val="fr-CA"/>
        </w:rPr>
        <w:t>a</w:t>
      </w:r>
      <w:r w:rsidRPr="00A82D21">
        <w:rPr>
          <w:rFonts w:cs="Times New Roman"/>
          <w:szCs w:val="24"/>
          <w:lang w:val="fr-CA"/>
        </w:rPr>
        <w:t xml:space="preserve">) afin de permettre à des plaideurs dans une instance civile d’obtenir la divulgation de communications interceptées dans une enquête criminelle — avant qu’une interception contestée ait été jugée légale — permet à ces mêmes plaideurs de bénéficier indirectement d’une technique d’enquête extraordinaire à laquelle ils n’ont autrement pas droit en vertu de la loi. Il me paraît paradoxal d’affirmer que des communications assidûment protégées contre la divulgation dans le système de justice criminelle puissent d’une certaine manière perdre ces protections simplement en traversant la rue et en entrant dans le système de justice civile. </w:t>
      </w:r>
    </w:p>
    <w:p w:rsidR="007962BB" w:rsidRPr="00A82D21" w:rsidRDefault="007962BB" w:rsidP="007962BB">
      <w:pPr>
        <w:pStyle w:val="ParaNoNdepar-AltN"/>
        <w:widowControl w:val="0"/>
        <w:rPr>
          <w:rFonts w:cs="Times New Roman"/>
          <w:szCs w:val="24"/>
        </w:rPr>
      </w:pPr>
      <w:r w:rsidRPr="00A82D21">
        <w:rPr>
          <w:rFonts w:cs="Times New Roman"/>
          <w:szCs w:val="24"/>
          <w:lang w:val="fr-CA"/>
        </w:rPr>
        <w:t xml:space="preserve">Il convient également de souligner que, dans d’autres pays, des communications privées interceptées ne peuvent jamais être divulguées dans un litige civil entre des parties privées : </w:t>
      </w:r>
      <w:r w:rsidRPr="00A82D21">
        <w:rPr>
          <w:rFonts w:cs="Times New Roman"/>
          <w:i/>
          <w:szCs w:val="24"/>
          <w:lang w:val="fr-CA"/>
        </w:rPr>
        <w:t>National Broadcasting Co. c. United States Department of Justice</w:t>
      </w:r>
      <w:r w:rsidRPr="00A82D21">
        <w:rPr>
          <w:rFonts w:cs="Times New Roman"/>
          <w:szCs w:val="24"/>
          <w:lang w:val="fr-CA"/>
        </w:rPr>
        <w:t xml:space="preserve">, 735 F.2d 51 (2nd Cir. 1984); </w:t>
      </w:r>
      <w:r w:rsidRPr="00A82D21">
        <w:rPr>
          <w:rFonts w:cs="Times New Roman"/>
          <w:i/>
          <w:szCs w:val="24"/>
          <w:lang w:val="fr-CA"/>
        </w:rPr>
        <w:t>In re Motion to Unseal Electronic Surveillance Evidence</w:t>
      </w:r>
      <w:r w:rsidRPr="00A82D21">
        <w:rPr>
          <w:rFonts w:cs="Times New Roman"/>
          <w:szCs w:val="24"/>
          <w:lang w:val="fr-CA"/>
        </w:rPr>
        <w:t xml:space="preserve">, 990 F.2d 1015 (8th Cir. 1993); C. S. Fishman et A. T. McKenna, </w:t>
      </w:r>
      <w:r w:rsidRPr="00A82D21">
        <w:rPr>
          <w:rFonts w:cs="Times New Roman"/>
          <w:i/>
          <w:szCs w:val="24"/>
          <w:lang w:val="fr-CA"/>
        </w:rPr>
        <w:t>Wiretapping &amp; Eavesdropping : Surveillance in the Internet Age</w:t>
      </w:r>
      <w:r w:rsidRPr="00A82D21">
        <w:rPr>
          <w:rFonts w:cs="Times New Roman"/>
          <w:szCs w:val="24"/>
          <w:lang w:val="fr-CA"/>
        </w:rPr>
        <w:t xml:space="preserve"> (3</w:t>
      </w:r>
      <w:r w:rsidRPr="00A82D21">
        <w:rPr>
          <w:rFonts w:cs="Times New Roman"/>
          <w:szCs w:val="24"/>
          <w:vertAlign w:val="superscript"/>
          <w:lang w:val="fr-CA"/>
        </w:rPr>
        <w:t>e</w:t>
      </w:r>
      <w:r w:rsidRPr="00A82D21">
        <w:rPr>
          <w:rFonts w:cs="Times New Roman"/>
          <w:szCs w:val="24"/>
          <w:lang w:val="fr-CA"/>
        </w:rPr>
        <w:t xml:space="preserve"> éd. </w:t>
      </w:r>
      <w:r w:rsidRPr="00A82D21">
        <w:rPr>
          <w:rFonts w:cs="Times New Roman"/>
          <w:szCs w:val="24"/>
        </w:rPr>
        <w:lastRenderedPageBreak/>
        <w:t>(feuilles mobiles)), vol. 4, §</w:t>
      </w:r>
      <w:r w:rsidR="00864CF4" w:rsidRPr="00A82D21">
        <w:rPr>
          <w:rFonts w:cs="Times New Roman"/>
          <w:szCs w:val="24"/>
        </w:rPr>
        <w:t xml:space="preserve"> </w:t>
      </w:r>
      <w:r w:rsidRPr="00A82D21">
        <w:rPr>
          <w:rFonts w:cs="Times New Roman"/>
          <w:szCs w:val="24"/>
        </w:rPr>
        <w:t>41:69;</w:t>
      </w:r>
      <w:r w:rsidRPr="00A82D21">
        <w:rPr>
          <w:rFonts w:cs="Times New Roman"/>
          <w:i/>
          <w:szCs w:val="24"/>
        </w:rPr>
        <w:t xml:space="preserve"> Regulation of Investigatory Powers Act 2000</w:t>
      </w:r>
      <w:r w:rsidRPr="00A82D21">
        <w:rPr>
          <w:rFonts w:cs="Times New Roman"/>
          <w:szCs w:val="24"/>
        </w:rPr>
        <w:t xml:space="preserve"> (R.</w:t>
      </w:r>
      <w:r w:rsidR="00840F92" w:rsidRPr="00A82D21">
        <w:rPr>
          <w:rFonts w:cs="Times New Roman"/>
          <w:szCs w:val="24"/>
        </w:rPr>
        <w:t>-</w:t>
      </w:r>
      <w:r w:rsidRPr="00A82D21">
        <w:rPr>
          <w:rFonts w:cs="Times New Roman"/>
          <w:szCs w:val="24"/>
        </w:rPr>
        <w:t xml:space="preserve">U.), 2000, ch. 23, art. 17 </w:t>
      </w:r>
      <w:proofErr w:type="gramStart"/>
      <w:r w:rsidRPr="00A82D21">
        <w:rPr>
          <w:rFonts w:cs="Times New Roman"/>
          <w:szCs w:val="24"/>
        </w:rPr>
        <w:t>et</w:t>
      </w:r>
      <w:proofErr w:type="gramEnd"/>
      <w:r w:rsidRPr="00A82D21">
        <w:rPr>
          <w:rFonts w:cs="Times New Roman"/>
          <w:szCs w:val="24"/>
        </w:rPr>
        <w:t xml:space="preserve"> 18.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 xml:space="preserve">En l’espèce, la juge de première instance a ordonné, dans le cadre d’une instance civile portant sur le prix de l’essence, la divulgation de communications privées confidentielles interceptées. Le prix de l’essence constitue indubitablement une question importante, mais cette question est loin d’être suffisamment urgente pour le public pour justifier la divulgation prématurée de communications privées avant que la légalité de leur interception — et le droit du public d’en prendre connaissance — ait été judiciairement décidée dans le procès criminel. </w:t>
      </w:r>
    </w:p>
    <w:p w:rsidR="007962BB" w:rsidRPr="00A82D21" w:rsidRDefault="007962BB" w:rsidP="007962BB">
      <w:pPr>
        <w:pStyle w:val="ParaNoNdepar-AltN"/>
        <w:widowControl w:val="0"/>
        <w:rPr>
          <w:rFonts w:cs="Times New Roman"/>
          <w:szCs w:val="24"/>
          <w:lang w:val="fr-CA"/>
        </w:rPr>
      </w:pPr>
      <w:r w:rsidRPr="00A82D21">
        <w:rPr>
          <w:rFonts w:cs="Times New Roman"/>
          <w:szCs w:val="24"/>
          <w:lang w:val="fr-CA"/>
        </w:rPr>
        <w:t>J’accueillerais les pourvois.</w:t>
      </w:r>
    </w:p>
    <w:p w:rsidR="004D7D95" w:rsidRPr="00A82D21" w:rsidRDefault="004D7D95" w:rsidP="007962BB">
      <w:pPr>
        <w:pStyle w:val="SCCNormalDoubleSpacing"/>
        <w:widowControl w:val="0"/>
        <w:spacing w:before="480" w:after="480"/>
        <w:rPr>
          <w:i/>
          <w:szCs w:val="24"/>
          <w:lang w:val="fr-CA"/>
        </w:rPr>
      </w:pPr>
      <w:r w:rsidRPr="00A82D21">
        <w:rPr>
          <w:szCs w:val="24"/>
          <w:lang w:val="fr-CA"/>
        </w:rPr>
        <w:tab/>
      </w:r>
      <w:r w:rsidR="00E40202" w:rsidRPr="00A82D21">
        <w:rPr>
          <w:i/>
          <w:szCs w:val="24"/>
          <w:lang w:val="fr-CA"/>
        </w:rPr>
        <w:t>Pourvois rejetés</w:t>
      </w:r>
      <w:r w:rsidR="0028642D" w:rsidRPr="00A82D21">
        <w:rPr>
          <w:i/>
          <w:szCs w:val="24"/>
          <w:lang w:val="fr-CA"/>
        </w:rPr>
        <w:t xml:space="preserve"> avec dépens</w:t>
      </w:r>
      <w:r w:rsidR="00D351D2" w:rsidRPr="00A82D21">
        <w:rPr>
          <w:i/>
          <w:szCs w:val="24"/>
          <w:lang w:val="fr-CA"/>
        </w:rPr>
        <w:t xml:space="preserve">, la juge </w:t>
      </w:r>
      <w:r w:rsidR="00D351D2" w:rsidRPr="00A82D21">
        <w:rPr>
          <w:smallCaps/>
          <w:szCs w:val="24"/>
          <w:lang w:val="fr-CA"/>
        </w:rPr>
        <w:t>Abella</w:t>
      </w:r>
      <w:r w:rsidR="00D351D2" w:rsidRPr="00A82D21">
        <w:rPr>
          <w:i/>
          <w:szCs w:val="24"/>
          <w:lang w:val="fr-CA"/>
        </w:rPr>
        <w:t xml:space="preserve"> est dissidente</w:t>
      </w:r>
      <w:r w:rsidR="00E40202" w:rsidRPr="00A82D21">
        <w:rPr>
          <w:i/>
          <w:szCs w:val="24"/>
          <w:lang w:val="fr-CA"/>
        </w:rPr>
        <w:t xml:space="preserve">. </w:t>
      </w:r>
    </w:p>
    <w:p w:rsidR="008211A9" w:rsidRPr="00A82D21" w:rsidRDefault="008211A9" w:rsidP="007962BB">
      <w:pPr>
        <w:pStyle w:val="SCCLawFirm"/>
        <w:widowControl w:val="0"/>
        <w:spacing w:before="480" w:after="480"/>
        <w:rPr>
          <w:szCs w:val="24"/>
          <w:lang w:val="fr-CA"/>
        </w:rPr>
      </w:pPr>
      <w:r w:rsidRPr="00A82D21">
        <w:rPr>
          <w:szCs w:val="24"/>
          <w:lang w:val="fr-CA"/>
        </w:rPr>
        <w:tab/>
        <w:t>Procureurs de l</w:t>
      </w:r>
      <w:r w:rsidR="00D70D07" w:rsidRPr="00A82D21">
        <w:rPr>
          <w:szCs w:val="24"/>
          <w:lang w:val="fr-CA"/>
        </w:rPr>
        <w:t>’</w:t>
      </w:r>
      <w:r w:rsidRPr="00A82D21">
        <w:rPr>
          <w:szCs w:val="24"/>
          <w:lang w:val="fr-CA"/>
        </w:rPr>
        <w:t>appelante Pétrolière Impériale</w:t>
      </w:r>
      <w:r w:rsidR="007962BB" w:rsidRPr="00A82D21">
        <w:rPr>
          <w:szCs w:val="24"/>
          <w:lang w:val="fr-CA"/>
        </w:rPr>
        <w:t xml:space="preserve"> : </w:t>
      </w:r>
      <w:r w:rsidRPr="00A82D21">
        <w:rPr>
          <w:szCs w:val="24"/>
          <w:lang w:val="fr-CA"/>
        </w:rPr>
        <w:t>Gowling Lafleur Henderson, Montréal et Ottawa.</w:t>
      </w:r>
    </w:p>
    <w:p w:rsidR="008211A9" w:rsidRPr="00A82D21" w:rsidRDefault="008211A9" w:rsidP="007962BB">
      <w:pPr>
        <w:pStyle w:val="SCCNormalDoubleSpacing"/>
        <w:widowControl w:val="0"/>
        <w:spacing w:before="480" w:after="480"/>
        <w:rPr>
          <w:rStyle w:val="SCCCounselSeparatorChar"/>
          <w:i/>
          <w:szCs w:val="24"/>
          <w:lang w:val="fr-CA"/>
        </w:rPr>
      </w:pPr>
      <w:r w:rsidRPr="00A82D21">
        <w:rPr>
          <w:rStyle w:val="SCCCounselNameChar"/>
          <w:szCs w:val="24"/>
          <w:lang w:val="fr-CA"/>
        </w:rPr>
        <w:tab/>
        <w:t>Procureurs des appelants Couche</w:t>
      </w:r>
      <w:r w:rsidR="007962BB" w:rsidRPr="00A82D21">
        <w:rPr>
          <w:rStyle w:val="SCCCounselNameChar"/>
          <w:szCs w:val="24"/>
          <w:lang w:val="fr-CA"/>
        </w:rPr>
        <w:t>-</w:t>
      </w:r>
      <w:r w:rsidRPr="00A82D21">
        <w:rPr>
          <w:rStyle w:val="SCCCounselNameChar"/>
          <w:szCs w:val="24"/>
          <w:lang w:val="fr-CA"/>
        </w:rPr>
        <w:t>Tard inc.</w:t>
      </w:r>
      <w:r w:rsidR="00557086" w:rsidRPr="00A82D21">
        <w:rPr>
          <w:rStyle w:val="SCCCounselNameChar"/>
          <w:szCs w:val="24"/>
          <w:lang w:val="fr-CA"/>
        </w:rPr>
        <w:t xml:space="preserve"> et autres</w:t>
      </w:r>
      <w:r w:rsidR="007962BB" w:rsidRPr="00A82D21">
        <w:rPr>
          <w:rStyle w:val="SCCCounselNameChar"/>
          <w:szCs w:val="24"/>
          <w:lang w:val="fr-CA"/>
        </w:rPr>
        <w:t xml:space="preserve"> : </w:t>
      </w:r>
      <w:r w:rsidRPr="00A82D21">
        <w:rPr>
          <w:rStyle w:val="SCCCounselNameChar"/>
          <w:szCs w:val="24"/>
          <w:lang w:val="fr-CA"/>
        </w:rPr>
        <w:t>Davies Ward Phillips &amp; Vineberg, Montréal; Louis Belleau, Montréal; Chenette, Boutique de litige, Montréal; Osler Hoskin &amp; Harcourt, Montréal; McMillan, Montréal; Langlois Kronström Desjardins, Montréal; Miller Thomson, Toronto; Miller Thomson Pouliot, Montréal.</w:t>
      </w:r>
    </w:p>
    <w:p w:rsidR="008211A9" w:rsidRPr="00A82D21" w:rsidRDefault="008211A9" w:rsidP="007962BB">
      <w:pPr>
        <w:pStyle w:val="SCCNormalDoubleSpacing"/>
        <w:widowControl w:val="0"/>
        <w:spacing w:before="480" w:after="480"/>
        <w:rPr>
          <w:rStyle w:val="SCCCounselNameChar"/>
          <w:szCs w:val="24"/>
          <w:lang w:val="fr-CA"/>
        </w:rPr>
      </w:pPr>
      <w:r w:rsidRPr="00A82D21">
        <w:rPr>
          <w:rStyle w:val="SCCCounselNameChar"/>
          <w:szCs w:val="24"/>
          <w:lang w:val="fr-CA"/>
        </w:rPr>
        <w:lastRenderedPageBreak/>
        <w:tab/>
        <w:t>Procureurs de l</w:t>
      </w:r>
      <w:r w:rsidR="00D70D07" w:rsidRPr="00A82D21">
        <w:rPr>
          <w:rStyle w:val="SCCCounselNameChar"/>
          <w:szCs w:val="24"/>
          <w:lang w:val="fr-CA"/>
        </w:rPr>
        <w:t>’</w:t>
      </w:r>
      <w:r w:rsidRPr="00A82D21">
        <w:rPr>
          <w:rStyle w:val="SCCCounselNameChar"/>
          <w:szCs w:val="24"/>
          <w:lang w:val="fr-CA"/>
        </w:rPr>
        <w:t>appelante Ultramar ltée</w:t>
      </w:r>
      <w:r w:rsidR="007962BB" w:rsidRPr="00A82D21">
        <w:rPr>
          <w:rStyle w:val="SCCCounselNameChar"/>
          <w:szCs w:val="24"/>
          <w:lang w:val="fr-CA"/>
        </w:rPr>
        <w:t xml:space="preserve"> : </w:t>
      </w:r>
      <w:r w:rsidRPr="00A82D21">
        <w:rPr>
          <w:rStyle w:val="SCCCounselNameChar"/>
          <w:szCs w:val="24"/>
          <w:lang w:val="fr-CA"/>
        </w:rPr>
        <w:t>Stikeman Elliott, Montréal.</w:t>
      </w:r>
    </w:p>
    <w:p w:rsidR="008211A9" w:rsidRPr="00A82D21" w:rsidRDefault="008211A9" w:rsidP="007962BB">
      <w:pPr>
        <w:pStyle w:val="SCCNormalDoubleSpacing"/>
        <w:widowControl w:val="0"/>
        <w:spacing w:before="480" w:after="480"/>
        <w:rPr>
          <w:rStyle w:val="SCCCounselPartyRoleChar"/>
          <w:i/>
          <w:szCs w:val="24"/>
          <w:lang w:val="fr-CA"/>
        </w:rPr>
      </w:pPr>
      <w:r w:rsidRPr="00A82D21">
        <w:rPr>
          <w:rStyle w:val="SCCCounselNameChar"/>
          <w:szCs w:val="24"/>
          <w:lang w:val="fr-CA"/>
        </w:rPr>
        <w:tab/>
        <w:t>Procureurs des intimés</w:t>
      </w:r>
      <w:r w:rsidRPr="00A82D21">
        <w:rPr>
          <w:rStyle w:val="SCCCounselPartyRoleChar"/>
          <w:i/>
          <w:szCs w:val="24"/>
          <w:lang w:val="fr-CA"/>
        </w:rPr>
        <w:t xml:space="preserve"> Simon Jacques</w:t>
      </w:r>
      <w:r w:rsidR="00557086" w:rsidRPr="00A82D21">
        <w:rPr>
          <w:rStyle w:val="SCCCounselPartyRoleChar"/>
          <w:i/>
          <w:szCs w:val="24"/>
          <w:lang w:val="fr-CA"/>
        </w:rPr>
        <w:t xml:space="preserve"> et autres</w:t>
      </w:r>
      <w:r w:rsidR="007962BB" w:rsidRPr="00A82D21">
        <w:rPr>
          <w:rStyle w:val="SCCCounselPartyRoleChar"/>
          <w:i/>
          <w:szCs w:val="24"/>
          <w:lang w:val="fr-CA"/>
        </w:rPr>
        <w:t xml:space="preserve"> : </w:t>
      </w:r>
      <w:r w:rsidRPr="00A82D21">
        <w:rPr>
          <w:rStyle w:val="SCCCounselPartyRoleChar"/>
          <w:i/>
          <w:szCs w:val="24"/>
          <w:lang w:val="fr-CA"/>
        </w:rPr>
        <w:t>Bernier Beaudry, Québec; Paquette Gadler, Montréal.</w:t>
      </w:r>
    </w:p>
    <w:p w:rsidR="008211A9" w:rsidRPr="00A82D21" w:rsidRDefault="008211A9" w:rsidP="007962BB">
      <w:pPr>
        <w:pStyle w:val="SCCNormalDoubleSpacing"/>
        <w:widowControl w:val="0"/>
        <w:spacing w:before="480" w:after="480"/>
        <w:rPr>
          <w:i/>
          <w:szCs w:val="24"/>
          <w:lang w:val="fr-CA"/>
        </w:rPr>
      </w:pPr>
      <w:r w:rsidRPr="00A82D21">
        <w:rPr>
          <w:rStyle w:val="SCCCounselNameChar"/>
          <w:szCs w:val="24"/>
          <w:lang w:val="fr-CA"/>
        </w:rPr>
        <w:tab/>
        <w:t>Procureurs de l</w:t>
      </w:r>
      <w:r w:rsidR="00D70D07" w:rsidRPr="00A82D21">
        <w:rPr>
          <w:rStyle w:val="SCCCounselPartyRoleChar"/>
          <w:i/>
          <w:szCs w:val="24"/>
          <w:lang w:val="fr-CA"/>
        </w:rPr>
        <w:t>’</w:t>
      </w:r>
      <w:r w:rsidRPr="00A82D21">
        <w:rPr>
          <w:rStyle w:val="SCCCounselPartyRoleChar"/>
          <w:i/>
          <w:szCs w:val="24"/>
          <w:lang w:val="fr-CA"/>
        </w:rPr>
        <w:t>intimé le procureur général du Québec</w:t>
      </w:r>
      <w:r w:rsidR="007962BB" w:rsidRPr="00A82D21">
        <w:rPr>
          <w:rStyle w:val="SCCCounselPartyRoleChar"/>
          <w:i/>
          <w:szCs w:val="24"/>
          <w:lang w:val="fr-CA"/>
        </w:rPr>
        <w:t xml:space="preserve"> : </w:t>
      </w:r>
      <w:r w:rsidRPr="00A82D21">
        <w:rPr>
          <w:rStyle w:val="SCCCounselPartyRoleChar"/>
          <w:i/>
          <w:szCs w:val="24"/>
          <w:lang w:val="fr-CA"/>
        </w:rPr>
        <w:t>Procureur général du Québec, Québec; Chamberland Gagnon, Québec.</w:t>
      </w:r>
    </w:p>
    <w:p w:rsidR="008211A9" w:rsidRPr="00A82D21" w:rsidRDefault="008211A9" w:rsidP="007962BB">
      <w:pPr>
        <w:pStyle w:val="SCCNormalDoubleSpacing"/>
        <w:widowControl w:val="0"/>
        <w:spacing w:before="480" w:after="480"/>
        <w:rPr>
          <w:rStyle w:val="SCCCounselPartyRoleChar"/>
          <w:i/>
          <w:szCs w:val="24"/>
          <w:lang w:val="fr-CA"/>
        </w:rPr>
      </w:pPr>
      <w:r w:rsidRPr="00A82D21">
        <w:rPr>
          <w:rStyle w:val="SCCCounselNameChar"/>
          <w:szCs w:val="24"/>
          <w:lang w:val="fr-CA"/>
        </w:rPr>
        <w:tab/>
        <w:t>Procureur de l</w:t>
      </w:r>
      <w:r w:rsidR="00D70D07" w:rsidRPr="00A82D21">
        <w:rPr>
          <w:rStyle w:val="SCCCounselNameChar"/>
          <w:szCs w:val="24"/>
          <w:lang w:val="fr-CA"/>
        </w:rPr>
        <w:t>’</w:t>
      </w:r>
      <w:r w:rsidRPr="00A82D21">
        <w:rPr>
          <w:rStyle w:val="SCCCounselPartyRoleChar"/>
          <w:i/>
          <w:szCs w:val="24"/>
          <w:lang w:val="fr-CA"/>
        </w:rPr>
        <w:t>intimé le directeur des poursuites pénales du Canada</w:t>
      </w:r>
      <w:r w:rsidR="007962BB" w:rsidRPr="00A82D21">
        <w:rPr>
          <w:rStyle w:val="SCCCounselPartyRoleChar"/>
          <w:i/>
          <w:szCs w:val="24"/>
          <w:lang w:val="fr-CA"/>
        </w:rPr>
        <w:t xml:space="preserve"> : </w:t>
      </w:r>
      <w:r w:rsidRPr="00A82D21">
        <w:rPr>
          <w:rStyle w:val="SCCCounselPartyRoleChar"/>
          <w:i/>
          <w:szCs w:val="24"/>
          <w:lang w:val="fr-CA"/>
        </w:rPr>
        <w:t>Service des poursuites pénales du Canada, Ottawa.</w:t>
      </w:r>
    </w:p>
    <w:p w:rsidR="00D56A2D" w:rsidRPr="00A82D21" w:rsidRDefault="008211A9" w:rsidP="007962BB">
      <w:pPr>
        <w:pStyle w:val="SCCNormalDoubleSpacing"/>
        <w:widowControl w:val="0"/>
        <w:rPr>
          <w:b/>
          <w:szCs w:val="24"/>
          <w:lang w:val="fr-CA"/>
        </w:rPr>
      </w:pPr>
      <w:r w:rsidRPr="00A82D21">
        <w:rPr>
          <w:rStyle w:val="SCCCounselPartyRoleChar"/>
          <w:i/>
          <w:szCs w:val="24"/>
          <w:lang w:val="fr-CA"/>
        </w:rPr>
        <w:tab/>
        <w:t>Procureur de l</w:t>
      </w:r>
      <w:r w:rsidR="00D70D07" w:rsidRPr="00A82D21">
        <w:rPr>
          <w:rStyle w:val="SCCCounselPartyRoleChar"/>
          <w:i/>
          <w:szCs w:val="24"/>
          <w:lang w:val="fr-CA"/>
        </w:rPr>
        <w:t>’</w:t>
      </w:r>
      <w:r w:rsidRPr="00A82D21">
        <w:rPr>
          <w:rStyle w:val="SCCCounselPartyRoleChar"/>
          <w:i/>
          <w:szCs w:val="24"/>
          <w:lang w:val="fr-CA"/>
        </w:rPr>
        <w:t>intervenant le procureur général de l</w:t>
      </w:r>
      <w:r w:rsidR="00D70D07" w:rsidRPr="00A82D21">
        <w:rPr>
          <w:rStyle w:val="SCCCounselPartyRoleChar"/>
          <w:i/>
          <w:szCs w:val="24"/>
          <w:lang w:val="fr-CA"/>
        </w:rPr>
        <w:t>’</w:t>
      </w:r>
      <w:r w:rsidRPr="00A82D21">
        <w:rPr>
          <w:rStyle w:val="SCCCounselPartyRoleChar"/>
          <w:i/>
          <w:szCs w:val="24"/>
          <w:lang w:val="fr-CA"/>
        </w:rPr>
        <w:t>Ontario</w:t>
      </w:r>
      <w:r w:rsidR="007962BB" w:rsidRPr="00A82D21">
        <w:rPr>
          <w:rStyle w:val="SCCCounselPartyRoleChar"/>
          <w:i/>
          <w:szCs w:val="24"/>
          <w:lang w:val="fr-CA"/>
        </w:rPr>
        <w:t xml:space="preserve"> : </w:t>
      </w:r>
      <w:r w:rsidRPr="00A82D21">
        <w:rPr>
          <w:rStyle w:val="SCCCounselPartyRoleChar"/>
          <w:i/>
          <w:szCs w:val="24"/>
          <w:lang w:val="fr-CA"/>
        </w:rPr>
        <w:t>Procureur général de l</w:t>
      </w:r>
      <w:r w:rsidR="00D70D07" w:rsidRPr="00A82D21">
        <w:rPr>
          <w:rStyle w:val="SCCCounselPartyRoleChar"/>
          <w:i/>
          <w:szCs w:val="24"/>
          <w:lang w:val="fr-CA"/>
        </w:rPr>
        <w:t>’</w:t>
      </w:r>
      <w:r w:rsidRPr="00A82D21">
        <w:rPr>
          <w:rStyle w:val="SCCCounselPartyRoleChar"/>
          <w:i/>
          <w:szCs w:val="24"/>
          <w:lang w:val="fr-CA"/>
        </w:rPr>
        <w:t>Ontario, Toronto.</w:t>
      </w:r>
    </w:p>
    <w:p w:rsidR="007962BB" w:rsidRPr="00A82D21" w:rsidRDefault="007962BB" w:rsidP="007962BB">
      <w:pPr>
        <w:pStyle w:val="SCCNormalDoubleSpacing"/>
        <w:widowControl w:val="0"/>
        <w:rPr>
          <w:szCs w:val="24"/>
          <w:lang w:val="fr-CA"/>
        </w:rPr>
      </w:pPr>
    </w:p>
    <w:sectPr w:rsidR="007962BB" w:rsidRPr="00A82D2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13" w:rsidRDefault="00FA4413">
      <w:r>
        <w:separator/>
      </w:r>
    </w:p>
  </w:endnote>
  <w:endnote w:type="continuationSeparator" w:id="0">
    <w:p w:rsidR="00FA4413" w:rsidRDefault="00FA4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13" w:rsidRDefault="00FA4413">
      <w:r>
        <w:separator/>
      </w:r>
    </w:p>
  </w:footnote>
  <w:footnote w:type="continuationSeparator" w:id="0">
    <w:p w:rsidR="00FA4413" w:rsidRDefault="00FA4413">
      <w:r>
        <w:continuationSeparator/>
      </w:r>
    </w:p>
  </w:footnote>
  <w:footnote w:id="1">
    <w:p w:rsidR="00FA4413" w:rsidRPr="000753EC" w:rsidRDefault="00FA4413" w:rsidP="007962BB">
      <w:pPr>
        <w:pStyle w:val="FootnoteText"/>
      </w:pPr>
      <w:r>
        <w:rPr>
          <w:rStyle w:val="FootnoteReference"/>
        </w:rPr>
        <w:footnoteRef/>
      </w:r>
      <w:r w:rsidRPr="000753EC">
        <w:t xml:space="preserve"> </w:t>
      </w:r>
      <w:r w:rsidRPr="000753EC">
        <w:rPr>
          <w:i/>
        </w:rPr>
        <w:t>R. c. Duarte</w:t>
      </w:r>
      <w:r w:rsidRPr="000753EC">
        <w:t>, [1990] 1 R.C.S. 30</w:t>
      </w:r>
      <w:r w:rsidRPr="009D42C9">
        <w:t>, p.</w:t>
      </w:r>
      <w:r w:rsidRPr="000753EC">
        <w:t xml:space="preserve"> 43.</w:t>
      </w:r>
    </w:p>
  </w:footnote>
  <w:footnote w:id="2">
    <w:p w:rsidR="00FA4413" w:rsidRPr="000753EC" w:rsidRDefault="00FA4413" w:rsidP="007962BB">
      <w:pPr>
        <w:pStyle w:val="FootnoteText"/>
      </w:pPr>
      <w:r>
        <w:rPr>
          <w:rStyle w:val="FootnoteReference"/>
        </w:rPr>
        <w:footnoteRef/>
      </w:r>
      <w:r w:rsidRPr="000753EC">
        <w:t xml:space="preserve"> L.R.C. 1985, c</w:t>
      </w:r>
      <w:r>
        <w:t>h</w:t>
      </w:r>
      <w:r w:rsidRPr="000753EC">
        <w:t>. C-46, art. 183</w:t>
      </w:r>
      <w:r>
        <w:t>,</w:t>
      </w:r>
      <w:r w:rsidRPr="000753EC">
        <w:t xml:space="preserve"> al. </w:t>
      </w:r>
      <w:r w:rsidRPr="000753EC">
        <w:rPr>
          <w:i/>
        </w:rPr>
        <w:t>a</w:t>
      </w:r>
      <w:r w:rsidRPr="000753EC">
        <w:t>) de la définition d</w:t>
      </w:r>
      <w:r>
        <w:t>’</w:t>
      </w:r>
      <w:r w:rsidRPr="000753EC">
        <w:t>« infraction ».</w:t>
      </w:r>
    </w:p>
  </w:footnote>
  <w:footnote w:id="3">
    <w:p w:rsidR="00FA4413" w:rsidRPr="00D22466" w:rsidRDefault="00FA4413" w:rsidP="007962BB">
      <w:pPr>
        <w:pStyle w:val="FootnoteText"/>
        <w:rPr>
          <w:lang w:val="en-CA"/>
        </w:rPr>
      </w:pPr>
      <w:r>
        <w:rPr>
          <w:rStyle w:val="FootnoteReference"/>
        </w:rPr>
        <w:footnoteRef/>
      </w:r>
      <w:r w:rsidRPr="000753EC">
        <w:rPr>
          <w:lang w:val="en-CA"/>
        </w:rPr>
        <w:t xml:space="preserve"> </w:t>
      </w:r>
      <w:proofErr w:type="gramStart"/>
      <w:r>
        <w:rPr>
          <w:lang w:val="en-CA"/>
        </w:rPr>
        <w:t>L.</w:t>
      </w:r>
      <w:r w:rsidRPr="000753EC">
        <w:rPr>
          <w:lang w:val="en-CA"/>
        </w:rPr>
        <w:t>R.C. 1985, c</w:t>
      </w:r>
      <w:r>
        <w:rPr>
          <w:lang w:val="en-CA"/>
        </w:rPr>
        <w:t>h</w:t>
      </w:r>
      <w:r w:rsidRPr="000753EC">
        <w:rPr>
          <w:lang w:val="en-CA"/>
        </w:rPr>
        <w:t xml:space="preserve">. C-23, </w:t>
      </w:r>
      <w:r>
        <w:rPr>
          <w:lang w:val="en-CA"/>
        </w:rPr>
        <w:t>art</w:t>
      </w:r>
      <w:r w:rsidRPr="000753EC">
        <w:rPr>
          <w:lang w:val="en-CA"/>
        </w:rPr>
        <w:t>.</w:t>
      </w:r>
      <w:proofErr w:type="gramEnd"/>
      <w:r w:rsidRPr="000753EC">
        <w:rPr>
          <w:lang w:val="en-CA"/>
        </w:rPr>
        <w:t xml:space="preserve"> 21.</w:t>
      </w:r>
    </w:p>
  </w:footnote>
  <w:footnote w:id="4">
    <w:p w:rsidR="00FA4413" w:rsidRPr="00D22247" w:rsidRDefault="00FA4413" w:rsidP="007962BB">
      <w:pPr>
        <w:pStyle w:val="FootnoteText"/>
        <w:rPr>
          <w:lang w:val="en-CA"/>
        </w:rPr>
      </w:pPr>
      <w:r>
        <w:rPr>
          <w:rStyle w:val="FootnoteReference"/>
        </w:rPr>
        <w:footnoteRef/>
      </w:r>
      <w:r w:rsidRPr="000753EC">
        <w:rPr>
          <w:lang w:val="en-CA"/>
        </w:rPr>
        <w:t xml:space="preserve"> </w:t>
      </w:r>
      <w:proofErr w:type="gramStart"/>
      <w:r>
        <w:rPr>
          <w:lang w:val="en-CA"/>
        </w:rPr>
        <w:t>RLRQ,</w:t>
      </w:r>
      <w:r w:rsidRPr="000753EC">
        <w:rPr>
          <w:lang w:val="en-CA"/>
        </w:rPr>
        <w:t xml:space="preserve"> c</w:t>
      </w:r>
      <w:r>
        <w:rPr>
          <w:lang w:val="en-CA"/>
        </w:rPr>
        <w:t>h</w:t>
      </w:r>
      <w:r w:rsidRPr="009D42C9">
        <w:rPr>
          <w:lang w:val="en-CA"/>
        </w:rPr>
        <w:t>.</w:t>
      </w:r>
      <w:r w:rsidRPr="000753EC">
        <w:rPr>
          <w:lang w:val="en-CA"/>
        </w:rPr>
        <w:t xml:space="preserve"> C-25.</w:t>
      </w:r>
      <w:proofErr w:type="gramEnd"/>
    </w:p>
  </w:footnote>
  <w:footnote w:id="5">
    <w:p w:rsidR="00FA4413" w:rsidRPr="00764B9F" w:rsidRDefault="00FA4413" w:rsidP="007962BB">
      <w:pPr>
        <w:pStyle w:val="FootnoteText"/>
      </w:pPr>
      <w:r>
        <w:rPr>
          <w:rStyle w:val="FootnoteReference"/>
        </w:rPr>
        <w:footnoteRef/>
      </w:r>
      <w:r w:rsidRPr="00DC3DC1">
        <w:t xml:space="preserve"> RLRQ, ch. </w:t>
      </w:r>
      <w:r w:rsidRPr="00764B9F">
        <w:t>C-12, art. 5 et 9.</w:t>
      </w:r>
    </w:p>
  </w:footnote>
  <w:footnote w:id="6">
    <w:p w:rsidR="00FA4413" w:rsidRPr="008C755F" w:rsidRDefault="00FA4413" w:rsidP="007962BB">
      <w:pPr>
        <w:pStyle w:val="FootnoteText"/>
      </w:pPr>
      <w:r>
        <w:rPr>
          <w:rStyle w:val="FootnoteReference"/>
        </w:rPr>
        <w:footnoteRef/>
      </w:r>
      <w:r w:rsidRPr="008C755F">
        <w:t xml:space="preserve"> </w:t>
      </w:r>
      <w:proofErr w:type="gramStart"/>
      <w:r w:rsidRPr="008C755F">
        <w:t>art</w:t>
      </w:r>
      <w:proofErr w:type="gramEnd"/>
      <w:r w:rsidRPr="008C755F">
        <w:t xml:space="preserve">. 183, al. </w:t>
      </w:r>
      <w:r w:rsidRPr="008C755F">
        <w:rPr>
          <w:i/>
        </w:rPr>
        <w:t>a</w:t>
      </w:r>
      <w:r w:rsidRPr="008C755F">
        <w:t xml:space="preserve">) de la </w:t>
      </w:r>
      <w:r>
        <w:t>définition d’« infraction ».</w:t>
      </w:r>
    </w:p>
  </w:footnote>
  <w:footnote w:id="7">
    <w:p w:rsidR="00FA4413" w:rsidRPr="008C755F" w:rsidRDefault="00FA4413" w:rsidP="007962BB">
      <w:pPr>
        <w:pStyle w:val="FootnoteText"/>
        <w:rPr>
          <w:lang w:val="en-CA"/>
        </w:rPr>
      </w:pPr>
      <w:r>
        <w:rPr>
          <w:rStyle w:val="FootnoteReference"/>
        </w:rPr>
        <w:footnoteRef/>
      </w:r>
      <w:r w:rsidRPr="008C755F">
        <w:rPr>
          <w:lang w:val="en-CA"/>
        </w:rPr>
        <w:t xml:space="preserve"> </w:t>
      </w:r>
      <w:proofErr w:type="gramStart"/>
      <w:r w:rsidRPr="00764B9F">
        <w:rPr>
          <w:lang w:val="en-CA"/>
        </w:rPr>
        <w:t>al</w:t>
      </w:r>
      <w:proofErr w:type="gramEnd"/>
      <w:r w:rsidRPr="00764B9F">
        <w:rPr>
          <w:lang w:val="en-CA"/>
        </w:rPr>
        <w:t>. 186(1)</w:t>
      </w:r>
      <w:r w:rsidRPr="00764B9F">
        <w:rPr>
          <w:i/>
          <w:lang w:val="en-CA"/>
        </w:rPr>
        <w:t>b</w:t>
      </w:r>
      <w:r w:rsidRPr="00764B9F">
        <w:rPr>
          <w:lang w:val="en-CA"/>
        </w:rPr>
        <w:t xml:space="preserve">); </w:t>
      </w:r>
      <w:r w:rsidRPr="00764B9F">
        <w:rPr>
          <w:i/>
          <w:lang w:val="en-CA"/>
        </w:rPr>
        <w:t>R. c. Araujo</w:t>
      </w:r>
      <w:r w:rsidRPr="00764B9F">
        <w:rPr>
          <w:lang w:val="en-CA"/>
        </w:rPr>
        <w:t>, [2000] 2 R.C.S. 992.</w:t>
      </w:r>
    </w:p>
  </w:footnote>
  <w:footnote w:id="8">
    <w:p w:rsidR="00FA4413" w:rsidRPr="00471102" w:rsidRDefault="00FA4413" w:rsidP="007962BB">
      <w:pPr>
        <w:pStyle w:val="FootnoteText"/>
        <w:rPr>
          <w:lang w:val="en-CA"/>
        </w:rPr>
      </w:pPr>
      <w:r>
        <w:rPr>
          <w:rStyle w:val="FootnoteReference"/>
        </w:rPr>
        <w:footnoteRef/>
      </w:r>
      <w:r w:rsidRPr="00471102">
        <w:rPr>
          <w:lang w:val="en-CA"/>
        </w:rPr>
        <w:t xml:space="preserve"> </w:t>
      </w:r>
      <w:proofErr w:type="gramStart"/>
      <w:r w:rsidRPr="00471102">
        <w:rPr>
          <w:lang w:val="en-CA"/>
        </w:rPr>
        <w:t>art</w:t>
      </w:r>
      <w:proofErr w:type="gramEnd"/>
      <w:r w:rsidRPr="00471102">
        <w:rPr>
          <w:lang w:val="en-CA"/>
        </w:rPr>
        <w:t>.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13" w:rsidRPr="00450352" w:rsidRDefault="00FA441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
    <w:nsid w:val="54283EE8"/>
    <w:multiLevelType w:val="multilevel"/>
    <w:tmpl w:val="7B4CB5E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90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dirty"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rsids>
    <w:rsidRoot w:val="0031414C"/>
    <w:rsid w:val="00000662"/>
    <w:rsid w:val="00000ED4"/>
    <w:rsid w:val="00001E69"/>
    <w:rsid w:val="000024B3"/>
    <w:rsid w:val="00010E49"/>
    <w:rsid w:val="00013DFF"/>
    <w:rsid w:val="00023FC7"/>
    <w:rsid w:val="00025198"/>
    <w:rsid w:val="000472E3"/>
    <w:rsid w:val="00047B80"/>
    <w:rsid w:val="000501C5"/>
    <w:rsid w:val="000517E2"/>
    <w:rsid w:val="000578A3"/>
    <w:rsid w:val="000648CC"/>
    <w:rsid w:val="00067E08"/>
    <w:rsid w:val="00077312"/>
    <w:rsid w:val="00084116"/>
    <w:rsid w:val="00086386"/>
    <w:rsid w:val="000B7F38"/>
    <w:rsid w:val="000C1A32"/>
    <w:rsid w:val="000C3D0B"/>
    <w:rsid w:val="000C59B8"/>
    <w:rsid w:val="000C6AF0"/>
    <w:rsid w:val="000D0A77"/>
    <w:rsid w:val="000D2782"/>
    <w:rsid w:val="000E73F2"/>
    <w:rsid w:val="000E7AF8"/>
    <w:rsid w:val="000F7993"/>
    <w:rsid w:val="00104F33"/>
    <w:rsid w:val="00105564"/>
    <w:rsid w:val="001109F8"/>
    <w:rsid w:val="00111DE2"/>
    <w:rsid w:val="00114B5E"/>
    <w:rsid w:val="00116B38"/>
    <w:rsid w:val="00125345"/>
    <w:rsid w:val="00135406"/>
    <w:rsid w:val="00135972"/>
    <w:rsid w:val="00135EEF"/>
    <w:rsid w:val="001426A9"/>
    <w:rsid w:val="00150C95"/>
    <w:rsid w:val="00151360"/>
    <w:rsid w:val="00154D7C"/>
    <w:rsid w:val="001570B0"/>
    <w:rsid w:val="0015752C"/>
    <w:rsid w:val="00157737"/>
    <w:rsid w:val="00162B6E"/>
    <w:rsid w:val="0016482F"/>
    <w:rsid w:val="00165277"/>
    <w:rsid w:val="001665BC"/>
    <w:rsid w:val="00170592"/>
    <w:rsid w:val="001714AA"/>
    <w:rsid w:val="001720F7"/>
    <w:rsid w:val="00180453"/>
    <w:rsid w:val="00195405"/>
    <w:rsid w:val="00195D83"/>
    <w:rsid w:val="001A00C1"/>
    <w:rsid w:val="001A065B"/>
    <w:rsid w:val="001A287E"/>
    <w:rsid w:val="001B27F1"/>
    <w:rsid w:val="001B33E0"/>
    <w:rsid w:val="001B4573"/>
    <w:rsid w:val="001C779F"/>
    <w:rsid w:val="001D051A"/>
    <w:rsid w:val="001D2AC1"/>
    <w:rsid w:val="001D4E88"/>
    <w:rsid w:val="00204D3C"/>
    <w:rsid w:val="00220FC2"/>
    <w:rsid w:val="002222F4"/>
    <w:rsid w:val="00224FC0"/>
    <w:rsid w:val="00225EA4"/>
    <w:rsid w:val="00226EAF"/>
    <w:rsid w:val="00231F3A"/>
    <w:rsid w:val="002406EE"/>
    <w:rsid w:val="00243EC8"/>
    <w:rsid w:val="002471F4"/>
    <w:rsid w:val="002523E1"/>
    <w:rsid w:val="0025530F"/>
    <w:rsid w:val="00270D93"/>
    <w:rsid w:val="00272392"/>
    <w:rsid w:val="002745CC"/>
    <w:rsid w:val="00276FC0"/>
    <w:rsid w:val="002820CA"/>
    <w:rsid w:val="002823AA"/>
    <w:rsid w:val="0028642D"/>
    <w:rsid w:val="002A7975"/>
    <w:rsid w:val="002B1A6B"/>
    <w:rsid w:val="002B6FBE"/>
    <w:rsid w:val="002B7924"/>
    <w:rsid w:val="002C10A6"/>
    <w:rsid w:val="002C4BBD"/>
    <w:rsid w:val="002D28C3"/>
    <w:rsid w:val="002D39A4"/>
    <w:rsid w:val="002D6F47"/>
    <w:rsid w:val="002D757C"/>
    <w:rsid w:val="002E6705"/>
    <w:rsid w:val="0030329A"/>
    <w:rsid w:val="0031086F"/>
    <w:rsid w:val="0031414C"/>
    <w:rsid w:val="00314E01"/>
    <w:rsid w:val="0032089D"/>
    <w:rsid w:val="0032697A"/>
    <w:rsid w:val="003310DE"/>
    <w:rsid w:val="003323B0"/>
    <w:rsid w:val="00340A49"/>
    <w:rsid w:val="0034416A"/>
    <w:rsid w:val="0035169A"/>
    <w:rsid w:val="0035259D"/>
    <w:rsid w:val="00357A3B"/>
    <w:rsid w:val="00360C5E"/>
    <w:rsid w:val="00361C11"/>
    <w:rsid w:val="00364B18"/>
    <w:rsid w:val="00365CF7"/>
    <w:rsid w:val="00367D0E"/>
    <w:rsid w:val="00382B96"/>
    <w:rsid w:val="003973DE"/>
    <w:rsid w:val="003A125D"/>
    <w:rsid w:val="003A4C70"/>
    <w:rsid w:val="003B215F"/>
    <w:rsid w:val="003B62EE"/>
    <w:rsid w:val="003C2F89"/>
    <w:rsid w:val="003C799C"/>
    <w:rsid w:val="003D0399"/>
    <w:rsid w:val="003D19FF"/>
    <w:rsid w:val="003D1FE9"/>
    <w:rsid w:val="003D3410"/>
    <w:rsid w:val="003E0D79"/>
    <w:rsid w:val="003E1C71"/>
    <w:rsid w:val="003E4BFF"/>
    <w:rsid w:val="003E64FD"/>
    <w:rsid w:val="003F0561"/>
    <w:rsid w:val="003F327B"/>
    <w:rsid w:val="003F3E74"/>
    <w:rsid w:val="003F4AB9"/>
    <w:rsid w:val="00406166"/>
    <w:rsid w:val="0040704B"/>
    <w:rsid w:val="00410A55"/>
    <w:rsid w:val="00411300"/>
    <w:rsid w:val="00413F17"/>
    <w:rsid w:val="00415417"/>
    <w:rsid w:val="00426659"/>
    <w:rsid w:val="00427EFF"/>
    <w:rsid w:val="00432BA4"/>
    <w:rsid w:val="0043490B"/>
    <w:rsid w:val="004364EA"/>
    <w:rsid w:val="004367BB"/>
    <w:rsid w:val="00450352"/>
    <w:rsid w:val="00454BDB"/>
    <w:rsid w:val="0046504B"/>
    <w:rsid w:val="00465132"/>
    <w:rsid w:val="00480C90"/>
    <w:rsid w:val="00481597"/>
    <w:rsid w:val="0048396F"/>
    <w:rsid w:val="00491A04"/>
    <w:rsid w:val="00493C18"/>
    <w:rsid w:val="004A5EA2"/>
    <w:rsid w:val="004A600C"/>
    <w:rsid w:val="004A6118"/>
    <w:rsid w:val="004C428D"/>
    <w:rsid w:val="004C478D"/>
    <w:rsid w:val="004C799D"/>
    <w:rsid w:val="004D2D28"/>
    <w:rsid w:val="004D3960"/>
    <w:rsid w:val="004D7D95"/>
    <w:rsid w:val="004E2C26"/>
    <w:rsid w:val="004F1A6B"/>
    <w:rsid w:val="004F3FFB"/>
    <w:rsid w:val="004F4928"/>
    <w:rsid w:val="005125A8"/>
    <w:rsid w:val="00517549"/>
    <w:rsid w:val="00520ABC"/>
    <w:rsid w:val="00521AE8"/>
    <w:rsid w:val="00525E0A"/>
    <w:rsid w:val="00527180"/>
    <w:rsid w:val="005379D6"/>
    <w:rsid w:val="00544A20"/>
    <w:rsid w:val="005550C3"/>
    <w:rsid w:val="005551AC"/>
    <w:rsid w:val="00555291"/>
    <w:rsid w:val="00557086"/>
    <w:rsid w:val="00566AD1"/>
    <w:rsid w:val="0057299A"/>
    <w:rsid w:val="005800DE"/>
    <w:rsid w:val="0058154D"/>
    <w:rsid w:val="0058256D"/>
    <w:rsid w:val="00583EDE"/>
    <w:rsid w:val="00591E94"/>
    <w:rsid w:val="0059259E"/>
    <w:rsid w:val="005A3609"/>
    <w:rsid w:val="005A5141"/>
    <w:rsid w:val="005A6079"/>
    <w:rsid w:val="005B1EB6"/>
    <w:rsid w:val="005C02DC"/>
    <w:rsid w:val="005C7193"/>
    <w:rsid w:val="005D7E14"/>
    <w:rsid w:val="005E4698"/>
    <w:rsid w:val="005E7845"/>
    <w:rsid w:val="005F1039"/>
    <w:rsid w:val="005F7B51"/>
    <w:rsid w:val="00603924"/>
    <w:rsid w:val="00610539"/>
    <w:rsid w:val="00613969"/>
    <w:rsid w:val="00616AAD"/>
    <w:rsid w:val="00625C35"/>
    <w:rsid w:val="00627AF7"/>
    <w:rsid w:val="006340B6"/>
    <w:rsid w:val="00641CCD"/>
    <w:rsid w:val="00644F5A"/>
    <w:rsid w:val="00647E49"/>
    <w:rsid w:val="00656313"/>
    <w:rsid w:val="006565F4"/>
    <w:rsid w:val="006644DA"/>
    <w:rsid w:val="0067074A"/>
    <w:rsid w:val="00676918"/>
    <w:rsid w:val="00684EEA"/>
    <w:rsid w:val="0068569A"/>
    <w:rsid w:val="0069689B"/>
    <w:rsid w:val="0069710A"/>
    <w:rsid w:val="006B5FF5"/>
    <w:rsid w:val="006C4060"/>
    <w:rsid w:val="006D01EF"/>
    <w:rsid w:val="006D30AF"/>
    <w:rsid w:val="006D5BBB"/>
    <w:rsid w:val="006E4CC2"/>
    <w:rsid w:val="006F30AF"/>
    <w:rsid w:val="00701759"/>
    <w:rsid w:val="00705C15"/>
    <w:rsid w:val="007110F6"/>
    <w:rsid w:val="00717639"/>
    <w:rsid w:val="007208D1"/>
    <w:rsid w:val="00744518"/>
    <w:rsid w:val="00747288"/>
    <w:rsid w:val="00747DD3"/>
    <w:rsid w:val="007549C8"/>
    <w:rsid w:val="0076212F"/>
    <w:rsid w:val="00766D14"/>
    <w:rsid w:val="00767A0F"/>
    <w:rsid w:val="007732DC"/>
    <w:rsid w:val="007733B3"/>
    <w:rsid w:val="007853D6"/>
    <w:rsid w:val="00790EBB"/>
    <w:rsid w:val="00791272"/>
    <w:rsid w:val="007922D6"/>
    <w:rsid w:val="007962BB"/>
    <w:rsid w:val="007A05F6"/>
    <w:rsid w:val="007A759B"/>
    <w:rsid w:val="007B6F4A"/>
    <w:rsid w:val="007C0D5B"/>
    <w:rsid w:val="007E1C47"/>
    <w:rsid w:val="007E337A"/>
    <w:rsid w:val="007E41C7"/>
    <w:rsid w:val="007E5C70"/>
    <w:rsid w:val="007F2FF5"/>
    <w:rsid w:val="007F3F08"/>
    <w:rsid w:val="007F42BB"/>
    <w:rsid w:val="00804CC6"/>
    <w:rsid w:val="00817190"/>
    <w:rsid w:val="00817B4A"/>
    <w:rsid w:val="008211A9"/>
    <w:rsid w:val="0082478E"/>
    <w:rsid w:val="008260E2"/>
    <w:rsid w:val="0083189F"/>
    <w:rsid w:val="008322BD"/>
    <w:rsid w:val="00834F73"/>
    <w:rsid w:val="00840512"/>
    <w:rsid w:val="00840F92"/>
    <w:rsid w:val="00842F05"/>
    <w:rsid w:val="008463F0"/>
    <w:rsid w:val="0085213F"/>
    <w:rsid w:val="0086305B"/>
    <w:rsid w:val="008641F8"/>
    <w:rsid w:val="00864C8A"/>
    <w:rsid w:val="00864CF4"/>
    <w:rsid w:val="00864CF8"/>
    <w:rsid w:val="00874914"/>
    <w:rsid w:val="008756E5"/>
    <w:rsid w:val="00881825"/>
    <w:rsid w:val="00891422"/>
    <w:rsid w:val="00892E1A"/>
    <w:rsid w:val="00893AA4"/>
    <w:rsid w:val="008A4779"/>
    <w:rsid w:val="008A7320"/>
    <w:rsid w:val="008B660A"/>
    <w:rsid w:val="008C01DA"/>
    <w:rsid w:val="008D6674"/>
    <w:rsid w:val="008E3A82"/>
    <w:rsid w:val="008F2674"/>
    <w:rsid w:val="008F78E9"/>
    <w:rsid w:val="009128DF"/>
    <w:rsid w:val="00914735"/>
    <w:rsid w:val="009179F9"/>
    <w:rsid w:val="00917C7A"/>
    <w:rsid w:val="00925DD3"/>
    <w:rsid w:val="00930A43"/>
    <w:rsid w:val="00933E5E"/>
    <w:rsid w:val="00935218"/>
    <w:rsid w:val="00937C52"/>
    <w:rsid w:val="009403F3"/>
    <w:rsid w:val="00941EB6"/>
    <w:rsid w:val="00942A81"/>
    <w:rsid w:val="00944B5A"/>
    <w:rsid w:val="00951F93"/>
    <w:rsid w:val="009555B7"/>
    <w:rsid w:val="009567AA"/>
    <w:rsid w:val="009602C9"/>
    <w:rsid w:val="00967374"/>
    <w:rsid w:val="009A343A"/>
    <w:rsid w:val="009B2F23"/>
    <w:rsid w:val="009B57B3"/>
    <w:rsid w:val="009C3C8F"/>
    <w:rsid w:val="009D1267"/>
    <w:rsid w:val="009D2920"/>
    <w:rsid w:val="009D5AEB"/>
    <w:rsid w:val="009E579E"/>
    <w:rsid w:val="009F0E33"/>
    <w:rsid w:val="009F2B69"/>
    <w:rsid w:val="00A070B7"/>
    <w:rsid w:val="00A149DF"/>
    <w:rsid w:val="00A1755C"/>
    <w:rsid w:val="00A21B90"/>
    <w:rsid w:val="00A22AAC"/>
    <w:rsid w:val="00A24561"/>
    <w:rsid w:val="00A2484D"/>
    <w:rsid w:val="00A31705"/>
    <w:rsid w:val="00A3314F"/>
    <w:rsid w:val="00A41805"/>
    <w:rsid w:val="00A51882"/>
    <w:rsid w:val="00A52AFB"/>
    <w:rsid w:val="00A548CB"/>
    <w:rsid w:val="00A5521C"/>
    <w:rsid w:val="00A60936"/>
    <w:rsid w:val="00A643E7"/>
    <w:rsid w:val="00A73C38"/>
    <w:rsid w:val="00A82D21"/>
    <w:rsid w:val="00A83B56"/>
    <w:rsid w:val="00A86E17"/>
    <w:rsid w:val="00A92E12"/>
    <w:rsid w:val="00A937AC"/>
    <w:rsid w:val="00AA019E"/>
    <w:rsid w:val="00AB1F7B"/>
    <w:rsid w:val="00AB4E07"/>
    <w:rsid w:val="00AB670D"/>
    <w:rsid w:val="00AC3001"/>
    <w:rsid w:val="00AF03C5"/>
    <w:rsid w:val="00B000D8"/>
    <w:rsid w:val="00B00F75"/>
    <w:rsid w:val="00B145B6"/>
    <w:rsid w:val="00B21EF5"/>
    <w:rsid w:val="00B22DC5"/>
    <w:rsid w:val="00B279EB"/>
    <w:rsid w:val="00B419B9"/>
    <w:rsid w:val="00B46842"/>
    <w:rsid w:val="00B47311"/>
    <w:rsid w:val="00B50C81"/>
    <w:rsid w:val="00B557F8"/>
    <w:rsid w:val="00B6558D"/>
    <w:rsid w:val="00B815FC"/>
    <w:rsid w:val="00B85333"/>
    <w:rsid w:val="00B93FBC"/>
    <w:rsid w:val="00BA3326"/>
    <w:rsid w:val="00BA3E9D"/>
    <w:rsid w:val="00BA7DA0"/>
    <w:rsid w:val="00BB2EE4"/>
    <w:rsid w:val="00BB4C92"/>
    <w:rsid w:val="00BC14F3"/>
    <w:rsid w:val="00BC1E71"/>
    <w:rsid w:val="00BC2108"/>
    <w:rsid w:val="00BD0E9E"/>
    <w:rsid w:val="00BD1BEC"/>
    <w:rsid w:val="00BD310F"/>
    <w:rsid w:val="00BD32FF"/>
    <w:rsid w:val="00BD46F1"/>
    <w:rsid w:val="00BF0B03"/>
    <w:rsid w:val="00BF29B5"/>
    <w:rsid w:val="00BF31AC"/>
    <w:rsid w:val="00BF441A"/>
    <w:rsid w:val="00BF6FE9"/>
    <w:rsid w:val="00C01CDD"/>
    <w:rsid w:val="00C02092"/>
    <w:rsid w:val="00C03AA9"/>
    <w:rsid w:val="00C057E5"/>
    <w:rsid w:val="00C15C4E"/>
    <w:rsid w:val="00C24D91"/>
    <w:rsid w:val="00C26DB2"/>
    <w:rsid w:val="00C32961"/>
    <w:rsid w:val="00C341AA"/>
    <w:rsid w:val="00C40E62"/>
    <w:rsid w:val="00C459AA"/>
    <w:rsid w:val="00C53DD3"/>
    <w:rsid w:val="00C53F14"/>
    <w:rsid w:val="00C545F7"/>
    <w:rsid w:val="00C600CF"/>
    <w:rsid w:val="00C6084F"/>
    <w:rsid w:val="00C62A66"/>
    <w:rsid w:val="00C66359"/>
    <w:rsid w:val="00C71458"/>
    <w:rsid w:val="00C74DB9"/>
    <w:rsid w:val="00C77613"/>
    <w:rsid w:val="00C828E7"/>
    <w:rsid w:val="00C83573"/>
    <w:rsid w:val="00C86719"/>
    <w:rsid w:val="00C87586"/>
    <w:rsid w:val="00C921DD"/>
    <w:rsid w:val="00CA4F35"/>
    <w:rsid w:val="00CA6391"/>
    <w:rsid w:val="00CD3A81"/>
    <w:rsid w:val="00CE01C6"/>
    <w:rsid w:val="00CE036E"/>
    <w:rsid w:val="00CE23DD"/>
    <w:rsid w:val="00CE2E49"/>
    <w:rsid w:val="00CE3171"/>
    <w:rsid w:val="00CF1601"/>
    <w:rsid w:val="00D0172F"/>
    <w:rsid w:val="00D01E33"/>
    <w:rsid w:val="00D0678C"/>
    <w:rsid w:val="00D068A7"/>
    <w:rsid w:val="00D17476"/>
    <w:rsid w:val="00D32086"/>
    <w:rsid w:val="00D32358"/>
    <w:rsid w:val="00D351D2"/>
    <w:rsid w:val="00D37A3F"/>
    <w:rsid w:val="00D4431D"/>
    <w:rsid w:val="00D4473C"/>
    <w:rsid w:val="00D4667A"/>
    <w:rsid w:val="00D47E6B"/>
    <w:rsid w:val="00D56A2D"/>
    <w:rsid w:val="00D60BD9"/>
    <w:rsid w:val="00D63A1C"/>
    <w:rsid w:val="00D70D07"/>
    <w:rsid w:val="00D7516F"/>
    <w:rsid w:val="00D758CD"/>
    <w:rsid w:val="00D84B47"/>
    <w:rsid w:val="00D8780E"/>
    <w:rsid w:val="00D958C8"/>
    <w:rsid w:val="00D95F8E"/>
    <w:rsid w:val="00DA0590"/>
    <w:rsid w:val="00DB17AC"/>
    <w:rsid w:val="00DC1739"/>
    <w:rsid w:val="00DC1788"/>
    <w:rsid w:val="00DC3C6A"/>
    <w:rsid w:val="00DC3F8D"/>
    <w:rsid w:val="00DE319C"/>
    <w:rsid w:val="00DE5BB4"/>
    <w:rsid w:val="00DF0CA8"/>
    <w:rsid w:val="00DF2B48"/>
    <w:rsid w:val="00DF2DC4"/>
    <w:rsid w:val="00DF2DE9"/>
    <w:rsid w:val="00DF49A7"/>
    <w:rsid w:val="00DF7DB7"/>
    <w:rsid w:val="00E01D92"/>
    <w:rsid w:val="00E07EE2"/>
    <w:rsid w:val="00E07FD1"/>
    <w:rsid w:val="00E24573"/>
    <w:rsid w:val="00E25E1E"/>
    <w:rsid w:val="00E27EE7"/>
    <w:rsid w:val="00E35404"/>
    <w:rsid w:val="00E35E8C"/>
    <w:rsid w:val="00E40202"/>
    <w:rsid w:val="00E42B6B"/>
    <w:rsid w:val="00E45109"/>
    <w:rsid w:val="00E45FE1"/>
    <w:rsid w:val="00E47B7A"/>
    <w:rsid w:val="00E535A9"/>
    <w:rsid w:val="00E56A44"/>
    <w:rsid w:val="00E60269"/>
    <w:rsid w:val="00E80F96"/>
    <w:rsid w:val="00E84351"/>
    <w:rsid w:val="00E97830"/>
    <w:rsid w:val="00E97E71"/>
    <w:rsid w:val="00EA29A0"/>
    <w:rsid w:val="00ED116A"/>
    <w:rsid w:val="00ED26F1"/>
    <w:rsid w:val="00ED5CB6"/>
    <w:rsid w:val="00EE0830"/>
    <w:rsid w:val="00EE6CB8"/>
    <w:rsid w:val="00EF0683"/>
    <w:rsid w:val="00EF4631"/>
    <w:rsid w:val="00F0070C"/>
    <w:rsid w:val="00F00EB7"/>
    <w:rsid w:val="00F21B17"/>
    <w:rsid w:val="00F2533C"/>
    <w:rsid w:val="00F35BF2"/>
    <w:rsid w:val="00F36AB6"/>
    <w:rsid w:val="00F37A09"/>
    <w:rsid w:val="00F409CE"/>
    <w:rsid w:val="00F4379D"/>
    <w:rsid w:val="00F450D7"/>
    <w:rsid w:val="00F45EEA"/>
    <w:rsid w:val="00F5016B"/>
    <w:rsid w:val="00F50D2D"/>
    <w:rsid w:val="00F56C8B"/>
    <w:rsid w:val="00F618C1"/>
    <w:rsid w:val="00F62639"/>
    <w:rsid w:val="00F62F11"/>
    <w:rsid w:val="00F633DF"/>
    <w:rsid w:val="00F66810"/>
    <w:rsid w:val="00F81058"/>
    <w:rsid w:val="00F82C45"/>
    <w:rsid w:val="00F84DF4"/>
    <w:rsid w:val="00F85C97"/>
    <w:rsid w:val="00F91760"/>
    <w:rsid w:val="00F96513"/>
    <w:rsid w:val="00FA4413"/>
    <w:rsid w:val="00FB37D2"/>
    <w:rsid w:val="00FC4EFB"/>
    <w:rsid w:val="00FD068D"/>
    <w:rsid w:val="00FD4F28"/>
    <w:rsid w:val="00FD6548"/>
    <w:rsid w:val="00FE6784"/>
    <w:rsid w:val="00FE7363"/>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2B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962B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962B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962B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962B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962B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962B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7962BB"/>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4D2D28"/>
    <w:pPr>
      <w:ind w:left="720"/>
      <w:contextualSpacing/>
    </w:pPr>
  </w:style>
  <w:style w:type="character" w:customStyle="1" w:styleId="Heading3Char">
    <w:name w:val="Heading 3 Char"/>
    <w:basedOn w:val="DefaultParagraphFont"/>
    <w:link w:val="Heading3"/>
    <w:uiPriority w:val="9"/>
    <w:semiHidden/>
    <w:rsid w:val="007962B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962B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962B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962B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962B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962B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962BB"/>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7962BB"/>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962BB"/>
    <w:rPr>
      <w:rFonts w:eastAsiaTheme="minorHAnsi" w:cstheme="minorBidi"/>
      <w:sz w:val="24"/>
      <w:szCs w:val="22"/>
      <w:lang w:val="en-US" w:eastAsia="en-US" w:bidi="en-US"/>
    </w:rPr>
  </w:style>
  <w:style w:type="table" w:styleId="TableGrid">
    <w:name w:val="Table Grid"/>
    <w:basedOn w:val="TableNormal"/>
    <w:uiPriority w:val="59"/>
    <w:rsid w:val="007962BB"/>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962BB"/>
    <w:pPr>
      <w:spacing w:after="720"/>
      <w:ind w:left="1166"/>
      <w:contextualSpacing/>
      <w:jc w:val="both"/>
    </w:pPr>
    <w:rPr>
      <w:sz w:val="24"/>
    </w:rPr>
  </w:style>
  <w:style w:type="paragraph" w:customStyle="1" w:styleId="ParaNoNdepar-AltN">
    <w:name w:val="Para. No. / Nº de par. - Alt N"/>
    <w:qFormat/>
    <w:rsid w:val="007962BB"/>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962BB"/>
    <w:pPr>
      <w:numPr>
        <w:numId w:val="2"/>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962B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962BB"/>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7962BB"/>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7962BB"/>
    <w:pPr>
      <w:numPr>
        <w:ilvl w:val="4"/>
      </w:numPr>
      <w:tabs>
        <w:tab w:val="clear" w:pos="432"/>
        <w:tab w:val="clear" w:pos="1728"/>
        <w:tab w:val="num" w:pos="1440"/>
      </w:tabs>
      <w:ind w:left="1440" w:hanging="540"/>
    </w:pPr>
  </w:style>
  <w:style w:type="paragraph" w:customStyle="1" w:styleId="TitleTitre-AltT">
    <w:name w:val="Title / Titre - Alt T"/>
    <w:next w:val="ParaNoNdepar-AltN"/>
    <w:uiPriority w:val="3"/>
    <w:qFormat/>
    <w:rsid w:val="007962BB"/>
    <w:pPr>
      <w:tabs>
        <w:tab w:val="left" w:pos="360"/>
      </w:tabs>
      <w:spacing w:before="480" w:after="720"/>
      <w:ind w:left="360" w:hanging="360"/>
      <w:jc w:val="both"/>
    </w:pPr>
    <w:rPr>
      <w:rFonts w:eastAsiaTheme="minorHAnsi" w:cstheme="minorBidi"/>
      <w:sz w:val="24"/>
      <w:szCs w:val="22"/>
      <w:lang w:eastAsia="en-US"/>
    </w:rPr>
  </w:style>
  <w:style w:type="paragraph" w:styleId="CommentText">
    <w:name w:val="annotation text"/>
    <w:basedOn w:val="Normal"/>
    <w:link w:val="CommentTextChar"/>
    <w:uiPriority w:val="99"/>
    <w:semiHidden/>
    <w:unhideWhenUsed/>
    <w:rsid w:val="007962B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962BB"/>
    <w:rPr>
      <w:rFonts w:eastAsiaTheme="minorHAnsi" w:cstheme="minorBidi"/>
      <w:szCs w:val="22"/>
      <w:lang w:val="en-US" w:eastAsia="en-US" w:bidi="en-US"/>
    </w:rPr>
  </w:style>
  <w:style w:type="paragraph" w:styleId="NoSpacing">
    <w:name w:val="No Spacing"/>
    <w:uiPriority w:val="1"/>
    <w:rsid w:val="007962BB"/>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962BB"/>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7962BB"/>
    <w:rPr>
      <w:rFonts w:eastAsiaTheme="minorHAnsi" w:cstheme="minorBidi"/>
      <w:sz w:val="24"/>
      <w:szCs w:val="22"/>
      <w:lang w:val="en-US" w:eastAsia="en-US" w:bidi="en-US"/>
    </w:rPr>
  </w:style>
  <w:style w:type="paragraph" w:customStyle="1" w:styleId="ContinueParaSuitedupar-AltP">
    <w:name w:val="Continue Para. / Suite du par. - Alt P"/>
    <w:next w:val="ParaNoNdepar-AltN"/>
    <w:uiPriority w:val="1"/>
    <w:qFormat/>
    <w:rsid w:val="007962B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962BB"/>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7962BB"/>
    <w:rPr>
      <w:smallCaps/>
      <w:sz w:val="24"/>
    </w:rPr>
  </w:style>
  <w:style w:type="character" w:customStyle="1" w:styleId="CommentSubjectChar">
    <w:name w:val="Comment Subject Char"/>
    <w:basedOn w:val="CommentTextChar"/>
    <w:link w:val="CommentSubject"/>
    <w:uiPriority w:val="99"/>
    <w:semiHidden/>
    <w:rsid w:val="007962BB"/>
    <w:rPr>
      <w:b/>
      <w:bCs/>
    </w:rPr>
  </w:style>
  <w:style w:type="paragraph" w:styleId="CommentSubject">
    <w:name w:val="annotation subject"/>
    <w:basedOn w:val="CommentText"/>
    <w:next w:val="CommentText"/>
    <w:link w:val="CommentSubjectChar"/>
    <w:uiPriority w:val="99"/>
    <w:semiHidden/>
    <w:unhideWhenUsed/>
    <w:rsid w:val="007962BB"/>
    <w:rPr>
      <w:b/>
      <w:bCs/>
    </w:rPr>
  </w:style>
  <w:style w:type="character" w:styleId="Hyperlink">
    <w:name w:val="Hyperlink"/>
    <w:basedOn w:val="DefaultParagraphFont"/>
    <w:uiPriority w:val="99"/>
    <w:unhideWhenUsed/>
    <w:rsid w:val="007962BB"/>
    <w:rPr>
      <w:color w:val="0000FF" w:themeColor="hyperlink"/>
      <w:u w:val="single"/>
    </w:rPr>
  </w:style>
  <w:style w:type="paragraph" w:customStyle="1" w:styleId="subsection">
    <w:name w:val="subsection"/>
    <w:basedOn w:val="Normal"/>
    <w:rsid w:val="007962BB"/>
    <w:pPr>
      <w:spacing w:before="168" w:after="120"/>
      <w:ind w:firstLine="360"/>
    </w:pPr>
    <w:rPr>
      <w:rFonts w:eastAsiaTheme="minorHAnsi" w:cstheme="minorBidi"/>
      <w:szCs w:val="24"/>
      <w:lang w:eastAsia="en-US" w:bidi="en-US"/>
    </w:rPr>
  </w:style>
  <w:style w:type="paragraph" w:customStyle="1" w:styleId="continuedparagraph">
    <w:name w:val="continuedparagraph"/>
    <w:basedOn w:val="Normal"/>
    <w:rsid w:val="007962BB"/>
    <w:pPr>
      <w:spacing w:before="100" w:beforeAutospacing="1" w:after="100" w:afterAutospacing="1"/>
      <w:ind w:left="360"/>
    </w:pPr>
    <w:rPr>
      <w:rFonts w:eastAsiaTheme="minorHAnsi" w:cstheme="minorBidi"/>
      <w:szCs w:val="24"/>
      <w:lang w:eastAsia="en-US" w:bidi="en-US"/>
    </w:rPr>
  </w:style>
  <w:style w:type="paragraph" w:customStyle="1" w:styleId="paragraph">
    <w:name w:val="paragraph"/>
    <w:basedOn w:val="Normal"/>
    <w:rsid w:val="007962BB"/>
    <w:pPr>
      <w:spacing w:before="168" w:after="120"/>
      <w:ind w:left="360"/>
    </w:pPr>
    <w:rPr>
      <w:rFonts w:eastAsiaTheme="minorHAnsi" w:cstheme="minorBidi"/>
      <w:szCs w:val="24"/>
      <w:lang w:eastAsia="en-US" w:bidi="en-US"/>
    </w:rPr>
  </w:style>
  <w:style w:type="paragraph" w:customStyle="1" w:styleId="subparagraph">
    <w:name w:val="subparagraph"/>
    <w:basedOn w:val="Normal"/>
    <w:rsid w:val="007962BB"/>
    <w:pPr>
      <w:spacing w:before="168" w:after="120"/>
      <w:ind w:left="720"/>
    </w:pPr>
    <w:rPr>
      <w:rFonts w:eastAsiaTheme="minorHAnsi" w:cstheme="minorBidi"/>
      <w:szCs w:val="24"/>
      <w:lang w:eastAsia="en-US" w:bidi="en-US"/>
    </w:rPr>
  </w:style>
  <w:style w:type="character" w:styleId="Emphasis">
    <w:name w:val="Emphasis"/>
    <w:basedOn w:val="DefaultParagraphFont"/>
    <w:uiPriority w:val="20"/>
    <w:rsid w:val="007962BB"/>
    <w:rPr>
      <w:i/>
      <w:iCs/>
    </w:rPr>
  </w:style>
  <w:style w:type="character" w:customStyle="1" w:styleId="wb-invisible">
    <w:name w:val="wb-invisible"/>
    <w:basedOn w:val="DefaultParagraphFont"/>
    <w:rsid w:val="007962BB"/>
  </w:style>
  <w:style w:type="paragraph" w:customStyle="1" w:styleId="Default">
    <w:name w:val="Default"/>
    <w:rsid w:val="007962BB"/>
    <w:pPr>
      <w:autoSpaceDE w:val="0"/>
      <w:autoSpaceDN w:val="0"/>
      <w:adjustRightInd w:val="0"/>
    </w:pPr>
    <w:rPr>
      <w:rFonts w:eastAsiaTheme="minorHAnsi"/>
      <w:color w:val="000000"/>
      <w:sz w:val="24"/>
      <w:szCs w:val="24"/>
      <w:lang w:eastAsia="en-US"/>
    </w:rPr>
  </w:style>
  <w:style w:type="paragraph" w:styleId="TOCHeading">
    <w:name w:val="TOC Heading"/>
    <w:basedOn w:val="Heading1"/>
    <w:next w:val="Normal"/>
    <w:uiPriority w:val="39"/>
    <w:semiHidden/>
    <w:unhideWhenUsed/>
    <w:qFormat/>
    <w:rsid w:val="007962BB"/>
    <w:pPr>
      <w:spacing w:before="480" w:after="0"/>
      <w:ind w:left="0" w:firstLine="0"/>
      <w:outlineLvl w:val="9"/>
    </w:pPr>
    <w:rPr>
      <w:lang w:val="en-US" w:eastAsia="en-US" w:bidi="en-US"/>
    </w:rPr>
  </w:style>
  <w:style w:type="paragraph" w:styleId="Title">
    <w:name w:val="Title"/>
    <w:basedOn w:val="Normal"/>
    <w:next w:val="Normal"/>
    <w:link w:val="TitleChar"/>
    <w:uiPriority w:val="10"/>
    <w:rsid w:val="007962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962B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962B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962BB"/>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962B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962B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962BB"/>
    <w:rPr>
      <w:i/>
      <w:iCs/>
      <w:color w:val="808080" w:themeColor="text1" w:themeTint="7F"/>
    </w:rPr>
  </w:style>
  <w:style w:type="character" w:styleId="IntenseEmphasis">
    <w:name w:val="Intense Emphasis"/>
    <w:basedOn w:val="DefaultParagraphFont"/>
    <w:uiPriority w:val="21"/>
    <w:rsid w:val="007962BB"/>
    <w:rPr>
      <w:b/>
      <w:bCs/>
      <w:i/>
      <w:iCs/>
      <w:color w:val="4F81BD" w:themeColor="accent1"/>
    </w:rPr>
  </w:style>
  <w:style w:type="character" w:styleId="SubtleReference">
    <w:name w:val="Subtle Reference"/>
    <w:basedOn w:val="DefaultParagraphFont"/>
    <w:uiPriority w:val="31"/>
    <w:rsid w:val="007962BB"/>
    <w:rPr>
      <w:smallCaps/>
      <w:color w:val="C0504D" w:themeColor="accent2"/>
      <w:u w:val="single"/>
    </w:rPr>
  </w:style>
  <w:style w:type="character" w:styleId="IntenseReference">
    <w:name w:val="Intense Reference"/>
    <w:basedOn w:val="DefaultParagraphFont"/>
    <w:uiPriority w:val="32"/>
    <w:rsid w:val="007962BB"/>
    <w:rPr>
      <w:b/>
      <w:bCs/>
      <w:smallCaps/>
      <w:color w:val="C0504D" w:themeColor="accent2"/>
      <w:spacing w:val="5"/>
      <w:u w:val="single"/>
    </w:rPr>
  </w:style>
  <w:style w:type="character" w:styleId="BookTitle">
    <w:name w:val="Book Title"/>
    <w:basedOn w:val="DefaultParagraphFont"/>
    <w:uiPriority w:val="33"/>
    <w:rsid w:val="007962BB"/>
    <w:rPr>
      <w:b/>
      <w:bCs/>
      <w:smallCaps/>
      <w:spacing w:val="5"/>
    </w:rPr>
  </w:style>
  <w:style w:type="paragraph" w:styleId="FootnoteText">
    <w:name w:val="footnote text"/>
    <w:basedOn w:val="Normal"/>
    <w:link w:val="FootnoteTextChar"/>
    <w:uiPriority w:val="99"/>
    <w:semiHidden/>
    <w:unhideWhenUsed/>
    <w:rsid w:val="007962BB"/>
    <w:rPr>
      <w:sz w:val="20"/>
      <w:lang w:val="fr-CA"/>
    </w:rPr>
  </w:style>
  <w:style w:type="character" w:customStyle="1" w:styleId="FootnoteTextChar">
    <w:name w:val="Footnote Text Char"/>
    <w:basedOn w:val="DefaultParagraphFont"/>
    <w:link w:val="FootnoteText"/>
    <w:uiPriority w:val="99"/>
    <w:semiHidden/>
    <w:rsid w:val="007962BB"/>
    <w:rPr>
      <w:lang w:val="fr-CA"/>
    </w:rPr>
  </w:style>
  <w:style w:type="character" w:styleId="FootnoteReference">
    <w:name w:val="footnote reference"/>
    <w:basedOn w:val="DefaultParagraphFont"/>
    <w:uiPriority w:val="99"/>
    <w:semiHidden/>
    <w:unhideWhenUsed/>
    <w:rsid w:val="007962BB"/>
    <w:rPr>
      <w:vertAlign w:val="superscript"/>
    </w:rPr>
  </w:style>
  <w:style w:type="character" w:customStyle="1" w:styleId="SCCLsocPartyRoleChar">
    <w:name w:val="SCC.Lsoc.PartyRole Char"/>
    <w:basedOn w:val="DefaultParagraphFont"/>
    <w:rsid w:val="00A82D21"/>
    <w:rPr>
      <w:lang w:val="fr-CA"/>
    </w:rPr>
  </w:style>
  <w:style w:type="paragraph" w:customStyle="1" w:styleId="SCCLsocPrefix">
    <w:name w:val="SCC.Lsoc.Prefix"/>
    <w:basedOn w:val="Normal"/>
    <w:next w:val="Normal"/>
    <w:link w:val="SCCLsocPrefixChar"/>
    <w:rsid w:val="00A82D2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82D21"/>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2EEA3-37B5-46EC-9228-1BD480E3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18045</Words>
  <Characters>97979</Characters>
  <Application>Microsoft Office Word</Application>
  <DocSecurity>0</DocSecurity>
  <Lines>816</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2014-10-21T20:24:00Z</dcterms:created>
  <dcterms:modified xsi:type="dcterms:W3CDTF">2015-03-06T13:35:00Z</dcterms:modified>
</cp:coreProperties>
</file>