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43" w:rsidRDefault="00C06443" w:rsidP="00C06443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75pt" o:ole="">
            <v:imagedata r:id="rId7" o:title=""/>
          </v:shape>
          <o:OLEObject Type="Embed" ProgID="Presentations.Drawing.13" ShapeID="_x0000_i1025" DrawAspect="Content" ObjectID="_1487158557" r:id="rId8"/>
        </w:object>
      </w:r>
    </w:p>
    <w:p w:rsidR="00C06443" w:rsidRDefault="00C06443" w:rsidP="00C06443">
      <w:pPr>
        <w:pStyle w:val="Header"/>
      </w:pPr>
    </w:p>
    <w:p w:rsidR="00C06443" w:rsidRPr="001E12E2" w:rsidRDefault="00C06443" w:rsidP="00C06443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C06443" w:rsidRDefault="00C06443" w:rsidP="00C06443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C06443" w:rsidRPr="001E12E2" w:rsidTr="00407445">
        <w:trPr>
          <w:cantSplit/>
        </w:trPr>
        <w:tc>
          <w:tcPr>
            <w:tcW w:w="6768" w:type="dxa"/>
          </w:tcPr>
          <w:p w:rsidR="00C06443" w:rsidRPr="00C06443" w:rsidRDefault="00C06443" w:rsidP="00407445">
            <w:pPr>
              <w:rPr>
                <w:lang w:val="fr-CA"/>
              </w:rPr>
            </w:pPr>
            <w:r w:rsidRPr="00C06443">
              <w:rPr>
                <w:b/>
                <w:smallCaps/>
                <w:lang w:val="fr-CA"/>
              </w:rPr>
              <w:t>Référence :</w:t>
            </w:r>
            <w:r w:rsidRPr="00C06443">
              <w:rPr>
                <w:lang w:val="fr-CA"/>
              </w:rPr>
              <w:t xml:space="preserve"> R.</w:t>
            </w:r>
            <w:r w:rsidRPr="00C06443">
              <w:rPr>
                <w:i/>
                <w:lang w:val="fr-CA"/>
              </w:rPr>
              <w:t xml:space="preserve"> c. </w:t>
            </w:r>
            <w:proofErr w:type="spellStart"/>
            <w:r w:rsidRPr="00C06443">
              <w:rPr>
                <w:lang w:val="fr-CA"/>
              </w:rPr>
              <w:t>Wilcox</w:t>
            </w:r>
            <w:proofErr w:type="spellEnd"/>
            <w:r w:rsidRPr="00C06443">
              <w:rPr>
                <w:lang w:val="fr-CA"/>
              </w:rPr>
              <w:t>, 2014 CSC 75, [2014] 3 R.C.S. 616</w:t>
            </w:r>
          </w:p>
        </w:tc>
        <w:tc>
          <w:tcPr>
            <w:tcW w:w="2808" w:type="dxa"/>
          </w:tcPr>
          <w:p w:rsidR="00C06443" w:rsidRPr="001E12E2" w:rsidRDefault="00C06443" w:rsidP="00407445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20141208</w:t>
            </w:r>
          </w:p>
          <w:p w:rsidR="00C06443" w:rsidRPr="001E12E2" w:rsidRDefault="00C06443" w:rsidP="00407445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 w:rsidRPr="00273361">
              <w:rPr>
                <w:lang w:val="fr-CA"/>
              </w:rPr>
              <w:t>35758</w:t>
            </w:r>
          </w:p>
        </w:tc>
      </w:tr>
    </w:tbl>
    <w:p w:rsidR="00C06443" w:rsidRPr="001E12E2" w:rsidRDefault="00C06443" w:rsidP="00C06443"/>
    <w:p w:rsidR="00C06443" w:rsidRDefault="00C06443" w:rsidP="00C06443">
      <w:pPr>
        <w:pStyle w:val="SCCLsocPrefix"/>
      </w:pPr>
      <w:r>
        <w:t>Entre :</w:t>
      </w:r>
    </w:p>
    <w:p w:rsidR="00C06443" w:rsidRDefault="00C06443" w:rsidP="00C06443">
      <w:pPr>
        <w:pStyle w:val="SCCLsocParty"/>
        <w:jc w:val="center"/>
      </w:pPr>
      <w:r w:rsidRPr="00D6749B">
        <w:t>Ryan Paul Day</w:t>
      </w:r>
    </w:p>
    <w:p w:rsidR="00C06443" w:rsidRDefault="00C06443" w:rsidP="00C06443">
      <w:pPr>
        <w:jc w:val="center"/>
      </w:pPr>
      <w:proofErr w:type="spellStart"/>
      <w:r>
        <w:t>Appelant</w:t>
      </w:r>
      <w:proofErr w:type="spellEnd"/>
    </w:p>
    <w:p w:rsidR="00C06443" w:rsidRPr="00C06443" w:rsidRDefault="00C06443" w:rsidP="00C06443">
      <w:pPr>
        <w:pStyle w:val="SCCLsocVersus"/>
        <w:spacing w:after="0"/>
        <w:jc w:val="center"/>
        <w:rPr>
          <w:i w:val="0"/>
        </w:rPr>
      </w:pPr>
      <w:proofErr w:type="gramStart"/>
      <w:r w:rsidRPr="00C06443">
        <w:rPr>
          <w:i w:val="0"/>
        </w:rPr>
        <w:t>et</w:t>
      </w:r>
      <w:proofErr w:type="gramEnd"/>
    </w:p>
    <w:p w:rsidR="00C06443" w:rsidRDefault="00C06443" w:rsidP="00C06443">
      <w:pPr>
        <w:pStyle w:val="SCCLsocParty"/>
        <w:jc w:val="center"/>
      </w:pPr>
      <w:r w:rsidRPr="00BE1A5F">
        <w:t xml:space="preserve">Sa </w:t>
      </w:r>
      <w:proofErr w:type="spellStart"/>
      <w:r w:rsidRPr="00BE1A5F">
        <w:t>Majesté</w:t>
      </w:r>
      <w:proofErr w:type="spellEnd"/>
      <w:r w:rsidRPr="00BE1A5F">
        <w:t xml:space="preserve"> la </w:t>
      </w:r>
      <w:proofErr w:type="spellStart"/>
      <w:r w:rsidRPr="00BE1A5F">
        <w:t>Reine</w:t>
      </w:r>
      <w:proofErr w:type="spellEnd"/>
    </w:p>
    <w:p w:rsidR="00C06443" w:rsidRDefault="00C06443" w:rsidP="00C06443">
      <w:pPr>
        <w:jc w:val="center"/>
      </w:pPr>
      <w:proofErr w:type="spellStart"/>
      <w:r>
        <w:t>Intimée</w:t>
      </w:r>
      <w:proofErr w:type="spellEnd"/>
    </w:p>
    <w:p w:rsidR="00C06443" w:rsidRPr="00460054" w:rsidRDefault="00C06443" w:rsidP="00C06443">
      <w:pPr>
        <w:pStyle w:val="SCCLsocOtherPartySeparator"/>
        <w:spacing w:after="0"/>
        <w:jc w:val="center"/>
        <w:rPr>
          <w:lang w:val="fr-CA"/>
        </w:rPr>
      </w:pPr>
      <w:proofErr w:type="gramStart"/>
      <w:r w:rsidRPr="00460054">
        <w:rPr>
          <w:lang w:val="fr-CA"/>
        </w:rPr>
        <w:t>et</w:t>
      </w:r>
      <w:proofErr w:type="gramEnd"/>
    </w:p>
    <w:p w:rsidR="00C06443" w:rsidRPr="00AB7C98" w:rsidRDefault="00C06443" w:rsidP="00C06443">
      <w:pPr>
        <w:pStyle w:val="SCCLsocParty"/>
        <w:jc w:val="center"/>
        <w:rPr>
          <w:lang w:val="fr-CA"/>
        </w:rPr>
      </w:pPr>
      <w:r w:rsidRPr="00AB7C98">
        <w:rPr>
          <w:lang w:val="fr-CA"/>
        </w:rPr>
        <w:t xml:space="preserve">Réseau juridique canadien </w:t>
      </w:r>
      <w:r>
        <w:rPr>
          <w:lang w:val="fr-CA"/>
        </w:rPr>
        <w:t>VIH</w:t>
      </w:r>
      <w:r w:rsidRPr="00AB7C98">
        <w:rPr>
          <w:lang w:val="fr-CA"/>
        </w:rPr>
        <w:t>/</w:t>
      </w:r>
      <w:r>
        <w:rPr>
          <w:lang w:val="fr-CA"/>
        </w:rPr>
        <w:t>sida</w:t>
      </w:r>
      <w:r w:rsidRPr="00AB7C98">
        <w:rPr>
          <w:lang w:val="fr-CA"/>
        </w:rPr>
        <w:t>,</w:t>
      </w:r>
    </w:p>
    <w:p w:rsidR="00C06443" w:rsidRPr="00460054" w:rsidRDefault="00C06443" w:rsidP="00C06443">
      <w:pPr>
        <w:pStyle w:val="SCCLsocParty"/>
        <w:jc w:val="center"/>
        <w:rPr>
          <w:lang w:val="fr-CA"/>
        </w:rPr>
      </w:pPr>
      <w:r w:rsidRPr="00460054">
        <w:rPr>
          <w:lang w:val="fr-CA"/>
        </w:rPr>
        <w:t xml:space="preserve">HIV &amp; AIDS </w:t>
      </w:r>
      <w:proofErr w:type="spellStart"/>
      <w:r w:rsidRPr="00460054">
        <w:rPr>
          <w:lang w:val="fr-CA"/>
        </w:rPr>
        <w:t>Legal</w:t>
      </w:r>
      <w:proofErr w:type="spellEnd"/>
      <w:r w:rsidRPr="00460054">
        <w:rPr>
          <w:lang w:val="fr-CA"/>
        </w:rPr>
        <w:t xml:space="preserve"> Clinic Ontario et</w:t>
      </w:r>
    </w:p>
    <w:p w:rsidR="00C06443" w:rsidRDefault="00C06443" w:rsidP="00C06443">
      <w:pPr>
        <w:pStyle w:val="SCCLsocLastPartyInRole"/>
        <w:spacing w:after="0"/>
        <w:jc w:val="center"/>
        <w:rPr>
          <w:lang w:val="fr-CA"/>
        </w:rPr>
      </w:pPr>
      <w:r w:rsidRPr="00273361">
        <w:rPr>
          <w:lang w:val="fr-CA"/>
        </w:rPr>
        <w:t>Coalition des organismes communautaires</w:t>
      </w:r>
    </w:p>
    <w:p w:rsidR="00C06443" w:rsidRDefault="00C06443" w:rsidP="00C06443">
      <w:pPr>
        <w:pStyle w:val="SCCLsocLastPartyInRole"/>
        <w:spacing w:after="0"/>
        <w:jc w:val="center"/>
        <w:rPr>
          <w:lang w:val="fr-CA"/>
        </w:rPr>
      </w:pPr>
      <w:proofErr w:type="gramStart"/>
      <w:r w:rsidRPr="00273361">
        <w:rPr>
          <w:lang w:val="fr-CA"/>
        </w:rPr>
        <w:t>québécois</w:t>
      </w:r>
      <w:proofErr w:type="gramEnd"/>
      <w:r w:rsidRPr="00273361">
        <w:rPr>
          <w:lang w:val="fr-CA"/>
        </w:rPr>
        <w:t xml:space="preserve"> de lutte contre le sida</w:t>
      </w:r>
    </w:p>
    <w:p w:rsidR="00C06443" w:rsidRPr="00E66F87" w:rsidRDefault="00C06443" w:rsidP="00C06443">
      <w:pPr>
        <w:pStyle w:val="SCCLsocLastPartyInRole"/>
        <w:spacing w:after="0"/>
        <w:jc w:val="center"/>
        <w:rPr>
          <w:b w:val="0"/>
          <w:lang w:val="fr-CA"/>
        </w:rPr>
      </w:pPr>
      <w:r w:rsidRPr="00E66F87">
        <w:rPr>
          <w:b w:val="0"/>
          <w:lang w:val="fr-CA"/>
        </w:rPr>
        <w:t>Intervenants</w:t>
      </w:r>
    </w:p>
    <w:p w:rsidR="00C06443" w:rsidRPr="00E66F87" w:rsidRDefault="00C06443" w:rsidP="00C06443"/>
    <w:p w:rsidR="00C06443" w:rsidRPr="001E12E2" w:rsidRDefault="00C06443" w:rsidP="00C06443"/>
    <w:p w:rsidR="00C06443" w:rsidRPr="00C06443" w:rsidRDefault="00C06443" w:rsidP="00C06443">
      <w:pPr>
        <w:jc w:val="center"/>
        <w:rPr>
          <w:b/>
          <w:smallCaps/>
          <w:lang w:val="fr-CA"/>
        </w:rPr>
      </w:pPr>
      <w:r w:rsidRPr="00C06443">
        <w:rPr>
          <w:b/>
          <w:smallCaps/>
          <w:lang w:val="fr-CA"/>
        </w:rPr>
        <w:t>Traduction française officielle</w:t>
      </w:r>
    </w:p>
    <w:p w:rsidR="00C06443" w:rsidRPr="00C06443" w:rsidRDefault="00C06443" w:rsidP="00C06443">
      <w:pPr>
        <w:rPr>
          <w:lang w:val="fr-CA"/>
        </w:rPr>
      </w:pPr>
    </w:p>
    <w:p w:rsidR="00C06443" w:rsidRPr="00C06443" w:rsidRDefault="00C06443" w:rsidP="00C06443">
      <w:pPr>
        <w:jc w:val="both"/>
        <w:rPr>
          <w:lang w:val="fr-CA"/>
        </w:rPr>
      </w:pPr>
      <w:r w:rsidRPr="00C06443">
        <w:rPr>
          <w:b/>
          <w:smallCaps/>
          <w:lang w:val="fr-CA"/>
        </w:rPr>
        <w:t>Coram :</w:t>
      </w:r>
      <w:r w:rsidRPr="00C06443">
        <w:rPr>
          <w:lang w:val="fr-CA"/>
        </w:rPr>
        <w:t xml:space="preserve"> </w:t>
      </w:r>
      <w:r w:rsidRPr="00DB7D5A">
        <w:rPr>
          <w:lang w:val="fr-CA"/>
        </w:rPr>
        <w:t xml:space="preserve">La juge en chef </w:t>
      </w:r>
      <w:proofErr w:type="spellStart"/>
      <w:r w:rsidRPr="00DB7D5A">
        <w:rPr>
          <w:lang w:val="fr-CA"/>
        </w:rPr>
        <w:t>McLachlin</w:t>
      </w:r>
      <w:proofErr w:type="spellEnd"/>
      <w:r w:rsidRPr="00DB7D5A">
        <w:rPr>
          <w:lang w:val="fr-CA"/>
        </w:rPr>
        <w:t xml:space="preserve"> et les juges </w:t>
      </w:r>
      <w:proofErr w:type="spellStart"/>
      <w:r w:rsidRPr="00DB7D5A">
        <w:rPr>
          <w:lang w:val="fr-CA"/>
        </w:rPr>
        <w:t>Rothstein</w:t>
      </w:r>
      <w:proofErr w:type="spellEnd"/>
      <w:r w:rsidRPr="00DB7D5A">
        <w:rPr>
          <w:lang w:val="fr-CA"/>
        </w:rPr>
        <w:t xml:space="preserve">, Cromwell, </w:t>
      </w:r>
      <w:proofErr w:type="spellStart"/>
      <w:r w:rsidRPr="00DB7D5A">
        <w:rPr>
          <w:lang w:val="fr-CA"/>
        </w:rPr>
        <w:t>Moldaver</w:t>
      </w:r>
      <w:proofErr w:type="spellEnd"/>
      <w:r w:rsidRPr="00DB7D5A">
        <w:rPr>
          <w:lang w:val="fr-CA"/>
        </w:rPr>
        <w:t xml:space="preserve">, </w:t>
      </w:r>
      <w:proofErr w:type="spellStart"/>
      <w:r w:rsidRPr="00DB7D5A">
        <w:rPr>
          <w:lang w:val="fr-CA"/>
        </w:rPr>
        <w:t>Karakatsanis</w:t>
      </w:r>
      <w:proofErr w:type="spellEnd"/>
      <w:r w:rsidRPr="00DB7D5A">
        <w:rPr>
          <w:lang w:val="fr-CA"/>
        </w:rPr>
        <w:t>, Wagner et Gascon</w:t>
      </w:r>
    </w:p>
    <w:p w:rsidR="00C06443" w:rsidRPr="00C06443" w:rsidRDefault="00C06443" w:rsidP="00C06443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C06443" w:rsidRPr="00C06443" w:rsidTr="00407445">
        <w:trPr>
          <w:cantSplit/>
        </w:trPr>
        <w:tc>
          <w:tcPr>
            <w:tcW w:w="3618" w:type="dxa"/>
          </w:tcPr>
          <w:p w:rsidR="00C06443" w:rsidRDefault="00C06443" w:rsidP="0040744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C06443" w:rsidRPr="001E12E2" w:rsidRDefault="00C06443" w:rsidP="00407445">
            <w:r>
              <w:t>(par. 1)</w:t>
            </w:r>
          </w:p>
        </w:tc>
        <w:tc>
          <w:tcPr>
            <w:tcW w:w="5958" w:type="dxa"/>
          </w:tcPr>
          <w:p w:rsidR="00C06443" w:rsidRPr="00C06443" w:rsidRDefault="00C06443" w:rsidP="00407445">
            <w:pPr>
              <w:jc w:val="both"/>
              <w:rPr>
                <w:lang w:val="fr-CA"/>
              </w:rPr>
            </w:pPr>
            <w:r w:rsidRPr="00C06443">
              <w:rPr>
                <w:lang w:val="fr-CA"/>
              </w:rPr>
              <w:t xml:space="preserve">La juge </w:t>
            </w:r>
            <w:proofErr w:type="spellStart"/>
            <w:r w:rsidRPr="00C06443">
              <w:rPr>
                <w:lang w:val="fr-CA"/>
              </w:rPr>
              <w:t>Karakatsanis</w:t>
            </w:r>
            <w:proofErr w:type="spellEnd"/>
            <w:r w:rsidRPr="00C06443">
              <w:rPr>
                <w:lang w:val="fr-CA"/>
              </w:rPr>
              <w:t xml:space="preserve"> (avec l’accord des juges </w:t>
            </w:r>
            <w:proofErr w:type="spellStart"/>
            <w:r w:rsidRPr="00C06443">
              <w:rPr>
                <w:lang w:val="fr-CA"/>
              </w:rPr>
              <w:t>Rothstein</w:t>
            </w:r>
            <w:proofErr w:type="spellEnd"/>
            <w:r w:rsidRPr="00C06443">
              <w:rPr>
                <w:lang w:val="fr-CA"/>
              </w:rPr>
              <w:t xml:space="preserve">, Cromwell, </w:t>
            </w:r>
            <w:proofErr w:type="spellStart"/>
            <w:r w:rsidRPr="00C06443">
              <w:rPr>
                <w:lang w:val="fr-CA"/>
              </w:rPr>
              <w:t>Moldaver</w:t>
            </w:r>
            <w:proofErr w:type="spellEnd"/>
            <w:r w:rsidRPr="00C06443">
              <w:rPr>
                <w:lang w:val="fr-CA"/>
              </w:rPr>
              <w:t>, Wagner et Gascon)</w:t>
            </w:r>
          </w:p>
        </w:tc>
      </w:tr>
    </w:tbl>
    <w:p w:rsidR="00C06443" w:rsidRPr="00C06443" w:rsidRDefault="00C06443" w:rsidP="00C06443">
      <w:pPr>
        <w:rPr>
          <w:lang w:val="fr-CA"/>
        </w:rPr>
      </w:pPr>
    </w:p>
    <w:p w:rsidR="00C06443" w:rsidRPr="00C06443" w:rsidRDefault="00C06443" w:rsidP="00C06443">
      <w:pPr>
        <w:rPr>
          <w:lang w:val="fr-CA"/>
        </w:rPr>
      </w:pPr>
      <w:r w:rsidRPr="00280DFA">
        <w:rPr>
          <w:noProof/>
          <w:lang w:val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" o:connectortype="straight"/>
        </w:pict>
      </w:r>
    </w:p>
    <w:p w:rsidR="00C06443" w:rsidRPr="00C06443" w:rsidRDefault="00C06443" w:rsidP="00C06443">
      <w:pPr>
        <w:rPr>
          <w:lang w:val="fr-CA"/>
        </w:rPr>
      </w:pPr>
    </w:p>
    <w:p w:rsidR="00C06443" w:rsidRDefault="00C06443" w:rsidP="001D3C99">
      <w:pPr>
        <w:spacing w:line="480" w:lineRule="auto"/>
        <w:jc w:val="both"/>
        <w:rPr>
          <w:rStyle w:val="SCCAppellantForRunningHeadChar"/>
          <w:lang w:val="fr-CA"/>
        </w:rPr>
      </w:pPr>
    </w:p>
    <w:p w:rsidR="004D7D95" w:rsidRPr="00C06443" w:rsidRDefault="00273361" w:rsidP="001D3C99">
      <w:pPr>
        <w:spacing w:line="480" w:lineRule="auto"/>
        <w:jc w:val="both"/>
        <w:rPr>
          <w:lang w:val="fr-CA"/>
        </w:rPr>
      </w:pPr>
      <w:r w:rsidRPr="00C06443">
        <w:rPr>
          <w:rStyle w:val="SCCAppellantForRunningHeadChar"/>
          <w:lang w:val="fr-CA"/>
        </w:rPr>
        <w:t>r.</w:t>
      </w:r>
      <w:r w:rsidR="004D7D95" w:rsidRPr="00C06443">
        <w:rPr>
          <w:rStyle w:val="SCCAppellantForRunningHeadChar"/>
          <w:lang w:val="fr-CA"/>
        </w:rPr>
        <w:t xml:space="preserve"> </w:t>
      </w:r>
      <w:r w:rsidR="004D7D95" w:rsidRPr="00C06443">
        <w:rPr>
          <w:i/>
          <w:lang w:val="fr-CA"/>
        </w:rPr>
        <w:t>c.</w:t>
      </w:r>
      <w:r w:rsidR="004D7D95" w:rsidRPr="00C06443">
        <w:rPr>
          <w:lang w:val="fr-CA"/>
        </w:rPr>
        <w:t xml:space="preserve"> </w:t>
      </w:r>
      <w:proofErr w:type="spellStart"/>
      <w:r w:rsidRPr="00C06443">
        <w:rPr>
          <w:smallCaps/>
          <w:lang w:val="fr-CA"/>
        </w:rPr>
        <w:t>wilcox</w:t>
      </w:r>
      <w:proofErr w:type="spellEnd"/>
      <w:r w:rsidR="00E869D1" w:rsidRPr="00C06443">
        <w:rPr>
          <w:smallCaps/>
          <w:lang w:val="fr-CA"/>
        </w:rPr>
        <w:t xml:space="preserve">, </w:t>
      </w:r>
      <w:r w:rsidR="00E869D1" w:rsidRPr="00C06443">
        <w:rPr>
          <w:lang w:val="fr-CA"/>
        </w:rPr>
        <w:t>2014 CSC 75, [2014] 3 R.C.S. 616</w:t>
      </w:r>
    </w:p>
    <w:p w:rsidR="004D7D95" w:rsidRPr="00C06443" w:rsidRDefault="004D7D95" w:rsidP="001D3C99">
      <w:pPr>
        <w:jc w:val="both"/>
        <w:rPr>
          <w:lang w:val="fr-CA"/>
        </w:rPr>
      </w:pPr>
    </w:p>
    <w:p w:rsidR="001D0410" w:rsidRPr="00C06443" w:rsidRDefault="000D6C68" w:rsidP="001D3C99">
      <w:pPr>
        <w:pStyle w:val="SCCLsocLastPartyInRole"/>
        <w:rPr>
          <w:lang w:val="en-US"/>
        </w:rPr>
      </w:pPr>
      <w:r w:rsidRPr="00C06443">
        <w:rPr>
          <w:lang w:val="en-US"/>
        </w:rPr>
        <w:t>James Steven Wilcox</w:t>
      </w:r>
      <w:r w:rsidRPr="00C06443">
        <w:rPr>
          <w:rStyle w:val="SCCLsocPartyRole"/>
          <w:lang w:val="en-US"/>
        </w:rPr>
        <w:tab/>
      </w:r>
      <w:proofErr w:type="spellStart"/>
      <w:r w:rsidRPr="00C06443">
        <w:rPr>
          <w:rStyle w:val="SCCLsocPartyRole"/>
          <w:lang w:val="en-US"/>
        </w:rPr>
        <w:t>Appelant</w:t>
      </w:r>
      <w:proofErr w:type="spellEnd"/>
    </w:p>
    <w:p w:rsidR="001D0410" w:rsidRPr="00273361" w:rsidRDefault="000D6C68" w:rsidP="001D3C99">
      <w:pPr>
        <w:pStyle w:val="SCCLsocVersus"/>
        <w:rPr>
          <w:lang w:val="fr-CA"/>
        </w:rPr>
      </w:pPr>
      <w:proofErr w:type="gramStart"/>
      <w:r w:rsidRPr="00273361">
        <w:rPr>
          <w:lang w:val="fr-CA"/>
        </w:rPr>
        <w:t>c</w:t>
      </w:r>
      <w:proofErr w:type="gramEnd"/>
      <w:r w:rsidRPr="00273361">
        <w:rPr>
          <w:lang w:val="fr-CA"/>
        </w:rPr>
        <w:t>.</w:t>
      </w:r>
    </w:p>
    <w:p w:rsidR="001D0410" w:rsidRPr="00273361" w:rsidRDefault="000D6C68" w:rsidP="001D3C99">
      <w:pPr>
        <w:pStyle w:val="SCCLsocLastPartyInRole"/>
        <w:rPr>
          <w:lang w:val="fr-CA"/>
        </w:rPr>
      </w:pPr>
      <w:r w:rsidRPr="00273361">
        <w:rPr>
          <w:lang w:val="fr-CA"/>
        </w:rPr>
        <w:lastRenderedPageBreak/>
        <w:t>Sa Majesté la Reine</w:t>
      </w:r>
      <w:r w:rsidR="00AB7C98">
        <w:rPr>
          <w:rStyle w:val="SCCLsocPartyRole"/>
          <w:lang w:val="fr-CA"/>
        </w:rPr>
        <w:tab/>
        <w:t>Intimée</w:t>
      </w:r>
    </w:p>
    <w:p w:rsidR="001D0410" w:rsidRPr="00460054" w:rsidRDefault="000D6C68" w:rsidP="001D3C99">
      <w:pPr>
        <w:pStyle w:val="SCCLsocOtherPartySeparator"/>
        <w:rPr>
          <w:lang w:val="fr-CA"/>
        </w:rPr>
      </w:pPr>
      <w:proofErr w:type="gramStart"/>
      <w:r w:rsidRPr="00460054">
        <w:rPr>
          <w:lang w:val="fr-CA"/>
        </w:rPr>
        <w:t>et</w:t>
      </w:r>
      <w:proofErr w:type="gramEnd"/>
    </w:p>
    <w:p w:rsidR="001D0410" w:rsidRPr="00AB7C98" w:rsidRDefault="00AB7C98" w:rsidP="001D3C99">
      <w:pPr>
        <w:pStyle w:val="SCCLsocParty"/>
        <w:rPr>
          <w:lang w:val="fr-CA"/>
        </w:rPr>
      </w:pPr>
      <w:r w:rsidRPr="00AB7C98">
        <w:rPr>
          <w:lang w:val="fr-CA"/>
        </w:rPr>
        <w:t>Réseau juridique canadie</w:t>
      </w:r>
      <w:r w:rsidR="000D6C68" w:rsidRPr="00AB7C98">
        <w:rPr>
          <w:lang w:val="fr-CA"/>
        </w:rPr>
        <w:t xml:space="preserve">n </w:t>
      </w:r>
      <w:r>
        <w:rPr>
          <w:lang w:val="fr-CA"/>
        </w:rPr>
        <w:t>VIH</w:t>
      </w:r>
      <w:r w:rsidR="000D6C68" w:rsidRPr="00AB7C98">
        <w:rPr>
          <w:lang w:val="fr-CA"/>
        </w:rPr>
        <w:t>/</w:t>
      </w:r>
      <w:r>
        <w:rPr>
          <w:lang w:val="fr-CA"/>
        </w:rPr>
        <w:t>sida</w:t>
      </w:r>
      <w:r w:rsidR="000D6C68" w:rsidRPr="00AB7C98">
        <w:rPr>
          <w:lang w:val="fr-CA"/>
        </w:rPr>
        <w:t>,</w:t>
      </w:r>
    </w:p>
    <w:p w:rsidR="001D0410" w:rsidRPr="00460054" w:rsidRDefault="001E2919" w:rsidP="001D3C99">
      <w:pPr>
        <w:pStyle w:val="SCCLsocParty"/>
        <w:rPr>
          <w:lang w:val="fr-CA"/>
        </w:rPr>
      </w:pPr>
      <w:r w:rsidRPr="00460054">
        <w:rPr>
          <w:lang w:val="fr-CA"/>
        </w:rPr>
        <w:t xml:space="preserve">HIV &amp; AIDS </w:t>
      </w:r>
      <w:proofErr w:type="spellStart"/>
      <w:r w:rsidRPr="00460054">
        <w:rPr>
          <w:lang w:val="fr-CA"/>
        </w:rPr>
        <w:t>Legal</w:t>
      </w:r>
      <w:proofErr w:type="spellEnd"/>
      <w:r w:rsidRPr="00460054">
        <w:rPr>
          <w:lang w:val="fr-CA"/>
        </w:rPr>
        <w:t xml:space="preserve"> Clinic Ontario et</w:t>
      </w:r>
    </w:p>
    <w:p w:rsidR="00AB7C98" w:rsidRDefault="000D6C68" w:rsidP="001D3C99">
      <w:pPr>
        <w:pStyle w:val="SCCLsocLastPartyInRole"/>
        <w:spacing w:after="0"/>
        <w:rPr>
          <w:lang w:val="fr-CA"/>
        </w:rPr>
      </w:pPr>
      <w:r w:rsidRPr="00273361">
        <w:rPr>
          <w:lang w:val="fr-CA"/>
        </w:rPr>
        <w:t xml:space="preserve">Coalition des organismes communautaires </w:t>
      </w:r>
    </w:p>
    <w:p w:rsidR="001D0410" w:rsidRPr="00273361" w:rsidRDefault="000D6C68" w:rsidP="001D3C99">
      <w:pPr>
        <w:pStyle w:val="SCCLsocLastPartyInRole"/>
        <w:spacing w:after="0"/>
        <w:rPr>
          <w:lang w:val="fr-CA"/>
        </w:rPr>
      </w:pPr>
      <w:proofErr w:type="gramStart"/>
      <w:r w:rsidRPr="00273361">
        <w:rPr>
          <w:lang w:val="fr-CA"/>
        </w:rPr>
        <w:t>québécois</w:t>
      </w:r>
      <w:proofErr w:type="gramEnd"/>
      <w:r w:rsidRPr="00273361">
        <w:rPr>
          <w:lang w:val="fr-CA"/>
        </w:rPr>
        <w:t xml:space="preserve"> de lutte contre le sida</w:t>
      </w:r>
      <w:r w:rsidRPr="00273361">
        <w:rPr>
          <w:rStyle w:val="SCCLsocPartyRole"/>
          <w:lang w:val="fr-CA"/>
        </w:rPr>
        <w:tab/>
        <w:t>Intervenants</w:t>
      </w:r>
    </w:p>
    <w:p w:rsidR="004D7D95" w:rsidRPr="00273361" w:rsidRDefault="004D7D95" w:rsidP="001D3C99">
      <w:pPr>
        <w:jc w:val="both"/>
        <w:rPr>
          <w:lang w:val="fr-CA"/>
        </w:rPr>
      </w:pPr>
    </w:p>
    <w:p w:rsidR="004D7D95" w:rsidRPr="00273361" w:rsidRDefault="004D7D95" w:rsidP="001D3C99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</w:t>
      </w:r>
      <w:r w:rsidR="001D3C99">
        <w:rPr>
          <w:b/>
          <w:lang w:val="fr-CA"/>
        </w:rPr>
        <w:t xml:space="preserve"> </w:t>
      </w:r>
      <w:r w:rsidR="00AB7C98">
        <w:rPr>
          <w:b/>
          <w:lang w:val="fr-CA"/>
        </w:rPr>
        <w:t xml:space="preserve">R. </w:t>
      </w:r>
      <w:r w:rsidR="00AB7C98" w:rsidRPr="00AB7C98">
        <w:rPr>
          <w:b/>
          <w:i/>
          <w:lang w:val="fr-CA"/>
        </w:rPr>
        <w:t>c.</w:t>
      </w:r>
      <w:r w:rsidR="00AB7C98">
        <w:rPr>
          <w:b/>
          <w:lang w:val="fr-CA"/>
        </w:rPr>
        <w:t xml:space="preserve"> </w:t>
      </w:r>
      <w:proofErr w:type="spellStart"/>
      <w:r w:rsidR="00AB7C98">
        <w:rPr>
          <w:b/>
          <w:lang w:val="fr-CA"/>
        </w:rPr>
        <w:t>Wilcox</w:t>
      </w:r>
      <w:proofErr w:type="spellEnd"/>
    </w:p>
    <w:p w:rsidR="004D7D95" w:rsidRPr="00273361" w:rsidRDefault="004D7D95" w:rsidP="001D3C99">
      <w:pPr>
        <w:jc w:val="both"/>
        <w:rPr>
          <w:lang w:val="fr-CA"/>
        </w:rPr>
      </w:pPr>
    </w:p>
    <w:p w:rsidR="004D7D95" w:rsidRPr="00273361" w:rsidRDefault="00F62639" w:rsidP="001D3C99">
      <w:pPr>
        <w:pStyle w:val="SCCSystemYear"/>
        <w:jc w:val="both"/>
        <w:rPr>
          <w:lang w:val="fr-CA"/>
        </w:rPr>
      </w:pPr>
      <w:r w:rsidRPr="00273361">
        <w:rPr>
          <w:lang w:val="fr-CA"/>
        </w:rPr>
        <w:t>2014</w:t>
      </w:r>
      <w:r w:rsidR="004D7D95" w:rsidRPr="00273361">
        <w:rPr>
          <w:lang w:val="fr-CA"/>
        </w:rPr>
        <w:t xml:space="preserve"> CSC</w:t>
      </w:r>
      <w:r w:rsidR="001D3C99">
        <w:rPr>
          <w:lang w:val="fr-CA"/>
        </w:rPr>
        <w:t xml:space="preserve"> </w:t>
      </w:r>
      <w:r w:rsidR="00F12F01">
        <w:rPr>
          <w:lang w:val="fr-CA"/>
        </w:rPr>
        <w:t>75</w:t>
      </w:r>
    </w:p>
    <w:p w:rsidR="004D7D95" w:rsidRPr="00273361" w:rsidRDefault="004D7D95" w:rsidP="001D3C99">
      <w:pPr>
        <w:jc w:val="both"/>
        <w:rPr>
          <w:lang w:val="fr-CA"/>
        </w:rPr>
      </w:pPr>
    </w:p>
    <w:p w:rsidR="004D7D95" w:rsidRPr="00273361" w:rsidRDefault="004D7D95" w:rsidP="001D3C99">
      <w:pPr>
        <w:jc w:val="both"/>
        <w:rPr>
          <w:lang w:val="fr-CA"/>
        </w:rPr>
      </w:pPr>
      <w:r w:rsidRPr="00273361">
        <w:rPr>
          <w:lang w:val="fr-CA"/>
        </w:rPr>
        <w:t>N</w:t>
      </w:r>
      <w:r w:rsidRPr="00273361">
        <w:rPr>
          <w:vertAlign w:val="superscript"/>
          <w:lang w:val="fr-CA"/>
        </w:rPr>
        <w:t>o</w:t>
      </w:r>
      <w:r w:rsidRPr="00273361">
        <w:rPr>
          <w:lang w:val="fr-CA"/>
        </w:rPr>
        <w:t xml:space="preserve"> du greffe :</w:t>
      </w:r>
      <w:r w:rsidR="001D3C99">
        <w:rPr>
          <w:lang w:val="fr-CA"/>
        </w:rPr>
        <w:t xml:space="preserve"> </w:t>
      </w:r>
      <w:r w:rsidRPr="00273361">
        <w:rPr>
          <w:lang w:val="fr-CA"/>
        </w:rPr>
        <w:t>35758.</w:t>
      </w:r>
    </w:p>
    <w:p w:rsidR="004D7D95" w:rsidRPr="00273361" w:rsidRDefault="004D7D95" w:rsidP="001D3C99">
      <w:pPr>
        <w:jc w:val="both"/>
        <w:rPr>
          <w:lang w:val="fr-CA"/>
        </w:rPr>
      </w:pPr>
    </w:p>
    <w:p w:rsidR="004D7D95" w:rsidRPr="00273361" w:rsidRDefault="00F62639" w:rsidP="001D3C99">
      <w:pPr>
        <w:jc w:val="both"/>
        <w:rPr>
          <w:lang w:val="fr-CA"/>
        </w:rPr>
      </w:pPr>
      <w:r w:rsidRPr="00273361">
        <w:rPr>
          <w:lang w:val="fr-CA"/>
        </w:rPr>
        <w:t>2014 : 8 décembre</w:t>
      </w:r>
      <w:r w:rsidR="00F12F01">
        <w:rPr>
          <w:lang w:val="fr-CA"/>
        </w:rPr>
        <w:t>.</w:t>
      </w:r>
    </w:p>
    <w:p w:rsidR="004D7D95" w:rsidRPr="00273361" w:rsidRDefault="004D7D95" w:rsidP="001D3C99">
      <w:pPr>
        <w:jc w:val="both"/>
        <w:rPr>
          <w:lang w:val="fr-CA"/>
        </w:rPr>
      </w:pPr>
    </w:p>
    <w:p w:rsidR="004D7D95" w:rsidRPr="00DB7D5A" w:rsidRDefault="004D7D95" w:rsidP="001D3C99">
      <w:pPr>
        <w:jc w:val="both"/>
        <w:rPr>
          <w:lang w:val="fr-CA"/>
        </w:rPr>
      </w:pPr>
      <w:r w:rsidRPr="00DB7D5A">
        <w:rPr>
          <w:lang w:val="fr-CA"/>
        </w:rPr>
        <w:t>Présents :</w:t>
      </w:r>
      <w:r w:rsidR="001D3C99">
        <w:rPr>
          <w:lang w:val="fr-CA"/>
        </w:rPr>
        <w:t xml:space="preserve"> </w:t>
      </w:r>
      <w:r w:rsidRPr="00DB7D5A">
        <w:rPr>
          <w:lang w:val="fr-CA"/>
        </w:rPr>
        <w:t xml:space="preserve">La juge en chef McLachlin et les juges </w:t>
      </w:r>
      <w:proofErr w:type="spellStart"/>
      <w:r w:rsidRPr="00DB7D5A">
        <w:rPr>
          <w:lang w:val="fr-CA"/>
        </w:rPr>
        <w:t>Rothstein</w:t>
      </w:r>
      <w:proofErr w:type="spellEnd"/>
      <w:r w:rsidRPr="00DB7D5A">
        <w:rPr>
          <w:lang w:val="fr-CA"/>
        </w:rPr>
        <w:t xml:space="preserve">, Cromwell, </w:t>
      </w:r>
      <w:proofErr w:type="spellStart"/>
      <w:r w:rsidRPr="00DB7D5A">
        <w:rPr>
          <w:lang w:val="fr-CA"/>
        </w:rPr>
        <w:t>Moldaver</w:t>
      </w:r>
      <w:proofErr w:type="spellEnd"/>
      <w:r w:rsidRPr="00DB7D5A">
        <w:rPr>
          <w:lang w:val="fr-CA"/>
        </w:rPr>
        <w:t xml:space="preserve">, </w:t>
      </w:r>
      <w:proofErr w:type="spellStart"/>
      <w:r w:rsidRPr="00DB7D5A">
        <w:rPr>
          <w:lang w:val="fr-CA"/>
        </w:rPr>
        <w:t>Karakatsanis</w:t>
      </w:r>
      <w:proofErr w:type="spellEnd"/>
      <w:r w:rsidRPr="00DB7D5A">
        <w:rPr>
          <w:lang w:val="fr-CA"/>
        </w:rPr>
        <w:t>, Wagner et Gascon.</w:t>
      </w:r>
    </w:p>
    <w:p w:rsidR="004D7D95" w:rsidRPr="00DB7D5A" w:rsidRDefault="004D7D95" w:rsidP="001D3C99">
      <w:pPr>
        <w:jc w:val="both"/>
        <w:rPr>
          <w:lang w:val="fr-CA"/>
        </w:rPr>
      </w:pPr>
    </w:p>
    <w:p w:rsidR="004D7D95" w:rsidRPr="000D6C68" w:rsidRDefault="004D7D95" w:rsidP="001D3C99">
      <w:pPr>
        <w:jc w:val="both"/>
        <w:rPr>
          <w:smallCaps/>
          <w:lang w:val="fr-CA"/>
        </w:rPr>
      </w:pPr>
      <w:r w:rsidRPr="000D6C68">
        <w:rPr>
          <w:smallCaps/>
          <w:lang w:val="fr-CA"/>
        </w:rPr>
        <w:t xml:space="preserve">en appel de la cour d’appel du </w:t>
      </w:r>
      <w:proofErr w:type="spellStart"/>
      <w:r w:rsidRPr="000D6C68">
        <w:rPr>
          <w:smallCaps/>
          <w:lang w:val="fr-CA"/>
        </w:rPr>
        <w:t>québec</w:t>
      </w:r>
      <w:proofErr w:type="spellEnd"/>
      <w:r w:rsidRPr="000D6C68">
        <w:rPr>
          <w:smallCaps/>
          <w:lang w:val="fr-CA"/>
        </w:rPr>
        <w:t xml:space="preserve"> </w:t>
      </w:r>
    </w:p>
    <w:p w:rsidR="004D7D95" w:rsidRDefault="004D7D95" w:rsidP="001D3C99">
      <w:pPr>
        <w:pStyle w:val="SCCNormalDoubleSpacing"/>
        <w:rPr>
          <w:lang w:val="fr-CA"/>
        </w:rPr>
      </w:pPr>
    </w:p>
    <w:p w:rsidR="00135308" w:rsidRPr="00A80AE2" w:rsidRDefault="001D3C99" w:rsidP="001D3C99">
      <w:pPr>
        <w:pStyle w:val="SCCNormalDoubleSpacing"/>
        <w:rPr>
          <w:i/>
          <w:lang w:val="fr-CA"/>
        </w:rPr>
      </w:pPr>
      <w:r w:rsidRPr="003F4C4F">
        <w:rPr>
          <w:lang w:val="fr-CA"/>
        </w:rPr>
        <w:tab/>
      </w:r>
      <w:r w:rsidR="00135308" w:rsidRPr="00A80AE2">
        <w:rPr>
          <w:i/>
          <w:lang w:val="fr-CA"/>
        </w:rPr>
        <w:t xml:space="preserve">Droit criminel </w:t>
      </w:r>
      <w:r w:rsidR="004379E2">
        <w:rPr>
          <w:i/>
          <w:lang w:val="fr-CA"/>
        </w:rPr>
        <w:t>―</w:t>
      </w:r>
      <w:r w:rsidR="00135308" w:rsidRPr="00A80AE2">
        <w:rPr>
          <w:i/>
          <w:lang w:val="fr-CA"/>
        </w:rPr>
        <w:t xml:space="preserve"> Preuve </w:t>
      </w:r>
      <w:r w:rsidR="004379E2">
        <w:rPr>
          <w:i/>
          <w:lang w:val="fr-CA"/>
        </w:rPr>
        <w:t>―</w:t>
      </w:r>
      <w:r w:rsidR="00135308" w:rsidRPr="00A80AE2">
        <w:rPr>
          <w:i/>
          <w:lang w:val="fr-CA"/>
        </w:rPr>
        <w:t xml:space="preserve"> A</w:t>
      </w:r>
      <w:r w:rsidR="003A7C9F" w:rsidRPr="00A80AE2">
        <w:rPr>
          <w:i/>
          <w:lang w:val="fr-CA"/>
        </w:rPr>
        <w:t>ppréciation</w:t>
      </w:r>
      <w:r w:rsidR="00135308" w:rsidRPr="00A80AE2">
        <w:rPr>
          <w:i/>
          <w:lang w:val="fr-CA"/>
        </w:rPr>
        <w:t xml:space="preserve"> </w:t>
      </w:r>
      <w:r w:rsidR="004379E2">
        <w:rPr>
          <w:i/>
          <w:lang w:val="fr-CA"/>
        </w:rPr>
        <w:t>―</w:t>
      </w:r>
      <w:r w:rsidR="00135308" w:rsidRPr="00A80AE2">
        <w:rPr>
          <w:i/>
          <w:lang w:val="fr-CA"/>
        </w:rPr>
        <w:t xml:space="preserve"> </w:t>
      </w:r>
      <w:r w:rsidR="00E42112" w:rsidRPr="00A80AE2">
        <w:rPr>
          <w:i/>
          <w:lang w:val="fr-CA"/>
        </w:rPr>
        <w:t>Accusé d</w:t>
      </w:r>
      <w:r w:rsidR="00135308" w:rsidRPr="00A80AE2">
        <w:rPr>
          <w:i/>
          <w:lang w:val="fr-CA"/>
        </w:rPr>
        <w:t>éclar</w:t>
      </w:r>
      <w:r w:rsidR="00E42112" w:rsidRPr="00A80AE2">
        <w:rPr>
          <w:i/>
          <w:lang w:val="fr-CA"/>
        </w:rPr>
        <w:t>é coupable d’</w:t>
      </w:r>
      <w:r w:rsidR="00135308" w:rsidRPr="00A80AE2">
        <w:rPr>
          <w:i/>
          <w:lang w:val="fr-CA"/>
        </w:rPr>
        <w:t xml:space="preserve">agression sexuelle </w:t>
      </w:r>
      <w:r w:rsidR="00E42112" w:rsidRPr="00A80AE2">
        <w:rPr>
          <w:i/>
          <w:lang w:val="fr-CA"/>
        </w:rPr>
        <w:t xml:space="preserve">grave </w:t>
      </w:r>
      <w:r w:rsidR="00281459" w:rsidRPr="00A80AE2">
        <w:rPr>
          <w:i/>
          <w:lang w:val="fr-CA"/>
        </w:rPr>
        <w:t xml:space="preserve">parce qu’il a </w:t>
      </w:r>
      <w:r w:rsidR="00E42112" w:rsidRPr="00A80AE2">
        <w:rPr>
          <w:i/>
          <w:lang w:val="fr-CA"/>
        </w:rPr>
        <w:t>transmis</w:t>
      </w:r>
      <w:r w:rsidR="00281459" w:rsidRPr="00A80AE2">
        <w:rPr>
          <w:i/>
          <w:lang w:val="fr-CA"/>
        </w:rPr>
        <w:t xml:space="preserve"> le </w:t>
      </w:r>
      <w:r w:rsidR="00E42112" w:rsidRPr="00A80AE2">
        <w:rPr>
          <w:i/>
          <w:lang w:val="fr-CA"/>
        </w:rPr>
        <w:t>VIH au plaignant</w:t>
      </w:r>
      <w:r w:rsidR="00135308" w:rsidRPr="00A80AE2">
        <w:rPr>
          <w:i/>
          <w:lang w:val="fr-CA"/>
        </w:rPr>
        <w:t xml:space="preserve"> </w:t>
      </w:r>
      <w:r w:rsidR="004379E2">
        <w:rPr>
          <w:i/>
          <w:lang w:val="fr-CA"/>
        </w:rPr>
        <w:t>―</w:t>
      </w:r>
      <w:r w:rsidR="00135308" w:rsidRPr="00A80AE2">
        <w:rPr>
          <w:i/>
          <w:lang w:val="fr-CA"/>
        </w:rPr>
        <w:t xml:space="preserve"> </w:t>
      </w:r>
      <w:r w:rsidR="003A7C9F" w:rsidRPr="00A80AE2">
        <w:rPr>
          <w:i/>
          <w:lang w:val="fr-CA"/>
        </w:rPr>
        <w:t>Conclusion du juge du procès portant que le plaignant n’aurait pas eu de relations sexuelles s’il avait connu la séropositivité de l’accusé</w:t>
      </w:r>
      <w:r w:rsidR="00135308" w:rsidRPr="00A80AE2">
        <w:rPr>
          <w:i/>
          <w:lang w:val="fr-CA"/>
        </w:rPr>
        <w:t xml:space="preserve"> </w:t>
      </w:r>
      <w:r w:rsidR="004379E2">
        <w:rPr>
          <w:i/>
          <w:lang w:val="fr-CA"/>
        </w:rPr>
        <w:t>―</w:t>
      </w:r>
      <w:r w:rsidR="00135308" w:rsidRPr="00A80AE2">
        <w:rPr>
          <w:i/>
          <w:lang w:val="fr-CA"/>
        </w:rPr>
        <w:t xml:space="preserve"> Analyse adéquate </w:t>
      </w:r>
      <w:r w:rsidR="00FF09A5" w:rsidRPr="00A80AE2">
        <w:rPr>
          <w:i/>
          <w:lang w:val="fr-CA"/>
        </w:rPr>
        <w:t xml:space="preserve">par le </w:t>
      </w:r>
      <w:r w:rsidR="00135308" w:rsidRPr="00A80AE2">
        <w:rPr>
          <w:i/>
          <w:lang w:val="fr-CA"/>
        </w:rPr>
        <w:t xml:space="preserve">juge du procès </w:t>
      </w:r>
      <w:r w:rsidR="00FF09A5" w:rsidRPr="00A80AE2">
        <w:rPr>
          <w:i/>
          <w:lang w:val="fr-CA"/>
        </w:rPr>
        <w:t xml:space="preserve">de </w:t>
      </w:r>
      <w:r w:rsidR="00135308" w:rsidRPr="00A80AE2">
        <w:rPr>
          <w:i/>
          <w:lang w:val="fr-CA"/>
        </w:rPr>
        <w:t xml:space="preserve">la crédibilité du plaignant </w:t>
      </w:r>
      <w:r w:rsidR="00281459" w:rsidRPr="00A80AE2">
        <w:rPr>
          <w:i/>
          <w:lang w:val="fr-CA"/>
        </w:rPr>
        <w:t xml:space="preserve">eu égard à </w:t>
      </w:r>
      <w:r w:rsidR="00135308" w:rsidRPr="00A80AE2">
        <w:rPr>
          <w:i/>
          <w:lang w:val="fr-CA"/>
        </w:rPr>
        <w:t>l’ensemble de la preuve.</w:t>
      </w:r>
    </w:p>
    <w:p w:rsidR="001D3C99" w:rsidRPr="00135308" w:rsidRDefault="001D3C99" w:rsidP="001D3C99">
      <w:pPr>
        <w:pStyle w:val="SCCNormalDoubleSpacing"/>
        <w:rPr>
          <w:lang w:val="fr-CA"/>
        </w:rPr>
      </w:pPr>
      <w:r w:rsidRPr="00135308">
        <w:rPr>
          <w:i/>
          <w:lang w:val="fr-CA"/>
        </w:rPr>
        <w:t xml:space="preserve"> </w:t>
      </w:r>
    </w:p>
    <w:p w:rsidR="004D7D95" w:rsidRPr="004D7D95" w:rsidRDefault="004D7D95" w:rsidP="001D3C99">
      <w:pPr>
        <w:pStyle w:val="SCCNormalDoubleSpacing"/>
        <w:rPr>
          <w:b/>
          <w:lang w:val="fr-CA"/>
        </w:rPr>
      </w:pPr>
      <w:r w:rsidRPr="004D7D95">
        <w:rPr>
          <w:b/>
          <w:lang w:val="fr-CA"/>
        </w:rPr>
        <w:t>Jurisprudence</w:t>
      </w:r>
    </w:p>
    <w:p w:rsidR="004D7D95" w:rsidRPr="004D7D95" w:rsidRDefault="004D7D95" w:rsidP="001D3C99">
      <w:pPr>
        <w:pStyle w:val="SCCNormalDoubleSpacing"/>
        <w:rPr>
          <w:lang w:val="fr-CA"/>
        </w:rPr>
      </w:pPr>
    </w:p>
    <w:p w:rsidR="004D7D95" w:rsidRPr="004D7D95" w:rsidRDefault="004D7D95" w:rsidP="001D3C99">
      <w:pPr>
        <w:pStyle w:val="SCCNormalDoubleSpacing"/>
        <w:rPr>
          <w:b/>
          <w:lang w:val="fr-CA"/>
        </w:rPr>
      </w:pPr>
      <w:r w:rsidRPr="004D7D95">
        <w:rPr>
          <w:lang w:val="fr-CA"/>
        </w:rPr>
        <w:tab/>
      </w:r>
      <w:r w:rsidRPr="004D7D95">
        <w:rPr>
          <w:b/>
          <w:lang w:val="fr-CA"/>
        </w:rPr>
        <w:t>Arrêt mentionné :</w:t>
      </w:r>
      <w:r w:rsidRPr="004D7D95">
        <w:rPr>
          <w:lang w:val="fr-CA"/>
        </w:rPr>
        <w:t xml:space="preserve"> </w:t>
      </w:r>
      <w:r w:rsidR="006867EE" w:rsidRPr="00841527">
        <w:rPr>
          <w:i/>
          <w:szCs w:val="24"/>
          <w:lang w:val="fr-CA"/>
        </w:rPr>
        <w:t xml:space="preserve">R. </w:t>
      </w:r>
      <w:r w:rsidR="006867EE">
        <w:rPr>
          <w:i/>
          <w:szCs w:val="24"/>
          <w:lang w:val="fr-CA"/>
        </w:rPr>
        <w:t>c</w:t>
      </w:r>
      <w:r w:rsidR="006867EE" w:rsidRPr="00841527">
        <w:rPr>
          <w:i/>
          <w:szCs w:val="24"/>
          <w:lang w:val="fr-CA"/>
        </w:rPr>
        <w:t>. W. (D.)</w:t>
      </w:r>
      <w:r w:rsidR="006867EE" w:rsidRPr="00841527">
        <w:rPr>
          <w:szCs w:val="24"/>
          <w:lang w:val="fr-CA"/>
        </w:rPr>
        <w:t xml:space="preserve">, [1991] 1 </w:t>
      </w:r>
      <w:r w:rsidR="006867EE">
        <w:rPr>
          <w:szCs w:val="24"/>
          <w:lang w:val="fr-CA"/>
        </w:rPr>
        <w:t>R.C.S. 742.</w:t>
      </w:r>
    </w:p>
    <w:p w:rsidR="004D7D95" w:rsidRPr="004D7D95" w:rsidRDefault="004D7D95" w:rsidP="001D3C99">
      <w:pPr>
        <w:pStyle w:val="SCCNormalDoubleSpacing"/>
        <w:rPr>
          <w:lang w:val="fr-CA"/>
        </w:rPr>
      </w:pPr>
    </w:p>
    <w:p w:rsidR="004D7D95" w:rsidRPr="00307290" w:rsidRDefault="00EF146E" w:rsidP="001D3C99">
      <w:pPr>
        <w:pStyle w:val="SCCNormalDoubleSpacing"/>
        <w:rPr>
          <w:lang w:val="fr-CA"/>
        </w:rPr>
      </w:pPr>
      <w:r>
        <w:rPr>
          <w:lang w:val="fr-CA"/>
        </w:rPr>
        <w:lastRenderedPageBreak/>
        <w:tab/>
      </w:r>
      <w:r w:rsidR="004D7D95" w:rsidRPr="004D7D95">
        <w:rPr>
          <w:lang w:val="fr-CA"/>
        </w:rPr>
        <w:t xml:space="preserve">POURVOI contre un arrêt de la </w:t>
      </w:r>
      <w:r w:rsidR="004D7D95" w:rsidRPr="00273361">
        <w:rPr>
          <w:lang w:val="fr-CA"/>
        </w:rPr>
        <w:t xml:space="preserve">Cour d’appel du Québec </w:t>
      </w:r>
      <w:r>
        <w:rPr>
          <w:lang w:val="fr-CA"/>
        </w:rPr>
        <w:t xml:space="preserve">(les juges </w:t>
      </w:r>
      <w:proofErr w:type="spellStart"/>
      <w:r>
        <w:rPr>
          <w:lang w:val="fr-CA"/>
        </w:rPr>
        <w:t>Dalphond</w:t>
      </w:r>
      <w:proofErr w:type="spellEnd"/>
      <w:r>
        <w:rPr>
          <w:lang w:val="fr-CA"/>
        </w:rPr>
        <w:t xml:space="preserve">, Hilton et Bélanger), </w:t>
      </w:r>
      <w:r w:rsidR="00BF2B30" w:rsidRPr="00BF2B30">
        <w:rPr>
          <w:lang w:val="fr-CA"/>
        </w:rPr>
        <w:t>2014 QCCA 321,</w:t>
      </w:r>
      <w:r w:rsidR="00BF2B30">
        <w:rPr>
          <w:lang w:val="fr-CA"/>
        </w:rPr>
        <w:t xml:space="preserve"> 307 C.C.C. (3d) 355, </w:t>
      </w:r>
      <w:r w:rsidR="00BF2B30" w:rsidRPr="00BF2B30">
        <w:rPr>
          <w:lang w:val="fr-CA"/>
        </w:rPr>
        <w:t>SOQUIJ AZ-51046931,</w:t>
      </w:r>
      <w:r w:rsidR="00307290">
        <w:rPr>
          <w:lang w:val="fr-CA"/>
        </w:rPr>
        <w:t xml:space="preserve"> [2014] Q.J. No. 1180</w:t>
      </w:r>
      <w:r w:rsidR="001E2919">
        <w:rPr>
          <w:lang w:val="fr-CA"/>
        </w:rPr>
        <w:t xml:space="preserve"> (QL)</w:t>
      </w:r>
      <w:r w:rsidR="00307290">
        <w:rPr>
          <w:lang w:val="fr-CA"/>
        </w:rPr>
        <w:t xml:space="preserve">, </w:t>
      </w:r>
      <w:r w:rsidR="003F4C4F">
        <w:rPr>
          <w:lang w:val="fr-CA"/>
        </w:rPr>
        <w:t xml:space="preserve">2014 </w:t>
      </w:r>
      <w:proofErr w:type="spellStart"/>
      <w:r w:rsidR="003F4C4F">
        <w:rPr>
          <w:lang w:val="fr-CA"/>
        </w:rPr>
        <w:t>CarswellQue</w:t>
      </w:r>
      <w:proofErr w:type="spellEnd"/>
      <w:r w:rsidR="003F4C4F">
        <w:rPr>
          <w:lang w:val="fr-CA"/>
        </w:rPr>
        <w:t xml:space="preserve"> 1137</w:t>
      </w:r>
      <w:r w:rsidR="00307290" w:rsidRPr="00307290">
        <w:rPr>
          <w:lang w:val="fr-CA"/>
        </w:rPr>
        <w:t>,</w:t>
      </w:r>
      <w:r w:rsidR="00307290">
        <w:rPr>
          <w:lang w:val="fr-CA"/>
        </w:rPr>
        <w:t xml:space="preserve"> </w:t>
      </w:r>
      <w:r w:rsidR="00DA6A84">
        <w:rPr>
          <w:lang w:val="fr-CA"/>
        </w:rPr>
        <w:t xml:space="preserve">qui a confirmé </w:t>
      </w:r>
      <w:r w:rsidR="00A80AE2">
        <w:rPr>
          <w:lang w:val="fr-CA"/>
        </w:rPr>
        <w:t xml:space="preserve">la déclaration de culpabilité pour </w:t>
      </w:r>
      <w:r w:rsidR="00DA6A84">
        <w:rPr>
          <w:lang w:val="fr-CA"/>
        </w:rPr>
        <w:t xml:space="preserve">agression sexuelle grave </w:t>
      </w:r>
      <w:r w:rsidR="00A80AE2">
        <w:rPr>
          <w:lang w:val="fr-CA"/>
        </w:rPr>
        <w:t>prononcé</w:t>
      </w:r>
      <w:r w:rsidR="00FE0271">
        <w:rPr>
          <w:lang w:val="fr-CA"/>
        </w:rPr>
        <w:t>e</w:t>
      </w:r>
      <w:r w:rsidR="00A80AE2">
        <w:rPr>
          <w:lang w:val="fr-CA"/>
        </w:rPr>
        <w:t xml:space="preserve"> contre</w:t>
      </w:r>
      <w:r w:rsidR="00DA6A84">
        <w:rPr>
          <w:lang w:val="fr-CA"/>
        </w:rPr>
        <w:t xml:space="preserve"> l’accusé.  Pourvoi </w:t>
      </w:r>
      <w:r w:rsidR="00AE34D8">
        <w:rPr>
          <w:lang w:val="fr-CA"/>
        </w:rPr>
        <w:t>rejeté</w:t>
      </w:r>
      <w:r w:rsidR="00DA6A84">
        <w:rPr>
          <w:lang w:val="fr-CA"/>
        </w:rPr>
        <w:t>.</w:t>
      </w:r>
    </w:p>
    <w:p w:rsidR="004D7D95" w:rsidRPr="004D7D95" w:rsidRDefault="004D7D95" w:rsidP="001D3C99">
      <w:pPr>
        <w:pStyle w:val="SCCNormalDoubleSpacing"/>
        <w:rPr>
          <w:lang w:val="fr-CA"/>
        </w:rPr>
      </w:pPr>
    </w:p>
    <w:p w:rsidR="001D0410" w:rsidRPr="00273361" w:rsidRDefault="000D6C68" w:rsidP="001D3C99">
      <w:pPr>
        <w:pStyle w:val="SCCNormalDoubleSpacing"/>
        <w:rPr>
          <w:lang w:val="fr-CA"/>
        </w:rPr>
      </w:pPr>
      <w:r w:rsidRPr="00273361">
        <w:rPr>
          <w:rStyle w:val="SCCCounselNameChar"/>
          <w:lang w:val="fr-CA"/>
        </w:rPr>
        <w:tab/>
        <w:t xml:space="preserve">Jeffrey K. </w:t>
      </w:r>
      <w:proofErr w:type="spellStart"/>
      <w:r w:rsidRPr="00273361">
        <w:rPr>
          <w:rStyle w:val="SCCCounselNameChar"/>
          <w:lang w:val="fr-CA"/>
        </w:rPr>
        <w:t>Boro</w:t>
      </w:r>
      <w:proofErr w:type="spellEnd"/>
      <w:r w:rsidRPr="00273361">
        <w:rPr>
          <w:rStyle w:val="SCCCounselSeparatorChar"/>
          <w:lang w:val="fr-CA"/>
        </w:rPr>
        <w:t xml:space="preserve"> et </w:t>
      </w:r>
      <w:r w:rsidRPr="00273361">
        <w:rPr>
          <w:rStyle w:val="SCCCounselNameChar"/>
          <w:lang w:val="fr-CA"/>
        </w:rPr>
        <w:t>Jonathan Gordon</w:t>
      </w:r>
      <w:r w:rsidR="0035290A">
        <w:rPr>
          <w:rStyle w:val="SCCCounselPartyRoleChar"/>
          <w:lang w:val="fr-CA"/>
        </w:rPr>
        <w:t>, pour l’</w:t>
      </w:r>
      <w:r w:rsidRPr="00273361">
        <w:rPr>
          <w:rStyle w:val="SCCCounselPartyRoleChar"/>
          <w:lang w:val="fr-CA"/>
        </w:rPr>
        <w:t>appelant</w:t>
      </w:r>
      <w:r w:rsidR="0035290A">
        <w:rPr>
          <w:rStyle w:val="SCCCounselPartyRoleChar"/>
          <w:lang w:val="fr-CA"/>
        </w:rPr>
        <w:t>.</w:t>
      </w:r>
    </w:p>
    <w:p w:rsidR="001D0410" w:rsidRPr="00273361" w:rsidRDefault="001D0410" w:rsidP="001D3C99">
      <w:pPr>
        <w:pStyle w:val="SCCNormalDoubleSpacing"/>
        <w:rPr>
          <w:lang w:val="fr-CA"/>
        </w:rPr>
      </w:pPr>
    </w:p>
    <w:p w:rsidR="001D0410" w:rsidRPr="00273361" w:rsidRDefault="000D6C68" w:rsidP="001D3C99">
      <w:pPr>
        <w:pStyle w:val="SCCNormalDoubleSpacing"/>
        <w:rPr>
          <w:lang w:val="fr-CA"/>
        </w:rPr>
      </w:pPr>
      <w:r w:rsidRPr="00273361">
        <w:rPr>
          <w:rStyle w:val="SCCCounselNameChar"/>
          <w:lang w:val="fr-CA"/>
        </w:rPr>
        <w:tab/>
        <w:t xml:space="preserve">Dennis </w:t>
      </w:r>
      <w:proofErr w:type="spellStart"/>
      <w:r w:rsidRPr="00273361">
        <w:rPr>
          <w:rStyle w:val="SCCCounselNameChar"/>
          <w:lang w:val="fr-CA"/>
        </w:rPr>
        <w:t>Galiatsatos</w:t>
      </w:r>
      <w:proofErr w:type="spellEnd"/>
      <w:r w:rsidRPr="00273361">
        <w:rPr>
          <w:rStyle w:val="SCCCounselSeparatorChar"/>
          <w:lang w:val="fr-CA"/>
        </w:rPr>
        <w:t xml:space="preserve"> et </w:t>
      </w:r>
      <w:r w:rsidRPr="00273361">
        <w:rPr>
          <w:rStyle w:val="SCCCounselNameChar"/>
          <w:lang w:val="fr-CA"/>
        </w:rPr>
        <w:t>Richard Audet</w:t>
      </w:r>
      <w:r w:rsidR="0035290A">
        <w:rPr>
          <w:rStyle w:val="SCCCounselPartyRoleChar"/>
          <w:lang w:val="fr-CA"/>
        </w:rPr>
        <w:t>, pour l’</w:t>
      </w:r>
      <w:r w:rsidRPr="00273361">
        <w:rPr>
          <w:rStyle w:val="SCCCounselPartyRoleChar"/>
          <w:lang w:val="fr-CA"/>
        </w:rPr>
        <w:t>intimé</w:t>
      </w:r>
      <w:r w:rsidR="0035290A">
        <w:rPr>
          <w:rStyle w:val="SCCCounselPartyRoleChar"/>
          <w:lang w:val="fr-CA"/>
        </w:rPr>
        <w:t>e.</w:t>
      </w:r>
    </w:p>
    <w:p w:rsidR="001D0410" w:rsidRPr="00273361" w:rsidRDefault="001D0410" w:rsidP="001D3C99">
      <w:pPr>
        <w:pStyle w:val="SCCNormalDoubleSpacing"/>
        <w:rPr>
          <w:lang w:val="fr-CA"/>
        </w:rPr>
      </w:pPr>
    </w:p>
    <w:p w:rsidR="001D0410" w:rsidRPr="00273361" w:rsidRDefault="000D6C68" w:rsidP="001D3C99">
      <w:pPr>
        <w:pStyle w:val="SCCNormalDoubleSpacing"/>
        <w:rPr>
          <w:lang w:val="fr-CA"/>
        </w:rPr>
      </w:pPr>
      <w:r w:rsidRPr="00273361">
        <w:rPr>
          <w:rStyle w:val="SCCCounselNameChar"/>
          <w:lang w:val="fr-CA"/>
        </w:rPr>
        <w:tab/>
        <w:t xml:space="preserve">Jonathan A. </w:t>
      </w:r>
      <w:proofErr w:type="spellStart"/>
      <w:r w:rsidRPr="00273361">
        <w:rPr>
          <w:rStyle w:val="SCCCounselNameChar"/>
          <w:lang w:val="fr-CA"/>
        </w:rPr>
        <w:t>Shime</w:t>
      </w:r>
      <w:proofErr w:type="spellEnd"/>
      <w:r w:rsidR="00975DD2">
        <w:rPr>
          <w:rStyle w:val="SCCCounselSeparatorChar"/>
          <w:lang w:val="fr-CA"/>
        </w:rPr>
        <w:t xml:space="preserve"> et</w:t>
      </w:r>
      <w:r w:rsidRPr="00273361">
        <w:rPr>
          <w:rStyle w:val="SCCCounselSeparatorChar"/>
          <w:lang w:val="fr-CA"/>
        </w:rPr>
        <w:t xml:space="preserve"> </w:t>
      </w:r>
      <w:r w:rsidRPr="00273361">
        <w:rPr>
          <w:rStyle w:val="SCCCounselNameChar"/>
          <w:lang w:val="fr-CA"/>
        </w:rPr>
        <w:t>Amanda Ross</w:t>
      </w:r>
      <w:r w:rsidR="00975DD2">
        <w:rPr>
          <w:rStyle w:val="SCCCounselPartyRoleChar"/>
          <w:lang w:val="fr-CA"/>
        </w:rPr>
        <w:t>, pour l’</w:t>
      </w:r>
      <w:r w:rsidRPr="00273361">
        <w:rPr>
          <w:rStyle w:val="SCCCounselPartyRoleChar"/>
          <w:lang w:val="fr-CA"/>
        </w:rPr>
        <w:t>intervenant</w:t>
      </w:r>
      <w:r w:rsidR="00975DD2">
        <w:rPr>
          <w:rStyle w:val="SCCCounselPartyRoleChar"/>
          <w:lang w:val="fr-CA"/>
        </w:rPr>
        <w:t xml:space="preserve"> </w:t>
      </w:r>
      <w:r w:rsidR="005D1C23">
        <w:rPr>
          <w:rStyle w:val="SCCCounselPartyRoleChar"/>
          <w:lang w:val="fr-CA"/>
        </w:rPr>
        <w:t xml:space="preserve">le </w:t>
      </w:r>
      <w:r w:rsidR="00DF7334">
        <w:rPr>
          <w:rStyle w:val="SCCCounselPartyRoleChar"/>
          <w:lang w:val="fr-CA"/>
        </w:rPr>
        <w:t>R</w:t>
      </w:r>
      <w:r w:rsidR="00975DD2" w:rsidRPr="00AB7C98">
        <w:rPr>
          <w:lang w:val="fr-CA"/>
        </w:rPr>
        <w:t xml:space="preserve">éseau juridique canadien </w:t>
      </w:r>
      <w:r w:rsidR="00975DD2">
        <w:rPr>
          <w:lang w:val="fr-CA"/>
        </w:rPr>
        <w:t>VIH</w:t>
      </w:r>
      <w:r w:rsidR="00975DD2" w:rsidRPr="00AB7C98">
        <w:rPr>
          <w:lang w:val="fr-CA"/>
        </w:rPr>
        <w:t>/</w:t>
      </w:r>
      <w:r w:rsidR="00975DD2">
        <w:rPr>
          <w:lang w:val="fr-CA"/>
        </w:rPr>
        <w:t>sida</w:t>
      </w:r>
      <w:r w:rsidRPr="00273361">
        <w:rPr>
          <w:rStyle w:val="SCCCounselPartyRoleChar"/>
          <w:lang w:val="fr-CA"/>
        </w:rPr>
        <w:t>.</w:t>
      </w:r>
    </w:p>
    <w:p w:rsidR="001D0410" w:rsidRPr="00273361" w:rsidRDefault="001D0410" w:rsidP="001D3C99">
      <w:pPr>
        <w:pStyle w:val="SCCNormalDoubleSpacing"/>
        <w:rPr>
          <w:lang w:val="fr-CA"/>
        </w:rPr>
      </w:pPr>
    </w:p>
    <w:p w:rsidR="001D0410" w:rsidRPr="00273361" w:rsidRDefault="000D6C68" w:rsidP="001D3C99">
      <w:pPr>
        <w:pStyle w:val="SCCNormalDoubleSpacing"/>
        <w:rPr>
          <w:lang w:val="fr-CA"/>
        </w:rPr>
      </w:pPr>
      <w:r w:rsidRPr="00273361">
        <w:rPr>
          <w:rStyle w:val="SCCCounselNameChar"/>
          <w:lang w:val="fr-CA"/>
        </w:rPr>
        <w:tab/>
        <w:t>Ryan Peck</w:t>
      </w:r>
      <w:r w:rsidRPr="00273361">
        <w:rPr>
          <w:rStyle w:val="SCCCounselPartyRoleChar"/>
          <w:lang w:val="fr-CA"/>
        </w:rPr>
        <w:t>, pour l</w:t>
      </w:r>
      <w:r w:rsidR="00975DD2">
        <w:rPr>
          <w:rStyle w:val="SCCCounselPartyRoleChar"/>
          <w:lang w:val="fr-CA"/>
        </w:rPr>
        <w:t>’</w:t>
      </w:r>
      <w:r w:rsidRPr="00273361">
        <w:rPr>
          <w:rStyle w:val="SCCCounselPartyRoleChar"/>
          <w:lang w:val="fr-CA"/>
        </w:rPr>
        <w:t>intervenant</w:t>
      </w:r>
      <w:r w:rsidR="00975DD2">
        <w:rPr>
          <w:rStyle w:val="SCCCounselPartyRoleChar"/>
          <w:lang w:val="fr-CA"/>
        </w:rPr>
        <w:t>e</w:t>
      </w:r>
      <w:r w:rsidRPr="00273361">
        <w:rPr>
          <w:rStyle w:val="SCCCounselPartyRoleChar"/>
          <w:lang w:val="fr-CA"/>
        </w:rPr>
        <w:t xml:space="preserve"> HIV &amp; AIDS </w:t>
      </w:r>
      <w:proofErr w:type="spellStart"/>
      <w:r w:rsidRPr="00273361">
        <w:rPr>
          <w:rStyle w:val="SCCCounselPartyRoleChar"/>
          <w:lang w:val="fr-CA"/>
        </w:rPr>
        <w:t>Legal</w:t>
      </w:r>
      <w:proofErr w:type="spellEnd"/>
      <w:r w:rsidRPr="00273361">
        <w:rPr>
          <w:rStyle w:val="SCCCounselPartyRoleChar"/>
          <w:lang w:val="fr-CA"/>
        </w:rPr>
        <w:t xml:space="preserve"> Clinic Ontario.</w:t>
      </w:r>
    </w:p>
    <w:p w:rsidR="001D0410" w:rsidRPr="00273361" w:rsidRDefault="001D0410" w:rsidP="001D3C99">
      <w:pPr>
        <w:pStyle w:val="SCCNormalDoubleSpacing"/>
        <w:rPr>
          <w:lang w:val="fr-CA"/>
        </w:rPr>
      </w:pPr>
    </w:p>
    <w:p w:rsidR="001D0410" w:rsidRDefault="000D6C68" w:rsidP="001D3C99">
      <w:pPr>
        <w:pStyle w:val="SCCNormalDoubleSpacing"/>
        <w:rPr>
          <w:rStyle w:val="SCCCounselPartyRoleChar"/>
          <w:lang w:val="fr-CA"/>
        </w:rPr>
      </w:pPr>
      <w:r w:rsidRPr="00273361">
        <w:rPr>
          <w:rStyle w:val="SCCCounselNameChar"/>
          <w:lang w:val="fr-CA"/>
        </w:rPr>
        <w:tab/>
        <w:t xml:space="preserve">Liz </w:t>
      </w:r>
      <w:proofErr w:type="spellStart"/>
      <w:r w:rsidRPr="00273361">
        <w:rPr>
          <w:rStyle w:val="SCCCounselNameChar"/>
          <w:lang w:val="fr-CA"/>
        </w:rPr>
        <w:t>Lacharpagne</w:t>
      </w:r>
      <w:proofErr w:type="spellEnd"/>
      <w:r w:rsidR="005D1C23">
        <w:rPr>
          <w:rStyle w:val="SCCCounselPartyRoleChar"/>
          <w:lang w:val="fr-CA"/>
        </w:rPr>
        <w:t>, pour l’intervenante la</w:t>
      </w:r>
      <w:r w:rsidRPr="00273361">
        <w:rPr>
          <w:rStyle w:val="SCCCounselPartyRoleChar"/>
          <w:lang w:val="fr-CA"/>
        </w:rPr>
        <w:t xml:space="preserve"> Coalition des organismes communautaires québécois de lutte contre le sida.</w:t>
      </w:r>
    </w:p>
    <w:p w:rsidR="00460054" w:rsidRDefault="00460054" w:rsidP="001D3C99">
      <w:pPr>
        <w:pStyle w:val="SCCNormalDoubleSpacing"/>
        <w:rPr>
          <w:smallCaps/>
          <w:lang w:val="fr-CA"/>
        </w:rPr>
      </w:pPr>
    </w:p>
    <w:p w:rsidR="006867EE" w:rsidRDefault="006867EE" w:rsidP="001D3C99">
      <w:pPr>
        <w:pStyle w:val="SCCNormalDoubleSpacing"/>
        <w:rPr>
          <w:smallCaps/>
          <w:lang w:val="fr-CA"/>
        </w:rPr>
      </w:pPr>
      <w:r>
        <w:rPr>
          <w:lang w:val="fr-CA"/>
        </w:rPr>
        <w:tab/>
      </w:r>
      <w:r w:rsidRPr="00F911F7">
        <w:rPr>
          <w:lang w:val="fr-CA"/>
        </w:rPr>
        <w:t xml:space="preserve">Version </w:t>
      </w:r>
      <w:r w:rsidRPr="00EB110C">
        <w:rPr>
          <w:rStyle w:val="SCCCounselPartyRoleChar"/>
          <w:lang w:val="fr-CA"/>
        </w:rPr>
        <w:t>française</w:t>
      </w:r>
      <w:r w:rsidRPr="00F911F7">
        <w:rPr>
          <w:lang w:val="fr-CA"/>
        </w:rPr>
        <w:t xml:space="preserve"> du jugement de la Cour rendu oralement par</w:t>
      </w:r>
    </w:p>
    <w:p w:rsidR="00460054" w:rsidRPr="00841527" w:rsidRDefault="00460054" w:rsidP="001D3C99">
      <w:pPr>
        <w:pStyle w:val="ParaNoNdepar-AltN"/>
        <w:rPr>
          <w:szCs w:val="24"/>
          <w:lang w:val="fr-CA"/>
        </w:rPr>
      </w:pPr>
      <w:r w:rsidRPr="00912039">
        <w:rPr>
          <w:rFonts w:cs="Times New Roman"/>
          <w:smallCaps/>
          <w:lang w:val="fr-CA"/>
        </w:rPr>
        <w:t>La juge</w:t>
      </w:r>
      <w:r w:rsidRPr="00912039">
        <w:rPr>
          <w:rFonts w:cs="Times New Roman"/>
          <w:lang w:val="fr-CA"/>
        </w:rPr>
        <w:t xml:space="preserve"> </w:t>
      </w:r>
      <w:proofErr w:type="spellStart"/>
      <w:r w:rsidRPr="00912039">
        <w:rPr>
          <w:rFonts w:cs="Times New Roman"/>
          <w:smallCaps/>
          <w:lang w:val="fr-CA"/>
        </w:rPr>
        <w:t>Karakatsanis</w:t>
      </w:r>
      <w:proofErr w:type="spellEnd"/>
      <w:r w:rsidRPr="00912039">
        <w:rPr>
          <w:rFonts w:cs="Times New Roman"/>
          <w:lang w:val="fr-CA"/>
        </w:rPr>
        <w:t xml:space="preserve"> — </w:t>
      </w:r>
      <w:r w:rsidRPr="00841527">
        <w:rPr>
          <w:rFonts w:cs="Times New Roman"/>
          <w:lang w:val="fr-CA"/>
        </w:rPr>
        <w:t xml:space="preserve">Il s’agit d’un </w:t>
      </w:r>
      <w:r>
        <w:rPr>
          <w:rFonts w:cs="Times New Roman"/>
          <w:lang w:val="fr-CA"/>
        </w:rPr>
        <w:t xml:space="preserve">appel </w:t>
      </w:r>
      <w:r w:rsidRPr="00841527">
        <w:rPr>
          <w:rFonts w:cs="Times New Roman"/>
          <w:lang w:val="fr-CA"/>
        </w:rPr>
        <w:t xml:space="preserve">de plein droit </w:t>
      </w:r>
      <w:r>
        <w:rPr>
          <w:rFonts w:cs="Times New Roman"/>
          <w:lang w:val="fr-CA"/>
        </w:rPr>
        <w:t>portant su</w:t>
      </w:r>
      <w:r w:rsidRPr="00841527">
        <w:rPr>
          <w:rFonts w:cs="Times New Roman"/>
          <w:lang w:val="fr-CA"/>
        </w:rPr>
        <w:t xml:space="preserve">r une question de droit. </w:t>
      </w:r>
      <w:r>
        <w:rPr>
          <w:rFonts w:cs="Times New Roman"/>
          <w:lang w:val="fr-CA"/>
        </w:rPr>
        <w:t xml:space="preserve"> Comme les j</w:t>
      </w:r>
      <w:r w:rsidRPr="00841527">
        <w:rPr>
          <w:rFonts w:cs="Times New Roman"/>
          <w:lang w:val="fr-CA"/>
        </w:rPr>
        <w:t>uges majoritaires de la Cour d’appel du Québec</w:t>
      </w:r>
      <w:r>
        <w:rPr>
          <w:rFonts w:cs="Times New Roman"/>
          <w:lang w:val="fr-CA"/>
        </w:rPr>
        <w:t>, nous estimons qu’il</w:t>
      </w:r>
      <w:r w:rsidRPr="00841527">
        <w:rPr>
          <w:rFonts w:cs="Times New Roman"/>
          <w:lang w:val="fr-CA"/>
        </w:rPr>
        <w:t xml:space="preserve"> était loisible au juge du procès de conclure hors de tout doute raisonnable que le plaignant n’aur</w:t>
      </w:r>
      <w:r w:rsidR="00EB110C">
        <w:rPr>
          <w:rFonts w:cs="Times New Roman"/>
          <w:lang w:val="fr-CA"/>
        </w:rPr>
        <w:t xml:space="preserve">ait pas eu de rapports sexuels </w:t>
      </w:r>
      <w:r>
        <w:rPr>
          <w:rFonts w:cs="Times New Roman"/>
          <w:lang w:val="fr-CA"/>
        </w:rPr>
        <w:t>avec l’appelant</w:t>
      </w:r>
      <w:r w:rsidRPr="00841527">
        <w:rPr>
          <w:rFonts w:cs="Times New Roman"/>
          <w:lang w:val="fr-CA"/>
        </w:rPr>
        <w:t xml:space="preserve"> </w:t>
      </w:r>
      <w:r>
        <w:rPr>
          <w:rFonts w:cs="Times New Roman"/>
          <w:lang w:val="fr-CA"/>
        </w:rPr>
        <w:t xml:space="preserve">s’il </w:t>
      </w:r>
      <w:r>
        <w:rPr>
          <w:rFonts w:cs="Times New Roman"/>
          <w:lang w:val="fr-CA"/>
        </w:rPr>
        <w:lastRenderedPageBreak/>
        <w:t>avait su que ce dernier était séropositif</w:t>
      </w:r>
      <w:r w:rsidRPr="00841527">
        <w:rPr>
          <w:rFonts w:cs="Times New Roman"/>
          <w:lang w:val="fr-CA"/>
        </w:rPr>
        <w:t xml:space="preserve">. </w:t>
      </w:r>
      <w:r>
        <w:rPr>
          <w:rFonts w:cs="Times New Roman"/>
          <w:lang w:val="fr-CA"/>
        </w:rPr>
        <w:t xml:space="preserve"> </w:t>
      </w:r>
      <w:r w:rsidRPr="00841527">
        <w:rPr>
          <w:rFonts w:cs="Times New Roman"/>
          <w:lang w:val="fr-CA"/>
        </w:rPr>
        <w:t xml:space="preserve">Le fait que le juge ait en outre </w:t>
      </w:r>
      <w:r>
        <w:rPr>
          <w:rFonts w:cs="Times New Roman"/>
          <w:lang w:val="fr-CA"/>
        </w:rPr>
        <w:t xml:space="preserve">conclu </w:t>
      </w:r>
      <w:r w:rsidRPr="00841527">
        <w:rPr>
          <w:rFonts w:cs="Times New Roman"/>
          <w:lang w:val="fr-CA"/>
        </w:rPr>
        <w:t xml:space="preserve">qu’il était possible que </w:t>
      </w:r>
      <w:r>
        <w:rPr>
          <w:rFonts w:cs="Times New Roman"/>
          <w:lang w:val="fr-CA"/>
        </w:rPr>
        <w:t>les rapports sexuels se soient poursuivis après que l’appelant e</w:t>
      </w:r>
      <w:r w:rsidR="002C2F6E">
        <w:rPr>
          <w:rFonts w:cs="Times New Roman"/>
          <w:lang w:val="fr-CA"/>
        </w:rPr>
        <w:t xml:space="preserve">ut </w:t>
      </w:r>
      <w:r>
        <w:rPr>
          <w:rFonts w:cs="Times New Roman"/>
          <w:lang w:val="fr-CA"/>
        </w:rPr>
        <w:t>dévoilé sa séropositivité</w:t>
      </w:r>
      <w:r w:rsidRPr="00841527">
        <w:rPr>
          <w:rFonts w:cs="Times New Roman"/>
          <w:lang w:val="fr-CA"/>
        </w:rPr>
        <w:t xml:space="preserve"> </w:t>
      </w:r>
      <w:r>
        <w:rPr>
          <w:rFonts w:cs="Times New Roman"/>
          <w:lang w:val="fr-CA"/>
        </w:rPr>
        <w:t>— ce que nie le plaignant — ne</w:t>
      </w:r>
      <w:r w:rsidRPr="00841527">
        <w:rPr>
          <w:rFonts w:cs="Times New Roman"/>
          <w:lang w:val="fr-CA"/>
        </w:rPr>
        <w:t xml:space="preserve"> rend pas nécessairement la premi</w:t>
      </w:r>
      <w:r>
        <w:rPr>
          <w:rFonts w:cs="Times New Roman"/>
          <w:lang w:val="fr-CA"/>
        </w:rPr>
        <w:t>ère</w:t>
      </w:r>
      <w:r w:rsidRPr="00841527">
        <w:rPr>
          <w:rFonts w:cs="Times New Roman"/>
          <w:lang w:val="fr-CA"/>
        </w:rPr>
        <w:t xml:space="preserve"> conclusion déraisonnable. </w:t>
      </w:r>
      <w:r>
        <w:rPr>
          <w:rFonts w:cs="Times New Roman"/>
          <w:lang w:val="fr-CA"/>
        </w:rPr>
        <w:t xml:space="preserve"> Bien qu’il eût été</w:t>
      </w:r>
      <w:r w:rsidRPr="00841527">
        <w:rPr>
          <w:rFonts w:cs="Times New Roman"/>
          <w:lang w:val="fr-CA"/>
        </w:rPr>
        <w:t xml:space="preserve"> préférable qu</w:t>
      </w:r>
      <w:r>
        <w:rPr>
          <w:rFonts w:cs="Times New Roman"/>
          <w:lang w:val="fr-CA"/>
        </w:rPr>
        <w:t>e le juge e</w:t>
      </w:r>
      <w:r w:rsidRPr="00841527">
        <w:rPr>
          <w:rFonts w:cs="Times New Roman"/>
          <w:lang w:val="fr-CA"/>
        </w:rPr>
        <w:t xml:space="preserve">xplique plus en détail son raisonnement en ce qui concerne la crédibilité du plaignant, nous ne sommes pas convaincus </w:t>
      </w:r>
      <w:r>
        <w:rPr>
          <w:rFonts w:cs="Times New Roman"/>
          <w:lang w:val="fr-CA"/>
        </w:rPr>
        <w:t xml:space="preserve">qu’il </w:t>
      </w:r>
      <w:r w:rsidRPr="00841527">
        <w:rPr>
          <w:rFonts w:cs="Times New Roman"/>
          <w:lang w:val="fr-CA"/>
        </w:rPr>
        <w:t>a commis une erreur</w:t>
      </w:r>
      <w:r>
        <w:rPr>
          <w:rFonts w:cs="Times New Roman"/>
          <w:lang w:val="fr-CA"/>
        </w:rPr>
        <w:t xml:space="preserve"> dans l’application de l’analyse é</w:t>
      </w:r>
      <w:r>
        <w:rPr>
          <w:szCs w:val="24"/>
          <w:lang w:val="fr-CA"/>
        </w:rPr>
        <w:t>noncée dans</w:t>
      </w:r>
      <w:r w:rsidRPr="00841527">
        <w:rPr>
          <w:szCs w:val="24"/>
          <w:lang w:val="fr-CA"/>
        </w:rPr>
        <w:t xml:space="preserve"> </w:t>
      </w:r>
      <w:r w:rsidRPr="00841527">
        <w:rPr>
          <w:i/>
          <w:szCs w:val="24"/>
          <w:lang w:val="fr-CA"/>
        </w:rPr>
        <w:t xml:space="preserve">R. </w:t>
      </w:r>
      <w:r>
        <w:rPr>
          <w:i/>
          <w:szCs w:val="24"/>
          <w:lang w:val="fr-CA"/>
        </w:rPr>
        <w:t>c</w:t>
      </w:r>
      <w:r w:rsidRPr="00841527">
        <w:rPr>
          <w:i/>
          <w:szCs w:val="24"/>
          <w:lang w:val="fr-CA"/>
        </w:rPr>
        <w:t>. W. (D.)</w:t>
      </w:r>
      <w:r w:rsidRPr="00841527">
        <w:rPr>
          <w:szCs w:val="24"/>
          <w:lang w:val="fr-CA"/>
        </w:rPr>
        <w:t xml:space="preserve">, [1991] 1 </w:t>
      </w:r>
      <w:r>
        <w:rPr>
          <w:szCs w:val="24"/>
          <w:lang w:val="fr-CA"/>
        </w:rPr>
        <w:t>R.C.S. 742</w:t>
      </w:r>
      <w:r w:rsidRPr="00841527">
        <w:rPr>
          <w:szCs w:val="24"/>
          <w:lang w:val="fr-CA"/>
        </w:rPr>
        <w:t xml:space="preserve">, </w:t>
      </w:r>
      <w:r>
        <w:rPr>
          <w:szCs w:val="24"/>
          <w:lang w:val="fr-CA"/>
        </w:rPr>
        <w:t>ou qu’il a omis d’analyser la preuve dans son ensemble à l’égard d’une question déterminante</w:t>
      </w:r>
      <w:r w:rsidRPr="00841527">
        <w:rPr>
          <w:szCs w:val="24"/>
          <w:lang w:val="fr-CA"/>
        </w:rPr>
        <w:t xml:space="preserve">. </w:t>
      </w:r>
      <w:r>
        <w:rPr>
          <w:szCs w:val="24"/>
          <w:lang w:val="fr-CA"/>
        </w:rPr>
        <w:t xml:space="preserve"> </w:t>
      </w:r>
      <w:r w:rsidRPr="00841527">
        <w:rPr>
          <w:szCs w:val="24"/>
          <w:lang w:val="fr-CA"/>
        </w:rPr>
        <w:t>Le pourvoi est rejeté.</w:t>
      </w:r>
    </w:p>
    <w:p w:rsidR="00881C84" w:rsidRPr="00881C84" w:rsidRDefault="00881C84" w:rsidP="001D3C99">
      <w:pPr>
        <w:pStyle w:val="SCCNormalDoubleSpacing"/>
        <w:rPr>
          <w:i/>
          <w:lang w:val="fr-CA"/>
        </w:rPr>
      </w:pPr>
      <w:r>
        <w:rPr>
          <w:lang w:val="fr-CA"/>
        </w:rPr>
        <w:tab/>
      </w:r>
      <w:r w:rsidRPr="00881C84">
        <w:rPr>
          <w:i/>
          <w:lang w:val="fr-CA"/>
        </w:rPr>
        <w:t>Jugement en conséquence.</w:t>
      </w:r>
    </w:p>
    <w:p w:rsidR="00881C84" w:rsidRPr="00273361" w:rsidRDefault="00881C84" w:rsidP="001D3C99">
      <w:pPr>
        <w:pStyle w:val="SCCNormalDoubleSpacing"/>
        <w:rPr>
          <w:lang w:val="fr-CA"/>
        </w:rPr>
      </w:pPr>
    </w:p>
    <w:p w:rsidR="001D0410" w:rsidRPr="00273361" w:rsidRDefault="000D6C68" w:rsidP="001D3C99">
      <w:pPr>
        <w:pStyle w:val="SCCLawFirm"/>
        <w:rPr>
          <w:lang w:val="fr-CA"/>
        </w:rPr>
      </w:pPr>
      <w:r w:rsidRPr="00273361">
        <w:rPr>
          <w:lang w:val="fr-CA"/>
        </w:rPr>
        <w:tab/>
        <w:t>Procureur</w:t>
      </w:r>
      <w:r w:rsidR="005E2280">
        <w:rPr>
          <w:lang w:val="fr-CA"/>
        </w:rPr>
        <w:t>s de l’appelant</w:t>
      </w:r>
      <w:r w:rsidRPr="00273361">
        <w:rPr>
          <w:lang w:val="fr-CA"/>
        </w:rPr>
        <w:t> :</w:t>
      </w:r>
      <w:r w:rsidR="005E2280">
        <w:rPr>
          <w:lang w:val="fr-CA"/>
        </w:rPr>
        <w:t xml:space="preserve"> </w:t>
      </w:r>
      <w:proofErr w:type="spellStart"/>
      <w:r w:rsidR="005E2280">
        <w:rPr>
          <w:lang w:val="fr-CA"/>
        </w:rPr>
        <w:t>Boro</w:t>
      </w:r>
      <w:proofErr w:type="spellEnd"/>
      <w:r w:rsidR="005E2280">
        <w:rPr>
          <w:lang w:val="fr-CA"/>
        </w:rPr>
        <w:t xml:space="preserve">, </w:t>
      </w:r>
      <w:proofErr w:type="spellStart"/>
      <w:r w:rsidR="005E2280">
        <w:rPr>
          <w:lang w:val="fr-CA"/>
        </w:rPr>
        <w:t>Polnicky</w:t>
      </w:r>
      <w:proofErr w:type="spellEnd"/>
      <w:r w:rsidR="005E2280">
        <w:rPr>
          <w:lang w:val="fr-CA"/>
        </w:rPr>
        <w:t xml:space="preserve">, </w:t>
      </w:r>
      <w:proofErr w:type="spellStart"/>
      <w:r w:rsidR="005E2280">
        <w:rPr>
          <w:lang w:val="fr-CA"/>
        </w:rPr>
        <w:t>Lighter</w:t>
      </w:r>
      <w:proofErr w:type="spellEnd"/>
      <w:r w:rsidR="005E2280">
        <w:rPr>
          <w:lang w:val="fr-CA"/>
        </w:rPr>
        <w:t>, Montré</w:t>
      </w:r>
      <w:r w:rsidRPr="00273361">
        <w:rPr>
          <w:lang w:val="fr-CA"/>
        </w:rPr>
        <w:t>al.</w:t>
      </w:r>
    </w:p>
    <w:p w:rsidR="001D0410" w:rsidRPr="00273361" w:rsidRDefault="001D0410" w:rsidP="001D3C99">
      <w:pPr>
        <w:pStyle w:val="SCCLawFirm"/>
        <w:rPr>
          <w:lang w:val="fr-CA"/>
        </w:rPr>
      </w:pPr>
    </w:p>
    <w:p w:rsidR="001D0410" w:rsidRPr="006D39E3" w:rsidRDefault="000D6C68" w:rsidP="001D3C99">
      <w:pPr>
        <w:pStyle w:val="SCCLawFirm"/>
        <w:rPr>
          <w:lang w:val="fr-CA"/>
        </w:rPr>
      </w:pPr>
      <w:r w:rsidRPr="00273361">
        <w:rPr>
          <w:lang w:val="fr-CA"/>
        </w:rPr>
        <w:tab/>
      </w:r>
      <w:r w:rsidRPr="006D39E3">
        <w:rPr>
          <w:lang w:val="fr-CA"/>
        </w:rPr>
        <w:t>Procureur</w:t>
      </w:r>
      <w:r w:rsidR="00BE0988" w:rsidRPr="006D39E3">
        <w:rPr>
          <w:lang w:val="fr-CA"/>
        </w:rPr>
        <w:t xml:space="preserve"> de l’intimée</w:t>
      </w:r>
      <w:r w:rsidRPr="006D39E3">
        <w:rPr>
          <w:lang w:val="fr-CA"/>
        </w:rPr>
        <w:t xml:space="preserve"> : </w:t>
      </w:r>
      <w:r w:rsidR="00924FBE">
        <w:rPr>
          <w:lang w:val="fr-CA"/>
        </w:rPr>
        <w:t>Directeur des p</w:t>
      </w:r>
      <w:r w:rsidR="006D39E3" w:rsidRPr="006D39E3">
        <w:rPr>
          <w:lang w:val="fr-CA"/>
        </w:rPr>
        <w:t>oursu</w:t>
      </w:r>
      <w:r w:rsidR="006D39E3">
        <w:rPr>
          <w:lang w:val="fr-CA"/>
        </w:rPr>
        <w:t>ites criminelles et pénales du Québec, Montré</w:t>
      </w:r>
      <w:r w:rsidRPr="006D39E3">
        <w:rPr>
          <w:lang w:val="fr-CA"/>
        </w:rPr>
        <w:t>al.</w:t>
      </w:r>
    </w:p>
    <w:p w:rsidR="001D0410" w:rsidRPr="006D39E3" w:rsidRDefault="001D0410" w:rsidP="001D3C99">
      <w:pPr>
        <w:pStyle w:val="SCCLawFirm"/>
        <w:rPr>
          <w:lang w:val="fr-CA"/>
        </w:rPr>
      </w:pPr>
    </w:p>
    <w:p w:rsidR="001D0410" w:rsidRPr="006D39E3" w:rsidRDefault="000D6C68" w:rsidP="001D3C99">
      <w:pPr>
        <w:pStyle w:val="SCCLawFirm"/>
        <w:rPr>
          <w:lang w:val="fr-CA"/>
        </w:rPr>
      </w:pPr>
      <w:r w:rsidRPr="006D39E3">
        <w:rPr>
          <w:lang w:val="fr-CA"/>
        </w:rPr>
        <w:tab/>
      </w:r>
      <w:r w:rsidR="006D39E3" w:rsidRPr="006D39E3">
        <w:rPr>
          <w:lang w:val="fr-CA"/>
        </w:rPr>
        <w:t>Procureurs de l’</w:t>
      </w:r>
      <w:r w:rsidRPr="006D39E3">
        <w:rPr>
          <w:lang w:val="fr-CA"/>
        </w:rPr>
        <w:t>intervenant</w:t>
      </w:r>
      <w:r w:rsidR="00DF7334">
        <w:rPr>
          <w:lang w:val="fr-CA"/>
        </w:rPr>
        <w:t xml:space="preserve"> le R</w:t>
      </w:r>
      <w:r w:rsidR="006D39E3" w:rsidRPr="00AB7C98">
        <w:rPr>
          <w:lang w:val="fr-CA"/>
        </w:rPr>
        <w:t xml:space="preserve">éseau juridique canadien </w:t>
      </w:r>
      <w:r w:rsidR="006D39E3">
        <w:rPr>
          <w:lang w:val="fr-CA"/>
        </w:rPr>
        <w:t>VIH</w:t>
      </w:r>
      <w:r w:rsidR="006D39E3" w:rsidRPr="00AB7C98">
        <w:rPr>
          <w:lang w:val="fr-CA"/>
        </w:rPr>
        <w:t>/</w:t>
      </w:r>
      <w:r w:rsidR="006D39E3">
        <w:rPr>
          <w:lang w:val="fr-CA"/>
        </w:rPr>
        <w:t>sida</w:t>
      </w:r>
      <w:r w:rsidRPr="006D39E3">
        <w:rPr>
          <w:lang w:val="fr-CA"/>
        </w:rPr>
        <w:t xml:space="preserve"> : Cooper, </w:t>
      </w:r>
      <w:proofErr w:type="spellStart"/>
      <w:r w:rsidRPr="006D39E3">
        <w:rPr>
          <w:lang w:val="fr-CA"/>
        </w:rPr>
        <w:t>Sandler</w:t>
      </w:r>
      <w:proofErr w:type="spellEnd"/>
      <w:r w:rsidRPr="006D39E3">
        <w:rPr>
          <w:lang w:val="fr-CA"/>
        </w:rPr>
        <w:t xml:space="preserve">, </w:t>
      </w:r>
      <w:proofErr w:type="spellStart"/>
      <w:r w:rsidRPr="006D39E3">
        <w:rPr>
          <w:lang w:val="fr-CA"/>
        </w:rPr>
        <w:t>Shime</w:t>
      </w:r>
      <w:proofErr w:type="spellEnd"/>
      <w:r w:rsidRPr="006D39E3">
        <w:rPr>
          <w:lang w:val="fr-CA"/>
        </w:rPr>
        <w:t xml:space="preserve"> &amp; Bergman, Toronto.</w:t>
      </w:r>
    </w:p>
    <w:p w:rsidR="001D0410" w:rsidRPr="006D39E3" w:rsidRDefault="001D0410" w:rsidP="001D3C99">
      <w:pPr>
        <w:pStyle w:val="SCCLawFirm"/>
        <w:rPr>
          <w:lang w:val="fr-CA"/>
        </w:rPr>
      </w:pPr>
    </w:p>
    <w:p w:rsidR="001D0410" w:rsidRPr="00DF7334" w:rsidRDefault="000D6C68" w:rsidP="001D3C99">
      <w:pPr>
        <w:pStyle w:val="SCCLawFirm"/>
        <w:rPr>
          <w:lang w:val="fr-CA"/>
        </w:rPr>
      </w:pPr>
      <w:r w:rsidRPr="006D39E3">
        <w:rPr>
          <w:lang w:val="fr-CA"/>
        </w:rPr>
        <w:tab/>
      </w:r>
      <w:r w:rsidRPr="00DF7334">
        <w:rPr>
          <w:lang w:val="fr-CA"/>
        </w:rPr>
        <w:t>Procureur</w:t>
      </w:r>
      <w:r w:rsidR="00DF7334" w:rsidRPr="00DF7334">
        <w:rPr>
          <w:lang w:val="fr-CA"/>
        </w:rPr>
        <w:t xml:space="preserve"> de l’intervenante </w:t>
      </w:r>
      <w:r w:rsidRPr="00DF7334">
        <w:rPr>
          <w:lang w:val="fr-CA"/>
        </w:rPr>
        <w:t xml:space="preserve">HIV &amp; AIDS </w:t>
      </w:r>
      <w:proofErr w:type="spellStart"/>
      <w:r w:rsidRPr="00DF7334">
        <w:rPr>
          <w:lang w:val="fr-CA"/>
        </w:rPr>
        <w:t>Legal</w:t>
      </w:r>
      <w:proofErr w:type="spellEnd"/>
      <w:r w:rsidRPr="00DF7334">
        <w:rPr>
          <w:lang w:val="fr-CA"/>
        </w:rPr>
        <w:t xml:space="preserve"> Clinic Ontario : H</w:t>
      </w:r>
      <w:r w:rsidR="00DF7334" w:rsidRPr="00DF7334">
        <w:rPr>
          <w:lang w:val="fr-CA"/>
        </w:rPr>
        <w:t xml:space="preserve">IV &amp; AIDS </w:t>
      </w:r>
      <w:proofErr w:type="spellStart"/>
      <w:r w:rsidR="00DF7334" w:rsidRPr="00DF7334">
        <w:rPr>
          <w:lang w:val="fr-CA"/>
        </w:rPr>
        <w:t>Legal</w:t>
      </w:r>
      <w:proofErr w:type="spellEnd"/>
      <w:r w:rsidR="00DF7334" w:rsidRPr="00DF7334">
        <w:rPr>
          <w:lang w:val="fr-CA"/>
        </w:rPr>
        <w:t xml:space="preserve"> Clinic Ontario</w:t>
      </w:r>
      <w:r w:rsidRPr="00DF7334">
        <w:rPr>
          <w:lang w:val="fr-CA"/>
        </w:rPr>
        <w:t>, Toronto.</w:t>
      </w:r>
    </w:p>
    <w:p w:rsidR="001D0410" w:rsidRPr="00DF7334" w:rsidRDefault="001D0410" w:rsidP="001D3C99">
      <w:pPr>
        <w:pStyle w:val="SCCLawFirm"/>
        <w:rPr>
          <w:lang w:val="fr-CA"/>
        </w:rPr>
      </w:pPr>
    </w:p>
    <w:p w:rsidR="001D0410" w:rsidRPr="00273361" w:rsidRDefault="000D6C68" w:rsidP="001D3C99">
      <w:pPr>
        <w:pStyle w:val="SCCLawFirm"/>
        <w:rPr>
          <w:lang w:val="fr-CA"/>
        </w:rPr>
      </w:pPr>
      <w:r w:rsidRPr="00DF7334">
        <w:rPr>
          <w:lang w:val="fr-CA"/>
        </w:rPr>
        <w:lastRenderedPageBreak/>
        <w:tab/>
      </w:r>
      <w:r w:rsidR="00DF7334">
        <w:rPr>
          <w:lang w:val="fr-CA"/>
        </w:rPr>
        <w:t>Procureur de l’intervenante</w:t>
      </w:r>
      <w:r w:rsidRPr="00273361">
        <w:rPr>
          <w:lang w:val="fr-CA"/>
        </w:rPr>
        <w:t xml:space="preserve"> </w:t>
      </w:r>
      <w:r w:rsidR="00DF7334">
        <w:rPr>
          <w:lang w:val="fr-CA"/>
        </w:rPr>
        <w:t xml:space="preserve">la </w:t>
      </w:r>
      <w:r w:rsidRPr="00273361">
        <w:rPr>
          <w:lang w:val="fr-CA"/>
        </w:rPr>
        <w:t>Coalition des organismes communautaires québécois de lutte contre le sida : Coalition des organismes communautaires québécois de lutte contre le sida, Montréal.</w:t>
      </w:r>
    </w:p>
    <w:sectPr w:rsidR="001D0410" w:rsidRPr="00273361" w:rsidSect="00881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267" w:right="2160" w:bottom="720" w:left="180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BE" w:rsidRDefault="00924FBE">
      <w:r>
        <w:separator/>
      </w:r>
    </w:p>
  </w:endnote>
  <w:endnote w:type="continuationSeparator" w:id="0">
    <w:p w:rsidR="00924FBE" w:rsidRDefault="0092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53" w:rsidRDefault="008D3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53" w:rsidRDefault="008D31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53" w:rsidRDefault="008D3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BE" w:rsidRDefault="00924FBE">
      <w:r>
        <w:separator/>
      </w:r>
    </w:p>
  </w:footnote>
  <w:footnote w:type="continuationSeparator" w:id="0">
    <w:p w:rsidR="00924FBE" w:rsidRDefault="00924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53" w:rsidRDefault="008D3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E" w:rsidRPr="00450352" w:rsidRDefault="00924FBE" w:rsidP="004503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53" w:rsidRDefault="008D3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15EBD"/>
    <w:rsid w:val="00023FC7"/>
    <w:rsid w:val="00025198"/>
    <w:rsid w:val="000578A3"/>
    <w:rsid w:val="000648CC"/>
    <w:rsid w:val="000C59B8"/>
    <w:rsid w:val="000C6AF0"/>
    <w:rsid w:val="000D0A77"/>
    <w:rsid w:val="000D6C68"/>
    <w:rsid w:val="000F7993"/>
    <w:rsid w:val="00104F33"/>
    <w:rsid w:val="00111DE2"/>
    <w:rsid w:val="00116B38"/>
    <w:rsid w:val="0013530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0410"/>
    <w:rsid w:val="001D2AC1"/>
    <w:rsid w:val="001D3C99"/>
    <w:rsid w:val="001D4E88"/>
    <w:rsid w:val="001E2919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3361"/>
    <w:rsid w:val="002745CC"/>
    <w:rsid w:val="00281459"/>
    <w:rsid w:val="002B6FBE"/>
    <w:rsid w:val="002B7924"/>
    <w:rsid w:val="002C10A6"/>
    <w:rsid w:val="002C2F6E"/>
    <w:rsid w:val="002D28C3"/>
    <w:rsid w:val="002D39A4"/>
    <w:rsid w:val="002E6705"/>
    <w:rsid w:val="0030329A"/>
    <w:rsid w:val="00307290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5290A"/>
    <w:rsid w:val="00364B18"/>
    <w:rsid w:val="003A125D"/>
    <w:rsid w:val="003A4C70"/>
    <w:rsid w:val="003A7C9F"/>
    <w:rsid w:val="003B215F"/>
    <w:rsid w:val="003B431E"/>
    <w:rsid w:val="003C799C"/>
    <w:rsid w:val="003D0399"/>
    <w:rsid w:val="003E1C71"/>
    <w:rsid w:val="003F327B"/>
    <w:rsid w:val="003F4C4F"/>
    <w:rsid w:val="00406166"/>
    <w:rsid w:val="0040704B"/>
    <w:rsid w:val="00410A55"/>
    <w:rsid w:val="00411300"/>
    <w:rsid w:val="00413F17"/>
    <w:rsid w:val="00415417"/>
    <w:rsid w:val="00416C4E"/>
    <w:rsid w:val="00426659"/>
    <w:rsid w:val="004379E2"/>
    <w:rsid w:val="00450352"/>
    <w:rsid w:val="00454BDB"/>
    <w:rsid w:val="00460054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D1C23"/>
    <w:rsid w:val="005E2280"/>
    <w:rsid w:val="005E4698"/>
    <w:rsid w:val="005F431D"/>
    <w:rsid w:val="00603924"/>
    <w:rsid w:val="00610539"/>
    <w:rsid w:val="00613969"/>
    <w:rsid w:val="00625C35"/>
    <w:rsid w:val="00647E49"/>
    <w:rsid w:val="00656313"/>
    <w:rsid w:val="006565F4"/>
    <w:rsid w:val="00684EEA"/>
    <w:rsid w:val="006867EE"/>
    <w:rsid w:val="0069689B"/>
    <w:rsid w:val="006B5FF5"/>
    <w:rsid w:val="006D39E3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C2A67"/>
    <w:rsid w:val="007E1C47"/>
    <w:rsid w:val="007E337A"/>
    <w:rsid w:val="007E5C70"/>
    <w:rsid w:val="007F2FF5"/>
    <w:rsid w:val="007F3F08"/>
    <w:rsid w:val="00802F94"/>
    <w:rsid w:val="00804CC6"/>
    <w:rsid w:val="00817190"/>
    <w:rsid w:val="008260E2"/>
    <w:rsid w:val="008322BD"/>
    <w:rsid w:val="00834F73"/>
    <w:rsid w:val="00864C8A"/>
    <w:rsid w:val="00864CF8"/>
    <w:rsid w:val="00874914"/>
    <w:rsid w:val="00881C84"/>
    <w:rsid w:val="00891422"/>
    <w:rsid w:val="00892E1A"/>
    <w:rsid w:val="008B660A"/>
    <w:rsid w:val="008C01DA"/>
    <w:rsid w:val="008D3153"/>
    <w:rsid w:val="008F2674"/>
    <w:rsid w:val="008F78E9"/>
    <w:rsid w:val="009179F9"/>
    <w:rsid w:val="00917C7A"/>
    <w:rsid w:val="00924FBE"/>
    <w:rsid w:val="00933E5E"/>
    <w:rsid w:val="00935218"/>
    <w:rsid w:val="00937C52"/>
    <w:rsid w:val="009403F3"/>
    <w:rsid w:val="009555B7"/>
    <w:rsid w:val="009567AA"/>
    <w:rsid w:val="009602C9"/>
    <w:rsid w:val="00967374"/>
    <w:rsid w:val="00975DD2"/>
    <w:rsid w:val="009A343A"/>
    <w:rsid w:val="009B2F23"/>
    <w:rsid w:val="009B57B3"/>
    <w:rsid w:val="009D2920"/>
    <w:rsid w:val="009D5AEB"/>
    <w:rsid w:val="009F0E33"/>
    <w:rsid w:val="00A05E1D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BC1"/>
    <w:rsid w:val="00A73C38"/>
    <w:rsid w:val="00A80AE2"/>
    <w:rsid w:val="00AB670D"/>
    <w:rsid w:val="00AB7C98"/>
    <w:rsid w:val="00AE34D8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E0988"/>
    <w:rsid w:val="00BF1725"/>
    <w:rsid w:val="00BF2B30"/>
    <w:rsid w:val="00BF6FE9"/>
    <w:rsid w:val="00C02092"/>
    <w:rsid w:val="00C06443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C603E"/>
    <w:rsid w:val="00CE036E"/>
    <w:rsid w:val="00CE3171"/>
    <w:rsid w:val="00CF1601"/>
    <w:rsid w:val="00D0172F"/>
    <w:rsid w:val="00D01E33"/>
    <w:rsid w:val="00D068A7"/>
    <w:rsid w:val="00D17476"/>
    <w:rsid w:val="00D32086"/>
    <w:rsid w:val="00D37A3F"/>
    <w:rsid w:val="00D4431D"/>
    <w:rsid w:val="00D4667A"/>
    <w:rsid w:val="00D63A1C"/>
    <w:rsid w:val="00D7516F"/>
    <w:rsid w:val="00D86932"/>
    <w:rsid w:val="00D95F8E"/>
    <w:rsid w:val="00DA0590"/>
    <w:rsid w:val="00DA6A84"/>
    <w:rsid w:val="00DB7D5A"/>
    <w:rsid w:val="00DC1739"/>
    <w:rsid w:val="00DC1788"/>
    <w:rsid w:val="00DD5779"/>
    <w:rsid w:val="00DE319C"/>
    <w:rsid w:val="00DE7DC7"/>
    <w:rsid w:val="00DF0CA8"/>
    <w:rsid w:val="00DF2B48"/>
    <w:rsid w:val="00DF49A7"/>
    <w:rsid w:val="00DF7334"/>
    <w:rsid w:val="00E07EE2"/>
    <w:rsid w:val="00E07FD1"/>
    <w:rsid w:val="00E24573"/>
    <w:rsid w:val="00E25E1E"/>
    <w:rsid w:val="00E27EE7"/>
    <w:rsid w:val="00E35404"/>
    <w:rsid w:val="00E42112"/>
    <w:rsid w:val="00E45109"/>
    <w:rsid w:val="00E47B7A"/>
    <w:rsid w:val="00E56A44"/>
    <w:rsid w:val="00E60269"/>
    <w:rsid w:val="00E869D1"/>
    <w:rsid w:val="00E97830"/>
    <w:rsid w:val="00EB110C"/>
    <w:rsid w:val="00EE0830"/>
    <w:rsid w:val="00EE6CB8"/>
    <w:rsid w:val="00EF0683"/>
    <w:rsid w:val="00EF146E"/>
    <w:rsid w:val="00F0070C"/>
    <w:rsid w:val="00F00EB7"/>
    <w:rsid w:val="00F0394C"/>
    <w:rsid w:val="00F12F01"/>
    <w:rsid w:val="00F36AB6"/>
    <w:rsid w:val="00F37A09"/>
    <w:rsid w:val="00F409CE"/>
    <w:rsid w:val="00F434F4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0271"/>
    <w:rsid w:val="00FE6784"/>
    <w:rsid w:val="00FE7A8B"/>
    <w:rsid w:val="00FF09A5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paragraph" w:customStyle="1" w:styleId="ParaNoNdepar-AltN">
    <w:name w:val="Para. No. / Nº de par. - Alt N"/>
    <w:qFormat/>
    <w:rsid w:val="00460054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06443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CLsocPartyRoleChar">
    <w:name w:val="SCC.Lsoc.PartyRole Char"/>
    <w:basedOn w:val="DefaultParagraphFont"/>
    <w:rsid w:val="00C06443"/>
    <w:rPr>
      <w:rFonts w:eastAsiaTheme="minorHAnsi" w:cstheme="minorBidi"/>
      <w:sz w:val="24"/>
      <w:szCs w:val="24"/>
      <w:lang w:val="fr-CA"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C06443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C06443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2015-01-08T19:51:00Z</dcterms:created>
  <dcterms:modified xsi:type="dcterms:W3CDTF">2015-03-06T19:47:00Z</dcterms:modified>
</cp:coreProperties>
</file>