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5A" w:rsidRDefault="00166B5A" w:rsidP="00166B5A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64.9pt" o:ole="">
            <v:imagedata r:id="rId8" o:title=""/>
          </v:shape>
          <o:OLEObject Type="Embed" ProgID="Presentations.Drawing.13" ShapeID="_x0000_i1025" DrawAspect="Content" ObjectID="_1517919432" r:id="rId9"/>
        </w:object>
      </w:r>
    </w:p>
    <w:p w:rsidR="00166B5A" w:rsidRDefault="00166B5A" w:rsidP="00166B5A">
      <w:pPr>
        <w:pStyle w:val="Header"/>
      </w:pPr>
    </w:p>
    <w:p w:rsidR="00166B5A" w:rsidRPr="001E12E2" w:rsidRDefault="00166B5A" w:rsidP="00166B5A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166B5A" w:rsidRDefault="00166B5A" w:rsidP="00166B5A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166B5A" w:rsidRPr="001E12E2" w:rsidTr="00D03FA2">
        <w:trPr>
          <w:cantSplit/>
        </w:trPr>
        <w:tc>
          <w:tcPr>
            <w:tcW w:w="6768" w:type="dxa"/>
          </w:tcPr>
          <w:p w:rsidR="00166B5A" w:rsidRPr="00166B5A" w:rsidRDefault="00166B5A" w:rsidP="00D03FA2">
            <w:pPr>
              <w:rPr>
                <w:lang w:val="fr-CA"/>
              </w:rPr>
            </w:pPr>
            <w:r w:rsidRPr="00166B5A">
              <w:rPr>
                <w:b/>
                <w:smallCaps/>
                <w:lang w:val="fr-CA"/>
              </w:rPr>
              <w:t>Référence :</w:t>
            </w:r>
            <w:r w:rsidRPr="00166B5A">
              <w:rPr>
                <w:lang w:val="fr-CA"/>
              </w:rPr>
              <w:t xml:space="preserve"> R.</w:t>
            </w:r>
            <w:r w:rsidRPr="00166B5A">
              <w:rPr>
                <w:i/>
                <w:lang w:val="fr-CA"/>
              </w:rPr>
              <w:t xml:space="preserve"> c. </w:t>
            </w:r>
            <w:r w:rsidRPr="00166B5A">
              <w:rPr>
                <w:lang w:val="fr-CA"/>
              </w:rPr>
              <w:t>M.J.B., 2015 CSC 48, [2015] 3 R.C.S. 321</w:t>
            </w:r>
          </w:p>
        </w:tc>
        <w:tc>
          <w:tcPr>
            <w:tcW w:w="2808" w:type="dxa"/>
          </w:tcPr>
          <w:p w:rsidR="00166B5A" w:rsidRPr="001E12E2" w:rsidRDefault="00166B5A" w:rsidP="00D03FA2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20151016</w:t>
            </w:r>
          </w:p>
          <w:p w:rsidR="00166B5A" w:rsidRPr="001E12E2" w:rsidRDefault="00166B5A" w:rsidP="00D03FA2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36421</w:t>
            </w:r>
          </w:p>
        </w:tc>
      </w:tr>
    </w:tbl>
    <w:p w:rsidR="00166B5A" w:rsidRPr="001E12E2" w:rsidRDefault="00166B5A" w:rsidP="00166B5A"/>
    <w:p w:rsidR="00166B5A" w:rsidRDefault="00166B5A" w:rsidP="00166B5A">
      <w:pPr>
        <w:pStyle w:val="SCCLsocPrefix"/>
      </w:pPr>
      <w:r>
        <w:t>Entre :</w:t>
      </w:r>
    </w:p>
    <w:p w:rsidR="00166B5A" w:rsidRPr="00166B5A" w:rsidRDefault="00166B5A" w:rsidP="00166B5A">
      <w:pPr>
        <w:pStyle w:val="SCCLsocParty"/>
        <w:jc w:val="center"/>
        <w:rPr>
          <w:lang w:val="fr-CA"/>
        </w:rPr>
      </w:pPr>
      <w:r w:rsidRPr="00166B5A">
        <w:rPr>
          <w:lang w:val="fr-CA"/>
        </w:rPr>
        <w:t>M.J.B.</w:t>
      </w:r>
    </w:p>
    <w:p w:rsidR="00166B5A" w:rsidRPr="00166B5A" w:rsidRDefault="00166B5A" w:rsidP="00166B5A">
      <w:pPr>
        <w:jc w:val="center"/>
        <w:rPr>
          <w:lang w:val="fr-CA"/>
        </w:rPr>
      </w:pPr>
      <w:r w:rsidRPr="00166B5A">
        <w:rPr>
          <w:lang w:val="fr-CA"/>
        </w:rPr>
        <w:t>Appelant</w:t>
      </w:r>
      <w:bookmarkStart w:id="0" w:name="_GoBack"/>
      <w:bookmarkEnd w:id="0"/>
    </w:p>
    <w:p w:rsidR="00166B5A" w:rsidRPr="00166B5A" w:rsidRDefault="00166B5A" w:rsidP="00166B5A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166B5A">
        <w:rPr>
          <w:i w:val="0"/>
          <w:lang w:val="fr-CA"/>
        </w:rPr>
        <w:t>et</w:t>
      </w:r>
      <w:proofErr w:type="gramEnd"/>
    </w:p>
    <w:p w:rsidR="00166B5A" w:rsidRPr="00166B5A" w:rsidRDefault="00166B5A" w:rsidP="00166B5A">
      <w:pPr>
        <w:pStyle w:val="SCCLsocParty"/>
        <w:jc w:val="center"/>
        <w:rPr>
          <w:lang w:val="fr-CA"/>
        </w:rPr>
      </w:pPr>
      <w:r w:rsidRPr="00166B5A">
        <w:rPr>
          <w:lang w:val="fr-CA"/>
        </w:rPr>
        <w:t>Sa Majesté la Reine</w:t>
      </w:r>
    </w:p>
    <w:p w:rsidR="00166B5A" w:rsidRPr="00166B5A" w:rsidRDefault="00166B5A" w:rsidP="00166B5A">
      <w:pPr>
        <w:jc w:val="center"/>
        <w:rPr>
          <w:lang w:val="fr-CA"/>
        </w:rPr>
      </w:pPr>
      <w:r w:rsidRPr="00166B5A">
        <w:rPr>
          <w:lang w:val="fr-CA"/>
        </w:rPr>
        <w:t>Intimée</w:t>
      </w:r>
    </w:p>
    <w:p w:rsidR="00166B5A" w:rsidRPr="00166B5A" w:rsidRDefault="00166B5A" w:rsidP="00166B5A">
      <w:pPr>
        <w:jc w:val="center"/>
        <w:rPr>
          <w:lang w:val="fr-CA"/>
        </w:rPr>
      </w:pPr>
    </w:p>
    <w:p w:rsidR="00166B5A" w:rsidRPr="00166B5A" w:rsidRDefault="00166B5A" w:rsidP="00166B5A">
      <w:pPr>
        <w:jc w:val="center"/>
        <w:rPr>
          <w:b/>
          <w:smallCaps/>
          <w:lang w:val="fr-CA"/>
        </w:rPr>
      </w:pPr>
      <w:r w:rsidRPr="00166B5A">
        <w:rPr>
          <w:b/>
          <w:smallCaps/>
          <w:lang w:val="fr-CA"/>
        </w:rPr>
        <w:t>Traduction française officielle</w:t>
      </w:r>
    </w:p>
    <w:p w:rsidR="00166B5A" w:rsidRPr="00166B5A" w:rsidRDefault="00166B5A" w:rsidP="00166B5A">
      <w:pPr>
        <w:rPr>
          <w:lang w:val="fr-CA"/>
        </w:rPr>
      </w:pPr>
    </w:p>
    <w:p w:rsidR="00166B5A" w:rsidRPr="00166B5A" w:rsidRDefault="00166B5A" w:rsidP="00166B5A">
      <w:pPr>
        <w:jc w:val="both"/>
        <w:rPr>
          <w:lang w:val="fr-CA"/>
        </w:rPr>
      </w:pPr>
      <w:r w:rsidRPr="00166B5A">
        <w:rPr>
          <w:b/>
          <w:smallCaps/>
          <w:lang w:val="fr-CA"/>
        </w:rPr>
        <w:t>Coram :</w:t>
      </w:r>
      <w:r w:rsidRPr="00166B5A">
        <w:rPr>
          <w:lang w:val="fr-CA"/>
        </w:rPr>
        <w:t xml:space="preserve"> Les juges Abella, Cromwell, </w:t>
      </w:r>
      <w:proofErr w:type="spellStart"/>
      <w:r w:rsidRPr="00166B5A">
        <w:rPr>
          <w:lang w:val="fr-CA"/>
        </w:rPr>
        <w:t>Moldaver</w:t>
      </w:r>
      <w:proofErr w:type="spellEnd"/>
      <w:r w:rsidRPr="00166B5A">
        <w:rPr>
          <w:lang w:val="fr-CA"/>
        </w:rPr>
        <w:t>, Côté et Brown</w:t>
      </w:r>
    </w:p>
    <w:p w:rsidR="00166B5A" w:rsidRPr="00166B5A" w:rsidRDefault="00166B5A" w:rsidP="00166B5A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166B5A" w:rsidRPr="00166B5A" w:rsidTr="00D03FA2">
        <w:trPr>
          <w:cantSplit/>
        </w:trPr>
        <w:tc>
          <w:tcPr>
            <w:tcW w:w="3618" w:type="dxa"/>
          </w:tcPr>
          <w:p w:rsidR="00166B5A" w:rsidRDefault="00166B5A" w:rsidP="00D03FA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166B5A" w:rsidRPr="001E12E2" w:rsidRDefault="00166B5A" w:rsidP="00D03FA2">
            <w:r>
              <w:t>(par. 1)</w:t>
            </w:r>
          </w:p>
        </w:tc>
        <w:tc>
          <w:tcPr>
            <w:tcW w:w="5958" w:type="dxa"/>
          </w:tcPr>
          <w:p w:rsidR="00166B5A" w:rsidRPr="00166B5A" w:rsidRDefault="00166B5A" w:rsidP="00D03FA2">
            <w:pPr>
              <w:jc w:val="both"/>
              <w:rPr>
                <w:lang w:val="fr-CA"/>
              </w:rPr>
            </w:pPr>
            <w:r w:rsidRPr="00166B5A">
              <w:rPr>
                <w:lang w:val="fr-CA"/>
              </w:rPr>
              <w:t xml:space="preserve">La juge Abella (avec l’accord des juges Cromwell, </w:t>
            </w:r>
            <w:proofErr w:type="spellStart"/>
            <w:r w:rsidRPr="00166B5A">
              <w:rPr>
                <w:lang w:val="fr-CA"/>
              </w:rPr>
              <w:t>Moldaver</w:t>
            </w:r>
            <w:proofErr w:type="spellEnd"/>
            <w:r w:rsidRPr="00166B5A">
              <w:rPr>
                <w:lang w:val="fr-CA"/>
              </w:rPr>
              <w:t>, Côté et Brown)</w:t>
            </w:r>
          </w:p>
        </w:tc>
      </w:tr>
    </w:tbl>
    <w:p w:rsidR="00166B5A" w:rsidRPr="00166B5A" w:rsidRDefault="00166B5A" w:rsidP="00166B5A">
      <w:pPr>
        <w:rPr>
          <w:lang w:val="fr-CA"/>
        </w:rPr>
      </w:pPr>
    </w:p>
    <w:p w:rsidR="00166B5A" w:rsidRPr="00166B5A" w:rsidRDefault="00166B5A" w:rsidP="00166B5A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D414" wp14:editId="7986C37A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FD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166B5A" w:rsidRPr="00166B5A" w:rsidRDefault="00166B5A" w:rsidP="00166B5A">
      <w:pPr>
        <w:rPr>
          <w:lang w:val="fr-CA"/>
        </w:rPr>
      </w:pPr>
    </w:p>
    <w:p w:rsidR="00166B5A" w:rsidRPr="00166B5A" w:rsidRDefault="00166B5A" w:rsidP="00166B5A">
      <w:pPr>
        <w:rPr>
          <w:lang w:val="fr-CA"/>
        </w:rPr>
      </w:pPr>
    </w:p>
    <w:p w:rsidR="004D7D95" w:rsidRPr="005E5849" w:rsidRDefault="005E5849" w:rsidP="00AF34A3">
      <w:pPr>
        <w:widowControl w:val="0"/>
        <w:spacing w:after="240"/>
        <w:jc w:val="both"/>
        <w:rPr>
          <w:lang w:val="fr-CA"/>
        </w:rPr>
      </w:pPr>
      <w:r w:rsidRPr="005E5849">
        <w:rPr>
          <w:lang w:val="fr-CA"/>
        </w:rPr>
        <w:t>R</w:t>
      </w:r>
      <w:r w:rsidR="00761BBF" w:rsidRPr="005E5849">
        <w:rPr>
          <w:lang w:val="fr-CA"/>
        </w:rPr>
        <w:t>.</w:t>
      </w:r>
      <w:r w:rsidR="00761BBF" w:rsidRPr="005E5849">
        <w:rPr>
          <w:i/>
          <w:lang w:val="fr-CA"/>
        </w:rPr>
        <w:t xml:space="preserve"> c.</w:t>
      </w:r>
      <w:r w:rsidR="00761BBF" w:rsidRPr="005E5849">
        <w:rPr>
          <w:lang w:val="fr-CA"/>
        </w:rPr>
        <w:t xml:space="preserve"> </w:t>
      </w:r>
      <w:r w:rsidRPr="00894415">
        <w:rPr>
          <w:lang w:val="fr-CA"/>
        </w:rPr>
        <w:t>M</w:t>
      </w:r>
      <w:r w:rsidR="00761BBF" w:rsidRPr="00894415">
        <w:rPr>
          <w:lang w:val="fr-CA"/>
        </w:rPr>
        <w:t>.</w:t>
      </w:r>
      <w:r w:rsidRPr="00894415">
        <w:rPr>
          <w:lang w:val="fr-CA"/>
        </w:rPr>
        <w:t>J.B</w:t>
      </w:r>
      <w:r w:rsidR="00761BBF" w:rsidRPr="00894415">
        <w:rPr>
          <w:lang w:val="fr-CA"/>
        </w:rPr>
        <w:t>.</w:t>
      </w:r>
      <w:r w:rsidR="00894415">
        <w:rPr>
          <w:smallCaps/>
          <w:lang w:val="fr-CA"/>
        </w:rPr>
        <w:t xml:space="preserve">, </w:t>
      </w:r>
      <w:r w:rsidR="00894415" w:rsidRPr="00795F86">
        <w:rPr>
          <w:lang w:val="fr-CA"/>
        </w:rPr>
        <w:t>2015 CSC </w:t>
      </w:r>
      <w:r w:rsidR="00894415">
        <w:rPr>
          <w:lang w:val="fr-CA"/>
        </w:rPr>
        <w:t>48, [2015] 3 R.C.S. 321</w:t>
      </w:r>
    </w:p>
    <w:p w:rsidR="004D7D95" w:rsidRPr="005E5849" w:rsidRDefault="004D7D95" w:rsidP="00AF34A3">
      <w:pPr>
        <w:widowControl w:val="0"/>
        <w:spacing w:after="240"/>
        <w:jc w:val="both"/>
        <w:rPr>
          <w:lang w:val="fr-CA"/>
        </w:rPr>
      </w:pPr>
    </w:p>
    <w:p w:rsidR="006155B4" w:rsidRPr="005E5849" w:rsidRDefault="000C28E3" w:rsidP="00AF34A3">
      <w:pPr>
        <w:pStyle w:val="SCCLsocLastPartyInRole"/>
        <w:widowControl w:val="0"/>
        <w:spacing w:after="240"/>
        <w:rPr>
          <w:lang w:val="fr-CA"/>
        </w:rPr>
      </w:pPr>
      <w:r>
        <w:rPr>
          <w:lang w:val="fr-CA"/>
        </w:rPr>
        <w:t>M.J.B.</w:t>
      </w:r>
      <w:r w:rsidR="00761BBF" w:rsidRPr="005E5849">
        <w:rPr>
          <w:rStyle w:val="SCCLsocPartyRole"/>
          <w:lang w:val="fr-CA"/>
        </w:rPr>
        <w:tab/>
        <w:t>Appelant</w:t>
      </w:r>
    </w:p>
    <w:p w:rsidR="00CE46A9" w:rsidRDefault="00CE46A9" w:rsidP="00AF34A3">
      <w:pPr>
        <w:pStyle w:val="SCCLsocVersus"/>
        <w:widowControl w:val="0"/>
        <w:spacing w:after="240"/>
        <w:rPr>
          <w:lang w:val="fr-CA"/>
        </w:rPr>
      </w:pPr>
    </w:p>
    <w:p w:rsidR="006155B4" w:rsidRPr="00795F86" w:rsidRDefault="006657C6" w:rsidP="00AF34A3">
      <w:pPr>
        <w:pStyle w:val="SCCLsocVersus"/>
        <w:widowControl w:val="0"/>
        <w:spacing w:after="240"/>
        <w:rPr>
          <w:lang w:val="fr-CA"/>
        </w:rPr>
      </w:pPr>
      <w:proofErr w:type="gramStart"/>
      <w:r w:rsidRPr="00795F86">
        <w:rPr>
          <w:lang w:val="fr-CA"/>
        </w:rPr>
        <w:t>c</w:t>
      </w:r>
      <w:proofErr w:type="gramEnd"/>
      <w:r w:rsidRPr="00795F86">
        <w:rPr>
          <w:lang w:val="fr-CA"/>
        </w:rPr>
        <w:t>.</w:t>
      </w:r>
    </w:p>
    <w:p w:rsidR="00CE46A9" w:rsidRDefault="00CE46A9" w:rsidP="00AF34A3">
      <w:pPr>
        <w:pStyle w:val="SCCLsocLastPartyInRole"/>
        <w:widowControl w:val="0"/>
        <w:spacing w:after="240"/>
        <w:rPr>
          <w:lang w:val="fr-CA"/>
        </w:rPr>
      </w:pPr>
    </w:p>
    <w:p w:rsidR="006155B4" w:rsidRPr="00795F86" w:rsidRDefault="006657C6" w:rsidP="00AF34A3">
      <w:pPr>
        <w:pStyle w:val="SCCLsocLastPartyInRole"/>
        <w:widowControl w:val="0"/>
        <w:spacing w:after="240"/>
        <w:rPr>
          <w:lang w:val="fr-CA"/>
        </w:rPr>
      </w:pPr>
      <w:r w:rsidRPr="00795F86">
        <w:rPr>
          <w:lang w:val="fr-CA"/>
        </w:rPr>
        <w:t>Sa Majesté la Reine</w:t>
      </w:r>
      <w:r w:rsidRPr="00795F86">
        <w:rPr>
          <w:rStyle w:val="SCCLsocPartyRole"/>
          <w:lang w:val="fr-CA"/>
        </w:rPr>
        <w:tab/>
        <w:t>Intimé</w:t>
      </w:r>
      <w:r w:rsidR="00761BBF">
        <w:rPr>
          <w:rStyle w:val="SCCLsocPartyRole"/>
          <w:lang w:val="fr-CA"/>
        </w:rPr>
        <w:t>e</w:t>
      </w:r>
    </w:p>
    <w:p w:rsidR="004D7D95" w:rsidRPr="00795F86" w:rsidRDefault="004D7D95" w:rsidP="00AF34A3">
      <w:pPr>
        <w:widowControl w:val="0"/>
        <w:spacing w:after="240"/>
        <w:jc w:val="both"/>
        <w:rPr>
          <w:lang w:val="fr-CA"/>
        </w:rPr>
      </w:pPr>
    </w:p>
    <w:p w:rsidR="004D7D95" w:rsidRPr="00795F86" w:rsidRDefault="000A6A02" w:rsidP="00AF34A3">
      <w:pPr>
        <w:widowControl w:val="0"/>
        <w:spacing w:after="240"/>
        <w:jc w:val="both"/>
        <w:rPr>
          <w:lang w:val="fr-CA"/>
        </w:rPr>
      </w:pPr>
      <w:r>
        <w:rPr>
          <w:b/>
          <w:lang w:val="fr-CA"/>
        </w:rPr>
        <w:t xml:space="preserve">Répertorié : R. </w:t>
      </w:r>
      <w:r w:rsidRPr="000A6A02">
        <w:rPr>
          <w:b/>
          <w:i/>
          <w:lang w:val="fr-CA"/>
        </w:rPr>
        <w:t xml:space="preserve">c. </w:t>
      </w:r>
      <w:r>
        <w:rPr>
          <w:b/>
          <w:lang w:val="fr-CA"/>
        </w:rPr>
        <w:t>M.J.B.</w:t>
      </w:r>
    </w:p>
    <w:p w:rsidR="004D7D95" w:rsidRPr="00795F86" w:rsidRDefault="004D7D95" w:rsidP="00AF34A3">
      <w:pPr>
        <w:widowControl w:val="0"/>
        <w:spacing w:after="240"/>
        <w:jc w:val="both"/>
        <w:rPr>
          <w:lang w:val="fr-CA"/>
        </w:rPr>
      </w:pPr>
    </w:p>
    <w:p w:rsidR="004D7D95" w:rsidRPr="00795F86" w:rsidRDefault="00D17B0E" w:rsidP="00AF34A3">
      <w:pPr>
        <w:pStyle w:val="SCCSystemYear"/>
        <w:widowControl w:val="0"/>
        <w:spacing w:after="240"/>
        <w:jc w:val="both"/>
        <w:rPr>
          <w:lang w:val="fr-CA"/>
        </w:rPr>
      </w:pPr>
      <w:r w:rsidRPr="00795F86">
        <w:rPr>
          <w:lang w:val="fr-CA"/>
        </w:rPr>
        <w:t>2015</w:t>
      </w:r>
      <w:r w:rsidR="004D7D95" w:rsidRPr="00795F86">
        <w:rPr>
          <w:lang w:val="fr-CA"/>
        </w:rPr>
        <w:t xml:space="preserve"> CSC </w:t>
      </w:r>
      <w:r w:rsidR="00CE46A9">
        <w:rPr>
          <w:lang w:val="fr-CA"/>
        </w:rPr>
        <w:t>48</w:t>
      </w:r>
    </w:p>
    <w:p w:rsidR="004D7D95" w:rsidRPr="00795F86" w:rsidRDefault="004D7D95" w:rsidP="00AF34A3">
      <w:pPr>
        <w:widowControl w:val="0"/>
        <w:spacing w:after="240"/>
        <w:jc w:val="both"/>
        <w:rPr>
          <w:lang w:val="fr-CA"/>
        </w:rPr>
      </w:pPr>
    </w:p>
    <w:p w:rsidR="004D7D95" w:rsidRPr="00795F86" w:rsidRDefault="004D7D95" w:rsidP="00AF34A3">
      <w:pPr>
        <w:widowControl w:val="0"/>
        <w:jc w:val="both"/>
        <w:rPr>
          <w:lang w:val="fr-CA"/>
        </w:rPr>
      </w:pPr>
      <w:r w:rsidRPr="00795F86">
        <w:rPr>
          <w:lang w:val="fr-CA"/>
        </w:rPr>
        <w:t>N</w:t>
      </w:r>
      <w:r w:rsidRPr="00795F86">
        <w:rPr>
          <w:vertAlign w:val="superscript"/>
          <w:lang w:val="fr-CA"/>
        </w:rPr>
        <w:t>o</w:t>
      </w:r>
      <w:r w:rsidRPr="00795F86">
        <w:rPr>
          <w:lang w:val="fr-CA"/>
        </w:rPr>
        <w:t xml:space="preserve"> du greffe : 36421.</w:t>
      </w:r>
    </w:p>
    <w:p w:rsidR="004D7D95" w:rsidRPr="00795F86" w:rsidRDefault="004D7D95" w:rsidP="00AF34A3">
      <w:pPr>
        <w:widowControl w:val="0"/>
        <w:jc w:val="both"/>
        <w:rPr>
          <w:lang w:val="fr-CA"/>
        </w:rPr>
      </w:pPr>
    </w:p>
    <w:p w:rsidR="00CE46A9" w:rsidRDefault="00CE46A9" w:rsidP="00AF34A3">
      <w:pPr>
        <w:widowControl w:val="0"/>
        <w:jc w:val="both"/>
        <w:rPr>
          <w:lang w:val="fr-CA"/>
        </w:rPr>
      </w:pPr>
    </w:p>
    <w:p w:rsidR="004D7D95" w:rsidRPr="00795F86" w:rsidRDefault="00D17B0E" w:rsidP="00AF34A3">
      <w:pPr>
        <w:widowControl w:val="0"/>
        <w:jc w:val="both"/>
        <w:rPr>
          <w:lang w:val="fr-CA"/>
        </w:rPr>
      </w:pPr>
      <w:r w:rsidRPr="00795F86">
        <w:rPr>
          <w:lang w:val="fr-CA"/>
        </w:rPr>
        <w:t>2015 : 16 octobre</w:t>
      </w:r>
      <w:r w:rsidR="00CE46A9">
        <w:rPr>
          <w:lang w:val="fr-CA"/>
        </w:rPr>
        <w:t>.</w:t>
      </w:r>
    </w:p>
    <w:p w:rsidR="004D7D95" w:rsidRPr="00795F86" w:rsidRDefault="004D7D95" w:rsidP="00AF34A3">
      <w:pPr>
        <w:widowControl w:val="0"/>
        <w:jc w:val="both"/>
        <w:rPr>
          <w:lang w:val="fr-CA"/>
        </w:rPr>
      </w:pPr>
    </w:p>
    <w:p w:rsidR="004D7D95" w:rsidRPr="00795F86" w:rsidRDefault="004D7D95" w:rsidP="00AF34A3">
      <w:pPr>
        <w:widowControl w:val="0"/>
        <w:jc w:val="both"/>
        <w:rPr>
          <w:lang w:val="fr-CA"/>
        </w:rPr>
      </w:pPr>
    </w:p>
    <w:p w:rsidR="004D7D95" w:rsidRPr="00795F86" w:rsidRDefault="004D7D95" w:rsidP="00AF34A3">
      <w:pPr>
        <w:widowControl w:val="0"/>
        <w:jc w:val="both"/>
        <w:rPr>
          <w:lang w:val="fr-CA"/>
        </w:rPr>
      </w:pPr>
    </w:p>
    <w:p w:rsidR="004D7D95" w:rsidRPr="00795F86" w:rsidRDefault="004D7D95" w:rsidP="00AF34A3">
      <w:pPr>
        <w:widowControl w:val="0"/>
        <w:jc w:val="both"/>
        <w:rPr>
          <w:lang w:val="fr-CA"/>
        </w:rPr>
      </w:pPr>
      <w:r w:rsidRPr="00795F86">
        <w:rPr>
          <w:lang w:val="fr-CA"/>
        </w:rPr>
        <w:t>Présents : Les juges Abella, Cromwell, Moldaver, Côté et Brown.</w:t>
      </w:r>
    </w:p>
    <w:p w:rsidR="004D7D95" w:rsidRPr="00795F86" w:rsidRDefault="004D7D95" w:rsidP="00AF34A3">
      <w:pPr>
        <w:widowControl w:val="0"/>
        <w:jc w:val="both"/>
        <w:rPr>
          <w:lang w:val="fr-CA"/>
        </w:rPr>
      </w:pPr>
    </w:p>
    <w:p w:rsidR="00EE0830" w:rsidRPr="00795F86" w:rsidRDefault="00EE0830" w:rsidP="00AF34A3">
      <w:pPr>
        <w:widowControl w:val="0"/>
        <w:jc w:val="both"/>
        <w:rPr>
          <w:lang w:val="fr-CA"/>
        </w:rPr>
      </w:pPr>
    </w:p>
    <w:p w:rsidR="00CE46A9" w:rsidRDefault="00CE46A9" w:rsidP="00AF34A3">
      <w:pPr>
        <w:widowControl w:val="0"/>
        <w:jc w:val="both"/>
        <w:rPr>
          <w:lang w:val="fr-CA"/>
        </w:rPr>
      </w:pPr>
    </w:p>
    <w:p w:rsidR="004D7D95" w:rsidRPr="0079570C" w:rsidRDefault="004D7D95" w:rsidP="00AF34A3">
      <w:pPr>
        <w:widowControl w:val="0"/>
        <w:jc w:val="both"/>
        <w:rPr>
          <w:smallCaps/>
          <w:lang w:val="fr-CA"/>
        </w:rPr>
      </w:pPr>
      <w:r w:rsidRPr="0079570C">
        <w:rPr>
          <w:smallCaps/>
          <w:lang w:val="fr-CA"/>
        </w:rPr>
        <w:t xml:space="preserve">en appel de la </w:t>
      </w:r>
      <w:r w:rsidR="006657C6">
        <w:rPr>
          <w:smallCaps/>
          <w:lang w:val="fr-CA"/>
        </w:rPr>
        <w:t>cour d’</w:t>
      </w:r>
      <w:r w:rsidR="0079570C">
        <w:rPr>
          <w:smallCaps/>
          <w:lang w:val="fr-CA"/>
        </w:rPr>
        <w:t xml:space="preserve">appel de </w:t>
      </w:r>
      <w:proofErr w:type="spellStart"/>
      <w:r w:rsidR="0079570C">
        <w:rPr>
          <w:smallCaps/>
          <w:lang w:val="fr-CA"/>
        </w:rPr>
        <w:t>l’alberta</w:t>
      </w:r>
      <w:proofErr w:type="spellEnd"/>
    </w:p>
    <w:p w:rsidR="00D41D21" w:rsidRPr="00D41D21" w:rsidRDefault="00D41D21" w:rsidP="00AF34A3">
      <w:pPr>
        <w:pStyle w:val="SCCNormalDoubleSpacing"/>
        <w:widowControl w:val="0"/>
        <w:rPr>
          <w:lang w:val="fr-CA"/>
        </w:rPr>
      </w:pPr>
    </w:p>
    <w:p w:rsidR="00D41D21" w:rsidRPr="00D41D21" w:rsidRDefault="00D41D21" w:rsidP="00AF34A3">
      <w:pPr>
        <w:pStyle w:val="SCCNormalDoubleSpacing"/>
        <w:widowControl w:val="0"/>
        <w:rPr>
          <w:i/>
          <w:lang w:val="fr-CA"/>
        </w:rPr>
      </w:pPr>
      <w:r w:rsidRPr="00D41D21">
        <w:rPr>
          <w:lang w:val="fr-CA"/>
        </w:rPr>
        <w:tab/>
      </w:r>
      <w:r w:rsidRPr="00D41D21">
        <w:rPr>
          <w:i/>
          <w:lang w:val="fr-CA"/>
        </w:rPr>
        <w:t>Droit criminel — Agression sexuelle — Preuve — Conclusion justifiée de la part de la Cour d</w:t>
      </w:r>
      <w:r>
        <w:rPr>
          <w:i/>
          <w:lang w:val="fr-CA"/>
        </w:rPr>
        <w:t>’</w:t>
      </w:r>
      <w:r w:rsidRPr="00D41D21">
        <w:rPr>
          <w:i/>
          <w:lang w:val="fr-CA"/>
        </w:rPr>
        <w:t>appel portant que le verdict du juge du proc</w:t>
      </w:r>
      <w:r>
        <w:rPr>
          <w:i/>
          <w:lang w:val="fr-CA"/>
        </w:rPr>
        <w:t>ès était raisonnable et appuyé par la preuve</w:t>
      </w:r>
      <w:r w:rsidRPr="00D41D21">
        <w:rPr>
          <w:i/>
          <w:lang w:val="fr-CA"/>
        </w:rPr>
        <w:t>.</w:t>
      </w:r>
    </w:p>
    <w:p w:rsidR="004D7D95" w:rsidRPr="00D41D21" w:rsidRDefault="004D7D95" w:rsidP="00AF34A3">
      <w:pPr>
        <w:pStyle w:val="SCCNormalDoubleSpacing"/>
        <w:widowControl w:val="0"/>
        <w:spacing w:line="240" w:lineRule="auto"/>
        <w:ind w:left="540" w:hanging="540"/>
        <w:rPr>
          <w:lang w:val="fr-CA"/>
        </w:rPr>
      </w:pPr>
    </w:p>
    <w:p w:rsidR="004D7D95" w:rsidRPr="00E72620" w:rsidRDefault="004D7D95" w:rsidP="00AF34A3">
      <w:pPr>
        <w:pStyle w:val="SCCNormalDoubleSpacing"/>
        <w:widowControl w:val="0"/>
        <w:rPr>
          <w:lang w:val="fr-CA"/>
        </w:rPr>
      </w:pPr>
      <w:r w:rsidRPr="00D41D21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="00CC0234">
        <w:rPr>
          <w:lang w:val="fr-CA"/>
        </w:rPr>
        <w:t>Cour d’</w:t>
      </w:r>
      <w:r w:rsidRPr="00795F86">
        <w:rPr>
          <w:lang w:val="fr-CA"/>
        </w:rPr>
        <w:t xml:space="preserve">appel de l’Alberta </w:t>
      </w:r>
      <w:r w:rsidR="00E72620">
        <w:rPr>
          <w:lang w:val="fr-CA"/>
        </w:rPr>
        <w:t xml:space="preserve">(les juges Watson, </w:t>
      </w:r>
      <w:proofErr w:type="spellStart"/>
      <w:r w:rsidR="00E72620">
        <w:rPr>
          <w:lang w:val="fr-CA"/>
        </w:rPr>
        <w:t>Rowbot</w:t>
      </w:r>
      <w:r w:rsidR="005E5849">
        <w:rPr>
          <w:lang w:val="fr-CA"/>
        </w:rPr>
        <w:t>h</w:t>
      </w:r>
      <w:r w:rsidR="00E72620">
        <w:rPr>
          <w:lang w:val="fr-CA"/>
        </w:rPr>
        <w:t>am</w:t>
      </w:r>
      <w:proofErr w:type="spellEnd"/>
      <w:r w:rsidR="00E72620">
        <w:rPr>
          <w:lang w:val="fr-CA"/>
        </w:rPr>
        <w:t xml:space="preserve"> et </w:t>
      </w:r>
      <w:proofErr w:type="spellStart"/>
      <w:r w:rsidR="00E72620">
        <w:rPr>
          <w:lang w:val="fr-CA"/>
        </w:rPr>
        <w:t>Wakeling</w:t>
      </w:r>
      <w:proofErr w:type="spellEnd"/>
      <w:r w:rsidR="00E72620">
        <w:rPr>
          <w:lang w:val="fr-CA"/>
        </w:rPr>
        <w:t xml:space="preserve">), </w:t>
      </w:r>
      <w:r w:rsidR="00E72620" w:rsidRPr="00E72620">
        <w:rPr>
          <w:lang w:val="fr-CA"/>
        </w:rPr>
        <w:t>2015 ABCA 146,</w:t>
      </w:r>
      <w:r w:rsidR="00E72620">
        <w:rPr>
          <w:lang w:val="fr-CA"/>
        </w:rPr>
        <w:t xml:space="preserve"> </w:t>
      </w:r>
      <w:r w:rsidR="00E72620" w:rsidRPr="00E72620">
        <w:rPr>
          <w:lang w:val="fr-CA"/>
        </w:rPr>
        <w:t xml:space="preserve">[2015] A.J. No. </w:t>
      </w:r>
      <w:r w:rsidR="00E72620">
        <w:rPr>
          <w:lang w:val="fr-CA"/>
        </w:rPr>
        <w:t>460 (</w:t>
      </w:r>
      <w:r w:rsidR="00E72620" w:rsidRPr="00E72620">
        <w:rPr>
          <w:lang w:val="fr-CA"/>
        </w:rPr>
        <w:t xml:space="preserve">QL), 2015 </w:t>
      </w:r>
      <w:proofErr w:type="spellStart"/>
      <w:r w:rsidR="00E72620" w:rsidRPr="00E72620">
        <w:rPr>
          <w:lang w:val="fr-CA"/>
        </w:rPr>
        <w:t>CarswellAlta</w:t>
      </w:r>
      <w:proofErr w:type="spellEnd"/>
      <w:r w:rsidR="00E72620" w:rsidRPr="00E72620">
        <w:rPr>
          <w:lang w:val="fr-CA"/>
        </w:rPr>
        <w:t xml:space="preserve"> 713,</w:t>
      </w:r>
      <w:r w:rsidR="004D1F88">
        <w:rPr>
          <w:lang w:val="fr-CA"/>
        </w:rPr>
        <w:t xml:space="preserve"> </w:t>
      </w:r>
      <w:r w:rsidR="004D1F88" w:rsidRPr="007C4A6C">
        <w:rPr>
          <w:lang w:val="fr-CA"/>
        </w:rPr>
        <w:t xml:space="preserve">qui a confirmé la déclaration de culpabilité pour agression sexuelle prononcée contre l’accusé.  </w:t>
      </w:r>
      <w:r w:rsidR="003E68D3" w:rsidRPr="007C4A6C">
        <w:rPr>
          <w:lang w:val="fr-CA"/>
        </w:rPr>
        <w:t xml:space="preserve">Pourvoi </w:t>
      </w:r>
      <w:r w:rsidR="00087D1E" w:rsidRPr="007C4A6C">
        <w:rPr>
          <w:lang w:val="fr-CA"/>
        </w:rPr>
        <w:t>rejeté</w:t>
      </w:r>
      <w:r w:rsidR="004D1F88" w:rsidRPr="007C4A6C">
        <w:rPr>
          <w:lang w:val="fr-CA"/>
        </w:rPr>
        <w:t>,</w:t>
      </w:r>
      <w:r w:rsidR="003E68D3">
        <w:rPr>
          <w:lang w:val="fr-CA"/>
        </w:rPr>
        <w:t xml:space="preserve"> la juge Côté</w:t>
      </w:r>
      <w:r w:rsidR="007F40D8">
        <w:rPr>
          <w:lang w:val="fr-CA"/>
        </w:rPr>
        <w:t xml:space="preserve"> est</w:t>
      </w:r>
      <w:r w:rsidR="003E68D3">
        <w:rPr>
          <w:lang w:val="fr-CA"/>
        </w:rPr>
        <w:t xml:space="preserve"> dissidente.</w:t>
      </w:r>
    </w:p>
    <w:p w:rsidR="004D7D95" w:rsidRPr="004D7D95" w:rsidRDefault="004D7D95" w:rsidP="00AF34A3">
      <w:pPr>
        <w:pStyle w:val="SCCNormalDoubleSpacing"/>
        <w:widowControl w:val="0"/>
        <w:rPr>
          <w:lang w:val="fr-CA"/>
        </w:rPr>
      </w:pPr>
    </w:p>
    <w:p w:rsidR="006155B4" w:rsidRPr="00D41D21" w:rsidRDefault="006657C6" w:rsidP="00AF34A3">
      <w:pPr>
        <w:pStyle w:val="SCCNormalDoubleSpacing"/>
        <w:widowControl w:val="0"/>
        <w:rPr>
          <w:lang w:val="fr-CA"/>
        </w:rPr>
      </w:pPr>
      <w:r w:rsidRPr="00795F86">
        <w:rPr>
          <w:rStyle w:val="SCCCounselNameChar"/>
          <w:lang w:val="fr-CA"/>
        </w:rPr>
        <w:tab/>
      </w:r>
      <w:r w:rsidRPr="00D41D21">
        <w:rPr>
          <w:rStyle w:val="SCCCounselNameChar"/>
          <w:lang w:val="fr-CA"/>
        </w:rPr>
        <w:t>Deborah R. Hatch</w:t>
      </w:r>
      <w:r w:rsidR="00CC0234" w:rsidRPr="00D41D21">
        <w:rPr>
          <w:rStyle w:val="SCCCounselPartyRoleChar"/>
          <w:lang w:val="fr-CA"/>
        </w:rPr>
        <w:t>, pour l’</w:t>
      </w:r>
      <w:r w:rsidRPr="00D41D21">
        <w:rPr>
          <w:rStyle w:val="SCCCounselPartyRoleChar"/>
          <w:lang w:val="fr-CA"/>
        </w:rPr>
        <w:t>appelant</w:t>
      </w:r>
      <w:r w:rsidR="00787886" w:rsidRPr="00D41D21">
        <w:rPr>
          <w:rStyle w:val="SCCCounselPartyRoleChar"/>
          <w:lang w:val="fr-CA"/>
        </w:rPr>
        <w:t>.</w:t>
      </w:r>
    </w:p>
    <w:p w:rsidR="006155B4" w:rsidRPr="00D41D21" w:rsidRDefault="006155B4" w:rsidP="00AF34A3">
      <w:pPr>
        <w:pStyle w:val="SCCNormalDoubleSpacing"/>
        <w:widowControl w:val="0"/>
        <w:rPr>
          <w:lang w:val="fr-CA"/>
        </w:rPr>
      </w:pPr>
    </w:p>
    <w:p w:rsidR="006155B4" w:rsidRPr="00795F86" w:rsidRDefault="006657C6" w:rsidP="00AF34A3">
      <w:pPr>
        <w:pStyle w:val="SCCNormalDoubleSpacing"/>
        <w:widowControl w:val="0"/>
        <w:spacing w:after="480"/>
        <w:rPr>
          <w:lang w:val="fr-CA"/>
        </w:rPr>
      </w:pPr>
      <w:r w:rsidRPr="00D41D21">
        <w:rPr>
          <w:rStyle w:val="SCCCounselNameChar"/>
          <w:lang w:val="fr-CA"/>
        </w:rPr>
        <w:tab/>
      </w:r>
      <w:r w:rsidRPr="00795F86">
        <w:rPr>
          <w:rStyle w:val="SCCCounselNameChar"/>
          <w:lang w:val="fr-CA"/>
        </w:rPr>
        <w:t>Troy Couillard</w:t>
      </w:r>
      <w:r w:rsidR="00787886">
        <w:rPr>
          <w:rStyle w:val="SCCCounselPartyRoleChar"/>
          <w:lang w:val="fr-CA"/>
        </w:rPr>
        <w:t>, pour l’intimé</w:t>
      </w:r>
      <w:r w:rsidRPr="00795F86">
        <w:rPr>
          <w:rStyle w:val="SCCCounselPartyRoleChar"/>
          <w:lang w:val="fr-CA"/>
        </w:rPr>
        <w:t>e.</w:t>
      </w:r>
    </w:p>
    <w:p w:rsidR="00746568" w:rsidRPr="00E81B60" w:rsidRDefault="00746568" w:rsidP="00AF34A3">
      <w:pPr>
        <w:pStyle w:val="SCCNormalDoubleSpacing"/>
        <w:widowControl w:val="0"/>
        <w:spacing w:after="480"/>
        <w:rPr>
          <w:szCs w:val="24"/>
          <w:lang w:val="fr-CA"/>
        </w:rPr>
      </w:pPr>
      <w:r>
        <w:rPr>
          <w:lang w:val="fr-CA"/>
        </w:rPr>
        <w:tab/>
      </w:r>
      <w:r w:rsidR="007F40D8">
        <w:rPr>
          <w:rStyle w:val="SCCCounselPartyRoleChar"/>
          <w:lang w:val="fr-CA"/>
        </w:rPr>
        <w:t>Version française du jugement de la Cour rendu oralement par</w:t>
      </w:r>
      <w:r w:rsidR="007F40D8">
        <w:rPr>
          <w:lang w:val="fr-CA"/>
        </w:rPr>
        <w:tab/>
      </w:r>
    </w:p>
    <w:p w:rsidR="00746568" w:rsidRDefault="00147FE2" w:rsidP="00AF34A3">
      <w:pPr>
        <w:pStyle w:val="ParaNoNdepar-AltN"/>
        <w:widowControl w:val="0"/>
        <w:numPr>
          <w:ilvl w:val="0"/>
          <w:numId w:val="1"/>
        </w:numPr>
        <w:rPr>
          <w:rFonts w:cs="Times New Roman"/>
          <w:lang w:val="fr-CA"/>
        </w:rPr>
      </w:pPr>
      <w:r w:rsidRPr="004B69F5">
        <w:rPr>
          <w:rFonts w:cs="Times New Roman"/>
          <w:smallCaps/>
          <w:lang w:val="fr-CA"/>
        </w:rPr>
        <w:lastRenderedPageBreak/>
        <w:t>La</w:t>
      </w:r>
      <w:r>
        <w:rPr>
          <w:smallCaps/>
          <w:lang w:val="fr-CA"/>
        </w:rPr>
        <w:t xml:space="preserve"> j</w:t>
      </w:r>
      <w:r w:rsidRPr="00E81B60">
        <w:rPr>
          <w:rFonts w:cs="Times New Roman"/>
          <w:smallCaps/>
          <w:lang w:val="fr-CA"/>
        </w:rPr>
        <w:t>uge Abella</w:t>
      </w:r>
      <w:r w:rsidRPr="00E81B60">
        <w:rPr>
          <w:rFonts w:cs="Times New Roman"/>
          <w:lang w:val="fr-CA"/>
        </w:rPr>
        <w:t xml:space="preserve"> — </w:t>
      </w:r>
      <w:r w:rsidR="00746568" w:rsidRPr="00E81B60">
        <w:rPr>
          <w:rFonts w:cs="Times New Roman"/>
          <w:lang w:val="fr-CA"/>
        </w:rPr>
        <w:t xml:space="preserve">La </w:t>
      </w:r>
      <w:r w:rsidR="00746568" w:rsidRPr="00147FE2">
        <w:rPr>
          <w:rFonts w:asciiTheme="minorBidi" w:hAnsiTheme="minorBidi"/>
          <w:lang w:val="fr-CA"/>
        </w:rPr>
        <w:t>majorité</w:t>
      </w:r>
      <w:r w:rsidR="00746568" w:rsidRPr="00E81B60">
        <w:rPr>
          <w:rFonts w:cs="Times New Roman"/>
          <w:lang w:val="fr-CA"/>
        </w:rPr>
        <w:t xml:space="preserve"> est d’avis de rejeter le pourvoi pour les motifs exposés par les juges Watson et </w:t>
      </w:r>
      <w:proofErr w:type="spellStart"/>
      <w:r w:rsidR="00746568" w:rsidRPr="00E81B60">
        <w:rPr>
          <w:rFonts w:cs="Times New Roman"/>
          <w:lang w:val="fr-CA"/>
        </w:rPr>
        <w:t>Rowbotham</w:t>
      </w:r>
      <w:proofErr w:type="spellEnd"/>
      <w:r w:rsidR="00746568" w:rsidRPr="00E81B60">
        <w:rPr>
          <w:rFonts w:cs="Times New Roman"/>
          <w:lang w:val="fr-CA"/>
        </w:rPr>
        <w:t xml:space="preserve"> de la Cour d’appel.  La juge Côté est dissidente et accueillerait le pourvoi, essentiellement pour les motifs exprimés par le juge d’appel </w:t>
      </w:r>
      <w:proofErr w:type="spellStart"/>
      <w:r w:rsidR="00746568" w:rsidRPr="00E81B60">
        <w:rPr>
          <w:rFonts w:cs="Times New Roman"/>
          <w:lang w:val="fr-CA"/>
        </w:rPr>
        <w:t>Wakeling</w:t>
      </w:r>
      <w:proofErr w:type="spellEnd"/>
      <w:r w:rsidR="00746568" w:rsidRPr="00E81B60">
        <w:rPr>
          <w:rFonts w:cs="Times New Roman"/>
          <w:lang w:val="fr-CA"/>
        </w:rPr>
        <w:t>.</w:t>
      </w:r>
      <w:r w:rsidR="006A4601">
        <w:rPr>
          <w:rFonts w:cs="Times New Roman"/>
          <w:lang w:val="fr-CA"/>
        </w:rPr>
        <w:t xml:space="preserve"> </w:t>
      </w:r>
    </w:p>
    <w:p w:rsidR="004D7D95" w:rsidRPr="00795F86" w:rsidRDefault="006657C6" w:rsidP="00AF34A3">
      <w:pPr>
        <w:pStyle w:val="SCCLawFirm"/>
        <w:widowControl w:val="0"/>
        <w:spacing w:after="480"/>
        <w:rPr>
          <w:lang w:val="fr-CA"/>
        </w:rPr>
      </w:pPr>
      <w:r w:rsidRPr="00795F86">
        <w:rPr>
          <w:lang w:val="fr-CA"/>
        </w:rPr>
        <w:tab/>
      </w:r>
      <w:r w:rsidR="00BF7CB7">
        <w:rPr>
          <w:lang w:val="fr-CA"/>
        </w:rPr>
        <w:t>Jugement en conséquence.</w:t>
      </w:r>
    </w:p>
    <w:p w:rsidR="006155B4" w:rsidRPr="00795F86" w:rsidRDefault="006657C6" w:rsidP="00AF34A3">
      <w:pPr>
        <w:pStyle w:val="SCCLawFirm"/>
        <w:widowControl w:val="0"/>
        <w:rPr>
          <w:lang w:val="fr-CA"/>
        </w:rPr>
      </w:pPr>
      <w:r w:rsidRPr="00795F86">
        <w:rPr>
          <w:lang w:val="fr-CA"/>
        </w:rPr>
        <w:tab/>
        <w:t>Procureur</w:t>
      </w:r>
      <w:r w:rsidR="00EA3CF9">
        <w:rPr>
          <w:lang w:val="fr-CA"/>
        </w:rPr>
        <w:t>s de l’</w:t>
      </w:r>
      <w:r w:rsidRPr="00795F86">
        <w:rPr>
          <w:lang w:val="fr-CA"/>
        </w:rPr>
        <w:t>appelant : Gunn Law Group, Edmonton.</w:t>
      </w:r>
    </w:p>
    <w:p w:rsidR="006155B4" w:rsidRPr="00795F86" w:rsidRDefault="006155B4" w:rsidP="00AF34A3">
      <w:pPr>
        <w:pStyle w:val="SCCLawFirm"/>
        <w:widowControl w:val="0"/>
        <w:rPr>
          <w:lang w:val="fr-CA"/>
        </w:rPr>
      </w:pPr>
    </w:p>
    <w:p w:rsidR="006155B4" w:rsidRPr="00FF2937" w:rsidRDefault="006657C6" w:rsidP="00AF34A3">
      <w:pPr>
        <w:pStyle w:val="SCCLawFirm"/>
        <w:widowControl w:val="0"/>
        <w:rPr>
          <w:lang w:val="fr-CA"/>
        </w:rPr>
      </w:pPr>
      <w:r w:rsidRPr="00795F86">
        <w:rPr>
          <w:lang w:val="fr-CA"/>
        </w:rPr>
        <w:tab/>
      </w:r>
      <w:r w:rsidR="00FF2937" w:rsidRPr="00FF2937">
        <w:rPr>
          <w:lang w:val="fr-CA"/>
        </w:rPr>
        <w:t>Procureur de l’</w:t>
      </w:r>
      <w:r w:rsidRPr="00FF2937">
        <w:rPr>
          <w:lang w:val="fr-CA"/>
        </w:rPr>
        <w:t>intimé</w:t>
      </w:r>
      <w:r w:rsidR="00FF2937" w:rsidRPr="00FF2937">
        <w:rPr>
          <w:lang w:val="fr-CA"/>
        </w:rPr>
        <w:t>e</w:t>
      </w:r>
      <w:r w:rsidRPr="00FF2937">
        <w:rPr>
          <w:lang w:val="fr-CA"/>
        </w:rPr>
        <w:t xml:space="preserve"> : </w:t>
      </w:r>
      <w:r w:rsidR="00FF2937" w:rsidRPr="00FF2937">
        <w:rPr>
          <w:lang w:val="fr-CA"/>
        </w:rPr>
        <w:t>Ministère de la Justice de l’Alberta</w:t>
      </w:r>
      <w:r w:rsidRPr="00FF2937">
        <w:rPr>
          <w:lang w:val="fr-CA"/>
        </w:rPr>
        <w:t>, Edmonton.</w:t>
      </w:r>
    </w:p>
    <w:p w:rsidR="006155B4" w:rsidRPr="00FF2937" w:rsidRDefault="006155B4" w:rsidP="00AF34A3">
      <w:pPr>
        <w:pStyle w:val="SCCLawFirm"/>
        <w:widowControl w:val="0"/>
        <w:rPr>
          <w:lang w:val="fr-CA"/>
        </w:rPr>
      </w:pPr>
    </w:p>
    <w:sectPr w:rsidR="006155B4" w:rsidRPr="00FF2937" w:rsidSect="00064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37" w:rsidRDefault="00FF2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37" w:rsidRDefault="00FF29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37" w:rsidRDefault="00FF2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37" w:rsidRDefault="00FF2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37" w:rsidRDefault="00FF2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87D1E"/>
    <w:rsid w:val="000A6A02"/>
    <w:rsid w:val="000C28E3"/>
    <w:rsid w:val="000C59B8"/>
    <w:rsid w:val="000C6AF0"/>
    <w:rsid w:val="000D0A77"/>
    <w:rsid w:val="000F7993"/>
    <w:rsid w:val="00104F33"/>
    <w:rsid w:val="00111DE2"/>
    <w:rsid w:val="00116B38"/>
    <w:rsid w:val="00135406"/>
    <w:rsid w:val="00135972"/>
    <w:rsid w:val="001426A9"/>
    <w:rsid w:val="00147FE2"/>
    <w:rsid w:val="00154D7C"/>
    <w:rsid w:val="00156CE1"/>
    <w:rsid w:val="001570B0"/>
    <w:rsid w:val="0015752C"/>
    <w:rsid w:val="00157737"/>
    <w:rsid w:val="00165277"/>
    <w:rsid w:val="00166B5A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E68D3"/>
    <w:rsid w:val="003F327B"/>
    <w:rsid w:val="00400F03"/>
    <w:rsid w:val="00406166"/>
    <w:rsid w:val="0040704B"/>
    <w:rsid w:val="00410A55"/>
    <w:rsid w:val="00411300"/>
    <w:rsid w:val="00413F17"/>
    <w:rsid w:val="00415417"/>
    <w:rsid w:val="00426659"/>
    <w:rsid w:val="0044172A"/>
    <w:rsid w:val="00450352"/>
    <w:rsid w:val="00454BDB"/>
    <w:rsid w:val="00465132"/>
    <w:rsid w:val="00475C11"/>
    <w:rsid w:val="00480C90"/>
    <w:rsid w:val="0048396F"/>
    <w:rsid w:val="00493C18"/>
    <w:rsid w:val="004A600C"/>
    <w:rsid w:val="004A6118"/>
    <w:rsid w:val="004B69F5"/>
    <w:rsid w:val="004C478D"/>
    <w:rsid w:val="004D1F88"/>
    <w:rsid w:val="004D7D95"/>
    <w:rsid w:val="004E2C26"/>
    <w:rsid w:val="00503A00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5E5849"/>
    <w:rsid w:val="00603924"/>
    <w:rsid w:val="00610539"/>
    <w:rsid w:val="00613969"/>
    <w:rsid w:val="006155B4"/>
    <w:rsid w:val="00625C35"/>
    <w:rsid w:val="00647E49"/>
    <w:rsid w:val="00656313"/>
    <w:rsid w:val="006565F4"/>
    <w:rsid w:val="006657C6"/>
    <w:rsid w:val="00684EEA"/>
    <w:rsid w:val="0069689B"/>
    <w:rsid w:val="006A4601"/>
    <w:rsid w:val="006B5FF5"/>
    <w:rsid w:val="006F30AF"/>
    <w:rsid w:val="00701759"/>
    <w:rsid w:val="00705C15"/>
    <w:rsid w:val="007110F6"/>
    <w:rsid w:val="007208D1"/>
    <w:rsid w:val="00744518"/>
    <w:rsid w:val="00746568"/>
    <w:rsid w:val="00747288"/>
    <w:rsid w:val="00747DD3"/>
    <w:rsid w:val="007549C8"/>
    <w:rsid w:val="00761BBF"/>
    <w:rsid w:val="00766D14"/>
    <w:rsid w:val="00767A0F"/>
    <w:rsid w:val="00787886"/>
    <w:rsid w:val="00791272"/>
    <w:rsid w:val="0079570C"/>
    <w:rsid w:val="00795F86"/>
    <w:rsid w:val="007A05F6"/>
    <w:rsid w:val="007B6F4A"/>
    <w:rsid w:val="007C4A6C"/>
    <w:rsid w:val="007E1C47"/>
    <w:rsid w:val="007E337A"/>
    <w:rsid w:val="007E5C70"/>
    <w:rsid w:val="007F2FF5"/>
    <w:rsid w:val="007F3F08"/>
    <w:rsid w:val="007F40D8"/>
    <w:rsid w:val="00804CC6"/>
    <w:rsid w:val="00817190"/>
    <w:rsid w:val="008260E2"/>
    <w:rsid w:val="008322BD"/>
    <w:rsid w:val="00834F73"/>
    <w:rsid w:val="00864C8A"/>
    <w:rsid w:val="00864CF8"/>
    <w:rsid w:val="00874914"/>
    <w:rsid w:val="00891422"/>
    <w:rsid w:val="00892E1A"/>
    <w:rsid w:val="00894415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AF34A3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BF7CB7"/>
    <w:rsid w:val="00C02092"/>
    <w:rsid w:val="00C2129E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C0234"/>
    <w:rsid w:val="00CE036E"/>
    <w:rsid w:val="00CE3171"/>
    <w:rsid w:val="00CE46A9"/>
    <w:rsid w:val="00CF1601"/>
    <w:rsid w:val="00D0172F"/>
    <w:rsid w:val="00D01E33"/>
    <w:rsid w:val="00D068A7"/>
    <w:rsid w:val="00D17476"/>
    <w:rsid w:val="00D17B0E"/>
    <w:rsid w:val="00D32086"/>
    <w:rsid w:val="00D37A3F"/>
    <w:rsid w:val="00D41D21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2620"/>
    <w:rsid w:val="00E97830"/>
    <w:rsid w:val="00EA3CF9"/>
    <w:rsid w:val="00EE0830"/>
    <w:rsid w:val="00EE6CB8"/>
    <w:rsid w:val="00EF0683"/>
    <w:rsid w:val="00EF7C35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436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147FE2"/>
    <w:pPr>
      <w:tabs>
        <w:tab w:val="num" w:pos="1242"/>
      </w:tabs>
      <w:spacing w:before="480" w:after="480" w:line="480" w:lineRule="auto"/>
      <w:ind w:left="90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66B5A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166B5A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166B5A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166B5A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C158-B3C8-434A-BD30-56908E9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2015-12-22T21:52:00Z</dcterms:created>
  <dcterms:modified xsi:type="dcterms:W3CDTF">2016-02-25T20:30:00Z</dcterms:modified>
</cp:coreProperties>
</file>