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A6" w:rsidRDefault="003E12A6" w:rsidP="003E12A6">
      <w:pPr>
        <w:pStyle w:val="Header"/>
        <w:jc w:val="center"/>
      </w:pP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8" o:title=""/>
          </v:shape>
          <o:OLEObject Type="Embed" ProgID="Presentations.Drawing.13" ShapeID="_x0000_i1025" DrawAspect="Content" ObjectID="_1517982943" r:id="rId9"/>
        </w:object>
      </w:r>
    </w:p>
    <w:p w:rsidR="003E12A6" w:rsidRDefault="003E12A6" w:rsidP="003E12A6">
      <w:pPr>
        <w:pStyle w:val="Header"/>
      </w:pPr>
    </w:p>
    <w:p w:rsidR="003E12A6" w:rsidRPr="001E12E2" w:rsidRDefault="003E12A6" w:rsidP="003E12A6">
      <w:pPr>
        <w:jc w:val="center"/>
        <w:rPr>
          <w:b/>
        </w:rPr>
      </w:pPr>
      <w:r w:rsidRPr="001E12E2">
        <w:rPr>
          <w:b/>
        </w:rPr>
        <w:t>COUR SUPRÊME DU CANADA</w:t>
      </w:r>
    </w:p>
    <w:p w:rsidR="003E12A6" w:rsidRDefault="003E12A6" w:rsidP="003E12A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3E12A6" w:rsidRPr="001E12E2" w:rsidTr="00D03FA2">
        <w:trPr>
          <w:cantSplit/>
        </w:trPr>
        <w:tc>
          <w:tcPr>
            <w:tcW w:w="6768" w:type="dxa"/>
          </w:tcPr>
          <w:p w:rsidR="003E12A6" w:rsidRPr="003E12A6" w:rsidRDefault="003E12A6" w:rsidP="00D03FA2">
            <w:pPr>
              <w:rPr>
                <w:lang w:val="fr-CA"/>
              </w:rPr>
            </w:pPr>
            <w:r w:rsidRPr="003E12A6">
              <w:rPr>
                <w:b/>
                <w:smallCaps/>
                <w:lang w:val="fr-CA"/>
              </w:rPr>
              <w:t>Référence :</w:t>
            </w:r>
            <w:r w:rsidRPr="003E12A6">
              <w:rPr>
                <w:lang w:val="fr-CA"/>
              </w:rPr>
              <w:t xml:space="preserve"> R.</w:t>
            </w:r>
            <w:r w:rsidRPr="003E12A6">
              <w:rPr>
                <w:i/>
                <w:lang w:val="fr-CA"/>
              </w:rPr>
              <w:t xml:space="preserve"> c. </w:t>
            </w:r>
            <w:r w:rsidR="004E1BE1">
              <w:rPr>
                <w:lang w:val="fr-CA"/>
              </w:rPr>
              <w:t>Neville</w:t>
            </w:r>
            <w:bookmarkStart w:id="0" w:name="_GoBack"/>
            <w:bookmarkEnd w:id="0"/>
            <w:r w:rsidRPr="003E12A6">
              <w:rPr>
                <w:lang w:val="fr-CA"/>
              </w:rPr>
              <w:t>, 2015 CSC 49, [2015] 3 R.C.S. 323</w:t>
            </w:r>
          </w:p>
        </w:tc>
        <w:tc>
          <w:tcPr>
            <w:tcW w:w="2808" w:type="dxa"/>
          </w:tcPr>
          <w:p w:rsidR="003E12A6" w:rsidRPr="001E12E2" w:rsidRDefault="003E12A6" w:rsidP="00D03FA2">
            <w:r w:rsidRPr="001E12E2">
              <w:rPr>
                <w:b/>
                <w:smallCaps/>
              </w:rPr>
              <w:t>Date</w:t>
            </w:r>
            <w:r>
              <w:rPr>
                <w:b/>
                <w:smallCaps/>
              </w:rPr>
              <w:t> :</w:t>
            </w:r>
            <w:r w:rsidRPr="001E12E2">
              <w:t xml:space="preserve"> </w:t>
            </w:r>
            <w:r>
              <w:t>20151105</w:t>
            </w:r>
          </w:p>
          <w:p w:rsidR="003E12A6" w:rsidRPr="001E12E2" w:rsidRDefault="003E12A6" w:rsidP="00D03FA2">
            <w:r w:rsidRPr="001E12E2">
              <w:rPr>
                <w:b/>
                <w:smallCaps/>
              </w:rPr>
              <w:t>Do</w:t>
            </w:r>
            <w:r>
              <w:rPr>
                <w:b/>
                <w:smallCaps/>
              </w:rPr>
              <w:t>ssier :</w:t>
            </w:r>
            <w:r w:rsidRPr="001E12E2">
              <w:t xml:space="preserve"> </w:t>
            </w:r>
            <w:r>
              <w:t>36412</w:t>
            </w:r>
          </w:p>
        </w:tc>
      </w:tr>
    </w:tbl>
    <w:p w:rsidR="003E12A6" w:rsidRPr="001E12E2" w:rsidRDefault="003E12A6" w:rsidP="003E12A6"/>
    <w:p w:rsidR="003E12A6" w:rsidRDefault="003E12A6" w:rsidP="003E12A6">
      <w:pPr>
        <w:pStyle w:val="SCCLsocPrefix"/>
      </w:pPr>
      <w:r>
        <w:t>Entre :</w:t>
      </w:r>
    </w:p>
    <w:p w:rsidR="003E12A6" w:rsidRDefault="003E12A6" w:rsidP="003E12A6">
      <w:pPr>
        <w:pStyle w:val="SCCLsocParty"/>
        <w:jc w:val="center"/>
      </w:pPr>
      <w:r>
        <w:t>Steven Michael Neville</w:t>
      </w:r>
    </w:p>
    <w:p w:rsidR="003E12A6" w:rsidRPr="003E12A6" w:rsidRDefault="003E12A6" w:rsidP="003E12A6">
      <w:pPr>
        <w:jc w:val="center"/>
        <w:rPr>
          <w:lang w:val="fr-CA"/>
        </w:rPr>
      </w:pPr>
      <w:r w:rsidRPr="003E12A6">
        <w:rPr>
          <w:lang w:val="fr-CA"/>
        </w:rPr>
        <w:t>Appelant</w:t>
      </w:r>
    </w:p>
    <w:p w:rsidR="003E12A6" w:rsidRPr="003E12A6" w:rsidRDefault="003E12A6" w:rsidP="003E12A6">
      <w:pPr>
        <w:pStyle w:val="SCCLsocVersus"/>
        <w:spacing w:after="0"/>
        <w:jc w:val="center"/>
        <w:rPr>
          <w:i w:val="0"/>
          <w:lang w:val="fr-CA"/>
        </w:rPr>
      </w:pPr>
      <w:proofErr w:type="gramStart"/>
      <w:r w:rsidRPr="003E12A6">
        <w:rPr>
          <w:i w:val="0"/>
          <w:lang w:val="fr-CA"/>
        </w:rPr>
        <w:t>et</w:t>
      </w:r>
      <w:proofErr w:type="gramEnd"/>
    </w:p>
    <w:p w:rsidR="003E12A6" w:rsidRPr="003E12A6" w:rsidRDefault="003E12A6" w:rsidP="003E12A6">
      <w:pPr>
        <w:pStyle w:val="SCCLsocParty"/>
        <w:jc w:val="center"/>
        <w:rPr>
          <w:lang w:val="fr-CA"/>
        </w:rPr>
      </w:pPr>
      <w:r w:rsidRPr="003E12A6">
        <w:rPr>
          <w:lang w:val="fr-CA"/>
        </w:rPr>
        <w:t>Sa Majesté la Reine</w:t>
      </w:r>
    </w:p>
    <w:p w:rsidR="003E12A6" w:rsidRPr="003E12A6" w:rsidRDefault="003E12A6" w:rsidP="003E12A6">
      <w:pPr>
        <w:jc w:val="center"/>
        <w:rPr>
          <w:lang w:val="fr-CA"/>
        </w:rPr>
      </w:pPr>
      <w:r w:rsidRPr="003E12A6">
        <w:rPr>
          <w:lang w:val="fr-CA"/>
        </w:rPr>
        <w:t>Intimée</w:t>
      </w:r>
    </w:p>
    <w:p w:rsidR="003E12A6" w:rsidRPr="003E12A6" w:rsidRDefault="003E12A6" w:rsidP="003E12A6">
      <w:pPr>
        <w:rPr>
          <w:lang w:val="fr-CA"/>
        </w:rPr>
      </w:pPr>
    </w:p>
    <w:p w:rsidR="003E12A6" w:rsidRPr="003E12A6" w:rsidRDefault="003E12A6" w:rsidP="003E12A6">
      <w:pPr>
        <w:jc w:val="center"/>
        <w:rPr>
          <w:b/>
          <w:smallCaps/>
          <w:lang w:val="fr-CA"/>
        </w:rPr>
      </w:pPr>
      <w:r w:rsidRPr="003E12A6">
        <w:rPr>
          <w:b/>
          <w:smallCaps/>
          <w:lang w:val="fr-CA"/>
        </w:rPr>
        <w:t>Traduction française officielle</w:t>
      </w:r>
    </w:p>
    <w:p w:rsidR="003E12A6" w:rsidRPr="003E12A6" w:rsidRDefault="003E12A6" w:rsidP="003E12A6">
      <w:pPr>
        <w:rPr>
          <w:lang w:val="fr-CA"/>
        </w:rPr>
      </w:pPr>
    </w:p>
    <w:p w:rsidR="003E12A6" w:rsidRPr="003E12A6" w:rsidRDefault="003E12A6" w:rsidP="003E12A6">
      <w:pPr>
        <w:jc w:val="both"/>
        <w:rPr>
          <w:lang w:val="fr-CA"/>
        </w:rPr>
      </w:pPr>
      <w:r w:rsidRPr="003E12A6">
        <w:rPr>
          <w:b/>
          <w:smallCaps/>
          <w:lang w:val="fr-CA"/>
        </w:rPr>
        <w:t>Coram :</w:t>
      </w:r>
      <w:r w:rsidRPr="003E12A6">
        <w:rPr>
          <w:lang w:val="fr-CA"/>
        </w:rPr>
        <w:t xml:space="preserve"> La juge en chef </w:t>
      </w:r>
      <w:proofErr w:type="spellStart"/>
      <w:r w:rsidRPr="003E12A6">
        <w:rPr>
          <w:lang w:val="fr-CA"/>
        </w:rPr>
        <w:t>McLachlin</w:t>
      </w:r>
      <w:proofErr w:type="spellEnd"/>
      <w:r w:rsidRPr="003E12A6">
        <w:rPr>
          <w:lang w:val="fr-CA"/>
        </w:rPr>
        <w:t xml:space="preserve"> et les juges Abella, </w:t>
      </w:r>
      <w:proofErr w:type="spellStart"/>
      <w:r w:rsidRPr="003E12A6">
        <w:rPr>
          <w:lang w:val="fr-CA"/>
        </w:rPr>
        <w:t>Moldaver</w:t>
      </w:r>
      <w:proofErr w:type="spellEnd"/>
      <w:r w:rsidRPr="003E12A6">
        <w:rPr>
          <w:lang w:val="fr-CA"/>
        </w:rPr>
        <w:t>, Côté et Brown.</w:t>
      </w:r>
    </w:p>
    <w:p w:rsidR="003E12A6" w:rsidRPr="003E12A6" w:rsidRDefault="003E12A6" w:rsidP="003E12A6">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E12A6" w:rsidRPr="004E1BE1" w:rsidTr="00D03FA2">
        <w:trPr>
          <w:cantSplit/>
        </w:trPr>
        <w:tc>
          <w:tcPr>
            <w:tcW w:w="3618" w:type="dxa"/>
          </w:tcPr>
          <w:p w:rsidR="003E12A6" w:rsidRPr="003E12A6" w:rsidRDefault="003E12A6" w:rsidP="00D03FA2">
            <w:pPr>
              <w:rPr>
                <w:b/>
                <w:smallCaps/>
                <w:lang w:val="fr-CA"/>
              </w:rPr>
            </w:pPr>
            <w:r w:rsidRPr="003E12A6">
              <w:rPr>
                <w:b/>
                <w:smallCaps/>
                <w:lang w:val="fr-CA"/>
              </w:rPr>
              <w:t>Motifs de jugement :</w:t>
            </w:r>
          </w:p>
          <w:p w:rsidR="003E12A6" w:rsidRPr="003E12A6" w:rsidRDefault="003E12A6" w:rsidP="00D03FA2">
            <w:pPr>
              <w:rPr>
                <w:lang w:val="fr-CA"/>
              </w:rPr>
            </w:pPr>
            <w:r w:rsidRPr="003E12A6">
              <w:rPr>
                <w:lang w:val="fr-CA"/>
              </w:rPr>
              <w:t>(par. 1 à 5)</w:t>
            </w:r>
          </w:p>
        </w:tc>
        <w:tc>
          <w:tcPr>
            <w:tcW w:w="5958" w:type="dxa"/>
          </w:tcPr>
          <w:p w:rsidR="003E12A6" w:rsidRPr="003E12A6" w:rsidRDefault="003E12A6" w:rsidP="00D03FA2">
            <w:pPr>
              <w:jc w:val="both"/>
              <w:rPr>
                <w:lang w:val="fr-CA"/>
              </w:rPr>
            </w:pPr>
            <w:r w:rsidRPr="003E12A6">
              <w:rPr>
                <w:lang w:val="fr-CA"/>
              </w:rPr>
              <w:t xml:space="preserve">La juge en chef </w:t>
            </w:r>
            <w:proofErr w:type="spellStart"/>
            <w:r w:rsidRPr="003E12A6">
              <w:rPr>
                <w:lang w:val="fr-CA"/>
              </w:rPr>
              <w:t>McLachlin</w:t>
            </w:r>
            <w:proofErr w:type="spellEnd"/>
            <w:r w:rsidRPr="003E12A6">
              <w:rPr>
                <w:lang w:val="fr-CA"/>
              </w:rPr>
              <w:t xml:space="preserve"> (avec l’accord des juges Abella,  </w:t>
            </w:r>
            <w:proofErr w:type="spellStart"/>
            <w:r w:rsidRPr="003E12A6">
              <w:rPr>
                <w:lang w:val="fr-CA"/>
              </w:rPr>
              <w:t>Moldaver</w:t>
            </w:r>
            <w:proofErr w:type="spellEnd"/>
            <w:r w:rsidRPr="003E12A6">
              <w:rPr>
                <w:lang w:val="fr-CA"/>
              </w:rPr>
              <w:t>, Côté et Brown)</w:t>
            </w:r>
          </w:p>
        </w:tc>
      </w:tr>
    </w:tbl>
    <w:p w:rsidR="003E12A6" w:rsidRPr="003E12A6" w:rsidRDefault="003E12A6" w:rsidP="003E12A6">
      <w:pPr>
        <w:rPr>
          <w:lang w:val="fr-CA"/>
        </w:rPr>
      </w:pPr>
    </w:p>
    <w:p w:rsidR="003E12A6" w:rsidRPr="003E12A6" w:rsidRDefault="003E12A6" w:rsidP="003E12A6">
      <w:pPr>
        <w:rPr>
          <w:lang w:val="fr-CA"/>
        </w:rPr>
      </w:pPr>
      <w:r>
        <w:rPr>
          <w:noProof/>
          <w:lang w:val="en-US" w:eastAsia="en-US"/>
        </w:rPr>
        <mc:AlternateContent>
          <mc:Choice Requires="wps">
            <w:drawing>
              <wp:anchor distT="0" distB="0" distL="114300" distR="114300" simplePos="0" relativeHeight="251659264" behindDoc="0" locked="0" layoutInCell="1" allowOverlap="1" wp14:anchorId="6C7C4CAF" wp14:editId="7796C60A">
                <wp:simplePos x="0" y="0"/>
                <wp:positionH relativeFrom="column">
                  <wp:posOffset>1609725</wp:posOffset>
                </wp:positionH>
                <wp:positionV relativeFrom="paragraph">
                  <wp:posOffset>184150</wp:posOffset>
                </wp:positionV>
                <wp:extent cx="2505075"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256B5"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3E12A6" w:rsidRPr="003E12A6" w:rsidRDefault="003E12A6" w:rsidP="003E12A6">
      <w:pPr>
        <w:rPr>
          <w:lang w:val="fr-CA"/>
        </w:rPr>
      </w:pPr>
    </w:p>
    <w:p w:rsidR="003E12A6" w:rsidRDefault="003E12A6" w:rsidP="009C4027">
      <w:pPr>
        <w:spacing w:after="720"/>
        <w:jc w:val="both"/>
        <w:rPr>
          <w:lang w:val="fr-CA"/>
        </w:rPr>
      </w:pPr>
    </w:p>
    <w:p w:rsidR="004D7D95" w:rsidRPr="00FB3066" w:rsidRDefault="00FB3066" w:rsidP="009C4027">
      <w:pPr>
        <w:spacing w:after="720"/>
        <w:jc w:val="both"/>
        <w:rPr>
          <w:lang w:val="fr-CA"/>
        </w:rPr>
      </w:pPr>
      <w:r>
        <w:rPr>
          <w:lang w:val="fr-CA"/>
        </w:rPr>
        <w:t>R</w:t>
      </w:r>
      <w:r w:rsidR="00761BBF" w:rsidRPr="00FB3066">
        <w:rPr>
          <w:lang w:val="fr-CA"/>
        </w:rPr>
        <w:t>.</w:t>
      </w:r>
      <w:r w:rsidR="00761BBF" w:rsidRPr="005E5849">
        <w:rPr>
          <w:i/>
          <w:lang w:val="fr-CA"/>
        </w:rPr>
        <w:t xml:space="preserve"> c.</w:t>
      </w:r>
      <w:r w:rsidR="00761BBF" w:rsidRPr="005E5849">
        <w:rPr>
          <w:lang w:val="fr-CA"/>
        </w:rPr>
        <w:t xml:space="preserve"> </w:t>
      </w:r>
      <w:r>
        <w:rPr>
          <w:lang w:val="fr-CA"/>
        </w:rPr>
        <w:t>N</w:t>
      </w:r>
      <w:r w:rsidR="009C4027" w:rsidRPr="00FB3066">
        <w:rPr>
          <w:lang w:val="fr-CA"/>
        </w:rPr>
        <w:t>eville</w:t>
      </w:r>
      <w:r>
        <w:rPr>
          <w:lang w:val="fr-CA"/>
        </w:rPr>
        <w:t xml:space="preserve">, </w:t>
      </w:r>
      <w:r w:rsidRPr="00795F86">
        <w:rPr>
          <w:lang w:val="fr-CA"/>
        </w:rPr>
        <w:t>2015 CSC </w:t>
      </w:r>
      <w:r>
        <w:rPr>
          <w:lang w:val="fr-CA"/>
        </w:rPr>
        <w:t xml:space="preserve">49, [2015] 3 R.C.S. 323 </w:t>
      </w:r>
    </w:p>
    <w:p w:rsidR="006155B4" w:rsidRPr="005E5849" w:rsidRDefault="009C4027" w:rsidP="009C4027">
      <w:pPr>
        <w:pStyle w:val="SCCLsocLastPartyInRole"/>
        <w:rPr>
          <w:lang w:val="fr-CA"/>
        </w:rPr>
      </w:pPr>
      <w:r>
        <w:rPr>
          <w:lang w:val="fr-CA"/>
        </w:rPr>
        <w:t>Ste</w:t>
      </w:r>
      <w:r w:rsidR="00E332FD">
        <w:rPr>
          <w:lang w:val="fr-CA"/>
        </w:rPr>
        <w:t>v</w:t>
      </w:r>
      <w:r>
        <w:rPr>
          <w:lang w:val="fr-CA"/>
        </w:rPr>
        <w:t>en Michael Neville</w:t>
      </w:r>
      <w:r w:rsidR="00761BBF" w:rsidRPr="005E5849">
        <w:rPr>
          <w:rStyle w:val="SCCLsocPartyRole"/>
          <w:lang w:val="fr-CA"/>
        </w:rPr>
        <w:tab/>
        <w:t>Appelant</w:t>
      </w:r>
    </w:p>
    <w:p w:rsidR="006155B4" w:rsidRPr="00795F86" w:rsidRDefault="006657C6" w:rsidP="009C4027">
      <w:pPr>
        <w:pStyle w:val="SCCLsocVersus"/>
        <w:rPr>
          <w:lang w:val="fr-CA"/>
        </w:rPr>
      </w:pPr>
      <w:proofErr w:type="gramStart"/>
      <w:r w:rsidRPr="00795F86">
        <w:rPr>
          <w:lang w:val="fr-CA"/>
        </w:rPr>
        <w:t>c</w:t>
      </w:r>
      <w:proofErr w:type="gramEnd"/>
      <w:r w:rsidRPr="00795F86">
        <w:rPr>
          <w:lang w:val="fr-CA"/>
        </w:rPr>
        <w:t>.</w:t>
      </w:r>
    </w:p>
    <w:p w:rsidR="006155B4" w:rsidRPr="00795F86" w:rsidRDefault="006657C6" w:rsidP="009C4027">
      <w:pPr>
        <w:pStyle w:val="SCCLsocLastPartyInRole"/>
        <w:rPr>
          <w:lang w:val="fr-CA"/>
        </w:rPr>
      </w:pPr>
      <w:r w:rsidRPr="00795F86">
        <w:rPr>
          <w:lang w:val="fr-CA"/>
        </w:rPr>
        <w:t>Sa Majesté la Reine</w:t>
      </w:r>
      <w:r w:rsidRPr="00795F86">
        <w:rPr>
          <w:rStyle w:val="SCCLsocPartyRole"/>
          <w:lang w:val="fr-CA"/>
        </w:rPr>
        <w:tab/>
        <w:t>Intimé</w:t>
      </w:r>
      <w:r w:rsidR="00761BBF">
        <w:rPr>
          <w:rStyle w:val="SCCLsocPartyRole"/>
          <w:lang w:val="fr-CA"/>
        </w:rPr>
        <w:t>e</w:t>
      </w:r>
    </w:p>
    <w:p w:rsidR="004D7D95" w:rsidRPr="00795F86" w:rsidRDefault="000A6A02" w:rsidP="009C4027">
      <w:pPr>
        <w:spacing w:after="720"/>
        <w:jc w:val="both"/>
        <w:rPr>
          <w:lang w:val="fr-CA"/>
        </w:rPr>
      </w:pPr>
      <w:r>
        <w:rPr>
          <w:b/>
          <w:lang w:val="fr-CA"/>
        </w:rPr>
        <w:lastRenderedPageBreak/>
        <w:t xml:space="preserve">Répertorié : R. </w:t>
      </w:r>
      <w:r w:rsidRPr="000A6A02">
        <w:rPr>
          <w:b/>
          <w:i/>
          <w:lang w:val="fr-CA"/>
        </w:rPr>
        <w:t>c.</w:t>
      </w:r>
      <w:r w:rsidRPr="009C4027">
        <w:rPr>
          <w:b/>
          <w:lang w:val="fr-CA"/>
        </w:rPr>
        <w:t xml:space="preserve"> </w:t>
      </w:r>
      <w:r w:rsidR="009C4027">
        <w:rPr>
          <w:b/>
          <w:lang w:val="fr-CA"/>
        </w:rPr>
        <w:t>Neville</w:t>
      </w:r>
    </w:p>
    <w:p w:rsidR="004D7D95" w:rsidRPr="00795F86" w:rsidRDefault="00D17B0E" w:rsidP="009C4027">
      <w:pPr>
        <w:pStyle w:val="SCCSystemYear"/>
        <w:spacing w:after="720"/>
        <w:jc w:val="both"/>
        <w:rPr>
          <w:lang w:val="fr-CA"/>
        </w:rPr>
      </w:pPr>
      <w:r w:rsidRPr="00795F86">
        <w:rPr>
          <w:lang w:val="fr-CA"/>
        </w:rPr>
        <w:t>2015</w:t>
      </w:r>
      <w:r w:rsidR="004D7D95" w:rsidRPr="00795F86">
        <w:rPr>
          <w:lang w:val="fr-CA"/>
        </w:rPr>
        <w:t xml:space="preserve"> CSC </w:t>
      </w:r>
      <w:r w:rsidR="009C4027">
        <w:rPr>
          <w:lang w:val="fr-CA"/>
        </w:rPr>
        <w:t>49</w:t>
      </w:r>
    </w:p>
    <w:p w:rsidR="004D7D95" w:rsidRPr="00795F86" w:rsidRDefault="004D7D95" w:rsidP="009C4027">
      <w:pPr>
        <w:spacing w:after="720"/>
        <w:jc w:val="both"/>
        <w:rPr>
          <w:lang w:val="fr-CA"/>
        </w:rPr>
      </w:pPr>
      <w:r w:rsidRPr="00795F86">
        <w:rPr>
          <w:lang w:val="fr-CA"/>
        </w:rPr>
        <w:t>N</w:t>
      </w:r>
      <w:r w:rsidRPr="00795F86">
        <w:rPr>
          <w:vertAlign w:val="superscript"/>
          <w:lang w:val="fr-CA"/>
        </w:rPr>
        <w:t>o</w:t>
      </w:r>
      <w:r w:rsidRPr="00795F86">
        <w:rPr>
          <w:lang w:val="fr-CA"/>
        </w:rPr>
        <w:t xml:space="preserve"> du greffe : 364</w:t>
      </w:r>
      <w:r w:rsidR="009C4027">
        <w:rPr>
          <w:lang w:val="fr-CA"/>
        </w:rPr>
        <w:t>1</w:t>
      </w:r>
      <w:r w:rsidRPr="00795F86">
        <w:rPr>
          <w:lang w:val="fr-CA"/>
        </w:rPr>
        <w:t>2.</w:t>
      </w:r>
    </w:p>
    <w:p w:rsidR="004D7D95" w:rsidRPr="00795F86" w:rsidRDefault="00D17B0E" w:rsidP="009C4027">
      <w:pPr>
        <w:spacing w:after="720"/>
        <w:jc w:val="both"/>
        <w:rPr>
          <w:lang w:val="fr-CA"/>
        </w:rPr>
      </w:pPr>
      <w:r w:rsidRPr="00795F86">
        <w:rPr>
          <w:lang w:val="fr-CA"/>
        </w:rPr>
        <w:t>2015</w:t>
      </w:r>
      <w:r w:rsidR="009C4027">
        <w:rPr>
          <w:lang w:val="fr-CA"/>
        </w:rPr>
        <w:t> </w:t>
      </w:r>
      <w:r w:rsidRPr="00795F86">
        <w:rPr>
          <w:lang w:val="fr-CA"/>
        </w:rPr>
        <w:t>:</w:t>
      </w:r>
      <w:r w:rsidR="009C4027">
        <w:rPr>
          <w:lang w:val="fr-CA"/>
        </w:rPr>
        <w:t> 5</w:t>
      </w:r>
      <w:r w:rsidRPr="00795F86">
        <w:rPr>
          <w:lang w:val="fr-CA"/>
        </w:rPr>
        <w:t xml:space="preserve"> </w:t>
      </w:r>
      <w:r w:rsidR="009C4027">
        <w:rPr>
          <w:lang w:val="fr-CA"/>
        </w:rPr>
        <w:t>novem</w:t>
      </w:r>
      <w:r w:rsidRPr="00795F86">
        <w:rPr>
          <w:lang w:val="fr-CA"/>
        </w:rPr>
        <w:t>bre</w:t>
      </w:r>
      <w:r w:rsidR="00CE46A9">
        <w:rPr>
          <w:lang w:val="fr-CA"/>
        </w:rPr>
        <w:t>.</w:t>
      </w:r>
    </w:p>
    <w:p w:rsidR="004D7D95" w:rsidRPr="00795F86" w:rsidRDefault="004D7D95" w:rsidP="009C4027">
      <w:pPr>
        <w:spacing w:after="720"/>
        <w:jc w:val="both"/>
        <w:rPr>
          <w:lang w:val="fr-CA"/>
        </w:rPr>
      </w:pPr>
      <w:r w:rsidRPr="00795F86">
        <w:rPr>
          <w:lang w:val="fr-CA"/>
        </w:rPr>
        <w:t>Présents : L</w:t>
      </w:r>
      <w:r w:rsidR="009C4027">
        <w:rPr>
          <w:lang w:val="fr-CA"/>
        </w:rPr>
        <w:t>a juge en chef McLachlin et l</w:t>
      </w:r>
      <w:r w:rsidRPr="00795F86">
        <w:rPr>
          <w:lang w:val="fr-CA"/>
        </w:rPr>
        <w:t xml:space="preserve">es </w:t>
      </w:r>
      <w:r w:rsidRPr="009C4027">
        <w:rPr>
          <w:lang w:val="fr-CA"/>
        </w:rPr>
        <w:t>juges Abella, Moldaver, Côté et Brown.</w:t>
      </w:r>
    </w:p>
    <w:p w:rsidR="004D7D95" w:rsidRPr="0079570C" w:rsidRDefault="004D7D95" w:rsidP="009C4027">
      <w:pPr>
        <w:spacing w:after="720"/>
        <w:jc w:val="both"/>
        <w:rPr>
          <w:smallCaps/>
          <w:lang w:val="fr-CA"/>
        </w:rPr>
      </w:pPr>
      <w:r w:rsidRPr="0079570C">
        <w:rPr>
          <w:smallCaps/>
          <w:lang w:val="fr-CA"/>
        </w:rPr>
        <w:t xml:space="preserve">en appel de la </w:t>
      </w:r>
      <w:r w:rsidR="006657C6">
        <w:rPr>
          <w:smallCaps/>
          <w:lang w:val="fr-CA"/>
        </w:rPr>
        <w:t>cour d’</w:t>
      </w:r>
      <w:r w:rsidR="0079570C">
        <w:rPr>
          <w:smallCaps/>
          <w:lang w:val="fr-CA"/>
        </w:rPr>
        <w:t xml:space="preserve">appel de </w:t>
      </w:r>
      <w:r w:rsidR="00131E11">
        <w:rPr>
          <w:smallCaps/>
          <w:lang w:val="fr-CA"/>
        </w:rPr>
        <w:t>terre-neuve-et-l</w:t>
      </w:r>
      <w:r w:rsidR="00131E11" w:rsidRPr="00131E11">
        <w:rPr>
          <w:smallCaps/>
          <w:lang w:val="fr-CA"/>
        </w:rPr>
        <w:t>abrador</w:t>
      </w:r>
    </w:p>
    <w:p w:rsidR="004D7D95" w:rsidRPr="00006A32" w:rsidRDefault="004D7D95" w:rsidP="009C4027">
      <w:pPr>
        <w:pStyle w:val="SCCNormalDoubleSpacing"/>
        <w:spacing w:after="480"/>
        <w:rPr>
          <w:lang w:val="fr-CA"/>
        </w:rPr>
      </w:pPr>
      <w:r w:rsidRPr="00BB4C92">
        <w:rPr>
          <w:lang w:val="fr-CA"/>
        </w:rPr>
        <w:tab/>
      </w:r>
      <w:r w:rsidR="00006A32" w:rsidRPr="00006A32">
        <w:rPr>
          <w:i/>
          <w:lang w:val="fr-CA"/>
        </w:rPr>
        <w:t xml:space="preserve">Droit criminel — Jurés — Délibérations — </w:t>
      </w:r>
      <w:r w:rsidR="00DF1492">
        <w:rPr>
          <w:i/>
          <w:lang w:val="fr-CA"/>
        </w:rPr>
        <w:t xml:space="preserve">Accusé déclaré coupable de meurtre au </w:t>
      </w:r>
      <w:r w:rsidR="00011809">
        <w:rPr>
          <w:i/>
          <w:lang w:val="fr-CA"/>
        </w:rPr>
        <w:t xml:space="preserve">deuxième </w:t>
      </w:r>
      <w:r w:rsidR="00DF1492">
        <w:rPr>
          <w:i/>
          <w:lang w:val="fr-CA"/>
        </w:rPr>
        <w:t xml:space="preserve">degré et de tentative de meurtre </w:t>
      </w:r>
      <w:r w:rsidR="00DF1492" w:rsidRPr="00006A32">
        <w:rPr>
          <w:i/>
          <w:lang w:val="fr-CA"/>
        </w:rPr>
        <w:t xml:space="preserve"> —</w:t>
      </w:r>
      <w:r w:rsidR="00DF1492">
        <w:rPr>
          <w:i/>
          <w:lang w:val="fr-CA"/>
        </w:rPr>
        <w:t xml:space="preserve"> Conclusion erronée de la majorité de la Cour d’appel portant que l’omission du juge du procès d’obtenir des précisions sur la question du jury relativement à l’intention n’avait pas entraîné d’erreur </w:t>
      </w:r>
      <w:r w:rsidR="00DF1492" w:rsidRPr="00006A32">
        <w:rPr>
          <w:i/>
          <w:lang w:val="fr-CA"/>
        </w:rPr>
        <w:t xml:space="preserve"> — </w:t>
      </w:r>
      <w:r w:rsidR="00DF1492">
        <w:rPr>
          <w:i/>
          <w:lang w:val="fr-CA"/>
        </w:rPr>
        <w:t>Verdicts écartés et nouveau procès ordonné.</w:t>
      </w:r>
    </w:p>
    <w:p w:rsidR="004D7D95" w:rsidRPr="00E72620" w:rsidRDefault="004D7D95" w:rsidP="009C4027">
      <w:pPr>
        <w:pStyle w:val="SCCNormalDoubleSpacing"/>
        <w:spacing w:after="480"/>
        <w:rPr>
          <w:lang w:val="fr-CA"/>
        </w:rPr>
      </w:pPr>
      <w:r w:rsidRPr="00006A32">
        <w:rPr>
          <w:lang w:val="fr-CA"/>
        </w:rPr>
        <w:tab/>
      </w:r>
      <w:r w:rsidRPr="004D7D95">
        <w:rPr>
          <w:lang w:val="fr-CA"/>
        </w:rPr>
        <w:t xml:space="preserve">POURVOI contre un arrêt de la </w:t>
      </w:r>
      <w:r w:rsidR="00CC0234">
        <w:rPr>
          <w:lang w:val="fr-CA"/>
        </w:rPr>
        <w:t>Cour d’</w:t>
      </w:r>
      <w:r w:rsidRPr="00795F86">
        <w:rPr>
          <w:lang w:val="fr-CA"/>
        </w:rPr>
        <w:t>appel de</w:t>
      </w:r>
      <w:r w:rsidR="00480050">
        <w:rPr>
          <w:lang w:val="fr-CA"/>
        </w:rPr>
        <w:t xml:space="preserve"> Terre-Neuve-et-Labrador </w:t>
      </w:r>
      <w:r w:rsidR="00480050" w:rsidRPr="00480050">
        <w:rPr>
          <w:lang w:val="fr-CA"/>
        </w:rPr>
        <w:t>(</w:t>
      </w:r>
      <w:r w:rsidR="00480050">
        <w:rPr>
          <w:lang w:val="fr-CA"/>
        </w:rPr>
        <w:t xml:space="preserve">les juges </w:t>
      </w:r>
      <w:proofErr w:type="spellStart"/>
      <w:r w:rsidR="00480050">
        <w:rPr>
          <w:lang w:val="fr-CA"/>
        </w:rPr>
        <w:t>Welsh</w:t>
      </w:r>
      <w:proofErr w:type="spellEnd"/>
      <w:r w:rsidR="00480050">
        <w:rPr>
          <w:lang w:val="fr-CA"/>
        </w:rPr>
        <w:t>, Rowe et</w:t>
      </w:r>
      <w:r w:rsidR="00480050" w:rsidRPr="00480050">
        <w:rPr>
          <w:lang w:val="fr-CA"/>
        </w:rPr>
        <w:t xml:space="preserve"> Barry), 2015 NLCA 16, 365 </w:t>
      </w:r>
      <w:proofErr w:type="spellStart"/>
      <w:r w:rsidR="00480050" w:rsidRPr="00480050">
        <w:rPr>
          <w:lang w:val="fr-CA"/>
        </w:rPr>
        <w:t>Nfld</w:t>
      </w:r>
      <w:proofErr w:type="spellEnd"/>
      <w:r w:rsidR="00480050" w:rsidRPr="00480050">
        <w:rPr>
          <w:lang w:val="fr-CA"/>
        </w:rPr>
        <w:t xml:space="preserve">. &amp; P.E.I.R. 1, 1138 A.P.R. 1, 322 C.C.C. (3d) 480, [2015] N.J. No. 115 (QL), 2015 </w:t>
      </w:r>
      <w:proofErr w:type="spellStart"/>
      <w:r w:rsidR="00480050" w:rsidRPr="00480050">
        <w:rPr>
          <w:lang w:val="fr-CA"/>
        </w:rPr>
        <w:t>CarswellNfld</w:t>
      </w:r>
      <w:proofErr w:type="spellEnd"/>
      <w:r w:rsidR="00480050" w:rsidRPr="00480050">
        <w:rPr>
          <w:lang w:val="fr-CA"/>
        </w:rPr>
        <w:t xml:space="preserve"> 98 (WL Can.), qui a confirmé l</w:t>
      </w:r>
      <w:r w:rsidR="00AF07BF">
        <w:rPr>
          <w:lang w:val="fr-CA"/>
        </w:rPr>
        <w:t>es</w:t>
      </w:r>
      <w:r w:rsidR="00480050" w:rsidRPr="00480050">
        <w:rPr>
          <w:lang w:val="fr-CA"/>
        </w:rPr>
        <w:t xml:space="preserve"> déclaration</w:t>
      </w:r>
      <w:r w:rsidR="00AF07BF">
        <w:rPr>
          <w:lang w:val="fr-CA"/>
        </w:rPr>
        <w:t>s</w:t>
      </w:r>
      <w:r w:rsidR="00480050" w:rsidRPr="00480050">
        <w:rPr>
          <w:lang w:val="fr-CA"/>
        </w:rPr>
        <w:t xml:space="preserve"> de culpabilité </w:t>
      </w:r>
      <w:r w:rsidR="00BE556E">
        <w:rPr>
          <w:lang w:val="fr-CA"/>
        </w:rPr>
        <w:t>pour</w:t>
      </w:r>
      <w:r w:rsidR="00480050" w:rsidRPr="00480050">
        <w:rPr>
          <w:lang w:val="fr-CA"/>
        </w:rPr>
        <w:t xml:space="preserve"> meurtre au deuxième degré</w:t>
      </w:r>
      <w:r w:rsidR="00AF07BF">
        <w:rPr>
          <w:lang w:val="fr-CA"/>
        </w:rPr>
        <w:t xml:space="preserve"> et </w:t>
      </w:r>
      <w:r w:rsidR="00BE556E">
        <w:rPr>
          <w:lang w:val="fr-CA"/>
        </w:rPr>
        <w:t>pour</w:t>
      </w:r>
      <w:r w:rsidR="00AF07BF">
        <w:rPr>
          <w:lang w:val="fr-CA"/>
        </w:rPr>
        <w:t xml:space="preserve"> </w:t>
      </w:r>
      <w:r w:rsidR="00AF07BF" w:rsidRPr="00AF07BF">
        <w:rPr>
          <w:lang w:val="fr-CA"/>
        </w:rPr>
        <w:t>tentative de meurtre</w:t>
      </w:r>
      <w:r w:rsidR="00480050" w:rsidRPr="00480050">
        <w:rPr>
          <w:lang w:val="fr-CA"/>
        </w:rPr>
        <w:t xml:space="preserve"> prononcée</w:t>
      </w:r>
      <w:r w:rsidR="00AF07BF">
        <w:rPr>
          <w:lang w:val="fr-CA"/>
        </w:rPr>
        <w:t>s</w:t>
      </w:r>
      <w:r w:rsidR="00480050" w:rsidRPr="00480050">
        <w:rPr>
          <w:lang w:val="fr-CA"/>
        </w:rPr>
        <w:t xml:space="preserve"> contre l’accusé. </w:t>
      </w:r>
      <w:r w:rsidR="003E68D3">
        <w:rPr>
          <w:lang w:val="fr-CA"/>
        </w:rPr>
        <w:t>Pourvoi accueilli.</w:t>
      </w:r>
    </w:p>
    <w:p w:rsidR="006155B4" w:rsidRPr="000C28E3" w:rsidRDefault="009C4027" w:rsidP="009C4027">
      <w:pPr>
        <w:pStyle w:val="SCCNormalDoubleSpacing"/>
        <w:spacing w:after="480"/>
        <w:rPr>
          <w:lang w:val="fr-CA"/>
        </w:rPr>
      </w:pPr>
      <w:r>
        <w:rPr>
          <w:rStyle w:val="SCCCounselNameChar"/>
          <w:i w:val="0"/>
          <w:lang w:val="fr-CA"/>
        </w:rPr>
        <w:tab/>
      </w:r>
      <w:r w:rsidR="006657C6" w:rsidRPr="000C28E3">
        <w:rPr>
          <w:rStyle w:val="SCCCounselNameChar"/>
          <w:lang w:val="fr-CA"/>
        </w:rPr>
        <w:t>De</w:t>
      </w:r>
      <w:r>
        <w:rPr>
          <w:rStyle w:val="SCCCounselNameChar"/>
          <w:lang w:val="fr-CA"/>
        </w:rPr>
        <w:t xml:space="preserve">rek </w:t>
      </w:r>
      <w:proofErr w:type="spellStart"/>
      <w:r>
        <w:rPr>
          <w:rStyle w:val="SCCCounselNameChar"/>
          <w:lang w:val="fr-CA"/>
        </w:rPr>
        <w:t>Hogan</w:t>
      </w:r>
      <w:proofErr w:type="spellEnd"/>
      <w:r w:rsidR="00CC0234" w:rsidRPr="000C28E3">
        <w:rPr>
          <w:rStyle w:val="SCCCounselPartyRoleChar"/>
          <w:lang w:val="fr-CA"/>
        </w:rPr>
        <w:t>, pour l’</w:t>
      </w:r>
      <w:r w:rsidR="006657C6" w:rsidRPr="000C28E3">
        <w:rPr>
          <w:rStyle w:val="SCCCounselPartyRoleChar"/>
          <w:lang w:val="fr-CA"/>
        </w:rPr>
        <w:t>appelant</w:t>
      </w:r>
      <w:r w:rsidR="00787886" w:rsidRPr="000C28E3">
        <w:rPr>
          <w:rStyle w:val="SCCCounselPartyRoleChar"/>
          <w:lang w:val="fr-CA"/>
        </w:rPr>
        <w:t>.</w:t>
      </w:r>
    </w:p>
    <w:p w:rsidR="006155B4" w:rsidRPr="00795F86" w:rsidRDefault="009C4027" w:rsidP="004B69F5">
      <w:pPr>
        <w:pStyle w:val="SCCNormalDoubleSpacing"/>
        <w:spacing w:after="480"/>
        <w:rPr>
          <w:lang w:val="fr-CA"/>
        </w:rPr>
      </w:pPr>
      <w:r>
        <w:rPr>
          <w:rStyle w:val="SCCCounselNameChar"/>
          <w:i w:val="0"/>
          <w:lang w:val="fr-CA"/>
        </w:rPr>
        <w:lastRenderedPageBreak/>
        <w:tab/>
      </w:r>
      <w:r w:rsidRPr="009C4027">
        <w:rPr>
          <w:rStyle w:val="SCCCounselNameChar"/>
          <w:lang w:val="fr-CA"/>
        </w:rPr>
        <w:t>Lloyd M. Strickland</w:t>
      </w:r>
      <w:r w:rsidR="00787886">
        <w:rPr>
          <w:rStyle w:val="SCCCounselPartyRoleChar"/>
          <w:lang w:val="fr-CA"/>
        </w:rPr>
        <w:t>, pour l’intimé</w:t>
      </w:r>
      <w:r w:rsidR="006657C6" w:rsidRPr="00795F86">
        <w:rPr>
          <w:rStyle w:val="SCCCounselPartyRoleChar"/>
          <w:lang w:val="fr-CA"/>
        </w:rPr>
        <w:t>e.</w:t>
      </w:r>
    </w:p>
    <w:p w:rsidR="00746568" w:rsidRPr="00E81B60" w:rsidRDefault="00746568" w:rsidP="007F40D8">
      <w:pPr>
        <w:pStyle w:val="SCCNormalDoubleSpacing"/>
        <w:spacing w:after="480"/>
        <w:rPr>
          <w:szCs w:val="24"/>
          <w:lang w:val="fr-CA"/>
        </w:rPr>
      </w:pPr>
      <w:r>
        <w:rPr>
          <w:lang w:val="fr-CA"/>
        </w:rPr>
        <w:tab/>
      </w:r>
      <w:r w:rsidR="007F40D8">
        <w:rPr>
          <w:rStyle w:val="SCCCounselPartyRoleChar"/>
          <w:lang w:val="fr-CA"/>
        </w:rPr>
        <w:t>Version française du jugement de la Cour rendu oralement par</w:t>
      </w:r>
    </w:p>
    <w:p w:rsidR="00746568" w:rsidRDefault="00147FE2" w:rsidP="004B69F5">
      <w:pPr>
        <w:pStyle w:val="ParaNoNdepar-AltN"/>
        <w:numPr>
          <w:ilvl w:val="0"/>
          <w:numId w:val="1"/>
        </w:numPr>
        <w:rPr>
          <w:rFonts w:cs="Times New Roman"/>
          <w:lang w:val="fr-CA"/>
        </w:rPr>
      </w:pPr>
      <w:r w:rsidRPr="00003AD9">
        <w:rPr>
          <w:rFonts w:cs="Times New Roman"/>
          <w:smallCaps/>
          <w:lang w:val="fr-CA"/>
        </w:rPr>
        <w:t>La</w:t>
      </w:r>
      <w:r w:rsidRPr="00003AD9">
        <w:rPr>
          <w:smallCaps/>
          <w:lang w:val="fr-CA"/>
        </w:rPr>
        <w:t xml:space="preserve"> </w:t>
      </w:r>
      <w:r w:rsidR="00003AD9" w:rsidRPr="00003AD9">
        <w:rPr>
          <w:smallCaps/>
          <w:lang w:val="fr-CA"/>
        </w:rPr>
        <w:t>J</w:t>
      </w:r>
      <w:r w:rsidRPr="00003AD9">
        <w:rPr>
          <w:rFonts w:cs="Times New Roman"/>
          <w:smallCaps/>
          <w:lang w:val="fr-CA"/>
        </w:rPr>
        <w:t xml:space="preserve">uge </w:t>
      </w:r>
      <w:r w:rsidR="009C4027" w:rsidRPr="00003AD9">
        <w:rPr>
          <w:rFonts w:cs="Times New Roman"/>
          <w:smallCaps/>
          <w:lang w:val="fr-CA"/>
        </w:rPr>
        <w:t>en chef</w:t>
      </w:r>
      <w:r w:rsidRPr="00003AD9">
        <w:rPr>
          <w:rFonts w:cs="Times New Roman"/>
          <w:lang w:val="fr-CA"/>
        </w:rPr>
        <w:t xml:space="preserve"> — </w:t>
      </w:r>
      <w:r w:rsidR="005135BA" w:rsidRPr="005135BA">
        <w:rPr>
          <w:rFonts w:cs="Times New Roman"/>
          <w:lang w:val="fr-CA"/>
        </w:rPr>
        <w:t>Il s’agit en l’espèce d’un appel de plein droit. Nous sommes d’avis d’accueillir cet appel.</w:t>
      </w:r>
    </w:p>
    <w:p w:rsidR="005135BA" w:rsidRDefault="005135BA" w:rsidP="004B69F5">
      <w:pPr>
        <w:pStyle w:val="ParaNoNdepar-AltN"/>
        <w:numPr>
          <w:ilvl w:val="0"/>
          <w:numId w:val="1"/>
        </w:numPr>
        <w:rPr>
          <w:rFonts w:cs="Times New Roman"/>
          <w:lang w:val="fr-CA"/>
        </w:rPr>
      </w:pPr>
      <w:r w:rsidRPr="005135BA">
        <w:rPr>
          <w:rFonts w:cs="Times New Roman"/>
          <w:lang w:val="fr-CA"/>
        </w:rPr>
        <w:t xml:space="preserve">Dans sa dernière question, le jury a demandé  au juge de lui expliquer la distinction entre les mots anglais « </w:t>
      </w:r>
      <w:r w:rsidRPr="005135BA">
        <w:rPr>
          <w:rFonts w:cs="Times New Roman"/>
          <w:i/>
          <w:lang w:val="fr-CA"/>
        </w:rPr>
        <w:t xml:space="preserve">to </w:t>
      </w:r>
      <w:proofErr w:type="spellStart"/>
      <w:r w:rsidRPr="005135BA">
        <w:rPr>
          <w:rFonts w:cs="Times New Roman"/>
          <w:i/>
          <w:lang w:val="fr-CA"/>
        </w:rPr>
        <w:t>kill</w:t>
      </w:r>
      <w:proofErr w:type="spellEnd"/>
      <w:r w:rsidRPr="005135BA">
        <w:rPr>
          <w:rFonts w:cs="Times New Roman"/>
          <w:lang w:val="fr-CA"/>
        </w:rPr>
        <w:t xml:space="preserve"> » (tuer) et « </w:t>
      </w:r>
      <w:r w:rsidRPr="005135BA">
        <w:rPr>
          <w:rFonts w:cs="Times New Roman"/>
          <w:i/>
          <w:lang w:val="fr-CA"/>
        </w:rPr>
        <w:t xml:space="preserve">to </w:t>
      </w:r>
      <w:proofErr w:type="spellStart"/>
      <w:r w:rsidRPr="005135BA">
        <w:rPr>
          <w:rFonts w:cs="Times New Roman"/>
          <w:i/>
          <w:lang w:val="fr-CA"/>
        </w:rPr>
        <w:t>murder</w:t>
      </w:r>
      <w:proofErr w:type="spellEnd"/>
      <w:r w:rsidRPr="005135BA">
        <w:rPr>
          <w:rFonts w:cs="Times New Roman"/>
          <w:lang w:val="fr-CA"/>
        </w:rPr>
        <w:t xml:space="preserve"> » (commettre un meurtre). Cela se rapportait à la question de l’intention relativement aux accusations de meurtre et de tentative de meurtre. Le juge aurait dû faire préciser la nature de cette préoccupation, puis y répondre. Il s’est plutôt contenté de renvoyer les jurés aux instructions écrites qu’il leur avait fournies précédemment.</w:t>
      </w:r>
    </w:p>
    <w:p w:rsidR="005135BA" w:rsidRDefault="005135BA" w:rsidP="004B69F5">
      <w:pPr>
        <w:pStyle w:val="ParaNoNdepar-AltN"/>
        <w:numPr>
          <w:ilvl w:val="0"/>
          <w:numId w:val="1"/>
        </w:numPr>
        <w:rPr>
          <w:rFonts w:cs="Times New Roman"/>
          <w:lang w:val="fr-CA"/>
        </w:rPr>
      </w:pPr>
      <w:r w:rsidRPr="005135BA">
        <w:rPr>
          <w:rFonts w:cs="Times New Roman"/>
          <w:lang w:val="fr-CA"/>
        </w:rPr>
        <w:t>Considérant le dossier dans son ensemble, nous sommes convaincus qu’il existe une possibilité que les jurés aient pu se méprendre sur les éléments qui devaient être prouvés afin qu’ils puissent prononcer des verdicts de culpabilité. À cet égard, nous soulignons que la Couronne a concédé le fait que l’arborescence décisionnelle remise au jury était erronée quant à la question de la provocation.</w:t>
      </w:r>
    </w:p>
    <w:p w:rsidR="005135BA" w:rsidRDefault="005135BA" w:rsidP="004B69F5">
      <w:pPr>
        <w:pStyle w:val="ParaNoNdepar-AltN"/>
        <w:numPr>
          <w:ilvl w:val="0"/>
          <w:numId w:val="1"/>
        </w:numPr>
        <w:rPr>
          <w:rFonts w:cs="Times New Roman"/>
          <w:lang w:val="fr-CA"/>
        </w:rPr>
      </w:pPr>
      <w:r w:rsidRPr="005135BA">
        <w:rPr>
          <w:rFonts w:cs="Times New Roman"/>
          <w:lang w:val="fr-CA"/>
        </w:rPr>
        <w:t>La preuve n’est pas accablante au point de nous permettre de conclure que l’erreur n’a eu aucune incidence sur les verdicts.</w:t>
      </w:r>
    </w:p>
    <w:p w:rsidR="005135BA" w:rsidRPr="00003AD9" w:rsidRDefault="005135BA" w:rsidP="004B69F5">
      <w:pPr>
        <w:pStyle w:val="ParaNoNdepar-AltN"/>
        <w:numPr>
          <w:ilvl w:val="0"/>
          <w:numId w:val="1"/>
        </w:numPr>
        <w:rPr>
          <w:rFonts w:cs="Times New Roman"/>
          <w:lang w:val="fr-CA"/>
        </w:rPr>
      </w:pPr>
      <w:r w:rsidRPr="005135BA">
        <w:rPr>
          <w:rFonts w:cs="Times New Roman"/>
          <w:lang w:val="fr-CA"/>
        </w:rPr>
        <w:lastRenderedPageBreak/>
        <w:t>L’appel est accueilli, les verdicts sont écartés et un nouveau procès est ordonné à l’égard des deux accusations.</w:t>
      </w:r>
    </w:p>
    <w:p w:rsidR="004D7D95" w:rsidRPr="00795F86" w:rsidRDefault="006657C6" w:rsidP="00746568">
      <w:pPr>
        <w:pStyle w:val="SCCLawFirm"/>
        <w:spacing w:after="480"/>
        <w:rPr>
          <w:lang w:val="fr-CA"/>
        </w:rPr>
      </w:pPr>
      <w:r w:rsidRPr="00795F86">
        <w:rPr>
          <w:lang w:val="fr-CA"/>
        </w:rPr>
        <w:tab/>
      </w:r>
      <w:r w:rsidR="00BF7CB7">
        <w:rPr>
          <w:lang w:val="fr-CA"/>
        </w:rPr>
        <w:t>Jugement en conséquence.</w:t>
      </w:r>
    </w:p>
    <w:p w:rsidR="006155B4" w:rsidRPr="00FB3066" w:rsidRDefault="006657C6" w:rsidP="009C0495">
      <w:pPr>
        <w:pStyle w:val="SCCLawFirm"/>
        <w:widowControl w:val="0"/>
        <w:spacing w:after="480"/>
        <w:rPr>
          <w:lang w:val="fr-CA"/>
        </w:rPr>
      </w:pPr>
      <w:r w:rsidRPr="00FB3066">
        <w:rPr>
          <w:lang w:val="fr-CA"/>
        </w:rPr>
        <w:tab/>
        <w:t>Procureur</w:t>
      </w:r>
      <w:r w:rsidR="00EA3CF9" w:rsidRPr="00FB3066">
        <w:rPr>
          <w:lang w:val="fr-CA"/>
        </w:rPr>
        <w:t xml:space="preserve"> de l’</w:t>
      </w:r>
      <w:r w:rsidRPr="00FB3066">
        <w:rPr>
          <w:lang w:val="fr-CA"/>
        </w:rPr>
        <w:t xml:space="preserve">appelant : </w:t>
      </w:r>
      <w:r w:rsidR="009C4027" w:rsidRPr="00FB3066">
        <w:rPr>
          <w:lang w:val="fr-CA"/>
        </w:rPr>
        <w:t xml:space="preserve">Newfoundland and Labrador </w:t>
      </w:r>
      <w:proofErr w:type="spellStart"/>
      <w:r w:rsidR="009C4027" w:rsidRPr="00FB3066">
        <w:rPr>
          <w:lang w:val="fr-CA"/>
        </w:rPr>
        <w:t>Legal</w:t>
      </w:r>
      <w:proofErr w:type="spellEnd"/>
      <w:r w:rsidR="009C4027" w:rsidRPr="00FB3066">
        <w:rPr>
          <w:lang w:val="fr-CA"/>
        </w:rPr>
        <w:t xml:space="preserve"> </w:t>
      </w:r>
      <w:proofErr w:type="spellStart"/>
      <w:r w:rsidR="009C4027" w:rsidRPr="00FB3066">
        <w:rPr>
          <w:lang w:val="fr-CA"/>
        </w:rPr>
        <w:t>Aid</w:t>
      </w:r>
      <w:proofErr w:type="spellEnd"/>
      <w:r w:rsidR="009C4027" w:rsidRPr="00FB3066">
        <w:rPr>
          <w:lang w:val="fr-CA"/>
        </w:rPr>
        <w:t xml:space="preserve"> Commission, St. John’s</w:t>
      </w:r>
      <w:r w:rsidRPr="00FB3066">
        <w:rPr>
          <w:lang w:val="fr-CA"/>
        </w:rPr>
        <w:t>.</w:t>
      </w:r>
    </w:p>
    <w:p w:rsidR="006155B4" w:rsidRPr="00FF2937" w:rsidRDefault="006657C6" w:rsidP="009C4027">
      <w:pPr>
        <w:pStyle w:val="SCCLawFirm"/>
        <w:spacing w:after="480"/>
        <w:rPr>
          <w:lang w:val="fr-CA"/>
        </w:rPr>
      </w:pPr>
      <w:r w:rsidRPr="00FB3066">
        <w:rPr>
          <w:lang w:val="fr-CA"/>
        </w:rPr>
        <w:tab/>
      </w:r>
      <w:r w:rsidR="00FF2937" w:rsidRPr="00FF2937">
        <w:rPr>
          <w:lang w:val="fr-CA"/>
        </w:rPr>
        <w:t>Procureur de l’</w:t>
      </w:r>
      <w:r w:rsidRPr="00FF2937">
        <w:rPr>
          <w:lang w:val="fr-CA"/>
        </w:rPr>
        <w:t>intimé</w:t>
      </w:r>
      <w:r w:rsidR="00FF2937" w:rsidRPr="00FF2937">
        <w:rPr>
          <w:lang w:val="fr-CA"/>
        </w:rPr>
        <w:t>e</w:t>
      </w:r>
      <w:r w:rsidRPr="00FF2937">
        <w:rPr>
          <w:lang w:val="fr-CA"/>
        </w:rPr>
        <w:t xml:space="preserve"> : </w:t>
      </w:r>
      <w:r w:rsidR="009C4027" w:rsidRPr="009C4027">
        <w:rPr>
          <w:lang w:val="fr-CA"/>
        </w:rPr>
        <w:t>Procureur général de Terre-Neuve-et-Labrador, St. John</w:t>
      </w:r>
      <w:r w:rsidR="009C4027">
        <w:rPr>
          <w:lang w:val="fr-CA"/>
        </w:rPr>
        <w:t>’s</w:t>
      </w:r>
      <w:r w:rsidRPr="00FF2937">
        <w:rPr>
          <w:lang w:val="fr-CA"/>
        </w:rPr>
        <w:t>.</w:t>
      </w:r>
    </w:p>
    <w:sectPr w:rsidR="006155B4" w:rsidRPr="00FF293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37" w:rsidRDefault="00FF2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37" w:rsidRDefault="00FF2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37" w:rsidRDefault="00FF2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37" w:rsidRDefault="00FF2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37" w:rsidRDefault="00FF2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AD9"/>
    <w:rsid w:val="00006A32"/>
    <w:rsid w:val="00011809"/>
    <w:rsid w:val="00023FC7"/>
    <w:rsid w:val="00025198"/>
    <w:rsid w:val="000578A3"/>
    <w:rsid w:val="000648CC"/>
    <w:rsid w:val="000A6A02"/>
    <w:rsid w:val="000C28E3"/>
    <w:rsid w:val="000C59B8"/>
    <w:rsid w:val="000C6AF0"/>
    <w:rsid w:val="000D0A77"/>
    <w:rsid w:val="000F7993"/>
    <w:rsid w:val="00104F33"/>
    <w:rsid w:val="00111DE2"/>
    <w:rsid w:val="00116B38"/>
    <w:rsid w:val="00131E11"/>
    <w:rsid w:val="00135406"/>
    <w:rsid w:val="00135972"/>
    <w:rsid w:val="001426A9"/>
    <w:rsid w:val="00147FE2"/>
    <w:rsid w:val="00154D7C"/>
    <w:rsid w:val="00156CE1"/>
    <w:rsid w:val="001570B0"/>
    <w:rsid w:val="0015752C"/>
    <w:rsid w:val="00157737"/>
    <w:rsid w:val="00165277"/>
    <w:rsid w:val="00170592"/>
    <w:rsid w:val="001720F7"/>
    <w:rsid w:val="00195D83"/>
    <w:rsid w:val="001A00C1"/>
    <w:rsid w:val="001B33E0"/>
    <w:rsid w:val="001B4573"/>
    <w:rsid w:val="001C779F"/>
    <w:rsid w:val="001D2AC1"/>
    <w:rsid w:val="001D4E88"/>
    <w:rsid w:val="00220FC2"/>
    <w:rsid w:val="002222F4"/>
    <w:rsid w:val="00224FC0"/>
    <w:rsid w:val="00225EA4"/>
    <w:rsid w:val="00226EAF"/>
    <w:rsid w:val="00231F3A"/>
    <w:rsid w:val="002406EE"/>
    <w:rsid w:val="00243EC8"/>
    <w:rsid w:val="00270D93"/>
    <w:rsid w:val="002745CC"/>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A125D"/>
    <w:rsid w:val="003A4C70"/>
    <w:rsid w:val="003B215F"/>
    <w:rsid w:val="003C799C"/>
    <w:rsid w:val="003D0399"/>
    <w:rsid w:val="003E12A6"/>
    <w:rsid w:val="003E1C71"/>
    <w:rsid w:val="003E68D3"/>
    <w:rsid w:val="003F327B"/>
    <w:rsid w:val="00400F03"/>
    <w:rsid w:val="00406166"/>
    <w:rsid w:val="0040704B"/>
    <w:rsid w:val="00410A55"/>
    <w:rsid w:val="00411300"/>
    <w:rsid w:val="00413F17"/>
    <w:rsid w:val="00415417"/>
    <w:rsid w:val="00426659"/>
    <w:rsid w:val="00450352"/>
    <w:rsid w:val="00454BDB"/>
    <w:rsid w:val="00465132"/>
    <w:rsid w:val="00475C11"/>
    <w:rsid w:val="00480050"/>
    <w:rsid w:val="00480C90"/>
    <w:rsid w:val="0048396F"/>
    <w:rsid w:val="00493C18"/>
    <w:rsid w:val="004A600C"/>
    <w:rsid w:val="004A6118"/>
    <w:rsid w:val="004B69F5"/>
    <w:rsid w:val="004C478D"/>
    <w:rsid w:val="004D1F88"/>
    <w:rsid w:val="004D7D95"/>
    <w:rsid w:val="004E1BE1"/>
    <w:rsid w:val="004E2C26"/>
    <w:rsid w:val="00503A00"/>
    <w:rsid w:val="005125A8"/>
    <w:rsid w:val="005135BA"/>
    <w:rsid w:val="00517549"/>
    <w:rsid w:val="00520ABC"/>
    <w:rsid w:val="00521AE8"/>
    <w:rsid w:val="00527180"/>
    <w:rsid w:val="00555291"/>
    <w:rsid w:val="00566AD1"/>
    <w:rsid w:val="00583EDE"/>
    <w:rsid w:val="005A6079"/>
    <w:rsid w:val="005E4698"/>
    <w:rsid w:val="005E5849"/>
    <w:rsid w:val="00603924"/>
    <w:rsid w:val="00610539"/>
    <w:rsid w:val="00613969"/>
    <w:rsid w:val="006155B4"/>
    <w:rsid w:val="00625C35"/>
    <w:rsid w:val="00647E49"/>
    <w:rsid w:val="00656313"/>
    <w:rsid w:val="006565F4"/>
    <w:rsid w:val="006657C6"/>
    <w:rsid w:val="00684EEA"/>
    <w:rsid w:val="0069689B"/>
    <w:rsid w:val="006B5FF5"/>
    <w:rsid w:val="006F30AF"/>
    <w:rsid w:val="00701759"/>
    <w:rsid w:val="00705C15"/>
    <w:rsid w:val="007110F6"/>
    <w:rsid w:val="007208D1"/>
    <w:rsid w:val="00744518"/>
    <w:rsid w:val="00746568"/>
    <w:rsid w:val="00747288"/>
    <w:rsid w:val="00747DD3"/>
    <w:rsid w:val="007549C8"/>
    <w:rsid w:val="00761BBF"/>
    <w:rsid w:val="00766D14"/>
    <w:rsid w:val="00767A0F"/>
    <w:rsid w:val="00787886"/>
    <w:rsid w:val="00791272"/>
    <w:rsid w:val="0079570C"/>
    <w:rsid w:val="00795F86"/>
    <w:rsid w:val="007A05F6"/>
    <w:rsid w:val="007B6F4A"/>
    <w:rsid w:val="007E1C47"/>
    <w:rsid w:val="007E337A"/>
    <w:rsid w:val="007E5C70"/>
    <w:rsid w:val="007F2FF5"/>
    <w:rsid w:val="007F3F08"/>
    <w:rsid w:val="007F40D8"/>
    <w:rsid w:val="00804CC6"/>
    <w:rsid w:val="00817190"/>
    <w:rsid w:val="008260E2"/>
    <w:rsid w:val="008322BD"/>
    <w:rsid w:val="00834F73"/>
    <w:rsid w:val="00864C8A"/>
    <w:rsid w:val="00864CF8"/>
    <w:rsid w:val="00874914"/>
    <w:rsid w:val="00891422"/>
    <w:rsid w:val="00892E1A"/>
    <w:rsid w:val="008B660A"/>
    <w:rsid w:val="008C01DA"/>
    <w:rsid w:val="008F2674"/>
    <w:rsid w:val="008F78E9"/>
    <w:rsid w:val="009179F9"/>
    <w:rsid w:val="00917C7A"/>
    <w:rsid w:val="00933E5E"/>
    <w:rsid w:val="00935218"/>
    <w:rsid w:val="00937C52"/>
    <w:rsid w:val="009403F3"/>
    <w:rsid w:val="009555B7"/>
    <w:rsid w:val="009567AA"/>
    <w:rsid w:val="009602C9"/>
    <w:rsid w:val="00967374"/>
    <w:rsid w:val="009A343A"/>
    <w:rsid w:val="009B2F23"/>
    <w:rsid w:val="009B57B3"/>
    <w:rsid w:val="009C0495"/>
    <w:rsid w:val="009C4027"/>
    <w:rsid w:val="009D2920"/>
    <w:rsid w:val="009D5AEB"/>
    <w:rsid w:val="009F0E33"/>
    <w:rsid w:val="00A149DF"/>
    <w:rsid w:val="00A1755C"/>
    <w:rsid w:val="00A21B90"/>
    <w:rsid w:val="00A22AAC"/>
    <w:rsid w:val="00A41805"/>
    <w:rsid w:val="00A51882"/>
    <w:rsid w:val="00A52AFB"/>
    <w:rsid w:val="00A548CB"/>
    <w:rsid w:val="00A5521C"/>
    <w:rsid w:val="00A643E7"/>
    <w:rsid w:val="00A73C38"/>
    <w:rsid w:val="00A921A7"/>
    <w:rsid w:val="00AB670D"/>
    <w:rsid w:val="00AF03C5"/>
    <w:rsid w:val="00AF07BF"/>
    <w:rsid w:val="00B000D8"/>
    <w:rsid w:val="00B00F75"/>
    <w:rsid w:val="00B145B6"/>
    <w:rsid w:val="00B279EB"/>
    <w:rsid w:val="00B50C81"/>
    <w:rsid w:val="00B557F8"/>
    <w:rsid w:val="00B815FC"/>
    <w:rsid w:val="00B93FBC"/>
    <w:rsid w:val="00BA7DA0"/>
    <w:rsid w:val="00BB2EE4"/>
    <w:rsid w:val="00BB4C92"/>
    <w:rsid w:val="00BC2108"/>
    <w:rsid w:val="00BD0E9E"/>
    <w:rsid w:val="00BD1BEC"/>
    <w:rsid w:val="00BD32FF"/>
    <w:rsid w:val="00BE556E"/>
    <w:rsid w:val="00BF6FE9"/>
    <w:rsid w:val="00BF7CB7"/>
    <w:rsid w:val="00C02092"/>
    <w:rsid w:val="00C2129E"/>
    <w:rsid w:val="00C24D91"/>
    <w:rsid w:val="00C26DB2"/>
    <w:rsid w:val="00C53F14"/>
    <w:rsid w:val="00C600CF"/>
    <w:rsid w:val="00C6084F"/>
    <w:rsid w:val="00C62A66"/>
    <w:rsid w:val="00C66359"/>
    <w:rsid w:val="00C71458"/>
    <w:rsid w:val="00C77613"/>
    <w:rsid w:val="00C828E7"/>
    <w:rsid w:val="00C86719"/>
    <w:rsid w:val="00C921DD"/>
    <w:rsid w:val="00CA6391"/>
    <w:rsid w:val="00CC0234"/>
    <w:rsid w:val="00CE036E"/>
    <w:rsid w:val="00CE3171"/>
    <w:rsid w:val="00CE46A9"/>
    <w:rsid w:val="00CF1601"/>
    <w:rsid w:val="00D0172F"/>
    <w:rsid w:val="00D01E33"/>
    <w:rsid w:val="00D068A7"/>
    <w:rsid w:val="00D17476"/>
    <w:rsid w:val="00D17B0E"/>
    <w:rsid w:val="00D32086"/>
    <w:rsid w:val="00D37A3F"/>
    <w:rsid w:val="00D4431D"/>
    <w:rsid w:val="00D4667A"/>
    <w:rsid w:val="00D63A1C"/>
    <w:rsid w:val="00D7516F"/>
    <w:rsid w:val="00D95F8E"/>
    <w:rsid w:val="00DA0590"/>
    <w:rsid w:val="00DC1739"/>
    <w:rsid w:val="00DC1788"/>
    <w:rsid w:val="00DE319C"/>
    <w:rsid w:val="00DF0CA8"/>
    <w:rsid w:val="00DF1492"/>
    <w:rsid w:val="00DF2B48"/>
    <w:rsid w:val="00DF49A7"/>
    <w:rsid w:val="00E07EE2"/>
    <w:rsid w:val="00E07FD1"/>
    <w:rsid w:val="00E24573"/>
    <w:rsid w:val="00E25E1E"/>
    <w:rsid w:val="00E27EE7"/>
    <w:rsid w:val="00E332FD"/>
    <w:rsid w:val="00E35404"/>
    <w:rsid w:val="00E45109"/>
    <w:rsid w:val="00E47B7A"/>
    <w:rsid w:val="00E56A44"/>
    <w:rsid w:val="00E60269"/>
    <w:rsid w:val="00E72620"/>
    <w:rsid w:val="00E97830"/>
    <w:rsid w:val="00EA3CF9"/>
    <w:rsid w:val="00EE0830"/>
    <w:rsid w:val="00EE6CB8"/>
    <w:rsid w:val="00EF0683"/>
    <w:rsid w:val="00EF7C35"/>
    <w:rsid w:val="00F0070C"/>
    <w:rsid w:val="00F00EB7"/>
    <w:rsid w:val="00F36AB6"/>
    <w:rsid w:val="00F37A09"/>
    <w:rsid w:val="00F409CE"/>
    <w:rsid w:val="00F4379D"/>
    <w:rsid w:val="00F50D2D"/>
    <w:rsid w:val="00F56C8B"/>
    <w:rsid w:val="00F62639"/>
    <w:rsid w:val="00F64369"/>
    <w:rsid w:val="00F66810"/>
    <w:rsid w:val="00F84DF4"/>
    <w:rsid w:val="00F85C97"/>
    <w:rsid w:val="00FB3066"/>
    <w:rsid w:val="00FB37D2"/>
    <w:rsid w:val="00FC4EFB"/>
    <w:rsid w:val="00FD068D"/>
    <w:rsid w:val="00FD4F28"/>
    <w:rsid w:val="00FE6784"/>
    <w:rsid w:val="00FE7A8B"/>
    <w:rsid w:val="00FF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147FE2"/>
    <w:pPr>
      <w:tabs>
        <w:tab w:val="num" w:pos="1242"/>
      </w:tabs>
      <w:spacing w:before="480" w:after="480" w:line="480" w:lineRule="auto"/>
      <w:ind w:left="90"/>
      <w:jc w:val="both"/>
    </w:pPr>
    <w:rPr>
      <w:rFonts w:eastAsiaTheme="minorEastAsia" w:cstheme="minorBidi"/>
      <w:sz w:val="24"/>
      <w:szCs w:val="22"/>
      <w:lang w:eastAsia="en-US"/>
    </w:rPr>
  </w:style>
  <w:style w:type="table" w:styleId="TableGrid">
    <w:name w:val="Table Grid"/>
    <w:basedOn w:val="TableNormal"/>
    <w:uiPriority w:val="59"/>
    <w:rsid w:val="003E12A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E12A6"/>
    <w:rPr>
      <w:rFonts w:ascii="Times New Roman" w:hAnsi="Times New Roman"/>
      <w:sz w:val="24"/>
      <w:szCs w:val="24"/>
      <w:lang w:val="fr-CA"/>
    </w:rPr>
  </w:style>
  <w:style w:type="paragraph" w:customStyle="1" w:styleId="SCCLsocPrefix">
    <w:name w:val="SCC.Lsoc.Prefix"/>
    <w:basedOn w:val="Normal"/>
    <w:next w:val="Normal"/>
    <w:link w:val="SCCLsocPrefixChar"/>
    <w:rsid w:val="003E12A6"/>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E12A6"/>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FB030-A773-4854-8ED4-0851D533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2015-10-21T12:33:00Z</dcterms:created>
  <dcterms:modified xsi:type="dcterms:W3CDTF">2016-02-26T14:09:00Z</dcterms:modified>
</cp:coreProperties>
</file>