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43" w:rsidRDefault="00251143" w:rsidP="0025114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8349232" r:id="rId9"/>
        </w:object>
      </w:r>
      <w:r>
        <w:t xml:space="preserve"> </w:t>
      </w:r>
      <w:r>
        <w:ptab w:relativeTo="margin" w:alignment="right" w:leader="none"/>
      </w:r>
    </w:p>
    <w:p w:rsidR="00251143" w:rsidRDefault="00251143" w:rsidP="00251143">
      <w:pPr>
        <w:pStyle w:val="Header"/>
      </w:pPr>
    </w:p>
    <w:p w:rsidR="00251143" w:rsidRPr="001E12E2" w:rsidRDefault="00251143" w:rsidP="00251143">
      <w:pPr>
        <w:jc w:val="center"/>
        <w:rPr>
          <w:b/>
        </w:rPr>
      </w:pPr>
      <w:r w:rsidRPr="001E12E2">
        <w:rPr>
          <w:b/>
        </w:rPr>
        <w:t>COUR SUPRÊME DU CANADA</w:t>
      </w:r>
    </w:p>
    <w:p w:rsidR="00251143" w:rsidRDefault="00251143" w:rsidP="0025114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51143" w:rsidRPr="001E12E2" w:rsidTr="003945DB">
        <w:trPr>
          <w:cantSplit/>
        </w:trPr>
        <w:tc>
          <w:tcPr>
            <w:tcW w:w="6768" w:type="dxa"/>
          </w:tcPr>
          <w:p w:rsidR="00251143" w:rsidRPr="00251143" w:rsidRDefault="00251143" w:rsidP="003945DB">
            <w:pPr>
              <w:rPr>
                <w:lang w:val="fr-CA"/>
              </w:rPr>
            </w:pPr>
            <w:r w:rsidRPr="00251143">
              <w:rPr>
                <w:b/>
                <w:smallCaps/>
                <w:lang w:val="fr-CA"/>
              </w:rPr>
              <w:t>Référence :</w:t>
            </w:r>
            <w:r w:rsidRPr="00251143">
              <w:rPr>
                <w:lang w:val="fr-CA"/>
              </w:rPr>
              <w:t xml:space="preserve"> R. </w:t>
            </w:r>
            <w:r w:rsidRPr="00251143">
              <w:rPr>
                <w:i/>
                <w:lang w:val="fr-CA"/>
              </w:rPr>
              <w:t>c.</w:t>
            </w:r>
            <w:r w:rsidRPr="00251143">
              <w:rPr>
                <w:lang w:val="fr-CA"/>
              </w:rPr>
              <w:t xml:space="preserve"> </w:t>
            </w:r>
            <w:proofErr w:type="spellStart"/>
            <w:r w:rsidRPr="00251143">
              <w:rPr>
                <w:lang w:val="fr-CA"/>
              </w:rPr>
              <w:t>Riesberry</w:t>
            </w:r>
            <w:proofErr w:type="spellEnd"/>
            <w:r w:rsidRPr="00251143">
              <w:rPr>
                <w:lang w:val="fr-CA"/>
              </w:rPr>
              <w:t>, 2015 CSC 65</w:t>
            </w:r>
            <w:r>
              <w:rPr>
                <w:lang w:val="fr-CA"/>
              </w:rPr>
              <w:t xml:space="preserve">, </w:t>
            </w:r>
            <w:bookmarkStart w:id="0" w:name="_GoBack"/>
            <w:bookmarkEnd w:id="0"/>
            <w:r w:rsidRPr="00251143">
              <w:rPr>
                <w:lang w:val="fr-CA"/>
              </w:rPr>
              <w:t>[2015] 3 R.C.S. 1167</w:t>
            </w:r>
          </w:p>
        </w:tc>
        <w:tc>
          <w:tcPr>
            <w:tcW w:w="2808" w:type="dxa"/>
          </w:tcPr>
          <w:p w:rsidR="00251143" w:rsidRPr="001E12E2" w:rsidRDefault="00251143" w:rsidP="003945DB">
            <w:r w:rsidRPr="001E12E2">
              <w:rPr>
                <w:b/>
                <w:smallCaps/>
              </w:rPr>
              <w:t>Date</w:t>
            </w:r>
            <w:r>
              <w:rPr>
                <w:b/>
                <w:smallCaps/>
              </w:rPr>
              <w:t> </w:t>
            </w:r>
            <w:r w:rsidRPr="00AE47A1">
              <w:rPr>
                <w:b/>
                <w:smallCaps/>
              </w:rPr>
              <w:t>:</w:t>
            </w:r>
            <w:r w:rsidRPr="00AE47A1">
              <w:t xml:space="preserve"> 2015</w:t>
            </w:r>
            <w:r>
              <w:t>1218</w:t>
            </w:r>
          </w:p>
          <w:p w:rsidR="00251143" w:rsidRPr="001E12E2" w:rsidRDefault="00251143" w:rsidP="003945DB">
            <w:r w:rsidRPr="001E12E2">
              <w:rPr>
                <w:b/>
                <w:smallCaps/>
              </w:rPr>
              <w:t>Do</w:t>
            </w:r>
            <w:r>
              <w:rPr>
                <w:b/>
                <w:smallCaps/>
              </w:rPr>
              <w:t>ssier :</w:t>
            </w:r>
            <w:r w:rsidRPr="001E12E2">
              <w:t xml:space="preserve"> </w:t>
            </w:r>
            <w:r>
              <w:t>36179</w:t>
            </w:r>
          </w:p>
        </w:tc>
      </w:tr>
    </w:tbl>
    <w:p w:rsidR="00251143" w:rsidRPr="001E12E2" w:rsidRDefault="00251143" w:rsidP="00251143"/>
    <w:p w:rsidR="00251143" w:rsidRDefault="00251143" w:rsidP="00251143">
      <w:pPr>
        <w:pStyle w:val="SCCLsocPrefix"/>
      </w:pPr>
      <w:r>
        <w:t>Entre :</w:t>
      </w:r>
    </w:p>
    <w:p w:rsidR="00251143" w:rsidRDefault="00251143" w:rsidP="00251143">
      <w:pPr>
        <w:pStyle w:val="SCCLsocParty"/>
        <w:jc w:val="center"/>
      </w:pPr>
      <w:r>
        <w:t xml:space="preserve">Derek </w:t>
      </w:r>
      <w:proofErr w:type="spellStart"/>
      <w:r>
        <w:t>Riesberry</w:t>
      </w:r>
      <w:proofErr w:type="spellEnd"/>
    </w:p>
    <w:p w:rsidR="00251143" w:rsidRDefault="00251143" w:rsidP="00251143">
      <w:pPr>
        <w:jc w:val="center"/>
      </w:pPr>
      <w:proofErr w:type="spellStart"/>
      <w:r>
        <w:t>Appelant</w:t>
      </w:r>
      <w:proofErr w:type="spellEnd"/>
    </w:p>
    <w:p w:rsidR="00251143" w:rsidRPr="00251143" w:rsidRDefault="00251143" w:rsidP="00251143">
      <w:pPr>
        <w:pStyle w:val="SCCLsocVersus"/>
        <w:spacing w:after="0"/>
        <w:jc w:val="center"/>
        <w:rPr>
          <w:i w:val="0"/>
          <w:lang w:val="fr-CA"/>
        </w:rPr>
      </w:pPr>
      <w:proofErr w:type="gramStart"/>
      <w:r w:rsidRPr="00251143">
        <w:rPr>
          <w:i w:val="0"/>
          <w:lang w:val="fr-CA"/>
        </w:rPr>
        <w:t>et</w:t>
      </w:r>
      <w:proofErr w:type="gramEnd"/>
    </w:p>
    <w:p w:rsidR="00251143" w:rsidRPr="00251143" w:rsidRDefault="00251143" w:rsidP="00251143">
      <w:pPr>
        <w:pStyle w:val="SCCLsocParty"/>
        <w:jc w:val="center"/>
        <w:rPr>
          <w:lang w:val="fr-CA"/>
        </w:rPr>
      </w:pPr>
      <w:r w:rsidRPr="00251143">
        <w:rPr>
          <w:lang w:val="fr-CA"/>
        </w:rPr>
        <w:t>Sa Majesté la Reine</w:t>
      </w:r>
    </w:p>
    <w:p w:rsidR="00251143" w:rsidRPr="00251143" w:rsidRDefault="00251143" w:rsidP="00251143">
      <w:pPr>
        <w:jc w:val="center"/>
        <w:rPr>
          <w:lang w:val="fr-CA"/>
        </w:rPr>
      </w:pPr>
      <w:r w:rsidRPr="00251143">
        <w:rPr>
          <w:lang w:val="fr-CA"/>
        </w:rPr>
        <w:t>Intimée</w:t>
      </w:r>
    </w:p>
    <w:p w:rsidR="00251143" w:rsidRPr="00251143" w:rsidRDefault="00251143" w:rsidP="00251143">
      <w:pPr>
        <w:rPr>
          <w:lang w:val="fr-CA"/>
        </w:rPr>
      </w:pPr>
    </w:p>
    <w:p w:rsidR="00251143" w:rsidRPr="00251143" w:rsidRDefault="00251143" w:rsidP="00251143">
      <w:pPr>
        <w:jc w:val="center"/>
        <w:rPr>
          <w:b/>
          <w:smallCaps/>
          <w:lang w:val="fr-CA"/>
        </w:rPr>
      </w:pPr>
      <w:r w:rsidRPr="00251143">
        <w:rPr>
          <w:b/>
          <w:smallCaps/>
          <w:lang w:val="fr-CA"/>
        </w:rPr>
        <w:t>Traduction française officielle</w:t>
      </w:r>
    </w:p>
    <w:p w:rsidR="00251143" w:rsidRPr="00251143" w:rsidRDefault="00251143" w:rsidP="00251143">
      <w:pPr>
        <w:rPr>
          <w:lang w:val="fr-CA"/>
        </w:rPr>
      </w:pPr>
    </w:p>
    <w:p w:rsidR="00251143" w:rsidRPr="00251143" w:rsidRDefault="00251143" w:rsidP="00251143">
      <w:pPr>
        <w:rPr>
          <w:lang w:val="fr-CA"/>
        </w:rPr>
      </w:pPr>
      <w:r w:rsidRPr="00251143">
        <w:rPr>
          <w:b/>
          <w:smallCaps/>
          <w:lang w:val="fr-CA"/>
        </w:rPr>
        <w:t>Coram :</w:t>
      </w:r>
      <w:r w:rsidRPr="00251143">
        <w:rPr>
          <w:lang w:val="fr-CA"/>
        </w:rPr>
        <w:t xml:space="preserve"> Les juges Cromwell, </w:t>
      </w:r>
      <w:proofErr w:type="spellStart"/>
      <w:r w:rsidRPr="00251143">
        <w:rPr>
          <w:lang w:val="fr-CA"/>
        </w:rPr>
        <w:t>Moldaver</w:t>
      </w:r>
      <w:proofErr w:type="spellEnd"/>
      <w:r w:rsidRPr="00251143">
        <w:rPr>
          <w:lang w:val="fr-CA"/>
        </w:rPr>
        <w:t xml:space="preserve">, </w:t>
      </w:r>
      <w:proofErr w:type="spellStart"/>
      <w:r w:rsidRPr="00251143">
        <w:rPr>
          <w:lang w:val="fr-CA"/>
        </w:rPr>
        <w:t>Karakatsanis</w:t>
      </w:r>
      <w:proofErr w:type="spellEnd"/>
      <w:r w:rsidRPr="00251143">
        <w:rPr>
          <w:lang w:val="fr-CA"/>
        </w:rPr>
        <w:t>, Wagner, Gascon, Côté et Brown</w:t>
      </w:r>
    </w:p>
    <w:p w:rsidR="00251143" w:rsidRPr="00251143" w:rsidRDefault="00251143" w:rsidP="0025114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51143" w:rsidRPr="00251143" w:rsidTr="003945DB">
        <w:trPr>
          <w:cantSplit/>
        </w:trPr>
        <w:tc>
          <w:tcPr>
            <w:tcW w:w="3618" w:type="dxa"/>
          </w:tcPr>
          <w:p w:rsidR="00251143" w:rsidRPr="00251143" w:rsidRDefault="00251143" w:rsidP="003945DB">
            <w:pPr>
              <w:rPr>
                <w:b/>
                <w:smallCaps/>
                <w:lang w:val="fr-CA"/>
              </w:rPr>
            </w:pPr>
            <w:r w:rsidRPr="00251143">
              <w:rPr>
                <w:b/>
                <w:smallCaps/>
                <w:lang w:val="fr-CA"/>
              </w:rPr>
              <w:t>Motifs de jugement :</w:t>
            </w:r>
          </w:p>
          <w:p w:rsidR="00251143" w:rsidRPr="00251143" w:rsidRDefault="00251143" w:rsidP="003945DB">
            <w:pPr>
              <w:rPr>
                <w:b/>
                <w:smallCaps/>
                <w:lang w:val="fr-CA"/>
              </w:rPr>
            </w:pPr>
            <w:r w:rsidRPr="00251143">
              <w:rPr>
                <w:lang w:val="fr-CA"/>
              </w:rPr>
              <w:t>(par. 1 à 34)</w:t>
            </w:r>
          </w:p>
          <w:p w:rsidR="00251143" w:rsidRPr="00251143" w:rsidRDefault="00251143" w:rsidP="003945DB">
            <w:pPr>
              <w:rPr>
                <w:lang w:val="fr-CA"/>
              </w:rPr>
            </w:pPr>
          </w:p>
        </w:tc>
        <w:tc>
          <w:tcPr>
            <w:tcW w:w="5958" w:type="dxa"/>
          </w:tcPr>
          <w:p w:rsidR="00251143" w:rsidRPr="00251143" w:rsidRDefault="00251143" w:rsidP="003945DB">
            <w:pPr>
              <w:rPr>
                <w:lang w:val="fr-CA"/>
              </w:rPr>
            </w:pPr>
            <w:r w:rsidRPr="00251143">
              <w:rPr>
                <w:lang w:val="fr-CA"/>
              </w:rPr>
              <w:t xml:space="preserve">Le juge Cromwell (avec l’accord des juges </w:t>
            </w:r>
            <w:proofErr w:type="spellStart"/>
            <w:r w:rsidRPr="00251143">
              <w:rPr>
                <w:lang w:val="fr-CA"/>
              </w:rPr>
              <w:t>Moldaver</w:t>
            </w:r>
            <w:proofErr w:type="spellEnd"/>
            <w:r w:rsidRPr="00251143">
              <w:rPr>
                <w:lang w:val="fr-CA"/>
              </w:rPr>
              <w:t xml:space="preserve">, </w:t>
            </w:r>
            <w:proofErr w:type="spellStart"/>
            <w:r w:rsidRPr="00251143">
              <w:rPr>
                <w:lang w:val="fr-CA"/>
              </w:rPr>
              <w:t>Karakatsanis</w:t>
            </w:r>
            <w:proofErr w:type="spellEnd"/>
            <w:r w:rsidRPr="00251143">
              <w:rPr>
                <w:lang w:val="fr-CA"/>
              </w:rPr>
              <w:t>, Wagner, Gascon, Côté et Brown)</w:t>
            </w:r>
          </w:p>
        </w:tc>
      </w:tr>
    </w:tbl>
    <w:p w:rsidR="00251143" w:rsidRDefault="00251143" w:rsidP="00251143">
      <w:pPr>
        <w:rPr>
          <w:rStyle w:val="SCCHearingJudgmentDatesTextChar"/>
        </w:rPr>
      </w:pPr>
      <w:r>
        <w:rPr>
          <w:rStyle w:val="SCCHearingJudgmentDatesTitleChar"/>
        </w:rPr>
        <w:t xml:space="preserve">Appel entendu et jugement rendu : </w:t>
      </w:r>
      <w:r>
        <w:rPr>
          <w:rStyle w:val="SCCHearingJudgmentDatesTextChar"/>
        </w:rPr>
        <w:t>Le 13 octobre 2015</w:t>
      </w:r>
    </w:p>
    <w:p w:rsidR="00251143" w:rsidRPr="00251143" w:rsidRDefault="00251143" w:rsidP="00251143">
      <w:pPr>
        <w:rPr>
          <w:lang w:val="fr-CA"/>
        </w:rPr>
      </w:pPr>
    </w:p>
    <w:p w:rsidR="00251143" w:rsidRPr="00251143" w:rsidRDefault="00251143" w:rsidP="00251143">
      <w:pPr>
        <w:rPr>
          <w:lang w:val="fr-CA"/>
        </w:rPr>
      </w:pPr>
      <w:r>
        <w:rPr>
          <w:rStyle w:val="SCCHearingJudgmentDatesTitleChar"/>
        </w:rPr>
        <w:t>Motifs déposés </w:t>
      </w:r>
      <w:r w:rsidRPr="00AE47A1">
        <w:rPr>
          <w:rStyle w:val="SCCHearingJudgmentDatesTitleChar"/>
        </w:rPr>
        <w:t>: Le 18 décembre, 2015</w:t>
      </w:r>
    </w:p>
    <w:p w:rsidR="00251143" w:rsidRPr="00251143" w:rsidRDefault="00251143" w:rsidP="00251143">
      <w:pPr>
        <w:rPr>
          <w:lang w:val="fr-CA"/>
        </w:rPr>
      </w:pPr>
    </w:p>
    <w:p w:rsidR="00251143" w:rsidRPr="00251143" w:rsidRDefault="00251143" w:rsidP="00251143">
      <w:pPr>
        <w:rPr>
          <w:lang w:val="fr-CA"/>
        </w:rPr>
      </w:pPr>
    </w:p>
    <w:p w:rsidR="00251143" w:rsidRPr="00251143" w:rsidRDefault="00251143" w:rsidP="00251143">
      <w:pPr>
        <w:rPr>
          <w:lang w:val="fr-CA"/>
        </w:rPr>
      </w:pPr>
      <w:r>
        <w:rPr>
          <w:noProof/>
          <w:lang w:val="en-US"/>
        </w:rPr>
        <mc:AlternateContent>
          <mc:Choice Requires="wps">
            <w:drawing>
              <wp:anchor distT="0" distB="0" distL="114300" distR="114300" simplePos="0" relativeHeight="251659264" behindDoc="0" locked="0" layoutInCell="1" allowOverlap="1" wp14:anchorId="48F03B71" wp14:editId="43254CD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1DB2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51143" w:rsidRPr="00251143" w:rsidRDefault="00251143" w:rsidP="0026172C">
      <w:pPr>
        <w:widowControl w:val="0"/>
        <w:spacing w:after="720"/>
        <w:jc w:val="both"/>
        <w:rPr>
          <w:rStyle w:val="SCCAppellantForRunningHeadChar"/>
          <w:smallCaps w:val="0"/>
          <w:lang w:val="fr-CA"/>
        </w:rPr>
      </w:pPr>
    </w:p>
    <w:p w:rsidR="004D7D95" w:rsidRPr="00251143" w:rsidRDefault="00D73900" w:rsidP="0026172C">
      <w:pPr>
        <w:widowControl w:val="0"/>
        <w:spacing w:after="720"/>
        <w:jc w:val="both"/>
        <w:rPr>
          <w:smallCaps/>
          <w:lang w:val="fr-CA"/>
        </w:rPr>
      </w:pPr>
      <w:r w:rsidRPr="00251143">
        <w:rPr>
          <w:rStyle w:val="SCCAppellantForRunningHeadChar"/>
          <w:smallCaps w:val="0"/>
          <w:lang w:val="fr-CA"/>
        </w:rPr>
        <w:t>R</w:t>
      </w:r>
      <w:r w:rsidR="00471C01" w:rsidRPr="00251143">
        <w:rPr>
          <w:rStyle w:val="SCCAppellantForRunningHeadChar"/>
          <w:smallCaps w:val="0"/>
          <w:lang w:val="fr-CA"/>
        </w:rPr>
        <w:t xml:space="preserve">. </w:t>
      </w:r>
      <w:r w:rsidR="00471C01" w:rsidRPr="00251143">
        <w:rPr>
          <w:rStyle w:val="SCCAppellantForRunningHeadChar"/>
          <w:i/>
          <w:smallCaps w:val="0"/>
          <w:lang w:val="fr-CA"/>
        </w:rPr>
        <w:t>c.</w:t>
      </w:r>
      <w:r w:rsidR="00471C01" w:rsidRPr="00251143">
        <w:rPr>
          <w:rStyle w:val="SCCAppellantForRunningHeadChar"/>
          <w:smallCaps w:val="0"/>
          <w:lang w:val="fr-CA"/>
        </w:rPr>
        <w:t xml:space="preserve"> </w:t>
      </w:r>
      <w:proofErr w:type="spellStart"/>
      <w:r w:rsidRPr="00251143">
        <w:rPr>
          <w:rStyle w:val="SCCAppellantForRunningHeadChar"/>
          <w:smallCaps w:val="0"/>
          <w:lang w:val="fr-CA"/>
        </w:rPr>
        <w:t>R</w:t>
      </w:r>
      <w:r w:rsidR="004D7D95" w:rsidRPr="00251143">
        <w:rPr>
          <w:rStyle w:val="SCCAppellantForRunningHeadChar"/>
          <w:smallCaps w:val="0"/>
          <w:lang w:val="fr-CA"/>
        </w:rPr>
        <w:t>iesberry</w:t>
      </w:r>
      <w:proofErr w:type="spellEnd"/>
      <w:r w:rsidRPr="00251143">
        <w:rPr>
          <w:rStyle w:val="SCCAppellantForRunningHeadChar"/>
          <w:smallCaps w:val="0"/>
          <w:lang w:val="fr-CA"/>
        </w:rPr>
        <w:t xml:space="preserve">, </w:t>
      </w:r>
      <w:r w:rsidRPr="00251143">
        <w:rPr>
          <w:lang w:val="fr-CA"/>
        </w:rPr>
        <w:t>2015 CSC 65, [2015] 3 R.C.S. 1167</w:t>
      </w:r>
    </w:p>
    <w:p w:rsidR="00A3796D" w:rsidRPr="00D73900" w:rsidRDefault="00CC5FE3" w:rsidP="0026172C">
      <w:pPr>
        <w:pStyle w:val="SCCLsocLastPartyInRole"/>
        <w:widowControl w:val="0"/>
        <w:rPr>
          <w:lang w:val="fr-CA"/>
        </w:rPr>
      </w:pPr>
      <w:r w:rsidRPr="00D73900">
        <w:rPr>
          <w:lang w:val="fr-CA"/>
        </w:rPr>
        <w:t xml:space="preserve">Derek </w:t>
      </w:r>
      <w:proofErr w:type="spellStart"/>
      <w:r w:rsidRPr="00D73900">
        <w:rPr>
          <w:lang w:val="fr-CA"/>
        </w:rPr>
        <w:t>Riesberry</w:t>
      </w:r>
      <w:proofErr w:type="spellEnd"/>
      <w:r w:rsidRPr="00D73900">
        <w:rPr>
          <w:rStyle w:val="SCCLsocPartyRole"/>
          <w:lang w:val="fr-CA"/>
        </w:rPr>
        <w:tab/>
        <w:t>Appelant</w:t>
      </w:r>
    </w:p>
    <w:p w:rsidR="00A3796D" w:rsidRPr="00FD59AC" w:rsidRDefault="00CC5FE3" w:rsidP="0026172C">
      <w:pPr>
        <w:pStyle w:val="SCCLsocVersus"/>
        <w:widowControl w:val="0"/>
        <w:rPr>
          <w:lang w:val="fr-CA"/>
        </w:rPr>
      </w:pPr>
      <w:proofErr w:type="gramStart"/>
      <w:r w:rsidRPr="00FD59AC">
        <w:rPr>
          <w:lang w:val="fr-CA"/>
        </w:rPr>
        <w:t>c</w:t>
      </w:r>
      <w:proofErr w:type="gramEnd"/>
      <w:r w:rsidRPr="00FD59AC">
        <w:rPr>
          <w:lang w:val="fr-CA"/>
        </w:rPr>
        <w:t>.</w:t>
      </w:r>
    </w:p>
    <w:p w:rsidR="00A3796D" w:rsidRPr="00FD59AC" w:rsidRDefault="00CC5FE3" w:rsidP="0026172C">
      <w:pPr>
        <w:pStyle w:val="SCCLsocLastPartyInRole"/>
        <w:widowControl w:val="0"/>
        <w:rPr>
          <w:lang w:val="fr-CA"/>
        </w:rPr>
      </w:pPr>
      <w:r w:rsidRPr="00FD59AC">
        <w:rPr>
          <w:lang w:val="fr-CA"/>
        </w:rPr>
        <w:lastRenderedPageBreak/>
        <w:t>Sa Majesté la Reine</w:t>
      </w:r>
      <w:r w:rsidRPr="00FD59AC">
        <w:rPr>
          <w:rStyle w:val="SCCLsocPartyRole"/>
          <w:lang w:val="fr-CA"/>
        </w:rPr>
        <w:tab/>
        <w:t>Intimée</w:t>
      </w:r>
    </w:p>
    <w:p w:rsidR="004D7D95" w:rsidRPr="00FD59AC" w:rsidRDefault="00471C01" w:rsidP="0026172C">
      <w:pPr>
        <w:widowControl w:val="0"/>
        <w:spacing w:after="720"/>
        <w:jc w:val="both"/>
        <w:rPr>
          <w:b/>
          <w:lang w:val="fr-CA"/>
        </w:rPr>
      </w:pPr>
      <w:r w:rsidRPr="00FD59AC">
        <w:rPr>
          <w:b/>
          <w:lang w:val="fr-CA"/>
        </w:rPr>
        <w:t>Répertorié</w:t>
      </w:r>
      <w:r w:rsidR="00450EF7">
        <w:rPr>
          <w:b/>
          <w:lang w:val="fr-CA"/>
        </w:rPr>
        <w:t> :</w:t>
      </w:r>
      <w:r w:rsidRPr="00FD59AC">
        <w:rPr>
          <w:b/>
          <w:lang w:val="fr-CA"/>
        </w:rPr>
        <w:t xml:space="preserve"> R. </w:t>
      </w:r>
      <w:r w:rsidRPr="00FD59AC">
        <w:rPr>
          <w:b/>
          <w:i/>
          <w:lang w:val="fr-CA"/>
        </w:rPr>
        <w:t>c.</w:t>
      </w:r>
      <w:r w:rsidRPr="00FD59AC">
        <w:rPr>
          <w:b/>
          <w:lang w:val="fr-CA"/>
        </w:rPr>
        <w:t xml:space="preserve"> </w:t>
      </w:r>
      <w:proofErr w:type="spellStart"/>
      <w:r w:rsidR="004D7D95" w:rsidRPr="00FD59AC">
        <w:rPr>
          <w:rStyle w:val="SCCAppellantForIndexChar"/>
          <w:lang w:val="fr-CA"/>
        </w:rPr>
        <w:t>Riesberry</w:t>
      </w:r>
      <w:proofErr w:type="spellEnd"/>
    </w:p>
    <w:p w:rsidR="004D7D95" w:rsidRPr="00FD59AC" w:rsidRDefault="00D17B0E" w:rsidP="0026172C">
      <w:pPr>
        <w:pStyle w:val="SCCSystemYear"/>
        <w:widowControl w:val="0"/>
        <w:spacing w:after="720"/>
        <w:jc w:val="both"/>
        <w:rPr>
          <w:lang w:val="fr-CA"/>
        </w:rPr>
      </w:pPr>
      <w:r w:rsidRPr="00FD59AC">
        <w:rPr>
          <w:lang w:val="fr-CA"/>
        </w:rPr>
        <w:t>2015</w:t>
      </w:r>
      <w:r w:rsidR="003746C7" w:rsidRPr="00FD59AC">
        <w:rPr>
          <w:lang w:val="fr-CA"/>
        </w:rPr>
        <w:t xml:space="preserve"> CSC 65</w:t>
      </w:r>
    </w:p>
    <w:p w:rsidR="004D7D95" w:rsidRPr="00FD59AC" w:rsidRDefault="004D7D95" w:rsidP="0026172C">
      <w:pPr>
        <w:widowControl w:val="0"/>
        <w:spacing w:after="720"/>
        <w:jc w:val="both"/>
        <w:rPr>
          <w:lang w:val="fr-CA"/>
        </w:rPr>
      </w:pPr>
      <w:r w:rsidRPr="00FD59AC">
        <w:rPr>
          <w:lang w:val="fr-CA"/>
        </w:rPr>
        <w:t>N</w:t>
      </w:r>
      <w:r w:rsidRPr="00FD59AC">
        <w:rPr>
          <w:vertAlign w:val="superscript"/>
          <w:lang w:val="fr-CA"/>
        </w:rPr>
        <w:t>o</w:t>
      </w:r>
      <w:r w:rsidRPr="00FD59AC">
        <w:rPr>
          <w:lang w:val="fr-CA"/>
        </w:rPr>
        <w:t xml:space="preserve"> du greffe</w:t>
      </w:r>
      <w:r w:rsidR="00450EF7">
        <w:rPr>
          <w:lang w:val="fr-CA"/>
        </w:rPr>
        <w:t> :</w:t>
      </w:r>
      <w:r w:rsidRPr="00FD59AC">
        <w:rPr>
          <w:lang w:val="fr-CA"/>
        </w:rPr>
        <w:t> 36179.</w:t>
      </w:r>
    </w:p>
    <w:p w:rsidR="0072262D" w:rsidRPr="00FD59AC" w:rsidRDefault="00471C01" w:rsidP="0026172C">
      <w:pPr>
        <w:widowControl w:val="0"/>
        <w:jc w:val="both"/>
        <w:rPr>
          <w:lang w:val="fr-CA"/>
        </w:rPr>
      </w:pPr>
      <w:r w:rsidRPr="00FD59AC">
        <w:rPr>
          <w:lang w:val="fr-CA"/>
        </w:rPr>
        <w:t>Audition et jugement</w:t>
      </w:r>
      <w:r w:rsidR="00450EF7">
        <w:rPr>
          <w:lang w:val="fr-CA"/>
        </w:rPr>
        <w:t> :</w:t>
      </w:r>
      <w:r w:rsidRPr="00FD59AC">
        <w:rPr>
          <w:lang w:val="fr-CA"/>
        </w:rPr>
        <w:t> 13</w:t>
      </w:r>
      <w:r w:rsidR="0072262D" w:rsidRPr="00FD59AC">
        <w:rPr>
          <w:lang w:val="fr-CA"/>
        </w:rPr>
        <w:t xml:space="preserve"> </w:t>
      </w:r>
      <w:r w:rsidRPr="00FD59AC">
        <w:rPr>
          <w:lang w:val="fr-CA"/>
        </w:rPr>
        <w:t>octobre</w:t>
      </w:r>
      <w:r w:rsidR="0072262D" w:rsidRPr="00FD59AC">
        <w:rPr>
          <w:lang w:val="fr-CA"/>
        </w:rPr>
        <w:t xml:space="preserve"> 2015.</w:t>
      </w:r>
    </w:p>
    <w:p w:rsidR="0072262D" w:rsidRPr="00FD59AC" w:rsidRDefault="00471C01" w:rsidP="0026172C">
      <w:pPr>
        <w:widowControl w:val="0"/>
        <w:spacing w:after="720"/>
        <w:jc w:val="both"/>
        <w:rPr>
          <w:lang w:val="fr-CA"/>
        </w:rPr>
      </w:pPr>
      <w:r w:rsidRPr="00FD59AC">
        <w:rPr>
          <w:lang w:val="fr-CA"/>
        </w:rPr>
        <w:t>Motifs déposés</w:t>
      </w:r>
      <w:r w:rsidR="00450EF7">
        <w:rPr>
          <w:lang w:val="fr-CA"/>
        </w:rPr>
        <w:t> :</w:t>
      </w:r>
      <w:r w:rsidR="006F00A8" w:rsidRPr="00FD59AC">
        <w:rPr>
          <w:lang w:val="fr-CA"/>
        </w:rPr>
        <w:t> 18 décembre</w:t>
      </w:r>
      <w:r w:rsidR="0072262D" w:rsidRPr="00FD59AC">
        <w:rPr>
          <w:lang w:val="fr-CA"/>
        </w:rPr>
        <w:t xml:space="preserve"> 2015</w:t>
      </w:r>
      <w:r w:rsidRPr="00FD59AC">
        <w:rPr>
          <w:lang w:val="fr-CA"/>
        </w:rPr>
        <w:t>.</w:t>
      </w:r>
    </w:p>
    <w:p w:rsidR="004D7D95" w:rsidRPr="00FD59AC" w:rsidRDefault="004D7D95" w:rsidP="0026172C">
      <w:pPr>
        <w:widowControl w:val="0"/>
        <w:spacing w:after="720"/>
        <w:jc w:val="both"/>
        <w:rPr>
          <w:lang w:val="fr-CA"/>
        </w:rPr>
      </w:pPr>
      <w:r w:rsidRPr="00FD59AC">
        <w:rPr>
          <w:lang w:val="fr-CA"/>
        </w:rPr>
        <w:t>Présents</w:t>
      </w:r>
      <w:r w:rsidR="00450EF7">
        <w:rPr>
          <w:lang w:val="fr-CA"/>
        </w:rPr>
        <w:t> :</w:t>
      </w:r>
      <w:r w:rsidRPr="00FD59AC">
        <w:rPr>
          <w:lang w:val="fr-CA"/>
        </w:rPr>
        <w:t xml:space="preserve"> Les juges Cromwell, </w:t>
      </w:r>
      <w:proofErr w:type="spellStart"/>
      <w:r w:rsidRPr="00FD59AC">
        <w:rPr>
          <w:lang w:val="fr-CA"/>
        </w:rPr>
        <w:t>Moldaver</w:t>
      </w:r>
      <w:proofErr w:type="spellEnd"/>
      <w:r w:rsidRPr="00FD59AC">
        <w:rPr>
          <w:lang w:val="fr-CA"/>
        </w:rPr>
        <w:t xml:space="preserve">, </w:t>
      </w:r>
      <w:proofErr w:type="spellStart"/>
      <w:r w:rsidRPr="00FD59AC">
        <w:rPr>
          <w:lang w:val="fr-CA"/>
        </w:rPr>
        <w:t>Karakatsanis</w:t>
      </w:r>
      <w:proofErr w:type="spellEnd"/>
      <w:r w:rsidRPr="00FD59AC">
        <w:rPr>
          <w:lang w:val="fr-CA"/>
        </w:rPr>
        <w:t>, Wagner, Gascon, Côté et Brown.</w:t>
      </w:r>
    </w:p>
    <w:p w:rsidR="004D7D95" w:rsidRPr="00FD59AC" w:rsidRDefault="004D7D95" w:rsidP="0026172C">
      <w:pPr>
        <w:widowControl w:val="0"/>
        <w:spacing w:after="720"/>
        <w:jc w:val="both"/>
        <w:rPr>
          <w:smallCaps/>
          <w:lang w:val="fr-CA"/>
        </w:rPr>
      </w:pPr>
      <w:r w:rsidRPr="00FD59AC">
        <w:rPr>
          <w:smallCaps/>
          <w:lang w:val="fr-CA"/>
        </w:rPr>
        <w:t>en appel de la cour d</w:t>
      </w:r>
      <w:r w:rsidR="001B7545">
        <w:rPr>
          <w:smallCaps/>
          <w:lang w:val="fr-CA"/>
        </w:rPr>
        <w:t>’</w:t>
      </w:r>
      <w:r w:rsidRPr="00FD59AC">
        <w:rPr>
          <w:smallCaps/>
          <w:lang w:val="fr-CA"/>
        </w:rPr>
        <w:t xml:space="preserve">appel de </w:t>
      </w:r>
      <w:proofErr w:type="spellStart"/>
      <w:r w:rsidRPr="00FD59AC">
        <w:rPr>
          <w:smallCaps/>
          <w:lang w:val="fr-CA"/>
        </w:rPr>
        <w:t>l</w:t>
      </w:r>
      <w:r w:rsidR="001B7545">
        <w:rPr>
          <w:smallCaps/>
          <w:lang w:val="fr-CA"/>
        </w:rPr>
        <w:t>’</w:t>
      </w:r>
      <w:r w:rsidRPr="00FD59AC">
        <w:rPr>
          <w:smallCaps/>
          <w:lang w:val="fr-CA"/>
        </w:rPr>
        <w:t>ontario</w:t>
      </w:r>
      <w:proofErr w:type="spellEnd"/>
    </w:p>
    <w:p w:rsidR="001E58F3" w:rsidRPr="00FD59AC" w:rsidRDefault="00B6116A" w:rsidP="0026172C">
      <w:pPr>
        <w:pStyle w:val="SCCNormalDoubleSpacing"/>
        <w:widowControl w:val="0"/>
        <w:spacing w:after="480"/>
        <w:rPr>
          <w:i/>
          <w:lang w:val="fr-CA"/>
        </w:rPr>
      </w:pPr>
      <w:r w:rsidRPr="00FD59AC">
        <w:rPr>
          <w:lang w:val="fr-CA"/>
        </w:rPr>
        <w:tab/>
      </w:r>
      <w:r w:rsidR="001E58F3" w:rsidRPr="00FD59AC">
        <w:rPr>
          <w:i/>
          <w:lang w:val="fr-CA"/>
        </w:rPr>
        <w:t>Droit criminel — Infractions — Éléments de l</w:t>
      </w:r>
      <w:r w:rsidR="001B7545">
        <w:rPr>
          <w:i/>
          <w:lang w:val="fr-CA"/>
        </w:rPr>
        <w:t>’</w:t>
      </w:r>
      <w:r w:rsidR="001E58F3" w:rsidRPr="00FD59AC">
        <w:rPr>
          <w:i/>
          <w:lang w:val="fr-CA"/>
        </w:rPr>
        <w:t>infraction — Tricherie au jeu — Fraude — Tentative par l</w:t>
      </w:r>
      <w:r w:rsidR="001B7545">
        <w:rPr>
          <w:i/>
          <w:lang w:val="fr-CA"/>
        </w:rPr>
        <w:t>’</w:t>
      </w:r>
      <w:r w:rsidR="001E58F3" w:rsidRPr="00FD59AC">
        <w:rPr>
          <w:i/>
          <w:lang w:val="fr-CA"/>
        </w:rPr>
        <w:t>accusé de truquer des courses de chevaux en droguant des chevaux — Une course de chevaux constituait</w:t>
      </w:r>
      <w:r w:rsidR="00450EF7">
        <w:rPr>
          <w:i/>
          <w:lang w:val="fr-CA"/>
        </w:rPr>
        <w:noBreakHyphen/>
      </w:r>
      <w:r w:rsidR="001E58F3" w:rsidRPr="00FD59AC">
        <w:rPr>
          <w:i/>
          <w:lang w:val="fr-CA"/>
        </w:rPr>
        <w:t xml:space="preserve">elle un jeu pour </w:t>
      </w:r>
      <w:r w:rsidR="00387B3C">
        <w:rPr>
          <w:i/>
          <w:lang w:val="fr-CA"/>
        </w:rPr>
        <w:t xml:space="preserve">ce qui est </w:t>
      </w:r>
      <w:r w:rsidR="001E58F3" w:rsidRPr="00FD59AC">
        <w:rPr>
          <w:i/>
          <w:lang w:val="fr-CA"/>
        </w:rPr>
        <w:t>de l</w:t>
      </w:r>
      <w:r w:rsidR="001B7545">
        <w:rPr>
          <w:i/>
          <w:lang w:val="fr-CA"/>
        </w:rPr>
        <w:t>’</w:t>
      </w:r>
      <w:r w:rsidR="001E58F3" w:rsidRPr="00FD59AC">
        <w:rPr>
          <w:i/>
          <w:lang w:val="fr-CA"/>
        </w:rPr>
        <w:t>infraction de tricherie au jeu? — La conduite de l</w:t>
      </w:r>
      <w:r w:rsidR="001B7545">
        <w:rPr>
          <w:i/>
          <w:lang w:val="fr-CA"/>
        </w:rPr>
        <w:t>’</w:t>
      </w:r>
      <w:r w:rsidR="001E58F3" w:rsidRPr="00FD59AC">
        <w:rPr>
          <w:i/>
          <w:lang w:val="fr-CA"/>
        </w:rPr>
        <w:t>accusé constituait</w:t>
      </w:r>
      <w:r w:rsidR="00450EF7">
        <w:rPr>
          <w:i/>
          <w:lang w:val="fr-CA"/>
        </w:rPr>
        <w:noBreakHyphen/>
      </w:r>
      <w:r w:rsidR="001E58F3" w:rsidRPr="00FD59AC">
        <w:rPr>
          <w:i/>
          <w:lang w:val="fr-CA"/>
        </w:rPr>
        <w:t>elle de la tricherie au jeu ou de la fraude? — Code criminel, L.</w:t>
      </w:r>
      <w:r w:rsidR="0058531C" w:rsidRPr="00FD59AC">
        <w:rPr>
          <w:i/>
          <w:lang w:val="fr-CA"/>
        </w:rPr>
        <w:t>R.C. 1985, c. </w:t>
      </w:r>
      <w:r w:rsidR="001E58F3" w:rsidRPr="00FD59AC">
        <w:rPr>
          <w:i/>
          <w:lang w:val="fr-CA"/>
        </w:rPr>
        <w:t>C</w:t>
      </w:r>
      <w:r w:rsidR="00450EF7">
        <w:rPr>
          <w:i/>
          <w:lang w:val="fr-CA"/>
        </w:rPr>
        <w:noBreakHyphen/>
      </w:r>
      <w:r w:rsidR="001E58F3" w:rsidRPr="00FD59AC">
        <w:rPr>
          <w:i/>
          <w:lang w:val="fr-CA"/>
        </w:rPr>
        <w:t xml:space="preserve">46, </w:t>
      </w:r>
      <w:r w:rsidR="00450EF7">
        <w:rPr>
          <w:i/>
          <w:lang w:val="fr-CA"/>
        </w:rPr>
        <w:t>art. </w:t>
      </w:r>
      <w:r w:rsidR="001E58F3" w:rsidRPr="00FD59AC">
        <w:rPr>
          <w:i/>
          <w:lang w:val="fr-CA"/>
        </w:rPr>
        <w:t xml:space="preserve">197(1) </w:t>
      </w:r>
      <w:r w:rsidR="0058531C" w:rsidRPr="00FD59AC">
        <w:rPr>
          <w:i/>
          <w:lang w:val="fr-CA"/>
        </w:rPr>
        <w:t>« </w:t>
      </w:r>
      <w:r w:rsidR="001E58F3" w:rsidRPr="00FD59AC">
        <w:rPr>
          <w:i/>
          <w:lang w:val="fr-CA"/>
        </w:rPr>
        <w:t>jeu</w:t>
      </w:r>
      <w:r w:rsidR="0058531C" w:rsidRPr="00FD59AC">
        <w:rPr>
          <w:i/>
          <w:lang w:val="fr-CA"/>
        </w:rPr>
        <w:t> </w:t>
      </w:r>
      <w:r w:rsidR="001E58F3" w:rsidRPr="00FD59AC">
        <w:rPr>
          <w:i/>
          <w:lang w:val="fr-CA"/>
        </w:rPr>
        <w:t>», 209, 380(1).</w:t>
      </w:r>
    </w:p>
    <w:p w:rsidR="001E58F3" w:rsidRPr="00FD59AC" w:rsidRDefault="0058531C" w:rsidP="0026172C">
      <w:pPr>
        <w:pStyle w:val="SCCNormalDoubleSpacing"/>
        <w:widowControl w:val="0"/>
        <w:spacing w:after="480"/>
        <w:rPr>
          <w:lang w:val="fr-CA"/>
        </w:rPr>
      </w:pPr>
      <w:r w:rsidRPr="00FD59AC">
        <w:rPr>
          <w:lang w:val="fr-CA"/>
        </w:rPr>
        <w:tab/>
      </w:r>
      <w:r w:rsidR="001E58F3" w:rsidRPr="00FD59AC">
        <w:rPr>
          <w:lang w:val="fr-CA"/>
        </w:rPr>
        <w:t xml:space="preserve">R a tenté de truquer deux courses de chevaux. Il </w:t>
      </w:r>
      <w:r w:rsidR="00CC41A5">
        <w:rPr>
          <w:lang w:val="fr-CA"/>
        </w:rPr>
        <w:t>s’est fait prendre</w:t>
      </w:r>
      <w:r w:rsidR="001E58F3" w:rsidRPr="00FD59AC">
        <w:rPr>
          <w:lang w:val="fr-CA"/>
        </w:rPr>
        <w:t xml:space="preserve"> alors qu</w:t>
      </w:r>
      <w:r w:rsidR="001B7545">
        <w:rPr>
          <w:lang w:val="fr-CA"/>
        </w:rPr>
        <w:t>’</w:t>
      </w:r>
      <w:r w:rsidR="001E58F3" w:rsidRPr="00FD59AC">
        <w:rPr>
          <w:lang w:val="fr-CA"/>
        </w:rPr>
        <w:t xml:space="preserve">il droguait un cheval et </w:t>
      </w:r>
      <w:r w:rsidR="00CC41A5">
        <w:rPr>
          <w:lang w:val="fr-CA"/>
        </w:rPr>
        <w:t xml:space="preserve">alors </w:t>
      </w:r>
      <w:r w:rsidR="001E58F3" w:rsidRPr="00FD59AC">
        <w:rPr>
          <w:lang w:val="fr-CA"/>
        </w:rPr>
        <w:t>qu</w:t>
      </w:r>
      <w:r w:rsidR="001B7545">
        <w:rPr>
          <w:lang w:val="fr-CA"/>
        </w:rPr>
        <w:t>’</w:t>
      </w:r>
      <w:r w:rsidR="001E58F3" w:rsidRPr="00FD59AC">
        <w:rPr>
          <w:lang w:val="fr-CA"/>
        </w:rPr>
        <w:t>il tentait d</w:t>
      </w:r>
      <w:r w:rsidR="001B7545">
        <w:rPr>
          <w:lang w:val="fr-CA"/>
        </w:rPr>
        <w:t>’</w:t>
      </w:r>
      <w:r w:rsidR="001E58F3" w:rsidRPr="00FD59AC">
        <w:rPr>
          <w:lang w:val="fr-CA"/>
        </w:rPr>
        <w:t>introduire subrepticement dans l</w:t>
      </w:r>
      <w:r w:rsidR="001B7545">
        <w:rPr>
          <w:lang w:val="fr-CA"/>
        </w:rPr>
        <w:t>’</w:t>
      </w:r>
      <w:r w:rsidR="001E58F3" w:rsidRPr="00FD59AC">
        <w:rPr>
          <w:lang w:val="fr-CA"/>
        </w:rPr>
        <w:t xml:space="preserve">hippodrome des seringues contenant des drogues dans le but de droguer un autre </w:t>
      </w:r>
      <w:r w:rsidR="001E58F3" w:rsidRPr="00FD59AC">
        <w:rPr>
          <w:lang w:val="fr-CA"/>
        </w:rPr>
        <w:lastRenderedPageBreak/>
        <w:t>chev</w:t>
      </w:r>
      <w:r w:rsidR="00450EF7">
        <w:rPr>
          <w:lang w:val="fr-CA"/>
        </w:rPr>
        <w:t>al. </w:t>
      </w:r>
      <w:r w:rsidR="001E58F3" w:rsidRPr="00FD59AC">
        <w:rPr>
          <w:lang w:val="fr-CA"/>
        </w:rPr>
        <w:t>Des paris de plus de 5 000</w:t>
      </w:r>
      <w:r w:rsidR="00450EF7">
        <w:rPr>
          <w:lang w:val="fr-CA"/>
        </w:rPr>
        <w:t> $</w:t>
      </w:r>
      <w:r w:rsidR="001E58F3" w:rsidRPr="00FD59AC">
        <w:rPr>
          <w:lang w:val="fr-CA"/>
        </w:rPr>
        <w:t xml:space="preserve"> avaient été faits sur les deux courses. R a été accusé </w:t>
      </w:r>
      <w:r w:rsidR="00CC41A5">
        <w:rPr>
          <w:lang w:val="fr-CA"/>
        </w:rPr>
        <w:t xml:space="preserve">d’avoir </w:t>
      </w:r>
      <w:r w:rsidR="001E58F3" w:rsidRPr="00FD59AC">
        <w:rPr>
          <w:lang w:val="fr-CA"/>
        </w:rPr>
        <w:t>trich</w:t>
      </w:r>
      <w:r w:rsidR="00CC41A5">
        <w:rPr>
          <w:lang w:val="fr-CA"/>
        </w:rPr>
        <w:t xml:space="preserve">é en pratiquant un </w:t>
      </w:r>
      <w:r w:rsidR="001E58F3" w:rsidRPr="00FD59AC">
        <w:rPr>
          <w:lang w:val="fr-CA"/>
        </w:rPr>
        <w:t>jeu, d</w:t>
      </w:r>
      <w:r w:rsidR="001B7545">
        <w:rPr>
          <w:lang w:val="fr-CA"/>
        </w:rPr>
        <w:t>’</w:t>
      </w:r>
      <w:r w:rsidR="00CC41A5">
        <w:rPr>
          <w:lang w:val="fr-CA"/>
        </w:rPr>
        <w:t xml:space="preserve">avoir frustré </w:t>
      </w:r>
      <w:r w:rsidR="001E58F3" w:rsidRPr="00FD59AC">
        <w:rPr>
          <w:lang w:val="fr-CA"/>
        </w:rPr>
        <w:t xml:space="preserve">le public </w:t>
      </w:r>
      <w:r w:rsidR="00CC41A5">
        <w:rPr>
          <w:lang w:val="fr-CA"/>
        </w:rPr>
        <w:t xml:space="preserve">d’une somme d’argent </w:t>
      </w:r>
      <w:r w:rsidR="001E58F3" w:rsidRPr="00FD59AC">
        <w:rPr>
          <w:lang w:val="fr-CA"/>
        </w:rPr>
        <w:t>et de tentative de commettre les mêmes infractions. Il a été acquitté au procès. La Cour d</w:t>
      </w:r>
      <w:r w:rsidR="001B7545">
        <w:rPr>
          <w:lang w:val="fr-CA"/>
        </w:rPr>
        <w:t>’</w:t>
      </w:r>
      <w:r w:rsidR="001E58F3" w:rsidRPr="00FD59AC">
        <w:rPr>
          <w:lang w:val="fr-CA"/>
        </w:rPr>
        <w:t>appel a accueilli un appel et annulé les acquittements. Elle a ordonné la tenue d</w:t>
      </w:r>
      <w:r w:rsidR="001B7545">
        <w:rPr>
          <w:lang w:val="fr-CA"/>
        </w:rPr>
        <w:t>’</w:t>
      </w:r>
      <w:r w:rsidR="001E58F3" w:rsidRPr="00FD59AC">
        <w:rPr>
          <w:lang w:val="fr-CA"/>
        </w:rPr>
        <w:t>un nouveau procès à l</w:t>
      </w:r>
      <w:r w:rsidR="001B7545">
        <w:rPr>
          <w:lang w:val="fr-CA"/>
        </w:rPr>
        <w:t>’</w:t>
      </w:r>
      <w:r w:rsidR="001E58F3" w:rsidRPr="00FD59AC">
        <w:rPr>
          <w:lang w:val="fr-CA"/>
        </w:rPr>
        <w:t>égard des accusations de tricherie au jeu et elle a déclaré R coupable des accusations de fraude</w:t>
      </w:r>
      <w:r w:rsidR="00FD59AC" w:rsidRPr="00FD59AC">
        <w:rPr>
          <w:lang w:val="fr-CA"/>
        </w:rPr>
        <w:t>.</w:t>
      </w:r>
    </w:p>
    <w:p w:rsidR="001E58F3" w:rsidRPr="00FD59AC" w:rsidRDefault="0058531C" w:rsidP="0026172C">
      <w:pPr>
        <w:pStyle w:val="SCCNormalDoubleSpacing"/>
        <w:widowControl w:val="0"/>
        <w:spacing w:after="480"/>
        <w:rPr>
          <w:lang w:val="fr-CA"/>
        </w:rPr>
      </w:pPr>
      <w:r w:rsidRPr="00FD59AC">
        <w:rPr>
          <w:lang w:val="fr-CA"/>
        </w:rPr>
        <w:tab/>
      </w:r>
      <w:r w:rsidRPr="00FD59AC">
        <w:rPr>
          <w:i/>
          <w:lang w:val="fr-CA"/>
        </w:rPr>
        <w:t>Arrêt</w:t>
      </w:r>
      <w:r w:rsidR="00450EF7">
        <w:rPr>
          <w:lang w:val="fr-CA"/>
        </w:rPr>
        <w:t> :</w:t>
      </w:r>
      <w:r w:rsidR="001E58F3" w:rsidRPr="00FD59AC">
        <w:rPr>
          <w:lang w:val="fr-CA"/>
        </w:rPr>
        <w:t xml:space="preserve"> Le pourvoi est rejeté.</w:t>
      </w:r>
    </w:p>
    <w:p w:rsidR="001E58F3" w:rsidRPr="00FD59AC" w:rsidRDefault="0058531C" w:rsidP="0026172C">
      <w:pPr>
        <w:pStyle w:val="SCCNormalDoubleSpacing"/>
        <w:widowControl w:val="0"/>
        <w:spacing w:after="480"/>
        <w:rPr>
          <w:lang w:val="fr-CA"/>
        </w:rPr>
      </w:pPr>
      <w:r w:rsidRPr="00FD59AC">
        <w:rPr>
          <w:lang w:val="fr-CA"/>
        </w:rPr>
        <w:tab/>
      </w:r>
      <w:r w:rsidR="001E58F3" w:rsidRPr="00FD59AC">
        <w:rPr>
          <w:lang w:val="fr-CA"/>
        </w:rPr>
        <w:t>La Cour d</w:t>
      </w:r>
      <w:r w:rsidR="001B7545">
        <w:rPr>
          <w:lang w:val="fr-CA"/>
        </w:rPr>
        <w:t>’</w:t>
      </w:r>
      <w:r w:rsidR="001E58F3" w:rsidRPr="00FD59AC">
        <w:rPr>
          <w:lang w:val="fr-CA"/>
        </w:rPr>
        <w:t>appel a eu raison d</w:t>
      </w:r>
      <w:r w:rsidR="001B7545">
        <w:rPr>
          <w:lang w:val="fr-CA"/>
        </w:rPr>
        <w:t>’</w:t>
      </w:r>
      <w:r w:rsidR="001E58F3" w:rsidRPr="00FD59AC">
        <w:rPr>
          <w:lang w:val="fr-CA"/>
        </w:rPr>
        <w:t>ordonner la tenue d</w:t>
      </w:r>
      <w:r w:rsidR="001B7545">
        <w:rPr>
          <w:lang w:val="fr-CA"/>
        </w:rPr>
        <w:t>’</w:t>
      </w:r>
      <w:r w:rsidR="001E58F3" w:rsidRPr="00FD59AC">
        <w:rPr>
          <w:lang w:val="fr-CA"/>
        </w:rPr>
        <w:t>un nouveau procès à l</w:t>
      </w:r>
      <w:r w:rsidR="001B7545">
        <w:rPr>
          <w:lang w:val="fr-CA"/>
        </w:rPr>
        <w:t>’</w:t>
      </w:r>
      <w:r w:rsidR="001E58F3" w:rsidRPr="00FD59AC">
        <w:rPr>
          <w:lang w:val="fr-CA"/>
        </w:rPr>
        <w:t xml:space="preserve">égard des accusations </w:t>
      </w:r>
      <w:r w:rsidR="00CC41A5">
        <w:rPr>
          <w:lang w:val="fr-CA"/>
        </w:rPr>
        <w:t xml:space="preserve">d’avoir </w:t>
      </w:r>
      <w:r w:rsidR="001E58F3" w:rsidRPr="00FD59AC">
        <w:rPr>
          <w:lang w:val="fr-CA"/>
        </w:rPr>
        <w:t>trich</w:t>
      </w:r>
      <w:r w:rsidR="00CC41A5">
        <w:rPr>
          <w:lang w:val="fr-CA"/>
        </w:rPr>
        <w:t xml:space="preserve">é en pratiquant un </w:t>
      </w:r>
      <w:r w:rsidR="001E58F3" w:rsidRPr="00FD59AC">
        <w:rPr>
          <w:lang w:val="fr-CA"/>
        </w:rPr>
        <w:t>jeu. Le mot « jeu »</w:t>
      </w:r>
      <w:r w:rsidR="001B7545">
        <w:rPr>
          <w:lang w:val="fr-CA"/>
        </w:rPr>
        <w:t xml:space="preserve"> </w:t>
      </w:r>
      <w:r w:rsidR="001E58F3" w:rsidRPr="00FD59AC">
        <w:rPr>
          <w:lang w:val="fr-CA"/>
        </w:rPr>
        <w:t>est défini comme un « [j]eu de hasard ou jeu où se mêlent le hasard et l</w:t>
      </w:r>
      <w:r w:rsidR="001B7545">
        <w:rPr>
          <w:lang w:val="fr-CA"/>
        </w:rPr>
        <w:t>’</w:t>
      </w:r>
      <w:r w:rsidR="001E58F3" w:rsidRPr="00FD59AC">
        <w:rPr>
          <w:lang w:val="fr-CA"/>
        </w:rPr>
        <w:t xml:space="preserve">adresse » au </w:t>
      </w:r>
      <w:r w:rsidR="00450EF7">
        <w:rPr>
          <w:lang w:val="fr-CA"/>
        </w:rPr>
        <w:t>par. </w:t>
      </w:r>
      <w:r w:rsidR="001E58F3" w:rsidRPr="00FD59AC">
        <w:rPr>
          <w:lang w:val="fr-CA"/>
        </w:rPr>
        <w:t xml:space="preserve">197(1) du </w:t>
      </w:r>
      <w:r w:rsidR="001E58F3" w:rsidRPr="00FD59AC">
        <w:rPr>
          <w:i/>
          <w:lang w:val="fr-CA"/>
        </w:rPr>
        <w:t>Code criminel</w:t>
      </w:r>
      <w:r w:rsidR="001E58F3" w:rsidRPr="00FD59AC">
        <w:rPr>
          <w:lang w:val="fr-CA"/>
        </w:rPr>
        <w:t>. Le ministère public devait établir qu</w:t>
      </w:r>
      <w:r w:rsidR="001B7545">
        <w:rPr>
          <w:lang w:val="fr-CA"/>
        </w:rPr>
        <w:t>’</w:t>
      </w:r>
      <w:r w:rsidR="001E58F3" w:rsidRPr="00FD59AC">
        <w:rPr>
          <w:lang w:val="fr-CA"/>
        </w:rPr>
        <w:t>une course de chevaux est un jeu où l</w:t>
      </w:r>
      <w:r w:rsidR="001B7545">
        <w:rPr>
          <w:lang w:val="fr-CA"/>
        </w:rPr>
        <w:t>’</w:t>
      </w:r>
      <w:r w:rsidR="001E58F3" w:rsidRPr="00FD59AC">
        <w:rPr>
          <w:lang w:val="fr-CA"/>
        </w:rPr>
        <w:t>on recourt systématiquement au hasard pour en déterminer l</w:t>
      </w:r>
      <w:r w:rsidR="001B7545">
        <w:rPr>
          <w:lang w:val="fr-CA"/>
        </w:rPr>
        <w:t>’</w:t>
      </w:r>
      <w:r w:rsidR="001E58F3" w:rsidRPr="00FD59AC">
        <w:rPr>
          <w:lang w:val="fr-CA"/>
        </w:rPr>
        <w:t>issue. La preuve révélait que la position de départ des chevaux est déterminée au hasard, et que certaines positions de départ sont plus avantageuses que d</w:t>
      </w:r>
      <w:r w:rsidR="001B7545">
        <w:rPr>
          <w:lang w:val="fr-CA"/>
        </w:rPr>
        <w:t>’</w:t>
      </w:r>
      <w:r w:rsidR="001E58F3" w:rsidRPr="00FD59AC">
        <w:rPr>
          <w:lang w:val="fr-CA"/>
        </w:rPr>
        <w:t>autres. Le juge du procès n</w:t>
      </w:r>
      <w:r w:rsidR="001B7545">
        <w:rPr>
          <w:lang w:val="fr-CA"/>
        </w:rPr>
        <w:t>’</w:t>
      </w:r>
      <w:r w:rsidR="001E58F3" w:rsidRPr="00FD59AC">
        <w:rPr>
          <w:lang w:val="fr-CA"/>
        </w:rPr>
        <w:t xml:space="preserve">a pas </w:t>
      </w:r>
      <w:r w:rsidR="001E58F3" w:rsidRPr="00FD59AC">
        <w:rPr>
          <w:iCs/>
          <w:lang w:val="fr-CA"/>
        </w:rPr>
        <w:t xml:space="preserve">tenu compte de cette preuve qui </w:t>
      </w:r>
      <w:r w:rsidR="00CC41A5">
        <w:rPr>
          <w:iCs/>
          <w:lang w:val="fr-CA"/>
        </w:rPr>
        <w:t xml:space="preserve">serait susceptible de permettre à un </w:t>
      </w:r>
      <w:r w:rsidR="001E58F3" w:rsidRPr="00FD59AC">
        <w:rPr>
          <w:iCs/>
          <w:lang w:val="fr-CA"/>
        </w:rPr>
        <w:t>juge des faits de conclure à l</w:t>
      </w:r>
      <w:r w:rsidR="001B7545">
        <w:rPr>
          <w:iCs/>
          <w:lang w:val="fr-CA"/>
        </w:rPr>
        <w:t>’</w:t>
      </w:r>
      <w:r w:rsidR="001E58F3" w:rsidRPr="00FD59AC">
        <w:rPr>
          <w:iCs/>
          <w:lang w:val="fr-CA"/>
        </w:rPr>
        <w:t>existence d</w:t>
      </w:r>
      <w:r w:rsidR="001B7545">
        <w:rPr>
          <w:iCs/>
          <w:lang w:val="fr-CA"/>
        </w:rPr>
        <w:t>’</w:t>
      </w:r>
      <w:r w:rsidR="001E58F3" w:rsidRPr="00FD59AC">
        <w:rPr>
          <w:iCs/>
          <w:lang w:val="fr-CA"/>
        </w:rPr>
        <w:t>un recours systématique au hasard qui faisait de la course un jeu où se mêlent le hasard et l</w:t>
      </w:r>
      <w:r w:rsidR="001B7545">
        <w:rPr>
          <w:iCs/>
          <w:lang w:val="fr-CA"/>
        </w:rPr>
        <w:t>’</w:t>
      </w:r>
      <w:r w:rsidR="001E58F3" w:rsidRPr="00FD59AC">
        <w:rPr>
          <w:iCs/>
          <w:lang w:val="fr-CA"/>
        </w:rPr>
        <w:t>adresse</w:t>
      </w:r>
      <w:r w:rsidR="001E58F3" w:rsidRPr="00FD59AC">
        <w:rPr>
          <w:lang w:val="fr-CA"/>
        </w:rPr>
        <w:t>. Il appartiendra au juge des faits qui présidera le nouveau procès de déterminer si la preuve le démontre effectivement</w:t>
      </w:r>
      <w:r w:rsidR="001B7545">
        <w:rPr>
          <w:lang w:val="fr-CA"/>
        </w:rPr>
        <w:t xml:space="preserve">. </w:t>
      </w:r>
    </w:p>
    <w:p w:rsidR="001E58F3" w:rsidRPr="00FD59AC" w:rsidRDefault="0058531C" w:rsidP="0026172C">
      <w:pPr>
        <w:pStyle w:val="SCCNormalDoubleSpacing"/>
        <w:widowControl w:val="0"/>
        <w:spacing w:after="480"/>
        <w:rPr>
          <w:lang w:val="fr-CA"/>
        </w:rPr>
      </w:pPr>
      <w:r w:rsidRPr="00FD59AC">
        <w:rPr>
          <w:lang w:val="fr-CA"/>
        </w:rPr>
        <w:tab/>
      </w:r>
      <w:r w:rsidR="001E58F3" w:rsidRPr="00FD59AC">
        <w:rPr>
          <w:lang w:val="fr-CA"/>
        </w:rPr>
        <w:t>La fraude consiste en un comportement malhonnête qui crée à tout le moins un risque de privation pour la victime. Pour le</w:t>
      </w:r>
      <w:r w:rsidR="00CC41A5">
        <w:rPr>
          <w:lang w:val="fr-CA"/>
        </w:rPr>
        <w:t>s</w:t>
      </w:r>
      <w:r w:rsidR="001E58F3" w:rsidRPr="00FD59AC">
        <w:rPr>
          <w:lang w:val="fr-CA"/>
        </w:rPr>
        <w:t xml:space="preserve"> besoin</w:t>
      </w:r>
      <w:r w:rsidR="00CC41A5">
        <w:rPr>
          <w:lang w:val="fr-CA"/>
        </w:rPr>
        <w:t>s</w:t>
      </w:r>
      <w:r w:rsidR="001E58F3" w:rsidRPr="00FD59AC">
        <w:rPr>
          <w:lang w:val="fr-CA"/>
        </w:rPr>
        <w:t xml:space="preserve"> d</w:t>
      </w:r>
      <w:r w:rsidR="001B7545">
        <w:rPr>
          <w:lang w:val="fr-CA"/>
        </w:rPr>
        <w:t>’</w:t>
      </w:r>
      <w:r w:rsidR="001E58F3" w:rsidRPr="00FD59AC">
        <w:rPr>
          <w:lang w:val="fr-CA"/>
        </w:rPr>
        <w:t xml:space="preserve">une poursuite pour fraude, le comportement frauduleux ne se limite pas à la tromperie, par exemple par de fausses </w:t>
      </w:r>
      <w:r w:rsidR="001E58F3" w:rsidRPr="00FD59AC">
        <w:rPr>
          <w:lang w:val="fr-CA"/>
        </w:rPr>
        <w:lastRenderedPageBreak/>
        <w:t xml:space="preserve">indications sur des faits. La fraude </w:t>
      </w:r>
      <w:r w:rsidR="00CC41A5">
        <w:rPr>
          <w:lang w:val="fr-CA"/>
        </w:rPr>
        <w:t xml:space="preserve">requiert </w:t>
      </w:r>
      <w:r w:rsidR="001E58F3" w:rsidRPr="00FD59AC">
        <w:rPr>
          <w:lang w:val="fr-CA"/>
        </w:rPr>
        <w:t>plutôt la preuve d</w:t>
      </w:r>
      <w:r w:rsidR="001B7545">
        <w:rPr>
          <w:lang w:val="fr-CA"/>
        </w:rPr>
        <w:t>’</w:t>
      </w:r>
      <w:r w:rsidR="001E58F3" w:rsidRPr="00FD59AC">
        <w:rPr>
          <w:lang w:val="fr-CA"/>
        </w:rPr>
        <w:t xml:space="preserve">une </w:t>
      </w:r>
      <w:r w:rsidR="001E58F3" w:rsidRPr="00FD59AC">
        <w:rPr>
          <w:spacing w:val="-3"/>
          <w:lang w:val="fr-CA"/>
        </w:rPr>
        <w:t>supercherie, d</w:t>
      </w:r>
      <w:r w:rsidR="001B7545">
        <w:rPr>
          <w:spacing w:val="-3"/>
          <w:lang w:val="fr-CA"/>
        </w:rPr>
        <w:t>’</w:t>
      </w:r>
      <w:r w:rsidR="001E58F3" w:rsidRPr="00FD59AC">
        <w:rPr>
          <w:spacing w:val="-3"/>
          <w:lang w:val="fr-CA"/>
        </w:rPr>
        <w:t>un mensonge ou d</w:t>
      </w:r>
      <w:r w:rsidR="001B7545">
        <w:rPr>
          <w:spacing w:val="-3"/>
          <w:lang w:val="fr-CA"/>
        </w:rPr>
        <w:t>’</w:t>
      </w:r>
      <w:r w:rsidR="001E58F3" w:rsidRPr="00FD59AC">
        <w:rPr>
          <w:spacing w:val="-3"/>
          <w:lang w:val="fr-CA"/>
        </w:rPr>
        <w:t>un autre moyen dolosif</w:t>
      </w:r>
      <w:r w:rsidR="001E58F3" w:rsidRPr="00FD59AC">
        <w:rPr>
          <w:lang w:val="fr-CA"/>
        </w:rPr>
        <w:t>. L</w:t>
      </w:r>
      <w:r w:rsidR="001B7545">
        <w:rPr>
          <w:lang w:val="fr-CA"/>
        </w:rPr>
        <w:t>’</w:t>
      </w:r>
      <w:r w:rsidR="001E58F3" w:rsidRPr="00FD59AC">
        <w:rPr>
          <w:lang w:val="fr-CA"/>
        </w:rPr>
        <w:t>expression « </w:t>
      </w:r>
      <w:r w:rsidR="001E58F3" w:rsidRPr="00FD59AC">
        <w:rPr>
          <w:spacing w:val="-3"/>
          <w:lang w:val="fr-CA"/>
        </w:rPr>
        <w:t>autre moyen dolosif </w:t>
      </w:r>
      <w:r w:rsidR="001E58F3" w:rsidRPr="00FD59AC">
        <w:rPr>
          <w:lang w:val="fr-CA"/>
        </w:rPr>
        <w:t>» englobe t</w:t>
      </w:r>
      <w:r w:rsidR="001E58F3" w:rsidRPr="00FD59AC">
        <w:rPr>
          <w:rStyle w:val="highlight"/>
          <w:lang w:val="fr-CA"/>
        </w:rPr>
        <w:t>ous les autres moyens qu</w:t>
      </w:r>
      <w:r w:rsidR="001B7545">
        <w:rPr>
          <w:rStyle w:val="highlight"/>
          <w:lang w:val="fr-CA"/>
        </w:rPr>
        <w:t>’</w:t>
      </w:r>
      <w:r w:rsidR="001E58F3" w:rsidRPr="00FD59AC">
        <w:rPr>
          <w:rStyle w:val="highlight"/>
          <w:lang w:val="fr-CA"/>
        </w:rPr>
        <w:t>on peut correctement qualifier de malhonnêtes</w:t>
      </w:r>
      <w:r w:rsidR="001E58F3" w:rsidRPr="00FD59AC">
        <w:rPr>
          <w:lang w:val="fr-CA"/>
        </w:rPr>
        <w:t>. Lorsque l</w:t>
      </w:r>
      <w:r w:rsidR="001B7545">
        <w:rPr>
          <w:lang w:val="fr-CA"/>
        </w:rPr>
        <w:t>’</w:t>
      </w:r>
      <w:r w:rsidR="001E58F3" w:rsidRPr="00FD59AC">
        <w:rPr>
          <w:lang w:val="fr-CA"/>
        </w:rPr>
        <w:t>acte que l</w:t>
      </w:r>
      <w:r w:rsidR="001B7545">
        <w:rPr>
          <w:lang w:val="fr-CA"/>
        </w:rPr>
        <w:t>’</w:t>
      </w:r>
      <w:r w:rsidR="001E58F3" w:rsidRPr="00FD59AC">
        <w:rPr>
          <w:lang w:val="fr-CA"/>
        </w:rPr>
        <w:t>on dit frauduleux ne s</w:t>
      </w:r>
      <w:r w:rsidR="001B7545">
        <w:rPr>
          <w:lang w:val="fr-CA"/>
        </w:rPr>
        <w:t>’</w:t>
      </w:r>
      <w:r w:rsidR="001E58F3" w:rsidRPr="00FD59AC">
        <w:rPr>
          <w:lang w:val="fr-CA"/>
        </w:rPr>
        <w:t>apparente pas à la supercherie ou au mensonge, la démonstration de l</w:t>
      </w:r>
      <w:r w:rsidR="001B7545">
        <w:rPr>
          <w:lang w:val="fr-CA"/>
        </w:rPr>
        <w:t>’</w:t>
      </w:r>
      <w:r w:rsidR="001E58F3" w:rsidRPr="00FD59AC">
        <w:rPr>
          <w:lang w:val="fr-CA"/>
        </w:rPr>
        <w:t>existence du lien de causalité entre le comportement malhonnête et la privation ne dépend pas nécessairement de la preuve que la victime s</w:t>
      </w:r>
      <w:r w:rsidR="001B7545">
        <w:rPr>
          <w:lang w:val="fr-CA"/>
        </w:rPr>
        <w:t>’</w:t>
      </w:r>
      <w:r w:rsidR="001E58F3" w:rsidRPr="00FD59AC">
        <w:rPr>
          <w:lang w:val="fr-CA"/>
        </w:rPr>
        <w:t>est fondée sur l</w:t>
      </w:r>
      <w:r w:rsidR="001B7545">
        <w:rPr>
          <w:lang w:val="fr-CA"/>
        </w:rPr>
        <w:t>’</w:t>
      </w:r>
      <w:r w:rsidR="001E58F3" w:rsidRPr="00FD59AC">
        <w:rPr>
          <w:lang w:val="fr-CA"/>
        </w:rPr>
        <w:t>acte frauduleux ou que cet acte frauduleux l</w:t>
      </w:r>
      <w:r w:rsidR="001B7545">
        <w:rPr>
          <w:lang w:val="fr-CA"/>
        </w:rPr>
        <w:t>’</w:t>
      </w:r>
      <w:r w:rsidR="001E58F3" w:rsidRPr="00FD59AC">
        <w:rPr>
          <w:lang w:val="fr-CA"/>
        </w:rPr>
        <w:t xml:space="preserve">a incitée à agir. Le comportement de R constituait un autre moyen </w:t>
      </w:r>
      <w:r w:rsidR="004F5205">
        <w:rPr>
          <w:spacing w:val="-3"/>
          <w:lang w:val="fr-CA"/>
        </w:rPr>
        <w:t>dolosif</w:t>
      </w:r>
      <w:r w:rsidR="00CC41A5">
        <w:rPr>
          <w:spacing w:val="-3"/>
          <w:lang w:val="fr-CA"/>
        </w:rPr>
        <w:t>,</w:t>
      </w:r>
      <w:r w:rsidR="004F5205">
        <w:rPr>
          <w:spacing w:val="-3"/>
          <w:lang w:val="fr-CA"/>
        </w:rPr>
        <w:t xml:space="preserve"> </w:t>
      </w:r>
      <w:r w:rsidR="001E58F3" w:rsidRPr="00FD59AC">
        <w:rPr>
          <w:lang w:val="fr-CA"/>
        </w:rPr>
        <w:t>parce qu</w:t>
      </w:r>
      <w:r w:rsidR="00CC41A5">
        <w:rPr>
          <w:lang w:val="fr-CA"/>
        </w:rPr>
        <w:t xml:space="preserve">’il </w:t>
      </w:r>
      <w:r w:rsidR="001E58F3" w:rsidRPr="00FD59AC">
        <w:rPr>
          <w:lang w:val="fr-CA"/>
        </w:rPr>
        <w:t xml:space="preserve">peut </w:t>
      </w:r>
      <w:r w:rsidR="00CC41A5">
        <w:rPr>
          <w:lang w:val="fr-CA"/>
        </w:rPr>
        <w:t xml:space="preserve">être </w:t>
      </w:r>
      <w:r w:rsidR="001E58F3" w:rsidRPr="00FD59AC">
        <w:rPr>
          <w:lang w:val="fr-CA"/>
        </w:rPr>
        <w:t xml:space="preserve">proprement </w:t>
      </w:r>
      <w:r w:rsidR="00CC41A5">
        <w:rPr>
          <w:lang w:val="fr-CA"/>
        </w:rPr>
        <w:t xml:space="preserve">qualifié de comportement </w:t>
      </w:r>
      <w:r w:rsidR="001E58F3" w:rsidRPr="00FD59AC">
        <w:rPr>
          <w:lang w:val="fr-CA"/>
        </w:rPr>
        <w:t xml:space="preserve">malhonnête </w:t>
      </w:r>
      <w:r w:rsidR="00CC41A5">
        <w:rPr>
          <w:lang w:val="fr-CA"/>
        </w:rPr>
        <w:t xml:space="preserve">ayant </w:t>
      </w:r>
      <w:r w:rsidR="001E58F3" w:rsidRPr="00FD59AC">
        <w:rPr>
          <w:lang w:val="fr-CA"/>
        </w:rPr>
        <w:t>créé un risque de privation pour les parieurs. Il existe un lien de causalité direct entre le comportement de R et le risque de privation financière des parieurs. Le juge du procès a commis une erreur de droit en concluant que les parieurs ne risquaient pas de subir une privation et que tout risque de privation était trop éloigné.</w:t>
      </w:r>
    </w:p>
    <w:p w:rsidR="001E58F3" w:rsidRPr="00FD59AC" w:rsidRDefault="0058531C" w:rsidP="0026172C">
      <w:pPr>
        <w:pStyle w:val="SCCNormalDoubleSpacing"/>
        <w:widowControl w:val="0"/>
        <w:spacing w:after="480"/>
        <w:rPr>
          <w:lang w:val="fr-CA"/>
        </w:rPr>
      </w:pPr>
      <w:r w:rsidRPr="00FD59AC">
        <w:rPr>
          <w:lang w:val="fr-CA"/>
        </w:rPr>
        <w:tab/>
      </w:r>
      <w:r w:rsidR="001E58F3" w:rsidRPr="00FD59AC">
        <w:rPr>
          <w:lang w:val="fr-CA"/>
        </w:rPr>
        <w:t>Le juge du procès a tiré les conclusions de fait nécessaires pour justifier les déclarations de culpabilité pour fraude prononcées par la Cour d</w:t>
      </w:r>
      <w:r w:rsidR="001B7545">
        <w:rPr>
          <w:lang w:val="fr-CA"/>
        </w:rPr>
        <w:t>’</w:t>
      </w:r>
      <w:r w:rsidR="001E58F3" w:rsidRPr="00FD59AC">
        <w:rPr>
          <w:lang w:val="fr-CA"/>
        </w:rPr>
        <w:t xml:space="preserve">appel, notamment en ce qui concerne les deux aspects requis </w:t>
      </w:r>
      <w:r w:rsidR="00CC41A5">
        <w:rPr>
          <w:lang w:val="fr-CA"/>
        </w:rPr>
        <w:t xml:space="preserve">pour établir </w:t>
      </w:r>
      <w:r w:rsidR="001E58F3" w:rsidRPr="00FD59AC">
        <w:rPr>
          <w:lang w:val="fr-CA"/>
        </w:rPr>
        <w:t xml:space="preserve">la </w:t>
      </w:r>
      <w:r w:rsidR="001E58F3" w:rsidRPr="00FD59AC">
        <w:rPr>
          <w:i/>
          <w:iCs/>
          <w:lang w:val="fr-CA"/>
        </w:rPr>
        <w:t xml:space="preserve">mens </w:t>
      </w:r>
      <w:proofErr w:type="spellStart"/>
      <w:r w:rsidR="001E58F3" w:rsidRPr="00FD59AC">
        <w:rPr>
          <w:i/>
          <w:iCs/>
          <w:lang w:val="fr-CA"/>
        </w:rPr>
        <w:t>rea</w:t>
      </w:r>
      <w:proofErr w:type="spellEnd"/>
      <w:r w:rsidR="001E58F3" w:rsidRPr="00FD59AC">
        <w:rPr>
          <w:i/>
          <w:iCs/>
          <w:lang w:val="fr-CA"/>
        </w:rPr>
        <w:t xml:space="preserve"> </w:t>
      </w:r>
      <w:r w:rsidR="001E58F3" w:rsidRPr="00FD59AC">
        <w:rPr>
          <w:lang w:val="fr-CA"/>
        </w:rPr>
        <w:t xml:space="preserve">exigée </w:t>
      </w:r>
      <w:r w:rsidR="00CC41A5">
        <w:rPr>
          <w:lang w:val="fr-CA"/>
        </w:rPr>
        <w:t xml:space="preserve">en matière </w:t>
      </w:r>
      <w:r w:rsidR="001E58F3" w:rsidRPr="00FD59AC">
        <w:rPr>
          <w:lang w:val="fr-CA"/>
        </w:rPr>
        <w:t>de fraude. Le juge du procès a conclu que R savait que les actes qu</w:t>
      </w:r>
      <w:r w:rsidR="001B7545">
        <w:rPr>
          <w:lang w:val="fr-CA"/>
        </w:rPr>
        <w:t>’</w:t>
      </w:r>
      <w:r w:rsidR="001E58F3" w:rsidRPr="00FD59AC">
        <w:rPr>
          <w:lang w:val="fr-CA"/>
        </w:rPr>
        <w:t>il commettait étaient malhonnêtes et</w:t>
      </w:r>
      <w:r w:rsidR="00CC41A5">
        <w:rPr>
          <w:lang w:val="fr-CA"/>
        </w:rPr>
        <w:t xml:space="preserve"> que</w:t>
      </w:r>
      <w:r w:rsidR="001E58F3" w:rsidRPr="00FD59AC">
        <w:rPr>
          <w:lang w:val="fr-CA"/>
        </w:rPr>
        <w:t xml:space="preserve">, dans le contexte des accusations </w:t>
      </w:r>
      <w:r w:rsidR="00CC41A5">
        <w:rPr>
          <w:lang w:val="fr-CA"/>
        </w:rPr>
        <w:t xml:space="preserve">d’avoir </w:t>
      </w:r>
      <w:r w:rsidR="001E58F3" w:rsidRPr="00FD59AC">
        <w:rPr>
          <w:lang w:val="fr-CA"/>
        </w:rPr>
        <w:t>trich</w:t>
      </w:r>
      <w:r w:rsidR="00CC41A5">
        <w:rPr>
          <w:lang w:val="fr-CA"/>
        </w:rPr>
        <w:t xml:space="preserve">é en pratiquant un </w:t>
      </w:r>
      <w:r w:rsidR="001E58F3" w:rsidRPr="00FD59AC">
        <w:rPr>
          <w:lang w:val="fr-CA"/>
        </w:rPr>
        <w:t>jeu, il savait que sa conduite malhonnête exposait les parieurs à un risque de privation, ce qui, après tout, correspond à la définition de la tricherie.</w:t>
      </w:r>
    </w:p>
    <w:p w:rsidR="004D7D95" w:rsidRPr="00FD59AC" w:rsidRDefault="004D7D95" w:rsidP="0026172C">
      <w:pPr>
        <w:pStyle w:val="SCCNormalDoubleSpacing"/>
        <w:widowControl w:val="0"/>
        <w:spacing w:after="720" w:line="240" w:lineRule="auto"/>
        <w:rPr>
          <w:b/>
          <w:lang w:val="fr-CA"/>
        </w:rPr>
      </w:pPr>
      <w:r w:rsidRPr="00FD59AC">
        <w:rPr>
          <w:b/>
          <w:lang w:val="fr-CA"/>
        </w:rPr>
        <w:t>Jurisprudence</w:t>
      </w:r>
    </w:p>
    <w:p w:rsidR="004D7D95" w:rsidRPr="00FD59AC" w:rsidRDefault="004D7D95" w:rsidP="0026172C">
      <w:pPr>
        <w:pStyle w:val="SCCNormalDoubleSpacing"/>
        <w:widowControl w:val="0"/>
        <w:spacing w:after="480"/>
        <w:rPr>
          <w:b/>
          <w:lang w:val="fr-CA"/>
        </w:rPr>
      </w:pPr>
      <w:r w:rsidRPr="00FD59AC">
        <w:rPr>
          <w:lang w:val="fr-CA"/>
        </w:rPr>
        <w:lastRenderedPageBreak/>
        <w:tab/>
      </w:r>
      <w:r w:rsidR="00CB19C8" w:rsidRPr="00FD59AC">
        <w:rPr>
          <w:b/>
          <w:bCs/>
          <w:lang w:val="fr-FR"/>
        </w:rPr>
        <w:t>Distinction d</w:t>
      </w:r>
      <w:r w:rsidR="001B7545">
        <w:rPr>
          <w:b/>
          <w:bCs/>
          <w:lang w:val="fr-FR"/>
        </w:rPr>
        <w:t>’</w:t>
      </w:r>
      <w:r w:rsidR="00CB19C8" w:rsidRPr="00FD59AC">
        <w:rPr>
          <w:b/>
          <w:bCs/>
          <w:lang w:val="fr-FR"/>
        </w:rPr>
        <w:t>avec l</w:t>
      </w:r>
      <w:r w:rsidR="001B7545">
        <w:rPr>
          <w:b/>
          <w:bCs/>
          <w:lang w:val="fr-FR"/>
        </w:rPr>
        <w:t>’</w:t>
      </w:r>
      <w:r w:rsidR="00CB19C8" w:rsidRPr="00FD59AC">
        <w:rPr>
          <w:b/>
          <w:bCs/>
          <w:lang w:val="fr-FR"/>
        </w:rPr>
        <w:t>arrêt</w:t>
      </w:r>
      <w:r w:rsidR="00450EF7">
        <w:rPr>
          <w:b/>
          <w:bCs/>
          <w:lang w:val="fr-FR"/>
        </w:rPr>
        <w:t> :</w:t>
      </w:r>
      <w:r w:rsidR="00CB19C8" w:rsidRPr="00FD59AC">
        <w:rPr>
          <w:lang w:val="fr-FR"/>
        </w:rPr>
        <w:t xml:space="preserve"> </w:t>
      </w:r>
      <w:proofErr w:type="spellStart"/>
      <w:r w:rsidR="00CB19C8" w:rsidRPr="00FD59AC">
        <w:rPr>
          <w:i/>
          <w:lang w:val="fr-CA"/>
        </w:rPr>
        <w:t>Harless</w:t>
      </w:r>
      <w:proofErr w:type="spellEnd"/>
      <w:r w:rsidR="00CB19C8" w:rsidRPr="00FD59AC">
        <w:rPr>
          <w:i/>
          <w:lang w:val="fr-CA"/>
        </w:rPr>
        <w:t xml:space="preserve"> c. United States</w:t>
      </w:r>
      <w:r w:rsidR="00CB19C8" w:rsidRPr="00FD59AC">
        <w:rPr>
          <w:lang w:val="fr-CA"/>
        </w:rPr>
        <w:t xml:space="preserve">, 1 Morris 169 (1843); </w:t>
      </w:r>
      <w:r w:rsidR="00CB19C8" w:rsidRPr="00FD59AC">
        <w:rPr>
          <w:b/>
          <w:lang w:val="fr-CA"/>
        </w:rPr>
        <w:t>a</w:t>
      </w:r>
      <w:r w:rsidRPr="00FD59AC">
        <w:rPr>
          <w:b/>
          <w:lang w:val="fr-CA"/>
        </w:rPr>
        <w:t>rrêts mentionnés</w:t>
      </w:r>
      <w:r w:rsidR="00450EF7">
        <w:rPr>
          <w:b/>
          <w:lang w:val="fr-CA"/>
        </w:rPr>
        <w:t> :</w:t>
      </w:r>
      <w:r w:rsidRPr="00FD59AC">
        <w:rPr>
          <w:lang w:val="fr-CA"/>
        </w:rPr>
        <w:t xml:space="preserve"> </w:t>
      </w:r>
      <w:r w:rsidR="00C026A0" w:rsidRPr="00FD59AC">
        <w:rPr>
          <w:i/>
          <w:lang w:val="fr-CA"/>
        </w:rPr>
        <w:t>Ross</w:t>
      </w:r>
      <w:r w:rsidR="00243305" w:rsidRPr="00FD59AC">
        <w:rPr>
          <w:i/>
          <w:lang w:val="fr-CA"/>
        </w:rPr>
        <w:t>, Banks and Dyson</w:t>
      </w:r>
      <w:r w:rsidR="00C026A0" w:rsidRPr="00FD59AC">
        <w:rPr>
          <w:i/>
          <w:lang w:val="fr-CA"/>
        </w:rPr>
        <w:t xml:space="preserve"> c. The </w:t>
      </w:r>
      <w:proofErr w:type="spellStart"/>
      <w:r w:rsidR="00C026A0" w:rsidRPr="00FD59AC">
        <w:rPr>
          <w:i/>
          <w:lang w:val="fr-CA"/>
        </w:rPr>
        <w:t>Queen</w:t>
      </w:r>
      <w:proofErr w:type="spellEnd"/>
      <w:r w:rsidR="00C026A0" w:rsidRPr="00FD59AC">
        <w:rPr>
          <w:lang w:val="fr-CA"/>
        </w:rPr>
        <w:t xml:space="preserve">, [1968] R.C.S. 786; </w:t>
      </w:r>
      <w:r w:rsidR="00C026A0" w:rsidRPr="00FD59AC">
        <w:rPr>
          <w:i/>
          <w:lang w:val="fr-CA"/>
        </w:rPr>
        <w:t>R. c. Graveline</w:t>
      </w:r>
      <w:r w:rsidR="00C026A0" w:rsidRPr="00FD59AC">
        <w:rPr>
          <w:lang w:val="fr-CA"/>
        </w:rPr>
        <w:t xml:space="preserve">, 2006 CSC 16, [2006] 1 </w:t>
      </w:r>
      <w:r w:rsidR="006E10BA" w:rsidRPr="00FD59AC">
        <w:rPr>
          <w:lang w:val="fr-CA"/>
        </w:rPr>
        <w:t xml:space="preserve">R.C.S. </w:t>
      </w:r>
      <w:r w:rsidR="00C026A0" w:rsidRPr="00FD59AC">
        <w:rPr>
          <w:lang w:val="fr-CA"/>
        </w:rPr>
        <w:t xml:space="preserve">609; </w:t>
      </w:r>
      <w:r w:rsidR="00C026A0" w:rsidRPr="00FD59AC">
        <w:rPr>
          <w:i/>
          <w:lang w:val="fr-CA"/>
        </w:rPr>
        <w:t xml:space="preserve">R. </w:t>
      </w:r>
      <w:r w:rsidR="006E10BA" w:rsidRPr="00FD59AC">
        <w:rPr>
          <w:i/>
          <w:lang w:val="fr-CA"/>
        </w:rPr>
        <w:t>c</w:t>
      </w:r>
      <w:r w:rsidR="00C026A0" w:rsidRPr="00FD59AC">
        <w:rPr>
          <w:i/>
          <w:lang w:val="fr-CA"/>
        </w:rPr>
        <w:t xml:space="preserve">. </w:t>
      </w:r>
      <w:proofErr w:type="spellStart"/>
      <w:r w:rsidR="00C026A0" w:rsidRPr="00FD59AC">
        <w:rPr>
          <w:i/>
          <w:lang w:val="fr-CA"/>
        </w:rPr>
        <w:t>Théroux</w:t>
      </w:r>
      <w:proofErr w:type="spellEnd"/>
      <w:r w:rsidR="00C026A0" w:rsidRPr="00FD59AC">
        <w:rPr>
          <w:lang w:val="fr-CA"/>
        </w:rPr>
        <w:t xml:space="preserve">, [1993] 2 </w:t>
      </w:r>
      <w:r w:rsidR="006E10BA" w:rsidRPr="00FD59AC">
        <w:rPr>
          <w:lang w:val="fr-CA"/>
        </w:rPr>
        <w:t xml:space="preserve">R.C.S. </w:t>
      </w:r>
      <w:r w:rsidR="00C026A0" w:rsidRPr="00FD59AC">
        <w:rPr>
          <w:lang w:val="fr-CA"/>
        </w:rPr>
        <w:t xml:space="preserve">5; </w:t>
      </w:r>
      <w:r w:rsidR="00C026A0" w:rsidRPr="00FD59AC">
        <w:rPr>
          <w:i/>
          <w:lang w:val="fr-CA"/>
        </w:rPr>
        <w:t xml:space="preserve">R. </w:t>
      </w:r>
      <w:r w:rsidR="006E10BA" w:rsidRPr="00FD59AC">
        <w:rPr>
          <w:i/>
          <w:lang w:val="fr-CA"/>
        </w:rPr>
        <w:t>c</w:t>
      </w:r>
      <w:r w:rsidR="00C026A0" w:rsidRPr="00FD59AC">
        <w:rPr>
          <w:i/>
          <w:lang w:val="fr-CA"/>
        </w:rPr>
        <w:t xml:space="preserve">. </w:t>
      </w:r>
      <w:proofErr w:type="spellStart"/>
      <w:r w:rsidR="00C026A0" w:rsidRPr="00FD59AC">
        <w:rPr>
          <w:i/>
          <w:lang w:val="fr-CA"/>
        </w:rPr>
        <w:t>Zlatic</w:t>
      </w:r>
      <w:proofErr w:type="spellEnd"/>
      <w:r w:rsidR="00C026A0" w:rsidRPr="00FD59AC">
        <w:rPr>
          <w:lang w:val="fr-CA"/>
        </w:rPr>
        <w:t xml:space="preserve">, [1993] 2 </w:t>
      </w:r>
      <w:r w:rsidR="006E10BA" w:rsidRPr="00FD59AC">
        <w:rPr>
          <w:lang w:val="fr-CA"/>
        </w:rPr>
        <w:t xml:space="preserve">R.C.S. </w:t>
      </w:r>
      <w:r w:rsidR="00C026A0" w:rsidRPr="00FD59AC">
        <w:rPr>
          <w:lang w:val="fr-CA"/>
        </w:rPr>
        <w:t xml:space="preserve">29; </w:t>
      </w:r>
      <w:r w:rsidR="00C026A0" w:rsidRPr="00FD59AC">
        <w:rPr>
          <w:i/>
          <w:lang w:val="fr-CA"/>
        </w:rPr>
        <w:t xml:space="preserve">R. </w:t>
      </w:r>
      <w:r w:rsidR="006E10BA" w:rsidRPr="00FD59AC">
        <w:rPr>
          <w:i/>
          <w:lang w:val="fr-CA"/>
        </w:rPr>
        <w:t>c</w:t>
      </w:r>
      <w:r w:rsidR="00C026A0" w:rsidRPr="00FD59AC">
        <w:rPr>
          <w:i/>
          <w:lang w:val="fr-CA"/>
        </w:rPr>
        <w:t xml:space="preserve">. </w:t>
      </w:r>
      <w:proofErr w:type="spellStart"/>
      <w:r w:rsidR="00C026A0" w:rsidRPr="00FD59AC">
        <w:rPr>
          <w:i/>
          <w:lang w:val="fr-CA"/>
        </w:rPr>
        <w:t>Olan</w:t>
      </w:r>
      <w:proofErr w:type="spellEnd"/>
      <w:r w:rsidR="00C026A0" w:rsidRPr="00FD59AC">
        <w:rPr>
          <w:lang w:val="fr-CA"/>
        </w:rPr>
        <w:t xml:space="preserve">, [1978] 2 </w:t>
      </w:r>
      <w:r w:rsidR="006E10BA" w:rsidRPr="00FD59AC">
        <w:rPr>
          <w:lang w:val="fr-CA"/>
        </w:rPr>
        <w:t xml:space="preserve">R.C.S. </w:t>
      </w:r>
      <w:r w:rsidR="00C026A0" w:rsidRPr="00FD59AC">
        <w:rPr>
          <w:lang w:val="fr-CA"/>
        </w:rPr>
        <w:t xml:space="preserve">1175; </w:t>
      </w:r>
      <w:r w:rsidR="00C026A0" w:rsidRPr="00FD59AC">
        <w:rPr>
          <w:i/>
          <w:lang w:val="fr-CA"/>
        </w:rPr>
        <w:t xml:space="preserve">Scott </w:t>
      </w:r>
      <w:r w:rsidR="006E10BA" w:rsidRPr="00FD59AC">
        <w:rPr>
          <w:i/>
          <w:lang w:val="fr-CA"/>
        </w:rPr>
        <w:t>c</w:t>
      </w:r>
      <w:r w:rsidR="00C026A0" w:rsidRPr="00FD59AC">
        <w:rPr>
          <w:i/>
          <w:lang w:val="fr-CA"/>
        </w:rPr>
        <w:t xml:space="preserve">. </w:t>
      </w:r>
      <w:proofErr w:type="spellStart"/>
      <w:r w:rsidR="00C026A0" w:rsidRPr="00FD59AC">
        <w:rPr>
          <w:i/>
          <w:lang w:val="fr-CA"/>
        </w:rPr>
        <w:t>Metropolitan</w:t>
      </w:r>
      <w:proofErr w:type="spellEnd"/>
      <w:r w:rsidR="00C026A0" w:rsidRPr="00FD59AC">
        <w:rPr>
          <w:i/>
          <w:lang w:val="fr-CA"/>
        </w:rPr>
        <w:t xml:space="preserve"> Police </w:t>
      </w:r>
      <w:proofErr w:type="spellStart"/>
      <w:r w:rsidR="00C026A0" w:rsidRPr="00FD59AC">
        <w:rPr>
          <w:i/>
          <w:lang w:val="fr-CA"/>
        </w:rPr>
        <w:t>Commissioner</w:t>
      </w:r>
      <w:proofErr w:type="spellEnd"/>
      <w:r w:rsidR="00C026A0" w:rsidRPr="00FD59AC">
        <w:rPr>
          <w:lang w:val="fr-CA"/>
        </w:rPr>
        <w:t xml:space="preserve">, [1975] A.C. 819; </w:t>
      </w:r>
      <w:r w:rsidR="00C026A0" w:rsidRPr="00FD59AC">
        <w:rPr>
          <w:i/>
          <w:lang w:val="fr-CA"/>
        </w:rPr>
        <w:t>Vézina</w:t>
      </w:r>
      <w:r w:rsidR="00244C33" w:rsidRPr="00FD59AC">
        <w:rPr>
          <w:i/>
          <w:lang w:val="fr-CA"/>
        </w:rPr>
        <w:t xml:space="preserve"> et Côté</w:t>
      </w:r>
      <w:r w:rsidR="00C026A0" w:rsidRPr="00FD59AC">
        <w:rPr>
          <w:i/>
          <w:lang w:val="fr-CA"/>
        </w:rPr>
        <w:t xml:space="preserve"> </w:t>
      </w:r>
      <w:r w:rsidR="006E10BA" w:rsidRPr="00FD59AC">
        <w:rPr>
          <w:i/>
          <w:lang w:val="fr-CA"/>
        </w:rPr>
        <w:t>c</w:t>
      </w:r>
      <w:r w:rsidR="00C026A0" w:rsidRPr="00FD59AC">
        <w:rPr>
          <w:i/>
          <w:lang w:val="fr-CA"/>
        </w:rPr>
        <w:t xml:space="preserve">. </w:t>
      </w:r>
      <w:r w:rsidR="006E10BA" w:rsidRPr="00FD59AC">
        <w:rPr>
          <w:i/>
          <w:lang w:val="fr-CA"/>
        </w:rPr>
        <w:t>La Reine</w:t>
      </w:r>
      <w:r w:rsidR="00C026A0" w:rsidRPr="00FD59AC">
        <w:rPr>
          <w:lang w:val="fr-CA"/>
        </w:rPr>
        <w:t xml:space="preserve">, [1986] 1 </w:t>
      </w:r>
      <w:r w:rsidR="006E10BA" w:rsidRPr="00FD59AC">
        <w:rPr>
          <w:lang w:val="fr-CA"/>
        </w:rPr>
        <w:t xml:space="preserve">R.C.S. </w:t>
      </w:r>
      <w:r w:rsidR="00C026A0" w:rsidRPr="00FD59AC">
        <w:rPr>
          <w:lang w:val="fr-CA"/>
        </w:rPr>
        <w:t xml:space="preserve">2; </w:t>
      </w:r>
      <w:r w:rsidR="00C026A0" w:rsidRPr="00FD59AC">
        <w:rPr>
          <w:i/>
          <w:lang w:val="fr-CA"/>
        </w:rPr>
        <w:t xml:space="preserve">R. </w:t>
      </w:r>
      <w:r w:rsidR="006E10BA" w:rsidRPr="00FD59AC">
        <w:rPr>
          <w:i/>
          <w:lang w:val="fr-CA"/>
        </w:rPr>
        <w:t>c</w:t>
      </w:r>
      <w:r w:rsidR="00C026A0" w:rsidRPr="00FD59AC">
        <w:rPr>
          <w:i/>
          <w:lang w:val="fr-CA"/>
        </w:rPr>
        <w:t xml:space="preserve">. </w:t>
      </w:r>
      <w:proofErr w:type="spellStart"/>
      <w:r w:rsidR="00C026A0" w:rsidRPr="00FD59AC">
        <w:rPr>
          <w:i/>
          <w:lang w:val="fr-CA"/>
        </w:rPr>
        <w:t>Cassidy</w:t>
      </w:r>
      <w:proofErr w:type="spellEnd"/>
      <w:r w:rsidR="00C026A0" w:rsidRPr="00FD59AC">
        <w:rPr>
          <w:lang w:val="fr-CA"/>
        </w:rPr>
        <w:t xml:space="preserve">, [1989] 2 </w:t>
      </w:r>
      <w:r w:rsidR="006E10BA" w:rsidRPr="00FD59AC">
        <w:rPr>
          <w:lang w:val="fr-CA"/>
        </w:rPr>
        <w:t xml:space="preserve">R.C.S. </w:t>
      </w:r>
      <w:r w:rsidR="00C026A0" w:rsidRPr="00FD59AC">
        <w:rPr>
          <w:lang w:val="fr-CA"/>
        </w:rPr>
        <w:t>345.</w:t>
      </w:r>
    </w:p>
    <w:p w:rsidR="004D7D95" w:rsidRPr="00FD59AC" w:rsidRDefault="004D7D95" w:rsidP="0026172C">
      <w:pPr>
        <w:pStyle w:val="SCCNormalDoubleSpacing"/>
        <w:widowControl w:val="0"/>
        <w:spacing w:after="720" w:line="240" w:lineRule="auto"/>
        <w:rPr>
          <w:b/>
          <w:lang w:val="fr-CA"/>
        </w:rPr>
      </w:pPr>
      <w:r w:rsidRPr="00FD59AC">
        <w:rPr>
          <w:b/>
          <w:lang w:val="fr-CA"/>
        </w:rPr>
        <w:t>Lois et règlements cités</w:t>
      </w:r>
    </w:p>
    <w:p w:rsidR="00C026A0" w:rsidRPr="00FD59AC" w:rsidRDefault="00C026A0" w:rsidP="005302A9">
      <w:pPr>
        <w:pStyle w:val="SCCNormalDoubleSpacing"/>
        <w:widowControl w:val="0"/>
        <w:spacing w:after="480" w:line="240" w:lineRule="auto"/>
        <w:ind w:left="547" w:hanging="547"/>
        <w:rPr>
          <w:lang w:val="fr-CA"/>
        </w:rPr>
      </w:pPr>
      <w:r w:rsidRPr="00FD59AC">
        <w:rPr>
          <w:i/>
          <w:lang w:val="fr-CA"/>
        </w:rPr>
        <w:t>Code criminel</w:t>
      </w:r>
      <w:r w:rsidR="001264D6" w:rsidRPr="00FD59AC">
        <w:rPr>
          <w:lang w:val="fr-CA"/>
        </w:rPr>
        <w:t>, L.R.C. 1985, c. </w:t>
      </w:r>
      <w:r w:rsidRPr="00FD59AC">
        <w:rPr>
          <w:lang w:val="fr-CA"/>
        </w:rPr>
        <w:t>C</w:t>
      </w:r>
      <w:r w:rsidR="00450EF7">
        <w:rPr>
          <w:lang w:val="fr-CA"/>
        </w:rPr>
        <w:noBreakHyphen/>
      </w:r>
      <w:r w:rsidRPr="00FD59AC">
        <w:rPr>
          <w:lang w:val="fr-CA"/>
        </w:rPr>
        <w:t xml:space="preserve">46, </w:t>
      </w:r>
      <w:r w:rsidR="00450EF7">
        <w:rPr>
          <w:lang w:val="fr-CA"/>
        </w:rPr>
        <w:t>art. </w:t>
      </w:r>
      <w:r w:rsidRPr="00FD59AC">
        <w:rPr>
          <w:lang w:val="fr-CA"/>
        </w:rPr>
        <w:t>197(1) « </w:t>
      </w:r>
      <w:r w:rsidR="00CB4495" w:rsidRPr="00FD59AC">
        <w:rPr>
          <w:lang w:val="fr-CA"/>
        </w:rPr>
        <w:t>jeu</w:t>
      </w:r>
      <w:r w:rsidRPr="00FD59AC">
        <w:rPr>
          <w:lang w:val="fr-CA"/>
        </w:rPr>
        <w:t> »</w:t>
      </w:r>
      <w:r w:rsidR="00BB2182" w:rsidRPr="00FD59AC">
        <w:rPr>
          <w:lang w:val="fr-CA"/>
        </w:rPr>
        <w:t>,</w:t>
      </w:r>
      <w:r w:rsidRPr="00FD59AC">
        <w:rPr>
          <w:lang w:val="fr-CA"/>
        </w:rPr>
        <w:t xml:space="preserve"> 209, 380(1).</w:t>
      </w:r>
    </w:p>
    <w:p w:rsidR="006F00A8" w:rsidRPr="00FD59AC" w:rsidRDefault="006F00A8" w:rsidP="0026172C">
      <w:pPr>
        <w:pStyle w:val="SCCNormalDoubleSpacing"/>
        <w:widowControl w:val="0"/>
        <w:spacing w:after="720" w:line="240" w:lineRule="auto"/>
        <w:ind w:left="547" w:hanging="547"/>
      </w:pPr>
      <w:r w:rsidRPr="005302A9">
        <w:rPr>
          <w:lang w:val="en-US"/>
        </w:rPr>
        <w:t xml:space="preserve">Ontario. </w:t>
      </w:r>
      <w:r w:rsidRPr="00FD59AC">
        <w:t>Commission</w:t>
      </w:r>
      <w:r w:rsidR="0006681C" w:rsidRPr="00FD59AC">
        <w:t xml:space="preserve"> des courses</w:t>
      </w:r>
      <w:r w:rsidRPr="00FD59AC">
        <w:t xml:space="preserve">. </w:t>
      </w:r>
      <w:r w:rsidR="008666B0" w:rsidRPr="00FD59AC">
        <w:rPr>
          <w:i/>
        </w:rPr>
        <w:t>Rules of Standardbred Racing, 2008</w:t>
      </w:r>
      <w:r w:rsidR="008666B0" w:rsidRPr="00FD59AC">
        <w:t>, r. 10.01</w:t>
      </w:r>
      <w:r w:rsidRPr="00FD59AC">
        <w:t>.</w:t>
      </w:r>
    </w:p>
    <w:p w:rsidR="004D7D95" w:rsidRPr="00FD59AC" w:rsidRDefault="004D7D95" w:rsidP="0026172C">
      <w:pPr>
        <w:pStyle w:val="SCCNormalDoubleSpacing"/>
        <w:widowControl w:val="0"/>
        <w:spacing w:after="480"/>
        <w:rPr>
          <w:lang w:val="fr-CA"/>
        </w:rPr>
      </w:pPr>
      <w:r w:rsidRPr="00FD59AC">
        <w:tab/>
      </w:r>
      <w:r w:rsidRPr="00FD59AC">
        <w:rPr>
          <w:lang w:val="fr-CA"/>
        </w:rPr>
        <w:t>POURVOI contre un arrêt de la Cour d</w:t>
      </w:r>
      <w:r w:rsidR="001B7545">
        <w:rPr>
          <w:lang w:val="fr-CA"/>
        </w:rPr>
        <w:t>’</w:t>
      </w:r>
      <w:r w:rsidRPr="00FD59AC">
        <w:rPr>
          <w:lang w:val="fr-CA"/>
        </w:rPr>
        <w:t>appel de l</w:t>
      </w:r>
      <w:r w:rsidR="001B7545">
        <w:rPr>
          <w:lang w:val="fr-CA"/>
        </w:rPr>
        <w:t>’</w:t>
      </w:r>
      <w:r w:rsidRPr="00FD59AC">
        <w:rPr>
          <w:lang w:val="fr-CA"/>
        </w:rPr>
        <w:t>Ontario</w:t>
      </w:r>
      <w:r w:rsidR="00CC5FE3" w:rsidRPr="00FD59AC">
        <w:rPr>
          <w:lang w:val="fr-CA"/>
        </w:rPr>
        <w:t xml:space="preserve"> (les juges Simmons, Rouleau et </w:t>
      </w:r>
      <w:proofErr w:type="spellStart"/>
      <w:r w:rsidR="00CC5FE3" w:rsidRPr="00FD59AC">
        <w:rPr>
          <w:lang w:val="fr-CA"/>
        </w:rPr>
        <w:t>Tulloch</w:t>
      </w:r>
      <w:proofErr w:type="spellEnd"/>
      <w:r w:rsidR="00CC5FE3" w:rsidRPr="00FD59AC">
        <w:rPr>
          <w:lang w:val="fr-CA"/>
        </w:rPr>
        <w:t xml:space="preserve">), 2014 ONCA 744, 122 O.R. (3d) 594, 316 C.C.C. (3d) 527, 325 O.A.C. 351, [2014] O.J. </w:t>
      </w:r>
      <w:r w:rsidR="00450EF7">
        <w:rPr>
          <w:lang w:val="fr-CA"/>
        </w:rPr>
        <w:t>No. </w:t>
      </w:r>
      <w:r w:rsidR="00CC5FE3" w:rsidRPr="00FD59AC">
        <w:rPr>
          <w:lang w:val="fr-CA"/>
        </w:rPr>
        <w:t xml:space="preserve">5094 (QL), 2014 </w:t>
      </w:r>
      <w:proofErr w:type="spellStart"/>
      <w:r w:rsidR="00CC5FE3" w:rsidRPr="00FD59AC">
        <w:rPr>
          <w:lang w:val="fr-CA"/>
        </w:rPr>
        <w:t>CarswellOnt</w:t>
      </w:r>
      <w:proofErr w:type="spellEnd"/>
      <w:r w:rsidR="00CC5FE3" w:rsidRPr="00FD59AC">
        <w:rPr>
          <w:lang w:val="fr-CA"/>
        </w:rPr>
        <w:t xml:space="preserve"> 14907 (WL Can.), qui a annulé les verdicts d</w:t>
      </w:r>
      <w:r w:rsidR="001B7545">
        <w:rPr>
          <w:lang w:val="fr-CA"/>
        </w:rPr>
        <w:t>’</w:t>
      </w:r>
      <w:r w:rsidR="00CC5FE3" w:rsidRPr="00FD59AC">
        <w:rPr>
          <w:lang w:val="fr-CA"/>
        </w:rPr>
        <w:t>acquittement de l</w:t>
      </w:r>
      <w:r w:rsidR="001B7545">
        <w:rPr>
          <w:lang w:val="fr-CA"/>
        </w:rPr>
        <w:t>’</w:t>
      </w:r>
      <w:r w:rsidR="00CC5FE3" w:rsidRPr="00FD59AC">
        <w:rPr>
          <w:lang w:val="fr-CA"/>
        </w:rPr>
        <w:t>accusé et ordonné la tenue d</w:t>
      </w:r>
      <w:r w:rsidR="001B7545">
        <w:rPr>
          <w:lang w:val="fr-CA"/>
        </w:rPr>
        <w:t>’</w:t>
      </w:r>
      <w:r w:rsidR="00CC5FE3" w:rsidRPr="00FD59AC">
        <w:rPr>
          <w:lang w:val="fr-CA"/>
        </w:rPr>
        <w:t>un nouveau procès.</w:t>
      </w:r>
      <w:r w:rsidR="00471C01" w:rsidRPr="00FD59AC">
        <w:rPr>
          <w:lang w:val="fr-CA"/>
        </w:rPr>
        <w:t xml:space="preserve"> Pourvoi rejeté.</w:t>
      </w:r>
    </w:p>
    <w:p w:rsidR="00A3796D" w:rsidRPr="00FD59AC" w:rsidRDefault="00CC5FE3" w:rsidP="0026172C">
      <w:pPr>
        <w:pStyle w:val="SCCNormalDoubleSpacing"/>
        <w:widowControl w:val="0"/>
        <w:spacing w:after="480"/>
        <w:rPr>
          <w:lang w:val="fr-CA"/>
        </w:rPr>
      </w:pPr>
      <w:r w:rsidRPr="00FD59AC">
        <w:rPr>
          <w:rStyle w:val="SCCCounselNameChar"/>
          <w:i w:val="0"/>
          <w:lang w:val="fr-CA"/>
        </w:rPr>
        <w:tab/>
      </w:r>
      <w:r w:rsidRPr="00FD59AC">
        <w:rPr>
          <w:rStyle w:val="SCCCounselNameChar"/>
          <w:lang w:val="fr-CA"/>
        </w:rPr>
        <w:t>Gregory Lafontaine</w:t>
      </w:r>
      <w:r w:rsidRPr="00FD59AC">
        <w:rPr>
          <w:rStyle w:val="SCCCounselPartyRoleChar"/>
          <w:lang w:val="fr-CA"/>
        </w:rPr>
        <w:t>, pour l</w:t>
      </w:r>
      <w:r w:rsidR="001B7545">
        <w:rPr>
          <w:rStyle w:val="SCCCounselPartyRoleChar"/>
          <w:lang w:val="fr-CA"/>
        </w:rPr>
        <w:t>’</w:t>
      </w:r>
      <w:r w:rsidR="00471C01" w:rsidRPr="00FD59AC">
        <w:rPr>
          <w:rStyle w:val="SCCCounselPartyRoleChar"/>
          <w:lang w:val="fr-CA"/>
        </w:rPr>
        <w:t>appelant</w:t>
      </w:r>
      <w:r w:rsidRPr="00FD59AC">
        <w:rPr>
          <w:rStyle w:val="SCCCounselPartyRoleChar"/>
          <w:lang w:val="fr-CA"/>
        </w:rPr>
        <w:t>.</w:t>
      </w:r>
    </w:p>
    <w:p w:rsidR="00A3796D" w:rsidRDefault="00CC5FE3" w:rsidP="0026172C">
      <w:pPr>
        <w:pStyle w:val="SCCNormalDoubleSpacing"/>
        <w:widowControl w:val="0"/>
        <w:spacing w:after="480"/>
        <w:rPr>
          <w:rStyle w:val="SCCCounselPartyRoleChar"/>
          <w:lang w:val="fr-CA"/>
        </w:rPr>
      </w:pPr>
      <w:r w:rsidRPr="00FD59AC">
        <w:rPr>
          <w:rStyle w:val="SCCCounselNameChar"/>
          <w:i w:val="0"/>
          <w:lang w:val="fr-CA"/>
        </w:rPr>
        <w:tab/>
      </w:r>
      <w:r w:rsidRPr="00FD59AC">
        <w:rPr>
          <w:rStyle w:val="SCCCounselNameChar"/>
          <w:lang w:val="fr-CA"/>
        </w:rPr>
        <w:t>Michael Kelly</w:t>
      </w:r>
      <w:r w:rsidRPr="00FD59AC">
        <w:rPr>
          <w:rStyle w:val="SCCCounselNameChar"/>
          <w:i w:val="0"/>
          <w:lang w:val="fr-CA"/>
        </w:rPr>
        <w:t xml:space="preserve"> </w:t>
      </w:r>
      <w:r w:rsidRPr="00FD59AC">
        <w:rPr>
          <w:rStyle w:val="SCCCounselSeparatorChar"/>
          <w:lang w:val="fr-CA"/>
        </w:rPr>
        <w:t>et</w:t>
      </w:r>
      <w:r w:rsidRPr="00FD59AC">
        <w:rPr>
          <w:rStyle w:val="SCCCounselNameChar"/>
          <w:i w:val="0"/>
          <w:lang w:val="fr-CA"/>
        </w:rPr>
        <w:t xml:space="preserve"> </w:t>
      </w:r>
      <w:r w:rsidRPr="00FD59AC">
        <w:rPr>
          <w:rStyle w:val="SCCCounselNameChar"/>
          <w:lang w:val="fr-CA"/>
        </w:rPr>
        <w:t>Matthew Asma</w:t>
      </w:r>
      <w:r w:rsidRPr="00FD59AC">
        <w:rPr>
          <w:rStyle w:val="SCCCounselPartyRoleChar"/>
          <w:lang w:val="fr-CA"/>
        </w:rPr>
        <w:t>, pour l</w:t>
      </w:r>
      <w:r w:rsidR="001B7545">
        <w:rPr>
          <w:rStyle w:val="SCCCounselPartyRoleChar"/>
          <w:lang w:val="fr-CA"/>
        </w:rPr>
        <w:t>’</w:t>
      </w:r>
      <w:r w:rsidRPr="00FD59AC">
        <w:rPr>
          <w:rStyle w:val="SCCCounselPartyRoleChar"/>
          <w:lang w:val="fr-CA"/>
        </w:rPr>
        <w:t>intimée.</w:t>
      </w:r>
    </w:p>
    <w:p w:rsidR="001E29AF" w:rsidRPr="00FD59AC" w:rsidRDefault="001E29AF" w:rsidP="0026172C">
      <w:pPr>
        <w:pStyle w:val="SCCNormalDoubleSpacing"/>
        <w:widowControl w:val="0"/>
        <w:spacing w:after="480"/>
        <w:rPr>
          <w:lang w:val="fr-CA"/>
        </w:rPr>
      </w:pPr>
      <w:r>
        <w:rPr>
          <w:rStyle w:val="SCCCounselPartyRoleChar"/>
          <w:lang w:val="fr-CA"/>
        </w:rPr>
        <w:tab/>
        <w:t>Version française du jugement de la Cour rendu par</w:t>
      </w:r>
    </w:p>
    <w:p w:rsidR="0026172C" w:rsidRPr="003D7205" w:rsidRDefault="001E29AF" w:rsidP="0026172C">
      <w:pPr>
        <w:pStyle w:val="JudgeJuge"/>
        <w:widowControl w:val="0"/>
        <w:spacing w:before="480"/>
        <w:rPr>
          <w:lang w:val="fr-CA"/>
        </w:rPr>
      </w:pPr>
      <w:r>
        <w:rPr>
          <w:lang w:val="fr-CA"/>
        </w:rPr>
        <w:lastRenderedPageBreak/>
        <w:tab/>
      </w:r>
      <w:r w:rsidR="0026172C" w:rsidRPr="003D7205">
        <w:rPr>
          <w:lang w:val="fr-CA"/>
        </w:rPr>
        <w:t xml:space="preserve">Le juge Cromwell — </w:t>
      </w:r>
    </w:p>
    <w:p w:rsidR="0026172C" w:rsidRPr="003D7205" w:rsidRDefault="0026172C" w:rsidP="0026172C">
      <w:pPr>
        <w:pStyle w:val="Title1LevelTitre1Niveau-AltL"/>
        <w:widowControl w:val="0"/>
        <w:rPr>
          <w:lang w:val="fr-CA"/>
        </w:rPr>
      </w:pPr>
      <w:r w:rsidRPr="003D7205">
        <w:rPr>
          <w:lang w:val="fr-CA"/>
        </w:rPr>
        <w:t>Introduction</w:t>
      </w:r>
    </w:p>
    <w:p w:rsidR="0026172C" w:rsidRPr="003D7205" w:rsidRDefault="0026172C" w:rsidP="0026172C">
      <w:pPr>
        <w:pStyle w:val="ParaNoNdepar-AltN"/>
        <w:widowControl w:val="0"/>
        <w:numPr>
          <w:ilvl w:val="0"/>
          <w:numId w:val="2"/>
        </w:numPr>
        <w:rPr>
          <w:lang w:val="fr-CA"/>
        </w:rPr>
      </w:pPr>
      <w:r w:rsidRPr="003D7205">
        <w:rPr>
          <w:lang w:val="fr-CA"/>
        </w:rPr>
        <w:t xml:space="preserve">Le présent pourvoi a été entendu et rejeté le 13 octobre 2015, avec motifs à suivre. Voici ces motifs. </w:t>
      </w:r>
    </w:p>
    <w:p w:rsidR="0026172C" w:rsidRPr="003D7205" w:rsidRDefault="0026172C" w:rsidP="0026172C">
      <w:pPr>
        <w:pStyle w:val="ParaNoNdepar-AltN"/>
        <w:widowControl w:val="0"/>
        <w:numPr>
          <w:ilvl w:val="0"/>
          <w:numId w:val="2"/>
        </w:numPr>
        <w:rPr>
          <w:lang w:val="fr-CA"/>
        </w:rPr>
      </w:pPr>
      <w:r w:rsidRPr="003D7205">
        <w:rPr>
          <w:lang w:val="fr-CA"/>
        </w:rPr>
        <w:t>L’appelant, M. </w:t>
      </w:r>
      <w:proofErr w:type="spellStart"/>
      <w:r w:rsidRPr="003D7205">
        <w:rPr>
          <w:lang w:val="fr-CA"/>
        </w:rPr>
        <w:t>Riesberry</w:t>
      </w:r>
      <w:proofErr w:type="spellEnd"/>
      <w:r w:rsidRPr="003D7205">
        <w:rPr>
          <w:lang w:val="fr-CA"/>
        </w:rPr>
        <w:t xml:space="preserve">, a tenté de truquer deux courses de chevaux en droguant deux chevaux. La question à la base du pourvoi est de savoir si les dispositions du </w:t>
      </w:r>
      <w:r w:rsidRPr="003D7205">
        <w:rPr>
          <w:i/>
          <w:iCs/>
          <w:lang w:val="fr-CA"/>
        </w:rPr>
        <w:t>Code criminel</w:t>
      </w:r>
      <w:r w:rsidRPr="003D7205">
        <w:rPr>
          <w:iCs/>
          <w:lang w:val="fr-CA"/>
        </w:rPr>
        <w:t>,</w:t>
      </w:r>
      <w:r w:rsidRPr="003D7205">
        <w:rPr>
          <w:lang w:val="fr-CA"/>
        </w:rPr>
        <w:t xml:space="preserve"> </w:t>
      </w:r>
      <w:r w:rsidRPr="003D7205">
        <w:rPr>
          <w:iCs/>
          <w:lang w:val="fr-CA"/>
        </w:rPr>
        <w:t>L.R.C. 1985, c. C</w:t>
      </w:r>
      <w:r>
        <w:rPr>
          <w:iCs/>
          <w:lang w:val="fr-CA"/>
        </w:rPr>
        <w:noBreakHyphen/>
      </w:r>
      <w:r w:rsidRPr="003D7205">
        <w:rPr>
          <w:iCs/>
          <w:lang w:val="fr-CA"/>
        </w:rPr>
        <w:t xml:space="preserve">46, </w:t>
      </w:r>
      <w:r w:rsidRPr="003D7205">
        <w:rPr>
          <w:lang w:val="fr-CA"/>
        </w:rPr>
        <w:t>en vertu desquelles il a été accusé peuvent s’appliquer à ces actes.</w:t>
      </w:r>
    </w:p>
    <w:p w:rsidR="0026172C" w:rsidRPr="003D7205" w:rsidRDefault="0026172C" w:rsidP="0026172C">
      <w:pPr>
        <w:pStyle w:val="ParaNoNdepar-AltN"/>
        <w:widowControl w:val="0"/>
        <w:numPr>
          <w:ilvl w:val="0"/>
          <w:numId w:val="2"/>
        </w:numPr>
        <w:rPr>
          <w:lang w:val="fr-CA"/>
        </w:rPr>
      </w:pPr>
      <w:r w:rsidRPr="003D7205">
        <w:rPr>
          <w:lang w:val="fr-CA"/>
        </w:rPr>
        <w:t>M. </w:t>
      </w:r>
      <w:proofErr w:type="spellStart"/>
      <w:r w:rsidRPr="003D7205">
        <w:rPr>
          <w:lang w:val="fr-CA"/>
        </w:rPr>
        <w:t>Riesberry</w:t>
      </w:r>
      <w:proofErr w:type="spellEnd"/>
      <w:r w:rsidRPr="003D7205">
        <w:rPr>
          <w:lang w:val="fr-CA"/>
        </w:rPr>
        <w:t xml:space="preserve"> était un entraîneur accrédité de chevaux </w:t>
      </w:r>
      <w:proofErr w:type="spellStart"/>
      <w:r w:rsidRPr="003D7205">
        <w:rPr>
          <w:lang w:val="fr-CA"/>
        </w:rPr>
        <w:t>Standardbreds</w:t>
      </w:r>
      <w:proofErr w:type="spellEnd"/>
      <w:r w:rsidRPr="003D7205">
        <w:rPr>
          <w:lang w:val="fr-CA"/>
        </w:rPr>
        <w:t>. Il a été filmé par une caméra vidéo alors qu’il droguait un cheval, et il a été surpris alors qu’il tentait d’introduire subrepticement dans l’hippodrome des seringues contenant des drogues dans le but de droguer un autre chev</w:t>
      </w:r>
      <w:r>
        <w:rPr>
          <w:lang w:val="fr-CA"/>
        </w:rPr>
        <w:t>al. </w:t>
      </w:r>
      <w:r w:rsidRPr="003D7205">
        <w:rPr>
          <w:lang w:val="fr-CA"/>
        </w:rPr>
        <w:t>Dans le cas de dopage capté par la caméra, il a été accusé de tricherie au jeu (une course de chevaux) dans le but d’escroquer des membres du public qui pariaient de l’argent sur l’issue de la course (</w:t>
      </w:r>
      <w:r>
        <w:rPr>
          <w:lang w:val="fr-CA"/>
        </w:rPr>
        <w:t>art. </w:t>
      </w:r>
      <w:r w:rsidRPr="003D7205">
        <w:rPr>
          <w:lang w:val="fr-CA"/>
        </w:rPr>
        <w:t xml:space="preserve">209 du </w:t>
      </w:r>
      <w:r w:rsidRPr="003D7205">
        <w:rPr>
          <w:i/>
          <w:iCs/>
          <w:lang w:val="fr-CA"/>
        </w:rPr>
        <w:t>Code criminel</w:t>
      </w:r>
      <w:r w:rsidRPr="003D7205">
        <w:rPr>
          <w:lang w:val="fr-CA"/>
        </w:rPr>
        <w:t>) et de fraude pour avoir frustré le public de l’argent misé sur l’issue d’une course (</w:t>
      </w:r>
      <w:r>
        <w:rPr>
          <w:lang w:val="fr-CA"/>
        </w:rPr>
        <w:t>par. </w:t>
      </w:r>
      <w:r w:rsidRPr="003D7205">
        <w:rPr>
          <w:lang w:val="fr-CA"/>
        </w:rPr>
        <w:t xml:space="preserve">380(1)). Pour avoir tenté d’introduire subrepticement des drogues dans l’hippodrome, il a été accusé de tentative de commettre les mêmes infractions. Il a été acquitté au procès. La Cour d’appel de l’Ontario a toutefois accueilli l’appel du ministère public, elle a annulé les acquittements sur tous les quatre chefs d’accusation, elle a ordonné la tenue d’un nouveau procès à l’égard des accusations de </w:t>
      </w:r>
      <w:r w:rsidRPr="003D7205">
        <w:rPr>
          <w:lang w:val="fr-CA"/>
        </w:rPr>
        <w:lastRenderedPageBreak/>
        <w:t>tricherie au jeu et de tentative de tricherie au jeu (les « accusations de tricherie ») et elle a déclaré M. </w:t>
      </w:r>
      <w:proofErr w:type="spellStart"/>
      <w:r w:rsidRPr="003D7205">
        <w:rPr>
          <w:lang w:val="fr-CA"/>
        </w:rPr>
        <w:t>Riesberry</w:t>
      </w:r>
      <w:proofErr w:type="spellEnd"/>
      <w:r w:rsidRPr="003D7205">
        <w:rPr>
          <w:lang w:val="fr-CA"/>
        </w:rPr>
        <w:t xml:space="preserve"> coupable des accusations de fraude et de tentative de fraude (les « accusations de fraude »)</w:t>
      </w:r>
      <w:r>
        <w:rPr>
          <w:lang w:val="fr-CA"/>
        </w:rPr>
        <w:t> :</w:t>
      </w:r>
      <w:r w:rsidRPr="003D7205">
        <w:rPr>
          <w:lang w:val="fr-CA"/>
        </w:rPr>
        <w:t xml:space="preserve"> 2014 ONCA 744, 122 O.R. (3d) 594.</w:t>
      </w:r>
    </w:p>
    <w:p w:rsidR="0026172C" w:rsidRPr="003D7205" w:rsidRDefault="0026172C" w:rsidP="0026172C">
      <w:pPr>
        <w:pStyle w:val="ParaNoNdepar-AltN"/>
        <w:widowControl w:val="0"/>
        <w:numPr>
          <w:ilvl w:val="0"/>
          <w:numId w:val="2"/>
        </w:numPr>
        <w:rPr>
          <w:lang w:val="fr-CA"/>
        </w:rPr>
      </w:pPr>
      <w:r w:rsidRPr="003D7205">
        <w:rPr>
          <w:lang w:val="fr-CA"/>
        </w:rPr>
        <w:t>M. </w:t>
      </w:r>
      <w:proofErr w:type="spellStart"/>
      <w:r w:rsidRPr="003D7205">
        <w:rPr>
          <w:lang w:val="fr-CA"/>
        </w:rPr>
        <w:t>Riesberry</w:t>
      </w:r>
      <w:proofErr w:type="spellEnd"/>
      <w:r w:rsidRPr="003D7205">
        <w:rPr>
          <w:lang w:val="fr-CA"/>
        </w:rPr>
        <w:t xml:space="preserve"> se pourvoit de plein droit contre les déclarations de culpabilité pour fraude, et se pourvoit avec l’autorisation de la Cour contre l’ordonnance intimant la tenue d’un nouveau procès. La Cour est appelée à trancher quatre questions; deux concernent les accusations de tricherie et deux portent sur les accusations de fraude.</w:t>
      </w:r>
    </w:p>
    <w:p w:rsidR="0026172C" w:rsidRPr="003D7205" w:rsidRDefault="0026172C" w:rsidP="0026172C">
      <w:pPr>
        <w:pStyle w:val="ParaNoNdepar-AltN"/>
        <w:widowControl w:val="0"/>
        <w:numPr>
          <w:ilvl w:val="0"/>
          <w:numId w:val="2"/>
        </w:numPr>
        <w:rPr>
          <w:lang w:val="fr-CA"/>
        </w:rPr>
      </w:pPr>
      <w:r w:rsidRPr="003D7205">
        <w:rPr>
          <w:lang w:val="fr-CA"/>
        </w:rPr>
        <w:t>En ce qui concerne les accusations de tricherie, les principales questions consistent à déterminer (i) si le juge du procès a commis une erreur de droit dans son interprétation de ce qui constitue un « jeu », et (ii) s’il existait des éléments de preuve permettant d’établir qu’une course de chevaux est un « jeu » au sens de l’</w:t>
      </w:r>
      <w:r>
        <w:rPr>
          <w:lang w:val="fr-CA"/>
        </w:rPr>
        <w:t>art. </w:t>
      </w:r>
      <w:r w:rsidRPr="003D7205">
        <w:rPr>
          <w:lang w:val="fr-CA"/>
        </w:rPr>
        <w:t xml:space="preserve">197 du </w:t>
      </w:r>
      <w:r w:rsidRPr="003D7205">
        <w:rPr>
          <w:i/>
          <w:lang w:val="fr-CA"/>
        </w:rPr>
        <w:t>Code criminel</w:t>
      </w:r>
      <w:r w:rsidRPr="003D7205">
        <w:rPr>
          <w:lang w:val="fr-CA"/>
        </w:rPr>
        <w:t xml:space="preserve"> dans le cas de ces infractions. Je suis d’accord avec la Cour d’appel pour dire que le juge du procès a commis une erreur à cet égard et qu’il existait des éléments de preuve permettant d’établir qu’une course de chevaux correspond à la définition du mot « jeu » pour ce qui est de ces infractions.</w:t>
      </w:r>
    </w:p>
    <w:p w:rsidR="0026172C" w:rsidRPr="003D7205" w:rsidRDefault="0026172C" w:rsidP="0026172C">
      <w:pPr>
        <w:pStyle w:val="ParaNoNdepar-AltN"/>
        <w:widowControl w:val="0"/>
        <w:numPr>
          <w:ilvl w:val="0"/>
          <w:numId w:val="2"/>
        </w:numPr>
        <w:rPr>
          <w:lang w:val="fr-CA"/>
        </w:rPr>
      </w:pPr>
      <w:r w:rsidRPr="003D7205">
        <w:rPr>
          <w:lang w:val="fr-CA"/>
        </w:rPr>
        <w:t>Les deux questions relatives aux déclarations de culpabilité pour fraude sont de savoir (i) si la Cour d’appel a eu tort d’infirmer la conclusion du juge du procès suivant laquelle les agissements de M. </w:t>
      </w:r>
      <w:proofErr w:type="spellStart"/>
      <w:r w:rsidRPr="003D7205">
        <w:rPr>
          <w:lang w:val="fr-CA"/>
        </w:rPr>
        <w:t>Riesberry</w:t>
      </w:r>
      <w:proofErr w:type="spellEnd"/>
      <w:r w:rsidRPr="003D7205">
        <w:rPr>
          <w:lang w:val="fr-CA"/>
        </w:rPr>
        <w:t xml:space="preserve"> n’avaient pas exposé les parieurs à un risque, et (ii), même si le juge du procès a commis cette erreur, si la Cour d’appel a eu tort de prononcer ces déclarations de culpabilité plutôt que d’ordonner la tenue d’un </w:t>
      </w:r>
      <w:r w:rsidRPr="003D7205">
        <w:rPr>
          <w:lang w:val="fr-CA"/>
        </w:rPr>
        <w:lastRenderedPageBreak/>
        <w:t>nouveau procès. Je souscris également à la façon dont la Cour d’appel a tranché ces questions.</w:t>
      </w:r>
    </w:p>
    <w:p w:rsidR="0026172C" w:rsidRPr="003D7205" w:rsidRDefault="0026172C" w:rsidP="0026172C">
      <w:pPr>
        <w:pStyle w:val="Title1LevelTitre1Niveau-AltL"/>
        <w:widowControl w:val="0"/>
        <w:spacing w:before="0"/>
        <w:ind w:left="578" w:hanging="578"/>
        <w:rPr>
          <w:lang w:val="fr-CA"/>
        </w:rPr>
      </w:pPr>
      <w:r w:rsidRPr="003D7205">
        <w:rPr>
          <w:lang w:val="fr-CA"/>
        </w:rPr>
        <w:t>Analyse</w:t>
      </w:r>
    </w:p>
    <w:p w:rsidR="0026172C" w:rsidRPr="003D7205" w:rsidRDefault="0026172C" w:rsidP="0026172C">
      <w:pPr>
        <w:pStyle w:val="Title2LevelTitre2Niveau"/>
        <w:widowControl w:val="0"/>
        <w:spacing w:before="0"/>
        <w:ind w:left="578" w:hanging="578"/>
        <w:rPr>
          <w:lang w:val="fr-CA"/>
        </w:rPr>
      </w:pPr>
      <w:r w:rsidRPr="003D7205">
        <w:rPr>
          <w:lang w:val="fr-CA"/>
        </w:rPr>
        <w:t>Bref rappel des faits</w:t>
      </w:r>
    </w:p>
    <w:p w:rsidR="0026172C" w:rsidRPr="003D7205" w:rsidRDefault="0026172C" w:rsidP="0026172C">
      <w:pPr>
        <w:pStyle w:val="ParaNoNdepar-AltN"/>
        <w:widowControl w:val="0"/>
        <w:numPr>
          <w:ilvl w:val="0"/>
          <w:numId w:val="2"/>
        </w:numPr>
        <w:rPr>
          <w:lang w:val="fr-CA"/>
        </w:rPr>
      </w:pPr>
      <w:r w:rsidRPr="003D7205">
        <w:rPr>
          <w:lang w:val="fr-CA"/>
        </w:rPr>
        <w:t>Au procès, le juge a conclu que M. </w:t>
      </w:r>
      <w:proofErr w:type="spellStart"/>
      <w:r w:rsidRPr="003D7205">
        <w:rPr>
          <w:lang w:val="fr-CA"/>
        </w:rPr>
        <w:t>Riesberry</w:t>
      </w:r>
      <w:proofErr w:type="spellEnd"/>
      <w:r w:rsidRPr="003D7205">
        <w:rPr>
          <w:lang w:val="fr-CA"/>
        </w:rPr>
        <w:t xml:space="preserve"> avait administré à un cheval, « </w:t>
      </w:r>
      <w:proofErr w:type="spellStart"/>
      <w:r w:rsidRPr="003D7205">
        <w:rPr>
          <w:lang w:val="fr-CA"/>
        </w:rPr>
        <w:t>Everyone’s</w:t>
      </w:r>
      <w:proofErr w:type="spellEnd"/>
      <w:r w:rsidRPr="003D7205">
        <w:rPr>
          <w:lang w:val="fr-CA"/>
        </w:rPr>
        <w:t xml:space="preserve"> </w:t>
      </w:r>
      <w:proofErr w:type="spellStart"/>
      <w:r w:rsidRPr="003D7205">
        <w:rPr>
          <w:lang w:val="fr-CA"/>
        </w:rPr>
        <w:t>Fantasy</w:t>
      </w:r>
      <w:proofErr w:type="spellEnd"/>
      <w:r w:rsidRPr="003D7205">
        <w:rPr>
          <w:lang w:val="fr-CA"/>
        </w:rPr>
        <w:t> », de l’</w:t>
      </w:r>
      <w:proofErr w:type="spellStart"/>
      <w:r w:rsidRPr="003D7205">
        <w:rPr>
          <w:lang w:val="fr-CA"/>
        </w:rPr>
        <w:t>épinéphrine</w:t>
      </w:r>
      <w:proofErr w:type="spellEnd"/>
      <w:r w:rsidRPr="003D7205">
        <w:rPr>
          <w:lang w:val="fr-CA"/>
        </w:rPr>
        <w:t xml:space="preserve"> et du </w:t>
      </w:r>
      <w:proofErr w:type="spellStart"/>
      <w:r w:rsidRPr="003D7205">
        <w:rPr>
          <w:lang w:val="fr-CA"/>
        </w:rPr>
        <w:t>clenbutérol</w:t>
      </w:r>
      <w:proofErr w:type="spellEnd"/>
      <w:r w:rsidRPr="003D7205">
        <w:rPr>
          <w:lang w:val="fr-CA"/>
        </w:rPr>
        <w:t xml:space="preserve"> ou l’une de ces drogues avant une course afin d’améliorer la performance du cheval lors de cette course. Le cheval a pris part à la course et a terminé sixième. Le juge du procès a également conclu qu’à une occasion subséquente, M. </w:t>
      </w:r>
      <w:proofErr w:type="spellStart"/>
      <w:r w:rsidRPr="003D7205">
        <w:rPr>
          <w:lang w:val="fr-CA"/>
        </w:rPr>
        <w:t>Riesberry</w:t>
      </w:r>
      <w:proofErr w:type="spellEnd"/>
      <w:r w:rsidRPr="003D7205">
        <w:rPr>
          <w:lang w:val="fr-CA"/>
        </w:rPr>
        <w:t xml:space="preserve"> avait tenté d’introduire une seringue contenant des drogues interdites dans l’hippodrome où un autre cheval, « Good Long Life », devait courir plus tard ce jour</w:t>
      </w:r>
      <w:r>
        <w:rPr>
          <w:lang w:val="fr-CA"/>
        </w:rPr>
        <w:noBreakHyphen/>
      </w:r>
      <w:r w:rsidRPr="003D7205">
        <w:rPr>
          <w:lang w:val="fr-CA"/>
        </w:rPr>
        <w:t>là. M. </w:t>
      </w:r>
      <w:proofErr w:type="spellStart"/>
      <w:r w:rsidRPr="003D7205">
        <w:rPr>
          <w:lang w:val="fr-CA"/>
        </w:rPr>
        <w:t>Riesberry</w:t>
      </w:r>
      <w:proofErr w:type="spellEnd"/>
      <w:r w:rsidRPr="003D7205">
        <w:rPr>
          <w:lang w:val="fr-CA"/>
        </w:rPr>
        <w:t xml:space="preserve"> a été arrêté et le chev</w:t>
      </w:r>
      <w:r>
        <w:rPr>
          <w:lang w:val="fr-CA"/>
        </w:rPr>
        <w:t>al</w:t>
      </w:r>
      <w:r w:rsidRPr="003D7205">
        <w:rPr>
          <w:lang w:val="fr-CA"/>
        </w:rPr>
        <w:t xml:space="preserve"> </w:t>
      </w:r>
      <w:r>
        <w:rPr>
          <w:lang w:val="fr-CA"/>
        </w:rPr>
        <w:t>a été retiré</w:t>
      </w:r>
      <w:r w:rsidRPr="003D7205">
        <w:rPr>
          <w:lang w:val="fr-CA"/>
        </w:rPr>
        <w:t xml:space="preserve"> de la course. Lors du procès, le juge a conclu que M. </w:t>
      </w:r>
      <w:proofErr w:type="spellStart"/>
      <w:r w:rsidRPr="003D7205">
        <w:rPr>
          <w:lang w:val="fr-CA"/>
        </w:rPr>
        <w:t>Riesberry</w:t>
      </w:r>
      <w:proofErr w:type="spellEnd"/>
      <w:r w:rsidRPr="003D7205">
        <w:rPr>
          <w:lang w:val="fr-CA"/>
        </w:rPr>
        <w:t>,</w:t>
      </w:r>
      <w:r>
        <w:rPr>
          <w:lang w:val="fr-CA"/>
        </w:rPr>
        <w:t xml:space="preserve"> </w:t>
      </w:r>
      <w:r w:rsidRPr="003D7205">
        <w:rPr>
          <w:lang w:val="fr-CA"/>
        </w:rPr>
        <w:t>en tant qu’entraîneur accrédité, était lié par les règles interdisant la possession de seringues et l’administration des drogues en question en vue d’améliorer la performance</w:t>
      </w:r>
      <w:r>
        <w:rPr>
          <w:lang w:val="fr-CA"/>
        </w:rPr>
        <w:t> :</w:t>
      </w:r>
      <w:r w:rsidRPr="003D7205">
        <w:rPr>
          <w:lang w:val="fr-CA"/>
        </w:rPr>
        <w:t xml:space="preserve"> Commission des courses de l’Ontario, </w:t>
      </w:r>
      <w:proofErr w:type="spellStart"/>
      <w:r w:rsidRPr="003D7205">
        <w:rPr>
          <w:i/>
          <w:lang w:val="fr-CA"/>
        </w:rPr>
        <w:t>Rules</w:t>
      </w:r>
      <w:proofErr w:type="spellEnd"/>
      <w:r w:rsidRPr="003D7205">
        <w:rPr>
          <w:i/>
          <w:lang w:val="fr-CA"/>
        </w:rPr>
        <w:t xml:space="preserve"> of </w:t>
      </w:r>
      <w:proofErr w:type="spellStart"/>
      <w:r w:rsidRPr="003D7205">
        <w:rPr>
          <w:i/>
          <w:lang w:val="fr-CA"/>
        </w:rPr>
        <w:t>Standardbred</w:t>
      </w:r>
      <w:proofErr w:type="spellEnd"/>
      <w:r w:rsidRPr="003D7205">
        <w:rPr>
          <w:i/>
          <w:lang w:val="fr-CA"/>
        </w:rPr>
        <w:t xml:space="preserve"> Racing, 2008</w:t>
      </w:r>
      <w:r w:rsidRPr="003D7205">
        <w:rPr>
          <w:lang w:val="fr-CA"/>
        </w:rPr>
        <w:t xml:space="preserve">, </w:t>
      </w:r>
      <w:r>
        <w:rPr>
          <w:lang w:val="fr-CA"/>
        </w:rPr>
        <w:t>al. </w:t>
      </w:r>
      <w:r w:rsidRPr="003D7205">
        <w:rPr>
          <w:lang w:val="fr-CA"/>
        </w:rPr>
        <w:t>10.01(a) et (b). Le juge du procès a également conclu que, dans les deux cas, M. </w:t>
      </w:r>
      <w:proofErr w:type="spellStart"/>
      <w:r w:rsidRPr="003D7205">
        <w:rPr>
          <w:lang w:val="fr-CA"/>
        </w:rPr>
        <w:t>Riesberry</w:t>
      </w:r>
      <w:proofErr w:type="spellEnd"/>
      <w:r w:rsidRPr="003D7205">
        <w:rPr>
          <w:lang w:val="fr-CA"/>
        </w:rPr>
        <w:t xml:space="preserve"> avait enfreint ces règles et tenté de procurer un avantage indu aux chevaux à l’occasion d’une course. Le juge du procès l’a néanmoins acquitté de toutes les accusations.</w:t>
      </w:r>
    </w:p>
    <w:p w:rsidR="0026172C" w:rsidRPr="003D7205" w:rsidRDefault="0026172C" w:rsidP="0026172C">
      <w:pPr>
        <w:pStyle w:val="ParaNoNdepar-AltN"/>
        <w:widowControl w:val="0"/>
        <w:numPr>
          <w:ilvl w:val="0"/>
          <w:numId w:val="2"/>
        </w:numPr>
        <w:rPr>
          <w:lang w:val="fr-CA"/>
        </w:rPr>
      </w:pPr>
      <w:r w:rsidRPr="003D7205">
        <w:rPr>
          <w:lang w:val="fr-CA"/>
        </w:rPr>
        <w:t>Nul n’a contesté en appel que les parieurs avaient parié plus de 5 000</w:t>
      </w:r>
      <w:r>
        <w:rPr>
          <w:lang w:val="fr-CA"/>
        </w:rPr>
        <w:t> $</w:t>
      </w:r>
      <w:r w:rsidRPr="003D7205">
        <w:rPr>
          <w:lang w:val="fr-CA"/>
        </w:rPr>
        <w:t xml:space="preserve"> sur </w:t>
      </w:r>
      <w:r w:rsidRPr="003D7205">
        <w:rPr>
          <w:lang w:val="fr-CA"/>
        </w:rPr>
        <w:lastRenderedPageBreak/>
        <w:t>les deux courses, et que le juge du procès avait erronément dit autre chose sur ce point</w:t>
      </w:r>
      <w:r>
        <w:rPr>
          <w:lang w:val="fr-CA"/>
        </w:rPr>
        <w:t> :</w:t>
      </w:r>
      <w:r w:rsidRPr="003D7205">
        <w:rPr>
          <w:lang w:val="fr-CA"/>
        </w:rPr>
        <w:t xml:space="preserve"> motifs de la </w:t>
      </w:r>
      <w:r w:rsidR="005302A9">
        <w:rPr>
          <w:lang w:val="fr-CA"/>
        </w:rPr>
        <w:t>C</w:t>
      </w:r>
      <w:r w:rsidRPr="003D7205">
        <w:rPr>
          <w:lang w:val="fr-CA"/>
        </w:rPr>
        <w:t xml:space="preserve">our d’appel, </w:t>
      </w:r>
      <w:r>
        <w:rPr>
          <w:lang w:val="fr-CA"/>
        </w:rPr>
        <w:t>par. </w:t>
      </w:r>
      <w:r w:rsidRPr="003D7205">
        <w:rPr>
          <w:lang w:val="fr-CA"/>
        </w:rPr>
        <w:t>18.</w:t>
      </w:r>
    </w:p>
    <w:p w:rsidR="0026172C" w:rsidRPr="003D7205" w:rsidRDefault="0026172C" w:rsidP="0026172C">
      <w:pPr>
        <w:pStyle w:val="Title2LevelTitre2Niveau"/>
        <w:widowControl w:val="0"/>
        <w:rPr>
          <w:lang w:val="fr-CA"/>
        </w:rPr>
      </w:pPr>
      <w:r w:rsidRPr="003D7205">
        <w:rPr>
          <w:lang w:val="fr-CA"/>
        </w:rPr>
        <w:t xml:space="preserve">Les déclarations de culpabilité pour tricherie au jeu </w:t>
      </w:r>
    </w:p>
    <w:p w:rsidR="0026172C" w:rsidRPr="003D7205" w:rsidRDefault="0026172C" w:rsidP="0026172C">
      <w:pPr>
        <w:pStyle w:val="ParaNoNdepar-AltN"/>
        <w:widowControl w:val="0"/>
        <w:numPr>
          <w:ilvl w:val="0"/>
          <w:numId w:val="2"/>
        </w:numPr>
        <w:rPr>
          <w:lang w:val="fr-CA"/>
        </w:rPr>
      </w:pPr>
      <w:r w:rsidRPr="003D7205">
        <w:rPr>
          <w:lang w:val="fr-CA"/>
        </w:rPr>
        <w:t xml:space="preserve">En ce qui concerne les accusations de tricherie au jeu, le juge du procès a conclu qu’une course de chevaux n’était pas un jeu au sens du </w:t>
      </w:r>
      <w:r w:rsidRPr="003D7205">
        <w:rPr>
          <w:i/>
          <w:iCs/>
          <w:lang w:val="fr-CA"/>
        </w:rPr>
        <w:t>Code criminel</w:t>
      </w:r>
      <w:r w:rsidRPr="003D7205">
        <w:rPr>
          <w:lang w:val="fr-CA"/>
        </w:rPr>
        <w:t xml:space="preserve"> et que, par conséquent, les accusations n’avaient pas été prouvées. La première question est de savoir si le juge du procès a commis une erreur de droit dans son interprétation de ce qui constitue un « jeu » pour ce qui est de cette infraction.</w:t>
      </w:r>
    </w:p>
    <w:p w:rsidR="0026172C" w:rsidRPr="003D7205" w:rsidRDefault="0026172C" w:rsidP="0026172C">
      <w:pPr>
        <w:pStyle w:val="ParaNoNdepar-AltN"/>
        <w:widowControl w:val="0"/>
        <w:numPr>
          <w:ilvl w:val="0"/>
          <w:numId w:val="2"/>
        </w:numPr>
        <w:rPr>
          <w:lang w:val="fr-CA"/>
        </w:rPr>
      </w:pPr>
      <w:r w:rsidRPr="003D7205">
        <w:rPr>
          <w:lang w:val="fr-CA"/>
        </w:rPr>
        <w:t>Les accusations portées contre M. </w:t>
      </w:r>
      <w:proofErr w:type="spellStart"/>
      <w:r w:rsidRPr="003D7205">
        <w:rPr>
          <w:lang w:val="fr-CA"/>
        </w:rPr>
        <w:t>Riesberry</w:t>
      </w:r>
      <w:proofErr w:type="spellEnd"/>
      <w:r w:rsidRPr="003D7205">
        <w:rPr>
          <w:lang w:val="fr-CA"/>
        </w:rPr>
        <w:t xml:space="preserve"> sont fondées sur l’</w:t>
      </w:r>
      <w:r>
        <w:rPr>
          <w:lang w:val="fr-CA"/>
        </w:rPr>
        <w:t>art. </w:t>
      </w:r>
      <w:r w:rsidRPr="003D7205">
        <w:rPr>
          <w:lang w:val="fr-CA"/>
        </w:rPr>
        <w:t xml:space="preserve">209 du </w:t>
      </w:r>
      <w:r w:rsidRPr="003D7205">
        <w:rPr>
          <w:i/>
          <w:lang w:val="fr-CA"/>
        </w:rPr>
        <w:t>Code criminel</w:t>
      </w:r>
      <w:r w:rsidRPr="003D7205">
        <w:rPr>
          <w:lang w:val="fr-CA"/>
        </w:rPr>
        <w:t>, qui prévoit qu’est coupable d’une infraction quiconque « avec l’intention de frauder quelqu’un, triche en pratiquant un jeu ». Le mot « jeu » est défini comme suit</w:t>
      </w:r>
      <w:r>
        <w:rPr>
          <w:lang w:val="fr-CA"/>
        </w:rPr>
        <w:t> :</w:t>
      </w:r>
      <w:r w:rsidRPr="003D7205">
        <w:rPr>
          <w:lang w:val="fr-CA"/>
        </w:rPr>
        <w:t xml:space="preserve"> « </w:t>
      </w:r>
      <w:r w:rsidR="005302A9">
        <w:rPr>
          <w:lang w:val="fr-CA"/>
        </w:rPr>
        <w:t>J</w:t>
      </w:r>
      <w:r w:rsidRPr="003D7205">
        <w:rPr>
          <w:lang w:val="fr-CA"/>
        </w:rPr>
        <w:t>eu de hasard ou jeu où se mêlent le hasard et l’adresse »</w:t>
      </w:r>
      <w:r>
        <w:rPr>
          <w:lang w:val="fr-CA"/>
        </w:rPr>
        <w:t> </w:t>
      </w:r>
      <w:r w:rsidR="005302A9">
        <w:rPr>
          <w:lang w:val="fr-CA"/>
        </w:rPr>
        <w:t>(</w:t>
      </w:r>
      <w:r>
        <w:rPr>
          <w:lang w:val="fr-CA"/>
        </w:rPr>
        <w:t>par. </w:t>
      </w:r>
      <w:r w:rsidRPr="003D7205">
        <w:rPr>
          <w:lang w:val="fr-CA"/>
        </w:rPr>
        <w:t>197(1)</w:t>
      </w:r>
      <w:r w:rsidR="005302A9">
        <w:rPr>
          <w:lang w:val="fr-CA"/>
        </w:rPr>
        <w:t>)</w:t>
      </w:r>
      <w:r w:rsidRPr="003D7205">
        <w:rPr>
          <w:lang w:val="fr-CA"/>
        </w:rPr>
        <w:t xml:space="preserve">. Le ministère public devait donc établir qu’une course de chevaux est un jeu comportant au moins une part de hasard. Le juge du procès s’est fondé sur une décision américaine, </w:t>
      </w:r>
      <w:proofErr w:type="spellStart"/>
      <w:r w:rsidR="001E29AF">
        <w:rPr>
          <w:i/>
          <w:iCs/>
          <w:lang w:val="fr-CA"/>
        </w:rPr>
        <w:t>Harless</w:t>
      </w:r>
      <w:proofErr w:type="spellEnd"/>
      <w:r w:rsidR="001E29AF">
        <w:rPr>
          <w:i/>
          <w:iCs/>
          <w:lang w:val="fr-CA"/>
        </w:rPr>
        <w:t xml:space="preserve"> c. </w:t>
      </w:r>
      <w:r w:rsidRPr="003D7205">
        <w:rPr>
          <w:i/>
          <w:iCs/>
          <w:lang w:val="fr-CA"/>
        </w:rPr>
        <w:t>United States</w:t>
      </w:r>
      <w:r>
        <w:rPr>
          <w:lang w:val="fr-CA"/>
        </w:rPr>
        <w:t xml:space="preserve">, 1 </w:t>
      </w:r>
      <w:r w:rsidR="001E29AF">
        <w:rPr>
          <w:lang w:val="fr-CA"/>
        </w:rPr>
        <w:t>Morris 169</w:t>
      </w:r>
      <w:r w:rsidRPr="003D7205">
        <w:rPr>
          <w:lang w:val="fr-CA"/>
        </w:rPr>
        <w:t xml:space="preserve"> (Iowa 1843), pour conclure qu’une course de chevaux est un jeu d’adresse pure. </w:t>
      </w:r>
    </w:p>
    <w:p w:rsidR="0026172C" w:rsidRPr="003D7205" w:rsidRDefault="0026172C" w:rsidP="0026172C">
      <w:pPr>
        <w:pStyle w:val="ParaNoNdepar-AltN"/>
        <w:widowControl w:val="0"/>
        <w:numPr>
          <w:ilvl w:val="0"/>
          <w:numId w:val="2"/>
        </w:numPr>
        <w:rPr>
          <w:lang w:val="fr-CA"/>
        </w:rPr>
      </w:pPr>
      <w:r w:rsidRPr="003D7205">
        <w:rPr>
          <w:lang w:val="fr-CA"/>
        </w:rPr>
        <w:t>La mesure dans laquelle le juge du procès s’est fondé sur cette décision pour exposer le droit canadien applicable est quelque peu problématique. Toutefois, dans la mesure o</w:t>
      </w:r>
      <w:r w:rsidRPr="003D7205">
        <w:rPr>
          <w:lang w:val="fr-FR"/>
        </w:rPr>
        <w:t>ù</w:t>
      </w:r>
      <w:r w:rsidRPr="003D7205">
        <w:rPr>
          <w:lang w:val="fr-CA"/>
        </w:rPr>
        <w:t xml:space="preserve"> il l’a fait, il a commis une erreur de droit. La loi que le tribunal américain était appelé à examiner divisait les jeux en deux catégories seulement</w:t>
      </w:r>
      <w:r>
        <w:rPr>
          <w:lang w:val="fr-CA"/>
        </w:rPr>
        <w:t> :</w:t>
      </w:r>
      <w:r w:rsidRPr="003D7205">
        <w:rPr>
          <w:lang w:val="fr-CA"/>
        </w:rPr>
        <w:t xml:space="preserve"> les </w:t>
      </w:r>
      <w:r w:rsidRPr="003D7205">
        <w:rPr>
          <w:lang w:val="fr-CA"/>
        </w:rPr>
        <w:lastRenderedPageBreak/>
        <w:t xml:space="preserve">jeux de hasard et les jeux d’adresse. Cette affaire n’abordait donc pas une question à laquelle le </w:t>
      </w:r>
      <w:r w:rsidRPr="003D7205">
        <w:rPr>
          <w:i/>
          <w:iCs/>
          <w:lang w:val="fr-CA"/>
        </w:rPr>
        <w:t>Code criminel</w:t>
      </w:r>
      <w:r w:rsidRPr="003D7205">
        <w:rPr>
          <w:lang w:val="fr-CA"/>
        </w:rPr>
        <w:t xml:space="preserve"> nous oblige à répondre, soit celle de savoir si une course de chevaux est un jeu où se </w:t>
      </w:r>
      <w:r w:rsidRPr="003D7205">
        <w:rPr>
          <w:i/>
          <w:lang w:val="fr-CA"/>
        </w:rPr>
        <w:t>mêlent</w:t>
      </w:r>
      <w:r w:rsidRPr="003D7205">
        <w:rPr>
          <w:lang w:val="fr-CA"/>
        </w:rPr>
        <w:t xml:space="preserve"> le hasard et l’adresse. Les règles de droit canadiennes applicables à cet égard se trouvent dans l’arrêt </w:t>
      </w:r>
      <w:r w:rsidRPr="003D7205">
        <w:rPr>
          <w:i/>
          <w:iCs/>
          <w:lang w:val="fr-CA"/>
        </w:rPr>
        <w:t xml:space="preserve">Ross, Banks and Dyson c. The </w:t>
      </w:r>
      <w:proofErr w:type="spellStart"/>
      <w:r w:rsidRPr="003D7205">
        <w:rPr>
          <w:i/>
          <w:iCs/>
          <w:lang w:val="fr-CA"/>
        </w:rPr>
        <w:t>Queen</w:t>
      </w:r>
      <w:proofErr w:type="spellEnd"/>
      <w:r>
        <w:rPr>
          <w:lang w:val="fr-CA"/>
        </w:rPr>
        <w:t xml:space="preserve">, [1968] R.C.S. </w:t>
      </w:r>
      <w:r w:rsidRPr="003D7205">
        <w:rPr>
          <w:lang w:val="fr-CA"/>
        </w:rPr>
        <w:t>786. Il doit y avoir un [</w:t>
      </w:r>
      <w:r w:rsidRPr="003D7205">
        <w:rPr>
          <w:smallCaps/>
          <w:lang w:val="fr-CA"/>
        </w:rPr>
        <w:t>traduction</w:t>
      </w:r>
      <w:r>
        <w:rPr>
          <w:lang w:val="fr-CA"/>
        </w:rPr>
        <w:t xml:space="preserve">] </w:t>
      </w:r>
      <w:r w:rsidRPr="003D7205">
        <w:rPr>
          <w:lang w:val="fr-CA"/>
        </w:rPr>
        <w:t xml:space="preserve">« recours systématique au hasard » qui influence l’issue de la course, et non </w:t>
      </w:r>
      <w:r w:rsidR="001E29AF">
        <w:rPr>
          <w:lang w:val="fr-CA"/>
        </w:rPr>
        <w:t>de simples</w:t>
      </w:r>
      <w:r>
        <w:rPr>
          <w:lang w:val="fr-CA"/>
        </w:rPr>
        <w:t xml:space="preserve"> </w:t>
      </w:r>
      <w:r w:rsidRPr="003D7205">
        <w:rPr>
          <w:lang w:val="fr-CA"/>
        </w:rPr>
        <w:t>« impondérables qui peuvent occasionnellement faire échec à l’adresse »</w:t>
      </w:r>
      <w:r>
        <w:rPr>
          <w:lang w:val="fr-CA"/>
        </w:rPr>
        <w:t> :</w:t>
      </w:r>
      <w:r w:rsidRPr="003D7205">
        <w:rPr>
          <w:lang w:val="fr-CA"/>
        </w:rPr>
        <w:t xml:space="preserve"> </w:t>
      </w:r>
      <w:r>
        <w:rPr>
          <w:lang w:val="fr-CA"/>
        </w:rPr>
        <w:t>p. </w:t>
      </w:r>
      <w:r w:rsidRPr="003D7205">
        <w:rPr>
          <w:lang w:val="fr-CA"/>
        </w:rPr>
        <w:t>791.</w:t>
      </w:r>
    </w:p>
    <w:p w:rsidR="0026172C" w:rsidRPr="003D7205" w:rsidRDefault="0026172C" w:rsidP="0026172C">
      <w:pPr>
        <w:pStyle w:val="ParaNoNdepar-AltN"/>
        <w:widowControl w:val="0"/>
        <w:numPr>
          <w:ilvl w:val="0"/>
          <w:numId w:val="2"/>
        </w:numPr>
        <w:rPr>
          <w:lang w:val="fr-CA"/>
        </w:rPr>
      </w:pPr>
      <w:r w:rsidRPr="003D7205">
        <w:rPr>
          <w:lang w:val="fr-CA"/>
        </w:rPr>
        <w:t xml:space="preserve">Même si nous acceptons que le juge du procès fût conscient de la différence entre le droit tel qu’exposé dans </w:t>
      </w:r>
      <w:proofErr w:type="spellStart"/>
      <w:r w:rsidRPr="003D7205">
        <w:rPr>
          <w:i/>
          <w:iCs/>
          <w:lang w:val="fr-CA"/>
        </w:rPr>
        <w:t>Harless</w:t>
      </w:r>
      <w:proofErr w:type="spellEnd"/>
      <w:r w:rsidRPr="003D7205">
        <w:rPr>
          <w:iCs/>
          <w:lang w:val="fr-CA"/>
        </w:rPr>
        <w:t xml:space="preserve"> et le droit canadien, il a tout de même commis l’erreur de ne pas tenir compte</w:t>
      </w:r>
      <w:r>
        <w:rPr>
          <w:iCs/>
          <w:lang w:val="fr-CA"/>
        </w:rPr>
        <w:t xml:space="preserve"> d’une</w:t>
      </w:r>
      <w:r w:rsidRPr="003D7205">
        <w:rPr>
          <w:iCs/>
          <w:lang w:val="fr-CA"/>
        </w:rPr>
        <w:t xml:space="preserve"> preuve au dossier qui </w:t>
      </w:r>
      <w:r>
        <w:rPr>
          <w:iCs/>
          <w:lang w:val="fr-CA"/>
        </w:rPr>
        <w:t>ser</w:t>
      </w:r>
      <w:r w:rsidRPr="003D7205">
        <w:rPr>
          <w:iCs/>
          <w:lang w:val="fr-CA"/>
        </w:rPr>
        <w:t xml:space="preserve">ait </w:t>
      </w:r>
      <w:r>
        <w:rPr>
          <w:iCs/>
          <w:lang w:val="fr-CA"/>
        </w:rPr>
        <w:t xml:space="preserve">susceptible de permettre à un juge des faits </w:t>
      </w:r>
      <w:r w:rsidRPr="003D7205">
        <w:rPr>
          <w:iCs/>
          <w:lang w:val="fr-CA"/>
        </w:rPr>
        <w:t>de conclure à l’existence d’un recours systématique au hasard qui faisait de la course un jeu où se mêlent le hasard et l’adresse. Je conclus en conséquence que le juge du procès a commis une erreur en droit quant à cet aspect de l’affaire</w:t>
      </w:r>
      <w:r w:rsidRPr="003D7205">
        <w:rPr>
          <w:lang w:val="fr-CA"/>
        </w:rPr>
        <w:t>.</w:t>
      </w:r>
    </w:p>
    <w:p w:rsidR="0026172C" w:rsidRPr="003D7205" w:rsidRDefault="0026172C" w:rsidP="0026172C">
      <w:pPr>
        <w:pStyle w:val="ParaNoNdepar-AltN"/>
        <w:widowControl w:val="0"/>
        <w:numPr>
          <w:ilvl w:val="0"/>
          <w:numId w:val="2"/>
        </w:numPr>
        <w:rPr>
          <w:lang w:val="fr-CA"/>
        </w:rPr>
      </w:pPr>
      <w:r w:rsidRPr="003D7205">
        <w:rPr>
          <w:lang w:val="fr-CA"/>
        </w:rPr>
        <w:t>La conclusion de la Cour d’appel suivant laquelle le juge du procès a commis une erreur de droit ne justifie pas à elle seule l’annulation des acquittements et la décision d’ordonner la tenue d’un nouveau procès. La tenue d’un nouveau procès ne peut être ordonnée que si le ministère public convainc la cour d’appel « qu’il serait raisonnable de penser, compte tenu des faits concrets de l’affaire, que l’erreur (ou les erreurs) du premier juge ont eu une incidence significative sur le verdict d’acquittement »</w:t>
      </w:r>
      <w:r>
        <w:rPr>
          <w:lang w:val="fr-CA"/>
        </w:rPr>
        <w:t> :</w:t>
      </w:r>
      <w:r w:rsidRPr="003D7205">
        <w:rPr>
          <w:lang w:val="fr-CA"/>
        </w:rPr>
        <w:t xml:space="preserve"> </w:t>
      </w:r>
      <w:r w:rsidRPr="003D7205">
        <w:rPr>
          <w:i/>
          <w:iCs/>
          <w:lang w:val="fr-CA"/>
        </w:rPr>
        <w:t>R. c. Graveline</w:t>
      </w:r>
      <w:r w:rsidRPr="003D7205">
        <w:rPr>
          <w:lang w:val="fr-CA"/>
        </w:rPr>
        <w:t xml:space="preserve">, 2006 CSC 16, [2006] 1 R.C.S. 609, </w:t>
      </w:r>
      <w:r>
        <w:rPr>
          <w:lang w:val="fr-CA"/>
        </w:rPr>
        <w:t>par. </w:t>
      </w:r>
      <w:r w:rsidRPr="003D7205">
        <w:rPr>
          <w:lang w:val="fr-CA"/>
        </w:rPr>
        <w:t xml:space="preserve">14, le juge </w:t>
      </w:r>
      <w:r w:rsidRPr="003D7205">
        <w:rPr>
          <w:lang w:val="fr-CA"/>
        </w:rPr>
        <w:lastRenderedPageBreak/>
        <w:t>Fish au nom des juges majoritaires. La question de savoir si le ministère public s’est acquitté de ce fardeau constitue la seconde question à trancher. La réponse dépend, en l’espèce, de la question de savoir si l’on trouve au dossier du procès des éléments de preuve susceptibles d’appuyer la conclusion que la course de chevaux comporte une part de hasard suffisamment grande pour qu’elle puisse</w:t>
      </w:r>
      <w:r w:rsidR="001E29AF">
        <w:rPr>
          <w:lang w:val="fr-CA"/>
        </w:rPr>
        <w:t xml:space="preserve"> être considérée comme un jeu où</w:t>
      </w:r>
      <w:r w:rsidRPr="003D7205">
        <w:rPr>
          <w:lang w:val="fr-CA"/>
        </w:rPr>
        <w:t xml:space="preserve"> se mêlent le hasard et l’adresse. M. </w:t>
      </w:r>
      <w:proofErr w:type="spellStart"/>
      <w:r w:rsidRPr="003D7205">
        <w:rPr>
          <w:lang w:val="fr-CA"/>
        </w:rPr>
        <w:t>Riesberry</w:t>
      </w:r>
      <w:proofErr w:type="spellEnd"/>
      <w:r w:rsidRPr="003D7205">
        <w:rPr>
          <w:lang w:val="fr-CA"/>
        </w:rPr>
        <w:t xml:space="preserve"> nie l’existence d’une telle preuve au dossier, tandis que le ministère public affirme qu’elle existe.</w:t>
      </w:r>
    </w:p>
    <w:p w:rsidR="0026172C" w:rsidRPr="003D7205" w:rsidRDefault="0026172C" w:rsidP="0026172C">
      <w:pPr>
        <w:pStyle w:val="ParaNoNdepar-AltN"/>
        <w:widowControl w:val="0"/>
        <w:numPr>
          <w:ilvl w:val="0"/>
          <w:numId w:val="2"/>
        </w:numPr>
        <w:rPr>
          <w:lang w:val="fr-CA"/>
        </w:rPr>
      </w:pPr>
      <w:r w:rsidRPr="003D7205">
        <w:rPr>
          <w:lang w:val="fr-CA"/>
        </w:rPr>
        <w:t>Je suis d’accord avec la Cour d’appel pour dire qu’on trouve au dossier du procès des éléments de preuve qui permettaient, dans les circonstances, de conclure que la course de chevaux comporte un recours systématique au hasard. La preuve révélait que lors d’une course, la position de départ des chevaux est déterminée au hasard par un générateur informatisé de positions de départ, et que certaines positions de départ sont plus avantageuses que d’autres</w:t>
      </w:r>
      <w:r>
        <w:rPr>
          <w:lang w:val="fr-CA"/>
        </w:rPr>
        <w:t> :</w:t>
      </w:r>
      <w:r w:rsidRPr="003D7205">
        <w:rPr>
          <w:lang w:val="fr-CA"/>
        </w:rPr>
        <w:t xml:space="preserve"> motifs de la Cour d’appel, </w:t>
      </w:r>
      <w:r>
        <w:rPr>
          <w:lang w:val="fr-CA"/>
        </w:rPr>
        <w:t>par. </w:t>
      </w:r>
      <w:r w:rsidRPr="003D7205">
        <w:rPr>
          <w:lang w:val="fr-CA"/>
        </w:rPr>
        <w:t>41. La Cour d’appel a donc eu raison d’ordonner la tenue d’un nouveau procès à l’égard de ces accusations. Certes, il appartiendra au juge des faits qui présidera le nouveau procès de déterminer si la preuve le démontre effectivement.</w:t>
      </w:r>
    </w:p>
    <w:p w:rsidR="0026172C" w:rsidRPr="003D7205" w:rsidRDefault="0026172C" w:rsidP="0026172C">
      <w:pPr>
        <w:pStyle w:val="ParaNoNdepar-AltN"/>
        <w:widowControl w:val="0"/>
        <w:numPr>
          <w:ilvl w:val="0"/>
          <w:numId w:val="2"/>
        </w:numPr>
        <w:rPr>
          <w:lang w:val="fr-CA"/>
        </w:rPr>
      </w:pPr>
      <w:r w:rsidRPr="003D7205">
        <w:rPr>
          <w:lang w:val="fr-CA"/>
        </w:rPr>
        <w:t>À l’instar de la Cour d’appel, je suis d’avis de ne pas aborder en appel l’argument subsidiaire du ministère public, qui est largement tributaire des faits, suivant lequel les agissements de M. </w:t>
      </w:r>
      <w:proofErr w:type="spellStart"/>
      <w:r w:rsidRPr="003D7205">
        <w:rPr>
          <w:lang w:val="fr-CA"/>
        </w:rPr>
        <w:t>Riesberry</w:t>
      </w:r>
      <w:proofErr w:type="spellEnd"/>
      <w:r w:rsidRPr="003D7205">
        <w:rPr>
          <w:lang w:val="fr-CA"/>
        </w:rPr>
        <w:t xml:space="preserve"> ont transformé ce qui constituerait autrement un jeu d’adresse pure en un jeu où se mêlent le hasard et l’adresse.</w:t>
      </w:r>
    </w:p>
    <w:p w:rsidR="0026172C" w:rsidRPr="003D7205" w:rsidRDefault="0026172C" w:rsidP="0026172C">
      <w:pPr>
        <w:pStyle w:val="ParaNoNdepar-AltN"/>
        <w:widowControl w:val="0"/>
        <w:numPr>
          <w:ilvl w:val="0"/>
          <w:numId w:val="2"/>
        </w:numPr>
        <w:rPr>
          <w:lang w:val="fr-CA"/>
        </w:rPr>
      </w:pPr>
      <w:r w:rsidRPr="003D7205">
        <w:rPr>
          <w:lang w:val="fr-CA"/>
        </w:rPr>
        <w:t xml:space="preserve">Pour conclure sur les accusations de tricherie, la Cour d’appel a ordonné à </w:t>
      </w:r>
      <w:r w:rsidRPr="003D7205">
        <w:rPr>
          <w:lang w:val="fr-CA"/>
        </w:rPr>
        <w:lastRenderedPageBreak/>
        <w:t>bon droit la tenue d’un nouveau procès à l’égard de ces accusations.</w:t>
      </w:r>
    </w:p>
    <w:p w:rsidR="0026172C" w:rsidRPr="003D7205" w:rsidRDefault="0026172C" w:rsidP="0026172C">
      <w:pPr>
        <w:pStyle w:val="Title2LevelTitre2Niveau"/>
        <w:widowControl w:val="0"/>
        <w:rPr>
          <w:lang w:val="fr-CA"/>
        </w:rPr>
      </w:pPr>
      <w:r w:rsidRPr="003D7205">
        <w:rPr>
          <w:lang w:val="fr-CA"/>
        </w:rPr>
        <w:t>Les accusations de fraude</w:t>
      </w:r>
    </w:p>
    <w:p w:rsidR="0026172C" w:rsidRPr="003D7205" w:rsidRDefault="0026172C" w:rsidP="0026172C">
      <w:pPr>
        <w:pStyle w:val="ParaNoNdepar-AltN"/>
        <w:widowControl w:val="0"/>
        <w:numPr>
          <w:ilvl w:val="0"/>
          <w:numId w:val="2"/>
        </w:numPr>
        <w:rPr>
          <w:lang w:val="fr-CA"/>
        </w:rPr>
      </w:pPr>
      <w:r w:rsidRPr="003D7205">
        <w:rPr>
          <w:lang w:val="fr-CA"/>
        </w:rPr>
        <w:t>La fraude consiste en un comportement malhonnête qui crée à tout le moins un risque de privation pour la victime. Le juge du procès a conclu que le ministère public n’avait pas réussi à démontrer que le comportement de M. </w:t>
      </w:r>
      <w:proofErr w:type="spellStart"/>
      <w:r w:rsidRPr="003D7205">
        <w:rPr>
          <w:lang w:val="fr-CA"/>
        </w:rPr>
        <w:t>Riesberry</w:t>
      </w:r>
      <w:proofErr w:type="spellEnd"/>
      <w:r w:rsidRPr="003D7205">
        <w:rPr>
          <w:lang w:val="fr-CA"/>
        </w:rPr>
        <w:t xml:space="preserve"> avait créé un risque de privation pour les parieurs. Le juge du procès a également conclu que, même si le ministère public avait prouvé la privation, aucun lien de causalité n’avait été établi entre les actes de M. </w:t>
      </w:r>
      <w:proofErr w:type="spellStart"/>
      <w:r w:rsidRPr="003D7205">
        <w:rPr>
          <w:lang w:val="fr-CA"/>
        </w:rPr>
        <w:t>Riesberry</w:t>
      </w:r>
      <w:proofErr w:type="spellEnd"/>
      <w:r w:rsidRPr="003D7205">
        <w:rPr>
          <w:lang w:val="fr-CA"/>
        </w:rPr>
        <w:t xml:space="preserve"> et un quelconque risque que les parieurs perdent leur mise.</w:t>
      </w:r>
    </w:p>
    <w:p w:rsidR="0026172C" w:rsidRPr="003D7205" w:rsidRDefault="0026172C" w:rsidP="0026172C">
      <w:pPr>
        <w:pStyle w:val="ParaNoNdepar-AltN"/>
        <w:widowControl w:val="0"/>
        <w:numPr>
          <w:ilvl w:val="0"/>
          <w:numId w:val="2"/>
        </w:numPr>
        <w:rPr>
          <w:lang w:val="fr-CA"/>
        </w:rPr>
      </w:pPr>
      <w:r w:rsidRPr="003D7205">
        <w:rPr>
          <w:lang w:val="fr-CA"/>
        </w:rPr>
        <w:t>La Cour d’appel a accueilli l’appel du ministère public à l’encontre des acquittements. En ce qui concerne les accusations de fraude, la cour a relevé plusieurs erreurs de droit suffisamment graves pour justifier l’annulation des acquittements. La cour a également conclu que, s’il n’avait pas commis les erreurs de droit en question, le juge du procès aurait reconnu M. </w:t>
      </w:r>
      <w:proofErr w:type="spellStart"/>
      <w:r w:rsidRPr="003D7205">
        <w:rPr>
          <w:lang w:val="fr-CA"/>
        </w:rPr>
        <w:t>Riesberry</w:t>
      </w:r>
      <w:proofErr w:type="spellEnd"/>
      <w:r w:rsidRPr="003D7205">
        <w:rPr>
          <w:lang w:val="fr-CA"/>
        </w:rPr>
        <w:t xml:space="preserve"> coupable des deux chefs d’accusation de fraude.</w:t>
      </w:r>
    </w:p>
    <w:p w:rsidR="0026172C" w:rsidRPr="003D7205" w:rsidRDefault="0026172C" w:rsidP="0026172C">
      <w:pPr>
        <w:pStyle w:val="ParaNoNdepar-AltN"/>
        <w:widowControl w:val="0"/>
        <w:numPr>
          <w:ilvl w:val="0"/>
          <w:numId w:val="2"/>
        </w:numPr>
        <w:rPr>
          <w:lang w:val="fr-CA"/>
        </w:rPr>
      </w:pPr>
      <w:r w:rsidRPr="003D7205">
        <w:rPr>
          <w:lang w:val="fr-CA"/>
        </w:rPr>
        <w:t>M. </w:t>
      </w:r>
      <w:proofErr w:type="spellStart"/>
      <w:r w:rsidRPr="003D7205">
        <w:rPr>
          <w:lang w:val="fr-CA"/>
        </w:rPr>
        <w:t>Riesberry</w:t>
      </w:r>
      <w:proofErr w:type="spellEnd"/>
      <w:r w:rsidRPr="003D7205">
        <w:rPr>
          <w:lang w:val="fr-CA"/>
        </w:rPr>
        <w:t xml:space="preserve"> soutient, en premier lieu, que ses agissements n’ont pas exposé les parieurs à un risque de privation et que tout risque de privation était trop éloigné. Il affirme, en second lieu, que même si le juge du procès a eu tort sur ce point, la Cour d’appel n’aurait pas dû le déclarer coupable relativement aux accusations de fraude, mais qu’elle aurait plutôt dû ordonner la tenue d’un nouveau procès. Je vais </w:t>
      </w:r>
      <w:r w:rsidRPr="003D7205">
        <w:rPr>
          <w:lang w:val="fr-CA"/>
        </w:rPr>
        <w:lastRenderedPageBreak/>
        <w:t>aborder ces questions à tour de rôle.</w:t>
      </w:r>
    </w:p>
    <w:p w:rsidR="0026172C" w:rsidRPr="003D7205" w:rsidRDefault="0026172C" w:rsidP="0026172C">
      <w:pPr>
        <w:pStyle w:val="Title3LevelTitre3Niveau"/>
        <w:widowControl w:val="0"/>
        <w:ind w:left="1156" w:hanging="578"/>
        <w:rPr>
          <w:lang w:val="fr-CA"/>
        </w:rPr>
      </w:pPr>
      <w:r w:rsidRPr="003D7205">
        <w:rPr>
          <w:lang w:val="fr-CA"/>
        </w:rPr>
        <w:t>Les actes frauduleux de M. </w:t>
      </w:r>
      <w:proofErr w:type="spellStart"/>
      <w:r w:rsidRPr="003D7205">
        <w:rPr>
          <w:lang w:val="fr-CA"/>
        </w:rPr>
        <w:t>Riesberry</w:t>
      </w:r>
      <w:proofErr w:type="spellEnd"/>
      <w:r w:rsidRPr="003D7205">
        <w:rPr>
          <w:lang w:val="fr-CA"/>
        </w:rPr>
        <w:t xml:space="preserve"> ont</w:t>
      </w:r>
      <w:r>
        <w:rPr>
          <w:lang w:val="fr-CA"/>
        </w:rPr>
        <w:noBreakHyphen/>
      </w:r>
      <w:r w:rsidRPr="003D7205">
        <w:rPr>
          <w:lang w:val="fr-CA"/>
        </w:rPr>
        <w:t>ils créé un risque de privation qui n’était pas trop éloigné?</w:t>
      </w:r>
    </w:p>
    <w:p w:rsidR="0026172C" w:rsidRPr="003D7205" w:rsidRDefault="0026172C" w:rsidP="0026172C">
      <w:pPr>
        <w:pStyle w:val="ParaNoNdepar-AltN"/>
        <w:widowControl w:val="0"/>
        <w:numPr>
          <w:ilvl w:val="0"/>
          <w:numId w:val="2"/>
        </w:numPr>
        <w:rPr>
          <w:lang w:val="fr-CA"/>
        </w:rPr>
      </w:pPr>
      <w:r w:rsidRPr="003D7205">
        <w:rPr>
          <w:lang w:val="fr-CA"/>
        </w:rPr>
        <w:t>Comme c’est le cas de pratiquement toutes les infractions, la fraude comporte deux éléments principaux, l’acte prohibé (</w:t>
      </w:r>
      <w:proofErr w:type="gramStart"/>
      <w:r w:rsidRPr="003D7205">
        <w:rPr>
          <w:lang w:val="fr-CA"/>
        </w:rPr>
        <w:t>l’</w:t>
      </w:r>
      <w:r w:rsidRPr="003D7205">
        <w:rPr>
          <w:i/>
          <w:iCs/>
          <w:lang w:val="fr-CA"/>
        </w:rPr>
        <w:t>actus</w:t>
      </w:r>
      <w:proofErr w:type="gramEnd"/>
      <w:r w:rsidRPr="003D7205">
        <w:rPr>
          <w:i/>
          <w:iCs/>
          <w:lang w:val="fr-CA"/>
        </w:rPr>
        <w:t xml:space="preserve"> </w:t>
      </w:r>
      <w:proofErr w:type="spellStart"/>
      <w:r w:rsidRPr="003D7205">
        <w:rPr>
          <w:i/>
          <w:iCs/>
          <w:lang w:val="fr-CA"/>
        </w:rPr>
        <w:t>reus</w:t>
      </w:r>
      <w:proofErr w:type="spellEnd"/>
      <w:r w:rsidRPr="003D7205">
        <w:rPr>
          <w:lang w:val="fr-CA"/>
        </w:rPr>
        <w:t>) et l’état d’esprit requis (l</w:t>
      </w:r>
      <w:r>
        <w:rPr>
          <w:lang w:val="fr-CA"/>
        </w:rPr>
        <w:t xml:space="preserve">a </w:t>
      </w:r>
      <w:r w:rsidRPr="003D7205">
        <w:rPr>
          <w:i/>
          <w:iCs/>
          <w:lang w:val="fr-CA"/>
        </w:rPr>
        <w:t>mens </w:t>
      </w:r>
      <w:proofErr w:type="spellStart"/>
      <w:r w:rsidRPr="003D7205">
        <w:rPr>
          <w:i/>
          <w:iCs/>
          <w:lang w:val="fr-CA"/>
        </w:rPr>
        <w:t>rea</w:t>
      </w:r>
      <w:proofErr w:type="spellEnd"/>
      <w:r w:rsidRPr="003D7205">
        <w:rPr>
          <w:lang w:val="fr-CA"/>
        </w:rPr>
        <w:t>). L’argumentation de M. </w:t>
      </w:r>
      <w:proofErr w:type="spellStart"/>
      <w:r w:rsidRPr="003D7205">
        <w:rPr>
          <w:lang w:val="fr-CA"/>
        </w:rPr>
        <w:t>Riesberry</w:t>
      </w:r>
      <w:proofErr w:type="spellEnd"/>
      <w:r w:rsidRPr="003D7205">
        <w:rPr>
          <w:lang w:val="fr-CA"/>
        </w:rPr>
        <w:t xml:space="preserve"> est axée sur l’un des deux aspects suivants de </w:t>
      </w:r>
      <w:proofErr w:type="gramStart"/>
      <w:r w:rsidRPr="003D7205">
        <w:rPr>
          <w:lang w:val="fr-CA"/>
        </w:rPr>
        <w:t>l’</w:t>
      </w:r>
      <w:r w:rsidRPr="003D7205">
        <w:rPr>
          <w:i/>
          <w:iCs/>
          <w:lang w:val="fr-CA"/>
        </w:rPr>
        <w:t>actus</w:t>
      </w:r>
      <w:proofErr w:type="gramEnd"/>
      <w:r w:rsidRPr="003D7205">
        <w:rPr>
          <w:i/>
          <w:iCs/>
          <w:lang w:val="fr-CA"/>
        </w:rPr>
        <w:t xml:space="preserve"> </w:t>
      </w:r>
      <w:proofErr w:type="spellStart"/>
      <w:r w:rsidRPr="003D7205">
        <w:rPr>
          <w:i/>
          <w:iCs/>
          <w:lang w:val="fr-CA"/>
        </w:rPr>
        <w:t>reus</w:t>
      </w:r>
      <w:proofErr w:type="spellEnd"/>
      <w:r>
        <w:rPr>
          <w:lang w:val="fr-CA"/>
        </w:rPr>
        <w:t> :</w:t>
      </w:r>
      <w:r w:rsidRPr="003D7205">
        <w:rPr>
          <w:lang w:val="fr-CA"/>
        </w:rPr>
        <w:t xml:space="preserve"> </w:t>
      </w:r>
    </w:p>
    <w:p w:rsidR="0026172C" w:rsidRPr="003D7205" w:rsidRDefault="0026172C" w:rsidP="0026172C">
      <w:pPr>
        <w:pStyle w:val="Citation-AltC"/>
        <w:widowControl w:val="0"/>
        <w:spacing w:after="240"/>
        <w:ind w:left="635" w:hanging="635"/>
        <w:contextualSpacing w:val="0"/>
        <w:rPr>
          <w:lang w:val="fr-CA"/>
        </w:rPr>
      </w:pPr>
      <w:r>
        <w:rPr>
          <w:lang w:val="fr-CA"/>
        </w:rPr>
        <w:tab/>
        <w:t>1. </w:t>
      </w:r>
      <w:r w:rsidRPr="003D7205">
        <w:rPr>
          <w:lang w:val="fr-CA"/>
        </w:rPr>
        <w:t xml:space="preserve">. . . une supercherie, </w:t>
      </w:r>
      <w:r w:rsidR="005302A9">
        <w:rPr>
          <w:lang w:val="fr-CA"/>
        </w:rPr>
        <w:t>[. . .]</w:t>
      </w:r>
      <w:r w:rsidR="001E29AF">
        <w:rPr>
          <w:lang w:val="fr-CA"/>
        </w:rPr>
        <w:t xml:space="preserve"> </w:t>
      </w:r>
      <w:r w:rsidRPr="003D7205">
        <w:rPr>
          <w:lang w:val="fr-CA"/>
        </w:rPr>
        <w:t>un mensonge ou</w:t>
      </w:r>
      <w:r w:rsidR="001E29AF">
        <w:rPr>
          <w:lang w:val="fr-CA"/>
        </w:rPr>
        <w:t xml:space="preserve"> </w:t>
      </w:r>
      <w:r w:rsidR="005302A9">
        <w:rPr>
          <w:lang w:val="fr-CA"/>
        </w:rPr>
        <w:t>[. . .]</w:t>
      </w:r>
      <w:r w:rsidR="001E29AF">
        <w:rPr>
          <w:lang w:val="fr-CA"/>
        </w:rPr>
        <w:t xml:space="preserve"> un autre moyen dolosif, et</w:t>
      </w:r>
    </w:p>
    <w:p w:rsidR="0026172C" w:rsidRDefault="0026172C" w:rsidP="0026172C">
      <w:pPr>
        <w:pStyle w:val="Citation-AltC"/>
        <w:widowControl w:val="0"/>
        <w:spacing w:after="240"/>
        <w:ind w:left="635" w:hanging="635"/>
        <w:contextualSpacing w:val="0"/>
        <w:rPr>
          <w:lang w:val="fr-CA"/>
        </w:rPr>
      </w:pPr>
      <w:r>
        <w:rPr>
          <w:lang w:val="fr-CA"/>
        </w:rPr>
        <w:tab/>
        <w:t>2. </w:t>
      </w:r>
      <w:r w:rsidR="001E29AF">
        <w:rPr>
          <w:lang w:val="fr-CA"/>
        </w:rPr>
        <w:t>[</w:t>
      </w:r>
      <w:r>
        <w:rPr>
          <w:lang w:val="fr-CA"/>
        </w:rPr>
        <w:t>une</w:t>
      </w:r>
      <w:r w:rsidR="001E29AF">
        <w:rPr>
          <w:lang w:val="fr-CA"/>
        </w:rPr>
        <w:t>]</w:t>
      </w:r>
      <w:r w:rsidRPr="003D7205">
        <w:rPr>
          <w:lang w:val="fr-CA"/>
        </w:rPr>
        <w:t xml:space="preserve"> privation causée par l’acte prohibé, qui peut consister en une perte véritable ou dans le fait de mettre en péril les intérêts pécuniaires de la victime.</w:t>
      </w:r>
    </w:p>
    <w:p w:rsidR="001E29AF" w:rsidRPr="003D7205" w:rsidRDefault="001E29AF" w:rsidP="0026172C">
      <w:pPr>
        <w:pStyle w:val="Citation-AltC"/>
        <w:widowControl w:val="0"/>
        <w:spacing w:after="240"/>
        <w:ind w:left="635" w:hanging="635"/>
        <w:contextualSpacing w:val="0"/>
        <w:rPr>
          <w:lang w:val="fr-CA"/>
        </w:rPr>
      </w:pPr>
    </w:p>
    <w:p w:rsidR="0026172C" w:rsidRPr="003D7205" w:rsidRDefault="0026172C" w:rsidP="001E29AF">
      <w:pPr>
        <w:pStyle w:val="Citation-AltC"/>
        <w:widowControl w:val="0"/>
        <w:spacing w:line="480" w:lineRule="auto"/>
        <w:ind w:left="634" w:hanging="634"/>
        <w:contextualSpacing w:val="0"/>
        <w:rPr>
          <w:lang w:val="fr-CA"/>
        </w:rPr>
      </w:pPr>
      <w:r w:rsidRPr="003D7205">
        <w:rPr>
          <w:iCs/>
          <w:lang w:val="fr-CA"/>
        </w:rPr>
        <w:t>(</w:t>
      </w:r>
      <w:r w:rsidRPr="003D7205">
        <w:rPr>
          <w:i/>
          <w:iCs/>
          <w:lang w:val="fr-CA"/>
        </w:rPr>
        <w:t xml:space="preserve">R. c. </w:t>
      </w:r>
      <w:proofErr w:type="spellStart"/>
      <w:r w:rsidRPr="003D7205">
        <w:rPr>
          <w:i/>
          <w:iCs/>
          <w:lang w:val="fr-CA"/>
        </w:rPr>
        <w:t>Théroux</w:t>
      </w:r>
      <w:proofErr w:type="spellEnd"/>
      <w:r w:rsidRPr="001E29AF">
        <w:rPr>
          <w:iCs/>
          <w:lang w:val="fr-CA"/>
        </w:rPr>
        <w:t xml:space="preserve">, </w:t>
      </w:r>
      <w:r w:rsidRPr="003D7205">
        <w:rPr>
          <w:lang w:val="fr-CA"/>
        </w:rPr>
        <w:t xml:space="preserve">[1993] 2 R.C.S. 5, </w:t>
      </w:r>
      <w:r>
        <w:rPr>
          <w:lang w:val="fr-CA"/>
        </w:rPr>
        <w:t>p. </w:t>
      </w:r>
      <w:r w:rsidRPr="003D7205">
        <w:rPr>
          <w:lang w:val="fr-CA"/>
        </w:rPr>
        <w:t xml:space="preserve">20; </w:t>
      </w:r>
      <w:r w:rsidRPr="003D7205">
        <w:rPr>
          <w:i/>
          <w:iCs/>
          <w:lang w:val="fr-CA"/>
        </w:rPr>
        <w:t xml:space="preserve">R. c. </w:t>
      </w:r>
      <w:proofErr w:type="spellStart"/>
      <w:r w:rsidRPr="003D7205">
        <w:rPr>
          <w:i/>
          <w:iCs/>
          <w:lang w:val="fr-CA"/>
        </w:rPr>
        <w:t>Zlatic</w:t>
      </w:r>
      <w:proofErr w:type="spellEnd"/>
      <w:r w:rsidRPr="001E29AF">
        <w:rPr>
          <w:iCs/>
          <w:lang w:val="fr-CA"/>
        </w:rPr>
        <w:t xml:space="preserve">, </w:t>
      </w:r>
      <w:r>
        <w:rPr>
          <w:lang w:val="fr-CA"/>
        </w:rPr>
        <w:t xml:space="preserve">[1993] </w:t>
      </w:r>
      <w:r w:rsidRPr="003D7205">
        <w:rPr>
          <w:lang w:val="fr-CA"/>
        </w:rPr>
        <w:t xml:space="preserve">2 R.C.S. 29, </w:t>
      </w:r>
      <w:r>
        <w:rPr>
          <w:lang w:val="fr-CA"/>
        </w:rPr>
        <w:t>p. </w:t>
      </w:r>
      <w:r w:rsidR="001E29AF">
        <w:rPr>
          <w:lang w:val="fr-CA"/>
        </w:rPr>
        <w:t>43</w:t>
      </w:r>
      <w:r w:rsidRPr="003D7205">
        <w:rPr>
          <w:lang w:val="fr-CA"/>
        </w:rPr>
        <w:t>)</w:t>
      </w:r>
    </w:p>
    <w:p w:rsidR="0026172C" w:rsidRPr="003D7205" w:rsidRDefault="0026172C" w:rsidP="0026172C">
      <w:pPr>
        <w:pStyle w:val="ParaNoNdepar-AltN"/>
        <w:widowControl w:val="0"/>
        <w:numPr>
          <w:ilvl w:val="0"/>
          <w:numId w:val="2"/>
        </w:numPr>
        <w:rPr>
          <w:lang w:val="fr-CA"/>
        </w:rPr>
      </w:pPr>
      <w:r w:rsidRPr="003D7205">
        <w:rPr>
          <w:lang w:val="fr-CA"/>
        </w:rPr>
        <w:t>Le débat en l’espèce porte sur l’aspect relatif à la privation. M. </w:t>
      </w:r>
      <w:proofErr w:type="spellStart"/>
      <w:r w:rsidRPr="003D7205">
        <w:rPr>
          <w:lang w:val="fr-CA"/>
        </w:rPr>
        <w:t>Riesberry</w:t>
      </w:r>
      <w:proofErr w:type="spellEnd"/>
      <w:r w:rsidRPr="003D7205">
        <w:rPr>
          <w:lang w:val="fr-CA"/>
        </w:rPr>
        <w:t xml:space="preserve"> soutient qu’il n’y avait aucune preuve que sa conduite frauduleuse ait créé quelque risque de privation que ce soit ou, au demeurant, que le lien entre ce risque et ses actes est trop indirect. Il soutient que le ministère public n’a pas démontré que les personnes qui ont parié lors de cette course ont été incitées à parier en raison de sa conduite frauduleuse ou qu’elles n’auraient pas parié n’eut été sa conduite frauduleuse.</w:t>
      </w:r>
    </w:p>
    <w:p w:rsidR="0026172C" w:rsidRPr="003D7205" w:rsidRDefault="0026172C" w:rsidP="0026172C">
      <w:pPr>
        <w:pStyle w:val="ParaNoNdepar-AltN"/>
        <w:widowControl w:val="0"/>
        <w:numPr>
          <w:ilvl w:val="0"/>
          <w:numId w:val="2"/>
        </w:numPr>
        <w:rPr>
          <w:lang w:val="fr-CA"/>
        </w:rPr>
      </w:pPr>
      <w:r w:rsidRPr="003D7205">
        <w:rPr>
          <w:lang w:val="fr-CA"/>
        </w:rPr>
        <w:t>Je ne puis accepter cet argument. Contrairement à ce que prétend M. </w:t>
      </w:r>
      <w:proofErr w:type="spellStart"/>
      <w:r w:rsidRPr="003D7205">
        <w:rPr>
          <w:lang w:val="fr-CA"/>
        </w:rPr>
        <w:t>Riesberry</w:t>
      </w:r>
      <w:proofErr w:type="spellEnd"/>
      <w:r w:rsidRPr="003D7205">
        <w:rPr>
          <w:lang w:val="fr-CA"/>
        </w:rPr>
        <w:t xml:space="preserve">, il n’est pas toujours nécessaire, pour prouver la fraude, de démontrer que </w:t>
      </w:r>
      <w:r w:rsidRPr="003D7205">
        <w:rPr>
          <w:lang w:val="fr-CA"/>
        </w:rPr>
        <w:lastRenderedPageBreak/>
        <w:t xml:space="preserve">la présumée victime </w:t>
      </w:r>
      <w:r w:rsidRPr="003D7205">
        <w:rPr>
          <w:i/>
          <w:lang w:val="fr-CA"/>
        </w:rPr>
        <w:t>s’est fondée</w:t>
      </w:r>
      <w:r w:rsidRPr="003D7205">
        <w:rPr>
          <w:lang w:val="fr-CA"/>
        </w:rPr>
        <w:t xml:space="preserve"> sur la conduite frauduleuse ou qu’elle a </w:t>
      </w:r>
      <w:r w:rsidRPr="003D7205">
        <w:rPr>
          <w:i/>
          <w:lang w:val="fr-CA"/>
        </w:rPr>
        <w:t>été incitée</w:t>
      </w:r>
      <w:r w:rsidRPr="003D7205">
        <w:rPr>
          <w:lang w:val="fr-CA"/>
        </w:rPr>
        <w:t xml:space="preserve"> en raison de celle</w:t>
      </w:r>
      <w:r>
        <w:rPr>
          <w:lang w:val="fr-CA"/>
        </w:rPr>
        <w:noBreakHyphen/>
      </w:r>
      <w:r w:rsidRPr="003D7205">
        <w:rPr>
          <w:lang w:val="fr-CA"/>
        </w:rPr>
        <w:t xml:space="preserve">ci à agir à son détriment. Il faut, dans tous les cas, démontrer l’existence d’un lien de causalité suffisant entre l’acte frauduleux et le risque de privation de la victime. Dans certains cas, ce lien de causalité peut être établi en démontrant que la victime de la fraude a agi à son détriment parce qu’elle s’est </w:t>
      </w:r>
      <w:proofErr w:type="spellStart"/>
      <w:r w:rsidRPr="003D7205">
        <w:rPr>
          <w:lang w:val="fr-CA"/>
        </w:rPr>
        <w:t>fiée</w:t>
      </w:r>
      <w:proofErr w:type="spellEnd"/>
      <w:r w:rsidRPr="003D7205">
        <w:rPr>
          <w:lang w:val="fr-CA"/>
        </w:rPr>
        <w:t xml:space="preserve"> au comportement frauduleux de l’accusé ou que ce comportement l’a incitée à agir. Mais ce n’est pas la seule façon d’établir le lien de causalité.</w:t>
      </w:r>
    </w:p>
    <w:p w:rsidR="0026172C" w:rsidRPr="003D7205" w:rsidRDefault="0026172C" w:rsidP="0026172C">
      <w:pPr>
        <w:pStyle w:val="ParaNoNdepar-AltN"/>
        <w:widowControl w:val="0"/>
        <w:numPr>
          <w:ilvl w:val="0"/>
          <w:numId w:val="2"/>
        </w:numPr>
        <w:rPr>
          <w:lang w:val="fr-CA"/>
        </w:rPr>
      </w:pPr>
      <w:r w:rsidRPr="003D7205">
        <w:rPr>
          <w:lang w:val="fr-CA"/>
        </w:rPr>
        <w:t>Il convient tout d’abord de bien préciser en quoi consistait le comportement frauduleux de M. </w:t>
      </w:r>
      <w:proofErr w:type="spellStart"/>
      <w:r w:rsidRPr="003D7205">
        <w:rPr>
          <w:lang w:val="fr-CA"/>
        </w:rPr>
        <w:t>Riesberry</w:t>
      </w:r>
      <w:proofErr w:type="spellEnd"/>
      <w:r w:rsidRPr="003D7205">
        <w:rPr>
          <w:lang w:val="fr-CA"/>
        </w:rPr>
        <w:t xml:space="preserve"> avant de passer à la question de savoir si ce comportement a créé un risque de privation. Pour les besoins d’une poursuite pour fraude, le comportement frauduleux ne se limite pas à la tromperie, par exemple par de fausses indications sur des faits. La fraude exige plutôt la preuve d’une « </w:t>
      </w:r>
      <w:r w:rsidRPr="003D7205">
        <w:rPr>
          <w:spacing w:val="-3"/>
          <w:lang w:val="fr-CA"/>
        </w:rPr>
        <w:t xml:space="preserve">supercherie, [d’un] mensonge ou [d’un] </w:t>
      </w:r>
      <w:r w:rsidRPr="003D7205">
        <w:rPr>
          <w:spacing w:val="-3"/>
          <w:u w:val="single"/>
          <w:lang w:val="fr-CA"/>
        </w:rPr>
        <w:t>autre moyen dolosif</w:t>
      </w:r>
      <w:r w:rsidRPr="003D7205">
        <w:rPr>
          <w:spacing w:val="-3"/>
          <w:lang w:val="fr-CA"/>
        </w:rPr>
        <w:t> »</w:t>
      </w:r>
      <w:r>
        <w:rPr>
          <w:spacing w:val="-3"/>
          <w:lang w:val="fr-CA"/>
        </w:rPr>
        <w:t> :</w:t>
      </w:r>
      <w:r w:rsidRPr="003D7205">
        <w:rPr>
          <w:spacing w:val="-3"/>
          <w:lang w:val="fr-CA"/>
        </w:rPr>
        <w:t xml:space="preserve"> </w:t>
      </w:r>
      <w:r>
        <w:rPr>
          <w:lang w:val="fr-CA"/>
        </w:rPr>
        <w:t>par. </w:t>
      </w:r>
      <w:r w:rsidRPr="003D7205">
        <w:rPr>
          <w:lang w:val="fr-CA"/>
        </w:rPr>
        <w:t>380(1). L’expression « </w:t>
      </w:r>
      <w:r w:rsidRPr="003D7205">
        <w:rPr>
          <w:spacing w:val="-3"/>
          <w:lang w:val="fr-CA"/>
        </w:rPr>
        <w:t>autre moyen dolosif </w:t>
      </w:r>
      <w:r w:rsidRPr="003D7205">
        <w:rPr>
          <w:lang w:val="fr-CA"/>
        </w:rPr>
        <w:t>» englobe « t</w:t>
      </w:r>
      <w:r w:rsidRPr="003D7205">
        <w:rPr>
          <w:rStyle w:val="highlight"/>
          <w:lang w:val="fr-CA"/>
        </w:rPr>
        <w:t xml:space="preserve">ous les autres moyens qu’on peut </w:t>
      </w:r>
      <w:r w:rsidR="001E29AF">
        <w:rPr>
          <w:rStyle w:val="highlight"/>
          <w:lang w:val="fr-CA"/>
        </w:rPr>
        <w:t>propr</w:t>
      </w:r>
      <w:r w:rsidRPr="003D7205">
        <w:rPr>
          <w:rStyle w:val="highlight"/>
          <w:lang w:val="fr-CA"/>
        </w:rPr>
        <w:t>ement qualifier de malhonnêtes »</w:t>
      </w:r>
      <w:r>
        <w:rPr>
          <w:rStyle w:val="highlight"/>
          <w:lang w:val="fr-CA"/>
        </w:rPr>
        <w:t> :</w:t>
      </w:r>
      <w:r w:rsidRPr="003D7205">
        <w:rPr>
          <w:lang w:val="fr-CA"/>
        </w:rPr>
        <w:t xml:space="preserve"> </w:t>
      </w:r>
      <w:r w:rsidRPr="003D7205">
        <w:rPr>
          <w:i/>
          <w:iCs/>
          <w:lang w:val="fr-CA"/>
        </w:rPr>
        <w:t xml:space="preserve">R. c. </w:t>
      </w:r>
      <w:proofErr w:type="spellStart"/>
      <w:r w:rsidRPr="003D7205">
        <w:rPr>
          <w:i/>
          <w:iCs/>
          <w:lang w:val="fr-CA"/>
        </w:rPr>
        <w:t>Olan</w:t>
      </w:r>
      <w:proofErr w:type="spellEnd"/>
      <w:r w:rsidRPr="003D7205">
        <w:rPr>
          <w:lang w:val="fr-CA"/>
        </w:rPr>
        <w:t xml:space="preserve">, [1978] 2 R.C.S. 1175, </w:t>
      </w:r>
      <w:r>
        <w:rPr>
          <w:lang w:val="fr-CA"/>
        </w:rPr>
        <w:t>p. </w:t>
      </w:r>
      <w:r w:rsidRPr="003D7205">
        <w:rPr>
          <w:lang w:val="fr-CA"/>
        </w:rPr>
        <w:t xml:space="preserve">1180. La Chambre des lords avait posé ce principe dans l’arrêt </w:t>
      </w:r>
      <w:r w:rsidRPr="003D7205">
        <w:rPr>
          <w:i/>
          <w:iCs/>
          <w:lang w:val="fr-CA"/>
        </w:rPr>
        <w:t xml:space="preserve">Scott c. </w:t>
      </w:r>
      <w:proofErr w:type="spellStart"/>
      <w:r w:rsidRPr="003D7205">
        <w:rPr>
          <w:i/>
          <w:iCs/>
          <w:lang w:val="fr-CA"/>
        </w:rPr>
        <w:t>Metropolitan</w:t>
      </w:r>
      <w:proofErr w:type="spellEnd"/>
      <w:r w:rsidRPr="003D7205">
        <w:rPr>
          <w:i/>
          <w:iCs/>
          <w:lang w:val="fr-CA"/>
        </w:rPr>
        <w:t xml:space="preserve"> Police </w:t>
      </w:r>
      <w:proofErr w:type="spellStart"/>
      <w:r w:rsidRPr="003D7205">
        <w:rPr>
          <w:i/>
          <w:iCs/>
          <w:lang w:val="fr-CA"/>
        </w:rPr>
        <w:t>Commissioner</w:t>
      </w:r>
      <w:proofErr w:type="spellEnd"/>
      <w:r w:rsidRPr="003D7205">
        <w:rPr>
          <w:lang w:val="fr-CA"/>
        </w:rPr>
        <w:t xml:space="preserve">, [1975] A.C. 819, une décision que notre Cour a reprise à son compte dans l’arrêt </w:t>
      </w:r>
      <w:proofErr w:type="spellStart"/>
      <w:r w:rsidRPr="003D7205">
        <w:rPr>
          <w:i/>
          <w:iCs/>
          <w:lang w:val="fr-CA"/>
        </w:rPr>
        <w:t>Olan</w:t>
      </w:r>
      <w:proofErr w:type="spellEnd"/>
      <w:r w:rsidRPr="003D7205">
        <w:rPr>
          <w:lang w:val="fr-CA"/>
        </w:rPr>
        <w:t xml:space="preserve"> (</w:t>
      </w:r>
      <w:r>
        <w:rPr>
          <w:lang w:val="fr-CA"/>
        </w:rPr>
        <w:t>p. </w:t>
      </w:r>
      <w:r w:rsidRPr="003D7205">
        <w:rPr>
          <w:lang w:val="fr-CA"/>
        </w:rPr>
        <w:t xml:space="preserve">1181). Selon le vicomte </w:t>
      </w:r>
      <w:proofErr w:type="spellStart"/>
      <w:r w:rsidRPr="003D7205">
        <w:rPr>
          <w:lang w:val="fr-CA"/>
        </w:rPr>
        <w:t>Dilhorne</w:t>
      </w:r>
      <w:proofErr w:type="spellEnd"/>
      <w:r w:rsidRPr="003D7205">
        <w:rPr>
          <w:lang w:val="fr-CA"/>
        </w:rPr>
        <w:t xml:space="preserve"> dans l’arrêt </w:t>
      </w:r>
      <w:r w:rsidRPr="003D7205">
        <w:rPr>
          <w:i/>
          <w:iCs/>
          <w:lang w:val="fr-CA"/>
        </w:rPr>
        <w:t>Scott</w:t>
      </w:r>
      <w:r w:rsidRPr="003D7205">
        <w:rPr>
          <w:lang w:val="fr-CA"/>
        </w:rPr>
        <w:t>, la fraude peut consister à priver [</w:t>
      </w:r>
      <w:r w:rsidRPr="003D7205">
        <w:rPr>
          <w:smallCaps/>
          <w:lang w:val="fr-CA"/>
        </w:rPr>
        <w:t>traduction</w:t>
      </w:r>
      <w:r w:rsidRPr="003D7205">
        <w:rPr>
          <w:lang w:val="fr-CA"/>
        </w:rPr>
        <w:t>] « malhonnêtement une personne de quelque chose qui lui appartient ou de quelque chose à laquelle elle a, aurait ou pourrait avoir droit, n’eût été la perpétration de la fraude »</w:t>
      </w:r>
      <w:r>
        <w:rPr>
          <w:lang w:val="fr-CA"/>
        </w:rPr>
        <w:t> :</w:t>
      </w:r>
      <w:r w:rsidRPr="003D7205">
        <w:rPr>
          <w:rStyle w:val="highlight"/>
          <w:sz w:val="20"/>
          <w:szCs w:val="20"/>
          <w:lang w:val="fr-CA"/>
        </w:rPr>
        <w:t xml:space="preserve"> </w:t>
      </w:r>
      <w:r>
        <w:rPr>
          <w:lang w:val="fr-CA"/>
        </w:rPr>
        <w:t>p. </w:t>
      </w:r>
      <w:r w:rsidRPr="003D7205">
        <w:rPr>
          <w:lang w:val="fr-CA"/>
        </w:rPr>
        <w:t xml:space="preserve">839. Et comme l’a dit lord </w:t>
      </w:r>
      <w:proofErr w:type="spellStart"/>
      <w:r w:rsidRPr="003D7205">
        <w:rPr>
          <w:lang w:val="fr-CA"/>
        </w:rPr>
        <w:t>Diplock</w:t>
      </w:r>
      <w:proofErr w:type="spellEnd"/>
      <w:r w:rsidRPr="003D7205">
        <w:rPr>
          <w:lang w:val="fr-CA"/>
        </w:rPr>
        <w:t xml:space="preserve"> au sujet des moyens dolosifs, « il n’est pas nécessaire qu’il y ait des déclarations mensongères comme c’est le cas pour </w:t>
      </w:r>
      <w:r w:rsidRPr="003D7205">
        <w:rPr>
          <w:lang w:val="fr-CA"/>
        </w:rPr>
        <w:lastRenderedPageBreak/>
        <w:t>le dol au civil</w:t>
      </w:r>
      <w:r w:rsidR="005302A9">
        <w:rPr>
          <w:lang w:val="fr-CA"/>
        </w:rPr>
        <w:t xml:space="preserve"> </w:t>
      </w:r>
      <w:r w:rsidRPr="003D7205">
        <w:rPr>
          <w:lang w:val="fr-CA"/>
        </w:rPr>
        <w:t>»</w:t>
      </w:r>
      <w:r>
        <w:rPr>
          <w:lang w:val="fr-CA"/>
        </w:rPr>
        <w:t> :</w:t>
      </w:r>
      <w:r w:rsidRPr="003D7205">
        <w:rPr>
          <w:lang w:val="fr-CA"/>
        </w:rPr>
        <w:t xml:space="preserve"> </w:t>
      </w:r>
      <w:r w:rsidRPr="003D7205">
        <w:rPr>
          <w:i/>
          <w:lang w:val="fr-CA"/>
        </w:rPr>
        <w:t>ibid.</w:t>
      </w:r>
      <w:r w:rsidRPr="003D7205">
        <w:rPr>
          <w:lang w:val="fr-CA"/>
        </w:rPr>
        <w:t xml:space="preserve">, </w:t>
      </w:r>
      <w:r>
        <w:rPr>
          <w:lang w:val="fr-CA"/>
        </w:rPr>
        <w:t>p. </w:t>
      </w:r>
      <w:r w:rsidRPr="003D7205">
        <w:rPr>
          <w:lang w:val="fr-CA"/>
        </w:rPr>
        <w:t>841.</w:t>
      </w:r>
    </w:p>
    <w:p w:rsidR="0026172C" w:rsidRPr="003D7205" w:rsidRDefault="0026172C" w:rsidP="0026172C">
      <w:pPr>
        <w:pStyle w:val="ParaNoNdepar-AltN"/>
        <w:widowControl w:val="0"/>
        <w:numPr>
          <w:ilvl w:val="0"/>
          <w:numId w:val="2"/>
        </w:numPr>
        <w:rPr>
          <w:lang w:val="fr-CA"/>
        </w:rPr>
      </w:pPr>
      <w:r w:rsidRPr="003D7205">
        <w:rPr>
          <w:lang w:val="fr-CA"/>
        </w:rPr>
        <w:t>Il s’ensuit que lorsque l’acte que l’on dit frauduleux ne s’apparente pas à la supercherie ou au mensonge, comme dans le cas d’une fausse indication sur les faits, la démonstration de l’existence du lien de causalité entre le comportement malhonnête et la privation ne dépend pas nécessairement de la preuve que la victime s’est fondée sur l’acte frauduleux ou que cet acte frauduleux l’a incitée à agir. C’est le cas en l’espèce.</w:t>
      </w:r>
    </w:p>
    <w:p w:rsidR="0026172C" w:rsidRPr="003D7205" w:rsidRDefault="0026172C" w:rsidP="0026172C">
      <w:pPr>
        <w:pStyle w:val="ParaNoNdepar-AltN"/>
        <w:widowControl w:val="0"/>
        <w:numPr>
          <w:ilvl w:val="0"/>
          <w:numId w:val="2"/>
        </w:numPr>
        <w:rPr>
          <w:lang w:val="fr-CA"/>
        </w:rPr>
      </w:pPr>
      <w:r w:rsidRPr="003D7205">
        <w:rPr>
          <w:lang w:val="fr-CA"/>
        </w:rPr>
        <w:t>M. </w:t>
      </w:r>
      <w:proofErr w:type="spellStart"/>
      <w:r w:rsidRPr="003D7205">
        <w:rPr>
          <w:lang w:val="fr-CA"/>
        </w:rPr>
        <w:t>Riesberry</w:t>
      </w:r>
      <w:proofErr w:type="spellEnd"/>
      <w:r w:rsidRPr="003D7205">
        <w:rPr>
          <w:lang w:val="fr-CA"/>
        </w:rPr>
        <w:t xml:space="preserve"> a administré et a tenté d’administrer aux chevaux de course des substances améliorant leur performance. L’usage de ces drogues est interdit, et il est même interdit aux entraîneurs comme M. </w:t>
      </w:r>
      <w:proofErr w:type="spellStart"/>
      <w:r w:rsidRPr="003D7205">
        <w:rPr>
          <w:lang w:val="fr-CA"/>
        </w:rPr>
        <w:t>Riesberry</w:t>
      </w:r>
      <w:proofErr w:type="spellEnd"/>
      <w:r w:rsidRPr="003D7205">
        <w:rPr>
          <w:lang w:val="fr-CA"/>
        </w:rPr>
        <w:t xml:space="preserve"> d’avoir en leur possession dans un hippodrome des seringues pleines. Ce comportement constituait un « autre moyen </w:t>
      </w:r>
      <w:r w:rsidRPr="003D7205">
        <w:rPr>
          <w:spacing w:val="-3"/>
          <w:lang w:val="fr-CA"/>
        </w:rPr>
        <w:t>dolosif </w:t>
      </w:r>
      <w:r w:rsidRPr="003D7205">
        <w:rPr>
          <w:lang w:val="fr-CA"/>
        </w:rPr>
        <w:t>» parce que, dans le milieu très réglementé dans lequel il exerçait ses activités, M. </w:t>
      </w:r>
      <w:proofErr w:type="spellStart"/>
      <w:r w:rsidRPr="003D7205">
        <w:rPr>
          <w:lang w:val="fr-CA"/>
        </w:rPr>
        <w:t>Riesberry</w:t>
      </w:r>
      <w:proofErr w:type="spellEnd"/>
      <w:r w:rsidRPr="003D7205">
        <w:rPr>
          <w:lang w:val="fr-CA"/>
        </w:rPr>
        <w:t xml:space="preserve"> a adopté un comportement </w:t>
      </w:r>
      <w:r w:rsidRPr="003D7205">
        <w:rPr>
          <w:rStyle w:val="highlight"/>
          <w:lang w:val="fr-CA"/>
        </w:rPr>
        <w:t xml:space="preserve">qu’on peut </w:t>
      </w:r>
      <w:r w:rsidRPr="003D7205">
        <w:rPr>
          <w:lang w:val="fr-CA"/>
        </w:rPr>
        <w:t>« </w:t>
      </w:r>
      <w:r w:rsidRPr="003D7205">
        <w:rPr>
          <w:rStyle w:val="highlight"/>
          <w:lang w:val="fr-CA"/>
        </w:rPr>
        <w:t xml:space="preserve">proprement qualifier de </w:t>
      </w:r>
      <w:proofErr w:type="spellStart"/>
      <w:r w:rsidRPr="003D7205">
        <w:rPr>
          <w:rStyle w:val="highlight"/>
          <w:lang w:val="fr-CA"/>
        </w:rPr>
        <w:t>malhonnêt</w:t>
      </w:r>
      <w:proofErr w:type="spellEnd"/>
      <w:r w:rsidR="001E29AF">
        <w:rPr>
          <w:rStyle w:val="highlight"/>
          <w:lang w:val="fr-CA"/>
        </w:rPr>
        <w:t>[</w:t>
      </w:r>
      <w:r w:rsidRPr="003D7205">
        <w:rPr>
          <w:rStyle w:val="highlight"/>
          <w:lang w:val="fr-CA"/>
        </w:rPr>
        <w:t>e</w:t>
      </w:r>
      <w:r w:rsidR="001E29AF">
        <w:rPr>
          <w:rStyle w:val="highlight"/>
          <w:lang w:val="fr-CA"/>
        </w:rPr>
        <w:t>]</w:t>
      </w:r>
      <w:r w:rsidRPr="003D7205">
        <w:rPr>
          <w:rStyle w:val="highlight"/>
          <w:lang w:val="fr-CA"/>
        </w:rPr>
        <w:t> »</w:t>
      </w:r>
      <w:r>
        <w:rPr>
          <w:rStyle w:val="highlight"/>
          <w:lang w:val="fr-CA"/>
        </w:rPr>
        <w:t> :</w:t>
      </w:r>
      <w:r w:rsidRPr="003D7205">
        <w:rPr>
          <w:lang w:val="fr-CA"/>
        </w:rPr>
        <w:t xml:space="preserve"> </w:t>
      </w:r>
      <w:proofErr w:type="spellStart"/>
      <w:r w:rsidRPr="003D7205">
        <w:rPr>
          <w:i/>
          <w:iCs/>
          <w:lang w:val="fr-CA"/>
        </w:rPr>
        <w:t>Olan</w:t>
      </w:r>
      <w:proofErr w:type="spellEnd"/>
      <w:r w:rsidRPr="003D7205">
        <w:rPr>
          <w:lang w:val="fr-CA"/>
        </w:rPr>
        <w:t xml:space="preserve">, </w:t>
      </w:r>
      <w:r>
        <w:rPr>
          <w:lang w:val="fr-CA"/>
        </w:rPr>
        <w:t>p. </w:t>
      </w:r>
      <w:r w:rsidRPr="003D7205">
        <w:rPr>
          <w:lang w:val="fr-CA"/>
        </w:rPr>
        <w:t>1180. M. </w:t>
      </w:r>
      <w:proofErr w:type="spellStart"/>
      <w:r w:rsidRPr="003D7205">
        <w:rPr>
          <w:lang w:val="fr-CA"/>
        </w:rPr>
        <w:t>Riesberry</w:t>
      </w:r>
      <w:proofErr w:type="spellEnd"/>
      <w:r w:rsidRPr="003D7205">
        <w:rPr>
          <w:lang w:val="fr-CA"/>
        </w:rPr>
        <w:t xml:space="preserve"> a accompli ces actes malhonnêtes dans le but d’infléchir l’issue de deux courses de chevaux sur lesquel</w:t>
      </w:r>
      <w:r w:rsidR="005302A9">
        <w:rPr>
          <w:lang w:val="fr-CA"/>
        </w:rPr>
        <w:t>le</w:t>
      </w:r>
      <w:r w:rsidRPr="003D7205">
        <w:rPr>
          <w:lang w:val="fr-CA"/>
        </w:rPr>
        <w:t>s des membres du public avaient parié. Ses actes malhonnêtes visaient donc à se traduire par la possibilité qu’un cheval qui aurait autrement pu gagner ne gagne pas, et ils ont effectivement eu ce résultat dans un cas. Son comportement a par conséquent créé un risque de privation pour les parieurs; il a créé le risque de parier sur un cheval qui, n’eussent été les agissements malhonnêtes de M. </w:t>
      </w:r>
      <w:proofErr w:type="spellStart"/>
      <w:r w:rsidRPr="003D7205">
        <w:rPr>
          <w:lang w:val="fr-CA"/>
        </w:rPr>
        <w:t>Riesberry</w:t>
      </w:r>
      <w:proofErr w:type="spellEnd"/>
      <w:r w:rsidRPr="003D7205">
        <w:rPr>
          <w:lang w:val="fr-CA"/>
        </w:rPr>
        <w:t xml:space="preserve">, aurait pu gagner, ce qui aurait permis aux personnes ayant parié sur ce cheval de remporter de l’argent. Rappelant les propos </w:t>
      </w:r>
      <w:r w:rsidRPr="003D7205">
        <w:rPr>
          <w:lang w:val="fr-CA"/>
        </w:rPr>
        <w:lastRenderedPageBreak/>
        <w:t xml:space="preserve">formulés par le vicomte </w:t>
      </w:r>
      <w:proofErr w:type="spellStart"/>
      <w:r w:rsidRPr="003D7205">
        <w:rPr>
          <w:lang w:val="fr-CA"/>
        </w:rPr>
        <w:t>Dilhorne</w:t>
      </w:r>
      <w:proofErr w:type="spellEnd"/>
      <w:r w:rsidRPr="003D7205">
        <w:rPr>
          <w:lang w:val="fr-CA"/>
        </w:rPr>
        <w:t xml:space="preserve"> dans l’arrêt </w:t>
      </w:r>
      <w:r w:rsidRPr="003D7205">
        <w:rPr>
          <w:i/>
          <w:iCs/>
          <w:lang w:val="fr-CA"/>
        </w:rPr>
        <w:t>Scott</w:t>
      </w:r>
      <w:r w:rsidRPr="003D7205">
        <w:rPr>
          <w:lang w:val="fr-CA"/>
        </w:rPr>
        <w:t>, les agissements malhonnêtes de M. </w:t>
      </w:r>
      <w:proofErr w:type="spellStart"/>
      <w:r w:rsidRPr="003D7205">
        <w:rPr>
          <w:lang w:val="fr-CA"/>
        </w:rPr>
        <w:t>Riesberry</w:t>
      </w:r>
      <w:proofErr w:type="spellEnd"/>
      <w:r w:rsidRPr="003D7205">
        <w:rPr>
          <w:lang w:val="fr-CA"/>
        </w:rPr>
        <w:t xml:space="preserve"> ont créé le risque que les parieurs soient malhonnêtement privés de ce qu’ils auraient pu obtenir, n’eût été l’acte malhonnête.</w:t>
      </w:r>
    </w:p>
    <w:p w:rsidR="0026172C" w:rsidRPr="003D7205" w:rsidRDefault="0026172C" w:rsidP="0026172C">
      <w:pPr>
        <w:pStyle w:val="ParaNoNdepar-AltN"/>
        <w:widowControl w:val="0"/>
        <w:numPr>
          <w:ilvl w:val="0"/>
          <w:numId w:val="2"/>
        </w:numPr>
        <w:rPr>
          <w:lang w:val="fr-CA"/>
        </w:rPr>
      </w:pPr>
      <w:r w:rsidRPr="003D7205">
        <w:rPr>
          <w:lang w:val="fr-CA"/>
        </w:rPr>
        <w:t>Il existe un lien de causalité direct entre les actes malhonnêtes de M. </w:t>
      </w:r>
      <w:proofErr w:type="spellStart"/>
      <w:r w:rsidRPr="003D7205">
        <w:rPr>
          <w:lang w:val="fr-CA"/>
        </w:rPr>
        <w:t>Riesberry</w:t>
      </w:r>
      <w:proofErr w:type="spellEnd"/>
      <w:r w:rsidRPr="003D7205">
        <w:rPr>
          <w:lang w:val="fr-CA"/>
        </w:rPr>
        <w:t xml:space="preserve"> et le risque de privation financière des parieurs. En clair, une course truquée crée un risque de préjudice pour les intérêts économiques des parieurs. Dès lors qu’il existe un lien de causalité, l’absence d’incitation ou de confiance est sans importance. Je suis d’accord avec la Cour d’appel pour dire que c’est à tort que M. </w:t>
      </w:r>
      <w:proofErr w:type="spellStart"/>
      <w:r w:rsidRPr="003D7205">
        <w:rPr>
          <w:lang w:val="fr-CA"/>
        </w:rPr>
        <w:t>Riesberry</w:t>
      </w:r>
      <w:proofErr w:type="spellEnd"/>
      <w:r w:rsidRPr="003D7205">
        <w:rPr>
          <w:lang w:val="fr-CA"/>
        </w:rPr>
        <w:t xml:space="preserve"> invoque l’arrêt </w:t>
      </w:r>
      <w:r w:rsidRPr="003D7205">
        <w:rPr>
          <w:i/>
          <w:iCs/>
          <w:lang w:val="fr-CA"/>
        </w:rPr>
        <w:t>Vézina et Côté c. La Reine</w:t>
      </w:r>
      <w:r w:rsidRPr="003D7205">
        <w:rPr>
          <w:lang w:val="fr-CA"/>
        </w:rPr>
        <w:t>, [1986] 1 R.C.S. 2. Comme cet arrêt le précise,</w:t>
      </w:r>
    </w:p>
    <w:p w:rsidR="0026172C" w:rsidRPr="003D7205" w:rsidRDefault="0026172C" w:rsidP="0026172C">
      <w:pPr>
        <w:pStyle w:val="Citation-AltC"/>
        <w:widowControl w:val="0"/>
        <w:ind w:hanging="1166"/>
        <w:rPr>
          <w:lang w:val="fr-CA"/>
        </w:rPr>
      </w:pPr>
      <w:r w:rsidRPr="003D7205">
        <w:rPr>
          <w:lang w:val="fr-CA"/>
        </w:rPr>
        <w:tab/>
      </w:r>
      <w:r w:rsidR="001E29AF">
        <w:rPr>
          <w:lang w:val="fr-CA"/>
        </w:rPr>
        <w:tab/>
      </w:r>
      <w:r w:rsidRPr="003D7205">
        <w:rPr>
          <w:lang w:val="fr-CA"/>
        </w:rPr>
        <w:t>[</w:t>
      </w:r>
      <w:proofErr w:type="gramStart"/>
      <w:r w:rsidRPr="003D7205">
        <w:rPr>
          <w:lang w:val="fr-CA"/>
        </w:rPr>
        <w:t>l]</w:t>
      </w:r>
      <w:proofErr w:type="gramEnd"/>
      <w:r w:rsidRPr="003D7205">
        <w:rPr>
          <w:lang w:val="fr-CA"/>
        </w:rPr>
        <w:t>a fraude consiste à être malhonnête pour obtenir un avantage, entraînant un préju</w:t>
      </w:r>
      <w:r w:rsidR="001E29AF">
        <w:rPr>
          <w:lang w:val="fr-CA"/>
        </w:rPr>
        <w:t>dice ou risque de préjudice au «</w:t>
      </w:r>
      <w:r w:rsidRPr="003D7205">
        <w:rPr>
          <w:lang w:val="fr-CA"/>
        </w:rPr>
        <w:t xml:space="preserve"> bien, argent ou valeur » de quelqu’un. Il n’est pas nécessaire de viser une victime [. . .] et la victime peut ne pas être certaine. </w:t>
      </w:r>
      <w:r w:rsidRPr="003D7205">
        <w:t>[</w:t>
      </w:r>
      <w:r>
        <w:rPr>
          <w:lang w:val="fr-CA"/>
        </w:rPr>
        <w:t>p. </w:t>
      </w:r>
      <w:r w:rsidRPr="003D7205">
        <w:rPr>
          <w:lang w:val="fr-CA"/>
        </w:rPr>
        <w:t xml:space="preserve">19] </w:t>
      </w:r>
    </w:p>
    <w:p w:rsidR="0026172C" w:rsidRPr="00573EB0" w:rsidRDefault="0026172C" w:rsidP="0026172C">
      <w:pPr>
        <w:pStyle w:val="ParaNoNdepar-AltN"/>
        <w:widowControl w:val="0"/>
        <w:numPr>
          <w:ilvl w:val="0"/>
          <w:numId w:val="2"/>
        </w:numPr>
        <w:rPr>
          <w:lang w:val="fr-CA"/>
        </w:rPr>
      </w:pPr>
      <w:r w:rsidRPr="00573EB0">
        <w:rPr>
          <w:lang w:val="fr-CA"/>
        </w:rPr>
        <w:t xml:space="preserve">Ces </w:t>
      </w:r>
      <w:r w:rsidRPr="00A3129D">
        <w:rPr>
          <w:lang w:val="fr-CA"/>
        </w:rPr>
        <w:t>propos</w:t>
      </w:r>
      <w:r w:rsidRPr="00573EB0">
        <w:rPr>
          <w:lang w:val="fr-CA"/>
        </w:rPr>
        <w:t xml:space="preserve"> reflètent les agissements de M. </w:t>
      </w:r>
      <w:proofErr w:type="spellStart"/>
      <w:r w:rsidRPr="00573EB0">
        <w:rPr>
          <w:lang w:val="fr-CA"/>
        </w:rPr>
        <w:t>Riesberry</w:t>
      </w:r>
      <w:proofErr w:type="spellEnd"/>
      <w:r w:rsidRPr="00573EB0">
        <w:rPr>
          <w:lang w:val="fr-CA"/>
        </w:rPr>
        <w:t>.</w:t>
      </w:r>
    </w:p>
    <w:p w:rsidR="0026172C" w:rsidRPr="003D7205" w:rsidRDefault="0026172C" w:rsidP="0026172C">
      <w:pPr>
        <w:pStyle w:val="ParaNoNdepar-AltN"/>
        <w:widowControl w:val="0"/>
        <w:numPr>
          <w:ilvl w:val="0"/>
          <w:numId w:val="2"/>
        </w:numPr>
        <w:rPr>
          <w:lang w:val="fr-CA"/>
        </w:rPr>
      </w:pPr>
      <w:r w:rsidRPr="003D7205">
        <w:rPr>
          <w:lang w:val="fr-CA"/>
        </w:rPr>
        <w:t>Je conclus que le juge du procès a commis une erreur de droit en concluant que les parieurs ne risquaient pas de subir une privation en raison des actes malhonnêtes de M. </w:t>
      </w:r>
      <w:proofErr w:type="spellStart"/>
      <w:r w:rsidRPr="003D7205">
        <w:rPr>
          <w:lang w:val="fr-CA"/>
        </w:rPr>
        <w:t>Riesberry</w:t>
      </w:r>
      <w:proofErr w:type="spellEnd"/>
      <w:r w:rsidRPr="003D7205">
        <w:rPr>
          <w:lang w:val="fr-CA"/>
        </w:rPr>
        <w:t xml:space="preserve"> et que tout risque de privation était trop éloigné.</w:t>
      </w:r>
    </w:p>
    <w:p w:rsidR="0026172C" w:rsidRPr="003D7205" w:rsidRDefault="0026172C" w:rsidP="0026172C">
      <w:pPr>
        <w:pStyle w:val="Title3LevelTitre3Niveau"/>
        <w:widowControl w:val="0"/>
        <w:ind w:left="1156" w:hanging="578"/>
        <w:rPr>
          <w:lang w:val="fr-CA"/>
        </w:rPr>
      </w:pPr>
      <w:r w:rsidRPr="003D7205">
        <w:rPr>
          <w:lang w:val="fr-CA"/>
        </w:rPr>
        <w:t>La Cour d’appel a</w:t>
      </w:r>
      <w:r>
        <w:rPr>
          <w:lang w:val="fr-CA"/>
        </w:rPr>
        <w:noBreakHyphen/>
      </w:r>
      <w:r w:rsidRPr="003D7205">
        <w:rPr>
          <w:lang w:val="fr-CA"/>
        </w:rPr>
        <w:t>t</w:t>
      </w:r>
      <w:r>
        <w:rPr>
          <w:lang w:val="fr-CA"/>
        </w:rPr>
        <w:noBreakHyphen/>
      </w:r>
      <w:r w:rsidRPr="003D7205">
        <w:rPr>
          <w:lang w:val="fr-CA"/>
        </w:rPr>
        <w:t xml:space="preserve">elle eu tort de prononcer </w:t>
      </w:r>
      <w:r w:rsidR="005302A9">
        <w:rPr>
          <w:lang w:val="fr-CA"/>
        </w:rPr>
        <w:t xml:space="preserve">des </w:t>
      </w:r>
      <w:r w:rsidRPr="003D7205">
        <w:rPr>
          <w:lang w:val="fr-CA"/>
        </w:rPr>
        <w:t>déclaration</w:t>
      </w:r>
      <w:r w:rsidR="005302A9">
        <w:rPr>
          <w:lang w:val="fr-CA"/>
        </w:rPr>
        <w:t>s</w:t>
      </w:r>
      <w:r w:rsidRPr="003D7205">
        <w:rPr>
          <w:lang w:val="fr-CA"/>
        </w:rPr>
        <w:t xml:space="preserve"> de culpabilité plutôt que d’ordonner la tenue d’un nouveau procès?</w:t>
      </w:r>
    </w:p>
    <w:p w:rsidR="0026172C" w:rsidRPr="003D7205" w:rsidRDefault="0026172C" w:rsidP="0026172C">
      <w:pPr>
        <w:pStyle w:val="ParaNoNdepar-AltN"/>
        <w:widowControl w:val="0"/>
        <w:numPr>
          <w:ilvl w:val="0"/>
          <w:numId w:val="2"/>
        </w:numPr>
        <w:rPr>
          <w:lang w:val="fr-CA"/>
        </w:rPr>
      </w:pPr>
      <w:r w:rsidRPr="003D7205">
        <w:rPr>
          <w:lang w:val="fr-CA"/>
        </w:rPr>
        <w:lastRenderedPageBreak/>
        <w:t>M. </w:t>
      </w:r>
      <w:proofErr w:type="spellStart"/>
      <w:r w:rsidRPr="003D7205">
        <w:rPr>
          <w:lang w:val="fr-CA"/>
        </w:rPr>
        <w:t>Riesberry</w:t>
      </w:r>
      <w:proofErr w:type="spellEnd"/>
      <w:r w:rsidRPr="003D7205">
        <w:rPr>
          <w:lang w:val="fr-CA"/>
        </w:rPr>
        <w:t xml:space="preserve"> plaide que la Cour d’appel a commis une erreur en le déclarant coupable parce que le juge du procès n’avait pas tiré toutes les conclusions de fait nécessaires pour justifier ces déclarations de culpabilité</w:t>
      </w:r>
      <w:r>
        <w:rPr>
          <w:lang w:val="fr-CA"/>
        </w:rPr>
        <w:t> :</w:t>
      </w:r>
      <w:r w:rsidRPr="003D7205">
        <w:rPr>
          <w:lang w:val="fr-CA"/>
        </w:rPr>
        <w:t xml:space="preserve"> voir </w:t>
      </w:r>
      <w:r w:rsidRPr="003D7205">
        <w:rPr>
          <w:i/>
          <w:iCs/>
          <w:lang w:val="fr-CA"/>
        </w:rPr>
        <w:t xml:space="preserve">R. c. </w:t>
      </w:r>
      <w:proofErr w:type="spellStart"/>
      <w:r w:rsidRPr="003D7205">
        <w:rPr>
          <w:i/>
          <w:iCs/>
          <w:lang w:val="fr-CA"/>
        </w:rPr>
        <w:t>Cassidy</w:t>
      </w:r>
      <w:proofErr w:type="spellEnd"/>
      <w:r w:rsidRPr="003D7205">
        <w:rPr>
          <w:lang w:val="fr-CA"/>
        </w:rPr>
        <w:t xml:space="preserve">, [1989] 2 R.C.S. 345, </w:t>
      </w:r>
      <w:r>
        <w:rPr>
          <w:lang w:val="fr-CA"/>
        </w:rPr>
        <w:t>p. </w:t>
      </w:r>
      <w:r w:rsidRPr="003D7205">
        <w:rPr>
          <w:lang w:val="fr-CA"/>
        </w:rPr>
        <w:t>354</w:t>
      </w:r>
      <w:r>
        <w:rPr>
          <w:lang w:val="fr-CA"/>
        </w:rPr>
        <w:noBreakHyphen/>
      </w:r>
      <w:r w:rsidRPr="003D7205">
        <w:rPr>
          <w:lang w:val="fr-CA"/>
        </w:rPr>
        <w:t>355. Ces arguments mettent l’accent sur ce qui, selon M. </w:t>
      </w:r>
      <w:proofErr w:type="spellStart"/>
      <w:r w:rsidRPr="003D7205">
        <w:rPr>
          <w:lang w:val="fr-CA"/>
        </w:rPr>
        <w:t>Riesberry</w:t>
      </w:r>
      <w:proofErr w:type="spellEnd"/>
      <w:r w:rsidRPr="003D7205">
        <w:rPr>
          <w:lang w:val="fr-CA"/>
        </w:rPr>
        <w:t xml:space="preserve">, correspond à l’absence de conclusions de fait nécessaires en ce qui concerne l’élément moral ou la </w:t>
      </w:r>
      <w:r w:rsidRPr="003D7205">
        <w:rPr>
          <w:i/>
          <w:iCs/>
          <w:lang w:val="fr-CA"/>
        </w:rPr>
        <w:t xml:space="preserve">mens </w:t>
      </w:r>
      <w:proofErr w:type="spellStart"/>
      <w:r w:rsidRPr="003D7205">
        <w:rPr>
          <w:i/>
          <w:iCs/>
          <w:lang w:val="fr-CA"/>
        </w:rPr>
        <w:t>rea</w:t>
      </w:r>
      <w:proofErr w:type="spellEnd"/>
      <w:r w:rsidRPr="003D7205">
        <w:rPr>
          <w:i/>
          <w:iCs/>
          <w:lang w:val="fr-CA"/>
        </w:rPr>
        <w:t xml:space="preserve"> </w:t>
      </w:r>
      <w:r w:rsidRPr="003D7205">
        <w:rPr>
          <w:lang w:val="fr-CA"/>
        </w:rPr>
        <w:t xml:space="preserve">de la fraude. </w:t>
      </w:r>
    </w:p>
    <w:p w:rsidR="0026172C" w:rsidRPr="003D7205" w:rsidRDefault="0026172C" w:rsidP="0026172C">
      <w:pPr>
        <w:pStyle w:val="ParaNoNdepar-AltN"/>
        <w:widowControl w:val="0"/>
        <w:numPr>
          <w:ilvl w:val="0"/>
          <w:numId w:val="2"/>
        </w:numPr>
        <w:rPr>
          <w:lang w:val="fr-CA"/>
        </w:rPr>
      </w:pPr>
      <w:r w:rsidRPr="003D7205">
        <w:rPr>
          <w:lang w:val="fr-CA"/>
        </w:rPr>
        <w:t>L’élément moral de la fraude exige deux états d’esprit</w:t>
      </w:r>
      <w:r>
        <w:rPr>
          <w:lang w:val="fr-CA"/>
        </w:rPr>
        <w:t> :</w:t>
      </w:r>
      <w:r w:rsidRPr="003D7205">
        <w:rPr>
          <w:lang w:val="fr-CA"/>
        </w:rPr>
        <w:t xml:space="preserve"> </w:t>
      </w:r>
    </w:p>
    <w:p w:rsidR="0026172C" w:rsidRPr="003D7205" w:rsidRDefault="0026172C" w:rsidP="0026172C">
      <w:pPr>
        <w:pStyle w:val="Citation-AltC"/>
        <w:widowControl w:val="0"/>
        <w:spacing w:after="240"/>
        <w:ind w:hanging="1166"/>
        <w:contextualSpacing w:val="0"/>
        <w:rPr>
          <w:lang w:val="fr-CA"/>
        </w:rPr>
      </w:pPr>
      <w:r>
        <w:rPr>
          <w:lang w:val="fr-CA"/>
        </w:rPr>
        <w:tab/>
      </w:r>
      <w:r w:rsidRPr="003D7205">
        <w:rPr>
          <w:lang w:val="fr-CA"/>
        </w:rPr>
        <w:t>1.</w:t>
      </w:r>
      <w:r w:rsidRPr="003D7205">
        <w:rPr>
          <w:lang w:val="fr-CA"/>
        </w:rPr>
        <w:tab/>
      </w:r>
      <w:r w:rsidR="005302A9">
        <w:rPr>
          <w:lang w:val="fr-CA"/>
        </w:rPr>
        <w:t xml:space="preserve">. . . </w:t>
      </w:r>
      <w:r w:rsidRPr="003D7205">
        <w:rPr>
          <w:lang w:val="fr-CA"/>
        </w:rPr>
        <w:t xml:space="preserve">la </w:t>
      </w:r>
      <w:r w:rsidRPr="003D7205">
        <w:rPr>
          <w:spacing w:val="-3"/>
          <w:lang w:val="fr-CA"/>
        </w:rPr>
        <w:t xml:space="preserve">connaissance subjective de </w:t>
      </w:r>
      <w:r w:rsidR="001E29AF">
        <w:rPr>
          <w:spacing w:val="-3"/>
          <w:lang w:val="fr-CA"/>
        </w:rPr>
        <w:t>l’acte prohibé, et</w:t>
      </w:r>
    </w:p>
    <w:p w:rsidR="0026172C" w:rsidRDefault="0026172C" w:rsidP="0026172C">
      <w:pPr>
        <w:pStyle w:val="Citation-AltC"/>
        <w:widowControl w:val="0"/>
        <w:spacing w:after="240"/>
        <w:ind w:left="1168" w:hanging="1168"/>
        <w:contextualSpacing w:val="0"/>
        <w:rPr>
          <w:spacing w:val="-3"/>
          <w:lang w:val="fr-CA"/>
        </w:rPr>
      </w:pPr>
      <w:r>
        <w:rPr>
          <w:spacing w:val="-3"/>
          <w:lang w:val="fr-CA"/>
        </w:rPr>
        <w:tab/>
      </w:r>
      <w:r w:rsidRPr="003D7205">
        <w:rPr>
          <w:spacing w:val="-3"/>
          <w:lang w:val="fr-CA"/>
        </w:rPr>
        <w:t>2.</w:t>
      </w:r>
      <w:r w:rsidRPr="003D7205">
        <w:rPr>
          <w:spacing w:val="-3"/>
          <w:lang w:val="fr-CA"/>
        </w:rPr>
        <w:tab/>
      </w:r>
      <w:r w:rsidR="005302A9">
        <w:rPr>
          <w:spacing w:val="-3"/>
          <w:lang w:val="fr-CA"/>
        </w:rPr>
        <w:t>. . .</w:t>
      </w:r>
      <w:r w:rsidR="001E29AF">
        <w:rPr>
          <w:spacing w:val="-3"/>
          <w:lang w:val="fr-CA"/>
        </w:rPr>
        <w:t xml:space="preserve"> </w:t>
      </w:r>
      <w:r w:rsidRPr="003D7205">
        <w:rPr>
          <w:spacing w:val="-3"/>
          <w:lang w:val="fr-CA"/>
        </w:rPr>
        <w:t>la connaissance subjective que l’acte prohibé pourrait causer une privation à autrui (laquelle privation peut consister en la connaissance que les intérêts pécuniaires de la victime sont mis en péril).</w:t>
      </w:r>
    </w:p>
    <w:p w:rsidR="001E29AF" w:rsidRPr="003D7205" w:rsidRDefault="001E29AF" w:rsidP="001E29AF">
      <w:pPr>
        <w:pStyle w:val="Citation-AltC"/>
        <w:widowControl w:val="0"/>
        <w:spacing w:after="240" w:line="480" w:lineRule="auto"/>
        <w:ind w:left="1168" w:hanging="1168"/>
        <w:contextualSpacing w:val="0"/>
        <w:rPr>
          <w:spacing w:val="-3"/>
          <w:lang w:val="fr-CA"/>
        </w:rPr>
      </w:pPr>
    </w:p>
    <w:p w:rsidR="0026172C" w:rsidRPr="003D7205" w:rsidRDefault="0026172C" w:rsidP="0026172C">
      <w:pPr>
        <w:pStyle w:val="Citation-AltC"/>
        <w:widowControl w:val="0"/>
        <w:ind w:hanging="1166"/>
        <w:rPr>
          <w:lang w:val="fr-CA"/>
        </w:rPr>
      </w:pPr>
      <w:r w:rsidRPr="003D7205">
        <w:rPr>
          <w:iCs/>
          <w:lang w:val="fr-CA"/>
        </w:rPr>
        <w:t>(</w:t>
      </w:r>
      <w:proofErr w:type="spellStart"/>
      <w:r w:rsidRPr="003D7205">
        <w:rPr>
          <w:i/>
          <w:iCs/>
          <w:lang w:val="fr-CA"/>
        </w:rPr>
        <w:t>Théroux</w:t>
      </w:r>
      <w:proofErr w:type="spellEnd"/>
      <w:r w:rsidRPr="003D7205">
        <w:rPr>
          <w:lang w:val="fr-CA"/>
        </w:rPr>
        <w:t xml:space="preserve">, </w:t>
      </w:r>
      <w:r>
        <w:rPr>
          <w:lang w:val="fr-CA"/>
        </w:rPr>
        <w:t>p. </w:t>
      </w:r>
      <w:r w:rsidRPr="003D7205">
        <w:rPr>
          <w:lang w:val="fr-CA"/>
        </w:rPr>
        <w:t xml:space="preserve">20; </w:t>
      </w:r>
      <w:proofErr w:type="spellStart"/>
      <w:r w:rsidRPr="003D7205">
        <w:rPr>
          <w:i/>
          <w:iCs/>
          <w:lang w:val="fr-CA"/>
        </w:rPr>
        <w:t>Zlatic</w:t>
      </w:r>
      <w:proofErr w:type="spellEnd"/>
      <w:r w:rsidRPr="003D7205">
        <w:rPr>
          <w:lang w:val="fr-CA"/>
        </w:rPr>
        <w:t xml:space="preserve">, </w:t>
      </w:r>
      <w:r>
        <w:rPr>
          <w:lang w:val="fr-CA"/>
        </w:rPr>
        <w:t>p. </w:t>
      </w:r>
      <w:r w:rsidRPr="003D7205">
        <w:rPr>
          <w:lang w:val="fr-CA"/>
        </w:rPr>
        <w:t xml:space="preserve">43) </w:t>
      </w:r>
    </w:p>
    <w:p w:rsidR="0026172C" w:rsidRPr="003D7205" w:rsidRDefault="0026172C" w:rsidP="0026172C">
      <w:pPr>
        <w:pStyle w:val="ParaNoNdepar-AltN"/>
        <w:widowControl w:val="0"/>
        <w:numPr>
          <w:ilvl w:val="0"/>
          <w:numId w:val="2"/>
        </w:numPr>
        <w:rPr>
          <w:lang w:val="fr-CA"/>
        </w:rPr>
      </w:pPr>
      <w:r w:rsidRPr="003D7205">
        <w:rPr>
          <w:lang w:val="fr-CA"/>
        </w:rPr>
        <w:t>M. </w:t>
      </w:r>
      <w:proofErr w:type="spellStart"/>
      <w:r w:rsidRPr="003D7205">
        <w:rPr>
          <w:lang w:val="fr-CA"/>
        </w:rPr>
        <w:t>Riesberry</w:t>
      </w:r>
      <w:proofErr w:type="spellEnd"/>
      <w:r w:rsidRPr="003D7205">
        <w:rPr>
          <w:lang w:val="fr-CA"/>
        </w:rPr>
        <w:t xml:space="preserve"> soutient qu’après avoir rejeté les accusations de fraude pour cause d’absence de preuve de </w:t>
      </w:r>
      <w:proofErr w:type="gramStart"/>
      <w:r w:rsidRPr="003D7205">
        <w:rPr>
          <w:lang w:val="fr-CA"/>
        </w:rPr>
        <w:t>l’</w:t>
      </w:r>
      <w:r w:rsidRPr="003D7205">
        <w:rPr>
          <w:i/>
          <w:iCs/>
          <w:lang w:val="fr-CA"/>
        </w:rPr>
        <w:t>actus</w:t>
      </w:r>
      <w:proofErr w:type="gramEnd"/>
      <w:r w:rsidRPr="003D7205">
        <w:rPr>
          <w:i/>
          <w:iCs/>
          <w:lang w:val="fr-CA"/>
        </w:rPr>
        <w:t xml:space="preserve"> </w:t>
      </w:r>
      <w:proofErr w:type="spellStart"/>
      <w:r w:rsidRPr="003D7205">
        <w:rPr>
          <w:i/>
          <w:iCs/>
          <w:lang w:val="fr-CA"/>
        </w:rPr>
        <w:t>reus</w:t>
      </w:r>
      <w:proofErr w:type="spellEnd"/>
      <w:r w:rsidRPr="003D7205">
        <w:rPr>
          <w:lang w:val="fr-CA"/>
        </w:rPr>
        <w:t xml:space="preserve">, le juge du procès n’a pas tiré de conclusion en ce qui concerne ces deux aspects de la </w:t>
      </w:r>
      <w:r w:rsidRPr="003D7205">
        <w:rPr>
          <w:i/>
          <w:iCs/>
          <w:lang w:val="fr-CA"/>
        </w:rPr>
        <w:t xml:space="preserve">mens </w:t>
      </w:r>
      <w:proofErr w:type="spellStart"/>
      <w:r w:rsidRPr="003D7205">
        <w:rPr>
          <w:i/>
          <w:iCs/>
          <w:lang w:val="fr-CA"/>
        </w:rPr>
        <w:t>rea</w:t>
      </w:r>
      <w:proofErr w:type="spellEnd"/>
      <w:r w:rsidRPr="003D7205">
        <w:rPr>
          <w:i/>
          <w:iCs/>
          <w:lang w:val="fr-CA"/>
        </w:rPr>
        <w:t xml:space="preserve"> </w:t>
      </w:r>
      <w:r w:rsidRPr="003D7205">
        <w:rPr>
          <w:lang w:val="fr-CA"/>
        </w:rPr>
        <w:t xml:space="preserve">exigée. Je suis toutefois d’accord avec la Cour d’appel pour dire que le juge du procès a effectivement tiré les conclusions nécessaires. </w:t>
      </w:r>
    </w:p>
    <w:p w:rsidR="0026172C" w:rsidRPr="003D7205" w:rsidRDefault="0026172C" w:rsidP="0026172C">
      <w:pPr>
        <w:pStyle w:val="ParaNoNdepar-AltN"/>
        <w:widowControl w:val="0"/>
        <w:numPr>
          <w:ilvl w:val="0"/>
          <w:numId w:val="2"/>
        </w:numPr>
        <w:rPr>
          <w:lang w:val="fr-CA"/>
        </w:rPr>
      </w:pPr>
      <w:r w:rsidRPr="003D7205">
        <w:rPr>
          <w:lang w:val="fr-CA"/>
        </w:rPr>
        <w:t>Il est indéniable que le juge du procès a conclu que M. </w:t>
      </w:r>
      <w:proofErr w:type="spellStart"/>
      <w:r w:rsidRPr="003D7205">
        <w:rPr>
          <w:lang w:val="fr-CA"/>
        </w:rPr>
        <w:t>Riesberry</w:t>
      </w:r>
      <w:proofErr w:type="spellEnd"/>
      <w:r w:rsidRPr="003D7205">
        <w:rPr>
          <w:lang w:val="fr-CA"/>
        </w:rPr>
        <w:t xml:space="preserve"> savait que les actes qu’il commettait étaient malhonnêtes, ce qui correspond au premier aspect de </w:t>
      </w:r>
      <w:r w:rsidRPr="003D7205">
        <w:rPr>
          <w:lang w:val="fr-CA"/>
        </w:rPr>
        <w:lastRenderedPageBreak/>
        <w:t xml:space="preserve">la </w:t>
      </w:r>
      <w:r w:rsidRPr="003D7205">
        <w:rPr>
          <w:i/>
          <w:iCs/>
          <w:lang w:val="fr-CA"/>
        </w:rPr>
        <w:t xml:space="preserve">mens </w:t>
      </w:r>
      <w:proofErr w:type="spellStart"/>
      <w:r w:rsidRPr="003D7205">
        <w:rPr>
          <w:i/>
          <w:iCs/>
          <w:lang w:val="fr-CA"/>
        </w:rPr>
        <w:t>rea</w:t>
      </w:r>
      <w:proofErr w:type="spellEnd"/>
      <w:r w:rsidRPr="003D7205">
        <w:rPr>
          <w:lang w:val="fr-CA"/>
        </w:rPr>
        <w:t>. Le juge du procès a conclu que le comportement de M. </w:t>
      </w:r>
      <w:proofErr w:type="spellStart"/>
      <w:r w:rsidRPr="003D7205">
        <w:rPr>
          <w:lang w:val="fr-CA"/>
        </w:rPr>
        <w:t>Riesberry</w:t>
      </w:r>
      <w:proofErr w:type="spellEnd"/>
      <w:r w:rsidRPr="003D7205">
        <w:rPr>
          <w:lang w:val="fr-CA"/>
        </w:rPr>
        <w:t xml:space="preserve"> visait à améliorer la performance de ses chevaux et non à poursuivre un objectif médical légitime. Quant au second aspect, le juge du procès a conclu, dans son analyse du même dossier, dans le contexte des accusations de tricherie au jeu, que la conduite de M. </w:t>
      </w:r>
      <w:proofErr w:type="spellStart"/>
      <w:r w:rsidRPr="003D7205">
        <w:rPr>
          <w:lang w:val="fr-CA"/>
        </w:rPr>
        <w:t>Riesberry</w:t>
      </w:r>
      <w:proofErr w:type="spellEnd"/>
      <w:r w:rsidRPr="003D7205">
        <w:rPr>
          <w:lang w:val="fr-CA"/>
        </w:rPr>
        <w:t xml:space="preserve"> constituait effectivement de la tricherie. En d’autres termes, il voulait procurer un avantage indu à ses chevaux à l’occasion d’une course. Il s’agit d’une conclusion de fait suivant laquelle M. </w:t>
      </w:r>
      <w:proofErr w:type="spellStart"/>
      <w:r w:rsidRPr="003D7205">
        <w:rPr>
          <w:lang w:val="fr-CA"/>
        </w:rPr>
        <w:t>Riesberry</w:t>
      </w:r>
      <w:proofErr w:type="spellEnd"/>
      <w:r w:rsidRPr="003D7205">
        <w:rPr>
          <w:lang w:val="fr-CA"/>
        </w:rPr>
        <w:t xml:space="preserve"> savait que sa conduite malhonnête exposait les parieurs à un risque de privation, ce qui, après tout, correspond à la définition de la tricherie.</w:t>
      </w:r>
    </w:p>
    <w:p w:rsidR="0026172C" w:rsidRPr="003D7205" w:rsidRDefault="0026172C" w:rsidP="0026172C">
      <w:pPr>
        <w:pStyle w:val="Title3LevelTitre3Niveau"/>
        <w:widowControl w:val="0"/>
        <w:ind w:left="1156" w:hanging="578"/>
        <w:rPr>
          <w:lang w:val="fr-CA"/>
        </w:rPr>
      </w:pPr>
      <w:r w:rsidRPr="003D7205">
        <w:rPr>
          <w:lang w:val="fr-CA"/>
        </w:rPr>
        <w:t>Conclusion</w:t>
      </w:r>
    </w:p>
    <w:p w:rsidR="0026172C" w:rsidRPr="003D7205" w:rsidRDefault="0026172C" w:rsidP="0026172C">
      <w:pPr>
        <w:pStyle w:val="ParaNoNdepar-AltN"/>
        <w:widowControl w:val="0"/>
        <w:numPr>
          <w:ilvl w:val="0"/>
          <w:numId w:val="2"/>
        </w:numPr>
        <w:rPr>
          <w:lang w:val="fr-CA"/>
        </w:rPr>
      </w:pPr>
      <w:r w:rsidRPr="003D7205">
        <w:rPr>
          <w:lang w:val="fr-CA"/>
        </w:rPr>
        <w:t>À mon avis, les arguments invoqués par M. </w:t>
      </w:r>
      <w:proofErr w:type="spellStart"/>
      <w:r w:rsidRPr="003D7205">
        <w:rPr>
          <w:lang w:val="fr-CA"/>
        </w:rPr>
        <w:t>Riesberry</w:t>
      </w:r>
      <w:proofErr w:type="spellEnd"/>
      <w:r w:rsidRPr="003D7205">
        <w:rPr>
          <w:lang w:val="fr-CA"/>
        </w:rPr>
        <w:t xml:space="preserve"> en ce qui concerne les accusations de fraude ne peuvent être retenus.</w:t>
      </w:r>
    </w:p>
    <w:p w:rsidR="0026172C" w:rsidRPr="003D7205" w:rsidRDefault="0026172C" w:rsidP="0026172C">
      <w:pPr>
        <w:pStyle w:val="Title1LevelTitre1Niveau-AltL"/>
        <w:widowControl w:val="0"/>
        <w:rPr>
          <w:lang w:val="fr-CA"/>
        </w:rPr>
      </w:pPr>
      <w:r w:rsidRPr="003D7205">
        <w:rPr>
          <w:lang w:val="fr-CA"/>
        </w:rPr>
        <w:t>Dispositif</w:t>
      </w:r>
    </w:p>
    <w:p w:rsidR="0026172C" w:rsidRPr="003D7205" w:rsidRDefault="0026172C" w:rsidP="0026172C">
      <w:pPr>
        <w:pStyle w:val="ParaNoNdepar-AltN"/>
        <w:widowControl w:val="0"/>
        <w:numPr>
          <w:ilvl w:val="0"/>
          <w:numId w:val="2"/>
        </w:numPr>
        <w:rPr>
          <w:lang w:val="fr-CA"/>
        </w:rPr>
      </w:pPr>
      <w:r w:rsidRPr="003D7205">
        <w:rPr>
          <w:lang w:val="fr-CA"/>
        </w:rPr>
        <w:t>Comme la Cour l’a fait savoir à la clôture de l’audience, le pourvoi est rejeté.</w:t>
      </w:r>
    </w:p>
    <w:p w:rsidR="004D7D95" w:rsidRPr="00FD59AC" w:rsidRDefault="001E29AF" w:rsidP="0026172C">
      <w:pPr>
        <w:pStyle w:val="SCCNormalDoubleSpacing"/>
        <w:widowControl w:val="0"/>
        <w:spacing w:after="480"/>
        <w:rPr>
          <w:lang w:val="fr-CA"/>
        </w:rPr>
      </w:pPr>
      <w:r>
        <w:rPr>
          <w:i/>
          <w:lang w:val="fr-CA"/>
        </w:rPr>
        <w:tab/>
      </w:r>
      <w:r w:rsidR="00471C01" w:rsidRPr="00FD59AC">
        <w:rPr>
          <w:i/>
          <w:lang w:val="fr-CA"/>
        </w:rPr>
        <w:t>Pourvoi rejeté.</w:t>
      </w:r>
    </w:p>
    <w:p w:rsidR="00CC5FE3" w:rsidRPr="00FD59AC" w:rsidRDefault="00CC5FE3" w:rsidP="0026172C">
      <w:pPr>
        <w:pStyle w:val="SCCLawFirm"/>
        <w:widowControl w:val="0"/>
        <w:spacing w:after="480"/>
        <w:rPr>
          <w:lang w:val="fr-CA"/>
        </w:rPr>
      </w:pPr>
      <w:r w:rsidRPr="00FD59AC">
        <w:rPr>
          <w:lang w:val="fr-CA"/>
        </w:rPr>
        <w:tab/>
        <w:t>Procureurs de l</w:t>
      </w:r>
      <w:r w:rsidR="001B7545">
        <w:rPr>
          <w:lang w:val="fr-CA"/>
        </w:rPr>
        <w:t>’</w:t>
      </w:r>
      <w:r w:rsidR="001264D6" w:rsidRPr="00FD59AC">
        <w:rPr>
          <w:lang w:val="fr-CA"/>
        </w:rPr>
        <w:t>appelant</w:t>
      </w:r>
      <w:r w:rsidR="00450EF7">
        <w:rPr>
          <w:lang w:val="fr-CA"/>
        </w:rPr>
        <w:t> :</w:t>
      </w:r>
      <w:r w:rsidR="001264D6" w:rsidRPr="00FD59AC">
        <w:rPr>
          <w:lang w:val="fr-CA"/>
        </w:rPr>
        <w:t> </w:t>
      </w:r>
      <w:r w:rsidRPr="00FD59AC">
        <w:rPr>
          <w:lang w:val="fr-CA"/>
        </w:rPr>
        <w:t>Lafontaine &amp; Associates, Toronto.</w:t>
      </w:r>
    </w:p>
    <w:p w:rsidR="00CC5FE3" w:rsidRPr="00FD59AC" w:rsidRDefault="00CC5FE3" w:rsidP="0026172C">
      <w:pPr>
        <w:pStyle w:val="SCCLawFirm"/>
        <w:widowControl w:val="0"/>
        <w:rPr>
          <w:lang w:val="fr-CA"/>
        </w:rPr>
      </w:pPr>
      <w:r w:rsidRPr="00FD59AC">
        <w:rPr>
          <w:lang w:val="fr-CA"/>
        </w:rPr>
        <w:lastRenderedPageBreak/>
        <w:tab/>
      </w:r>
      <w:r w:rsidR="001264D6" w:rsidRPr="00FD59AC">
        <w:rPr>
          <w:lang w:val="fr-CA"/>
        </w:rPr>
        <w:t>Procureur de l</w:t>
      </w:r>
      <w:r w:rsidR="001B7545">
        <w:rPr>
          <w:lang w:val="fr-CA"/>
        </w:rPr>
        <w:t>’</w:t>
      </w:r>
      <w:r w:rsidR="001264D6" w:rsidRPr="00FD59AC">
        <w:rPr>
          <w:lang w:val="fr-CA"/>
        </w:rPr>
        <w:t>intimée</w:t>
      </w:r>
      <w:r w:rsidR="00450EF7">
        <w:rPr>
          <w:lang w:val="fr-CA"/>
        </w:rPr>
        <w:t> :</w:t>
      </w:r>
      <w:r w:rsidR="001264D6" w:rsidRPr="00FD59AC">
        <w:rPr>
          <w:lang w:val="fr-CA"/>
        </w:rPr>
        <w:t> </w:t>
      </w:r>
      <w:r w:rsidRPr="00FD59AC">
        <w:rPr>
          <w:lang w:val="fr-CA"/>
        </w:rPr>
        <w:t>Procureur général de l</w:t>
      </w:r>
      <w:r w:rsidR="001B7545">
        <w:rPr>
          <w:lang w:val="fr-CA"/>
        </w:rPr>
        <w:t>’</w:t>
      </w:r>
      <w:r w:rsidRPr="00FD59AC">
        <w:rPr>
          <w:lang w:val="fr-CA"/>
        </w:rPr>
        <w:t>Ontario, Toronto.</w:t>
      </w:r>
    </w:p>
    <w:p w:rsidR="004D7D95" w:rsidRPr="00FD59AC" w:rsidRDefault="004D7D95" w:rsidP="0026172C">
      <w:pPr>
        <w:widowControl w:val="0"/>
        <w:rPr>
          <w:lang w:val="fr-CA"/>
        </w:rPr>
        <w:sectPr w:rsidR="004D7D95" w:rsidRPr="00FD59A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9B57B3" w:rsidRPr="0026172C" w:rsidRDefault="009B57B3" w:rsidP="0026172C">
      <w:pPr>
        <w:widowControl w:val="0"/>
        <w:rPr>
          <w:lang w:val="fr-CA"/>
        </w:rPr>
      </w:pPr>
    </w:p>
    <w:sectPr w:rsidR="009B57B3" w:rsidRPr="0026172C" w:rsidSect="000648CC">
      <w:headerReference w:type="defaul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rsidP="000C59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szCs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pStyle w:val="Title4LevelTitre4Niveau"/>
      <w:lvlText w:val="(%4)"/>
      <w:lvlJc w:val="left"/>
      <w:pPr>
        <w:tabs>
          <w:tab w:val="num" w:pos="1152"/>
        </w:tabs>
        <w:ind w:left="1152" w:hanging="576"/>
      </w:pPr>
      <w:rPr>
        <w:rFonts w:hint="default"/>
        <w:b w:val="0"/>
        <w:bCs w:val="0"/>
        <w:i w:val="0"/>
        <w:iCs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4CE36BA0"/>
    <w:multiLevelType w:val="hybridMultilevel"/>
    <w:tmpl w:val="5742DC2C"/>
    <w:lvl w:ilvl="0" w:tplc="323471C8">
      <w:start w:val="1"/>
      <w:numFmt w:val="decimal"/>
      <w:pStyle w:val="ParaNoNdepar-Alt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86F4E8EE"/>
    <w:lvl w:ilvl="0">
      <w:start w:val="1"/>
      <w:numFmt w:val="decimal"/>
      <w:lvlText w:val="[%1]"/>
      <w:lvlJc w:val="left"/>
      <w:pPr>
        <w:tabs>
          <w:tab w:val="num" w:pos="1152"/>
        </w:tabs>
        <w:ind w:left="0" w:firstLine="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6681C"/>
    <w:rsid w:val="000C59B8"/>
    <w:rsid w:val="000C6AF0"/>
    <w:rsid w:val="000D0A77"/>
    <w:rsid w:val="000F7993"/>
    <w:rsid w:val="00104F33"/>
    <w:rsid w:val="00111DE2"/>
    <w:rsid w:val="00116B38"/>
    <w:rsid w:val="001264D6"/>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B7545"/>
    <w:rsid w:val="001C779F"/>
    <w:rsid w:val="001D2AC1"/>
    <w:rsid w:val="001D4E88"/>
    <w:rsid w:val="001E29AF"/>
    <w:rsid w:val="001E58F3"/>
    <w:rsid w:val="00220FC2"/>
    <w:rsid w:val="002222F4"/>
    <w:rsid w:val="00224FC0"/>
    <w:rsid w:val="00225EA4"/>
    <w:rsid w:val="00226EAF"/>
    <w:rsid w:val="00231F3A"/>
    <w:rsid w:val="002406EE"/>
    <w:rsid w:val="00243305"/>
    <w:rsid w:val="00243EC8"/>
    <w:rsid w:val="00244C33"/>
    <w:rsid w:val="00251143"/>
    <w:rsid w:val="0026172C"/>
    <w:rsid w:val="00270D93"/>
    <w:rsid w:val="002745CC"/>
    <w:rsid w:val="002B6FBE"/>
    <w:rsid w:val="002B7924"/>
    <w:rsid w:val="002C10A6"/>
    <w:rsid w:val="002D28C3"/>
    <w:rsid w:val="002D39A4"/>
    <w:rsid w:val="002E6705"/>
    <w:rsid w:val="002F4E7A"/>
    <w:rsid w:val="0030329A"/>
    <w:rsid w:val="0031086F"/>
    <w:rsid w:val="0031414C"/>
    <w:rsid w:val="00314E01"/>
    <w:rsid w:val="0032089D"/>
    <w:rsid w:val="003310DE"/>
    <w:rsid w:val="003323B0"/>
    <w:rsid w:val="00340A49"/>
    <w:rsid w:val="0035169A"/>
    <w:rsid w:val="0035259D"/>
    <w:rsid w:val="00364B18"/>
    <w:rsid w:val="003746C7"/>
    <w:rsid w:val="00387B3C"/>
    <w:rsid w:val="0039297D"/>
    <w:rsid w:val="003A125D"/>
    <w:rsid w:val="003A4C70"/>
    <w:rsid w:val="003B215F"/>
    <w:rsid w:val="003C799C"/>
    <w:rsid w:val="003D0399"/>
    <w:rsid w:val="003E1C71"/>
    <w:rsid w:val="003F327B"/>
    <w:rsid w:val="00406166"/>
    <w:rsid w:val="0040704B"/>
    <w:rsid w:val="00410A55"/>
    <w:rsid w:val="00411300"/>
    <w:rsid w:val="00411DC4"/>
    <w:rsid w:val="00413F17"/>
    <w:rsid w:val="00415417"/>
    <w:rsid w:val="00426659"/>
    <w:rsid w:val="00450352"/>
    <w:rsid w:val="00450EF7"/>
    <w:rsid w:val="00454BDB"/>
    <w:rsid w:val="00465132"/>
    <w:rsid w:val="00471C01"/>
    <w:rsid w:val="00480C90"/>
    <w:rsid w:val="0048396F"/>
    <w:rsid w:val="00493C18"/>
    <w:rsid w:val="004A600C"/>
    <w:rsid w:val="004A6118"/>
    <w:rsid w:val="004C478D"/>
    <w:rsid w:val="004D7D95"/>
    <w:rsid w:val="004E2C26"/>
    <w:rsid w:val="004F5205"/>
    <w:rsid w:val="005125A8"/>
    <w:rsid w:val="00517549"/>
    <w:rsid w:val="00520ABC"/>
    <w:rsid w:val="00521AE8"/>
    <w:rsid w:val="00527180"/>
    <w:rsid w:val="005301C1"/>
    <w:rsid w:val="005302A9"/>
    <w:rsid w:val="00555291"/>
    <w:rsid w:val="00566AD1"/>
    <w:rsid w:val="00583EDE"/>
    <w:rsid w:val="0058531C"/>
    <w:rsid w:val="005A6079"/>
    <w:rsid w:val="005E4698"/>
    <w:rsid w:val="00603924"/>
    <w:rsid w:val="00610539"/>
    <w:rsid w:val="00613969"/>
    <w:rsid w:val="00625C35"/>
    <w:rsid w:val="00647E49"/>
    <w:rsid w:val="00656313"/>
    <w:rsid w:val="006565F4"/>
    <w:rsid w:val="00684EEA"/>
    <w:rsid w:val="0069689B"/>
    <w:rsid w:val="006B5FF5"/>
    <w:rsid w:val="006E10BA"/>
    <w:rsid w:val="006F00A8"/>
    <w:rsid w:val="006F30AF"/>
    <w:rsid w:val="00701759"/>
    <w:rsid w:val="00705C15"/>
    <w:rsid w:val="007110F6"/>
    <w:rsid w:val="007208D1"/>
    <w:rsid w:val="0072262D"/>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666B0"/>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069A7"/>
    <w:rsid w:val="00A149DF"/>
    <w:rsid w:val="00A1755C"/>
    <w:rsid w:val="00A21B90"/>
    <w:rsid w:val="00A22AAC"/>
    <w:rsid w:val="00A3796D"/>
    <w:rsid w:val="00A41805"/>
    <w:rsid w:val="00A51882"/>
    <w:rsid w:val="00A52AFB"/>
    <w:rsid w:val="00A548CB"/>
    <w:rsid w:val="00A5521C"/>
    <w:rsid w:val="00A643E7"/>
    <w:rsid w:val="00A646C4"/>
    <w:rsid w:val="00A73C38"/>
    <w:rsid w:val="00A921A7"/>
    <w:rsid w:val="00AB670D"/>
    <w:rsid w:val="00AF03C5"/>
    <w:rsid w:val="00B000D8"/>
    <w:rsid w:val="00B00F75"/>
    <w:rsid w:val="00B145B6"/>
    <w:rsid w:val="00B279EB"/>
    <w:rsid w:val="00B50C81"/>
    <w:rsid w:val="00B557F8"/>
    <w:rsid w:val="00B6116A"/>
    <w:rsid w:val="00B815FC"/>
    <w:rsid w:val="00B93FBC"/>
    <w:rsid w:val="00BA7DA0"/>
    <w:rsid w:val="00BB2182"/>
    <w:rsid w:val="00BB2EE4"/>
    <w:rsid w:val="00BB4C92"/>
    <w:rsid w:val="00BC2108"/>
    <w:rsid w:val="00BD0E9E"/>
    <w:rsid w:val="00BD1BEC"/>
    <w:rsid w:val="00BD32FF"/>
    <w:rsid w:val="00BF6FE9"/>
    <w:rsid w:val="00C02092"/>
    <w:rsid w:val="00C026A0"/>
    <w:rsid w:val="00C24D91"/>
    <w:rsid w:val="00C26DB2"/>
    <w:rsid w:val="00C53F14"/>
    <w:rsid w:val="00C600CF"/>
    <w:rsid w:val="00C6084F"/>
    <w:rsid w:val="00C62A66"/>
    <w:rsid w:val="00C65661"/>
    <w:rsid w:val="00C66359"/>
    <w:rsid w:val="00C71458"/>
    <w:rsid w:val="00C77613"/>
    <w:rsid w:val="00C828E7"/>
    <w:rsid w:val="00C86719"/>
    <w:rsid w:val="00C921DD"/>
    <w:rsid w:val="00CA6391"/>
    <w:rsid w:val="00CB19C8"/>
    <w:rsid w:val="00CB4495"/>
    <w:rsid w:val="00CC41A5"/>
    <w:rsid w:val="00CC5FE3"/>
    <w:rsid w:val="00CE036E"/>
    <w:rsid w:val="00CE3171"/>
    <w:rsid w:val="00CF1601"/>
    <w:rsid w:val="00D0172F"/>
    <w:rsid w:val="00D01E33"/>
    <w:rsid w:val="00D068A7"/>
    <w:rsid w:val="00D17476"/>
    <w:rsid w:val="00D17B0E"/>
    <w:rsid w:val="00D32086"/>
    <w:rsid w:val="00D37A3F"/>
    <w:rsid w:val="00D4431D"/>
    <w:rsid w:val="00D4667A"/>
    <w:rsid w:val="00D63A1C"/>
    <w:rsid w:val="00D73900"/>
    <w:rsid w:val="00D7516F"/>
    <w:rsid w:val="00D91994"/>
    <w:rsid w:val="00D95F8E"/>
    <w:rsid w:val="00DA0590"/>
    <w:rsid w:val="00DC1739"/>
    <w:rsid w:val="00DC1788"/>
    <w:rsid w:val="00DE319C"/>
    <w:rsid w:val="00DF0CA8"/>
    <w:rsid w:val="00DF2B48"/>
    <w:rsid w:val="00DF49A7"/>
    <w:rsid w:val="00E04CDE"/>
    <w:rsid w:val="00E07EE2"/>
    <w:rsid w:val="00E07FD1"/>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D59AC"/>
    <w:rsid w:val="00FE6784"/>
    <w:rsid w:val="00FE7A8B"/>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NoSpacing">
    <w:name w:val="No Spacing"/>
    <w:uiPriority w:val="1"/>
    <w:qFormat/>
    <w:rsid w:val="00CB19C8"/>
    <w:rPr>
      <w:sz w:val="24"/>
      <w:szCs w:val="24"/>
    </w:rPr>
  </w:style>
  <w:style w:type="character" w:customStyle="1" w:styleId="highlight">
    <w:name w:val="highlight"/>
    <w:basedOn w:val="DefaultParagraphFont"/>
    <w:uiPriority w:val="99"/>
    <w:rsid w:val="00CB19C8"/>
  </w:style>
  <w:style w:type="paragraph" w:customStyle="1" w:styleId="SCCCoram">
    <w:name w:val="SCC.Coram"/>
    <w:basedOn w:val="Normal"/>
    <w:next w:val="Normal"/>
    <w:link w:val="SCCCoramChar"/>
    <w:uiPriority w:val="99"/>
    <w:rsid w:val="0026172C"/>
    <w:pPr>
      <w:pBdr>
        <w:bottom w:val="single" w:sz="4" w:space="1" w:color="auto"/>
      </w:pBdr>
    </w:pPr>
    <w:rPr>
      <w:szCs w:val="24"/>
      <w:lang w:eastAsia="en-US"/>
    </w:rPr>
  </w:style>
  <w:style w:type="character" w:customStyle="1" w:styleId="SCCCoramChar">
    <w:name w:val="SCC.Coram Char"/>
    <w:link w:val="SCCCoram"/>
    <w:uiPriority w:val="99"/>
    <w:rsid w:val="0026172C"/>
    <w:rPr>
      <w:sz w:val="24"/>
      <w:szCs w:val="24"/>
      <w:lang w:eastAsia="en-US"/>
    </w:rPr>
  </w:style>
  <w:style w:type="paragraph" w:customStyle="1" w:styleId="Citation-AltC">
    <w:name w:val="Citation - Alt C"/>
    <w:uiPriority w:val="99"/>
    <w:rsid w:val="0026172C"/>
    <w:pPr>
      <w:spacing w:after="720"/>
      <w:ind w:left="1166"/>
      <w:contextualSpacing/>
      <w:jc w:val="both"/>
    </w:pPr>
    <w:rPr>
      <w:sz w:val="24"/>
      <w:szCs w:val="24"/>
    </w:rPr>
  </w:style>
  <w:style w:type="paragraph" w:customStyle="1" w:styleId="JudgeJuge">
    <w:name w:val="Judge / Juge"/>
    <w:uiPriority w:val="99"/>
    <w:rsid w:val="0026172C"/>
    <w:pPr>
      <w:tabs>
        <w:tab w:val="left" w:pos="1166"/>
      </w:tabs>
      <w:spacing w:after="480" w:line="480" w:lineRule="auto"/>
    </w:pPr>
    <w:rPr>
      <w:smallCaps/>
      <w:sz w:val="24"/>
      <w:szCs w:val="24"/>
    </w:rPr>
  </w:style>
  <w:style w:type="paragraph" w:customStyle="1" w:styleId="ParaNoNdepar-AltN">
    <w:name w:val="Para. No. / Nº de par. - Alt N"/>
    <w:uiPriority w:val="99"/>
    <w:rsid w:val="0026172C"/>
    <w:pPr>
      <w:numPr>
        <w:numId w:val="1"/>
      </w:numPr>
      <w:spacing w:before="480" w:after="480" w:line="480" w:lineRule="auto"/>
      <w:jc w:val="both"/>
    </w:pPr>
    <w:rPr>
      <w:sz w:val="24"/>
      <w:szCs w:val="24"/>
      <w:lang w:eastAsia="en-US"/>
    </w:rPr>
  </w:style>
  <w:style w:type="paragraph" w:customStyle="1" w:styleId="Title1LevelTitre1Niveau-AltL">
    <w:name w:val="Title 1 Level / Titre 1 Niveau - Alt L"/>
    <w:next w:val="ParaNoNdepar-AltN"/>
    <w:uiPriority w:val="99"/>
    <w:rsid w:val="0026172C"/>
    <w:pPr>
      <w:numPr>
        <w:numId w:val="3"/>
      </w:numPr>
      <w:spacing w:before="480" w:after="720"/>
      <w:jc w:val="both"/>
    </w:pPr>
    <w:rPr>
      <w:sz w:val="24"/>
      <w:szCs w:val="24"/>
      <w:u w:val="single"/>
      <w:lang w:eastAsia="en-US"/>
    </w:rPr>
  </w:style>
  <w:style w:type="paragraph" w:customStyle="1" w:styleId="Title2LevelTitre2Niveau">
    <w:name w:val="Title 2 Level / Titre 2 Niveau"/>
    <w:basedOn w:val="Title1LevelTitre1Niveau-AltL"/>
    <w:next w:val="ParaNoNdepar-AltN"/>
    <w:uiPriority w:val="99"/>
    <w:rsid w:val="0026172C"/>
    <w:pPr>
      <w:numPr>
        <w:ilvl w:val="1"/>
      </w:numPr>
    </w:pPr>
    <w:rPr>
      <w:i/>
      <w:iCs/>
      <w:u w:val="none"/>
    </w:rPr>
  </w:style>
  <w:style w:type="paragraph" w:customStyle="1" w:styleId="Title3LevelTitre3Niveau">
    <w:name w:val="Title 3 Level / Titre 3 Niveau"/>
    <w:basedOn w:val="Title1LevelTitre1Niveau-AltL"/>
    <w:next w:val="ParaNoNdepar-AltN"/>
    <w:uiPriority w:val="99"/>
    <w:rsid w:val="0026172C"/>
    <w:pPr>
      <w:numPr>
        <w:ilvl w:val="2"/>
      </w:numPr>
    </w:pPr>
  </w:style>
  <w:style w:type="paragraph" w:customStyle="1" w:styleId="Title4LevelTitre4Niveau">
    <w:name w:val="Title 4 Level / Titre 4 Niveau"/>
    <w:basedOn w:val="Title3LevelTitre3Niveau"/>
    <w:next w:val="ParaNoNdepar-AltN"/>
    <w:uiPriority w:val="99"/>
    <w:rsid w:val="0026172C"/>
    <w:pPr>
      <w:numPr>
        <w:ilvl w:val="3"/>
      </w:numPr>
    </w:pPr>
    <w:rPr>
      <w:i/>
      <w:iCs/>
      <w:u w:val="none"/>
    </w:rPr>
  </w:style>
  <w:style w:type="paragraph" w:customStyle="1" w:styleId="Title5LevelTitre5Niveau">
    <w:name w:val="Title 5 Level / Titre 5 Niveau"/>
    <w:basedOn w:val="Title1LevelTitre1Niveau-AltL"/>
    <w:next w:val="ParaNoNdepar-AltN"/>
    <w:uiPriority w:val="99"/>
    <w:rsid w:val="0026172C"/>
    <w:pPr>
      <w:numPr>
        <w:ilvl w:val="4"/>
      </w:numPr>
    </w:pPr>
  </w:style>
  <w:style w:type="paragraph" w:customStyle="1" w:styleId="Title6LevelTitre6Niveau">
    <w:name w:val="Title 6 Level / Titre 6 Niveau"/>
    <w:basedOn w:val="Title5LevelTitre5Niveau"/>
    <w:next w:val="ParaNoNdepar-AltN"/>
    <w:uiPriority w:val="99"/>
    <w:rsid w:val="0026172C"/>
    <w:pPr>
      <w:numPr>
        <w:ilvl w:val="5"/>
      </w:numPr>
    </w:pPr>
    <w:rPr>
      <w:i/>
      <w:iCs/>
      <w:u w:val="none"/>
    </w:rPr>
  </w:style>
  <w:style w:type="table" w:styleId="TableGrid">
    <w:name w:val="Table Grid"/>
    <w:basedOn w:val="TableNormal"/>
    <w:uiPriority w:val="59"/>
    <w:rsid w:val="0025114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51143"/>
    <w:rPr>
      <w:lang w:val="fr-CA"/>
    </w:rPr>
  </w:style>
  <w:style w:type="paragraph" w:customStyle="1" w:styleId="SCCLsocPrefix">
    <w:name w:val="SCC.Lsoc.Prefix"/>
    <w:basedOn w:val="Normal"/>
    <w:next w:val="Normal"/>
    <w:link w:val="SCCLsocPrefixChar"/>
    <w:rsid w:val="0025114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51143"/>
    <w:rPr>
      <w:rFonts w:eastAsiaTheme="minorHAnsi" w:cstheme="minorBidi"/>
      <w:b/>
      <w:smallCaps/>
      <w:sz w:val="24"/>
      <w:szCs w:val="24"/>
      <w:lang w:val="fr-CA" w:eastAsia="en-US"/>
    </w:rPr>
  </w:style>
  <w:style w:type="paragraph" w:customStyle="1" w:styleId="SCCHearingJudgmentDatesText">
    <w:name w:val="SCC.HearingJudgmentDatesText"/>
    <w:basedOn w:val="Normal"/>
    <w:next w:val="Normal"/>
    <w:link w:val="SCCHearingJudgmentDatesTextChar"/>
    <w:rsid w:val="00251143"/>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251143"/>
    <w:rPr>
      <w:rFonts w:eastAsiaTheme="minorHAnsi" w:cstheme="minorBidi"/>
      <w:sz w:val="24"/>
      <w:szCs w:val="24"/>
      <w:lang w:val="fr-CA" w:eastAsia="en-US"/>
    </w:rPr>
  </w:style>
  <w:style w:type="paragraph" w:customStyle="1" w:styleId="SCCHearingJudgmentDatesTitle">
    <w:name w:val="SCC.HearingJudgmentDatesTitle"/>
    <w:basedOn w:val="Normal"/>
    <w:next w:val="Normal"/>
    <w:link w:val="SCCHearingJudgmentDatesTitleChar"/>
    <w:rsid w:val="00251143"/>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25114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0DA1-4810-4E3E-B6B9-DFF26F59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2016-01-14T20:07:00Z</dcterms:created>
  <dcterms:modified xsi:type="dcterms:W3CDTF">2016-03-01T19:54:00Z</dcterms:modified>
</cp:coreProperties>
</file>