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B0" w:rsidRDefault="006E18B0" w:rsidP="00820FB2">
      <w:pPr>
        <w:pStyle w:val="Header"/>
        <w:jc w:val="center"/>
      </w:pPr>
      <w:r>
        <w:ptab w:relativeTo="margin" w:alignment="center" w:leader="none"/>
      </w:r>
      <w:r w:rsidRPr="00F72014">
        <w:t xml:space="preserve"> </w:t>
      </w:r>
      <w:bookmarkStart w:id="0" w:name="_GoBack"/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64.65pt" o:ole="">
            <v:imagedata r:id="rId7" o:title=""/>
          </v:shape>
          <o:OLEObject Type="Embed" ProgID="Presentations.Drawing.13" ShapeID="_x0000_i1025" DrawAspect="Content" ObjectID="_1664290157" r:id="rId8"/>
        </w:object>
      </w:r>
      <w:bookmarkEnd w:id="0"/>
      <w:r>
        <w:t xml:space="preserve"> </w:t>
      </w:r>
      <w:r>
        <w:ptab w:relativeTo="margin" w:alignment="right" w:leader="none"/>
      </w:r>
    </w:p>
    <w:p w:rsidR="006E18B0" w:rsidRDefault="006E18B0" w:rsidP="006E18B0">
      <w:pPr>
        <w:pStyle w:val="Header"/>
      </w:pPr>
    </w:p>
    <w:p w:rsidR="006E18B0" w:rsidRPr="001E12E2" w:rsidRDefault="006E18B0" w:rsidP="006E18B0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6E18B0" w:rsidRDefault="006E18B0" w:rsidP="006E18B0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130"/>
        <w:gridCol w:w="4446"/>
      </w:tblGrid>
      <w:tr w:rsidR="006E18B0" w:rsidRPr="0078432F" w:rsidTr="009D6BC9">
        <w:trPr>
          <w:cantSplit/>
        </w:trPr>
        <w:tc>
          <w:tcPr>
            <w:tcW w:w="5130" w:type="dxa"/>
          </w:tcPr>
          <w:p w:rsidR="006E18B0" w:rsidRPr="006E18B0" w:rsidRDefault="006E18B0" w:rsidP="009D6BC9">
            <w:pPr>
              <w:ind w:left="-58"/>
              <w:rPr>
                <w:b/>
                <w:smallCaps/>
                <w:lang w:val="fr-CA"/>
              </w:rPr>
            </w:pPr>
          </w:p>
          <w:p w:rsidR="006E18B0" w:rsidRPr="006E18B0" w:rsidRDefault="006E18B0" w:rsidP="009D6BC9">
            <w:pPr>
              <w:ind w:left="-58"/>
              <w:rPr>
                <w:lang w:val="fr-CA"/>
              </w:rPr>
            </w:pPr>
            <w:r w:rsidRPr="006E18B0">
              <w:rPr>
                <w:b/>
                <w:smallCaps/>
                <w:lang w:val="fr-CA"/>
              </w:rPr>
              <w:t xml:space="preserve">Référence : </w:t>
            </w:r>
            <w:r w:rsidRPr="006E18B0">
              <w:rPr>
                <w:lang w:val="fr-CA"/>
              </w:rPr>
              <w:t xml:space="preserve">R. </w:t>
            </w:r>
            <w:r w:rsidRPr="006E18B0">
              <w:rPr>
                <w:i/>
                <w:lang w:val="fr-CA"/>
              </w:rPr>
              <w:t>c.</w:t>
            </w:r>
            <w:r w:rsidRPr="006E18B0">
              <w:rPr>
                <w:lang w:val="fr-CA"/>
              </w:rPr>
              <w:t xml:space="preserve"> Rowson</w:t>
            </w:r>
            <w:r w:rsidRPr="00E73EA1">
              <w:rPr>
                <w:rStyle w:val="SCCAppellantForRunningHeadChar"/>
                <w:lang w:val="fr-CA"/>
              </w:rPr>
              <w:t xml:space="preserve">, </w:t>
            </w:r>
            <w:r w:rsidR="0083521D">
              <w:rPr>
                <w:lang w:val="fr-CA"/>
              </w:rPr>
              <w:t>2016 CSC 40</w:t>
            </w:r>
            <w:r w:rsidRPr="006E18B0">
              <w:rPr>
                <w:lang w:val="fr-CA"/>
              </w:rPr>
              <w:t>, [2016] 2 R.C.S. 158</w:t>
            </w:r>
          </w:p>
        </w:tc>
        <w:tc>
          <w:tcPr>
            <w:tcW w:w="4446" w:type="dxa"/>
          </w:tcPr>
          <w:p w:rsidR="006E18B0" w:rsidRPr="006E18B0" w:rsidRDefault="006E18B0" w:rsidP="009D6BC9">
            <w:pPr>
              <w:rPr>
                <w:b/>
                <w:smallCaps/>
                <w:lang w:val="fr-CA"/>
              </w:rPr>
            </w:pPr>
          </w:p>
          <w:p w:rsidR="006E18B0" w:rsidRPr="006E18B0" w:rsidRDefault="006E18B0" w:rsidP="009D6BC9">
            <w:pPr>
              <w:rPr>
                <w:lang w:val="fr-CA"/>
              </w:rPr>
            </w:pPr>
            <w:r w:rsidRPr="006E18B0">
              <w:rPr>
                <w:b/>
                <w:smallCaps/>
                <w:lang w:val="fr-CA"/>
              </w:rPr>
              <w:t>Renvoi d’une affaire entendu :</w:t>
            </w:r>
            <w:r w:rsidRPr="006E18B0">
              <w:rPr>
                <w:lang w:val="fr-CA"/>
              </w:rPr>
              <w:t xml:space="preserve"> 14 octobre 2016</w:t>
            </w:r>
          </w:p>
          <w:p w:rsidR="006E18B0" w:rsidRPr="00C24C89" w:rsidRDefault="006E18B0" w:rsidP="009D6BC9">
            <w:r>
              <w:rPr>
                <w:b/>
                <w:smallCaps/>
              </w:rPr>
              <w:t>Ordonnance</w:t>
            </w:r>
            <w:r w:rsidRPr="00C24C89">
              <w:rPr>
                <w:b/>
                <w:smallCaps/>
              </w:rPr>
              <w:t> :</w:t>
            </w:r>
            <w:r>
              <w:t xml:space="preserve"> 14</w:t>
            </w:r>
            <w:r w:rsidRPr="00C24C89">
              <w:t xml:space="preserve"> </w:t>
            </w:r>
            <w:r>
              <w:t xml:space="preserve">octobre 2016 </w:t>
            </w:r>
          </w:p>
          <w:p w:rsidR="006E18B0" w:rsidRPr="0078432F" w:rsidRDefault="006E18B0" w:rsidP="009D6BC9">
            <w:r w:rsidRPr="0078432F">
              <w:rPr>
                <w:b/>
                <w:smallCaps/>
              </w:rPr>
              <w:t>Dossier :</w:t>
            </w:r>
            <w:r w:rsidRPr="0078432F">
              <w:t xml:space="preserve"> </w:t>
            </w:r>
            <w:r>
              <w:t>36777</w:t>
            </w:r>
          </w:p>
        </w:tc>
      </w:tr>
    </w:tbl>
    <w:p w:rsidR="006E18B0" w:rsidRPr="0078432F" w:rsidRDefault="006E18B0" w:rsidP="006E18B0"/>
    <w:p w:rsidR="006E18B0" w:rsidRPr="001E12E2" w:rsidRDefault="006E18B0" w:rsidP="006E18B0"/>
    <w:p w:rsidR="006E18B0" w:rsidRDefault="006E18B0" w:rsidP="006E18B0">
      <w:pPr>
        <w:pStyle w:val="SCCLsocPrefix"/>
      </w:pPr>
      <w:r>
        <w:t>Entre :</w:t>
      </w:r>
    </w:p>
    <w:p w:rsidR="006E18B0" w:rsidRPr="006E18B0" w:rsidRDefault="006E18B0" w:rsidP="006E18B0">
      <w:pPr>
        <w:pStyle w:val="SCCLsocParty"/>
        <w:jc w:val="center"/>
        <w:rPr>
          <w:lang w:val="fr-CA"/>
        </w:rPr>
      </w:pPr>
      <w:r w:rsidRPr="006E18B0">
        <w:rPr>
          <w:lang w:val="fr-CA"/>
        </w:rPr>
        <w:t xml:space="preserve">Eric Andrew </w:t>
      </w:r>
      <w:proofErr w:type="spellStart"/>
      <w:r w:rsidRPr="006E18B0">
        <w:rPr>
          <w:lang w:val="fr-CA"/>
        </w:rPr>
        <w:t>Rowson</w:t>
      </w:r>
      <w:proofErr w:type="spellEnd"/>
    </w:p>
    <w:p w:rsidR="006E18B0" w:rsidRPr="006E18B0" w:rsidRDefault="006E18B0" w:rsidP="006E18B0">
      <w:pPr>
        <w:jc w:val="center"/>
        <w:rPr>
          <w:lang w:val="fr-CA"/>
        </w:rPr>
      </w:pPr>
      <w:r w:rsidRPr="006E18B0">
        <w:rPr>
          <w:lang w:val="fr-CA"/>
        </w:rPr>
        <w:t>Appelant</w:t>
      </w:r>
    </w:p>
    <w:p w:rsidR="006E18B0" w:rsidRPr="006E18B0" w:rsidRDefault="006E18B0" w:rsidP="006E18B0">
      <w:pPr>
        <w:jc w:val="center"/>
        <w:rPr>
          <w:lang w:val="fr-CA"/>
        </w:rPr>
      </w:pPr>
    </w:p>
    <w:p w:rsidR="006E18B0" w:rsidRPr="006E18B0" w:rsidRDefault="006E18B0" w:rsidP="006E18B0">
      <w:pPr>
        <w:pStyle w:val="SCCLsocVersus"/>
        <w:spacing w:after="0"/>
        <w:jc w:val="center"/>
        <w:rPr>
          <w:i w:val="0"/>
          <w:lang w:val="fr-CA"/>
        </w:rPr>
      </w:pPr>
      <w:proofErr w:type="gramStart"/>
      <w:r w:rsidRPr="006E18B0">
        <w:rPr>
          <w:i w:val="0"/>
          <w:lang w:val="fr-CA"/>
        </w:rPr>
        <w:t>et</w:t>
      </w:r>
      <w:proofErr w:type="gramEnd"/>
    </w:p>
    <w:p w:rsidR="006E18B0" w:rsidRPr="006E18B0" w:rsidRDefault="006E18B0" w:rsidP="006E18B0">
      <w:pPr>
        <w:jc w:val="center"/>
        <w:rPr>
          <w:lang w:val="fr-CA"/>
        </w:rPr>
      </w:pPr>
    </w:p>
    <w:p w:rsidR="006E18B0" w:rsidRDefault="006E18B0" w:rsidP="006E18B0">
      <w:pPr>
        <w:pStyle w:val="SCCLsocLastPartyInRole"/>
        <w:spacing w:after="0"/>
        <w:jc w:val="center"/>
        <w:rPr>
          <w:lang w:val="fr-CA"/>
        </w:rPr>
      </w:pPr>
      <w:r>
        <w:rPr>
          <w:lang w:val="fr-CA"/>
        </w:rPr>
        <w:t>Sa Majesté la Reine</w:t>
      </w:r>
    </w:p>
    <w:p w:rsidR="006E18B0" w:rsidRPr="006E18B0" w:rsidRDefault="006E18B0" w:rsidP="006E18B0">
      <w:pPr>
        <w:jc w:val="center"/>
        <w:rPr>
          <w:lang w:val="fr-CA"/>
        </w:rPr>
      </w:pPr>
      <w:r w:rsidRPr="006E18B0">
        <w:rPr>
          <w:lang w:val="fr-CA"/>
        </w:rPr>
        <w:t>Intimée</w:t>
      </w:r>
    </w:p>
    <w:p w:rsidR="006E18B0" w:rsidRPr="006E18B0" w:rsidRDefault="006E18B0" w:rsidP="006E18B0">
      <w:pPr>
        <w:jc w:val="center"/>
        <w:rPr>
          <w:lang w:val="fr-CA"/>
        </w:rPr>
      </w:pPr>
    </w:p>
    <w:p w:rsidR="006E18B0" w:rsidRPr="006E18B0" w:rsidRDefault="006E18B0" w:rsidP="006E18B0">
      <w:pPr>
        <w:rPr>
          <w:lang w:val="fr-CA"/>
        </w:rPr>
      </w:pPr>
    </w:p>
    <w:p w:rsidR="006E18B0" w:rsidRPr="006E18B0" w:rsidRDefault="006E18B0" w:rsidP="006E18B0">
      <w:pPr>
        <w:jc w:val="center"/>
        <w:rPr>
          <w:smallCaps/>
          <w:lang w:val="fr-CA"/>
        </w:rPr>
      </w:pPr>
      <w:r w:rsidRPr="006E18B0">
        <w:rPr>
          <w:b/>
          <w:smallCaps/>
          <w:lang w:val="fr-CA"/>
        </w:rPr>
        <w:t>Traduction française officielle </w:t>
      </w:r>
    </w:p>
    <w:p w:rsidR="006E18B0" w:rsidRPr="006E18B0" w:rsidRDefault="006E18B0" w:rsidP="006E18B0">
      <w:pPr>
        <w:rPr>
          <w:lang w:val="fr-CA"/>
        </w:rPr>
      </w:pPr>
    </w:p>
    <w:p w:rsidR="006E18B0" w:rsidRPr="006E18B0" w:rsidRDefault="006E18B0" w:rsidP="006E18B0">
      <w:pPr>
        <w:rPr>
          <w:lang w:val="fr-CA"/>
        </w:rPr>
      </w:pPr>
      <w:r w:rsidRPr="006E18B0">
        <w:rPr>
          <w:b/>
          <w:smallCaps/>
          <w:lang w:val="fr-CA"/>
        </w:rPr>
        <w:t>Coram </w:t>
      </w:r>
      <w:proofErr w:type="gramStart"/>
      <w:r w:rsidRPr="006E18B0">
        <w:rPr>
          <w:b/>
          <w:smallCaps/>
          <w:lang w:val="fr-CA"/>
        </w:rPr>
        <w:t>:</w:t>
      </w:r>
      <w:r w:rsidRPr="006E18B0">
        <w:rPr>
          <w:lang w:val="fr-CA"/>
        </w:rPr>
        <w:t xml:space="preserve">  Les</w:t>
      </w:r>
      <w:proofErr w:type="gramEnd"/>
      <w:r w:rsidRPr="006E18B0">
        <w:rPr>
          <w:lang w:val="fr-CA"/>
        </w:rPr>
        <w:t xml:space="preserve"> juges Abella, Moldaver, Wagner, Côté et Brown</w:t>
      </w:r>
    </w:p>
    <w:p w:rsidR="006E18B0" w:rsidRPr="006E18B0" w:rsidRDefault="006E18B0" w:rsidP="006E18B0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6E18B0" w:rsidRPr="00820FB2" w:rsidTr="009D6BC9">
        <w:trPr>
          <w:cantSplit/>
        </w:trPr>
        <w:tc>
          <w:tcPr>
            <w:tcW w:w="3618" w:type="dxa"/>
          </w:tcPr>
          <w:p w:rsidR="006E18B0" w:rsidRDefault="006E18B0" w:rsidP="009D6BC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l’ordonnance</w:t>
            </w:r>
            <w:proofErr w:type="spellEnd"/>
            <w:r>
              <w:rPr>
                <w:b/>
                <w:smallCaps/>
              </w:rPr>
              <w:t> :</w:t>
            </w:r>
          </w:p>
          <w:p w:rsidR="006E18B0" w:rsidRPr="001E12E2" w:rsidRDefault="006E18B0" w:rsidP="009D6BC9">
            <w:r>
              <w:t>(par. 1)</w:t>
            </w:r>
          </w:p>
        </w:tc>
        <w:tc>
          <w:tcPr>
            <w:tcW w:w="5958" w:type="dxa"/>
          </w:tcPr>
          <w:p w:rsidR="006E18B0" w:rsidRPr="006E18B0" w:rsidRDefault="006E18B0" w:rsidP="009D6BC9">
            <w:pPr>
              <w:rPr>
                <w:lang w:val="fr-CA"/>
              </w:rPr>
            </w:pPr>
            <w:r w:rsidRPr="006E18B0">
              <w:rPr>
                <w:lang w:val="fr-CA"/>
              </w:rPr>
              <w:t>La juge Abella (avec l’accord des juges Moldaver, Wagner, Côté et Brown)</w:t>
            </w:r>
          </w:p>
        </w:tc>
      </w:tr>
    </w:tbl>
    <w:p w:rsidR="006E18B0" w:rsidRPr="006E18B0" w:rsidRDefault="006E18B0" w:rsidP="006E18B0">
      <w:pPr>
        <w:rPr>
          <w:lang w:val="fr-CA"/>
        </w:rPr>
      </w:pPr>
    </w:p>
    <w:p w:rsidR="006E18B0" w:rsidRPr="006E18B0" w:rsidRDefault="006E18B0" w:rsidP="006E18B0">
      <w:pPr>
        <w:rPr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A5927" wp14:editId="01CAFC39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1430" r="952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383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+T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"/>
            </w:pict>
          </mc:Fallback>
        </mc:AlternateContent>
      </w:r>
    </w:p>
    <w:p w:rsidR="006E18B0" w:rsidRPr="006E18B0" w:rsidRDefault="006E18B0" w:rsidP="006E18B0">
      <w:pPr>
        <w:rPr>
          <w:lang w:val="fr-CA"/>
        </w:rPr>
      </w:pPr>
    </w:p>
    <w:p w:rsidR="006E18B0" w:rsidRPr="006E18B0" w:rsidRDefault="006E18B0" w:rsidP="0085604F">
      <w:pPr>
        <w:widowControl w:val="0"/>
        <w:spacing w:line="480" w:lineRule="auto"/>
        <w:jc w:val="both"/>
        <w:rPr>
          <w:lang w:val="fr-CA"/>
        </w:rPr>
      </w:pPr>
    </w:p>
    <w:p w:rsidR="004D7D95" w:rsidRPr="001C75C4" w:rsidRDefault="001C75C4" w:rsidP="0085604F">
      <w:pPr>
        <w:widowControl w:val="0"/>
        <w:spacing w:line="480" w:lineRule="auto"/>
        <w:jc w:val="both"/>
        <w:rPr>
          <w:lang w:val="en-US"/>
        </w:rPr>
      </w:pPr>
      <w:r w:rsidRPr="001C75C4">
        <w:rPr>
          <w:lang w:val="en-US"/>
        </w:rPr>
        <w:t>R</w:t>
      </w:r>
      <w:r w:rsidR="003C391E" w:rsidRPr="001C75C4">
        <w:rPr>
          <w:lang w:val="en-US"/>
        </w:rPr>
        <w:t xml:space="preserve">. </w:t>
      </w:r>
      <w:r w:rsidR="003C391E" w:rsidRPr="001C75C4">
        <w:rPr>
          <w:i/>
          <w:lang w:val="en-US"/>
        </w:rPr>
        <w:t xml:space="preserve">c. </w:t>
      </w:r>
      <w:proofErr w:type="spellStart"/>
      <w:r w:rsidRPr="001C75C4">
        <w:rPr>
          <w:lang w:val="en-US"/>
        </w:rPr>
        <w:t>R</w:t>
      </w:r>
      <w:r w:rsidR="003C391E" w:rsidRPr="001C75C4">
        <w:rPr>
          <w:lang w:val="en-US"/>
        </w:rPr>
        <w:t>owson</w:t>
      </w:r>
      <w:proofErr w:type="spellEnd"/>
      <w:r w:rsidRPr="001C75C4">
        <w:rPr>
          <w:lang w:val="en-US"/>
        </w:rPr>
        <w:t>, 2016 CSC 40, [2016] 2 R.C.S. 158</w:t>
      </w:r>
    </w:p>
    <w:p w:rsidR="004D7D95" w:rsidRPr="001C75C4" w:rsidRDefault="004D7D95" w:rsidP="0085604F">
      <w:pPr>
        <w:widowControl w:val="0"/>
        <w:jc w:val="both"/>
        <w:rPr>
          <w:lang w:val="en-US"/>
        </w:rPr>
      </w:pPr>
    </w:p>
    <w:p w:rsidR="004D7D95" w:rsidRPr="001C75C4" w:rsidRDefault="004D7D95" w:rsidP="0085604F">
      <w:pPr>
        <w:widowControl w:val="0"/>
        <w:jc w:val="both"/>
        <w:rPr>
          <w:lang w:val="en-US"/>
        </w:rPr>
      </w:pPr>
    </w:p>
    <w:p w:rsidR="004D7D95" w:rsidRPr="001C75C4" w:rsidRDefault="004D7D95" w:rsidP="0085604F">
      <w:pPr>
        <w:widowControl w:val="0"/>
        <w:jc w:val="both"/>
        <w:rPr>
          <w:lang w:val="en-US"/>
        </w:rPr>
      </w:pPr>
    </w:p>
    <w:p w:rsidR="004106C5" w:rsidRPr="0083521D" w:rsidRDefault="003C391E" w:rsidP="0085604F">
      <w:pPr>
        <w:pStyle w:val="SCCLsocLastPartyInRole"/>
        <w:widowControl w:val="0"/>
        <w:rPr>
          <w:lang w:val="fr-CA"/>
        </w:rPr>
      </w:pPr>
      <w:r w:rsidRPr="0083521D">
        <w:rPr>
          <w:lang w:val="fr-CA"/>
        </w:rPr>
        <w:t xml:space="preserve">Eric Andrew </w:t>
      </w:r>
      <w:proofErr w:type="spellStart"/>
      <w:r w:rsidRPr="0083521D">
        <w:rPr>
          <w:lang w:val="fr-CA"/>
        </w:rPr>
        <w:t>Rowson</w:t>
      </w:r>
      <w:proofErr w:type="spellEnd"/>
      <w:r w:rsidRPr="0083521D">
        <w:rPr>
          <w:rStyle w:val="SCCLsocPartyRole"/>
          <w:lang w:val="fr-CA"/>
        </w:rPr>
        <w:tab/>
        <w:t>Appelant</w:t>
      </w:r>
    </w:p>
    <w:p w:rsidR="004106C5" w:rsidRPr="003E0C82" w:rsidRDefault="003C391E" w:rsidP="0085604F">
      <w:pPr>
        <w:pStyle w:val="SCCLsocVersus"/>
        <w:widowControl w:val="0"/>
        <w:rPr>
          <w:lang w:val="fr-CA"/>
        </w:rPr>
      </w:pPr>
      <w:proofErr w:type="gramStart"/>
      <w:r w:rsidRPr="003E0C82">
        <w:rPr>
          <w:lang w:val="fr-CA"/>
        </w:rPr>
        <w:t>c</w:t>
      </w:r>
      <w:proofErr w:type="gramEnd"/>
      <w:r w:rsidRPr="003E0C82">
        <w:rPr>
          <w:lang w:val="fr-CA"/>
        </w:rPr>
        <w:t>.</w:t>
      </w:r>
    </w:p>
    <w:p w:rsidR="004106C5" w:rsidRPr="003E0C82" w:rsidRDefault="003C391E" w:rsidP="0085604F">
      <w:pPr>
        <w:pStyle w:val="SCCLsocLastPartyInRole"/>
        <w:widowControl w:val="0"/>
        <w:rPr>
          <w:lang w:val="fr-CA"/>
        </w:rPr>
      </w:pPr>
      <w:r w:rsidRPr="003E0C82">
        <w:rPr>
          <w:lang w:val="fr-CA"/>
        </w:rPr>
        <w:lastRenderedPageBreak/>
        <w:t>Sa Majesté la Reine</w:t>
      </w:r>
      <w:r w:rsidR="008C06EE">
        <w:rPr>
          <w:rStyle w:val="SCCLsocPartyRole"/>
          <w:lang w:val="fr-CA"/>
        </w:rPr>
        <w:tab/>
        <w:t>Intimée</w:t>
      </w:r>
    </w:p>
    <w:p w:rsidR="004D7D95" w:rsidRPr="003E0C82" w:rsidRDefault="004D7D95" w:rsidP="0085604F">
      <w:pPr>
        <w:widowControl w:val="0"/>
        <w:jc w:val="both"/>
        <w:rPr>
          <w:lang w:val="fr-CA"/>
        </w:rPr>
      </w:pPr>
    </w:p>
    <w:p w:rsidR="004D7D95" w:rsidRPr="003E0C82" w:rsidRDefault="004D7D95" w:rsidP="0085604F">
      <w:pPr>
        <w:widowControl w:val="0"/>
        <w:jc w:val="both"/>
        <w:rPr>
          <w:lang w:val="fr-CA"/>
        </w:rPr>
      </w:pPr>
    </w:p>
    <w:p w:rsidR="004D7D95" w:rsidRPr="003E0C82" w:rsidRDefault="004D7D95" w:rsidP="0085604F">
      <w:pPr>
        <w:widowControl w:val="0"/>
        <w:jc w:val="both"/>
        <w:rPr>
          <w:lang w:val="fr-CA"/>
        </w:rPr>
      </w:pPr>
    </w:p>
    <w:p w:rsidR="004D7D95" w:rsidRPr="003E0C82" w:rsidRDefault="008C06EE" w:rsidP="0085604F">
      <w:pPr>
        <w:widowControl w:val="0"/>
        <w:jc w:val="both"/>
        <w:rPr>
          <w:b/>
          <w:lang w:val="fr-CA"/>
        </w:rPr>
      </w:pPr>
      <w:r>
        <w:rPr>
          <w:b/>
          <w:lang w:val="fr-CA"/>
        </w:rPr>
        <w:t xml:space="preserve">Répertorié : R. </w:t>
      </w:r>
      <w:r w:rsidRPr="008C06EE">
        <w:rPr>
          <w:b/>
          <w:i/>
          <w:lang w:val="fr-CA"/>
        </w:rPr>
        <w:t xml:space="preserve">c. </w:t>
      </w:r>
      <w:proofErr w:type="spellStart"/>
      <w:r>
        <w:rPr>
          <w:b/>
          <w:lang w:val="fr-CA"/>
        </w:rPr>
        <w:t>Rowson</w:t>
      </w:r>
      <w:proofErr w:type="spellEnd"/>
    </w:p>
    <w:p w:rsidR="004D7D95" w:rsidRPr="003E0C82" w:rsidRDefault="004D7D95" w:rsidP="0085604F">
      <w:pPr>
        <w:widowControl w:val="0"/>
        <w:jc w:val="both"/>
        <w:rPr>
          <w:lang w:val="fr-CA"/>
        </w:rPr>
      </w:pPr>
    </w:p>
    <w:p w:rsidR="004D7D95" w:rsidRPr="003E0C82" w:rsidRDefault="004D7D95" w:rsidP="0085604F">
      <w:pPr>
        <w:widowControl w:val="0"/>
        <w:jc w:val="both"/>
        <w:rPr>
          <w:lang w:val="fr-CA"/>
        </w:rPr>
      </w:pPr>
    </w:p>
    <w:p w:rsidR="004D7D95" w:rsidRPr="003E0C82" w:rsidRDefault="004D7D95" w:rsidP="0085604F">
      <w:pPr>
        <w:widowControl w:val="0"/>
        <w:jc w:val="both"/>
        <w:rPr>
          <w:lang w:val="fr-CA"/>
        </w:rPr>
      </w:pPr>
    </w:p>
    <w:p w:rsidR="004D7D95" w:rsidRPr="003E0C82" w:rsidRDefault="00D17B0E" w:rsidP="0085604F">
      <w:pPr>
        <w:pStyle w:val="SCCSystemYear"/>
        <w:widowControl w:val="0"/>
        <w:jc w:val="both"/>
        <w:rPr>
          <w:lang w:val="fr-CA"/>
        </w:rPr>
      </w:pPr>
      <w:r w:rsidRPr="003E0C82">
        <w:rPr>
          <w:lang w:val="fr-CA"/>
        </w:rPr>
        <w:t>2016</w:t>
      </w:r>
      <w:r w:rsidR="004D7D95" w:rsidRPr="003E0C82">
        <w:rPr>
          <w:lang w:val="fr-CA"/>
        </w:rPr>
        <w:t xml:space="preserve"> CSC </w:t>
      </w:r>
      <w:r w:rsidR="008C06EE">
        <w:rPr>
          <w:lang w:val="fr-CA"/>
        </w:rPr>
        <w:t>40</w:t>
      </w:r>
    </w:p>
    <w:p w:rsidR="004D7D95" w:rsidRPr="003E0C82" w:rsidRDefault="004D7D95" w:rsidP="0085604F">
      <w:pPr>
        <w:widowControl w:val="0"/>
        <w:jc w:val="both"/>
        <w:rPr>
          <w:lang w:val="fr-CA"/>
        </w:rPr>
      </w:pPr>
    </w:p>
    <w:p w:rsidR="004D7D95" w:rsidRPr="003E0C82" w:rsidRDefault="004D7D95" w:rsidP="0085604F">
      <w:pPr>
        <w:widowControl w:val="0"/>
        <w:jc w:val="both"/>
        <w:rPr>
          <w:lang w:val="fr-CA"/>
        </w:rPr>
      </w:pPr>
    </w:p>
    <w:p w:rsidR="004D7D95" w:rsidRPr="003E0C82" w:rsidRDefault="004D7D95" w:rsidP="0085604F">
      <w:pPr>
        <w:widowControl w:val="0"/>
        <w:jc w:val="both"/>
        <w:rPr>
          <w:lang w:val="fr-CA"/>
        </w:rPr>
      </w:pPr>
    </w:p>
    <w:p w:rsidR="004D7D95" w:rsidRPr="003E0C82" w:rsidRDefault="004D7D95" w:rsidP="0085604F">
      <w:pPr>
        <w:widowControl w:val="0"/>
        <w:jc w:val="both"/>
        <w:rPr>
          <w:lang w:val="fr-CA"/>
        </w:rPr>
      </w:pPr>
      <w:r w:rsidRPr="003E0C82">
        <w:rPr>
          <w:lang w:val="fr-CA"/>
        </w:rPr>
        <w:t>N</w:t>
      </w:r>
      <w:r w:rsidRPr="003E0C82">
        <w:rPr>
          <w:vertAlign w:val="superscript"/>
          <w:lang w:val="fr-CA"/>
        </w:rPr>
        <w:t>o</w:t>
      </w:r>
      <w:r w:rsidRPr="003E0C82">
        <w:rPr>
          <w:lang w:val="fr-CA"/>
        </w:rPr>
        <w:t xml:space="preserve"> du greffe : 36777.</w:t>
      </w:r>
    </w:p>
    <w:p w:rsidR="004D7D95" w:rsidRPr="003E0C82" w:rsidRDefault="004D7D95" w:rsidP="0085604F">
      <w:pPr>
        <w:widowControl w:val="0"/>
        <w:jc w:val="both"/>
        <w:rPr>
          <w:lang w:val="fr-CA"/>
        </w:rPr>
      </w:pPr>
    </w:p>
    <w:p w:rsidR="004D7D95" w:rsidRPr="003E0C82" w:rsidRDefault="004D7D95" w:rsidP="0085604F">
      <w:pPr>
        <w:widowControl w:val="0"/>
        <w:jc w:val="both"/>
        <w:rPr>
          <w:lang w:val="fr-CA"/>
        </w:rPr>
      </w:pPr>
    </w:p>
    <w:p w:rsidR="004D7D95" w:rsidRPr="003E0C82" w:rsidRDefault="004D7D95" w:rsidP="0085604F">
      <w:pPr>
        <w:widowControl w:val="0"/>
        <w:jc w:val="both"/>
        <w:rPr>
          <w:lang w:val="fr-CA"/>
        </w:rPr>
      </w:pPr>
    </w:p>
    <w:p w:rsidR="004D7D95" w:rsidRPr="003E0C82" w:rsidRDefault="00D17B0E" w:rsidP="0085604F">
      <w:pPr>
        <w:widowControl w:val="0"/>
        <w:jc w:val="both"/>
        <w:rPr>
          <w:lang w:val="fr-CA"/>
        </w:rPr>
      </w:pPr>
      <w:r w:rsidRPr="003E0C82">
        <w:rPr>
          <w:lang w:val="fr-CA"/>
        </w:rPr>
        <w:t>2016 : 14 octobre</w:t>
      </w:r>
      <w:r w:rsidR="004D7D95" w:rsidRPr="003E0C82">
        <w:rPr>
          <w:lang w:val="fr-CA"/>
        </w:rPr>
        <w:t>.</w:t>
      </w:r>
    </w:p>
    <w:p w:rsidR="004D7D95" w:rsidRPr="003E0C82" w:rsidRDefault="004D7D95" w:rsidP="0085604F">
      <w:pPr>
        <w:widowControl w:val="0"/>
        <w:jc w:val="both"/>
        <w:rPr>
          <w:lang w:val="fr-CA"/>
        </w:rPr>
      </w:pPr>
    </w:p>
    <w:p w:rsidR="004D7D95" w:rsidRPr="003E0C82" w:rsidRDefault="004D7D95" w:rsidP="0085604F">
      <w:pPr>
        <w:widowControl w:val="0"/>
        <w:jc w:val="both"/>
        <w:rPr>
          <w:lang w:val="fr-CA"/>
        </w:rPr>
      </w:pPr>
    </w:p>
    <w:p w:rsidR="004D7D95" w:rsidRPr="003E0C82" w:rsidRDefault="004D7D95" w:rsidP="0085604F">
      <w:pPr>
        <w:widowControl w:val="0"/>
        <w:jc w:val="both"/>
        <w:rPr>
          <w:lang w:val="fr-CA"/>
        </w:rPr>
      </w:pPr>
    </w:p>
    <w:p w:rsidR="004D7D95" w:rsidRPr="003E0C82" w:rsidRDefault="004D7D95" w:rsidP="0085604F">
      <w:pPr>
        <w:widowControl w:val="0"/>
        <w:jc w:val="both"/>
        <w:rPr>
          <w:lang w:val="fr-CA"/>
        </w:rPr>
      </w:pPr>
      <w:r w:rsidRPr="003E0C82">
        <w:rPr>
          <w:lang w:val="fr-CA"/>
        </w:rPr>
        <w:t>Présents : Les juges Abella, Moldaver, Wagner, Côté et Brown.</w:t>
      </w:r>
    </w:p>
    <w:p w:rsidR="004D7D95" w:rsidRPr="003E0C82" w:rsidRDefault="004D7D95" w:rsidP="0085604F">
      <w:pPr>
        <w:widowControl w:val="0"/>
        <w:jc w:val="both"/>
        <w:rPr>
          <w:lang w:val="fr-CA"/>
        </w:rPr>
      </w:pPr>
    </w:p>
    <w:p w:rsidR="00EE0830" w:rsidRPr="003E0C82" w:rsidRDefault="00EE0830" w:rsidP="0085604F">
      <w:pPr>
        <w:widowControl w:val="0"/>
        <w:jc w:val="both"/>
        <w:rPr>
          <w:lang w:val="fr-CA"/>
        </w:rPr>
      </w:pPr>
    </w:p>
    <w:p w:rsidR="00EE0830" w:rsidRPr="003E0C82" w:rsidRDefault="00563371" w:rsidP="0085604F">
      <w:pPr>
        <w:widowControl w:val="0"/>
        <w:jc w:val="both"/>
        <w:rPr>
          <w:lang w:val="fr-CA"/>
        </w:rPr>
      </w:pPr>
      <w:r w:rsidRPr="00B76038">
        <w:rPr>
          <w:smallCaps/>
          <w:lang w:val="fr-CA"/>
        </w:rPr>
        <w:t xml:space="preserve">en appel de la cour d’appel de </w:t>
      </w:r>
      <w:proofErr w:type="spellStart"/>
      <w:r w:rsidRPr="00B76038">
        <w:rPr>
          <w:smallCaps/>
          <w:lang w:val="fr-CA"/>
        </w:rPr>
        <w:t>l’alberta</w:t>
      </w:r>
      <w:proofErr w:type="spellEnd"/>
    </w:p>
    <w:p w:rsidR="004D7D95" w:rsidRDefault="004D7D95" w:rsidP="0085604F">
      <w:pPr>
        <w:pStyle w:val="SCCNormalDoubleSpacing"/>
        <w:widowControl w:val="0"/>
        <w:rPr>
          <w:lang w:val="fr-CA"/>
        </w:rPr>
      </w:pPr>
    </w:p>
    <w:p w:rsidR="000D0DBF" w:rsidRPr="00935523" w:rsidRDefault="000D0DBF" w:rsidP="0085604F">
      <w:pPr>
        <w:pStyle w:val="SCCNormalDoubleSpacing"/>
        <w:widowControl w:val="0"/>
        <w:rPr>
          <w:i/>
          <w:lang w:val="fr-CA"/>
        </w:rPr>
      </w:pPr>
      <w:r w:rsidRPr="000D0DBF">
        <w:rPr>
          <w:lang w:val="fr-CA"/>
        </w:rPr>
        <w:tab/>
      </w:r>
      <w:r w:rsidR="001730AF">
        <w:rPr>
          <w:i/>
          <w:lang w:val="fr-CA"/>
        </w:rPr>
        <w:t>Droit constitutionnel — Charte des droits —</w:t>
      </w:r>
      <w:r w:rsidRPr="00935523">
        <w:rPr>
          <w:i/>
          <w:lang w:val="fr-CA"/>
        </w:rPr>
        <w:t xml:space="preserve"> Détention arbitraire</w:t>
      </w:r>
      <w:r w:rsidR="001730AF">
        <w:rPr>
          <w:i/>
          <w:lang w:val="fr-CA"/>
        </w:rPr>
        <w:t xml:space="preserve"> —</w:t>
      </w:r>
      <w:r w:rsidR="00935523" w:rsidRPr="00935523">
        <w:rPr>
          <w:i/>
          <w:lang w:val="fr-CA"/>
        </w:rPr>
        <w:t xml:space="preserve"> Dr</w:t>
      </w:r>
      <w:r w:rsidR="001730AF">
        <w:rPr>
          <w:i/>
          <w:lang w:val="fr-CA"/>
        </w:rPr>
        <w:t>oit à l’assistance d’un avocat —</w:t>
      </w:r>
      <w:r w:rsidR="00935523" w:rsidRPr="00935523">
        <w:rPr>
          <w:i/>
          <w:lang w:val="fr-CA"/>
        </w:rPr>
        <w:t xml:space="preserve"> Fouilles, perquisitions </w:t>
      </w:r>
      <w:r w:rsidR="00935523">
        <w:rPr>
          <w:i/>
          <w:lang w:val="fr-CA"/>
        </w:rPr>
        <w:t>et saisies</w:t>
      </w:r>
      <w:r w:rsidR="001730AF">
        <w:rPr>
          <w:i/>
          <w:lang w:val="fr-CA"/>
        </w:rPr>
        <w:t xml:space="preserve"> —</w:t>
      </w:r>
      <w:r w:rsidRPr="00935523">
        <w:rPr>
          <w:i/>
          <w:lang w:val="fr-CA"/>
        </w:rPr>
        <w:t xml:space="preserve"> R</w:t>
      </w:r>
      <w:r w:rsidR="00935523">
        <w:rPr>
          <w:i/>
          <w:lang w:val="fr-CA"/>
        </w:rPr>
        <w:t>éparation</w:t>
      </w:r>
      <w:r w:rsidR="001730AF">
        <w:rPr>
          <w:i/>
          <w:lang w:val="fr-CA"/>
        </w:rPr>
        <w:t xml:space="preserve"> — </w:t>
      </w:r>
      <w:r w:rsidRPr="00935523">
        <w:rPr>
          <w:i/>
          <w:lang w:val="fr-CA"/>
        </w:rPr>
        <w:t xml:space="preserve">Exclusion </w:t>
      </w:r>
      <w:r w:rsidR="00935523">
        <w:rPr>
          <w:i/>
          <w:lang w:val="fr-CA"/>
        </w:rPr>
        <w:t>de la preuve</w:t>
      </w:r>
      <w:r w:rsidR="001730AF">
        <w:rPr>
          <w:i/>
          <w:lang w:val="fr-CA"/>
        </w:rPr>
        <w:t xml:space="preserve"> —</w:t>
      </w:r>
      <w:r w:rsidRPr="00935523">
        <w:rPr>
          <w:i/>
          <w:lang w:val="fr-CA"/>
        </w:rPr>
        <w:t xml:space="preserve"> </w:t>
      </w:r>
      <w:r w:rsidR="00935523">
        <w:rPr>
          <w:i/>
          <w:lang w:val="fr-CA"/>
        </w:rPr>
        <w:t xml:space="preserve">L’utilisation des éléments de preuve relatifs </w:t>
      </w:r>
      <w:r w:rsidR="004A7413">
        <w:rPr>
          <w:i/>
          <w:lang w:val="fr-CA"/>
        </w:rPr>
        <w:t xml:space="preserve">aux </w:t>
      </w:r>
      <w:r w:rsidR="00935523">
        <w:rPr>
          <w:i/>
          <w:lang w:val="fr-CA"/>
        </w:rPr>
        <w:t>échantillon</w:t>
      </w:r>
      <w:r w:rsidR="004A7413">
        <w:rPr>
          <w:i/>
          <w:lang w:val="fr-CA"/>
        </w:rPr>
        <w:t>s</w:t>
      </w:r>
      <w:r w:rsidR="00935523">
        <w:rPr>
          <w:i/>
          <w:lang w:val="fr-CA"/>
        </w:rPr>
        <w:t xml:space="preserve"> d’haleine</w:t>
      </w:r>
      <w:r w:rsidR="004A7413">
        <w:rPr>
          <w:i/>
          <w:lang w:val="fr-CA"/>
        </w:rPr>
        <w:t xml:space="preserve"> n’a pas déconsidéré l’a</w:t>
      </w:r>
      <w:r w:rsidRPr="00935523">
        <w:rPr>
          <w:i/>
          <w:lang w:val="fr-CA"/>
        </w:rPr>
        <w:t xml:space="preserve">dministration </w:t>
      </w:r>
      <w:r w:rsidR="004A7413">
        <w:rPr>
          <w:i/>
          <w:lang w:val="fr-CA"/>
        </w:rPr>
        <w:t>de la justice</w:t>
      </w:r>
      <w:r w:rsidR="001730AF">
        <w:rPr>
          <w:i/>
          <w:lang w:val="fr-CA"/>
        </w:rPr>
        <w:t xml:space="preserve"> —</w:t>
      </w:r>
      <w:r w:rsidRPr="00935523">
        <w:rPr>
          <w:i/>
          <w:lang w:val="fr-CA"/>
        </w:rPr>
        <w:t xml:space="preserve"> </w:t>
      </w:r>
      <w:r w:rsidR="000F2A9C">
        <w:rPr>
          <w:i/>
          <w:lang w:val="fr-CA"/>
        </w:rPr>
        <w:t>Les d</w:t>
      </w:r>
      <w:r w:rsidR="004A7413">
        <w:rPr>
          <w:i/>
          <w:lang w:val="fr-CA"/>
        </w:rPr>
        <w:t>éclarations de culpabilité prononcées contre l’accusé</w:t>
      </w:r>
      <w:r w:rsidR="00F2761E">
        <w:rPr>
          <w:i/>
          <w:lang w:val="fr-CA"/>
        </w:rPr>
        <w:t xml:space="preserve"> </w:t>
      </w:r>
      <w:r w:rsidR="000F2A9C">
        <w:rPr>
          <w:i/>
          <w:lang w:val="fr-CA"/>
        </w:rPr>
        <w:t xml:space="preserve">sont </w:t>
      </w:r>
      <w:r w:rsidR="00F2761E">
        <w:rPr>
          <w:i/>
          <w:lang w:val="fr-CA"/>
        </w:rPr>
        <w:t>confirmées</w:t>
      </w:r>
      <w:r w:rsidRPr="00935523">
        <w:rPr>
          <w:i/>
          <w:lang w:val="fr-CA"/>
        </w:rPr>
        <w:t>.</w:t>
      </w:r>
    </w:p>
    <w:p w:rsidR="004D7D95" w:rsidRDefault="004D7D95" w:rsidP="0085604F">
      <w:pPr>
        <w:pStyle w:val="SCCNormalDoubleSpacing"/>
        <w:widowControl w:val="0"/>
        <w:spacing w:line="240" w:lineRule="auto"/>
        <w:ind w:left="540" w:hanging="540"/>
        <w:rPr>
          <w:lang w:val="fr-CA"/>
        </w:rPr>
      </w:pPr>
    </w:p>
    <w:p w:rsidR="001730AF" w:rsidRPr="00935523" w:rsidRDefault="001730AF" w:rsidP="0085604F">
      <w:pPr>
        <w:pStyle w:val="SCCNormalDoubleSpacing"/>
        <w:widowControl w:val="0"/>
        <w:spacing w:line="240" w:lineRule="auto"/>
        <w:ind w:left="540" w:hanging="540"/>
        <w:rPr>
          <w:lang w:val="fr-CA"/>
        </w:rPr>
      </w:pPr>
    </w:p>
    <w:p w:rsidR="004D7D95" w:rsidRPr="000D0DBF" w:rsidRDefault="004D7D95" w:rsidP="0085604F">
      <w:pPr>
        <w:pStyle w:val="SCCNormalDoubleSpacing"/>
        <w:widowControl w:val="0"/>
        <w:rPr>
          <w:lang w:val="fr-CA"/>
        </w:rPr>
      </w:pPr>
      <w:r w:rsidRPr="00935523">
        <w:rPr>
          <w:lang w:val="fr-CA"/>
        </w:rPr>
        <w:tab/>
      </w:r>
      <w:r w:rsidR="009608F2" w:rsidRPr="00F2761E">
        <w:rPr>
          <w:lang w:val="fr-CA"/>
        </w:rPr>
        <w:t xml:space="preserve">POURVOI contre un arrêt de la Cour d’appel de l’Alberta (les juges Martin, </w:t>
      </w:r>
      <w:proofErr w:type="spellStart"/>
      <w:r w:rsidR="009608F2" w:rsidRPr="00F2761E">
        <w:rPr>
          <w:lang w:val="fr-CA"/>
        </w:rPr>
        <w:t>O’Ferrall</w:t>
      </w:r>
      <w:proofErr w:type="spellEnd"/>
      <w:r w:rsidR="009608F2" w:rsidRPr="00F2761E">
        <w:rPr>
          <w:lang w:val="fr-CA"/>
        </w:rPr>
        <w:t xml:space="preserve"> et Veldhuis), </w:t>
      </w:r>
      <w:r w:rsidR="00231F2C" w:rsidRPr="00F2761E">
        <w:rPr>
          <w:lang w:val="fr-CA"/>
        </w:rPr>
        <w:t xml:space="preserve">2015 ABCA 354, 29 Alta. L.R. (6th) 40, 332 C.C.C. (3d) 165, 607 A.R. 334, 653 W.A.C. 334, 91 M.V.R. (6th) 51, [2016] 4 W.W.R. 483, </w:t>
      </w:r>
      <w:r w:rsidR="00231F2C" w:rsidRPr="00F2761E">
        <w:rPr>
          <w:lang w:val="fr-CA"/>
        </w:rPr>
        <w:lastRenderedPageBreak/>
        <w:t xml:space="preserve">[2015] A.J. No. 1253 (QL), 2015 </w:t>
      </w:r>
      <w:proofErr w:type="spellStart"/>
      <w:r w:rsidR="00231F2C" w:rsidRPr="00F2761E">
        <w:rPr>
          <w:lang w:val="fr-CA"/>
        </w:rPr>
        <w:t>CarswellAlta</w:t>
      </w:r>
      <w:proofErr w:type="spellEnd"/>
      <w:r w:rsidR="00231F2C" w:rsidRPr="00F2761E">
        <w:rPr>
          <w:lang w:val="fr-CA"/>
        </w:rPr>
        <w:t xml:space="preserve"> 2139 (WL Can.),</w:t>
      </w:r>
      <w:r w:rsidR="00F2761E" w:rsidRPr="00F2761E">
        <w:rPr>
          <w:lang w:val="fr-CA"/>
        </w:rPr>
        <w:t xml:space="preserve"> qui a confirmé les déclarations de culpabilité prononcées contre l’accusé pa</w:t>
      </w:r>
      <w:r w:rsidR="00F2761E">
        <w:rPr>
          <w:lang w:val="fr-CA"/>
        </w:rPr>
        <w:t>r</w:t>
      </w:r>
      <w:r w:rsidR="00F2761E" w:rsidRPr="00F2761E">
        <w:rPr>
          <w:lang w:val="fr-CA"/>
        </w:rPr>
        <w:t xml:space="preserve"> la juge Martin pour </w:t>
      </w:r>
      <w:r w:rsidR="00F2761E">
        <w:rPr>
          <w:lang w:val="fr-CA"/>
        </w:rPr>
        <w:t xml:space="preserve">conduite avec les facultés affaiblies causant des lésions corporelles, </w:t>
      </w:r>
      <w:r w:rsidR="000F2A9C">
        <w:rPr>
          <w:lang w:val="fr-CA"/>
        </w:rPr>
        <w:t>conduite dangereuse causant des lésions corporelles et conduite avec une alcoolémie supérieure à la limite permise</w:t>
      </w:r>
      <w:r w:rsidR="008F3B90" w:rsidRPr="00F2761E">
        <w:rPr>
          <w:lang w:val="fr-CA"/>
        </w:rPr>
        <w:t>.</w:t>
      </w:r>
      <w:r w:rsidR="00E84733" w:rsidRPr="00F2761E">
        <w:rPr>
          <w:lang w:val="fr-CA"/>
        </w:rPr>
        <w:t xml:space="preserve">  </w:t>
      </w:r>
      <w:r w:rsidR="00E84733" w:rsidRPr="000D0DBF">
        <w:rPr>
          <w:lang w:val="fr-CA"/>
        </w:rPr>
        <w:t>Pourvoi</w:t>
      </w:r>
      <w:r w:rsidR="006B3510" w:rsidRPr="000D0DBF">
        <w:rPr>
          <w:lang w:val="fr-CA"/>
        </w:rPr>
        <w:t xml:space="preserve"> rejeté, les juges Abella et Côté sont dissidentes.</w:t>
      </w:r>
    </w:p>
    <w:p w:rsidR="004D7D95" w:rsidRPr="000D0DBF" w:rsidRDefault="004D7D95" w:rsidP="0085604F">
      <w:pPr>
        <w:pStyle w:val="SCCNormalDoubleSpacing"/>
        <w:widowControl w:val="0"/>
        <w:rPr>
          <w:lang w:val="fr-CA"/>
        </w:rPr>
      </w:pPr>
    </w:p>
    <w:p w:rsidR="004106C5" w:rsidRPr="003E0C82" w:rsidRDefault="003C391E" w:rsidP="0085604F">
      <w:pPr>
        <w:pStyle w:val="SCCNormalDoubleSpacing"/>
        <w:widowControl w:val="0"/>
        <w:rPr>
          <w:lang w:val="fr-CA"/>
        </w:rPr>
      </w:pPr>
      <w:r w:rsidRPr="000D0DBF">
        <w:rPr>
          <w:rStyle w:val="SCCCounselNameChar"/>
          <w:lang w:val="fr-CA"/>
        </w:rPr>
        <w:tab/>
      </w:r>
      <w:r w:rsidRPr="003E0C82">
        <w:rPr>
          <w:rStyle w:val="SCCCounselNameChar"/>
          <w:lang w:val="fr-CA"/>
        </w:rPr>
        <w:t>Jennifer Ruttan</w:t>
      </w:r>
      <w:r w:rsidR="000A5783">
        <w:rPr>
          <w:rStyle w:val="SCCCounselPartyRoleChar"/>
          <w:lang w:val="fr-CA"/>
        </w:rPr>
        <w:t xml:space="preserve"> et </w:t>
      </w:r>
      <w:r w:rsidR="000A5783" w:rsidRPr="000A5783">
        <w:rPr>
          <w:rStyle w:val="SCCCounselPartyRoleChar"/>
          <w:i/>
          <w:lang w:val="fr-CA"/>
        </w:rPr>
        <w:t>Michael Bates</w:t>
      </w:r>
      <w:r w:rsidR="000A5783">
        <w:rPr>
          <w:rStyle w:val="SCCCounselPartyRoleChar"/>
          <w:lang w:val="fr-CA"/>
        </w:rPr>
        <w:t>, pour l’</w:t>
      </w:r>
      <w:r w:rsidRPr="003E0C82">
        <w:rPr>
          <w:rStyle w:val="SCCCounselPartyRoleChar"/>
          <w:lang w:val="fr-CA"/>
        </w:rPr>
        <w:t>appelant</w:t>
      </w:r>
      <w:r w:rsidR="000A5783">
        <w:rPr>
          <w:rStyle w:val="SCCCounselPartyRoleChar"/>
          <w:lang w:val="fr-CA"/>
        </w:rPr>
        <w:t>.</w:t>
      </w:r>
    </w:p>
    <w:p w:rsidR="004106C5" w:rsidRPr="003E0C82" w:rsidRDefault="004106C5" w:rsidP="0085604F">
      <w:pPr>
        <w:pStyle w:val="SCCNormalDoubleSpacing"/>
        <w:widowControl w:val="0"/>
        <w:rPr>
          <w:lang w:val="fr-CA"/>
        </w:rPr>
      </w:pPr>
    </w:p>
    <w:p w:rsidR="004106C5" w:rsidRDefault="003C391E" w:rsidP="0085604F">
      <w:pPr>
        <w:pStyle w:val="SCCNormalDoubleSpacing"/>
        <w:widowControl w:val="0"/>
        <w:rPr>
          <w:rStyle w:val="SCCCounselPartyRoleChar"/>
          <w:lang w:val="fr-CA"/>
        </w:rPr>
      </w:pPr>
      <w:r w:rsidRPr="003E0C82">
        <w:rPr>
          <w:rStyle w:val="SCCCounselNameChar"/>
          <w:lang w:val="fr-CA"/>
        </w:rPr>
        <w:tab/>
        <w:t xml:space="preserve">Christine </w:t>
      </w:r>
      <w:proofErr w:type="spellStart"/>
      <w:r w:rsidRPr="003E0C82">
        <w:rPr>
          <w:rStyle w:val="SCCCounselNameChar"/>
          <w:lang w:val="fr-CA"/>
        </w:rPr>
        <w:t>Rideout</w:t>
      </w:r>
      <w:proofErr w:type="spellEnd"/>
      <w:r w:rsidR="000A5783">
        <w:rPr>
          <w:rStyle w:val="SCCCounselPartyRoleChar"/>
          <w:lang w:val="fr-CA"/>
        </w:rPr>
        <w:t>, pour l’intimée</w:t>
      </w:r>
      <w:r w:rsidRPr="003E0C82">
        <w:rPr>
          <w:rStyle w:val="SCCCounselPartyRoleChar"/>
          <w:lang w:val="fr-CA"/>
        </w:rPr>
        <w:t>.</w:t>
      </w:r>
    </w:p>
    <w:p w:rsidR="00BB26E9" w:rsidRDefault="00BB26E9" w:rsidP="0085604F">
      <w:pPr>
        <w:pStyle w:val="SCCNormalDoubleSpacing"/>
        <w:widowControl w:val="0"/>
        <w:rPr>
          <w:rStyle w:val="SCCCounselPartyRoleChar"/>
          <w:lang w:val="fr-CA"/>
        </w:rPr>
      </w:pPr>
    </w:p>
    <w:p w:rsidR="00ED53F5" w:rsidRDefault="00BB26E9" w:rsidP="0085604F">
      <w:pPr>
        <w:pStyle w:val="SCCNormalDoubleSpacing"/>
        <w:widowControl w:val="0"/>
        <w:rPr>
          <w:rStyle w:val="SCCCounselPartyRoleChar"/>
          <w:lang w:val="fr-CA"/>
        </w:rPr>
      </w:pPr>
      <w:r>
        <w:rPr>
          <w:lang w:val="fr-CA"/>
        </w:rPr>
        <w:tab/>
      </w:r>
      <w:r w:rsidRPr="00B76038">
        <w:rPr>
          <w:lang w:val="fr-CA"/>
        </w:rPr>
        <w:t>Version française du jugement de la Cour rendu oralement par</w:t>
      </w:r>
    </w:p>
    <w:p w:rsidR="00ED53F5" w:rsidRPr="00A010BC" w:rsidRDefault="006B3510" w:rsidP="0085604F">
      <w:pPr>
        <w:pStyle w:val="ParaNoNdepar-AltN"/>
        <w:widowControl w:val="0"/>
        <w:numPr>
          <w:ilvl w:val="0"/>
          <w:numId w:val="0"/>
        </w:numPr>
        <w:rPr>
          <w:lang w:val="fr-CA"/>
        </w:rPr>
      </w:pPr>
      <w:r w:rsidRPr="006B3510">
        <w:rPr>
          <w:lang w:val="fr-CA"/>
        </w:rPr>
        <w:t>[1]</w:t>
      </w:r>
      <w:r w:rsidRPr="006B3510">
        <w:rPr>
          <w:lang w:val="fr-CA"/>
        </w:rPr>
        <w:tab/>
      </w:r>
      <w:r w:rsidR="00ED53F5" w:rsidRPr="00A010BC">
        <w:rPr>
          <w:smallCaps/>
          <w:lang w:val="fr-CA"/>
        </w:rPr>
        <w:t>La juge Abella</w:t>
      </w:r>
      <w:r w:rsidR="00ED53F5" w:rsidRPr="00A010BC">
        <w:rPr>
          <w:lang w:val="fr-CA"/>
        </w:rPr>
        <w:t xml:space="preserve"> </w:t>
      </w:r>
      <w:r w:rsidR="00ED53F5" w:rsidRPr="00A010BC">
        <w:rPr>
          <w:rFonts w:cs="Times New Roman"/>
          <w:lang w:val="fr-CA"/>
        </w:rPr>
        <w:t>—</w:t>
      </w:r>
      <w:r w:rsidR="00ED53F5" w:rsidRPr="00A010BC">
        <w:rPr>
          <w:lang w:val="fr-CA"/>
        </w:rPr>
        <w:t xml:space="preserve"> La majorité des membres de la présente formation sont d’avis de rejeter le pourvoi, essentiellement pour les motifs exposés par le juge </w:t>
      </w:r>
      <w:proofErr w:type="spellStart"/>
      <w:r w:rsidR="00ED53F5" w:rsidRPr="00A010BC">
        <w:rPr>
          <w:lang w:val="fr-CA"/>
        </w:rPr>
        <w:t>O’Ferrall</w:t>
      </w:r>
      <w:proofErr w:type="spellEnd"/>
      <w:r w:rsidR="00ED53F5" w:rsidRPr="00A010BC">
        <w:rPr>
          <w:lang w:val="fr-CA"/>
        </w:rPr>
        <w:t>. La juge Côté et moi-même ferions droit à l’appel, principalement pour la raison que l’effet cumulatif des multiples manquements justifiait l’exclusion de la preuve relative à l’alcootest.</w:t>
      </w:r>
    </w:p>
    <w:p w:rsidR="004D7D95" w:rsidRPr="000B06A6" w:rsidRDefault="004D7D95" w:rsidP="0085604F">
      <w:pPr>
        <w:pStyle w:val="SCCNormalDoubleSpacing"/>
        <w:widowControl w:val="0"/>
        <w:rPr>
          <w:i/>
          <w:lang w:val="fr-CA"/>
        </w:rPr>
      </w:pPr>
      <w:r w:rsidRPr="00BB26E9">
        <w:rPr>
          <w:lang w:val="fr-CA"/>
        </w:rPr>
        <w:tab/>
      </w:r>
      <w:r w:rsidR="000B06A6" w:rsidRPr="000B06A6">
        <w:rPr>
          <w:i/>
          <w:lang w:val="fr-CA"/>
        </w:rPr>
        <w:t>Jugement en conséquence.</w:t>
      </w:r>
    </w:p>
    <w:p w:rsidR="004D7D95" w:rsidRPr="003E0C82" w:rsidRDefault="004D7D95" w:rsidP="0085604F">
      <w:pPr>
        <w:pStyle w:val="SCCNormalDoubleSpacing"/>
        <w:widowControl w:val="0"/>
        <w:rPr>
          <w:lang w:val="fr-CA"/>
        </w:rPr>
      </w:pPr>
    </w:p>
    <w:p w:rsidR="004106C5" w:rsidRPr="003E0C82" w:rsidRDefault="003C391E" w:rsidP="0085604F">
      <w:pPr>
        <w:pStyle w:val="SCCLawFirm"/>
        <w:widowControl w:val="0"/>
        <w:rPr>
          <w:lang w:val="fr-CA"/>
        </w:rPr>
      </w:pPr>
      <w:r w:rsidRPr="003E0C82">
        <w:rPr>
          <w:lang w:val="fr-CA"/>
        </w:rPr>
        <w:tab/>
        <w:t>Procureur</w:t>
      </w:r>
      <w:r w:rsidR="000B06A6">
        <w:rPr>
          <w:lang w:val="fr-CA"/>
        </w:rPr>
        <w:t>s de l’appelant</w:t>
      </w:r>
      <w:r w:rsidRPr="003E0C82">
        <w:rPr>
          <w:lang w:val="fr-CA"/>
        </w:rPr>
        <w:t> : Ruttan Bates, Calgary.</w:t>
      </w:r>
    </w:p>
    <w:p w:rsidR="004106C5" w:rsidRPr="003E0C82" w:rsidRDefault="004106C5" w:rsidP="0085604F">
      <w:pPr>
        <w:pStyle w:val="SCCLawFirm"/>
        <w:widowControl w:val="0"/>
        <w:rPr>
          <w:lang w:val="fr-CA"/>
        </w:rPr>
      </w:pPr>
    </w:p>
    <w:p w:rsidR="004106C5" w:rsidRPr="00BB26E9" w:rsidRDefault="003C391E" w:rsidP="0085604F">
      <w:pPr>
        <w:pStyle w:val="SCCLawFirm"/>
        <w:widowControl w:val="0"/>
        <w:rPr>
          <w:lang w:val="fr-CA"/>
        </w:rPr>
      </w:pPr>
      <w:r w:rsidRPr="003E0C82">
        <w:rPr>
          <w:lang w:val="fr-CA"/>
        </w:rPr>
        <w:tab/>
      </w:r>
      <w:r w:rsidRPr="00BB26E9">
        <w:rPr>
          <w:lang w:val="fr-CA"/>
        </w:rPr>
        <w:t>Procureur</w:t>
      </w:r>
      <w:r w:rsidR="00F3570E" w:rsidRPr="00BB26E9">
        <w:rPr>
          <w:lang w:val="fr-CA"/>
        </w:rPr>
        <w:t xml:space="preserve"> de l'intimé</w:t>
      </w:r>
      <w:r w:rsidRPr="00BB26E9">
        <w:rPr>
          <w:lang w:val="fr-CA"/>
        </w:rPr>
        <w:t xml:space="preserve">e : </w:t>
      </w:r>
      <w:r w:rsidR="00F3570E" w:rsidRPr="00BB26E9">
        <w:rPr>
          <w:lang w:val="fr-CA"/>
        </w:rPr>
        <w:t>Procureur g</w:t>
      </w:r>
      <w:r w:rsidR="00F67C67">
        <w:rPr>
          <w:lang w:val="fr-CA"/>
        </w:rPr>
        <w:t>éné</w:t>
      </w:r>
      <w:r w:rsidR="00F3570E" w:rsidRPr="00BB26E9">
        <w:rPr>
          <w:lang w:val="fr-CA"/>
        </w:rPr>
        <w:t>ral de</w:t>
      </w:r>
      <w:r w:rsidRPr="00BB26E9">
        <w:rPr>
          <w:lang w:val="fr-CA"/>
        </w:rPr>
        <w:t xml:space="preserve"> </w:t>
      </w:r>
      <w:r w:rsidR="004E5383">
        <w:rPr>
          <w:lang w:val="fr-CA"/>
        </w:rPr>
        <w:t>l’</w:t>
      </w:r>
      <w:r w:rsidRPr="00BB26E9">
        <w:rPr>
          <w:lang w:val="fr-CA"/>
        </w:rPr>
        <w:t>Alberta, Calgary.</w:t>
      </w:r>
    </w:p>
    <w:sectPr w:rsidR="004106C5" w:rsidRPr="00BB26E9" w:rsidSect="00064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3B" w:rsidRDefault="00713A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3B" w:rsidRDefault="00713A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3B" w:rsidRDefault="00713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3B" w:rsidRDefault="00713A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A3B" w:rsidRDefault="00713A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31D7"/>
    <w:multiLevelType w:val="multilevel"/>
    <w:tmpl w:val="A2D2CB70"/>
    <w:lvl w:ilvl="0">
      <w:start w:val="1"/>
      <w:numFmt w:val="decimal"/>
      <w:pStyle w:val="ParaNoNdepar-Alt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5198"/>
    <w:rsid w:val="000578A3"/>
    <w:rsid w:val="000648CC"/>
    <w:rsid w:val="000A5783"/>
    <w:rsid w:val="000B06A6"/>
    <w:rsid w:val="000C59B8"/>
    <w:rsid w:val="000C6AF0"/>
    <w:rsid w:val="000D0A77"/>
    <w:rsid w:val="000D0DBF"/>
    <w:rsid w:val="000F2A9C"/>
    <w:rsid w:val="000F7993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730AF"/>
    <w:rsid w:val="0019277F"/>
    <w:rsid w:val="00195D83"/>
    <w:rsid w:val="001A00C1"/>
    <w:rsid w:val="001B33E0"/>
    <w:rsid w:val="001B4573"/>
    <w:rsid w:val="001C75C4"/>
    <w:rsid w:val="001C779F"/>
    <w:rsid w:val="001D2AC1"/>
    <w:rsid w:val="001D4E88"/>
    <w:rsid w:val="00220FC2"/>
    <w:rsid w:val="002222F4"/>
    <w:rsid w:val="00224FC0"/>
    <w:rsid w:val="00225EA4"/>
    <w:rsid w:val="00226EAF"/>
    <w:rsid w:val="00231F2C"/>
    <w:rsid w:val="00231F3A"/>
    <w:rsid w:val="002406EE"/>
    <w:rsid w:val="00243EC8"/>
    <w:rsid w:val="00270D93"/>
    <w:rsid w:val="002745CC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64B18"/>
    <w:rsid w:val="003A125D"/>
    <w:rsid w:val="003A4C70"/>
    <w:rsid w:val="003B08D7"/>
    <w:rsid w:val="003B215F"/>
    <w:rsid w:val="003C391E"/>
    <w:rsid w:val="003C799C"/>
    <w:rsid w:val="003D0399"/>
    <w:rsid w:val="003E0C82"/>
    <w:rsid w:val="003E1C71"/>
    <w:rsid w:val="003F327B"/>
    <w:rsid w:val="00406166"/>
    <w:rsid w:val="0040704B"/>
    <w:rsid w:val="004106C5"/>
    <w:rsid w:val="00410A55"/>
    <w:rsid w:val="00411300"/>
    <w:rsid w:val="00413F17"/>
    <w:rsid w:val="00415417"/>
    <w:rsid w:val="00426659"/>
    <w:rsid w:val="00450352"/>
    <w:rsid w:val="00454BDB"/>
    <w:rsid w:val="00465132"/>
    <w:rsid w:val="00480C90"/>
    <w:rsid w:val="0048396F"/>
    <w:rsid w:val="00493C18"/>
    <w:rsid w:val="004A600C"/>
    <w:rsid w:val="004A6118"/>
    <w:rsid w:val="004A7413"/>
    <w:rsid w:val="004C478D"/>
    <w:rsid w:val="004D7D95"/>
    <w:rsid w:val="004E2C26"/>
    <w:rsid w:val="004E5383"/>
    <w:rsid w:val="005006BE"/>
    <w:rsid w:val="005125A8"/>
    <w:rsid w:val="00517549"/>
    <w:rsid w:val="00520ABC"/>
    <w:rsid w:val="00521AE8"/>
    <w:rsid w:val="00527180"/>
    <w:rsid w:val="00555291"/>
    <w:rsid w:val="00563371"/>
    <w:rsid w:val="00566AD1"/>
    <w:rsid w:val="00583EDE"/>
    <w:rsid w:val="005A6079"/>
    <w:rsid w:val="005C0D65"/>
    <w:rsid w:val="005E4698"/>
    <w:rsid w:val="00603924"/>
    <w:rsid w:val="00610539"/>
    <w:rsid w:val="00613969"/>
    <w:rsid w:val="00625C35"/>
    <w:rsid w:val="00647E49"/>
    <w:rsid w:val="00656313"/>
    <w:rsid w:val="006565F4"/>
    <w:rsid w:val="00684EEA"/>
    <w:rsid w:val="0069689B"/>
    <w:rsid w:val="006B3510"/>
    <w:rsid w:val="006B5FF5"/>
    <w:rsid w:val="006E18B0"/>
    <w:rsid w:val="006F30AF"/>
    <w:rsid w:val="00701759"/>
    <w:rsid w:val="00705C15"/>
    <w:rsid w:val="007110F6"/>
    <w:rsid w:val="00713A3B"/>
    <w:rsid w:val="007208D1"/>
    <w:rsid w:val="00744518"/>
    <w:rsid w:val="00747288"/>
    <w:rsid w:val="00747DD3"/>
    <w:rsid w:val="007549C8"/>
    <w:rsid w:val="00766D14"/>
    <w:rsid w:val="00767A0F"/>
    <w:rsid w:val="00791272"/>
    <w:rsid w:val="007A05F6"/>
    <w:rsid w:val="007B6F4A"/>
    <w:rsid w:val="007E1C47"/>
    <w:rsid w:val="007E337A"/>
    <w:rsid w:val="007E5C70"/>
    <w:rsid w:val="007F2FF5"/>
    <w:rsid w:val="007F3F08"/>
    <w:rsid w:val="007F6897"/>
    <w:rsid w:val="00804CC6"/>
    <w:rsid w:val="00817190"/>
    <w:rsid w:val="00820FB2"/>
    <w:rsid w:val="008260E2"/>
    <w:rsid w:val="008322BD"/>
    <w:rsid w:val="00834F73"/>
    <w:rsid w:val="0083521D"/>
    <w:rsid w:val="0085604F"/>
    <w:rsid w:val="00864C8A"/>
    <w:rsid w:val="00864CF8"/>
    <w:rsid w:val="00874914"/>
    <w:rsid w:val="00891422"/>
    <w:rsid w:val="00892E1A"/>
    <w:rsid w:val="008B660A"/>
    <w:rsid w:val="008C01DA"/>
    <w:rsid w:val="008C06EE"/>
    <w:rsid w:val="008F2674"/>
    <w:rsid w:val="008F3B90"/>
    <w:rsid w:val="008F78E9"/>
    <w:rsid w:val="009179F9"/>
    <w:rsid w:val="00917C7A"/>
    <w:rsid w:val="00933E5E"/>
    <w:rsid w:val="00935218"/>
    <w:rsid w:val="00935523"/>
    <w:rsid w:val="00937C52"/>
    <w:rsid w:val="009403F3"/>
    <w:rsid w:val="009555B7"/>
    <w:rsid w:val="009567AA"/>
    <w:rsid w:val="009602C9"/>
    <w:rsid w:val="009608F2"/>
    <w:rsid w:val="00967374"/>
    <w:rsid w:val="009A343A"/>
    <w:rsid w:val="009B2F23"/>
    <w:rsid w:val="009B57B3"/>
    <w:rsid w:val="009D2920"/>
    <w:rsid w:val="009D5AEB"/>
    <w:rsid w:val="009F0E33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921A7"/>
    <w:rsid w:val="00AB670D"/>
    <w:rsid w:val="00AF03C5"/>
    <w:rsid w:val="00B000D8"/>
    <w:rsid w:val="00B00F75"/>
    <w:rsid w:val="00B145B6"/>
    <w:rsid w:val="00B279EB"/>
    <w:rsid w:val="00B50C81"/>
    <w:rsid w:val="00B557F8"/>
    <w:rsid w:val="00B66304"/>
    <w:rsid w:val="00B815FC"/>
    <w:rsid w:val="00B93FBC"/>
    <w:rsid w:val="00BA7DA0"/>
    <w:rsid w:val="00BB26E9"/>
    <w:rsid w:val="00BB2EE4"/>
    <w:rsid w:val="00BB4C92"/>
    <w:rsid w:val="00BC2108"/>
    <w:rsid w:val="00BD0E9E"/>
    <w:rsid w:val="00BD1BEC"/>
    <w:rsid w:val="00BD32FF"/>
    <w:rsid w:val="00BF6FE9"/>
    <w:rsid w:val="00C02092"/>
    <w:rsid w:val="00C24D91"/>
    <w:rsid w:val="00C26DB2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A6391"/>
    <w:rsid w:val="00CD2C3F"/>
    <w:rsid w:val="00CE036E"/>
    <w:rsid w:val="00CE3171"/>
    <w:rsid w:val="00CF1601"/>
    <w:rsid w:val="00D0172F"/>
    <w:rsid w:val="00D01E33"/>
    <w:rsid w:val="00D068A7"/>
    <w:rsid w:val="00D17476"/>
    <w:rsid w:val="00D17B0E"/>
    <w:rsid w:val="00D32086"/>
    <w:rsid w:val="00D37A3F"/>
    <w:rsid w:val="00D4431D"/>
    <w:rsid w:val="00D4667A"/>
    <w:rsid w:val="00D63A1C"/>
    <w:rsid w:val="00D7516F"/>
    <w:rsid w:val="00D95F8E"/>
    <w:rsid w:val="00DA0590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4D15"/>
    <w:rsid w:val="00E35404"/>
    <w:rsid w:val="00E45109"/>
    <w:rsid w:val="00E47B7A"/>
    <w:rsid w:val="00E56A44"/>
    <w:rsid w:val="00E60269"/>
    <w:rsid w:val="00E84733"/>
    <w:rsid w:val="00E97830"/>
    <w:rsid w:val="00ED53F5"/>
    <w:rsid w:val="00EE0830"/>
    <w:rsid w:val="00EE6CB8"/>
    <w:rsid w:val="00EF0683"/>
    <w:rsid w:val="00F0070C"/>
    <w:rsid w:val="00F00EB7"/>
    <w:rsid w:val="00F2761E"/>
    <w:rsid w:val="00F3570E"/>
    <w:rsid w:val="00F36AB6"/>
    <w:rsid w:val="00F37A09"/>
    <w:rsid w:val="00F409CE"/>
    <w:rsid w:val="00F4379D"/>
    <w:rsid w:val="00F50D2D"/>
    <w:rsid w:val="00F56C8B"/>
    <w:rsid w:val="00F62639"/>
    <w:rsid w:val="00F66810"/>
    <w:rsid w:val="00F67C67"/>
    <w:rsid w:val="00F84DF4"/>
    <w:rsid w:val="00F85C97"/>
    <w:rsid w:val="00FB37D2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paragraph" w:customStyle="1" w:styleId="ParaNoNdepar-AltN">
    <w:name w:val="Para. No. / Nº de par. - Alt N"/>
    <w:link w:val="ParaNoNdepar-AltNChar"/>
    <w:qFormat/>
    <w:rsid w:val="006B3510"/>
    <w:pPr>
      <w:numPr>
        <w:numId w:val="1"/>
      </w:numPr>
      <w:tabs>
        <w:tab w:val="num" w:pos="1152"/>
      </w:tabs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6B3510"/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B66304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B66304"/>
    <w:rPr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B66304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B66304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2016-10-14T15:24:00Z</dcterms:created>
  <dcterms:modified xsi:type="dcterms:W3CDTF">2020-10-15T22:02:00Z</dcterms:modified>
</cp:coreProperties>
</file>