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7EB" w:rsidRDefault="00FF07EB" w:rsidP="00FF07E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64.8pt" o:ole="">
            <v:imagedata r:id="rId7" o:title=""/>
          </v:shape>
          <o:OLEObject Type="Embed" ProgID="Presentations.Drawing.13" ShapeID="_x0000_i1025" DrawAspect="Content" ObjectID="_1550556892" r:id="rId8"/>
        </w:object>
      </w:r>
      <w:r>
        <w:t xml:space="preserve"> </w:t>
      </w:r>
      <w:r>
        <w:ptab w:relativeTo="margin" w:alignment="right" w:leader="none"/>
      </w:r>
    </w:p>
    <w:p w:rsidR="00FF07EB" w:rsidRDefault="00FF07EB" w:rsidP="00FF07EB">
      <w:pPr>
        <w:pStyle w:val="Header"/>
      </w:pPr>
    </w:p>
    <w:p w:rsidR="00FF07EB" w:rsidRPr="001E12E2" w:rsidRDefault="00FF07EB" w:rsidP="00FF07EB">
      <w:pPr>
        <w:jc w:val="center"/>
        <w:rPr>
          <w:b/>
        </w:rPr>
      </w:pPr>
      <w:r w:rsidRPr="001E12E2">
        <w:rPr>
          <w:b/>
        </w:rPr>
        <w:t>COUR SUPRÊME DU CANADA</w:t>
      </w:r>
    </w:p>
    <w:p w:rsidR="00FF07EB" w:rsidRDefault="00FF07EB" w:rsidP="00FF07E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130"/>
        <w:gridCol w:w="4446"/>
      </w:tblGrid>
      <w:tr w:rsidR="00FF07EB" w:rsidRPr="001E12E2" w:rsidTr="005979A2">
        <w:trPr>
          <w:cantSplit/>
        </w:trPr>
        <w:tc>
          <w:tcPr>
            <w:tcW w:w="5130" w:type="dxa"/>
          </w:tcPr>
          <w:p w:rsidR="00FF07EB" w:rsidRPr="00F24162" w:rsidRDefault="00FF07EB" w:rsidP="00FF07EB">
            <w:pPr>
              <w:rPr>
                <w:lang w:val="en-US"/>
              </w:rPr>
            </w:pPr>
            <w:r w:rsidRPr="00F24162">
              <w:rPr>
                <w:b/>
                <w:smallCaps/>
                <w:lang w:val="en-US"/>
              </w:rPr>
              <w:t>Référence :</w:t>
            </w:r>
            <w:r w:rsidRPr="00F24162">
              <w:rPr>
                <w:lang w:val="en-US"/>
              </w:rPr>
              <w:t xml:space="preserve"> Alberta (Information and Privacy Commissioner) </w:t>
            </w:r>
            <w:r w:rsidRPr="00F24162">
              <w:rPr>
                <w:i/>
                <w:lang w:val="en-US"/>
              </w:rPr>
              <w:t>c.</w:t>
            </w:r>
            <w:r w:rsidRPr="00F24162">
              <w:rPr>
                <w:lang w:val="en-US"/>
              </w:rPr>
              <w:t xml:space="preserve"> University of Calgary, 2016 CSC 53</w:t>
            </w:r>
            <w:r>
              <w:rPr>
                <w:lang w:val="en-US"/>
              </w:rPr>
              <w:t>, [2016] 2 R.C.S. 555</w:t>
            </w:r>
          </w:p>
        </w:tc>
        <w:tc>
          <w:tcPr>
            <w:tcW w:w="4446" w:type="dxa"/>
          </w:tcPr>
          <w:p w:rsidR="00FF07EB" w:rsidRPr="00FF07EB" w:rsidRDefault="00FF07EB" w:rsidP="005979A2">
            <w:pPr>
              <w:rPr>
                <w:lang w:val="fr-CA"/>
              </w:rPr>
            </w:pPr>
            <w:r w:rsidRPr="00FF07EB">
              <w:rPr>
                <w:b/>
                <w:smallCaps/>
                <w:lang w:val="fr-CA"/>
              </w:rPr>
              <w:t>Appel entendu :</w:t>
            </w:r>
            <w:r w:rsidRPr="00FF07EB">
              <w:rPr>
                <w:lang w:val="fr-CA"/>
              </w:rPr>
              <w:t xml:space="preserve"> 1</w:t>
            </w:r>
            <w:r w:rsidRPr="00FF07EB">
              <w:rPr>
                <w:vertAlign w:val="superscript"/>
                <w:lang w:val="fr-CA"/>
              </w:rPr>
              <w:t>er</w:t>
            </w:r>
            <w:r w:rsidRPr="00FF07EB">
              <w:rPr>
                <w:lang w:val="fr-CA"/>
              </w:rPr>
              <w:t> avril 2016</w:t>
            </w:r>
          </w:p>
          <w:p w:rsidR="00FF07EB" w:rsidRPr="00FF07EB" w:rsidRDefault="00FF07EB" w:rsidP="005979A2">
            <w:pPr>
              <w:rPr>
                <w:lang w:val="fr-CA"/>
              </w:rPr>
            </w:pPr>
            <w:r w:rsidRPr="00FF07EB">
              <w:rPr>
                <w:b/>
                <w:smallCaps/>
                <w:lang w:val="fr-CA"/>
              </w:rPr>
              <w:t>Jugement rendu :</w:t>
            </w:r>
            <w:r w:rsidRPr="00FF07EB">
              <w:rPr>
                <w:lang w:val="fr-CA"/>
              </w:rPr>
              <w:t xml:space="preserve"> 25 novembre 2016</w:t>
            </w:r>
          </w:p>
          <w:p w:rsidR="00FF07EB" w:rsidRPr="001E12E2" w:rsidRDefault="00FF07EB" w:rsidP="005979A2">
            <w:r w:rsidRPr="001E12E2">
              <w:rPr>
                <w:b/>
                <w:smallCaps/>
              </w:rPr>
              <w:t>Do</w:t>
            </w:r>
            <w:r>
              <w:rPr>
                <w:b/>
                <w:smallCaps/>
              </w:rPr>
              <w:t>ssier :</w:t>
            </w:r>
            <w:r w:rsidRPr="001E12E2">
              <w:t xml:space="preserve"> </w:t>
            </w:r>
            <w:r>
              <w:t>36460</w:t>
            </w:r>
          </w:p>
        </w:tc>
      </w:tr>
    </w:tbl>
    <w:p w:rsidR="00FF07EB" w:rsidRPr="001E12E2" w:rsidRDefault="00FF07EB" w:rsidP="00FF07EB"/>
    <w:p w:rsidR="00FF07EB" w:rsidRDefault="00FF07EB" w:rsidP="00FF07EB">
      <w:pPr>
        <w:pStyle w:val="SCCLsocPrefix"/>
      </w:pPr>
      <w:r>
        <w:t>Entre :</w:t>
      </w:r>
    </w:p>
    <w:p w:rsidR="00FF07EB" w:rsidRPr="00F24162" w:rsidRDefault="00FF07EB" w:rsidP="008C41E2">
      <w:pPr>
        <w:pStyle w:val="SCCLsocParty"/>
        <w:contextualSpacing/>
        <w:jc w:val="center"/>
        <w:rPr>
          <w:lang w:val="en-US"/>
        </w:rPr>
      </w:pPr>
      <w:r w:rsidRPr="00F24162">
        <w:rPr>
          <w:lang w:val="en-US"/>
        </w:rPr>
        <w:t>Information and Privacy Commissioner of Alberta</w:t>
      </w:r>
    </w:p>
    <w:p w:rsidR="00FF07EB" w:rsidRPr="00F24162" w:rsidRDefault="00FF07EB" w:rsidP="008C41E2">
      <w:pPr>
        <w:contextualSpacing/>
        <w:jc w:val="center"/>
        <w:rPr>
          <w:lang w:val="en-US"/>
        </w:rPr>
      </w:pPr>
      <w:r w:rsidRPr="00F24162">
        <w:rPr>
          <w:lang w:val="en-US"/>
        </w:rPr>
        <w:t>Appelant</w:t>
      </w:r>
      <w:r>
        <w:rPr>
          <w:lang w:val="en-US"/>
        </w:rPr>
        <w:t>e</w:t>
      </w:r>
    </w:p>
    <w:p w:rsidR="00FF07EB" w:rsidRPr="00F24162" w:rsidRDefault="00FF07EB" w:rsidP="008C41E2">
      <w:pPr>
        <w:contextualSpacing/>
        <w:jc w:val="center"/>
        <w:rPr>
          <w:lang w:val="en-US"/>
        </w:rPr>
      </w:pPr>
    </w:p>
    <w:p w:rsidR="00FF07EB" w:rsidRPr="008C41E2" w:rsidRDefault="00FF07EB" w:rsidP="008C41E2">
      <w:pPr>
        <w:pStyle w:val="SCCLsocVersus"/>
        <w:spacing w:after="0"/>
        <w:contextualSpacing/>
        <w:jc w:val="center"/>
        <w:rPr>
          <w:i w:val="0"/>
          <w:lang w:val="en-US"/>
        </w:rPr>
      </w:pPr>
      <w:r w:rsidRPr="008C41E2">
        <w:rPr>
          <w:i w:val="0"/>
          <w:lang w:val="en-US"/>
        </w:rPr>
        <w:t>et</w:t>
      </w:r>
    </w:p>
    <w:p w:rsidR="00FF07EB" w:rsidRPr="00F24162" w:rsidRDefault="00FF07EB" w:rsidP="008C41E2">
      <w:pPr>
        <w:contextualSpacing/>
        <w:jc w:val="center"/>
        <w:rPr>
          <w:lang w:val="en-US"/>
        </w:rPr>
      </w:pPr>
    </w:p>
    <w:p w:rsidR="00FF07EB" w:rsidRPr="00F24162" w:rsidRDefault="00FF07EB" w:rsidP="008C41E2">
      <w:pPr>
        <w:pStyle w:val="SCCLsocParty"/>
        <w:contextualSpacing/>
        <w:jc w:val="center"/>
        <w:rPr>
          <w:lang w:val="en-US"/>
        </w:rPr>
      </w:pPr>
      <w:r w:rsidRPr="00F24162">
        <w:rPr>
          <w:lang w:val="en-US"/>
        </w:rPr>
        <w:t>Board of Governors of the University of Calgary</w:t>
      </w:r>
    </w:p>
    <w:p w:rsidR="00FF07EB" w:rsidRPr="00F24162" w:rsidRDefault="00FF07EB" w:rsidP="008C41E2">
      <w:pPr>
        <w:contextualSpacing/>
        <w:jc w:val="center"/>
        <w:rPr>
          <w:lang w:val="en-US"/>
        </w:rPr>
      </w:pPr>
      <w:r w:rsidRPr="00F24162">
        <w:rPr>
          <w:lang w:val="en-US"/>
        </w:rPr>
        <w:t>Intimé</w:t>
      </w:r>
    </w:p>
    <w:p w:rsidR="00FF07EB" w:rsidRPr="00F24162" w:rsidRDefault="00FF07EB" w:rsidP="008C41E2">
      <w:pPr>
        <w:contextualSpacing/>
        <w:jc w:val="center"/>
        <w:rPr>
          <w:lang w:val="en-US"/>
        </w:rPr>
      </w:pPr>
    </w:p>
    <w:p w:rsidR="00FF07EB" w:rsidRPr="00F24162" w:rsidRDefault="00FF07EB" w:rsidP="008C41E2">
      <w:pPr>
        <w:pStyle w:val="SCCLsocOtherPartySeparator"/>
        <w:spacing w:after="0"/>
        <w:contextualSpacing/>
        <w:jc w:val="center"/>
        <w:rPr>
          <w:lang w:val="en-US"/>
        </w:rPr>
      </w:pPr>
      <w:r w:rsidRPr="00F24162">
        <w:rPr>
          <w:lang w:val="en-US"/>
        </w:rPr>
        <w:t>- et -</w:t>
      </w:r>
    </w:p>
    <w:p w:rsidR="00FF07EB" w:rsidRPr="00F24162" w:rsidRDefault="00FF07EB" w:rsidP="008C41E2">
      <w:pPr>
        <w:contextualSpacing/>
        <w:jc w:val="center"/>
        <w:rPr>
          <w:lang w:val="en-US"/>
        </w:rPr>
      </w:pPr>
    </w:p>
    <w:p w:rsidR="00FF07EB" w:rsidRPr="00F24162" w:rsidRDefault="00FF07EB" w:rsidP="008C41E2">
      <w:pPr>
        <w:pStyle w:val="SCCLsocParty"/>
        <w:contextualSpacing/>
        <w:jc w:val="center"/>
        <w:rPr>
          <w:lang w:val="en-US"/>
        </w:rPr>
      </w:pPr>
      <w:r w:rsidRPr="00F24162">
        <w:rPr>
          <w:lang w:val="en-US"/>
        </w:rPr>
        <w:t>Law Society of Alberta, British Columbia</w:t>
      </w:r>
    </w:p>
    <w:p w:rsidR="00FF07EB" w:rsidRPr="00F24162" w:rsidRDefault="00FF07EB" w:rsidP="008C41E2">
      <w:pPr>
        <w:pStyle w:val="SCCLsocParty"/>
        <w:contextualSpacing/>
        <w:jc w:val="center"/>
        <w:rPr>
          <w:lang w:val="en-US"/>
        </w:rPr>
      </w:pPr>
      <w:r w:rsidRPr="00F24162">
        <w:rPr>
          <w:lang w:val="en-US"/>
        </w:rPr>
        <w:t>Freedom of Information and Privacy Association,</w:t>
      </w:r>
    </w:p>
    <w:p w:rsidR="00FF07EB" w:rsidRPr="00FF07EB" w:rsidRDefault="00FF07EB" w:rsidP="008C41E2">
      <w:pPr>
        <w:pStyle w:val="SCCLsocParty"/>
        <w:contextualSpacing/>
        <w:jc w:val="center"/>
        <w:rPr>
          <w:lang w:val="fr-CA"/>
        </w:rPr>
      </w:pPr>
      <w:r w:rsidRPr="00FF07EB">
        <w:rPr>
          <w:lang w:val="fr-CA"/>
        </w:rPr>
        <w:t>Commissaire à l’information et à la protection de la vie privée de l’Ontario,</w:t>
      </w:r>
    </w:p>
    <w:p w:rsidR="00FF07EB" w:rsidRPr="00F24162" w:rsidRDefault="00FF07EB" w:rsidP="008C41E2">
      <w:pPr>
        <w:pStyle w:val="SCCLsocParty"/>
        <w:contextualSpacing/>
        <w:jc w:val="center"/>
        <w:rPr>
          <w:lang w:val="en-US"/>
        </w:rPr>
      </w:pPr>
      <w:r w:rsidRPr="00F24162">
        <w:rPr>
          <w:lang w:val="en-US"/>
        </w:rPr>
        <w:t>Information and Privacy Commissioner for British Columbia,</w:t>
      </w:r>
    </w:p>
    <w:p w:rsidR="00FF07EB" w:rsidRPr="00F24162" w:rsidRDefault="00FF07EB" w:rsidP="008C41E2">
      <w:pPr>
        <w:pStyle w:val="SCCLsocParty"/>
        <w:contextualSpacing/>
        <w:jc w:val="center"/>
        <w:rPr>
          <w:lang w:val="en-US"/>
        </w:rPr>
      </w:pPr>
      <w:r w:rsidRPr="00F24162">
        <w:rPr>
          <w:lang w:val="en-US"/>
        </w:rPr>
        <w:t>Information and Privacy Commissioner for the</w:t>
      </w:r>
    </w:p>
    <w:p w:rsidR="00FF07EB" w:rsidRPr="00F24162" w:rsidRDefault="00FF07EB" w:rsidP="008C41E2">
      <w:pPr>
        <w:pStyle w:val="SCCLsocParty"/>
        <w:contextualSpacing/>
        <w:jc w:val="center"/>
        <w:rPr>
          <w:lang w:val="en-US"/>
        </w:rPr>
      </w:pPr>
      <w:r w:rsidRPr="00F24162">
        <w:rPr>
          <w:lang w:val="en-US"/>
        </w:rPr>
        <w:t>Province of Newfoundland and Labrador, Advocates’ Society,</w:t>
      </w:r>
    </w:p>
    <w:p w:rsidR="00FF07EB" w:rsidRPr="00FF07EB" w:rsidRDefault="00FF07EB" w:rsidP="008C41E2">
      <w:pPr>
        <w:pStyle w:val="SCCLsocParty"/>
        <w:contextualSpacing/>
        <w:jc w:val="center"/>
        <w:rPr>
          <w:lang w:val="fr-CA"/>
        </w:rPr>
      </w:pPr>
      <w:r w:rsidRPr="00FF07EB">
        <w:rPr>
          <w:lang w:val="fr-CA"/>
        </w:rPr>
        <w:t>Fédération des ordres professionnels de juristes du Canada,</w:t>
      </w:r>
    </w:p>
    <w:p w:rsidR="00FF07EB" w:rsidRPr="00FF07EB" w:rsidRDefault="00FF07EB" w:rsidP="008C41E2">
      <w:pPr>
        <w:pStyle w:val="SCCLsocParty"/>
        <w:contextualSpacing/>
        <w:jc w:val="center"/>
        <w:rPr>
          <w:lang w:val="fr-CA"/>
        </w:rPr>
      </w:pPr>
      <w:r w:rsidRPr="00FF07EB">
        <w:rPr>
          <w:lang w:val="fr-CA"/>
        </w:rPr>
        <w:t>Association du Barreau canadien, Commissaire à l’information</w:t>
      </w:r>
    </w:p>
    <w:p w:rsidR="00FF07EB" w:rsidRPr="00FF07EB" w:rsidRDefault="00FF07EB" w:rsidP="008C41E2">
      <w:pPr>
        <w:pStyle w:val="SCCLsocParty"/>
        <w:contextualSpacing/>
        <w:jc w:val="center"/>
        <w:rPr>
          <w:lang w:val="fr-CA"/>
        </w:rPr>
      </w:pPr>
      <w:r w:rsidRPr="00FF07EB">
        <w:rPr>
          <w:lang w:val="fr-CA"/>
        </w:rPr>
        <w:t>du Canada, Commissaire à la protection de la vie privée du Canada,</w:t>
      </w:r>
    </w:p>
    <w:p w:rsidR="00FF07EB" w:rsidRPr="00FF07EB" w:rsidRDefault="00FF07EB" w:rsidP="008C41E2">
      <w:pPr>
        <w:pStyle w:val="SCCLsocParty"/>
        <w:contextualSpacing/>
        <w:jc w:val="center"/>
        <w:rPr>
          <w:lang w:val="fr-CA"/>
        </w:rPr>
      </w:pPr>
      <w:r w:rsidRPr="00FF07EB">
        <w:rPr>
          <w:lang w:val="fr-CA"/>
        </w:rPr>
        <w:t>Ombudsman du Manitoba, Commissaire à l’information et à la</w:t>
      </w:r>
    </w:p>
    <w:p w:rsidR="00FF07EB" w:rsidRPr="00FF07EB" w:rsidRDefault="00FF07EB" w:rsidP="008C41E2">
      <w:pPr>
        <w:pStyle w:val="SCCLsocParty"/>
        <w:contextualSpacing/>
        <w:jc w:val="center"/>
        <w:rPr>
          <w:lang w:val="fr-CA"/>
        </w:rPr>
      </w:pPr>
      <w:r w:rsidRPr="00FF07EB">
        <w:rPr>
          <w:lang w:val="fr-CA"/>
        </w:rPr>
        <w:t>protection de la vie privée des Territoires du Nord</w:t>
      </w:r>
      <w:r w:rsidRPr="00FF07EB">
        <w:rPr>
          <w:lang w:val="fr-CA"/>
        </w:rPr>
        <w:noBreakHyphen/>
        <w:t>Ouest,</w:t>
      </w:r>
    </w:p>
    <w:p w:rsidR="00FF07EB" w:rsidRPr="00F24162" w:rsidRDefault="00FF07EB" w:rsidP="008C41E2">
      <w:pPr>
        <w:pStyle w:val="SCCLsocParty"/>
        <w:contextualSpacing/>
        <w:jc w:val="center"/>
        <w:rPr>
          <w:lang w:val="en-US"/>
        </w:rPr>
      </w:pPr>
      <w:r w:rsidRPr="00F24162">
        <w:rPr>
          <w:lang w:val="en-US"/>
        </w:rPr>
        <w:t>Nova Scotia Information and Privacy Commissioner [Review Officer],</w:t>
      </w:r>
    </w:p>
    <w:p w:rsidR="00FF07EB" w:rsidRPr="00FF07EB" w:rsidRDefault="00FF07EB" w:rsidP="008C41E2">
      <w:pPr>
        <w:pStyle w:val="SCCLsocParty"/>
        <w:contextualSpacing/>
        <w:jc w:val="center"/>
        <w:rPr>
          <w:lang w:val="fr-CA"/>
        </w:rPr>
      </w:pPr>
      <w:r w:rsidRPr="00FF07EB">
        <w:rPr>
          <w:lang w:val="fr-CA"/>
        </w:rPr>
        <w:t>Commissaire à l’information et à la protection de la vie privée du Nunavut,</w:t>
      </w:r>
    </w:p>
    <w:p w:rsidR="00FF07EB" w:rsidRPr="00F24162" w:rsidRDefault="00FF07EB" w:rsidP="008C41E2">
      <w:pPr>
        <w:pStyle w:val="SCCLsocParty"/>
        <w:contextualSpacing/>
        <w:jc w:val="center"/>
        <w:rPr>
          <w:lang w:val="en-US"/>
        </w:rPr>
      </w:pPr>
      <w:r w:rsidRPr="00F24162">
        <w:rPr>
          <w:lang w:val="en-US"/>
        </w:rPr>
        <w:t>Saskatchewan Information and Privacy Commissioner,</w:t>
      </w:r>
    </w:p>
    <w:p w:rsidR="00FF07EB" w:rsidRPr="00FF07EB" w:rsidRDefault="00FF07EB" w:rsidP="008C41E2">
      <w:pPr>
        <w:pStyle w:val="SCCLsocParty"/>
        <w:contextualSpacing/>
        <w:jc w:val="center"/>
        <w:rPr>
          <w:lang w:val="fr-CA"/>
        </w:rPr>
      </w:pPr>
      <w:r w:rsidRPr="00FF07EB">
        <w:rPr>
          <w:lang w:val="fr-CA"/>
        </w:rPr>
        <w:t>Commissaire à l’information et à la protection de la vie privée et</w:t>
      </w:r>
    </w:p>
    <w:p w:rsidR="00FF07EB" w:rsidRPr="00FF07EB" w:rsidRDefault="00FF07EB" w:rsidP="008C41E2">
      <w:pPr>
        <w:pStyle w:val="SCCLsocParty"/>
        <w:contextualSpacing/>
        <w:jc w:val="center"/>
        <w:rPr>
          <w:lang w:val="fr-CA"/>
        </w:rPr>
      </w:pPr>
      <w:r w:rsidRPr="00FF07EB">
        <w:rPr>
          <w:lang w:val="fr-CA"/>
        </w:rPr>
        <w:t>ombudsman du Yukon et Criminal Lawyers’ Association</w:t>
      </w:r>
    </w:p>
    <w:p w:rsidR="00FF07EB" w:rsidRPr="00D92545" w:rsidRDefault="00FF07EB" w:rsidP="008C41E2">
      <w:pPr>
        <w:contextualSpacing/>
        <w:jc w:val="center"/>
        <w:rPr>
          <w:lang w:val="fr-CA"/>
        </w:rPr>
      </w:pPr>
      <w:r w:rsidRPr="00D92545">
        <w:rPr>
          <w:lang w:val="fr-CA"/>
        </w:rPr>
        <w:t>Intervenants</w:t>
      </w:r>
    </w:p>
    <w:p w:rsidR="00FF07EB" w:rsidRPr="00D92545" w:rsidRDefault="00FF07EB" w:rsidP="00FF07EB">
      <w:pPr>
        <w:rPr>
          <w:lang w:val="fr-CA"/>
        </w:rPr>
      </w:pPr>
    </w:p>
    <w:p w:rsidR="00FF07EB" w:rsidRPr="00FF07EB" w:rsidRDefault="00FF07EB" w:rsidP="00FF07EB">
      <w:pPr>
        <w:jc w:val="center"/>
        <w:rPr>
          <w:b/>
          <w:smallCaps/>
          <w:lang w:val="fr-CA"/>
        </w:rPr>
      </w:pPr>
      <w:r w:rsidRPr="00FF07EB">
        <w:rPr>
          <w:b/>
          <w:smallCaps/>
          <w:lang w:val="fr-CA"/>
        </w:rPr>
        <w:t>Traduction française officielle</w:t>
      </w:r>
    </w:p>
    <w:p w:rsidR="00FF07EB" w:rsidRPr="00FF07EB" w:rsidRDefault="00FF07EB" w:rsidP="00FF07EB">
      <w:pPr>
        <w:rPr>
          <w:lang w:val="fr-CA"/>
        </w:rPr>
      </w:pPr>
    </w:p>
    <w:p w:rsidR="00FF07EB" w:rsidRPr="00FF07EB" w:rsidRDefault="00FF07EB" w:rsidP="00FF07EB">
      <w:pPr>
        <w:rPr>
          <w:lang w:val="fr-CA"/>
        </w:rPr>
      </w:pPr>
      <w:r w:rsidRPr="00FF07EB">
        <w:rPr>
          <w:b/>
          <w:smallCaps/>
          <w:lang w:val="fr-CA"/>
        </w:rPr>
        <w:t>Coram :</w:t>
      </w:r>
      <w:r w:rsidRPr="00FF07EB">
        <w:rPr>
          <w:lang w:val="fr-CA"/>
        </w:rPr>
        <w:t xml:space="preserve"> Les juges Abella, Cromwell, Moldaver, Karakatsanis, Wagner, Gascon et Côté</w:t>
      </w:r>
    </w:p>
    <w:p w:rsidR="00FF07EB" w:rsidRPr="00FF07EB" w:rsidRDefault="00FF07EB" w:rsidP="00FF07EB">
      <w:pPr>
        <w:rPr>
          <w:lang w:val="fr-CA"/>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960"/>
        <w:gridCol w:w="5616"/>
      </w:tblGrid>
      <w:tr w:rsidR="00FF07EB" w:rsidRPr="00D92545" w:rsidTr="005979A2">
        <w:trPr>
          <w:cantSplit/>
        </w:trPr>
        <w:tc>
          <w:tcPr>
            <w:tcW w:w="3960" w:type="dxa"/>
          </w:tcPr>
          <w:p w:rsidR="00FF07EB" w:rsidRPr="00FF07EB" w:rsidRDefault="00FF07EB" w:rsidP="005979A2">
            <w:pPr>
              <w:ind w:left="-58"/>
              <w:rPr>
                <w:b/>
                <w:smallCaps/>
                <w:lang w:val="fr-CA"/>
              </w:rPr>
            </w:pPr>
            <w:r w:rsidRPr="00FF07EB">
              <w:rPr>
                <w:b/>
                <w:smallCaps/>
                <w:lang w:val="fr-CA"/>
              </w:rPr>
              <w:lastRenderedPageBreak/>
              <w:t>Motifs de jugement :</w:t>
            </w:r>
          </w:p>
          <w:p w:rsidR="00FF07EB" w:rsidRPr="00FF07EB" w:rsidRDefault="00FF07EB" w:rsidP="005979A2">
            <w:pPr>
              <w:ind w:left="-58"/>
              <w:rPr>
                <w:lang w:val="fr-CA"/>
              </w:rPr>
            </w:pPr>
            <w:r w:rsidRPr="00FF07EB">
              <w:rPr>
                <w:lang w:val="fr-CA"/>
              </w:rPr>
              <w:t>(par. 1 à 71)</w:t>
            </w:r>
          </w:p>
          <w:p w:rsidR="00FF07EB" w:rsidRPr="00FF07EB" w:rsidRDefault="00FF07EB" w:rsidP="005979A2">
            <w:pPr>
              <w:ind w:left="-58"/>
              <w:rPr>
                <w:lang w:val="fr-CA"/>
              </w:rPr>
            </w:pPr>
          </w:p>
          <w:p w:rsidR="00FF07EB" w:rsidRPr="00FF07EB" w:rsidRDefault="00FF07EB" w:rsidP="005979A2">
            <w:pPr>
              <w:ind w:left="-58"/>
              <w:rPr>
                <w:b/>
                <w:smallCaps/>
                <w:lang w:val="fr-CA"/>
              </w:rPr>
            </w:pPr>
            <w:r w:rsidRPr="00FF07EB">
              <w:rPr>
                <w:b/>
                <w:smallCaps/>
                <w:lang w:val="fr-CA"/>
              </w:rPr>
              <w:t>Motifs concordants en partie :</w:t>
            </w:r>
          </w:p>
          <w:p w:rsidR="00FF07EB" w:rsidRPr="00FF07EB" w:rsidRDefault="00FF07EB" w:rsidP="005979A2">
            <w:pPr>
              <w:ind w:left="-58"/>
              <w:rPr>
                <w:lang w:val="fr-CA"/>
              </w:rPr>
            </w:pPr>
            <w:r w:rsidRPr="00FF07EB">
              <w:rPr>
                <w:lang w:val="fr-CA"/>
              </w:rPr>
              <w:t>(par. 72 à 129)</w:t>
            </w:r>
          </w:p>
          <w:p w:rsidR="00FF07EB" w:rsidRPr="00FF07EB" w:rsidRDefault="00FF07EB" w:rsidP="005979A2">
            <w:pPr>
              <w:ind w:left="-58"/>
              <w:rPr>
                <w:lang w:val="fr-CA"/>
              </w:rPr>
            </w:pPr>
          </w:p>
          <w:p w:rsidR="00FF07EB" w:rsidRPr="00FF07EB" w:rsidRDefault="00FF07EB" w:rsidP="005979A2">
            <w:pPr>
              <w:ind w:left="-58"/>
              <w:rPr>
                <w:lang w:val="fr-CA"/>
              </w:rPr>
            </w:pPr>
            <w:r w:rsidRPr="00FF07EB">
              <w:rPr>
                <w:b/>
                <w:smallCaps/>
                <w:lang w:val="fr-CA"/>
              </w:rPr>
              <w:t>Motifs concordants en partie :</w:t>
            </w:r>
          </w:p>
          <w:p w:rsidR="00FF07EB" w:rsidRPr="00FF07EB" w:rsidRDefault="00FF07EB" w:rsidP="005979A2">
            <w:pPr>
              <w:ind w:left="-58"/>
              <w:rPr>
                <w:lang w:val="fr-CA"/>
              </w:rPr>
            </w:pPr>
            <w:r w:rsidRPr="00FF07EB">
              <w:rPr>
                <w:lang w:val="fr-CA"/>
              </w:rPr>
              <w:t>(par. 130 à 138)</w:t>
            </w:r>
          </w:p>
        </w:tc>
        <w:tc>
          <w:tcPr>
            <w:tcW w:w="5616" w:type="dxa"/>
          </w:tcPr>
          <w:p w:rsidR="00FF07EB" w:rsidRPr="00FF07EB" w:rsidRDefault="00FF07EB" w:rsidP="005979A2">
            <w:pPr>
              <w:rPr>
                <w:lang w:val="fr-CA"/>
              </w:rPr>
            </w:pPr>
            <w:r w:rsidRPr="00FF07EB">
              <w:rPr>
                <w:lang w:val="fr-CA"/>
              </w:rPr>
              <w:t>La juge Côté (avec l’accord des juges Moldaver, Karakatsanis, Wagner, et Gascon)</w:t>
            </w:r>
          </w:p>
          <w:p w:rsidR="00FF07EB" w:rsidRPr="00FF07EB" w:rsidRDefault="00FF07EB" w:rsidP="005979A2">
            <w:pPr>
              <w:rPr>
                <w:lang w:val="fr-CA"/>
              </w:rPr>
            </w:pPr>
          </w:p>
          <w:p w:rsidR="00FF07EB" w:rsidRPr="00FF07EB" w:rsidRDefault="00FF07EB" w:rsidP="005979A2">
            <w:pPr>
              <w:rPr>
                <w:lang w:val="fr-CA"/>
              </w:rPr>
            </w:pPr>
            <w:r w:rsidRPr="00FF07EB">
              <w:rPr>
                <w:lang w:val="fr-CA"/>
              </w:rPr>
              <w:t>Le juge Cromwell</w:t>
            </w:r>
          </w:p>
          <w:p w:rsidR="00FF07EB" w:rsidRPr="00FF07EB" w:rsidRDefault="00FF07EB" w:rsidP="005979A2">
            <w:pPr>
              <w:rPr>
                <w:lang w:val="fr-CA"/>
              </w:rPr>
            </w:pPr>
          </w:p>
          <w:p w:rsidR="00FF07EB" w:rsidRPr="00FF07EB" w:rsidRDefault="00FF07EB" w:rsidP="005979A2">
            <w:pPr>
              <w:rPr>
                <w:lang w:val="fr-CA"/>
              </w:rPr>
            </w:pPr>
          </w:p>
          <w:p w:rsidR="00FF07EB" w:rsidRPr="00FF07EB" w:rsidRDefault="00FF07EB" w:rsidP="005979A2">
            <w:pPr>
              <w:rPr>
                <w:lang w:val="fr-CA"/>
              </w:rPr>
            </w:pPr>
            <w:r w:rsidRPr="00FF07EB">
              <w:rPr>
                <w:lang w:val="fr-CA"/>
              </w:rPr>
              <w:t>La juge Abella</w:t>
            </w:r>
          </w:p>
        </w:tc>
      </w:tr>
    </w:tbl>
    <w:p w:rsidR="00FF07EB" w:rsidRPr="00FF07EB" w:rsidRDefault="00FF07EB" w:rsidP="00FF07EB">
      <w:pPr>
        <w:rPr>
          <w:lang w:val="fr-CA"/>
        </w:rPr>
      </w:pPr>
    </w:p>
    <w:p w:rsidR="00FF07EB" w:rsidRPr="00FF07EB" w:rsidRDefault="00FF07EB" w:rsidP="00FF07EB">
      <w:pPr>
        <w:rPr>
          <w:lang w:val="fr-CA"/>
        </w:rPr>
      </w:pPr>
    </w:p>
    <w:p w:rsidR="00FF07EB" w:rsidRPr="00FF07EB" w:rsidRDefault="00FF07EB" w:rsidP="00FF07EB">
      <w:pPr>
        <w:rPr>
          <w:lang w:val="fr-CA"/>
        </w:rPr>
      </w:pPr>
      <w:r>
        <w:rPr>
          <w:noProof/>
          <w:lang w:val="en-US" w:eastAsia="en-US"/>
        </w:rPr>
        <mc:AlternateContent>
          <mc:Choice Requires="wps">
            <w:drawing>
              <wp:anchor distT="0" distB="0" distL="114300" distR="114300" simplePos="0" relativeHeight="251659264" behindDoc="0" locked="0" layoutInCell="1" allowOverlap="1" wp14:anchorId="52DFDAD0" wp14:editId="70DA2F9B">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4F86EB"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FF07EB" w:rsidRPr="00FF07EB" w:rsidRDefault="00FF07EB" w:rsidP="00B3618F">
      <w:pPr>
        <w:widowControl w:val="0"/>
        <w:spacing w:after="720"/>
        <w:jc w:val="both"/>
        <w:rPr>
          <w:rStyle w:val="SCCAppellantForRunningHeadChar"/>
          <w:smallCaps w:val="0"/>
          <w:lang w:val="fr-CA"/>
        </w:rPr>
      </w:pPr>
    </w:p>
    <w:p w:rsidR="004D7D95" w:rsidRPr="00835622" w:rsidRDefault="00835622" w:rsidP="00B3618F">
      <w:pPr>
        <w:widowControl w:val="0"/>
        <w:spacing w:after="720"/>
        <w:jc w:val="both"/>
        <w:rPr>
          <w:lang w:val="en-US"/>
        </w:rPr>
      </w:pPr>
      <w:r>
        <w:rPr>
          <w:rStyle w:val="SCCAppellantForRunningHeadChar"/>
          <w:smallCaps w:val="0"/>
        </w:rPr>
        <w:t>A</w:t>
      </w:r>
      <w:r w:rsidR="00A64A12" w:rsidRPr="00835622">
        <w:rPr>
          <w:rStyle w:val="SCCAppellantForRunningHeadChar"/>
          <w:smallCaps w:val="0"/>
        </w:rPr>
        <w:t>lberta</w:t>
      </w:r>
      <w:r w:rsidR="00A64A12" w:rsidRPr="00835622">
        <w:rPr>
          <w:rStyle w:val="SCCAppellantForRunningHeadChar"/>
        </w:rPr>
        <w:t xml:space="preserve"> </w:t>
      </w:r>
      <w:r w:rsidRPr="00D92545">
        <w:rPr>
          <w:lang w:val="en-US"/>
        </w:rPr>
        <w:t>(</w:t>
      </w:r>
      <w:r w:rsidRPr="00835622">
        <w:rPr>
          <w:rStyle w:val="SCCAppellantForIndexChar"/>
          <w:b w:val="0"/>
        </w:rPr>
        <w:t>Information and Privacy Commissioner)</w:t>
      </w:r>
      <w:r w:rsidRPr="00D92545">
        <w:rPr>
          <w:lang w:val="en-US"/>
        </w:rPr>
        <w:t xml:space="preserve"> </w:t>
      </w:r>
      <w:r w:rsidR="004D7D95" w:rsidRPr="004D4C3B">
        <w:rPr>
          <w:i/>
          <w:lang w:val="en-US"/>
        </w:rPr>
        <w:t>c.</w:t>
      </w:r>
      <w:r w:rsidR="004D7D95" w:rsidRPr="004D4C3B">
        <w:rPr>
          <w:lang w:val="en-US"/>
        </w:rPr>
        <w:t xml:space="preserve"> </w:t>
      </w:r>
      <w:r>
        <w:rPr>
          <w:rStyle w:val="SCCRespondentForRunningHeadChar"/>
          <w:smallCaps w:val="0"/>
        </w:rPr>
        <w:t>U</w:t>
      </w:r>
      <w:r w:rsidR="00B3618F" w:rsidRPr="00835622">
        <w:rPr>
          <w:rStyle w:val="SCCRespondentForRunningHeadChar"/>
          <w:smallCaps w:val="0"/>
        </w:rPr>
        <w:t>niversity</w:t>
      </w:r>
      <w:r>
        <w:rPr>
          <w:rStyle w:val="SCCRespondentForRunningHeadChar"/>
          <w:smallCaps w:val="0"/>
        </w:rPr>
        <w:t xml:space="preserve"> of C</w:t>
      </w:r>
      <w:r w:rsidR="00A64A12" w:rsidRPr="00835622">
        <w:rPr>
          <w:rStyle w:val="SCCRespondentForRunningHeadChar"/>
          <w:smallCaps w:val="0"/>
        </w:rPr>
        <w:t>algary</w:t>
      </w:r>
      <w:r>
        <w:rPr>
          <w:rStyle w:val="SCCRespondentForRunningHeadChar"/>
          <w:smallCaps w:val="0"/>
        </w:rPr>
        <w:t xml:space="preserve">, </w:t>
      </w:r>
      <w:r w:rsidRPr="00835622">
        <w:rPr>
          <w:lang w:val="en-US"/>
        </w:rPr>
        <w:t>2016 CSC 53</w:t>
      </w:r>
      <w:r>
        <w:rPr>
          <w:lang w:val="en-US"/>
        </w:rPr>
        <w:t>, [2016] 2 R.C.S. 555</w:t>
      </w:r>
    </w:p>
    <w:p w:rsidR="00773594" w:rsidRPr="004D4C3B" w:rsidRDefault="00D203A0" w:rsidP="00B3618F">
      <w:pPr>
        <w:pStyle w:val="SCCLsocLastPartyInRole"/>
        <w:widowControl w:val="0"/>
      </w:pPr>
      <w:r w:rsidRPr="004D4C3B">
        <w:t>Information and Privacy Commissioner of Alberta</w:t>
      </w:r>
      <w:r w:rsidR="00A64A12" w:rsidRPr="004D4C3B">
        <w:rPr>
          <w:rStyle w:val="SCCLsocPartyRole"/>
        </w:rPr>
        <w:tab/>
        <w:t>Appelant</w:t>
      </w:r>
      <w:r w:rsidR="000A1B61">
        <w:rPr>
          <w:rStyle w:val="SCCLsocPartyRole"/>
        </w:rPr>
        <w:t>e</w:t>
      </w:r>
    </w:p>
    <w:p w:rsidR="00773594" w:rsidRPr="004D4C3B" w:rsidRDefault="00D203A0" w:rsidP="00B3618F">
      <w:pPr>
        <w:pStyle w:val="SCCLsocVersus"/>
        <w:widowControl w:val="0"/>
      </w:pPr>
      <w:r w:rsidRPr="004D4C3B">
        <w:t>c.</w:t>
      </w:r>
      <w:bookmarkStart w:id="0" w:name="_GoBack"/>
      <w:bookmarkEnd w:id="0"/>
    </w:p>
    <w:p w:rsidR="00773594" w:rsidRPr="004D4C3B" w:rsidRDefault="00D203A0" w:rsidP="00B3618F">
      <w:pPr>
        <w:pStyle w:val="SCCLsocLastPartyInRole"/>
        <w:widowControl w:val="0"/>
      </w:pPr>
      <w:r w:rsidRPr="004D4C3B">
        <w:t>Board of Governors of the University of Calgary</w:t>
      </w:r>
      <w:r w:rsidRPr="004D4C3B">
        <w:rPr>
          <w:rStyle w:val="SCCLsocPartyRole"/>
        </w:rPr>
        <w:tab/>
        <w:t>Intimé</w:t>
      </w:r>
    </w:p>
    <w:p w:rsidR="00773594" w:rsidRPr="004D4C3B" w:rsidRDefault="00D203A0" w:rsidP="00B3618F">
      <w:pPr>
        <w:pStyle w:val="SCCLsocOtherPartySeparator"/>
        <w:widowControl w:val="0"/>
      </w:pPr>
      <w:r w:rsidRPr="004D4C3B">
        <w:t>et</w:t>
      </w:r>
    </w:p>
    <w:p w:rsidR="000E3D65" w:rsidRDefault="00D203A0" w:rsidP="00B3618F">
      <w:pPr>
        <w:pStyle w:val="SCCLsocParty"/>
        <w:widowControl w:val="0"/>
      </w:pPr>
      <w:r w:rsidRPr="004D4C3B">
        <w:t>Law Society of Alberta,</w:t>
      </w:r>
      <w:r w:rsidR="000E3D65">
        <w:t xml:space="preserve"> </w:t>
      </w:r>
      <w:r w:rsidRPr="004D4C3B">
        <w:t>British Columbia Freedom</w:t>
      </w:r>
    </w:p>
    <w:p w:rsidR="000E3D65" w:rsidRDefault="00D203A0" w:rsidP="00B3618F">
      <w:pPr>
        <w:pStyle w:val="SCCLsocParty"/>
        <w:widowControl w:val="0"/>
        <w:rPr>
          <w:lang w:val="fr-CA"/>
        </w:rPr>
      </w:pPr>
      <w:r w:rsidRPr="000E3D65">
        <w:rPr>
          <w:lang w:val="fr-CA"/>
        </w:rPr>
        <w:t>of Information and Privacy Association,</w:t>
      </w:r>
      <w:r w:rsidR="000E3D65" w:rsidRPr="000E3D65">
        <w:rPr>
          <w:lang w:val="fr-CA"/>
        </w:rPr>
        <w:t xml:space="preserve"> </w:t>
      </w:r>
      <w:r w:rsidR="001D7DF2" w:rsidRPr="004D4C3B">
        <w:rPr>
          <w:lang w:val="fr-CA"/>
        </w:rPr>
        <w:t>C</w:t>
      </w:r>
      <w:r w:rsidR="009E2944" w:rsidRPr="004D4C3B">
        <w:rPr>
          <w:lang w:val="fr-CA"/>
        </w:rPr>
        <w:t>ommissaire</w:t>
      </w:r>
    </w:p>
    <w:p w:rsidR="00773594" w:rsidRPr="004D4C3B" w:rsidRDefault="009E2944" w:rsidP="00B3618F">
      <w:pPr>
        <w:pStyle w:val="SCCLsocParty"/>
        <w:widowControl w:val="0"/>
        <w:rPr>
          <w:lang w:val="fr-CA"/>
        </w:rPr>
      </w:pPr>
      <w:r w:rsidRPr="004D4C3B">
        <w:rPr>
          <w:lang w:val="fr-CA"/>
        </w:rPr>
        <w:t>à l</w:t>
      </w:r>
      <w:r w:rsidR="00E87C0F" w:rsidRPr="004D4C3B">
        <w:rPr>
          <w:lang w:val="fr-CA"/>
        </w:rPr>
        <w:t>’</w:t>
      </w:r>
      <w:r w:rsidRPr="004D4C3B">
        <w:rPr>
          <w:lang w:val="fr-CA"/>
        </w:rPr>
        <w:t>information et à la protection de la vie privée de l</w:t>
      </w:r>
      <w:r w:rsidR="00E87C0F" w:rsidRPr="004D4C3B">
        <w:rPr>
          <w:lang w:val="fr-CA"/>
        </w:rPr>
        <w:t>’</w:t>
      </w:r>
      <w:r w:rsidRPr="004D4C3B">
        <w:rPr>
          <w:lang w:val="fr-CA"/>
        </w:rPr>
        <w:t>Ontario</w:t>
      </w:r>
      <w:r w:rsidR="00D203A0" w:rsidRPr="004D4C3B">
        <w:rPr>
          <w:lang w:val="fr-CA"/>
        </w:rPr>
        <w:t>,</w:t>
      </w:r>
    </w:p>
    <w:p w:rsidR="00773594" w:rsidRPr="004D4C3B" w:rsidRDefault="00D203A0" w:rsidP="00B3618F">
      <w:pPr>
        <w:pStyle w:val="SCCLsocParty"/>
        <w:widowControl w:val="0"/>
      </w:pPr>
      <w:r w:rsidRPr="004D4C3B">
        <w:t>Information and Privacy Commissioner for British Columbia,</w:t>
      </w:r>
    </w:p>
    <w:p w:rsidR="00E46970" w:rsidRPr="004D4C3B" w:rsidRDefault="00D203A0" w:rsidP="00B3618F">
      <w:pPr>
        <w:pStyle w:val="SCCLsocParty"/>
        <w:widowControl w:val="0"/>
      </w:pPr>
      <w:r w:rsidRPr="004D4C3B">
        <w:t xml:space="preserve">Information and Privacy Commissioner for the </w:t>
      </w:r>
    </w:p>
    <w:p w:rsidR="00773594" w:rsidRPr="004D4C3B" w:rsidRDefault="00D203A0" w:rsidP="00B3618F">
      <w:pPr>
        <w:pStyle w:val="SCCLsocParty"/>
        <w:widowControl w:val="0"/>
      </w:pPr>
      <w:r w:rsidRPr="004D4C3B">
        <w:t>Province of Newfoundland and Labrador,</w:t>
      </w:r>
      <w:r w:rsidR="00E46970" w:rsidRPr="004D4C3B">
        <w:t xml:space="preserve"> </w:t>
      </w:r>
      <w:r w:rsidRPr="004D4C3B">
        <w:t>Advocates</w:t>
      </w:r>
      <w:r w:rsidR="00E87C0F" w:rsidRPr="004D4C3B">
        <w:t>’</w:t>
      </w:r>
      <w:r w:rsidRPr="004D4C3B">
        <w:t xml:space="preserve"> Society,</w:t>
      </w:r>
    </w:p>
    <w:p w:rsidR="00773594" w:rsidRPr="004D4C3B" w:rsidRDefault="001D7DF2" w:rsidP="00B3618F">
      <w:pPr>
        <w:pStyle w:val="SCCLsocParty"/>
        <w:widowControl w:val="0"/>
        <w:rPr>
          <w:lang w:val="fr-CA"/>
        </w:rPr>
      </w:pPr>
      <w:r w:rsidRPr="004D4C3B">
        <w:rPr>
          <w:lang w:val="fr-CA"/>
        </w:rPr>
        <w:t>Fédération des ordres professionnels de juristes du Canada</w:t>
      </w:r>
      <w:r w:rsidR="00D203A0" w:rsidRPr="004D4C3B">
        <w:rPr>
          <w:lang w:val="fr-CA"/>
        </w:rPr>
        <w:t>,</w:t>
      </w:r>
    </w:p>
    <w:p w:rsidR="00E46970" w:rsidRPr="004D4C3B" w:rsidRDefault="009E2944" w:rsidP="00B3618F">
      <w:pPr>
        <w:pStyle w:val="SCCLsocParty"/>
        <w:widowControl w:val="0"/>
        <w:rPr>
          <w:lang w:val="fr-CA"/>
        </w:rPr>
      </w:pPr>
      <w:r w:rsidRPr="004D4C3B">
        <w:rPr>
          <w:lang w:val="fr-CA"/>
        </w:rPr>
        <w:t>Association du Barreau canadien</w:t>
      </w:r>
      <w:r w:rsidR="00D203A0" w:rsidRPr="004D4C3B">
        <w:rPr>
          <w:lang w:val="fr-CA"/>
        </w:rPr>
        <w:t>,</w:t>
      </w:r>
      <w:r w:rsidR="00E46970" w:rsidRPr="004D4C3B">
        <w:rPr>
          <w:lang w:val="fr-CA"/>
        </w:rPr>
        <w:t xml:space="preserve"> </w:t>
      </w:r>
      <w:r w:rsidRPr="004D4C3B">
        <w:rPr>
          <w:lang w:val="fr-CA"/>
        </w:rPr>
        <w:t>Commissaire à l</w:t>
      </w:r>
      <w:r w:rsidR="00E87C0F" w:rsidRPr="004D4C3B">
        <w:rPr>
          <w:lang w:val="fr-CA"/>
        </w:rPr>
        <w:t>’</w:t>
      </w:r>
      <w:r w:rsidRPr="004D4C3B">
        <w:rPr>
          <w:lang w:val="fr-CA"/>
        </w:rPr>
        <w:t xml:space="preserve">information </w:t>
      </w:r>
    </w:p>
    <w:p w:rsidR="00E46970" w:rsidRPr="004D4C3B" w:rsidRDefault="009E2944" w:rsidP="00B3618F">
      <w:pPr>
        <w:pStyle w:val="SCCLsocParty"/>
        <w:widowControl w:val="0"/>
        <w:rPr>
          <w:lang w:val="fr-CA"/>
        </w:rPr>
      </w:pPr>
      <w:r w:rsidRPr="004D4C3B">
        <w:rPr>
          <w:lang w:val="fr-CA"/>
        </w:rPr>
        <w:t>du Canada</w:t>
      </w:r>
      <w:r w:rsidR="00D203A0" w:rsidRPr="004D4C3B">
        <w:rPr>
          <w:lang w:val="fr-CA"/>
        </w:rPr>
        <w:t xml:space="preserve">, </w:t>
      </w:r>
      <w:r w:rsidR="001D7DF2" w:rsidRPr="004D4C3B">
        <w:rPr>
          <w:lang w:val="fr-CA"/>
        </w:rPr>
        <w:t>C</w:t>
      </w:r>
      <w:r w:rsidRPr="004D4C3B">
        <w:rPr>
          <w:lang w:val="fr-CA"/>
        </w:rPr>
        <w:t>ommissaire à la protection de la vie privée du Canada</w:t>
      </w:r>
      <w:r w:rsidR="00D203A0" w:rsidRPr="004D4C3B">
        <w:rPr>
          <w:lang w:val="fr-CA"/>
        </w:rPr>
        <w:t xml:space="preserve">, </w:t>
      </w:r>
    </w:p>
    <w:p w:rsidR="00E46970" w:rsidRPr="004D4C3B" w:rsidRDefault="00D203A0" w:rsidP="00B3618F">
      <w:pPr>
        <w:pStyle w:val="SCCLsocParty"/>
        <w:widowControl w:val="0"/>
        <w:rPr>
          <w:lang w:val="fr-CA"/>
        </w:rPr>
      </w:pPr>
      <w:r w:rsidRPr="004D4C3B">
        <w:rPr>
          <w:lang w:val="fr-CA"/>
        </w:rPr>
        <w:t>Ombudsman</w:t>
      </w:r>
      <w:r w:rsidR="00F96780" w:rsidRPr="004D4C3B">
        <w:rPr>
          <w:lang w:val="fr-CA"/>
        </w:rPr>
        <w:t xml:space="preserve"> du Manitoba</w:t>
      </w:r>
      <w:r w:rsidRPr="004D4C3B">
        <w:rPr>
          <w:lang w:val="fr-CA"/>
        </w:rPr>
        <w:t xml:space="preserve">, </w:t>
      </w:r>
      <w:r w:rsidR="001D7DF2" w:rsidRPr="004D4C3B">
        <w:rPr>
          <w:lang w:val="fr-CA"/>
        </w:rPr>
        <w:t>Commissaire à l</w:t>
      </w:r>
      <w:r w:rsidR="00E87C0F" w:rsidRPr="004D4C3B">
        <w:rPr>
          <w:lang w:val="fr-CA"/>
        </w:rPr>
        <w:t>’</w:t>
      </w:r>
      <w:r w:rsidR="001D7DF2" w:rsidRPr="004D4C3B">
        <w:rPr>
          <w:lang w:val="fr-CA"/>
        </w:rPr>
        <w:t xml:space="preserve">information et à la </w:t>
      </w:r>
    </w:p>
    <w:p w:rsidR="00E46970" w:rsidRPr="004D4C3B" w:rsidRDefault="001D7DF2" w:rsidP="00B3618F">
      <w:pPr>
        <w:pStyle w:val="SCCLsocParty"/>
        <w:widowControl w:val="0"/>
        <w:rPr>
          <w:lang w:val="fr-CA"/>
        </w:rPr>
      </w:pPr>
      <w:r w:rsidRPr="004D4C3B">
        <w:rPr>
          <w:lang w:val="fr-CA"/>
        </w:rPr>
        <w:t>protection de la vie privée des Territoires du Nord</w:t>
      </w:r>
      <w:r w:rsidR="00E87C0F" w:rsidRPr="004D4C3B">
        <w:rPr>
          <w:lang w:val="fr-CA"/>
        </w:rPr>
        <w:noBreakHyphen/>
      </w:r>
      <w:r w:rsidRPr="004D4C3B">
        <w:rPr>
          <w:lang w:val="fr-CA"/>
        </w:rPr>
        <w:t>Ouest</w:t>
      </w:r>
      <w:r w:rsidR="00D203A0" w:rsidRPr="004D4C3B">
        <w:rPr>
          <w:lang w:val="fr-CA"/>
        </w:rPr>
        <w:t xml:space="preserve">, </w:t>
      </w:r>
    </w:p>
    <w:p w:rsidR="00773594" w:rsidRPr="004D4C3B" w:rsidRDefault="00D203A0" w:rsidP="00B3618F">
      <w:pPr>
        <w:pStyle w:val="SCCLsocParty"/>
        <w:widowControl w:val="0"/>
      </w:pPr>
      <w:r w:rsidRPr="004D4C3B">
        <w:t>Nova Scotia Information and Privacy</w:t>
      </w:r>
      <w:r w:rsidR="009E2944" w:rsidRPr="004D4C3B">
        <w:t xml:space="preserve"> Commissioner [Review Officer],</w:t>
      </w:r>
      <w:r w:rsidR="00F96780" w:rsidRPr="004D4C3B">
        <w:t xml:space="preserve"> </w:t>
      </w:r>
    </w:p>
    <w:p w:rsidR="00E46970" w:rsidRPr="004D4C3B" w:rsidRDefault="001D7DF2" w:rsidP="00B3618F">
      <w:pPr>
        <w:pStyle w:val="SCCLsocParty"/>
        <w:widowControl w:val="0"/>
        <w:rPr>
          <w:lang w:val="fr-CA"/>
        </w:rPr>
      </w:pPr>
      <w:r w:rsidRPr="004D4C3B">
        <w:rPr>
          <w:lang w:val="fr-CA"/>
        </w:rPr>
        <w:lastRenderedPageBreak/>
        <w:t>Commissaire à l</w:t>
      </w:r>
      <w:r w:rsidR="00E87C0F" w:rsidRPr="004D4C3B">
        <w:rPr>
          <w:lang w:val="fr-CA"/>
        </w:rPr>
        <w:t>’</w:t>
      </w:r>
      <w:r w:rsidRPr="004D4C3B">
        <w:rPr>
          <w:lang w:val="fr-CA"/>
        </w:rPr>
        <w:t xml:space="preserve">information et à la protection de la </w:t>
      </w:r>
    </w:p>
    <w:p w:rsidR="00E46970" w:rsidRPr="004D4C3B" w:rsidRDefault="001D7DF2" w:rsidP="00B3618F">
      <w:pPr>
        <w:pStyle w:val="SCCLsocParty"/>
        <w:widowControl w:val="0"/>
        <w:rPr>
          <w:lang w:val="fr-CA"/>
        </w:rPr>
      </w:pPr>
      <w:r w:rsidRPr="004D4C3B">
        <w:rPr>
          <w:lang w:val="fr-CA"/>
        </w:rPr>
        <w:t xml:space="preserve">vie privée du </w:t>
      </w:r>
      <w:r w:rsidR="00D203A0" w:rsidRPr="004D4C3B">
        <w:rPr>
          <w:lang w:val="fr-CA"/>
        </w:rPr>
        <w:t xml:space="preserve">Nunavut, Saskatchewan Information and </w:t>
      </w:r>
    </w:p>
    <w:p w:rsidR="00F96780" w:rsidRPr="004D4C3B" w:rsidRDefault="00D203A0" w:rsidP="00B3618F">
      <w:pPr>
        <w:pStyle w:val="SCCLsocParty"/>
        <w:widowControl w:val="0"/>
        <w:rPr>
          <w:lang w:val="fr-CA"/>
        </w:rPr>
      </w:pPr>
      <w:r w:rsidRPr="004D4C3B">
        <w:rPr>
          <w:lang w:val="fr-CA"/>
        </w:rPr>
        <w:t>Privacy Commissioner</w:t>
      </w:r>
      <w:r w:rsidR="009E2944" w:rsidRPr="004D4C3B">
        <w:rPr>
          <w:lang w:val="fr-CA"/>
        </w:rPr>
        <w:t>,</w:t>
      </w:r>
      <w:r w:rsidRPr="004D4C3B">
        <w:rPr>
          <w:lang w:val="fr-CA"/>
        </w:rPr>
        <w:t xml:space="preserve"> </w:t>
      </w:r>
      <w:r w:rsidR="00F96780" w:rsidRPr="004D4C3B">
        <w:rPr>
          <w:lang w:val="fr-CA"/>
        </w:rPr>
        <w:t>Commissaire à l</w:t>
      </w:r>
      <w:r w:rsidR="00E87C0F" w:rsidRPr="004D4C3B">
        <w:rPr>
          <w:lang w:val="fr-CA"/>
        </w:rPr>
        <w:t>’</w:t>
      </w:r>
      <w:r w:rsidR="00F96780" w:rsidRPr="004D4C3B">
        <w:rPr>
          <w:lang w:val="fr-CA"/>
        </w:rPr>
        <w:t xml:space="preserve">information et </w:t>
      </w:r>
    </w:p>
    <w:p w:rsidR="00773594" w:rsidRPr="004D4C3B" w:rsidRDefault="00F96780" w:rsidP="00B3618F">
      <w:pPr>
        <w:pStyle w:val="SCCLsocParty"/>
        <w:widowControl w:val="0"/>
        <w:rPr>
          <w:lang w:val="fr-CA"/>
        </w:rPr>
      </w:pPr>
      <w:r w:rsidRPr="004D4C3B">
        <w:rPr>
          <w:lang w:val="fr-CA"/>
        </w:rPr>
        <w:t>à la protection de la vie privée et ombudsman du Yukon et</w:t>
      </w:r>
      <w:r w:rsidR="009E2944" w:rsidRPr="004D4C3B">
        <w:rPr>
          <w:lang w:val="fr-CA"/>
        </w:rPr>
        <w:t xml:space="preserve"> </w:t>
      </w:r>
    </w:p>
    <w:p w:rsidR="00773594" w:rsidRPr="004D4C3B" w:rsidRDefault="00D203A0" w:rsidP="00B3618F">
      <w:pPr>
        <w:pStyle w:val="SCCLsocLastPartyInRole"/>
        <w:widowControl w:val="0"/>
      </w:pPr>
      <w:r w:rsidRPr="004D4C3B">
        <w:t>Criminal Lawyers</w:t>
      </w:r>
      <w:r w:rsidR="00E87C0F" w:rsidRPr="004D4C3B">
        <w:t>’</w:t>
      </w:r>
      <w:r w:rsidRPr="004D4C3B">
        <w:t xml:space="preserve"> Association</w:t>
      </w:r>
      <w:r w:rsidRPr="004D4C3B">
        <w:rPr>
          <w:rStyle w:val="SCCLsocPartyRole"/>
        </w:rPr>
        <w:tab/>
        <w:t>Intervenants</w:t>
      </w:r>
    </w:p>
    <w:p w:rsidR="004D7D95" w:rsidRPr="004D4C3B" w:rsidRDefault="00AE74A6" w:rsidP="00B3618F">
      <w:pPr>
        <w:widowControl w:val="0"/>
        <w:spacing w:after="720"/>
        <w:jc w:val="both"/>
        <w:rPr>
          <w:b/>
          <w:lang w:val="en-US"/>
        </w:rPr>
      </w:pPr>
      <w:r w:rsidRPr="004D4C3B">
        <w:rPr>
          <w:b/>
          <w:lang w:val="en-US"/>
        </w:rPr>
        <w:t>Répertorié</w:t>
      </w:r>
      <w:r w:rsidR="00E87C0F" w:rsidRPr="004D4C3B">
        <w:rPr>
          <w:b/>
          <w:lang w:val="en-US"/>
        </w:rPr>
        <w:t> :</w:t>
      </w:r>
      <w:r w:rsidRPr="004D4C3B">
        <w:rPr>
          <w:b/>
          <w:lang w:val="en-US"/>
        </w:rPr>
        <w:t> Alberta (</w:t>
      </w:r>
      <w:r w:rsidR="004D7D95" w:rsidRPr="004D4C3B">
        <w:rPr>
          <w:rStyle w:val="SCCAppellantForIndexChar"/>
        </w:rPr>
        <w:t>Information and Privacy C</w:t>
      </w:r>
      <w:r w:rsidRPr="004D4C3B">
        <w:rPr>
          <w:rStyle w:val="SCCAppellantForIndexChar"/>
        </w:rPr>
        <w:t>ommissioner)</w:t>
      </w:r>
      <w:r w:rsidR="004D7D95" w:rsidRPr="004D4C3B">
        <w:rPr>
          <w:b/>
          <w:lang w:val="en-US"/>
        </w:rPr>
        <w:t xml:space="preserve"> </w:t>
      </w:r>
      <w:r w:rsidR="004D7D95" w:rsidRPr="004D4C3B">
        <w:rPr>
          <w:b/>
          <w:i/>
          <w:lang w:val="en-US"/>
        </w:rPr>
        <w:t>c.</w:t>
      </w:r>
      <w:r w:rsidR="004D7D95" w:rsidRPr="004D4C3B">
        <w:rPr>
          <w:b/>
          <w:lang w:val="en-US"/>
        </w:rPr>
        <w:t xml:space="preserve"> </w:t>
      </w:r>
      <w:r w:rsidRPr="004D4C3B">
        <w:rPr>
          <w:b/>
          <w:lang w:val="en-US"/>
        </w:rPr>
        <w:t>University of Calgary</w:t>
      </w:r>
    </w:p>
    <w:p w:rsidR="004D7D95" w:rsidRPr="004D4C3B" w:rsidRDefault="00D17B0E" w:rsidP="00B3618F">
      <w:pPr>
        <w:pStyle w:val="SCCSystemYear"/>
        <w:widowControl w:val="0"/>
        <w:spacing w:after="720"/>
        <w:jc w:val="both"/>
        <w:rPr>
          <w:lang w:val="fr-CA"/>
        </w:rPr>
      </w:pPr>
      <w:r w:rsidRPr="004D4C3B">
        <w:rPr>
          <w:lang w:val="fr-CA"/>
        </w:rPr>
        <w:t>2016</w:t>
      </w:r>
      <w:r w:rsidR="00BC2019" w:rsidRPr="004D4C3B">
        <w:rPr>
          <w:lang w:val="fr-CA"/>
        </w:rPr>
        <w:t xml:space="preserve"> CSC 53</w:t>
      </w:r>
    </w:p>
    <w:p w:rsidR="004D7D95" w:rsidRPr="004D4C3B" w:rsidRDefault="004D7D95" w:rsidP="00B3618F">
      <w:pPr>
        <w:widowControl w:val="0"/>
        <w:spacing w:after="720"/>
        <w:jc w:val="both"/>
        <w:rPr>
          <w:lang w:val="fr-CA"/>
        </w:rPr>
      </w:pPr>
      <w:r w:rsidRPr="004D4C3B">
        <w:rPr>
          <w:lang w:val="fr-CA"/>
        </w:rPr>
        <w:t>N</w:t>
      </w:r>
      <w:r w:rsidRPr="004D4C3B">
        <w:rPr>
          <w:vertAlign w:val="superscript"/>
          <w:lang w:val="fr-CA"/>
        </w:rPr>
        <w:t>o</w:t>
      </w:r>
      <w:r w:rsidRPr="004D4C3B">
        <w:rPr>
          <w:lang w:val="fr-CA"/>
        </w:rPr>
        <w:t xml:space="preserve"> du greffe</w:t>
      </w:r>
      <w:r w:rsidR="00E87C0F" w:rsidRPr="004D4C3B">
        <w:rPr>
          <w:lang w:val="fr-CA"/>
        </w:rPr>
        <w:t> :</w:t>
      </w:r>
      <w:r w:rsidRPr="004D4C3B">
        <w:rPr>
          <w:lang w:val="fr-CA"/>
        </w:rPr>
        <w:t> 36460.</w:t>
      </w:r>
    </w:p>
    <w:p w:rsidR="004D7D95" w:rsidRPr="004D4C3B" w:rsidRDefault="00D17B0E" w:rsidP="00B3618F">
      <w:pPr>
        <w:widowControl w:val="0"/>
        <w:spacing w:after="720"/>
        <w:jc w:val="both"/>
        <w:rPr>
          <w:lang w:val="fr-CA"/>
        </w:rPr>
      </w:pPr>
      <w:r w:rsidRPr="004D4C3B">
        <w:rPr>
          <w:lang w:val="fr-CA"/>
        </w:rPr>
        <w:t>2016</w:t>
      </w:r>
      <w:r w:rsidR="00E87C0F" w:rsidRPr="004D4C3B">
        <w:rPr>
          <w:lang w:val="fr-CA"/>
        </w:rPr>
        <w:t> :</w:t>
      </w:r>
      <w:r w:rsidR="009E2944" w:rsidRPr="004D4C3B">
        <w:rPr>
          <w:lang w:val="fr-CA"/>
        </w:rPr>
        <w:t> </w:t>
      </w:r>
      <w:r w:rsidRPr="004D4C3B">
        <w:rPr>
          <w:lang w:val="fr-CA"/>
        </w:rPr>
        <w:t>1</w:t>
      </w:r>
      <w:r w:rsidR="009E2944" w:rsidRPr="004D4C3B">
        <w:rPr>
          <w:vertAlign w:val="superscript"/>
          <w:lang w:val="fr-CA"/>
        </w:rPr>
        <w:t>er</w:t>
      </w:r>
      <w:r w:rsidRPr="004D4C3B">
        <w:rPr>
          <w:lang w:val="fr-CA"/>
        </w:rPr>
        <w:t xml:space="preserve"> avril</w:t>
      </w:r>
      <w:r w:rsidR="00140530" w:rsidRPr="004D4C3B">
        <w:rPr>
          <w:lang w:val="fr-CA"/>
        </w:rPr>
        <w:t>; 2016</w:t>
      </w:r>
      <w:r w:rsidR="00E87C0F" w:rsidRPr="004D4C3B">
        <w:rPr>
          <w:lang w:val="fr-CA"/>
        </w:rPr>
        <w:t> :</w:t>
      </w:r>
      <w:r w:rsidR="00140530" w:rsidRPr="004D4C3B">
        <w:rPr>
          <w:lang w:val="fr-CA"/>
        </w:rPr>
        <w:t> 25 novembre</w:t>
      </w:r>
      <w:r w:rsidR="004D7D95" w:rsidRPr="004D4C3B">
        <w:rPr>
          <w:lang w:val="fr-CA"/>
        </w:rPr>
        <w:t>.</w:t>
      </w:r>
    </w:p>
    <w:p w:rsidR="004D7D95" w:rsidRPr="004D4C3B" w:rsidRDefault="004D7D95" w:rsidP="00B3618F">
      <w:pPr>
        <w:widowControl w:val="0"/>
        <w:spacing w:after="720"/>
        <w:jc w:val="both"/>
        <w:rPr>
          <w:lang w:val="fr-CA"/>
        </w:rPr>
      </w:pPr>
      <w:r w:rsidRPr="004D4C3B">
        <w:rPr>
          <w:lang w:val="fr-CA"/>
        </w:rPr>
        <w:t>Présents</w:t>
      </w:r>
      <w:r w:rsidR="00E87C0F" w:rsidRPr="004D4C3B">
        <w:rPr>
          <w:lang w:val="fr-CA"/>
        </w:rPr>
        <w:t> :</w:t>
      </w:r>
      <w:r w:rsidRPr="004D4C3B">
        <w:rPr>
          <w:lang w:val="fr-CA"/>
        </w:rPr>
        <w:t> Les juges Abella, Cromwell, Moldaver, Karakatsanis, Wagner, Gascon et Côté.</w:t>
      </w:r>
    </w:p>
    <w:p w:rsidR="004D7D95" w:rsidRPr="004D4C3B" w:rsidRDefault="004D7D95" w:rsidP="00B3618F">
      <w:pPr>
        <w:widowControl w:val="0"/>
        <w:spacing w:after="720"/>
        <w:jc w:val="both"/>
        <w:rPr>
          <w:smallCaps/>
          <w:lang w:val="fr-CA"/>
        </w:rPr>
      </w:pPr>
      <w:r w:rsidRPr="004D4C3B">
        <w:rPr>
          <w:smallCaps/>
          <w:lang w:val="fr-CA"/>
        </w:rPr>
        <w:t>en appel de la cour d</w:t>
      </w:r>
      <w:r w:rsidR="00E87C0F" w:rsidRPr="004D4C3B">
        <w:rPr>
          <w:smallCaps/>
          <w:lang w:val="fr-CA"/>
        </w:rPr>
        <w:t>’</w:t>
      </w:r>
      <w:r w:rsidRPr="004D4C3B">
        <w:rPr>
          <w:smallCaps/>
          <w:lang w:val="fr-CA"/>
        </w:rPr>
        <w:t>appel de l</w:t>
      </w:r>
      <w:r w:rsidR="00E87C0F" w:rsidRPr="004D4C3B">
        <w:rPr>
          <w:smallCaps/>
          <w:lang w:val="fr-CA"/>
        </w:rPr>
        <w:t>’</w:t>
      </w:r>
      <w:r w:rsidRPr="004D4C3B">
        <w:rPr>
          <w:smallCaps/>
          <w:lang w:val="fr-CA"/>
        </w:rPr>
        <w:t>alberta</w:t>
      </w:r>
    </w:p>
    <w:p w:rsidR="004D7D95" w:rsidRPr="004D4C3B" w:rsidRDefault="004D7D95" w:rsidP="00B3618F">
      <w:pPr>
        <w:pStyle w:val="SCCNormalDoubleSpacing"/>
        <w:widowControl w:val="0"/>
        <w:spacing w:after="480"/>
        <w:rPr>
          <w:i/>
          <w:lang w:val="fr-CA"/>
        </w:rPr>
      </w:pPr>
      <w:r w:rsidRPr="004D4C3B">
        <w:rPr>
          <w:lang w:val="fr-CA"/>
        </w:rPr>
        <w:tab/>
      </w:r>
      <w:r w:rsidR="00E80C02" w:rsidRPr="004D4C3B">
        <w:rPr>
          <w:i/>
          <w:lang w:val="fr-CA"/>
        </w:rPr>
        <w:t>Protection des renseignements personnels —</w:t>
      </w:r>
      <w:r w:rsidR="00346CE3" w:rsidRPr="004D4C3B">
        <w:rPr>
          <w:i/>
          <w:lang w:val="fr-CA"/>
        </w:rPr>
        <w:t xml:space="preserve"> </w:t>
      </w:r>
      <w:r w:rsidR="00E80C02" w:rsidRPr="004D4C3B">
        <w:rPr>
          <w:i/>
          <w:lang w:val="fr-CA"/>
        </w:rPr>
        <w:t>Examen de</w:t>
      </w:r>
      <w:r w:rsidR="00A55968" w:rsidRPr="004D4C3B">
        <w:rPr>
          <w:i/>
          <w:lang w:val="fr-CA"/>
        </w:rPr>
        <w:t>s</w:t>
      </w:r>
      <w:r w:rsidR="00E80C02" w:rsidRPr="004D4C3B">
        <w:rPr>
          <w:i/>
          <w:lang w:val="fr-CA"/>
        </w:rPr>
        <w:t xml:space="preserve"> plaintes — Pouvoirs du commissaire à l</w:t>
      </w:r>
      <w:r w:rsidR="00E87C0F" w:rsidRPr="004D4C3B">
        <w:rPr>
          <w:i/>
          <w:lang w:val="fr-CA"/>
        </w:rPr>
        <w:t>’</w:t>
      </w:r>
      <w:r w:rsidR="00E80C02" w:rsidRPr="004D4C3B">
        <w:rPr>
          <w:i/>
          <w:lang w:val="fr-CA"/>
        </w:rPr>
        <w:t>information et à la protection de la vie privée — Production de documents — Secret professionnel de l</w:t>
      </w:r>
      <w:r w:rsidR="00E87C0F" w:rsidRPr="004D4C3B">
        <w:rPr>
          <w:i/>
          <w:lang w:val="fr-CA"/>
        </w:rPr>
        <w:t>’</w:t>
      </w:r>
      <w:r w:rsidR="00E80C02" w:rsidRPr="004D4C3B">
        <w:rPr>
          <w:i/>
          <w:lang w:val="fr-CA"/>
        </w:rPr>
        <w:t>avocat —</w:t>
      </w:r>
      <w:r w:rsidR="000E3D65">
        <w:rPr>
          <w:i/>
          <w:lang w:val="fr-CA"/>
        </w:rPr>
        <w:t xml:space="preserve"> </w:t>
      </w:r>
      <w:r w:rsidR="00E124AC" w:rsidRPr="004D4C3B">
        <w:rPr>
          <w:i/>
          <w:lang w:val="fr-CA"/>
        </w:rPr>
        <w:t xml:space="preserve">Commissaire saisie de </w:t>
      </w:r>
      <w:r w:rsidR="00703BF2" w:rsidRPr="004D4C3B">
        <w:rPr>
          <w:i/>
          <w:lang w:val="fr-CA"/>
        </w:rPr>
        <w:t xml:space="preserve">la </w:t>
      </w:r>
      <w:r w:rsidR="00E124AC" w:rsidRPr="004D4C3B">
        <w:rPr>
          <w:i/>
          <w:lang w:val="fr-CA"/>
        </w:rPr>
        <w:t>p</w:t>
      </w:r>
      <w:r w:rsidR="00E80C02" w:rsidRPr="004D4C3B">
        <w:rPr>
          <w:i/>
          <w:lang w:val="fr-CA"/>
        </w:rPr>
        <w:t xml:space="preserve">lainte </w:t>
      </w:r>
      <w:r w:rsidR="00703BF2" w:rsidRPr="004D4C3B">
        <w:rPr>
          <w:i/>
          <w:lang w:val="fr-CA"/>
        </w:rPr>
        <w:t>d</w:t>
      </w:r>
      <w:r w:rsidR="00E87C0F" w:rsidRPr="004D4C3B">
        <w:rPr>
          <w:i/>
          <w:lang w:val="fr-CA"/>
        </w:rPr>
        <w:t>’</w:t>
      </w:r>
      <w:r w:rsidR="00703BF2" w:rsidRPr="004D4C3B">
        <w:rPr>
          <w:i/>
          <w:lang w:val="fr-CA"/>
        </w:rPr>
        <w:t xml:space="preserve">une employée congédiée </w:t>
      </w:r>
      <w:r w:rsidR="00E80C02" w:rsidRPr="004D4C3B">
        <w:rPr>
          <w:i/>
          <w:lang w:val="fr-CA"/>
        </w:rPr>
        <w:t xml:space="preserve">et </w:t>
      </w:r>
      <w:r w:rsidR="00E124AC" w:rsidRPr="004D4C3B">
        <w:rPr>
          <w:i/>
          <w:lang w:val="fr-CA"/>
        </w:rPr>
        <w:t xml:space="preserve">de </w:t>
      </w:r>
      <w:r w:rsidR="00703BF2" w:rsidRPr="004D4C3B">
        <w:rPr>
          <w:i/>
          <w:lang w:val="fr-CA"/>
        </w:rPr>
        <w:t xml:space="preserve">sa </w:t>
      </w:r>
      <w:r w:rsidR="00E80C02" w:rsidRPr="004D4C3B">
        <w:rPr>
          <w:i/>
          <w:lang w:val="fr-CA"/>
        </w:rPr>
        <w:t>demande d</w:t>
      </w:r>
      <w:r w:rsidR="00E87C0F" w:rsidRPr="004D4C3B">
        <w:rPr>
          <w:i/>
          <w:lang w:val="fr-CA"/>
        </w:rPr>
        <w:t>’</w:t>
      </w:r>
      <w:r w:rsidR="00E80C02" w:rsidRPr="004D4C3B">
        <w:rPr>
          <w:i/>
          <w:lang w:val="fr-CA"/>
        </w:rPr>
        <w:t xml:space="preserve">accès à </w:t>
      </w:r>
      <w:r w:rsidR="00C40D03" w:rsidRPr="004D4C3B">
        <w:rPr>
          <w:i/>
          <w:lang w:val="fr-CA"/>
        </w:rPr>
        <w:t>s</w:t>
      </w:r>
      <w:r w:rsidR="00E80C02" w:rsidRPr="004D4C3B">
        <w:rPr>
          <w:i/>
          <w:lang w:val="fr-CA"/>
        </w:rPr>
        <w:t>es données personnelles d</w:t>
      </w:r>
      <w:r w:rsidR="00E87C0F" w:rsidRPr="004D4C3B">
        <w:rPr>
          <w:i/>
          <w:lang w:val="fr-CA"/>
        </w:rPr>
        <w:t>’</w:t>
      </w:r>
      <w:r w:rsidR="00E80C02" w:rsidRPr="004D4C3B">
        <w:rPr>
          <w:i/>
          <w:lang w:val="fr-CA"/>
        </w:rPr>
        <w:t xml:space="preserve">emploi </w:t>
      </w:r>
      <w:r w:rsidR="00E124AC" w:rsidRPr="004D4C3B">
        <w:rPr>
          <w:i/>
          <w:lang w:val="fr-CA"/>
        </w:rPr>
        <w:t>— Secret professionnel de l</w:t>
      </w:r>
      <w:r w:rsidR="00E87C0F" w:rsidRPr="004D4C3B">
        <w:rPr>
          <w:i/>
          <w:lang w:val="fr-CA"/>
        </w:rPr>
        <w:t>’</w:t>
      </w:r>
      <w:r w:rsidR="00E124AC" w:rsidRPr="004D4C3B">
        <w:rPr>
          <w:i/>
          <w:lang w:val="fr-CA"/>
        </w:rPr>
        <w:t>avocat invoqué par l</w:t>
      </w:r>
      <w:r w:rsidR="00E87C0F" w:rsidRPr="004D4C3B">
        <w:rPr>
          <w:i/>
          <w:lang w:val="fr-CA"/>
        </w:rPr>
        <w:t>’</w:t>
      </w:r>
      <w:r w:rsidR="00E124AC" w:rsidRPr="004D4C3B">
        <w:rPr>
          <w:i/>
          <w:lang w:val="fr-CA"/>
        </w:rPr>
        <w:t>employeur à l</w:t>
      </w:r>
      <w:r w:rsidR="00E87C0F" w:rsidRPr="004D4C3B">
        <w:rPr>
          <w:i/>
          <w:lang w:val="fr-CA"/>
        </w:rPr>
        <w:t>’</w:t>
      </w:r>
      <w:r w:rsidR="00E124AC" w:rsidRPr="004D4C3B">
        <w:rPr>
          <w:i/>
          <w:lang w:val="fr-CA"/>
        </w:rPr>
        <w:t xml:space="preserve">égard de certains documents — La disposition législative qui oblige un organisme public à produire </w:t>
      </w:r>
      <w:r w:rsidR="00703BF2" w:rsidRPr="004D4C3B">
        <w:rPr>
          <w:i/>
          <w:lang w:val="fr-CA"/>
        </w:rPr>
        <w:t>d</w:t>
      </w:r>
      <w:r w:rsidR="00E124AC" w:rsidRPr="004D4C3B">
        <w:rPr>
          <w:i/>
          <w:lang w:val="fr-CA"/>
        </w:rPr>
        <w:t xml:space="preserve">es documents </w:t>
      </w:r>
      <w:r w:rsidR="00703BF2" w:rsidRPr="004D4C3B">
        <w:rPr>
          <w:i/>
          <w:lang w:val="fr-CA"/>
        </w:rPr>
        <w:t>à l</w:t>
      </w:r>
      <w:r w:rsidR="00E87C0F" w:rsidRPr="004D4C3B">
        <w:rPr>
          <w:i/>
          <w:lang w:val="fr-CA"/>
        </w:rPr>
        <w:t>’</w:t>
      </w:r>
      <w:r w:rsidR="00703BF2" w:rsidRPr="004D4C3B">
        <w:rPr>
          <w:i/>
          <w:lang w:val="fr-CA"/>
        </w:rPr>
        <w:t>intention d</w:t>
      </w:r>
      <w:r w:rsidR="00482150" w:rsidRPr="004D4C3B">
        <w:rPr>
          <w:i/>
          <w:lang w:val="fr-CA"/>
        </w:rPr>
        <w:t>u c</w:t>
      </w:r>
      <w:r w:rsidR="00E124AC" w:rsidRPr="004D4C3B">
        <w:rPr>
          <w:i/>
          <w:lang w:val="fr-CA"/>
        </w:rPr>
        <w:t>ommissaire « </w:t>
      </w:r>
      <w:r w:rsidR="00F80C15" w:rsidRPr="004D4C3B">
        <w:rPr>
          <w:i/>
          <w:lang w:val="fr-CA"/>
        </w:rPr>
        <w:t>[</w:t>
      </w:r>
      <w:r w:rsidR="00E124AC" w:rsidRPr="004D4C3B">
        <w:rPr>
          <w:i/>
          <w:lang w:val="fr-CA"/>
        </w:rPr>
        <w:t>m</w:t>
      </w:r>
      <w:r w:rsidR="00F80C15" w:rsidRPr="004D4C3B">
        <w:rPr>
          <w:i/>
          <w:lang w:val="fr-CA"/>
        </w:rPr>
        <w:t>]</w:t>
      </w:r>
      <w:r w:rsidR="00E124AC" w:rsidRPr="004D4C3B">
        <w:rPr>
          <w:i/>
          <w:lang w:val="fr-CA"/>
        </w:rPr>
        <w:t xml:space="preserve">algré [. . .] tout </w:t>
      </w:r>
      <w:r w:rsidR="00E124AC" w:rsidRPr="004D4C3B">
        <w:rPr>
          <w:i/>
          <w:lang w:val="fr-CA"/>
        </w:rPr>
        <w:lastRenderedPageBreak/>
        <w:t>privilège que reconnaît le droit de la preuve » permet</w:t>
      </w:r>
      <w:r w:rsidR="00E87C0F" w:rsidRPr="004D4C3B">
        <w:rPr>
          <w:i/>
          <w:lang w:val="fr-CA"/>
        </w:rPr>
        <w:noBreakHyphen/>
      </w:r>
      <w:r w:rsidR="00E124AC" w:rsidRPr="004D4C3B">
        <w:rPr>
          <w:i/>
          <w:lang w:val="fr-CA"/>
        </w:rPr>
        <w:t>elle à ce derni</w:t>
      </w:r>
      <w:r w:rsidR="00482150" w:rsidRPr="004D4C3B">
        <w:rPr>
          <w:i/>
          <w:lang w:val="fr-CA"/>
        </w:rPr>
        <w:t>er</w:t>
      </w:r>
      <w:r w:rsidR="00E124AC" w:rsidRPr="004D4C3B">
        <w:rPr>
          <w:i/>
          <w:lang w:val="fr-CA"/>
        </w:rPr>
        <w:t xml:space="preserve"> d</w:t>
      </w:r>
      <w:r w:rsidR="00E87C0F" w:rsidRPr="004D4C3B">
        <w:rPr>
          <w:i/>
          <w:lang w:val="fr-CA"/>
        </w:rPr>
        <w:t>’</w:t>
      </w:r>
      <w:r w:rsidR="00E124AC" w:rsidRPr="004D4C3B">
        <w:rPr>
          <w:i/>
          <w:lang w:val="fr-CA"/>
        </w:rPr>
        <w:t>examiner les documents à l</w:t>
      </w:r>
      <w:r w:rsidR="00E87C0F" w:rsidRPr="004D4C3B">
        <w:rPr>
          <w:i/>
          <w:lang w:val="fr-CA"/>
        </w:rPr>
        <w:t>’</w:t>
      </w:r>
      <w:r w:rsidR="00E124AC" w:rsidRPr="004D4C3B">
        <w:rPr>
          <w:i/>
          <w:lang w:val="fr-CA"/>
        </w:rPr>
        <w:t>égard desquels est invoqué le secret professionnel de l</w:t>
      </w:r>
      <w:r w:rsidR="00E87C0F" w:rsidRPr="004D4C3B">
        <w:rPr>
          <w:i/>
          <w:lang w:val="fr-CA"/>
        </w:rPr>
        <w:t>’</w:t>
      </w:r>
      <w:r w:rsidR="00E124AC" w:rsidRPr="004D4C3B">
        <w:rPr>
          <w:i/>
          <w:lang w:val="fr-CA"/>
        </w:rPr>
        <w:t>avocat? — Dans l</w:t>
      </w:r>
      <w:r w:rsidR="00E87C0F" w:rsidRPr="004D4C3B">
        <w:rPr>
          <w:i/>
          <w:lang w:val="fr-CA"/>
        </w:rPr>
        <w:t>’</w:t>
      </w:r>
      <w:r w:rsidR="00E124AC" w:rsidRPr="004D4C3B">
        <w:rPr>
          <w:i/>
          <w:lang w:val="fr-CA"/>
        </w:rPr>
        <w:t>affirmative, la Commissaire a</w:t>
      </w:r>
      <w:r w:rsidR="00E87C0F" w:rsidRPr="004D4C3B">
        <w:rPr>
          <w:i/>
          <w:lang w:val="fr-CA"/>
        </w:rPr>
        <w:noBreakHyphen/>
      </w:r>
      <w:r w:rsidR="00E124AC" w:rsidRPr="004D4C3B">
        <w:rPr>
          <w:i/>
          <w:lang w:val="fr-CA"/>
        </w:rPr>
        <w:t>t</w:t>
      </w:r>
      <w:r w:rsidR="00E87C0F" w:rsidRPr="004D4C3B">
        <w:rPr>
          <w:i/>
          <w:lang w:val="fr-CA"/>
        </w:rPr>
        <w:noBreakHyphen/>
      </w:r>
      <w:r w:rsidR="00E124AC" w:rsidRPr="004D4C3B">
        <w:rPr>
          <w:i/>
          <w:lang w:val="fr-CA"/>
        </w:rPr>
        <w:t xml:space="preserve">elle commis une erreur susceptible de contrôle en ordonnant la production de documents? — Freedom of Information and Protection </w:t>
      </w:r>
      <w:r w:rsidR="00E87C0F" w:rsidRPr="004D4C3B">
        <w:rPr>
          <w:i/>
          <w:lang w:val="fr-CA"/>
        </w:rPr>
        <w:t>of Privacy Act, R.S.A. 2000, c. </w:t>
      </w:r>
      <w:r w:rsidR="00E124AC" w:rsidRPr="004D4C3B">
        <w:rPr>
          <w:i/>
          <w:lang w:val="fr-CA"/>
        </w:rPr>
        <w:t>F</w:t>
      </w:r>
      <w:r w:rsidR="00E87C0F" w:rsidRPr="004D4C3B">
        <w:rPr>
          <w:i/>
          <w:lang w:val="fr-CA"/>
        </w:rPr>
        <w:noBreakHyphen/>
      </w:r>
      <w:r w:rsidR="00E124AC" w:rsidRPr="004D4C3B">
        <w:rPr>
          <w:i/>
          <w:lang w:val="fr-CA"/>
        </w:rPr>
        <w:t xml:space="preserve">25, </w:t>
      </w:r>
      <w:r w:rsidR="00E87C0F" w:rsidRPr="004D4C3B">
        <w:rPr>
          <w:i/>
          <w:lang w:val="fr-CA"/>
        </w:rPr>
        <w:t>art. </w:t>
      </w:r>
      <w:r w:rsidR="00E124AC" w:rsidRPr="004D4C3B">
        <w:rPr>
          <w:i/>
          <w:lang w:val="fr-CA"/>
        </w:rPr>
        <w:t>56(3).</w:t>
      </w:r>
    </w:p>
    <w:p w:rsidR="00E124AC" w:rsidRPr="004D4C3B" w:rsidRDefault="00E124AC" w:rsidP="00B3618F">
      <w:pPr>
        <w:pStyle w:val="SCCNormalDoubleSpacing"/>
        <w:widowControl w:val="0"/>
        <w:spacing w:after="480"/>
        <w:rPr>
          <w:i/>
          <w:lang w:val="fr-CA"/>
        </w:rPr>
      </w:pPr>
      <w:r w:rsidRPr="004D4C3B">
        <w:rPr>
          <w:i/>
          <w:lang w:val="fr-CA"/>
        </w:rPr>
        <w:tab/>
        <w:t>Droit administrati</w:t>
      </w:r>
      <w:r w:rsidR="00703BF2" w:rsidRPr="004D4C3B">
        <w:rPr>
          <w:i/>
          <w:lang w:val="fr-CA"/>
        </w:rPr>
        <w:t>f</w:t>
      </w:r>
      <w:r w:rsidRPr="004D4C3B">
        <w:rPr>
          <w:i/>
          <w:lang w:val="fr-CA"/>
        </w:rPr>
        <w:t xml:space="preserve"> — Contrôle judiciaire — Norme de contrôle — </w:t>
      </w:r>
      <w:r w:rsidR="0013622E" w:rsidRPr="004D4C3B">
        <w:rPr>
          <w:i/>
          <w:lang w:val="fr-CA"/>
        </w:rPr>
        <w:t>Commissaire à l</w:t>
      </w:r>
      <w:r w:rsidR="00E87C0F" w:rsidRPr="004D4C3B">
        <w:rPr>
          <w:i/>
          <w:lang w:val="fr-CA"/>
        </w:rPr>
        <w:t>’</w:t>
      </w:r>
      <w:r w:rsidR="0013622E" w:rsidRPr="004D4C3B">
        <w:rPr>
          <w:i/>
          <w:lang w:val="fr-CA"/>
        </w:rPr>
        <w:t>information et à la protection de la vie privée — Norme de contrôle applicable à la décision de la Commissaire d</w:t>
      </w:r>
      <w:r w:rsidR="00E87C0F" w:rsidRPr="004D4C3B">
        <w:rPr>
          <w:i/>
          <w:lang w:val="fr-CA"/>
        </w:rPr>
        <w:t>’</w:t>
      </w:r>
      <w:r w:rsidR="0013622E" w:rsidRPr="004D4C3B">
        <w:rPr>
          <w:i/>
          <w:lang w:val="fr-CA"/>
        </w:rPr>
        <w:t>ordonner la production de documents à l</w:t>
      </w:r>
      <w:r w:rsidR="00E87C0F" w:rsidRPr="004D4C3B">
        <w:rPr>
          <w:i/>
          <w:lang w:val="fr-CA"/>
        </w:rPr>
        <w:t>’</w:t>
      </w:r>
      <w:r w:rsidR="0013622E" w:rsidRPr="004D4C3B">
        <w:rPr>
          <w:i/>
          <w:lang w:val="fr-CA"/>
        </w:rPr>
        <w:t>égard desquels est invoqué le secret professionnel de l</w:t>
      </w:r>
      <w:r w:rsidR="00E87C0F" w:rsidRPr="004D4C3B">
        <w:rPr>
          <w:i/>
          <w:lang w:val="fr-CA"/>
        </w:rPr>
        <w:t>’</w:t>
      </w:r>
      <w:r w:rsidR="0013622E" w:rsidRPr="004D4C3B">
        <w:rPr>
          <w:i/>
          <w:lang w:val="fr-CA"/>
        </w:rPr>
        <w:t>avocat — Freedom of Information and Protection of Pr</w:t>
      </w:r>
      <w:r w:rsidR="00E87C0F" w:rsidRPr="004D4C3B">
        <w:rPr>
          <w:i/>
          <w:lang w:val="fr-CA"/>
        </w:rPr>
        <w:t>ivacy Act, R.S.A. 2000, c. </w:t>
      </w:r>
      <w:r w:rsidR="0013622E" w:rsidRPr="004D4C3B">
        <w:rPr>
          <w:i/>
          <w:lang w:val="fr-CA"/>
        </w:rPr>
        <w:t>F</w:t>
      </w:r>
      <w:r w:rsidR="00E87C0F" w:rsidRPr="004D4C3B">
        <w:rPr>
          <w:i/>
          <w:lang w:val="fr-CA"/>
        </w:rPr>
        <w:noBreakHyphen/>
      </w:r>
      <w:r w:rsidR="0013622E" w:rsidRPr="004D4C3B">
        <w:rPr>
          <w:i/>
          <w:lang w:val="fr-CA"/>
        </w:rPr>
        <w:t xml:space="preserve">25, </w:t>
      </w:r>
      <w:r w:rsidR="00E87C0F" w:rsidRPr="004D4C3B">
        <w:rPr>
          <w:i/>
          <w:lang w:val="fr-CA"/>
        </w:rPr>
        <w:t>art. </w:t>
      </w:r>
      <w:r w:rsidR="0013622E" w:rsidRPr="004D4C3B">
        <w:rPr>
          <w:i/>
          <w:lang w:val="fr-CA"/>
        </w:rPr>
        <w:t>56(3).</w:t>
      </w:r>
    </w:p>
    <w:p w:rsidR="004D7D95" w:rsidRPr="004D4C3B" w:rsidRDefault="004D7D95" w:rsidP="00B3618F">
      <w:pPr>
        <w:pStyle w:val="SCCNormalDoubleSpacing"/>
        <w:widowControl w:val="0"/>
        <w:spacing w:after="480"/>
        <w:rPr>
          <w:lang w:val="fr-CA"/>
        </w:rPr>
      </w:pPr>
      <w:r w:rsidRPr="004D4C3B">
        <w:rPr>
          <w:lang w:val="fr-CA"/>
        </w:rPr>
        <w:tab/>
      </w:r>
      <w:r w:rsidR="0013622E" w:rsidRPr="004D4C3B">
        <w:rPr>
          <w:lang w:val="fr-CA"/>
        </w:rPr>
        <w:t>Dans le contexte d</w:t>
      </w:r>
      <w:r w:rsidR="00E87C0F" w:rsidRPr="004D4C3B">
        <w:rPr>
          <w:lang w:val="fr-CA"/>
        </w:rPr>
        <w:t>’</w:t>
      </w:r>
      <w:r w:rsidR="0013622E" w:rsidRPr="004D4C3B">
        <w:rPr>
          <w:lang w:val="fr-CA"/>
        </w:rPr>
        <w:t>une allégation de congédiement déguisé, un délégué de la Commissaire à l</w:t>
      </w:r>
      <w:r w:rsidR="00E87C0F" w:rsidRPr="004D4C3B">
        <w:rPr>
          <w:lang w:val="fr-CA"/>
        </w:rPr>
        <w:t>’</w:t>
      </w:r>
      <w:r w:rsidR="0013622E" w:rsidRPr="004D4C3B">
        <w:rPr>
          <w:lang w:val="fr-CA"/>
        </w:rPr>
        <w:t xml:space="preserve">information et à la protection de la vie privée </w:t>
      </w:r>
      <w:r w:rsidR="00FA1740" w:rsidRPr="004D4C3B">
        <w:rPr>
          <w:lang w:val="fr-CA"/>
        </w:rPr>
        <w:t xml:space="preserve">de l’Alberta </w:t>
      </w:r>
      <w:r w:rsidR="0013622E" w:rsidRPr="004D4C3B">
        <w:rPr>
          <w:lang w:val="fr-CA"/>
        </w:rPr>
        <w:t xml:space="preserve">a ordonné la production de </w:t>
      </w:r>
      <w:r w:rsidR="00703BF2" w:rsidRPr="004D4C3B">
        <w:rPr>
          <w:lang w:val="fr-CA"/>
        </w:rPr>
        <w:t>documents à l</w:t>
      </w:r>
      <w:r w:rsidR="00E87C0F" w:rsidRPr="004D4C3B">
        <w:rPr>
          <w:lang w:val="fr-CA"/>
        </w:rPr>
        <w:t>’</w:t>
      </w:r>
      <w:r w:rsidR="00703BF2" w:rsidRPr="004D4C3B">
        <w:rPr>
          <w:lang w:val="fr-CA"/>
        </w:rPr>
        <w:t>égard desquels l</w:t>
      </w:r>
      <w:r w:rsidR="00E87C0F" w:rsidRPr="004D4C3B">
        <w:rPr>
          <w:lang w:val="fr-CA"/>
        </w:rPr>
        <w:t>’</w:t>
      </w:r>
      <w:r w:rsidR="00703BF2" w:rsidRPr="004D4C3B">
        <w:rPr>
          <w:lang w:val="fr-CA"/>
        </w:rPr>
        <w:t>U</w:t>
      </w:r>
      <w:r w:rsidR="0013622E" w:rsidRPr="004D4C3B">
        <w:rPr>
          <w:lang w:val="fr-CA"/>
        </w:rPr>
        <w:t>niversité de Calgary avait invoqué le secret professionnel de l</w:t>
      </w:r>
      <w:r w:rsidR="00E87C0F" w:rsidRPr="004D4C3B">
        <w:rPr>
          <w:lang w:val="fr-CA"/>
        </w:rPr>
        <w:t>’</w:t>
      </w:r>
      <w:r w:rsidR="0013622E" w:rsidRPr="004D4C3B">
        <w:rPr>
          <w:lang w:val="fr-CA"/>
        </w:rPr>
        <w:t>avocat.</w:t>
      </w:r>
      <w:r w:rsidR="0058769F" w:rsidRPr="004D4C3B">
        <w:rPr>
          <w:lang w:val="fr-CA"/>
        </w:rPr>
        <w:t xml:space="preserve"> Le délégué s</w:t>
      </w:r>
      <w:r w:rsidR="00E87C0F" w:rsidRPr="004D4C3B">
        <w:rPr>
          <w:lang w:val="fr-CA"/>
        </w:rPr>
        <w:t>’</w:t>
      </w:r>
      <w:r w:rsidR="0058769F" w:rsidRPr="004D4C3B">
        <w:rPr>
          <w:lang w:val="fr-CA"/>
        </w:rPr>
        <w:t>autorisait du « Protocole décisionnel applicable à l</w:t>
      </w:r>
      <w:r w:rsidR="00E87C0F" w:rsidRPr="004D4C3B">
        <w:rPr>
          <w:lang w:val="fr-CA"/>
        </w:rPr>
        <w:t>’</w:t>
      </w:r>
      <w:r w:rsidR="0058769F" w:rsidRPr="004D4C3B">
        <w:rPr>
          <w:lang w:val="fr-CA"/>
        </w:rPr>
        <w:t>égard du secret professionnel de l</w:t>
      </w:r>
      <w:r w:rsidR="00E87C0F" w:rsidRPr="004D4C3B">
        <w:rPr>
          <w:lang w:val="fr-CA"/>
        </w:rPr>
        <w:t>’</w:t>
      </w:r>
      <w:r w:rsidR="0058769F" w:rsidRPr="004D4C3B">
        <w:rPr>
          <w:lang w:val="fr-CA"/>
        </w:rPr>
        <w:t>avocat » du Commissariat</w:t>
      </w:r>
      <w:r w:rsidR="0013622E" w:rsidRPr="004D4C3B">
        <w:rPr>
          <w:lang w:val="fr-CA"/>
        </w:rPr>
        <w:t xml:space="preserve"> </w:t>
      </w:r>
      <w:r w:rsidR="0058769F" w:rsidRPr="004D4C3B">
        <w:rPr>
          <w:lang w:val="fr-CA"/>
        </w:rPr>
        <w:t>qui exige</w:t>
      </w:r>
      <w:r w:rsidR="00703BF2" w:rsidRPr="004D4C3B">
        <w:rPr>
          <w:lang w:val="fr-CA"/>
        </w:rPr>
        <w:t>ait</w:t>
      </w:r>
      <w:r w:rsidR="0058769F" w:rsidRPr="004D4C3B">
        <w:rPr>
          <w:lang w:val="fr-CA"/>
        </w:rPr>
        <w:t xml:space="preserve"> </w:t>
      </w:r>
      <w:r w:rsidR="00703BF2" w:rsidRPr="004D4C3B">
        <w:rPr>
          <w:lang w:val="fr-CA"/>
        </w:rPr>
        <w:t>la remise d</w:t>
      </w:r>
      <w:r w:rsidR="00E87C0F" w:rsidRPr="004D4C3B">
        <w:rPr>
          <w:lang w:val="fr-CA"/>
        </w:rPr>
        <w:t>’</w:t>
      </w:r>
      <w:r w:rsidR="0058769F" w:rsidRPr="004D4C3B">
        <w:rPr>
          <w:lang w:val="fr-CA"/>
        </w:rPr>
        <w:t xml:space="preserve">une copie « des documents en cause » ou </w:t>
      </w:r>
      <w:r w:rsidR="00703BF2" w:rsidRPr="004D4C3B">
        <w:rPr>
          <w:lang w:val="fr-CA"/>
        </w:rPr>
        <w:t xml:space="preserve">de </w:t>
      </w:r>
      <w:r w:rsidR="0058769F" w:rsidRPr="004D4C3B">
        <w:rPr>
          <w:lang w:val="fr-CA"/>
        </w:rPr>
        <w:t>deux copies « d</w:t>
      </w:r>
      <w:r w:rsidR="00E87C0F" w:rsidRPr="004D4C3B">
        <w:rPr>
          <w:lang w:val="fr-CA"/>
        </w:rPr>
        <w:t>’</w:t>
      </w:r>
      <w:r w:rsidR="0058769F" w:rsidRPr="004D4C3B">
        <w:rPr>
          <w:lang w:val="fr-CA"/>
        </w:rPr>
        <w:t>un affidavit ou d</w:t>
      </w:r>
      <w:r w:rsidR="00E87C0F" w:rsidRPr="004D4C3B">
        <w:rPr>
          <w:lang w:val="fr-CA"/>
        </w:rPr>
        <w:t>’</w:t>
      </w:r>
      <w:r w:rsidR="0058769F" w:rsidRPr="004D4C3B">
        <w:rPr>
          <w:lang w:val="fr-CA"/>
        </w:rPr>
        <w:t>une simple déclaration confirmant que le secret professionnel de l</w:t>
      </w:r>
      <w:r w:rsidR="00E87C0F" w:rsidRPr="004D4C3B">
        <w:rPr>
          <w:lang w:val="fr-CA"/>
        </w:rPr>
        <w:t>’</w:t>
      </w:r>
      <w:r w:rsidR="0058769F" w:rsidRPr="004D4C3B">
        <w:rPr>
          <w:lang w:val="fr-CA"/>
        </w:rPr>
        <w:t>avocat s</w:t>
      </w:r>
      <w:r w:rsidR="00E87C0F" w:rsidRPr="004D4C3B">
        <w:rPr>
          <w:lang w:val="fr-CA"/>
        </w:rPr>
        <w:t>’</w:t>
      </w:r>
      <w:r w:rsidR="0058769F" w:rsidRPr="004D4C3B">
        <w:rPr>
          <w:lang w:val="fr-CA"/>
        </w:rPr>
        <w:t>applique aux documents » à l</w:t>
      </w:r>
      <w:r w:rsidR="00E87C0F" w:rsidRPr="004D4C3B">
        <w:rPr>
          <w:lang w:val="fr-CA"/>
        </w:rPr>
        <w:t>’</w:t>
      </w:r>
      <w:r w:rsidR="0058769F" w:rsidRPr="004D4C3B">
        <w:rPr>
          <w:lang w:val="fr-CA"/>
        </w:rPr>
        <w:t>appui de l</w:t>
      </w:r>
      <w:r w:rsidR="00E87C0F" w:rsidRPr="004D4C3B">
        <w:rPr>
          <w:lang w:val="fr-CA"/>
        </w:rPr>
        <w:t>’</w:t>
      </w:r>
      <w:r w:rsidR="0058769F" w:rsidRPr="004D4C3B">
        <w:rPr>
          <w:lang w:val="fr-CA"/>
        </w:rPr>
        <w:t>allégation du secret professionnel de l</w:t>
      </w:r>
      <w:r w:rsidR="00E87C0F" w:rsidRPr="004D4C3B">
        <w:rPr>
          <w:lang w:val="fr-CA"/>
        </w:rPr>
        <w:t>’</w:t>
      </w:r>
      <w:r w:rsidR="0058769F" w:rsidRPr="004D4C3B">
        <w:rPr>
          <w:lang w:val="fr-CA"/>
        </w:rPr>
        <w:t>avocat.</w:t>
      </w:r>
      <w:r w:rsidR="00BE126A" w:rsidRPr="004D4C3B">
        <w:rPr>
          <w:lang w:val="fr-CA"/>
        </w:rPr>
        <w:t xml:space="preserve"> Conformément au droit et à la pratique qui avaient alors cours en Alberta pour identifier un document protégé par le secret professionnel de l</w:t>
      </w:r>
      <w:r w:rsidR="00E87C0F" w:rsidRPr="004D4C3B">
        <w:rPr>
          <w:lang w:val="fr-CA"/>
        </w:rPr>
        <w:t>’</w:t>
      </w:r>
      <w:r w:rsidR="00BE126A" w:rsidRPr="004D4C3B">
        <w:rPr>
          <w:lang w:val="fr-CA"/>
        </w:rPr>
        <w:t>avocat dans une instance civile, l</w:t>
      </w:r>
      <w:r w:rsidR="00E87C0F" w:rsidRPr="004D4C3B">
        <w:rPr>
          <w:lang w:val="fr-CA"/>
        </w:rPr>
        <w:t>’</w:t>
      </w:r>
      <w:r w:rsidR="00BE126A" w:rsidRPr="004D4C3B">
        <w:rPr>
          <w:lang w:val="fr-CA"/>
        </w:rPr>
        <w:t xml:space="preserve">Université a remis une liste de documents identifiés par le numéro des pages </w:t>
      </w:r>
      <w:r w:rsidR="00BE126A" w:rsidRPr="004D4C3B">
        <w:rPr>
          <w:lang w:val="fr-CA"/>
        </w:rPr>
        <w:lastRenderedPageBreak/>
        <w:t>en cause, ainsi qu</w:t>
      </w:r>
      <w:r w:rsidR="00E87C0F" w:rsidRPr="004D4C3B">
        <w:rPr>
          <w:lang w:val="fr-CA"/>
        </w:rPr>
        <w:t>’</w:t>
      </w:r>
      <w:r w:rsidR="00BE126A" w:rsidRPr="004D4C3B">
        <w:rPr>
          <w:lang w:val="fr-CA"/>
        </w:rPr>
        <w:t>un affidavit selon lequel le secret professionnel de l</w:t>
      </w:r>
      <w:r w:rsidR="00E87C0F" w:rsidRPr="004D4C3B">
        <w:rPr>
          <w:lang w:val="fr-CA"/>
        </w:rPr>
        <w:t>’</w:t>
      </w:r>
      <w:r w:rsidR="00BE126A" w:rsidRPr="004D4C3B">
        <w:rPr>
          <w:lang w:val="fr-CA"/>
        </w:rPr>
        <w:t xml:space="preserve">avocat était invoqué relativement à ces documents. </w:t>
      </w:r>
    </w:p>
    <w:p w:rsidR="004930FE" w:rsidRPr="004D4C3B" w:rsidRDefault="00BE126A" w:rsidP="00B3618F">
      <w:pPr>
        <w:pStyle w:val="SCCNormalDoubleSpacing"/>
        <w:widowControl w:val="0"/>
        <w:spacing w:after="480"/>
        <w:rPr>
          <w:lang w:val="fr-CA"/>
        </w:rPr>
      </w:pPr>
      <w:r w:rsidRPr="004D4C3B">
        <w:rPr>
          <w:lang w:val="fr-CA"/>
        </w:rPr>
        <w:tab/>
        <w:t>Après une nouvelle demande d</w:t>
      </w:r>
      <w:r w:rsidR="00E87C0F" w:rsidRPr="004D4C3B">
        <w:rPr>
          <w:lang w:val="fr-CA"/>
        </w:rPr>
        <w:t>’</w:t>
      </w:r>
      <w:r w:rsidRPr="004D4C3B">
        <w:rPr>
          <w:lang w:val="fr-CA"/>
        </w:rPr>
        <w:t>étayer l</w:t>
      </w:r>
      <w:r w:rsidR="00E87C0F" w:rsidRPr="004D4C3B">
        <w:rPr>
          <w:lang w:val="fr-CA"/>
        </w:rPr>
        <w:t>’</w:t>
      </w:r>
      <w:r w:rsidRPr="004D4C3B">
        <w:rPr>
          <w:lang w:val="fr-CA"/>
        </w:rPr>
        <w:t xml:space="preserve">allégation du privilège, le délégué a donné un avis de production de documents fondé sur le </w:t>
      </w:r>
      <w:r w:rsidR="00E87C0F" w:rsidRPr="004D4C3B">
        <w:rPr>
          <w:lang w:val="fr-CA"/>
        </w:rPr>
        <w:t>par. </w:t>
      </w:r>
      <w:r w:rsidRPr="004D4C3B">
        <w:rPr>
          <w:lang w:val="fr-CA"/>
        </w:rPr>
        <w:t xml:space="preserve">56(3) de la </w:t>
      </w:r>
      <w:r w:rsidRPr="004D4C3B">
        <w:rPr>
          <w:i/>
          <w:lang w:val="fr-CA"/>
        </w:rPr>
        <w:t xml:space="preserve">Freedom of Information and Protection of Privacy Act </w:t>
      </w:r>
      <w:r w:rsidR="004930FE" w:rsidRPr="004D4C3B">
        <w:rPr>
          <w:lang w:val="fr-CA"/>
        </w:rPr>
        <w:t>(</w:t>
      </w:r>
      <w:r w:rsidRPr="004D4C3B">
        <w:rPr>
          <w:lang w:val="fr-CA"/>
        </w:rPr>
        <w:t>« </w:t>
      </w:r>
      <w:r w:rsidRPr="004D4C3B">
        <w:rPr>
          <w:i/>
          <w:lang w:val="fr-CA"/>
        </w:rPr>
        <w:t>FOIPP</w:t>
      </w:r>
      <w:r w:rsidRPr="004D4C3B">
        <w:rPr>
          <w:lang w:val="fr-CA"/>
        </w:rPr>
        <w:t> »)</w:t>
      </w:r>
      <w:r w:rsidR="004930FE" w:rsidRPr="004D4C3B">
        <w:rPr>
          <w:lang w:val="fr-CA"/>
        </w:rPr>
        <w:t>. Suivant cette disposition, un organisme public est tenu de produire les documents exigés par l</w:t>
      </w:r>
      <w:r w:rsidR="00351568" w:rsidRPr="004D4C3B">
        <w:rPr>
          <w:lang w:val="fr-CA"/>
        </w:rPr>
        <w:t>e c</w:t>
      </w:r>
      <w:r w:rsidR="00F80C15">
        <w:rPr>
          <w:lang w:val="fr-CA"/>
        </w:rPr>
        <w:t>ommissaire</w:t>
      </w:r>
      <w:r w:rsidR="004930FE" w:rsidRPr="004D4C3B">
        <w:rPr>
          <w:lang w:val="fr-CA"/>
        </w:rPr>
        <w:t xml:space="preserve"> </w:t>
      </w:r>
      <w:r w:rsidR="000A1B61">
        <w:rPr>
          <w:lang w:val="fr-CA"/>
        </w:rPr>
        <w:t>« </w:t>
      </w:r>
      <w:r w:rsidR="004930FE" w:rsidRPr="004D4C3B">
        <w:rPr>
          <w:lang w:val="fr-CA"/>
        </w:rPr>
        <w:t xml:space="preserve">[m]algré </w:t>
      </w:r>
      <w:r w:rsidR="00C40D03" w:rsidRPr="004D4C3B">
        <w:rPr>
          <w:lang w:val="fr-CA"/>
        </w:rPr>
        <w:t>[</w:t>
      </w:r>
      <w:r w:rsidR="00E87C0F" w:rsidRPr="004D4C3B">
        <w:rPr>
          <w:lang w:val="fr-CA"/>
        </w:rPr>
        <w:t>. </w:t>
      </w:r>
      <w:r w:rsidR="004930FE" w:rsidRPr="004D4C3B">
        <w:rPr>
          <w:lang w:val="fr-CA"/>
        </w:rPr>
        <w:t>.</w:t>
      </w:r>
      <w:r w:rsidR="00E87C0F" w:rsidRPr="004D4C3B">
        <w:rPr>
          <w:lang w:val="fr-CA"/>
        </w:rPr>
        <w:t> </w:t>
      </w:r>
      <w:r w:rsidR="004930FE" w:rsidRPr="004D4C3B">
        <w:rPr>
          <w:lang w:val="fr-CA"/>
        </w:rPr>
        <w:t>.</w:t>
      </w:r>
      <w:r w:rsidR="00C40D03" w:rsidRPr="004D4C3B">
        <w:rPr>
          <w:lang w:val="fr-CA"/>
        </w:rPr>
        <w:t xml:space="preserve">] </w:t>
      </w:r>
      <w:r w:rsidR="004930FE" w:rsidRPr="004D4C3B">
        <w:rPr>
          <w:lang w:val="fr-CA"/>
        </w:rPr>
        <w:t>tout privilège que reconnaît le droit de la preuve</w:t>
      </w:r>
      <w:r w:rsidR="000A1B61">
        <w:rPr>
          <w:lang w:val="fr-CA"/>
        </w:rPr>
        <w:t> »</w:t>
      </w:r>
      <w:r w:rsidR="004930FE" w:rsidRPr="004D4C3B">
        <w:rPr>
          <w:lang w:val="fr-CA"/>
        </w:rPr>
        <w:t>.</w:t>
      </w:r>
      <w:r w:rsidRPr="004D4C3B">
        <w:rPr>
          <w:lang w:val="fr-CA"/>
        </w:rPr>
        <w:t xml:space="preserve"> </w:t>
      </w:r>
      <w:r w:rsidR="004930FE" w:rsidRPr="004D4C3B">
        <w:rPr>
          <w:lang w:val="fr-CA"/>
        </w:rPr>
        <w:t>L</w:t>
      </w:r>
      <w:r w:rsidR="00E87C0F" w:rsidRPr="004D4C3B">
        <w:rPr>
          <w:lang w:val="fr-CA"/>
        </w:rPr>
        <w:t>’</w:t>
      </w:r>
      <w:r w:rsidRPr="004D4C3B">
        <w:rPr>
          <w:lang w:val="fr-CA"/>
        </w:rPr>
        <w:t>Université</w:t>
      </w:r>
      <w:r w:rsidR="004930FE" w:rsidRPr="004D4C3B">
        <w:rPr>
          <w:lang w:val="fr-CA"/>
        </w:rPr>
        <w:t xml:space="preserve"> a demandé le contrôle judiciaire de la décision du délégué de donn</w:t>
      </w:r>
      <w:r w:rsidR="000A1B61">
        <w:rPr>
          <w:lang w:val="fr-CA"/>
        </w:rPr>
        <w:t>er</w:t>
      </w:r>
      <w:r w:rsidR="004930FE" w:rsidRPr="004D4C3B">
        <w:rPr>
          <w:lang w:val="fr-CA"/>
        </w:rPr>
        <w:t xml:space="preserve"> l</w:t>
      </w:r>
      <w:r w:rsidR="00E87C0F" w:rsidRPr="004D4C3B">
        <w:rPr>
          <w:lang w:val="fr-CA"/>
        </w:rPr>
        <w:t>’</w:t>
      </w:r>
      <w:r w:rsidR="004930FE" w:rsidRPr="004D4C3B">
        <w:rPr>
          <w:lang w:val="fr-CA"/>
        </w:rPr>
        <w:t xml:space="preserve">avis, mais </w:t>
      </w:r>
      <w:r w:rsidR="00C40D03" w:rsidRPr="004D4C3B">
        <w:rPr>
          <w:lang w:val="fr-CA"/>
        </w:rPr>
        <w:t xml:space="preserve">elle </w:t>
      </w:r>
      <w:r w:rsidR="004930FE" w:rsidRPr="004D4C3B">
        <w:rPr>
          <w:lang w:val="fr-CA"/>
        </w:rPr>
        <w:t>n</w:t>
      </w:r>
      <w:r w:rsidR="00E87C0F" w:rsidRPr="004D4C3B">
        <w:rPr>
          <w:lang w:val="fr-CA"/>
        </w:rPr>
        <w:t>’</w:t>
      </w:r>
      <w:r w:rsidR="004930FE" w:rsidRPr="004D4C3B">
        <w:rPr>
          <w:lang w:val="fr-CA"/>
        </w:rPr>
        <w:t>a pas eu gain de cause. Toutefois, en appel, il a été décidé que l</w:t>
      </w:r>
      <w:r w:rsidR="00E87C0F" w:rsidRPr="004D4C3B">
        <w:rPr>
          <w:lang w:val="fr-CA"/>
        </w:rPr>
        <w:t>’</w:t>
      </w:r>
      <w:r w:rsidR="004930FE" w:rsidRPr="004D4C3B">
        <w:rPr>
          <w:lang w:val="fr-CA"/>
        </w:rPr>
        <w:t xml:space="preserve">expression </w:t>
      </w:r>
      <w:r w:rsidR="004930FE" w:rsidRPr="004D4C3B">
        <w:rPr>
          <w:szCs w:val="24"/>
          <w:lang w:val="fr-CA"/>
        </w:rPr>
        <w:t>« </w:t>
      </w:r>
      <w:r w:rsidR="004930FE" w:rsidRPr="004D4C3B">
        <w:rPr>
          <w:lang w:val="fr-CA"/>
        </w:rPr>
        <w:t>tout privilège que reconnaît le droit de la preuve »</w:t>
      </w:r>
      <w:r w:rsidR="00C40D03" w:rsidRPr="004D4C3B">
        <w:rPr>
          <w:lang w:val="fr-CA"/>
        </w:rPr>
        <w:t xml:space="preserve"> </w:t>
      </w:r>
      <w:r w:rsidR="004930FE" w:rsidRPr="004D4C3B">
        <w:rPr>
          <w:lang w:val="fr-CA"/>
        </w:rPr>
        <w:t xml:space="preserve">employée au </w:t>
      </w:r>
      <w:r w:rsidR="00E87C0F" w:rsidRPr="004D4C3B">
        <w:rPr>
          <w:lang w:val="fr-CA"/>
        </w:rPr>
        <w:t>par. </w:t>
      </w:r>
      <w:r w:rsidR="004930FE" w:rsidRPr="004D4C3B">
        <w:rPr>
          <w:lang w:val="fr-CA"/>
        </w:rPr>
        <w:t>56(3) n</w:t>
      </w:r>
      <w:r w:rsidR="00E87C0F" w:rsidRPr="004D4C3B">
        <w:rPr>
          <w:lang w:val="fr-CA"/>
        </w:rPr>
        <w:t>’</w:t>
      </w:r>
      <w:r w:rsidR="004930FE" w:rsidRPr="004D4C3B">
        <w:rPr>
          <w:lang w:val="fr-CA"/>
        </w:rPr>
        <w:t>englobait pas le secret professionnel de l</w:t>
      </w:r>
      <w:r w:rsidR="00E87C0F" w:rsidRPr="004D4C3B">
        <w:rPr>
          <w:lang w:val="fr-CA"/>
        </w:rPr>
        <w:t>’</w:t>
      </w:r>
      <w:r w:rsidR="004930FE" w:rsidRPr="004D4C3B">
        <w:rPr>
          <w:lang w:val="fr-CA"/>
        </w:rPr>
        <w:t>avocat.</w:t>
      </w:r>
    </w:p>
    <w:p w:rsidR="004D7D95" w:rsidRPr="004D4C3B" w:rsidRDefault="00CA7436" w:rsidP="00B3618F">
      <w:pPr>
        <w:pStyle w:val="SCCNormalDoubleSpacing"/>
        <w:widowControl w:val="0"/>
        <w:spacing w:after="480"/>
        <w:rPr>
          <w:lang w:val="fr-CA"/>
        </w:rPr>
      </w:pPr>
      <w:r w:rsidRPr="004D4C3B">
        <w:rPr>
          <w:lang w:val="fr-CA"/>
        </w:rPr>
        <w:tab/>
      </w:r>
      <w:r w:rsidR="009E2944" w:rsidRPr="004D4C3B">
        <w:rPr>
          <w:i/>
          <w:lang w:val="fr-CA"/>
        </w:rPr>
        <w:t>Arrêt</w:t>
      </w:r>
      <w:r w:rsidR="00E87C0F" w:rsidRPr="004D4C3B">
        <w:rPr>
          <w:lang w:val="fr-CA"/>
        </w:rPr>
        <w:t> :</w:t>
      </w:r>
      <w:r w:rsidR="006C7EDE" w:rsidRPr="004D4C3B">
        <w:rPr>
          <w:lang w:val="fr-CA"/>
        </w:rPr>
        <w:t xml:space="preserve"> Le pourvoi est rejeté.</w:t>
      </w:r>
    </w:p>
    <w:p w:rsidR="000A2DF0" w:rsidRPr="004D4C3B" w:rsidRDefault="004D7D95" w:rsidP="00B3618F">
      <w:pPr>
        <w:pStyle w:val="SCCNormalDoubleSpacing"/>
        <w:widowControl w:val="0"/>
        <w:spacing w:after="480"/>
        <w:rPr>
          <w:lang w:val="fr-CA"/>
        </w:rPr>
      </w:pPr>
      <w:r w:rsidRPr="004D4C3B">
        <w:rPr>
          <w:lang w:val="fr-CA"/>
        </w:rPr>
        <w:tab/>
      </w:r>
      <w:r w:rsidR="006C7EDE" w:rsidRPr="004D4C3B">
        <w:rPr>
          <w:i/>
          <w:lang w:val="fr-CA"/>
        </w:rPr>
        <w:t xml:space="preserve">Les </w:t>
      </w:r>
      <w:r w:rsidR="006C7EDE" w:rsidRPr="004D4C3B">
        <w:rPr>
          <w:lang w:val="fr-CA"/>
        </w:rPr>
        <w:t xml:space="preserve">juges Moldaver, Karakatsanis, Wagner, Gascon et </w:t>
      </w:r>
      <w:r w:rsidR="006C7EDE" w:rsidRPr="00F80C15">
        <w:rPr>
          <w:lang w:val="fr-CA"/>
        </w:rPr>
        <w:t>Côté</w:t>
      </w:r>
      <w:r w:rsidR="00E87C0F" w:rsidRPr="004D4C3B">
        <w:rPr>
          <w:lang w:val="fr-CA"/>
        </w:rPr>
        <w:t> :</w:t>
      </w:r>
      <w:r w:rsidR="006C7EDE" w:rsidRPr="004D4C3B">
        <w:rPr>
          <w:lang w:val="fr-CA"/>
        </w:rPr>
        <w:t xml:space="preserve"> </w:t>
      </w:r>
      <w:r w:rsidR="000A2DF0" w:rsidRPr="004D4C3B">
        <w:rPr>
          <w:lang w:val="fr-CA"/>
        </w:rPr>
        <w:t xml:space="preserve">La question de savoir si le </w:t>
      </w:r>
      <w:r w:rsidR="00E87C0F" w:rsidRPr="004D4C3B">
        <w:rPr>
          <w:lang w:val="fr-CA"/>
        </w:rPr>
        <w:t>par. </w:t>
      </w:r>
      <w:r w:rsidR="000A2DF0" w:rsidRPr="004D4C3B">
        <w:rPr>
          <w:lang w:val="fr-CA"/>
        </w:rPr>
        <w:t xml:space="preserve">56(3) de la </w:t>
      </w:r>
      <w:r w:rsidR="000A2DF0" w:rsidRPr="004D4C3B">
        <w:rPr>
          <w:i/>
          <w:lang w:val="fr-CA"/>
        </w:rPr>
        <w:t>FOIPP</w:t>
      </w:r>
      <w:r w:rsidR="000A2DF0" w:rsidRPr="004D4C3B">
        <w:rPr>
          <w:lang w:val="fr-CA"/>
        </w:rPr>
        <w:t xml:space="preserve"> permet l</w:t>
      </w:r>
      <w:r w:rsidR="00E87C0F" w:rsidRPr="004D4C3B">
        <w:rPr>
          <w:lang w:val="fr-CA"/>
        </w:rPr>
        <w:t>’</w:t>
      </w:r>
      <w:r w:rsidR="000A2DF0" w:rsidRPr="004D4C3B">
        <w:rPr>
          <w:lang w:val="fr-CA"/>
        </w:rPr>
        <w:t>examen d</w:t>
      </w:r>
      <w:r w:rsidR="00E87C0F" w:rsidRPr="004D4C3B">
        <w:rPr>
          <w:lang w:val="fr-CA"/>
        </w:rPr>
        <w:t>’</w:t>
      </w:r>
      <w:r w:rsidR="000A2DF0" w:rsidRPr="004D4C3B">
        <w:rPr>
          <w:lang w:val="fr-CA"/>
        </w:rPr>
        <w:t>un document à l</w:t>
      </w:r>
      <w:r w:rsidR="00E87C0F" w:rsidRPr="004D4C3B">
        <w:rPr>
          <w:lang w:val="fr-CA"/>
        </w:rPr>
        <w:t>’</w:t>
      </w:r>
      <w:r w:rsidR="000A2DF0" w:rsidRPr="004D4C3B">
        <w:rPr>
          <w:lang w:val="fr-CA"/>
        </w:rPr>
        <w:t>égard duquel est invoqué le secret professionnel de l</w:t>
      </w:r>
      <w:r w:rsidR="00E87C0F" w:rsidRPr="004D4C3B">
        <w:rPr>
          <w:lang w:val="fr-CA"/>
        </w:rPr>
        <w:t>’</w:t>
      </w:r>
      <w:r w:rsidR="000A2DF0" w:rsidRPr="004D4C3B">
        <w:rPr>
          <w:lang w:val="fr-CA"/>
        </w:rPr>
        <w:t>avocat est d</w:t>
      </w:r>
      <w:r w:rsidR="00E87C0F" w:rsidRPr="004D4C3B">
        <w:rPr>
          <w:lang w:val="fr-CA"/>
        </w:rPr>
        <w:t>’</w:t>
      </w:r>
      <w:r w:rsidR="000A2DF0" w:rsidRPr="004D4C3B">
        <w:rPr>
          <w:lang w:val="fr-CA"/>
        </w:rPr>
        <w:t>importance capitale pour le système juridique dans son ensemble et elle se situe en dehors du domaine d</w:t>
      </w:r>
      <w:r w:rsidR="00E87C0F" w:rsidRPr="004D4C3B">
        <w:rPr>
          <w:lang w:val="fr-CA"/>
        </w:rPr>
        <w:t>’</w:t>
      </w:r>
      <w:r w:rsidR="000A2DF0" w:rsidRPr="004D4C3B">
        <w:rPr>
          <w:lang w:val="fr-CA"/>
        </w:rPr>
        <w:t>expertise d</w:t>
      </w:r>
      <w:r w:rsidR="00D83549" w:rsidRPr="004D4C3B">
        <w:rPr>
          <w:lang w:val="fr-CA"/>
        </w:rPr>
        <w:t>u c</w:t>
      </w:r>
      <w:r w:rsidR="000A2DF0" w:rsidRPr="004D4C3B">
        <w:rPr>
          <w:lang w:val="fr-CA"/>
        </w:rPr>
        <w:t xml:space="preserve">ommissaire. </w:t>
      </w:r>
      <w:r w:rsidR="00351568" w:rsidRPr="004D4C3B">
        <w:rPr>
          <w:lang w:val="fr-CA"/>
        </w:rPr>
        <w:t>Décider qu’</w:t>
      </w:r>
      <w:r w:rsidR="000A2DF0" w:rsidRPr="004D4C3B">
        <w:rPr>
          <w:lang w:val="fr-CA"/>
        </w:rPr>
        <w:t xml:space="preserve">un libellé législatif est suffisant </w:t>
      </w:r>
      <w:r w:rsidR="00351568" w:rsidRPr="004D4C3B">
        <w:rPr>
          <w:lang w:val="fr-CA"/>
        </w:rPr>
        <w:t xml:space="preserve">ou non </w:t>
      </w:r>
      <w:r w:rsidR="000A2DF0" w:rsidRPr="004D4C3B">
        <w:rPr>
          <w:lang w:val="fr-CA"/>
        </w:rPr>
        <w:t>pour autoriser un tribunal administratif à porter atteinte au secret professionnel de l</w:t>
      </w:r>
      <w:r w:rsidR="00E87C0F" w:rsidRPr="004D4C3B">
        <w:rPr>
          <w:lang w:val="fr-CA"/>
        </w:rPr>
        <w:t>’</w:t>
      </w:r>
      <w:r w:rsidR="000A2DF0" w:rsidRPr="004D4C3B">
        <w:rPr>
          <w:lang w:val="fr-CA"/>
        </w:rPr>
        <w:t>avocat est susceptible d</w:t>
      </w:r>
      <w:r w:rsidR="00E87C0F" w:rsidRPr="004D4C3B">
        <w:rPr>
          <w:lang w:val="fr-CA"/>
        </w:rPr>
        <w:t>’</w:t>
      </w:r>
      <w:r w:rsidR="000A2DF0" w:rsidRPr="004D4C3B">
        <w:rPr>
          <w:lang w:val="fr-CA"/>
        </w:rPr>
        <w:t>avoir de grandes répercussions sur d</w:t>
      </w:r>
      <w:r w:rsidR="00E87C0F" w:rsidRPr="004D4C3B">
        <w:rPr>
          <w:lang w:val="fr-CA"/>
        </w:rPr>
        <w:t>’</w:t>
      </w:r>
      <w:r w:rsidR="000A2DF0" w:rsidRPr="004D4C3B">
        <w:rPr>
          <w:lang w:val="fr-CA"/>
        </w:rPr>
        <w:t>autres régimes législatifs. La norme de contrôle applicable est donc celle de la décision correcte en ce qui a trait tant à (i) la décision d</w:t>
      </w:r>
      <w:r w:rsidR="00D83549" w:rsidRPr="004D4C3B">
        <w:rPr>
          <w:lang w:val="fr-CA"/>
        </w:rPr>
        <w:t>u c</w:t>
      </w:r>
      <w:r w:rsidR="000A2DF0" w:rsidRPr="004D4C3B">
        <w:rPr>
          <w:lang w:val="fr-CA"/>
        </w:rPr>
        <w:t xml:space="preserve">ommissaire selon laquelle </w:t>
      </w:r>
      <w:r w:rsidR="00D83549" w:rsidRPr="004D4C3B">
        <w:rPr>
          <w:lang w:val="fr-CA"/>
        </w:rPr>
        <w:t>il</w:t>
      </w:r>
      <w:r w:rsidR="000A2DF0" w:rsidRPr="004D4C3B">
        <w:rPr>
          <w:lang w:val="fr-CA"/>
        </w:rPr>
        <w:t xml:space="preserve"> possède le pouvoir d</w:t>
      </w:r>
      <w:r w:rsidR="00E87C0F" w:rsidRPr="004D4C3B">
        <w:rPr>
          <w:lang w:val="fr-CA"/>
        </w:rPr>
        <w:t>’</w:t>
      </w:r>
      <w:r w:rsidR="000A2DF0" w:rsidRPr="004D4C3B">
        <w:rPr>
          <w:lang w:val="fr-CA"/>
        </w:rPr>
        <w:t xml:space="preserve">exiger la production des documents </w:t>
      </w:r>
      <w:r w:rsidR="000A2DF0" w:rsidRPr="004D4C3B">
        <w:rPr>
          <w:lang w:val="fr-CA"/>
        </w:rPr>
        <w:lastRenderedPageBreak/>
        <w:t>à l</w:t>
      </w:r>
      <w:r w:rsidR="00E87C0F" w:rsidRPr="004D4C3B">
        <w:rPr>
          <w:lang w:val="fr-CA"/>
        </w:rPr>
        <w:t>’</w:t>
      </w:r>
      <w:r w:rsidR="000A2DF0" w:rsidRPr="004D4C3B">
        <w:rPr>
          <w:lang w:val="fr-CA"/>
        </w:rPr>
        <w:t>égard desquels le secret professionnel de l</w:t>
      </w:r>
      <w:r w:rsidR="00E87C0F" w:rsidRPr="004D4C3B">
        <w:rPr>
          <w:lang w:val="fr-CA"/>
        </w:rPr>
        <w:t>’</w:t>
      </w:r>
      <w:r w:rsidR="000A2DF0" w:rsidRPr="004D4C3B">
        <w:rPr>
          <w:lang w:val="fr-CA"/>
        </w:rPr>
        <w:t>avocat est invoqué qu</w:t>
      </w:r>
      <w:r w:rsidR="00E87C0F" w:rsidRPr="004D4C3B">
        <w:rPr>
          <w:lang w:val="fr-CA"/>
        </w:rPr>
        <w:t>’</w:t>
      </w:r>
      <w:r w:rsidR="000A2DF0" w:rsidRPr="004D4C3B">
        <w:rPr>
          <w:lang w:val="fr-CA"/>
        </w:rPr>
        <w:t xml:space="preserve">à (ii) celle de donner un avis enjoignant à son destinataire de produire des documents. </w:t>
      </w:r>
    </w:p>
    <w:p w:rsidR="00685CB2" w:rsidRPr="004D4C3B" w:rsidRDefault="00685CB2" w:rsidP="00B3618F">
      <w:pPr>
        <w:pStyle w:val="SCCNormalDoubleSpacing"/>
        <w:widowControl w:val="0"/>
        <w:spacing w:after="480"/>
        <w:rPr>
          <w:lang w:val="fr-CA"/>
        </w:rPr>
      </w:pPr>
      <w:r w:rsidRPr="004D4C3B">
        <w:rPr>
          <w:lang w:val="fr-CA"/>
        </w:rPr>
        <w:tab/>
        <w:t>L</w:t>
      </w:r>
      <w:r w:rsidR="00E87C0F" w:rsidRPr="004D4C3B">
        <w:rPr>
          <w:lang w:val="fr-CA"/>
        </w:rPr>
        <w:t>’</w:t>
      </w:r>
      <w:r w:rsidRPr="004D4C3B">
        <w:rPr>
          <w:lang w:val="fr-CA"/>
        </w:rPr>
        <w:t>expression « </w:t>
      </w:r>
      <w:r w:rsidR="00351568" w:rsidRPr="004D4C3B">
        <w:rPr>
          <w:lang w:val="fr-CA"/>
        </w:rPr>
        <w:t xml:space="preserve">tout </w:t>
      </w:r>
      <w:r w:rsidRPr="004D4C3B">
        <w:rPr>
          <w:lang w:val="fr-CA"/>
        </w:rPr>
        <w:t>privilège que reconnaît le droit de la preuve » n</w:t>
      </w:r>
      <w:r w:rsidR="00E87C0F" w:rsidRPr="004D4C3B">
        <w:rPr>
          <w:lang w:val="fr-CA"/>
        </w:rPr>
        <w:t>’</w:t>
      </w:r>
      <w:r w:rsidRPr="004D4C3B">
        <w:rPr>
          <w:lang w:val="fr-CA"/>
        </w:rPr>
        <w:t xml:space="preserve">oblige pas un organisme public à communiquer </w:t>
      </w:r>
      <w:r w:rsidR="00D83549" w:rsidRPr="004D4C3B">
        <w:rPr>
          <w:lang w:val="fr-CA"/>
        </w:rPr>
        <w:t>au c</w:t>
      </w:r>
      <w:r w:rsidRPr="004D4C3B">
        <w:rPr>
          <w:lang w:val="fr-CA"/>
        </w:rPr>
        <w:t>ommissaire un document à l</w:t>
      </w:r>
      <w:r w:rsidR="00E87C0F" w:rsidRPr="004D4C3B">
        <w:rPr>
          <w:lang w:val="fr-CA"/>
        </w:rPr>
        <w:t>’</w:t>
      </w:r>
      <w:r w:rsidRPr="004D4C3B">
        <w:rPr>
          <w:lang w:val="fr-CA"/>
        </w:rPr>
        <w:t>égard duquel est invoqué le secret professionnel de l</w:t>
      </w:r>
      <w:r w:rsidR="00E87C0F" w:rsidRPr="004D4C3B">
        <w:rPr>
          <w:lang w:val="fr-CA"/>
        </w:rPr>
        <w:t>’</w:t>
      </w:r>
      <w:r w:rsidRPr="004D4C3B">
        <w:rPr>
          <w:lang w:val="fr-CA"/>
        </w:rPr>
        <w:t>avocat. Le secret professionnel de l</w:t>
      </w:r>
      <w:r w:rsidR="00E87C0F" w:rsidRPr="004D4C3B">
        <w:rPr>
          <w:lang w:val="fr-CA"/>
        </w:rPr>
        <w:t>’</w:t>
      </w:r>
      <w:r w:rsidRPr="004D4C3B">
        <w:rPr>
          <w:lang w:val="fr-CA"/>
        </w:rPr>
        <w:t>avocat n</w:t>
      </w:r>
      <w:r w:rsidR="00E87C0F" w:rsidRPr="004D4C3B">
        <w:rPr>
          <w:lang w:val="fr-CA"/>
        </w:rPr>
        <w:t>’</w:t>
      </w:r>
      <w:r w:rsidRPr="004D4C3B">
        <w:rPr>
          <w:lang w:val="fr-CA"/>
        </w:rPr>
        <w:t>est plus seulement un privilège du droit de la preuve, mais constitue un droit substantiel</w:t>
      </w:r>
      <w:r w:rsidR="00482150" w:rsidRPr="004D4C3B">
        <w:rPr>
          <w:lang w:val="fr-CA"/>
        </w:rPr>
        <w:t xml:space="preserve"> qui est essentiel</w:t>
      </w:r>
      <w:r w:rsidRPr="004D4C3B">
        <w:rPr>
          <w:lang w:val="fr-CA"/>
        </w:rPr>
        <w:t xml:space="preserve"> au bon fonctionnement de notre système de justice.</w:t>
      </w:r>
      <w:r w:rsidR="002B61F4" w:rsidRPr="004D4C3B">
        <w:rPr>
          <w:lang w:val="fr-CA"/>
        </w:rPr>
        <w:t xml:space="preserve"> La communication de documents en application d</w:t>
      </w:r>
      <w:r w:rsidR="00E87C0F" w:rsidRPr="004D4C3B">
        <w:rPr>
          <w:lang w:val="fr-CA"/>
        </w:rPr>
        <w:t>’</w:t>
      </w:r>
      <w:r w:rsidR="002B61F4" w:rsidRPr="004D4C3B">
        <w:rPr>
          <w:lang w:val="fr-CA"/>
        </w:rPr>
        <w:t>un régime d</w:t>
      </w:r>
      <w:r w:rsidR="00E87C0F" w:rsidRPr="004D4C3B">
        <w:rPr>
          <w:lang w:val="fr-CA"/>
        </w:rPr>
        <w:t>’</w:t>
      </w:r>
      <w:r w:rsidR="002B61F4" w:rsidRPr="004D4C3B">
        <w:rPr>
          <w:lang w:val="fr-CA"/>
        </w:rPr>
        <w:t>accès à l</w:t>
      </w:r>
      <w:r w:rsidR="00E87C0F" w:rsidRPr="004D4C3B">
        <w:rPr>
          <w:lang w:val="fr-CA"/>
        </w:rPr>
        <w:t>’</w:t>
      </w:r>
      <w:r w:rsidR="002B61F4" w:rsidRPr="004D4C3B">
        <w:rPr>
          <w:lang w:val="fr-CA"/>
        </w:rPr>
        <w:t>information établi par une loi, indépendamment d</w:t>
      </w:r>
      <w:r w:rsidR="00E87C0F" w:rsidRPr="004D4C3B">
        <w:rPr>
          <w:lang w:val="fr-CA"/>
        </w:rPr>
        <w:t>’</w:t>
      </w:r>
      <w:r w:rsidR="002B61F4" w:rsidRPr="004D4C3B">
        <w:rPr>
          <w:lang w:val="fr-CA"/>
        </w:rPr>
        <w:t>une instance judiciaire, met en jeu le secret professionnel de l</w:t>
      </w:r>
      <w:r w:rsidR="00E87C0F" w:rsidRPr="004D4C3B">
        <w:rPr>
          <w:lang w:val="fr-CA"/>
        </w:rPr>
        <w:t>’</w:t>
      </w:r>
      <w:r w:rsidR="002B61F4" w:rsidRPr="004D4C3B">
        <w:rPr>
          <w:lang w:val="fr-CA"/>
        </w:rPr>
        <w:t>avocat sur le plan du fond plutôt que sur celui de la preuve. Si le secret professionnel de l</w:t>
      </w:r>
      <w:r w:rsidR="00E87C0F" w:rsidRPr="004D4C3B">
        <w:rPr>
          <w:lang w:val="fr-CA"/>
        </w:rPr>
        <w:t>’</w:t>
      </w:r>
      <w:r w:rsidR="002B61F4" w:rsidRPr="004D4C3B">
        <w:rPr>
          <w:lang w:val="fr-CA"/>
        </w:rPr>
        <w:t>avocat constitue un principe fondamental du droit, la disposition législative dont l</w:t>
      </w:r>
      <w:r w:rsidR="00E87C0F" w:rsidRPr="004D4C3B">
        <w:rPr>
          <w:lang w:val="fr-CA"/>
        </w:rPr>
        <w:t>’</w:t>
      </w:r>
      <w:r w:rsidR="002B61F4" w:rsidRPr="004D4C3B">
        <w:rPr>
          <w:lang w:val="fr-CA"/>
        </w:rPr>
        <w:t>objet est de le supprimer, de l</w:t>
      </w:r>
      <w:r w:rsidR="00E87C0F" w:rsidRPr="004D4C3B">
        <w:rPr>
          <w:lang w:val="fr-CA"/>
        </w:rPr>
        <w:t>’</w:t>
      </w:r>
      <w:r w:rsidR="002B61F4" w:rsidRPr="004D4C3B">
        <w:rPr>
          <w:lang w:val="fr-CA"/>
        </w:rPr>
        <w:t>écarter ou d</w:t>
      </w:r>
      <w:r w:rsidR="00E87C0F" w:rsidRPr="004D4C3B">
        <w:rPr>
          <w:lang w:val="fr-CA"/>
        </w:rPr>
        <w:t>’</w:t>
      </w:r>
      <w:r w:rsidR="002B61F4" w:rsidRPr="004D4C3B">
        <w:rPr>
          <w:lang w:val="fr-CA"/>
        </w:rPr>
        <w:t>y porter atteinte doit être interprétée de manière restrictive et l</w:t>
      </w:r>
      <w:r w:rsidR="00E87C0F" w:rsidRPr="004D4C3B">
        <w:rPr>
          <w:lang w:val="fr-CA"/>
        </w:rPr>
        <w:t>’</w:t>
      </w:r>
      <w:r w:rsidR="002B61F4" w:rsidRPr="004D4C3B">
        <w:rPr>
          <w:lang w:val="fr-CA"/>
        </w:rPr>
        <w:t xml:space="preserve">intention du législateur doit y être claire et non équivoque. Le </w:t>
      </w:r>
      <w:r w:rsidR="00E87C0F" w:rsidRPr="004D4C3B">
        <w:rPr>
          <w:lang w:val="fr-CA"/>
        </w:rPr>
        <w:t>par</w:t>
      </w:r>
      <w:r w:rsidR="00F80C15">
        <w:rPr>
          <w:lang w:val="fr-CA"/>
        </w:rPr>
        <w:t>agraphe</w:t>
      </w:r>
      <w:r w:rsidR="00E87C0F" w:rsidRPr="004D4C3B">
        <w:rPr>
          <w:lang w:val="fr-CA"/>
        </w:rPr>
        <w:t> </w:t>
      </w:r>
      <w:r w:rsidR="002B61F4" w:rsidRPr="004D4C3B">
        <w:rPr>
          <w:lang w:val="fr-CA"/>
        </w:rPr>
        <w:t>56(3) ne satisfait pas à cette exigence et ne traduit donc pas l</w:t>
      </w:r>
      <w:r w:rsidR="00E87C0F" w:rsidRPr="004D4C3B">
        <w:rPr>
          <w:lang w:val="fr-CA"/>
        </w:rPr>
        <w:t>’</w:t>
      </w:r>
      <w:r w:rsidR="002B61F4" w:rsidRPr="004D4C3B">
        <w:rPr>
          <w:lang w:val="fr-CA"/>
        </w:rPr>
        <w:t>intention claire et non équivoque du législateur d</w:t>
      </w:r>
      <w:r w:rsidR="00E87C0F" w:rsidRPr="004D4C3B">
        <w:rPr>
          <w:lang w:val="fr-CA"/>
        </w:rPr>
        <w:t>’</w:t>
      </w:r>
      <w:r w:rsidR="002B61F4" w:rsidRPr="004D4C3B">
        <w:rPr>
          <w:lang w:val="fr-CA"/>
        </w:rPr>
        <w:t>écarter le secret professionnel de l</w:t>
      </w:r>
      <w:r w:rsidR="00E87C0F" w:rsidRPr="004D4C3B">
        <w:rPr>
          <w:lang w:val="fr-CA"/>
        </w:rPr>
        <w:t>’</w:t>
      </w:r>
      <w:r w:rsidR="002B61F4" w:rsidRPr="004D4C3B">
        <w:rPr>
          <w:lang w:val="fr-CA"/>
        </w:rPr>
        <w:t>avocat.</w:t>
      </w:r>
      <w:r w:rsidR="00110607" w:rsidRPr="004D4C3B">
        <w:rPr>
          <w:lang w:val="fr-CA"/>
        </w:rPr>
        <w:t xml:space="preserve"> Cette </w:t>
      </w:r>
      <w:r w:rsidR="00703BF2" w:rsidRPr="004D4C3B">
        <w:rPr>
          <w:lang w:val="fr-CA"/>
        </w:rPr>
        <w:t>conclusi</w:t>
      </w:r>
      <w:r w:rsidR="00110607" w:rsidRPr="004D4C3B">
        <w:rPr>
          <w:lang w:val="fr-CA"/>
        </w:rPr>
        <w:t>on ne constitue pas un abandon de la méthode moderne d</w:t>
      </w:r>
      <w:r w:rsidR="00E87C0F" w:rsidRPr="004D4C3B">
        <w:rPr>
          <w:lang w:val="fr-CA"/>
        </w:rPr>
        <w:t>’</w:t>
      </w:r>
      <w:r w:rsidR="00110607" w:rsidRPr="004D4C3B">
        <w:rPr>
          <w:lang w:val="fr-CA"/>
        </w:rPr>
        <w:t xml:space="preserve">interprétation des lois, mais reconnaît le respect des valeurs fondamentales par le législateur. </w:t>
      </w:r>
    </w:p>
    <w:p w:rsidR="000E299E" w:rsidRPr="004D4C3B" w:rsidRDefault="00110607" w:rsidP="00B3618F">
      <w:pPr>
        <w:pStyle w:val="SCCNormalDoubleSpacing"/>
        <w:widowControl w:val="0"/>
        <w:spacing w:after="480"/>
        <w:rPr>
          <w:lang w:val="fr-CA"/>
        </w:rPr>
      </w:pPr>
      <w:r w:rsidRPr="004D4C3B">
        <w:rPr>
          <w:lang w:val="fr-CA"/>
        </w:rPr>
        <w:tab/>
        <w:t>L</w:t>
      </w:r>
      <w:r w:rsidR="00E87C0F" w:rsidRPr="004D4C3B">
        <w:rPr>
          <w:lang w:val="fr-CA"/>
        </w:rPr>
        <w:t>’</w:t>
      </w:r>
      <w:r w:rsidRPr="004D4C3B">
        <w:rPr>
          <w:lang w:val="fr-CA"/>
        </w:rPr>
        <w:t xml:space="preserve">interprétation du </w:t>
      </w:r>
      <w:r w:rsidR="00E87C0F" w:rsidRPr="004D4C3B">
        <w:rPr>
          <w:lang w:val="fr-CA"/>
        </w:rPr>
        <w:t>par. </w:t>
      </w:r>
      <w:r w:rsidRPr="004D4C3B">
        <w:rPr>
          <w:lang w:val="fr-CA"/>
        </w:rPr>
        <w:t>56(3) dans le contexte global de la loi confirme que le législateur n</w:t>
      </w:r>
      <w:r w:rsidR="00E87C0F" w:rsidRPr="004D4C3B">
        <w:rPr>
          <w:lang w:val="fr-CA"/>
        </w:rPr>
        <w:t>’</w:t>
      </w:r>
      <w:r w:rsidRPr="004D4C3B">
        <w:rPr>
          <w:lang w:val="fr-CA"/>
        </w:rPr>
        <w:t>a pas voulu écarter le secret professionnel de l</w:t>
      </w:r>
      <w:r w:rsidR="00E87C0F" w:rsidRPr="004D4C3B">
        <w:rPr>
          <w:lang w:val="fr-CA"/>
        </w:rPr>
        <w:t>’</w:t>
      </w:r>
      <w:r w:rsidRPr="004D4C3B">
        <w:rPr>
          <w:lang w:val="fr-CA"/>
        </w:rPr>
        <w:t xml:space="preserve">avocat. </w:t>
      </w:r>
      <w:r w:rsidR="000E299E" w:rsidRPr="004D4C3B">
        <w:rPr>
          <w:lang w:val="fr-CA"/>
        </w:rPr>
        <w:t xml:space="preserve">Premièrement, le </w:t>
      </w:r>
      <w:r w:rsidR="00E87C0F" w:rsidRPr="004D4C3B">
        <w:rPr>
          <w:lang w:val="fr-CA"/>
        </w:rPr>
        <w:t>par. </w:t>
      </w:r>
      <w:r w:rsidR="000E299E" w:rsidRPr="004D4C3B">
        <w:rPr>
          <w:lang w:val="fr-CA"/>
        </w:rPr>
        <w:t xml:space="preserve">27(1) de la </w:t>
      </w:r>
      <w:r w:rsidR="000E299E" w:rsidRPr="004D4C3B">
        <w:rPr>
          <w:i/>
          <w:lang w:val="fr-CA"/>
        </w:rPr>
        <w:t>FOIPP</w:t>
      </w:r>
      <w:r w:rsidR="000E299E" w:rsidRPr="004D4C3B">
        <w:rPr>
          <w:lang w:val="fr-CA"/>
        </w:rPr>
        <w:t xml:space="preserve"> établit sans conteste qu</w:t>
      </w:r>
      <w:r w:rsidR="00E87C0F" w:rsidRPr="004D4C3B">
        <w:rPr>
          <w:lang w:val="fr-CA"/>
        </w:rPr>
        <w:t>’</w:t>
      </w:r>
      <w:r w:rsidR="000E299E" w:rsidRPr="004D4C3B">
        <w:rPr>
          <w:lang w:val="fr-CA"/>
        </w:rPr>
        <w:t>un organisme public peut refuser de communiquer d</w:t>
      </w:r>
      <w:r w:rsidR="000E299E" w:rsidRPr="004D4C3B">
        <w:rPr>
          <w:szCs w:val="24"/>
          <w:lang w:val="fr-CA"/>
        </w:rPr>
        <w:t xml:space="preserve">es « renseignements qui sont protégés par tout type de </w:t>
      </w:r>
      <w:r w:rsidR="000E299E" w:rsidRPr="004D4C3B">
        <w:rPr>
          <w:szCs w:val="24"/>
          <w:lang w:val="fr-CA"/>
        </w:rPr>
        <w:lastRenderedPageBreak/>
        <w:t>privilège légal, notamment le secret professionnel de l</w:t>
      </w:r>
      <w:r w:rsidR="00E87C0F" w:rsidRPr="004D4C3B">
        <w:rPr>
          <w:szCs w:val="24"/>
          <w:lang w:val="fr-CA"/>
        </w:rPr>
        <w:t>’</w:t>
      </w:r>
      <w:r w:rsidR="000E299E" w:rsidRPr="004D4C3B">
        <w:rPr>
          <w:szCs w:val="24"/>
          <w:lang w:val="fr-CA"/>
        </w:rPr>
        <w:t xml:space="preserve">avocat ». </w:t>
      </w:r>
      <w:r w:rsidR="000E299E" w:rsidRPr="004D4C3B">
        <w:rPr>
          <w:lang w:val="fr-CA"/>
        </w:rPr>
        <w:t>Deuxièmement, il s</w:t>
      </w:r>
      <w:r w:rsidR="00E87C0F" w:rsidRPr="004D4C3B">
        <w:rPr>
          <w:lang w:val="fr-CA"/>
        </w:rPr>
        <w:t>’</w:t>
      </w:r>
      <w:r w:rsidR="000E299E" w:rsidRPr="004D4C3B">
        <w:rPr>
          <w:lang w:val="fr-CA"/>
        </w:rPr>
        <w:t>agit d</w:t>
      </w:r>
      <w:r w:rsidR="00E87C0F" w:rsidRPr="004D4C3B">
        <w:rPr>
          <w:lang w:val="fr-CA"/>
        </w:rPr>
        <w:t>’</w:t>
      </w:r>
      <w:r w:rsidR="000E299E" w:rsidRPr="004D4C3B">
        <w:rPr>
          <w:lang w:val="fr-CA"/>
        </w:rPr>
        <w:t xml:space="preserve">une interprétation cohérente. Le « privilège que reconnaît le droit de la preuve » et auquel renvoie le </w:t>
      </w:r>
      <w:r w:rsidR="00E87C0F" w:rsidRPr="004D4C3B">
        <w:rPr>
          <w:lang w:val="fr-CA"/>
        </w:rPr>
        <w:t>par. </w:t>
      </w:r>
      <w:r w:rsidR="000E299E" w:rsidRPr="004D4C3B">
        <w:rPr>
          <w:lang w:val="fr-CA"/>
        </w:rPr>
        <w:t>56(3) est une sous</w:t>
      </w:r>
      <w:r w:rsidR="00E87C0F" w:rsidRPr="004D4C3B">
        <w:rPr>
          <w:lang w:val="fr-CA"/>
        </w:rPr>
        <w:noBreakHyphen/>
        <w:t xml:space="preserve">catégorie </w:t>
      </w:r>
      <w:r w:rsidR="00F80C15">
        <w:rPr>
          <w:lang w:val="fr-CA"/>
        </w:rPr>
        <w:t>de</w:t>
      </w:r>
      <w:r w:rsidR="000E299E" w:rsidRPr="004D4C3B">
        <w:rPr>
          <w:lang w:val="fr-CA"/>
        </w:rPr>
        <w:t xml:space="preserve"> « privilège léga</w:t>
      </w:r>
      <w:r w:rsidR="00F80C15">
        <w:rPr>
          <w:lang w:val="fr-CA"/>
        </w:rPr>
        <w:t>l</w:t>
      </w:r>
      <w:r w:rsidR="000E299E" w:rsidRPr="004D4C3B">
        <w:rPr>
          <w:lang w:val="fr-CA"/>
        </w:rPr>
        <w:t xml:space="preserve"> » dont fait mention le </w:t>
      </w:r>
      <w:r w:rsidR="00E87C0F" w:rsidRPr="004D4C3B">
        <w:rPr>
          <w:lang w:val="fr-CA"/>
        </w:rPr>
        <w:t>par. </w:t>
      </w:r>
      <w:r w:rsidR="000E299E" w:rsidRPr="004D4C3B">
        <w:rPr>
          <w:lang w:val="fr-CA"/>
        </w:rPr>
        <w:t>27(</w:t>
      </w:r>
      <w:r w:rsidR="00703BF2" w:rsidRPr="004D4C3B">
        <w:rPr>
          <w:lang w:val="fr-CA"/>
        </w:rPr>
        <w:t>1</w:t>
      </w:r>
      <w:r w:rsidR="000E299E" w:rsidRPr="004D4C3B">
        <w:rPr>
          <w:lang w:val="fr-CA"/>
        </w:rPr>
        <w:t>). Interprété</w:t>
      </w:r>
      <w:r w:rsidR="000A1B61">
        <w:rPr>
          <w:lang w:val="fr-CA"/>
        </w:rPr>
        <w:t>e</w:t>
      </w:r>
      <w:r w:rsidR="000E299E" w:rsidRPr="004D4C3B">
        <w:rPr>
          <w:lang w:val="fr-CA"/>
        </w:rPr>
        <w:t>s de pair, les deux dispositions font en sorte qu</w:t>
      </w:r>
      <w:r w:rsidR="00E87C0F" w:rsidRPr="004D4C3B">
        <w:rPr>
          <w:lang w:val="fr-CA"/>
        </w:rPr>
        <w:t>’</w:t>
      </w:r>
      <w:r w:rsidR="000E299E" w:rsidRPr="004D4C3B">
        <w:rPr>
          <w:lang w:val="fr-CA"/>
        </w:rPr>
        <w:t>un organisme public peut refuser de communiquer un document qui fait l</w:t>
      </w:r>
      <w:r w:rsidR="00E87C0F" w:rsidRPr="004D4C3B">
        <w:rPr>
          <w:lang w:val="fr-CA"/>
        </w:rPr>
        <w:t>’</w:t>
      </w:r>
      <w:r w:rsidR="000E299E" w:rsidRPr="004D4C3B">
        <w:rPr>
          <w:lang w:val="fr-CA"/>
        </w:rPr>
        <w:t>objet d</w:t>
      </w:r>
      <w:r w:rsidR="00E87C0F" w:rsidRPr="004D4C3B">
        <w:rPr>
          <w:lang w:val="fr-CA"/>
        </w:rPr>
        <w:t>’</w:t>
      </w:r>
      <w:r w:rsidR="000E299E" w:rsidRPr="004D4C3B">
        <w:rPr>
          <w:lang w:val="fr-CA"/>
        </w:rPr>
        <w:t>un « privilège légal », alors que l</w:t>
      </w:r>
      <w:r w:rsidR="00E817B4" w:rsidRPr="004D4C3B">
        <w:rPr>
          <w:lang w:val="fr-CA"/>
        </w:rPr>
        <w:t>e c</w:t>
      </w:r>
      <w:r w:rsidR="000E299E" w:rsidRPr="004D4C3B">
        <w:rPr>
          <w:lang w:val="fr-CA"/>
        </w:rPr>
        <w:t>ommissaire peut obtenir un document à l</w:t>
      </w:r>
      <w:r w:rsidR="00E87C0F" w:rsidRPr="004D4C3B">
        <w:rPr>
          <w:lang w:val="fr-CA"/>
        </w:rPr>
        <w:t>’</w:t>
      </w:r>
      <w:r w:rsidR="000E299E" w:rsidRPr="004D4C3B">
        <w:rPr>
          <w:lang w:val="fr-CA"/>
        </w:rPr>
        <w:t xml:space="preserve">égard duquel est invoqué </w:t>
      </w:r>
      <w:r w:rsidR="00E9469A" w:rsidRPr="004D4C3B">
        <w:rPr>
          <w:lang w:val="fr-CA"/>
        </w:rPr>
        <w:t xml:space="preserve">un </w:t>
      </w:r>
      <w:r w:rsidR="000E299E" w:rsidRPr="004D4C3B">
        <w:rPr>
          <w:lang w:val="fr-CA"/>
        </w:rPr>
        <w:t>« privilège que reconnaît le droit de la preuve » afin de se prononcer sur le bien</w:t>
      </w:r>
      <w:r w:rsidR="00E87C0F" w:rsidRPr="004D4C3B">
        <w:rPr>
          <w:lang w:val="fr-CA"/>
        </w:rPr>
        <w:noBreakHyphen/>
      </w:r>
      <w:r w:rsidR="000E299E" w:rsidRPr="004D4C3B">
        <w:rPr>
          <w:lang w:val="fr-CA"/>
        </w:rPr>
        <w:t>fondé de la revendication.</w:t>
      </w:r>
      <w:r w:rsidR="00E9469A" w:rsidRPr="004D4C3B">
        <w:rPr>
          <w:lang w:val="fr-CA"/>
        </w:rPr>
        <w:t xml:space="preserve"> </w:t>
      </w:r>
      <w:r w:rsidR="00A20A17" w:rsidRPr="004D4C3B">
        <w:rPr>
          <w:lang w:val="fr-CA"/>
        </w:rPr>
        <w:t>Troisièmement, étant donné l</w:t>
      </w:r>
      <w:r w:rsidR="00E87C0F" w:rsidRPr="004D4C3B">
        <w:rPr>
          <w:lang w:val="fr-CA"/>
        </w:rPr>
        <w:t>’</w:t>
      </w:r>
      <w:r w:rsidR="00A20A17" w:rsidRPr="004D4C3B">
        <w:rPr>
          <w:lang w:val="fr-CA"/>
        </w:rPr>
        <w:t>importance fondamentale du secret professionnel de l</w:t>
      </w:r>
      <w:r w:rsidR="00E87C0F" w:rsidRPr="004D4C3B">
        <w:rPr>
          <w:lang w:val="fr-CA"/>
        </w:rPr>
        <w:t>’</w:t>
      </w:r>
      <w:r w:rsidR="00A20A17" w:rsidRPr="004D4C3B">
        <w:rPr>
          <w:lang w:val="fr-CA"/>
        </w:rPr>
        <w:t>avocat, si le législateur avait voulu l</w:t>
      </w:r>
      <w:r w:rsidR="00E87C0F" w:rsidRPr="004D4C3B">
        <w:rPr>
          <w:lang w:val="fr-CA"/>
        </w:rPr>
        <w:t>’</w:t>
      </w:r>
      <w:r w:rsidR="00A20A17" w:rsidRPr="004D4C3B">
        <w:rPr>
          <w:lang w:val="fr-CA"/>
        </w:rPr>
        <w:t>écarter, il aurait établi certaines sauvegardes afin de faire en sorte que la communication de documents protégés par le secret professionnel de l</w:t>
      </w:r>
      <w:r w:rsidR="00E87C0F" w:rsidRPr="004D4C3B">
        <w:rPr>
          <w:lang w:val="fr-CA"/>
        </w:rPr>
        <w:t>’</w:t>
      </w:r>
      <w:r w:rsidR="00A20A17" w:rsidRPr="004D4C3B">
        <w:rPr>
          <w:lang w:val="fr-CA"/>
        </w:rPr>
        <w:t>avocat n</w:t>
      </w:r>
      <w:r w:rsidR="00E87C0F" w:rsidRPr="004D4C3B">
        <w:rPr>
          <w:lang w:val="fr-CA"/>
        </w:rPr>
        <w:t>’</w:t>
      </w:r>
      <w:r w:rsidR="00A20A17" w:rsidRPr="004D4C3B">
        <w:rPr>
          <w:lang w:val="fr-CA"/>
        </w:rPr>
        <w:t xml:space="preserve">intervienne pas de manière préjudiciable au droit substantiel ou </w:t>
      </w:r>
      <w:r w:rsidR="00703BF2" w:rsidRPr="004D4C3B">
        <w:rPr>
          <w:lang w:val="fr-CA"/>
        </w:rPr>
        <w:t xml:space="preserve">il aurait </w:t>
      </w:r>
      <w:r w:rsidR="00A20A17" w:rsidRPr="004D4C3B">
        <w:rPr>
          <w:lang w:val="fr-CA"/>
        </w:rPr>
        <w:t>précisé que la communication au commissaire d</w:t>
      </w:r>
      <w:r w:rsidR="00E87C0F" w:rsidRPr="004D4C3B">
        <w:rPr>
          <w:lang w:val="fr-CA"/>
        </w:rPr>
        <w:t>’</w:t>
      </w:r>
      <w:r w:rsidR="00A20A17" w:rsidRPr="004D4C3B">
        <w:rPr>
          <w:lang w:val="fr-CA"/>
        </w:rPr>
        <w:t>un document protégé par le secret professionnel de l</w:t>
      </w:r>
      <w:r w:rsidR="00E87C0F" w:rsidRPr="004D4C3B">
        <w:rPr>
          <w:lang w:val="fr-CA"/>
        </w:rPr>
        <w:t>’</w:t>
      </w:r>
      <w:r w:rsidR="00A20A17" w:rsidRPr="004D4C3B">
        <w:rPr>
          <w:lang w:val="fr-CA"/>
        </w:rPr>
        <w:t>avocat emporte ou non renonciation au privilège.</w:t>
      </w:r>
    </w:p>
    <w:p w:rsidR="00B05D53" w:rsidRPr="004D4C3B" w:rsidRDefault="00CA7436" w:rsidP="00B3618F">
      <w:pPr>
        <w:pStyle w:val="SCCNormalDoubleSpacing"/>
        <w:widowControl w:val="0"/>
        <w:spacing w:after="480"/>
        <w:rPr>
          <w:lang w:val="fr-CA"/>
        </w:rPr>
      </w:pPr>
      <w:r w:rsidRPr="004D4C3B">
        <w:rPr>
          <w:lang w:val="fr-CA"/>
        </w:rPr>
        <w:tab/>
      </w:r>
      <w:r w:rsidR="00A20A17" w:rsidRPr="004D4C3B">
        <w:rPr>
          <w:lang w:val="fr-CA"/>
        </w:rPr>
        <w:t xml:space="preserve">Enfin, même si le </w:t>
      </w:r>
      <w:r w:rsidR="00E87C0F" w:rsidRPr="004D4C3B">
        <w:rPr>
          <w:lang w:val="fr-CA"/>
        </w:rPr>
        <w:t>par. </w:t>
      </w:r>
      <w:r w:rsidR="00A20A17" w:rsidRPr="004D4C3B">
        <w:rPr>
          <w:lang w:val="fr-CA"/>
        </w:rPr>
        <w:t>56(3) traduisait clairement l</w:t>
      </w:r>
      <w:r w:rsidR="00E87C0F" w:rsidRPr="004D4C3B">
        <w:rPr>
          <w:lang w:val="fr-CA"/>
        </w:rPr>
        <w:t>’</w:t>
      </w:r>
      <w:r w:rsidR="00A20A17" w:rsidRPr="004D4C3B">
        <w:rPr>
          <w:lang w:val="fr-CA"/>
        </w:rPr>
        <w:t>intention du législateur d</w:t>
      </w:r>
      <w:r w:rsidR="00E87C0F" w:rsidRPr="004D4C3B">
        <w:rPr>
          <w:lang w:val="fr-CA"/>
        </w:rPr>
        <w:t>’</w:t>
      </w:r>
      <w:r w:rsidR="00A20A17" w:rsidRPr="004D4C3B">
        <w:rPr>
          <w:lang w:val="fr-CA"/>
        </w:rPr>
        <w:t>écarter le secret professionnel de l</w:t>
      </w:r>
      <w:r w:rsidR="00E87C0F" w:rsidRPr="004D4C3B">
        <w:rPr>
          <w:lang w:val="fr-CA"/>
        </w:rPr>
        <w:t>’</w:t>
      </w:r>
      <w:r w:rsidR="00A20A17" w:rsidRPr="004D4C3B">
        <w:rPr>
          <w:lang w:val="fr-CA"/>
        </w:rPr>
        <w:t>avocat, il ne s</w:t>
      </w:r>
      <w:r w:rsidR="00E87C0F" w:rsidRPr="004D4C3B">
        <w:rPr>
          <w:lang w:val="fr-CA"/>
        </w:rPr>
        <w:t>’</w:t>
      </w:r>
      <w:r w:rsidR="00A20A17" w:rsidRPr="004D4C3B">
        <w:rPr>
          <w:lang w:val="fr-CA"/>
        </w:rPr>
        <w:t xml:space="preserve">agit pas </w:t>
      </w:r>
      <w:r w:rsidR="00B05D53" w:rsidRPr="004D4C3B">
        <w:rPr>
          <w:lang w:val="fr-CA"/>
        </w:rPr>
        <w:t>en l</w:t>
      </w:r>
      <w:r w:rsidR="00E87C0F" w:rsidRPr="004D4C3B">
        <w:rPr>
          <w:lang w:val="fr-CA"/>
        </w:rPr>
        <w:t>’</w:t>
      </w:r>
      <w:r w:rsidR="00B05D53" w:rsidRPr="004D4C3B">
        <w:rPr>
          <w:lang w:val="fr-CA"/>
        </w:rPr>
        <w:t xml:space="preserve">espèce </w:t>
      </w:r>
      <w:r w:rsidR="00A20A17" w:rsidRPr="004D4C3B">
        <w:rPr>
          <w:lang w:val="fr-CA"/>
        </w:rPr>
        <w:t>d</w:t>
      </w:r>
      <w:r w:rsidR="00E87C0F" w:rsidRPr="004D4C3B">
        <w:rPr>
          <w:lang w:val="fr-CA"/>
        </w:rPr>
        <w:t>’</w:t>
      </w:r>
      <w:r w:rsidR="00A20A17" w:rsidRPr="004D4C3B">
        <w:rPr>
          <w:lang w:val="fr-CA"/>
        </w:rPr>
        <w:t>une affaire qui se prête à une ordonnance de communication.</w:t>
      </w:r>
      <w:r w:rsidR="00B05D53" w:rsidRPr="004D4C3B">
        <w:rPr>
          <w:lang w:val="fr-CA"/>
        </w:rPr>
        <w:t xml:space="preserve"> Même si le délégué a conclu qu</w:t>
      </w:r>
      <w:r w:rsidR="00E87C0F" w:rsidRPr="004D4C3B">
        <w:rPr>
          <w:lang w:val="fr-CA"/>
        </w:rPr>
        <w:t>’</w:t>
      </w:r>
      <w:r w:rsidR="00B05D53" w:rsidRPr="004D4C3B">
        <w:rPr>
          <w:lang w:val="fr-CA"/>
        </w:rPr>
        <w:t>il devait examiner les documents parce que l</w:t>
      </w:r>
      <w:r w:rsidR="00E87C0F" w:rsidRPr="004D4C3B">
        <w:rPr>
          <w:lang w:val="fr-CA"/>
        </w:rPr>
        <w:t>’</w:t>
      </w:r>
      <w:r w:rsidR="00B05D53" w:rsidRPr="004D4C3B">
        <w:rPr>
          <w:lang w:val="fr-CA"/>
        </w:rPr>
        <w:t>Université n</w:t>
      </w:r>
      <w:r w:rsidR="00E87C0F" w:rsidRPr="004D4C3B">
        <w:rPr>
          <w:lang w:val="fr-CA"/>
        </w:rPr>
        <w:t>’</w:t>
      </w:r>
      <w:r w:rsidR="00B05D53" w:rsidRPr="004D4C3B">
        <w:rPr>
          <w:lang w:val="fr-CA"/>
        </w:rPr>
        <w:t>avait pas établi l</w:t>
      </w:r>
      <w:r w:rsidR="00E87C0F" w:rsidRPr="004D4C3B">
        <w:rPr>
          <w:lang w:val="fr-CA"/>
        </w:rPr>
        <w:t>’</w:t>
      </w:r>
      <w:r w:rsidR="00B05D53" w:rsidRPr="004D4C3B">
        <w:rPr>
          <w:lang w:val="fr-CA"/>
        </w:rPr>
        <w:t>application du secret professionnel de l</w:t>
      </w:r>
      <w:r w:rsidR="00E87C0F" w:rsidRPr="004D4C3B">
        <w:rPr>
          <w:lang w:val="fr-CA"/>
        </w:rPr>
        <w:t>’</w:t>
      </w:r>
      <w:r w:rsidR="00B05D53" w:rsidRPr="004D4C3B">
        <w:rPr>
          <w:lang w:val="fr-CA"/>
        </w:rPr>
        <w:t>avocat comme l</w:t>
      </w:r>
      <w:r w:rsidR="00E87C0F" w:rsidRPr="004D4C3B">
        <w:rPr>
          <w:lang w:val="fr-CA"/>
        </w:rPr>
        <w:t>’</w:t>
      </w:r>
      <w:r w:rsidR="00B05D53" w:rsidRPr="004D4C3B">
        <w:rPr>
          <w:lang w:val="fr-CA"/>
        </w:rPr>
        <w:t>exigeait le Protocole, celui</w:t>
      </w:r>
      <w:r w:rsidR="00E87C0F" w:rsidRPr="004D4C3B">
        <w:rPr>
          <w:lang w:val="fr-CA"/>
        </w:rPr>
        <w:noBreakHyphen/>
      </w:r>
      <w:r w:rsidR="00B05D53" w:rsidRPr="004D4C3B">
        <w:rPr>
          <w:lang w:val="fr-CA"/>
        </w:rPr>
        <w:t>ci ne constitue pas une règle de droit. Il s</w:t>
      </w:r>
      <w:r w:rsidR="00E87C0F" w:rsidRPr="004D4C3B">
        <w:rPr>
          <w:lang w:val="fr-CA"/>
        </w:rPr>
        <w:t>’</w:t>
      </w:r>
      <w:r w:rsidR="00B05D53" w:rsidRPr="004D4C3B">
        <w:rPr>
          <w:lang w:val="fr-CA"/>
        </w:rPr>
        <w:t>agit plutôt d</w:t>
      </w:r>
      <w:r w:rsidR="00E87C0F" w:rsidRPr="004D4C3B">
        <w:rPr>
          <w:lang w:val="fr-CA"/>
        </w:rPr>
        <w:t>’</w:t>
      </w:r>
      <w:r w:rsidR="00B05D53" w:rsidRPr="004D4C3B">
        <w:rPr>
          <w:lang w:val="fr-CA"/>
        </w:rPr>
        <w:t>un guide conçu par le Commissariat à l</w:t>
      </w:r>
      <w:r w:rsidR="00E87C0F" w:rsidRPr="004D4C3B">
        <w:rPr>
          <w:lang w:val="fr-CA"/>
        </w:rPr>
        <w:t>’</w:t>
      </w:r>
      <w:r w:rsidR="00B05D53" w:rsidRPr="004D4C3B">
        <w:rPr>
          <w:lang w:val="fr-CA"/>
        </w:rPr>
        <w:t xml:space="preserve">intention des décideurs et des organismes publics. Le courant alors dominant dans les instances civiles albertaines permettait à une partie de regrouper les documents protégés par le </w:t>
      </w:r>
      <w:r w:rsidR="00B05D53" w:rsidRPr="004D4C3B">
        <w:rPr>
          <w:lang w:val="fr-CA"/>
        </w:rPr>
        <w:lastRenderedPageBreak/>
        <w:t>secret professionnel de l</w:t>
      </w:r>
      <w:r w:rsidR="00E87C0F" w:rsidRPr="004D4C3B">
        <w:rPr>
          <w:lang w:val="fr-CA"/>
        </w:rPr>
        <w:t>’</w:t>
      </w:r>
      <w:r w:rsidR="00B05D53" w:rsidRPr="004D4C3B">
        <w:rPr>
          <w:lang w:val="fr-CA"/>
        </w:rPr>
        <w:t>avocat et de les identifier au moyen de numéros</w:t>
      </w:r>
      <w:r w:rsidR="00703BF2" w:rsidRPr="004D4C3B">
        <w:rPr>
          <w:lang w:val="fr-CA"/>
        </w:rPr>
        <w:t>,</w:t>
      </w:r>
      <w:r w:rsidR="00B05D53" w:rsidRPr="004D4C3B">
        <w:rPr>
          <w:lang w:val="fr-CA"/>
        </w:rPr>
        <w:t xml:space="preserve"> et aucun élément de preuve ni aucun argument selon lequel l</w:t>
      </w:r>
      <w:r w:rsidR="00E87C0F" w:rsidRPr="004D4C3B">
        <w:rPr>
          <w:lang w:val="fr-CA"/>
        </w:rPr>
        <w:t>’</w:t>
      </w:r>
      <w:r w:rsidR="00B05D53" w:rsidRPr="004D4C3B">
        <w:rPr>
          <w:lang w:val="fr-CA"/>
        </w:rPr>
        <w:t>Université avait invoqué sans droit le secret professionnel de l</w:t>
      </w:r>
      <w:r w:rsidR="00E87C0F" w:rsidRPr="004D4C3B">
        <w:rPr>
          <w:lang w:val="fr-CA"/>
        </w:rPr>
        <w:t>’</w:t>
      </w:r>
      <w:r w:rsidR="00B05D53" w:rsidRPr="004D4C3B">
        <w:rPr>
          <w:lang w:val="fr-CA"/>
        </w:rPr>
        <w:t>avocat n</w:t>
      </w:r>
      <w:r w:rsidR="00E87C0F" w:rsidRPr="004D4C3B">
        <w:rPr>
          <w:lang w:val="fr-CA"/>
        </w:rPr>
        <w:t>’</w:t>
      </w:r>
      <w:r w:rsidR="00B05D53" w:rsidRPr="004D4C3B">
        <w:rPr>
          <w:lang w:val="fr-CA"/>
        </w:rPr>
        <w:t>a</w:t>
      </w:r>
      <w:r w:rsidR="00736DF7" w:rsidRPr="004D4C3B">
        <w:rPr>
          <w:lang w:val="fr-CA"/>
        </w:rPr>
        <w:t>vait</w:t>
      </w:r>
      <w:r w:rsidR="00B05D53" w:rsidRPr="004D4C3B">
        <w:rPr>
          <w:lang w:val="fr-CA"/>
        </w:rPr>
        <w:t xml:space="preserve"> été présenté. Dans ces circonstances, le délégué a eu tort de conclure qu</w:t>
      </w:r>
      <w:r w:rsidR="00E87C0F" w:rsidRPr="004D4C3B">
        <w:rPr>
          <w:lang w:val="fr-CA"/>
        </w:rPr>
        <w:t>’</w:t>
      </w:r>
      <w:r w:rsidR="00B05D53" w:rsidRPr="004D4C3B">
        <w:rPr>
          <w:lang w:val="fr-CA"/>
        </w:rPr>
        <w:t>il lui fa</w:t>
      </w:r>
      <w:r w:rsidR="00703BF2" w:rsidRPr="004D4C3B">
        <w:rPr>
          <w:lang w:val="fr-CA"/>
        </w:rPr>
        <w:t>llait</w:t>
      </w:r>
      <w:r w:rsidR="00B05D53" w:rsidRPr="004D4C3B">
        <w:rPr>
          <w:lang w:val="fr-CA"/>
        </w:rPr>
        <w:t xml:space="preserve"> examiner les documents pour se prononcer en toute justice sur l</w:t>
      </w:r>
      <w:r w:rsidR="00E87C0F" w:rsidRPr="004D4C3B">
        <w:rPr>
          <w:lang w:val="fr-CA"/>
        </w:rPr>
        <w:t>’</w:t>
      </w:r>
      <w:r w:rsidR="00B05D53" w:rsidRPr="004D4C3B">
        <w:rPr>
          <w:lang w:val="fr-CA"/>
        </w:rPr>
        <w:t>existence du privilège.</w:t>
      </w:r>
    </w:p>
    <w:p w:rsidR="00736DF7" w:rsidRPr="004D4C3B" w:rsidRDefault="00CA7436" w:rsidP="00B3618F">
      <w:pPr>
        <w:pStyle w:val="SCCNormalDoubleSpacing"/>
        <w:widowControl w:val="0"/>
        <w:spacing w:after="480"/>
        <w:rPr>
          <w:lang w:val="fr-CA"/>
        </w:rPr>
      </w:pPr>
      <w:r w:rsidRPr="004D4C3B">
        <w:rPr>
          <w:lang w:val="fr-CA"/>
        </w:rPr>
        <w:tab/>
      </w:r>
      <w:r w:rsidR="00736DF7" w:rsidRPr="004D4C3B">
        <w:rPr>
          <w:i/>
          <w:lang w:val="fr-CA"/>
        </w:rPr>
        <w:t xml:space="preserve">Le </w:t>
      </w:r>
      <w:r w:rsidR="00736DF7" w:rsidRPr="004D4C3B">
        <w:rPr>
          <w:lang w:val="fr-CA"/>
        </w:rPr>
        <w:t xml:space="preserve">juge </w:t>
      </w:r>
      <w:r w:rsidR="00736DF7" w:rsidRPr="00F80C15">
        <w:rPr>
          <w:lang w:val="fr-CA"/>
        </w:rPr>
        <w:t>Cromwell</w:t>
      </w:r>
      <w:r w:rsidR="00E87C0F" w:rsidRPr="00F80C15">
        <w:rPr>
          <w:lang w:val="fr-CA"/>
        </w:rPr>
        <w:t> </w:t>
      </w:r>
      <w:r w:rsidR="00E87C0F" w:rsidRPr="004D4C3B">
        <w:rPr>
          <w:lang w:val="fr-CA"/>
        </w:rPr>
        <w:t>:</w:t>
      </w:r>
      <w:r w:rsidR="00736DF7" w:rsidRPr="004D4C3B">
        <w:rPr>
          <w:lang w:val="fr-CA"/>
        </w:rPr>
        <w:t xml:space="preserve"> Il appert du libellé exprès du </w:t>
      </w:r>
      <w:r w:rsidR="00E87C0F" w:rsidRPr="004D4C3B">
        <w:rPr>
          <w:lang w:val="fr-CA"/>
        </w:rPr>
        <w:t>par. </w:t>
      </w:r>
      <w:r w:rsidR="00736DF7" w:rsidRPr="004D4C3B">
        <w:rPr>
          <w:lang w:val="fr-CA"/>
        </w:rPr>
        <w:t xml:space="preserve">56(3) de la </w:t>
      </w:r>
      <w:r w:rsidR="00703BF2" w:rsidRPr="004D4C3B">
        <w:rPr>
          <w:i/>
          <w:lang w:val="fr-CA"/>
        </w:rPr>
        <w:t>Freedom of Information and Protection of Privacy Act</w:t>
      </w:r>
      <w:r w:rsidR="00736DF7" w:rsidRPr="004D4C3B">
        <w:rPr>
          <w:lang w:val="fr-CA"/>
        </w:rPr>
        <w:t xml:space="preserve"> et de la totalité du contexte dans lequel il s</w:t>
      </w:r>
      <w:r w:rsidR="00E87C0F" w:rsidRPr="004D4C3B">
        <w:rPr>
          <w:lang w:val="fr-CA"/>
        </w:rPr>
        <w:t>’</w:t>
      </w:r>
      <w:r w:rsidR="00736DF7" w:rsidRPr="004D4C3B">
        <w:rPr>
          <w:lang w:val="fr-CA"/>
        </w:rPr>
        <w:t>inscrit que le législateur a voulu supprimer le secret professionnel de l</w:t>
      </w:r>
      <w:r w:rsidR="00E87C0F" w:rsidRPr="004D4C3B">
        <w:rPr>
          <w:lang w:val="fr-CA"/>
        </w:rPr>
        <w:t>’</w:t>
      </w:r>
      <w:r w:rsidR="00736DF7" w:rsidRPr="004D4C3B">
        <w:rPr>
          <w:lang w:val="fr-CA"/>
        </w:rPr>
        <w:t xml:space="preserve">avocat pour permettre </w:t>
      </w:r>
      <w:r w:rsidR="00E817B4" w:rsidRPr="004D4C3B">
        <w:rPr>
          <w:lang w:val="fr-CA"/>
        </w:rPr>
        <w:t>au c</w:t>
      </w:r>
      <w:r w:rsidR="00736DF7" w:rsidRPr="004D4C3B">
        <w:rPr>
          <w:lang w:val="fr-CA"/>
        </w:rPr>
        <w:t>ommissaire d</w:t>
      </w:r>
      <w:r w:rsidR="00E87C0F" w:rsidRPr="004D4C3B">
        <w:rPr>
          <w:lang w:val="fr-CA"/>
        </w:rPr>
        <w:t>’</w:t>
      </w:r>
      <w:r w:rsidR="00736DF7" w:rsidRPr="004D4C3B">
        <w:rPr>
          <w:lang w:val="fr-CA"/>
        </w:rPr>
        <w:t>ordonner la production de documents lorsque cette mesure est nécessaire pour se prononcer sur l</w:t>
      </w:r>
      <w:r w:rsidR="00E87C0F" w:rsidRPr="004D4C3B">
        <w:rPr>
          <w:lang w:val="fr-CA"/>
        </w:rPr>
        <w:t>’</w:t>
      </w:r>
      <w:r w:rsidR="00736DF7" w:rsidRPr="004D4C3B">
        <w:rPr>
          <w:lang w:val="fr-CA"/>
        </w:rPr>
        <w:t>application du secret professionnel de l</w:t>
      </w:r>
      <w:r w:rsidR="00E87C0F" w:rsidRPr="004D4C3B">
        <w:rPr>
          <w:lang w:val="fr-CA"/>
        </w:rPr>
        <w:t>’</w:t>
      </w:r>
      <w:r w:rsidR="00736DF7" w:rsidRPr="004D4C3B">
        <w:rPr>
          <w:lang w:val="fr-CA"/>
        </w:rPr>
        <w:t xml:space="preserve">avocat invoqué à leur égard. Le </w:t>
      </w:r>
      <w:r w:rsidR="00F80C15">
        <w:rPr>
          <w:lang w:val="fr-CA"/>
        </w:rPr>
        <w:t>paragraphe</w:t>
      </w:r>
      <w:r w:rsidR="00E87C0F" w:rsidRPr="004D4C3B">
        <w:rPr>
          <w:lang w:val="fr-CA"/>
        </w:rPr>
        <w:t> </w:t>
      </w:r>
      <w:r w:rsidR="00736DF7" w:rsidRPr="004D4C3B">
        <w:rPr>
          <w:lang w:val="fr-CA"/>
        </w:rPr>
        <w:t xml:space="preserve">56(3) confère </w:t>
      </w:r>
      <w:r w:rsidR="00703BF2" w:rsidRPr="004D4C3B">
        <w:rPr>
          <w:lang w:val="fr-CA"/>
        </w:rPr>
        <w:t xml:space="preserve">explicitement </w:t>
      </w:r>
      <w:r w:rsidR="00736DF7" w:rsidRPr="004D4C3B">
        <w:rPr>
          <w:lang w:val="fr-CA"/>
        </w:rPr>
        <w:t>ce pouvoir « [m]algré [. . .] tout privilège que reconnaît le droit de la preuve »</w:t>
      </w:r>
      <w:r w:rsidR="00703BF2" w:rsidRPr="004D4C3B">
        <w:rPr>
          <w:lang w:val="fr-CA"/>
        </w:rPr>
        <w:t>,</w:t>
      </w:r>
      <w:r w:rsidR="00736DF7" w:rsidRPr="004D4C3B">
        <w:rPr>
          <w:lang w:val="fr-CA"/>
        </w:rPr>
        <w:t xml:space="preserve"> et la conclusion selon laquelle, pour l</w:t>
      </w:r>
      <w:r w:rsidR="00E87C0F" w:rsidRPr="004D4C3B">
        <w:rPr>
          <w:lang w:val="fr-CA"/>
        </w:rPr>
        <w:t>’</w:t>
      </w:r>
      <w:r w:rsidR="00736DF7" w:rsidRPr="004D4C3B">
        <w:rPr>
          <w:lang w:val="fr-CA"/>
        </w:rPr>
        <w:t xml:space="preserve">application de la </w:t>
      </w:r>
      <w:r w:rsidR="00736DF7" w:rsidRPr="004D4C3B">
        <w:rPr>
          <w:i/>
          <w:lang w:val="fr-CA"/>
        </w:rPr>
        <w:t>FOIPP</w:t>
      </w:r>
      <w:r w:rsidR="00736DF7" w:rsidRPr="004D4C3B">
        <w:rPr>
          <w:lang w:val="fr-CA"/>
        </w:rPr>
        <w:t>, le secret professionnel de l</w:t>
      </w:r>
      <w:r w:rsidR="00E87C0F" w:rsidRPr="004D4C3B">
        <w:rPr>
          <w:lang w:val="fr-CA"/>
        </w:rPr>
        <w:t>’</w:t>
      </w:r>
      <w:r w:rsidR="00736DF7" w:rsidRPr="004D4C3B">
        <w:rPr>
          <w:lang w:val="fr-CA"/>
        </w:rPr>
        <w:t>avocat constitue un privilège légal, mais non un « privilège que reconnaît le droit de la preuve », n</w:t>
      </w:r>
      <w:r w:rsidR="00E87C0F" w:rsidRPr="004D4C3B">
        <w:rPr>
          <w:lang w:val="fr-CA"/>
        </w:rPr>
        <w:t>’</w:t>
      </w:r>
      <w:r w:rsidR="00736DF7" w:rsidRPr="004D4C3B">
        <w:rPr>
          <w:lang w:val="fr-CA"/>
        </w:rPr>
        <w:t>est pas justifiée.</w:t>
      </w:r>
    </w:p>
    <w:p w:rsidR="00AF5C6F" w:rsidRPr="004D4C3B" w:rsidRDefault="00CA7436" w:rsidP="00B3618F">
      <w:pPr>
        <w:pStyle w:val="SCCNormalDoubleSpacing"/>
        <w:widowControl w:val="0"/>
        <w:spacing w:after="480"/>
        <w:rPr>
          <w:lang w:val="fr-CA"/>
        </w:rPr>
      </w:pPr>
      <w:r w:rsidRPr="004D4C3B">
        <w:rPr>
          <w:lang w:val="fr-CA"/>
        </w:rPr>
        <w:tab/>
      </w:r>
      <w:r w:rsidR="00736DF7" w:rsidRPr="004D4C3B">
        <w:rPr>
          <w:lang w:val="fr-CA"/>
        </w:rPr>
        <w:t xml:space="preserve">Suivant leur sens ordinaire et grammatical, les mots « tout privilège que reconnaît le droit de la preuve » </w:t>
      </w:r>
      <w:r w:rsidR="00703BF2" w:rsidRPr="004D4C3B">
        <w:rPr>
          <w:lang w:val="fr-CA"/>
        </w:rPr>
        <w:t xml:space="preserve">employés au </w:t>
      </w:r>
      <w:r w:rsidR="00E87C0F" w:rsidRPr="004D4C3B">
        <w:rPr>
          <w:lang w:val="fr-CA"/>
        </w:rPr>
        <w:t>par. </w:t>
      </w:r>
      <w:r w:rsidR="00703BF2" w:rsidRPr="004D4C3B">
        <w:rPr>
          <w:lang w:val="fr-CA"/>
        </w:rPr>
        <w:t xml:space="preserve">56(3) </w:t>
      </w:r>
      <w:r w:rsidR="00736DF7" w:rsidRPr="004D4C3B">
        <w:rPr>
          <w:lang w:val="fr-CA"/>
        </w:rPr>
        <w:t>englobent le secret professionnel de l</w:t>
      </w:r>
      <w:r w:rsidR="00E87C0F" w:rsidRPr="004D4C3B">
        <w:rPr>
          <w:lang w:val="fr-CA"/>
        </w:rPr>
        <w:t>’</w:t>
      </w:r>
      <w:r w:rsidR="00736DF7" w:rsidRPr="004D4C3B">
        <w:rPr>
          <w:lang w:val="fr-CA"/>
        </w:rPr>
        <w:t>avocat, lequel constitue à la fois un privilège en matière de preuve et un principe de fond. Mais comme l</w:t>
      </w:r>
      <w:r w:rsidR="00E87C0F" w:rsidRPr="004D4C3B">
        <w:rPr>
          <w:lang w:val="fr-CA"/>
        </w:rPr>
        <w:t>’</w:t>
      </w:r>
      <w:r w:rsidR="00736DF7" w:rsidRPr="004D4C3B">
        <w:rPr>
          <w:lang w:val="fr-CA"/>
        </w:rPr>
        <w:t xml:space="preserve">Université </w:t>
      </w:r>
      <w:r w:rsidR="00AF5C6F" w:rsidRPr="004D4C3B">
        <w:rPr>
          <w:lang w:val="fr-CA"/>
        </w:rPr>
        <w:t>demande qu</w:t>
      </w:r>
      <w:r w:rsidR="00E87C0F" w:rsidRPr="004D4C3B">
        <w:rPr>
          <w:lang w:val="fr-CA"/>
        </w:rPr>
        <w:t>’</w:t>
      </w:r>
      <w:r w:rsidR="00AF5C6F" w:rsidRPr="004D4C3B">
        <w:rPr>
          <w:lang w:val="fr-CA"/>
        </w:rPr>
        <w:t>on la soustraie à l</w:t>
      </w:r>
      <w:r w:rsidR="00E87C0F" w:rsidRPr="004D4C3B">
        <w:rPr>
          <w:lang w:val="fr-CA"/>
        </w:rPr>
        <w:t>’</w:t>
      </w:r>
      <w:r w:rsidR="00AF5C6F" w:rsidRPr="004D4C3B">
        <w:rPr>
          <w:lang w:val="fr-CA"/>
        </w:rPr>
        <w:t xml:space="preserve">obligation de produire les documents exigés par la Commissaire en vertu de ses pouvoirs légaux, </w:t>
      </w:r>
      <w:r w:rsidR="00736DF7" w:rsidRPr="004D4C3B">
        <w:rPr>
          <w:lang w:val="fr-CA"/>
        </w:rPr>
        <w:t>c</w:t>
      </w:r>
      <w:r w:rsidR="00E87C0F" w:rsidRPr="004D4C3B">
        <w:rPr>
          <w:lang w:val="fr-CA"/>
        </w:rPr>
        <w:t>’</w:t>
      </w:r>
      <w:r w:rsidR="00736DF7" w:rsidRPr="004D4C3B">
        <w:rPr>
          <w:lang w:val="fr-CA"/>
        </w:rPr>
        <w:t>est le privilège en matière de preuve qui est en cause en l</w:t>
      </w:r>
      <w:r w:rsidR="00E87C0F" w:rsidRPr="004D4C3B">
        <w:rPr>
          <w:lang w:val="fr-CA"/>
        </w:rPr>
        <w:t>’</w:t>
      </w:r>
      <w:r w:rsidR="00736DF7" w:rsidRPr="004D4C3B">
        <w:rPr>
          <w:lang w:val="fr-CA"/>
        </w:rPr>
        <w:t xml:space="preserve">espèce. </w:t>
      </w:r>
      <w:r w:rsidR="00AF5C6F" w:rsidRPr="004D4C3B">
        <w:rPr>
          <w:lang w:val="fr-CA"/>
        </w:rPr>
        <w:lastRenderedPageBreak/>
        <w:t xml:space="preserve">Le fait que le </w:t>
      </w:r>
      <w:r w:rsidR="00E87C0F" w:rsidRPr="004D4C3B">
        <w:rPr>
          <w:lang w:val="fr-CA"/>
        </w:rPr>
        <w:t>par. </w:t>
      </w:r>
      <w:r w:rsidR="00AF5C6F" w:rsidRPr="004D4C3B">
        <w:rPr>
          <w:lang w:val="fr-CA"/>
        </w:rPr>
        <w:t xml:space="preserve">27(1) de la </w:t>
      </w:r>
      <w:r w:rsidR="00AF5C6F" w:rsidRPr="004D4C3B">
        <w:rPr>
          <w:i/>
          <w:lang w:val="fr-CA"/>
        </w:rPr>
        <w:t>FOIPP</w:t>
      </w:r>
      <w:r w:rsidR="00AF5C6F" w:rsidRPr="004D4C3B">
        <w:rPr>
          <w:lang w:val="fr-CA"/>
        </w:rPr>
        <w:t xml:space="preserve"> renvoie précisément au « secret professionnel de l</w:t>
      </w:r>
      <w:r w:rsidR="00E87C0F" w:rsidRPr="004D4C3B">
        <w:rPr>
          <w:lang w:val="fr-CA"/>
        </w:rPr>
        <w:t>’</w:t>
      </w:r>
      <w:r w:rsidR="00AF5C6F" w:rsidRPr="004D4C3B">
        <w:rPr>
          <w:lang w:val="fr-CA"/>
        </w:rPr>
        <w:t>avocat » n</w:t>
      </w:r>
      <w:r w:rsidR="00E87C0F" w:rsidRPr="004D4C3B">
        <w:rPr>
          <w:lang w:val="fr-CA"/>
        </w:rPr>
        <w:t>’</w:t>
      </w:r>
      <w:r w:rsidR="00AF5C6F" w:rsidRPr="004D4C3B">
        <w:rPr>
          <w:lang w:val="fr-CA"/>
        </w:rPr>
        <w:t xml:space="preserve">affaiblit en rien cette interprétation du </w:t>
      </w:r>
      <w:r w:rsidR="00E87C0F" w:rsidRPr="004D4C3B">
        <w:rPr>
          <w:lang w:val="fr-CA"/>
        </w:rPr>
        <w:t>par. </w:t>
      </w:r>
      <w:r w:rsidR="00AF5C6F" w:rsidRPr="004D4C3B">
        <w:rPr>
          <w:lang w:val="fr-CA"/>
        </w:rPr>
        <w:t>56(3) car les deux dispositions remplissent des fonctions différentes. Le paragraphe 27(1) énumère un certain nombre de motifs pour lesquels un organisme public peut refuser la communication, alors que l</w:t>
      </w:r>
      <w:r w:rsidR="00E87C0F" w:rsidRPr="004D4C3B">
        <w:rPr>
          <w:lang w:val="fr-CA"/>
        </w:rPr>
        <w:t>’art. </w:t>
      </w:r>
      <w:r w:rsidR="00AF5C6F" w:rsidRPr="004D4C3B">
        <w:rPr>
          <w:lang w:val="fr-CA"/>
        </w:rPr>
        <w:t>56 précise ce que le commissaire peut faire et ce qu</w:t>
      </w:r>
      <w:r w:rsidR="00E87C0F" w:rsidRPr="004D4C3B">
        <w:rPr>
          <w:lang w:val="fr-CA"/>
        </w:rPr>
        <w:t>’</w:t>
      </w:r>
      <w:r w:rsidR="00AF5C6F" w:rsidRPr="004D4C3B">
        <w:rPr>
          <w:lang w:val="fr-CA"/>
        </w:rPr>
        <w:t>il ne peut pas faire dans le cadre d</w:t>
      </w:r>
      <w:r w:rsidR="00E87C0F" w:rsidRPr="004D4C3B">
        <w:rPr>
          <w:lang w:val="fr-CA"/>
        </w:rPr>
        <w:t>’</w:t>
      </w:r>
      <w:r w:rsidR="00AF5C6F" w:rsidRPr="004D4C3B">
        <w:rPr>
          <w:lang w:val="fr-CA"/>
        </w:rPr>
        <w:t>une enquête. Aucun des éléments de ces dispositions ne permet de conclure qu</w:t>
      </w:r>
      <w:r w:rsidR="00E87C0F" w:rsidRPr="004D4C3B">
        <w:rPr>
          <w:lang w:val="fr-CA"/>
        </w:rPr>
        <w:t>’</w:t>
      </w:r>
      <w:r w:rsidR="00AF5C6F" w:rsidRPr="004D4C3B">
        <w:rPr>
          <w:lang w:val="fr-CA"/>
        </w:rPr>
        <w:t>il ne peut ordonner la production de documents qui seraient protégés par le secret professionnel de l</w:t>
      </w:r>
      <w:r w:rsidR="00E87C0F" w:rsidRPr="004D4C3B">
        <w:rPr>
          <w:lang w:val="fr-CA"/>
        </w:rPr>
        <w:t>’</w:t>
      </w:r>
      <w:r w:rsidR="00AF5C6F" w:rsidRPr="004D4C3B">
        <w:rPr>
          <w:lang w:val="fr-CA"/>
        </w:rPr>
        <w:t>avocat lorsqu</w:t>
      </w:r>
      <w:r w:rsidR="00E87C0F" w:rsidRPr="004D4C3B">
        <w:rPr>
          <w:lang w:val="fr-CA"/>
        </w:rPr>
        <w:t>’</w:t>
      </w:r>
      <w:r w:rsidR="00AF5C6F" w:rsidRPr="004D4C3B">
        <w:rPr>
          <w:lang w:val="fr-CA"/>
        </w:rPr>
        <w:t>il s</w:t>
      </w:r>
      <w:r w:rsidR="00E87C0F" w:rsidRPr="004D4C3B">
        <w:rPr>
          <w:lang w:val="fr-CA"/>
        </w:rPr>
        <w:t>’</w:t>
      </w:r>
      <w:r w:rsidR="00AF5C6F" w:rsidRPr="004D4C3B">
        <w:rPr>
          <w:lang w:val="fr-CA"/>
        </w:rPr>
        <w:t>agit de résoudre les questions de droit et de fait qui se posent dans le cadre d</w:t>
      </w:r>
      <w:r w:rsidR="00E87C0F" w:rsidRPr="004D4C3B">
        <w:rPr>
          <w:lang w:val="fr-CA"/>
        </w:rPr>
        <w:t>’</w:t>
      </w:r>
      <w:r w:rsidR="00AF5C6F" w:rsidRPr="004D4C3B">
        <w:rPr>
          <w:lang w:val="fr-CA"/>
        </w:rPr>
        <w:t>une enquête.</w:t>
      </w:r>
    </w:p>
    <w:p w:rsidR="00613586" w:rsidRPr="004D4C3B" w:rsidRDefault="00613586" w:rsidP="00B3618F">
      <w:pPr>
        <w:pStyle w:val="SCCNormalDoubleSpacing"/>
        <w:widowControl w:val="0"/>
        <w:spacing w:after="480"/>
        <w:rPr>
          <w:lang w:val="fr-CA"/>
        </w:rPr>
      </w:pPr>
      <w:r w:rsidRPr="004D4C3B">
        <w:rPr>
          <w:lang w:val="fr-CA"/>
        </w:rPr>
        <w:tab/>
        <w:t>Cette interprétation est également étayée par un certain nombre d</w:t>
      </w:r>
      <w:r w:rsidR="00E87C0F" w:rsidRPr="004D4C3B">
        <w:rPr>
          <w:lang w:val="fr-CA"/>
        </w:rPr>
        <w:t>’</w:t>
      </w:r>
      <w:r w:rsidRPr="004D4C3B">
        <w:rPr>
          <w:lang w:val="fr-CA"/>
        </w:rPr>
        <w:t>éléments contextuels. D</w:t>
      </w:r>
      <w:r w:rsidR="00E87C0F" w:rsidRPr="004D4C3B">
        <w:rPr>
          <w:lang w:val="fr-CA"/>
        </w:rPr>
        <w:t>’</w:t>
      </w:r>
      <w:r w:rsidRPr="004D4C3B">
        <w:rPr>
          <w:lang w:val="fr-CA"/>
        </w:rPr>
        <w:t xml:space="preserve">abord, le régime législatif appuie sans équivoque la thèse selon laquelle le législateur a voulu conférer </w:t>
      </w:r>
      <w:r w:rsidR="00C40D03" w:rsidRPr="004D4C3B">
        <w:rPr>
          <w:lang w:val="fr-CA"/>
        </w:rPr>
        <w:t>au</w:t>
      </w:r>
      <w:r w:rsidRPr="004D4C3B">
        <w:rPr>
          <w:lang w:val="fr-CA"/>
        </w:rPr>
        <w:t xml:space="preserve"> </w:t>
      </w:r>
      <w:r w:rsidR="00C40D03" w:rsidRPr="004D4C3B">
        <w:rPr>
          <w:lang w:val="fr-CA"/>
        </w:rPr>
        <w:t>c</w:t>
      </w:r>
      <w:r w:rsidRPr="004D4C3B">
        <w:rPr>
          <w:lang w:val="fr-CA"/>
        </w:rPr>
        <w:t>ommissaire les pouvoirs nécessaires pour décider si des documents doivent ou non être produits par un organisme public, notamment celui de statuer sur l</w:t>
      </w:r>
      <w:r w:rsidR="00E87C0F" w:rsidRPr="004D4C3B">
        <w:rPr>
          <w:lang w:val="fr-CA"/>
        </w:rPr>
        <w:t>’</w:t>
      </w:r>
      <w:r w:rsidRPr="004D4C3B">
        <w:rPr>
          <w:lang w:val="fr-CA"/>
        </w:rPr>
        <w:t>existence d</w:t>
      </w:r>
      <w:r w:rsidR="00E87C0F" w:rsidRPr="004D4C3B">
        <w:rPr>
          <w:lang w:val="fr-CA"/>
        </w:rPr>
        <w:t>’</w:t>
      </w:r>
      <w:r w:rsidRPr="004D4C3B">
        <w:rPr>
          <w:lang w:val="fr-CA"/>
        </w:rPr>
        <w:t>un privilège, sous réserve du contrôle judiciaire de l</w:t>
      </w:r>
      <w:r w:rsidR="00E87C0F" w:rsidRPr="004D4C3B">
        <w:rPr>
          <w:lang w:val="fr-CA"/>
        </w:rPr>
        <w:t>’</w:t>
      </w:r>
      <w:r w:rsidRPr="004D4C3B">
        <w:rPr>
          <w:lang w:val="fr-CA"/>
        </w:rPr>
        <w:t xml:space="preserve">exercice de ces pouvoirs. Plus particulièrement, la </w:t>
      </w:r>
      <w:r w:rsidRPr="004D4C3B">
        <w:rPr>
          <w:i/>
          <w:lang w:val="fr-CA"/>
        </w:rPr>
        <w:t>FOIPP</w:t>
      </w:r>
      <w:r w:rsidRPr="004D4C3B">
        <w:rPr>
          <w:lang w:val="fr-CA"/>
        </w:rPr>
        <w:t xml:space="preserve"> établit une procédure détaillée et autonome de communication </w:t>
      </w:r>
      <w:r w:rsidR="00DB51B7" w:rsidRPr="004D4C3B">
        <w:rPr>
          <w:lang w:val="fr-CA"/>
        </w:rPr>
        <w:t xml:space="preserve">de renseignements </w:t>
      </w:r>
      <w:r w:rsidRPr="004D4C3B">
        <w:rPr>
          <w:lang w:val="fr-CA"/>
        </w:rPr>
        <w:t>à une personne et</w:t>
      </w:r>
      <w:r w:rsidR="00C40D03" w:rsidRPr="004D4C3B">
        <w:rPr>
          <w:lang w:val="fr-CA"/>
        </w:rPr>
        <w:t>,</w:t>
      </w:r>
      <w:r w:rsidRPr="004D4C3B">
        <w:rPr>
          <w:lang w:val="fr-CA"/>
        </w:rPr>
        <w:t xml:space="preserve"> sans le pouvoir de se prononcer sur l</w:t>
      </w:r>
      <w:r w:rsidR="00E87C0F" w:rsidRPr="004D4C3B">
        <w:rPr>
          <w:lang w:val="fr-CA"/>
        </w:rPr>
        <w:t>’</w:t>
      </w:r>
      <w:r w:rsidRPr="004D4C3B">
        <w:rPr>
          <w:lang w:val="fr-CA"/>
        </w:rPr>
        <w:t>application du secret professionnel de l</w:t>
      </w:r>
      <w:r w:rsidR="00E87C0F" w:rsidRPr="004D4C3B">
        <w:rPr>
          <w:lang w:val="fr-CA"/>
        </w:rPr>
        <w:t>’</w:t>
      </w:r>
      <w:r w:rsidRPr="004D4C3B">
        <w:rPr>
          <w:lang w:val="fr-CA"/>
        </w:rPr>
        <w:t>avocat, l</w:t>
      </w:r>
      <w:r w:rsidR="00C40D03" w:rsidRPr="004D4C3B">
        <w:rPr>
          <w:lang w:val="fr-CA"/>
        </w:rPr>
        <w:t>e</w:t>
      </w:r>
      <w:r w:rsidRPr="004D4C3B">
        <w:rPr>
          <w:lang w:val="fr-CA"/>
        </w:rPr>
        <w:t xml:space="preserve"> </w:t>
      </w:r>
      <w:r w:rsidR="00C40D03" w:rsidRPr="004D4C3B">
        <w:rPr>
          <w:lang w:val="fr-CA"/>
        </w:rPr>
        <w:t>c</w:t>
      </w:r>
      <w:r w:rsidRPr="004D4C3B">
        <w:rPr>
          <w:lang w:val="fr-CA"/>
        </w:rPr>
        <w:t>ommissaire ne serait pas en mesure de s</w:t>
      </w:r>
      <w:r w:rsidR="00E87C0F" w:rsidRPr="004D4C3B">
        <w:rPr>
          <w:lang w:val="fr-CA"/>
        </w:rPr>
        <w:t>’</w:t>
      </w:r>
      <w:r w:rsidRPr="004D4C3B">
        <w:rPr>
          <w:lang w:val="fr-CA"/>
        </w:rPr>
        <w:t xml:space="preserve">acquitter de </w:t>
      </w:r>
      <w:r w:rsidR="00DB51B7" w:rsidRPr="004D4C3B">
        <w:rPr>
          <w:lang w:val="fr-CA"/>
        </w:rPr>
        <w:t>son</w:t>
      </w:r>
      <w:r w:rsidRPr="004D4C3B">
        <w:rPr>
          <w:lang w:val="fr-CA"/>
        </w:rPr>
        <w:t xml:space="preserve"> mandat légal.</w:t>
      </w:r>
    </w:p>
    <w:p w:rsidR="00613586" w:rsidRPr="004D4C3B" w:rsidRDefault="00613586" w:rsidP="00B3618F">
      <w:pPr>
        <w:pStyle w:val="SCCNormalDoubleSpacing"/>
        <w:widowControl w:val="0"/>
        <w:spacing w:after="480"/>
        <w:rPr>
          <w:lang w:val="fr-CA"/>
        </w:rPr>
      </w:pPr>
      <w:r w:rsidRPr="004D4C3B">
        <w:rPr>
          <w:lang w:val="fr-CA"/>
        </w:rPr>
        <w:tab/>
        <w:t>Deuxièmement, aucun des éléments qui militent contre la suppression législative du secret professionnel de l</w:t>
      </w:r>
      <w:r w:rsidR="00E87C0F" w:rsidRPr="004D4C3B">
        <w:rPr>
          <w:lang w:val="fr-CA"/>
        </w:rPr>
        <w:t>’</w:t>
      </w:r>
      <w:r w:rsidRPr="004D4C3B">
        <w:rPr>
          <w:lang w:val="fr-CA"/>
        </w:rPr>
        <w:t>avocat n</w:t>
      </w:r>
      <w:r w:rsidR="00E87C0F" w:rsidRPr="004D4C3B">
        <w:rPr>
          <w:lang w:val="fr-CA"/>
        </w:rPr>
        <w:t>’</w:t>
      </w:r>
      <w:r w:rsidRPr="004D4C3B">
        <w:rPr>
          <w:lang w:val="fr-CA"/>
        </w:rPr>
        <w:t>est présent en l</w:t>
      </w:r>
      <w:r w:rsidR="00E87C0F" w:rsidRPr="004D4C3B">
        <w:rPr>
          <w:lang w:val="fr-CA"/>
        </w:rPr>
        <w:t>’</w:t>
      </w:r>
      <w:r w:rsidRPr="004D4C3B">
        <w:rPr>
          <w:lang w:val="fr-CA"/>
        </w:rPr>
        <w:t>espèce</w:t>
      </w:r>
      <w:r w:rsidR="00E87C0F" w:rsidRPr="004D4C3B">
        <w:rPr>
          <w:lang w:val="fr-CA"/>
        </w:rPr>
        <w:t> :</w:t>
      </w:r>
      <w:r w:rsidRPr="004D4C3B">
        <w:rPr>
          <w:lang w:val="fr-CA"/>
        </w:rPr>
        <w:t xml:space="preserve"> l</w:t>
      </w:r>
      <w:r w:rsidR="00C27961">
        <w:rPr>
          <w:lang w:val="fr-CA"/>
        </w:rPr>
        <w:t>e</w:t>
      </w:r>
      <w:r w:rsidRPr="004D4C3B">
        <w:rPr>
          <w:lang w:val="fr-CA"/>
        </w:rPr>
        <w:t xml:space="preserve"> </w:t>
      </w:r>
      <w:r w:rsidR="000A1B61">
        <w:rPr>
          <w:lang w:val="fr-CA"/>
        </w:rPr>
        <w:t>c</w:t>
      </w:r>
      <w:r w:rsidRPr="004D4C3B">
        <w:rPr>
          <w:lang w:val="fr-CA"/>
        </w:rPr>
        <w:t xml:space="preserve">ommissaire possède un pouvoir juridictionnel, </w:t>
      </w:r>
      <w:r w:rsidR="000A1B61">
        <w:rPr>
          <w:lang w:val="fr-CA"/>
        </w:rPr>
        <w:t xml:space="preserve">il </w:t>
      </w:r>
      <w:r w:rsidRPr="004D4C3B">
        <w:rPr>
          <w:lang w:val="fr-CA"/>
        </w:rPr>
        <w:t>ne comparaît pas au nom</w:t>
      </w:r>
      <w:r w:rsidRPr="004D4C3B">
        <w:rPr>
          <w:i/>
          <w:lang w:val="fr-CA"/>
        </w:rPr>
        <w:t xml:space="preserve"> </w:t>
      </w:r>
      <w:r w:rsidRPr="004D4C3B">
        <w:rPr>
          <w:lang w:val="fr-CA"/>
        </w:rPr>
        <w:t>d</w:t>
      </w:r>
      <w:r w:rsidR="003B27FE" w:rsidRPr="004D4C3B">
        <w:rPr>
          <w:lang w:val="fr-CA"/>
        </w:rPr>
        <w:t>u</w:t>
      </w:r>
      <w:r w:rsidRPr="004D4C3B">
        <w:rPr>
          <w:lang w:val="fr-CA"/>
        </w:rPr>
        <w:t xml:space="preserve"> plaignant et le texte </w:t>
      </w:r>
      <w:r w:rsidRPr="004D4C3B">
        <w:rPr>
          <w:lang w:val="fr-CA"/>
        </w:rPr>
        <w:lastRenderedPageBreak/>
        <w:t xml:space="preserve">du </w:t>
      </w:r>
      <w:r w:rsidR="00E87C0F" w:rsidRPr="004D4C3B">
        <w:rPr>
          <w:lang w:val="fr-CA"/>
        </w:rPr>
        <w:t>par. </w:t>
      </w:r>
      <w:r w:rsidRPr="004D4C3B">
        <w:rPr>
          <w:lang w:val="fr-CA"/>
        </w:rPr>
        <w:t>56(3) ne saurait constituer une disposition d</w:t>
      </w:r>
      <w:r w:rsidR="00E87C0F" w:rsidRPr="004D4C3B">
        <w:rPr>
          <w:lang w:val="fr-CA"/>
        </w:rPr>
        <w:t>’</w:t>
      </w:r>
      <w:r w:rsidRPr="004D4C3B">
        <w:rPr>
          <w:lang w:val="fr-CA"/>
        </w:rPr>
        <w:t>acception large régissant la production de documents. </w:t>
      </w:r>
      <w:r w:rsidR="004061F9" w:rsidRPr="004D4C3B">
        <w:rPr>
          <w:lang w:val="fr-CA"/>
        </w:rPr>
        <w:t xml:space="preserve">Au contraire, le </w:t>
      </w:r>
      <w:r w:rsidR="00E87C0F" w:rsidRPr="004D4C3B">
        <w:rPr>
          <w:lang w:val="fr-CA"/>
        </w:rPr>
        <w:t>par. </w:t>
      </w:r>
      <w:r w:rsidR="004061F9" w:rsidRPr="004D4C3B">
        <w:rPr>
          <w:lang w:val="fr-CA"/>
        </w:rPr>
        <w:t>56(3) prévoit expressément que le pouvoir d</w:t>
      </w:r>
      <w:r w:rsidR="00E87C0F" w:rsidRPr="004D4C3B">
        <w:rPr>
          <w:lang w:val="fr-CA"/>
        </w:rPr>
        <w:t>’</w:t>
      </w:r>
      <w:r w:rsidR="004061F9" w:rsidRPr="004D4C3B">
        <w:rPr>
          <w:lang w:val="fr-CA"/>
        </w:rPr>
        <w:t>ordonner la production s</w:t>
      </w:r>
      <w:r w:rsidR="00E87C0F" w:rsidRPr="004D4C3B">
        <w:rPr>
          <w:lang w:val="fr-CA"/>
        </w:rPr>
        <w:t>’</w:t>
      </w:r>
      <w:r w:rsidR="004061F9" w:rsidRPr="004D4C3B">
        <w:rPr>
          <w:lang w:val="fr-CA"/>
        </w:rPr>
        <w:t>applique malgré tout privilège que reconnaît le droit de la preuve.</w:t>
      </w:r>
    </w:p>
    <w:p w:rsidR="004061F9" w:rsidRPr="004D4C3B" w:rsidRDefault="004061F9" w:rsidP="00B3618F">
      <w:pPr>
        <w:pStyle w:val="ParaNoNdepar-AltN"/>
        <w:widowControl w:val="0"/>
        <w:numPr>
          <w:ilvl w:val="0"/>
          <w:numId w:val="0"/>
        </w:numPr>
        <w:tabs>
          <w:tab w:val="left" w:pos="1170"/>
        </w:tabs>
        <w:rPr>
          <w:rFonts w:cs="Times New Roman"/>
          <w:lang w:val="fr-CA"/>
        </w:rPr>
      </w:pPr>
      <w:r w:rsidRPr="004D4C3B">
        <w:rPr>
          <w:rFonts w:cs="Times New Roman"/>
          <w:lang w:val="fr-CA"/>
        </w:rPr>
        <w:tab/>
        <w:t>Enfin, les débats qui ont précédé l</w:t>
      </w:r>
      <w:r w:rsidR="00E87C0F" w:rsidRPr="004D4C3B">
        <w:rPr>
          <w:rFonts w:cs="Times New Roman"/>
          <w:lang w:val="fr-CA"/>
        </w:rPr>
        <w:t>’</w:t>
      </w:r>
      <w:r w:rsidRPr="004D4C3B">
        <w:rPr>
          <w:rFonts w:cs="Times New Roman"/>
          <w:lang w:val="fr-CA"/>
        </w:rPr>
        <w:t xml:space="preserve">adoption de la première ébauche de la </w:t>
      </w:r>
      <w:r w:rsidRPr="004D4C3B">
        <w:rPr>
          <w:rFonts w:cs="Times New Roman"/>
          <w:i/>
          <w:lang w:val="fr-CA"/>
        </w:rPr>
        <w:t>FOIPP</w:t>
      </w:r>
      <w:r w:rsidRPr="004D4C3B">
        <w:rPr>
          <w:rFonts w:cs="Times New Roman"/>
          <w:lang w:val="fr-CA"/>
        </w:rPr>
        <w:t xml:space="preserve"> étaye</w:t>
      </w:r>
      <w:r w:rsidR="003B27FE" w:rsidRPr="004D4C3B">
        <w:rPr>
          <w:rFonts w:cs="Times New Roman"/>
          <w:lang w:val="fr-CA"/>
        </w:rPr>
        <w:t>nt</w:t>
      </w:r>
      <w:r w:rsidRPr="004D4C3B">
        <w:rPr>
          <w:rFonts w:cs="Times New Roman"/>
          <w:lang w:val="fr-CA"/>
        </w:rPr>
        <w:t xml:space="preserve"> plus avant l</w:t>
      </w:r>
      <w:r w:rsidR="00E87C0F" w:rsidRPr="004D4C3B">
        <w:rPr>
          <w:rFonts w:cs="Times New Roman"/>
          <w:lang w:val="fr-CA"/>
        </w:rPr>
        <w:t>’</w:t>
      </w:r>
      <w:r w:rsidRPr="004D4C3B">
        <w:rPr>
          <w:rFonts w:cs="Times New Roman"/>
          <w:lang w:val="fr-CA"/>
        </w:rPr>
        <w:t xml:space="preserve">interprétation voulant que le </w:t>
      </w:r>
      <w:r w:rsidR="00E87C0F" w:rsidRPr="004D4C3B">
        <w:rPr>
          <w:rFonts w:cs="Times New Roman"/>
          <w:lang w:val="fr-CA"/>
        </w:rPr>
        <w:t>par. </w:t>
      </w:r>
      <w:r w:rsidRPr="004D4C3B">
        <w:rPr>
          <w:rFonts w:cs="Times New Roman"/>
          <w:lang w:val="fr-CA"/>
        </w:rPr>
        <w:t>56(3) supprime le secret professionnel de l</w:t>
      </w:r>
      <w:r w:rsidR="00E87C0F" w:rsidRPr="004D4C3B">
        <w:rPr>
          <w:rFonts w:cs="Times New Roman"/>
          <w:lang w:val="fr-CA"/>
        </w:rPr>
        <w:t>’</w:t>
      </w:r>
      <w:r w:rsidRPr="004D4C3B">
        <w:rPr>
          <w:rFonts w:cs="Times New Roman"/>
          <w:lang w:val="fr-CA"/>
        </w:rPr>
        <w:t>avocat, tout comme le fait que la même expression employée dans une disposition apparentée de la Colombie</w:t>
      </w:r>
      <w:r w:rsidR="00E87C0F" w:rsidRPr="004D4C3B">
        <w:rPr>
          <w:rFonts w:cs="Times New Roman"/>
          <w:lang w:val="fr-CA"/>
        </w:rPr>
        <w:noBreakHyphen/>
      </w:r>
      <w:r w:rsidRPr="004D4C3B">
        <w:rPr>
          <w:rFonts w:cs="Times New Roman"/>
          <w:lang w:val="fr-CA"/>
        </w:rPr>
        <w:t>Britannique vise clairement le secret professionnel de l</w:t>
      </w:r>
      <w:r w:rsidR="00E87C0F" w:rsidRPr="004D4C3B">
        <w:rPr>
          <w:rFonts w:cs="Times New Roman"/>
          <w:lang w:val="fr-CA"/>
        </w:rPr>
        <w:t>’</w:t>
      </w:r>
      <w:r w:rsidRPr="004D4C3B">
        <w:rPr>
          <w:rFonts w:cs="Times New Roman"/>
          <w:lang w:val="fr-CA"/>
        </w:rPr>
        <w:t>avocat.</w:t>
      </w:r>
    </w:p>
    <w:p w:rsidR="005C58AB" w:rsidRPr="004D4C3B" w:rsidRDefault="004061F9" w:rsidP="00B3618F">
      <w:pPr>
        <w:pStyle w:val="SCCNormalDoubleSpacing"/>
        <w:widowControl w:val="0"/>
        <w:spacing w:after="480"/>
        <w:rPr>
          <w:lang w:val="fr-CA"/>
        </w:rPr>
      </w:pPr>
      <w:r w:rsidRPr="004D4C3B">
        <w:rPr>
          <w:lang w:val="fr-CA"/>
        </w:rPr>
        <w:tab/>
        <w:t>Même si l</w:t>
      </w:r>
      <w:r w:rsidR="00BD0B67">
        <w:rPr>
          <w:lang w:val="fr-CA"/>
        </w:rPr>
        <w:t>a</w:t>
      </w:r>
      <w:r w:rsidR="00E817B4" w:rsidRPr="004D4C3B">
        <w:rPr>
          <w:lang w:val="fr-CA"/>
        </w:rPr>
        <w:t xml:space="preserve"> </w:t>
      </w:r>
      <w:r w:rsidR="000A1B61">
        <w:rPr>
          <w:lang w:val="fr-CA"/>
        </w:rPr>
        <w:t>C</w:t>
      </w:r>
      <w:r w:rsidRPr="004D4C3B">
        <w:rPr>
          <w:lang w:val="fr-CA"/>
        </w:rPr>
        <w:t>ommissaire est investi</w:t>
      </w:r>
      <w:r w:rsidR="000A1B61">
        <w:rPr>
          <w:lang w:val="fr-CA"/>
        </w:rPr>
        <w:t>e</w:t>
      </w:r>
      <w:r w:rsidRPr="004D4C3B">
        <w:rPr>
          <w:lang w:val="fr-CA"/>
        </w:rPr>
        <w:t xml:space="preserve"> du pouvoir d</w:t>
      </w:r>
      <w:r w:rsidR="00E87C0F" w:rsidRPr="004D4C3B">
        <w:rPr>
          <w:lang w:val="fr-CA"/>
        </w:rPr>
        <w:t>’</w:t>
      </w:r>
      <w:r w:rsidRPr="004D4C3B">
        <w:rPr>
          <w:lang w:val="fr-CA"/>
        </w:rPr>
        <w:t>ordonner la production en vue de son examen d</w:t>
      </w:r>
      <w:r w:rsidR="00E87C0F" w:rsidRPr="004D4C3B">
        <w:rPr>
          <w:lang w:val="fr-CA"/>
        </w:rPr>
        <w:t>’</w:t>
      </w:r>
      <w:r w:rsidRPr="004D4C3B">
        <w:rPr>
          <w:lang w:val="fr-CA"/>
        </w:rPr>
        <w:t>un document à l</w:t>
      </w:r>
      <w:r w:rsidR="00E87C0F" w:rsidRPr="004D4C3B">
        <w:rPr>
          <w:lang w:val="fr-CA"/>
        </w:rPr>
        <w:t>’</w:t>
      </w:r>
      <w:r w:rsidRPr="004D4C3B">
        <w:rPr>
          <w:lang w:val="fr-CA"/>
        </w:rPr>
        <w:t>égard duquel est invoqué le secret professionnel de l</w:t>
      </w:r>
      <w:r w:rsidR="00E87C0F" w:rsidRPr="004D4C3B">
        <w:rPr>
          <w:lang w:val="fr-CA"/>
        </w:rPr>
        <w:t>’</w:t>
      </w:r>
      <w:r w:rsidRPr="004D4C3B">
        <w:rPr>
          <w:lang w:val="fr-CA"/>
        </w:rPr>
        <w:t>avocat, et en tenant pour acquis (sans statuer en ce sens) que la norme de la décision correcte s</w:t>
      </w:r>
      <w:r w:rsidR="00E87C0F" w:rsidRPr="004D4C3B">
        <w:rPr>
          <w:lang w:val="fr-CA"/>
        </w:rPr>
        <w:t>’</w:t>
      </w:r>
      <w:r w:rsidRPr="004D4C3B">
        <w:rPr>
          <w:lang w:val="fr-CA"/>
        </w:rPr>
        <w:t>applique, la Commissaire a commis une erreur susceptible de contrôle en ordonnant la production des documents malgré la preuve offerte à l</w:t>
      </w:r>
      <w:r w:rsidR="00E87C0F" w:rsidRPr="004D4C3B">
        <w:rPr>
          <w:lang w:val="fr-CA"/>
        </w:rPr>
        <w:t>’</w:t>
      </w:r>
      <w:r w:rsidRPr="004D4C3B">
        <w:rPr>
          <w:lang w:val="fr-CA"/>
        </w:rPr>
        <w:t>appui de l</w:t>
      </w:r>
      <w:r w:rsidR="00E87C0F" w:rsidRPr="004D4C3B">
        <w:rPr>
          <w:lang w:val="fr-CA"/>
        </w:rPr>
        <w:t>’</w:t>
      </w:r>
      <w:r w:rsidRPr="004D4C3B">
        <w:rPr>
          <w:lang w:val="fr-CA"/>
        </w:rPr>
        <w:t>existence du privilège. L</w:t>
      </w:r>
      <w:r w:rsidR="00E87C0F" w:rsidRPr="004D4C3B">
        <w:rPr>
          <w:lang w:val="fr-CA"/>
        </w:rPr>
        <w:t>’</w:t>
      </w:r>
      <w:r w:rsidRPr="004D4C3B">
        <w:rPr>
          <w:lang w:val="fr-CA"/>
        </w:rPr>
        <w:t>allégation du privilège par l</w:t>
      </w:r>
      <w:r w:rsidR="00E87C0F" w:rsidRPr="004D4C3B">
        <w:rPr>
          <w:lang w:val="fr-CA"/>
        </w:rPr>
        <w:t>’</w:t>
      </w:r>
      <w:r w:rsidRPr="004D4C3B">
        <w:rPr>
          <w:lang w:val="fr-CA"/>
        </w:rPr>
        <w:t xml:space="preserve">Université respectait les </w:t>
      </w:r>
      <w:r w:rsidR="00DB51B7" w:rsidRPr="004D4C3B">
        <w:rPr>
          <w:lang w:val="fr-CA"/>
        </w:rPr>
        <w:t xml:space="preserve">exigences des </w:t>
      </w:r>
      <w:r w:rsidRPr="004D4C3B">
        <w:rPr>
          <w:lang w:val="fr-CA"/>
        </w:rPr>
        <w:t>règles de pratique qui valaient alors en matière civile en Alberta</w:t>
      </w:r>
      <w:r w:rsidR="00DB51B7" w:rsidRPr="004D4C3B">
        <w:rPr>
          <w:lang w:val="fr-CA"/>
        </w:rPr>
        <w:t>,</w:t>
      </w:r>
      <w:r w:rsidRPr="004D4C3B">
        <w:rPr>
          <w:lang w:val="fr-CA"/>
        </w:rPr>
        <w:t xml:space="preserve"> et le délégué de la Commissaire a commis une erreur susceptible de contrôle en soumettant l</w:t>
      </w:r>
      <w:r w:rsidR="00E87C0F" w:rsidRPr="004D4C3B">
        <w:rPr>
          <w:lang w:val="fr-CA"/>
        </w:rPr>
        <w:t>’</w:t>
      </w:r>
      <w:r w:rsidRPr="004D4C3B">
        <w:rPr>
          <w:lang w:val="fr-CA"/>
        </w:rPr>
        <w:t>Université à une norme plus stricte que celle applicable dans un litige civil devant une cour de justice pour établir l</w:t>
      </w:r>
      <w:r w:rsidR="00E87C0F" w:rsidRPr="004D4C3B">
        <w:rPr>
          <w:lang w:val="fr-CA"/>
        </w:rPr>
        <w:t>’</w:t>
      </w:r>
      <w:r w:rsidRPr="004D4C3B">
        <w:rPr>
          <w:lang w:val="fr-CA"/>
        </w:rPr>
        <w:t>existence du privilège invoqué.</w:t>
      </w:r>
      <w:r w:rsidR="005C58AB" w:rsidRPr="004D4C3B">
        <w:rPr>
          <w:lang w:val="fr-CA"/>
        </w:rPr>
        <w:t xml:space="preserve"> La preuve offerte à la Commissaire indique clairement que les documents constituent des communications entre un avoca</w:t>
      </w:r>
      <w:r w:rsidR="004D4C3B" w:rsidRPr="004D4C3B">
        <w:rPr>
          <w:lang w:val="fr-CA"/>
        </w:rPr>
        <w:t>t</w:t>
      </w:r>
      <w:r w:rsidR="004D4C3B">
        <w:rPr>
          <w:lang w:val="fr-CA"/>
        </w:rPr>
        <w:t xml:space="preserve"> </w:t>
      </w:r>
      <w:r w:rsidR="004D4C3B" w:rsidRPr="004D4C3B">
        <w:rPr>
          <w:lang w:val="fr-CA"/>
        </w:rPr>
        <w:t>e</w:t>
      </w:r>
      <w:r w:rsidR="005C58AB" w:rsidRPr="004D4C3B">
        <w:rPr>
          <w:lang w:val="fr-CA"/>
        </w:rPr>
        <w:t>t son client, que celles</w:t>
      </w:r>
      <w:r w:rsidR="00E87C0F" w:rsidRPr="004D4C3B">
        <w:rPr>
          <w:lang w:val="fr-CA"/>
        </w:rPr>
        <w:noBreakHyphen/>
      </w:r>
      <w:r w:rsidR="005C58AB" w:rsidRPr="004D4C3B">
        <w:rPr>
          <w:lang w:val="fr-CA"/>
        </w:rPr>
        <w:t>ci visaient l</w:t>
      </w:r>
      <w:r w:rsidR="00E87C0F" w:rsidRPr="004D4C3B">
        <w:rPr>
          <w:lang w:val="fr-CA"/>
        </w:rPr>
        <w:t>’</w:t>
      </w:r>
      <w:r w:rsidR="005C58AB" w:rsidRPr="004D4C3B">
        <w:rPr>
          <w:lang w:val="fr-CA"/>
        </w:rPr>
        <w:t>obtention ou la formulation d</w:t>
      </w:r>
      <w:r w:rsidR="00E87C0F" w:rsidRPr="004D4C3B">
        <w:rPr>
          <w:lang w:val="fr-CA"/>
        </w:rPr>
        <w:t>’</w:t>
      </w:r>
      <w:r w:rsidR="005C58AB" w:rsidRPr="004D4C3B">
        <w:rPr>
          <w:lang w:val="fr-CA"/>
        </w:rPr>
        <w:t xml:space="preserve">un </w:t>
      </w:r>
      <w:r w:rsidR="005C58AB" w:rsidRPr="004D4C3B">
        <w:rPr>
          <w:lang w:val="fr-CA"/>
        </w:rPr>
        <w:lastRenderedPageBreak/>
        <w:t>avis juridique et que les parties ont voulu qu</w:t>
      </w:r>
      <w:r w:rsidR="00E87C0F" w:rsidRPr="004D4C3B">
        <w:rPr>
          <w:lang w:val="fr-CA"/>
        </w:rPr>
        <w:t>’</w:t>
      </w:r>
      <w:r w:rsidR="005C58AB" w:rsidRPr="004D4C3B">
        <w:rPr>
          <w:lang w:val="fr-CA"/>
        </w:rPr>
        <w:t xml:space="preserve">elles demeurent confidentielles. </w:t>
      </w:r>
    </w:p>
    <w:p w:rsidR="004061F9" w:rsidRPr="004D4C3B" w:rsidRDefault="005C58AB" w:rsidP="00B3618F">
      <w:pPr>
        <w:pStyle w:val="SCCNormalDoubleSpacing"/>
        <w:widowControl w:val="0"/>
        <w:spacing w:after="480"/>
        <w:rPr>
          <w:szCs w:val="24"/>
          <w:lang w:val="fr-CA"/>
        </w:rPr>
      </w:pPr>
      <w:r w:rsidRPr="004D4C3B">
        <w:rPr>
          <w:lang w:val="fr-CA"/>
        </w:rPr>
        <w:tab/>
      </w:r>
      <w:r w:rsidRPr="004D4C3B">
        <w:rPr>
          <w:i/>
          <w:lang w:val="fr-CA"/>
        </w:rPr>
        <w:t xml:space="preserve">La </w:t>
      </w:r>
      <w:r w:rsidRPr="004D4C3B">
        <w:rPr>
          <w:lang w:val="fr-CA"/>
        </w:rPr>
        <w:t xml:space="preserve">juge </w:t>
      </w:r>
      <w:r w:rsidRPr="00F80C15">
        <w:rPr>
          <w:lang w:val="fr-CA"/>
        </w:rPr>
        <w:t>Abella</w:t>
      </w:r>
      <w:r w:rsidR="00E87C0F" w:rsidRPr="00F80C15">
        <w:rPr>
          <w:lang w:val="fr-CA"/>
        </w:rPr>
        <w:t> </w:t>
      </w:r>
      <w:r w:rsidR="00E87C0F" w:rsidRPr="004D4C3B">
        <w:rPr>
          <w:lang w:val="fr-CA"/>
        </w:rPr>
        <w:t>:</w:t>
      </w:r>
      <w:r w:rsidRPr="004D4C3B">
        <w:rPr>
          <w:lang w:val="fr-CA"/>
        </w:rPr>
        <w:t xml:space="preserve"> </w:t>
      </w:r>
      <w:r w:rsidR="000233EC" w:rsidRPr="004D4C3B">
        <w:rPr>
          <w:lang w:val="fr-CA"/>
        </w:rPr>
        <w:t>La norme de contrôle applicable en l</w:t>
      </w:r>
      <w:r w:rsidR="00E87C0F" w:rsidRPr="004D4C3B">
        <w:rPr>
          <w:lang w:val="fr-CA"/>
        </w:rPr>
        <w:t>’</w:t>
      </w:r>
      <w:r w:rsidR="000233EC" w:rsidRPr="004D4C3B">
        <w:rPr>
          <w:lang w:val="fr-CA"/>
        </w:rPr>
        <w:t>espèce devrait être celle de la décision raisonnable, conformément aux arrêts de la Cour relatifs à des décisions de commissaires à l</w:t>
      </w:r>
      <w:r w:rsidR="00E87C0F" w:rsidRPr="004D4C3B">
        <w:rPr>
          <w:lang w:val="fr-CA"/>
        </w:rPr>
        <w:t>’</w:t>
      </w:r>
      <w:r w:rsidR="000233EC" w:rsidRPr="004D4C3B">
        <w:rPr>
          <w:lang w:val="fr-CA"/>
        </w:rPr>
        <w:t>information et à la protection de la vie privée, y compris sur l</w:t>
      </w:r>
      <w:r w:rsidR="00E87C0F" w:rsidRPr="004D4C3B">
        <w:rPr>
          <w:lang w:val="fr-CA"/>
        </w:rPr>
        <w:t>’</w:t>
      </w:r>
      <w:r w:rsidR="000233EC" w:rsidRPr="004D4C3B">
        <w:rPr>
          <w:lang w:val="fr-CA"/>
        </w:rPr>
        <w:t>application d</w:t>
      </w:r>
      <w:r w:rsidR="004D4C3B" w:rsidRPr="004D4C3B">
        <w:rPr>
          <w:lang w:val="fr-CA"/>
        </w:rPr>
        <w:t>u</w:t>
      </w:r>
      <w:r w:rsidR="004D4C3B">
        <w:rPr>
          <w:lang w:val="fr-CA"/>
        </w:rPr>
        <w:t xml:space="preserve"> </w:t>
      </w:r>
      <w:r w:rsidR="004D4C3B" w:rsidRPr="004D4C3B">
        <w:rPr>
          <w:lang w:val="fr-CA"/>
        </w:rPr>
        <w:t>s</w:t>
      </w:r>
      <w:r w:rsidR="000233EC" w:rsidRPr="004D4C3B">
        <w:rPr>
          <w:lang w:val="fr-CA"/>
        </w:rPr>
        <w:t>ecret professionnel de l</w:t>
      </w:r>
      <w:r w:rsidR="00E87C0F" w:rsidRPr="004D4C3B">
        <w:rPr>
          <w:lang w:val="fr-CA"/>
        </w:rPr>
        <w:t>’</w:t>
      </w:r>
      <w:r w:rsidR="000233EC" w:rsidRPr="004D4C3B">
        <w:rPr>
          <w:lang w:val="fr-CA"/>
        </w:rPr>
        <w:t>avocat</w:t>
      </w:r>
      <w:r w:rsidR="00E87C0F" w:rsidRPr="004D4C3B">
        <w:rPr>
          <w:lang w:val="fr-CA"/>
        </w:rPr>
        <w:t xml:space="preserve">. </w:t>
      </w:r>
      <w:r w:rsidR="000233EC" w:rsidRPr="004D4C3B">
        <w:rPr>
          <w:lang w:val="fr-CA"/>
        </w:rPr>
        <w:t>La question soulevée dans la présente affaire ne fait pas partie de celles qui, suivant</w:t>
      </w:r>
      <w:r w:rsidR="00DB51B7" w:rsidRPr="004D4C3B">
        <w:rPr>
          <w:lang w:val="fr-CA"/>
        </w:rPr>
        <w:t xml:space="preserve"> l</w:t>
      </w:r>
      <w:r w:rsidR="00E87C0F" w:rsidRPr="004D4C3B">
        <w:rPr>
          <w:lang w:val="fr-CA"/>
        </w:rPr>
        <w:t>’</w:t>
      </w:r>
      <w:r w:rsidR="00DB51B7" w:rsidRPr="004D4C3B">
        <w:rPr>
          <w:lang w:val="fr-CA"/>
        </w:rPr>
        <w:t>arrêt</w:t>
      </w:r>
      <w:r w:rsidR="000233EC" w:rsidRPr="004D4C3B">
        <w:rPr>
          <w:lang w:val="fr-CA"/>
        </w:rPr>
        <w:t xml:space="preserve"> </w:t>
      </w:r>
      <w:r w:rsidR="000233EC" w:rsidRPr="004D4C3B">
        <w:rPr>
          <w:i/>
          <w:lang w:val="fr-CA"/>
        </w:rPr>
        <w:t>Dunsmuir c. Nouveau</w:t>
      </w:r>
      <w:r w:rsidR="00E87C0F" w:rsidRPr="004D4C3B">
        <w:rPr>
          <w:i/>
          <w:lang w:val="fr-CA"/>
        </w:rPr>
        <w:noBreakHyphen/>
      </w:r>
      <w:r w:rsidR="000233EC" w:rsidRPr="004D4C3B">
        <w:rPr>
          <w:i/>
          <w:lang w:val="fr-CA"/>
        </w:rPr>
        <w:t>Brunswick</w:t>
      </w:r>
      <w:r w:rsidR="000233EC" w:rsidRPr="004D4C3B">
        <w:rPr>
          <w:lang w:val="fr-CA"/>
        </w:rPr>
        <w:t>, [2008] 1 R.C.S.</w:t>
      </w:r>
      <w:r w:rsidR="000233EC" w:rsidRPr="004D4C3B">
        <w:rPr>
          <w:szCs w:val="24"/>
          <w:lang w:val="fr-CA"/>
        </w:rPr>
        <w:t xml:space="preserve"> </w:t>
      </w:r>
      <w:r w:rsidR="00524DAA" w:rsidRPr="004D4C3B">
        <w:rPr>
          <w:lang w:val="fr-CA"/>
        </w:rPr>
        <w:t>190, emportent l</w:t>
      </w:r>
      <w:r w:rsidR="00E87C0F" w:rsidRPr="004D4C3B">
        <w:rPr>
          <w:lang w:val="fr-CA"/>
        </w:rPr>
        <w:t>’</w:t>
      </w:r>
      <w:r w:rsidR="00524DAA" w:rsidRPr="004D4C3B">
        <w:rPr>
          <w:lang w:val="fr-CA"/>
        </w:rPr>
        <w:t>assujettissement à la norme de la décision correcte. Au contraire, la Commissaire interprète sa propre loi habilitante, qui lui confère expressément le mandat de se prononcer sur l</w:t>
      </w:r>
      <w:r w:rsidR="00E87C0F" w:rsidRPr="004D4C3B">
        <w:rPr>
          <w:lang w:val="fr-CA"/>
        </w:rPr>
        <w:t>’</w:t>
      </w:r>
      <w:r w:rsidR="00524DAA" w:rsidRPr="004D4C3B">
        <w:rPr>
          <w:lang w:val="fr-CA"/>
        </w:rPr>
        <w:t>application du secret professionnel de l</w:t>
      </w:r>
      <w:r w:rsidR="00E87C0F" w:rsidRPr="004D4C3B">
        <w:rPr>
          <w:lang w:val="fr-CA"/>
        </w:rPr>
        <w:t>’</w:t>
      </w:r>
      <w:r w:rsidR="00524DAA" w:rsidRPr="004D4C3B">
        <w:rPr>
          <w:lang w:val="fr-CA"/>
        </w:rPr>
        <w:t xml:space="preserve">avocat. </w:t>
      </w:r>
      <w:r w:rsidR="00524DAA" w:rsidRPr="004D4C3B">
        <w:rPr>
          <w:szCs w:val="24"/>
          <w:lang w:val="fr-CA"/>
        </w:rPr>
        <w:t>Il s</w:t>
      </w:r>
      <w:r w:rsidR="00E87C0F" w:rsidRPr="004D4C3B">
        <w:rPr>
          <w:szCs w:val="24"/>
          <w:lang w:val="fr-CA"/>
        </w:rPr>
        <w:t>’</w:t>
      </w:r>
      <w:r w:rsidR="00524DAA" w:rsidRPr="004D4C3B">
        <w:rPr>
          <w:szCs w:val="24"/>
          <w:lang w:val="fr-CA"/>
        </w:rPr>
        <w:t xml:space="preserve">agit du territoire classique de la « raisonnabilité ». </w:t>
      </w:r>
    </w:p>
    <w:p w:rsidR="00524DAA" w:rsidRPr="004D4C3B" w:rsidRDefault="00524DAA" w:rsidP="00B3618F">
      <w:pPr>
        <w:pStyle w:val="SCCNormalDoubleSpacing"/>
        <w:widowControl w:val="0"/>
        <w:spacing w:after="480"/>
        <w:rPr>
          <w:lang w:val="fr-CA"/>
        </w:rPr>
      </w:pPr>
      <w:r w:rsidRPr="004D4C3B">
        <w:rPr>
          <w:szCs w:val="24"/>
          <w:lang w:val="fr-CA"/>
        </w:rPr>
        <w:tab/>
        <w:t xml:space="preserve">Toutefois, </w:t>
      </w:r>
      <w:r w:rsidRPr="004D4C3B">
        <w:rPr>
          <w:lang w:val="fr-CA"/>
        </w:rPr>
        <w:t>la décision d</w:t>
      </w:r>
      <w:r w:rsidR="00E87C0F" w:rsidRPr="004D4C3B">
        <w:rPr>
          <w:lang w:val="fr-CA"/>
        </w:rPr>
        <w:t>’</w:t>
      </w:r>
      <w:r w:rsidRPr="004D4C3B">
        <w:rPr>
          <w:lang w:val="fr-CA"/>
        </w:rPr>
        <w:t>ordonner la communication était déraisonnable. La Commissaire n</w:t>
      </w:r>
      <w:r w:rsidR="00E87C0F" w:rsidRPr="004D4C3B">
        <w:rPr>
          <w:lang w:val="fr-CA"/>
        </w:rPr>
        <w:t>’</w:t>
      </w:r>
      <w:r w:rsidRPr="004D4C3B">
        <w:rPr>
          <w:lang w:val="fr-CA"/>
        </w:rPr>
        <w:t>aurait dû exercer son pouvoir discrétionnaire de manière attentatoire au secret professionnel de l</w:t>
      </w:r>
      <w:r w:rsidR="00E87C0F" w:rsidRPr="004D4C3B">
        <w:rPr>
          <w:lang w:val="fr-CA"/>
        </w:rPr>
        <w:t>’</w:t>
      </w:r>
      <w:r w:rsidRPr="004D4C3B">
        <w:rPr>
          <w:lang w:val="fr-CA"/>
        </w:rPr>
        <w:t>avocat que si cela était absolument nécessaire à la réalisation des objectifs de sa loi habilitante. Elle n</w:t>
      </w:r>
      <w:r w:rsidR="00E87C0F" w:rsidRPr="004D4C3B">
        <w:rPr>
          <w:lang w:val="fr-CA"/>
        </w:rPr>
        <w:t>’</w:t>
      </w:r>
      <w:r w:rsidRPr="004D4C3B">
        <w:rPr>
          <w:lang w:val="fr-CA"/>
        </w:rPr>
        <w:t>a pas tenu suffisamment compte du fait que l</w:t>
      </w:r>
      <w:r w:rsidR="00E87C0F" w:rsidRPr="004D4C3B">
        <w:rPr>
          <w:lang w:val="fr-CA"/>
        </w:rPr>
        <w:t>’</w:t>
      </w:r>
      <w:r w:rsidRPr="004D4C3B">
        <w:rPr>
          <w:lang w:val="fr-CA"/>
        </w:rPr>
        <w:t xml:space="preserve">Université avait </w:t>
      </w:r>
      <w:r w:rsidR="00C40D03" w:rsidRPr="004D4C3B">
        <w:rPr>
          <w:lang w:val="fr-CA"/>
        </w:rPr>
        <w:t>convenable</w:t>
      </w:r>
      <w:r w:rsidRPr="004D4C3B">
        <w:rPr>
          <w:lang w:val="fr-CA"/>
        </w:rPr>
        <w:t>ment justifié le respect de ce privilège au vu, tout particulièrement, des règles de droit et de pratique qui avaient cours en matière civile en Alberta.</w:t>
      </w:r>
    </w:p>
    <w:p w:rsidR="004D7D95" w:rsidRPr="004D4C3B" w:rsidRDefault="004D7D95" w:rsidP="00B3618F">
      <w:pPr>
        <w:pStyle w:val="SCCNormalDoubleSpacing"/>
        <w:widowControl w:val="0"/>
        <w:spacing w:after="720" w:line="240" w:lineRule="auto"/>
        <w:rPr>
          <w:lang w:val="fr-CA"/>
        </w:rPr>
      </w:pPr>
      <w:r w:rsidRPr="004D4C3B">
        <w:rPr>
          <w:b/>
          <w:lang w:val="fr-CA"/>
        </w:rPr>
        <w:t>Jurisprudence</w:t>
      </w:r>
    </w:p>
    <w:p w:rsidR="004D7D95" w:rsidRPr="004D4C3B" w:rsidRDefault="00061EDB" w:rsidP="00B3618F">
      <w:pPr>
        <w:pStyle w:val="SCCNormalDoubleSpacing"/>
        <w:widowControl w:val="0"/>
        <w:spacing w:after="720" w:line="240" w:lineRule="auto"/>
        <w:rPr>
          <w:lang w:val="fr-CA"/>
        </w:rPr>
      </w:pPr>
      <w:r w:rsidRPr="004D4C3B">
        <w:rPr>
          <w:lang w:val="fr-CA"/>
        </w:rPr>
        <w:t>Citée par la juge Côté</w:t>
      </w:r>
    </w:p>
    <w:p w:rsidR="004D7D95" w:rsidRPr="004D4C3B" w:rsidRDefault="004D7D95" w:rsidP="00B3618F">
      <w:pPr>
        <w:pStyle w:val="SCCNormalDoubleSpacing"/>
        <w:widowControl w:val="0"/>
        <w:spacing w:after="480"/>
        <w:rPr>
          <w:lang w:val="en-US"/>
        </w:rPr>
      </w:pPr>
      <w:r w:rsidRPr="004D4C3B">
        <w:rPr>
          <w:lang w:val="fr-CA"/>
        </w:rPr>
        <w:lastRenderedPageBreak/>
        <w:tab/>
      </w:r>
      <w:r w:rsidR="000A7EDC" w:rsidRPr="004D4C3B">
        <w:rPr>
          <w:b/>
          <w:lang w:val="fr-CA"/>
        </w:rPr>
        <w:t>A</w:t>
      </w:r>
      <w:r w:rsidR="000A7EDC" w:rsidRPr="004D4C3B">
        <w:rPr>
          <w:b/>
          <w:szCs w:val="24"/>
          <w:lang w:val="fr-CA"/>
        </w:rPr>
        <w:t>rrêts appliqués :</w:t>
      </w:r>
      <w:r w:rsidR="000A7EDC" w:rsidRPr="004D4C3B">
        <w:rPr>
          <w:szCs w:val="24"/>
          <w:lang w:val="fr-CA"/>
        </w:rPr>
        <w:t xml:space="preserve"> </w:t>
      </w:r>
      <w:r w:rsidR="00061EDB" w:rsidRPr="004D4C3B">
        <w:rPr>
          <w:i/>
          <w:lang w:val="fr-CA"/>
        </w:rPr>
        <w:t>Canada (Commissaire à la protection de la vie privée) c. Blood Tribe Department of Health</w:t>
      </w:r>
      <w:r w:rsidR="00061EDB" w:rsidRPr="004D4C3B">
        <w:rPr>
          <w:lang w:val="fr-CA"/>
        </w:rPr>
        <w:t xml:space="preserve">, 2008 CSC 44, [2008] 2 R.C.S. 574; </w:t>
      </w:r>
      <w:r w:rsidR="000A7EDC" w:rsidRPr="004D4C3B">
        <w:rPr>
          <w:i/>
          <w:lang w:val="fr-CA"/>
        </w:rPr>
        <w:t>Dunsmuir c. Nouveau</w:t>
      </w:r>
      <w:r w:rsidR="000A7EDC" w:rsidRPr="004D4C3B">
        <w:rPr>
          <w:i/>
          <w:lang w:val="fr-CA"/>
        </w:rPr>
        <w:noBreakHyphen/>
        <w:t>Brunswick</w:t>
      </w:r>
      <w:r w:rsidR="000A7EDC" w:rsidRPr="004D4C3B">
        <w:rPr>
          <w:lang w:val="fr-CA"/>
        </w:rPr>
        <w:t xml:space="preserve">, 2008 CSC 9, [2008] 1 R.C.S. 190; </w:t>
      </w:r>
      <w:r w:rsidR="000A7EDC" w:rsidRPr="004D4C3B">
        <w:rPr>
          <w:b/>
          <w:lang w:val="fr-CA"/>
        </w:rPr>
        <w:t>arrêts mentionnés :</w:t>
      </w:r>
      <w:r w:rsidR="000A7EDC" w:rsidRPr="004D4C3B">
        <w:rPr>
          <w:lang w:val="fr-CA"/>
        </w:rPr>
        <w:t xml:space="preserve"> </w:t>
      </w:r>
      <w:r w:rsidR="00F55478" w:rsidRPr="004D4C3B">
        <w:rPr>
          <w:i/>
          <w:lang w:val="fr-CA"/>
        </w:rPr>
        <w:t>R. c. McClure</w:t>
      </w:r>
      <w:r w:rsidR="00F55478" w:rsidRPr="004D4C3B">
        <w:rPr>
          <w:lang w:val="fr-CA"/>
        </w:rPr>
        <w:t xml:space="preserve">, 2001 CSC 14, [2001] 1 R.C.S. 445; </w:t>
      </w:r>
      <w:r w:rsidR="00F55478" w:rsidRPr="004D4C3B">
        <w:rPr>
          <w:i/>
          <w:lang w:val="fr-CA"/>
        </w:rPr>
        <w:t>Lavallee, Rackel &amp; Heintz c. Canada (Procureur général)</w:t>
      </w:r>
      <w:r w:rsidR="00F55478" w:rsidRPr="004D4C3B">
        <w:rPr>
          <w:lang w:val="fr-CA"/>
        </w:rPr>
        <w:t xml:space="preserve">, 2002 CSC 61, [2002] 3 R.C.S. 209; </w:t>
      </w:r>
      <w:r w:rsidR="00061EDB" w:rsidRPr="004D4C3B">
        <w:rPr>
          <w:i/>
          <w:lang w:val="fr-CA"/>
        </w:rPr>
        <w:t>Canada (Revenu national) c. Thompson</w:t>
      </w:r>
      <w:r w:rsidR="00061EDB" w:rsidRPr="004D4C3B">
        <w:rPr>
          <w:lang w:val="fr-CA"/>
        </w:rPr>
        <w:t>, 2016 CSC 21</w:t>
      </w:r>
      <w:r w:rsidR="0045508F" w:rsidRPr="004D4C3B">
        <w:rPr>
          <w:lang w:val="fr-CA"/>
        </w:rPr>
        <w:t>, [2016] 1 R.C.S. 381</w:t>
      </w:r>
      <w:r w:rsidR="00061EDB" w:rsidRPr="004D4C3B">
        <w:rPr>
          <w:lang w:val="fr-CA"/>
        </w:rPr>
        <w:t xml:space="preserve">; </w:t>
      </w:r>
      <w:r w:rsidR="00F55478" w:rsidRPr="004D4C3B">
        <w:rPr>
          <w:i/>
          <w:lang w:val="fr-CA"/>
        </w:rPr>
        <w:t>Compagnie des chemins de fer nationaux du Canada c. Canada (Procureur général)</w:t>
      </w:r>
      <w:r w:rsidR="00F55478" w:rsidRPr="004D4C3B">
        <w:rPr>
          <w:lang w:val="fr-CA"/>
        </w:rPr>
        <w:t xml:space="preserve">, 2014 CSC 40, [2014] 2 R.C.S. 135; </w:t>
      </w:r>
      <w:r w:rsidR="006F3725" w:rsidRPr="004D4C3B">
        <w:rPr>
          <w:i/>
          <w:lang w:val="fr-CA"/>
        </w:rPr>
        <w:t>Legal Services Society c. British Columbia (Information and Privacy Commissioner)</w:t>
      </w:r>
      <w:r w:rsidR="006F3725" w:rsidRPr="004D4C3B">
        <w:rPr>
          <w:lang w:val="fr-CA"/>
        </w:rPr>
        <w:t xml:space="preserve">, 2003 BCCA 278, </w:t>
      </w:r>
      <w:r w:rsidR="00762A5D" w:rsidRPr="004D4C3B">
        <w:rPr>
          <w:lang w:val="fr-CA"/>
        </w:rPr>
        <w:t>226 D.L.R. (4th) 20</w:t>
      </w:r>
      <w:r w:rsidR="006F3725" w:rsidRPr="004D4C3B">
        <w:rPr>
          <w:lang w:val="fr-CA"/>
        </w:rPr>
        <w:t xml:space="preserve">; </w:t>
      </w:r>
      <w:r w:rsidR="00212AED" w:rsidRPr="004D4C3B">
        <w:rPr>
          <w:i/>
          <w:lang w:val="fr-CA"/>
        </w:rPr>
        <w:t>Ontario (Sûreté et Sécurité publique) c. Criminal Lawyers</w:t>
      </w:r>
      <w:r w:rsidR="00E87C0F" w:rsidRPr="004D4C3B">
        <w:rPr>
          <w:i/>
          <w:lang w:val="fr-CA"/>
        </w:rPr>
        <w:t>’</w:t>
      </w:r>
      <w:r w:rsidR="00212AED" w:rsidRPr="004D4C3B">
        <w:rPr>
          <w:i/>
          <w:lang w:val="fr-CA"/>
        </w:rPr>
        <w:t xml:space="preserve"> Association</w:t>
      </w:r>
      <w:r w:rsidR="00212AED" w:rsidRPr="004D4C3B">
        <w:rPr>
          <w:lang w:val="fr-CA"/>
        </w:rPr>
        <w:t xml:space="preserve">, 2010 CSC 23, [2010] 1 R.C.S. 815; </w:t>
      </w:r>
      <w:r w:rsidR="00212AED" w:rsidRPr="004D4C3B">
        <w:rPr>
          <w:i/>
          <w:lang w:val="fr-CA"/>
        </w:rPr>
        <w:t>R. c. Gruenke</w:t>
      </w:r>
      <w:r w:rsidR="00212AED" w:rsidRPr="004D4C3B">
        <w:rPr>
          <w:lang w:val="fr-CA"/>
        </w:rPr>
        <w:t xml:space="preserve">, [1991] 3 R.C.S. 263; </w:t>
      </w:r>
      <w:r w:rsidR="00461EB7" w:rsidRPr="004D4C3B">
        <w:rPr>
          <w:i/>
          <w:lang w:val="fr-CA"/>
        </w:rPr>
        <w:t>Pritchard c. Ontario (Commission des droits de la personne)</w:t>
      </w:r>
      <w:r w:rsidR="00461EB7" w:rsidRPr="004D4C3B">
        <w:rPr>
          <w:lang w:val="fr-CA"/>
        </w:rPr>
        <w:t xml:space="preserve">, 2004 CSC 31, [2004] 1 R.C.S. 809; </w:t>
      </w:r>
      <w:r w:rsidR="00461EB7" w:rsidRPr="004D4C3B">
        <w:rPr>
          <w:i/>
          <w:lang w:val="fr-CA"/>
        </w:rPr>
        <w:t>Smith c. Jones</w:t>
      </w:r>
      <w:r w:rsidR="00461EB7" w:rsidRPr="004D4C3B">
        <w:rPr>
          <w:lang w:val="fr-CA"/>
        </w:rPr>
        <w:t xml:space="preserve">, [1999] 1 R.C.S. 455; </w:t>
      </w:r>
      <w:r w:rsidR="00F55478" w:rsidRPr="004D4C3B">
        <w:rPr>
          <w:i/>
          <w:lang w:val="fr-CA"/>
        </w:rPr>
        <w:t>Canada (Procureur général) c. Chambre des notaires du Québec</w:t>
      </w:r>
      <w:r w:rsidR="00F55478" w:rsidRPr="004D4C3B">
        <w:rPr>
          <w:lang w:val="fr-CA"/>
        </w:rPr>
        <w:t xml:space="preserve">, 2016 CSC 20, [2016] 1 R.C.S. 336; </w:t>
      </w:r>
      <w:r w:rsidR="006F3725" w:rsidRPr="004D4C3B">
        <w:rPr>
          <w:i/>
          <w:lang w:val="fr-CA"/>
        </w:rPr>
        <w:t>Descôteaux c. Mierzwinski</w:t>
      </w:r>
      <w:r w:rsidR="006F3725" w:rsidRPr="004D4C3B">
        <w:rPr>
          <w:lang w:val="fr-CA"/>
        </w:rPr>
        <w:t xml:space="preserve">, [1982] 1 R.C.S. 860; </w:t>
      </w:r>
      <w:r w:rsidR="00E8756C" w:rsidRPr="004D4C3B">
        <w:rPr>
          <w:i/>
          <w:lang w:val="fr-CA"/>
        </w:rPr>
        <w:t>Solosky c. La Reine</w:t>
      </w:r>
      <w:r w:rsidR="00E8756C" w:rsidRPr="004D4C3B">
        <w:rPr>
          <w:lang w:val="fr-CA"/>
        </w:rPr>
        <w:t xml:space="preserve">, [1980] 1 R.C.S. 821; </w:t>
      </w:r>
      <w:r w:rsidR="006F3725" w:rsidRPr="004D4C3B">
        <w:rPr>
          <w:i/>
          <w:lang w:val="fr-CA"/>
        </w:rPr>
        <w:t>Maranda c. Richer</w:t>
      </w:r>
      <w:r w:rsidR="006F3725" w:rsidRPr="004D4C3B">
        <w:rPr>
          <w:lang w:val="fr-CA"/>
        </w:rPr>
        <w:t xml:space="preserve">, 2003 CSC 67, [2003] 3 R.C.S. 193; </w:t>
      </w:r>
      <w:r w:rsidR="00E8756C" w:rsidRPr="004D4C3B">
        <w:rPr>
          <w:i/>
          <w:lang w:val="fr-CA"/>
        </w:rPr>
        <w:t>Canada (Procureur général) c. Fédération des ordres professionnels de juristes du Canada</w:t>
      </w:r>
      <w:r w:rsidR="00E8756C" w:rsidRPr="004D4C3B">
        <w:rPr>
          <w:lang w:val="fr-CA"/>
        </w:rPr>
        <w:t xml:space="preserve">, 2015 CSC 7, [2015] 1 R.C.S. 401; </w:t>
      </w:r>
      <w:r w:rsidR="00E8756C" w:rsidRPr="004D4C3B">
        <w:rPr>
          <w:i/>
          <w:lang w:val="fr-CA"/>
        </w:rPr>
        <w:t>Goodis c. Ontario (Ministère des Services correctionnels)</w:t>
      </w:r>
      <w:r w:rsidR="00E8756C" w:rsidRPr="004D4C3B">
        <w:rPr>
          <w:lang w:val="fr-CA"/>
        </w:rPr>
        <w:t xml:space="preserve">, 2006 CSC 31, [2006] 2 R.C.S. 32; </w:t>
      </w:r>
      <w:r w:rsidR="006F3725" w:rsidRPr="004D4C3B">
        <w:rPr>
          <w:i/>
          <w:lang w:val="fr-CA"/>
        </w:rPr>
        <w:t>R. c. Brown</w:t>
      </w:r>
      <w:r w:rsidR="006F3725" w:rsidRPr="004D4C3B">
        <w:rPr>
          <w:lang w:val="fr-CA"/>
        </w:rPr>
        <w:t xml:space="preserve">, 2002 CSC 32, [2002] 2 R.C.S. 185; </w:t>
      </w:r>
      <w:r w:rsidR="00E8756C" w:rsidRPr="004D4C3B">
        <w:rPr>
          <w:i/>
          <w:lang w:val="fr-CA"/>
        </w:rPr>
        <w:t>Agraira c. Canada (Sécurité publique et Protection civile)</w:t>
      </w:r>
      <w:r w:rsidR="00E8756C" w:rsidRPr="004D4C3B">
        <w:rPr>
          <w:lang w:val="fr-CA"/>
        </w:rPr>
        <w:t xml:space="preserve">, 2013 CSC 36, [2013] 2 R.C.S. 559; </w:t>
      </w:r>
      <w:r w:rsidR="006F3725" w:rsidRPr="004D4C3B">
        <w:rPr>
          <w:i/>
          <w:lang w:val="fr-CA"/>
        </w:rPr>
        <w:t>R. c. Barnier</w:t>
      </w:r>
      <w:r w:rsidR="006F3725" w:rsidRPr="004D4C3B">
        <w:rPr>
          <w:lang w:val="fr-CA"/>
        </w:rPr>
        <w:t xml:space="preserve">, [1980] 1 R.C.S. 1124; </w:t>
      </w:r>
      <w:r w:rsidR="006F3725" w:rsidRPr="004D4C3B">
        <w:rPr>
          <w:i/>
          <w:lang w:val="fr-CA"/>
        </w:rPr>
        <w:t>Ansell Canada Inc. c. Ions World Cor</w:t>
      </w:r>
      <w:r w:rsidR="00E87C0F" w:rsidRPr="004D4C3B">
        <w:rPr>
          <w:i/>
          <w:lang w:val="fr-CA"/>
        </w:rPr>
        <w:t>p. </w:t>
      </w:r>
      <w:r w:rsidR="006F3725" w:rsidRPr="004D4C3B">
        <w:rPr>
          <w:lang w:val="en-US"/>
        </w:rPr>
        <w:t>(1998), 28 C.P.C. (4th) 60</w:t>
      </w:r>
      <w:r w:rsidR="001E2F76" w:rsidRPr="004D4C3B">
        <w:rPr>
          <w:lang w:val="en-US"/>
        </w:rPr>
        <w:t xml:space="preserve">; </w:t>
      </w:r>
      <w:r w:rsidR="001E2F76" w:rsidRPr="004D4C3B">
        <w:rPr>
          <w:i/>
          <w:lang w:val="en-US"/>
        </w:rPr>
        <w:t>Dorchak c. Krupka</w:t>
      </w:r>
      <w:r w:rsidR="001E2F76" w:rsidRPr="004D4C3B">
        <w:rPr>
          <w:lang w:val="en-US"/>
        </w:rPr>
        <w:t>, 1997 ABCA 89, 196 A.R. 81</w:t>
      </w:r>
      <w:r w:rsidR="006F3725" w:rsidRPr="004D4C3B">
        <w:rPr>
          <w:lang w:val="en-US"/>
        </w:rPr>
        <w:t>.</w:t>
      </w:r>
    </w:p>
    <w:p w:rsidR="00BA0CF1" w:rsidRPr="004D4C3B" w:rsidRDefault="00BA0CF1" w:rsidP="00B3618F">
      <w:pPr>
        <w:pStyle w:val="SCCNormalDoubleSpacing"/>
        <w:widowControl w:val="0"/>
        <w:spacing w:after="720" w:line="240" w:lineRule="auto"/>
        <w:rPr>
          <w:lang w:val="fr-CA"/>
        </w:rPr>
      </w:pPr>
      <w:r w:rsidRPr="004D4C3B">
        <w:rPr>
          <w:lang w:val="fr-CA"/>
        </w:rPr>
        <w:lastRenderedPageBreak/>
        <w:t>Citée par le juge Cromwell</w:t>
      </w:r>
    </w:p>
    <w:p w:rsidR="00BA0CF1" w:rsidRPr="004D4C3B" w:rsidRDefault="00BA0CF1" w:rsidP="00B3618F">
      <w:pPr>
        <w:pStyle w:val="SCCNormalDoubleSpacing"/>
        <w:widowControl w:val="0"/>
        <w:spacing w:after="480"/>
        <w:rPr>
          <w:lang w:val="fr-CA"/>
        </w:rPr>
      </w:pPr>
      <w:r w:rsidRPr="004D4C3B">
        <w:rPr>
          <w:lang w:val="fr-CA"/>
        </w:rPr>
        <w:tab/>
      </w:r>
      <w:r w:rsidR="000A7EDC" w:rsidRPr="004D4C3B">
        <w:rPr>
          <w:b/>
          <w:lang w:val="fr-CA"/>
        </w:rPr>
        <w:t>A</w:t>
      </w:r>
      <w:r w:rsidR="000A7EDC" w:rsidRPr="004D4C3B">
        <w:rPr>
          <w:b/>
          <w:szCs w:val="24"/>
          <w:lang w:val="fr-CA"/>
        </w:rPr>
        <w:t>rrêt appliqué :</w:t>
      </w:r>
      <w:r w:rsidRPr="004D4C3B">
        <w:rPr>
          <w:lang w:val="fr-CA"/>
        </w:rPr>
        <w:t xml:space="preserve"> </w:t>
      </w:r>
      <w:r w:rsidRPr="004D4C3B">
        <w:rPr>
          <w:i/>
          <w:lang w:val="fr-CA"/>
        </w:rPr>
        <w:t>Canada (Commissaire à la protection de la vie privée) c. Blood Tribe Department of Health</w:t>
      </w:r>
      <w:r w:rsidRPr="004D4C3B">
        <w:rPr>
          <w:lang w:val="fr-CA"/>
        </w:rPr>
        <w:t xml:space="preserve">, 2008 CSC 44, [2008] 2 R.C.S. 574; </w:t>
      </w:r>
      <w:r w:rsidR="000A7EDC" w:rsidRPr="004D4C3B">
        <w:rPr>
          <w:b/>
          <w:lang w:val="fr-CA"/>
        </w:rPr>
        <w:t>arrêts mentionnés :</w:t>
      </w:r>
      <w:r w:rsidR="000A7EDC" w:rsidRPr="004D4C3B">
        <w:rPr>
          <w:lang w:val="fr-CA"/>
        </w:rPr>
        <w:t xml:space="preserve"> </w:t>
      </w:r>
      <w:r w:rsidRPr="004D4C3B">
        <w:rPr>
          <w:i/>
          <w:lang w:val="fr-CA"/>
        </w:rPr>
        <w:t>Canada (Revenu national) c. Thompson</w:t>
      </w:r>
      <w:r w:rsidRPr="004D4C3B">
        <w:rPr>
          <w:lang w:val="fr-CA"/>
        </w:rPr>
        <w:t xml:space="preserve">, 2016 CSC 21, [2016] 1 R.C.S. 381; </w:t>
      </w:r>
      <w:r w:rsidRPr="004D4C3B">
        <w:rPr>
          <w:i/>
          <w:lang w:val="fr-CA"/>
        </w:rPr>
        <w:t>Rizzo &amp; Rizzo Shoes Ltd. (Re)</w:t>
      </w:r>
      <w:r w:rsidRPr="004D4C3B">
        <w:rPr>
          <w:lang w:val="fr-CA"/>
        </w:rPr>
        <w:t xml:space="preserve">, [1998] 1 R.C.S. 27; </w:t>
      </w:r>
      <w:r w:rsidRPr="004D4C3B">
        <w:rPr>
          <w:i/>
          <w:lang w:val="fr-CA"/>
        </w:rPr>
        <w:t>Lavallee, Rackel &amp; Heintz c. Canada (Procureur général)</w:t>
      </w:r>
      <w:r w:rsidRPr="004D4C3B">
        <w:rPr>
          <w:lang w:val="fr-CA"/>
        </w:rPr>
        <w:t xml:space="preserve">, 2002 CSC 61, [2002] 3 R.C.S. 209; </w:t>
      </w:r>
      <w:r w:rsidRPr="004D4C3B">
        <w:rPr>
          <w:i/>
          <w:lang w:val="fr-CA"/>
        </w:rPr>
        <w:t>Société d</w:t>
      </w:r>
      <w:r w:rsidR="00E87C0F" w:rsidRPr="004D4C3B">
        <w:rPr>
          <w:i/>
          <w:lang w:val="fr-CA"/>
        </w:rPr>
        <w:t>’</w:t>
      </w:r>
      <w:r w:rsidRPr="004D4C3B">
        <w:rPr>
          <w:i/>
          <w:lang w:val="fr-CA"/>
        </w:rPr>
        <w:t>énergie Foster Wheeler ltée c. Société intermunicipale de gestion et d</w:t>
      </w:r>
      <w:r w:rsidR="00E87C0F" w:rsidRPr="004D4C3B">
        <w:rPr>
          <w:i/>
          <w:lang w:val="fr-CA"/>
        </w:rPr>
        <w:t>’</w:t>
      </w:r>
      <w:r w:rsidRPr="004D4C3B">
        <w:rPr>
          <w:i/>
          <w:lang w:val="fr-CA"/>
        </w:rPr>
        <w:t>élimination des déchets (SIGED) inc.</w:t>
      </w:r>
      <w:r w:rsidRPr="004D4C3B">
        <w:rPr>
          <w:lang w:val="fr-CA"/>
        </w:rPr>
        <w:t xml:space="preserve">, 2004 CSC 18, [2004] 1 R.C.S. 456; </w:t>
      </w:r>
      <w:r w:rsidRPr="004D4C3B">
        <w:rPr>
          <w:i/>
          <w:lang w:val="fr-CA"/>
        </w:rPr>
        <w:t>Descôteaux c. Mierzwinski</w:t>
      </w:r>
      <w:r w:rsidRPr="004D4C3B">
        <w:rPr>
          <w:lang w:val="fr-CA"/>
        </w:rPr>
        <w:t xml:space="preserve">, [1982] 1 R.C.S. 860; </w:t>
      </w:r>
      <w:r w:rsidRPr="004D4C3B">
        <w:rPr>
          <w:i/>
          <w:lang w:val="fr-CA"/>
        </w:rPr>
        <w:t>Newfoundland and Labrador (Attorney General) c. Information and Privacy Commissioner (Nfld. and Lab.)</w:t>
      </w:r>
      <w:r w:rsidRPr="004D4C3B">
        <w:rPr>
          <w:lang w:val="fr-CA"/>
        </w:rPr>
        <w:t xml:space="preserve">, 2011 NLCA 69, 314 Nfld. &amp; P.E.I.R. 305; </w:t>
      </w:r>
      <w:r w:rsidR="00F80C15" w:rsidRPr="004D4C3B">
        <w:rPr>
          <w:i/>
          <w:lang w:val="fr-CA"/>
        </w:rPr>
        <w:t>Canada (Commissaire à l’information)</w:t>
      </w:r>
      <w:r w:rsidR="00F80C15" w:rsidRPr="00F80C15">
        <w:rPr>
          <w:i/>
          <w:lang w:val="fr-CA"/>
        </w:rPr>
        <w:t xml:space="preserve"> </w:t>
      </w:r>
      <w:r w:rsidR="00F80C15" w:rsidRPr="004D4C3B">
        <w:rPr>
          <w:i/>
          <w:lang w:val="fr-CA"/>
        </w:rPr>
        <w:t>c.</w:t>
      </w:r>
      <w:r w:rsidR="00F80C15">
        <w:rPr>
          <w:i/>
          <w:lang w:val="fr-CA"/>
        </w:rPr>
        <w:t xml:space="preserve"> </w:t>
      </w:r>
      <w:r w:rsidRPr="004D4C3B">
        <w:rPr>
          <w:i/>
          <w:lang w:val="fr-CA"/>
        </w:rPr>
        <w:t>Canada (Ministre de l</w:t>
      </w:r>
      <w:r w:rsidR="00E87C0F" w:rsidRPr="004D4C3B">
        <w:rPr>
          <w:i/>
          <w:lang w:val="fr-CA"/>
        </w:rPr>
        <w:t>’</w:t>
      </w:r>
      <w:r w:rsidRPr="004D4C3B">
        <w:rPr>
          <w:i/>
          <w:lang w:val="fr-CA"/>
        </w:rPr>
        <w:t>Environnement)</w:t>
      </w:r>
      <w:r w:rsidRPr="004D4C3B">
        <w:rPr>
          <w:lang w:val="fr-CA"/>
        </w:rPr>
        <w:t xml:space="preserve">, 2000 CanLII 15247; </w:t>
      </w:r>
      <w:r w:rsidRPr="004D4C3B">
        <w:rPr>
          <w:i/>
          <w:lang w:val="fr-CA"/>
        </w:rPr>
        <w:t>Canada (Commission canadienne des droits de la personne) c. Canada (Procureur général)</w:t>
      </w:r>
      <w:r w:rsidRPr="004D4C3B">
        <w:rPr>
          <w:lang w:val="fr-CA"/>
        </w:rPr>
        <w:t xml:space="preserve">, 2011 CSC 53, [2011] 3 R.C.S. 471; </w:t>
      </w:r>
      <w:r w:rsidRPr="004D4C3B">
        <w:rPr>
          <w:i/>
          <w:lang w:val="fr-CA"/>
        </w:rPr>
        <w:t>Merck Frosst Canada Ltée c. Canada (Santé)</w:t>
      </w:r>
      <w:r w:rsidRPr="004D4C3B">
        <w:rPr>
          <w:lang w:val="fr-CA"/>
        </w:rPr>
        <w:t xml:space="preserve">, 2012 CSC 3, [2012] 1 R.C.S. 23; </w:t>
      </w:r>
      <w:r w:rsidRPr="004D4C3B">
        <w:rPr>
          <w:i/>
          <w:lang w:val="fr-CA"/>
        </w:rPr>
        <w:t>Dorchak c. Krupka</w:t>
      </w:r>
      <w:r w:rsidRPr="004D4C3B">
        <w:rPr>
          <w:lang w:val="fr-CA"/>
        </w:rPr>
        <w:t xml:space="preserve">, 1997 ABCA 89, 196 A.R. 81; </w:t>
      </w:r>
      <w:r w:rsidRPr="004D4C3B">
        <w:rPr>
          <w:i/>
          <w:lang w:val="fr-CA"/>
        </w:rPr>
        <w:t>Canadian Natural Resources Ltd. c. ShawCor Ltd.</w:t>
      </w:r>
      <w:r w:rsidRPr="004D4C3B">
        <w:rPr>
          <w:lang w:val="fr-CA"/>
        </w:rPr>
        <w:t xml:space="preserve">, 2014 ABCA 289, 580 A.R. 265; </w:t>
      </w:r>
      <w:r w:rsidRPr="004D4C3B">
        <w:rPr>
          <w:i/>
          <w:lang w:val="fr-CA"/>
        </w:rPr>
        <w:t>Solosky c. La Reine</w:t>
      </w:r>
      <w:r w:rsidRPr="004D4C3B">
        <w:rPr>
          <w:lang w:val="fr-CA"/>
        </w:rPr>
        <w:t>, [1980] 1 R.C.S. 821.</w:t>
      </w:r>
    </w:p>
    <w:p w:rsidR="006F3725" w:rsidRPr="004D4C3B" w:rsidRDefault="008F5F31" w:rsidP="00B3618F">
      <w:pPr>
        <w:pStyle w:val="SCCNormalDoubleSpacing"/>
        <w:widowControl w:val="0"/>
        <w:spacing w:after="720" w:line="240" w:lineRule="auto"/>
        <w:rPr>
          <w:lang w:val="fr-CA"/>
        </w:rPr>
      </w:pPr>
      <w:r w:rsidRPr="004D4C3B">
        <w:rPr>
          <w:lang w:val="fr-CA"/>
        </w:rPr>
        <w:t>Citée par la juge Abella</w:t>
      </w:r>
    </w:p>
    <w:p w:rsidR="008F5F31" w:rsidRPr="004D4C3B" w:rsidRDefault="008F5F31" w:rsidP="00B3618F">
      <w:pPr>
        <w:pStyle w:val="SCCNormalDoubleSpacing"/>
        <w:widowControl w:val="0"/>
        <w:spacing w:after="480"/>
        <w:rPr>
          <w:lang w:val="fr-CA"/>
        </w:rPr>
      </w:pPr>
      <w:r w:rsidRPr="004D4C3B">
        <w:rPr>
          <w:lang w:val="fr-CA"/>
        </w:rPr>
        <w:tab/>
      </w:r>
      <w:r w:rsidR="000A7EDC" w:rsidRPr="004D4C3B">
        <w:rPr>
          <w:b/>
          <w:lang w:val="fr-CA"/>
        </w:rPr>
        <w:t>A</w:t>
      </w:r>
      <w:r w:rsidR="000A7EDC" w:rsidRPr="004D4C3B">
        <w:rPr>
          <w:b/>
          <w:szCs w:val="24"/>
          <w:lang w:val="fr-CA"/>
        </w:rPr>
        <w:t>rrêt appliqué :</w:t>
      </w:r>
      <w:r w:rsidR="000A7EDC" w:rsidRPr="004D4C3B">
        <w:rPr>
          <w:szCs w:val="24"/>
          <w:lang w:val="fr-CA"/>
        </w:rPr>
        <w:t xml:space="preserve"> </w:t>
      </w:r>
      <w:r w:rsidR="000A7EDC" w:rsidRPr="004D4C3B">
        <w:rPr>
          <w:i/>
          <w:lang w:val="fr-CA"/>
        </w:rPr>
        <w:t>Dunsmuir c. Nouveau</w:t>
      </w:r>
      <w:r w:rsidR="000A7EDC" w:rsidRPr="004D4C3B">
        <w:rPr>
          <w:i/>
          <w:lang w:val="fr-CA"/>
        </w:rPr>
        <w:noBreakHyphen/>
        <w:t>Brunswick</w:t>
      </w:r>
      <w:r w:rsidR="000A7EDC" w:rsidRPr="004D4C3B">
        <w:rPr>
          <w:lang w:val="fr-CA"/>
        </w:rPr>
        <w:t xml:space="preserve">, 2008 CSC 9, [2008] 1 R.C.S. 190; </w:t>
      </w:r>
      <w:r w:rsidR="000A7EDC" w:rsidRPr="004D4C3B">
        <w:rPr>
          <w:b/>
          <w:lang w:val="fr-CA"/>
        </w:rPr>
        <w:t>a</w:t>
      </w:r>
      <w:r w:rsidRPr="004D4C3B">
        <w:rPr>
          <w:b/>
          <w:lang w:val="fr-CA"/>
        </w:rPr>
        <w:t>rrêts mentionnés</w:t>
      </w:r>
      <w:r w:rsidR="00E87C0F" w:rsidRPr="004D4C3B">
        <w:rPr>
          <w:b/>
          <w:lang w:val="fr-CA"/>
        </w:rPr>
        <w:t> :</w:t>
      </w:r>
      <w:r w:rsidRPr="004D4C3B">
        <w:rPr>
          <w:lang w:val="fr-CA"/>
        </w:rPr>
        <w:t xml:space="preserve"> </w:t>
      </w:r>
      <w:r w:rsidR="00176C6D" w:rsidRPr="004D4C3B">
        <w:rPr>
          <w:i/>
          <w:lang w:val="fr-CA"/>
        </w:rPr>
        <w:t>McLean c. Colombie</w:t>
      </w:r>
      <w:r w:rsidR="00E87C0F" w:rsidRPr="004D4C3B">
        <w:rPr>
          <w:i/>
          <w:lang w:val="fr-CA"/>
        </w:rPr>
        <w:noBreakHyphen/>
      </w:r>
      <w:r w:rsidR="00176C6D" w:rsidRPr="004D4C3B">
        <w:rPr>
          <w:i/>
          <w:lang w:val="fr-CA"/>
        </w:rPr>
        <w:t>Britannique (Securities Commission)</w:t>
      </w:r>
      <w:r w:rsidR="00176C6D" w:rsidRPr="004D4C3B">
        <w:rPr>
          <w:lang w:val="fr-CA"/>
        </w:rPr>
        <w:t xml:space="preserve">, 2013 CSC 67, [2013] 3 R.C.S. 895; </w:t>
      </w:r>
      <w:r w:rsidR="00176C6D" w:rsidRPr="004D4C3B">
        <w:rPr>
          <w:i/>
          <w:lang w:val="fr-CA"/>
        </w:rPr>
        <w:t>Nor</w:t>
      </w:r>
      <w:r w:rsidR="00E87C0F" w:rsidRPr="004D4C3B">
        <w:rPr>
          <w:i/>
          <w:lang w:val="fr-CA"/>
        </w:rPr>
        <w:noBreakHyphen/>
      </w:r>
      <w:r w:rsidR="00176C6D" w:rsidRPr="004D4C3B">
        <w:rPr>
          <w:i/>
          <w:lang w:val="fr-CA"/>
        </w:rPr>
        <w:t>Man Regional Health Authority Inc. c. Manitoba Association of Health Care Professionals</w:t>
      </w:r>
      <w:r w:rsidR="00176C6D" w:rsidRPr="004D4C3B">
        <w:rPr>
          <w:lang w:val="fr-CA"/>
        </w:rPr>
        <w:t xml:space="preserve">, 2011 CSC 59, [2011] 3 </w:t>
      </w:r>
      <w:r w:rsidR="00176C6D" w:rsidRPr="004D4C3B">
        <w:rPr>
          <w:lang w:val="fr-CA"/>
        </w:rPr>
        <w:lastRenderedPageBreak/>
        <w:t xml:space="preserve">R.C.S. 616; </w:t>
      </w:r>
      <w:r w:rsidR="00176C6D" w:rsidRPr="004D4C3B">
        <w:rPr>
          <w:i/>
          <w:lang w:val="fr-CA"/>
        </w:rPr>
        <w:t>Alberta (Information and Privacy Commissioner) c. Travailleurs et travailleuses unis de l</w:t>
      </w:r>
      <w:r w:rsidR="00E87C0F" w:rsidRPr="004D4C3B">
        <w:rPr>
          <w:i/>
          <w:lang w:val="fr-CA"/>
        </w:rPr>
        <w:t>’</w:t>
      </w:r>
      <w:r w:rsidR="00176C6D" w:rsidRPr="004D4C3B">
        <w:rPr>
          <w:i/>
          <w:lang w:val="fr-CA"/>
        </w:rPr>
        <w:t>alimentation et du commerce, section locale 401</w:t>
      </w:r>
      <w:r w:rsidR="00176C6D" w:rsidRPr="004D4C3B">
        <w:rPr>
          <w:lang w:val="fr-CA"/>
        </w:rPr>
        <w:t xml:space="preserve">, 2013 CSC 62, [2013] 3 R.C.S. 733; </w:t>
      </w:r>
      <w:r w:rsidRPr="004D4C3B">
        <w:rPr>
          <w:i/>
          <w:lang w:val="fr-CA"/>
        </w:rPr>
        <w:t>Canada (Commissaire à la protection de la vie privée) c. Blood Tribe Department of Health</w:t>
      </w:r>
      <w:r w:rsidRPr="004D4C3B">
        <w:rPr>
          <w:lang w:val="fr-CA"/>
        </w:rPr>
        <w:t xml:space="preserve">, 2008 CSC 44, [2008] 2 R.C.S. 574; </w:t>
      </w:r>
      <w:r w:rsidRPr="004D4C3B">
        <w:rPr>
          <w:i/>
          <w:lang w:val="fr-CA"/>
        </w:rPr>
        <w:t>Ontario (Sécurité communautaire et Services correctionnels) c. Ontario (Commissaire à l</w:t>
      </w:r>
      <w:r w:rsidR="00E87C0F" w:rsidRPr="004D4C3B">
        <w:rPr>
          <w:i/>
          <w:lang w:val="fr-CA"/>
        </w:rPr>
        <w:t>’</w:t>
      </w:r>
      <w:r w:rsidRPr="004D4C3B">
        <w:rPr>
          <w:i/>
          <w:lang w:val="fr-CA"/>
        </w:rPr>
        <w:t>information et à la protection de la vie privée)</w:t>
      </w:r>
      <w:r w:rsidRPr="004D4C3B">
        <w:rPr>
          <w:lang w:val="fr-CA"/>
        </w:rPr>
        <w:t xml:space="preserve">, 2014 CSC 31, [2014] 1 R.C.S. 674; </w:t>
      </w:r>
      <w:r w:rsidRPr="004D4C3B">
        <w:rPr>
          <w:i/>
          <w:lang w:val="fr-CA"/>
        </w:rPr>
        <w:t>Untel c. Ontario (Finances)</w:t>
      </w:r>
      <w:r w:rsidRPr="004D4C3B">
        <w:rPr>
          <w:lang w:val="fr-CA"/>
        </w:rPr>
        <w:t xml:space="preserve">, 2014 CSC 36, [2014] 2 R.C.S. 3; </w:t>
      </w:r>
      <w:r w:rsidRPr="004D4C3B">
        <w:rPr>
          <w:i/>
          <w:lang w:val="fr-CA"/>
        </w:rPr>
        <w:t>Alberta (Information and Privacy Commissioner) c. Alberta Teachers</w:t>
      </w:r>
      <w:r w:rsidR="00E87C0F" w:rsidRPr="004D4C3B">
        <w:rPr>
          <w:i/>
          <w:lang w:val="fr-CA"/>
        </w:rPr>
        <w:t>’</w:t>
      </w:r>
      <w:r w:rsidRPr="004D4C3B">
        <w:rPr>
          <w:i/>
          <w:lang w:val="fr-CA"/>
        </w:rPr>
        <w:t xml:space="preserve"> Association</w:t>
      </w:r>
      <w:r w:rsidRPr="004D4C3B">
        <w:rPr>
          <w:lang w:val="fr-CA"/>
        </w:rPr>
        <w:t xml:space="preserve">, 2011 CSC 61, [2011] 3 R.C.S. 654; </w:t>
      </w:r>
      <w:r w:rsidR="004C1B1D" w:rsidRPr="004D4C3B">
        <w:rPr>
          <w:i/>
          <w:lang w:val="fr-CA"/>
        </w:rPr>
        <w:t>Ontario (Sûreté et Sécurité publique) c. Criminal Lawyers</w:t>
      </w:r>
      <w:r w:rsidR="00E87C0F" w:rsidRPr="004D4C3B">
        <w:rPr>
          <w:i/>
          <w:lang w:val="fr-CA"/>
        </w:rPr>
        <w:t>’</w:t>
      </w:r>
      <w:r w:rsidR="004C1B1D" w:rsidRPr="004D4C3B">
        <w:rPr>
          <w:i/>
          <w:lang w:val="fr-CA"/>
        </w:rPr>
        <w:t xml:space="preserve"> Association</w:t>
      </w:r>
      <w:r w:rsidR="004C1B1D" w:rsidRPr="004D4C3B">
        <w:rPr>
          <w:lang w:val="fr-CA"/>
        </w:rPr>
        <w:t xml:space="preserve">, 2010 CSC 23, [2010] 1 R.C.S. 815; </w:t>
      </w:r>
      <w:r w:rsidR="004C1B1D" w:rsidRPr="004D4C3B">
        <w:rPr>
          <w:i/>
          <w:lang w:val="fr-CA"/>
        </w:rPr>
        <w:t>Pritchard c. Ontario (Commission des droits de la personne)</w:t>
      </w:r>
      <w:r w:rsidR="004C1B1D" w:rsidRPr="004D4C3B">
        <w:rPr>
          <w:lang w:val="fr-CA"/>
        </w:rPr>
        <w:t xml:space="preserve">, 2004 CSC 31, [2004] 1 R.C.S. 809; </w:t>
      </w:r>
      <w:r w:rsidR="004C1B1D" w:rsidRPr="004D4C3B">
        <w:rPr>
          <w:i/>
          <w:lang w:val="fr-CA"/>
        </w:rPr>
        <w:t>Canada (Revenu national) c. Thompson</w:t>
      </w:r>
      <w:r w:rsidR="004C1B1D" w:rsidRPr="004D4C3B">
        <w:rPr>
          <w:lang w:val="fr-CA"/>
        </w:rPr>
        <w:t>, 2016 CSC 21, [2016] 1 R.C.S. 381.</w:t>
      </w:r>
    </w:p>
    <w:p w:rsidR="004D7D95" w:rsidRPr="004D4C3B" w:rsidRDefault="004D7D95" w:rsidP="00B3618F">
      <w:pPr>
        <w:pStyle w:val="SCCNormalDoubleSpacing"/>
        <w:widowControl w:val="0"/>
        <w:spacing w:after="720" w:line="240" w:lineRule="auto"/>
        <w:rPr>
          <w:lang w:val="en-US"/>
        </w:rPr>
      </w:pPr>
      <w:r w:rsidRPr="004D4C3B">
        <w:rPr>
          <w:b/>
          <w:lang w:val="en-US"/>
        </w:rPr>
        <w:t>Lois et règlements cités</w:t>
      </w:r>
    </w:p>
    <w:p w:rsidR="00AE1054" w:rsidRPr="004D4C3B" w:rsidRDefault="00AE1054" w:rsidP="00B3618F">
      <w:pPr>
        <w:pStyle w:val="SCCNormalDoubleSpacing"/>
        <w:widowControl w:val="0"/>
        <w:spacing w:after="240" w:line="240" w:lineRule="auto"/>
        <w:ind w:left="539" w:hanging="539"/>
      </w:pPr>
      <w:r w:rsidRPr="004D4C3B">
        <w:rPr>
          <w:i/>
        </w:rPr>
        <w:t>Access to Information and Protection of Privacy Act</w:t>
      </w:r>
      <w:r w:rsidRPr="004D4C3B">
        <w:t>, S.N.L. 2002, c. A</w:t>
      </w:r>
      <w:r w:rsidR="00E87C0F" w:rsidRPr="004D4C3B">
        <w:noBreakHyphen/>
      </w:r>
      <w:r w:rsidRPr="004D4C3B">
        <w:t xml:space="preserve">1.1, </w:t>
      </w:r>
      <w:r w:rsidR="00E87C0F" w:rsidRPr="004D4C3B">
        <w:t>art. </w:t>
      </w:r>
      <w:r w:rsidRPr="004D4C3B">
        <w:t>52.</w:t>
      </w:r>
    </w:p>
    <w:p w:rsidR="003E7C39" w:rsidRPr="004D4C3B" w:rsidRDefault="003E7C39" w:rsidP="00B3618F">
      <w:pPr>
        <w:pStyle w:val="SCCNormalDoubleSpacing"/>
        <w:widowControl w:val="0"/>
        <w:spacing w:after="240" w:line="240" w:lineRule="auto"/>
        <w:ind w:left="539" w:hanging="539"/>
      </w:pPr>
      <w:r w:rsidRPr="004D4C3B">
        <w:rPr>
          <w:i/>
        </w:rPr>
        <w:t>Freedom of Information and Protection of Privacy Act</w:t>
      </w:r>
      <w:r w:rsidRPr="004D4C3B">
        <w:t>, R.S.A. 2000, c. F</w:t>
      </w:r>
      <w:r w:rsidR="00E87C0F" w:rsidRPr="004D4C3B">
        <w:noBreakHyphen/>
      </w:r>
      <w:r w:rsidRPr="004D4C3B">
        <w:t xml:space="preserve">25, </w:t>
      </w:r>
      <w:r w:rsidR="00E87C0F" w:rsidRPr="004D4C3B">
        <w:t>art. </w:t>
      </w:r>
      <w:r w:rsidRPr="004D4C3B">
        <w:t>2(c), (e), 7, 27, 53(1)(a), 56, 58, 59(1), (4), 65(1), 69(1), 70, 72(1), (2)</w:t>
      </w:r>
      <w:r w:rsidR="001505A0" w:rsidRPr="004D4C3B">
        <w:t>(a)</w:t>
      </w:r>
      <w:r w:rsidRPr="004D4C3B">
        <w:t>, 73.</w:t>
      </w:r>
    </w:p>
    <w:p w:rsidR="00FB0371" w:rsidRPr="004D4C3B" w:rsidRDefault="00FB0371" w:rsidP="00B3618F">
      <w:pPr>
        <w:pStyle w:val="SCCNormalDoubleSpacing"/>
        <w:widowControl w:val="0"/>
        <w:spacing w:after="240" w:line="240" w:lineRule="auto"/>
        <w:ind w:left="539" w:hanging="539"/>
      </w:pPr>
      <w:r w:rsidRPr="004D4C3B">
        <w:rPr>
          <w:i/>
        </w:rPr>
        <w:t>Freedom of Information and Protection of Privacy Act</w:t>
      </w:r>
      <w:r w:rsidRPr="004D4C3B">
        <w:t>,</w:t>
      </w:r>
      <w:r w:rsidR="00C527A3" w:rsidRPr="004D4C3B">
        <w:t xml:space="preserve"> R.S.B.C. 1996, c. 165, </w:t>
      </w:r>
      <w:r w:rsidR="00E87C0F" w:rsidRPr="004D4C3B">
        <w:t>art. </w:t>
      </w:r>
      <w:r w:rsidR="00C527A3" w:rsidRPr="004D4C3B">
        <w:t>44</w:t>
      </w:r>
      <w:r w:rsidRPr="004D4C3B">
        <w:t>.</w:t>
      </w:r>
    </w:p>
    <w:p w:rsidR="003E7C39" w:rsidRPr="004D4C3B" w:rsidRDefault="003E7C39" w:rsidP="00B3618F">
      <w:pPr>
        <w:pStyle w:val="SCCNormalDoubleSpacing"/>
        <w:widowControl w:val="0"/>
        <w:spacing w:after="240" w:line="240" w:lineRule="auto"/>
        <w:ind w:left="539" w:hanging="539"/>
      </w:pPr>
      <w:r w:rsidRPr="004D4C3B">
        <w:rPr>
          <w:i/>
        </w:rPr>
        <w:t>Freedom of Information and Protection of Privacy Act</w:t>
      </w:r>
      <w:r w:rsidRPr="004D4C3B">
        <w:t>, S.A. 1994, c. F</w:t>
      </w:r>
      <w:r w:rsidR="00E87C0F" w:rsidRPr="004D4C3B">
        <w:noBreakHyphen/>
      </w:r>
      <w:r w:rsidRPr="004D4C3B">
        <w:t xml:space="preserve">18.5, </w:t>
      </w:r>
      <w:r w:rsidR="00E87C0F" w:rsidRPr="004D4C3B">
        <w:t>art. </w:t>
      </w:r>
      <w:r w:rsidRPr="004D4C3B">
        <w:t>54(3).</w:t>
      </w:r>
    </w:p>
    <w:p w:rsidR="00FB0371" w:rsidRPr="004D4C3B" w:rsidRDefault="00FB0371" w:rsidP="00B3618F">
      <w:pPr>
        <w:pStyle w:val="SCCNormalDoubleSpacing"/>
        <w:widowControl w:val="0"/>
        <w:spacing w:after="240" w:line="240" w:lineRule="auto"/>
        <w:ind w:left="539" w:hanging="539"/>
      </w:pPr>
      <w:r w:rsidRPr="004D4C3B">
        <w:rPr>
          <w:i/>
        </w:rPr>
        <w:t>Freedom of Information and Protection of Privacy Amendment Act, 2003</w:t>
      </w:r>
      <w:r w:rsidRPr="004D4C3B">
        <w:t xml:space="preserve">, S.B.C. 2003, c. 5, </w:t>
      </w:r>
      <w:r w:rsidR="00E87C0F" w:rsidRPr="004D4C3B">
        <w:t>art. </w:t>
      </w:r>
      <w:r w:rsidRPr="004D4C3B">
        <w:t>15.</w:t>
      </w:r>
    </w:p>
    <w:p w:rsidR="003E7C39" w:rsidRPr="004D4C3B" w:rsidRDefault="003E7C39" w:rsidP="00B3618F">
      <w:pPr>
        <w:pStyle w:val="SCCNormalDoubleSpacing"/>
        <w:widowControl w:val="0"/>
        <w:spacing w:after="240" w:line="240" w:lineRule="auto"/>
        <w:ind w:left="539" w:hanging="539"/>
        <w:rPr>
          <w:lang w:val="fr-CA"/>
        </w:rPr>
      </w:pPr>
      <w:r w:rsidRPr="004D4C3B">
        <w:rPr>
          <w:i/>
          <w:lang w:val="fr-CA"/>
        </w:rPr>
        <w:t>Loi sur la protection des renseignements personnels</w:t>
      </w:r>
      <w:r w:rsidRPr="004D4C3B">
        <w:rPr>
          <w:lang w:val="fr-CA"/>
        </w:rPr>
        <w:t>, L.R.C. 1985, c. P</w:t>
      </w:r>
      <w:r w:rsidR="00E87C0F" w:rsidRPr="004D4C3B">
        <w:rPr>
          <w:lang w:val="fr-CA"/>
        </w:rPr>
        <w:noBreakHyphen/>
      </w:r>
      <w:r w:rsidRPr="004D4C3B">
        <w:rPr>
          <w:lang w:val="fr-CA"/>
        </w:rPr>
        <w:t xml:space="preserve">21, </w:t>
      </w:r>
      <w:r w:rsidR="00E87C0F" w:rsidRPr="004D4C3B">
        <w:rPr>
          <w:lang w:val="fr-CA"/>
        </w:rPr>
        <w:t>art. </w:t>
      </w:r>
      <w:r w:rsidRPr="004D4C3B">
        <w:rPr>
          <w:lang w:val="fr-CA"/>
        </w:rPr>
        <w:t>34(2).</w:t>
      </w:r>
    </w:p>
    <w:p w:rsidR="003E7C39" w:rsidRPr="004D4C3B" w:rsidRDefault="003E7C39" w:rsidP="00B3618F">
      <w:pPr>
        <w:pStyle w:val="SCCNormalDoubleSpacing"/>
        <w:widowControl w:val="0"/>
        <w:spacing w:after="240" w:line="240" w:lineRule="auto"/>
        <w:ind w:left="539" w:hanging="539"/>
        <w:rPr>
          <w:lang w:val="en-US"/>
        </w:rPr>
      </w:pPr>
      <w:r w:rsidRPr="004D4C3B">
        <w:rPr>
          <w:i/>
          <w:lang w:val="fr-CA"/>
        </w:rPr>
        <w:t>Loi sur la protection des renseignements personnels et les documents électroniques</w:t>
      </w:r>
      <w:r w:rsidRPr="004D4C3B">
        <w:rPr>
          <w:lang w:val="fr-CA"/>
        </w:rPr>
        <w:t xml:space="preserve">, L.C. 2000, c. 5, </w:t>
      </w:r>
      <w:r w:rsidR="00E87C0F" w:rsidRPr="004D4C3B">
        <w:rPr>
          <w:lang w:val="fr-CA"/>
        </w:rPr>
        <w:t>art. </w:t>
      </w:r>
      <w:r w:rsidRPr="004D4C3B">
        <w:rPr>
          <w:lang w:val="fr-CA"/>
        </w:rPr>
        <w:t>12</w:t>
      </w:r>
      <w:r w:rsidR="00FD0C88" w:rsidRPr="004D4C3B">
        <w:rPr>
          <w:lang w:val="fr-CA"/>
        </w:rPr>
        <w:t xml:space="preserve"> [rempl. </w:t>
      </w:r>
      <w:r w:rsidR="00FD0C88" w:rsidRPr="004D4C3B">
        <w:rPr>
          <w:lang w:val="en-US"/>
        </w:rPr>
        <w:t>2010, c. </w:t>
      </w:r>
      <w:r w:rsidR="00FD0C88" w:rsidRPr="004D4C3B">
        <w:t xml:space="preserve">23, </w:t>
      </w:r>
      <w:r w:rsidR="00E87C0F" w:rsidRPr="004D4C3B">
        <w:t>art. </w:t>
      </w:r>
      <w:r w:rsidR="00FD0C88" w:rsidRPr="004D4C3B">
        <w:t>83], 12.1,</w:t>
      </w:r>
      <w:r w:rsidRPr="004D4C3B">
        <w:rPr>
          <w:lang w:val="en-US"/>
        </w:rPr>
        <w:t xml:space="preserve"> 15.</w:t>
      </w:r>
    </w:p>
    <w:p w:rsidR="003E7C39" w:rsidRPr="004D4C3B" w:rsidRDefault="003E7C39" w:rsidP="00B3618F">
      <w:pPr>
        <w:pStyle w:val="SCCNormalDoubleSpacing"/>
        <w:widowControl w:val="0"/>
        <w:spacing w:after="240" w:line="240" w:lineRule="auto"/>
        <w:ind w:left="539" w:hanging="539"/>
      </w:pPr>
      <w:r w:rsidRPr="004D4C3B">
        <w:rPr>
          <w:i/>
        </w:rPr>
        <w:lastRenderedPageBreak/>
        <w:t>Personal Information Protection Act</w:t>
      </w:r>
      <w:r w:rsidRPr="004D4C3B">
        <w:t>, S.A. 2003, c. P</w:t>
      </w:r>
      <w:r w:rsidR="00E87C0F" w:rsidRPr="004D4C3B">
        <w:noBreakHyphen/>
      </w:r>
      <w:r w:rsidRPr="004D4C3B">
        <w:t>6.5</w:t>
      </w:r>
      <w:r w:rsidR="00E3047B" w:rsidRPr="004D4C3B">
        <w:t xml:space="preserve">, </w:t>
      </w:r>
      <w:r w:rsidR="00E87C0F" w:rsidRPr="004D4C3B">
        <w:t>art. </w:t>
      </w:r>
      <w:r w:rsidR="00E3047B" w:rsidRPr="004D4C3B">
        <w:t>38(3)</w:t>
      </w:r>
      <w:r w:rsidRPr="004D4C3B">
        <w:t>.</w:t>
      </w:r>
    </w:p>
    <w:p w:rsidR="003E7C39" w:rsidRPr="004D4C3B" w:rsidRDefault="003E7C39" w:rsidP="00B3618F">
      <w:pPr>
        <w:pStyle w:val="SCCNormalDoubleSpacing"/>
        <w:widowControl w:val="0"/>
        <w:spacing w:after="240" w:line="240" w:lineRule="auto"/>
        <w:ind w:left="539" w:hanging="539"/>
      </w:pPr>
      <w:r w:rsidRPr="004D4C3B">
        <w:rPr>
          <w:i/>
        </w:rPr>
        <w:t>Public Inquiries Act</w:t>
      </w:r>
      <w:r w:rsidRPr="004D4C3B">
        <w:t>, R.S.A. 2000, c. P</w:t>
      </w:r>
      <w:r w:rsidR="00E87C0F" w:rsidRPr="004D4C3B">
        <w:noBreakHyphen/>
      </w:r>
      <w:r w:rsidRPr="004D4C3B">
        <w:t>39.</w:t>
      </w:r>
    </w:p>
    <w:p w:rsidR="00FB0371" w:rsidRPr="004D4C3B" w:rsidRDefault="00FB0371" w:rsidP="00B3618F">
      <w:pPr>
        <w:pStyle w:val="SCCNormalDoubleSpacing"/>
        <w:widowControl w:val="0"/>
        <w:spacing w:after="720" w:line="240" w:lineRule="auto"/>
        <w:ind w:left="539" w:hanging="539"/>
      </w:pPr>
      <w:r w:rsidRPr="004D4C3B">
        <w:rPr>
          <w:i/>
        </w:rPr>
        <w:t>Public Inquiry Act</w:t>
      </w:r>
      <w:r w:rsidRPr="004D4C3B">
        <w:t xml:space="preserve">, S.B.C. 2007, c. 9, </w:t>
      </w:r>
      <w:r w:rsidR="00E87C0F" w:rsidRPr="004D4C3B">
        <w:t>art. </w:t>
      </w:r>
      <w:r w:rsidRPr="004D4C3B">
        <w:t>76.</w:t>
      </w:r>
    </w:p>
    <w:p w:rsidR="004D7D95" w:rsidRPr="004D4C3B" w:rsidRDefault="004D7D95" w:rsidP="00B3618F">
      <w:pPr>
        <w:pStyle w:val="SCCNormalDoubleSpacing"/>
        <w:widowControl w:val="0"/>
        <w:spacing w:after="720" w:line="240" w:lineRule="auto"/>
        <w:rPr>
          <w:lang w:val="fr-CA"/>
        </w:rPr>
      </w:pPr>
      <w:r w:rsidRPr="004D4C3B">
        <w:rPr>
          <w:b/>
          <w:lang w:val="fr-CA"/>
        </w:rPr>
        <w:t>Doctrine et autres documents cités</w:t>
      </w:r>
    </w:p>
    <w:p w:rsidR="003E7C39" w:rsidRPr="004D4C3B" w:rsidRDefault="003E7C39" w:rsidP="00B3618F">
      <w:pPr>
        <w:pStyle w:val="SCCNormalDoubleSpacing"/>
        <w:widowControl w:val="0"/>
        <w:spacing w:after="240" w:line="240" w:lineRule="auto"/>
        <w:ind w:left="539" w:hanging="539"/>
      </w:pPr>
      <w:r w:rsidRPr="004D4C3B">
        <w:rPr>
          <w:lang w:val="fr-CA"/>
        </w:rPr>
        <w:t xml:space="preserve">Alberta. </w:t>
      </w:r>
      <w:r w:rsidRPr="004D4C3B">
        <w:t xml:space="preserve">Legislative Assembly. </w:t>
      </w:r>
      <w:r w:rsidRPr="004D4C3B">
        <w:rPr>
          <w:i/>
        </w:rPr>
        <w:t>Alberta Hansard</w:t>
      </w:r>
      <w:r w:rsidRPr="004D4C3B">
        <w:t xml:space="preserve">, 2nd Sess., 23rd Leg., April 11, 1994, </w:t>
      </w:r>
      <w:r w:rsidR="00E87C0F" w:rsidRPr="004D4C3B">
        <w:t>p. </w:t>
      </w:r>
      <w:r w:rsidRPr="004D4C3B">
        <w:t>1052.</w:t>
      </w:r>
    </w:p>
    <w:p w:rsidR="003E7C39" w:rsidRPr="004D4C3B" w:rsidRDefault="003E7C39" w:rsidP="00B3618F">
      <w:pPr>
        <w:pStyle w:val="SCCNormalDoubleSpacing"/>
        <w:widowControl w:val="0"/>
        <w:spacing w:after="240" w:line="240" w:lineRule="auto"/>
        <w:ind w:left="539" w:hanging="539"/>
      </w:pPr>
      <w:r w:rsidRPr="004D4C3B">
        <w:t xml:space="preserve">Alberta. Legislative Assembly. </w:t>
      </w:r>
      <w:r w:rsidRPr="004D4C3B">
        <w:rPr>
          <w:i/>
        </w:rPr>
        <w:t>Alberta Hansard</w:t>
      </w:r>
      <w:r w:rsidRPr="004D4C3B">
        <w:t xml:space="preserve">, 2nd Sess., 23rd Leg., April 18, 1994, </w:t>
      </w:r>
      <w:r w:rsidR="00E87C0F" w:rsidRPr="004D4C3B">
        <w:t>p. </w:t>
      </w:r>
      <w:r w:rsidRPr="004D4C3B">
        <w:t>1239</w:t>
      </w:r>
      <w:r w:rsidR="00E87C0F" w:rsidRPr="004D4C3B">
        <w:noBreakHyphen/>
      </w:r>
      <w:r w:rsidRPr="004D4C3B">
        <w:t>1240.</w:t>
      </w:r>
    </w:p>
    <w:p w:rsidR="003E7C39" w:rsidRPr="004D4C3B" w:rsidRDefault="003E7C39" w:rsidP="00B3618F">
      <w:pPr>
        <w:pStyle w:val="SCCNormalDoubleSpacing"/>
        <w:widowControl w:val="0"/>
        <w:spacing w:after="240" w:line="240" w:lineRule="auto"/>
        <w:ind w:left="539" w:hanging="539"/>
      </w:pPr>
      <w:r w:rsidRPr="004D4C3B">
        <w:t xml:space="preserve">Alberta. Legislative Assembly. </w:t>
      </w:r>
      <w:r w:rsidRPr="004D4C3B">
        <w:rPr>
          <w:i/>
        </w:rPr>
        <w:t>Alberta Hansard</w:t>
      </w:r>
      <w:r w:rsidRPr="004D4C3B">
        <w:t xml:space="preserve">, 2nd Sess., 23rd Leg., May 5, 1994, </w:t>
      </w:r>
      <w:r w:rsidR="00E87C0F" w:rsidRPr="004D4C3B">
        <w:t>p. </w:t>
      </w:r>
      <w:r w:rsidRPr="004D4C3B">
        <w:t>1752.</w:t>
      </w:r>
    </w:p>
    <w:p w:rsidR="003E7C39" w:rsidRPr="004D4C3B" w:rsidRDefault="003E7C39" w:rsidP="00B3618F">
      <w:pPr>
        <w:pStyle w:val="SCCNormalDoubleSpacing"/>
        <w:widowControl w:val="0"/>
        <w:spacing w:after="240" w:line="240" w:lineRule="auto"/>
        <w:ind w:left="539" w:hanging="539"/>
      </w:pPr>
      <w:r w:rsidRPr="004D4C3B">
        <w:t>Alberta. Office of the Information and Privacy Commissioner. « Solicitor</w:t>
      </w:r>
      <w:r w:rsidR="00E87C0F" w:rsidRPr="004D4C3B">
        <w:noBreakHyphen/>
      </w:r>
      <w:r w:rsidRPr="004D4C3B">
        <w:t>Client Privilege Adjudication Protocol », October 2008 (online</w:t>
      </w:r>
      <w:r w:rsidR="00E87C0F" w:rsidRPr="004D4C3B">
        <w:t> :</w:t>
      </w:r>
      <w:r w:rsidRPr="004D4C3B">
        <w:t xml:space="preserve"> www.oipc.ab.ca/media/613544/practice_note_solicitor_client_privilege_protocol_oct2008.pdf).</w:t>
      </w:r>
    </w:p>
    <w:p w:rsidR="003E7C39" w:rsidRPr="004D4C3B" w:rsidRDefault="003E7C39" w:rsidP="00B3618F">
      <w:pPr>
        <w:pStyle w:val="SCCNormalDoubleSpacing"/>
        <w:widowControl w:val="0"/>
        <w:spacing w:after="240" w:line="240" w:lineRule="auto"/>
        <w:ind w:left="539" w:hanging="539"/>
      </w:pPr>
      <w:r w:rsidRPr="004D4C3B">
        <w:t xml:space="preserve">Cross, Rupert. </w:t>
      </w:r>
      <w:r w:rsidRPr="004D4C3B">
        <w:rPr>
          <w:i/>
        </w:rPr>
        <w:t>Cross on Evidence</w:t>
      </w:r>
      <w:r w:rsidRPr="004D4C3B">
        <w:t>, 5th ed., London, Butterworths, 1979.</w:t>
      </w:r>
    </w:p>
    <w:p w:rsidR="003E7C39" w:rsidRPr="004D4C3B" w:rsidRDefault="003E7C39" w:rsidP="00B3618F">
      <w:pPr>
        <w:pStyle w:val="SCCNormalDoubleSpacing"/>
        <w:widowControl w:val="0"/>
        <w:spacing w:after="240" w:line="240" w:lineRule="auto"/>
        <w:ind w:left="539" w:hanging="539"/>
      </w:pPr>
      <w:r w:rsidRPr="004D4C3B">
        <w:t>Dodek, Adam</w:t>
      </w:r>
      <w:r w:rsidR="00BD644D" w:rsidRPr="004D4C3B">
        <w:t> M</w:t>
      </w:r>
      <w:r w:rsidRPr="004D4C3B">
        <w:t xml:space="preserve">. </w:t>
      </w:r>
      <w:r w:rsidRPr="004D4C3B">
        <w:rPr>
          <w:i/>
        </w:rPr>
        <w:t>Solicitor</w:t>
      </w:r>
      <w:r w:rsidR="00E87C0F" w:rsidRPr="004D4C3B">
        <w:rPr>
          <w:i/>
        </w:rPr>
        <w:noBreakHyphen/>
      </w:r>
      <w:r w:rsidRPr="004D4C3B">
        <w:rPr>
          <w:i/>
        </w:rPr>
        <w:t>Client Privilege</w:t>
      </w:r>
      <w:r w:rsidRPr="004D4C3B">
        <w:t xml:space="preserve">, </w:t>
      </w:r>
      <w:r w:rsidR="00BD644D" w:rsidRPr="004D4C3B">
        <w:t>Markham (Ont.)</w:t>
      </w:r>
      <w:r w:rsidRPr="004D4C3B">
        <w:t>, LexisNexis, 2014.</w:t>
      </w:r>
    </w:p>
    <w:p w:rsidR="003E7C39" w:rsidRPr="004D4C3B" w:rsidRDefault="003E7C39" w:rsidP="00B3618F">
      <w:pPr>
        <w:pStyle w:val="SCCNormalDoubleSpacing"/>
        <w:widowControl w:val="0"/>
        <w:spacing w:after="240" w:line="240" w:lineRule="auto"/>
        <w:ind w:left="539" w:hanging="539"/>
      </w:pPr>
      <w:r w:rsidRPr="004D4C3B">
        <w:t xml:space="preserve">Hubbard, Robert W., Susan Magotiaux and Suzanne M. Duncan. </w:t>
      </w:r>
      <w:r w:rsidRPr="004D4C3B">
        <w:rPr>
          <w:i/>
        </w:rPr>
        <w:t>The Law of Privilege in Canada</w:t>
      </w:r>
      <w:r w:rsidRPr="004D4C3B">
        <w:t>, Aurora (Ont.), Canada Law Book, 2006 (loose</w:t>
      </w:r>
      <w:r w:rsidR="00E87C0F" w:rsidRPr="004D4C3B">
        <w:noBreakHyphen/>
      </w:r>
      <w:r w:rsidRPr="004D4C3B">
        <w:t xml:space="preserve">leaf updated </w:t>
      </w:r>
      <w:r w:rsidR="00BD644D" w:rsidRPr="004D4C3B">
        <w:t>August</w:t>
      </w:r>
      <w:r w:rsidRPr="004D4C3B">
        <w:t xml:space="preserve"> 2016, release </w:t>
      </w:r>
      <w:r w:rsidR="00BD644D" w:rsidRPr="004D4C3B">
        <w:t>35</w:t>
      </w:r>
      <w:r w:rsidRPr="004D4C3B">
        <w:t>).</w:t>
      </w:r>
    </w:p>
    <w:p w:rsidR="003E7C39" w:rsidRPr="004D4C3B" w:rsidRDefault="003E7C39" w:rsidP="00B3618F">
      <w:pPr>
        <w:pStyle w:val="SCCNormalDoubleSpacing"/>
        <w:widowControl w:val="0"/>
        <w:spacing w:after="240" w:line="240" w:lineRule="auto"/>
        <w:ind w:left="539" w:hanging="539"/>
      </w:pPr>
      <w:r w:rsidRPr="004D4C3B">
        <w:t xml:space="preserve">Lederman, Sidney N., Alan W. Bryant and Michelle K. Fuerst. </w:t>
      </w:r>
      <w:r w:rsidRPr="004D4C3B">
        <w:rPr>
          <w:i/>
        </w:rPr>
        <w:t>The Law of Evidence in Canada</w:t>
      </w:r>
      <w:r w:rsidRPr="004D4C3B">
        <w:t>, 4th ed., Markham (Ont.), LexisNexis, 2014.</w:t>
      </w:r>
    </w:p>
    <w:p w:rsidR="004B22D2" w:rsidRPr="004D4C3B" w:rsidRDefault="004B22D2" w:rsidP="00B3618F">
      <w:pPr>
        <w:pStyle w:val="SCCNormalDoubleSpacing"/>
        <w:widowControl w:val="0"/>
        <w:spacing w:after="240" w:line="240" w:lineRule="auto"/>
        <w:ind w:left="539" w:hanging="539"/>
      </w:pPr>
      <w:r w:rsidRPr="004D4C3B">
        <w:t>Manes, Ronald D., and Michael </w:t>
      </w:r>
      <w:r w:rsidR="00E87C0F" w:rsidRPr="004D4C3B">
        <w:t>P. </w:t>
      </w:r>
      <w:r w:rsidRPr="004D4C3B">
        <w:t xml:space="preserve">Silver. </w:t>
      </w:r>
      <w:r w:rsidRPr="004D4C3B">
        <w:rPr>
          <w:i/>
        </w:rPr>
        <w:t>Solicitor</w:t>
      </w:r>
      <w:r w:rsidR="00E87C0F" w:rsidRPr="004D4C3B">
        <w:rPr>
          <w:i/>
        </w:rPr>
        <w:noBreakHyphen/>
      </w:r>
      <w:r w:rsidRPr="004D4C3B">
        <w:rPr>
          <w:i/>
        </w:rPr>
        <w:t>Client Privilege in Canadian Law</w:t>
      </w:r>
      <w:r w:rsidRPr="004D4C3B">
        <w:t>, Toronto, Butterworths, 1993.</w:t>
      </w:r>
    </w:p>
    <w:p w:rsidR="003E7C39" w:rsidRPr="004D4C3B" w:rsidRDefault="003E7C39" w:rsidP="00B3618F">
      <w:pPr>
        <w:pStyle w:val="SCCNormalDoubleSpacing"/>
        <w:widowControl w:val="0"/>
        <w:spacing w:after="720" w:line="240" w:lineRule="auto"/>
        <w:ind w:left="539" w:hanging="539"/>
      </w:pPr>
      <w:r w:rsidRPr="004D4C3B">
        <w:t xml:space="preserve">Sullivan, Ruth. </w:t>
      </w:r>
      <w:r w:rsidRPr="004D4C3B">
        <w:rPr>
          <w:i/>
        </w:rPr>
        <w:t>Sullivan on the Construction of Statutes</w:t>
      </w:r>
      <w:r w:rsidRPr="004D4C3B">
        <w:t>, 6th ed., Markham (Ont.), LexisNexis, 2014.</w:t>
      </w:r>
    </w:p>
    <w:p w:rsidR="004D7D95" w:rsidRPr="004D4C3B" w:rsidRDefault="009E2944" w:rsidP="00B3618F">
      <w:pPr>
        <w:pStyle w:val="SCCNormalDoubleSpacing"/>
        <w:widowControl w:val="0"/>
        <w:spacing w:after="480"/>
        <w:rPr>
          <w:lang w:val="fr-CA"/>
        </w:rPr>
      </w:pPr>
      <w:r w:rsidRPr="004D4C3B">
        <w:rPr>
          <w:lang w:val="en-US"/>
        </w:rPr>
        <w:tab/>
      </w:r>
      <w:r w:rsidR="004D7D95" w:rsidRPr="004D4C3B">
        <w:rPr>
          <w:lang w:val="fr-CA"/>
        </w:rPr>
        <w:t>POURVOI contre un arrêt de la Cour d</w:t>
      </w:r>
      <w:r w:rsidR="00E87C0F" w:rsidRPr="004D4C3B">
        <w:rPr>
          <w:lang w:val="fr-CA"/>
        </w:rPr>
        <w:t>’</w:t>
      </w:r>
      <w:r w:rsidR="004D7D95" w:rsidRPr="004D4C3B">
        <w:rPr>
          <w:lang w:val="fr-CA"/>
        </w:rPr>
        <w:t>appel de l</w:t>
      </w:r>
      <w:r w:rsidR="00E87C0F" w:rsidRPr="004D4C3B">
        <w:rPr>
          <w:lang w:val="fr-CA"/>
        </w:rPr>
        <w:t>’</w:t>
      </w:r>
      <w:r w:rsidR="004D7D95" w:rsidRPr="004D4C3B">
        <w:rPr>
          <w:lang w:val="fr-CA"/>
        </w:rPr>
        <w:t>Alberta</w:t>
      </w:r>
      <w:r w:rsidRPr="004D4C3B">
        <w:rPr>
          <w:lang w:val="fr-CA"/>
        </w:rPr>
        <w:t xml:space="preserve"> (les juges Rowbotham, Bielby et Brown), 2015 ABCA 118, 602 A.R. 35, 647 W.A.C. 35, </w:t>
      </w:r>
      <w:r w:rsidR="002D3F97" w:rsidRPr="004D4C3B">
        <w:rPr>
          <w:lang w:val="fr-CA"/>
        </w:rPr>
        <w:t xml:space="preserve">12 </w:t>
      </w:r>
      <w:r w:rsidR="002D3F97" w:rsidRPr="004D4C3B">
        <w:rPr>
          <w:lang w:val="fr-CA"/>
        </w:rPr>
        <w:lastRenderedPageBreak/>
        <w:t xml:space="preserve">Alta. L.R. (6th) 272, </w:t>
      </w:r>
      <w:r w:rsidRPr="004D4C3B">
        <w:rPr>
          <w:lang w:val="fr-CA"/>
        </w:rPr>
        <w:t xml:space="preserve">81 Admin. L.R. (5th) 257, 382 D.L.R. (4th) 299, [2015] 7 W.W.R. 213, [2015] A.J. </w:t>
      </w:r>
      <w:r w:rsidR="00E87C0F" w:rsidRPr="004D4C3B">
        <w:rPr>
          <w:lang w:val="fr-CA"/>
        </w:rPr>
        <w:t>No. </w:t>
      </w:r>
      <w:r w:rsidRPr="004D4C3B">
        <w:rPr>
          <w:lang w:val="fr-CA"/>
        </w:rPr>
        <w:t xml:space="preserve">348 (QL), 2015 CarswellAlta 574 (WL Can.), qui a infirmé une décision du juge Jones, 2013 ABQB 652, 90 Alta. L.R. (5th) 94, 574 A.R. 137, 66 Admin. </w:t>
      </w:r>
      <w:r w:rsidRPr="004D4C3B">
        <w:t xml:space="preserve">L.R. (5th) 254, [2013] A.J. </w:t>
      </w:r>
      <w:r w:rsidR="00E87C0F" w:rsidRPr="004D4C3B">
        <w:t>No. </w:t>
      </w:r>
      <w:r w:rsidRPr="004D4C3B">
        <w:t xml:space="preserve">1233 (QL), 2013 CarswellAlta 2198 (WL Can.). </w:t>
      </w:r>
      <w:r w:rsidRPr="004D4C3B">
        <w:rPr>
          <w:lang w:val="fr-CA"/>
        </w:rPr>
        <w:t xml:space="preserve">Pourvoi </w:t>
      </w:r>
      <w:r w:rsidR="00241C00" w:rsidRPr="004D4C3B">
        <w:rPr>
          <w:lang w:val="fr-CA"/>
        </w:rPr>
        <w:t>rejeté</w:t>
      </w:r>
      <w:r w:rsidRPr="004D4C3B">
        <w:rPr>
          <w:lang w:val="fr-CA"/>
        </w:rPr>
        <w:t>.</w:t>
      </w:r>
    </w:p>
    <w:p w:rsidR="00773594" w:rsidRPr="004D4C3B" w:rsidRDefault="00E46970" w:rsidP="00B3618F">
      <w:pPr>
        <w:pStyle w:val="SCCNormalDoubleSpacing"/>
        <w:widowControl w:val="0"/>
        <w:spacing w:after="480"/>
        <w:rPr>
          <w:lang w:val="fr-CA"/>
        </w:rPr>
      </w:pPr>
      <w:r w:rsidRPr="004D4C3B">
        <w:rPr>
          <w:rStyle w:val="SCCCounselNameChar"/>
          <w:i w:val="0"/>
          <w:lang w:val="fr-CA"/>
        </w:rPr>
        <w:tab/>
      </w:r>
      <w:r w:rsidRPr="004D4C3B">
        <w:rPr>
          <w:rStyle w:val="SCCCounselNameChar"/>
          <w:lang w:val="fr-CA"/>
        </w:rPr>
        <w:t>Glenn Solomon</w:t>
      </w:r>
      <w:r w:rsidRPr="004D4C3B">
        <w:rPr>
          <w:rStyle w:val="SCCCounselNameChar"/>
          <w:i w:val="0"/>
          <w:lang w:val="fr-CA"/>
        </w:rPr>
        <w:t xml:space="preserve">, </w:t>
      </w:r>
      <w:r w:rsidRPr="004D4C3B">
        <w:rPr>
          <w:rStyle w:val="SCCCounselNameChar"/>
          <w:lang w:val="fr-CA"/>
        </w:rPr>
        <w:t>c.r.</w:t>
      </w:r>
      <w:r w:rsidRPr="004D4C3B">
        <w:rPr>
          <w:rStyle w:val="SCCCounselSeparatorChar"/>
          <w:lang w:val="fr-CA"/>
        </w:rPr>
        <w:t xml:space="preserve">, et </w:t>
      </w:r>
      <w:r w:rsidRPr="004D4C3B">
        <w:rPr>
          <w:rStyle w:val="SCCCounselNameChar"/>
          <w:lang w:val="fr-CA"/>
        </w:rPr>
        <w:t>Elizabeth Aspinall</w:t>
      </w:r>
      <w:r w:rsidR="00D203A0" w:rsidRPr="004D4C3B">
        <w:rPr>
          <w:rStyle w:val="SCCCounselPartyRoleChar"/>
          <w:lang w:val="fr-CA"/>
        </w:rPr>
        <w:t>, pour l</w:t>
      </w:r>
      <w:r w:rsidR="00E87C0F" w:rsidRPr="004D4C3B">
        <w:rPr>
          <w:rStyle w:val="SCCCounselPartyRoleChar"/>
          <w:lang w:val="fr-CA"/>
        </w:rPr>
        <w:t>’</w:t>
      </w:r>
      <w:r w:rsidR="00D203A0" w:rsidRPr="004D4C3B">
        <w:rPr>
          <w:rStyle w:val="SCCCounselPartyRoleChar"/>
          <w:lang w:val="fr-CA"/>
        </w:rPr>
        <w:t>appelant</w:t>
      </w:r>
      <w:r w:rsidR="000A1B61">
        <w:rPr>
          <w:rStyle w:val="SCCCounselPartyRoleChar"/>
          <w:lang w:val="fr-CA"/>
        </w:rPr>
        <w:t>e</w:t>
      </w:r>
      <w:r w:rsidR="00D203A0" w:rsidRPr="004D4C3B">
        <w:rPr>
          <w:rStyle w:val="SCCCounselPartyRoleChar"/>
          <w:lang w:val="fr-CA"/>
        </w:rPr>
        <w:t>.</w:t>
      </w:r>
    </w:p>
    <w:p w:rsidR="00773594" w:rsidRPr="004D4C3B" w:rsidRDefault="00E46970" w:rsidP="00B3618F">
      <w:pPr>
        <w:pStyle w:val="SCCNormalDoubleSpacing"/>
        <w:widowControl w:val="0"/>
        <w:spacing w:after="480"/>
        <w:rPr>
          <w:lang w:val="fr-CA"/>
        </w:rPr>
      </w:pPr>
      <w:r w:rsidRPr="004D4C3B">
        <w:rPr>
          <w:rStyle w:val="SCCCounselNameChar"/>
          <w:lang w:val="fr-CA"/>
        </w:rPr>
        <w:tab/>
        <w:t>Robert W. Calvert</w:t>
      </w:r>
      <w:r w:rsidRPr="004D4C3B">
        <w:rPr>
          <w:rStyle w:val="SCCCounselNameChar"/>
          <w:i w:val="0"/>
          <w:lang w:val="fr-CA"/>
        </w:rPr>
        <w:t xml:space="preserve">, </w:t>
      </w:r>
      <w:r w:rsidRPr="004D4C3B">
        <w:rPr>
          <w:rStyle w:val="SCCCounselNameChar"/>
          <w:lang w:val="fr-CA"/>
        </w:rPr>
        <w:t>c.r.</w:t>
      </w:r>
      <w:r w:rsidRPr="004D4C3B">
        <w:rPr>
          <w:rStyle w:val="SCCCounselSeparatorChar"/>
          <w:lang w:val="fr-CA"/>
        </w:rPr>
        <w:t xml:space="preserve">, et </w:t>
      </w:r>
      <w:r w:rsidRPr="004D4C3B">
        <w:rPr>
          <w:rStyle w:val="SCCCounselNameChar"/>
          <w:lang w:val="fr-CA"/>
        </w:rPr>
        <w:t>Michael D. A. Ford</w:t>
      </w:r>
      <w:r w:rsidRPr="004D4C3B">
        <w:rPr>
          <w:rStyle w:val="SCCCounselNameChar"/>
          <w:i w:val="0"/>
          <w:lang w:val="fr-CA"/>
        </w:rPr>
        <w:t xml:space="preserve">, </w:t>
      </w:r>
      <w:r w:rsidRPr="004D4C3B">
        <w:rPr>
          <w:rStyle w:val="SCCCounselNameChar"/>
          <w:lang w:val="fr-CA"/>
        </w:rPr>
        <w:t>c.r.</w:t>
      </w:r>
      <w:r w:rsidRPr="004D4C3B">
        <w:rPr>
          <w:rStyle w:val="SCCCounselSeparatorChar"/>
          <w:lang w:val="fr-CA"/>
        </w:rPr>
        <w:t xml:space="preserve">, </w:t>
      </w:r>
      <w:r w:rsidR="00D203A0" w:rsidRPr="004D4C3B">
        <w:rPr>
          <w:rStyle w:val="SCCCounselPartyRoleChar"/>
          <w:lang w:val="fr-CA"/>
        </w:rPr>
        <w:t>pour l</w:t>
      </w:r>
      <w:r w:rsidR="00E87C0F" w:rsidRPr="004D4C3B">
        <w:rPr>
          <w:rStyle w:val="SCCCounselPartyRoleChar"/>
          <w:lang w:val="fr-CA"/>
        </w:rPr>
        <w:t>’</w:t>
      </w:r>
      <w:r w:rsidR="00D203A0" w:rsidRPr="004D4C3B">
        <w:rPr>
          <w:rStyle w:val="SCCCounselPartyRoleChar"/>
          <w:lang w:val="fr-CA"/>
        </w:rPr>
        <w:t>intimé.</w:t>
      </w:r>
    </w:p>
    <w:p w:rsidR="00773594" w:rsidRPr="004D4C3B" w:rsidRDefault="00E46970" w:rsidP="00B3618F">
      <w:pPr>
        <w:pStyle w:val="SCCNormalDoubleSpacing"/>
        <w:widowControl w:val="0"/>
        <w:spacing w:after="480"/>
        <w:rPr>
          <w:lang w:val="fr-CA"/>
        </w:rPr>
      </w:pPr>
      <w:r w:rsidRPr="004D4C3B">
        <w:rPr>
          <w:rStyle w:val="SCCCounselNameChar"/>
          <w:i w:val="0"/>
          <w:lang w:val="fr-CA"/>
        </w:rPr>
        <w:tab/>
      </w:r>
      <w:r w:rsidRPr="004D4C3B">
        <w:rPr>
          <w:rStyle w:val="SCCCounselNameChar"/>
          <w:lang w:val="fr-CA"/>
        </w:rPr>
        <w:t>David Phillip Jones</w:t>
      </w:r>
      <w:r w:rsidRPr="004D4C3B">
        <w:rPr>
          <w:rStyle w:val="SCCCounselNameChar"/>
          <w:i w:val="0"/>
          <w:lang w:val="fr-CA"/>
        </w:rPr>
        <w:t xml:space="preserve">, </w:t>
      </w:r>
      <w:r w:rsidRPr="004D4C3B">
        <w:rPr>
          <w:rStyle w:val="SCCCounselNameChar"/>
          <w:lang w:val="fr-CA"/>
        </w:rPr>
        <w:t>c.r.</w:t>
      </w:r>
      <w:r w:rsidRPr="004D4C3B">
        <w:rPr>
          <w:rStyle w:val="SCCCounselSeparatorChar"/>
          <w:lang w:val="fr-CA"/>
        </w:rPr>
        <w:t xml:space="preserve">, et </w:t>
      </w:r>
      <w:r w:rsidRPr="004D4C3B">
        <w:rPr>
          <w:rStyle w:val="SCCCounselNameChar"/>
          <w:lang w:val="fr-CA"/>
        </w:rPr>
        <w:t>Victoria A. Jones</w:t>
      </w:r>
      <w:r w:rsidR="00D203A0" w:rsidRPr="004D4C3B">
        <w:rPr>
          <w:rStyle w:val="SCCCounselPartyRoleChar"/>
          <w:lang w:val="fr-CA"/>
        </w:rPr>
        <w:t>, pour l</w:t>
      </w:r>
      <w:r w:rsidR="00E87C0F" w:rsidRPr="004D4C3B">
        <w:rPr>
          <w:rStyle w:val="SCCCounselPartyRoleChar"/>
          <w:lang w:val="fr-CA"/>
        </w:rPr>
        <w:t>’</w:t>
      </w:r>
      <w:r w:rsidR="00D203A0" w:rsidRPr="004D4C3B">
        <w:rPr>
          <w:rStyle w:val="SCCCounselPartyRoleChar"/>
          <w:lang w:val="fr-CA"/>
        </w:rPr>
        <w:t>intervenant</w:t>
      </w:r>
      <w:r w:rsidR="00B86B40" w:rsidRPr="004D4C3B">
        <w:rPr>
          <w:rStyle w:val="SCCCounselPartyRoleChar"/>
          <w:lang w:val="fr-CA"/>
        </w:rPr>
        <w:t>e</w:t>
      </w:r>
      <w:r w:rsidR="00D203A0" w:rsidRPr="004D4C3B">
        <w:rPr>
          <w:rStyle w:val="SCCCounselPartyRoleChar"/>
          <w:lang w:val="fr-CA"/>
        </w:rPr>
        <w:t xml:space="preserve"> Law Society of Alberta.</w:t>
      </w:r>
    </w:p>
    <w:p w:rsidR="00773594" w:rsidRPr="004D4C3B" w:rsidRDefault="00E46970" w:rsidP="00B3618F">
      <w:pPr>
        <w:pStyle w:val="SCCNormalDoubleSpacing"/>
        <w:widowControl w:val="0"/>
        <w:spacing w:after="480"/>
        <w:rPr>
          <w:lang w:val="fr-CA"/>
        </w:rPr>
      </w:pPr>
      <w:r w:rsidRPr="004D4C3B">
        <w:rPr>
          <w:rStyle w:val="SCCCounselNameChar"/>
          <w:i w:val="0"/>
          <w:lang w:val="fr-CA"/>
        </w:rPr>
        <w:tab/>
        <w:t xml:space="preserve">Argumentation écrite seulement par </w:t>
      </w:r>
      <w:r w:rsidRPr="004D4C3B">
        <w:rPr>
          <w:rStyle w:val="SCCCounselNameChar"/>
          <w:lang w:val="fr-CA"/>
        </w:rPr>
        <w:t>Michael A. Feder</w:t>
      </w:r>
      <w:r w:rsidRPr="004D4C3B">
        <w:rPr>
          <w:rStyle w:val="SCCCounselSeparatorChar"/>
          <w:lang w:val="fr-CA"/>
        </w:rPr>
        <w:t xml:space="preserve"> et </w:t>
      </w:r>
      <w:r w:rsidRPr="004D4C3B">
        <w:rPr>
          <w:rStyle w:val="SCCCounselNameChar"/>
          <w:lang w:val="fr-CA"/>
        </w:rPr>
        <w:t>Emily MacKinnon</w:t>
      </w:r>
      <w:r w:rsidRPr="004D4C3B">
        <w:rPr>
          <w:rStyle w:val="SCCCounselPartyRoleChar"/>
          <w:lang w:val="fr-CA"/>
        </w:rPr>
        <w:t>,</w:t>
      </w:r>
      <w:r w:rsidR="00D203A0" w:rsidRPr="004D4C3B">
        <w:rPr>
          <w:rStyle w:val="SCCCounselPartyRoleChar"/>
          <w:lang w:val="fr-CA"/>
        </w:rPr>
        <w:t xml:space="preserve"> pour l</w:t>
      </w:r>
      <w:r w:rsidR="00E87C0F" w:rsidRPr="004D4C3B">
        <w:rPr>
          <w:rStyle w:val="SCCCounselPartyRoleChar"/>
          <w:lang w:val="fr-CA"/>
        </w:rPr>
        <w:t>’</w:t>
      </w:r>
      <w:r w:rsidR="00D203A0" w:rsidRPr="004D4C3B">
        <w:rPr>
          <w:rStyle w:val="SCCCounselPartyRoleChar"/>
          <w:lang w:val="fr-CA"/>
        </w:rPr>
        <w:t>intervenante British Columbia Freedom of Information and Privacy Association.</w:t>
      </w:r>
    </w:p>
    <w:p w:rsidR="00773594" w:rsidRPr="004D4C3B" w:rsidRDefault="00E46970" w:rsidP="00B3618F">
      <w:pPr>
        <w:pStyle w:val="SCCNormalDoubleSpacing"/>
        <w:widowControl w:val="0"/>
        <w:spacing w:after="480"/>
        <w:rPr>
          <w:lang w:val="fr-CA"/>
        </w:rPr>
      </w:pPr>
      <w:r w:rsidRPr="004D4C3B">
        <w:rPr>
          <w:rStyle w:val="SCCCounselNameChar"/>
          <w:i w:val="0"/>
          <w:lang w:val="fr-CA"/>
        </w:rPr>
        <w:tab/>
      </w:r>
      <w:r w:rsidRPr="004D4C3B">
        <w:rPr>
          <w:rStyle w:val="SCCCounselNameChar"/>
          <w:lang w:val="fr-CA"/>
        </w:rPr>
        <w:t>Lawren Murray</w:t>
      </w:r>
      <w:r w:rsidRPr="004D4C3B">
        <w:rPr>
          <w:rStyle w:val="SCCCounselSeparatorChar"/>
          <w:lang w:val="fr-CA"/>
        </w:rPr>
        <w:t xml:space="preserve"> et </w:t>
      </w:r>
      <w:r w:rsidRPr="004D4C3B">
        <w:rPr>
          <w:rStyle w:val="SCCCounselNameChar"/>
          <w:lang w:val="fr-CA"/>
        </w:rPr>
        <w:t>David Goodis</w:t>
      </w:r>
      <w:r w:rsidR="00D203A0" w:rsidRPr="004D4C3B">
        <w:rPr>
          <w:rStyle w:val="SCCCounselPartyRoleChar"/>
          <w:lang w:val="fr-CA"/>
        </w:rPr>
        <w:t>, pour l</w:t>
      </w:r>
      <w:r w:rsidR="00E87C0F" w:rsidRPr="004D4C3B">
        <w:rPr>
          <w:rStyle w:val="SCCCounselPartyRoleChar"/>
          <w:lang w:val="fr-CA"/>
        </w:rPr>
        <w:t>’</w:t>
      </w:r>
      <w:r w:rsidRPr="004D4C3B">
        <w:rPr>
          <w:rStyle w:val="SCCCounselPartyRoleChar"/>
          <w:lang w:val="fr-CA"/>
        </w:rPr>
        <w:t>intervenant le</w:t>
      </w:r>
      <w:r w:rsidR="00D203A0" w:rsidRPr="004D4C3B">
        <w:rPr>
          <w:rStyle w:val="SCCCounselPartyRoleChar"/>
          <w:lang w:val="fr-CA"/>
        </w:rPr>
        <w:t xml:space="preserve"> </w:t>
      </w:r>
      <w:r w:rsidRPr="004D4C3B">
        <w:rPr>
          <w:rStyle w:val="SCCCounselPartyRoleChar"/>
          <w:lang w:val="fr-CA"/>
        </w:rPr>
        <w:t>c</w:t>
      </w:r>
      <w:r w:rsidRPr="004D4C3B">
        <w:rPr>
          <w:lang w:val="fr-CA"/>
        </w:rPr>
        <w:t>ommissaire à l</w:t>
      </w:r>
      <w:r w:rsidR="00E87C0F" w:rsidRPr="004D4C3B">
        <w:rPr>
          <w:lang w:val="fr-CA"/>
        </w:rPr>
        <w:t>’</w:t>
      </w:r>
      <w:r w:rsidRPr="004D4C3B">
        <w:rPr>
          <w:lang w:val="fr-CA"/>
        </w:rPr>
        <w:t>information et à la protection de la vie privée de l</w:t>
      </w:r>
      <w:r w:rsidR="00E87C0F" w:rsidRPr="004D4C3B">
        <w:rPr>
          <w:lang w:val="fr-CA"/>
        </w:rPr>
        <w:t>’</w:t>
      </w:r>
      <w:r w:rsidRPr="004D4C3B">
        <w:rPr>
          <w:lang w:val="fr-CA"/>
        </w:rPr>
        <w:t>Ontario</w:t>
      </w:r>
      <w:r w:rsidR="00D203A0" w:rsidRPr="004D4C3B">
        <w:rPr>
          <w:rStyle w:val="SCCCounselPartyRoleChar"/>
          <w:lang w:val="fr-CA"/>
        </w:rPr>
        <w:t>.</w:t>
      </w:r>
    </w:p>
    <w:p w:rsidR="00773594" w:rsidRPr="004D4C3B" w:rsidRDefault="00E46970" w:rsidP="00B3618F">
      <w:pPr>
        <w:pStyle w:val="SCCNormalDoubleSpacing"/>
        <w:widowControl w:val="0"/>
        <w:spacing w:after="480"/>
      </w:pPr>
      <w:r w:rsidRPr="004D4C3B">
        <w:rPr>
          <w:rStyle w:val="SCCCounselNameChar"/>
          <w:i w:val="0"/>
          <w:lang w:val="fr-CA"/>
        </w:rPr>
        <w:tab/>
      </w:r>
      <w:r w:rsidRPr="004D4C3B">
        <w:rPr>
          <w:rStyle w:val="SCCCounselNameChar"/>
        </w:rPr>
        <w:t>Ivan Bernardo</w:t>
      </w:r>
      <w:r w:rsidRPr="004D4C3B">
        <w:rPr>
          <w:rStyle w:val="SCCCounselNameChar"/>
          <w:i w:val="0"/>
        </w:rPr>
        <w:t xml:space="preserve">, </w:t>
      </w:r>
      <w:r w:rsidRPr="004D4C3B">
        <w:rPr>
          <w:rStyle w:val="SCCCounselNameChar"/>
        </w:rPr>
        <w:t>c.r.</w:t>
      </w:r>
      <w:r w:rsidRPr="004D4C3B">
        <w:rPr>
          <w:rStyle w:val="SCCCounselSeparatorChar"/>
        </w:rPr>
        <w:t xml:space="preserve">, </w:t>
      </w:r>
      <w:r w:rsidRPr="004D4C3B">
        <w:rPr>
          <w:rStyle w:val="SCCCounselNameChar"/>
        </w:rPr>
        <w:t>Gerald Chipeur</w:t>
      </w:r>
      <w:r w:rsidRPr="004D4C3B">
        <w:rPr>
          <w:rStyle w:val="SCCCounselNameChar"/>
          <w:i w:val="0"/>
        </w:rPr>
        <w:t xml:space="preserve">, </w:t>
      </w:r>
      <w:r w:rsidRPr="004D4C3B">
        <w:rPr>
          <w:rStyle w:val="SCCCounselNameChar"/>
        </w:rPr>
        <w:t>c.r.</w:t>
      </w:r>
      <w:r w:rsidRPr="004D4C3B">
        <w:rPr>
          <w:rStyle w:val="SCCCounselPartyRoleChar"/>
        </w:rPr>
        <w:t xml:space="preserve">, et </w:t>
      </w:r>
      <w:r w:rsidRPr="004D4C3B">
        <w:rPr>
          <w:rStyle w:val="SCCCounselNameChar"/>
        </w:rPr>
        <w:t>Jill W. Wilkie</w:t>
      </w:r>
      <w:r w:rsidRPr="004D4C3B">
        <w:rPr>
          <w:rStyle w:val="SCCCounselPartyRoleChar"/>
        </w:rPr>
        <w:t xml:space="preserve">, </w:t>
      </w:r>
      <w:r w:rsidR="00D203A0" w:rsidRPr="004D4C3B">
        <w:rPr>
          <w:rStyle w:val="SCCCounselPartyRoleChar"/>
        </w:rPr>
        <w:t>pour l</w:t>
      </w:r>
      <w:r w:rsidR="00E87C0F" w:rsidRPr="004D4C3B">
        <w:rPr>
          <w:rStyle w:val="SCCCounselPartyRoleChar"/>
        </w:rPr>
        <w:t>’</w:t>
      </w:r>
      <w:r w:rsidR="00D203A0" w:rsidRPr="004D4C3B">
        <w:rPr>
          <w:rStyle w:val="SCCCounselPartyRoleChar"/>
        </w:rPr>
        <w:t>intervenant</w:t>
      </w:r>
      <w:r w:rsidRPr="004D4C3B">
        <w:rPr>
          <w:rStyle w:val="SCCCounselPartyRoleChar"/>
        </w:rPr>
        <w:t xml:space="preserve"> </w:t>
      </w:r>
      <w:r w:rsidR="00D203A0" w:rsidRPr="004D4C3B">
        <w:rPr>
          <w:rStyle w:val="SCCCounselPartyRoleChar"/>
        </w:rPr>
        <w:t>Information and Privacy Commissioner for British Columbia.</w:t>
      </w:r>
    </w:p>
    <w:p w:rsidR="00773594" w:rsidRPr="004D4C3B" w:rsidRDefault="00E46970" w:rsidP="00B3618F">
      <w:pPr>
        <w:pStyle w:val="SCCNormalDoubleSpacing"/>
        <w:widowControl w:val="0"/>
        <w:spacing w:after="480"/>
      </w:pPr>
      <w:r w:rsidRPr="004D4C3B">
        <w:rPr>
          <w:rStyle w:val="SCCCounselNameChar"/>
          <w:i w:val="0"/>
        </w:rPr>
        <w:tab/>
      </w:r>
      <w:r w:rsidRPr="004D4C3B">
        <w:rPr>
          <w:rStyle w:val="SCCCounselNameChar"/>
        </w:rPr>
        <w:t>Andrew A. Fitzgerald</w:t>
      </w:r>
      <w:r w:rsidR="00D203A0" w:rsidRPr="004D4C3B">
        <w:rPr>
          <w:rStyle w:val="SCCCounselPartyRoleChar"/>
        </w:rPr>
        <w:t>, pour l</w:t>
      </w:r>
      <w:r w:rsidR="00E87C0F" w:rsidRPr="004D4C3B">
        <w:rPr>
          <w:rStyle w:val="SCCCounselPartyRoleChar"/>
        </w:rPr>
        <w:t>’</w:t>
      </w:r>
      <w:r w:rsidR="00D203A0" w:rsidRPr="004D4C3B">
        <w:rPr>
          <w:rStyle w:val="SCCCounselPartyRoleChar"/>
        </w:rPr>
        <w:t xml:space="preserve">intervenant Information and Privacy </w:t>
      </w:r>
      <w:r w:rsidR="00D203A0" w:rsidRPr="004D4C3B">
        <w:rPr>
          <w:rStyle w:val="SCCCounselPartyRoleChar"/>
        </w:rPr>
        <w:lastRenderedPageBreak/>
        <w:t>Commissioner for the Province of Newfoundland and Labrador.</w:t>
      </w:r>
    </w:p>
    <w:p w:rsidR="00773594" w:rsidRPr="004D4C3B" w:rsidRDefault="00E46970" w:rsidP="00B3618F">
      <w:pPr>
        <w:pStyle w:val="SCCNormalDoubleSpacing"/>
        <w:widowControl w:val="0"/>
        <w:spacing w:after="480"/>
        <w:rPr>
          <w:lang w:val="fr-CA"/>
        </w:rPr>
      </w:pPr>
      <w:r w:rsidRPr="004D4C3B">
        <w:rPr>
          <w:rStyle w:val="SCCCounselNameChar"/>
          <w:i w:val="0"/>
        </w:rPr>
        <w:tab/>
      </w:r>
      <w:r w:rsidRPr="004D4C3B">
        <w:rPr>
          <w:rStyle w:val="SCCCounselNameChar"/>
          <w:lang w:val="fr-CA"/>
        </w:rPr>
        <w:t>Perry R. Mack</w:t>
      </w:r>
      <w:r w:rsidRPr="004D4C3B">
        <w:rPr>
          <w:rStyle w:val="SCCCounselNameChar"/>
          <w:i w:val="0"/>
          <w:lang w:val="fr-CA"/>
        </w:rPr>
        <w:t xml:space="preserve">, </w:t>
      </w:r>
      <w:r w:rsidRPr="004D4C3B">
        <w:rPr>
          <w:rStyle w:val="SCCCounselNameChar"/>
          <w:lang w:val="fr-CA"/>
        </w:rPr>
        <w:t>c.r.</w:t>
      </w:r>
      <w:r w:rsidRPr="004D4C3B">
        <w:rPr>
          <w:rStyle w:val="SCCCounselPartyRoleChar"/>
          <w:lang w:val="fr-CA"/>
        </w:rPr>
        <w:t xml:space="preserve">, </w:t>
      </w:r>
      <w:r w:rsidR="00D203A0" w:rsidRPr="004D4C3B">
        <w:rPr>
          <w:rStyle w:val="SCCCounselPartyRoleChar"/>
          <w:lang w:val="fr-CA"/>
        </w:rPr>
        <w:t>pour l</w:t>
      </w:r>
      <w:r w:rsidR="00E87C0F" w:rsidRPr="004D4C3B">
        <w:rPr>
          <w:rStyle w:val="SCCCounselPartyRoleChar"/>
          <w:lang w:val="fr-CA"/>
        </w:rPr>
        <w:t>’</w:t>
      </w:r>
      <w:r w:rsidRPr="004D4C3B">
        <w:rPr>
          <w:rStyle w:val="SCCCounselPartyRoleChar"/>
          <w:lang w:val="fr-CA"/>
        </w:rPr>
        <w:t>intervenant</w:t>
      </w:r>
      <w:r w:rsidR="00D203A0" w:rsidRPr="004D4C3B">
        <w:rPr>
          <w:rStyle w:val="SCCCounselPartyRoleChar"/>
          <w:lang w:val="fr-CA"/>
        </w:rPr>
        <w:t>e Advocates</w:t>
      </w:r>
      <w:r w:rsidR="00E87C0F" w:rsidRPr="004D4C3B">
        <w:rPr>
          <w:rStyle w:val="SCCCounselPartyRoleChar"/>
          <w:lang w:val="fr-CA"/>
        </w:rPr>
        <w:t>’</w:t>
      </w:r>
      <w:r w:rsidR="00D203A0" w:rsidRPr="004D4C3B">
        <w:rPr>
          <w:rStyle w:val="SCCCounselPartyRoleChar"/>
          <w:lang w:val="fr-CA"/>
        </w:rPr>
        <w:t xml:space="preserve"> Society.</w:t>
      </w:r>
    </w:p>
    <w:p w:rsidR="00773594" w:rsidRPr="004D4C3B" w:rsidRDefault="00E46970" w:rsidP="00B3618F">
      <w:pPr>
        <w:pStyle w:val="SCCNormalDoubleSpacing"/>
        <w:widowControl w:val="0"/>
        <w:spacing w:after="480"/>
        <w:rPr>
          <w:lang w:val="fr-CA"/>
        </w:rPr>
      </w:pPr>
      <w:r w:rsidRPr="004D4C3B">
        <w:rPr>
          <w:rStyle w:val="SCCCounselNameChar"/>
          <w:i w:val="0"/>
          <w:lang w:val="fr-CA"/>
        </w:rPr>
        <w:tab/>
      </w:r>
      <w:r w:rsidRPr="004D4C3B">
        <w:rPr>
          <w:rStyle w:val="SCCCounselNameChar"/>
          <w:lang w:val="fr-CA"/>
        </w:rPr>
        <w:t>Mahmud Jamal</w:t>
      </w:r>
      <w:r w:rsidRPr="004D4C3B">
        <w:rPr>
          <w:rStyle w:val="SCCCounselSeparatorChar"/>
          <w:lang w:val="fr-CA"/>
        </w:rPr>
        <w:t xml:space="preserve"> et </w:t>
      </w:r>
      <w:r w:rsidRPr="004D4C3B">
        <w:rPr>
          <w:rStyle w:val="SCCCounselNameChar"/>
          <w:lang w:val="fr-CA"/>
        </w:rPr>
        <w:t>David Rankin</w:t>
      </w:r>
      <w:r w:rsidR="00D203A0" w:rsidRPr="004D4C3B">
        <w:rPr>
          <w:rStyle w:val="SCCCounselPartyRoleChar"/>
          <w:lang w:val="fr-CA"/>
        </w:rPr>
        <w:t>, pour l</w:t>
      </w:r>
      <w:r w:rsidR="00E87C0F" w:rsidRPr="004D4C3B">
        <w:rPr>
          <w:rStyle w:val="SCCCounselPartyRoleChar"/>
          <w:lang w:val="fr-CA"/>
        </w:rPr>
        <w:t>’</w:t>
      </w:r>
      <w:r w:rsidRPr="004D4C3B">
        <w:rPr>
          <w:rStyle w:val="SCCCounselPartyRoleChar"/>
          <w:lang w:val="fr-CA"/>
        </w:rPr>
        <w:t>intervenant</w:t>
      </w:r>
      <w:r w:rsidR="00D203A0" w:rsidRPr="004D4C3B">
        <w:rPr>
          <w:rStyle w:val="SCCCounselPartyRoleChar"/>
          <w:lang w:val="fr-CA"/>
        </w:rPr>
        <w:t xml:space="preserve">e </w:t>
      </w:r>
      <w:r w:rsidRPr="004D4C3B">
        <w:rPr>
          <w:rStyle w:val="SCCCounselPartyRoleChar"/>
          <w:lang w:val="fr-CA"/>
        </w:rPr>
        <w:t xml:space="preserve">la </w:t>
      </w:r>
      <w:r w:rsidRPr="004D4C3B">
        <w:rPr>
          <w:lang w:val="fr-CA"/>
        </w:rPr>
        <w:t>Fédération des ordres professionnels de juristes du Canada</w:t>
      </w:r>
      <w:r w:rsidR="00D203A0" w:rsidRPr="004D4C3B">
        <w:rPr>
          <w:rStyle w:val="SCCCounselPartyRoleChar"/>
          <w:lang w:val="fr-CA"/>
        </w:rPr>
        <w:t>.</w:t>
      </w:r>
    </w:p>
    <w:p w:rsidR="00773594" w:rsidRPr="004D4C3B" w:rsidRDefault="00E46970" w:rsidP="00B3618F">
      <w:pPr>
        <w:pStyle w:val="SCCNormalDoubleSpacing"/>
        <w:widowControl w:val="0"/>
        <w:spacing w:after="480"/>
        <w:rPr>
          <w:lang w:val="fr-CA"/>
        </w:rPr>
      </w:pPr>
      <w:r w:rsidRPr="004D4C3B">
        <w:rPr>
          <w:rStyle w:val="SCCCounselNameChar"/>
          <w:i w:val="0"/>
          <w:lang w:val="fr-CA"/>
        </w:rPr>
        <w:tab/>
      </w:r>
      <w:r w:rsidRPr="004D4C3B">
        <w:rPr>
          <w:rStyle w:val="SCCCounselNameChar"/>
          <w:lang w:val="fr-CA"/>
        </w:rPr>
        <w:t>Michele H. Hollins</w:t>
      </w:r>
      <w:r w:rsidRPr="004D4C3B">
        <w:rPr>
          <w:rStyle w:val="SCCCounselNameChar"/>
          <w:i w:val="0"/>
          <w:lang w:val="fr-CA"/>
        </w:rPr>
        <w:t xml:space="preserve">, </w:t>
      </w:r>
      <w:r w:rsidRPr="004D4C3B">
        <w:rPr>
          <w:rStyle w:val="SCCCounselNameChar"/>
          <w:lang w:val="fr-CA"/>
        </w:rPr>
        <w:t>c.r.</w:t>
      </w:r>
      <w:r w:rsidRPr="004D4C3B">
        <w:rPr>
          <w:rStyle w:val="SCCCounselSeparatorChar"/>
          <w:lang w:val="fr-CA"/>
        </w:rPr>
        <w:t xml:space="preserve">, </w:t>
      </w:r>
      <w:r w:rsidRPr="004D4C3B">
        <w:rPr>
          <w:rStyle w:val="SCCCounselNameChar"/>
          <w:lang w:val="fr-CA"/>
        </w:rPr>
        <w:t>James L. Lebo</w:t>
      </w:r>
      <w:r w:rsidRPr="004D4C3B">
        <w:rPr>
          <w:rStyle w:val="SCCCounselNameChar"/>
          <w:i w:val="0"/>
          <w:lang w:val="fr-CA"/>
        </w:rPr>
        <w:t xml:space="preserve">, </w:t>
      </w:r>
      <w:r w:rsidRPr="004D4C3B">
        <w:rPr>
          <w:rStyle w:val="SCCCounselNameChar"/>
          <w:lang w:val="fr-CA"/>
        </w:rPr>
        <w:t>c.r.</w:t>
      </w:r>
      <w:r w:rsidRPr="004D4C3B">
        <w:rPr>
          <w:rStyle w:val="SCCCounselSeparatorChar"/>
          <w:lang w:val="fr-CA"/>
        </w:rPr>
        <w:t xml:space="preserve">, et </w:t>
      </w:r>
      <w:r w:rsidRPr="004D4C3B">
        <w:rPr>
          <w:rStyle w:val="SCCCounselNameChar"/>
          <w:lang w:val="fr-CA"/>
        </w:rPr>
        <w:t>Jason L. Wilkins</w:t>
      </w:r>
      <w:r w:rsidR="00D203A0" w:rsidRPr="004D4C3B">
        <w:rPr>
          <w:rStyle w:val="SCCCounselPartyRoleChar"/>
          <w:lang w:val="fr-CA"/>
        </w:rPr>
        <w:t>, pour l</w:t>
      </w:r>
      <w:r w:rsidR="00E87C0F" w:rsidRPr="004D4C3B">
        <w:rPr>
          <w:rStyle w:val="SCCCounselPartyRoleChar"/>
          <w:lang w:val="fr-CA"/>
        </w:rPr>
        <w:t>’</w:t>
      </w:r>
      <w:r w:rsidRPr="004D4C3B">
        <w:rPr>
          <w:rStyle w:val="SCCCounselPartyRoleChar"/>
          <w:lang w:val="fr-CA"/>
        </w:rPr>
        <w:t>intervenant</w:t>
      </w:r>
      <w:r w:rsidR="00D203A0" w:rsidRPr="004D4C3B">
        <w:rPr>
          <w:rStyle w:val="SCCCounselPartyRoleChar"/>
          <w:lang w:val="fr-CA"/>
        </w:rPr>
        <w:t xml:space="preserve">e </w:t>
      </w:r>
      <w:r w:rsidRPr="004D4C3B">
        <w:rPr>
          <w:rStyle w:val="SCCCounselPartyRoleChar"/>
          <w:lang w:val="fr-CA"/>
        </w:rPr>
        <w:t>l</w:t>
      </w:r>
      <w:r w:rsidR="00E87C0F" w:rsidRPr="004D4C3B">
        <w:rPr>
          <w:rStyle w:val="SCCCounselPartyRoleChar"/>
          <w:lang w:val="fr-CA"/>
        </w:rPr>
        <w:t>’</w:t>
      </w:r>
      <w:r w:rsidRPr="004D4C3B">
        <w:rPr>
          <w:lang w:val="fr-CA"/>
        </w:rPr>
        <w:t>Association du Barreau canadien</w:t>
      </w:r>
      <w:r w:rsidR="00D203A0" w:rsidRPr="004D4C3B">
        <w:rPr>
          <w:rStyle w:val="SCCCounselPartyRoleChar"/>
          <w:lang w:val="fr-CA"/>
        </w:rPr>
        <w:t>.</w:t>
      </w:r>
    </w:p>
    <w:p w:rsidR="00773594" w:rsidRPr="004D4C3B" w:rsidRDefault="00E46970" w:rsidP="00B3618F">
      <w:pPr>
        <w:pStyle w:val="SCCNormalDoubleSpacing"/>
        <w:widowControl w:val="0"/>
        <w:spacing w:after="480"/>
        <w:rPr>
          <w:lang w:val="fr-CA"/>
        </w:rPr>
      </w:pPr>
      <w:r w:rsidRPr="004D4C3B">
        <w:rPr>
          <w:rStyle w:val="SCCCounselNameChar"/>
          <w:i w:val="0"/>
          <w:lang w:val="fr-CA"/>
        </w:rPr>
        <w:tab/>
      </w:r>
      <w:r w:rsidRPr="004D4C3B">
        <w:rPr>
          <w:rStyle w:val="SCCCounselNameChar"/>
          <w:lang w:val="fr-CA"/>
        </w:rPr>
        <w:t>Marlys A. Edwardh</w:t>
      </w:r>
      <w:r w:rsidRPr="004D4C3B">
        <w:rPr>
          <w:rStyle w:val="SCCCounselSeparatorChar"/>
          <w:lang w:val="fr-CA"/>
        </w:rPr>
        <w:t xml:space="preserve">, </w:t>
      </w:r>
      <w:r w:rsidRPr="004D4C3B">
        <w:rPr>
          <w:rStyle w:val="SCCCounselNameChar"/>
          <w:lang w:val="fr-CA"/>
        </w:rPr>
        <w:t>Daniel Sheppard</w:t>
      </w:r>
      <w:r w:rsidRPr="004D4C3B">
        <w:rPr>
          <w:rStyle w:val="SCCCounselNameChar"/>
          <w:i w:val="0"/>
          <w:lang w:val="fr-CA"/>
        </w:rPr>
        <w:t xml:space="preserve">, </w:t>
      </w:r>
      <w:r w:rsidRPr="004D4C3B">
        <w:rPr>
          <w:rStyle w:val="SCCCounselNameChar"/>
          <w:lang w:val="fr-CA"/>
        </w:rPr>
        <w:t>Regan Morris</w:t>
      </w:r>
      <w:r w:rsidRPr="004D4C3B">
        <w:rPr>
          <w:rStyle w:val="SCCCounselNameChar"/>
          <w:i w:val="0"/>
          <w:lang w:val="fr-CA"/>
        </w:rPr>
        <w:t xml:space="preserve">, </w:t>
      </w:r>
      <w:r w:rsidRPr="004D4C3B">
        <w:rPr>
          <w:rStyle w:val="SCCCounselNameChar"/>
          <w:lang w:val="fr-CA"/>
        </w:rPr>
        <w:t>Diane Therrien</w:t>
      </w:r>
      <w:r w:rsidRPr="004D4C3B">
        <w:rPr>
          <w:rStyle w:val="SCCCounselSeparatorChar"/>
          <w:lang w:val="fr-CA"/>
        </w:rPr>
        <w:t xml:space="preserve"> et </w:t>
      </w:r>
      <w:r w:rsidRPr="004D4C3B">
        <w:rPr>
          <w:rStyle w:val="SCCCounselNameChar"/>
          <w:lang w:val="fr-CA"/>
        </w:rPr>
        <w:t>Aditya Ramachandran</w:t>
      </w:r>
      <w:r w:rsidR="00D203A0" w:rsidRPr="004D4C3B">
        <w:rPr>
          <w:rStyle w:val="SCCCounselPartyRoleChar"/>
          <w:lang w:val="fr-CA"/>
        </w:rPr>
        <w:t>, pour l</w:t>
      </w:r>
      <w:r w:rsidRPr="004D4C3B">
        <w:rPr>
          <w:rStyle w:val="SCCCounselPartyRoleChar"/>
          <w:lang w:val="fr-CA"/>
        </w:rPr>
        <w:t xml:space="preserve">es </w:t>
      </w:r>
      <w:r w:rsidR="00D203A0" w:rsidRPr="004D4C3B">
        <w:rPr>
          <w:rStyle w:val="SCCCounselPartyRoleChar"/>
          <w:lang w:val="fr-CA"/>
        </w:rPr>
        <w:t>intervenant</w:t>
      </w:r>
      <w:r w:rsidRPr="004D4C3B">
        <w:rPr>
          <w:rStyle w:val="SCCCounselPartyRoleChar"/>
          <w:lang w:val="fr-CA"/>
        </w:rPr>
        <w:t>s</w:t>
      </w:r>
      <w:r w:rsidR="00D203A0" w:rsidRPr="004D4C3B">
        <w:rPr>
          <w:rStyle w:val="SCCCounselPartyRoleChar"/>
          <w:lang w:val="fr-CA"/>
        </w:rPr>
        <w:t xml:space="preserve"> </w:t>
      </w:r>
      <w:r w:rsidRPr="004D4C3B">
        <w:rPr>
          <w:rStyle w:val="SCCCounselPartyRoleChar"/>
          <w:lang w:val="fr-CA"/>
        </w:rPr>
        <w:t>le commissaire à l</w:t>
      </w:r>
      <w:r w:rsidR="00E87C0F" w:rsidRPr="004D4C3B">
        <w:rPr>
          <w:rStyle w:val="SCCCounselPartyRoleChar"/>
          <w:lang w:val="fr-CA"/>
        </w:rPr>
        <w:t>’</w:t>
      </w:r>
      <w:r w:rsidRPr="004D4C3B">
        <w:rPr>
          <w:rStyle w:val="SCCCounselPartyRoleChar"/>
          <w:lang w:val="fr-CA"/>
        </w:rPr>
        <w:t xml:space="preserve">information du Canada, le commissaire à la protection de la vie privée du Canada, </w:t>
      </w:r>
      <w:r w:rsidR="00CA7436" w:rsidRPr="004D4C3B">
        <w:rPr>
          <w:rStyle w:val="SCCCounselPartyRoleChar"/>
          <w:lang w:val="fr-CA"/>
        </w:rPr>
        <w:t>l</w:t>
      </w:r>
      <w:r w:rsidR="00E87C0F" w:rsidRPr="004D4C3B">
        <w:rPr>
          <w:rStyle w:val="SCCCounselPartyRoleChar"/>
          <w:lang w:val="fr-CA"/>
        </w:rPr>
        <w:t>’</w:t>
      </w:r>
      <w:r w:rsidR="00CA7436" w:rsidRPr="004D4C3B">
        <w:rPr>
          <w:lang w:val="fr-CA"/>
        </w:rPr>
        <w:t>Ombudsman du Manitoba</w:t>
      </w:r>
      <w:r w:rsidRPr="004D4C3B">
        <w:rPr>
          <w:rStyle w:val="SCCCounselPartyRoleChar"/>
          <w:lang w:val="fr-CA"/>
        </w:rPr>
        <w:t>, le commissaire à l</w:t>
      </w:r>
      <w:r w:rsidR="00E87C0F" w:rsidRPr="004D4C3B">
        <w:rPr>
          <w:rStyle w:val="SCCCounselPartyRoleChar"/>
          <w:lang w:val="fr-CA"/>
        </w:rPr>
        <w:t>’</w:t>
      </w:r>
      <w:r w:rsidRPr="004D4C3B">
        <w:rPr>
          <w:rStyle w:val="SCCCounselPartyRoleChar"/>
          <w:lang w:val="fr-CA"/>
        </w:rPr>
        <w:t>information et à la protection de la vie privée des Territoires du Nord</w:t>
      </w:r>
      <w:r w:rsidR="00E87C0F" w:rsidRPr="004D4C3B">
        <w:rPr>
          <w:rStyle w:val="SCCCounselPartyRoleChar"/>
          <w:lang w:val="fr-CA"/>
        </w:rPr>
        <w:noBreakHyphen/>
      </w:r>
      <w:r w:rsidRPr="004D4C3B">
        <w:rPr>
          <w:rStyle w:val="SCCCounselPartyRoleChar"/>
          <w:lang w:val="fr-CA"/>
        </w:rPr>
        <w:t>Ouest, Nova Scotia Information and Privacy Commissioner [Review Officer], le commissaire à l</w:t>
      </w:r>
      <w:r w:rsidR="00E87C0F" w:rsidRPr="004D4C3B">
        <w:rPr>
          <w:rStyle w:val="SCCCounselPartyRoleChar"/>
          <w:lang w:val="fr-CA"/>
        </w:rPr>
        <w:t>’</w:t>
      </w:r>
      <w:r w:rsidRPr="004D4C3B">
        <w:rPr>
          <w:rStyle w:val="SCCCounselPartyRoleChar"/>
          <w:lang w:val="fr-CA"/>
        </w:rPr>
        <w:t xml:space="preserve">information et à la protection de la vie privée du Nunavut, Saskatchewan Information and Privacy Commissioner et </w:t>
      </w:r>
      <w:r w:rsidR="00CA7436" w:rsidRPr="004D4C3B">
        <w:rPr>
          <w:rStyle w:val="SCCCounselPartyRoleChar"/>
          <w:lang w:val="fr-CA"/>
        </w:rPr>
        <w:t xml:space="preserve">le </w:t>
      </w:r>
      <w:r w:rsidR="00DE07D5" w:rsidRPr="004D4C3B">
        <w:rPr>
          <w:rStyle w:val="SCCCounselPartyRoleChar"/>
          <w:lang w:val="fr-CA"/>
        </w:rPr>
        <w:t>c</w:t>
      </w:r>
      <w:r w:rsidR="00CA7436" w:rsidRPr="004D4C3B">
        <w:rPr>
          <w:rStyle w:val="SCCCounselPartyRoleChar"/>
          <w:lang w:val="fr-CA"/>
        </w:rPr>
        <w:t>ommissaire à l</w:t>
      </w:r>
      <w:r w:rsidR="00E87C0F" w:rsidRPr="004D4C3B">
        <w:rPr>
          <w:rStyle w:val="SCCCounselPartyRoleChar"/>
          <w:lang w:val="fr-CA"/>
        </w:rPr>
        <w:t>’</w:t>
      </w:r>
      <w:r w:rsidR="00CA7436" w:rsidRPr="004D4C3B">
        <w:rPr>
          <w:rStyle w:val="SCCCounselPartyRoleChar"/>
          <w:lang w:val="fr-CA"/>
        </w:rPr>
        <w:t>information et à la protection de la vie privée et ombudsman du Yukon</w:t>
      </w:r>
      <w:r w:rsidR="00D203A0" w:rsidRPr="004D4C3B">
        <w:rPr>
          <w:rStyle w:val="SCCCounselPartyRoleChar"/>
          <w:lang w:val="fr-CA"/>
        </w:rPr>
        <w:t>.</w:t>
      </w:r>
    </w:p>
    <w:p w:rsidR="00773594" w:rsidRDefault="00E46970" w:rsidP="00B3618F">
      <w:pPr>
        <w:pStyle w:val="SCCNormalDoubleSpacing"/>
        <w:widowControl w:val="0"/>
        <w:spacing w:after="480"/>
        <w:rPr>
          <w:rStyle w:val="SCCCounselPartyRoleChar"/>
          <w:lang w:val="fr-CA"/>
        </w:rPr>
      </w:pPr>
      <w:r w:rsidRPr="004D4C3B">
        <w:rPr>
          <w:rStyle w:val="SCCCounselNameChar"/>
          <w:i w:val="0"/>
          <w:lang w:val="fr-CA"/>
        </w:rPr>
        <w:tab/>
        <w:t xml:space="preserve">Argumentation écrite seulement par </w:t>
      </w:r>
      <w:r w:rsidR="00D203A0" w:rsidRPr="004D4C3B">
        <w:rPr>
          <w:rStyle w:val="SCCCounselNameChar"/>
          <w:lang w:val="fr-CA"/>
        </w:rPr>
        <w:t>Brian Gover</w:t>
      </w:r>
      <w:r w:rsidR="00D203A0" w:rsidRPr="004D4C3B">
        <w:rPr>
          <w:rStyle w:val="SCCCounselSeparatorChar"/>
          <w:lang w:val="fr-CA"/>
        </w:rPr>
        <w:t xml:space="preserve">, </w:t>
      </w:r>
      <w:r w:rsidR="00D203A0" w:rsidRPr="004D4C3B">
        <w:rPr>
          <w:rStyle w:val="SCCCounselNameChar"/>
          <w:lang w:val="fr-CA"/>
        </w:rPr>
        <w:t>Justin Safayeni</w:t>
      </w:r>
      <w:r w:rsidR="00D203A0" w:rsidRPr="004D4C3B">
        <w:rPr>
          <w:rStyle w:val="SCCCounselSeparatorChar"/>
          <w:lang w:val="fr-CA"/>
        </w:rPr>
        <w:t xml:space="preserve"> et </w:t>
      </w:r>
      <w:r w:rsidR="00D203A0" w:rsidRPr="004D4C3B">
        <w:rPr>
          <w:rStyle w:val="SCCCounselNameChar"/>
          <w:lang w:val="fr-CA"/>
        </w:rPr>
        <w:t>Carlo Di Carlo</w:t>
      </w:r>
      <w:r w:rsidR="00D203A0" w:rsidRPr="004D4C3B">
        <w:rPr>
          <w:rStyle w:val="SCCCounselPartyRoleChar"/>
          <w:lang w:val="fr-CA"/>
        </w:rPr>
        <w:t>, pour l</w:t>
      </w:r>
      <w:r w:rsidR="00E87C0F" w:rsidRPr="004D4C3B">
        <w:rPr>
          <w:rStyle w:val="SCCCounselPartyRoleChar"/>
          <w:lang w:val="fr-CA"/>
        </w:rPr>
        <w:t>’</w:t>
      </w:r>
      <w:r w:rsidR="00D203A0" w:rsidRPr="004D4C3B">
        <w:rPr>
          <w:rStyle w:val="SCCCounselPartyRoleChar"/>
          <w:lang w:val="fr-CA"/>
        </w:rPr>
        <w:t>intervenante Criminal Lawyers</w:t>
      </w:r>
      <w:r w:rsidR="00E87C0F" w:rsidRPr="004D4C3B">
        <w:rPr>
          <w:rStyle w:val="SCCCounselPartyRoleChar"/>
          <w:lang w:val="fr-CA"/>
        </w:rPr>
        <w:t>’</w:t>
      </w:r>
      <w:r w:rsidR="00D203A0" w:rsidRPr="004D4C3B">
        <w:rPr>
          <w:rStyle w:val="SCCCounselPartyRoleChar"/>
          <w:lang w:val="fr-CA"/>
        </w:rPr>
        <w:t xml:space="preserve"> Association.</w:t>
      </w:r>
    </w:p>
    <w:p w:rsidR="00FA3C70" w:rsidRDefault="000C3CD7" w:rsidP="00B3618F">
      <w:pPr>
        <w:pStyle w:val="SCCNormalDoubleSpacing"/>
        <w:widowControl w:val="0"/>
        <w:spacing w:after="480"/>
        <w:rPr>
          <w:lang w:val="fr-CA"/>
        </w:rPr>
      </w:pPr>
      <w:r>
        <w:rPr>
          <w:lang w:val="fr-CA"/>
        </w:rPr>
        <w:tab/>
      </w:r>
      <w:r w:rsidR="00FA3C70" w:rsidRPr="005E1D00">
        <w:rPr>
          <w:lang w:val="fr-CA"/>
        </w:rPr>
        <w:t xml:space="preserve">Version française du jugement des juges </w:t>
      </w:r>
      <w:r w:rsidR="00FA3C70" w:rsidRPr="00386062">
        <w:rPr>
          <w:lang w:val="fr-CA"/>
        </w:rPr>
        <w:t>Moldaver, Karakatsanis, Wagner, Gascon et Côté</w:t>
      </w:r>
      <w:r w:rsidR="00FA3C70">
        <w:rPr>
          <w:lang w:val="fr-CA"/>
        </w:rPr>
        <w:t xml:space="preserve"> rendu par</w:t>
      </w:r>
    </w:p>
    <w:p w:rsidR="00FA3C70" w:rsidRPr="00B07B13" w:rsidRDefault="00FA3C70" w:rsidP="00B3618F">
      <w:pPr>
        <w:pStyle w:val="JudgeJuge"/>
        <w:widowControl w:val="0"/>
        <w:spacing w:before="480"/>
        <w:rPr>
          <w:lang w:val="fr-CA"/>
        </w:rPr>
      </w:pPr>
      <w:r w:rsidRPr="00B07B13">
        <w:rPr>
          <w:lang w:val="fr-CA"/>
        </w:rPr>
        <w:lastRenderedPageBreak/>
        <w:tab/>
        <w:t xml:space="preserve">La juge Côté — </w:t>
      </w:r>
    </w:p>
    <w:p w:rsidR="00FA3C70" w:rsidRPr="00B07B13" w:rsidRDefault="00FA3C70" w:rsidP="00B3618F">
      <w:pPr>
        <w:pStyle w:val="Title1LevelTitre1Niveau-AltL"/>
        <w:widowControl w:val="0"/>
        <w:numPr>
          <w:ilvl w:val="0"/>
          <w:numId w:val="17"/>
        </w:numPr>
        <w:ind w:hanging="540"/>
        <w:rPr>
          <w:rFonts w:cs="Times New Roman"/>
          <w:lang w:val="fr-CA"/>
        </w:rPr>
      </w:pPr>
      <w:r w:rsidRPr="00B07B13">
        <w:rPr>
          <w:rFonts w:cs="Times New Roman"/>
          <w:lang w:val="fr-CA"/>
        </w:rPr>
        <w:t>Aperçu</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Le pourvoi porte sur le contrôle judiciaire d’une décision rendue sous le régime de la </w:t>
      </w:r>
      <w:r w:rsidRPr="00B07B13">
        <w:rPr>
          <w:rFonts w:cs="Times New Roman"/>
          <w:i/>
          <w:lang w:val="fr-CA"/>
        </w:rPr>
        <w:t>Freedom of Information and</w:t>
      </w:r>
      <w:r w:rsidRPr="00B07B13">
        <w:rPr>
          <w:rFonts w:cs="Times New Roman"/>
          <w:lang w:val="fr-CA"/>
        </w:rPr>
        <w:t xml:space="preserve"> </w:t>
      </w:r>
      <w:r w:rsidRPr="00B07B13">
        <w:rPr>
          <w:rFonts w:cs="Times New Roman"/>
          <w:i/>
          <w:lang w:val="fr-CA"/>
        </w:rPr>
        <w:t>Protection of Privacy Act</w:t>
      </w:r>
      <w:r w:rsidRPr="00B07B13">
        <w:rPr>
          <w:rFonts w:cs="Times New Roman"/>
          <w:lang w:val="fr-CA"/>
        </w:rPr>
        <w:t>, R.S.A. 2000, c. F</w:t>
      </w:r>
      <w:r w:rsidRPr="00B07B13">
        <w:rPr>
          <w:rFonts w:cs="Times New Roman"/>
          <w:lang w:val="fr-CA"/>
        </w:rPr>
        <w:noBreakHyphen/>
        <w:t>25 (« </w:t>
      </w:r>
      <w:r w:rsidRPr="00B07B13">
        <w:rPr>
          <w:rFonts w:cs="Times New Roman"/>
          <w:i/>
          <w:lang w:val="fr-CA"/>
        </w:rPr>
        <w:t>FOIPP</w:t>
      </w:r>
      <w:r w:rsidRPr="00B07B13">
        <w:rPr>
          <w:rFonts w:cs="Times New Roman"/>
          <w:lang w:val="fr-CA"/>
        </w:rPr>
        <w:t xml:space="preserve"> »). Un délégué de la Commissaire à l’information et à la protection de la vie privée de l’Alberta (« Commissaire ») a ordonné la production de documents à l’égard desquels le secret professionnel de l’avocat était invoqué afin de vérifier la validité de l’assertion. La principale question en litige est celle de savoir si le par. 56(3) de la </w:t>
      </w:r>
      <w:r w:rsidRPr="00B07B13">
        <w:rPr>
          <w:rFonts w:cs="Times New Roman"/>
          <w:i/>
          <w:lang w:val="fr-CA"/>
        </w:rPr>
        <w:t>FOIPP</w:t>
      </w:r>
      <w:r w:rsidRPr="00B07B13">
        <w:rPr>
          <w:rFonts w:cs="Times New Roman"/>
          <w:lang w:val="fr-CA"/>
        </w:rPr>
        <w:t>,</w:t>
      </w:r>
      <w:r w:rsidRPr="00B07B13">
        <w:rPr>
          <w:rFonts w:cs="Times New Roman"/>
          <w:i/>
          <w:lang w:val="fr-CA"/>
        </w:rPr>
        <w:t xml:space="preserve"> </w:t>
      </w:r>
      <w:r w:rsidRPr="00B07B13">
        <w:rPr>
          <w:rFonts w:cs="Times New Roman"/>
          <w:lang w:val="fr-CA"/>
        </w:rPr>
        <w:t>qui oblige un organisme public à produire les documents exigés par la Commissaire [</w:t>
      </w:r>
      <w:r w:rsidRPr="00B07B13">
        <w:rPr>
          <w:rFonts w:cs="Times New Roman"/>
          <w:smallCaps/>
          <w:lang w:val="fr-CA"/>
        </w:rPr>
        <w:t>traduction</w:t>
      </w:r>
      <w:r w:rsidRPr="00B07B13">
        <w:rPr>
          <w:rFonts w:cs="Times New Roman"/>
          <w:lang w:val="fr-CA"/>
        </w:rPr>
        <w:t>] « </w:t>
      </w:r>
      <w:r w:rsidR="000C3CD7" w:rsidRPr="00B07B13">
        <w:rPr>
          <w:rFonts w:cs="Times New Roman"/>
          <w:lang w:val="fr-CA"/>
        </w:rPr>
        <w:t>[</w:t>
      </w:r>
      <w:r w:rsidRPr="00B07B13">
        <w:rPr>
          <w:rFonts w:cs="Times New Roman"/>
          <w:lang w:val="fr-CA"/>
        </w:rPr>
        <w:t>m</w:t>
      </w:r>
      <w:r w:rsidR="000C3CD7" w:rsidRPr="00B07B13">
        <w:rPr>
          <w:rFonts w:cs="Times New Roman"/>
          <w:lang w:val="fr-CA"/>
        </w:rPr>
        <w:t>]</w:t>
      </w:r>
      <w:r w:rsidRPr="00B07B13">
        <w:rPr>
          <w:rFonts w:cs="Times New Roman"/>
          <w:lang w:val="fr-CA"/>
        </w:rPr>
        <w:t>algré [. . .] tout privilège que reconnaît le droit de la preuve »,</w:t>
      </w:r>
      <w:r w:rsidRPr="00B07B13">
        <w:rPr>
          <w:rFonts w:cs="Times New Roman"/>
          <w:i/>
          <w:lang w:val="fr-CA"/>
        </w:rPr>
        <w:t xml:space="preserve"> </w:t>
      </w:r>
      <w:r w:rsidRPr="00B07B13">
        <w:rPr>
          <w:rFonts w:cs="Times New Roman"/>
          <w:lang w:val="fr-CA"/>
        </w:rPr>
        <w:t>permet à cette dernière et à ses délégués d’examiner les documents à l’égard desquels est invoqué le secret professionnel de l’avocat.</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Je conclus que le par. 56(3) n’oblige pas un organisme public à communiquer à la Commissaire un document à l’égard duquel est invoqué le secret professionnel de l’avocat. Comme la Cour l’a décidé dans l’arrêt </w:t>
      </w:r>
      <w:r w:rsidRPr="00B07B13">
        <w:rPr>
          <w:rFonts w:cs="Times New Roman"/>
          <w:i/>
          <w:lang w:val="fr-CA"/>
        </w:rPr>
        <w:t>Canada (Commissaire à la protection de la vie privée) c. Blood Tribe Department of Health</w:t>
      </w:r>
      <w:r w:rsidRPr="00B07B13">
        <w:rPr>
          <w:rFonts w:cs="Times New Roman"/>
          <w:lang w:val="fr-CA"/>
        </w:rPr>
        <w:t xml:space="preserve">, 2008 CSC 44, [2008] 2 R.C.S. 574, le secret professionnel de l’avocat ne peut être écarté par inférence, mais seulement au moyen d’un libellé législatif clair, explicite et non équivoque. En l’espèce, la disposition en cause ne satisfait pas à cette exigence et, par conséquent, elle ne traduit pas l’intention claire et non équivoque du législateur d’écarter le secret professionnel de l’avocat. Il est bien établi que ce dernier n’est plus </w:t>
      </w:r>
      <w:r w:rsidRPr="00B07B13">
        <w:rPr>
          <w:rFonts w:cs="Times New Roman"/>
          <w:lang w:val="fr-CA"/>
        </w:rPr>
        <w:lastRenderedPageBreak/>
        <w:t>seulement un privilège du droit de la preuve, mais qu’il constitue une protection relevant du droit substantiel. J’estime donc que l’expression [</w:t>
      </w:r>
      <w:r w:rsidRPr="00B07B13">
        <w:rPr>
          <w:rFonts w:cs="Times New Roman"/>
          <w:smallCaps/>
          <w:lang w:val="fr-CA"/>
        </w:rPr>
        <w:t>traduction</w:t>
      </w:r>
      <w:r w:rsidRPr="00B07B13">
        <w:rPr>
          <w:rFonts w:cs="Times New Roman"/>
          <w:lang w:val="fr-CA"/>
        </w:rPr>
        <w:t>] « privilège que reconnaît le droit de la preuve » n’englobe pas le secret professionnel de l’avocat. En outre, le contexte global de la loi permet également de conclure que le législateur n’a pas voulu, au par. 56(3), écarter le secret professionnel de l’avocat. Et même si on pouvait considérer que le par. 56(3) autorise la Commissaire à examiner les documents à l’égard desquels est invoqué le secret professionnel de l’avocat, il n’y avait pas lieu en l’espèce d’ordonner la production des documents en vue de leur examen. Par conséquent, je suis d’avis de rejeter le pourvoi.</w:t>
      </w:r>
    </w:p>
    <w:p w:rsidR="00FA3C70" w:rsidRPr="00B07B13" w:rsidRDefault="00FA3C70" w:rsidP="00B3618F">
      <w:pPr>
        <w:pStyle w:val="Title1LevelTitre1Niveau-AltL"/>
        <w:widowControl w:val="0"/>
        <w:numPr>
          <w:ilvl w:val="0"/>
          <w:numId w:val="17"/>
        </w:numPr>
        <w:tabs>
          <w:tab w:val="left" w:pos="720"/>
        </w:tabs>
        <w:ind w:hanging="540"/>
        <w:rPr>
          <w:rFonts w:cs="Times New Roman"/>
          <w:lang w:val="fr-CA"/>
        </w:rPr>
      </w:pPr>
      <w:r w:rsidRPr="00B07B13">
        <w:rPr>
          <w:rFonts w:cs="Times New Roman"/>
          <w:lang w:val="fr-CA"/>
        </w:rPr>
        <w:t>Faits</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L’Université de Calgary (« Université ») a été poursuivie par une ancienne employée qui alléguait un congédiement déguisé. En octobre 2008, l’ancienne employée a présenté en vertu de l’art. 7 de la </w:t>
      </w:r>
      <w:r w:rsidRPr="00B07B13">
        <w:rPr>
          <w:rFonts w:cs="Times New Roman"/>
          <w:i/>
          <w:lang w:val="fr-CA"/>
        </w:rPr>
        <w:t>FOIPP</w:t>
      </w:r>
      <w:r w:rsidRPr="00B07B13">
        <w:rPr>
          <w:rFonts w:cs="Times New Roman"/>
          <w:lang w:val="fr-CA"/>
        </w:rPr>
        <w:t xml:space="preserve"> une demande d’accès à l’information en vue d’obtenir des documents la concernant que l’Université avait en sa possession.</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L’Université a fourni certains des documents demandés, mais elle a invoqué le secret professionnel de l’avocat à l’égard des autres. En mars 2009, l’ancienne employée a demandé, en se fondant sur la </w:t>
      </w:r>
      <w:r w:rsidRPr="00B07B13">
        <w:rPr>
          <w:rFonts w:cs="Times New Roman"/>
          <w:i/>
          <w:lang w:val="fr-CA"/>
        </w:rPr>
        <w:t>FOIPP</w:t>
      </w:r>
      <w:r w:rsidRPr="00B07B13">
        <w:rPr>
          <w:rFonts w:cs="Times New Roman"/>
          <w:lang w:val="fr-CA"/>
        </w:rPr>
        <w:t>, la production des documents refusés. Un délégué de la Commissaire (« délégué ») a fait enquête conformément au « </w:t>
      </w:r>
      <w:r w:rsidR="007A441D">
        <w:rPr>
          <w:rFonts w:cs="Times New Roman"/>
          <w:lang w:val="fr-CA"/>
        </w:rPr>
        <w:t>Solicitor-Client Privilege Adjudication Protocol</w:t>
      </w:r>
      <w:r w:rsidRPr="00B07B13">
        <w:rPr>
          <w:rFonts w:cs="Times New Roman"/>
          <w:lang w:val="fr-CA"/>
        </w:rPr>
        <w:t> » du Commissariat (« Protocole »)</w:t>
      </w:r>
      <w:r w:rsidRPr="00B07B13">
        <w:rPr>
          <w:rFonts w:eastAsia="Times New Roman" w:cs="Times New Roman"/>
          <w:szCs w:val="24"/>
          <w:lang w:val="fr-CA" w:eastAsia="en-CA"/>
        </w:rPr>
        <w:t xml:space="preserve"> </w:t>
      </w:r>
      <w:r w:rsidRPr="00B07B13">
        <w:rPr>
          <w:rFonts w:cs="Times New Roman"/>
          <w:lang w:val="fr-CA"/>
        </w:rPr>
        <w:t xml:space="preserve">(en ligne). Le Protocole précise comment, selon le </w:t>
      </w:r>
      <w:r w:rsidRPr="00B07B13">
        <w:rPr>
          <w:rFonts w:cs="Times New Roman"/>
          <w:lang w:val="fr-CA"/>
        </w:rPr>
        <w:lastRenderedPageBreak/>
        <w:t>Commissariat, la démonstration de l’application du secret professionnel de l’avocat peut être faite sans que ne soient révélés les détails des communications. S’appuyant sur le Protocole, le délégué a donné un avis d’enquête enjoignant à l’Université de fournir une copie [</w:t>
      </w:r>
      <w:r w:rsidRPr="00B07B13">
        <w:rPr>
          <w:rFonts w:cs="Times New Roman"/>
          <w:smallCaps/>
          <w:lang w:val="fr-CA"/>
        </w:rPr>
        <w:t>traduction</w:t>
      </w:r>
      <w:r w:rsidRPr="00B07B13">
        <w:rPr>
          <w:rFonts w:cs="Times New Roman"/>
          <w:lang w:val="fr-CA"/>
        </w:rPr>
        <w:t>] « des documents en cause</w:t>
      </w:r>
      <w:r w:rsidR="000C3CD7">
        <w:rPr>
          <w:rFonts w:cs="Times New Roman"/>
          <w:lang w:val="fr-CA"/>
        </w:rPr>
        <w:t> </w:t>
      </w:r>
      <w:r w:rsidR="000C3CD7" w:rsidRPr="00B07B13">
        <w:rPr>
          <w:rFonts w:cs="Times New Roman"/>
          <w:lang w:val="fr-CA"/>
        </w:rPr>
        <w:t>»</w:t>
      </w:r>
      <w:r w:rsidR="000C3CD7">
        <w:rPr>
          <w:rFonts w:cs="Times New Roman"/>
          <w:lang w:val="fr-CA"/>
        </w:rPr>
        <w:t xml:space="preserve"> </w:t>
      </w:r>
      <w:r w:rsidRPr="00B07B13">
        <w:rPr>
          <w:rFonts w:cs="Times New Roman"/>
          <w:lang w:val="fr-CA"/>
        </w:rPr>
        <w:t xml:space="preserve">ou </w:t>
      </w:r>
      <w:r w:rsidR="000C3CD7">
        <w:rPr>
          <w:rFonts w:cs="Times New Roman"/>
          <w:lang w:val="fr-CA"/>
        </w:rPr>
        <w:t xml:space="preserve">de </w:t>
      </w:r>
      <w:r w:rsidRPr="00B07B13">
        <w:rPr>
          <w:rFonts w:cs="Times New Roman"/>
          <w:lang w:val="fr-CA"/>
        </w:rPr>
        <w:t>deux copies « d’un affidavit ou d’une simple déclaration confirmant que le secret professionnel de l’avocat s’applique aux documents ».</w:t>
      </w:r>
    </w:p>
    <w:p w:rsidR="00FA3C70" w:rsidRPr="00B07B13" w:rsidRDefault="00FA3C70" w:rsidP="00B3618F">
      <w:pPr>
        <w:pStyle w:val="ParaNoNdepar-AltN"/>
        <w:widowControl w:val="0"/>
        <w:rPr>
          <w:rFonts w:cs="Times New Roman"/>
          <w:lang w:val="fr-CA"/>
        </w:rPr>
      </w:pPr>
      <w:r w:rsidRPr="00B07B13">
        <w:rPr>
          <w:rFonts w:cs="Times New Roman"/>
          <w:lang w:val="fr-CA"/>
        </w:rPr>
        <w:t>En août 2010, l’Université a refusé de fournir une copie des autres documents. Elle a plutôt remis une liste des documents identifiés seulement par le numéro des pages en cause. Cette façon de procéder était conforme au droit et à la pratique qui avaient alors cours en Alberta pour identifier un document protégé par le secret professionnel de l’avocat dans une instance civile. L’Université a par ailleurs remis un affidavit dans lequel sa coordonnatrice de l’accès à l’information et de la protection de la vie privée affirmait que le secret professionnel de l’avocat était invoqué à l’égard des documents. L’Université a également transmis par la suite une lettre dans laquelle son vice</w:t>
      </w:r>
      <w:r w:rsidRPr="00B07B13">
        <w:rPr>
          <w:rFonts w:cs="Times New Roman"/>
          <w:lang w:val="fr-CA"/>
        </w:rPr>
        <w:noBreakHyphen/>
        <w:t>recteur à l’enseignement et à la recherche invoquait le secret professionnel de l’avocat à l’égard des documents.</w:t>
      </w:r>
    </w:p>
    <w:p w:rsidR="00FA3C70" w:rsidRPr="00B07B13" w:rsidRDefault="00FA3C70" w:rsidP="00B3618F">
      <w:pPr>
        <w:pStyle w:val="ParaNoNdepar-AltN"/>
        <w:widowControl w:val="0"/>
        <w:rPr>
          <w:rFonts w:cs="Times New Roman"/>
          <w:lang w:val="fr-CA"/>
        </w:rPr>
      </w:pPr>
      <w:r w:rsidRPr="00B07B13">
        <w:rPr>
          <w:rFonts w:cs="Times New Roman"/>
          <w:lang w:val="fr-CA"/>
        </w:rPr>
        <w:t>En septembre 2010, le délégué a enjoint à l’Université de démontrer l’application du secret professionnel de l’avocat, soit par la remise d’une copie des documents, soit par la communication de renseignements supplémentaires sur les documents, comme la date et le nombre de pages, et certaines précisions sur l’auteur et le destinataire.</w:t>
      </w:r>
    </w:p>
    <w:p w:rsidR="00FA3C70" w:rsidRPr="00B07B13" w:rsidRDefault="00FA3C70" w:rsidP="00B3618F">
      <w:pPr>
        <w:pStyle w:val="ParaNoNdepar-AltN"/>
        <w:widowControl w:val="0"/>
        <w:rPr>
          <w:rFonts w:cs="Times New Roman"/>
          <w:lang w:val="fr-CA"/>
        </w:rPr>
      </w:pPr>
      <w:r w:rsidRPr="00B07B13">
        <w:rPr>
          <w:rFonts w:cs="Times New Roman"/>
          <w:lang w:val="fr-CA"/>
        </w:rPr>
        <w:lastRenderedPageBreak/>
        <w:t xml:space="preserve">L’Université n’a acquiescé à aucune de ces demandes. Le délégué a donc donné un avis fondé sur le par. 56(3) de la </w:t>
      </w:r>
      <w:r w:rsidRPr="00B07B13">
        <w:rPr>
          <w:rFonts w:cs="Times New Roman"/>
          <w:i/>
          <w:lang w:val="fr-CA"/>
        </w:rPr>
        <w:t>FOIPP</w:t>
      </w:r>
      <w:r w:rsidRPr="00B07B13">
        <w:rPr>
          <w:rFonts w:cs="Times New Roman"/>
          <w:lang w:val="fr-CA"/>
        </w:rPr>
        <w:t xml:space="preserve"> enjoignant à l’Université de produire les documents en vue de leur examen. Le paragraphe 56(3) est libellé comme suit :</w:t>
      </w:r>
    </w:p>
    <w:p w:rsidR="00FA3C70" w:rsidRPr="00B07B13" w:rsidRDefault="00FA3C70" w:rsidP="00B3618F">
      <w:pPr>
        <w:pStyle w:val="Citation-AltC"/>
        <w:widowControl w:val="0"/>
        <w:ind w:hanging="1166"/>
        <w:contextualSpacing w:val="0"/>
        <w:rPr>
          <w:lang w:val="fr-CA"/>
        </w:rPr>
      </w:pPr>
      <w:r w:rsidRPr="00B07B13">
        <w:rPr>
          <w:lang w:val="fr-CA"/>
        </w:rPr>
        <w:tab/>
        <w:t>[</w:t>
      </w:r>
      <w:r w:rsidRPr="00B07B13">
        <w:rPr>
          <w:smallCaps/>
          <w:lang w:val="fr-CA"/>
        </w:rPr>
        <w:t>traduction</w:t>
      </w:r>
      <w:r w:rsidRPr="00B07B13">
        <w:rPr>
          <w:lang w:val="fr-CA"/>
        </w:rPr>
        <w:t xml:space="preserve">] </w:t>
      </w:r>
      <w:r w:rsidRPr="00B07B13">
        <w:rPr>
          <w:b/>
          <w:lang w:val="fr-CA"/>
        </w:rPr>
        <w:t>(3)</w:t>
      </w:r>
      <w:r w:rsidRPr="00B07B13">
        <w:rPr>
          <w:lang w:val="fr-CA"/>
        </w:rPr>
        <w:t xml:space="preserve"> Malgré toute autre loi ou tout privilège que reconnaît le droit de la preuve, l’organisme public produit dans les dix jours l’original ou une copie des documents exigés en vertu des paragraphes (1) ou (2).</w:t>
      </w:r>
    </w:p>
    <w:p w:rsidR="00FA3C70" w:rsidRPr="00B07B13" w:rsidRDefault="00FA3C70" w:rsidP="00B3618F">
      <w:pPr>
        <w:pStyle w:val="ParaNoNdepar-AltN"/>
        <w:widowControl w:val="0"/>
        <w:rPr>
          <w:rFonts w:cs="Times New Roman"/>
          <w:lang w:val="fr-CA"/>
        </w:rPr>
      </w:pPr>
      <w:r w:rsidRPr="00B07B13">
        <w:rPr>
          <w:rFonts w:cs="Times New Roman"/>
          <w:lang w:val="fr-CA"/>
        </w:rPr>
        <w:t>Là encore, l’Université ne s’est pas conformée à l’avis et, en octobre 2010, elle en a demandé le contrôle judiciaire, d’où le présent pourvoi.</w:t>
      </w:r>
    </w:p>
    <w:p w:rsidR="00FA3C70" w:rsidRPr="00B07B13" w:rsidRDefault="00FA3C70" w:rsidP="00B3618F">
      <w:pPr>
        <w:pStyle w:val="ParaNoNdepar-AltN"/>
        <w:widowControl w:val="0"/>
        <w:rPr>
          <w:rFonts w:cs="Times New Roman"/>
          <w:lang w:val="fr-CA"/>
        </w:rPr>
      </w:pPr>
      <w:r w:rsidRPr="00B07B13">
        <w:rPr>
          <w:rFonts w:cs="Times New Roman"/>
          <w:lang w:val="fr-CA"/>
        </w:rPr>
        <w:t>Il convient de signaler que l’auteur</w:t>
      </w:r>
      <w:r w:rsidR="000C3CD7">
        <w:rPr>
          <w:rFonts w:cs="Times New Roman"/>
          <w:lang w:val="fr-CA"/>
        </w:rPr>
        <w:t>e</w:t>
      </w:r>
      <w:r w:rsidRPr="00B07B13">
        <w:rPr>
          <w:rFonts w:cs="Times New Roman"/>
          <w:lang w:val="fr-CA"/>
        </w:rPr>
        <w:t xml:space="preserve"> de la demande, l’ancienne employée de l’Université, n’est pas partie au pourvoi. Elle n’a pris aucune part à l’instance depuis que sa poursuite contre l’Université a fait l’objet d’un règlement en 2012 (2012 ABQB 342, 545 A.R. 110). La demande de produire les documents revêt donc désormais un caractère théorique.</w:t>
      </w:r>
    </w:p>
    <w:p w:rsidR="00FA3C70" w:rsidRPr="00B07B13" w:rsidRDefault="00FA3C70" w:rsidP="00B3618F">
      <w:pPr>
        <w:pStyle w:val="Title1LevelTitre1Niveau-AltL"/>
        <w:widowControl w:val="0"/>
        <w:numPr>
          <w:ilvl w:val="0"/>
          <w:numId w:val="17"/>
        </w:numPr>
        <w:ind w:hanging="450"/>
        <w:rPr>
          <w:rFonts w:cs="Times New Roman"/>
          <w:lang w:val="fr-CA"/>
        </w:rPr>
      </w:pPr>
      <w:r w:rsidRPr="00B07B13">
        <w:rPr>
          <w:rFonts w:cs="Times New Roman"/>
          <w:lang w:val="fr-CA"/>
        </w:rPr>
        <w:t>Décisions des juridictions inférieures</w:t>
      </w:r>
    </w:p>
    <w:p w:rsidR="00FA3C70" w:rsidRPr="00B07B13" w:rsidRDefault="00FA3C70" w:rsidP="00B3618F">
      <w:pPr>
        <w:pStyle w:val="Title2LevelTitre2Niveau"/>
        <w:widowControl w:val="0"/>
        <w:numPr>
          <w:ilvl w:val="0"/>
          <w:numId w:val="18"/>
        </w:numPr>
        <w:ind w:hanging="720"/>
        <w:rPr>
          <w:rFonts w:cs="Times New Roman"/>
        </w:rPr>
      </w:pPr>
      <w:r w:rsidRPr="00B07B13">
        <w:rPr>
          <w:rFonts w:cs="Times New Roman"/>
        </w:rPr>
        <w:t>Commissaire à l’information et à la protection de la vie privée de l’Alberta</w:t>
      </w:r>
    </w:p>
    <w:p w:rsidR="00FA3C70" w:rsidRPr="00B07B13" w:rsidRDefault="00FA3C70" w:rsidP="00B3618F">
      <w:pPr>
        <w:pStyle w:val="ParaNoNdepar-AltN"/>
        <w:widowControl w:val="0"/>
        <w:rPr>
          <w:rFonts w:cs="Times New Roman"/>
          <w:lang w:val="fr-CA"/>
        </w:rPr>
      </w:pPr>
      <w:r w:rsidRPr="00B07B13">
        <w:rPr>
          <w:rFonts w:cs="Times New Roman"/>
          <w:lang w:val="fr-CA"/>
        </w:rPr>
        <w:t>Dans sa décision du 20 octobre 2010, le délégué exige que l’Université produise une copie des documents à l’égard desquels le secret professionnel de l’avocat est invoqué afin qu’il puisse se prononcer sur le bien</w:t>
      </w:r>
      <w:r w:rsidRPr="00B07B13">
        <w:rPr>
          <w:rFonts w:cs="Times New Roman"/>
          <w:lang w:val="fr-CA"/>
        </w:rPr>
        <w:noBreakHyphen/>
        <w:t xml:space="preserve">fondé de cette assertion. Il conclut qu’il s’agit d’un cas exceptionnel, car l’Université a omis de produire la preuve </w:t>
      </w:r>
      <w:r w:rsidRPr="00B07B13">
        <w:rPr>
          <w:rFonts w:cs="Times New Roman"/>
          <w:lang w:val="fr-CA"/>
        </w:rPr>
        <w:lastRenderedPageBreak/>
        <w:t>nécessaire à l’appui de sa prétention selon laquelle le secret professionnel de l’avocat s’applique, de sorte qu’il lui faut examiner les documents en cause pour décider si l’Université a raison ou non de refuser de les produire.</w:t>
      </w:r>
    </w:p>
    <w:p w:rsidR="00FA3C70" w:rsidRPr="00B07B13" w:rsidRDefault="00FA3C70" w:rsidP="00B3618F">
      <w:pPr>
        <w:pStyle w:val="Title2LevelTitre2Niveau"/>
        <w:widowControl w:val="0"/>
        <w:numPr>
          <w:ilvl w:val="0"/>
          <w:numId w:val="18"/>
        </w:numPr>
        <w:ind w:hanging="720"/>
        <w:rPr>
          <w:rFonts w:cs="Times New Roman"/>
        </w:rPr>
      </w:pPr>
      <w:r w:rsidRPr="00B07B13">
        <w:rPr>
          <w:rFonts w:cs="Times New Roman"/>
        </w:rPr>
        <w:t>Cour du Banc de la Reine de l’Alberta, 2013 ABQB 652, 574 A.R. 137</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Saisi d’une demande de contrôle judiciaire, le juge Jones conclut d’abord que la norme de contrôle applicable est celle de la décision correcte. Il recourt à la méthode moderne d’interprétation des lois et statue que le par. 56(3) de la </w:t>
      </w:r>
      <w:r w:rsidRPr="00B07B13">
        <w:rPr>
          <w:rFonts w:cs="Times New Roman"/>
          <w:i/>
          <w:lang w:val="fr-CA"/>
        </w:rPr>
        <w:t xml:space="preserve">FOIPP </w:t>
      </w:r>
      <w:r w:rsidRPr="00B07B13">
        <w:rPr>
          <w:rFonts w:cs="Times New Roman"/>
          <w:lang w:val="fr-CA"/>
        </w:rPr>
        <w:t xml:space="preserve">permet à la Commissaire d’exiger la production des documents pour s’assurer de l’application du secret professionnel de l’avocat invoqué à leur égard. Il examine la jurisprudence relative aux dispositions similaires d’autres lois, puis conclut que l’intention qu’avait le législateur albertain lors de l’adoption de la </w:t>
      </w:r>
      <w:r w:rsidRPr="00B07B13">
        <w:rPr>
          <w:rFonts w:cs="Times New Roman"/>
          <w:i/>
          <w:lang w:val="fr-CA"/>
        </w:rPr>
        <w:t>FOIPP</w:t>
      </w:r>
      <w:r w:rsidRPr="00B07B13">
        <w:rPr>
          <w:rFonts w:cs="Times New Roman"/>
          <w:lang w:val="fr-CA"/>
        </w:rPr>
        <w:t xml:space="preserve"> est claire. Il ajoute que les dispositions de la </w:t>
      </w:r>
      <w:r w:rsidRPr="00B07B13">
        <w:rPr>
          <w:rFonts w:cs="Times New Roman"/>
          <w:i/>
          <w:lang w:val="fr-CA"/>
        </w:rPr>
        <w:t>FOIPP</w:t>
      </w:r>
      <w:r w:rsidRPr="00B07B13">
        <w:rPr>
          <w:rFonts w:cs="Times New Roman"/>
          <w:lang w:val="fr-CA"/>
        </w:rPr>
        <w:t xml:space="preserve"> ne peuvent bien s’appliquer les unes avec les autres que si la Commissaire a le pouvoir d’exiger la production de l’information à l’égard de laquelle le privilège est invoqué puisque la </w:t>
      </w:r>
      <w:r w:rsidRPr="00B07B13">
        <w:rPr>
          <w:rFonts w:cs="Times New Roman"/>
          <w:i/>
          <w:lang w:val="fr-CA"/>
        </w:rPr>
        <w:t>FOIPP</w:t>
      </w:r>
      <w:r w:rsidRPr="00B07B13">
        <w:rPr>
          <w:rFonts w:cs="Times New Roman"/>
          <w:lang w:val="fr-CA"/>
        </w:rPr>
        <w:t xml:space="preserve"> ne prévoit aucune autre procédure pour se prononcer sur pareille allégation.</w:t>
      </w:r>
    </w:p>
    <w:p w:rsidR="00FA3C70" w:rsidRPr="00B07B13" w:rsidRDefault="00FA3C70" w:rsidP="00B3618F">
      <w:pPr>
        <w:pStyle w:val="ParaNoNdepar-AltN"/>
        <w:widowControl w:val="0"/>
        <w:rPr>
          <w:rFonts w:cs="Times New Roman"/>
          <w:lang w:val="fr-CA"/>
        </w:rPr>
      </w:pPr>
      <w:r w:rsidRPr="00B07B13">
        <w:rPr>
          <w:rFonts w:cs="Times New Roman"/>
          <w:lang w:val="fr-CA"/>
        </w:rPr>
        <w:t>Le juge se penche ensuite sur l’exercice par le délégué du pouvoir d’obliger un organisme à produire un document. Il estime que le délégué a donné l’avis à bon droit et souligne que l’Université a refusé de justifier par ailleurs l’application du secret professionnel de l’avocat. De manière générale, il statue que la démarche du délégué établit [</w:t>
      </w:r>
      <w:r w:rsidRPr="00B07B13">
        <w:rPr>
          <w:rFonts w:cs="Times New Roman"/>
          <w:smallCaps/>
          <w:lang w:val="fr-CA"/>
        </w:rPr>
        <w:t>traduction</w:t>
      </w:r>
      <w:r w:rsidRPr="00B07B13">
        <w:rPr>
          <w:rFonts w:cs="Times New Roman"/>
          <w:lang w:val="fr-CA"/>
        </w:rPr>
        <w:t>] « un cadre qui ne porte atteinte à la confidentialité et au privilège que dans la mesure où cela est absolument nécessaire » (par. 233).</w:t>
      </w:r>
    </w:p>
    <w:p w:rsidR="00FA3C70" w:rsidRPr="00B07B13" w:rsidRDefault="00FA3C70" w:rsidP="00B3618F">
      <w:pPr>
        <w:pStyle w:val="Title2LevelTitre2Niveau"/>
        <w:widowControl w:val="0"/>
        <w:numPr>
          <w:ilvl w:val="0"/>
          <w:numId w:val="18"/>
        </w:numPr>
        <w:ind w:hanging="720"/>
        <w:rPr>
          <w:rFonts w:cs="Times New Roman"/>
        </w:rPr>
      </w:pPr>
      <w:r w:rsidRPr="00B07B13">
        <w:rPr>
          <w:rFonts w:cs="Times New Roman"/>
        </w:rPr>
        <w:lastRenderedPageBreak/>
        <w:t>Cour d’appel de l’Alberta, 2015 ABCA 118, 602 A.R. 35</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La Cour d’appel fait droit à l’appel de l’Université et conclut que la Commissaire n’avait pas le pouvoir légal d’exiger la production des documents à l’égard desquels le secret professionnel de l’avocat était invoqué. Elle convient avec le juge de première instance que la norme de contrôle est celle de la décision correcte. Par contre, en ce qui a trait à l’interprétation des lois, elle statue que l’arrêt </w:t>
      </w:r>
      <w:r w:rsidRPr="00B07B13">
        <w:rPr>
          <w:rFonts w:cs="Times New Roman"/>
          <w:i/>
          <w:lang w:val="fr-CA"/>
        </w:rPr>
        <w:t>Blood Tribe</w:t>
      </w:r>
      <w:r w:rsidRPr="00B07B13">
        <w:rPr>
          <w:rFonts w:cs="Times New Roman"/>
          <w:lang w:val="fr-CA"/>
        </w:rPr>
        <w:t xml:space="preserve"> écarte la méthode moderne d’interprétation des lois lorsque le secret professionnel de l’avocat est en jeu. C’est plutôt la règle de l’interprétation stricte — qui commande le renvoi clair, explicite et précis au secret professionnel de l’avocat — qui s’applique.</w:t>
      </w:r>
    </w:p>
    <w:p w:rsidR="00FA3C70" w:rsidRPr="00B07B13" w:rsidRDefault="00FA3C70" w:rsidP="00B3618F">
      <w:pPr>
        <w:pStyle w:val="ParaNoNdepar-AltN"/>
        <w:widowControl w:val="0"/>
        <w:rPr>
          <w:rFonts w:cs="Times New Roman"/>
          <w:lang w:val="fr-CA"/>
        </w:rPr>
      </w:pPr>
      <w:r w:rsidRPr="00B07B13">
        <w:rPr>
          <w:rFonts w:cs="Times New Roman"/>
          <w:lang w:val="fr-CA"/>
        </w:rPr>
        <w:t>Suivant la règle de l’interprétation stricte, la Cour d’appel opine qu’il serait nécessaire de tirer une inférence pour conclure que l’expression [</w:t>
      </w:r>
      <w:r w:rsidRPr="00B07B13">
        <w:rPr>
          <w:rFonts w:cs="Times New Roman"/>
          <w:smallCaps/>
          <w:lang w:val="fr-CA"/>
        </w:rPr>
        <w:t>traduction</w:t>
      </w:r>
      <w:r w:rsidRPr="00B07B13">
        <w:rPr>
          <w:rFonts w:cs="Times New Roman"/>
          <w:lang w:val="fr-CA"/>
        </w:rPr>
        <w:t>]</w:t>
      </w:r>
      <w:r w:rsidRPr="00B07B13">
        <w:rPr>
          <w:rFonts w:eastAsia="Times New Roman" w:cs="Times New Roman"/>
          <w:szCs w:val="24"/>
          <w:lang w:val="fr-CA" w:eastAsia="en-CA"/>
        </w:rPr>
        <w:t xml:space="preserve"> « </w:t>
      </w:r>
      <w:r w:rsidRPr="00B07B13">
        <w:rPr>
          <w:rFonts w:cs="Times New Roman"/>
          <w:lang w:val="fr-CA"/>
        </w:rPr>
        <w:t>tout privilège que reconnaît le droit de la preuve » englobe le secret professionnel de l’avocat. Le libellé du par. 56(3) n’est donc pas jugé suffisamment précis pour traduire une intention claire en ce sens de la part du législateur.</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La Cour d’appel fait également observer qu’un certain nombre d’éléments contextuels appuient sa conclusion. Premièrement, ni la Commissaire ni son délégué ne sont tenus d’être avocats, de sorte qu’ils pourraient ne pas avoir la formation juridique voulue pour se prononcer sur l’application du secret professionnel de l’avocat. Deuxièmement, la </w:t>
      </w:r>
      <w:r w:rsidRPr="00B07B13">
        <w:rPr>
          <w:rFonts w:cs="Times New Roman"/>
          <w:i/>
          <w:lang w:val="fr-CA"/>
        </w:rPr>
        <w:t xml:space="preserve">FOIPP </w:t>
      </w:r>
      <w:r w:rsidRPr="00B07B13">
        <w:rPr>
          <w:rFonts w:cs="Times New Roman"/>
          <w:lang w:val="fr-CA"/>
        </w:rPr>
        <w:t xml:space="preserve">autorise la Commissaire à communiquer au ministre de la Justice et au procureur général tout renseignement relatif à la perpétration d’une infraction. Troisièmement, la </w:t>
      </w:r>
      <w:r w:rsidRPr="00B07B13">
        <w:rPr>
          <w:rFonts w:cs="Times New Roman"/>
          <w:i/>
          <w:lang w:val="fr-CA"/>
        </w:rPr>
        <w:t>Personal Information Protection Act</w:t>
      </w:r>
      <w:r w:rsidRPr="00B07B13">
        <w:rPr>
          <w:rFonts w:cs="Times New Roman"/>
          <w:lang w:val="fr-CA"/>
        </w:rPr>
        <w:t xml:space="preserve">, S.A. 2003, </w:t>
      </w:r>
      <w:r w:rsidRPr="00B07B13">
        <w:rPr>
          <w:rFonts w:cs="Times New Roman"/>
          <w:lang w:val="fr-CA"/>
        </w:rPr>
        <w:lastRenderedPageBreak/>
        <w:t>c. P</w:t>
      </w:r>
      <w:r w:rsidRPr="00B07B13">
        <w:rPr>
          <w:rFonts w:cs="Times New Roman"/>
          <w:lang w:val="fr-CA"/>
        </w:rPr>
        <w:noBreakHyphen/>
        <w:t>6.5, par. 38(3), qui s’applique aux cabinets d’avocats, permet également à la Commissaire d’exiger la production de documents [</w:t>
      </w:r>
      <w:r w:rsidRPr="00B07B13">
        <w:rPr>
          <w:rFonts w:cs="Times New Roman"/>
          <w:smallCaps/>
          <w:lang w:val="fr-CA"/>
        </w:rPr>
        <w:t>traduction</w:t>
      </w:r>
      <w:r w:rsidRPr="00B07B13">
        <w:rPr>
          <w:rFonts w:cs="Times New Roman"/>
          <w:lang w:val="fr-CA"/>
        </w:rPr>
        <w:t>] « </w:t>
      </w:r>
      <w:r w:rsidR="000C3CD7" w:rsidRPr="00B07B13">
        <w:rPr>
          <w:rFonts w:cs="Times New Roman"/>
          <w:lang w:val="fr-CA"/>
        </w:rPr>
        <w:t>[</w:t>
      </w:r>
      <w:r w:rsidRPr="00B07B13">
        <w:rPr>
          <w:rFonts w:cs="Times New Roman"/>
          <w:lang w:val="fr-CA"/>
        </w:rPr>
        <w:t>n</w:t>
      </w:r>
      <w:r w:rsidR="000C3CD7" w:rsidRPr="00B07B13">
        <w:rPr>
          <w:rFonts w:cs="Times New Roman"/>
          <w:lang w:val="fr-CA"/>
        </w:rPr>
        <w:t>]</w:t>
      </w:r>
      <w:r w:rsidRPr="00B07B13">
        <w:rPr>
          <w:rFonts w:cs="Times New Roman"/>
          <w:lang w:val="fr-CA"/>
        </w:rPr>
        <w:t>onobstant [. . .]</w:t>
      </w:r>
      <w:r w:rsidRPr="00B07B13">
        <w:rPr>
          <w:rFonts w:eastAsia="Times New Roman" w:cs="Times New Roman"/>
          <w:szCs w:val="24"/>
          <w:lang w:val="fr-CA" w:eastAsia="en-CA"/>
        </w:rPr>
        <w:t xml:space="preserve"> </w:t>
      </w:r>
      <w:r w:rsidRPr="00B07B13">
        <w:rPr>
          <w:rFonts w:cs="Times New Roman"/>
          <w:lang w:val="fr-CA"/>
        </w:rPr>
        <w:t>tout privilège que reconnaît le droit de la preuve ». La Cour d’appel souligne que permettre l’atteinte au secret professionnel de l’avocat dans un tel contexte serait non souhaitable.</w:t>
      </w:r>
    </w:p>
    <w:p w:rsidR="00FA3C70" w:rsidRPr="00B07B13" w:rsidRDefault="00FA3C70" w:rsidP="00B3618F">
      <w:pPr>
        <w:pStyle w:val="Title1LevelTitre1Niveau-AltL"/>
        <w:widowControl w:val="0"/>
        <w:numPr>
          <w:ilvl w:val="0"/>
          <w:numId w:val="17"/>
        </w:numPr>
        <w:ind w:hanging="450"/>
        <w:rPr>
          <w:rFonts w:cs="Times New Roman"/>
          <w:lang w:val="fr-CA"/>
        </w:rPr>
      </w:pPr>
      <w:r w:rsidRPr="00B07B13">
        <w:rPr>
          <w:rFonts w:cs="Times New Roman"/>
          <w:lang w:val="fr-CA"/>
        </w:rPr>
        <w:t>Questions en litige</w:t>
      </w:r>
    </w:p>
    <w:p w:rsidR="00FA3C70" w:rsidRPr="00B07B13" w:rsidRDefault="00FA3C70" w:rsidP="00B3618F">
      <w:pPr>
        <w:pStyle w:val="ParaNoNdepar-AltN"/>
        <w:widowControl w:val="0"/>
        <w:rPr>
          <w:rFonts w:cs="Times New Roman"/>
          <w:lang w:val="fr-CA"/>
        </w:rPr>
      </w:pPr>
      <w:r w:rsidRPr="00B07B13">
        <w:rPr>
          <w:rFonts w:cs="Times New Roman"/>
          <w:lang w:val="fr-CA"/>
        </w:rPr>
        <w:t>Le pourvoi soulève les questions suivantes :</w:t>
      </w:r>
    </w:p>
    <w:p w:rsidR="00FA3C70" w:rsidRPr="00B07B13" w:rsidRDefault="00FA3C70" w:rsidP="00B3618F">
      <w:pPr>
        <w:pStyle w:val="Citation-AltC"/>
        <w:widowControl w:val="0"/>
        <w:spacing w:before="480" w:after="480" w:line="480" w:lineRule="auto"/>
        <w:ind w:left="720" w:hanging="720"/>
        <w:contextualSpacing w:val="0"/>
        <w:rPr>
          <w:lang w:val="fr-CA"/>
        </w:rPr>
      </w:pPr>
      <w:r w:rsidRPr="00B07B13">
        <w:rPr>
          <w:lang w:val="fr-CA"/>
        </w:rPr>
        <w:t xml:space="preserve">1. </w:t>
      </w:r>
      <w:r w:rsidR="000C3CD7">
        <w:rPr>
          <w:lang w:val="fr-CA"/>
        </w:rPr>
        <w:tab/>
      </w:r>
      <w:r w:rsidRPr="00B07B13">
        <w:rPr>
          <w:lang w:val="fr-CA"/>
        </w:rPr>
        <w:t>Quelle est la norme de contrôle applicable à la décision de la Commissaire?</w:t>
      </w:r>
    </w:p>
    <w:p w:rsidR="00FA3C70" w:rsidRPr="00B07B13" w:rsidRDefault="00FA3C70" w:rsidP="00B3618F">
      <w:pPr>
        <w:pStyle w:val="Citation-AltC"/>
        <w:widowControl w:val="0"/>
        <w:spacing w:before="480" w:after="480" w:line="480" w:lineRule="auto"/>
        <w:ind w:left="720" w:hanging="720"/>
        <w:contextualSpacing w:val="0"/>
        <w:rPr>
          <w:lang w:val="fr-CA"/>
        </w:rPr>
      </w:pPr>
      <w:r w:rsidRPr="00B07B13">
        <w:rPr>
          <w:lang w:val="fr-CA"/>
        </w:rPr>
        <w:t xml:space="preserve">2. </w:t>
      </w:r>
      <w:r w:rsidR="000C3CD7">
        <w:rPr>
          <w:lang w:val="fr-CA"/>
        </w:rPr>
        <w:tab/>
      </w:r>
      <w:r w:rsidRPr="00B07B13">
        <w:rPr>
          <w:lang w:val="fr-CA"/>
        </w:rPr>
        <w:t>Quelle méthode d’interprétation des lois s’applique à une disposition censée supprimer, lever ou écarter le secret professionnel de l’avocat ou y porter atteinte?</w:t>
      </w:r>
    </w:p>
    <w:p w:rsidR="00FA3C70" w:rsidRPr="00B07B13" w:rsidRDefault="00FA3C70" w:rsidP="00B3618F">
      <w:pPr>
        <w:pStyle w:val="Citation-AltC"/>
        <w:widowControl w:val="0"/>
        <w:spacing w:before="480" w:after="480" w:line="480" w:lineRule="auto"/>
        <w:ind w:left="720" w:hanging="720"/>
        <w:contextualSpacing w:val="0"/>
        <w:rPr>
          <w:lang w:val="fr-CA"/>
        </w:rPr>
      </w:pPr>
      <w:r w:rsidRPr="00B07B13">
        <w:rPr>
          <w:lang w:val="fr-CA"/>
        </w:rPr>
        <w:t xml:space="preserve">3. </w:t>
      </w:r>
      <w:r w:rsidR="000C3CD7">
        <w:rPr>
          <w:lang w:val="fr-CA"/>
        </w:rPr>
        <w:tab/>
      </w:r>
      <w:r w:rsidRPr="00B07B13">
        <w:rPr>
          <w:lang w:val="fr-CA"/>
        </w:rPr>
        <w:t xml:space="preserve">Le paragraphe 56(3) de la </w:t>
      </w:r>
      <w:r w:rsidRPr="00B07B13">
        <w:rPr>
          <w:i/>
          <w:lang w:val="fr-CA"/>
        </w:rPr>
        <w:t>FOIPP</w:t>
      </w:r>
      <w:r w:rsidRPr="00B07B13">
        <w:rPr>
          <w:lang w:val="fr-CA"/>
        </w:rPr>
        <w:t xml:space="preserve"> oblige</w:t>
      </w:r>
      <w:r w:rsidRPr="00B07B13">
        <w:rPr>
          <w:lang w:val="fr-CA"/>
        </w:rPr>
        <w:noBreakHyphen/>
        <w:t>t</w:t>
      </w:r>
      <w:r w:rsidRPr="00B07B13">
        <w:rPr>
          <w:lang w:val="fr-CA"/>
        </w:rPr>
        <w:noBreakHyphen/>
        <w:t>il un organisme public à produire à l’intention de la Commissaire les documents à l’égard desquels est invoqué le secret professionnel de l’avocat?</w:t>
      </w:r>
    </w:p>
    <w:p w:rsidR="00FA3C70" w:rsidRPr="00B07B13" w:rsidRDefault="00FA3C70" w:rsidP="00B3618F">
      <w:pPr>
        <w:pStyle w:val="Title1LevelTitre1Niveau-AltL"/>
        <w:widowControl w:val="0"/>
        <w:numPr>
          <w:ilvl w:val="0"/>
          <w:numId w:val="17"/>
        </w:numPr>
        <w:ind w:hanging="540"/>
        <w:rPr>
          <w:rFonts w:cs="Times New Roman"/>
          <w:lang w:val="fr-CA"/>
        </w:rPr>
      </w:pPr>
      <w:r w:rsidRPr="00B07B13">
        <w:rPr>
          <w:rFonts w:cs="Times New Roman"/>
          <w:lang w:val="fr-CA"/>
        </w:rPr>
        <w:t>Thèses des parties</w:t>
      </w:r>
    </w:p>
    <w:p w:rsidR="00FA3C70" w:rsidRPr="00B07B13" w:rsidRDefault="00FA3C70" w:rsidP="00B3618F">
      <w:pPr>
        <w:pStyle w:val="Title2LevelTitre2Niveau"/>
        <w:widowControl w:val="0"/>
        <w:numPr>
          <w:ilvl w:val="0"/>
          <w:numId w:val="23"/>
        </w:numPr>
        <w:ind w:hanging="720"/>
        <w:rPr>
          <w:rFonts w:cs="Times New Roman"/>
        </w:rPr>
      </w:pPr>
      <w:r w:rsidRPr="00B07B13">
        <w:rPr>
          <w:rFonts w:cs="Times New Roman"/>
        </w:rPr>
        <w:t>Commissaire à l’information et à la protection de la vie privée de l’Alberta</w:t>
      </w:r>
    </w:p>
    <w:p w:rsidR="00FA3C70" w:rsidRPr="00B07B13" w:rsidRDefault="00FA3C70" w:rsidP="00B3618F">
      <w:pPr>
        <w:pStyle w:val="ParaNoNdepar-AltN"/>
        <w:widowControl w:val="0"/>
        <w:rPr>
          <w:rFonts w:cs="Times New Roman"/>
          <w:lang w:val="fr-CA"/>
        </w:rPr>
      </w:pPr>
      <w:r w:rsidRPr="00B07B13">
        <w:rPr>
          <w:rFonts w:cs="Times New Roman"/>
          <w:lang w:val="fr-CA"/>
        </w:rPr>
        <w:lastRenderedPageBreak/>
        <w:t>La Commissaire soutient que la norme de contrôle applicable est celle de la décision raisonnable.</w:t>
      </w:r>
      <w:r w:rsidRPr="00B07B13">
        <w:rPr>
          <w:rFonts w:eastAsia="Times New Roman" w:cs="Times New Roman"/>
          <w:szCs w:val="24"/>
          <w:lang w:val="fr-CA" w:eastAsia="en-CA"/>
        </w:rPr>
        <w:t xml:space="preserve"> En ce qui a trait à </w:t>
      </w:r>
      <w:r w:rsidRPr="00B07B13">
        <w:rPr>
          <w:rFonts w:cs="Times New Roman"/>
          <w:lang w:val="fr-CA"/>
        </w:rPr>
        <w:t xml:space="preserve">l’interprétation des lois, elle préconise une analyse téléologique. En bref, elle est d’avis que le par. 56(3) de la </w:t>
      </w:r>
      <w:r w:rsidRPr="00B07B13">
        <w:rPr>
          <w:rFonts w:cs="Times New Roman"/>
          <w:i/>
          <w:lang w:val="fr-CA"/>
        </w:rPr>
        <w:t>FOIPP</w:t>
      </w:r>
      <w:r w:rsidRPr="00B07B13">
        <w:rPr>
          <w:rFonts w:cs="Times New Roman"/>
          <w:lang w:val="fr-CA"/>
        </w:rPr>
        <w:t xml:space="preserve"> lui confère expressément le pouvoir d’examiner les documents à l’égard desquels le secret professionnel de l’avocat est invoqué. Elle prétend que celui</w:t>
      </w:r>
      <w:r w:rsidRPr="00B07B13">
        <w:rPr>
          <w:rFonts w:cs="Times New Roman"/>
          <w:lang w:val="fr-CA"/>
        </w:rPr>
        <w:noBreakHyphen/>
        <w:t>ci constitue un privilège que reconnaît le droit de la preuve, de sorte que les mots [</w:t>
      </w:r>
      <w:r w:rsidRPr="00B07B13">
        <w:rPr>
          <w:rFonts w:cs="Times New Roman"/>
          <w:smallCaps/>
          <w:lang w:val="fr-CA"/>
        </w:rPr>
        <w:t>traduction</w:t>
      </w:r>
      <w:r w:rsidRPr="00B07B13">
        <w:rPr>
          <w:rFonts w:cs="Times New Roman"/>
          <w:lang w:val="fr-CA"/>
        </w:rPr>
        <w:t>] « tout privilège que reconnaît le droit de la preuve » employés au par. 56(3) suppriment clairement le secret professionnel de l’avocat. Elle ajoute que l’assimilation du secret professionnel de l’avocat à une règle de fond ne fait pas obstacle à une telle interprétation et que l’analyse contextuelle la conforte dans son opinion.</w:t>
      </w:r>
    </w:p>
    <w:p w:rsidR="00FA3C70" w:rsidRPr="00B07B13" w:rsidRDefault="00FA3C70" w:rsidP="00B3618F">
      <w:pPr>
        <w:pStyle w:val="Title2LevelTitre2Niveau"/>
        <w:widowControl w:val="0"/>
        <w:numPr>
          <w:ilvl w:val="0"/>
          <w:numId w:val="23"/>
        </w:numPr>
        <w:ind w:hanging="720"/>
        <w:rPr>
          <w:rFonts w:cs="Times New Roman"/>
        </w:rPr>
      </w:pPr>
      <w:r w:rsidRPr="00B07B13">
        <w:rPr>
          <w:rFonts w:cs="Times New Roman"/>
        </w:rPr>
        <w:t>Conseil des gouverneurs de l’Université de Calgary</w:t>
      </w:r>
    </w:p>
    <w:p w:rsidR="00FA3C70" w:rsidRPr="00B07B13" w:rsidRDefault="00FA3C70" w:rsidP="00B3618F">
      <w:pPr>
        <w:pStyle w:val="ParaNoNdepar-AltN"/>
        <w:widowControl w:val="0"/>
        <w:rPr>
          <w:rFonts w:cs="Times New Roman"/>
          <w:lang w:val="fr-CA"/>
        </w:rPr>
      </w:pPr>
      <w:r w:rsidRPr="00B07B13">
        <w:rPr>
          <w:rFonts w:cs="Times New Roman"/>
          <w:lang w:val="fr-CA"/>
        </w:rPr>
        <w:t>Le Conseil des gouverneurs de l’Université soutient au contraire que la norme de contrôle applicable est celle de la décision correcte.</w:t>
      </w:r>
      <w:r w:rsidRPr="00B07B13">
        <w:rPr>
          <w:rFonts w:eastAsia="Times New Roman" w:cs="Times New Roman"/>
          <w:szCs w:val="24"/>
          <w:lang w:val="fr-CA" w:eastAsia="en-CA"/>
        </w:rPr>
        <w:t xml:space="preserve"> En ce qui a trait à </w:t>
      </w:r>
      <w:r w:rsidRPr="00B07B13">
        <w:rPr>
          <w:rFonts w:cs="Times New Roman"/>
          <w:lang w:val="fr-CA"/>
        </w:rPr>
        <w:t>l’interprétation des lois, il fait valoir que des termes exprès, clairs et précis sont nécessaires pour que la Commissaire puisse lever le secret professionnel de l’avocat. Suivant sa thèse principale, le par. 56(3) ne contient pas de termes exprès en ce sens puisque le secret professionnel de l’avocat est passé d’une règle de preuve à une règle substantielle et fondamentale. Subsidiairement, il prétend que même si le par. 56(3) pouvait être interprété comme conférant expressément à la Commissaire le pouvoir de lever le secret professionnel de l’avocat, la communication des documents n’était pas indiquée en l’espèce. Il ajoute que l’analyse contextuelle appuie sa thèse.</w:t>
      </w:r>
    </w:p>
    <w:p w:rsidR="00FA3C70" w:rsidRPr="00B07B13" w:rsidRDefault="00FA3C70" w:rsidP="00B3618F">
      <w:pPr>
        <w:pStyle w:val="Title1LevelTitre1Niveau-AltL"/>
        <w:widowControl w:val="0"/>
        <w:numPr>
          <w:ilvl w:val="0"/>
          <w:numId w:val="17"/>
        </w:numPr>
        <w:ind w:hanging="450"/>
        <w:rPr>
          <w:rFonts w:cs="Times New Roman"/>
          <w:lang w:val="fr-CA"/>
        </w:rPr>
      </w:pPr>
      <w:bookmarkStart w:id="1" w:name="_Toc320021610"/>
      <w:bookmarkStart w:id="2" w:name="_Toc451080178"/>
      <w:r w:rsidRPr="00B07B13">
        <w:rPr>
          <w:rFonts w:cs="Times New Roman"/>
          <w:lang w:val="fr-CA"/>
        </w:rPr>
        <w:lastRenderedPageBreak/>
        <w:t>Analyse</w:t>
      </w:r>
      <w:bookmarkEnd w:id="1"/>
      <w:bookmarkEnd w:id="2"/>
    </w:p>
    <w:p w:rsidR="00FA3C70" w:rsidRPr="00B07B13" w:rsidRDefault="00FA3C70" w:rsidP="00B3618F">
      <w:pPr>
        <w:pStyle w:val="Title2LevelTitre2Niveau"/>
        <w:widowControl w:val="0"/>
        <w:numPr>
          <w:ilvl w:val="0"/>
          <w:numId w:val="24"/>
        </w:numPr>
        <w:ind w:hanging="720"/>
        <w:rPr>
          <w:rFonts w:cs="Times New Roman"/>
        </w:rPr>
      </w:pPr>
      <w:bookmarkStart w:id="3" w:name="_Toc451080179"/>
      <w:r w:rsidRPr="00B07B13">
        <w:rPr>
          <w:rFonts w:cs="Times New Roman"/>
        </w:rPr>
        <w:t>Norme de contrôle</w:t>
      </w:r>
      <w:bookmarkEnd w:id="3"/>
    </w:p>
    <w:p w:rsidR="00FA3C70" w:rsidRPr="00B07B13" w:rsidRDefault="00FA3C70" w:rsidP="00B3618F">
      <w:pPr>
        <w:pStyle w:val="ParaNoNdepar-AltN"/>
        <w:widowControl w:val="0"/>
        <w:rPr>
          <w:rFonts w:cs="Times New Roman"/>
          <w:lang w:val="fr-CA"/>
        </w:rPr>
      </w:pPr>
      <w:r w:rsidRPr="00B07B13">
        <w:rPr>
          <w:rFonts w:cs="Times New Roman"/>
          <w:lang w:val="fr-CA"/>
        </w:rPr>
        <w:t>Le juge de première instance et la Cour d’appel ont conclu que la norme de contrôle applicable est celle de la décision correcte. Je suis d’accord.</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La question de savoir si la </w:t>
      </w:r>
      <w:r w:rsidRPr="00B07B13">
        <w:rPr>
          <w:rFonts w:cs="Times New Roman"/>
          <w:i/>
          <w:lang w:val="fr-CA"/>
        </w:rPr>
        <w:t>FOIPP</w:t>
      </w:r>
      <w:r w:rsidRPr="00B07B13">
        <w:rPr>
          <w:rFonts w:cs="Times New Roman"/>
          <w:lang w:val="fr-CA"/>
        </w:rPr>
        <w:t xml:space="preserve"> permet d’écarter le secret professionnel de l’avocat est d’importance capitale pour le système juridique dans son ensemble et elle se situe en dehors du domaine d’expertise de la Commissaire. Comme le dit la Cour dans l’arrêt </w:t>
      </w:r>
      <w:r w:rsidRPr="00B07B13">
        <w:rPr>
          <w:rFonts w:cs="Times New Roman"/>
          <w:i/>
          <w:lang w:val="fr-CA"/>
        </w:rPr>
        <w:t>Blood Tribe</w:t>
      </w:r>
      <w:r w:rsidRPr="00B07B13">
        <w:rPr>
          <w:rFonts w:cs="Times New Roman"/>
          <w:lang w:val="fr-CA"/>
        </w:rPr>
        <w:t>, le secret professionnel de l’avocat est « essentiel au bon fonctionnement du système de justice » (par. 9). Il s’agit d’un privilège qui revêt également un caractère constitutionnel tant à titre de principe de justice fondamentale que de droit fondamental du client au respect de sa vie privée (</w:t>
      </w:r>
      <w:r w:rsidRPr="00B07B13">
        <w:rPr>
          <w:rFonts w:cs="Times New Roman"/>
          <w:i/>
          <w:lang w:val="fr-CA"/>
        </w:rPr>
        <w:t>R. c. McClure</w:t>
      </w:r>
      <w:r w:rsidRPr="00B07B13">
        <w:rPr>
          <w:rFonts w:cs="Times New Roman"/>
          <w:lang w:val="fr-CA"/>
        </w:rPr>
        <w:t xml:space="preserve">, 2001 CSC 14, [2001] 1 R.C.S. 445, par. 41; </w:t>
      </w:r>
      <w:r w:rsidRPr="00B07B13">
        <w:rPr>
          <w:rFonts w:cs="Times New Roman"/>
          <w:i/>
          <w:lang w:val="fr-CA"/>
        </w:rPr>
        <w:t>Lavallee, Rackel &amp; Heintz c. Canada (Procureur général)</w:t>
      </w:r>
      <w:r w:rsidRPr="00B07B13">
        <w:rPr>
          <w:rFonts w:cs="Times New Roman"/>
          <w:lang w:val="fr-CA"/>
        </w:rPr>
        <w:t xml:space="preserve">, 2002 CSC 61, [2002] 3 R.C.S. 209, par. 46; voir aussi </w:t>
      </w:r>
      <w:r w:rsidRPr="00B07B13">
        <w:rPr>
          <w:rFonts w:cs="Times New Roman"/>
          <w:i/>
          <w:lang w:val="fr-CA"/>
        </w:rPr>
        <w:t>Canada (Revenu national) c. Thompson</w:t>
      </w:r>
      <w:r w:rsidRPr="00B07B13">
        <w:rPr>
          <w:rFonts w:cs="Times New Roman"/>
          <w:lang w:val="fr-CA"/>
        </w:rPr>
        <w:t>, 2016 CSC 21, [2016] 1 R.C.S. 381, par. 17). En outre, comme le fait observer la Cour d’appel, déterminer les conditions auxquelles un libellé législatif est suffisant pour autoriser un tribunal administratif à porter atteinte au secret professionnel de l’avocat est susceptible d’avoir de grandes répercussions sur d’autres régimes législatifs.</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Dans l’arrêt </w:t>
      </w:r>
      <w:r w:rsidRPr="00B07B13">
        <w:rPr>
          <w:rFonts w:cs="Times New Roman"/>
          <w:i/>
          <w:lang w:val="fr-CA"/>
        </w:rPr>
        <w:t>Compagnie de</w:t>
      </w:r>
      <w:r w:rsidR="0078404F">
        <w:rPr>
          <w:rFonts w:cs="Times New Roman"/>
          <w:i/>
          <w:lang w:val="fr-CA"/>
        </w:rPr>
        <w:t>s</w:t>
      </w:r>
      <w:r w:rsidRPr="00B07B13">
        <w:rPr>
          <w:rFonts w:cs="Times New Roman"/>
          <w:i/>
          <w:lang w:val="fr-CA"/>
        </w:rPr>
        <w:t xml:space="preserve"> chemins de fer nationaux</w:t>
      </w:r>
      <w:r w:rsidR="0078404F">
        <w:rPr>
          <w:rFonts w:cs="Times New Roman"/>
          <w:i/>
          <w:lang w:val="fr-CA"/>
        </w:rPr>
        <w:t xml:space="preserve"> du Canada</w:t>
      </w:r>
      <w:r w:rsidRPr="00B07B13">
        <w:rPr>
          <w:rFonts w:cs="Times New Roman"/>
          <w:i/>
          <w:lang w:val="fr-CA"/>
        </w:rPr>
        <w:t xml:space="preserve"> c. Canada (Procureur général)</w:t>
      </w:r>
      <w:r w:rsidRPr="00B07B13">
        <w:rPr>
          <w:rFonts w:cs="Times New Roman"/>
          <w:lang w:val="fr-CA"/>
        </w:rPr>
        <w:t xml:space="preserve">, 2014 CSC 40, [2014] 2 R.C.S. 135, le juge Rothstein, au </w:t>
      </w:r>
      <w:r w:rsidRPr="00B07B13">
        <w:rPr>
          <w:rFonts w:cs="Times New Roman"/>
          <w:lang w:val="fr-CA"/>
        </w:rPr>
        <w:lastRenderedPageBreak/>
        <w:t xml:space="preserve">nom des juges de la Cour, fait état des conditions auxquelles une question d’interprétation législative </w:t>
      </w:r>
      <w:r w:rsidRPr="00B07B13">
        <w:rPr>
          <w:rFonts w:cs="Times New Roman"/>
          <w:i/>
          <w:lang w:val="fr-CA"/>
        </w:rPr>
        <w:t>sans</w:t>
      </w:r>
      <w:r w:rsidRPr="00B07B13">
        <w:rPr>
          <w:rFonts w:cs="Times New Roman"/>
          <w:lang w:val="fr-CA"/>
        </w:rPr>
        <w:t xml:space="preserve"> grandes répercussions sur d’autres régimes législatifs </w:t>
      </w:r>
      <w:r w:rsidRPr="00B07B13">
        <w:rPr>
          <w:rFonts w:cs="Times New Roman"/>
          <w:i/>
          <w:lang w:val="fr-CA"/>
        </w:rPr>
        <w:t>ne</w:t>
      </w:r>
      <w:r w:rsidRPr="00B07B13">
        <w:rPr>
          <w:rFonts w:cs="Times New Roman"/>
          <w:lang w:val="fr-CA"/>
        </w:rPr>
        <w:t xml:space="preserve"> revêt </w:t>
      </w:r>
      <w:r w:rsidRPr="00B07B13">
        <w:rPr>
          <w:rFonts w:cs="Times New Roman"/>
          <w:i/>
          <w:lang w:val="fr-CA"/>
        </w:rPr>
        <w:t>pas</w:t>
      </w:r>
      <w:r w:rsidRPr="00B07B13">
        <w:rPr>
          <w:rFonts w:cs="Times New Roman"/>
          <w:lang w:val="fr-CA"/>
        </w:rPr>
        <w:t xml:space="preserve"> une importance capitale pour le système juridique dans son ensemble et, de ce fait, commande l’application de la norme de la décision raisonnable. Voici ce qu’il dit au par. 60 :</w:t>
      </w:r>
    </w:p>
    <w:p w:rsidR="00FA3C70" w:rsidRPr="00B07B13" w:rsidRDefault="00FA3C70" w:rsidP="00B3618F">
      <w:pPr>
        <w:pStyle w:val="Citation-AltC"/>
        <w:widowControl w:val="0"/>
        <w:tabs>
          <w:tab w:val="left" w:pos="1800"/>
        </w:tabs>
        <w:ind w:hanging="1166"/>
        <w:rPr>
          <w:lang w:val="fr-CA"/>
        </w:rPr>
      </w:pPr>
      <w:r w:rsidRPr="00B07B13">
        <w:rPr>
          <w:lang w:val="fr-CA"/>
        </w:rPr>
        <w:tab/>
      </w:r>
      <w:r w:rsidR="0078404F">
        <w:rPr>
          <w:lang w:val="fr-CA"/>
        </w:rPr>
        <w:tab/>
      </w:r>
      <w:r w:rsidRPr="00B07B13">
        <w:rPr>
          <w:lang w:val="fr-CA"/>
        </w:rPr>
        <w:t>Il ne s’agit pas non plus d’une question qui revêt une importance capitale pour le système juridique dans son ensemble. La question en litige concerne l’interprétation de l’art. 120.1 de la [</w:t>
      </w:r>
      <w:r w:rsidRPr="00B07B13">
        <w:rPr>
          <w:i/>
          <w:lang w:val="fr-CA"/>
        </w:rPr>
        <w:t>Loi sur les transports au Canada</w:t>
      </w:r>
      <w:r w:rsidRPr="00B07B13">
        <w:rPr>
          <w:lang w:val="fr-CA"/>
        </w:rPr>
        <w:t>, L.C. 1996, c. 10 (« </w:t>
      </w:r>
      <w:r w:rsidRPr="00B07B13">
        <w:rPr>
          <w:i/>
          <w:lang w:val="fr-CA"/>
        </w:rPr>
        <w:t>LTC</w:t>
      </w:r>
      <w:r w:rsidRPr="00B07B13">
        <w:rPr>
          <w:lang w:val="fr-CA"/>
        </w:rPr>
        <w:t xml:space="preserve"> »)]. La question est propre à ce régime de réglementation particulier, car elle met en cause des contrats confidentiels prévus par la </w:t>
      </w:r>
      <w:r w:rsidRPr="00B07B13">
        <w:rPr>
          <w:i/>
          <w:lang w:val="fr-CA"/>
        </w:rPr>
        <w:t>LTC</w:t>
      </w:r>
      <w:r w:rsidRPr="00B07B13">
        <w:rPr>
          <w:lang w:val="fr-CA"/>
        </w:rPr>
        <w:t xml:space="preserve"> ainsi que la possibilité de recourir à un mécanisme de plaintes qui se limite aux expéditeurs répondant aux conditions que prévoit le par. 120.1(1). La réponse qui est donnée à la question en litige n’a valeur de précédent que pour les questions relevant de ce régime législatif.</w:t>
      </w:r>
    </w:p>
    <w:p w:rsidR="00FA3C70" w:rsidRPr="00B07B13" w:rsidRDefault="00FA3C70" w:rsidP="00B3618F">
      <w:pPr>
        <w:pStyle w:val="ContinueParaSuitedupar-AltP"/>
        <w:widowControl w:val="0"/>
        <w:rPr>
          <w:rFonts w:cs="Times New Roman"/>
          <w:lang w:val="fr-CA"/>
        </w:rPr>
      </w:pPr>
      <w:r w:rsidRPr="00B07B13">
        <w:rPr>
          <w:rFonts w:cs="Times New Roman"/>
          <w:lang w:val="fr-CA"/>
        </w:rPr>
        <w:t xml:space="preserve">À l’inverse, lorsque, comme en l’espèce, la question </w:t>
      </w:r>
      <w:r w:rsidRPr="00B07B13">
        <w:rPr>
          <w:rFonts w:cs="Times New Roman"/>
          <w:i/>
          <w:lang w:val="fr-CA"/>
        </w:rPr>
        <w:t>a</w:t>
      </w:r>
      <w:r w:rsidRPr="00B07B13">
        <w:rPr>
          <w:rFonts w:cs="Times New Roman"/>
          <w:lang w:val="fr-CA"/>
        </w:rPr>
        <w:t xml:space="preserve"> de grandes répercussions sur d’autres régimes législatifs, la norme de contrôle applicable est celle de la décision correcte.</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De plus, rien n’indique que la Commissaire est dotée d’une expertise particulière qui la rend apte à se prononcer sur le secret professionnel de l’avocat, cette question ayant toujours relevé des cours de justice (voir </w:t>
      </w:r>
      <w:r w:rsidRPr="00B07B13">
        <w:rPr>
          <w:rFonts w:cs="Times New Roman"/>
          <w:i/>
          <w:lang w:val="fr-CA"/>
        </w:rPr>
        <w:t>Legal Services Society c. British Columbia (Information and Privacy Commissioner)</w:t>
      </w:r>
      <w:r w:rsidRPr="00B07B13">
        <w:rPr>
          <w:rFonts w:cs="Times New Roman"/>
          <w:lang w:val="fr-CA"/>
        </w:rPr>
        <w:t>, 2003 BCCA 278, 226 D.L.R. (4th) 20, par. 25). La norme de contrôle applicable est donc celle de la décision correcte (</w:t>
      </w:r>
      <w:r w:rsidRPr="00B07B13">
        <w:rPr>
          <w:rFonts w:cs="Times New Roman"/>
          <w:i/>
          <w:lang w:val="fr-CA"/>
        </w:rPr>
        <w:t>Dunsmuir c. Nouveau</w:t>
      </w:r>
      <w:r w:rsidRPr="00B07B13">
        <w:rPr>
          <w:rFonts w:cs="Times New Roman"/>
          <w:i/>
          <w:lang w:val="fr-CA"/>
        </w:rPr>
        <w:noBreakHyphen/>
        <w:t>Brunswick</w:t>
      </w:r>
      <w:r w:rsidRPr="00B07B13">
        <w:rPr>
          <w:rFonts w:cs="Times New Roman"/>
          <w:lang w:val="fr-CA"/>
        </w:rPr>
        <w:t xml:space="preserve">, 2008 CSC 9, [2008] 1 R.C.S. 190, par. 60) en ce qui a trait tant à (i) la décision de la Commissaire selon laquelle elle possède le </w:t>
      </w:r>
      <w:r w:rsidRPr="00B07B13">
        <w:rPr>
          <w:rFonts w:cs="Times New Roman"/>
          <w:lang w:val="fr-CA"/>
        </w:rPr>
        <w:lastRenderedPageBreak/>
        <w:t xml:space="preserve">pouvoir d’exiger la production des documents à l’égard desquels le secret professionnel de l’avocat est invoqué qu’à (ii) celle de donner un avis enjoignant à son destinataire de produire des documents. </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Ma collègue la juge Abella est d’un avis différent. À partir de six arrêts dans lesquels la Cour statue sur la décision d’un commissaire à l’information et à la protection de la vie privée d’ordonner ou non la communication, elle suggère que le « cheminement clair » de la jurisprudence commande que la norme de contrôle soit en l’espèce celle de la décision raisonnable. Soit dit en tout respect, je ne peux être d’accord. </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Des six arrêts invoqués, seulement deux font mention du secret professionnel de l’avocat. L’un d’eux est </w:t>
      </w:r>
      <w:r w:rsidRPr="00B07B13">
        <w:rPr>
          <w:rFonts w:cs="Times New Roman"/>
          <w:i/>
          <w:lang w:val="fr-CA"/>
        </w:rPr>
        <w:t>Blood Tribe</w:t>
      </w:r>
      <w:r w:rsidRPr="00B07B13">
        <w:rPr>
          <w:rFonts w:cs="Times New Roman"/>
          <w:lang w:val="fr-CA"/>
        </w:rPr>
        <w:t xml:space="preserve">, où le juge Binnie revoit la décision contestée selon la norme de la décision correcte, même s’il ne le mentionne pas expressément. L’autre est </w:t>
      </w:r>
      <w:r w:rsidRPr="00B07B13">
        <w:rPr>
          <w:rFonts w:cs="Times New Roman"/>
          <w:i/>
          <w:lang w:val="fr-CA"/>
        </w:rPr>
        <w:t>Ontario (Sûreté et Sécurité publique) c.</w:t>
      </w:r>
      <w:r w:rsidRPr="00B07B13">
        <w:rPr>
          <w:rFonts w:cs="Times New Roman"/>
          <w:lang w:val="fr-CA"/>
        </w:rPr>
        <w:t xml:space="preserve"> </w:t>
      </w:r>
      <w:r w:rsidRPr="00B07B13">
        <w:rPr>
          <w:rFonts w:cs="Times New Roman"/>
          <w:i/>
          <w:lang w:val="fr-CA"/>
        </w:rPr>
        <w:t>Criminal Lawyers’ Association</w:t>
      </w:r>
      <w:r w:rsidRPr="00B07B13">
        <w:rPr>
          <w:rFonts w:cs="Times New Roman"/>
          <w:lang w:val="fr-CA"/>
        </w:rPr>
        <w:t>, 2010 CSC 23, [2010] 1 R.C.S. 815, dans lequel la Cour tranche la question secondaire de savoir si le commissaire adjoint a bien exercé son pouvoir discrétionnaire en application d’une disposition qui l’autorise explicitement à soustraire à la communication un document protégé par le secret professionnel de l’avocat. C’est tout. La réponse de la Cour à la question a peu de répercussions sur le principe du secret professionnel de l’avocat et sur son application au</w:t>
      </w:r>
      <w:r w:rsidRPr="00B07B13">
        <w:rPr>
          <w:rFonts w:cs="Times New Roman"/>
          <w:lang w:val="fr-CA"/>
        </w:rPr>
        <w:noBreakHyphen/>
        <w:t>delà de l’exercice du pouvoir discrétionnaire considéré dans cette affaire.</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La question est différente en l’espèce. Il s’agit de savoir non seulement si </w:t>
      </w:r>
      <w:r w:rsidRPr="00B07B13">
        <w:rPr>
          <w:rFonts w:cs="Times New Roman"/>
          <w:lang w:val="fr-CA"/>
        </w:rPr>
        <w:lastRenderedPageBreak/>
        <w:t>la Commissaire a bien exercé son pouvoir discrétionnaire, mais également si le libellé [</w:t>
      </w:r>
      <w:r w:rsidRPr="00B07B13">
        <w:rPr>
          <w:rFonts w:cs="Times New Roman"/>
          <w:smallCaps/>
          <w:lang w:val="fr-CA"/>
        </w:rPr>
        <w:t>traduction</w:t>
      </w:r>
      <w:r w:rsidRPr="00B07B13">
        <w:rPr>
          <w:rFonts w:cs="Times New Roman"/>
          <w:lang w:val="fr-CA"/>
        </w:rPr>
        <w:t xml:space="preserve">] « privilège que reconnaît le droit de la preuve » suffit pour englober les attributs du secret professionnel de l’avocat qui relèvent du droit substantiel. Force est donc d’analyser les caractéristiques de chacune des composantes — règle de fond et règle de preuve — du privilège. </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On ne saurait trop insister sur l’importance du secret professionnel de l’avocat dans le fonctionnement du système juridique canadien. Il s’agit d’un privilège légal voué à la protection de rapports qui revêtent une importance capitale pour le système de justice dans son ensemble. Dans </w:t>
      </w:r>
      <w:r w:rsidRPr="00B07B13">
        <w:rPr>
          <w:rFonts w:cs="Times New Roman"/>
          <w:i/>
          <w:lang w:val="fr-CA"/>
        </w:rPr>
        <w:t>R. c. Gruenke</w:t>
      </w:r>
      <w:r w:rsidRPr="00B07B13">
        <w:rPr>
          <w:rFonts w:cs="Times New Roman"/>
          <w:lang w:val="fr-CA"/>
        </w:rPr>
        <w:t>, [1991] 3 R.C.S. 263, le juge en chef Lamer précise comme suit sa raison d’être :</w:t>
      </w:r>
    </w:p>
    <w:p w:rsidR="00FA3C70" w:rsidRPr="00B07B13" w:rsidRDefault="00FA3C70" w:rsidP="00B3618F">
      <w:pPr>
        <w:pStyle w:val="Citation-AltC"/>
        <w:widowControl w:val="0"/>
        <w:ind w:hanging="1166"/>
        <w:rPr>
          <w:lang w:val="fr-CA"/>
        </w:rPr>
      </w:pPr>
      <w:r w:rsidRPr="00B07B13">
        <w:rPr>
          <w:lang w:val="fr-CA"/>
        </w:rPr>
        <w:tab/>
        <w:t xml:space="preserve">La protection à première vue des communications entre l’avocat et son client est fondée sur le fait que les rapports et </w:t>
      </w:r>
      <w:r w:rsidRPr="00B07B13">
        <w:rPr>
          <w:u w:val="single"/>
          <w:lang w:val="fr-CA"/>
        </w:rPr>
        <w:t>les communications entre l’avocat et son client sont essentiels au bon fonctionnement du système juridique</w:t>
      </w:r>
      <w:r w:rsidRPr="0078404F">
        <w:rPr>
          <w:lang w:val="fr-CA"/>
        </w:rPr>
        <w:t>.</w:t>
      </w:r>
      <w:r w:rsidRPr="00641832">
        <w:rPr>
          <w:lang w:val="fr-CA"/>
        </w:rPr>
        <w:t xml:space="preserve"> Pareilles communications </w:t>
      </w:r>
      <w:r w:rsidRPr="00B07B13">
        <w:rPr>
          <w:u w:val="single"/>
          <w:lang w:val="fr-CA"/>
        </w:rPr>
        <w:t>sont inextricablement liées au système même qui veut que la communication soit divulguée</w:t>
      </w:r>
      <w:r w:rsidR="0078404F">
        <w:rPr>
          <w:lang w:val="fr-CA"/>
        </w:rPr>
        <w:t xml:space="preserve"> </w:t>
      </w:r>
      <w:r w:rsidRPr="00B07B13">
        <w:rPr>
          <w:lang w:val="fr-CA"/>
        </w:rPr>
        <w:t>.</w:t>
      </w:r>
      <w:r w:rsidR="0078404F">
        <w:rPr>
          <w:lang w:val="fr-CA"/>
        </w:rPr>
        <w:t xml:space="preserve"> . .</w:t>
      </w:r>
      <w:r w:rsidRPr="00B07B13">
        <w:rPr>
          <w:lang w:val="fr-CA"/>
        </w:rPr>
        <w:t xml:space="preserve"> [Je souligne; p. 289.]</w:t>
      </w:r>
    </w:p>
    <w:p w:rsidR="00FA3C70" w:rsidRPr="00B07B13" w:rsidRDefault="00FA3C70" w:rsidP="00B3618F">
      <w:pPr>
        <w:pStyle w:val="ParaNoNdepar-AltN"/>
        <w:widowControl w:val="0"/>
        <w:rPr>
          <w:rFonts w:cs="Times New Roman"/>
          <w:lang w:val="fr-CA"/>
        </w:rPr>
      </w:pPr>
      <w:r w:rsidRPr="00B07B13">
        <w:rPr>
          <w:rFonts w:cs="Times New Roman"/>
          <w:lang w:val="fr-CA"/>
        </w:rPr>
        <w:t>Ayant décidé que la norme de contrôle applicable est celle de la décision correcte, je l’applique maintenant à la décision en cause.</w:t>
      </w:r>
    </w:p>
    <w:p w:rsidR="00FA3C70" w:rsidRPr="00B07B13" w:rsidRDefault="00FA3C70" w:rsidP="00B3618F">
      <w:pPr>
        <w:pStyle w:val="Title2LevelTitre2Niveau"/>
        <w:widowControl w:val="0"/>
        <w:numPr>
          <w:ilvl w:val="0"/>
          <w:numId w:val="24"/>
        </w:numPr>
        <w:ind w:hanging="720"/>
        <w:rPr>
          <w:rFonts w:cs="Times New Roman"/>
        </w:rPr>
      </w:pPr>
      <w:bookmarkStart w:id="4" w:name="_Toc451080180"/>
      <w:r w:rsidRPr="00B07B13">
        <w:rPr>
          <w:rFonts w:cs="Times New Roman"/>
        </w:rPr>
        <w:t>Principes d’interprétation</w:t>
      </w:r>
      <w:bookmarkEnd w:id="4"/>
      <w:r w:rsidRPr="00B07B13">
        <w:rPr>
          <w:rFonts w:cs="Times New Roman"/>
        </w:rPr>
        <w:t xml:space="preserve"> législative</w:t>
      </w:r>
    </w:p>
    <w:p w:rsidR="00FA3C70" w:rsidRPr="00B07B13" w:rsidRDefault="00FA3C70" w:rsidP="00B3618F">
      <w:pPr>
        <w:pStyle w:val="ParaNoNdepar-AltN"/>
        <w:widowControl w:val="0"/>
        <w:spacing w:before="240"/>
        <w:rPr>
          <w:rFonts w:cs="Times New Roman"/>
          <w:lang w:val="fr-CA"/>
        </w:rPr>
      </w:pPr>
      <w:r w:rsidRPr="00B07B13">
        <w:rPr>
          <w:rFonts w:cs="Times New Roman"/>
          <w:lang w:val="fr-CA"/>
        </w:rPr>
        <w:t xml:space="preserve">Si le secret professionnel de l’avocat constitue un principe fondamental du droit, la disposition législative dont l’objet est de le supprimer, de l’écarter ou d’y porter </w:t>
      </w:r>
      <w:r w:rsidRPr="00B07B13">
        <w:rPr>
          <w:rFonts w:cs="Times New Roman"/>
          <w:lang w:val="fr-CA"/>
        </w:rPr>
        <w:lastRenderedPageBreak/>
        <w:t>atteinte doit être interprétée de manière restrictive et l’intention du législateur doit y être claire et non équivoque. Le privilège ne peut être écarté par inférence (</w:t>
      </w:r>
      <w:r w:rsidRPr="00B07B13">
        <w:rPr>
          <w:rFonts w:cs="Times New Roman"/>
          <w:i/>
          <w:lang w:val="fr-CA"/>
        </w:rPr>
        <w:t>Blood Tribe</w:t>
      </w:r>
      <w:r w:rsidRPr="00B07B13">
        <w:rPr>
          <w:rFonts w:cs="Times New Roman"/>
          <w:lang w:val="fr-CA"/>
        </w:rPr>
        <w:t xml:space="preserve">, par. 11; </w:t>
      </w:r>
      <w:r w:rsidRPr="00B07B13">
        <w:rPr>
          <w:rFonts w:cs="Times New Roman"/>
          <w:i/>
          <w:lang w:val="fr-CA"/>
        </w:rPr>
        <w:t>Pritchard c. Ontario (Commission des droits de la personne)</w:t>
      </w:r>
      <w:r w:rsidRPr="00B07B13">
        <w:rPr>
          <w:rFonts w:cs="Times New Roman"/>
          <w:lang w:val="fr-CA"/>
        </w:rPr>
        <w:t>, 2004 CSC 31, [2004] 1 R</w:t>
      </w:r>
      <w:r w:rsidR="007A441D">
        <w:rPr>
          <w:rFonts w:cs="Times New Roman"/>
          <w:lang w:val="fr-CA"/>
        </w:rPr>
        <w:t>.</w:t>
      </w:r>
      <w:r w:rsidRPr="00B07B13">
        <w:rPr>
          <w:rFonts w:cs="Times New Roman"/>
          <w:lang w:val="fr-CA"/>
        </w:rPr>
        <w:t>C</w:t>
      </w:r>
      <w:r w:rsidR="007A441D">
        <w:rPr>
          <w:rFonts w:cs="Times New Roman"/>
          <w:lang w:val="fr-CA"/>
        </w:rPr>
        <w:t>.</w:t>
      </w:r>
      <w:r w:rsidRPr="00B07B13">
        <w:rPr>
          <w:rFonts w:cs="Times New Roman"/>
          <w:lang w:val="fr-CA"/>
        </w:rPr>
        <w:t>S</w:t>
      </w:r>
      <w:r w:rsidR="007A441D">
        <w:rPr>
          <w:rFonts w:cs="Times New Roman"/>
          <w:lang w:val="fr-CA"/>
        </w:rPr>
        <w:t>.</w:t>
      </w:r>
      <w:r w:rsidRPr="00B07B13">
        <w:rPr>
          <w:rFonts w:cs="Times New Roman"/>
          <w:lang w:val="fr-CA"/>
        </w:rPr>
        <w:t xml:space="preserve"> 809, par. 33; </w:t>
      </w:r>
      <w:r w:rsidRPr="00B07B13">
        <w:rPr>
          <w:rFonts w:cs="Times New Roman"/>
          <w:i/>
          <w:lang w:val="fr-CA"/>
        </w:rPr>
        <w:t>Lavallee</w:t>
      </w:r>
      <w:r w:rsidRPr="00B07B13">
        <w:rPr>
          <w:rFonts w:cs="Times New Roman"/>
          <w:lang w:val="fr-CA"/>
        </w:rPr>
        <w:t xml:space="preserve">, par. 18). Comme le dit la Cour dans l’arrêt </w:t>
      </w:r>
      <w:r w:rsidRPr="00B07B13">
        <w:rPr>
          <w:rFonts w:cs="Times New Roman"/>
          <w:i/>
          <w:lang w:val="fr-CA"/>
        </w:rPr>
        <w:t>Thompson</w:t>
      </w:r>
      <w:r w:rsidRPr="00B07B13">
        <w:rPr>
          <w:rFonts w:cs="Times New Roman"/>
          <w:lang w:val="fr-CA"/>
        </w:rPr>
        <w:t> :</w:t>
      </w:r>
    </w:p>
    <w:p w:rsidR="00FA3C70" w:rsidRPr="00B07B13" w:rsidRDefault="00FA3C70" w:rsidP="00B3618F">
      <w:pPr>
        <w:pStyle w:val="Citation-AltC"/>
        <w:widowControl w:val="0"/>
        <w:ind w:hanging="1166"/>
        <w:contextualSpacing w:val="0"/>
        <w:rPr>
          <w:lang w:val="fr-CA"/>
        </w:rPr>
      </w:pPr>
      <w:r w:rsidRPr="00B07B13">
        <w:rPr>
          <w:lang w:val="fr-CA"/>
        </w:rPr>
        <w:tab/>
      </w:r>
      <w:r w:rsidR="0078404F">
        <w:rPr>
          <w:lang w:val="fr-CA"/>
        </w:rPr>
        <w:tab/>
      </w:r>
      <w:r w:rsidRPr="00B07B13">
        <w:rPr>
          <w:lang w:val="fr-CA"/>
        </w:rPr>
        <w:t>. . . u</w:t>
      </w:r>
      <w:r w:rsidRPr="00B07B13">
        <w:rPr>
          <w:lang w:val="fr-FR"/>
        </w:rPr>
        <w:t>n tribunal ne peut conclure du libellé d’une disposition législative que le secret professionnel de l’avocat est supprimé à l’égard de certains renseignements que si ce libellé révèle l’intention claire du législateur d’arriver à ce résultat. Une telle intention ne peut simplement être inférée de la nature du régime législatif ou de son historique, bien que ceux</w:t>
      </w:r>
      <w:r w:rsidRPr="00B07B13">
        <w:rPr>
          <w:lang w:val="fr-FR"/>
        </w:rPr>
        <w:noBreakHyphen/>
        <w:t>ci puissent offrir un contexte à l’appui lorsque le texte de la disposition est déjà suffisamment clair. Cependant, lorsque la disposition n’est pas claire, il ne faut pas considérer qu’elle vise à soustraire à la protection du secret professionnel de l’avocat des communications ou des documents qui en bénéficieraient normalement</w:t>
      </w:r>
      <w:r w:rsidRPr="00B07B13">
        <w:rPr>
          <w:lang w:val="fr-CA"/>
        </w:rPr>
        <w:t>. [par. 25]</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J’ajoute qu’une telle exigence ne constitue pas un abandon de la méthode moderne d’interprétation des lois. En effet, l’arrêt </w:t>
      </w:r>
      <w:r w:rsidRPr="00B07B13">
        <w:rPr>
          <w:rFonts w:cs="Times New Roman"/>
          <w:i/>
          <w:lang w:val="fr-CA"/>
        </w:rPr>
        <w:t>Blood Tribe</w:t>
      </w:r>
      <w:r w:rsidRPr="00B07B13">
        <w:rPr>
          <w:rFonts w:cs="Times New Roman"/>
          <w:lang w:val="fr-CA"/>
        </w:rPr>
        <w:t xml:space="preserve"> n’empêche pas, à mon sens, de recourir à cette méthode à l’égard de termes censés supprimer un privilège. L’analyse à laquelle se livre la Cour dans </w:t>
      </w:r>
      <w:r w:rsidRPr="00B07B13">
        <w:rPr>
          <w:rFonts w:cs="Times New Roman"/>
          <w:i/>
          <w:lang w:val="fr-CA"/>
        </w:rPr>
        <w:t>Blood Tribe</w:t>
      </w:r>
      <w:r w:rsidRPr="00B07B13">
        <w:rPr>
          <w:rFonts w:cs="Times New Roman"/>
          <w:lang w:val="fr-CA"/>
        </w:rPr>
        <w:t xml:space="preserve"> n’appuie pas l’adhésion à une interprétation stricte, mais traduit essentiellement le recours à la méthode moderne pour se prononcer sur le secret professionnel de l’avocat, dans la mesure où cette méthode reconnaît le respect des valeurs fondamentales par le législateur. La Cour s’en remet à la méthode moderne dans </w:t>
      </w:r>
      <w:r w:rsidRPr="00B07B13">
        <w:rPr>
          <w:rFonts w:cs="Times New Roman"/>
          <w:i/>
          <w:lang w:val="fr-CA"/>
        </w:rPr>
        <w:t>Thompson</w:t>
      </w:r>
      <w:r w:rsidRPr="00B07B13">
        <w:rPr>
          <w:rFonts w:cs="Times New Roman"/>
          <w:lang w:val="fr-CA"/>
        </w:rPr>
        <w:t>, et c’est la démarche que j’adopte en l’espèce. La Cour ne renoue donc pas avec la règle du sens ordinaire, ni n’abandonne la méthode moderne.</w:t>
      </w:r>
    </w:p>
    <w:p w:rsidR="00FA3C70" w:rsidRPr="00B07B13" w:rsidRDefault="00FA3C70" w:rsidP="00B3618F">
      <w:pPr>
        <w:pStyle w:val="Title2LevelTitre2Niveau"/>
        <w:widowControl w:val="0"/>
        <w:numPr>
          <w:ilvl w:val="0"/>
          <w:numId w:val="24"/>
        </w:numPr>
        <w:ind w:hanging="720"/>
        <w:rPr>
          <w:rFonts w:cs="Times New Roman"/>
          <w:lang w:val="en-US"/>
        </w:rPr>
      </w:pPr>
      <w:r w:rsidRPr="00B07B13">
        <w:rPr>
          <w:rFonts w:cs="Times New Roman"/>
          <w:lang w:val="en-US"/>
        </w:rPr>
        <w:lastRenderedPageBreak/>
        <w:t>La Freedom of Information and Protection of Privacy Act</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L’accès à l’information constitue un élément important d’une société démocratique moderne. Comme le dit la Cour dans </w:t>
      </w:r>
      <w:r w:rsidRPr="00B07B13">
        <w:rPr>
          <w:rFonts w:cs="Times New Roman"/>
          <w:i/>
          <w:lang w:val="fr-CA"/>
        </w:rPr>
        <w:t>Criminal Lawyers’ Association</w:t>
      </w:r>
      <w:r w:rsidRPr="00B07B13">
        <w:rPr>
          <w:rFonts w:cs="Times New Roman"/>
          <w:lang w:val="fr-CA"/>
        </w:rPr>
        <w:t> :</w:t>
      </w:r>
    </w:p>
    <w:p w:rsidR="00FA3C70" w:rsidRPr="00B07B13" w:rsidRDefault="00FA3C70" w:rsidP="00B3618F">
      <w:pPr>
        <w:pStyle w:val="Citation-AltC"/>
        <w:widowControl w:val="0"/>
        <w:tabs>
          <w:tab w:val="left" w:pos="1800"/>
        </w:tabs>
        <w:ind w:hanging="1166"/>
        <w:contextualSpacing w:val="0"/>
        <w:rPr>
          <w:lang w:val="fr-CA"/>
        </w:rPr>
      </w:pPr>
      <w:r w:rsidRPr="00B07B13">
        <w:rPr>
          <w:lang w:val="fr-CA"/>
        </w:rPr>
        <w:tab/>
      </w:r>
      <w:r w:rsidRPr="00B07B13">
        <w:rPr>
          <w:lang w:val="fr-CA"/>
        </w:rPr>
        <w:tab/>
      </w:r>
      <w:r w:rsidRPr="00B07B13">
        <w:rPr>
          <w:lang w:val="fr-FR"/>
        </w:rPr>
        <w:t>L’accès à l’information détenue par les institutions publiques peut accroître la transparence du gouvernement, aider le public à se former une opinion éclairée et favoriser une société ouverte et démocratique. Certains renseignements détenus par ces institutions doivent toutefois être protégés pour empêcher une atteinte à ces mêmes principes et promouvoir une bonne gouvernance</w:t>
      </w:r>
      <w:r w:rsidRPr="00B07B13">
        <w:rPr>
          <w:lang w:val="fr-CA"/>
        </w:rPr>
        <w:t>. [par. 1]</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L’un des objets de la </w:t>
      </w:r>
      <w:r w:rsidRPr="00B07B13">
        <w:rPr>
          <w:rFonts w:cs="Times New Roman"/>
          <w:i/>
          <w:lang w:val="fr-CA"/>
        </w:rPr>
        <w:t xml:space="preserve">FOIPP </w:t>
      </w:r>
      <w:r w:rsidRPr="00B07B13">
        <w:rPr>
          <w:rFonts w:cs="Times New Roman"/>
          <w:lang w:val="fr-CA"/>
        </w:rPr>
        <w:t>est [</w:t>
      </w:r>
      <w:r w:rsidRPr="00B07B13">
        <w:rPr>
          <w:rFonts w:cs="Times New Roman"/>
          <w:smallCaps/>
          <w:lang w:val="fr-CA"/>
        </w:rPr>
        <w:t>traduction</w:t>
      </w:r>
      <w:r w:rsidRPr="00B07B13">
        <w:rPr>
          <w:rFonts w:cs="Times New Roman"/>
          <w:lang w:val="fr-CA"/>
        </w:rPr>
        <w:t>] « </w:t>
      </w:r>
      <w:r w:rsidR="0078404F" w:rsidRPr="00B07B13">
        <w:rPr>
          <w:rFonts w:cs="Times New Roman"/>
          <w:lang w:val="fr-CA"/>
        </w:rPr>
        <w:t>d’</w:t>
      </w:r>
      <w:r w:rsidRPr="00B07B13">
        <w:rPr>
          <w:rFonts w:cs="Times New Roman"/>
          <w:lang w:val="fr-CA"/>
        </w:rPr>
        <w:t>accorder au citoyen, sous réserve de certaines exceptions précises prévues dans la présente loi, un droit d’accès aux renseignements personnels le concernant détenus par un organisme public » (al. 2</w:t>
      </w:r>
      <w:r w:rsidR="003B0573">
        <w:rPr>
          <w:rFonts w:cs="Times New Roman"/>
          <w:lang w:val="fr-CA"/>
        </w:rPr>
        <w:t>(</w:t>
      </w:r>
      <w:r w:rsidRPr="00B07B13">
        <w:rPr>
          <w:rFonts w:cs="Times New Roman"/>
          <w:lang w:val="fr-CA"/>
        </w:rPr>
        <w:t>c)). Il appert de ce libellé que la loi n’octroie pas un accès illimité aux documents; les demandes d’accès peuvent se heurter à certaines exceptions.</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La </w:t>
      </w:r>
      <w:r w:rsidRPr="00B07B13">
        <w:rPr>
          <w:rFonts w:cs="Times New Roman"/>
          <w:i/>
          <w:lang w:val="fr-CA"/>
        </w:rPr>
        <w:t>FOIPP</w:t>
      </w:r>
      <w:r w:rsidRPr="00B07B13">
        <w:rPr>
          <w:rFonts w:cs="Times New Roman"/>
          <w:lang w:val="fr-CA"/>
        </w:rPr>
        <w:t xml:space="preserve"> établit également une procédure pour mener [</w:t>
      </w:r>
      <w:r w:rsidRPr="00B07B13">
        <w:rPr>
          <w:rFonts w:cs="Times New Roman"/>
          <w:smallCaps/>
          <w:lang w:val="fr-CA"/>
        </w:rPr>
        <w:t>traduction</w:t>
      </w:r>
      <w:r w:rsidRPr="00B07B13">
        <w:rPr>
          <w:rFonts w:cs="Times New Roman"/>
          <w:lang w:val="fr-CA"/>
        </w:rPr>
        <w:t>] « des révisions indépendantes de décisions rendues par des organismes publics en vertu de la présente loi et pour le règlement des plaintes formulées au titre de la présente loi » (al. 2</w:t>
      </w:r>
      <w:r w:rsidR="003B0573">
        <w:rPr>
          <w:rFonts w:cs="Times New Roman"/>
          <w:lang w:val="fr-CA"/>
        </w:rPr>
        <w:t>(</w:t>
      </w:r>
      <w:r w:rsidRPr="00B07B13">
        <w:rPr>
          <w:rFonts w:cs="Times New Roman"/>
          <w:lang w:val="fr-CA"/>
        </w:rPr>
        <w:t xml:space="preserve">e)). À cet égard, la personne qui sollicite l’accès à un document « peut demander au commissaire de réviser toute décision, action ou omission » du responsable de l’organisme public en cause se rapportant à sa demande d’accès (par. 65(1)). Au nombre des attributions du commissaire, mentionnons la tenue d’enquêtes pour assurer le respect de la </w:t>
      </w:r>
      <w:r w:rsidRPr="00B07B13">
        <w:rPr>
          <w:rFonts w:cs="Times New Roman"/>
          <w:i/>
          <w:lang w:val="fr-CA"/>
        </w:rPr>
        <w:t>FOIPP</w:t>
      </w:r>
      <w:r w:rsidRPr="00B07B13">
        <w:rPr>
          <w:rFonts w:cs="Times New Roman"/>
          <w:lang w:val="fr-CA"/>
        </w:rPr>
        <w:t xml:space="preserve"> (al. 53(1)</w:t>
      </w:r>
      <w:r w:rsidR="003B0573">
        <w:rPr>
          <w:rFonts w:cs="Times New Roman"/>
          <w:lang w:val="fr-CA"/>
        </w:rPr>
        <w:t>(</w:t>
      </w:r>
      <w:r w:rsidRPr="00B07B13">
        <w:rPr>
          <w:rFonts w:cs="Times New Roman"/>
          <w:lang w:val="fr-CA"/>
        </w:rPr>
        <w:t xml:space="preserve">a)) et pour donner suite à des demandes de révision </w:t>
      </w:r>
      <w:r w:rsidRPr="00B07B13">
        <w:rPr>
          <w:rFonts w:cs="Times New Roman"/>
          <w:lang w:val="fr-CA"/>
        </w:rPr>
        <w:lastRenderedPageBreak/>
        <w:t>(par. 69(1)).</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La disposition visée par le présent pourvoi est le par. 56(3) de la </w:t>
      </w:r>
      <w:r w:rsidRPr="00B07B13">
        <w:rPr>
          <w:rFonts w:cs="Times New Roman"/>
          <w:i/>
          <w:lang w:val="fr-CA"/>
        </w:rPr>
        <w:t>FOIPP. </w:t>
      </w:r>
      <w:r w:rsidRPr="00B07B13">
        <w:rPr>
          <w:rFonts w:cs="Times New Roman"/>
          <w:lang w:val="fr-CA"/>
        </w:rPr>
        <w:t>L’article 56 est libellé comme suit :</w:t>
      </w:r>
    </w:p>
    <w:p w:rsidR="00FA3C70" w:rsidRPr="00B07B13" w:rsidRDefault="00FA3C70" w:rsidP="00B3618F">
      <w:pPr>
        <w:pStyle w:val="Citation-AltC"/>
        <w:widowControl w:val="0"/>
        <w:spacing w:after="240"/>
        <w:ind w:hanging="1166"/>
        <w:contextualSpacing w:val="0"/>
        <w:rPr>
          <w:lang w:val="fr-CA"/>
        </w:rPr>
      </w:pPr>
      <w:r w:rsidRPr="00B07B13">
        <w:rPr>
          <w:lang w:val="fr-CA"/>
        </w:rPr>
        <w:tab/>
        <w:t>[</w:t>
      </w:r>
      <w:r w:rsidRPr="00B07B13">
        <w:rPr>
          <w:smallCaps/>
          <w:lang w:val="fr-CA"/>
        </w:rPr>
        <w:t>traduction</w:t>
      </w:r>
      <w:r w:rsidRPr="00B07B13">
        <w:rPr>
          <w:lang w:val="fr-CA"/>
        </w:rPr>
        <w:t xml:space="preserve">] </w:t>
      </w:r>
      <w:r w:rsidRPr="00B07B13">
        <w:rPr>
          <w:b/>
          <w:lang w:val="fr-CA"/>
        </w:rPr>
        <w:t>56(1)</w:t>
      </w:r>
      <w:r w:rsidRPr="00B07B13">
        <w:rPr>
          <w:lang w:val="fr-CA"/>
        </w:rPr>
        <w:t xml:space="preserve"> Lorsqu’il mène une enquête au titre de l’alinéa 53(1)</w:t>
      </w:r>
      <w:r w:rsidR="003B0573">
        <w:rPr>
          <w:lang w:val="fr-CA"/>
        </w:rPr>
        <w:t>(</w:t>
      </w:r>
      <w:r w:rsidRPr="00B07B13">
        <w:rPr>
          <w:lang w:val="fr-CA"/>
        </w:rPr>
        <w:t xml:space="preserve">a) ou des articles 69 ou 74.5 ou qu’il donne des conseils ou fait des recommandations au titre de l’article 54, le commissaire est investi des mêmes pouvoirs, privilèges et immunités qu’un commissaire nommé en vertu de la </w:t>
      </w:r>
      <w:r w:rsidRPr="00B07B13">
        <w:rPr>
          <w:i/>
          <w:lang w:val="fr-CA"/>
        </w:rPr>
        <w:t>Public Inquiries Act</w:t>
      </w:r>
      <w:r w:rsidRPr="00B07B13">
        <w:rPr>
          <w:lang w:val="fr-CA"/>
        </w:rPr>
        <w:t>, ainsi que des pouvoirs énoncés au paragraphe (2) du présent article.</w:t>
      </w:r>
    </w:p>
    <w:p w:rsidR="00FA3C70" w:rsidRPr="00B07B13" w:rsidRDefault="00FA3C70" w:rsidP="00B3618F">
      <w:pPr>
        <w:pStyle w:val="Citation-AltC"/>
        <w:widowControl w:val="0"/>
        <w:spacing w:after="240"/>
        <w:ind w:hanging="1166"/>
        <w:contextualSpacing w:val="0"/>
        <w:rPr>
          <w:lang w:val="fr-CA"/>
        </w:rPr>
      </w:pPr>
      <w:r w:rsidRPr="00B07B13">
        <w:rPr>
          <w:lang w:val="fr-CA"/>
        </w:rPr>
        <w:tab/>
      </w:r>
      <w:r w:rsidRPr="00B07B13">
        <w:rPr>
          <w:b/>
          <w:lang w:val="fr-CA"/>
        </w:rPr>
        <w:t>(2)</w:t>
      </w:r>
      <w:r w:rsidRPr="00B07B13">
        <w:rPr>
          <w:lang w:val="fr-CA"/>
        </w:rPr>
        <w:t xml:space="preserve"> Le commissaire peut exiger la production de tout document et peut examiner les renseignements qui y sont contenus, y compris les renseignements personnels, que le document soit visé ou non par les dispositions de la présente loi.</w:t>
      </w:r>
    </w:p>
    <w:p w:rsidR="00FA3C70" w:rsidRPr="00B07B13" w:rsidRDefault="00FA3C70" w:rsidP="00B3618F">
      <w:pPr>
        <w:pStyle w:val="Citation-AltC"/>
        <w:widowControl w:val="0"/>
        <w:spacing w:after="240"/>
        <w:ind w:hanging="1166"/>
        <w:contextualSpacing w:val="0"/>
        <w:rPr>
          <w:lang w:val="fr-CA"/>
        </w:rPr>
      </w:pPr>
      <w:r w:rsidRPr="00B07B13">
        <w:rPr>
          <w:lang w:val="fr-CA"/>
        </w:rPr>
        <w:tab/>
      </w:r>
      <w:r w:rsidRPr="00B07B13">
        <w:rPr>
          <w:b/>
          <w:lang w:val="fr-CA"/>
        </w:rPr>
        <w:t>(3)</w:t>
      </w:r>
      <w:r w:rsidRPr="00B07B13">
        <w:rPr>
          <w:lang w:val="fr-CA"/>
        </w:rPr>
        <w:t xml:space="preserve"> Malgré toute autre loi ou tout privilège que reconnaît le droit de la preuve, l’organisme public produit dans les dix jours l’original ou une copie des documents exigés par le commissaire en vertu des paragraphes (1) ou (2).</w:t>
      </w:r>
    </w:p>
    <w:p w:rsidR="00FA3C70" w:rsidRPr="00B07B13" w:rsidRDefault="00FA3C70" w:rsidP="00B3618F">
      <w:pPr>
        <w:pStyle w:val="ContinueParaSuitedupar-AltP"/>
        <w:widowControl w:val="0"/>
        <w:rPr>
          <w:rFonts w:cs="Times New Roman"/>
          <w:lang w:val="fr-CA"/>
        </w:rPr>
      </w:pPr>
      <w:r w:rsidRPr="00B07B13">
        <w:rPr>
          <w:rFonts w:cs="Times New Roman"/>
          <w:lang w:val="fr-CA"/>
        </w:rPr>
        <w:t xml:space="preserve">La principale question en litige en l’espèce est celle de savoir si le par. 56(3) de la </w:t>
      </w:r>
      <w:r w:rsidRPr="00B07B13">
        <w:rPr>
          <w:rFonts w:cs="Times New Roman"/>
          <w:i/>
          <w:lang w:val="fr-CA"/>
        </w:rPr>
        <w:t>FOIPP</w:t>
      </w:r>
      <w:r w:rsidRPr="00B07B13">
        <w:rPr>
          <w:rFonts w:cs="Times New Roman"/>
          <w:lang w:val="fr-CA"/>
        </w:rPr>
        <w:t xml:space="preserve"> exige d’un organisme public qu’il produise des documents afin que le commissaire puisse se prononcer sur l’application du secret professionnel de l’avocat invoqué à leur égard. L’objet du pourvoi est donc l’obligation de l’Université de communiquer au commissaire, en vue de leur examen, des documents à l’égard desquels est invoqué le secret professionnel de l’avocat. Il ne s’agit pas de savoir si le commissaire peut ordonner que des documents protégés par le secret professionnel de l’avocat soient communiqués à l’auteur de la demande.</w:t>
      </w:r>
    </w:p>
    <w:p w:rsidR="00FA3C70" w:rsidRPr="00B07B13" w:rsidRDefault="00FA3C70" w:rsidP="00B3618F">
      <w:pPr>
        <w:pStyle w:val="Title2LevelTitre2Niveau"/>
        <w:widowControl w:val="0"/>
        <w:numPr>
          <w:ilvl w:val="0"/>
          <w:numId w:val="24"/>
        </w:numPr>
        <w:ind w:hanging="720"/>
        <w:rPr>
          <w:rFonts w:cs="Times New Roman"/>
        </w:rPr>
      </w:pPr>
      <w:r w:rsidRPr="00B07B13">
        <w:rPr>
          <w:rFonts w:cs="Times New Roman"/>
        </w:rPr>
        <w:t xml:space="preserve">Le secret </w:t>
      </w:r>
      <w:r w:rsidRPr="00B07B13">
        <w:rPr>
          <w:rFonts w:cs="Times New Roman"/>
          <w:lang w:val="en-US"/>
        </w:rPr>
        <w:t>professionnel</w:t>
      </w:r>
      <w:r w:rsidRPr="00B07B13">
        <w:rPr>
          <w:rFonts w:cs="Times New Roman"/>
        </w:rPr>
        <w:t xml:space="preserve"> de l’avocat</w:t>
      </w:r>
    </w:p>
    <w:p w:rsidR="00FA3C70" w:rsidRPr="00B07B13" w:rsidRDefault="00FA3C70" w:rsidP="00B3618F">
      <w:pPr>
        <w:pStyle w:val="ParaNoNdepar-AltN"/>
        <w:widowControl w:val="0"/>
        <w:rPr>
          <w:rFonts w:cs="Times New Roman"/>
          <w:lang w:val="fr-CA"/>
        </w:rPr>
      </w:pPr>
      <w:r w:rsidRPr="00B07B13">
        <w:rPr>
          <w:rFonts w:cs="Times New Roman"/>
          <w:lang w:val="fr-CA"/>
        </w:rPr>
        <w:lastRenderedPageBreak/>
        <w:t>Le secret professionnel de l’avocat est incontestablement essentiel au bon fonctionnement du système de justice et constitue l’une des pierres d’assise de l’accès à la justice (</w:t>
      </w:r>
      <w:r w:rsidRPr="00B07B13">
        <w:rPr>
          <w:rFonts w:cs="Times New Roman"/>
          <w:i/>
          <w:lang w:val="fr-CA"/>
        </w:rPr>
        <w:t>Blood Tribe</w:t>
      </w:r>
      <w:r w:rsidRPr="00B07B13">
        <w:rPr>
          <w:rFonts w:cs="Times New Roman"/>
          <w:lang w:val="fr-CA"/>
        </w:rPr>
        <w:t>, par. 9). L’avocat exerce la fonction unique de conseiller ses clients dans le cadre d’un système de justice complexe (</w:t>
      </w:r>
      <w:r w:rsidRPr="00B07B13">
        <w:rPr>
          <w:rFonts w:cs="Times New Roman"/>
          <w:i/>
          <w:lang w:val="fr-CA"/>
        </w:rPr>
        <w:t>McClure</w:t>
      </w:r>
      <w:r w:rsidRPr="00B07B13">
        <w:rPr>
          <w:rFonts w:cs="Times New Roman"/>
          <w:lang w:val="fr-CA"/>
        </w:rPr>
        <w:t xml:space="preserve">, par. 2). Sans garantie de confidentialité, on ne saurait être assuré qu’une personne se confiera avec honnêteté et franchise à son avocat, ce qui nuirait à la qualité des conseils juridiques (voir </w:t>
      </w:r>
      <w:r w:rsidRPr="00B07B13">
        <w:rPr>
          <w:rFonts w:cs="Times New Roman"/>
          <w:i/>
          <w:lang w:val="fr-CA"/>
        </w:rPr>
        <w:t>Smith c. Jones</w:t>
      </w:r>
      <w:r w:rsidRPr="00B07B13">
        <w:rPr>
          <w:rFonts w:cs="Times New Roman"/>
          <w:lang w:val="fr-CA"/>
        </w:rPr>
        <w:t xml:space="preserve">, [1999] 1 R.C.S. 455, par. 46). Il est donc dans l’intérêt public de protéger le secret professionnel de l’avocat. C’est pourquoi « [il] </w:t>
      </w:r>
      <w:r w:rsidRPr="00B07B13">
        <w:rPr>
          <w:rFonts w:cs="Times New Roman"/>
          <w:lang w:val="fr-FR"/>
        </w:rPr>
        <w:t>est jalousement protégé et ne doit être levé que dans les circonstances les plus exceptionnelles</w:t>
      </w:r>
      <w:r w:rsidRPr="00B07B13">
        <w:rPr>
          <w:rFonts w:cs="Times New Roman"/>
          <w:lang w:val="fr-CA"/>
        </w:rPr>
        <w:t> » (</w:t>
      </w:r>
      <w:r w:rsidRPr="00B07B13">
        <w:rPr>
          <w:rFonts w:cs="Times New Roman"/>
          <w:i/>
          <w:lang w:val="fr-CA"/>
        </w:rPr>
        <w:t>Pritchard</w:t>
      </w:r>
      <w:r w:rsidRPr="00B07B13">
        <w:rPr>
          <w:rFonts w:cs="Times New Roman"/>
          <w:lang w:val="fr-CA"/>
        </w:rPr>
        <w:t>,</w:t>
      </w:r>
      <w:r w:rsidRPr="00B07B13">
        <w:rPr>
          <w:rFonts w:cs="Times New Roman"/>
          <w:i/>
          <w:lang w:val="fr-CA"/>
        </w:rPr>
        <w:t xml:space="preserve"> </w:t>
      </w:r>
      <w:r w:rsidRPr="00B07B13">
        <w:rPr>
          <w:rFonts w:cs="Times New Roman"/>
          <w:lang w:val="fr-CA"/>
        </w:rPr>
        <w:t>par. 17).</w:t>
      </w:r>
    </w:p>
    <w:p w:rsidR="00FA3C70" w:rsidRPr="00B07B13" w:rsidRDefault="00FA3C70" w:rsidP="00B3618F">
      <w:pPr>
        <w:pStyle w:val="ParaNoNdepar-AltN"/>
        <w:widowControl w:val="0"/>
        <w:rPr>
          <w:rFonts w:cs="Times New Roman"/>
          <w:lang w:val="fr-CA"/>
        </w:rPr>
      </w:pPr>
      <w:r w:rsidRPr="00B07B13">
        <w:rPr>
          <w:rFonts w:cs="Times New Roman"/>
          <w:lang w:val="fr-CA"/>
        </w:rPr>
        <w:t>En outre, le secret professionnel de l’avocat s’applique au bénéfice du client, non de l’avocat (</w:t>
      </w:r>
      <w:r w:rsidRPr="00B07B13">
        <w:rPr>
          <w:rFonts w:cs="Times New Roman"/>
          <w:i/>
          <w:lang w:val="fr-CA"/>
        </w:rPr>
        <w:t>Canada (Procureur général) c. Chambre des notaires du Québec</w:t>
      </w:r>
      <w:r w:rsidRPr="00B07B13">
        <w:rPr>
          <w:rFonts w:cs="Times New Roman"/>
          <w:lang w:val="fr-CA"/>
        </w:rPr>
        <w:t xml:space="preserve">, 2016 CSC 20, [2016] 1 R.C.S. 336, par. 48; </w:t>
      </w:r>
      <w:r w:rsidRPr="00B07B13">
        <w:rPr>
          <w:rFonts w:cs="Times New Roman"/>
          <w:i/>
          <w:lang w:val="fr-CA"/>
        </w:rPr>
        <w:t>Blood Tribe</w:t>
      </w:r>
      <w:r w:rsidRPr="00B07B13">
        <w:rPr>
          <w:rFonts w:cs="Times New Roman"/>
          <w:lang w:val="fr-CA"/>
        </w:rPr>
        <w:t>,</w:t>
      </w:r>
      <w:r w:rsidRPr="00B07B13">
        <w:rPr>
          <w:rFonts w:cs="Times New Roman"/>
          <w:i/>
          <w:lang w:val="fr-CA"/>
        </w:rPr>
        <w:t xml:space="preserve"> </w:t>
      </w:r>
      <w:r w:rsidRPr="00B07B13">
        <w:rPr>
          <w:rFonts w:cs="Times New Roman"/>
          <w:lang w:val="fr-CA"/>
        </w:rPr>
        <w:t>par. 9). Vue avec les yeux du client, la communication forcée à un fonctionnaire constitue à elle seule une atteinte au privilège (</w:t>
      </w:r>
      <w:r w:rsidRPr="00B07B13">
        <w:rPr>
          <w:rFonts w:cs="Times New Roman"/>
          <w:i/>
          <w:lang w:val="fr-CA"/>
        </w:rPr>
        <w:t>Blood Tribe</w:t>
      </w:r>
      <w:r w:rsidRPr="00B07B13">
        <w:rPr>
          <w:rFonts w:cs="Times New Roman"/>
          <w:lang w:val="fr-CA"/>
        </w:rPr>
        <w:t>, par. 21). La communication forcée de documents au commissaire afin qu’il vérifie l’application du secret professionnel de l’avocat porte donc atteinte en soi au privilège, que le commissaire communique ou non par la suite les documents à l’auteur de la demande.</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À cet égard, il convient de signaler que le commissaire n’est pas un décideur impartial au même titre qu’une cour de justice. La </w:t>
      </w:r>
      <w:r w:rsidRPr="00B07B13">
        <w:rPr>
          <w:rFonts w:cs="Times New Roman"/>
          <w:i/>
          <w:lang w:val="fr-CA"/>
        </w:rPr>
        <w:t>FOIPP</w:t>
      </w:r>
      <w:r w:rsidRPr="00B07B13">
        <w:rPr>
          <w:rFonts w:cs="Times New Roman"/>
          <w:lang w:val="fr-CA"/>
        </w:rPr>
        <w:t xml:space="preserve"> lui attribue à la fois une fonction juridictionnelle et un pouvoir d’enquête. Contrairement à une cour de justice, le commissaire peut avoir des intérêts opposés à ceux de l’organisme public. Il </w:t>
      </w:r>
      <w:r w:rsidRPr="00B07B13">
        <w:rPr>
          <w:rFonts w:cs="Times New Roman"/>
          <w:lang w:val="fr-CA"/>
        </w:rPr>
        <w:lastRenderedPageBreak/>
        <w:t>peut traduire ce dernier en justice et devenir partie à l’instance engagée contre lui lorsqu’il refuse de communiquer de l’information. On peut dès lors conclure que la communication de l’information au commissaire constitue en soi une atteinte au secret professionnel de l’avocat.</w:t>
      </w:r>
    </w:p>
    <w:p w:rsidR="00FA3C70" w:rsidRPr="00B07B13" w:rsidRDefault="00FA3C70" w:rsidP="00B3618F">
      <w:pPr>
        <w:pStyle w:val="Title2LevelTitre2Niveau"/>
        <w:widowControl w:val="0"/>
        <w:numPr>
          <w:ilvl w:val="0"/>
          <w:numId w:val="24"/>
        </w:numPr>
        <w:ind w:hanging="720"/>
        <w:rPr>
          <w:rFonts w:cs="Times New Roman"/>
        </w:rPr>
      </w:pPr>
      <w:r w:rsidRPr="00B07B13">
        <w:rPr>
          <w:rFonts w:cs="Times New Roman"/>
        </w:rPr>
        <w:t>Application</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En l’espèce, la question centrale est celle de savoir si le par. 56(3) de la </w:t>
      </w:r>
      <w:r w:rsidRPr="00B07B13">
        <w:rPr>
          <w:rFonts w:cs="Times New Roman"/>
          <w:i/>
          <w:lang w:val="fr-CA"/>
        </w:rPr>
        <w:t>FOIPP</w:t>
      </w:r>
      <w:r w:rsidRPr="00B07B13">
        <w:rPr>
          <w:rFonts w:cs="Times New Roman"/>
          <w:lang w:val="fr-CA"/>
        </w:rPr>
        <w:t>, qui requiert d’un organisme public qu’il produise les documents demandés par la Commissaire [</w:t>
      </w:r>
      <w:r w:rsidRPr="00B07B13">
        <w:rPr>
          <w:rFonts w:cs="Times New Roman"/>
          <w:smallCaps/>
          <w:lang w:val="fr-CA"/>
        </w:rPr>
        <w:t>traduction</w:t>
      </w:r>
      <w:r w:rsidRPr="00B07B13">
        <w:rPr>
          <w:rFonts w:cs="Times New Roman"/>
          <w:lang w:val="fr-CA"/>
        </w:rPr>
        <w:t>] « [m]algré [. . .] tout privilège que reconnaît le droit de la preuve », permet à la Commissaire d’examiner les documents dont l’Université allègue qu’ils sont protégés par le secret professionnel de l’avocat. Je conclus que l’expression « tout privilège que reconnaît le droit de la preuve » n’est pas suffisamment claire et précise pour écarter le secret professionnel de l’avocat ou permettre qu’on y porte atteinte.</w:t>
      </w:r>
    </w:p>
    <w:p w:rsidR="00FA3C70" w:rsidRPr="00B07B13" w:rsidRDefault="00FA3C70" w:rsidP="00B3618F">
      <w:pPr>
        <w:pStyle w:val="Title3LevelTitre3Niveau"/>
        <w:widowControl w:val="0"/>
        <w:numPr>
          <w:ilvl w:val="0"/>
          <w:numId w:val="21"/>
        </w:numPr>
        <w:ind w:left="1440" w:hanging="720"/>
        <w:rPr>
          <w:rFonts w:cs="Times New Roman"/>
          <w:lang w:val="fr-CA"/>
        </w:rPr>
      </w:pPr>
      <w:r w:rsidRPr="00B07B13">
        <w:rPr>
          <w:rFonts w:cs="Times New Roman"/>
          <w:lang w:val="fr-CA"/>
        </w:rPr>
        <w:t>Le secret professionnel de l’avocat n’est pas seulement une règle de preuve</w:t>
      </w:r>
    </w:p>
    <w:p w:rsidR="00FA3C70" w:rsidRPr="00B07B13" w:rsidRDefault="00FA3C70" w:rsidP="00B3618F">
      <w:pPr>
        <w:pStyle w:val="ParaNoNdepar-AltN"/>
        <w:widowControl w:val="0"/>
        <w:rPr>
          <w:rFonts w:cs="Times New Roman"/>
          <w:lang w:val="fr-CA"/>
        </w:rPr>
      </w:pPr>
      <w:r w:rsidRPr="00B07B13">
        <w:rPr>
          <w:rFonts w:cs="Times New Roman"/>
          <w:lang w:val="fr-CA"/>
        </w:rPr>
        <w:t>D’abord, il est bien établi que le secret professionnel de l’avocat a évolué : d’une règle de preuve, il est devenu une règle de fond (</w:t>
      </w:r>
      <w:r w:rsidRPr="00B07B13">
        <w:rPr>
          <w:rFonts w:cs="Times New Roman"/>
          <w:i/>
          <w:lang w:val="fr-CA"/>
        </w:rPr>
        <w:t>Blood Tribe</w:t>
      </w:r>
      <w:r w:rsidRPr="00B07B13">
        <w:rPr>
          <w:rFonts w:cs="Times New Roman"/>
          <w:lang w:val="fr-CA"/>
        </w:rPr>
        <w:t xml:space="preserve">, par. 10; </w:t>
      </w:r>
      <w:r w:rsidRPr="00B07B13">
        <w:rPr>
          <w:rFonts w:cs="Times New Roman"/>
          <w:i/>
          <w:lang w:val="fr-CA"/>
        </w:rPr>
        <w:t>Thompson</w:t>
      </w:r>
      <w:r w:rsidRPr="00B07B13">
        <w:rPr>
          <w:rFonts w:cs="Times New Roman"/>
          <w:lang w:val="fr-CA"/>
        </w:rPr>
        <w:t>,</w:t>
      </w:r>
      <w:r w:rsidRPr="00B07B13">
        <w:rPr>
          <w:rFonts w:cs="Times New Roman"/>
          <w:i/>
          <w:lang w:val="fr-CA"/>
        </w:rPr>
        <w:t xml:space="preserve"> </w:t>
      </w:r>
      <w:r w:rsidRPr="00B07B13">
        <w:rPr>
          <w:rFonts w:cs="Times New Roman"/>
          <w:lang w:val="fr-CA"/>
        </w:rPr>
        <w:t xml:space="preserve">par. 17; </w:t>
      </w:r>
      <w:r w:rsidRPr="00B07B13">
        <w:rPr>
          <w:rFonts w:cs="Times New Roman"/>
          <w:i/>
          <w:lang w:val="fr-CA"/>
        </w:rPr>
        <w:t>Chambre des notaires</w:t>
      </w:r>
      <w:r w:rsidRPr="00B07B13">
        <w:rPr>
          <w:rFonts w:cs="Times New Roman"/>
          <w:lang w:val="fr-CA"/>
        </w:rPr>
        <w:t>, par. 28). Qui plus est, rappelons que, selon certains, la Cour lui reconnaît même un caractère quasi constitutionnel.</w:t>
      </w:r>
    </w:p>
    <w:p w:rsidR="00FA3C70" w:rsidRPr="00B07B13" w:rsidRDefault="00FA3C70" w:rsidP="00B3618F">
      <w:pPr>
        <w:pStyle w:val="ParaNoNdepar-AltN"/>
        <w:widowControl w:val="0"/>
        <w:rPr>
          <w:rFonts w:cs="Times New Roman"/>
          <w:lang w:val="fr-CA"/>
        </w:rPr>
      </w:pPr>
      <w:r w:rsidRPr="00B07B13">
        <w:rPr>
          <w:rFonts w:cs="Times New Roman"/>
          <w:lang w:val="fr-CA"/>
        </w:rPr>
        <w:lastRenderedPageBreak/>
        <w:t>Lorsqu’il ne constituait qu’une règle de preuve, le secret professionnel de l’avocat faisait en sorte que le client et son avocat n’avaient pas à produire leurs communications confidentielles en preuve dans le cadre d’une instance judiciaire (</w:t>
      </w:r>
      <w:r w:rsidRPr="00B07B13">
        <w:rPr>
          <w:rFonts w:cs="Times New Roman"/>
          <w:i/>
          <w:lang w:val="fr-CA"/>
        </w:rPr>
        <w:t>Descôteaux c. Mierzwinski</w:t>
      </w:r>
      <w:r w:rsidRPr="00B07B13">
        <w:rPr>
          <w:rFonts w:cs="Times New Roman"/>
          <w:lang w:val="fr-CA"/>
        </w:rPr>
        <w:t xml:space="preserve">, [1982] 1 R.C.S. 860, p. 876, citant R. Cross, </w:t>
      </w:r>
      <w:r w:rsidRPr="00B07B13">
        <w:rPr>
          <w:rFonts w:cs="Times New Roman"/>
          <w:i/>
          <w:lang w:val="fr-CA"/>
        </w:rPr>
        <w:t>Cross on Evidence</w:t>
      </w:r>
      <w:r w:rsidRPr="00B07B13">
        <w:rPr>
          <w:rFonts w:cs="Times New Roman"/>
          <w:lang w:val="fr-CA"/>
        </w:rPr>
        <w:t xml:space="preserve"> (5</w:t>
      </w:r>
      <w:r w:rsidRPr="00B07B13">
        <w:rPr>
          <w:rFonts w:cs="Times New Roman"/>
          <w:vertAlign w:val="superscript"/>
          <w:lang w:val="fr-CA"/>
        </w:rPr>
        <w:t>e</w:t>
      </w:r>
      <w:r w:rsidRPr="00B07B13">
        <w:rPr>
          <w:rFonts w:cs="Times New Roman"/>
          <w:lang w:val="fr-CA"/>
        </w:rPr>
        <w:t xml:space="preserve"> éd. 1979), p. 282). Comme l’écrivent R. D. Manes et M. P. Silver dans </w:t>
      </w:r>
      <w:r w:rsidRPr="00B07B13">
        <w:rPr>
          <w:rFonts w:cs="Times New Roman"/>
          <w:i/>
          <w:lang w:val="fr-CA"/>
        </w:rPr>
        <w:t>Solicitor</w:t>
      </w:r>
      <w:r w:rsidRPr="00B07B13">
        <w:rPr>
          <w:rFonts w:cs="Times New Roman"/>
          <w:i/>
          <w:lang w:val="fr-CA"/>
        </w:rPr>
        <w:noBreakHyphen/>
        <w:t>Client Privilege in Canadian Law</w:t>
      </w:r>
      <w:r w:rsidRPr="00B07B13">
        <w:rPr>
          <w:rFonts w:cs="Times New Roman"/>
          <w:lang w:val="fr-CA"/>
        </w:rPr>
        <w:t xml:space="preserve"> (1993), p. 2 : </w:t>
      </w:r>
    </w:p>
    <w:p w:rsidR="00FA3C70" w:rsidRPr="00B07B13" w:rsidRDefault="00FA3C70" w:rsidP="00B3618F">
      <w:pPr>
        <w:pStyle w:val="Citation-AltC"/>
        <w:widowControl w:val="0"/>
        <w:ind w:hanging="1166"/>
        <w:contextualSpacing w:val="0"/>
        <w:rPr>
          <w:lang w:val="fr-CA"/>
        </w:rPr>
      </w:pPr>
      <w:r w:rsidRPr="00B07B13">
        <w:rPr>
          <w:lang w:val="fr-CA"/>
        </w:rPr>
        <w:tab/>
      </w:r>
      <w:r w:rsidR="003B0573">
        <w:rPr>
          <w:lang w:val="fr-CA"/>
        </w:rPr>
        <w:tab/>
      </w:r>
      <w:r w:rsidRPr="00B07B13">
        <w:rPr>
          <w:lang w:val="fr-CA"/>
        </w:rPr>
        <w:t>[</w:t>
      </w:r>
      <w:r w:rsidRPr="00B07B13">
        <w:rPr>
          <w:smallCaps/>
          <w:lang w:val="fr-CA"/>
        </w:rPr>
        <w:t>traduction</w:t>
      </w:r>
      <w:r w:rsidRPr="00B07B13">
        <w:rPr>
          <w:lang w:val="fr-CA"/>
        </w:rPr>
        <w:t xml:space="preserve">] Le droit du privilège remonte au règne des Tudor en Angleterre et s’entendait alors du respect du serment et de l’honneur de l’avocat tenu de ne pas révéler les confidences de son client. </w:t>
      </w:r>
      <w:r w:rsidRPr="00B07B13">
        <w:rPr>
          <w:u w:val="single"/>
          <w:lang w:val="fr-CA"/>
        </w:rPr>
        <w:t>Au départ, il ne s’agissait que d’une exception à l’obligation de témoigner, soit le droit de l’avocat ou du client de refuser de témoigner devant le tribunal relativement à des communications confidentielles</w:t>
      </w:r>
      <w:r w:rsidRPr="003B0573">
        <w:rPr>
          <w:u w:val="single"/>
          <w:lang w:val="fr-CA"/>
        </w:rPr>
        <w:t>.</w:t>
      </w:r>
      <w:r w:rsidRPr="00B07B13">
        <w:rPr>
          <w:lang w:val="fr-CA"/>
        </w:rPr>
        <w:t xml:space="preserve"> [Je souligne; note en bas de page omise.]</w:t>
      </w:r>
    </w:p>
    <w:p w:rsidR="00FA3C70" w:rsidRPr="00B07B13" w:rsidRDefault="00FA3C70" w:rsidP="00B3618F">
      <w:pPr>
        <w:pStyle w:val="ContinueParaSuitedupar-AltP"/>
        <w:widowControl w:val="0"/>
        <w:rPr>
          <w:rFonts w:cs="Times New Roman"/>
          <w:lang w:val="fr-CA"/>
        </w:rPr>
      </w:pPr>
      <w:r w:rsidRPr="00B07B13">
        <w:rPr>
          <w:rFonts w:cs="Times New Roman"/>
          <w:lang w:val="fr-CA"/>
        </w:rPr>
        <w:t>Au début de son existence, le secret professionnel de l’avocat ne valait qu’à l’encontre de l’obligation de témoigner (</w:t>
      </w:r>
      <w:r w:rsidRPr="00B07B13">
        <w:rPr>
          <w:rFonts w:cs="Times New Roman"/>
          <w:i/>
          <w:lang w:val="fr-CA"/>
        </w:rPr>
        <w:t>Solosky c. La Reine</w:t>
      </w:r>
      <w:r w:rsidRPr="00B07B13">
        <w:rPr>
          <w:rFonts w:cs="Times New Roman"/>
          <w:lang w:val="fr-CA"/>
        </w:rPr>
        <w:t>, [1980] 1 R.C.S. 821, p. 834).</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Toutefois, dès l’arrêt </w:t>
      </w:r>
      <w:r w:rsidRPr="00B07B13">
        <w:rPr>
          <w:rFonts w:cs="Times New Roman"/>
          <w:i/>
          <w:lang w:val="fr-CA"/>
        </w:rPr>
        <w:t>Solosky</w:t>
      </w:r>
      <w:r w:rsidRPr="00B07B13">
        <w:rPr>
          <w:rFonts w:cs="Times New Roman"/>
          <w:lang w:val="fr-CA"/>
        </w:rPr>
        <w:t xml:space="preserve">, la Cour a reconnu que le secret professionnel de l’avocat se retrouve « sur un plan nouveau » et qu’il ne s’applique plus seulement en salle d’audience (p. 836). Deux ans plus tard, dans l’arrêt </w:t>
      </w:r>
      <w:r w:rsidRPr="00B07B13">
        <w:rPr>
          <w:rFonts w:cs="Times New Roman"/>
          <w:i/>
          <w:lang w:val="fr-CA"/>
        </w:rPr>
        <w:t>Descôteaux</w:t>
      </w:r>
      <w:r w:rsidRPr="00B07B13">
        <w:rPr>
          <w:rFonts w:cs="Times New Roman"/>
          <w:lang w:val="fr-CA"/>
        </w:rPr>
        <w:t>, la Cour apportait les précisions suivantes sur le secret professionnel de l’avocat en tant que règle de fond :</w:t>
      </w:r>
    </w:p>
    <w:p w:rsidR="00FA3C70" w:rsidRPr="00B07B13" w:rsidRDefault="00FA3C70" w:rsidP="00B3618F">
      <w:pPr>
        <w:pStyle w:val="Citation-AltC"/>
        <w:widowControl w:val="0"/>
        <w:spacing w:after="240"/>
        <w:ind w:hanging="315"/>
        <w:contextualSpacing w:val="0"/>
        <w:rPr>
          <w:lang w:val="fr-CA"/>
        </w:rPr>
      </w:pPr>
      <w:r w:rsidRPr="00B07B13">
        <w:rPr>
          <w:lang w:val="fr-CA"/>
        </w:rPr>
        <w:t>1.</w:t>
      </w:r>
      <w:r w:rsidRPr="00B07B13">
        <w:rPr>
          <w:lang w:val="fr-CA"/>
        </w:rPr>
        <w:tab/>
        <w:t>La confidentialité des communications entre client et avocat peut être soulevée en toutes circonstances où ces communications seraient susceptibles d’être dévoilées sans le consentement du client;</w:t>
      </w:r>
    </w:p>
    <w:p w:rsidR="00FA3C70" w:rsidRPr="00B07B13" w:rsidRDefault="00FA3C70" w:rsidP="00B3618F">
      <w:pPr>
        <w:pStyle w:val="Citation-AltC"/>
        <w:widowControl w:val="0"/>
        <w:spacing w:after="240"/>
        <w:ind w:hanging="315"/>
        <w:contextualSpacing w:val="0"/>
        <w:rPr>
          <w:lang w:val="fr-CA"/>
        </w:rPr>
      </w:pPr>
      <w:r w:rsidRPr="00B07B13">
        <w:rPr>
          <w:lang w:val="fr-CA"/>
        </w:rPr>
        <w:t>2.</w:t>
      </w:r>
      <w:r w:rsidRPr="00B07B13">
        <w:rPr>
          <w:lang w:val="fr-CA"/>
        </w:rPr>
        <w:tab/>
        <w:t xml:space="preserve">À moins que la loi n’en dispose autrement, lorsque et dans la mesure où </w:t>
      </w:r>
      <w:r w:rsidRPr="00B07B13">
        <w:rPr>
          <w:lang w:val="fr-CA"/>
        </w:rPr>
        <w:lastRenderedPageBreak/>
        <w:t>l’exercice légitime d’un droit porterait atteinte au droit d’un autre à la confidentialité de ses communications avec son avocat, le conflit qui en résulte doit être résolu en faveur de la protection de la confidentialité;</w:t>
      </w:r>
    </w:p>
    <w:p w:rsidR="00FA3C70" w:rsidRPr="00B07B13" w:rsidRDefault="00FA3C70" w:rsidP="00B3618F">
      <w:pPr>
        <w:pStyle w:val="Citation-AltC"/>
        <w:widowControl w:val="0"/>
        <w:spacing w:after="240"/>
        <w:ind w:hanging="315"/>
        <w:contextualSpacing w:val="0"/>
        <w:rPr>
          <w:lang w:val="fr-CA"/>
        </w:rPr>
      </w:pPr>
      <w:r w:rsidRPr="00B07B13">
        <w:rPr>
          <w:lang w:val="fr-CA"/>
        </w:rPr>
        <w:t>3.</w:t>
      </w:r>
      <w:r w:rsidRPr="00B07B13">
        <w:rPr>
          <w:lang w:val="fr-CA"/>
        </w:rPr>
        <w:tab/>
        <w:t>Lorsque la loi confère à quelqu’un le pouvoir de faire quelque chose qui, eu égard aux circonstances propres à l’espèce, pourrait avoir pour effet de porter atteinte à cette confidentialité, la décision de le faire et le choix des modalités d’exercice de ce pouvoir doivent être déterminés en regard d’un souci de n’y porter atteinte que dans la mesure absolument nécessaire à la réalisation des fins recherchées par la loi habilitante;</w:t>
      </w:r>
    </w:p>
    <w:p w:rsidR="00FA3C70" w:rsidRPr="00B07B13" w:rsidRDefault="00FA3C70" w:rsidP="00B3618F">
      <w:pPr>
        <w:pStyle w:val="Citation-AltC"/>
        <w:widowControl w:val="0"/>
        <w:ind w:left="1167" w:hanging="317"/>
        <w:contextualSpacing w:val="0"/>
        <w:rPr>
          <w:lang w:val="fr-CA"/>
        </w:rPr>
      </w:pPr>
      <w:r w:rsidRPr="00B07B13">
        <w:rPr>
          <w:lang w:val="fr-CA"/>
        </w:rPr>
        <w:t>4.</w:t>
      </w:r>
      <w:r w:rsidRPr="00B07B13">
        <w:rPr>
          <w:lang w:val="fr-CA"/>
        </w:rPr>
        <w:tab/>
        <w:t>La loi qui en disposerait autrement dans les cas du deuxième paragraphe ainsi que la loi habilitante du paragraphe trois doivent être interprétées restrictivement. [p. 875]</w:t>
      </w:r>
    </w:p>
    <w:p w:rsidR="00FA3C70" w:rsidRPr="00B07B13" w:rsidRDefault="00FA3C70" w:rsidP="00B3618F">
      <w:pPr>
        <w:pStyle w:val="ContinueParaSuitedupar-AltP"/>
        <w:widowControl w:val="0"/>
        <w:rPr>
          <w:rFonts w:cs="Times New Roman"/>
          <w:lang w:val="fr-CA"/>
        </w:rPr>
      </w:pPr>
      <w:r w:rsidRPr="00B07B13">
        <w:rPr>
          <w:rFonts w:cs="Times New Roman"/>
          <w:lang w:val="fr-CA"/>
        </w:rPr>
        <w:t>Ainsi, la règle de fond a élargi les circonstances dans lesquelles le secret professionnel de l’avocat s’applique et a aussi instauré des protections gouvernant les conditions auxquelles le privilège peut être supprimé, écarté ou faire l’objet d’une atteinte.</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Dans la foulée de l’arrêt </w:t>
      </w:r>
      <w:r w:rsidRPr="00B07B13">
        <w:rPr>
          <w:rFonts w:cs="Times New Roman"/>
          <w:i/>
          <w:lang w:val="fr-CA"/>
        </w:rPr>
        <w:t>Descôteaux</w:t>
      </w:r>
      <w:r w:rsidRPr="00B07B13">
        <w:rPr>
          <w:rFonts w:cs="Times New Roman"/>
          <w:lang w:val="fr-CA"/>
        </w:rPr>
        <w:t>, la Cour a conclu que le secret professionnel de l’avocat ne s’applique pas qu’en salle d’audience et qu’il vaut notamment pour la saisie et la perquisition effectuées dans un cabinet d’avocats (</w:t>
      </w:r>
      <w:r w:rsidRPr="00B07B13">
        <w:rPr>
          <w:rFonts w:cs="Times New Roman"/>
          <w:i/>
          <w:lang w:val="fr-CA"/>
        </w:rPr>
        <w:t>Lavallee</w:t>
      </w:r>
      <w:r w:rsidRPr="003B0573">
        <w:rPr>
          <w:rFonts w:cs="Times New Roman"/>
          <w:lang w:val="fr-CA"/>
        </w:rPr>
        <w:t>;</w:t>
      </w:r>
      <w:r w:rsidRPr="00B07B13">
        <w:rPr>
          <w:rFonts w:cs="Times New Roman"/>
          <w:lang w:val="fr-CA"/>
        </w:rPr>
        <w:t xml:space="preserve"> </w:t>
      </w:r>
      <w:r w:rsidRPr="00B07B13">
        <w:rPr>
          <w:rFonts w:cs="Times New Roman"/>
          <w:i/>
          <w:lang w:val="fr-CA"/>
        </w:rPr>
        <w:t>Maranda c. Richer</w:t>
      </w:r>
      <w:r w:rsidRPr="00B07B13">
        <w:rPr>
          <w:rFonts w:cs="Times New Roman"/>
          <w:lang w:val="fr-CA"/>
        </w:rPr>
        <w:t>, 2003 CSC 67, [2003] 3 R.C.S. 193</w:t>
      </w:r>
      <w:r w:rsidR="003B0573">
        <w:rPr>
          <w:rFonts w:cs="Times New Roman"/>
          <w:lang w:val="fr-CA"/>
        </w:rPr>
        <w:t>;</w:t>
      </w:r>
      <w:r w:rsidRPr="00B07B13">
        <w:rPr>
          <w:rFonts w:cs="Times New Roman"/>
          <w:lang w:val="fr-CA"/>
        </w:rPr>
        <w:t xml:space="preserve"> </w:t>
      </w:r>
      <w:r w:rsidRPr="00B07B13">
        <w:rPr>
          <w:rFonts w:cs="Times New Roman"/>
          <w:i/>
          <w:lang w:val="fr-CA"/>
        </w:rPr>
        <w:t>Canada (Procureur général) c. Fédération des ordres professionnels de juristes du Canada</w:t>
      </w:r>
      <w:r w:rsidRPr="00B07B13">
        <w:rPr>
          <w:rFonts w:cs="Times New Roman"/>
          <w:lang w:val="fr-CA"/>
        </w:rPr>
        <w:t>, 2015 CSC 7, [2015] 1 R.C.S. 401), ainsi que pour la communication de documents dans le cadre de l’application des dispositions sur l’accès à l’information (</w:t>
      </w:r>
      <w:r w:rsidRPr="00B07B13">
        <w:rPr>
          <w:rFonts w:cs="Times New Roman"/>
          <w:i/>
          <w:lang w:val="fr-CA"/>
        </w:rPr>
        <w:t>Blood Tribe</w:t>
      </w:r>
      <w:r w:rsidRPr="00B07B13">
        <w:rPr>
          <w:rFonts w:cs="Times New Roman"/>
          <w:lang w:val="fr-CA"/>
        </w:rPr>
        <w:t xml:space="preserve">; </w:t>
      </w:r>
      <w:r w:rsidRPr="00B07B13">
        <w:rPr>
          <w:rFonts w:cs="Times New Roman"/>
          <w:i/>
          <w:lang w:val="fr-CA"/>
        </w:rPr>
        <w:t>Goodis c. Ontario (Ministère des Services correctionnels)</w:t>
      </w:r>
      <w:r w:rsidRPr="00B07B13">
        <w:rPr>
          <w:rFonts w:cs="Times New Roman"/>
          <w:lang w:val="fr-CA"/>
        </w:rPr>
        <w:t xml:space="preserve">, 2006 CSC 31, [2006] 2 R.C.S. 32; </w:t>
      </w:r>
      <w:r w:rsidRPr="00B07B13">
        <w:rPr>
          <w:rFonts w:cs="Times New Roman"/>
          <w:i/>
          <w:lang w:val="fr-CA"/>
        </w:rPr>
        <w:t>Criminal Lawyers’ Association</w:t>
      </w:r>
      <w:r w:rsidRPr="00B07B13">
        <w:rPr>
          <w:rFonts w:cs="Times New Roman"/>
          <w:lang w:val="fr-CA"/>
        </w:rPr>
        <w:t xml:space="preserve">). Dans sa forme moderne, le secret professionnel de l’avocat ne s’entend plus uniquement d’une règle de preuve; il constitue « une règle de preuve, un droit civil important ainsi qu’un principe de justice fondamentale en droit </w:t>
      </w:r>
      <w:r w:rsidRPr="00B07B13">
        <w:rPr>
          <w:rFonts w:cs="Times New Roman"/>
          <w:lang w:val="fr-CA"/>
        </w:rPr>
        <w:lastRenderedPageBreak/>
        <w:t>canadien » (</w:t>
      </w:r>
      <w:r w:rsidRPr="00B07B13">
        <w:rPr>
          <w:rFonts w:cs="Times New Roman"/>
          <w:i/>
          <w:lang w:val="fr-CA"/>
        </w:rPr>
        <w:t>Lavallee</w:t>
      </w:r>
      <w:r w:rsidRPr="00B07B13">
        <w:rPr>
          <w:rFonts w:cs="Times New Roman"/>
          <w:lang w:val="fr-CA"/>
        </w:rPr>
        <w:t>, par. 49).</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J’estime que la présente affaire met en jeu le secret professionnel de l’avocat sur le plan du fond plutôt que sur celui de la preuve. Il ne s’agit pas en l’espèce d’un cas où nous avons à traiter du dépôt en preuve de documents protégés dans le cadre d’une procédure judiciaire. Nous avons plutôt affaire à la communication de documents en application d’un régime d’accès à l’information établi par une loi, indépendamment d’une instance judiciaire. Il est vrai que l’auteur de la demande cherchait au départ à obtenir les documents pour les utiliser en preuve dans un litige distinct qui l’opposait à l’Université, mais sa poursuite a depuis lors connu son dénouement. En outre, la Commissaire n’entend pas examiner les documents protégés par le secret professionnel de l’avocat comme s’il s’agissait d’une preuve à partir de laquelle serait tranché un litige. Dans le cas qui nous occupe, la communication n’a donc aucun lien avec le « privilège en matière de preuve ». Elle s’apparente plutôt au contrôle du courrier destiné à une personne détenue dans un pénitencier, ce sur quoi la Cour s’est prononcée dans </w:t>
      </w:r>
      <w:r w:rsidRPr="00B07B13">
        <w:rPr>
          <w:rFonts w:cs="Times New Roman"/>
          <w:i/>
          <w:lang w:val="fr-CA"/>
        </w:rPr>
        <w:t>Solosky</w:t>
      </w:r>
      <w:r w:rsidRPr="00B07B13">
        <w:rPr>
          <w:rFonts w:cs="Times New Roman"/>
          <w:lang w:val="fr-CA"/>
        </w:rPr>
        <w:t xml:space="preserve">. Pour reprendre la formulation employée dans </w:t>
      </w:r>
      <w:r w:rsidRPr="00B07B13">
        <w:rPr>
          <w:rFonts w:cs="Times New Roman"/>
          <w:i/>
          <w:lang w:val="fr-CA"/>
        </w:rPr>
        <w:t>Descôteaux</w:t>
      </w:r>
      <w:r w:rsidRPr="00B07B13">
        <w:rPr>
          <w:rFonts w:cs="Times New Roman"/>
          <w:lang w:val="fr-CA"/>
        </w:rPr>
        <w:t>, la Cour « appliqu</w:t>
      </w:r>
      <w:r w:rsidR="003B0573">
        <w:rPr>
          <w:rFonts w:cs="Times New Roman"/>
          <w:lang w:val="fr-CA"/>
        </w:rPr>
        <w:t>ait</w:t>
      </w:r>
      <w:r w:rsidRPr="00B07B13">
        <w:rPr>
          <w:rFonts w:cs="Times New Roman"/>
          <w:lang w:val="fr-CA"/>
        </w:rPr>
        <w:t xml:space="preserve"> une norme qui n’a rien à voir avec la règle de preuve [. . .] puisqu’en rien n’y était</w:t>
      </w:r>
      <w:r w:rsidRPr="00B07B13">
        <w:rPr>
          <w:rFonts w:cs="Times New Roman"/>
          <w:lang w:val="fr-CA"/>
        </w:rPr>
        <w:noBreakHyphen/>
        <w:t>il question de témoignage</w:t>
      </w:r>
      <w:r w:rsidR="003B0573">
        <w:rPr>
          <w:rFonts w:cs="Times New Roman"/>
          <w:lang w:val="fr-CA"/>
        </w:rPr>
        <w:t>s</w:t>
      </w:r>
      <w:r w:rsidRPr="00B07B13">
        <w:rPr>
          <w:rFonts w:cs="Times New Roman"/>
          <w:lang w:val="fr-CA"/>
        </w:rPr>
        <w:t xml:space="preserve"> devant un tribunal quelconque » (p. 875). De la même façon, l’absence d’une telle question en l’espèce fait ressortir l’application du secret professionnel de l’avocat en tant que règle de fond, plutôt que comme règle de preuve.</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La Cour a maintes fois confirmé que, à titre de règle de fond, le secret </w:t>
      </w:r>
      <w:r w:rsidRPr="00B07B13">
        <w:rPr>
          <w:rFonts w:cs="Times New Roman"/>
          <w:lang w:val="fr-CA"/>
        </w:rPr>
        <w:lastRenderedPageBreak/>
        <w:t>professionnel de l’avocat doit demeurer aussi absolu que possible et qu’on ne doit y porter atteinte qu’en cas de nécessité absolue (</w:t>
      </w:r>
      <w:r w:rsidRPr="00B07B13">
        <w:rPr>
          <w:rFonts w:cs="Times New Roman"/>
          <w:i/>
          <w:lang w:val="fr-CA"/>
        </w:rPr>
        <w:t>Chambre des notaires</w:t>
      </w:r>
      <w:r w:rsidRPr="00B07B13">
        <w:rPr>
          <w:rFonts w:cs="Times New Roman"/>
          <w:lang w:val="fr-CA"/>
        </w:rPr>
        <w:t xml:space="preserve">, par. 28, citant </w:t>
      </w:r>
      <w:r w:rsidRPr="00B07B13">
        <w:rPr>
          <w:rFonts w:cs="Times New Roman"/>
          <w:i/>
          <w:lang w:val="fr-CA"/>
        </w:rPr>
        <w:t>Lavallee</w:t>
      </w:r>
      <w:r w:rsidRPr="00B07B13">
        <w:rPr>
          <w:rFonts w:cs="Times New Roman"/>
          <w:lang w:val="fr-CA"/>
        </w:rPr>
        <w:t>, par. 36</w:t>
      </w:r>
      <w:r w:rsidRPr="00B07B13">
        <w:rPr>
          <w:rFonts w:cs="Times New Roman"/>
          <w:lang w:val="fr-CA"/>
        </w:rPr>
        <w:noBreakHyphen/>
        <w:t xml:space="preserve">37, </w:t>
      </w:r>
      <w:r w:rsidRPr="00B07B13">
        <w:rPr>
          <w:rFonts w:cs="Times New Roman"/>
          <w:i/>
          <w:lang w:val="fr-CA"/>
        </w:rPr>
        <w:t>McClure</w:t>
      </w:r>
      <w:r w:rsidRPr="00B07B13">
        <w:rPr>
          <w:rFonts w:cs="Times New Roman"/>
          <w:lang w:val="fr-CA"/>
        </w:rPr>
        <w:t xml:space="preserve">, par. 35, </w:t>
      </w:r>
      <w:r w:rsidRPr="00B07B13">
        <w:rPr>
          <w:rFonts w:cs="Times New Roman"/>
          <w:i/>
          <w:lang w:val="fr-CA"/>
        </w:rPr>
        <w:t>R. c. Brown</w:t>
      </w:r>
      <w:r w:rsidRPr="00B07B13">
        <w:rPr>
          <w:rFonts w:cs="Times New Roman"/>
          <w:lang w:val="fr-CA"/>
        </w:rPr>
        <w:t>, 2002 CSC 32, [2002] 2 R.C.S. 185, par. 27</w:t>
      </w:r>
      <w:r w:rsidR="005900D7">
        <w:rPr>
          <w:rFonts w:cs="Times New Roman"/>
          <w:lang w:val="fr-CA"/>
        </w:rPr>
        <w:t>,</w:t>
      </w:r>
      <w:r w:rsidRPr="00B07B13">
        <w:rPr>
          <w:rFonts w:cs="Times New Roman"/>
          <w:lang w:val="fr-CA"/>
        </w:rPr>
        <w:t xml:space="preserve"> </w:t>
      </w:r>
      <w:r w:rsidRPr="00B07B13">
        <w:rPr>
          <w:rFonts w:cs="Times New Roman"/>
          <w:i/>
          <w:lang w:val="fr-CA"/>
        </w:rPr>
        <w:t>Goodis</w:t>
      </w:r>
      <w:r w:rsidRPr="00B07B13">
        <w:rPr>
          <w:rFonts w:cs="Times New Roman"/>
          <w:lang w:val="fr-CA"/>
        </w:rPr>
        <w:t>,</w:t>
      </w:r>
      <w:r w:rsidRPr="00B07B13">
        <w:rPr>
          <w:rFonts w:cs="Times New Roman"/>
          <w:i/>
          <w:lang w:val="fr-CA"/>
        </w:rPr>
        <w:t xml:space="preserve"> </w:t>
      </w:r>
      <w:r w:rsidRPr="00B07B13">
        <w:rPr>
          <w:rFonts w:cs="Times New Roman"/>
          <w:lang w:val="fr-CA"/>
        </w:rPr>
        <w:t>par. 15). Dans le cas, par exemple, de la preuve offerte dans une poursuite criminelle, on a jugé que l’assimilation du secret professionnel de l’avocat à une règle de fond faisait en sorte qu’il ne cède le pas que « dans certaines circonstances bien définies et ne nécessite pas une évaluation des intérêts dans chaque cas » (</w:t>
      </w:r>
      <w:r w:rsidRPr="00B07B13">
        <w:rPr>
          <w:rFonts w:cs="Times New Roman"/>
          <w:i/>
          <w:lang w:val="fr-CA"/>
        </w:rPr>
        <w:t>McClure</w:t>
      </w:r>
      <w:r w:rsidRPr="00B07B13">
        <w:rPr>
          <w:rFonts w:cs="Times New Roman"/>
          <w:lang w:val="fr-CA"/>
        </w:rPr>
        <w:t>, par. 35). Ces circonstances, qui ne se présentent que rarement, comprennent celles où l’accusé a droit à une défense pleine et entière (</w:t>
      </w:r>
      <w:r w:rsidRPr="00B07B13">
        <w:rPr>
          <w:rFonts w:cs="Times New Roman"/>
          <w:i/>
          <w:lang w:val="fr-CA"/>
        </w:rPr>
        <w:t>McClure</w:t>
      </w:r>
      <w:r w:rsidRPr="00B07B13">
        <w:rPr>
          <w:rFonts w:cs="Times New Roman"/>
          <w:lang w:val="fr-CA"/>
        </w:rPr>
        <w:t xml:space="preserve">; </w:t>
      </w:r>
      <w:r w:rsidRPr="00B07B13">
        <w:rPr>
          <w:rFonts w:cs="Times New Roman"/>
          <w:i/>
          <w:lang w:val="fr-CA"/>
        </w:rPr>
        <w:t>Brown</w:t>
      </w:r>
      <w:r w:rsidRPr="00B07B13">
        <w:rPr>
          <w:rFonts w:cs="Times New Roman"/>
          <w:lang w:val="fr-CA"/>
        </w:rPr>
        <w:t>) et celles où la sécurité publique est en jeu (</w:t>
      </w:r>
      <w:r w:rsidRPr="00B07B13">
        <w:rPr>
          <w:rFonts w:cs="Times New Roman"/>
          <w:i/>
          <w:lang w:val="fr-CA"/>
        </w:rPr>
        <w:t>Smith</w:t>
      </w:r>
      <w:r w:rsidRPr="00B07B13">
        <w:rPr>
          <w:rFonts w:cs="Times New Roman"/>
          <w:lang w:val="fr-CA"/>
        </w:rPr>
        <w:t>).</w:t>
      </w:r>
    </w:p>
    <w:p w:rsidR="00FA3C70" w:rsidRPr="00B07B13" w:rsidRDefault="00FA3C70" w:rsidP="00B3618F">
      <w:pPr>
        <w:pStyle w:val="ParaNoNdepar-AltN"/>
        <w:widowControl w:val="0"/>
        <w:rPr>
          <w:rFonts w:cs="Times New Roman"/>
          <w:lang w:val="fr-CA"/>
        </w:rPr>
      </w:pPr>
      <w:r w:rsidRPr="00B07B13">
        <w:rPr>
          <w:rFonts w:cs="Times New Roman"/>
          <w:lang w:val="fr-CA"/>
        </w:rPr>
        <w:t>Étant donné que, maintes fois et avec constance, la Cour a considéré le secret professionnel de l’avocat plus comme une règle de fond qu’une simple règle de preuve, j’estime que l’expression [</w:t>
      </w:r>
      <w:r w:rsidRPr="00B07B13">
        <w:rPr>
          <w:rFonts w:cs="Times New Roman"/>
          <w:smallCaps/>
          <w:lang w:val="fr-CA"/>
        </w:rPr>
        <w:t>traduction</w:t>
      </w:r>
      <w:r w:rsidRPr="00B07B13">
        <w:rPr>
          <w:rFonts w:cs="Times New Roman"/>
          <w:lang w:val="fr-CA"/>
        </w:rPr>
        <w:t xml:space="preserve">] « privilège que reconnaît le droit de la preuve » n’identifie pas comme elle le devrait les intérêts substantiels larges protégés par le secret professionnel de l’avocat. Cette expression n’est donc pas suffisamment claire, explicite et non équivoque pour traduire l’intention du législateur d’écarter le secret professionnel de l’avocat. À l’opposé, certaines catégories de privilèges, notamment le privilège relatif aux communications entre époux, celui qui intervient dans un contexte religieux et le privilège relatif aux échanges préalables à un règlement, ne s’appliquent que dans le cadre de la preuve dans une instance judiciaire. De tels privilèges sont assurément visés par l’expression « privilège que reconnaît le droit de la preuve ». </w:t>
      </w:r>
    </w:p>
    <w:p w:rsidR="00FA3C70" w:rsidRPr="00B07B13" w:rsidRDefault="00FA3C70" w:rsidP="00B3618F">
      <w:pPr>
        <w:pStyle w:val="ParaNoNdepar-AltN"/>
        <w:widowControl w:val="0"/>
        <w:rPr>
          <w:rFonts w:cs="Times New Roman"/>
          <w:lang w:val="fr-CA"/>
        </w:rPr>
      </w:pPr>
      <w:r w:rsidRPr="00B07B13">
        <w:rPr>
          <w:rFonts w:cs="Times New Roman"/>
          <w:lang w:val="fr-CA"/>
        </w:rPr>
        <w:lastRenderedPageBreak/>
        <w:t xml:space="preserve">À cet égard, il convient de mentionner que le par. 56(3) de la </w:t>
      </w:r>
      <w:r w:rsidRPr="00B07B13">
        <w:rPr>
          <w:rFonts w:cs="Times New Roman"/>
          <w:i/>
          <w:lang w:val="fr-CA"/>
        </w:rPr>
        <w:t xml:space="preserve">FOIPP </w:t>
      </w:r>
      <w:r w:rsidRPr="00B07B13">
        <w:rPr>
          <w:rFonts w:cs="Times New Roman"/>
          <w:lang w:val="fr-CA"/>
        </w:rPr>
        <w:t xml:space="preserve">a été édicté dans sa forme actuelle dès 1994 dans la </w:t>
      </w:r>
      <w:r w:rsidRPr="00B07B13">
        <w:rPr>
          <w:rFonts w:cs="Times New Roman"/>
          <w:i/>
          <w:lang w:val="fr-CA"/>
        </w:rPr>
        <w:t>Freedom of Information and Protection of Privacy Act</w:t>
      </w:r>
      <w:r w:rsidRPr="00B07B13">
        <w:rPr>
          <w:rFonts w:cs="Times New Roman"/>
          <w:lang w:val="fr-CA"/>
        </w:rPr>
        <w:t>, S.A. 1994, c. F</w:t>
      </w:r>
      <w:r w:rsidRPr="00B07B13">
        <w:rPr>
          <w:rFonts w:cs="Times New Roman"/>
          <w:lang w:val="fr-CA"/>
        </w:rPr>
        <w:noBreakHyphen/>
        <w:t>18.5, par. 54(3). La jurisprudence établissait alors fort bien, et ce, depuis plus d’une décennie, que le secret professionnel de l’avocat était passé d’un privilège reconnu en droit de la preuve à un privilège de fond.</w:t>
      </w:r>
    </w:p>
    <w:p w:rsidR="00FA3C70" w:rsidRPr="00B07B13" w:rsidRDefault="00FA3C70" w:rsidP="00B3618F">
      <w:pPr>
        <w:pStyle w:val="Title3LevelTitre3Niveau"/>
        <w:widowControl w:val="0"/>
        <w:numPr>
          <w:ilvl w:val="0"/>
          <w:numId w:val="21"/>
        </w:numPr>
        <w:ind w:left="1440" w:hanging="720"/>
        <w:rPr>
          <w:rFonts w:cs="Times New Roman"/>
          <w:lang w:val="fr-CA"/>
        </w:rPr>
      </w:pPr>
      <w:r w:rsidRPr="00B07B13">
        <w:rPr>
          <w:rFonts w:cs="Times New Roman"/>
          <w:lang w:val="fr-CA"/>
        </w:rPr>
        <w:t xml:space="preserve">L’arrêt </w:t>
      </w:r>
      <w:r w:rsidRPr="00B07B13">
        <w:rPr>
          <w:rFonts w:cs="Times New Roman"/>
          <w:i/>
          <w:lang w:val="fr-CA"/>
        </w:rPr>
        <w:t>Blood Tribe</w:t>
      </w:r>
      <w:r w:rsidRPr="00B07B13">
        <w:rPr>
          <w:rFonts w:cs="Times New Roman"/>
          <w:lang w:val="fr-CA"/>
        </w:rPr>
        <w:t xml:space="preserve"> n’appuie pas la proposition selon laquelle le secret professionnel de l’avocat constitue un « privilège que reconnaît le droit de la preuve »</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La Commissaire soutient que, selon l’arrêt </w:t>
      </w:r>
      <w:r w:rsidRPr="00B07B13">
        <w:rPr>
          <w:rFonts w:cs="Times New Roman"/>
          <w:i/>
          <w:lang w:val="fr-CA"/>
        </w:rPr>
        <w:t>Blood Tribe</w:t>
      </w:r>
      <w:r w:rsidRPr="00B07B13">
        <w:rPr>
          <w:rFonts w:cs="Times New Roman"/>
          <w:lang w:val="fr-CA"/>
        </w:rPr>
        <w:t xml:space="preserve">, l’énoncé « tout privilège que reconnaît le droit de la preuve » est suffisamment clair et précis pour supprimer le secret professionnel de l’avocat. Dans cette affaire, la disposition en cause était l’art. 12 de la </w:t>
      </w:r>
      <w:r w:rsidRPr="00B07B13">
        <w:rPr>
          <w:rFonts w:cs="Times New Roman"/>
          <w:i/>
          <w:lang w:val="fr-CA"/>
        </w:rPr>
        <w:t>Loi sur la protection des renseignements personnels et les documents électroniques</w:t>
      </w:r>
      <w:r w:rsidRPr="00B07B13">
        <w:rPr>
          <w:rFonts w:cs="Times New Roman"/>
          <w:lang w:val="fr-CA"/>
        </w:rPr>
        <w:t>, L.C. 2000, c. 5 (« </w:t>
      </w:r>
      <w:r w:rsidRPr="00B07B13">
        <w:rPr>
          <w:rFonts w:cs="Times New Roman"/>
          <w:i/>
          <w:lang w:val="fr-CA"/>
        </w:rPr>
        <w:t>LPRPDE</w:t>
      </w:r>
      <w:r w:rsidRPr="00B07B13">
        <w:rPr>
          <w:rFonts w:cs="Times New Roman"/>
          <w:lang w:val="fr-CA"/>
        </w:rPr>
        <w:t> »), qui permettait à la Commissaire à la protection de la vie privée du Canada d’obliger une personne à produire tout document « de la même façon et dans la même mesure qu’une cour supérieure d’archives » (actuel art. 12.1; voir L.C. 2010, c. 23, art. 83). La Cour a conclu que l’article</w:t>
      </w:r>
      <w:r w:rsidRPr="00B07B13">
        <w:rPr>
          <w:rFonts w:cs="Times New Roman"/>
          <w:i/>
          <w:lang w:val="fr-CA"/>
        </w:rPr>
        <w:t xml:space="preserve"> </w:t>
      </w:r>
      <w:r w:rsidRPr="00B07B13">
        <w:rPr>
          <w:rFonts w:cs="Times New Roman"/>
          <w:lang w:val="fr-CA"/>
        </w:rPr>
        <w:t>constituait une disposition de nature générale en matière de production de documents et que son libellé n’était pas suffisamment explicite pour supprimer le secret professionnel de l’avocat (par. 21).</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Dans </w:t>
      </w:r>
      <w:r w:rsidRPr="00B07B13">
        <w:rPr>
          <w:rFonts w:cs="Times New Roman"/>
          <w:i/>
          <w:lang w:val="fr-CA"/>
        </w:rPr>
        <w:t>Blood Tribe</w:t>
      </w:r>
      <w:r w:rsidRPr="00B07B13">
        <w:rPr>
          <w:rFonts w:cs="Times New Roman"/>
          <w:lang w:val="fr-CA"/>
        </w:rPr>
        <w:t xml:space="preserve">, la Commissaire à la protection de la vie privée du Canada soutenait que l’interprétation de ses pouvoirs d’enquête suivant la </w:t>
      </w:r>
      <w:r w:rsidRPr="00B07B13">
        <w:rPr>
          <w:rFonts w:cs="Times New Roman"/>
          <w:i/>
          <w:lang w:val="fr-CA"/>
        </w:rPr>
        <w:t xml:space="preserve">LPRPDE </w:t>
      </w:r>
      <w:r w:rsidRPr="00B07B13">
        <w:rPr>
          <w:rFonts w:cs="Times New Roman"/>
          <w:lang w:val="fr-CA"/>
        </w:rPr>
        <w:t xml:space="preserve">devait être compatible avec celle des pouvoirs que lui conférait par ailleurs la </w:t>
      </w:r>
      <w:r w:rsidRPr="00B07B13">
        <w:rPr>
          <w:rFonts w:cs="Times New Roman"/>
          <w:i/>
          <w:lang w:val="fr-CA"/>
        </w:rPr>
        <w:t xml:space="preserve">Loi sur </w:t>
      </w:r>
      <w:r w:rsidRPr="00B07B13">
        <w:rPr>
          <w:rFonts w:cs="Times New Roman"/>
          <w:i/>
          <w:lang w:val="fr-CA"/>
        </w:rPr>
        <w:lastRenderedPageBreak/>
        <w:t>la protection des renseignements personnels</w:t>
      </w:r>
      <w:r w:rsidRPr="00B07B13">
        <w:rPr>
          <w:rFonts w:cs="Times New Roman"/>
          <w:lang w:val="fr-CA"/>
        </w:rPr>
        <w:t>, L.R.C. 1985, c. P</w:t>
      </w:r>
      <w:r w:rsidRPr="00B07B13">
        <w:rPr>
          <w:rFonts w:cs="Times New Roman"/>
          <w:lang w:val="fr-CA"/>
        </w:rPr>
        <w:noBreakHyphen/>
        <w:t xml:space="preserve">21, qui permettait l’examen des renseignements malgré « toute immunité reconnue par le droit de la preuve » (par. 34(2)). S’exprimant au nom de la Cour, le juge Binnie rejette l’argument. Il fait observer que les pouvoirs conférés à la Commissaire à la protection de la vie privée du Canada par la </w:t>
      </w:r>
      <w:r w:rsidRPr="00B07B13">
        <w:rPr>
          <w:rFonts w:cs="Times New Roman"/>
          <w:i/>
          <w:lang w:val="fr-CA"/>
        </w:rPr>
        <w:t xml:space="preserve">LPRPDE </w:t>
      </w:r>
      <w:r w:rsidRPr="00B07B13">
        <w:rPr>
          <w:rFonts w:cs="Times New Roman"/>
          <w:lang w:val="fr-CA"/>
        </w:rPr>
        <w:t>diffèrent de ceux dont l’investit la</w:t>
      </w:r>
      <w:r w:rsidRPr="00B07B13">
        <w:rPr>
          <w:rFonts w:eastAsia="Times New Roman" w:cs="Times New Roman"/>
          <w:i/>
          <w:szCs w:val="24"/>
          <w:lang w:val="fr-CA" w:eastAsia="en-CA"/>
        </w:rPr>
        <w:t xml:space="preserve"> </w:t>
      </w:r>
      <w:r w:rsidRPr="00B07B13">
        <w:rPr>
          <w:rFonts w:cs="Times New Roman"/>
          <w:i/>
          <w:lang w:val="fr-CA"/>
        </w:rPr>
        <w:t>Loi sur la protection des renseignements personnels</w:t>
      </w:r>
      <w:r w:rsidRPr="00B07B13">
        <w:rPr>
          <w:rFonts w:cs="Times New Roman"/>
          <w:lang w:val="fr-CA"/>
        </w:rPr>
        <w:t xml:space="preserve">, car contrairement à la disposition de nature générale de la </w:t>
      </w:r>
      <w:r w:rsidRPr="00B07B13">
        <w:rPr>
          <w:rFonts w:cs="Times New Roman"/>
          <w:i/>
          <w:lang w:val="fr-CA"/>
        </w:rPr>
        <w:t>LPRPDE</w:t>
      </w:r>
      <w:r w:rsidRPr="00B07B13">
        <w:rPr>
          <w:rFonts w:cs="Times New Roman"/>
          <w:lang w:val="fr-CA"/>
        </w:rPr>
        <w:t xml:space="preserve"> sur la production de documents, le par. 34(2) de la</w:t>
      </w:r>
      <w:r w:rsidRPr="00B07B13">
        <w:rPr>
          <w:rFonts w:eastAsia="Times New Roman" w:cs="Times New Roman"/>
          <w:i/>
          <w:szCs w:val="24"/>
          <w:lang w:val="fr-CA" w:eastAsia="en-CA"/>
        </w:rPr>
        <w:t xml:space="preserve"> </w:t>
      </w:r>
      <w:r w:rsidRPr="00B07B13">
        <w:rPr>
          <w:rFonts w:cs="Times New Roman"/>
          <w:i/>
          <w:lang w:val="fr-CA"/>
        </w:rPr>
        <w:t>Loi sur la protection des renseignements personnels</w:t>
      </w:r>
      <w:r w:rsidRPr="00B07B13">
        <w:rPr>
          <w:rFonts w:cs="Times New Roman"/>
          <w:lang w:val="fr-CA"/>
        </w:rPr>
        <w:t xml:space="preserve"> renferme un</w:t>
      </w:r>
      <w:r w:rsidR="003B0573">
        <w:rPr>
          <w:rFonts w:cs="Times New Roman"/>
          <w:lang w:val="fr-CA"/>
        </w:rPr>
        <w:t>e</w:t>
      </w:r>
      <w:r w:rsidRPr="00B07B13">
        <w:rPr>
          <w:rFonts w:cs="Times New Roman"/>
          <w:lang w:val="fr-CA"/>
        </w:rPr>
        <w:t xml:space="preserve"> « </w:t>
      </w:r>
      <w:r w:rsidR="003B0573">
        <w:rPr>
          <w:rFonts w:cs="Times New Roman"/>
          <w:lang w:val="fr-CA"/>
        </w:rPr>
        <w:t>disposition</w:t>
      </w:r>
      <w:r w:rsidRPr="00B07B13">
        <w:rPr>
          <w:rFonts w:cs="Times New Roman"/>
          <w:lang w:val="fr-CA"/>
        </w:rPr>
        <w:t xml:space="preserve"> explicite permettant l’accès aux renseignements confidentiels » (par. 28).</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Dans la présente affaire, la Commissaire fait aujourd’hui valoir que le par. 34(2) de la </w:t>
      </w:r>
      <w:r w:rsidRPr="00B07B13">
        <w:rPr>
          <w:rFonts w:cs="Times New Roman"/>
          <w:i/>
          <w:lang w:val="fr-CA"/>
        </w:rPr>
        <w:t>Loi sur la protection des renseignements personnels</w:t>
      </w:r>
      <w:r w:rsidRPr="00B07B13">
        <w:rPr>
          <w:rFonts w:cs="Times New Roman"/>
          <w:lang w:val="fr-CA"/>
        </w:rPr>
        <w:t>, dont le juge Binnie dit qu’elle renferme un</w:t>
      </w:r>
      <w:r w:rsidR="003B0573">
        <w:rPr>
          <w:rFonts w:cs="Times New Roman"/>
          <w:lang w:val="fr-CA"/>
        </w:rPr>
        <w:t>e</w:t>
      </w:r>
      <w:r w:rsidRPr="00B07B13">
        <w:rPr>
          <w:rFonts w:cs="Times New Roman"/>
          <w:lang w:val="fr-CA"/>
        </w:rPr>
        <w:t xml:space="preserve"> « </w:t>
      </w:r>
      <w:r w:rsidR="003B0573">
        <w:rPr>
          <w:rFonts w:cs="Times New Roman"/>
          <w:lang w:val="fr-CA"/>
        </w:rPr>
        <w:t>disposition</w:t>
      </w:r>
      <w:r w:rsidRPr="00B07B13">
        <w:rPr>
          <w:rFonts w:cs="Times New Roman"/>
          <w:lang w:val="fr-CA"/>
        </w:rPr>
        <w:t xml:space="preserve"> explicite permettant l’accès aux renseignements confidentiels », est très semblable à la disposition considérée en l’espèce. En voici le libellé :</w:t>
      </w:r>
    </w:p>
    <w:p w:rsidR="00FA3C70" w:rsidRPr="00B07B13" w:rsidRDefault="00FA3C70" w:rsidP="00B3618F">
      <w:pPr>
        <w:pStyle w:val="Citation-AltC"/>
        <w:widowControl w:val="0"/>
        <w:ind w:hanging="1166"/>
        <w:contextualSpacing w:val="0"/>
        <w:rPr>
          <w:lang w:val="fr-CA"/>
        </w:rPr>
      </w:pPr>
      <w:r w:rsidRPr="00B07B13">
        <w:rPr>
          <w:b/>
          <w:lang w:val="fr-CA"/>
        </w:rPr>
        <w:tab/>
        <w:t>(2)</w:t>
      </w:r>
      <w:r w:rsidRPr="00B07B13">
        <w:rPr>
          <w:lang w:val="fr-CA"/>
        </w:rPr>
        <w:t xml:space="preserve"> </w:t>
      </w:r>
      <w:r w:rsidRPr="00B07B13">
        <w:rPr>
          <w:lang w:val="fr-FR"/>
        </w:rPr>
        <w:t xml:space="preserve">Nonobstant toute autre loi fédérale ou </w:t>
      </w:r>
      <w:r w:rsidRPr="00B07B13">
        <w:rPr>
          <w:u w:val="single"/>
          <w:lang w:val="fr-FR"/>
        </w:rPr>
        <w:t>toute immunité reconnue par le droit de la preuve</w:t>
      </w:r>
      <w:r w:rsidRPr="00B07B13">
        <w:rPr>
          <w:lang w:val="fr-FR"/>
        </w:rPr>
        <w:t>, le Commissaire à la protection de la vie privée a, pour les enquêtes qu’il mène en vertu de la présente loi, accès à tous les renseignements, quels que soient leur forme et leur support, qui relèvent d’une institution fédérale, à l’exception des renseignements confidentiels du Conseil privé de la Reine pour le Canada auxquels s’applique le paragraphe 70(1); aucun des renseignements auxquels il a accès en vertu du présent paragraphe ne peut, pour quelque motif que ce soit, lui être refusé</w:t>
      </w:r>
      <w:r w:rsidRPr="00B07B13">
        <w:rPr>
          <w:lang w:val="fr-CA"/>
        </w:rPr>
        <w:t>.</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Je ne puis accepter l’argument de la Commissaire voulant que l’arrêt </w:t>
      </w:r>
      <w:r w:rsidRPr="00B07B13">
        <w:rPr>
          <w:rFonts w:cs="Times New Roman"/>
          <w:i/>
          <w:lang w:val="fr-CA"/>
        </w:rPr>
        <w:t xml:space="preserve">Blood Tribe </w:t>
      </w:r>
      <w:r w:rsidRPr="00B07B13">
        <w:rPr>
          <w:rFonts w:cs="Times New Roman"/>
          <w:lang w:val="fr-CA"/>
        </w:rPr>
        <w:t xml:space="preserve">appuie cette interprétation, et ce, pour deux raisons. D’abord, la Cour reconnaît </w:t>
      </w:r>
      <w:r w:rsidRPr="00B07B13">
        <w:rPr>
          <w:rFonts w:cs="Times New Roman"/>
          <w:lang w:val="fr-CA"/>
        </w:rPr>
        <w:lastRenderedPageBreak/>
        <w:t xml:space="preserve">expressément dans </w:t>
      </w:r>
      <w:r w:rsidRPr="00B07B13">
        <w:rPr>
          <w:rFonts w:cs="Times New Roman"/>
          <w:i/>
          <w:lang w:val="fr-CA"/>
        </w:rPr>
        <w:t>Blood Tribe</w:t>
      </w:r>
      <w:r w:rsidRPr="00B07B13">
        <w:rPr>
          <w:rFonts w:cs="Times New Roman"/>
          <w:lang w:val="fr-CA"/>
        </w:rPr>
        <w:t xml:space="preserve"> que la portée du par. 34(2) de la</w:t>
      </w:r>
      <w:r w:rsidRPr="00B07B13">
        <w:rPr>
          <w:rFonts w:eastAsia="Times New Roman" w:cs="Times New Roman"/>
          <w:i/>
          <w:szCs w:val="24"/>
          <w:lang w:val="fr-CA" w:eastAsia="en-CA"/>
        </w:rPr>
        <w:t xml:space="preserve"> </w:t>
      </w:r>
      <w:r w:rsidRPr="00B07B13">
        <w:rPr>
          <w:rFonts w:cs="Times New Roman"/>
          <w:i/>
          <w:lang w:val="fr-CA"/>
        </w:rPr>
        <w:t>Loi sur la protection des renseignements personnels</w:t>
      </w:r>
      <w:r w:rsidRPr="00B07B13">
        <w:rPr>
          <w:rFonts w:cs="Times New Roman"/>
          <w:lang w:val="fr-CA"/>
        </w:rPr>
        <w:t xml:space="preserve"> ne fait pas l’objet du litige et que « [l]a question de l’interprétation correcte du par. 34(2) [de cette loi] sera tranchée lorsqu’elle sera posée directement, dans le cadre d’un autre pourvoi » (par. 29). Dans </w:t>
      </w:r>
      <w:r w:rsidRPr="00B07B13">
        <w:rPr>
          <w:rFonts w:cs="Times New Roman"/>
          <w:i/>
          <w:lang w:val="fr-CA"/>
        </w:rPr>
        <w:t>Blood Tribe</w:t>
      </w:r>
      <w:r w:rsidRPr="00B07B13">
        <w:rPr>
          <w:rFonts w:cs="Times New Roman"/>
          <w:lang w:val="fr-CA"/>
        </w:rPr>
        <w:t xml:space="preserve">, la Cour ne considère le par. 34(2) que pour faire la démonstration que les pouvoirs conférés à la Commissaire à la protection de la vie privée du Canada par la </w:t>
      </w:r>
      <w:r w:rsidRPr="00B07B13">
        <w:rPr>
          <w:rFonts w:cs="Times New Roman"/>
          <w:i/>
          <w:lang w:val="fr-CA"/>
        </w:rPr>
        <w:t xml:space="preserve">LPRPDE </w:t>
      </w:r>
      <w:r w:rsidRPr="00B07B13">
        <w:rPr>
          <w:rFonts w:cs="Times New Roman"/>
          <w:lang w:val="fr-CA"/>
        </w:rPr>
        <w:t xml:space="preserve">diffèrent de ceux dont l’investit la </w:t>
      </w:r>
      <w:r w:rsidRPr="00B07B13">
        <w:rPr>
          <w:rFonts w:cs="Times New Roman"/>
          <w:i/>
          <w:lang w:val="fr-CA"/>
        </w:rPr>
        <w:t>Loi sur la protection des renseignements personnels</w:t>
      </w:r>
      <w:r w:rsidRPr="00B07B13">
        <w:rPr>
          <w:rFonts w:cs="Times New Roman"/>
          <w:lang w:val="fr-CA"/>
        </w:rPr>
        <w:t>, et ce, afin de réfuter la thèse de la Commissaire à la protection de la vie privée du Canada (par. 28</w:t>
      </w:r>
      <w:r w:rsidRPr="00B07B13">
        <w:rPr>
          <w:rFonts w:cs="Times New Roman"/>
          <w:lang w:val="fr-CA"/>
        </w:rPr>
        <w:noBreakHyphen/>
        <w:t xml:space="preserve">29). Dans cet arrêt, la Cour n’énonce pas de critères définitifs concernant le libellé du par. 34(2) de la </w:t>
      </w:r>
      <w:r w:rsidRPr="00B07B13">
        <w:rPr>
          <w:rFonts w:cs="Times New Roman"/>
          <w:i/>
          <w:lang w:val="fr-CA"/>
        </w:rPr>
        <w:t>Loi sur la protection des renseignements personnels</w:t>
      </w:r>
      <w:r w:rsidRPr="00B07B13">
        <w:rPr>
          <w:rFonts w:cs="Times New Roman"/>
          <w:lang w:val="fr-CA"/>
        </w:rPr>
        <w:t>.</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Ensuite, si comme le reconnaît le juge Binnie, les énoncés </w:t>
      </w:r>
      <w:r w:rsidRPr="00B07B13">
        <w:rPr>
          <w:rFonts w:eastAsia="Times New Roman" w:cs="Times New Roman"/>
          <w:szCs w:val="24"/>
          <w:lang w:val="fr-FR" w:eastAsia="en-CA"/>
        </w:rPr>
        <w:t>« </w:t>
      </w:r>
      <w:r w:rsidRPr="00B07B13">
        <w:rPr>
          <w:rFonts w:cs="Times New Roman"/>
          <w:lang w:val="fr-FR"/>
        </w:rPr>
        <w:t>toute immunité reconnue par le droit de la preuve »</w:t>
      </w:r>
      <w:r w:rsidRPr="00B07B13">
        <w:rPr>
          <w:rFonts w:cs="Times New Roman"/>
          <w:lang w:val="fr-CA"/>
        </w:rPr>
        <w:t xml:space="preserve"> ou « tout privilège que reconnaît le droit de la preuve » confèrent explicitement un droit d’accès à certains renseignements confidentiels, j’estime qu’ils n’écartent pas clairement le secret professionnel de l’avocat, ni ne permettent clairement d’y porter atteinte. Rappelons que le secret professionnel de l’avocat n’est pas qu’une simple règle de preuve puisqu’il a été élevé au rang de règle de fond. En outre, l’interprétation contextuelle du par. 56(3) au regard du régime établi par la </w:t>
      </w:r>
      <w:r w:rsidRPr="00B07B13">
        <w:rPr>
          <w:rFonts w:cs="Times New Roman"/>
          <w:i/>
          <w:lang w:val="fr-CA"/>
        </w:rPr>
        <w:t>FOIPP</w:t>
      </w:r>
      <w:r w:rsidRPr="00B07B13">
        <w:rPr>
          <w:rFonts w:cs="Times New Roman"/>
          <w:lang w:val="fr-CA"/>
        </w:rPr>
        <w:t xml:space="preserve"> appuie la conclusion selon laquelle le législateur n’a pas voulu écarter le secret professionnel de l’avocat.</w:t>
      </w:r>
    </w:p>
    <w:p w:rsidR="00FA3C70" w:rsidRPr="00B07B13" w:rsidRDefault="00FA3C70" w:rsidP="00B3618F">
      <w:pPr>
        <w:pStyle w:val="Title3LevelTitre3Niveau"/>
        <w:widowControl w:val="0"/>
        <w:numPr>
          <w:ilvl w:val="0"/>
          <w:numId w:val="21"/>
        </w:numPr>
        <w:ind w:left="1440" w:hanging="720"/>
        <w:rPr>
          <w:rFonts w:cs="Times New Roman"/>
          <w:lang w:val="fr-CA"/>
        </w:rPr>
      </w:pPr>
      <w:r w:rsidRPr="00B07B13">
        <w:rPr>
          <w:rFonts w:cs="Times New Roman"/>
          <w:lang w:val="fr-CA"/>
        </w:rPr>
        <w:t>Le régime législatif étaye la conclusion selon laquelle le secret professionnel de l’avocat n’est pas écarté</w:t>
      </w:r>
    </w:p>
    <w:p w:rsidR="00FA3C70" w:rsidRPr="00B07B13" w:rsidRDefault="00FA3C70" w:rsidP="00B3618F">
      <w:pPr>
        <w:pStyle w:val="ParaNoNdepar-AltN"/>
        <w:widowControl w:val="0"/>
        <w:rPr>
          <w:rFonts w:cs="Times New Roman"/>
          <w:lang w:val="fr-CA"/>
        </w:rPr>
      </w:pPr>
      <w:r w:rsidRPr="00B07B13">
        <w:rPr>
          <w:rFonts w:cs="Times New Roman"/>
          <w:lang w:val="fr-CA"/>
        </w:rPr>
        <w:lastRenderedPageBreak/>
        <w:t>Outre l’absence au par. 56(3) d’un libellé clair, explicite et non équivoque, l’interprétation de la disposition dans le contexte global de la loi confirme également que le législateur n’a pas voulu écarter le secret professionnel de l’avocat.</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Premièrement, le par. 27(1) de la </w:t>
      </w:r>
      <w:r w:rsidRPr="00B07B13">
        <w:rPr>
          <w:rFonts w:cs="Times New Roman"/>
          <w:i/>
          <w:lang w:val="fr-CA"/>
        </w:rPr>
        <w:t>FOIPP</w:t>
      </w:r>
      <w:r w:rsidRPr="00B07B13">
        <w:rPr>
          <w:rFonts w:cs="Times New Roman"/>
          <w:lang w:val="fr-CA"/>
        </w:rPr>
        <w:t xml:space="preserve"> établit sans conteste qu’un organisme public peut refuser de communiquer des documents protégés par le secret professionnel de l’avocat :</w:t>
      </w:r>
    </w:p>
    <w:p w:rsidR="00FA3C70" w:rsidRPr="00B07B13" w:rsidRDefault="00FA3C70" w:rsidP="00B3618F">
      <w:pPr>
        <w:pStyle w:val="Citation-AltC"/>
        <w:widowControl w:val="0"/>
        <w:spacing w:after="240"/>
        <w:ind w:hanging="1166"/>
        <w:contextualSpacing w:val="0"/>
        <w:rPr>
          <w:lang w:val="fr-CA"/>
        </w:rPr>
      </w:pPr>
      <w:r w:rsidRPr="00B07B13">
        <w:rPr>
          <w:lang w:val="fr-CA"/>
        </w:rPr>
        <w:tab/>
        <w:t>[</w:t>
      </w:r>
      <w:r w:rsidRPr="00B07B13">
        <w:rPr>
          <w:smallCaps/>
          <w:lang w:val="fr-CA"/>
        </w:rPr>
        <w:t>traduction</w:t>
      </w:r>
      <w:r w:rsidRPr="00B07B13">
        <w:rPr>
          <w:lang w:val="fr-CA"/>
        </w:rPr>
        <w:t xml:space="preserve">] </w:t>
      </w:r>
      <w:r w:rsidRPr="00B07B13">
        <w:rPr>
          <w:b/>
          <w:lang w:val="fr-CA"/>
        </w:rPr>
        <w:t>27(1)</w:t>
      </w:r>
      <w:r w:rsidRPr="00B07B13">
        <w:rPr>
          <w:lang w:val="fr-CA"/>
        </w:rPr>
        <w:t xml:space="preserve"> Le responsable de l’organisme public peut refuser de communiquer à l’auteur d’une demande :</w:t>
      </w:r>
    </w:p>
    <w:p w:rsidR="00FA3C70" w:rsidRPr="00B07B13" w:rsidRDefault="003B0573" w:rsidP="00B3618F">
      <w:pPr>
        <w:pStyle w:val="Citation-AltC"/>
        <w:widowControl w:val="0"/>
        <w:tabs>
          <w:tab w:val="left" w:pos="1800"/>
        </w:tabs>
        <w:ind w:left="1800" w:hanging="360"/>
        <w:contextualSpacing w:val="0"/>
        <w:rPr>
          <w:lang w:val="fr-CA"/>
        </w:rPr>
      </w:pPr>
      <w:r>
        <w:rPr>
          <w:lang w:val="fr-CA"/>
        </w:rPr>
        <w:t>(</w:t>
      </w:r>
      <w:r w:rsidR="00FA3C70" w:rsidRPr="00B07B13">
        <w:rPr>
          <w:lang w:val="fr-CA"/>
        </w:rPr>
        <w:t>a)</w:t>
      </w:r>
      <w:r w:rsidR="00FA3C70" w:rsidRPr="00B07B13">
        <w:rPr>
          <w:lang w:val="fr-CA"/>
        </w:rPr>
        <w:tab/>
        <w:t xml:space="preserve">les renseignements qui sont protégés par </w:t>
      </w:r>
      <w:r w:rsidR="00FA3C70" w:rsidRPr="00B07B13">
        <w:rPr>
          <w:u w:val="single"/>
          <w:lang w:val="fr-CA"/>
        </w:rPr>
        <w:t>tout type de privilège légal, notamment le secret professionnel de l’avocat et le privilège parlementaire</w:t>
      </w:r>
      <w:r w:rsidR="00FA3C70" w:rsidRPr="00B07B13">
        <w:rPr>
          <w:lang w:val="fr-CA"/>
        </w:rPr>
        <w:t>,</w:t>
      </w:r>
    </w:p>
    <w:p w:rsidR="00FA3C70" w:rsidRPr="00B07B13" w:rsidRDefault="00FA3C70" w:rsidP="00B3618F">
      <w:pPr>
        <w:pStyle w:val="ContinueParaSuitedupar-AltP"/>
        <w:widowControl w:val="0"/>
        <w:rPr>
          <w:rFonts w:cs="Times New Roman"/>
          <w:lang w:val="fr-CA"/>
        </w:rPr>
      </w:pPr>
      <w:r w:rsidRPr="00B07B13">
        <w:rPr>
          <w:rFonts w:cs="Times New Roman"/>
          <w:lang w:val="fr-CA"/>
        </w:rPr>
        <w:t>Au paragraphe 27(1),</w:t>
      </w:r>
      <w:r w:rsidRPr="00B07B13">
        <w:rPr>
          <w:rFonts w:cs="Times New Roman"/>
          <w:i/>
          <w:lang w:val="fr-CA"/>
        </w:rPr>
        <w:t xml:space="preserve"> </w:t>
      </w:r>
      <w:r w:rsidRPr="00B07B13">
        <w:rPr>
          <w:rFonts w:cs="Times New Roman"/>
          <w:lang w:val="fr-CA"/>
        </w:rPr>
        <w:t>le législateur reconnaît et protège le droit de l’organisme public au secret professionnel de l’avocat en utilisant l’expression « secret professionnel de l’avocat ». Cela démontre qu’il a considéré cet aspect précis et qu’il était conscient de son importance. S’il avait voulu que le par. 56(3) oblige un organisme public à produire, sur demande du commissaire, des documents à l’égard desquels le secret professionnel de l’avocat est invoqué, il aurait pu employer des termes clairs, explicites et non équivoques en ce sens, comme il le fait au par. 27(1) de la même loi, où il reconnaît à l’organisme public le droit d’invoquer le secret professionnel de l’avocat à l’égard de renseignements. Lorsqu’il établit les pouvoirs du commissaire concernant la production de documents, le législateur n’emploie pas un libellé aussi précis qui écarterait le privilège vis</w:t>
      </w:r>
      <w:r w:rsidRPr="00B07B13">
        <w:rPr>
          <w:rFonts w:cs="Times New Roman"/>
          <w:lang w:val="fr-CA"/>
        </w:rPr>
        <w:noBreakHyphen/>
        <w:t>à</w:t>
      </w:r>
      <w:r w:rsidRPr="00B07B13">
        <w:rPr>
          <w:rFonts w:cs="Times New Roman"/>
          <w:lang w:val="fr-CA"/>
        </w:rPr>
        <w:noBreakHyphen/>
        <w:t>vis du commissaire ou qui lui permettrait d’y porter atteinte.</w:t>
      </w:r>
    </w:p>
    <w:p w:rsidR="00FA3C70" w:rsidRPr="00B07B13" w:rsidRDefault="00FA3C70" w:rsidP="00B3618F">
      <w:pPr>
        <w:pStyle w:val="ParaNoNdepar-AltN"/>
        <w:widowControl w:val="0"/>
        <w:rPr>
          <w:rFonts w:cs="Times New Roman"/>
          <w:lang w:val="fr-CA"/>
        </w:rPr>
      </w:pPr>
      <w:r w:rsidRPr="00B07B13">
        <w:rPr>
          <w:rFonts w:cs="Times New Roman"/>
          <w:lang w:val="fr-CA"/>
        </w:rPr>
        <w:lastRenderedPageBreak/>
        <w:t>De plus, l’emploi de l’expression [</w:t>
      </w:r>
      <w:r w:rsidRPr="00B07B13">
        <w:rPr>
          <w:rFonts w:cs="Times New Roman"/>
          <w:smallCaps/>
          <w:lang w:val="fr-CA"/>
        </w:rPr>
        <w:t>traduction</w:t>
      </w:r>
      <w:r w:rsidRPr="00B07B13">
        <w:rPr>
          <w:rFonts w:cs="Times New Roman"/>
          <w:lang w:val="fr-CA"/>
        </w:rPr>
        <w:t xml:space="preserve">] « privilège que reconnaît le droit de la preuve » au par. 56(3), par opposition à celle de « privilège légal » au par. 27(1), est important, car le législateur est présumé utiliser une expression de façon uniforme dans un même texte de loi (R. Sullivan, </w:t>
      </w:r>
      <w:r w:rsidRPr="00B07B13">
        <w:rPr>
          <w:rFonts w:cs="Times New Roman"/>
          <w:i/>
          <w:lang w:val="fr-CA"/>
        </w:rPr>
        <w:t xml:space="preserve">Sullivan on the Construction of Statutes </w:t>
      </w:r>
      <w:r w:rsidRPr="00B07B13">
        <w:rPr>
          <w:rFonts w:cs="Times New Roman"/>
          <w:lang w:val="fr-CA"/>
        </w:rPr>
        <w:t>(6</w:t>
      </w:r>
      <w:r w:rsidRPr="00B07B13">
        <w:rPr>
          <w:rFonts w:cs="Times New Roman"/>
          <w:vertAlign w:val="superscript"/>
          <w:lang w:val="fr-CA"/>
        </w:rPr>
        <w:t>e</w:t>
      </w:r>
      <w:r w:rsidRPr="00B07B13">
        <w:rPr>
          <w:rFonts w:cs="Times New Roman"/>
          <w:lang w:val="fr-CA"/>
        </w:rPr>
        <w:t> éd. 2014), §8.36). Les termes différents employés dans un même texte législatif sont donc censés avoir des sens différents. Si tel n’était pas le cas, le législateur n’aurait employé qu’un seul de ces termes (</w:t>
      </w:r>
      <w:r w:rsidRPr="00B07B13">
        <w:rPr>
          <w:rFonts w:cs="Times New Roman"/>
          <w:i/>
          <w:lang w:val="fr-CA"/>
        </w:rPr>
        <w:t>Agraira c. Canada (Sécurité publique et Protection civile)</w:t>
      </w:r>
      <w:r w:rsidRPr="00B07B13">
        <w:rPr>
          <w:rFonts w:cs="Times New Roman"/>
          <w:lang w:val="fr-CA"/>
        </w:rPr>
        <w:t>, 2013 CSC 36, [2013] 2 R.C.S. 559,</w:t>
      </w:r>
      <w:r w:rsidRPr="00B07B13">
        <w:rPr>
          <w:rFonts w:cs="Times New Roman"/>
          <w:i/>
          <w:lang w:val="fr-CA"/>
        </w:rPr>
        <w:t xml:space="preserve"> </w:t>
      </w:r>
      <w:r w:rsidRPr="00B07B13">
        <w:rPr>
          <w:rFonts w:cs="Times New Roman"/>
          <w:lang w:val="fr-CA"/>
        </w:rPr>
        <w:t xml:space="preserve">par. 81; </w:t>
      </w:r>
      <w:r w:rsidRPr="00B07B13">
        <w:rPr>
          <w:rFonts w:cs="Times New Roman"/>
          <w:i/>
          <w:lang w:val="fr-CA"/>
        </w:rPr>
        <w:t>R. c. Barnier</w:t>
      </w:r>
      <w:r w:rsidRPr="00B07B13">
        <w:rPr>
          <w:rFonts w:cs="Times New Roman"/>
          <w:lang w:val="fr-CA"/>
        </w:rPr>
        <w:t>, [1980] 1 R.C.S. 1124, p. 1135</w:t>
      </w:r>
      <w:r w:rsidRPr="00B07B13">
        <w:rPr>
          <w:rFonts w:cs="Times New Roman"/>
          <w:lang w:val="fr-CA"/>
        </w:rPr>
        <w:noBreakHyphen/>
        <w:t>1136). Si le législateur avait voulu permettre au commissaire d’exiger la production de documents à l’égard desquels le secret professionnel de l’avocat est invoqué, il aurait pu le faire au par. 56(3) en employant les mêmes termes qu’au par. 27(1) au lieu de l’expression « privilège que reconnaît le droit de la preuve ».</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Deuxièmement, il s’agit d’une interprétation cohérente. Dans le contexte de la </w:t>
      </w:r>
      <w:r w:rsidRPr="00B07B13">
        <w:rPr>
          <w:rFonts w:cs="Times New Roman"/>
          <w:i/>
          <w:lang w:val="fr-CA"/>
        </w:rPr>
        <w:t>FOIPP</w:t>
      </w:r>
      <w:r w:rsidRPr="00B07B13">
        <w:rPr>
          <w:rFonts w:cs="Times New Roman"/>
          <w:lang w:val="fr-CA"/>
        </w:rPr>
        <w:t>, « privilège légal » a une portée plus grande que « privilège que reconnaît le droit de la preuve ». Comme l’écrit la professeure Sullivan, [</w:t>
      </w:r>
      <w:r w:rsidRPr="00B07B13">
        <w:rPr>
          <w:rFonts w:cs="Times New Roman"/>
          <w:smallCaps/>
          <w:lang w:val="fr-CA"/>
        </w:rPr>
        <w:t>traduction</w:t>
      </w:r>
      <w:r w:rsidRPr="00B07B13">
        <w:rPr>
          <w:rFonts w:cs="Times New Roman"/>
          <w:lang w:val="fr-CA"/>
        </w:rPr>
        <w:t>] « </w:t>
      </w:r>
      <w:r w:rsidR="003B0573">
        <w:rPr>
          <w:rFonts w:cs="Times New Roman"/>
          <w:lang w:val="fr-CA"/>
        </w:rPr>
        <w:t>[</w:t>
      </w:r>
      <w:r w:rsidRPr="00B07B13">
        <w:rPr>
          <w:rFonts w:cs="Times New Roman"/>
          <w:lang w:val="fr-CA"/>
        </w:rPr>
        <w:t>l</w:t>
      </w:r>
      <w:r w:rsidR="003B0573">
        <w:rPr>
          <w:rFonts w:cs="Times New Roman"/>
          <w:lang w:val="fr-CA"/>
        </w:rPr>
        <w:t>]</w:t>
      </w:r>
      <w:r w:rsidRPr="00B07B13">
        <w:rPr>
          <w:rFonts w:cs="Times New Roman"/>
          <w:lang w:val="fr-CA"/>
        </w:rPr>
        <w:t>’énumération d’exemples après le mot “notamment” vise normalement à souligner la portée étendue d’un libellé général et à faire en sorte qu’il ne fasse pas l’objet à tort d’une interprétation atténuée de manière à exclure une chose que le législateur a voulu inclure » (§</w:t>
      </w:r>
      <w:r w:rsidR="003B0573">
        <w:rPr>
          <w:rFonts w:cs="Times New Roman"/>
          <w:lang w:val="fr-CA"/>
        </w:rPr>
        <w:t>4.39</w:t>
      </w:r>
      <w:r w:rsidRPr="00B07B13">
        <w:rPr>
          <w:rFonts w:cs="Times New Roman"/>
          <w:lang w:val="fr-CA"/>
        </w:rPr>
        <w:t>). Au pa</w:t>
      </w:r>
      <w:r w:rsidR="003B0573">
        <w:rPr>
          <w:rFonts w:cs="Times New Roman"/>
          <w:lang w:val="fr-CA"/>
        </w:rPr>
        <w:t>ragraphe</w:t>
      </w:r>
      <w:r w:rsidRPr="00B07B13">
        <w:rPr>
          <w:rFonts w:cs="Times New Roman"/>
          <w:lang w:val="fr-CA"/>
        </w:rPr>
        <w:t> 27(1), le libellé général [</w:t>
      </w:r>
      <w:r w:rsidRPr="00B07B13">
        <w:rPr>
          <w:rFonts w:cs="Times New Roman"/>
          <w:smallCaps/>
          <w:lang w:val="fr-CA"/>
        </w:rPr>
        <w:t>traduction</w:t>
      </w:r>
      <w:r w:rsidRPr="00B07B13">
        <w:rPr>
          <w:rFonts w:cs="Times New Roman"/>
          <w:lang w:val="fr-CA"/>
        </w:rPr>
        <w:t xml:space="preserve">] « tout type de privilège légal » est suivi des mots « notamment le secret professionnel de l’avocat et le privilège parlementaire » afin d’inclure ces deux immunités qui figurent parmi celles </w:t>
      </w:r>
      <w:r w:rsidRPr="00B07B13">
        <w:rPr>
          <w:rFonts w:cs="Times New Roman"/>
          <w:lang w:val="fr-CA"/>
        </w:rPr>
        <w:lastRenderedPageBreak/>
        <w:t>qui sont les mieux protégées. Cette disposition démontre clairement l’intention du législateur de protéger une vaste gamme de documents privilégiés contre leur communication forcée par un organisme public à l’auteur d’une demande.</w:t>
      </w:r>
    </w:p>
    <w:p w:rsidR="00FA3C70" w:rsidRPr="00B07B13" w:rsidRDefault="00FA3C70" w:rsidP="00B3618F">
      <w:pPr>
        <w:pStyle w:val="ParaNoNdepar-AltN"/>
        <w:widowControl w:val="0"/>
        <w:rPr>
          <w:rFonts w:cs="Times New Roman"/>
          <w:lang w:val="fr-CA"/>
        </w:rPr>
      </w:pPr>
      <w:r w:rsidRPr="00B07B13">
        <w:rPr>
          <w:rFonts w:cs="Times New Roman"/>
          <w:lang w:val="fr-CA"/>
        </w:rPr>
        <w:t>[</w:t>
      </w:r>
      <w:r w:rsidRPr="00B07B13">
        <w:rPr>
          <w:rFonts w:cs="Times New Roman"/>
          <w:smallCaps/>
          <w:lang w:val="fr-CA"/>
        </w:rPr>
        <w:t>traduction</w:t>
      </w:r>
      <w:r w:rsidRPr="00B07B13">
        <w:rPr>
          <w:rFonts w:cs="Times New Roman"/>
          <w:lang w:val="fr-CA"/>
        </w:rPr>
        <w:t>] « [T]out privilège que reconnaît le droit de la preuve » est une sous</w:t>
      </w:r>
      <w:r w:rsidRPr="00B07B13">
        <w:rPr>
          <w:rFonts w:cs="Times New Roman"/>
          <w:lang w:val="fr-CA"/>
        </w:rPr>
        <w:noBreakHyphen/>
        <w:t>catégorie de « privilège léga</w:t>
      </w:r>
      <w:r w:rsidR="003B0573">
        <w:rPr>
          <w:rFonts w:cs="Times New Roman"/>
          <w:lang w:val="fr-CA"/>
        </w:rPr>
        <w:t>l</w:t>
      </w:r>
      <w:r w:rsidRPr="00B07B13">
        <w:rPr>
          <w:rFonts w:cs="Times New Roman"/>
          <w:lang w:val="fr-CA"/>
        </w:rPr>
        <w:t> ». Suivant le par. 56(3), un organisme public peut être tenu de produire à l’intention du commissaire des documents à l’égard desquels est invoqué un « privilège que reconnaît le droit de la preuve » afin que le commissaire se prononce sur l’existence de celui</w:t>
      </w:r>
      <w:r w:rsidRPr="00B07B13">
        <w:rPr>
          <w:rFonts w:cs="Times New Roman"/>
          <w:lang w:val="fr-CA"/>
        </w:rPr>
        <w:noBreakHyphen/>
        <w:t>ci.</w:t>
      </w:r>
    </w:p>
    <w:p w:rsidR="00FA3C70" w:rsidRPr="00B07B13" w:rsidRDefault="00FA3C70" w:rsidP="00B3618F">
      <w:pPr>
        <w:pStyle w:val="ParaNoNdepar-AltN"/>
        <w:widowControl w:val="0"/>
        <w:rPr>
          <w:rFonts w:cs="Times New Roman"/>
          <w:lang w:val="fr-CA"/>
        </w:rPr>
      </w:pPr>
      <w:r w:rsidRPr="00B07B13">
        <w:rPr>
          <w:rFonts w:cs="Times New Roman"/>
          <w:lang w:val="fr-CA"/>
        </w:rPr>
        <w:t>Interprétés de pair, les par. 27(1) et 56(3) font en sorte qu’un organisme public peut refuser de communiquer un document qui fait l’objet d’un « privilège légal ». Le commissaire peut obtenir certains documents protégés en vue de leur examen, y compris ceux à l’égard desquels un [</w:t>
      </w:r>
      <w:r w:rsidRPr="00B07B13">
        <w:rPr>
          <w:rFonts w:cs="Times New Roman"/>
          <w:smallCaps/>
          <w:lang w:val="fr-CA"/>
        </w:rPr>
        <w:t>traduction</w:t>
      </w:r>
      <w:r w:rsidRPr="00B07B13">
        <w:rPr>
          <w:rFonts w:cs="Times New Roman"/>
          <w:lang w:val="fr-CA"/>
        </w:rPr>
        <w:t>] « privilège que reconnaît le droit de la preuve » est invoqué, et il peut alors se prononcer sur le bien</w:t>
      </w:r>
      <w:r w:rsidRPr="00B07B13">
        <w:rPr>
          <w:rFonts w:cs="Times New Roman"/>
          <w:lang w:val="fr-CA"/>
        </w:rPr>
        <w:noBreakHyphen/>
        <w:t>fondé de la revendication.</w:t>
      </w:r>
    </w:p>
    <w:p w:rsidR="00FA3C70" w:rsidRPr="00B07B13" w:rsidRDefault="00FA3C70" w:rsidP="00B3618F">
      <w:pPr>
        <w:pStyle w:val="ParaNoNdepar-AltN"/>
        <w:widowControl w:val="0"/>
        <w:rPr>
          <w:rFonts w:cs="Times New Roman"/>
          <w:lang w:val="fr-CA"/>
        </w:rPr>
      </w:pPr>
      <w:r w:rsidRPr="00B07B13">
        <w:rPr>
          <w:rFonts w:cs="Times New Roman"/>
          <w:lang w:val="fr-CA"/>
        </w:rPr>
        <w:t>Le secret professionnel de l’avocat constitue manifestement un « privilège légal » suivant le par. 27(1), mais non un [</w:t>
      </w:r>
      <w:r w:rsidRPr="00B07B13">
        <w:rPr>
          <w:rFonts w:cs="Times New Roman"/>
          <w:smallCaps/>
          <w:lang w:val="fr-CA"/>
        </w:rPr>
        <w:t>traduction</w:t>
      </w:r>
      <w:r w:rsidRPr="00B07B13">
        <w:rPr>
          <w:rFonts w:cs="Times New Roman"/>
          <w:lang w:val="fr-CA"/>
        </w:rPr>
        <w:t xml:space="preserve">] « privilège que reconnaît le droit de la preuve » au sens du par. 56(3). Je le rappelle, l’expression « privilège que reconnaît le droit de la preuve » n’est pas suffisamment précise pour traduire l’importance générale que revêt sur le fond le secret professionnel de l’avocat. Le responsable d’un organisme public peut donc refuser de communiquer des renseignements en vertu du par. 27(1), et le commissaire ne peut le contraindre à les </w:t>
      </w:r>
      <w:r w:rsidRPr="00B07B13">
        <w:rPr>
          <w:rFonts w:cs="Times New Roman"/>
          <w:lang w:val="fr-CA"/>
        </w:rPr>
        <w:lastRenderedPageBreak/>
        <w:t>communiquer pour examen en vertu du par. 56(3). Cela signifie simplement que le commissaire ne pourra examiner les documents à l’égard desquels le secret professionnel de l’avocat est invoqué. La nature du secret professionnel de l’avocat en tant que privilège bénéficiant d’une grande protection est ainsi respectée.</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Troisièmement, étant donné l’importance fondamentale du secret professionnel de l’avocat, si le législateur avait voulu l’écarter, il aurait vraisemblablement établi certaines sauvegardes afin de faire en sorte que la communication de documents protégés par le secret professionnel de l’avocat n’intervienne pas de manière préjudiciable au droit substantiel. Qui plus est, aucune disposition de la </w:t>
      </w:r>
      <w:r w:rsidRPr="00B07B13">
        <w:rPr>
          <w:rFonts w:cs="Times New Roman"/>
          <w:i/>
          <w:lang w:val="fr-CA"/>
        </w:rPr>
        <w:t xml:space="preserve">FOIPP </w:t>
      </w:r>
      <w:r w:rsidRPr="00B07B13">
        <w:rPr>
          <w:rFonts w:cs="Times New Roman"/>
          <w:lang w:val="fr-CA"/>
        </w:rPr>
        <w:t>ne prévoit que la communication au commissaire d’un document protégé par le secret professionnel de l’avocat emporte renonciation au privilège. L’absence dans ce texte législatif de toute précision quant aux conditions auxquelles le privilège peut être écarté et à la mesure dans laquelle il peut l’être suggère que le législateur n’a pas voulu lever le secret professionnel de l’avocat.</w:t>
      </w:r>
    </w:p>
    <w:p w:rsidR="00FA3C70" w:rsidRPr="00B07B13" w:rsidRDefault="00FA3C70" w:rsidP="00B3618F">
      <w:pPr>
        <w:pStyle w:val="ParaNoNdepar-AltN"/>
        <w:widowControl w:val="0"/>
        <w:rPr>
          <w:rFonts w:cs="Times New Roman"/>
          <w:lang w:val="fr-CA"/>
        </w:rPr>
      </w:pPr>
      <w:r w:rsidRPr="00B07B13">
        <w:rPr>
          <w:rFonts w:cs="Times New Roman"/>
          <w:lang w:val="fr-CA"/>
        </w:rPr>
        <w:t>De façon générale, cela ne signifie pas que l’auteur d’une demande ne dispose pas d’autres moyens pour obtenir la communication de documents à l’égard desquels le secret professionnel de l’avocat est invoqué. Il convient de signaler que, dans la présente affaire, l’auteure de la demande a eu la possibilité de demander au tribunal la communication de tels documents dans le cadre de l’action qu’elle a intentée contre l’Université, mais qu’elle ne s’en est pas prévalu.</w:t>
      </w:r>
    </w:p>
    <w:p w:rsidR="00FA3C70" w:rsidRPr="00B07B13" w:rsidRDefault="00FA3C70" w:rsidP="00B3618F">
      <w:pPr>
        <w:pStyle w:val="ParaNoNdepar-AltN"/>
        <w:widowControl w:val="0"/>
        <w:rPr>
          <w:rFonts w:cs="Times New Roman"/>
          <w:szCs w:val="24"/>
          <w:lang w:val="fr-CA"/>
        </w:rPr>
      </w:pPr>
      <w:r w:rsidRPr="00B07B13">
        <w:rPr>
          <w:rFonts w:cs="Times New Roman"/>
          <w:lang w:val="fr-CA"/>
        </w:rPr>
        <w:t xml:space="preserve">Je conviens avec mon collègue le juge Cromwell que la prise en compte de </w:t>
      </w:r>
      <w:r w:rsidRPr="00B07B13">
        <w:rPr>
          <w:rFonts w:cs="Times New Roman"/>
          <w:lang w:val="fr-CA"/>
        </w:rPr>
        <w:lastRenderedPageBreak/>
        <w:t xml:space="preserve">dispositions parallèles d’autres lois peut offrir une certaine assistance dans l’interprétation d’un libellé législatif spécifique. Mais ni les mots ni les énoncés ne peuvent être isolés de leur contexte législatif et transposés d’emblée dans une autre loi. L’examen attentif de la </w:t>
      </w:r>
      <w:r w:rsidRPr="00B07B13">
        <w:rPr>
          <w:rFonts w:cs="Times New Roman"/>
          <w:i/>
          <w:lang w:val="fr-CA"/>
        </w:rPr>
        <w:t>Freedom of Information and Protection of Privacy Act</w:t>
      </w:r>
      <w:r w:rsidRPr="00B07B13">
        <w:rPr>
          <w:rFonts w:cs="Times New Roman"/>
          <w:lang w:val="fr-CA"/>
        </w:rPr>
        <w:t xml:space="preserve"> de la Colombie</w:t>
      </w:r>
      <w:r w:rsidRPr="00B07B13">
        <w:rPr>
          <w:rFonts w:cs="Times New Roman"/>
          <w:lang w:val="fr-CA"/>
        </w:rPr>
        <w:noBreakHyphen/>
        <w:t>Britannique</w:t>
      </w:r>
      <w:r w:rsidR="007A441D">
        <w:rPr>
          <w:rFonts w:cs="Times New Roman"/>
          <w:lang w:val="fr-CA"/>
        </w:rPr>
        <w:t>,</w:t>
      </w:r>
      <w:r w:rsidRPr="00B07B13">
        <w:rPr>
          <w:rFonts w:cs="Times New Roman"/>
          <w:lang w:val="fr-CA"/>
        </w:rPr>
        <w:t xml:space="preserve"> R.S.B.C. 1996, c. 165, par. 44(3)</w:t>
      </w:r>
      <w:r w:rsidR="007A441D">
        <w:rPr>
          <w:rFonts w:cs="Times New Roman"/>
          <w:lang w:val="fr-CA"/>
        </w:rPr>
        <w:t>,</w:t>
      </w:r>
      <w:r w:rsidRPr="00B07B13">
        <w:rPr>
          <w:rFonts w:cs="Times New Roman"/>
          <w:lang w:val="fr-CA"/>
        </w:rPr>
        <w:t xml:space="preserve"> au regard des dispositions visées en l’espèce révèle des différences majeures entre le cadre d’application de la loi albertaine et celui de la loi britanno</w:t>
      </w:r>
      <w:r w:rsidRPr="00B07B13">
        <w:rPr>
          <w:rFonts w:cs="Times New Roman"/>
          <w:lang w:val="fr-CA"/>
        </w:rPr>
        <w:noBreakHyphen/>
        <w:t>colombienne, notamment au chapitre des pouvoirs du commissaire :</w:t>
      </w:r>
    </w:p>
    <w:p w:rsidR="00FA3C70" w:rsidRPr="00B07B13" w:rsidRDefault="00FA3C70" w:rsidP="00854CF6">
      <w:pPr>
        <w:pStyle w:val="Citation-AltC"/>
        <w:widowControl w:val="0"/>
        <w:spacing w:after="480"/>
        <w:ind w:hanging="1166"/>
        <w:contextualSpacing w:val="0"/>
        <w:rPr>
          <w:bCs/>
          <w:u w:val="single"/>
          <w:lang w:val="fr-CA"/>
        </w:rPr>
      </w:pPr>
      <w:r w:rsidRPr="00B07B13">
        <w:rPr>
          <w:u w:val="single"/>
          <w:lang w:val="fr-CA"/>
        </w:rPr>
        <w:t>La loi albertaine</w:t>
      </w:r>
    </w:p>
    <w:p w:rsidR="00FA3C70" w:rsidRPr="00B07B13" w:rsidRDefault="00FA3C70" w:rsidP="00B3618F">
      <w:pPr>
        <w:pStyle w:val="Citation-AltC"/>
        <w:widowControl w:val="0"/>
        <w:spacing w:after="240"/>
        <w:ind w:left="1168" w:hanging="1168"/>
        <w:contextualSpacing w:val="0"/>
        <w:rPr>
          <w:bCs/>
          <w:lang w:val="fr-CA"/>
        </w:rPr>
      </w:pPr>
      <w:r w:rsidRPr="00B07B13">
        <w:rPr>
          <w:lang w:val="fr-CA"/>
        </w:rPr>
        <w:tab/>
        <w:t>[</w:t>
      </w:r>
      <w:r w:rsidRPr="00B07B13">
        <w:rPr>
          <w:smallCaps/>
          <w:lang w:val="fr-CA"/>
        </w:rPr>
        <w:t>traduction</w:t>
      </w:r>
      <w:r w:rsidRPr="00B07B13">
        <w:rPr>
          <w:lang w:val="fr-CA"/>
        </w:rPr>
        <w:t xml:space="preserve">] </w:t>
      </w:r>
      <w:r w:rsidRPr="00B07B13">
        <w:rPr>
          <w:b/>
          <w:lang w:val="fr-CA"/>
        </w:rPr>
        <w:t>Pouvoirs du commissaire en matière d’enquête</w:t>
      </w:r>
      <w:r w:rsidRPr="00B07B13">
        <w:rPr>
          <w:lang w:val="fr-CA"/>
        </w:rPr>
        <w:t xml:space="preserve"> </w:t>
      </w:r>
    </w:p>
    <w:p w:rsidR="00FA3C70" w:rsidRPr="00B07B13" w:rsidRDefault="00FA3C70" w:rsidP="00B3618F">
      <w:pPr>
        <w:pStyle w:val="Citation-AltC"/>
        <w:widowControl w:val="0"/>
        <w:spacing w:after="240"/>
        <w:ind w:left="1168" w:hanging="1168"/>
        <w:contextualSpacing w:val="0"/>
        <w:rPr>
          <w:lang w:val="fr-CA"/>
        </w:rPr>
      </w:pPr>
      <w:r w:rsidRPr="00B07B13">
        <w:rPr>
          <w:b/>
          <w:lang w:val="fr-CA"/>
        </w:rPr>
        <w:tab/>
        <w:t>56(1)</w:t>
      </w:r>
      <w:r w:rsidRPr="00B07B13">
        <w:rPr>
          <w:lang w:val="fr-CA"/>
        </w:rPr>
        <w:t> Lorsqu’il mène une enquête au titre de l’alinéa 53(1)</w:t>
      </w:r>
      <w:r w:rsidR="003B0573">
        <w:rPr>
          <w:lang w:val="fr-CA"/>
        </w:rPr>
        <w:t>(</w:t>
      </w:r>
      <w:r w:rsidRPr="00B07B13">
        <w:rPr>
          <w:lang w:val="fr-CA"/>
        </w:rPr>
        <w:t xml:space="preserve">a) ou des articles 69 ou 74.5 ou qu’il donne des conseils ou fait des recommandations au titre de l’article 54, le commissaire est investi des mêmes pouvoirs, privilèges et immunités qu’un commissaire nommé en vertu de la </w:t>
      </w:r>
      <w:r w:rsidRPr="00B07B13">
        <w:rPr>
          <w:i/>
          <w:lang w:val="fr-CA"/>
        </w:rPr>
        <w:t>Public Inquiries Act</w:t>
      </w:r>
      <w:r w:rsidRPr="00B07B13">
        <w:rPr>
          <w:lang w:val="fr-CA"/>
        </w:rPr>
        <w:t>, ainsi que des pouvoirs énoncés au paragraphe (2) du présent article.</w:t>
      </w:r>
    </w:p>
    <w:p w:rsidR="00FA3C70" w:rsidRPr="00B07B13" w:rsidRDefault="00FA3C70" w:rsidP="00B3618F">
      <w:pPr>
        <w:pStyle w:val="Citation-AltC"/>
        <w:widowControl w:val="0"/>
        <w:spacing w:after="240"/>
        <w:ind w:left="1168" w:hanging="1168"/>
        <w:contextualSpacing w:val="0"/>
        <w:rPr>
          <w:lang w:val="fr-CA"/>
        </w:rPr>
      </w:pPr>
      <w:r w:rsidRPr="00B07B13">
        <w:rPr>
          <w:b/>
          <w:lang w:val="fr-CA"/>
        </w:rPr>
        <w:tab/>
        <w:t>(2)</w:t>
      </w:r>
      <w:r w:rsidRPr="00B07B13">
        <w:rPr>
          <w:lang w:val="fr-CA"/>
        </w:rPr>
        <w:t> Le commissaire peut exiger la production de tout document et peut examiner les renseignements qui y sont contenus, y compris les renseignements personnels, que le document soit visé ou non par les dispositions de la présente loi.</w:t>
      </w:r>
    </w:p>
    <w:p w:rsidR="00FA3C70" w:rsidRPr="00B07B13" w:rsidRDefault="00FA3C70" w:rsidP="00854CF6">
      <w:pPr>
        <w:pStyle w:val="Citation-AltC"/>
        <w:widowControl w:val="0"/>
        <w:spacing w:after="480"/>
        <w:ind w:hanging="1166"/>
        <w:contextualSpacing w:val="0"/>
        <w:rPr>
          <w:lang w:val="fr-CA"/>
        </w:rPr>
      </w:pPr>
      <w:r w:rsidRPr="00B07B13">
        <w:rPr>
          <w:b/>
          <w:lang w:val="fr-CA"/>
        </w:rPr>
        <w:tab/>
        <w:t>(3)</w:t>
      </w:r>
      <w:r w:rsidRPr="00B07B13">
        <w:rPr>
          <w:lang w:val="fr-CA"/>
        </w:rPr>
        <w:t> Malgré toute autre loi ou tout privilège que reconnaît le droit de la preuve, l’organisme public produit dans les dix jours l’original ou une copie des documents exigés par le commissaire en vertu des paragraphes (1) ou (2).</w:t>
      </w:r>
    </w:p>
    <w:p w:rsidR="00FA3C70" w:rsidRPr="00B07B13" w:rsidRDefault="00FA3C70" w:rsidP="00854CF6">
      <w:pPr>
        <w:pStyle w:val="Citation-AltC"/>
        <w:widowControl w:val="0"/>
        <w:spacing w:after="480"/>
        <w:ind w:hanging="1166"/>
        <w:contextualSpacing w:val="0"/>
        <w:rPr>
          <w:lang w:val="fr-CA"/>
        </w:rPr>
      </w:pPr>
      <w:r w:rsidRPr="00B07B13">
        <w:rPr>
          <w:bCs/>
          <w:u w:val="single"/>
          <w:lang w:val="fr-CA"/>
        </w:rPr>
        <w:t>La loi britanno</w:t>
      </w:r>
      <w:r w:rsidRPr="00B07B13">
        <w:rPr>
          <w:bCs/>
          <w:u w:val="single"/>
          <w:lang w:val="fr-CA"/>
        </w:rPr>
        <w:noBreakHyphen/>
        <w:t>colombienne</w:t>
      </w:r>
    </w:p>
    <w:p w:rsidR="00FA3C70" w:rsidRPr="00B07B13" w:rsidRDefault="00FA3C70" w:rsidP="00B3618F">
      <w:pPr>
        <w:pStyle w:val="Citation-AltC"/>
        <w:widowControl w:val="0"/>
        <w:spacing w:after="240"/>
        <w:ind w:left="1168" w:hanging="1168"/>
        <w:contextualSpacing w:val="0"/>
        <w:rPr>
          <w:b/>
          <w:bCs/>
          <w:lang w:val="fr-CA"/>
        </w:rPr>
      </w:pPr>
      <w:r w:rsidRPr="00B07B13">
        <w:rPr>
          <w:smallCaps/>
          <w:lang w:val="fr-CA"/>
        </w:rPr>
        <w:tab/>
        <w:t>[traduction</w:t>
      </w:r>
      <w:r w:rsidRPr="00B07B13">
        <w:rPr>
          <w:lang w:val="fr-CA"/>
        </w:rPr>
        <w:t xml:space="preserve">] </w:t>
      </w:r>
      <w:r w:rsidRPr="00B07B13">
        <w:rPr>
          <w:b/>
          <w:lang w:val="fr-CA"/>
        </w:rPr>
        <w:t xml:space="preserve">Pouvoirs du commissaire en matière d’enquête </w:t>
      </w:r>
      <w:r w:rsidRPr="00B07B13">
        <w:rPr>
          <w:b/>
          <w:bCs/>
          <w:lang w:val="fr-CA"/>
        </w:rPr>
        <w:t>et de vérification</w:t>
      </w:r>
    </w:p>
    <w:p w:rsidR="00FA3C70" w:rsidRPr="00B07B13" w:rsidRDefault="00FA3C70" w:rsidP="00B3618F">
      <w:pPr>
        <w:pStyle w:val="Citation-AltC"/>
        <w:widowControl w:val="0"/>
        <w:tabs>
          <w:tab w:val="left" w:pos="1620"/>
        </w:tabs>
        <w:spacing w:after="240"/>
        <w:ind w:left="1620" w:hanging="450"/>
        <w:contextualSpacing w:val="0"/>
        <w:rPr>
          <w:lang w:val="fr-CA"/>
        </w:rPr>
      </w:pPr>
      <w:r w:rsidRPr="00B07B13">
        <w:rPr>
          <w:b/>
          <w:bCs/>
          <w:lang w:val="fr-CA"/>
        </w:rPr>
        <w:lastRenderedPageBreak/>
        <w:t>44</w:t>
      </w:r>
      <w:r w:rsidRPr="00B07B13">
        <w:rPr>
          <w:lang w:val="fr-CA"/>
        </w:rPr>
        <w:t xml:space="preserve"> </w:t>
      </w:r>
      <w:r w:rsidR="001630D4">
        <w:rPr>
          <w:lang w:val="fr-CA"/>
        </w:rPr>
        <w:tab/>
      </w:r>
      <w:r w:rsidRPr="00B07B13">
        <w:rPr>
          <w:lang w:val="fr-CA"/>
        </w:rPr>
        <w:t>(1) Pour les besoins d’une enquête ou d’une vérification entreprise sous le régime de l’article 42 ou d’une enquête fondée sur l’article 56, le commissaire peut rendre une ordonnance enjoignant à une personne de faire l’une ou l’autre des choses suivantes, ou les deux :</w:t>
      </w:r>
    </w:p>
    <w:p w:rsidR="00FA3C70" w:rsidRPr="00B07B13" w:rsidRDefault="00FA3C70" w:rsidP="00B3618F">
      <w:pPr>
        <w:pStyle w:val="Citation-AltC"/>
        <w:widowControl w:val="0"/>
        <w:tabs>
          <w:tab w:val="left" w:pos="1620"/>
        </w:tabs>
        <w:spacing w:after="240"/>
        <w:ind w:left="1620" w:hanging="450"/>
        <w:contextualSpacing w:val="0"/>
        <w:rPr>
          <w:lang w:val="fr-CA"/>
        </w:rPr>
      </w:pPr>
      <w:r w:rsidRPr="00B07B13">
        <w:rPr>
          <w:lang w:val="fr-CA"/>
        </w:rPr>
        <w:tab/>
      </w:r>
      <w:r w:rsidR="003B0573">
        <w:rPr>
          <w:lang w:val="fr-CA"/>
        </w:rPr>
        <w:t>(</w:t>
      </w:r>
      <w:r w:rsidRPr="00B07B13">
        <w:rPr>
          <w:lang w:val="fr-CA"/>
        </w:rPr>
        <w:t>a) se présenter personnellement ou par moyen électronique devant lui pour répondre à des questions sous serment ou sur la foi d’une déclaration solennelle, ou selon d’autres modalités;</w:t>
      </w:r>
    </w:p>
    <w:p w:rsidR="00FA3C70" w:rsidRPr="00B07B13" w:rsidRDefault="00FA3C70" w:rsidP="00B3618F">
      <w:pPr>
        <w:pStyle w:val="Citation-AltC"/>
        <w:widowControl w:val="0"/>
        <w:tabs>
          <w:tab w:val="left" w:pos="1620"/>
        </w:tabs>
        <w:spacing w:after="240"/>
        <w:ind w:left="1620" w:hanging="450"/>
        <w:contextualSpacing w:val="0"/>
        <w:rPr>
          <w:lang w:val="fr-CA"/>
        </w:rPr>
      </w:pPr>
      <w:r w:rsidRPr="00B07B13">
        <w:rPr>
          <w:lang w:val="fr-CA"/>
        </w:rPr>
        <w:tab/>
      </w:r>
      <w:r w:rsidR="003B0573">
        <w:rPr>
          <w:lang w:val="fr-CA"/>
        </w:rPr>
        <w:t>(</w:t>
      </w:r>
      <w:r w:rsidRPr="00B07B13">
        <w:rPr>
          <w:lang w:val="fr-CA"/>
        </w:rPr>
        <w:t>b) produire à son intention un document qu’elle a en sa possession, y compris un document renfermant des renseignements personnels.</w:t>
      </w:r>
    </w:p>
    <w:p w:rsidR="00FA3C70" w:rsidRPr="00B07B13" w:rsidRDefault="00FA3C70" w:rsidP="00B3618F">
      <w:pPr>
        <w:pStyle w:val="Citation-AltC"/>
        <w:widowControl w:val="0"/>
        <w:tabs>
          <w:tab w:val="left" w:pos="1620"/>
        </w:tabs>
        <w:spacing w:after="240"/>
        <w:ind w:left="1620" w:hanging="450"/>
        <w:contextualSpacing w:val="0"/>
        <w:rPr>
          <w:u w:val="single"/>
          <w:lang w:val="fr-CA"/>
        </w:rPr>
      </w:pPr>
      <w:r w:rsidRPr="00B07B13">
        <w:rPr>
          <w:b/>
          <w:lang w:val="fr-CA"/>
        </w:rPr>
        <w:tab/>
        <w:t>(</w:t>
      </w:r>
      <w:r w:rsidRPr="00B07B13">
        <w:rPr>
          <w:lang w:val="fr-CA"/>
        </w:rPr>
        <w:t xml:space="preserve">2) </w:t>
      </w:r>
      <w:r w:rsidRPr="00B07B13">
        <w:rPr>
          <w:u w:val="single"/>
          <w:lang w:val="fr-CA"/>
        </w:rPr>
        <w:t xml:space="preserve">Le </w:t>
      </w:r>
      <w:r w:rsidRPr="00B07B13">
        <w:rPr>
          <w:bCs/>
          <w:u w:val="single"/>
          <w:lang w:val="fr-CA"/>
        </w:rPr>
        <w:t>commissaire</w:t>
      </w:r>
      <w:r w:rsidRPr="00B07B13">
        <w:rPr>
          <w:u w:val="single"/>
          <w:lang w:val="fr-CA"/>
        </w:rPr>
        <w:t xml:space="preserve"> peut s’adresser à la cour suprême afin d’obtenir une ordonnance</w:t>
      </w:r>
    </w:p>
    <w:p w:rsidR="00FA3C70" w:rsidRPr="003B0573" w:rsidRDefault="00FA3C70" w:rsidP="00B3618F">
      <w:pPr>
        <w:pStyle w:val="Citation-AltC"/>
        <w:widowControl w:val="0"/>
        <w:tabs>
          <w:tab w:val="left" w:pos="1620"/>
        </w:tabs>
        <w:spacing w:after="240"/>
        <w:ind w:left="1620" w:hanging="450"/>
        <w:contextualSpacing w:val="0"/>
        <w:rPr>
          <w:lang w:val="fr-CA"/>
        </w:rPr>
      </w:pPr>
      <w:r w:rsidRPr="00B07B13">
        <w:rPr>
          <w:i/>
          <w:lang w:val="fr-CA"/>
        </w:rPr>
        <w:tab/>
      </w:r>
      <w:r w:rsidR="003B0573">
        <w:rPr>
          <w:lang w:val="fr-CA"/>
        </w:rPr>
        <w:t>(</w:t>
      </w:r>
      <w:r w:rsidRPr="00B07B13">
        <w:rPr>
          <w:lang w:val="fr-CA"/>
        </w:rPr>
        <w:t>a) </w:t>
      </w:r>
      <w:r w:rsidRPr="00B07B13">
        <w:rPr>
          <w:bCs/>
          <w:u w:val="single"/>
          <w:lang w:val="fr-CA"/>
        </w:rPr>
        <w:t>enjoignant</w:t>
      </w:r>
      <w:r w:rsidRPr="00B07B13">
        <w:rPr>
          <w:u w:val="single"/>
          <w:lang w:val="fr-CA"/>
        </w:rPr>
        <w:t xml:space="preserve"> à une personne de se conformer à une ordonnance rendue sur le fondement du paragraphe (1) ou</w:t>
      </w:r>
    </w:p>
    <w:p w:rsidR="00FA3C70" w:rsidRPr="00B07B13" w:rsidRDefault="00FA3C70" w:rsidP="00B3618F">
      <w:pPr>
        <w:pStyle w:val="Citation-AltC"/>
        <w:widowControl w:val="0"/>
        <w:tabs>
          <w:tab w:val="left" w:pos="1620"/>
        </w:tabs>
        <w:spacing w:after="240"/>
        <w:ind w:left="1620" w:hanging="450"/>
        <w:contextualSpacing w:val="0"/>
        <w:rPr>
          <w:u w:val="single"/>
          <w:lang w:val="fr-CA"/>
        </w:rPr>
      </w:pPr>
      <w:r w:rsidRPr="00B07B13">
        <w:rPr>
          <w:lang w:val="fr-CA"/>
        </w:rPr>
        <w:tab/>
      </w:r>
      <w:r w:rsidR="003B0573" w:rsidRPr="003B0573">
        <w:rPr>
          <w:lang w:val="fr-CA"/>
        </w:rPr>
        <w:t>(</w:t>
      </w:r>
      <w:r w:rsidRPr="003B0573">
        <w:rPr>
          <w:lang w:val="fr-CA"/>
        </w:rPr>
        <w:t>b) </w:t>
      </w:r>
      <w:r w:rsidRPr="00B07B13">
        <w:rPr>
          <w:bCs/>
          <w:u w:val="single"/>
          <w:lang w:val="fr-CA"/>
        </w:rPr>
        <w:t>enjoignant</w:t>
      </w:r>
      <w:r w:rsidRPr="00B07B13">
        <w:rPr>
          <w:u w:val="single"/>
          <w:lang w:val="fr-CA"/>
        </w:rPr>
        <w:t xml:space="preserve"> aux administrateurs et aux dirigeants d’une personne de faire en sorte que cette personne se conforme à une ordonnance rendue sur le fondement du paragraphe (1).</w:t>
      </w:r>
    </w:p>
    <w:p w:rsidR="00FA3C70" w:rsidRPr="00B07B13" w:rsidRDefault="00FA3C70" w:rsidP="00B3618F">
      <w:pPr>
        <w:pStyle w:val="Citation-AltC"/>
        <w:widowControl w:val="0"/>
        <w:tabs>
          <w:tab w:val="left" w:pos="1620"/>
        </w:tabs>
        <w:spacing w:after="240"/>
        <w:ind w:left="1620" w:hanging="450"/>
        <w:contextualSpacing w:val="0"/>
        <w:rPr>
          <w:u w:val="single"/>
          <w:lang w:val="fr-CA"/>
        </w:rPr>
      </w:pPr>
      <w:r w:rsidRPr="00B07B13">
        <w:rPr>
          <w:lang w:val="fr-CA"/>
        </w:rPr>
        <w:tab/>
        <w:t>(2.1) </w:t>
      </w:r>
      <w:r w:rsidRPr="00B07B13">
        <w:rPr>
          <w:u w:val="single"/>
          <w:lang w:val="fr-CA"/>
        </w:rPr>
        <w:t>Lorsqu’une personne communique au commissaire, à la demande de ce dernier ou en application du paragraphe (1), un document auquel s’applique le secret professionnel de l’avocat, le secret professionnel de l’avocat continue de protéger le document malgré la communication.</w:t>
      </w:r>
    </w:p>
    <w:p w:rsidR="00FA3C70" w:rsidRPr="00B07B13" w:rsidRDefault="00FA3C70" w:rsidP="00B3618F">
      <w:pPr>
        <w:pStyle w:val="Citation-AltC"/>
        <w:widowControl w:val="0"/>
        <w:tabs>
          <w:tab w:val="left" w:pos="1620"/>
        </w:tabs>
        <w:spacing w:after="240"/>
        <w:ind w:left="1620" w:hanging="450"/>
        <w:contextualSpacing w:val="0"/>
        <w:rPr>
          <w:lang w:val="fr-CA"/>
        </w:rPr>
      </w:pPr>
      <w:r w:rsidRPr="00B07B13">
        <w:rPr>
          <w:lang w:val="fr-CA"/>
        </w:rPr>
        <w:tab/>
        <w:t>(3) Malgré toute autre loi ou tout privilège que reconnaît le droit de la preuve, l’organisme public produit dans les dix jours l’original ou une copie des documents exigés par le commissaire en vertu du paragraphe (1).</w:t>
      </w:r>
    </w:p>
    <w:p w:rsidR="00FA3C70" w:rsidRPr="00B07B13" w:rsidRDefault="00FA3C70" w:rsidP="00B3618F">
      <w:pPr>
        <w:pStyle w:val="ParaNoNdepar-AltN"/>
        <w:widowControl w:val="0"/>
        <w:rPr>
          <w:rFonts w:cs="Times New Roman"/>
          <w:lang w:val="fr-CA"/>
        </w:rPr>
      </w:pPr>
      <w:r w:rsidRPr="00B07B13">
        <w:rPr>
          <w:rFonts w:cs="Times New Roman"/>
          <w:lang w:val="fr-CA"/>
        </w:rPr>
        <w:t>Contrairement à la disposition en cause en l’espèce, l’art. 44 de la loi britanno</w:t>
      </w:r>
      <w:r w:rsidRPr="00B07B13">
        <w:rPr>
          <w:rFonts w:cs="Times New Roman"/>
          <w:lang w:val="fr-CA"/>
        </w:rPr>
        <w:noBreakHyphen/>
        <w:t xml:space="preserve">colombienne </w:t>
      </w:r>
      <w:r w:rsidRPr="00DC3E72">
        <w:rPr>
          <w:rFonts w:cs="Times New Roman"/>
          <w:lang w:val="fr-CA"/>
        </w:rPr>
        <w:t>n’investit pas</w:t>
      </w:r>
      <w:r w:rsidRPr="00B07B13">
        <w:rPr>
          <w:rFonts w:cs="Times New Roman"/>
          <w:lang w:val="fr-CA"/>
        </w:rPr>
        <w:t xml:space="preserve"> le commissaire d’un grand pouvoir de contrainte lui permettant d’obtenir la production de documents. Fait important, le commissaire de l’autre province ne jouit pas des « mêmes pouvoirs, privilèges et immunités qu’un commissaire nommé en vertu de la </w:t>
      </w:r>
      <w:r w:rsidRPr="00B07B13">
        <w:rPr>
          <w:rFonts w:cs="Times New Roman"/>
          <w:i/>
          <w:lang w:val="fr-CA"/>
        </w:rPr>
        <w:t>Public Inquiries Act</w:t>
      </w:r>
      <w:r w:rsidRPr="00B07B13">
        <w:rPr>
          <w:rFonts w:cs="Times New Roman"/>
          <w:lang w:val="fr-CA"/>
        </w:rPr>
        <w:t> ». En fait, suivant le par. 44(2) de la loi britanno</w:t>
      </w:r>
      <w:r w:rsidRPr="00B07B13">
        <w:rPr>
          <w:rFonts w:cs="Times New Roman"/>
          <w:lang w:val="fr-CA"/>
        </w:rPr>
        <w:noBreakHyphen/>
        <w:t xml:space="preserve">colombienne, ce pouvoir appartient en grande partie à une cour dotée d’une juridiction inhérente, l’arbitre traditionnel en matière de secret professionnel de </w:t>
      </w:r>
      <w:r w:rsidRPr="00B07B13">
        <w:rPr>
          <w:rFonts w:cs="Times New Roman"/>
          <w:lang w:val="fr-CA"/>
        </w:rPr>
        <w:lastRenderedPageBreak/>
        <w:t>l’avocat. Il est donc difficile d’imaginer une interprétation du par. 44(3) qui attribuerait au commissaire britanno</w:t>
      </w:r>
      <w:r w:rsidRPr="00B07B13">
        <w:rPr>
          <w:rFonts w:cs="Times New Roman"/>
          <w:lang w:val="fr-CA"/>
        </w:rPr>
        <w:noBreakHyphen/>
        <w:t xml:space="preserve">colombien le pouvoir que la Commissaire appelante prétend détenir en l’espèce sans priver le par. 44(2) de tout effet. </w:t>
      </w:r>
    </w:p>
    <w:p w:rsidR="00FA3C70" w:rsidRPr="00B07B13" w:rsidRDefault="00FA3C70" w:rsidP="00B3618F">
      <w:pPr>
        <w:pStyle w:val="ParaNoNdepar-AltN"/>
        <w:widowControl w:val="0"/>
        <w:rPr>
          <w:rFonts w:cs="Times New Roman"/>
          <w:lang w:val="fr-CA"/>
        </w:rPr>
      </w:pPr>
      <w:r w:rsidRPr="00B07B13">
        <w:rPr>
          <w:rFonts w:cs="Times New Roman"/>
          <w:lang w:val="fr-CA"/>
        </w:rPr>
        <w:t>En outre, nulle part dans la loi britanno</w:t>
      </w:r>
      <w:r w:rsidRPr="00B07B13">
        <w:rPr>
          <w:rFonts w:cs="Times New Roman"/>
          <w:lang w:val="fr-CA"/>
        </w:rPr>
        <w:noBreakHyphen/>
        <w:t>colombienne le législateur ne fait mention d’un « privilège légal » ou n’indique que le secret professionnel de l’avocat constitue un privilège légal. Le conflit d’interprétations qui est au cœur du présent pourvoi ne se présente donc pas dans le cas de la loi britanno</w:t>
      </w:r>
      <w:r w:rsidRPr="00B07B13">
        <w:rPr>
          <w:rFonts w:cs="Times New Roman"/>
          <w:lang w:val="fr-CA"/>
        </w:rPr>
        <w:noBreakHyphen/>
        <w:t xml:space="preserve">colombienne. </w:t>
      </w:r>
    </w:p>
    <w:p w:rsidR="00FA3C70" w:rsidRPr="00B07B13" w:rsidRDefault="00FA3C70" w:rsidP="00B3618F">
      <w:pPr>
        <w:pStyle w:val="ParaNoNdepar-AltN"/>
        <w:widowControl w:val="0"/>
        <w:rPr>
          <w:rFonts w:cs="Times New Roman"/>
          <w:lang w:val="fr-CA"/>
        </w:rPr>
      </w:pPr>
      <w:r w:rsidRPr="00B07B13">
        <w:rPr>
          <w:rFonts w:cs="Times New Roman"/>
          <w:lang w:val="fr-CA"/>
        </w:rPr>
        <w:t>La méthode moderne d’interprétation des lois commande qu’un texte législatif soit considéré dans la totalité de son contexte. Le recours à d’autres textes de ressorts différents peut être utile dans la détermination de ce contexte global, mais la consultation de dispositions parallèles ne saurait supplanter les autres principes d’interprétation des lois. Elle ne supplante assurément pas celui, expliqué au par. 53 des présents motifs, selon lequel le législateur est présumé employer une expression de manière uniforme dans un même texte de loi. La professeure Sullivan écrit en effet : [</w:t>
      </w:r>
      <w:r w:rsidRPr="00B07B13">
        <w:rPr>
          <w:rFonts w:cs="Times New Roman"/>
          <w:smallCaps/>
          <w:lang w:val="fr-CA"/>
        </w:rPr>
        <w:t>traduction</w:t>
      </w:r>
      <w:r w:rsidRPr="00B07B13">
        <w:rPr>
          <w:rFonts w:cs="Times New Roman"/>
          <w:lang w:val="fr-CA"/>
        </w:rPr>
        <w:t>] « </w:t>
      </w:r>
      <w:r w:rsidR="003B0573">
        <w:rPr>
          <w:rFonts w:cs="Times New Roman"/>
          <w:lang w:val="fr-CA"/>
        </w:rPr>
        <w:t>[</w:t>
      </w:r>
      <w:r w:rsidRPr="00B07B13">
        <w:rPr>
          <w:rFonts w:cs="Times New Roman"/>
          <w:lang w:val="fr-CA"/>
        </w:rPr>
        <w:t>d</w:t>
      </w:r>
      <w:r w:rsidR="003B0573">
        <w:rPr>
          <w:rFonts w:cs="Times New Roman"/>
          <w:lang w:val="fr-CA"/>
        </w:rPr>
        <w:t>]</w:t>
      </w:r>
      <w:r w:rsidRPr="00B07B13">
        <w:rPr>
          <w:rFonts w:cs="Times New Roman"/>
          <w:lang w:val="fr-CA"/>
        </w:rPr>
        <w:t xml:space="preserve">e toute évidence, on ne peut considérer que les lois de différents ressorts forment un seul texte de loi » (§13.42). </w:t>
      </w:r>
    </w:p>
    <w:p w:rsidR="00FA3C70" w:rsidRPr="00B07B13" w:rsidRDefault="00FA3C70" w:rsidP="00B3618F">
      <w:pPr>
        <w:pStyle w:val="ParaNoNdepar-AltN"/>
        <w:widowControl w:val="0"/>
        <w:rPr>
          <w:rFonts w:cs="Times New Roman"/>
          <w:lang w:val="fr-CA"/>
        </w:rPr>
      </w:pPr>
      <w:r w:rsidRPr="00B07B13">
        <w:rPr>
          <w:rFonts w:cs="Times New Roman"/>
          <w:lang w:val="fr-CA"/>
        </w:rPr>
        <w:t>À mon sens, l’obligation de s’en remettre à une autre disposition de la loi britanno</w:t>
      </w:r>
      <w:r w:rsidRPr="00B07B13">
        <w:rPr>
          <w:rFonts w:cs="Times New Roman"/>
          <w:lang w:val="fr-CA"/>
        </w:rPr>
        <w:noBreakHyphen/>
        <w:t>colombienne, soit le par. 44(2), pour clarifier la portée de l’expression [</w:t>
      </w:r>
      <w:r w:rsidRPr="00B07B13">
        <w:rPr>
          <w:rFonts w:cs="Times New Roman"/>
          <w:smallCaps/>
          <w:lang w:val="fr-CA"/>
        </w:rPr>
        <w:t>traduction</w:t>
      </w:r>
      <w:r w:rsidRPr="00B07B13">
        <w:rPr>
          <w:rFonts w:cs="Times New Roman"/>
          <w:lang w:val="fr-CA"/>
        </w:rPr>
        <w:t xml:space="preserve">] « privilège que reconnaît le droit de la preuve » qui figure au par. 44(3), est plutôt de nature à réfuter qu’à étayer la thèse selon laquelle cet énoncé est suffisamment clair, explicite et non équivoque pour englober le secret professionnel de </w:t>
      </w:r>
      <w:r w:rsidRPr="00B07B13">
        <w:rPr>
          <w:rFonts w:cs="Times New Roman"/>
          <w:lang w:val="fr-CA"/>
        </w:rPr>
        <w:lastRenderedPageBreak/>
        <w:t xml:space="preserve">l’avocat. En effet, s’il était si clair, explicite et non équivoque, le par. 44(2.1) serait essentiellement inutile. De plus, le fait que l’autre disposition confère une grande partie du pouvoir d’exiger la production de documents à une cour de justice, plutôt qu’à un commissaire investi de pouvoirs équivalents à ceux issus de la </w:t>
      </w:r>
      <w:r w:rsidRPr="00B07B13">
        <w:rPr>
          <w:rFonts w:cs="Times New Roman"/>
          <w:i/>
          <w:lang w:val="fr-CA"/>
        </w:rPr>
        <w:t>Public Inquiries Act</w:t>
      </w:r>
      <w:r w:rsidRPr="00B07B13">
        <w:rPr>
          <w:rFonts w:cs="Times New Roman"/>
          <w:lang w:val="fr-CA"/>
        </w:rPr>
        <w:t>, d’une manière compatible avec le respect législatif des valeurs fondamentales, milite également contre l’interprétation que préconise en l’espèce la Commissaire appelante. En somme, les mêmes éléments contextuels jouent contre la thèse qu’elle défend : une autre disposition, le par. 27(1), autorise expressément l’organisme public à refuser de produire un document protégé par le secret professionnel de l’avocat en renvoyant à la notion distincte de « privilège légal », et le fait que le commissaire n’est jamais tenu de demander à une cour de justice de contraindre un organisme à produire un document est incompatible avec la présomption du respect législatif des valeurs fondamentales.</w:t>
      </w:r>
    </w:p>
    <w:p w:rsidR="00FA3C70" w:rsidRPr="00B07B13" w:rsidRDefault="00FA3C70" w:rsidP="00B3618F">
      <w:pPr>
        <w:pStyle w:val="ParaNoNdepar-AltN"/>
        <w:widowControl w:val="0"/>
        <w:rPr>
          <w:rFonts w:cs="Times New Roman"/>
          <w:lang w:val="fr-CA"/>
        </w:rPr>
      </w:pPr>
      <w:r w:rsidRPr="00B07B13">
        <w:rPr>
          <w:rFonts w:cs="Times New Roman"/>
          <w:lang w:val="fr-CA"/>
        </w:rPr>
        <w:t>Partant, à supposer, mais sans en décider, que même si l’expression [</w:t>
      </w:r>
      <w:r w:rsidRPr="00B07B13">
        <w:rPr>
          <w:rFonts w:cs="Times New Roman"/>
          <w:smallCaps/>
          <w:lang w:val="fr-CA"/>
        </w:rPr>
        <w:t>traduction</w:t>
      </w:r>
      <w:r w:rsidRPr="00B07B13">
        <w:rPr>
          <w:rFonts w:cs="Times New Roman"/>
          <w:lang w:val="fr-CA"/>
        </w:rPr>
        <w:t>] « privilège que reconnaît le droit de la preuve » devait s’entendre entre autres du secret professionnel de l’avocat une fois pris en compte les éléments contextuels issus du cadre de la loi britanno</w:t>
      </w:r>
      <w:r w:rsidRPr="00B07B13">
        <w:rPr>
          <w:rFonts w:cs="Times New Roman"/>
          <w:lang w:val="fr-CA"/>
        </w:rPr>
        <w:noBreakHyphen/>
        <w:t>colombienne, elle ne pourrait, ainsi « colorée », être transposée dans la loi albertaine et avoir l’effet équivalent.</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Je conclus sur le sujet en revenant sur l’interprétation stricte que préconise la Cour d’appel. Certes, l’approche s’apparente à la mienne mais, pour les motifs qui précèdent, je ne puis convenir que l’arrêt </w:t>
      </w:r>
      <w:r w:rsidRPr="00B07B13">
        <w:rPr>
          <w:rFonts w:cs="Times New Roman"/>
          <w:i/>
          <w:lang w:val="fr-CA"/>
        </w:rPr>
        <w:t>Blood Tribe</w:t>
      </w:r>
      <w:r w:rsidRPr="00B07B13">
        <w:rPr>
          <w:rFonts w:cs="Times New Roman"/>
          <w:lang w:val="fr-CA"/>
        </w:rPr>
        <w:t xml:space="preserve"> écarte la méthode moderne d’interprétation des lois.</w:t>
      </w:r>
    </w:p>
    <w:p w:rsidR="00FA3C70" w:rsidRPr="00B07B13" w:rsidRDefault="00FA3C70" w:rsidP="00B3618F">
      <w:pPr>
        <w:pStyle w:val="Title3LevelTitre3Niveau"/>
        <w:widowControl w:val="0"/>
        <w:numPr>
          <w:ilvl w:val="0"/>
          <w:numId w:val="21"/>
        </w:numPr>
        <w:ind w:left="1440" w:hanging="720"/>
        <w:rPr>
          <w:rFonts w:cs="Times New Roman"/>
          <w:lang w:val="fr-CA"/>
        </w:rPr>
      </w:pPr>
      <w:r w:rsidRPr="00B07B13">
        <w:rPr>
          <w:rFonts w:cs="Times New Roman"/>
          <w:lang w:val="fr-CA"/>
        </w:rPr>
        <w:lastRenderedPageBreak/>
        <w:t>À supposer même qu’il y ait eu intention claire et non équivoque de la part du législateur, l’affaire ne se prête pas à une ordonnance de communication</w:t>
      </w:r>
    </w:p>
    <w:p w:rsidR="00FA3C70" w:rsidRPr="00B07B13" w:rsidRDefault="00FA3C70" w:rsidP="00B3618F">
      <w:pPr>
        <w:pStyle w:val="ParaNoNdepar-AltN"/>
        <w:widowControl w:val="0"/>
        <w:rPr>
          <w:rFonts w:cs="Times New Roman"/>
          <w:lang w:val="fr-CA"/>
        </w:rPr>
      </w:pPr>
      <w:r w:rsidRPr="00B07B13">
        <w:rPr>
          <w:rFonts w:cs="Times New Roman"/>
          <w:lang w:val="fr-CA"/>
        </w:rPr>
        <w:t>Enfin, même si le par. 56(3) traduisait clairement l’intention du législateur d’écarter le secret professionnel de l’avocat, je conclurais qu’il ne s’agit pas d’une affaire qui se prête à une ordonnance de communication.</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La Commissaire dit être investie d’une fonction juridictionnelle qui s’apparente à celle d’une cour supérieure et qui lui permet de décider si un organisme public invoque à bon droit le secret professionnel de l’avocat. Cependant, comme le conclut la Cour dans l’arrêt </w:t>
      </w:r>
      <w:r w:rsidRPr="00B07B13">
        <w:rPr>
          <w:rFonts w:cs="Times New Roman"/>
          <w:i/>
          <w:lang w:val="fr-CA"/>
        </w:rPr>
        <w:t>Blood Tribe</w:t>
      </w:r>
      <w:r w:rsidRPr="00B07B13">
        <w:rPr>
          <w:rFonts w:cs="Times New Roman"/>
          <w:lang w:val="fr-CA"/>
        </w:rPr>
        <w:t xml:space="preserve">, même une cour de justice n’acceptera d’examiner un document protégé par le secret professionnel de l’avocat pour se prononcer en toute justice sur l’existence du privilège que si la nécessité de le faire est démontrée (par. 17, citant </w:t>
      </w:r>
      <w:r w:rsidRPr="00B07B13">
        <w:rPr>
          <w:rFonts w:cs="Times New Roman"/>
          <w:i/>
          <w:lang w:val="fr-CA"/>
        </w:rPr>
        <w:t>Ansell Canada Inc. c. Ions World Corp. </w:t>
      </w:r>
      <w:r w:rsidRPr="00B07B13">
        <w:rPr>
          <w:rFonts w:cs="Times New Roman"/>
          <w:lang w:val="fr-CA"/>
        </w:rPr>
        <w:t>(1998), 28 C.P.C. (4th) 60 (C. Ont. (Div. gén.)), par. 20).</w:t>
      </w:r>
    </w:p>
    <w:p w:rsidR="00FA3C70" w:rsidRPr="00B07B13" w:rsidRDefault="00FA3C70" w:rsidP="00B3618F">
      <w:pPr>
        <w:pStyle w:val="ParaNoNdepar-AltN"/>
        <w:widowControl w:val="0"/>
        <w:rPr>
          <w:rFonts w:cs="Times New Roman"/>
          <w:lang w:val="fr-CA"/>
        </w:rPr>
      </w:pPr>
      <w:r w:rsidRPr="00B07B13">
        <w:rPr>
          <w:rFonts w:cs="Times New Roman"/>
          <w:lang w:val="fr-CA"/>
        </w:rPr>
        <w:t>Parce que, selon lui, l’Université n’a pas présenté d’éléments établissant l’application du secret professionnel de l’avocat comme l’exige le Protocole, le délégué conclut qu’il doit examiner les documents. Toutefois, le Protocole ne constitue pas une règle de droit, car il n’émane pas du législateur. Il s’agit plutôt d’un guide conçu par le Commissariat à l’intention des décideurs et des organismes publics.</w:t>
      </w:r>
    </w:p>
    <w:p w:rsidR="00FA3C70" w:rsidRPr="00B07B13" w:rsidRDefault="00FA3C70" w:rsidP="00B3618F">
      <w:pPr>
        <w:pStyle w:val="ParaNoNdepar-AltN"/>
        <w:widowControl w:val="0"/>
        <w:rPr>
          <w:rFonts w:cs="Times New Roman"/>
          <w:lang w:val="fr-CA"/>
        </w:rPr>
      </w:pPr>
      <w:r w:rsidRPr="00B07B13">
        <w:rPr>
          <w:rFonts w:cs="Times New Roman"/>
          <w:lang w:val="fr-CA"/>
        </w:rPr>
        <w:t xml:space="preserve">Au moment de la demande de communication de la Commissaire, le courant dominant dans les instances civiles albertaines permettait à une partie de </w:t>
      </w:r>
      <w:r w:rsidRPr="00B07B13">
        <w:rPr>
          <w:rFonts w:cs="Times New Roman"/>
          <w:lang w:val="fr-CA"/>
        </w:rPr>
        <w:lastRenderedPageBreak/>
        <w:t xml:space="preserve">regrouper les documents protégés par le secret professionnel de l’avocat et de les identifier au moyen de numéros, comme l’a fait l’Université (voir </w:t>
      </w:r>
      <w:r w:rsidRPr="00B07B13">
        <w:rPr>
          <w:rFonts w:cs="Times New Roman"/>
          <w:i/>
          <w:lang w:val="fr-CA"/>
        </w:rPr>
        <w:t>Dorchak c. Krupka</w:t>
      </w:r>
      <w:r w:rsidRPr="00B07B13">
        <w:rPr>
          <w:rFonts w:cs="Times New Roman"/>
          <w:lang w:val="fr-CA"/>
        </w:rPr>
        <w:t>, 1997 ABCA 89, 1996 A.R. 81). Aucun élément de preuve ni aucun argument selon lequel l’Université a invoqué sans droit le secret professionnel de l’avocat n’a été présenté. Dans ces circonstances, le délégué a eu tort de conclure qu’il lui fallait examiner les documents pour se prononcer en toute justice sur l’existence du privilège.</w:t>
      </w:r>
    </w:p>
    <w:p w:rsidR="00FA3C70" w:rsidRPr="00B07B13" w:rsidRDefault="00FA3C70" w:rsidP="00B3618F">
      <w:pPr>
        <w:pStyle w:val="Title1LevelTitre1Niveau-AltL"/>
        <w:widowControl w:val="0"/>
        <w:numPr>
          <w:ilvl w:val="0"/>
          <w:numId w:val="17"/>
        </w:numPr>
        <w:rPr>
          <w:rFonts w:cs="Times New Roman"/>
          <w:lang w:val="fr-CA"/>
        </w:rPr>
      </w:pPr>
      <w:r w:rsidRPr="00B07B13">
        <w:rPr>
          <w:rFonts w:cs="Times New Roman"/>
          <w:lang w:val="fr-CA"/>
        </w:rPr>
        <w:t>Conclusion</w:t>
      </w:r>
    </w:p>
    <w:p w:rsidR="00FA3C70" w:rsidRPr="00B07B13" w:rsidRDefault="00FA3C70" w:rsidP="00B3618F">
      <w:pPr>
        <w:pStyle w:val="ParaNoNdepar-AltN"/>
        <w:widowControl w:val="0"/>
        <w:rPr>
          <w:rFonts w:cs="Times New Roman"/>
          <w:lang w:val="fr-CA"/>
        </w:rPr>
      </w:pPr>
      <w:r w:rsidRPr="00B07B13">
        <w:rPr>
          <w:rFonts w:cs="Times New Roman"/>
          <w:lang w:val="fr-CA"/>
        </w:rPr>
        <w:t>Sous réserve du respect de la Constitution, le législateur peut, dans une disposition législative, lever le secret professionnel de l’avocat, mais il doit le faire au moyen d’un libellé explicite traduisant son intention claire et non équivoque de le faire. En l’espèce, il n’y a pas un tel libellé. Pour les motifs qui précèdent, je suis d’avis de rejeter le pourvoi et d’adjuger au Conseil des gouverneurs de l’Université ses dépens devant toutes les cours.</w:t>
      </w:r>
    </w:p>
    <w:p w:rsidR="00FA3C70" w:rsidRDefault="00FA3C70" w:rsidP="00B3618F">
      <w:pPr>
        <w:widowControl w:val="0"/>
        <w:ind w:firstLine="1170"/>
        <w:jc w:val="both"/>
        <w:rPr>
          <w:lang w:val="fr-CA"/>
        </w:rPr>
      </w:pPr>
      <w:r w:rsidRPr="00A61588">
        <w:rPr>
          <w:lang w:val="fr-CA"/>
        </w:rPr>
        <w:t>Version française des motifs rendus par</w:t>
      </w:r>
    </w:p>
    <w:p w:rsidR="0091315D" w:rsidRDefault="0091315D" w:rsidP="00B3618F">
      <w:pPr>
        <w:widowControl w:val="0"/>
        <w:jc w:val="both"/>
        <w:rPr>
          <w:lang w:val="fr-CA"/>
        </w:rPr>
      </w:pPr>
    </w:p>
    <w:p w:rsidR="0091315D" w:rsidRPr="000D5E81" w:rsidRDefault="0091315D" w:rsidP="00B3618F">
      <w:pPr>
        <w:pStyle w:val="JudgeJuge"/>
        <w:widowControl w:val="0"/>
        <w:spacing w:before="480"/>
        <w:rPr>
          <w:lang w:val="fr-CA"/>
        </w:rPr>
      </w:pPr>
      <w:r w:rsidRPr="000D5E81">
        <w:rPr>
          <w:lang w:val="fr-CA"/>
        </w:rPr>
        <w:tab/>
        <w:t xml:space="preserve">Le juge Cromwell — </w:t>
      </w:r>
    </w:p>
    <w:p w:rsidR="0091315D" w:rsidRPr="000D5E81" w:rsidRDefault="0091315D" w:rsidP="00B3618F">
      <w:pPr>
        <w:pStyle w:val="Title1LevelTitre1Niveau-AltL"/>
        <w:widowControl w:val="0"/>
        <w:numPr>
          <w:ilvl w:val="0"/>
          <w:numId w:val="9"/>
        </w:numPr>
        <w:tabs>
          <w:tab w:val="clear" w:pos="576"/>
          <w:tab w:val="num" w:pos="540"/>
        </w:tabs>
        <w:ind w:hanging="396"/>
        <w:rPr>
          <w:rFonts w:cs="Times New Roman"/>
          <w:lang w:val="fr-CA"/>
        </w:rPr>
      </w:pPr>
      <w:r w:rsidRPr="000D5E81">
        <w:rPr>
          <w:rFonts w:cs="Times New Roman"/>
          <w:lang w:val="fr-CA"/>
        </w:rPr>
        <w:t>Introduction</w:t>
      </w:r>
    </w:p>
    <w:p w:rsidR="0091315D" w:rsidRPr="000D5E81" w:rsidRDefault="0091315D" w:rsidP="00B3618F">
      <w:pPr>
        <w:pStyle w:val="ParaNoNdepar-AltN"/>
        <w:widowControl w:val="0"/>
        <w:rPr>
          <w:rFonts w:cs="Times New Roman"/>
          <w:lang w:val="fr-CA"/>
        </w:rPr>
      </w:pPr>
      <w:r w:rsidRPr="000D5E81">
        <w:rPr>
          <w:rFonts w:cs="Times New Roman"/>
          <w:lang w:val="fr-CA"/>
        </w:rPr>
        <w:t>Je conviens avec ma collègue la juge Côté que le pourvoi doit être rejeté. J</w:t>
      </w:r>
      <w:r>
        <w:rPr>
          <w:rFonts w:cs="Times New Roman"/>
          <w:lang w:val="fr-CA"/>
        </w:rPr>
        <w:t>’</w:t>
      </w:r>
      <w:r w:rsidRPr="000D5E81">
        <w:rPr>
          <w:rFonts w:cs="Times New Roman"/>
          <w:lang w:val="fr-CA"/>
        </w:rPr>
        <w:t xml:space="preserve">estime cependant que la </w:t>
      </w:r>
      <w:r w:rsidRPr="000D5E81">
        <w:rPr>
          <w:rFonts w:cs="Times New Roman"/>
          <w:i/>
          <w:lang w:val="fr-CA"/>
        </w:rPr>
        <w:t>Freedom of Information and Protection of Privacy Act</w:t>
      </w:r>
      <w:r w:rsidRPr="000D5E81">
        <w:rPr>
          <w:rFonts w:cs="Times New Roman"/>
          <w:lang w:val="fr-CA"/>
        </w:rPr>
        <w:t xml:space="preserve"> de </w:t>
      </w:r>
      <w:r w:rsidRPr="000D5E81">
        <w:rPr>
          <w:rFonts w:cs="Times New Roman"/>
          <w:lang w:val="fr-CA"/>
        </w:rPr>
        <w:lastRenderedPageBreak/>
        <w:t>l</w:t>
      </w:r>
      <w:r>
        <w:rPr>
          <w:rFonts w:cs="Times New Roman"/>
          <w:lang w:val="fr-CA"/>
        </w:rPr>
        <w:t>’</w:t>
      </w:r>
      <w:r w:rsidRPr="000D5E81">
        <w:rPr>
          <w:rFonts w:cs="Times New Roman"/>
          <w:lang w:val="fr-CA"/>
        </w:rPr>
        <w:t>Alberta, R.S.A. 2000, c. F</w:t>
      </w:r>
      <w:r>
        <w:rPr>
          <w:rFonts w:cs="Times New Roman"/>
          <w:lang w:val="fr-CA"/>
        </w:rPr>
        <w:noBreakHyphen/>
      </w:r>
      <w:r w:rsidRPr="000D5E81">
        <w:rPr>
          <w:rFonts w:cs="Times New Roman"/>
          <w:lang w:val="fr-CA"/>
        </w:rPr>
        <w:t>25 (« </w:t>
      </w:r>
      <w:r w:rsidRPr="000D5E81">
        <w:rPr>
          <w:rFonts w:cs="Times New Roman"/>
          <w:i/>
          <w:lang w:val="fr-CA"/>
        </w:rPr>
        <w:t>FOIPP </w:t>
      </w:r>
      <w:r w:rsidRPr="000D5E81">
        <w:rPr>
          <w:rFonts w:cs="Times New Roman"/>
          <w:lang w:val="fr-CA"/>
        </w:rPr>
        <w:t>»)</w:t>
      </w:r>
      <w:r w:rsidR="007A441D">
        <w:rPr>
          <w:rFonts w:cs="Times New Roman"/>
          <w:lang w:val="fr-CA"/>
        </w:rPr>
        <w:t>,</w:t>
      </w:r>
      <w:r w:rsidRPr="000D5E81">
        <w:rPr>
          <w:rFonts w:cs="Times New Roman"/>
          <w:lang w:val="fr-CA"/>
        </w:rPr>
        <w:t xml:space="preserve"> autorise bel et bien la Commissaire à l</w:t>
      </w:r>
      <w:r>
        <w:rPr>
          <w:rFonts w:cs="Times New Roman"/>
          <w:lang w:val="fr-CA"/>
        </w:rPr>
        <w:t>’</w:t>
      </w:r>
      <w:r w:rsidRPr="000D5E81">
        <w:rPr>
          <w:rFonts w:cs="Times New Roman"/>
          <w:lang w:val="fr-CA"/>
        </w:rPr>
        <w:t>information et à la protection de la vie privée (« Commissaire ») à exiger la production, en vue de leur examen, de documents à l</w:t>
      </w:r>
      <w:r>
        <w:rPr>
          <w:rFonts w:cs="Times New Roman"/>
          <w:lang w:val="fr-CA"/>
        </w:rPr>
        <w:t>’</w:t>
      </w:r>
      <w:r w:rsidRPr="000D5E81">
        <w:rPr>
          <w:rFonts w:cs="Times New Roman"/>
          <w:lang w:val="fr-CA"/>
        </w:rPr>
        <w:t>égard desquels le secret professionnel de l</w:t>
      </w:r>
      <w:r>
        <w:rPr>
          <w:rFonts w:cs="Times New Roman"/>
          <w:lang w:val="fr-CA"/>
        </w:rPr>
        <w:t>’</w:t>
      </w:r>
      <w:r w:rsidRPr="000D5E81">
        <w:rPr>
          <w:rFonts w:cs="Times New Roman"/>
          <w:lang w:val="fr-CA"/>
        </w:rPr>
        <w:t>avocat est invoqué. La Commissaire est investie du pouvoir d</w:t>
      </w:r>
      <w:r>
        <w:rPr>
          <w:rFonts w:cs="Times New Roman"/>
          <w:lang w:val="fr-CA"/>
        </w:rPr>
        <w:t>’</w:t>
      </w:r>
      <w:r w:rsidRPr="000D5E81">
        <w:rPr>
          <w:rFonts w:cs="Times New Roman"/>
          <w:lang w:val="fr-CA"/>
        </w:rPr>
        <w:t>ordonner à un organisme public de produire en vue de son examen tout document dont elle fait la demande [</w:t>
      </w:r>
      <w:r w:rsidRPr="000D5E81">
        <w:rPr>
          <w:rFonts w:cs="Times New Roman"/>
          <w:smallCaps/>
          <w:lang w:val="fr-CA"/>
        </w:rPr>
        <w:t>traduction</w:t>
      </w:r>
      <w:r w:rsidRPr="000D5E81">
        <w:rPr>
          <w:rFonts w:cs="Times New Roman"/>
          <w:lang w:val="fr-CA"/>
        </w:rPr>
        <w:t>] « [m]algré [. . .] tout privilège que reconnaît le droit de la preuve » (</w:t>
      </w:r>
      <w:r>
        <w:rPr>
          <w:rFonts w:cs="Times New Roman"/>
          <w:lang w:val="fr-CA"/>
        </w:rPr>
        <w:t>par. </w:t>
      </w:r>
      <w:r w:rsidRPr="000D5E81">
        <w:rPr>
          <w:rFonts w:cs="Times New Roman"/>
          <w:lang w:val="fr-CA"/>
        </w:rPr>
        <w:t>56(3)). Il s</w:t>
      </w:r>
      <w:r>
        <w:rPr>
          <w:rFonts w:cs="Times New Roman"/>
          <w:lang w:val="fr-CA"/>
        </w:rPr>
        <w:t>’</w:t>
      </w:r>
      <w:r w:rsidRPr="000D5E81">
        <w:rPr>
          <w:rFonts w:cs="Times New Roman"/>
          <w:lang w:val="fr-CA"/>
        </w:rPr>
        <w:t>agit à mon sens d</w:t>
      </w:r>
      <w:r>
        <w:rPr>
          <w:rFonts w:cs="Times New Roman"/>
          <w:lang w:val="fr-CA"/>
        </w:rPr>
        <w:t>’</w:t>
      </w:r>
      <w:r w:rsidRPr="000D5E81">
        <w:rPr>
          <w:rFonts w:cs="Times New Roman"/>
          <w:lang w:val="fr-CA"/>
        </w:rPr>
        <w:t>une attribution législative explicite de pouvoir qui doit être respectée, non éludée.</w:t>
      </w:r>
    </w:p>
    <w:p w:rsidR="0091315D" w:rsidRPr="000D5E81" w:rsidRDefault="0091315D" w:rsidP="00B3618F">
      <w:pPr>
        <w:pStyle w:val="ParaNoNdepar-AltN"/>
        <w:widowControl w:val="0"/>
        <w:rPr>
          <w:rFonts w:cs="Times New Roman"/>
          <w:lang w:val="fr-CA"/>
        </w:rPr>
      </w:pPr>
      <w:r w:rsidRPr="000D5E81">
        <w:rPr>
          <w:rFonts w:cs="Times New Roman"/>
          <w:lang w:val="fr-CA"/>
        </w:rPr>
        <w:t>Quels que soient les autres principes et présomptions qui entrent en jeu en la matière, l</w:t>
      </w:r>
      <w:r>
        <w:rPr>
          <w:rFonts w:cs="Times New Roman"/>
          <w:lang w:val="fr-CA"/>
        </w:rPr>
        <w:t>’</w:t>
      </w:r>
      <w:r w:rsidRPr="000D5E81">
        <w:rPr>
          <w:rFonts w:cs="Times New Roman"/>
          <w:lang w:val="fr-CA"/>
        </w:rPr>
        <w:t>interprétation d</w:t>
      </w:r>
      <w:r>
        <w:rPr>
          <w:rFonts w:cs="Times New Roman"/>
          <w:lang w:val="fr-CA"/>
        </w:rPr>
        <w:t>’</w:t>
      </w:r>
      <w:r w:rsidRPr="000D5E81">
        <w:rPr>
          <w:rFonts w:cs="Times New Roman"/>
          <w:lang w:val="fr-CA"/>
        </w:rPr>
        <w:t>une loi doit se fonder sur les termes choisis par le législateur, compte tenu de leur contexte en entier</w:t>
      </w:r>
      <w:r>
        <w:rPr>
          <w:rFonts w:cs="Times New Roman"/>
          <w:lang w:val="fr-CA"/>
        </w:rPr>
        <w:t xml:space="preserve">. </w:t>
      </w:r>
      <w:r w:rsidRPr="000D5E81">
        <w:rPr>
          <w:rFonts w:cs="Times New Roman"/>
          <w:lang w:val="fr-CA"/>
        </w:rPr>
        <w:t>À mon humble avis, la conclusion de ma collègue la juge Côté selon laquelle, pour l</w:t>
      </w:r>
      <w:r>
        <w:rPr>
          <w:rFonts w:cs="Times New Roman"/>
          <w:lang w:val="fr-CA"/>
        </w:rPr>
        <w:t>’</w:t>
      </w:r>
      <w:r w:rsidRPr="000D5E81">
        <w:rPr>
          <w:rFonts w:cs="Times New Roman"/>
          <w:lang w:val="fr-CA"/>
        </w:rPr>
        <w:t xml:space="preserve">application de la </w:t>
      </w:r>
      <w:r w:rsidRPr="000D5E81">
        <w:rPr>
          <w:rFonts w:cs="Times New Roman"/>
          <w:i/>
          <w:lang w:val="fr-CA"/>
        </w:rPr>
        <w:t>FOIPP</w:t>
      </w:r>
      <w:r w:rsidRPr="000D5E81">
        <w:rPr>
          <w:rFonts w:cs="Times New Roman"/>
          <w:lang w:val="fr-CA"/>
        </w:rPr>
        <w:t>, le secret professionnel de l</w:t>
      </w:r>
      <w:r>
        <w:rPr>
          <w:rFonts w:cs="Times New Roman"/>
          <w:lang w:val="fr-CA"/>
        </w:rPr>
        <w:t>’</w:t>
      </w:r>
      <w:r w:rsidRPr="000D5E81">
        <w:rPr>
          <w:rFonts w:cs="Times New Roman"/>
          <w:lang w:val="fr-CA"/>
        </w:rPr>
        <w:t>avocat constitue un [</w:t>
      </w:r>
      <w:r w:rsidRPr="000D5E81">
        <w:rPr>
          <w:rFonts w:cs="Times New Roman"/>
          <w:smallCaps/>
          <w:lang w:val="fr-CA"/>
        </w:rPr>
        <w:t>traduction</w:t>
      </w:r>
      <w:r w:rsidRPr="000D5E81">
        <w:rPr>
          <w:rFonts w:cs="Times New Roman"/>
          <w:lang w:val="fr-CA"/>
        </w:rPr>
        <w:t>] « privilège légal », mais non un « privilège que reconnaît le droit de la preuve », n</w:t>
      </w:r>
      <w:r>
        <w:rPr>
          <w:rFonts w:cs="Times New Roman"/>
          <w:lang w:val="fr-CA"/>
        </w:rPr>
        <w:t>’</w:t>
      </w:r>
      <w:r w:rsidRPr="000D5E81">
        <w:rPr>
          <w:rFonts w:cs="Times New Roman"/>
          <w:lang w:val="fr-CA"/>
        </w:rPr>
        <w:t>est justifiée ni par le texte ou le contexte de la loi, ni par le principe d</w:t>
      </w:r>
      <w:r>
        <w:rPr>
          <w:rFonts w:cs="Times New Roman"/>
          <w:lang w:val="fr-CA"/>
        </w:rPr>
        <w:t>’</w:t>
      </w:r>
      <w:r w:rsidRPr="000D5E81">
        <w:rPr>
          <w:rFonts w:cs="Times New Roman"/>
          <w:lang w:val="fr-CA"/>
        </w:rPr>
        <w:t>interprétation voulant que le législateur doive employer des termes clairs pour autoriser toute suppression du secret professionnel de l</w:t>
      </w:r>
      <w:r>
        <w:rPr>
          <w:rFonts w:cs="Times New Roman"/>
          <w:lang w:val="fr-CA"/>
        </w:rPr>
        <w:t>’</w:t>
      </w:r>
      <w:r w:rsidRPr="000D5E81">
        <w:rPr>
          <w:rFonts w:cs="Times New Roman"/>
          <w:lang w:val="fr-CA"/>
        </w:rPr>
        <w:t>avocat. Interprété dans son contexte, le libellé de la disposition législative traduit au contraire l</w:t>
      </w:r>
      <w:r>
        <w:rPr>
          <w:rFonts w:cs="Times New Roman"/>
          <w:lang w:val="fr-CA"/>
        </w:rPr>
        <w:t>’</w:t>
      </w:r>
      <w:r w:rsidRPr="000D5E81">
        <w:rPr>
          <w:rFonts w:cs="Times New Roman"/>
          <w:lang w:val="fr-CA"/>
        </w:rPr>
        <w:t>intention claire d</w:t>
      </w:r>
      <w:r>
        <w:rPr>
          <w:rFonts w:cs="Times New Roman"/>
          <w:lang w:val="fr-CA"/>
        </w:rPr>
        <w:t>’</w:t>
      </w:r>
      <w:r w:rsidRPr="000D5E81">
        <w:rPr>
          <w:rFonts w:cs="Times New Roman"/>
          <w:lang w:val="fr-CA"/>
        </w:rPr>
        <w:t>autoriser la Commissaire, sous réserve d</w:t>
      </w:r>
      <w:r>
        <w:rPr>
          <w:rFonts w:cs="Times New Roman"/>
          <w:lang w:val="fr-CA"/>
        </w:rPr>
        <w:t>’</w:t>
      </w:r>
      <w:r w:rsidRPr="000D5E81">
        <w:rPr>
          <w:rFonts w:cs="Times New Roman"/>
          <w:lang w:val="fr-CA"/>
        </w:rPr>
        <w:t>un contrôle judiciaire, à ordonner la production, en vue de leur examen, de documents à l</w:t>
      </w:r>
      <w:r>
        <w:rPr>
          <w:rFonts w:cs="Times New Roman"/>
          <w:lang w:val="fr-CA"/>
        </w:rPr>
        <w:t>’</w:t>
      </w:r>
      <w:r w:rsidRPr="000D5E81">
        <w:rPr>
          <w:rFonts w:cs="Times New Roman"/>
          <w:lang w:val="fr-CA"/>
        </w:rPr>
        <w:t>égard desquels le secret professionnel de l</w:t>
      </w:r>
      <w:r>
        <w:rPr>
          <w:rFonts w:cs="Times New Roman"/>
          <w:lang w:val="fr-CA"/>
        </w:rPr>
        <w:t>’</w:t>
      </w:r>
      <w:r w:rsidRPr="000D5E81">
        <w:rPr>
          <w:rFonts w:cs="Times New Roman"/>
          <w:lang w:val="fr-CA"/>
        </w:rPr>
        <w:t>avocat est invoqué. Toute conclusion contraire s</w:t>
      </w:r>
      <w:r>
        <w:rPr>
          <w:rFonts w:cs="Times New Roman"/>
          <w:lang w:val="fr-CA"/>
        </w:rPr>
        <w:t>’</w:t>
      </w:r>
      <w:r w:rsidRPr="000D5E81">
        <w:rPr>
          <w:rFonts w:cs="Times New Roman"/>
          <w:lang w:val="fr-CA"/>
        </w:rPr>
        <w:t>écarte de la méthode moderne d</w:t>
      </w:r>
      <w:r>
        <w:rPr>
          <w:rFonts w:cs="Times New Roman"/>
          <w:lang w:val="fr-CA"/>
        </w:rPr>
        <w:t>’</w:t>
      </w:r>
      <w:r w:rsidRPr="000D5E81">
        <w:rPr>
          <w:rFonts w:cs="Times New Roman"/>
          <w:lang w:val="fr-CA"/>
        </w:rPr>
        <w:t>interprétation des lois à laquelle la Cour a maintes fois souscrit et compromet sous couvert d</w:t>
      </w:r>
      <w:r>
        <w:rPr>
          <w:rFonts w:cs="Times New Roman"/>
          <w:lang w:val="fr-CA"/>
        </w:rPr>
        <w:t>’</w:t>
      </w:r>
      <w:r w:rsidRPr="000D5E81">
        <w:rPr>
          <w:rFonts w:cs="Times New Roman"/>
          <w:lang w:val="fr-CA"/>
        </w:rPr>
        <w:t xml:space="preserve">interprétation « restrictive » les choix de </w:t>
      </w:r>
      <w:r w:rsidRPr="000D5E81">
        <w:rPr>
          <w:rFonts w:cs="Times New Roman"/>
          <w:lang w:val="fr-CA"/>
        </w:rPr>
        <w:lastRenderedPageBreak/>
        <w:t>politique législative qui s</w:t>
      </w:r>
      <w:r>
        <w:rPr>
          <w:rFonts w:cs="Times New Roman"/>
          <w:lang w:val="fr-CA"/>
        </w:rPr>
        <w:t>’</w:t>
      </w:r>
      <w:r w:rsidRPr="000D5E81">
        <w:rPr>
          <w:rFonts w:cs="Times New Roman"/>
          <w:lang w:val="fr-CA"/>
        </w:rPr>
        <w:t>offrent aux législateurs sous réserve des exigences constitutionnelles.</w:t>
      </w:r>
    </w:p>
    <w:p w:rsidR="0091315D" w:rsidRPr="000D5E81" w:rsidRDefault="0091315D" w:rsidP="00B3618F">
      <w:pPr>
        <w:pStyle w:val="Title1LevelTitre1Niveau-AltL"/>
        <w:widowControl w:val="0"/>
        <w:numPr>
          <w:ilvl w:val="0"/>
          <w:numId w:val="9"/>
        </w:numPr>
        <w:tabs>
          <w:tab w:val="clear" w:pos="576"/>
          <w:tab w:val="num" w:pos="720"/>
        </w:tabs>
        <w:ind w:left="720" w:hanging="540"/>
        <w:rPr>
          <w:rFonts w:cs="Times New Roman"/>
          <w:lang w:val="fr-CA"/>
        </w:rPr>
      </w:pPr>
      <w:r w:rsidRPr="000D5E81">
        <w:rPr>
          <w:rFonts w:cs="Times New Roman"/>
          <w:lang w:val="fr-CA"/>
        </w:rPr>
        <w:t>Questions en litige</w:t>
      </w:r>
    </w:p>
    <w:p w:rsidR="0091315D" w:rsidRPr="000D5E81" w:rsidRDefault="0091315D" w:rsidP="00B3618F">
      <w:pPr>
        <w:pStyle w:val="ParaNoNdepar-AltN"/>
        <w:widowControl w:val="0"/>
        <w:rPr>
          <w:rFonts w:cs="Times New Roman"/>
          <w:lang w:val="fr-CA"/>
        </w:rPr>
      </w:pPr>
      <w:r w:rsidRPr="000D5E81">
        <w:rPr>
          <w:rFonts w:cs="Times New Roman"/>
          <w:lang w:val="fr-CA"/>
        </w:rPr>
        <w:t>Les trois questions suivantes doivent être tranchées</w:t>
      </w:r>
      <w:r>
        <w:rPr>
          <w:rFonts w:cs="Times New Roman"/>
          <w:lang w:val="fr-CA"/>
        </w:rPr>
        <w:t> :</w:t>
      </w:r>
    </w:p>
    <w:p w:rsidR="0091315D" w:rsidRPr="000D5E81" w:rsidRDefault="0091315D" w:rsidP="00B3618F">
      <w:pPr>
        <w:pStyle w:val="Title6LevelTitre6Niveau"/>
        <w:widowControl w:val="0"/>
        <w:numPr>
          <w:ilvl w:val="5"/>
          <w:numId w:val="10"/>
        </w:numPr>
        <w:tabs>
          <w:tab w:val="clear" w:pos="1728"/>
          <w:tab w:val="num" w:pos="720"/>
        </w:tabs>
        <w:ind w:left="720" w:hanging="720"/>
        <w:rPr>
          <w:rFonts w:cs="Times New Roman"/>
          <w:i w:val="0"/>
          <w:lang w:val="fr-CA"/>
        </w:rPr>
      </w:pPr>
      <w:r w:rsidRPr="000D5E81">
        <w:rPr>
          <w:rFonts w:cs="Times New Roman"/>
          <w:i w:val="0"/>
          <w:lang w:val="fr-CA"/>
        </w:rPr>
        <w:t>Quelle est la norme de contrôle applicable?</w:t>
      </w:r>
    </w:p>
    <w:p w:rsidR="0091315D" w:rsidRPr="000D5E81" w:rsidRDefault="0091315D" w:rsidP="00B3618F">
      <w:pPr>
        <w:pStyle w:val="Title6LevelTitre6Niveau"/>
        <w:widowControl w:val="0"/>
        <w:numPr>
          <w:ilvl w:val="5"/>
          <w:numId w:val="10"/>
        </w:numPr>
        <w:tabs>
          <w:tab w:val="clear" w:pos="1728"/>
          <w:tab w:val="num" w:pos="720"/>
        </w:tabs>
        <w:ind w:left="720" w:hanging="720"/>
        <w:rPr>
          <w:rFonts w:cs="Times New Roman"/>
          <w:i w:val="0"/>
          <w:lang w:val="fr-CA"/>
        </w:rPr>
      </w:pPr>
      <w:r w:rsidRPr="000D5E81">
        <w:rPr>
          <w:rFonts w:cs="Times New Roman"/>
          <w:i w:val="0"/>
          <w:lang w:val="fr-CA"/>
        </w:rPr>
        <w:t xml:space="preserve">La </w:t>
      </w:r>
      <w:r w:rsidRPr="000D5E81">
        <w:rPr>
          <w:rFonts w:cs="Times New Roman"/>
          <w:lang w:val="fr-CA"/>
        </w:rPr>
        <w:t>FOIPP</w:t>
      </w:r>
      <w:r w:rsidRPr="000D5E81">
        <w:rPr>
          <w:rFonts w:cs="Times New Roman"/>
          <w:i w:val="0"/>
          <w:lang w:val="fr-CA"/>
        </w:rPr>
        <w:t xml:space="preserve"> supprime</w:t>
      </w:r>
      <w:r>
        <w:rPr>
          <w:rFonts w:cs="Times New Roman"/>
          <w:i w:val="0"/>
          <w:lang w:val="fr-CA"/>
        </w:rPr>
        <w:noBreakHyphen/>
      </w:r>
      <w:r w:rsidRPr="000D5E81">
        <w:rPr>
          <w:rFonts w:cs="Times New Roman"/>
          <w:i w:val="0"/>
          <w:lang w:val="fr-CA"/>
        </w:rPr>
        <w:t>t</w:t>
      </w:r>
      <w:r>
        <w:rPr>
          <w:rFonts w:cs="Times New Roman"/>
          <w:i w:val="0"/>
          <w:lang w:val="fr-CA"/>
        </w:rPr>
        <w:noBreakHyphen/>
      </w:r>
      <w:r w:rsidRPr="000D5E81">
        <w:rPr>
          <w:rFonts w:cs="Times New Roman"/>
          <w:i w:val="0"/>
          <w:lang w:val="fr-CA"/>
        </w:rPr>
        <w:t>elle le secret professionnel de l</w:t>
      </w:r>
      <w:r>
        <w:rPr>
          <w:rFonts w:cs="Times New Roman"/>
          <w:i w:val="0"/>
          <w:lang w:val="fr-CA"/>
        </w:rPr>
        <w:t>’</w:t>
      </w:r>
      <w:r w:rsidRPr="000D5E81">
        <w:rPr>
          <w:rFonts w:cs="Times New Roman"/>
          <w:i w:val="0"/>
          <w:lang w:val="fr-CA"/>
        </w:rPr>
        <w:t>avocat?</w:t>
      </w:r>
    </w:p>
    <w:p w:rsidR="0091315D" w:rsidRPr="000D5E81" w:rsidRDefault="0091315D" w:rsidP="00B3618F">
      <w:pPr>
        <w:pStyle w:val="Title6LevelTitre6Niveau"/>
        <w:widowControl w:val="0"/>
        <w:numPr>
          <w:ilvl w:val="5"/>
          <w:numId w:val="10"/>
        </w:numPr>
        <w:tabs>
          <w:tab w:val="clear" w:pos="1728"/>
          <w:tab w:val="num" w:pos="720"/>
        </w:tabs>
        <w:ind w:left="720" w:hanging="720"/>
        <w:rPr>
          <w:rFonts w:cs="Times New Roman"/>
          <w:i w:val="0"/>
          <w:lang w:val="fr-CA"/>
        </w:rPr>
      </w:pPr>
      <w:r w:rsidRPr="000D5E81">
        <w:rPr>
          <w:rFonts w:cs="Times New Roman"/>
          <w:i w:val="0"/>
          <w:lang w:val="fr-CA"/>
        </w:rPr>
        <w:t>Le délégué de la Commissaire a</w:t>
      </w:r>
      <w:r>
        <w:rPr>
          <w:rFonts w:cs="Times New Roman"/>
          <w:i w:val="0"/>
          <w:lang w:val="fr-CA"/>
        </w:rPr>
        <w:noBreakHyphen/>
      </w:r>
      <w:r w:rsidRPr="000D5E81">
        <w:rPr>
          <w:rFonts w:cs="Times New Roman"/>
          <w:i w:val="0"/>
          <w:lang w:val="fr-CA"/>
        </w:rPr>
        <w:t>t</w:t>
      </w:r>
      <w:r>
        <w:rPr>
          <w:rFonts w:cs="Times New Roman"/>
          <w:i w:val="0"/>
          <w:lang w:val="fr-CA"/>
        </w:rPr>
        <w:noBreakHyphen/>
      </w:r>
      <w:r w:rsidRPr="000D5E81">
        <w:rPr>
          <w:rFonts w:cs="Times New Roman"/>
          <w:i w:val="0"/>
          <w:lang w:val="fr-CA"/>
        </w:rPr>
        <w:t>il commis une erreur susceptible de contrôle en ordonnant la production?</w:t>
      </w:r>
    </w:p>
    <w:p w:rsidR="0091315D" w:rsidRPr="000D5E81" w:rsidRDefault="0091315D" w:rsidP="00B3618F">
      <w:pPr>
        <w:pStyle w:val="Title1LevelTitre1Niveau-AltL"/>
        <w:widowControl w:val="0"/>
        <w:numPr>
          <w:ilvl w:val="0"/>
          <w:numId w:val="9"/>
        </w:numPr>
        <w:tabs>
          <w:tab w:val="clear" w:pos="576"/>
          <w:tab w:val="num" w:pos="720"/>
        </w:tabs>
        <w:ind w:left="720" w:hanging="450"/>
        <w:rPr>
          <w:rFonts w:cs="Times New Roman"/>
          <w:lang w:val="fr-CA"/>
        </w:rPr>
      </w:pPr>
      <w:r w:rsidRPr="000D5E81">
        <w:rPr>
          <w:rFonts w:cs="Times New Roman"/>
          <w:lang w:val="fr-CA"/>
        </w:rPr>
        <w:t>Analyse</w:t>
      </w:r>
    </w:p>
    <w:p w:rsidR="0091315D" w:rsidRPr="000D5E81" w:rsidRDefault="0091315D" w:rsidP="00B3618F">
      <w:pPr>
        <w:pStyle w:val="Title2LevelTitre2Niveau"/>
        <w:widowControl w:val="0"/>
        <w:numPr>
          <w:ilvl w:val="1"/>
          <w:numId w:val="9"/>
        </w:numPr>
        <w:tabs>
          <w:tab w:val="clear" w:pos="576"/>
          <w:tab w:val="num" w:pos="720"/>
        </w:tabs>
        <w:ind w:left="720" w:hanging="720"/>
        <w:rPr>
          <w:rFonts w:cs="Times New Roman"/>
        </w:rPr>
      </w:pPr>
      <w:r w:rsidRPr="000D5E81">
        <w:rPr>
          <w:rFonts w:cs="Times New Roman"/>
        </w:rPr>
        <w:t>Quelle est la norme de contrôle applicable?</w:t>
      </w:r>
    </w:p>
    <w:p w:rsidR="0091315D" w:rsidRPr="000D5E81" w:rsidRDefault="0091315D" w:rsidP="00B3618F">
      <w:pPr>
        <w:pStyle w:val="ParaNoNdepar-AltN"/>
        <w:widowControl w:val="0"/>
        <w:rPr>
          <w:rFonts w:cs="Times New Roman"/>
          <w:lang w:val="fr-CA"/>
        </w:rPr>
      </w:pPr>
      <w:r w:rsidRPr="000D5E81">
        <w:rPr>
          <w:rFonts w:cs="Times New Roman"/>
          <w:lang w:val="fr-CA"/>
        </w:rPr>
        <w:t>Pour les besoins des présents motifs, je tiens pour acquis (sans statuer en ce sens) que la norme de la décision correcte s</w:t>
      </w:r>
      <w:r>
        <w:rPr>
          <w:rFonts w:cs="Times New Roman"/>
          <w:lang w:val="fr-CA"/>
        </w:rPr>
        <w:t>’</w:t>
      </w:r>
      <w:r w:rsidRPr="000D5E81">
        <w:rPr>
          <w:rFonts w:cs="Times New Roman"/>
          <w:lang w:val="fr-CA"/>
        </w:rPr>
        <w:t>applique à la question de savoir si la Commissaire peut ordonner la production d</w:t>
      </w:r>
      <w:r>
        <w:rPr>
          <w:rFonts w:cs="Times New Roman"/>
          <w:lang w:val="fr-CA"/>
        </w:rPr>
        <w:t>’</w:t>
      </w:r>
      <w:r w:rsidRPr="000D5E81">
        <w:rPr>
          <w:rFonts w:cs="Times New Roman"/>
          <w:lang w:val="fr-CA"/>
        </w:rPr>
        <w:t>un document afin de se prononcer sur l</w:t>
      </w:r>
      <w:r>
        <w:rPr>
          <w:rFonts w:cs="Times New Roman"/>
          <w:lang w:val="fr-CA"/>
        </w:rPr>
        <w:t>’</w:t>
      </w:r>
      <w:r w:rsidRPr="000D5E81">
        <w:rPr>
          <w:rFonts w:cs="Times New Roman"/>
          <w:lang w:val="fr-CA"/>
        </w:rPr>
        <w:t>application du secret professionnel de l</w:t>
      </w:r>
      <w:r>
        <w:rPr>
          <w:rFonts w:cs="Times New Roman"/>
          <w:lang w:val="fr-CA"/>
        </w:rPr>
        <w:t>’</w:t>
      </w:r>
      <w:r w:rsidRPr="000D5E81">
        <w:rPr>
          <w:rFonts w:cs="Times New Roman"/>
          <w:lang w:val="fr-CA"/>
        </w:rPr>
        <w:t>avocat invoqué à son égard.</w:t>
      </w:r>
    </w:p>
    <w:p w:rsidR="0091315D" w:rsidRPr="000D5E81" w:rsidRDefault="0091315D" w:rsidP="00B3618F">
      <w:pPr>
        <w:pStyle w:val="Title2LevelTitre2Niveau"/>
        <w:widowControl w:val="0"/>
        <w:numPr>
          <w:ilvl w:val="1"/>
          <w:numId w:val="9"/>
        </w:numPr>
        <w:tabs>
          <w:tab w:val="clear" w:pos="576"/>
          <w:tab w:val="num" w:pos="720"/>
        </w:tabs>
        <w:ind w:left="720" w:hanging="720"/>
        <w:rPr>
          <w:rFonts w:cs="Times New Roman"/>
        </w:rPr>
      </w:pPr>
      <w:r w:rsidRPr="000D5E81">
        <w:rPr>
          <w:rFonts w:cs="Times New Roman"/>
        </w:rPr>
        <w:t>La FOIPP supprime</w:t>
      </w:r>
      <w:r>
        <w:rPr>
          <w:rFonts w:cs="Times New Roman"/>
        </w:rPr>
        <w:noBreakHyphen/>
      </w:r>
      <w:r w:rsidRPr="000D5E81">
        <w:rPr>
          <w:rFonts w:cs="Times New Roman"/>
        </w:rPr>
        <w:t>t</w:t>
      </w:r>
      <w:r>
        <w:rPr>
          <w:rFonts w:cs="Times New Roman"/>
        </w:rPr>
        <w:noBreakHyphen/>
      </w:r>
      <w:r w:rsidRPr="000D5E81">
        <w:rPr>
          <w:rFonts w:cs="Times New Roman"/>
        </w:rPr>
        <w:t>elle le secret professionnel de l</w:t>
      </w:r>
      <w:r>
        <w:rPr>
          <w:rFonts w:cs="Times New Roman"/>
        </w:rPr>
        <w:t>’</w:t>
      </w:r>
      <w:r w:rsidRPr="000D5E81">
        <w:rPr>
          <w:rFonts w:cs="Times New Roman"/>
        </w:rPr>
        <w:t>avocat?</w:t>
      </w:r>
    </w:p>
    <w:p w:rsidR="0091315D" w:rsidRPr="000D5E81" w:rsidRDefault="0091315D" w:rsidP="00B3618F">
      <w:pPr>
        <w:pStyle w:val="Title3LevelTitre3Niveau"/>
        <w:widowControl w:val="0"/>
        <w:numPr>
          <w:ilvl w:val="2"/>
          <w:numId w:val="9"/>
        </w:numPr>
        <w:tabs>
          <w:tab w:val="clear" w:pos="1152"/>
          <w:tab w:val="num" w:pos="1440"/>
        </w:tabs>
        <w:ind w:left="1440" w:hanging="720"/>
        <w:rPr>
          <w:rFonts w:cs="Times New Roman"/>
          <w:lang w:val="fr-CA"/>
        </w:rPr>
      </w:pPr>
      <w:r w:rsidRPr="000D5E81">
        <w:rPr>
          <w:rFonts w:cs="Times New Roman"/>
          <w:lang w:val="fr-CA"/>
        </w:rPr>
        <w:lastRenderedPageBreak/>
        <w:t>Introduction</w:t>
      </w:r>
    </w:p>
    <w:p w:rsidR="0091315D" w:rsidRPr="000D5E81" w:rsidRDefault="0091315D" w:rsidP="00B3618F">
      <w:pPr>
        <w:pStyle w:val="ParaNoNdepar-AltN"/>
        <w:widowControl w:val="0"/>
        <w:rPr>
          <w:rFonts w:cs="Times New Roman"/>
          <w:lang w:val="fr-CA"/>
        </w:rPr>
      </w:pPr>
      <w:r w:rsidRPr="000D5E81">
        <w:rPr>
          <w:rFonts w:cs="Times New Roman"/>
          <w:lang w:val="fr-CA"/>
        </w:rPr>
        <w:t>Dans l</w:t>
      </w:r>
      <w:r>
        <w:rPr>
          <w:rFonts w:cs="Times New Roman"/>
          <w:lang w:val="fr-CA"/>
        </w:rPr>
        <w:t>’</w:t>
      </w:r>
      <w:r w:rsidRPr="000D5E81">
        <w:rPr>
          <w:rFonts w:cs="Times New Roman"/>
          <w:lang w:val="fr-CA"/>
        </w:rPr>
        <w:t xml:space="preserve">arrêt </w:t>
      </w:r>
      <w:r w:rsidRPr="000D5E81">
        <w:rPr>
          <w:rFonts w:cs="Times New Roman"/>
          <w:i/>
          <w:lang w:val="fr-CA"/>
        </w:rPr>
        <w:t>Canada (Commissaire à la protection de la vie privée) c. Blood Tribe Department of Health</w:t>
      </w:r>
      <w:r w:rsidRPr="000D5E81">
        <w:rPr>
          <w:rFonts w:cs="Times New Roman"/>
          <w:lang w:val="fr-CA"/>
        </w:rPr>
        <w:t>, 2008 CSC 44, [2008] 2 R.C.S. 574, la Cour conclut que « les dispositions législatives susceptibles (si elles sont interprétées de façon large) d</w:t>
      </w:r>
      <w:r>
        <w:rPr>
          <w:rFonts w:cs="Times New Roman"/>
          <w:lang w:val="fr-CA"/>
        </w:rPr>
        <w:t>’</w:t>
      </w:r>
      <w:r w:rsidRPr="000D5E81">
        <w:rPr>
          <w:rFonts w:cs="Times New Roman"/>
          <w:lang w:val="fr-CA"/>
        </w:rPr>
        <w:t>autoriser des atteintes au privilège du secret professionnel de l</w:t>
      </w:r>
      <w:r>
        <w:rPr>
          <w:rFonts w:cs="Times New Roman"/>
          <w:lang w:val="fr-CA"/>
        </w:rPr>
        <w:t>’</w:t>
      </w:r>
      <w:r w:rsidRPr="000D5E81">
        <w:rPr>
          <w:rFonts w:cs="Times New Roman"/>
          <w:lang w:val="fr-CA"/>
        </w:rPr>
        <w:t>avocat doivent être interprétées de manière restrictive » (</w:t>
      </w:r>
      <w:r>
        <w:rPr>
          <w:rFonts w:cs="Times New Roman"/>
          <w:lang w:val="fr-CA"/>
        </w:rPr>
        <w:t>par. </w:t>
      </w:r>
      <w:r w:rsidRPr="000D5E81">
        <w:rPr>
          <w:rFonts w:cs="Times New Roman"/>
          <w:lang w:val="fr-CA"/>
        </w:rPr>
        <w:t>11). Le secret professionnel de l</w:t>
      </w:r>
      <w:r>
        <w:rPr>
          <w:rFonts w:cs="Times New Roman"/>
          <w:lang w:val="fr-CA"/>
        </w:rPr>
        <w:t>’</w:t>
      </w:r>
      <w:r w:rsidRPr="000D5E81">
        <w:rPr>
          <w:rFonts w:cs="Times New Roman"/>
          <w:lang w:val="fr-CA"/>
        </w:rPr>
        <w:t>avocat ne peut être « supprimé par inférence » et « [o]</w:t>
      </w:r>
      <w:r w:rsidRPr="000D5E81">
        <w:rPr>
          <w:rFonts w:cs="Times New Roman"/>
          <w:lang w:val="fr-FR"/>
        </w:rPr>
        <w:t>n considérera ainsi qu</w:t>
      </w:r>
      <w:r>
        <w:rPr>
          <w:rFonts w:cs="Times New Roman"/>
          <w:lang w:val="fr-FR"/>
        </w:rPr>
        <w:t>’</w:t>
      </w:r>
      <w:r w:rsidRPr="000D5E81">
        <w:rPr>
          <w:rFonts w:cs="Times New Roman"/>
          <w:lang w:val="fr-FR"/>
        </w:rPr>
        <w:t>une disposition d</w:t>
      </w:r>
      <w:r>
        <w:rPr>
          <w:rFonts w:cs="Times New Roman"/>
          <w:lang w:val="fr-FR"/>
        </w:rPr>
        <w:t>’</w:t>
      </w:r>
      <w:r w:rsidRPr="000D5E81">
        <w:rPr>
          <w:rFonts w:cs="Times New Roman"/>
          <w:lang w:val="fr-FR"/>
        </w:rPr>
        <w:t xml:space="preserve">acception large régissant la production de documents </w:t>
      </w:r>
      <w:r w:rsidRPr="000D5E81">
        <w:rPr>
          <w:rFonts w:cs="Times New Roman"/>
          <w:i/>
          <w:iCs/>
          <w:lang w:val="fr-FR"/>
        </w:rPr>
        <w:t>ne</w:t>
      </w:r>
      <w:r w:rsidRPr="000D5E81">
        <w:rPr>
          <w:rFonts w:cs="Times New Roman"/>
          <w:lang w:val="fr-FR"/>
        </w:rPr>
        <w:t xml:space="preserve"> vise </w:t>
      </w:r>
      <w:r w:rsidRPr="000D5E81">
        <w:rPr>
          <w:rFonts w:cs="Times New Roman"/>
          <w:i/>
          <w:iCs/>
          <w:lang w:val="fr-FR"/>
        </w:rPr>
        <w:t>pas</w:t>
      </w:r>
      <w:r w:rsidRPr="000D5E81">
        <w:rPr>
          <w:rFonts w:cs="Times New Roman"/>
          <w:lang w:val="fr-FR"/>
        </w:rPr>
        <w:t xml:space="preserve"> les documents protégés par le secret professionnel de l</w:t>
      </w:r>
      <w:r>
        <w:rPr>
          <w:rFonts w:cs="Times New Roman"/>
          <w:lang w:val="fr-FR"/>
        </w:rPr>
        <w:t>’</w:t>
      </w:r>
      <w:r w:rsidRPr="000D5E81">
        <w:rPr>
          <w:rFonts w:cs="Times New Roman"/>
          <w:lang w:val="fr-FR"/>
        </w:rPr>
        <w:t>avocat </w:t>
      </w:r>
      <w:r w:rsidRPr="000D5E81">
        <w:rPr>
          <w:rFonts w:cs="Times New Roman"/>
          <w:lang w:val="fr-CA"/>
        </w:rPr>
        <w:t>» (</w:t>
      </w:r>
      <w:r>
        <w:rPr>
          <w:rFonts w:cs="Times New Roman"/>
          <w:lang w:val="fr-CA"/>
        </w:rPr>
        <w:t>par. </w:t>
      </w:r>
      <w:r w:rsidR="007A441D">
        <w:rPr>
          <w:rFonts w:cs="Times New Roman"/>
          <w:lang w:val="fr-CA"/>
        </w:rPr>
        <w:t>11</w:t>
      </w:r>
      <w:r w:rsidRPr="000D5E81">
        <w:rPr>
          <w:rFonts w:cs="Times New Roman"/>
          <w:lang w:val="fr-CA"/>
        </w:rPr>
        <w:t xml:space="preserve"> (en italique dans l</w:t>
      </w:r>
      <w:r>
        <w:rPr>
          <w:rFonts w:cs="Times New Roman"/>
          <w:lang w:val="fr-CA"/>
        </w:rPr>
        <w:t>’</w:t>
      </w:r>
      <w:r w:rsidRPr="000D5E81">
        <w:rPr>
          <w:rFonts w:cs="Times New Roman"/>
          <w:lang w:val="fr-CA"/>
        </w:rPr>
        <w:t xml:space="preserve">original); voir également </w:t>
      </w:r>
      <w:r w:rsidRPr="000D5E81">
        <w:rPr>
          <w:rFonts w:cs="Times New Roman"/>
          <w:i/>
          <w:lang w:val="fr-CA"/>
        </w:rPr>
        <w:t>Canada (Revenu national) c. Thompson</w:t>
      </w:r>
      <w:r w:rsidRPr="000D5E81">
        <w:rPr>
          <w:rFonts w:cs="Times New Roman"/>
          <w:lang w:val="fr-CA"/>
        </w:rPr>
        <w:t xml:space="preserve">, 2016 CSC 21, [2016] 1 R.C.S. 381, </w:t>
      </w:r>
      <w:r>
        <w:rPr>
          <w:rFonts w:cs="Times New Roman"/>
          <w:lang w:val="fr-CA"/>
        </w:rPr>
        <w:t>par. </w:t>
      </w:r>
      <w:r w:rsidRPr="000D5E81">
        <w:rPr>
          <w:rFonts w:cs="Times New Roman"/>
          <w:lang w:val="fr-CA"/>
        </w:rPr>
        <w:t>23</w:t>
      </w:r>
      <w:r>
        <w:rPr>
          <w:rFonts w:cs="Times New Roman"/>
          <w:lang w:val="fr-CA"/>
        </w:rPr>
        <w:noBreakHyphen/>
      </w:r>
      <w:r w:rsidRPr="000D5E81">
        <w:rPr>
          <w:rFonts w:cs="Times New Roman"/>
          <w:lang w:val="fr-CA"/>
        </w:rPr>
        <w:t>25).</w:t>
      </w:r>
    </w:p>
    <w:p w:rsidR="0091315D" w:rsidRPr="000D5E81" w:rsidRDefault="0091315D" w:rsidP="00B3618F">
      <w:pPr>
        <w:pStyle w:val="ParaNoNdepar-AltN"/>
        <w:widowControl w:val="0"/>
        <w:rPr>
          <w:rFonts w:cs="Times New Roman"/>
          <w:lang w:val="fr-CA"/>
        </w:rPr>
      </w:pPr>
      <w:r w:rsidRPr="000D5E81">
        <w:rPr>
          <w:rFonts w:cs="Times New Roman"/>
          <w:i/>
          <w:lang w:val="fr-CA"/>
        </w:rPr>
        <w:t>Blood Tribe</w:t>
      </w:r>
      <w:r w:rsidRPr="000D5E81">
        <w:rPr>
          <w:rFonts w:cs="Times New Roman"/>
          <w:lang w:val="fr-CA"/>
        </w:rPr>
        <w:t xml:space="preserve"> constitue certes un arrêt important, mais la question qui y est tranchée n</w:t>
      </w:r>
      <w:r>
        <w:rPr>
          <w:rFonts w:cs="Times New Roman"/>
          <w:lang w:val="fr-CA"/>
        </w:rPr>
        <w:t>’</w:t>
      </w:r>
      <w:r w:rsidRPr="000D5E81">
        <w:rPr>
          <w:rFonts w:cs="Times New Roman"/>
          <w:lang w:val="fr-CA"/>
        </w:rPr>
        <w:t>a presque rien à voir avec celle que soulève le présent pourvoi. Dans cette affaire, on faisait valoir que, en vertu d</w:t>
      </w:r>
      <w:r>
        <w:rPr>
          <w:rFonts w:cs="Times New Roman"/>
          <w:lang w:val="fr-CA"/>
        </w:rPr>
        <w:t>’</w:t>
      </w:r>
      <w:r w:rsidRPr="000D5E81">
        <w:rPr>
          <w:rFonts w:cs="Times New Roman"/>
          <w:lang w:val="fr-CA"/>
        </w:rPr>
        <w:t>une disposition générale permettant d</w:t>
      </w:r>
      <w:r>
        <w:rPr>
          <w:rFonts w:cs="Times New Roman"/>
          <w:lang w:val="fr-CA"/>
        </w:rPr>
        <w:t>’</w:t>
      </w:r>
      <w:r w:rsidRPr="000D5E81">
        <w:rPr>
          <w:rFonts w:cs="Times New Roman"/>
          <w:lang w:val="fr-CA"/>
        </w:rPr>
        <w:t>exiger la production de documents, la Commissaire à la protection de la vie privée jouissait automatiquement d</w:t>
      </w:r>
      <w:r>
        <w:rPr>
          <w:rFonts w:cs="Times New Roman"/>
          <w:lang w:val="fr-CA"/>
        </w:rPr>
        <w:t>’</w:t>
      </w:r>
      <w:r w:rsidRPr="000D5E81">
        <w:rPr>
          <w:rFonts w:cs="Times New Roman"/>
          <w:lang w:val="fr-CA"/>
        </w:rPr>
        <w:t>un droit d</w:t>
      </w:r>
      <w:r>
        <w:rPr>
          <w:rFonts w:cs="Times New Roman"/>
          <w:lang w:val="fr-CA"/>
        </w:rPr>
        <w:t>’</w:t>
      </w:r>
      <w:r w:rsidRPr="000D5E81">
        <w:rPr>
          <w:rFonts w:cs="Times New Roman"/>
          <w:lang w:val="fr-CA"/>
        </w:rPr>
        <w:t>accès aux documents protégés même lorsque le privilège était invoqué à bon droit (par 16</w:t>
      </w:r>
      <w:r>
        <w:rPr>
          <w:rFonts w:cs="Times New Roman"/>
          <w:lang w:val="fr-CA"/>
        </w:rPr>
        <w:noBreakHyphen/>
      </w:r>
      <w:r w:rsidRPr="000D5E81">
        <w:rPr>
          <w:rFonts w:cs="Times New Roman"/>
          <w:lang w:val="fr-CA"/>
        </w:rPr>
        <w:t>17). C</w:t>
      </w:r>
      <w:r>
        <w:rPr>
          <w:rFonts w:cs="Times New Roman"/>
          <w:lang w:val="fr-CA"/>
        </w:rPr>
        <w:t>’</w:t>
      </w:r>
      <w:r w:rsidRPr="000D5E81">
        <w:rPr>
          <w:rFonts w:cs="Times New Roman"/>
          <w:lang w:val="fr-CA"/>
        </w:rPr>
        <w:t>est dans ce contexte que la Cour statue qu</w:t>
      </w:r>
      <w:r>
        <w:rPr>
          <w:rFonts w:cs="Times New Roman"/>
          <w:lang w:val="fr-CA"/>
        </w:rPr>
        <w:t>’</w:t>
      </w:r>
      <w:r w:rsidRPr="000D5E81">
        <w:rPr>
          <w:rFonts w:cs="Times New Roman"/>
          <w:lang w:val="fr-CA"/>
        </w:rPr>
        <w:t>une disposition générale doit être interprétée de manière restrictive et que la disposition d</w:t>
      </w:r>
      <w:r>
        <w:rPr>
          <w:rFonts w:cs="Times New Roman"/>
          <w:lang w:val="fr-CA"/>
        </w:rPr>
        <w:t>’</w:t>
      </w:r>
      <w:r w:rsidRPr="000D5E81">
        <w:rPr>
          <w:rFonts w:cs="Times New Roman"/>
          <w:lang w:val="fr-CA"/>
        </w:rPr>
        <w:t>acception large conférant un pouvoir en matière de production ne doit pas être interprétée comme si elle permettait d</w:t>
      </w:r>
      <w:r>
        <w:rPr>
          <w:rFonts w:cs="Times New Roman"/>
          <w:lang w:val="fr-CA"/>
        </w:rPr>
        <w:t>’</w:t>
      </w:r>
      <w:r w:rsidRPr="000D5E81">
        <w:rPr>
          <w:rFonts w:cs="Times New Roman"/>
          <w:lang w:val="fr-CA"/>
        </w:rPr>
        <w:t xml:space="preserve">exiger la production de documents protégés. La Cour fait expressément droit à la prétention du procureur général du Canada selon </w:t>
      </w:r>
      <w:r w:rsidRPr="000D5E81">
        <w:rPr>
          <w:rFonts w:cs="Times New Roman"/>
          <w:lang w:val="fr-CA"/>
        </w:rPr>
        <w:lastRenderedPageBreak/>
        <w:t>laquelle, dans cette affaire, le sens ordinaire et grammatical des termes, compte tenu de tout le contexte qui leur est propre, n</w:t>
      </w:r>
      <w:r>
        <w:rPr>
          <w:rFonts w:cs="Times New Roman"/>
          <w:lang w:val="fr-CA"/>
        </w:rPr>
        <w:t>’</w:t>
      </w:r>
      <w:r w:rsidRPr="000D5E81">
        <w:rPr>
          <w:rFonts w:cs="Times New Roman"/>
          <w:lang w:val="fr-CA"/>
        </w:rPr>
        <w:t>appuie pas la thèse de la Commissaire à la protection de la vie privée (</w:t>
      </w:r>
      <w:r>
        <w:rPr>
          <w:rFonts w:cs="Times New Roman"/>
          <w:lang w:val="fr-CA"/>
        </w:rPr>
        <w:t>par. </w:t>
      </w:r>
      <w:r w:rsidRPr="000D5E81">
        <w:rPr>
          <w:rFonts w:cs="Times New Roman"/>
          <w:lang w:val="fr-CA"/>
        </w:rPr>
        <w:t xml:space="preserve">26). Elle souligne en outre que, contrairement aux pouvoirs conférés à la Commissaire à la protection de la vie privée par la </w:t>
      </w:r>
      <w:r w:rsidRPr="000D5E81">
        <w:rPr>
          <w:rFonts w:cs="Times New Roman"/>
          <w:i/>
          <w:lang w:val="fr-CA"/>
        </w:rPr>
        <w:t>Loi sur la protection des renseignements personnels et les documents électroniques</w:t>
      </w:r>
      <w:r w:rsidRPr="000D5E81">
        <w:rPr>
          <w:rFonts w:cs="Times New Roman"/>
          <w:lang w:val="fr-CA"/>
        </w:rPr>
        <w:t>, L.C. 2000, c. 5 (« </w:t>
      </w:r>
      <w:r w:rsidRPr="000D5E81">
        <w:rPr>
          <w:rFonts w:cs="Times New Roman"/>
          <w:i/>
          <w:lang w:val="fr-CA"/>
        </w:rPr>
        <w:t>LPRPDE</w:t>
      </w:r>
      <w:r w:rsidRPr="000D5E81">
        <w:rPr>
          <w:rFonts w:cs="Times New Roman"/>
          <w:lang w:val="fr-CA"/>
        </w:rPr>
        <w:t> ») — ceux alors en cause —</w:t>
      </w:r>
      <w:r w:rsidR="005D6D1A">
        <w:rPr>
          <w:rFonts w:cs="Times New Roman"/>
          <w:lang w:val="fr-CA"/>
        </w:rPr>
        <w:t xml:space="preserve"> </w:t>
      </w:r>
      <w:r w:rsidRPr="000D5E81">
        <w:rPr>
          <w:rFonts w:cs="Times New Roman"/>
          <w:lang w:val="fr-CA"/>
        </w:rPr>
        <w:t xml:space="preserve">les pouvoirs accordés par la </w:t>
      </w:r>
      <w:r w:rsidRPr="000D5E81">
        <w:rPr>
          <w:rFonts w:cs="Times New Roman"/>
          <w:i/>
          <w:lang w:val="fr-CA"/>
        </w:rPr>
        <w:t>Loi sur la protection des renseignements personnels</w:t>
      </w:r>
      <w:r w:rsidRPr="000D5E81">
        <w:rPr>
          <w:rFonts w:cs="Times New Roman"/>
          <w:lang w:val="fr-CA"/>
        </w:rPr>
        <w:t>, L.R.C. 1985, c. P</w:t>
      </w:r>
      <w:r>
        <w:rPr>
          <w:rFonts w:cs="Times New Roman"/>
          <w:lang w:val="fr-CA"/>
        </w:rPr>
        <w:noBreakHyphen/>
      </w:r>
      <w:r w:rsidRPr="000D5E81">
        <w:rPr>
          <w:rFonts w:cs="Times New Roman"/>
          <w:lang w:val="fr-CA"/>
        </w:rPr>
        <w:t>21</w:t>
      </w:r>
      <w:r w:rsidR="007A441D">
        <w:rPr>
          <w:rFonts w:cs="Times New Roman"/>
          <w:lang w:val="fr-CA"/>
        </w:rPr>
        <w:t>,</w:t>
      </w:r>
      <w:r w:rsidRPr="000D5E81">
        <w:rPr>
          <w:rFonts w:cs="Times New Roman"/>
          <w:lang w:val="fr-CA"/>
        </w:rPr>
        <w:t xml:space="preserve"> le sont par une « disposition explicite permettant l</w:t>
      </w:r>
      <w:r>
        <w:rPr>
          <w:rFonts w:cs="Times New Roman"/>
          <w:lang w:val="fr-CA"/>
        </w:rPr>
        <w:t>’</w:t>
      </w:r>
      <w:r w:rsidRPr="000D5E81">
        <w:rPr>
          <w:rFonts w:cs="Times New Roman"/>
          <w:lang w:val="fr-CA"/>
        </w:rPr>
        <w:t>accès aux renseignements confidentiels » (</w:t>
      </w:r>
      <w:r>
        <w:rPr>
          <w:rFonts w:cs="Times New Roman"/>
          <w:lang w:val="fr-CA"/>
        </w:rPr>
        <w:t>par. </w:t>
      </w:r>
      <w:r w:rsidRPr="000D5E81">
        <w:rPr>
          <w:rFonts w:cs="Times New Roman"/>
          <w:lang w:val="fr-CA"/>
        </w:rPr>
        <w:t>28). La disposition de la</w:t>
      </w:r>
      <w:r w:rsidRPr="000D5E81">
        <w:rPr>
          <w:rFonts w:eastAsia="Times New Roman" w:cs="Times New Roman"/>
          <w:i/>
          <w:szCs w:val="24"/>
          <w:lang w:val="fr-CA" w:eastAsia="en-CA"/>
        </w:rPr>
        <w:t xml:space="preserve"> </w:t>
      </w:r>
      <w:r w:rsidRPr="000D5E81">
        <w:rPr>
          <w:rFonts w:cs="Times New Roman"/>
          <w:i/>
          <w:lang w:val="fr-CA"/>
        </w:rPr>
        <w:t>Loi sur la protection des renseignements personnels</w:t>
      </w:r>
      <w:r w:rsidRPr="000D5E81">
        <w:rPr>
          <w:rFonts w:cs="Times New Roman"/>
          <w:lang w:val="fr-CA"/>
        </w:rPr>
        <w:t xml:space="preserve"> qui, pour l</w:t>
      </w:r>
      <w:r>
        <w:rPr>
          <w:rFonts w:cs="Times New Roman"/>
          <w:lang w:val="fr-CA"/>
        </w:rPr>
        <w:t>’</w:t>
      </w:r>
      <w:r w:rsidRPr="000D5E81">
        <w:rPr>
          <w:rFonts w:cs="Times New Roman"/>
          <w:lang w:val="fr-CA"/>
        </w:rPr>
        <w:t>essentiel, est identique à la disposition de la loi albertaine visée en l</w:t>
      </w:r>
      <w:r>
        <w:rPr>
          <w:rFonts w:cs="Times New Roman"/>
          <w:lang w:val="fr-CA"/>
        </w:rPr>
        <w:t>’</w:t>
      </w:r>
      <w:r w:rsidRPr="000D5E81">
        <w:rPr>
          <w:rFonts w:cs="Times New Roman"/>
          <w:lang w:val="fr-CA"/>
        </w:rPr>
        <w:t>espèce, autorisait la Commissaire à la protection de la vie privée à examiner tout renseignement « [n]onobstant [. . .] toute immunité reconnue par le droit de la preuve » (</w:t>
      </w:r>
      <w:r>
        <w:rPr>
          <w:rFonts w:cs="Times New Roman"/>
          <w:lang w:val="fr-CA"/>
        </w:rPr>
        <w:t>par. </w:t>
      </w:r>
      <w:r w:rsidRPr="000D5E81">
        <w:rPr>
          <w:rFonts w:cs="Times New Roman"/>
          <w:lang w:val="fr-CA"/>
        </w:rPr>
        <w:t>34(2)).</w:t>
      </w:r>
    </w:p>
    <w:p w:rsidR="0091315D" w:rsidRPr="000D5E81" w:rsidRDefault="0091315D" w:rsidP="00B3618F">
      <w:pPr>
        <w:pStyle w:val="ParaNoNdepar-AltN"/>
        <w:widowControl w:val="0"/>
        <w:rPr>
          <w:rFonts w:cs="Times New Roman"/>
          <w:lang w:val="fr-CA"/>
        </w:rPr>
      </w:pPr>
      <w:r w:rsidRPr="000D5E81">
        <w:rPr>
          <w:rFonts w:cs="Times New Roman"/>
          <w:lang w:val="fr-CA"/>
        </w:rPr>
        <w:t>Appliquer une présomption d</w:t>
      </w:r>
      <w:r>
        <w:rPr>
          <w:rFonts w:cs="Times New Roman"/>
          <w:lang w:val="fr-CA"/>
        </w:rPr>
        <w:t>’</w:t>
      </w:r>
      <w:r w:rsidRPr="000D5E81">
        <w:rPr>
          <w:rFonts w:cs="Times New Roman"/>
          <w:lang w:val="fr-CA"/>
        </w:rPr>
        <w:t>intention législative n</w:t>
      </w:r>
      <w:r>
        <w:rPr>
          <w:rFonts w:cs="Times New Roman"/>
          <w:lang w:val="fr-CA"/>
        </w:rPr>
        <w:t>’</w:t>
      </w:r>
      <w:r w:rsidRPr="000D5E81">
        <w:rPr>
          <w:rFonts w:cs="Times New Roman"/>
          <w:lang w:val="fr-CA"/>
        </w:rPr>
        <w:t>est pas abandonner la méthode moderne d</w:t>
      </w:r>
      <w:r>
        <w:rPr>
          <w:rFonts w:cs="Times New Roman"/>
          <w:lang w:val="fr-CA"/>
        </w:rPr>
        <w:t>’</w:t>
      </w:r>
      <w:r w:rsidRPr="000D5E81">
        <w:rPr>
          <w:rFonts w:cs="Times New Roman"/>
          <w:lang w:val="fr-CA"/>
        </w:rPr>
        <w:t>interprétation des lois à laquelle la Cour adhère depuis si longtemps et avec tant de constance. Par conséquent, pour savoir si le législateur exprime de manière suffisamment claire son intention d</w:t>
      </w:r>
      <w:r>
        <w:rPr>
          <w:rFonts w:cs="Times New Roman"/>
          <w:lang w:val="fr-CA"/>
        </w:rPr>
        <w:t>’</w:t>
      </w:r>
      <w:r w:rsidRPr="000D5E81">
        <w:rPr>
          <w:rFonts w:cs="Times New Roman"/>
          <w:lang w:val="fr-CA"/>
        </w:rPr>
        <w:t>écarter une présomption d</w:t>
      </w:r>
      <w:r>
        <w:rPr>
          <w:rFonts w:cs="Times New Roman"/>
          <w:lang w:val="fr-CA"/>
        </w:rPr>
        <w:t>’</w:t>
      </w:r>
      <w:r w:rsidRPr="000D5E81">
        <w:rPr>
          <w:rFonts w:cs="Times New Roman"/>
          <w:lang w:val="fr-CA"/>
        </w:rPr>
        <w:t>intention législative, il faut appliquer</w:t>
      </w:r>
      <w:r w:rsidRPr="000D5E81">
        <w:rPr>
          <w:rFonts w:eastAsia="Times New Roman" w:cs="Times New Roman"/>
          <w:szCs w:val="24"/>
          <w:lang w:val="fr-CA" w:eastAsia="en-CA"/>
        </w:rPr>
        <w:t xml:space="preserve"> la </w:t>
      </w:r>
      <w:r w:rsidRPr="000D5E81">
        <w:rPr>
          <w:rFonts w:cs="Times New Roman"/>
          <w:lang w:val="fr-CA"/>
        </w:rPr>
        <w:t>méthode moderne d</w:t>
      </w:r>
      <w:r>
        <w:rPr>
          <w:rFonts w:cs="Times New Roman"/>
          <w:lang w:val="fr-CA"/>
        </w:rPr>
        <w:t>’</w:t>
      </w:r>
      <w:r w:rsidRPr="000D5E81">
        <w:rPr>
          <w:rFonts w:cs="Times New Roman"/>
          <w:lang w:val="fr-CA"/>
        </w:rPr>
        <w:t>interprétation des lois. Axer ainsi l</w:t>
      </w:r>
      <w:r>
        <w:rPr>
          <w:rFonts w:cs="Times New Roman"/>
          <w:lang w:val="fr-CA"/>
        </w:rPr>
        <w:t>’</w:t>
      </w:r>
      <w:r w:rsidRPr="000D5E81">
        <w:rPr>
          <w:rFonts w:cs="Times New Roman"/>
          <w:lang w:val="fr-CA"/>
        </w:rPr>
        <w:t>analyse sur</w:t>
      </w:r>
      <w:r w:rsidRPr="000D5E81">
        <w:rPr>
          <w:rFonts w:eastAsia="Times New Roman" w:cs="Times New Roman"/>
          <w:szCs w:val="24"/>
          <w:lang w:val="fr-CA" w:eastAsia="en-CA"/>
        </w:rPr>
        <w:t xml:space="preserve"> cette </w:t>
      </w:r>
      <w:r w:rsidRPr="000D5E81">
        <w:rPr>
          <w:rFonts w:cs="Times New Roman"/>
          <w:lang w:val="fr-CA"/>
        </w:rPr>
        <w:t>méthode élargit le champ de l</w:t>
      </w:r>
      <w:r>
        <w:rPr>
          <w:rFonts w:cs="Times New Roman"/>
          <w:lang w:val="fr-CA"/>
        </w:rPr>
        <w:t>’</w:t>
      </w:r>
      <w:r w:rsidRPr="000D5E81">
        <w:rPr>
          <w:rFonts w:cs="Times New Roman"/>
          <w:lang w:val="fr-CA"/>
        </w:rPr>
        <w:t>examen, lequel ne s</w:t>
      </w:r>
      <w:r>
        <w:rPr>
          <w:rFonts w:cs="Times New Roman"/>
          <w:lang w:val="fr-CA"/>
        </w:rPr>
        <w:t>’</w:t>
      </w:r>
      <w:r w:rsidRPr="000D5E81">
        <w:rPr>
          <w:rFonts w:cs="Times New Roman"/>
          <w:lang w:val="fr-CA"/>
        </w:rPr>
        <w:t>attache plus au sens ordinaire des mots, mais tient compte de la totalité du contexte dans lequel ils figurent. Conformément à l</w:t>
      </w:r>
      <w:r>
        <w:rPr>
          <w:rFonts w:cs="Times New Roman"/>
          <w:lang w:val="fr-CA"/>
        </w:rPr>
        <w:t>’</w:t>
      </w:r>
      <w:r w:rsidRPr="000D5E81">
        <w:rPr>
          <w:rFonts w:cs="Times New Roman"/>
          <w:lang w:val="fr-CA"/>
        </w:rPr>
        <w:t xml:space="preserve">arrêt </w:t>
      </w:r>
      <w:r w:rsidRPr="000D5E81">
        <w:rPr>
          <w:rFonts w:cs="Times New Roman"/>
          <w:i/>
          <w:lang w:val="fr-CA"/>
        </w:rPr>
        <w:t>Blood Tribe</w:t>
      </w:r>
      <w:r w:rsidRPr="000D5E81">
        <w:rPr>
          <w:rFonts w:cs="Times New Roman"/>
          <w:lang w:val="fr-CA"/>
        </w:rPr>
        <w:t>, la disposition générale qui permet d</w:t>
      </w:r>
      <w:r>
        <w:rPr>
          <w:rFonts w:cs="Times New Roman"/>
          <w:lang w:val="fr-CA"/>
        </w:rPr>
        <w:t>’</w:t>
      </w:r>
      <w:r w:rsidRPr="000D5E81">
        <w:rPr>
          <w:rFonts w:cs="Times New Roman"/>
          <w:lang w:val="fr-CA"/>
        </w:rPr>
        <w:t xml:space="preserve">exiger la production de documents est interprétée restrictivement de manière à exclure toute suppression par inférence. Toutefois, la méthode « moderne » permet de </w:t>
      </w:r>
      <w:r w:rsidRPr="000D5E81">
        <w:rPr>
          <w:rFonts w:cs="Times New Roman"/>
          <w:lang w:val="fr-CA"/>
        </w:rPr>
        <w:lastRenderedPageBreak/>
        <w:t>décider si le texte de loi, au vu de son contexte en entier, traduit avec la clarté requise l</w:t>
      </w:r>
      <w:r>
        <w:rPr>
          <w:rFonts w:cs="Times New Roman"/>
          <w:lang w:val="fr-CA"/>
        </w:rPr>
        <w:t>’</w:t>
      </w:r>
      <w:r w:rsidRPr="000D5E81">
        <w:rPr>
          <w:rFonts w:cs="Times New Roman"/>
          <w:lang w:val="fr-CA"/>
        </w:rPr>
        <w:t>intention de supprimer le privilège.</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À mon avis, au </w:t>
      </w:r>
      <w:r>
        <w:rPr>
          <w:rFonts w:cs="Times New Roman"/>
          <w:lang w:val="fr-CA"/>
        </w:rPr>
        <w:t>par. </w:t>
      </w:r>
      <w:r w:rsidRPr="000D5E81">
        <w:rPr>
          <w:rFonts w:cs="Times New Roman"/>
          <w:lang w:val="fr-CA"/>
        </w:rPr>
        <w:t xml:space="preserve">56(3) de la </w:t>
      </w:r>
      <w:r w:rsidRPr="000D5E81">
        <w:rPr>
          <w:rFonts w:cs="Times New Roman"/>
          <w:i/>
          <w:lang w:val="fr-CA"/>
        </w:rPr>
        <w:t>FOIPP</w:t>
      </w:r>
      <w:r w:rsidRPr="000D5E81">
        <w:rPr>
          <w:rFonts w:cs="Times New Roman"/>
          <w:lang w:val="fr-CA"/>
        </w:rPr>
        <w:t>, le législateur prévoit expressément la suppression du secret professionnel de l</w:t>
      </w:r>
      <w:r>
        <w:rPr>
          <w:rFonts w:cs="Times New Roman"/>
          <w:lang w:val="fr-CA"/>
        </w:rPr>
        <w:t>’</w:t>
      </w:r>
      <w:r w:rsidRPr="000D5E81">
        <w:rPr>
          <w:rFonts w:cs="Times New Roman"/>
          <w:lang w:val="fr-CA"/>
        </w:rPr>
        <w:t>avocat lorsqu</w:t>
      </w:r>
      <w:r>
        <w:rPr>
          <w:rFonts w:cs="Times New Roman"/>
          <w:lang w:val="fr-CA"/>
        </w:rPr>
        <w:t>’</w:t>
      </w:r>
      <w:r w:rsidRPr="000D5E81">
        <w:rPr>
          <w:rFonts w:cs="Times New Roman"/>
          <w:lang w:val="fr-CA"/>
        </w:rPr>
        <w:t>il autorise la Commissaire à ordonner la production d</w:t>
      </w:r>
      <w:r>
        <w:rPr>
          <w:rFonts w:cs="Times New Roman"/>
          <w:lang w:val="fr-CA"/>
        </w:rPr>
        <w:t>’</w:t>
      </w:r>
      <w:r w:rsidRPr="000D5E81">
        <w:rPr>
          <w:rFonts w:cs="Times New Roman"/>
          <w:lang w:val="fr-CA"/>
        </w:rPr>
        <w:t>un document afin de se prononcer sur l</w:t>
      </w:r>
      <w:r>
        <w:rPr>
          <w:rFonts w:cs="Times New Roman"/>
          <w:lang w:val="fr-CA"/>
        </w:rPr>
        <w:t>’</w:t>
      </w:r>
      <w:r w:rsidRPr="000D5E81">
        <w:rPr>
          <w:rFonts w:cs="Times New Roman"/>
          <w:lang w:val="fr-CA"/>
        </w:rPr>
        <w:t>application du secret professionnel de l</w:t>
      </w:r>
      <w:r>
        <w:rPr>
          <w:rFonts w:cs="Times New Roman"/>
          <w:lang w:val="fr-CA"/>
        </w:rPr>
        <w:t>’</w:t>
      </w:r>
      <w:r w:rsidRPr="000D5E81">
        <w:rPr>
          <w:rFonts w:cs="Times New Roman"/>
          <w:lang w:val="fr-CA"/>
        </w:rPr>
        <w:t>avocat invoqué à son égard. C</w:t>
      </w:r>
      <w:r>
        <w:rPr>
          <w:rFonts w:cs="Times New Roman"/>
          <w:lang w:val="fr-CA"/>
        </w:rPr>
        <w:t>’</w:t>
      </w:r>
      <w:r w:rsidRPr="000D5E81">
        <w:rPr>
          <w:rFonts w:cs="Times New Roman"/>
          <w:lang w:val="fr-CA"/>
        </w:rPr>
        <w:t>est ce qui ressort du sens ordinaire et grammatical des mots [</w:t>
      </w:r>
      <w:r w:rsidRPr="000D5E81">
        <w:rPr>
          <w:rFonts w:cs="Times New Roman"/>
          <w:smallCaps/>
          <w:lang w:val="fr-CA"/>
        </w:rPr>
        <w:t>traduction</w:t>
      </w:r>
      <w:r w:rsidRPr="000D5E81">
        <w:rPr>
          <w:rFonts w:cs="Times New Roman"/>
          <w:lang w:val="fr-CA"/>
        </w:rPr>
        <w:t>] « tout privilège que reconnaît le droit de la preuve ». Cette interprétation est également étayée par les éléments contextuels qui doivent être pris en compte pour interpréter une disposition législative suivant l</w:t>
      </w:r>
      <w:r>
        <w:rPr>
          <w:rFonts w:cs="Times New Roman"/>
          <w:lang w:val="fr-CA"/>
        </w:rPr>
        <w:t>’</w:t>
      </w:r>
      <w:r w:rsidRPr="000D5E81">
        <w:rPr>
          <w:rFonts w:cs="Times New Roman"/>
          <w:lang w:val="fr-CA"/>
        </w:rPr>
        <w:t xml:space="preserve">arrêt </w:t>
      </w:r>
      <w:r w:rsidRPr="000D5E81">
        <w:rPr>
          <w:rFonts w:cs="Times New Roman"/>
          <w:i/>
          <w:lang w:val="fr-CA"/>
        </w:rPr>
        <w:t>Rizzo &amp; Rizzo Shoes Ltd. (Re)</w:t>
      </w:r>
      <w:r w:rsidRPr="000D5E81">
        <w:rPr>
          <w:rFonts w:cs="Times New Roman"/>
          <w:lang w:val="fr-CA"/>
        </w:rPr>
        <w:t>, [1998] 1 R.C.S. 27. Soit dit en tout respect, il s</w:t>
      </w:r>
      <w:r>
        <w:rPr>
          <w:rFonts w:cs="Times New Roman"/>
          <w:lang w:val="fr-CA"/>
        </w:rPr>
        <w:t>’</w:t>
      </w:r>
      <w:r w:rsidRPr="000D5E81">
        <w:rPr>
          <w:rFonts w:cs="Times New Roman"/>
          <w:lang w:val="fr-CA"/>
        </w:rPr>
        <w:t>agit d</w:t>
      </w:r>
      <w:r>
        <w:rPr>
          <w:rFonts w:cs="Times New Roman"/>
          <w:lang w:val="fr-CA"/>
        </w:rPr>
        <w:t>’</w:t>
      </w:r>
      <w:r w:rsidRPr="000D5E81">
        <w:rPr>
          <w:rFonts w:cs="Times New Roman"/>
          <w:lang w:val="fr-CA"/>
        </w:rPr>
        <w:t>une interprétation parfaitement compatible avec l</w:t>
      </w:r>
      <w:r>
        <w:rPr>
          <w:rFonts w:cs="Times New Roman"/>
          <w:lang w:val="fr-CA"/>
        </w:rPr>
        <w:t>’</w:t>
      </w:r>
      <w:r w:rsidRPr="000D5E81">
        <w:rPr>
          <w:rFonts w:cs="Times New Roman"/>
          <w:lang w:val="fr-CA"/>
        </w:rPr>
        <w:t xml:space="preserve">arrêt </w:t>
      </w:r>
      <w:r w:rsidRPr="000D5E81">
        <w:rPr>
          <w:rFonts w:cs="Times New Roman"/>
          <w:i/>
          <w:lang w:val="fr-CA"/>
        </w:rPr>
        <w:t>Blood Tribe</w:t>
      </w:r>
      <w:r w:rsidRPr="000D5E81">
        <w:rPr>
          <w:rFonts w:cs="Times New Roman"/>
          <w:lang w:val="fr-CA"/>
        </w:rPr>
        <w:t>, le privilège n</w:t>
      </w:r>
      <w:r>
        <w:rPr>
          <w:rFonts w:cs="Times New Roman"/>
          <w:lang w:val="fr-CA"/>
        </w:rPr>
        <w:t>’</w:t>
      </w:r>
      <w:r w:rsidRPr="000D5E81">
        <w:rPr>
          <w:rFonts w:cs="Times New Roman"/>
          <w:lang w:val="fr-CA"/>
        </w:rPr>
        <w:t>étant pas supprimé par inférence, mais de façon indubitablement claire au moyen d</w:t>
      </w:r>
      <w:r>
        <w:rPr>
          <w:rFonts w:cs="Times New Roman"/>
          <w:lang w:val="fr-CA"/>
        </w:rPr>
        <w:t>’</w:t>
      </w:r>
      <w:r w:rsidRPr="000D5E81">
        <w:rPr>
          <w:rFonts w:cs="Times New Roman"/>
          <w:lang w:val="fr-CA"/>
        </w:rPr>
        <w:t>un énoncé législatif exprès.</w:t>
      </w:r>
    </w:p>
    <w:p w:rsidR="0091315D" w:rsidRPr="000D5E81" w:rsidRDefault="0091315D" w:rsidP="00B3618F">
      <w:pPr>
        <w:pStyle w:val="Title3LevelTitre3Niveau"/>
        <w:widowControl w:val="0"/>
        <w:numPr>
          <w:ilvl w:val="2"/>
          <w:numId w:val="9"/>
        </w:numPr>
        <w:tabs>
          <w:tab w:val="clear" w:pos="1152"/>
          <w:tab w:val="num" w:pos="1440"/>
        </w:tabs>
        <w:ind w:left="1440" w:hanging="720"/>
        <w:rPr>
          <w:rFonts w:cs="Times New Roman"/>
          <w:lang w:val="fr-CA"/>
        </w:rPr>
      </w:pPr>
      <w:r w:rsidRPr="000D5E81">
        <w:rPr>
          <w:rFonts w:cs="Times New Roman"/>
          <w:lang w:val="fr-CA"/>
        </w:rPr>
        <w:t>Sens ordinaire et grammatical de l</w:t>
      </w:r>
      <w:r>
        <w:rPr>
          <w:rFonts w:cs="Times New Roman"/>
          <w:lang w:val="fr-CA"/>
        </w:rPr>
        <w:t>’</w:t>
      </w:r>
      <w:r w:rsidRPr="000D5E81">
        <w:rPr>
          <w:rFonts w:cs="Times New Roman"/>
          <w:lang w:val="fr-CA"/>
        </w:rPr>
        <w:t>expression [</w:t>
      </w:r>
      <w:r w:rsidRPr="000D5E81">
        <w:rPr>
          <w:rFonts w:cs="Times New Roman"/>
          <w:smallCaps/>
          <w:lang w:val="fr-CA"/>
        </w:rPr>
        <w:t>traduction</w:t>
      </w:r>
      <w:r w:rsidRPr="000D5E81">
        <w:rPr>
          <w:rFonts w:cs="Times New Roman"/>
          <w:lang w:val="fr-CA"/>
        </w:rPr>
        <w:t>] « tout privilège que reconnaît le droit de la preuve »</w:t>
      </w:r>
    </w:p>
    <w:p w:rsidR="0091315D" w:rsidRPr="000D5E81" w:rsidRDefault="0091315D" w:rsidP="00B3618F">
      <w:pPr>
        <w:pStyle w:val="ParaNoNdepar-AltN"/>
        <w:widowControl w:val="0"/>
        <w:rPr>
          <w:rFonts w:cs="Times New Roman"/>
          <w:lang w:val="fr-CA"/>
        </w:rPr>
      </w:pPr>
      <w:r w:rsidRPr="000D5E81">
        <w:rPr>
          <w:rFonts w:cs="Times New Roman"/>
          <w:lang w:val="fr-CA"/>
        </w:rPr>
        <w:t>Le paragraphe 56(3) est rédigé comme suit</w:t>
      </w:r>
      <w:r>
        <w:rPr>
          <w:rFonts w:cs="Times New Roman"/>
          <w:lang w:val="fr-CA"/>
        </w:rPr>
        <w:t> :</w:t>
      </w:r>
    </w:p>
    <w:p w:rsidR="0091315D" w:rsidRPr="000D5E81" w:rsidRDefault="0091315D" w:rsidP="00B3618F">
      <w:pPr>
        <w:pStyle w:val="Citation-AltC"/>
        <w:widowControl w:val="0"/>
        <w:ind w:hanging="1166"/>
        <w:contextualSpacing w:val="0"/>
        <w:rPr>
          <w:lang w:val="fr-CA"/>
        </w:rPr>
      </w:pPr>
      <w:r w:rsidRPr="000D5E81">
        <w:rPr>
          <w:lang w:val="fr-CA"/>
        </w:rPr>
        <w:tab/>
        <w:t>[</w:t>
      </w:r>
      <w:r w:rsidRPr="000D5E81">
        <w:rPr>
          <w:smallCaps/>
          <w:lang w:val="fr-CA"/>
        </w:rPr>
        <w:t>traduction</w:t>
      </w:r>
      <w:r w:rsidRPr="000D5E81">
        <w:rPr>
          <w:lang w:val="fr-CA"/>
        </w:rPr>
        <w:t xml:space="preserve">] </w:t>
      </w:r>
      <w:r w:rsidRPr="003B0573">
        <w:rPr>
          <w:b/>
          <w:lang w:val="fr-CA"/>
        </w:rPr>
        <w:t>(3)</w:t>
      </w:r>
      <w:r w:rsidRPr="000D5E81">
        <w:rPr>
          <w:lang w:val="fr-CA"/>
        </w:rPr>
        <w:t xml:space="preserve"> </w:t>
      </w:r>
      <w:r w:rsidRPr="000D5E81">
        <w:rPr>
          <w:u w:val="single"/>
          <w:lang w:val="fr-CA"/>
        </w:rPr>
        <w:t>Malgré toute autre loi ou tout privilège que reconnaît le droit de la preuve</w:t>
      </w:r>
      <w:r w:rsidRPr="000D5E81">
        <w:rPr>
          <w:lang w:val="fr-CA"/>
        </w:rPr>
        <w:t>, l</w:t>
      </w:r>
      <w:r>
        <w:rPr>
          <w:lang w:val="fr-CA"/>
        </w:rPr>
        <w:t>’</w:t>
      </w:r>
      <w:r w:rsidRPr="000D5E81">
        <w:rPr>
          <w:lang w:val="fr-CA"/>
        </w:rPr>
        <w:t>organisme public produit dans les dix jours l</w:t>
      </w:r>
      <w:r>
        <w:rPr>
          <w:lang w:val="fr-CA"/>
        </w:rPr>
        <w:t>’</w:t>
      </w:r>
      <w:r w:rsidRPr="000D5E81">
        <w:rPr>
          <w:lang w:val="fr-CA"/>
        </w:rPr>
        <w:t xml:space="preserve">original ou une copie des documents exigés par le commissaire en vertu des paragraphes (1) ou (2). </w:t>
      </w:r>
    </w:p>
    <w:p w:rsidR="0091315D" w:rsidRPr="000D5E81" w:rsidRDefault="0091315D" w:rsidP="00B3618F">
      <w:pPr>
        <w:pStyle w:val="ParaNoNdepar-AltN"/>
        <w:widowControl w:val="0"/>
        <w:rPr>
          <w:rFonts w:cs="Times New Roman"/>
          <w:lang w:val="fr-CA"/>
        </w:rPr>
      </w:pPr>
      <w:r w:rsidRPr="000D5E81">
        <w:rPr>
          <w:rFonts w:cs="Times New Roman"/>
          <w:lang w:val="fr-CA"/>
        </w:rPr>
        <w:t>L</w:t>
      </w:r>
      <w:r>
        <w:rPr>
          <w:rFonts w:cs="Times New Roman"/>
          <w:lang w:val="fr-CA"/>
        </w:rPr>
        <w:t>’</w:t>
      </w:r>
      <w:r w:rsidRPr="000D5E81">
        <w:rPr>
          <w:rFonts w:cs="Times New Roman"/>
          <w:lang w:val="fr-CA"/>
        </w:rPr>
        <w:t>intimé soutient que les mots [</w:t>
      </w:r>
      <w:r w:rsidRPr="000D5E81">
        <w:rPr>
          <w:rFonts w:cs="Times New Roman"/>
          <w:smallCaps/>
          <w:lang w:val="fr-CA"/>
        </w:rPr>
        <w:t>traduction</w:t>
      </w:r>
      <w:r w:rsidRPr="000D5E81">
        <w:rPr>
          <w:rFonts w:cs="Times New Roman"/>
          <w:lang w:val="fr-CA"/>
        </w:rPr>
        <w:t xml:space="preserve">] « tout privilège que reconnaît </w:t>
      </w:r>
      <w:r w:rsidRPr="000D5E81">
        <w:rPr>
          <w:rFonts w:cs="Times New Roman"/>
          <w:lang w:val="fr-CA"/>
        </w:rPr>
        <w:lastRenderedPageBreak/>
        <w:t>le droit de la preuve » ne visent pas le secret professionnel de l</w:t>
      </w:r>
      <w:r>
        <w:rPr>
          <w:rFonts w:cs="Times New Roman"/>
          <w:lang w:val="fr-CA"/>
        </w:rPr>
        <w:t>’</w:t>
      </w:r>
      <w:r w:rsidRPr="000D5E81">
        <w:rPr>
          <w:rFonts w:cs="Times New Roman"/>
          <w:lang w:val="fr-CA"/>
        </w:rPr>
        <w:t>avocat, car ce dernier ne tient pas seulement à la preuve, mais aussi au droit substantiel. Je conviens certes que le secret professionnel de l</w:t>
      </w:r>
      <w:r>
        <w:rPr>
          <w:rFonts w:cs="Times New Roman"/>
          <w:lang w:val="fr-CA"/>
        </w:rPr>
        <w:t>’</w:t>
      </w:r>
      <w:r w:rsidRPr="000D5E81">
        <w:rPr>
          <w:rFonts w:cs="Times New Roman"/>
          <w:lang w:val="fr-CA"/>
        </w:rPr>
        <w:t>avocat constitue désormais un principe de fond, voire un principe constitutionnel, mais il demeure également un privilège en matière de preuve que vise le libellé législatif en l</w:t>
      </w:r>
      <w:r>
        <w:rPr>
          <w:rFonts w:cs="Times New Roman"/>
          <w:lang w:val="fr-CA"/>
        </w:rPr>
        <w:t>’</w:t>
      </w:r>
      <w:r w:rsidRPr="000D5E81">
        <w:rPr>
          <w:rFonts w:cs="Times New Roman"/>
          <w:lang w:val="fr-CA"/>
        </w:rPr>
        <w:t>espèce. De plus, comme je l</w:t>
      </w:r>
      <w:r>
        <w:rPr>
          <w:rFonts w:cs="Times New Roman"/>
          <w:lang w:val="fr-CA"/>
        </w:rPr>
        <w:t>’</w:t>
      </w:r>
      <w:r w:rsidRPr="000D5E81">
        <w:rPr>
          <w:rFonts w:cs="Times New Roman"/>
          <w:lang w:val="fr-CA"/>
        </w:rPr>
        <w:t>explique plus loin, c</w:t>
      </w:r>
      <w:r>
        <w:rPr>
          <w:rFonts w:cs="Times New Roman"/>
          <w:lang w:val="fr-CA"/>
        </w:rPr>
        <w:t>’</w:t>
      </w:r>
      <w:r w:rsidRPr="000D5E81">
        <w:rPr>
          <w:rFonts w:cs="Times New Roman"/>
          <w:lang w:val="fr-CA"/>
        </w:rPr>
        <w:t>est le volet du secret professionnel de l</w:t>
      </w:r>
      <w:r>
        <w:rPr>
          <w:rFonts w:cs="Times New Roman"/>
          <w:lang w:val="fr-CA"/>
        </w:rPr>
        <w:t>’</w:t>
      </w:r>
      <w:r w:rsidRPr="000D5E81">
        <w:rPr>
          <w:rFonts w:cs="Times New Roman"/>
          <w:lang w:val="fr-CA"/>
        </w:rPr>
        <w:t>avocat touchant à la preuve qui est en cause en l</w:t>
      </w:r>
      <w:r>
        <w:rPr>
          <w:rFonts w:cs="Times New Roman"/>
          <w:lang w:val="fr-CA"/>
        </w:rPr>
        <w:t>’</w:t>
      </w:r>
      <w:r w:rsidRPr="000D5E81">
        <w:rPr>
          <w:rFonts w:cs="Times New Roman"/>
          <w:lang w:val="fr-CA"/>
        </w:rPr>
        <w:t xml:space="preserve">espèce. </w:t>
      </w:r>
    </w:p>
    <w:p w:rsidR="0091315D" w:rsidRPr="000D5E81" w:rsidRDefault="0091315D" w:rsidP="00B3618F">
      <w:pPr>
        <w:pStyle w:val="ParaNoNdepar-AltN"/>
        <w:widowControl w:val="0"/>
        <w:rPr>
          <w:rFonts w:cs="Times New Roman"/>
          <w:lang w:val="fr-CA"/>
        </w:rPr>
      </w:pPr>
      <w:r w:rsidRPr="000D5E81">
        <w:rPr>
          <w:rFonts w:cs="Times New Roman"/>
          <w:lang w:val="fr-CA"/>
        </w:rPr>
        <w:t>La Cour a conclu que le secret professionnel de l</w:t>
      </w:r>
      <w:r>
        <w:rPr>
          <w:rFonts w:cs="Times New Roman"/>
          <w:lang w:val="fr-CA"/>
        </w:rPr>
        <w:t>’</w:t>
      </w:r>
      <w:r w:rsidRPr="000D5E81">
        <w:rPr>
          <w:rFonts w:cs="Times New Roman"/>
          <w:lang w:val="fr-CA"/>
        </w:rPr>
        <w:t xml:space="preserve">avocat constitue </w:t>
      </w:r>
      <w:r w:rsidRPr="000D5E81">
        <w:rPr>
          <w:rFonts w:cs="Times New Roman"/>
          <w:i/>
          <w:lang w:val="fr-CA"/>
        </w:rPr>
        <w:t>à la fois</w:t>
      </w:r>
      <w:r w:rsidRPr="000D5E81">
        <w:rPr>
          <w:rFonts w:cs="Times New Roman"/>
          <w:lang w:val="fr-CA"/>
        </w:rPr>
        <w:t xml:space="preserve"> un privilège en matière de preuve et un principe de fond. Dans l</w:t>
      </w:r>
      <w:r>
        <w:rPr>
          <w:rFonts w:cs="Times New Roman"/>
          <w:lang w:val="fr-CA"/>
        </w:rPr>
        <w:t>’</w:t>
      </w:r>
      <w:r w:rsidRPr="000D5E81">
        <w:rPr>
          <w:rFonts w:cs="Times New Roman"/>
          <w:lang w:val="fr-CA"/>
        </w:rPr>
        <w:t xml:space="preserve">arrêt </w:t>
      </w:r>
      <w:r w:rsidRPr="000D5E81">
        <w:rPr>
          <w:rFonts w:cs="Times New Roman"/>
          <w:i/>
          <w:lang w:val="fr-CA"/>
        </w:rPr>
        <w:t>Lavallee</w:t>
      </w:r>
      <w:r w:rsidRPr="007A441D">
        <w:rPr>
          <w:rFonts w:cs="Times New Roman"/>
          <w:i/>
          <w:lang w:val="fr-CA"/>
        </w:rPr>
        <w:t>,</w:t>
      </w:r>
      <w:r w:rsidRPr="000D5E81">
        <w:rPr>
          <w:rFonts w:cs="Times New Roman"/>
          <w:i/>
          <w:lang w:val="fr-CA"/>
        </w:rPr>
        <w:t xml:space="preserve"> Rackel &amp; Heintz c. Canada (Procureur général)</w:t>
      </w:r>
      <w:r w:rsidRPr="000D5E81">
        <w:rPr>
          <w:rFonts w:cs="Times New Roman"/>
          <w:lang w:val="fr-CA"/>
        </w:rPr>
        <w:t>, 2002 CSC 61, [2002] 3 R.C.S. 209, la juge Arbour explique que « [l]e secret professionnel de l</w:t>
      </w:r>
      <w:r>
        <w:rPr>
          <w:rFonts w:cs="Times New Roman"/>
          <w:lang w:val="fr-CA"/>
        </w:rPr>
        <w:t>’</w:t>
      </w:r>
      <w:r w:rsidRPr="000D5E81">
        <w:rPr>
          <w:rFonts w:cs="Times New Roman"/>
          <w:lang w:val="fr-CA"/>
        </w:rPr>
        <w:t>avocat constitue une règle de preuve » (</w:t>
      </w:r>
      <w:r>
        <w:rPr>
          <w:rFonts w:cs="Times New Roman"/>
          <w:lang w:val="fr-CA"/>
        </w:rPr>
        <w:t>par. </w:t>
      </w:r>
      <w:r w:rsidRPr="000D5E81">
        <w:rPr>
          <w:rFonts w:cs="Times New Roman"/>
          <w:lang w:val="fr-CA"/>
        </w:rPr>
        <w:t>49). De même, dans l</w:t>
      </w:r>
      <w:r>
        <w:rPr>
          <w:rFonts w:cs="Times New Roman"/>
          <w:lang w:val="fr-CA"/>
        </w:rPr>
        <w:t>’</w:t>
      </w:r>
      <w:r w:rsidRPr="000D5E81">
        <w:rPr>
          <w:rFonts w:cs="Times New Roman"/>
          <w:lang w:val="fr-CA"/>
        </w:rPr>
        <w:t xml:space="preserve">arrêt </w:t>
      </w:r>
      <w:r w:rsidRPr="000D5E81">
        <w:rPr>
          <w:rFonts w:cs="Times New Roman"/>
          <w:i/>
          <w:lang w:val="fr-CA"/>
        </w:rPr>
        <w:t>Société d</w:t>
      </w:r>
      <w:r>
        <w:rPr>
          <w:rFonts w:cs="Times New Roman"/>
          <w:i/>
          <w:lang w:val="fr-CA"/>
        </w:rPr>
        <w:t>’</w:t>
      </w:r>
      <w:r w:rsidRPr="000D5E81">
        <w:rPr>
          <w:rFonts w:cs="Times New Roman"/>
          <w:i/>
          <w:lang w:val="fr-CA"/>
        </w:rPr>
        <w:t>énergie</w:t>
      </w:r>
      <w:r w:rsidRPr="000D5E81">
        <w:rPr>
          <w:rFonts w:cs="Times New Roman"/>
          <w:lang w:val="fr-CA"/>
        </w:rPr>
        <w:t xml:space="preserve"> </w:t>
      </w:r>
      <w:r w:rsidRPr="000D5E81">
        <w:rPr>
          <w:rFonts w:cs="Times New Roman"/>
          <w:i/>
          <w:lang w:val="fr-CA"/>
        </w:rPr>
        <w:t xml:space="preserve">Foster Wheeler </w:t>
      </w:r>
      <w:r w:rsidR="003B0573">
        <w:rPr>
          <w:rFonts w:cs="Times New Roman"/>
          <w:i/>
          <w:lang w:val="fr-CA"/>
        </w:rPr>
        <w:t>l</w:t>
      </w:r>
      <w:r w:rsidRPr="000D5E81">
        <w:rPr>
          <w:rFonts w:cs="Times New Roman"/>
          <w:i/>
          <w:lang w:val="fr-CA"/>
        </w:rPr>
        <w:t>tée c. Société intermunicipale de gestion et d</w:t>
      </w:r>
      <w:r>
        <w:rPr>
          <w:rFonts w:cs="Times New Roman"/>
          <w:i/>
          <w:lang w:val="fr-CA"/>
        </w:rPr>
        <w:t>’</w:t>
      </w:r>
      <w:r w:rsidRPr="000D5E81">
        <w:rPr>
          <w:rFonts w:cs="Times New Roman"/>
          <w:i/>
          <w:lang w:val="fr-CA"/>
        </w:rPr>
        <w:t>élimination des déchets (SIGED) inc.</w:t>
      </w:r>
      <w:r w:rsidRPr="000D5E81">
        <w:rPr>
          <w:rFonts w:cs="Times New Roman"/>
          <w:lang w:val="fr-CA"/>
        </w:rPr>
        <w:t>,</w:t>
      </w:r>
      <w:r w:rsidRPr="000D5E81">
        <w:rPr>
          <w:rFonts w:cs="Times New Roman"/>
          <w:i/>
          <w:lang w:val="fr-CA"/>
        </w:rPr>
        <w:t xml:space="preserve"> </w:t>
      </w:r>
      <w:r w:rsidRPr="000D5E81">
        <w:rPr>
          <w:rFonts w:cs="Times New Roman"/>
          <w:lang w:val="fr-CA"/>
        </w:rPr>
        <w:t>2004 CSC 18, [2004] 1 R.C.S. 456, la Cour fait observer que la jurisprudence « </w:t>
      </w:r>
      <w:r w:rsidRPr="000D5E81">
        <w:rPr>
          <w:rFonts w:cs="Times New Roman"/>
          <w:lang w:val="fr-FR"/>
        </w:rPr>
        <w:t>consacr[e] clairement l</w:t>
      </w:r>
      <w:r>
        <w:rPr>
          <w:rFonts w:cs="Times New Roman"/>
          <w:lang w:val="fr-FR"/>
        </w:rPr>
        <w:t>’</w:t>
      </w:r>
      <w:r w:rsidRPr="000D5E81">
        <w:rPr>
          <w:rFonts w:cs="Times New Roman"/>
          <w:lang w:val="fr-FR"/>
        </w:rPr>
        <w:t>importance fondamentale du secret professionnel de l</w:t>
      </w:r>
      <w:r>
        <w:rPr>
          <w:rFonts w:cs="Times New Roman"/>
          <w:lang w:val="fr-FR"/>
        </w:rPr>
        <w:t>’</w:t>
      </w:r>
      <w:r w:rsidRPr="000D5E81">
        <w:rPr>
          <w:rFonts w:cs="Times New Roman"/>
          <w:lang w:val="fr-FR"/>
        </w:rPr>
        <w:t xml:space="preserve">avocat, à la fois </w:t>
      </w:r>
      <w:r w:rsidRPr="000D5E81">
        <w:rPr>
          <w:rFonts w:cs="Times New Roman"/>
          <w:u w:val="single"/>
          <w:lang w:val="fr-FR"/>
        </w:rPr>
        <w:t>règle de preuve</w:t>
      </w:r>
      <w:r w:rsidRPr="000D5E81">
        <w:rPr>
          <w:rFonts w:cs="Times New Roman"/>
          <w:lang w:val="fr-FR"/>
        </w:rPr>
        <w:t>, droit civil important et principe de justice fondamentale</w:t>
      </w:r>
      <w:r w:rsidRPr="000D5E81">
        <w:rPr>
          <w:rFonts w:cs="Times New Roman"/>
          <w:lang w:val="fr-CA"/>
        </w:rPr>
        <w:t> » (</w:t>
      </w:r>
      <w:r>
        <w:rPr>
          <w:rFonts w:cs="Times New Roman"/>
          <w:lang w:val="fr-CA"/>
        </w:rPr>
        <w:t>par. </w:t>
      </w:r>
      <w:r w:rsidRPr="000D5E81">
        <w:rPr>
          <w:rFonts w:cs="Times New Roman"/>
          <w:lang w:val="fr-CA"/>
        </w:rPr>
        <w:t>34 (je souligne)). Dans l</w:t>
      </w:r>
      <w:r>
        <w:rPr>
          <w:rFonts w:cs="Times New Roman"/>
          <w:lang w:val="fr-CA"/>
        </w:rPr>
        <w:t>’</w:t>
      </w:r>
      <w:r w:rsidRPr="000D5E81">
        <w:rPr>
          <w:rFonts w:cs="Times New Roman"/>
          <w:lang w:val="fr-CA"/>
        </w:rPr>
        <w:t xml:space="preserve">arrêt </w:t>
      </w:r>
      <w:r w:rsidRPr="000D5E81">
        <w:rPr>
          <w:rFonts w:cs="Times New Roman"/>
          <w:i/>
          <w:lang w:val="fr-CA"/>
        </w:rPr>
        <w:t>Descôteaux c. Mierzwinski</w:t>
      </w:r>
      <w:r w:rsidRPr="000D5E81">
        <w:rPr>
          <w:rFonts w:cs="Times New Roman"/>
          <w:lang w:val="fr-CA"/>
        </w:rPr>
        <w:t>, [1982] 1 R.C.S. 860, le juge Lamer qualifie le secret professionnel de l</w:t>
      </w:r>
      <w:r>
        <w:rPr>
          <w:rFonts w:cs="Times New Roman"/>
          <w:lang w:val="fr-CA"/>
        </w:rPr>
        <w:t>’</w:t>
      </w:r>
      <w:r w:rsidRPr="000D5E81">
        <w:rPr>
          <w:rFonts w:cs="Times New Roman"/>
          <w:lang w:val="fr-CA"/>
        </w:rPr>
        <w:t>avocat de « règle de preuve »</w:t>
      </w:r>
      <w:r>
        <w:rPr>
          <w:rFonts w:cs="Times New Roman"/>
          <w:lang w:val="fr-CA"/>
        </w:rPr>
        <w:t xml:space="preserve"> </w:t>
      </w:r>
      <w:r w:rsidRPr="000D5E81">
        <w:rPr>
          <w:rFonts w:cs="Times New Roman"/>
          <w:lang w:val="fr-CA"/>
        </w:rPr>
        <w:t>qui a « aussi depuis donné naissance à une règle de fond » (</w:t>
      </w:r>
      <w:r>
        <w:rPr>
          <w:rFonts w:cs="Times New Roman"/>
          <w:lang w:val="fr-CA"/>
        </w:rPr>
        <w:t>p. </w:t>
      </w:r>
      <w:r w:rsidRPr="000D5E81">
        <w:rPr>
          <w:rFonts w:cs="Times New Roman"/>
          <w:lang w:val="fr-CA"/>
        </w:rPr>
        <w:t>872 et 875). Le secret professionnel de l</w:t>
      </w:r>
      <w:r>
        <w:rPr>
          <w:rFonts w:cs="Times New Roman"/>
          <w:lang w:val="fr-CA"/>
        </w:rPr>
        <w:t>’</w:t>
      </w:r>
      <w:r w:rsidRPr="000D5E81">
        <w:rPr>
          <w:rFonts w:cs="Times New Roman"/>
          <w:lang w:val="fr-CA"/>
        </w:rPr>
        <w:t xml:space="preserve">avocat constitue donc à la fois une règle de preuve et une règle de fond. </w:t>
      </w:r>
    </w:p>
    <w:p w:rsidR="0091315D" w:rsidRPr="000D5E81" w:rsidRDefault="0091315D" w:rsidP="00B3618F">
      <w:pPr>
        <w:pStyle w:val="ParaNoNdepar-AltN"/>
        <w:widowControl w:val="0"/>
        <w:rPr>
          <w:rFonts w:cs="Times New Roman"/>
          <w:lang w:val="fr-CA"/>
        </w:rPr>
      </w:pPr>
      <w:r w:rsidRPr="000D5E81">
        <w:rPr>
          <w:rFonts w:cs="Times New Roman"/>
          <w:lang w:val="fr-CA"/>
        </w:rPr>
        <w:t>D</w:t>
      </w:r>
      <w:r>
        <w:rPr>
          <w:rFonts w:cs="Times New Roman"/>
          <w:lang w:val="fr-CA"/>
        </w:rPr>
        <w:t>’</w:t>
      </w:r>
      <w:r w:rsidRPr="000D5E81">
        <w:rPr>
          <w:rFonts w:cs="Times New Roman"/>
          <w:lang w:val="fr-CA"/>
        </w:rPr>
        <w:t>autres tribunaux d</w:t>
      </w:r>
      <w:r>
        <w:rPr>
          <w:rFonts w:cs="Times New Roman"/>
          <w:lang w:val="fr-CA"/>
        </w:rPr>
        <w:t>’</w:t>
      </w:r>
      <w:r w:rsidRPr="000D5E81">
        <w:rPr>
          <w:rFonts w:cs="Times New Roman"/>
          <w:lang w:val="fr-CA"/>
        </w:rPr>
        <w:t xml:space="preserve">appel arrivent à la même conclusion relativement au </w:t>
      </w:r>
      <w:r w:rsidRPr="000D5E81">
        <w:rPr>
          <w:rFonts w:cs="Times New Roman"/>
          <w:lang w:val="fr-CA"/>
        </w:rPr>
        <w:lastRenderedPageBreak/>
        <w:t>libellé apparenté d</w:t>
      </w:r>
      <w:r>
        <w:rPr>
          <w:rFonts w:cs="Times New Roman"/>
          <w:lang w:val="fr-CA"/>
        </w:rPr>
        <w:t>’</w:t>
      </w:r>
      <w:r w:rsidRPr="000D5E81">
        <w:rPr>
          <w:rFonts w:cs="Times New Roman"/>
          <w:lang w:val="fr-CA"/>
        </w:rPr>
        <w:t>autres lois.</w:t>
      </w:r>
    </w:p>
    <w:p w:rsidR="0091315D" w:rsidRPr="000D5E81" w:rsidRDefault="0091315D" w:rsidP="00B3618F">
      <w:pPr>
        <w:pStyle w:val="ParaNoNdepar-AltN"/>
        <w:widowControl w:val="0"/>
        <w:rPr>
          <w:rFonts w:cs="Times New Roman"/>
          <w:lang w:val="fr-CA"/>
        </w:rPr>
      </w:pPr>
      <w:r w:rsidRPr="000D5E81">
        <w:rPr>
          <w:rFonts w:cs="Times New Roman"/>
          <w:lang w:val="en-US"/>
        </w:rPr>
        <w:t xml:space="preserve">Par exemple, dans </w:t>
      </w:r>
      <w:r w:rsidRPr="000D5E81">
        <w:rPr>
          <w:rFonts w:cs="Times New Roman"/>
          <w:i/>
          <w:lang w:val="en-US"/>
        </w:rPr>
        <w:t>Newfoundland and Labrador (Attorney General) c. Information and Privacy Commissioner (Nfld. and Lab.)</w:t>
      </w:r>
      <w:r w:rsidRPr="000D5E81">
        <w:rPr>
          <w:rFonts w:cs="Times New Roman"/>
          <w:lang w:val="en-US"/>
        </w:rPr>
        <w:t xml:space="preserve">, 2011 NLCA 69, 314 Nfld. </w:t>
      </w:r>
      <w:r w:rsidRPr="000D5E81">
        <w:rPr>
          <w:rFonts w:cs="Times New Roman"/>
          <w:lang w:val="fr-CA"/>
        </w:rPr>
        <w:t>&amp; P.E.I.R. 305, la Cour d</w:t>
      </w:r>
      <w:r>
        <w:rPr>
          <w:rFonts w:cs="Times New Roman"/>
          <w:lang w:val="fr-CA"/>
        </w:rPr>
        <w:t>’</w:t>
      </w:r>
      <w:r w:rsidRPr="000D5E81">
        <w:rPr>
          <w:rFonts w:cs="Times New Roman"/>
          <w:lang w:val="fr-CA"/>
        </w:rPr>
        <w:t>appel de Terre</w:t>
      </w:r>
      <w:r>
        <w:rPr>
          <w:rFonts w:cs="Times New Roman"/>
          <w:lang w:val="fr-CA"/>
        </w:rPr>
        <w:noBreakHyphen/>
      </w:r>
      <w:r w:rsidRPr="000D5E81">
        <w:rPr>
          <w:rFonts w:cs="Times New Roman"/>
          <w:lang w:val="fr-CA"/>
        </w:rPr>
        <w:t>Neuve</w:t>
      </w:r>
      <w:r>
        <w:rPr>
          <w:rFonts w:cs="Times New Roman"/>
          <w:lang w:val="fr-CA"/>
        </w:rPr>
        <w:noBreakHyphen/>
      </w:r>
      <w:r w:rsidRPr="000D5E81">
        <w:rPr>
          <w:rFonts w:cs="Times New Roman"/>
          <w:lang w:val="fr-CA"/>
        </w:rPr>
        <w:t>et</w:t>
      </w:r>
      <w:r>
        <w:rPr>
          <w:rFonts w:cs="Times New Roman"/>
          <w:lang w:val="fr-CA"/>
        </w:rPr>
        <w:noBreakHyphen/>
      </w:r>
      <w:r w:rsidRPr="000D5E81">
        <w:rPr>
          <w:rFonts w:cs="Times New Roman"/>
          <w:lang w:val="fr-CA"/>
        </w:rPr>
        <w:t>Labrador conclut que les termes « </w:t>
      </w:r>
      <w:r w:rsidRPr="000D5E81">
        <w:rPr>
          <w:rFonts w:cs="Times New Roman"/>
          <w:i/>
          <w:lang w:val="fr-CA"/>
        </w:rPr>
        <w:t>a privilege under the law of evidence</w:t>
      </w:r>
      <w:r w:rsidRPr="000D5E81">
        <w:rPr>
          <w:rFonts w:cs="Times New Roman"/>
          <w:lang w:val="fr-CA"/>
        </w:rPr>
        <w:t> » ([</w:t>
      </w:r>
      <w:r w:rsidRPr="000D5E81">
        <w:rPr>
          <w:rFonts w:cs="Times New Roman"/>
          <w:smallCaps/>
          <w:lang w:val="fr-CA"/>
        </w:rPr>
        <w:t>traduction</w:t>
      </w:r>
      <w:r w:rsidRPr="000D5E81">
        <w:rPr>
          <w:rFonts w:cs="Times New Roman"/>
          <w:lang w:val="fr-CA"/>
        </w:rPr>
        <w:t>] « un privilège reconnu par le droit de la preuve ») employés à l</w:t>
      </w:r>
      <w:r>
        <w:rPr>
          <w:rFonts w:cs="Times New Roman"/>
          <w:lang w:val="fr-CA"/>
        </w:rPr>
        <w:t>’art. </w:t>
      </w:r>
      <w:r w:rsidRPr="000D5E81">
        <w:rPr>
          <w:rFonts w:cs="Times New Roman"/>
          <w:lang w:val="fr-CA"/>
        </w:rPr>
        <w:t>52 de l</w:t>
      </w:r>
      <w:r>
        <w:rPr>
          <w:rFonts w:cs="Times New Roman"/>
          <w:lang w:val="fr-CA"/>
        </w:rPr>
        <w:t>’</w:t>
      </w:r>
      <w:r w:rsidRPr="000D5E81">
        <w:rPr>
          <w:rFonts w:cs="Times New Roman"/>
          <w:i/>
          <w:lang w:val="fr-CA"/>
        </w:rPr>
        <w:t>Access to Information and Protection of Privacy Act</w:t>
      </w:r>
      <w:r>
        <w:rPr>
          <w:rFonts w:cs="Times New Roman"/>
          <w:lang w:val="fr-CA"/>
        </w:rPr>
        <w:t>, S.N.L. 2002, c. </w:t>
      </w:r>
      <w:r w:rsidRPr="000D5E81">
        <w:rPr>
          <w:rFonts w:cs="Times New Roman"/>
          <w:lang w:val="fr-CA"/>
        </w:rPr>
        <w:t>A</w:t>
      </w:r>
      <w:r>
        <w:rPr>
          <w:rFonts w:cs="Times New Roman"/>
          <w:lang w:val="fr-CA"/>
        </w:rPr>
        <w:noBreakHyphen/>
      </w:r>
      <w:r w:rsidRPr="000D5E81">
        <w:rPr>
          <w:rFonts w:cs="Times New Roman"/>
          <w:lang w:val="fr-CA"/>
        </w:rPr>
        <w:t>1.1, sont [</w:t>
      </w:r>
      <w:r w:rsidRPr="000D5E81">
        <w:rPr>
          <w:rFonts w:cs="Times New Roman"/>
          <w:smallCaps/>
          <w:lang w:val="fr-CA"/>
        </w:rPr>
        <w:t>traduction</w:t>
      </w:r>
      <w:r w:rsidRPr="000D5E81">
        <w:rPr>
          <w:rFonts w:cs="Times New Roman"/>
          <w:lang w:val="fr-CA"/>
        </w:rPr>
        <w:t>] « suffisamment clairs pour supprimer le secret professionnel de l</w:t>
      </w:r>
      <w:r>
        <w:rPr>
          <w:rFonts w:cs="Times New Roman"/>
          <w:lang w:val="fr-CA"/>
        </w:rPr>
        <w:t>’</w:t>
      </w:r>
      <w:r w:rsidRPr="000D5E81">
        <w:rPr>
          <w:rFonts w:cs="Times New Roman"/>
          <w:lang w:val="fr-CA"/>
        </w:rPr>
        <w:t>avocat, car il s</w:t>
      </w:r>
      <w:r>
        <w:rPr>
          <w:rFonts w:cs="Times New Roman"/>
          <w:lang w:val="fr-CA"/>
        </w:rPr>
        <w:t>’</w:t>
      </w:r>
      <w:r w:rsidRPr="000D5E81">
        <w:rPr>
          <w:rFonts w:cs="Times New Roman"/>
          <w:lang w:val="fr-CA"/>
        </w:rPr>
        <w:t>agit d</w:t>
      </w:r>
      <w:r>
        <w:rPr>
          <w:rFonts w:cs="Times New Roman"/>
          <w:lang w:val="fr-CA"/>
        </w:rPr>
        <w:t>’</w:t>
      </w:r>
      <w:r w:rsidRPr="000D5E81">
        <w:rPr>
          <w:rFonts w:cs="Times New Roman"/>
          <w:lang w:val="fr-CA"/>
        </w:rPr>
        <w:t>un privilège que prévoit le droit de la preuve » (</w:t>
      </w:r>
      <w:r>
        <w:rPr>
          <w:rFonts w:cs="Times New Roman"/>
          <w:lang w:val="fr-CA"/>
        </w:rPr>
        <w:t>par. </w:t>
      </w:r>
      <w:r w:rsidRPr="000D5E81">
        <w:rPr>
          <w:rFonts w:cs="Times New Roman"/>
          <w:lang w:val="fr-CA"/>
        </w:rPr>
        <w:t>45). Dans l</w:t>
      </w:r>
      <w:r>
        <w:rPr>
          <w:rFonts w:cs="Times New Roman"/>
          <w:lang w:val="fr-CA"/>
        </w:rPr>
        <w:t>’</w:t>
      </w:r>
      <w:r w:rsidRPr="000D5E81">
        <w:rPr>
          <w:rFonts w:cs="Times New Roman"/>
          <w:lang w:val="fr-CA"/>
        </w:rPr>
        <w:t xml:space="preserve">arrêt </w:t>
      </w:r>
      <w:r w:rsidRPr="000D5E81">
        <w:rPr>
          <w:rFonts w:cs="Times New Roman"/>
          <w:i/>
          <w:lang w:val="fr-CA"/>
        </w:rPr>
        <w:t>Canada (Commissaire à l</w:t>
      </w:r>
      <w:r>
        <w:rPr>
          <w:rFonts w:cs="Times New Roman"/>
          <w:i/>
          <w:lang w:val="fr-CA"/>
        </w:rPr>
        <w:t>’</w:t>
      </w:r>
      <w:r w:rsidRPr="000D5E81">
        <w:rPr>
          <w:rFonts w:cs="Times New Roman"/>
          <w:i/>
          <w:lang w:val="fr-CA"/>
        </w:rPr>
        <w:t>information) c. Canada (Ministre de l</w:t>
      </w:r>
      <w:r>
        <w:rPr>
          <w:rFonts w:cs="Times New Roman"/>
          <w:i/>
          <w:lang w:val="fr-CA"/>
        </w:rPr>
        <w:t>’</w:t>
      </w:r>
      <w:r w:rsidRPr="000D5E81">
        <w:rPr>
          <w:rFonts w:cs="Times New Roman"/>
          <w:i/>
          <w:lang w:val="fr-CA"/>
        </w:rPr>
        <w:t>Environnement)</w:t>
      </w:r>
      <w:r w:rsidRPr="000D5E81">
        <w:rPr>
          <w:rFonts w:cs="Times New Roman"/>
          <w:lang w:val="fr-CA"/>
        </w:rPr>
        <w:t xml:space="preserve">, </w:t>
      </w:r>
      <w:r w:rsidR="003B0573">
        <w:rPr>
          <w:rFonts w:cs="Times New Roman"/>
          <w:lang w:val="fr-CA"/>
        </w:rPr>
        <w:t>2000</w:t>
      </w:r>
      <w:r w:rsidRPr="000D5E81">
        <w:rPr>
          <w:rFonts w:cs="Times New Roman"/>
          <w:lang w:val="fr-CA"/>
        </w:rPr>
        <w:t xml:space="preserve"> CanLII 15247, la Cour d</w:t>
      </w:r>
      <w:r>
        <w:rPr>
          <w:rFonts w:cs="Times New Roman"/>
          <w:lang w:val="fr-CA"/>
        </w:rPr>
        <w:t>’</w:t>
      </w:r>
      <w:r w:rsidRPr="000D5E81">
        <w:rPr>
          <w:rFonts w:cs="Times New Roman"/>
          <w:lang w:val="fr-CA"/>
        </w:rPr>
        <w:t xml:space="preserve">appel fédérale conclut que le renvoi à « toute immunité reconnue par le droit de la preuve </w:t>
      </w:r>
      <w:r w:rsidR="003B0573" w:rsidRPr="000D5E81">
        <w:rPr>
          <w:rFonts w:cs="Times New Roman"/>
          <w:lang w:val="fr-CA"/>
        </w:rPr>
        <w:t xml:space="preserve">[. . .] </w:t>
      </w:r>
      <w:r w:rsidRPr="000D5E81">
        <w:rPr>
          <w:rFonts w:cs="Times New Roman"/>
          <w:lang w:val="fr-CA"/>
        </w:rPr>
        <w:t>[l</w:t>
      </w:r>
      <w:r>
        <w:rPr>
          <w:rFonts w:cs="Times New Roman"/>
          <w:lang w:val="fr-CA"/>
        </w:rPr>
        <w:t>’</w:t>
      </w:r>
      <w:r w:rsidRPr="000D5E81">
        <w:rPr>
          <w:rFonts w:cs="Times New Roman"/>
          <w:lang w:val="fr-CA"/>
        </w:rPr>
        <w:t>]habilite clairement [. . .] à rompre la confidentialité fondée sur le secret des communications entre avocat et client » (</w:t>
      </w:r>
      <w:r>
        <w:rPr>
          <w:rFonts w:cs="Times New Roman"/>
          <w:lang w:val="fr-CA"/>
        </w:rPr>
        <w:t>par. </w:t>
      </w:r>
      <w:r w:rsidRPr="000D5E81">
        <w:rPr>
          <w:rFonts w:cs="Times New Roman"/>
          <w:lang w:val="fr-CA"/>
        </w:rPr>
        <w:t>11</w:t>
      </w:r>
      <w:r w:rsidR="00AD5FCD">
        <w:rPr>
          <w:rFonts w:cs="Times New Roman"/>
          <w:lang w:val="fr-CA"/>
        </w:rPr>
        <w:t xml:space="preserve"> (soulignement omis)</w:t>
      </w:r>
      <w:r w:rsidRPr="000D5E81">
        <w:rPr>
          <w:rFonts w:cs="Times New Roman"/>
          <w:lang w:val="fr-CA"/>
        </w:rPr>
        <w:t>).</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Mon interprétation du </w:t>
      </w:r>
      <w:r>
        <w:rPr>
          <w:rFonts w:cs="Times New Roman"/>
          <w:lang w:val="fr-CA"/>
        </w:rPr>
        <w:t>par. </w:t>
      </w:r>
      <w:r w:rsidRPr="000D5E81">
        <w:rPr>
          <w:rFonts w:cs="Times New Roman"/>
          <w:lang w:val="fr-CA"/>
        </w:rPr>
        <w:t xml:space="preserve">56(3) de la </w:t>
      </w:r>
      <w:r w:rsidRPr="000D5E81">
        <w:rPr>
          <w:rFonts w:cs="Times New Roman"/>
          <w:i/>
          <w:lang w:val="fr-CA"/>
        </w:rPr>
        <w:t xml:space="preserve">FOIPP </w:t>
      </w:r>
      <w:r w:rsidRPr="000D5E81">
        <w:rPr>
          <w:rFonts w:cs="Times New Roman"/>
          <w:lang w:val="fr-CA"/>
        </w:rPr>
        <w:t>trouve également appui dans la doctrine. Le professeur A. M. Dodek, par exemple, voit dans le secret professionnel de l</w:t>
      </w:r>
      <w:r>
        <w:rPr>
          <w:rFonts w:cs="Times New Roman"/>
          <w:lang w:val="fr-CA"/>
        </w:rPr>
        <w:t>’</w:t>
      </w:r>
      <w:r w:rsidRPr="000D5E81">
        <w:rPr>
          <w:rFonts w:cs="Times New Roman"/>
          <w:lang w:val="fr-CA"/>
        </w:rPr>
        <w:t>avocat [</w:t>
      </w:r>
      <w:r w:rsidRPr="000D5E81">
        <w:rPr>
          <w:rFonts w:cs="Times New Roman"/>
          <w:smallCaps/>
          <w:lang w:val="fr-CA"/>
        </w:rPr>
        <w:t>traduction</w:t>
      </w:r>
      <w:r w:rsidRPr="000D5E81">
        <w:rPr>
          <w:rFonts w:cs="Times New Roman"/>
          <w:lang w:val="fr-CA"/>
        </w:rPr>
        <w:t>] « un membre de la famille des privilèges en matière de preuve » (</w:t>
      </w:r>
      <w:r w:rsidRPr="000D5E81">
        <w:rPr>
          <w:rFonts w:cs="Times New Roman"/>
          <w:i/>
          <w:lang w:val="fr-CA"/>
        </w:rPr>
        <w:t>Solicitor</w:t>
      </w:r>
      <w:r w:rsidR="00AD5FCD">
        <w:rPr>
          <w:rFonts w:cs="Times New Roman"/>
          <w:i/>
          <w:lang w:val="fr-CA"/>
        </w:rPr>
        <w:t>-</w:t>
      </w:r>
      <w:r w:rsidRPr="000D5E81">
        <w:rPr>
          <w:rFonts w:cs="Times New Roman"/>
          <w:i/>
          <w:lang w:val="fr-CA"/>
        </w:rPr>
        <w:t xml:space="preserve">Client Privilege </w:t>
      </w:r>
      <w:r w:rsidRPr="000D5E81">
        <w:rPr>
          <w:rFonts w:cs="Times New Roman"/>
          <w:lang w:val="fr-CA"/>
        </w:rPr>
        <w:t xml:space="preserve">(2014), </w:t>
      </w:r>
      <w:r>
        <w:rPr>
          <w:rFonts w:cs="Times New Roman"/>
          <w:lang w:val="fr-CA"/>
        </w:rPr>
        <w:t>p. </w:t>
      </w:r>
      <w:r w:rsidRPr="000D5E81">
        <w:rPr>
          <w:rFonts w:cs="Times New Roman"/>
          <w:lang w:val="fr-CA"/>
        </w:rPr>
        <w:t>26). Il fait observer ce qui suit</w:t>
      </w:r>
      <w:r>
        <w:rPr>
          <w:rFonts w:cs="Times New Roman"/>
          <w:lang w:val="fr-CA"/>
        </w:rPr>
        <w:t> :</w:t>
      </w:r>
    </w:p>
    <w:p w:rsidR="0091315D" w:rsidRPr="000D5E81" w:rsidRDefault="0091315D" w:rsidP="00B3618F">
      <w:pPr>
        <w:pStyle w:val="Citation-AltC"/>
        <w:widowControl w:val="0"/>
        <w:ind w:hanging="1166"/>
        <w:contextualSpacing w:val="0"/>
        <w:rPr>
          <w:lang w:val="fr-CA"/>
        </w:rPr>
      </w:pPr>
      <w:r w:rsidRPr="000D5E81">
        <w:rPr>
          <w:lang w:val="fr-CA"/>
        </w:rPr>
        <w:tab/>
        <w:t>[</w:t>
      </w:r>
      <w:r w:rsidRPr="000D5E81">
        <w:rPr>
          <w:smallCaps/>
          <w:lang w:val="fr-CA"/>
        </w:rPr>
        <w:t>traduction</w:t>
      </w:r>
      <w:r w:rsidRPr="000D5E81">
        <w:rPr>
          <w:lang w:val="fr-CA"/>
        </w:rPr>
        <w:t>] Il serait absurde d</w:t>
      </w:r>
      <w:r>
        <w:rPr>
          <w:lang w:val="fr-CA"/>
        </w:rPr>
        <w:t>’</w:t>
      </w:r>
      <w:r w:rsidRPr="000D5E81">
        <w:rPr>
          <w:lang w:val="fr-CA"/>
        </w:rPr>
        <w:t>affirmer qu</w:t>
      </w:r>
      <w:r>
        <w:rPr>
          <w:lang w:val="fr-CA"/>
        </w:rPr>
        <w:t>’</w:t>
      </w:r>
      <w:r w:rsidRPr="000D5E81">
        <w:rPr>
          <w:lang w:val="fr-CA"/>
        </w:rPr>
        <w:t>un tel libellé [tout privilège reconnu par le droit de la preuve] ne vise pas le secret professionnel de l</w:t>
      </w:r>
      <w:r>
        <w:rPr>
          <w:lang w:val="fr-CA"/>
        </w:rPr>
        <w:t>’</w:t>
      </w:r>
      <w:r w:rsidRPr="000D5E81">
        <w:rPr>
          <w:lang w:val="fr-CA"/>
        </w:rPr>
        <w:t>avocat au motif que celui</w:t>
      </w:r>
      <w:r>
        <w:rPr>
          <w:lang w:val="fr-CA"/>
        </w:rPr>
        <w:noBreakHyphen/>
      </w:r>
      <w:r w:rsidRPr="000D5E81">
        <w:rPr>
          <w:lang w:val="fr-CA"/>
        </w:rPr>
        <w:t>ci ne confère plus seulement un privilège reconnu par le droit de la preuve. Conformément à la méthode moderne d</w:t>
      </w:r>
      <w:r>
        <w:rPr>
          <w:lang w:val="fr-CA"/>
        </w:rPr>
        <w:t>’</w:t>
      </w:r>
      <w:r w:rsidRPr="000D5E81">
        <w:rPr>
          <w:lang w:val="fr-CA"/>
        </w:rPr>
        <w:t>interprétation des lois, l</w:t>
      </w:r>
      <w:r>
        <w:rPr>
          <w:lang w:val="fr-CA"/>
        </w:rPr>
        <w:t>’</w:t>
      </w:r>
      <w:r w:rsidRPr="000D5E81">
        <w:rPr>
          <w:lang w:val="fr-CA"/>
        </w:rPr>
        <w:t>énoncé « privilège reconnu par le droit de la preuve » commande une approche uniforme dans toutes les lois. Sauf indication contraire, l</w:t>
      </w:r>
      <w:r>
        <w:rPr>
          <w:lang w:val="fr-CA"/>
        </w:rPr>
        <w:t>’</w:t>
      </w:r>
      <w:r w:rsidRPr="000D5E81">
        <w:rPr>
          <w:lang w:val="fr-CA"/>
        </w:rPr>
        <w:t xml:space="preserve">énoncé doit être interprété comme englobant le </w:t>
      </w:r>
      <w:r w:rsidRPr="000D5E81">
        <w:rPr>
          <w:lang w:val="fr-CA"/>
        </w:rPr>
        <w:lastRenderedPageBreak/>
        <w:t>secret professionnel de l</w:t>
      </w:r>
      <w:r>
        <w:rPr>
          <w:lang w:val="fr-CA"/>
        </w:rPr>
        <w:t>’</w:t>
      </w:r>
      <w:r w:rsidRPr="000D5E81">
        <w:rPr>
          <w:lang w:val="fr-CA"/>
        </w:rPr>
        <w:t xml:space="preserve">avocat. [Notes en bas de page omises; </w:t>
      </w:r>
      <w:r>
        <w:rPr>
          <w:lang w:val="fr-CA"/>
        </w:rPr>
        <w:t>p. </w:t>
      </w:r>
      <w:r w:rsidRPr="000D5E81">
        <w:rPr>
          <w:lang w:val="fr-CA"/>
        </w:rPr>
        <w:t>379.]</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Dans </w:t>
      </w:r>
      <w:r w:rsidRPr="000D5E81">
        <w:rPr>
          <w:rFonts w:cs="Times New Roman"/>
          <w:i/>
          <w:lang w:val="fr-CA"/>
        </w:rPr>
        <w:t xml:space="preserve">The Law of Privilege in Canada </w:t>
      </w:r>
      <w:r w:rsidRPr="000D5E81">
        <w:rPr>
          <w:rFonts w:cs="Times New Roman"/>
          <w:lang w:val="fr-CA"/>
        </w:rPr>
        <w:t>(feuilles mobiles), R. W. Hubbard, S. Magotiaux et S. M. Duncan signalent que [</w:t>
      </w:r>
      <w:r w:rsidRPr="000D5E81">
        <w:rPr>
          <w:rFonts w:cs="Times New Roman"/>
          <w:smallCaps/>
          <w:lang w:val="fr-CA"/>
        </w:rPr>
        <w:t>traduction</w:t>
      </w:r>
      <w:r w:rsidRPr="000D5E81">
        <w:rPr>
          <w:rFonts w:cs="Times New Roman"/>
          <w:lang w:val="fr-CA"/>
        </w:rPr>
        <w:t>] « le secret professionnel de l</w:t>
      </w:r>
      <w:r>
        <w:rPr>
          <w:rFonts w:cs="Times New Roman"/>
          <w:lang w:val="fr-CA"/>
        </w:rPr>
        <w:t>’</w:t>
      </w:r>
      <w:r w:rsidRPr="000D5E81">
        <w:rPr>
          <w:rFonts w:cs="Times New Roman"/>
          <w:lang w:val="fr-CA"/>
        </w:rPr>
        <w:t xml:space="preserve">avocat a vu sa portée </w:t>
      </w:r>
      <w:r w:rsidRPr="000D5E81">
        <w:rPr>
          <w:rFonts w:cs="Times New Roman"/>
          <w:u w:val="single"/>
          <w:lang w:val="fr-CA"/>
        </w:rPr>
        <w:t>s</w:t>
      </w:r>
      <w:r>
        <w:rPr>
          <w:rFonts w:cs="Times New Roman"/>
          <w:u w:val="single"/>
          <w:lang w:val="fr-CA"/>
        </w:rPr>
        <w:t>’</w:t>
      </w:r>
      <w:r w:rsidRPr="000D5E81">
        <w:rPr>
          <w:rFonts w:cs="Times New Roman"/>
          <w:u w:val="single"/>
          <w:lang w:val="fr-CA"/>
        </w:rPr>
        <w:t>accroître</w:t>
      </w:r>
      <w:r w:rsidRPr="000D5E81">
        <w:rPr>
          <w:rFonts w:cs="Times New Roman"/>
          <w:lang w:val="fr-CA"/>
        </w:rPr>
        <w:t xml:space="preserve"> et est devenu un droit substantiel » (</w:t>
      </w:r>
      <w:r>
        <w:rPr>
          <w:rFonts w:cs="Times New Roman"/>
          <w:lang w:val="fr-CA"/>
        </w:rPr>
        <w:t>p. </w:t>
      </w:r>
      <w:r w:rsidRPr="000D5E81">
        <w:rPr>
          <w:rFonts w:cs="Times New Roman"/>
          <w:lang w:val="fr-CA"/>
        </w:rPr>
        <w:t>11</w:t>
      </w:r>
      <w:r>
        <w:rPr>
          <w:rFonts w:cs="Times New Roman"/>
          <w:lang w:val="fr-CA"/>
        </w:rPr>
        <w:noBreakHyphen/>
      </w:r>
      <w:r w:rsidRPr="000D5E81">
        <w:rPr>
          <w:rFonts w:cs="Times New Roman"/>
          <w:lang w:val="fr-CA"/>
        </w:rPr>
        <w:t>4.1 (je souligne</w:t>
      </w:r>
      <w:r w:rsidR="00AD5FCD" w:rsidRPr="000D5E81">
        <w:rPr>
          <w:rFonts w:cs="Times New Roman"/>
          <w:lang w:val="fr-CA"/>
        </w:rPr>
        <w:t>)</w:t>
      </w:r>
      <w:r w:rsidRPr="000D5E81">
        <w:rPr>
          <w:rFonts w:cs="Times New Roman"/>
          <w:lang w:val="fr-CA"/>
        </w:rPr>
        <w:t xml:space="preserve">). Les auteurs ajoutent </w:t>
      </w:r>
      <w:r w:rsidR="00AD5FCD" w:rsidRPr="000D5E81">
        <w:rPr>
          <w:rFonts w:cs="Times New Roman"/>
          <w:lang w:val="fr-CA"/>
        </w:rPr>
        <w:t>qu</w:t>
      </w:r>
      <w:r w:rsidR="00AD5FCD">
        <w:rPr>
          <w:rFonts w:cs="Times New Roman"/>
          <w:lang w:val="fr-CA"/>
        </w:rPr>
        <w:t>’</w:t>
      </w:r>
      <w:r w:rsidR="005900D7" w:rsidRPr="000D5E81">
        <w:rPr>
          <w:rFonts w:cs="Times New Roman"/>
          <w:lang w:val="fr-CA"/>
        </w:rPr>
        <w:t>« </w:t>
      </w:r>
      <w:r w:rsidRPr="000D5E81">
        <w:rPr>
          <w:rFonts w:cs="Times New Roman"/>
          <w:lang w:val="fr-CA"/>
        </w:rPr>
        <w:t>un privilège comme le secret professionnel de l</w:t>
      </w:r>
      <w:r>
        <w:rPr>
          <w:rFonts w:cs="Times New Roman"/>
          <w:lang w:val="fr-CA"/>
        </w:rPr>
        <w:t>’</w:t>
      </w:r>
      <w:r w:rsidRPr="000D5E81">
        <w:rPr>
          <w:rFonts w:cs="Times New Roman"/>
          <w:lang w:val="fr-CA"/>
        </w:rPr>
        <w:t>avocat ne constitue pas seulement une règle en matière de preuve faisant obstacle à l</w:t>
      </w:r>
      <w:r>
        <w:rPr>
          <w:rFonts w:cs="Times New Roman"/>
          <w:lang w:val="fr-CA"/>
        </w:rPr>
        <w:t>’</w:t>
      </w:r>
      <w:r w:rsidRPr="000D5E81">
        <w:rPr>
          <w:rFonts w:cs="Times New Roman"/>
          <w:lang w:val="fr-CA"/>
        </w:rPr>
        <w:t>admissibilité; il s</w:t>
      </w:r>
      <w:r>
        <w:rPr>
          <w:rFonts w:cs="Times New Roman"/>
          <w:lang w:val="fr-CA"/>
        </w:rPr>
        <w:t>’</w:t>
      </w:r>
      <w:r w:rsidRPr="000D5E81">
        <w:rPr>
          <w:rFonts w:cs="Times New Roman"/>
          <w:lang w:val="fr-CA"/>
        </w:rPr>
        <w:t xml:space="preserve">agit </w:t>
      </w:r>
      <w:r w:rsidRPr="000D5E81">
        <w:rPr>
          <w:rFonts w:cs="Times New Roman"/>
          <w:u w:val="single"/>
          <w:lang w:val="fr-CA"/>
        </w:rPr>
        <w:t>également</w:t>
      </w:r>
      <w:r w:rsidRPr="000D5E81">
        <w:rPr>
          <w:rFonts w:cs="Times New Roman"/>
          <w:lang w:val="fr-CA"/>
        </w:rPr>
        <w:t xml:space="preserve"> d</w:t>
      </w:r>
      <w:r>
        <w:rPr>
          <w:rFonts w:cs="Times New Roman"/>
          <w:lang w:val="fr-CA"/>
        </w:rPr>
        <w:t>’</w:t>
      </w:r>
      <w:r w:rsidRPr="000D5E81">
        <w:rPr>
          <w:rFonts w:cs="Times New Roman"/>
          <w:lang w:val="fr-CA"/>
        </w:rPr>
        <w:t>un droit substantiel » (</w:t>
      </w:r>
      <w:r>
        <w:rPr>
          <w:rFonts w:cs="Times New Roman"/>
          <w:lang w:val="fr-CA"/>
        </w:rPr>
        <w:t>p. </w:t>
      </w:r>
      <w:r w:rsidRPr="000D5E81">
        <w:rPr>
          <w:rFonts w:cs="Times New Roman"/>
          <w:lang w:val="fr-CA"/>
        </w:rPr>
        <w:t>1</w:t>
      </w:r>
      <w:r>
        <w:rPr>
          <w:rFonts w:cs="Times New Roman"/>
          <w:lang w:val="fr-CA"/>
        </w:rPr>
        <w:noBreakHyphen/>
      </w:r>
      <w:r w:rsidRPr="000D5E81">
        <w:rPr>
          <w:rFonts w:cs="Times New Roman"/>
          <w:lang w:val="fr-CA"/>
        </w:rPr>
        <w:t xml:space="preserve">3 (je souligne)). Aussi, dans </w:t>
      </w:r>
      <w:r w:rsidRPr="000D5E81">
        <w:rPr>
          <w:rFonts w:cs="Times New Roman"/>
          <w:i/>
          <w:lang w:val="fr-CA"/>
        </w:rPr>
        <w:t xml:space="preserve">The Law of Evidence in Canada </w:t>
      </w:r>
      <w:r w:rsidRPr="000D5E81">
        <w:rPr>
          <w:rFonts w:cs="Times New Roman"/>
          <w:lang w:val="fr-CA"/>
        </w:rPr>
        <w:t>(4</w:t>
      </w:r>
      <w:r w:rsidRPr="000D5E81">
        <w:rPr>
          <w:rFonts w:cs="Times New Roman"/>
          <w:vertAlign w:val="superscript"/>
          <w:lang w:val="fr-CA"/>
        </w:rPr>
        <w:t>e</w:t>
      </w:r>
      <w:r w:rsidRPr="000D5E81">
        <w:rPr>
          <w:rFonts w:cs="Times New Roman"/>
          <w:lang w:val="fr-CA"/>
        </w:rPr>
        <w:t xml:space="preserve"> éd. 2014), S. N. Lederman, A. W. Bryant et M. K. Fuerst expliquent que [</w:t>
      </w:r>
      <w:r w:rsidRPr="000D5E81">
        <w:rPr>
          <w:rFonts w:cs="Times New Roman"/>
          <w:smallCaps/>
          <w:lang w:val="fr-CA"/>
        </w:rPr>
        <w:t>traduction</w:t>
      </w:r>
      <w:r w:rsidRPr="000D5E81">
        <w:rPr>
          <w:rFonts w:cs="Times New Roman"/>
          <w:lang w:val="fr-CA"/>
        </w:rPr>
        <w:t>] « le secret professionnel de l</w:t>
      </w:r>
      <w:r>
        <w:rPr>
          <w:rFonts w:cs="Times New Roman"/>
          <w:lang w:val="fr-CA"/>
        </w:rPr>
        <w:t>’</w:t>
      </w:r>
      <w:r w:rsidRPr="000D5E81">
        <w:rPr>
          <w:rFonts w:cs="Times New Roman"/>
          <w:lang w:val="fr-CA"/>
        </w:rPr>
        <w:t>avocat a longtemps été assimilé à un privilège testimonial du fait qu</w:t>
      </w:r>
      <w:r>
        <w:rPr>
          <w:rFonts w:cs="Times New Roman"/>
          <w:lang w:val="fr-CA"/>
        </w:rPr>
        <w:t>’</w:t>
      </w:r>
      <w:r w:rsidRPr="000D5E81">
        <w:rPr>
          <w:rFonts w:cs="Times New Roman"/>
          <w:lang w:val="fr-CA"/>
        </w:rPr>
        <w:t>on ne pouvait le faire valoir qu</w:t>
      </w:r>
      <w:r>
        <w:rPr>
          <w:rFonts w:cs="Times New Roman"/>
          <w:lang w:val="fr-CA"/>
        </w:rPr>
        <w:t>’</w:t>
      </w:r>
      <w:r w:rsidRPr="000D5E81">
        <w:rPr>
          <w:rFonts w:cs="Times New Roman"/>
          <w:lang w:val="fr-CA"/>
        </w:rPr>
        <w:t>au procès » (</w:t>
      </w:r>
      <w:r>
        <w:rPr>
          <w:rFonts w:cs="Times New Roman"/>
          <w:lang w:val="fr-CA"/>
        </w:rPr>
        <w:t>p. </w:t>
      </w:r>
      <w:r w:rsidRPr="000D5E81">
        <w:rPr>
          <w:rFonts w:cs="Times New Roman"/>
          <w:lang w:val="fr-CA"/>
        </w:rPr>
        <w:t xml:space="preserve">952). Toutefois, des décisions ultérieures « ont </w:t>
      </w:r>
      <w:r w:rsidRPr="000D5E81">
        <w:rPr>
          <w:rFonts w:cs="Times New Roman"/>
          <w:u w:val="single"/>
          <w:lang w:val="fr-CA"/>
        </w:rPr>
        <w:t>étendu</w:t>
      </w:r>
      <w:r w:rsidRPr="000D5E81">
        <w:rPr>
          <w:rFonts w:cs="Times New Roman"/>
          <w:lang w:val="fr-CA"/>
        </w:rPr>
        <w:t xml:space="preserve"> la période pendant laquelle le privilège peut être invoqué », ce qui « s</w:t>
      </w:r>
      <w:r>
        <w:rPr>
          <w:rFonts w:cs="Times New Roman"/>
          <w:lang w:val="fr-CA"/>
        </w:rPr>
        <w:t>’</w:t>
      </w:r>
      <w:r w:rsidRPr="000D5E81">
        <w:rPr>
          <w:rFonts w:cs="Times New Roman"/>
          <w:lang w:val="fr-CA"/>
        </w:rPr>
        <w:t>inscrit dans le courant de l</w:t>
      </w:r>
      <w:r>
        <w:rPr>
          <w:rFonts w:cs="Times New Roman"/>
          <w:lang w:val="fr-CA"/>
        </w:rPr>
        <w:t>’</w:t>
      </w:r>
      <w:r w:rsidRPr="000D5E81">
        <w:rPr>
          <w:rFonts w:cs="Times New Roman"/>
          <w:lang w:val="fr-CA"/>
        </w:rPr>
        <w:t>élargissement du secret professionnel de l</w:t>
      </w:r>
      <w:r>
        <w:rPr>
          <w:rFonts w:cs="Times New Roman"/>
          <w:lang w:val="fr-CA"/>
        </w:rPr>
        <w:t>’</w:t>
      </w:r>
      <w:r w:rsidRPr="000D5E81">
        <w:rPr>
          <w:rFonts w:cs="Times New Roman"/>
          <w:lang w:val="fr-CA"/>
        </w:rPr>
        <w:t>avocat sur le plan conceptuel » (</w:t>
      </w:r>
      <w:r>
        <w:rPr>
          <w:rFonts w:cs="Times New Roman"/>
          <w:lang w:val="fr-CA"/>
        </w:rPr>
        <w:t>p. </w:t>
      </w:r>
      <w:r w:rsidRPr="000D5E81">
        <w:rPr>
          <w:rFonts w:cs="Times New Roman"/>
          <w:lang w:val="fr-CA"/>
        </w:rPr>
        <w:t>952</w:t>
      </w:r>
      <w:r>
        <w:rPr>
          <w:rFonts w:cs="Times New Roman"/>
          <w:lang w:val="fr-CA"/>
        </w:rPr>
        <w:noBreakHyphen/>
      </w:r>
      <w:r w:rsidRPr="000D5E81">
        <w:rPr>
          <w:rFonts w:cs="Times New Roman"/>
          <w:lang w:val="fr-CA"/>
        </w:rPr>
        <w:t>953 (je souligne)).</w:t>
      </w:r>
    </w:p>
    <w:p w:rsidR="0091315D" w:rsidRPr="000D5E81" w:rsidRDefault="0091315D" w:rsidP="00B3618F">
      <w:pPr>
        <w:pStyle w:val="ParaNoNdepar-AltN"/>
        <w:widowControl w:val="0"/>
        <w:rPr>
          <w:rFonts w:cs="Times New Roman"/>
          <w:lang w:val="fr-CA"/>
        </w:rPr>
      </w:pPr>
      <w:r w:rsidRPr="000D5E81">
        <w:rPr>
          <w:rFonts w:cs="Times New Roman"/>
          <w:lang w:val="fr-CA"/>
        </w:rPr>
        <w:t>Qui plus est, et contrairement à ce que soutient ma collègue la juge Côté, c</w:t>
      </w:r>
      <w:r>
        <w:rPr>
          <w:rFonts w:cs="Times New Roman"/>
          <w:lang w:val="fr-CA"/>
        </w:rPr>
        <w:t>’</w:t>
      </w:r>
      <w:r w:rsidRPr="000D5E81">
        <w:rPr>
          <w:rFonts w:cs="Times New Roman"/>
          <w:lang w:val="fr-CA"/>
        </w:rPr>
        <w:t>est le privilège en matière de preuve qui est en cause en l</w:t>
      </w:r>
      <w:r>
        <w:rPr>
          <w:rFonts w:cs="Times New Roman"/>
          <w:lang w:val="fr-CA"/>
        </w:rPr>
        <w:t>’</w:t>
      </w:r>
      <w:r w:rsidRPr="000D5E81">
        <w:rPr>
          <w:rFonts w:cs="Times New Roman"/>
          <w:lang w:val="fr-CA"/>
        </w:rPr>
        <w:t>espèce. L</w:t>
      </w:r>
      <w:r>
        <w:rPr>
          <w:rFonts w:cs="Times New Roman"/>
          <w:lang w:val="fr-CA"/>
        </w:rPr>
        <w:t>’</w:t>
      </w:r>
      <w:r w:rsidRPr="000D5E81">
        <w:rPr>
          <w:rFonts w:cs="Times New Roman"/>
          <w:lang w:val="fr-CA"/>
        </w:rPr>
        <w:t>intimé demande qu</w:t>
      </w:r>
      <w:r>
        <w:rPr>
          <w:rFonts w:cs="Times New Roman"/>
          <w:lang w:val="fr-CA"/>
        </w:rPr>
        <w:t>’</w:t>
      </w:r>
      <w:r w:rsidRPr="000D5E81">
        <w:rPr>
          <w:rFonts w:cs="Times New Roman"/>
          <w:lang w:val="fr-CA"/>
        </w:rPr>
        <w:t>on le soustraie à l</w:t>
      </w:r>
      <w:r>
        <w:rPr>
          <w:rFonts w:cs="Times New Roman"/>
          <w:lang w:val="fr-CA"/>
        </w:rPr>
        <w:t>’</w:t>
      </w:r>
      <w:r w:rsidRPr="000D5E81">
        <w:rPr>
          <w:rFonts w:cs="Times New Roman"/>
          <w:lang w:val="fr-CA"/>
        </w:rPr>
        <w:t>obligation de produire les documents exigés par la Commissaire en vertu de ses pouvoirs légaux. Nous sommes donc saisis d</w:t>
      </w:r>
      <w:r>
        <w:rPr>
          <w:rFonts w:cs="Times New Roman"/>
          <w:lang w:val="fr-CA"/>
        </w:rPr>
        <w:t>’</w:t>
      </w:r>
      <w:r w:rsidRPr="000D5E81">
        <w:rPr>
          <w:rFonts w:cs="Times New Roman"/>
          <w:lang w:val="fr-CA"/>
        </w:rPr>
        <w:t xml:space="preserve">une demande de protection contre une communication requise par la loi, ce qui relève nettement du privilège en matière de preuve à laquelle renvoie expressément la disposition législative (Dodek, </w:t>
      </w:r>
      <w:r>
        <w:rPr>
          <w:rFonts w:cs="Times New Roman"/>
          <w:lang w:val="fr-CA"/>
        </w:rPr>
        <w:t>p. </w:t>
      </w:r>
      <w:r w:rsidRPr="000D5E81">
        <w:rPr>
          <w:rFonts w:cs="Times New Roman"/>
          <w:lang w:val="fr-CA"/>
        </w:rPr>
        <w:t xml:space="preserve">16; </w:t>
      </w:r>
      <w:r w:rsidRPr="000D5E81">
        <w:rPr>
          <w:rFonts w:cs="Times New Roman"/>
          <w:i/>
          <w:lang w:val="fr-CA"/>
        </w:rPr>
        <w:t>Lavallee</w:t>
      </w:r>
      <w:r w:rsidRPr="000D5E81">
        <w:rPr>
          <w:rFonts w:cs="Times New Roman"/>
          <w:lang w:val="fr-CA"/>
        </w:rPr>
        <w:t xml:space="preserve">, </w:t>
      </w:r>
      <w:r>
        <w:rPr>
          <w:rFonts w:cs="Times New Roman"/>
          <w:lang w:val="fr-CA"/>
        </w:rPr>
        <w:t>par. </w:t>
      </w:r>
      <w:r w:rsidRPr="000D5E81">
        <w:rPr>
          <w:rFonts w:cs="Times New Roman"/>
          <w:lang w:val="fr-CA"/>
        </w:rPr>
        <w:t>13</w:t>
      </w:r>
      <w:r>
        <w:rPr>
          <w:rFonts w:cs="Times New Roman"/>
          <w:lang w:val="fr-CA"/>
        </w:rPr>
        <w:noBreakHyphen/>
      </w:r>
      <w:r w:rsidRPr="000D5E81">
        <w:rPr>
          <w:rFonts w:cs="Times New Roman"/>
          <w:lang w:val="fr-CA"/>
        </w:rPr>
        <w:t>14).</w:t>
      </w:r>
    </w:p>
    <w:p w:rsidR="0091315D" w:rsidRPr="000D5E81" w:rsidRDefault="0091315D" w:rsidP="00B3618F">
      <w:pPr>
        <w:pStyle w:val="ParaNoNdepar-AltN"/>
        <w:widowControl w:val="0"/>
        <w:rPr>
          <w:rFonts w:cs="Times New Roman"/>
          <w:lang w:val="fr-CA"/>
        </w:rPr>
      </w:pPr>
      <w:r w:rsidRPr="000D5E81">
        <w:rPr>
          <w:rFonts w:cs="Times New Roman"/>
          <w:lang w:val="fr-CA"/>
        </w:rPr>
        <w:lastRenderedPageBreak/>
        <w:t>L</w:t>
      </w:r>
      <w:r>
        <w:rPr>
          <w:rFonts w:cs="Times New Roman"/>
          <w:lang w:val="fr-CA"/>
        </w:rPr>
        <w:t>’</w:t>
      </w:r>
      <w:r w:rsidRPr="000D5E81">
        <w:rPr>
          <w:rFonts w:cs="Times New Roman"/>
          <w:lang w:val="fr-CA"/>
        </w:rPr>
        <w:t>intimé fait valoir que l</w:t>
      </w:r>
      <w:r>
        <w:rPr>
          <w:rFonts w:cs="Times New Roman"/>
          <w:lang w:val="fr-CA"/>
        </w:rPr>
        <w:t>’al. </w:t>
      </w:r>
      <w:r w:rsidRPr="000D5E81">
        <w:rPr>
          <w:rFonts w:cs="Times New Roman"/>
          <w:lang w:val="fr-CA"/>
        </w:rPr>
        <w:t>27(1)</w:t>
      </w:r>
      <w:r w:rsidR="00AD5FCD">
        <w:rPr>
          <w:rFonts w:cs="Times New Roman"/>
          <w:lang w:val="fr-CA"/>
        </w:rPr>
        <w:t>(</w:t>
      </w:r>
      <w:r w:rsidRPr="000D5E81">
        <w:rPr>
          <w:rFonts w:cs="Times New Roman"/>
          <w:lang w:val="fr-CA"/>
        </w:rPr>
        <w:t>a) de la loi renvoie précisément au [</w:t>
      </w:r>
      <w:r w:rsidRPr="000D5E81">
        <w:rPr>
          <w:rFonts w:cs="Times New Roman"/>
          <w:smallCaps/>
          <w:lang w:val="fr-CA"/>
        </w:rPr>
        <w:t>traduction</w:t>
      </w:r>
      <w:r w:rsidRPr="000D5E81">
        <w:rPr>
          <w:rFonts w:cs="Times New Roman"/>
          <w:lang w:val="fr-CA"/>
        </w:rPr>
        <w:t>] « secret professionnel de l</w:t>
      </w:r>
      <w:r>
        <w:rPr>
          <w:rFonts w:cs="Times New Roman"/>
          <w:lang w:val="fr-CA"/>
        </w:rPr>
        <w:t>’</w:t>
      </w:r>
      <w:r w:rsidRPr="000D5E81">
        <w:rPr>
          <w:rFonts w:cs="Times New Roman"/>
          <w:lang w:val="fr-CA"/>
        </w:rPr>
        <w:t xml:space="preserve">avocat » et que le </w:t>
      </w:r>
      <w:r>
        <w:rPr>
          <w:rFonts w:cs="Times New Roman"/>
          <w:lang w:val="fr-CA"/>
        </w:rPr>
        <w:t>par. </w:t>
      </w:r>
      <w:r w:rsidRPr="000D5E81">
        <w:rPr>
          <w:rFonts w:cs="Times New Roman"/>
          <w:lang w:val="fr-CA"/>
        </w:rPr>
        <w:t>56(3) ne l</w:t>
      </w:r>
      <w:r>
        <w:rPr>
          <w:rFonts w:cs="Times New Roman"/>
          <w:lang w:val="fr-CA"/>
        </w:rPr>
        <w:t>’</w:t>
      </w:r>
      <w:r w:rsidRPr="000D5E81">
        <w:rPr>
          <w:rFonts w:cs="Times New Roman"/>
          <w:lang w:val="fr-CA"/>
        </w:rPr>
        <w:t>emporte pas sur cet alinéa, mais le reconnaît implicitement. Le fait que les mots « secret professionnel de l</w:t>
      </w:r>
      <w:r>
        <w:rPr>
          <w:rFonts w:cs="Times New Roman"/>
          <w:lang w:val="fr-CA"/>
        </w:rPr>
        <w:t>’</w:t>
      </w:r>
      <w:r w:rsidRPr="000D5E81">
        <w:rPr>
          <w:rFonts w:cs="Times New Roman"/>
          <w:lang w:val="fr-CA"/>
        </w:rPr>
        <w:t>avocat » sont employés ailleurs dans la loi n</w:t>
      </w:r>
      <w:r>
        <w:rPr>
          <w:rFonts w:cs="Times New Roman"/>
          <w:lang w:val="fr-CA"/>
        </w:rPr>
        <w:t>’</w:t>
      </w:r>
      <w:r w:rsidRPr="000D5E81">
        <w:rPr>
          <w:rFonts w:cs="Times New Roman"/>
          <w:lang w:val="fr-CA"/>
        </w:rPr>
        <w:t>affaiblit en rien l</w:t>
      </w:r>
      <w:r>
        <w:rPr>
          <w:rFonts w:cs="Times New Roman"/>
          <w:lang w:val="fr-CA"/>
        </w:rPr>
        <w:t>’</w:t>
      </w:r>
      <w:r w:rsidRPr="000D5E81">
        <w:rPr>
          <w:rFonts w:cs="Times New Roman"/>
          <w:lang w:val="fr-CA"/>
        </w:rPr>
        <w:t xml:space="preserve">interprétation du </w:t>
      </w:r>
      <w:r>
        <w:rPr>
          <w:rFonts w:cs="Times New Roman"/>
          <w:lang w:val="fr-CA"/>
        </w:rPr>
        <w:t>par. </w:t>
      </w:r>
      <w:r w:rsidRPr="000D5E81">
        <w:rPr>
          <w:rFonts w:cs="Times New Roman"/>
          <w:lang w:val="fr-CA"/>
        </w:rPr>
        <w:t>56(3) que je préconise. L</w:t>
      </w:r>
      <w:r>
        <w:rPr>
          <w:rFonts w:cs="Times New Roman"/>
          <w:lang w:val="fr-CA"/>
        </w:rPr>
        <w:t>’</w:t>
      </w:r>
      <w:r w:rsidRPr="000D5E81">
        <w:rPr>
          <w:rFonts w:cs="Times New Roman"/>
          <w:lang w:val="fr-CA"/>
        </w:rPr>
        <w:t>alinéa 27(1)</w:t>
      </w:r>
      <w:r w:rsidR="00AD5FCD">
        <w:rPr>
          <w:rFonts w:cs="Times New Roman"/>
          <w:lang w:val="fr-CA"/>
        </w:rPr>
        <w:t>(</w:t>
      </w:r>
      <w:r w:rsidRPr="000D5E81">
        <w:rPr>
          <w:rFonts w:cs="Times New Roman"/>
          <w:lang w:val="fr-CA"/>
        </w:rPr>
        <w:t>a) dispose ce qui suit</w:t>
      </w:r>
      <w:r>
        <w:rPr>
          <w:rFonts w:cs="Times New Roman"/>
          <w:lang w:val="fr-CA"/>
        </w:rPr>
        <w:t> :</w:t>
      </w:r>
    </w:p>
    <w:p w:rsidR="0091315D" w:rsidRPr="000D5E81" w:rsidRDefault="0091315D" w:rsidP="00B3618F">
      <w:pPr>
        <w:pStyle w:val="Citation-AltC"/>
        <w:widowControl w:val="0"/>
        <w:spacing w:after="240"/>
        <w:ind w:hanging="1166"/>
        <w:contextualSpacing w:val="0"/>
        <w:rPr>
          <w:lang w:val="fr-CA"/>
        </w:rPr>
      </w:pPr>
      <w:r w:rsidRPr="000D5E81">
        <w:rPr>
          <w:lang w:val="fr-CA"/>
        </w:rPr>
        <w:tab/>
        <w:t>[</w:t>
      </w:r>
      <w:r w:rsidRPr="000D5E81">
        <w:rPr>
          <w:smallCaps/>
          <w:lang w:val="fr-CA"/>
        </w:rPr>
        <w:t>traduction</w:t>
      </w:r>
      <w:r w:rsidRPr="000D5E81">
        <w:rPr>
          <w:lang w:val="fr-CA"/>
        </w:rPr>
        <w:t xml:space="preserve">] </w:t>
      </w:r>
      <w:r w:rsidRPr="000D5E81">
        <w:rPr>
          <w:b/>
          <w:lang w:val="fr-CA"/>
        </w:rPr>
        <w:t>27(1)</w:t>
      </w:r>
      <w:r w:rsidRPr="000D5E81">
        <w:rPr>
          <w:lang w:val="fr-CA"/>
        </w:rPr>
        <w:t xml:space="preserve"> Le responsable de l</w:t>
      </w:r>
      <w:r>
        <w:rPr>
          <w:lang w:val="fr-CA"/>
        </w:rPr>
        <w:t>’</w:t>
      </w:r>
      <w:r w:rsidRPr="000D5E81">
        <w:rPr>
          <w:lang w:val="fr-CA"/>
        </w:rPr>
        <w:t>organisme public peut refuser de communiquer à l</w:t>
      </w:r>
      <w:r>
        <w:rPr>
          <w:lang w:val="fr-CA"/>
        </w:rPr>
        <w:t>’</w:t>
      </w:r>
      <w:r w:rsidRPr="000D5E81">
        <w:rPr>
          <w:lang w:val="fr-CA"/>
        </w:rPr>
        <w:t>auteur d</w:t>
      </w:r>
      <w:r>
        <w:rPr>
          <w:lang w:val="fr-CA"/>
        </w:rPr>
        <w:t>’</w:t>
      </w:r>
      <w:r w:rsidRPr="000D5E81">
        <w:rPr>
          <w:lang w:val="fr-CA"/>
        </w:rPr>
        <w:t>une demande</w:t>
      </w:r>
      <w:r>
        <w:rPr>
          <w:lang w:val="fr-CA"/>
        </w:rPr>
        <w:t> :</w:t>
      </w:r>
    </w:p>
    <w:p w:rsidR="0091315D" w:rsidRPr="000D5E81" w:rsidRDefault="0091315D" w:rsidP="00B3618F">
      <w:pPr>
        <w:pStyle w:val="Citation-AltC"/>
        <w:widowControl w:val="0"/>
        <w:numPr>
          <w:ilvl w:val="4"/>
          <w:numId w:val="1"/>
        </w:numPr>
        <w:contextualSpacing w:val="0"/>
        <w:rPr>
          <w:lang w:val="fr-CA"/>
        </w:rPr>
      </w:pPr>
      <w:r w:rsidRPr="000D5E81">
        <w:rPr>
          <w:lang w:val="fr-CA"/>
        </w:rPr>
        <w:t>les renseignements qui sont protégés par tout type de privilège légal, notamment le secret professionnel de l</w:t>
      </w:r>
      <w:r>
        <w:rPr>
          <w:lang w:val="fr-CA"/>
        </w:rPr>
        <w:t>’</w:t>
      </w:r>
      <w:r w:rsidRPr="000D5E81">
        <w:rPr>
          <w:lang w:val="fr-CA"/>
        </w:rPr>
        <w:t>avocat et le privilège parlementaire,</w:t>
      </w:r>
    </w:p>
    <w:p w:rsidR="0091315D" w:rsidRPr="000D5E81" w:rsidRDefault="0091315D" w:rsidP="00B3618F">
      <w:pPr>
        <w:pStyle w:val="ParaNoNdepar-AltN"/>
        <w:widowControl w:val="0"/>
        <w:rPr>
          <w:rFonts w:cs="Times New Roman"/>
          <w:lang w:val="fr-CA"/>
        </w:rPr>
      </w:pPr>
      <w:r w:rsidRPr="000D5E81">
        <w:rPr>
          <w:rFonts w:cs="Times New Roman"/>
          <w:lang w:val="fr-CA"/>
        </w:rPr>
        <w:t>L</w:t>
      </w:r>
      <w:r>
        <w:rPr>
          <w:rFonts w:cs="Times New Roman"/>
          <w:lang w:val="fr-CA"/>
        </w:rPr>
        <w:t>’</w:t>
      </w:r>
      <w:r w:rsidRPr="000D5E81">
        <w:rPr>
          <w:rFonts w:cs="Times New Roman"/>
          <w:lang w:val="fr-CA"/>
        </w:rPr>
        <w:t>alinéa 27(1)</w:t>
      </w:r>
      <w:r w:rsidR="00AD5FCD">
        <w:rPr>
          <w:rFonts w:cs="Times New Roman"/>
          <w:lang w:val="fr-CA"/>
        </w:rPr>
        <w:t>(</w:t>
      </w:r>
      <w:r w:rsidRPr="000D5E81">
        <w:rPr>
          <w:rFonts w:cs="Times New Roman"/>
          <w:lang w:val="fr-CA"/>
        </w:rPr>
        <w:t xml:space="preserve">a) et le </w:t>
      </w:r>
      <w:r>
        <w:rPr>
          <w:rFonts w:cs="Times New Roman"/>
          <w:lang w:val="fr-CA"/>
        </w:rPr>
        <w:t>par. </w:t>
      </w:r>
      <w:r w:rsidRPr="000D5E81">
        <w:rPr>
          <w:rFonts w:cs="Times New Roman"/>
          <w:lang w:val="fr-CA"/>
        </w:rPr>
        <w:t>56(3) de la loi remplissent des fonctions différentes. Par conséquent, le fait que l</w:t>
      </w:r>
      <w:r>
        <w:rPr>
          <w:rFonts w:cs="Times New Roman"/>
          <w:lang w:val="fr-CA"/>
        </w:rPr>
        <w:t>’al. </w:t>
      </w:r>
      <w:r w:rsidRPr="000D5E81">
        <w:rPr>
          <w:rFonts w:cs="Times New Roman"/>
          <w:lang w:val="fr-CA"/>
        </w:rPr>
        <w:t>27(1)</w:t>
      </w:r>
      <w:r w:rsidR="00AD5FCD">
        <w:rPr>
          <w:rFonts w:cs="Times New Roman"/>
          <w:lang w:val="fr-CA"/>
        </w:rPr>
        <w:t>(</w:t>
      </w:r>
      <w:r w:rsidRPr="000D5E81">
        <w:rPr>
          <w:rFonts w:cs="Times New Roman"/>
          <w:lang w:val="fr-CA"/>
        </w:rPr>
        <w:t>a) renvoie expressément au secret professionnel de l</w:t>
      </w:r>
      <w:r>
        <w:rPr>
          <w:rFonts w:cs="Times New Roman"/>
          <w:lang w:val="fr-CA"/>
        </w:rPr>
        <w:t>’</w:t>
      </w:r>
      <w:r w:rsidRPr="000D5E81">
        <w:rPr>
          <w:rFonts w:cs="Times New Roman"/>
          <w:lang w:val="fr-CA"/>
        </w:rPr>
        <w:t xml:space="preserve">avocat ne permet pas de conclure que le </w:t>
      </w:r>
      <w:r>
        <w:rPr>
          <w:rFonts w:cs="Times New Roman"/>
          <w:lang w:val="fr-CA"/>
        </w:rPr>
        <w:t>par. </w:t>
      </w:r>
      <w:r w:rsidRPr="000D5E81">
        <w:rPr>
          <w:rFonts w:cs="Times New Roman"/>
          <w:lang w:val="fr-CA"/>
        </w:rPr>
        <w:t>56(3) empêche la Commissaire d</w:t>
      </w:r>
      <w:r>
        <w:rPr>
          <w:rFonts w:cs="Times New Roman"/>
          <w:lang w:val="fr-CA"/>
        </w:rPr>
        <w:t>’</w:t>
      </w:r>
      <w:r w:rsidRPr="000D5E81">
        <w:rPr>
          <w:rFonts w:cs="Times New Roman"/>
          <w:lang w:val="fr-CA"/>
        </w:rPr>
        <w:t>ordonner la production de documents protégés par le secret professionnel de l</w:t>
      </w:r>
      <w:r>
        <w:rPr>
          <w:rFonts w:cs="Times New Roman"/>
          <w:lang w:val="fr-CA"/>
        </w:rPr>
        <w:t>’</w:t>
      </w:r>
      <w:r w:rsidRPr="000D5E81">
        <w:rPr>
          <w:rFonts w:cs="Times New Roman"/>
          <w:lang w:val="fr-CA"/>
        </w:rPr>
        <w:t>avocat. Quoi qu</w:t>
      </w:r>
      <w:r>
        <w:rPr>
          <w:rFonts w:cs="Times New Roman"/>
          <w:lang w:val="fr-CA"/>
        </w:rPr>
        <w:t>’</w:t>
      </w:r>
      <w:r w:rsidRPr="000D5E81">
        <w:rPr>
          <w:rFonts w:cs="Times New Roman"/>
          <w:lang w:val="fr-CA"/>
        </w:rPr>
        <w:t>il en soit, l</w:t>
      </w:r>
      <w:r>
        <w:rPr>
          <w:rFonts w:cs="Times New Roman"/>
          <w:lang w:val="fr-CA"/>
        </w:rPr>
        <w:t>’art. </w:t>
      </w:r>
      <w:r w:rsidRPr="000D5E81">
        <w:rPr>
          <w:rFonts w:cs="Times New Roman"/>
          <w:lang w:val="fr-CA"/>
        </w:rPr>
        <w:t>27 fait expressément en sorte que l</w:t>
      </w:r>
      <w:r>
        <w:rPr>
          <w:rFonts w:cs="Times New Roman"/>
          <w:lang w:val="fr-CA"/>
        </w:rPr>
        <w:t>’</w:t>
      </w:r>
      <w:r w:rsidRPr="000D5E81">
        <w:rPr>
          <w:rFonts w:cs="Times New Roman"/>
          <w:lang w:val="fr-CA"/>
        </w:rPr>
        <w:t>expression [</w:t>
      </w:r>
      <w:r w:rsidRPr="000D5E81">
        <w:rPr>
          <w:rFonts w:cs="Times New Roman"/>
          <w:smallCaps/>
          <w:lang w:val="fr-CA"/>
        </w:rPr>
        <w:t>traduction</w:t>
      </w:r>
      <w:r w:rsidRPr="000D5E81">
        <w:rPr>
          <w:rFonts w:cs="Times New Roman"/>
          <w:lang w:val="fr-CA"/>
        </w:rPr>
        <w:t>] « tout type de privilège légal » englobe le secret professionnel de l</w:t>
      </w:r>
      <w:r>
        <w:rPr>
          <w:rFonts w:cs="Times New Roman"/>
          <w:lang w:val="fr-CA"/>
        </w:rPr>
        <w:t>’</w:t>
      </w:r>
      <w:r w:rsidRPr="000D5E81">
        <w:rPr>
          <w:rFonts w:cs="Times New Roman"/>
          <w:lang w:val="fr-CA"/>
        </w:rPr>
        <w:t>avocat.</w:t>
      </w:r>
    </w:p>
    <w:p w:rsidR="0091315D" w:rsidRPr="000D5E81" w:rsidRDefault="0091315D" w:rsidP="00B3618F">
      <w:pPr>
        <w:pStyle w:val="ParaNoNdepar-AltN"/>
        <w:widowControl w:val="0"/>
        <w:rPr>
          <w:rFonts w:cs="Times New Roman"/>
          <w:lang w:val="fr-CA"/>
        </w:rPr>
      </w:pPr>
      <w:r w:rsidRPr="000D5E81">
        <w:rPr>
          <w:rFonts w:cs="Times New Roman"/>
          <w:lang w:val="fr-CA"/>
        </w:rPr>
        <w:t>L</w:t>
      </w:r>
      <w:r>
        <w:rPr>
          <w:rFonts w:cs="Times New Roman"/>
          <w:lang w:val="fr-CA"/>
        </w:rPr>
        <w:t>’</w:t>
      </w:r>
      <w:r w:rsidRPr="000D5E81">
        <w:rPr>
          <w:rFonts w:cs="Times New Roman"/>
          <w:lang w:val="fr-CA"/>
        </w:rPr>
        <w:t>alinéa 27(1)</w:t>
      </w:r>
      <w:r w:rsidR="00AD5FCD">
        <w:rPr>
          <w:rFonts w:cs="Times New Roman"/>
          <w:lang w:val="fr-CA"/>
        </w:rPr>
        <w:t>(</w:t>
      </w:r>
      <w:r w:rsidRPr="000D5E81">
        <w:rPr>
          <w:rFonts w:cs="Times New Roman"/>
          <w:lang w:val="fr-CA"/>
        </w:rPr>
        <w:t>a) figure dans la section de la loi intitulée [</w:t>
      </w:r>
      <w:r w:rsidRPr="000D5E81">
        <w:rPr>
          <w:rFonts w:cs="Times New Roman"/>
          <w:smallCaps/>
          <w:lang w:val="fr-CA"/>
        </w:rPr>
        <w:t>traduction</w:t>
      </w:r>
      <w:r w:rsidRPr="000D5E81">
        <w:rPr>
          <w:rFonts w:cs="Times New Roman"/>
          <w:lang w:val="fr-CA"/>
        </w:rPr>
        <w:t>] « Exceptions à la communication » et a pour intertitre « Renseignements protégés ». Le paragraphe 27(1) énumère un certain nombre de motifs pour lesquels un organisme public peut refuser la communication. Il n</w:t>
      </w:r>
      <w:r>
        <w:rPr>
          <w:rFonts w:cs="Times New Roman"/>
          <w:lang w:val="fr-CA"/>
        </w:rPr>
        <w:t>’</w:t>
      </w:r>
      <w:r w:rsidRPr="000D5E81">
        <w:rPr>
          <w:rFonts w:cs="Times New Roman"/>
          <w:lang w:val="fr-CA"/>
        </w:rPr>
        <w:t>empêche cependant pas l</w:t>
      </w:r>
      <w:r>
        <w:rPr>
          <w:rFonts w:cs="Times New Roman"/>
          <w:lang w:val="fr-CA"/>
        </w:rPr>
        <w:t>e</w:t>
      </w:r>
      <w:r w:rsidRPr="000D5E81">
        <w:rPr>
          <w:rFonts w:cs="Times New Roman"/>
          <w:lang w:val="fr-CA"/>
        </w:rPr>
        <w:t xml:space="preserve"> </w:t>
      </w:r>
      <w:r>
        <w:rPr>
          <w:rFonts w:cs="Times New Roman"/>
          <w:lang w:val="fr-CA"/>
        </w:rPr>
        <w:t>c</w:t>
      </w:r>
      <w:r w:rsidRPr="000D5E81">
        <w:rPr>
          <w:rFonts w:cs="Times New Roman"/>
          <w:lang w:val="fr-CA"/>
        </w:rPr>
        <w:t>ommissaire d</w:t>
      </w:r>
      <w:r>
        <w:rPr>
          <w:rFonts w:cs="Times New Roman"/>
          <w:lang w:val="fr-CA"/>
        </w:rPr>
        <w:t>’</w:t>
      </w:r>
      <w:r w:rsidRPr="000D5E81">
        <w:rPr>
          <w:rFonts w:cs="Times New Roman"/>
          <w:lang w:val="fr-CA"/>
        </w:rPr>
        <w:t>examiner la prétention d</w:t>
      </w:r>
      <w:r>
        <w:rPr>
          <w:rFonts w:cs="Times New Roman"/>
          <w:lang w:val="fr-CA"/>
        </w:rPr>
        <w:t>’</w:t>
      </w:r>
      <w:r w:rsidRPr="000D5E81">
        <w:rPr>
          <w:rFonts w:cs="Times New Roman"/>
          <w:lang w:val="fr-CA"/>
        </w:rPr>
        <w:t>un organisme public voulant que l</w:t>
      </w:r>
      <w:r>
        <w:rPr>
          <w:rFonts w:cs="Times New Roman"/>
          <w:lang w:val="fr-CA"/>
        </w:rPr>
        <w:t>’</w:t>
      </w:r>
      <w:r w:rsidRPr="000D5E81">
        <w:rPr>
          <w:rFonts w:cs="Times New Roman"/>
          <w:lang w:val="fr-CA"/>
        </w:rPr>
        <w:t xml:space="preserve">un de ces motifs </w:t>
      </w:r>
      <w:r w:rsidRPr="000D5E81">
        <w:rPr>
          <w:rFonts w:cs="Times New Roman"/>
          <w:lang w:val="fr-CA"/>
        </w:rPr>
        <w:lastRenderedPageBreak/>
        <w:t>d</w:t>
      </w:r>
      <w:r>
        <w:rPr>
          <w:rFonts w:cs="Times New Roman"/>
          <w:lang w:val="fr-CA"/>
        </w:rPr>
        <w:t>’</w:t>
      </w:r>
      <w:r w:rsidRPr="000D5E81">
        <w:rPr>
          <w:rFonts w:cs="Times New Roman"/>
          <w:lang w:val="fr-CA"/>
        </w:rPr>
        <w:t>exception à la communication s</w:t>
      </w:r>
      <w:r>
        <w:rPr>
          <w:rFonts w:cs="Times New Roman"/>
          <w:lang w:val="fr-CA"/>
        </w:rPr>
        <w:t>’</w:t>
      </w:r>
      <w:r w:rsidRPr="000D5E81">
        <w:rPr>
          <w:rFonts w:cs="Times New Roman"/>
          <w:lang w:val="fr-CA"/>
        </w:rPr>
        <w:t>applique à bon droit. Le paragraphe 27(1) fournit plutôt aux organismes publics des balises explicites quant aux motifs pour lesquels ils peuvent s</w:t>
      </w:r>
      <w:r>
        <w:rPr>
          <w:rFonts w:cs="Times New Roman"/>
          <w:lang w:val="fr-CA"/>
        </w:rPr>
        <w:t>’</w:t>
      </w:r>
      <w:r w:rsidRPr="000D5E81">
        <w:rPr>
          <w:rFonts w:cs="Times New Roman"/>
          <w:lang w:val="fr-CA"/>
        </w:rPr>
        <w:t>opposer à la communication.</w:t>
      </w:r>
    </w:p>
    <w:p w:rsidR="0091315D" w:rsidRPr="000D5E81" w:rsidRDefault="0091315D" w:rsidP="00B3618F">
      <w:pPr>
        <w:pStyle w:val="ParaNoNdepar-AltN"/>
        <w:widowControl w:val="0"/>
        <w:rPr>
          <w:rFonts w:cs="Times New Roman"/>
          <w:lang w:val="fr-CA"/>
        </w:rPr>
      </w:pPr>
      <w:r w:rsidRPr="000D5E81">
        <w:rPr>
          <w:rFonts w:cs="Times New Roman"/>
          <w:lang w:val="fr-CA"/>
        </w:rPr>
        <w:t>L</w:t>
      </w:r>
      <w:r>
        <w:rPr>
          <w:rFonts w:cs="Times New Roman"/>
          <w:lang w:val="fr-CA"/>
        </w:rPr>
        <w:t>’</w:t>
      </w:r>
      <w:r w:rsidRPr="000D5E81">
        <w:rPr>
          <w:rFonts w:cs="Times New Roman"/>
          <w:lang w:val="fr-CA"/>
        </w:rPr>
        <w:t>article 56 figure pour sa part dans la section [</w:t>
      </w:r>
      <w:r w:rsidRPr="000D5E81">
        <w:rPr>
          <w:rFonts w:cs="Times New Roman"/>
          <w:smallCaps/>
          <w:lang w:val="fr-CA"/>
        </w:rPr>
        <w:t>traduction</w:t>
      </w:r>
      <w:r w:rsidRPr="000D5E81">
        <w:rPr>
          <w:rFonts w:cs="Times New Roman"/>
          <w:lang w:val="fr-CA"/>
        </w:rPr>
        <w:t>] « Fonctions et pouvoirs du commissaire à l</w:t>
      </w:r>
      <w:r>
        <w:rPr>
          <w:rFonts w:cs="Times New Roman"/>
          <w:lang w:val="fr-CA"/>
        </w:rPr>
        <w:t>’</w:t>
      </w:r>
      <w:r w:rsidRPr="000D5E81">
        <w:rPr>
          <w:rFonts w:cs="Times New Roman"/>
          <w:lang w:val="fr-CA"/>
        </w:rPr>
        <w:t>information et à la protection de la vie privée » et a pour intertitre « Pouvoirs du commissaire en matière d</w:t>
      </w:r>
      <w:r>
        <w:rPr>
          <w:rFonts w:cs="Times New Roman"/>
          <w:lang w:val="fr-CA"/>
        </w:rPr>
        <w:t>’</w:t>
      </w:r>
      <w:r w:rsidRPr="000D5E81">
        <w:rPr>
          <w:rFonts w:cs="Times New Roman"/>
          <w:lang w:val="fr-CA"/>
        </w:rPr>
        <w:t>enquête ». Il précise ce que le commissaire peut faire et ce qu</w:t>
      </w:r>
      <w:r>
        <w:rPr>
          <w:rFonts w:cs="Times New Roman"/>
          <w:lang w:val="fr-CA"/>
        </w:rPr>
        <w:t>’</w:t>
      </w:r>
      <w:r w:rsidRPr="000D5E81">
        <w:rPr>
          <w:rFonts w:cs="Times New Roman"/>
          <w:lang w:val="fr-CA"/>
        </w:rPr>
        <w:t>il ne peut pas faire dans le cadre d</w:t>
      </w:r>
      <w:r>
        <w:rPr>
          <w:rFonts w:cs="Times New Roman"/>
          <w:lang w:val="fr-CA"/>
        </w:rPr>
        <w:t>’</w:t>
      </w:r>
      <w:r w:rsidRPr="000D5E81">
        <w:rPr>
          <w:rFonts w:cs="Times New Roman"/>
          <w:lang w:val="fr-CA"/>
        </w:rPr>
        <w:t xml:space="preserve">une enquête. Aucun des éléments de cette disposition ou du </w:t>
      </w:r>
      <w:r>
        <w:rPr>
          <w:rFonts w:cs="Times New Roman"/>
          <w:lang w:val="fr-CA"/>
        </w:rPr>
        <w:t>par. </w:t>
      </w:r>
      <w:r w:rsidRPr="000D5E81">
        <w:rPr>
          <w:rFonts w:cs="Times New Roman"/>
          <w:lang w:val="fr-CA"/>
        </w:rPr>
        <w:t>27(1) ne permet de conclure qu</w:t>
      </w:r>
      <w:r>
        <w:rPr>
          <w:rFonts w:cs="Times New Roman"/>
          <w:lang w:val="fr-CA"/>
        </w:rPr>
        <w:t>’</w:t>
      </w:r>
      <w:r w:rsidRPr="000D5E81">
        <w:rPr>
          <w:rFonts w:cs="Times New Roman"/>
          <w:lang w:val="fr-CA"/>
        </w:rPr>
        <w:t>il ne peut ordonner la production de documents qui seraient protégés par le secret professionnel de l</w:t>
      </w:r>
      <w:r>
        <w:rPr>
          <w:rFonts w:cs="Times New Roman"/>
          <w:lang w:val="fr-CA"/>
        </w:rPr>
        <w:t>’</w:t>
      </w:r>
      <w:r w:rsidRPr="000D5E81">
        <w:rPr>
          <w:rFonts w:cs="Times New Roman"/>
          <w:lang w:val="fr-CA"/>
        </w:rPr>
        <w:t>avocat lorsqu</w:t>
      </w:r>
      <w:r>
        <w:rPr>
          <w:rFonts w:cs="Times New Roman"/>
          <w:lang w:val="fr-CA"/>
        </w:rPr>
        <w:t>’</w:t>
      </w:r>
      <w:r w:rsidRPr="000D5E81">
        <w:rPr>
          <w:rFonts w:cs="Times New Roman"/>
          <w:lang w:val="fr-CA"/>
        </w:rPr>
        <w:t>il s</w:t>
      </w:r>
      <w:r>
        <w:rPr>
          <w:rFonts w:cs="Times New Roman"/>
          <w:lang w:val="fr-CA"/>
        </w:rPr>
        <w:t>’</w:t>
      </w:r>
      <w:r w:rsidRPr="000D5E81">
        <w:rPr>
          <w:rFonts w:cs="Times New Roman"/>
          <w:lang w:val="fr-CA"/>
        </w:rPr>
        <w:t>agit de résoudre les questions de droit et de fait qui se posent dans le cadre d</w:t>
      </w:r>
      <w:r>
        <w:rPr>
          <w:rFonts w:cs="Times New Roman"/>
          <w:lang w:val="fr-CA"/>
        </w:rPr>
        <w:t>’</w:t>
      </w:r>
      <w:r w:rsidRPr="000D5E81">
        <w:rPr>
          <w:rFonts w:cs="Times New Roman"/>
          <w:lang w:val="fr-CA"/>
        </w:rPr>
        <w:t>une enquête.</w:t>
      </w:r>
    </w:p>
    <w:p w:rsidR="0091315D" w:rsidRPr="000D5E81" w:rsidRDefault="0091315D" w:rsidP="00B3618F">
      <w:pPr>
        <w:pStyle w:val="ParaNoNdepar-AltN"/>
        <w:widowControl w:val="0"/>
        <w:rPr>
          <w:rFonts w:cs="Times New Roman"/>
          <w:lang w:val="fr-CA"/>
        </w:rPr>
      </w:pPr>
      <w:r w:rsidRPr="000D5E81">
        <w:rPr>
          <w:rFonts w:cs="Times New Roman"/>
          <w:lang w:val="fr-CA"/>
        </w:rPr>
        <w:t>On ne doit donc pas conclure que le secret professionnel de l</w:t>
      </w:r>
      <w:r>
        <w:rPr>
          <w:rFonts w:cs="Times New Roman"/>
          <w:lang w:val="fr-CA"/>
        </w:rPr>
        <w:t>’</w:t>
      </w:r>
      <w:r w:rsidRPr="000D5E81">
        <w:rPr>
          <w:rFonts w:cs="Times New Roman"/>
          <w:lang w:val="fr-CA"/>
        </w:rPr>
        <w:t>avocat constitue un type de privilège légal (comme l</w:t>
      </w:r>
      <w:r>
        <w:rPr>
          <w:rFonts w:cs="Times New Roman"/>
          <w:lang w:val="fr-CA"/>
        </w:rPr>
        <w:t>’</w:t>
      </w:r>
      <w:r w:rsidRPr="000D5E81">
        <w:rPr>
          <w:rFonts w:cs="Times New Roman"/>
          <w:lang w:val="fr-CA"/>
        </w:rPr>
        <w:t>indique clairement</w:t>
      </w:r>
      <w:r w:rsidRPr="000D5E81">
        <w:rPr>
          <w:rFonts w:eastAsia="Times New Roman" w:cs="Times New Roman"/>
          <w:szCs w:val="24"/>
          <w:lang w:val="fr-CA" w:eastAsia="en-CA"/>
        </w:rPr>
        <w:t xml:space="preserve"> </w:t>
      </w:r>
      <w:r w:rsidRPr="000D5E81">
        <w:rPr>
          <w:rFonts w:cs="Times New Roman"/>
          <w:lang w:val="fr-CA"/>
        </w:rPr>
        <w:t xml:space="preserve">le </w:t>
      </w:r>
      <w:r>
        <w:rPr>
          <w:rFonts w:cs="Times New Roman"/>
          <w:lang w:val="fr-CA"/>
        </w:rPr>
        <w:t>par. </w:t>
      </w:r>
      <w:r w:rsidRPr="000D5E81">
        <w:rPr>
          <w:rFonts w:cs="Times New Roman"/>
          <w:lang w:val="fr-CA"/>
        </w:rPr>
        <w:t>27), mais pas un [</w:t>
      </w:r>
      <w:r w:rsidRPr="000D5E81">
        <w:rPr>
          <w:rFonts w:cs="Times New Roman"/>
          <w:smallCaps/>
          <w:lang w:val="fr-CA"/>
        </w:rPr>
        <w:t>traduction</w:t>
      </w:r>
      <w:r w:rsidRPr="000D5E81">
        <w:rPr>
          <w:rFonts w:cs="Times New Roman"/>
          <w:lang w:val="fr-CA"/>
        </w:rPr>
        <w:t xml:space="preserve">] « privilège que reconnaît le droit de la preuve » (le libellé figurant au </w:t>
      </w:r>
      <w:r>
        <w:rPr>
          <w:rFonts w:cs="Times New Roman"/>
          <w:lang w:val="fr-CA"/>
        </w:rPr>
        <w:t>par. </w:t>
      </w:r>
      <w:r w:rsidRPr="000D5E81">
        <w:rPr>
          <w:rFonts w:cs="Times New Roman"/>
          <w:lang w:val="fr-CA"/>
        </w:rPr>
        <w:t>56(3)). Toutes les sources confirment que le secret professionnel de l</w:t>
      </w:r>
      <w:r>
        <w:rPr>
          <w:rFonts w:cs="Times New Roman"/>
          <w:lang w:val="fr-CA"/>
        </w:rPr>
        <w:t>’</w:t>
      </w:r>
      <w:r w:rsidRPr="000D5E81">
        <w:rPr>
          <w:rFonts w:cs="Times New Roman"/>
          <w:lang w:val="fr-CA"/>
        </w:rPr>
        <w:t xml:space="preserve">avocat est un « privilège que reconnaît le droit de la preuve » et que tous les privilèges de ce genre constituent des « privilège[s] léga[ux] ». </w:t>
      </w:r>
    </w:p>
    <w:p w:rsidR="0091315D" w:rsidRPr="000D5E81" w:rsidRDefault="0091315D" w:rsidP="00B3618F">
      <w:pPr>
        <w:pStyle w:val="ParaNoNdepar-AltN"/>
        <w:widowControl w:val="0"/>
        <w:rPr>
          <w:rFonts w:cs="Times New Roman"/>
          <w:lang w:val="fr-CA"/>
        </w:rPr>
      </w:pPr>
      <w:r w:rsidRPr="000D5E81">
        <w:rPr>
          <w:rFonts w:cs="Times New Roman"/>
          <w:lang w:val="fr-CA"/>
        </w:rPr>
        <w:t>En résumé, suivant leur sens ordinaire et grammatical, les mots [</w:t>
      </w:r>
      <w:r w:rsidRPr="000D5E81">
        <w:rPr>
          <w:rFonts w:cs="Times New Roman"/>
          <w:smallCaps/>
          <w:lang w:val="fr-CA"/>
        </w:rPr>
        <w:t>traduction</w:t>
      </w:r>
      <w:r w:rsidRPr="000D5E81">
        <w:rPr>
          <w:rFonts w:cs="Times New Roman"/>
          <w:lang w:val="fr-CA"/>
        </w:rPr>
        <w:t>] « tout privilège que reconnaît le droit de la preuve » englobent le secret professionnel de l</w:t>
      </w:r>
      <w:r>
        <w:rPr>
          <w:rFonts w:cs="Times New Roman"/>
          <w:lang w:val="fr-CA"/>
        </w:rPr>
        <w:t>’</w:t>
      </w:r>
      <w:r w:rsidRPr="000D5E81">
        <w:rPr>
          <w:rFonts w:cs="Times New Roman"/>
          <w:lang w:val="fr-CA"/>
        </w:rPr>
        <w:t>avocat. Conformément à l</w:t>
      </w:r>
      <w:r>
        <w:rPr>
          <w:rFonts w:cs="Times New Roman"/>
          <w:lang w:val="fr-CA"/>
        </w:rPr>
        <w:t>’</w:t>
      </w:r>
      <w:r w:rsidRPr="000D5E81">
        <w:rPr>
          <w:rFonts w:cs="Times New Roman"/>
          <w:lang w:val="fr-CA"/>
        </w:rPr>
        <w:t xml:space="preserve">arrêt </w:t>
      </w:r>
      <w:r w:rsidRPr="000D5E81">
        <w:rPr>
          <w:rFonts w:cs="Times New Roman"/>
          <w:i/>
          <w:lang w:val="fr-CA"/>
        </w:rPr>
        <w:t>Blood Tribe</w:t>
      </w:r>
      <w:r w:rsidRPr="000D5E81">
        <w:rPr>
          <w:rFonts w:cs="Times New Roman"/>
          <w:lang w:val="fr-CA"/>
        </w:rPr>
        <w:t>, le législateur emploie le libellé qui convient pour exprimer clairement son intention</w:t>
      </w:r>
      <w:r>
        <w:rPr>
          <w:rFonts w:cs="Times New Roman"/>
          <w:lang w:val="fr-CA"/>
        </w:rPr>
        <w:t> :</w:t>
      </w:r>
      <w:r w:rsidRPr="000D5E81">
        <w:rPr>
          <w:rFonts w:cs="Times New Roman"/>
          <w:lang w:val="fr-CA"/>
        </w:rPr>
        <w:t xml:space="preserve"> le secret professionnel </w:t>
      </w:r>
      <w:r w:rsidRPr="000D5E81">
        <w:rPr>
          <w:rFonts w:cs="Times New Roman"/>
          <w:lang w:val="fr-CA"/>
        </w:rPr>
        <w:lastRenderedPageBreak/>
        <w:t>de l</w:t>
      </w:r>
      <w:r>
        <w:rPr>
          <w:rFonts w:cs="Times New Roman"/>
          <w:lang w:val="fr-CA"/>
        </w:rPr>
        <w:t>’</w:t>
      </w:r>
      <w:r w:rsidRPr="000D5E81">
        <w:rPr>
          <w:rFonts w:cs="Times New Roman"/>
          <w:lang w:val="fr-CA"/>
        </w:rPr>
        <w:t>avocat est supprimé lorsqu</w:t>
      </w:r>
      <w:r>
        <w:rPr>
          <w:rFonts w:cs="Times New Roman"/>
          <w:lang w:val="fr-CA"/>
        </w:rPr>
        <w:t>’</w:t>
      </w:r>
      <w:r w:rsidRPr="000D5E81">
        <w:rPr>
          <w:rFonts w:cs="Times New Roman"/>
          <w:lang w:val="fr-CA"/>
        </w:rPr>
        <w:t>il s</w:t>
      </w:r>
      <w:r>
        <w:rPr>
          <w:rFonts w:cs="Times New Roman"/>
          <w:lang w:val="fr-CA"/>
        </w:rPr>
        <w:t>’</w:t>
      </w:r>
      <w:r w:rsidRPr="000D5E81">
        <w:rPr>
          <w:rFonts w:cs="Times New Roman"/>
          <w:lang w:val="fr-CA"/>
        </w:rPr>
        <w:t>agit de permettre au commissaire d</w:t>
      </w:r>
      <w:r>
        <w:rPr>
          <w:rFonts w:cs="Times New Roman"/>
          <w:lang w:val="fr-CA"/>
        </w:rPr>
        <w:t>’</w:t>
      </w:r>
      <w:r w:rsidRPr="000D5E81">
        <w:rPr>
          <w:rFonts w:cs="Times New Roman"/>
          <w:lang w:val="fr-CA"/>
        </w:rPr>
        <w:t>examiner les documents auxquels il s</w:t>
      </w:r>
      <w:r>
        <w:rPr>
          <w:rFonts w:cs="Times New Roman"/>
          <w:lang w:val="fr-CA"/>
        </w:rPr>
        <w:t>’</w:t>
      </w:r>
      <w:r w:rsidRPr="000D5E81">
        <w:rPr>
          <w:rFonts w:cs="Times New Roman"/>
          <w:lang w:val="fr-CA"/>
        </w:rPr>
        <w:t>appliquerait et de se prononcer sur son application.</w:t>
      </w:r>
    </w:p>
    <w:p w:rsidR="0091315D" w:rsidRPr="000D5E81" w:rsidRDefault="0091315D" w:rsidP="00B3618F">
      <w:pPr>
        <w:pStyle w:val="ParaNoNdepar-AltN"/>
        <w:widowControl w:val="0"/>
        <w:rPr>
          <w:rFonts w:cs="Times New Roman"/>
          <w:lang w:val="fr-CA"/>
        </w:rPr>
      </w:pPr>
      <w:r w:rsidRPr="000D5E81">
        <w:rPr>
          <w:rFonts w:cs="Times New Roman"/>
          <w:lang w:val="fr-CA"/>
        </w:rPr>
        <w:t>Cette conclusion est également étayée par un certain nombre d</w:t>
      </w:r>
      <w:r>
        <w:rPr>
          <w:rFonts w:cs="Times New Roman"/>
          <w:lang w:val="fr-CA"/>
        </w:rPr>
        <w:t>’</w:t>
      </w:r>
      <w:r w:rsidRPr="000D5E81">
        <w:rPr>
          <w:rFonts w:cs="Times New Roman"/>
          <w:lang w:val="fr-CA"/>
        </w:rPr>
        <w:t>éléments contextuels que j</w:t>
      </w:r>
      <w:r>
        <w:rPr>
          <w:rFonts w:cs="Times New Roman"/>
          <w:lang w:val="fr-CA"/>
        </w:rPr>
        <w:t>’</w:t>
      </w:r>
      <w:r w:rsidRPr="000D5E81">
        <w:rPr>
          <w:rFonts w:cs="Times New Roman"/>
          <w:lang w:val="fr-CA"/>
        </w:rPr>
        <w:t>examine ci</w:t>
      </w:r>
      <w:r>
        <w:rPr>
          <w:rFonts w:cs="Times New Roman"/>
          <w:lang w:val="fr-CA"/>
        </w:rPr>
        <w:noBreakHyphen/>
      </w:r>
      <w:r w:rsidRPr="000D5E81">
        <w:rPr>
          <w:rFonts w:cs="Times New Roman"/>
          <w:lang w:val="fr-CA"/>
        </w:rPr>
        <w:t>après.</w:t>
      </w:r>
    </w:p>
    <w:p w:rsidR="0091315D" w:rsidRPr="000D5E81" w:rsidRDefault="0091315D" w:rsidP="00B3618F">
      <w:pPr>
        <w:pStyle w:val="Title3LevelTitre3Niveau"/>
        <w:widowControl w:val="0"/>
        <w:numPr>
          <w:ilvl w:val="2"/>
          <w:numId w:val="9"/>
        </w:numPr>
        <w:tabs>
          <w:tab w:val="clear" w:pos="1152"/>
          <w:tab w:val="num" w:pos="1440"/>
        </w:tabs>
        <w:ind w:left="1440" w:hanging="720"/>
        <w:rPr>
          <w:rFonts w:cs="Times New Roman"/>
          <w:lang w:val="fr-CA"/>
        </w:rPr>
      </w:pPr>
      <w:r w:rsidRPr="000D5E81">
        <w:rPr>
          <w:rFonts w:cs="Times New Roman"/>
          <w:lang w:val="fr-CA"/>
        </w:rPr>
        <w:t>Éléments contextuels</w:t>
      </w:r>
    </w:p>
    <w:p w:rsidR="0091315D" w:rsidRPr="000D5E81" w:rsidRDefault="0091315D" w:rsidP="00B3618F">
      <w:pPr>
        <w:pStyle w:val="Title4LevelTitre4Niveau"/>
        <w:widowControl w:val="0"/>
        <w:numPr>
          <w:ilvl w:val="3"/>
          <w:numId w:val="9"/>
        </w:numPr>
        <w:tabs>
          <w:tab w:val="clear" w:pos="1152"/>
          <w:tab w:val="num" w:pos="1440"/>
        </w:tabs>
        <w:ind w:left="1440" w:hanging="720"/>
        <w:rPr>
          <w:rFonts w:cs="Times New Roman"/>
          <w:lang w:val="fr-CA"/>
        </w:rPr>
      </w:pPr>
      <w:r w:rsidRPr="000D5E81">
        <w:rPr>
          <w:rFonts w:cs="Times New Roman"/>
          <w:lang w:val="fr-CA"/>
        </w:rPr>
        <w:t>Le contexte législatif sous le régime de la FOIPP</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Comme nous le verrons, le régime issu de la </w:t>
      </w:r>
      <w:r w:rsidRPr="000D5E81">
        <w:rPr>
          <w:rFonts w:cs="Times New Roman"/>
          <w:i/>
          <w:lang w:val="fr-CA"/>
        </w:rPr>
        <w:t>FOIPP</w:t>
      </w:r>
      <w:r w:rsidRPr="000D5E81">
        <w:rPr>
          <w:rFonts w:cs="Times New Roman"/>
          <w:lang w:val="fr-CA"/>
        </w:rPr>
        <w:t xml:space="preserve"> établit une procédure détaillée et autonome de communication à une personne des renseignements qu</w:t>
      </w:r>
      <w:r>
        <w:rPr>
          <w:rFonts w:cs="Times New Roman"/>
          <w:lang w:val="fr-CA"/>
        </w:rPr>
        <w:t>’</w:t>
      </w:r>
      <w:r w:rsidRPr="000D5E81">
        <w:rPr>
          <w:rFonts w:cs="Times New Roman"/>
          <w:lang w:val="fr-CA"/>
        </w:rPr>
        <w:t>elle demande. Ce régime législatif investit le commissaire de pouvoirs d</w:t>
      </w:r>
      <w:r>
        <w:rPr>
          <w:rFonts w:cs="Times New Roman"/>
          <w:lang w:val="fr-CA"/>
        </w:rPr>
        <w:t>’</w:t>
      </w:r>
      <w:r w:rsidRPr="000D5E81">
        <w:rPr>
          <w:rFonts w:cs="Times New Roman"/>
          <w:lang w:val="fr-CA"/>
        </w:rPr>
        <w:t>examen étendus, vigoureux et simplifiés pour décider si un organisme public est tenu de communiquer un document. Sans le pouvoir de se prononcer sur l</w:t>
      </w:r>
      <w:r>
        <w:rPr>
          <w:rFonts w:cs="Times New Roman"/>
          <w:lang w:val="fr-CA"/>
        </w:rPr>
        <w:t>’</w:t>
      </w:r>
      <w:r w:rsidRPr="000D5E81">
        <w:rPr>
          <w:rFonts w:cs="Times New Roman"/>
          <w:lang w:val="fr-CA"/>
        </w:rPr>
        <w:t>application du secret professionnel de l</w:t>
      </w:r>
      <w:r>
        <w:rPr>
          <w:rFonts w:cs="Times New Roman"/>
          <w:lang w:val="fr-CA"/>
        </w:rPr>
        <w:t>’</w:t>
      </w:r>
      <w:r w:rsidRPr="000D5E81">
        <w:rPr>
          <w:rFonts w:cs="Times New Roman"/>
          <w:lang w:val="fr-CA"/>
        </w:rPr>
        <w:t>avocat, le commissaire ne serait pas en mesure de s</w:t>
      </w:r>
      <w:r>
        <w:rPr>
          <w:rFonts w:cs="Times New Roman"/>
          <w:lang w:val="fr-CA"/>
        </w:rPr>
        <w:t>’</w:t>
      </w:r>
      <w:r w:rsidRPr="000D5E81">
        <w:rPr>
          <w:rFonts w:cs="Times New Roman"/>
          <w:lang w:val="fr-CA"/>
        </w:rPr>
        <w:t>acquitter de ce mandat lég</w:t>
      </w:r>
      <w:r>
        <w:rPr>
          <w:rFonts w:cs="Times New Roman"/>
          <w:lang w:val="fr-CA"/>
        </w:rPr>
        <w:t>al. </w:t>
      </w:r>
      <w:r w:rsidRPr="000D5E81">
        <w:rPr>
          <w:rFonts w:cs="Times New Roman"/>
          <w:lang w:val="fr-CA"/>
        </w:rPr>
        <w:t>Fait important, ses décisions sont susceptibles de contrôle judiciaire.</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La </w:t>
      </w:r>
      <w:r w:rsidRPr="000D5E81">
        <w:rPr>
          <w:rFonts w:cs="Times New Roman"/>
          <w:i/>
          <w:lang w:val="fr-CA"/>
        </w:rPr>
        <w:t>FOIPP</w:t>
      </w:r>
      <w:r w:rsidRPr="000D5E81">
        <w:rPr>
          <w:rFonts w:cs="Times New Roman"/>
          <w:lang w:val="fr-CA"/>
        </w:rPr>
        <w:t xml:space="preserve"> a pour objet l</w:t>
      </w:r>
      <w:r>
        <w:rPr>
          <w:rFonts w:cs="Times New Roman"/>
          <w:lang w:val="fr-CA"/>
        </w:rPr>
        <w:t>’</w:t>
      </w:r>
      <w:r w:rsidRPr="000D5E81">
        <w:rPr>
          <w:rFonts w:cs="Times New Roman"/>
          <w:lang w:val="fr-CA"/>
        </w:rPr>
        <w:t>octroi d</w:t>
      </w:r>
      <w:r>
        <w:rPr>
          <w:rFonts w:cs="Times New Roman"/>
          <w:lang w:val="fr-CA"/>
        </w:rPr>
        <w:t>’</w:t>
      </w:r>
      <w:r w:rsidRPr="000D5E81">
        <w:rPr>
          <w:rFonts w:cs="Times New Roman"/>
          <w:lang w:val="fr-CA"/>
        </w:rPr>
        <w:t>un droit général d</w:t>
      </w:r>
      <w:r>
        <w:rPr>
          <w:rFonts w:cs="Times New Roman"/>
          <w:lang w:val="fr-CA"/>
        </w:rPr>
        <w:t>’</w:t>
      </w:r>
      <w:r w:rsidRPr="000D5E81">
        <w:rPr>
          <w:rFonts w:cs="Times New Roman"/>
          <w:lang w:val="fr-CA"/>
        </w:rPr>
        <w:t>accès à l</w:t>
      </w:r>
      <w:r>
        <w:rPr>
          <w:rFonts w:cs="Times New Roman"/>
          <w:lang w:val="fr-CA"/>
        </w:rPr>
        <w:t>’</w:t>
      </w:r>
      <w:r w:rsidRPr="000D5E81">
        <w:rPr>
          <w:rFonts w:cs="Times New Roman"/>
          <w:lang w:val="fr-CA"/>
        </w:rPr>
        <w:t>information et elle fait du commissaire, sous réserve du contrôle judiciaire, l</w:t>
      </w:r>
      <w:r>
        <w:rPr>
          <w:rFonts w:cs="Times New Roman"/>
          <w:lang w:val="fr-CA"/>
        </w:rPr>
        <w:t>’</w:t>
      </w:r>
      <w:r w:rsidRPr="000D5E81">
        <w:rPr>
          <w:rFonts w:cs="Times New Roman"/>
          <w:lang w:val="fr-CA"/>
        </w:rPr>
        <w:t>autorité qui décide si l</w:t>
      </w:r>
      <w:r>
        <w:rPr>
          <w:rFonts w:cs="Times New Roman"/>
          <w:lang w:val="fr-CA"/>
        </w:rPr>
        <w:t>’</w:t>
      </w:r>
      <w:r w:rsidRPr="000D5E81">
        <w:rPr>
          <w:rFonts w:cs="Times New Roman"/>
          <w:lang w:val="fr-CA"/>
        </w:rPr>
        <w:t>accès est accordé ou non.</w:t>
      </w:r>
    </w:p>
    <w:p w:rsidR="0091315D" w:rsidRPr="000D5E81" w:rsidRDefault="0091315D" w:rsidP="00B3618F">
      <w:pPr>
        <w:pStyle w:val="ParaNoNdepar-AltN"/>
        <w:widowControl w:val="0"/>
        <w:rPr>
          <w:rFonts w:cs="Times New Roman"/>
          <w:lang w:val="fr-CA"/>
        </w:rPr>
      </w:pPr>
      <w:r w:rsidRPr="000D5E81">
        <w:rPr>
          <w:rFonts w:cs="Times New Roman"/>
          <w:lang w:val="fr-CA"/>
        </w:rPr>
        <w:t>Ce droit général d</w:t>
      </w:r>
      <w:r>
        <w:rPr>
          <w:rFonts w:cs="Times New Roman"/>
          <w:lang w:val="fr-CA"/>
        </w:rPr>
        <w:t>’</w:t>
      </w:r>
      <w:r w:rsidRPr="000D5E81">
        <w:rPr>
          <w:rFonts w:cs="Times New Roman"/>
          <w:lang w:val="fr-CA"/>
        </w:rPr>
        <w:t>accès à l</w:t>
      </w:r>
      <w:r>
        <w:rPr>
          <w:rFonts w:cs="Times New Roman"/>
          <w:lang w:val="fr-CA"/>
        </w:rPr>
        <w:t>’</w:t>
      </w:r>
      <w:r w:rsidRPr="000D5E81">
        <w:rPr>
          <w:rFonts w:cs="Times New Roman"/>
          <w:lang w:val="fr-CA"/>
        </w:rPr>
        <w:t>information comporte certaines exceptions précises. Par exemple, l</w:t>
      </w:r>
      <w:r>
        <w:rPr>
          <w:rFonts w:cs="Times New Roman"/>
          <w:lang w:val="fr-CA"/>
        </w:rPr>
        <w:t>’al. </w:t>
      </w:r>
      <w:r w:rsidRPr="000D5E81">
        <w:rPr>
          <w:rFonts w:cs="Times New Roman"/>
          <w:lang w:val="fr-CA"/>
        </w:rPr>
        <w:t>27(1)</w:t>
      </w:r>
      <w:r w:rsidR="00AD5FCD">
        <w:rPr>
          <w:rFonts w:cs="Times New Roman"/>
          <w:lang w:val="fr-CA"/>
        </w:rPr>
        <w:t>(</w:t>
      </w:r>
      <w:r w:rsidRPr="000D5E81">
        <w:rPr>
          <w:rFonts w:cs="Times New Roman"/>
          <w:lang w:val="fr-CA"/>
        </w:rPr>
        <w:t>a), invoqué en l</w:t>
      </w:r>
      <w:r>
        <w:rPr>
          <w:rFonts w:cs="Times New Roman"/>
          <w:lang w:val="fr-CA"/>
        </w:rPr>
        <w:t>’</w:t>
      </w:r>
      <w:r w:rsidRPr="000D5E81">
        <w:rPr>
          <w:rFonts w:cs="Times New Roman"/>
          <w:lang w:val="fr-CA"/>
        </w:rPr>
        <w:t xml:space="preserve">espèce, prévoit que le responsable </w:t>
      </w:r>
      <w:r w:rsidRPr="000D5E81">
        <w:rPr>
          <w:rFonts w:cs="Times New Roman"/>
          <w:lang w:val="fr-CA"/>
        </w:rPr>
        <w:lastRenderedPageBreak/>
        <w:t>d</w:t>
      </w:r>
      <w:r>
        <w:rPr>
          <w:rFonts w:cs="Times New Roman"/>
          <w:lang w:val="fr-CA"/>
        </w:rPr>
        <w:t>’</w:t>
      </w:r>
      <w:r w:rsidRPr="000D5E81">
        <w:rPr>
          <w:rFonts w:cs="Times New Roman"/>
          <w:lang w:val="fr-CA"/>
        </w:rPr>
        <w:t>un organisme public peut refuser de communiquer à l</w:t>
      </w:r>
      <w:r>
        <w:rPr>
          <w:rFonts w:cs="Times New Roman"/>
          <w:lang w:val="fr-CA"/>
        </w:rPr>
        <w:t>’</w:t>
      </w:r>
      <w:r w:rsidRPr="000D5E81">
        <w:rPr>
          <w:rFonts w:cs="Times New Roman"/>
          <w:lang w:val="fr-CA"/>
        </w:rPr>
        <w:t>auteur d</w:t>
      </w:r>
      <w:r>
        <w:rPr>
          <w:rFonts w:cs="Times New Roman"/>
          <w:lang w:val="fr-CA"/>
        </w:rPr>
        <w:t>’</w:t>
      </w:r>
      <w:r w:rsidRPr="000D5E81">
        <w:rPr>
          <w:rFonts w:cs="Times New Roman"/>
          <w:lang w:val="fr-CA"/>
        </w:rPr>
        <w:t>une demande [</w:t>
      </w:r>
      <w:r w:rsidRPr="000D5E81">
        <w:rPr>
          <w:rFonts w:cs="Times New Roman"/>
          <w:smallCaps/>
          <w:lang w:val="fr-CA"/>
        </w:rPr>
        <w:t>traduction</w:t>
      </w:r>
      <w:r w:rsidRPr="000D5E81">
        <w:rPr>
          <w:rFonts w:cs="Times New Roman"/>
          <w:lang w:val="fr-CA"/>
        </w:rPr>
        <w:t>] « les renseignements qui sont protégés par tout type de privilège légal, notamment le secret professionnel de l</w:t>
      </w:r>
      <w:r>
        <w:rPr>
          <w:rFonts w:cs="Times New Roman"/>
          <w:lang w:val="fr-CA"/>
        </w:rPr>
        <w:t>’</w:t>
      </w:r>
      <w:r w:rsidRPr="000D5E81">
        <w:rPr>
          <w:rFonts w:cs="Times New Roman"/>
          <w:lang w:val="fr-CA"/>
        </w:rPr>
        <w:t>avocat et le privilège parlementaire ».</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La </w:t>
      </w:r>
      <w:r w:rsidRPr="000D5E81">
        <w:rPr>
          <w:rFonts w:cs="Times New Roman"/>
          <w:i/>
          <w:lang w:val="fr-CA"/>
        </w:rPr>
        <w:t>FOIPP</w:t>
      </w:r>
      <w:r w:rsidRPr="000D5E81">
        <w:rPr>
          <w:rFonts w:cs="Times New Roman"/>
          <w:lang w:val="fr-CA"/>
        </w:rPr>
        <w:t xml:space="preserve"> délimite également les pouvoirs du commissaire en matière d</w:t>
      </w:r>
      <w:r>
        <w:rPr>
          <w:rFonts w:cs="Times New Roman"/>
          <w:lang w:val="fr-CA"/>
        </w:rPr>
        <w:t>’</w:t>
      </w:r>
      <w:r w:rsidRPr="000D5E81">
        <w:rPr>
          <w:rFonts w:cs="Times New Roman"/>
          <w:lang w:val="fr-CA"/>
        </w:rPr>
        <w:t>enquête. Le paragraphe 56(1) l</w:t>
      </w:r>
      <w:r>
        <w:rPr>
          <w:rFonts w:cs="Times New Roman"/>
          <w:lang w:val="fr-CA"/>
        </w:rPr>
        <w:t>’</w:t>
      </w:r>
      <w:r w:rsidRPr="000D5E81">
        <w:rPr>
          <w:rFonts w:cs="Times New Roman"/>
          <w:lang w:val="fr-CA"/>
        </w:rPr>
        <w:t xml:space="preserve">investit </w:t>
      </w:r>
      <w:r w:rsidR="00AD5FCD" w:rsidRPr="000D5E81">
        <w:rPr>
          <w:rFonts w:cs="Times New Roman"/>
          <w:lang w:val="fr-CA"/>
        </w:rPr>
        <w:t>[</w:t>
      </w:r>
      <w:r w:rsidR="00AD5FCD" w:rsidRPr="000D5E81">
        <w:rPr>
          <w:rFonts w:cs="Times New Roman"/>
          <w:smallCaps/>
          <w:lang w:val="fr-CA"/>
        </w:rPr>
        <w:t>traduction</w:t>
      </w:r>
      <w:r w:rsidR="00AD5FCD" w:rsidRPr="000D5E81">
        <w:rPr>
          <w:rFonts w:cs="Times New Roman"/>
          <w:lang w:val="fr-CA"/>
        </w:rPr>
        <w:t xml:space="preserve">] </w:t>
      </w:r>
      <w:r w:rsidRPr="000D5E81">
        <w:rPr>
          <w:rFonts w:cs="Times New Roman"/>
          <w:lang w:val="fr-CA"/>
        </w:rPr>
        <w:t>« des mêmes pouvoirs, privilèges et immunités qu</w:t>
      </w:r>
      <w:r>
        <w:rPr>
          <w:rFonts w:cs="Times New Roman"/>
          <w:lang w:val="fr-CA"/>
        </w:rPr>
        <w:t>’</w:t>
      </w:r>
      <w:r w:rsidRPr="000D5E81">
        <w:rPr>
          <w:rFonts w:cs="Times New Roman"/>
          <w:lang w:val="fr-CA"/>
        </w:rPr>
        <w:t xml:space="preserve">un commissaire nommé en vertu de la </w:t>
      </w:r>
      <w:r w:rsidRPr="000D5E81">
        <w:rPr>
          <w:rFonts w:cs="Times New Roman"/>
          <w:i/>
          <w:lang w:val="fr-CA"/>
        </w:rPr>
        <w:t>Public Inquiries Act</w:t>
      </w:r>
      <w:r w:rsidRPr="000D5E81">
        <w:rPr>
          <w:rFonts w:cs="Times New Roman"/>
          <w:lang w:val="fr-CA"/>
        </w:rPr>
        <w:t> », R.S.A. 2000, c. P</w:t>
      </w:r>
      <w:r>
        <w:rPr>
          <w:rFonts w:cs="Times New Roman"/>
          <w:lang w:val="fr-CA"/>
        </w:rPr>
        <w:noBreakHyphen/>
      </w:r>
      <w:r w:rsidRPr="000D5E81">
        <w:rPr>
          <w:rFonts w:cs="Times New Roman"/>
          <w:lang w:val="fr-CA"/>
        </w:rPr>
        <w:t xml:space="preserve">39, ainsi que des pouvoirs énoncés au </w:t>
      </w:r>
      <w:r>
        <w:rPr>
          <w:rFonts w:cs="Times New Roman"/>
          <w:lang w:val="fr-CA"/>
        </w:rPr>
        <w:t>par. </w:t>
      </w:r>
      <w:r w:rsidRPr="000D5E81">
        <w:rPr>
          <w:rFonts w:cs="Times New Roman"/>
          <w:lang w:val="fr-CA"/>
        </w:rPr>
        <w:t>56(2). Suivant celui</w:t>
      </w:r>
      <w:r>
        <w:rPr>
          <w:rFonts w:cs="Times New Roman"/>
          <w:lang w:val="fr-CA"/>
        </w:rPr>
        <w:noBreakHyphen/>
      </w:r>
      <w:r w:rsidRPr="000D5E81">
        <w:rPr>
          <w:rFonts w:cs="Times New Roman"/>
          <w:lang w:val="fr-CA"/>
        </w:rPr>
        <w:t xml:space="preserve">ci, le commissaire peut « exiger la production de tout document [. . .] que le document soit visé ou non par les dispositions de la présente loi ». Rappelons que le </w:t>
      </w:r>
      <w:r>
        <w:rPr>
          <w:rFonts w:cs="Times New Roman"/>
          <w:lang w:val="fr-CA"/>
        </w:rPr>
        <w:t>par. </w:t>
      </w:r>
      <w:r w:rsidRPr="000D5E81">
        <w:rPr>
          <w:rFonts w:cs="Times New Roman"/>
          <w:lang w:val="fr-CA"/>
        </w:rPr>
        <w:t>56(3) prévoit en outre que l</w:t>
      </w:r>
      <w:r>
        <w:rPr>
          <w:rFonts w:cs="Times New Roman"/>
          <w:lang w:val="fr-CA"/>
        </w:rPr>
        <w:t>’</w:t>
      </w:r>
      <w:r w:rsidRPr="000D5E81">
        <w:rPr>
          <w:rFonts w:cs="Times New Roman"/>
          <w:lang w:val="fr-CA"/>
        </w:rPr>
        <w:t>organisme public « produit </w:t>
      </w:r>
      <w:r>
        <w:rPr>
          <w:rFonts w:cs="Times New Roman"/>
          <w:lang w:val="fr-CA"/>
        </w:rPr>
        <w:t>[. </w:t>
      </w:r>
      <w:r w:rsidRPr="000D5E81">
        <w:rPr>
          <w:rFonts w:cs="Times New Roman"/>
          <w:lang w:val="fr-CA"/>
        </w:rPr>
        <w:t>.</w:t>
      </w:r>
      <w:r>
        <w:rPr>
          <w:rFonts w:cs="Times New Roman"/>
          <w:lang w:val="fr-CA"/>
        </w:rPr>
        <w:t> </w:t>
      </w:r>
      <w:r w:rsidRPr="000D5E81">
        <w:rPr>
          <w:rFonts w:cs="Times New Roman"/>
          <w:lang w:val="fr-CA"/>
        </w:rPr>
        <w:t xml:space="preserve">.] les documents exigés par le commissaire » en vertu des </w:t>
      </w:r>
      <w:r>
        <w:rPr>
          <w:rFonts w:cs="Times New Roman"/>
          <w:lang w:val="fr-CA"/>
        </w:rPr>
        <w:t>par. </w:t>
      </w:r>
      <w:r w:rsidRPr="000D5E81">
        <w:rPr>
          <w:rFonts w:cs="Times New Roman"/>
          <w:lang w:val="fr-CA"/>
        </w:rPr>
        <w:t>56(1) ou (2) « [m]algré toute autre loi ou tout privilège que reconnaît le droit de la preuve ».</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La </w:t>
      </w:r>
      <w:r w:rsidRPr="000D5E81">
        <w:rPr>
          <w:rFonts w:cs="Times New Roman"/>
          <w:i/>
          <w:lang w:val="fr-CA"/>
        </w:rPr>
        <w:t>FOIPP</w:t>
      </w:r>
      <w:r w:rsidRPr="000D5E81">
        <w:rPr>
          <w:rFonts w:cs="Times New Roman"/>
          <w:lang w:val="fr-CA"/>
        </w:rPr>
        <w:t xml:space="preserve"> protège les renseignements qui font l</w:t>
      </w:r>
      <w:r>
        <w:rPr>
          <w:rFonts w:cs="Times New Roman"/>
          <w:lang w:val="fr-CA"/>
        </w:rPr>
        <w:t>’</w:t>
      </w:r>
      <w:r w:rsidRPr="000D5E81">
        <w:rPr>
          <w:rFonts w:cs="Times New Roman"/>
          <w:lang w:val="fr-CA"/>
        </w:rPr>
        <w:t>objet d</w:t>
      </w:r>
      <w:r>
        <w:rPr>
          <w:rFonts w:cs="Times New Roman"/>
          <w:lang w:val="fr-CA"/>
        </w:rPr>
        <w:t>’</w:t>
      </w:r>
      <w:r w:rsidRPr="000D5E81">
        <w:rPr>
          <w:rFonts w:cs="Times New Roman"/>
          <w:lang w:val="fr-CA"/>
        </w:rPr>
        <w:t>un privilège. Suivant l</w:t>
      </w:r>
      <w:r>
        <w:rPr>
          <w:rFonts w:cs="Times New Roman"/>
          <w:lang w:val="fr-CA"/>
        </w:rPr>
        <w:t>’art. </w:t>
      </w:r>
      <w:r w:rsidRPr="000D5E81">
        <w:rPr>
          <w:rFonts w:cs="Times New Roman"/>
          <w:lang w:val="fr-CA"/>
        </w:rPr>
        <w:t>58, [</w:t>
      </w:r>
      <w:r w:rsidRPr="000D5E81">
        <w:rPr>
          <w:rFonts w:cs="Times New Roman"/>
          <w:smallCaps/>
          <w:lang w:val="fr-CA"/>
        </w:rPr>
        <w:t>traduction</w:t>
      </w:r>
      <w:r w:rsidRPr="000D5E81">
        <w:rPr>
          <w:rFonts w:cs="Times New Roman"/>
          <w:lang w:val="fr-CA"/>
        </w:rPr>
        <w:t>] « [l]es paroles que prononce une personne, les renseignements qu</w:t>
      </w:r>
      <w:r>
        <w:rPr>
          <w:rFonts w:cs="Times New Roman"/>
          <w:lang w:val="fr-CA"/>
        </w:rPr>
        <w:t>’</w:t>
      </w:r>
      <w:r w:rsidRPr="000D5E81">
        <w:rPr>
          <w:rFonts w:cs="Times New Roman"/>
          <w:lang w:val="fr-CA"/>
        </w:rPr>
        <w:t>elle fournit et les documents qu</w:t>
      </w:r>
      <w:r>
        <w:rPr>
          <w:rFonts w:cs="Times New Roman"/>
          <w:lang w:val="fr-CA"/>
        </w:rPr>
        <w:t>’</w:t>
      </w:r>
      <w:r w:rsidRPr="000D5E81">
        <w:rPr>
          <w:rFonts w:cs="Times New Roman"/>
          <w:lang w:val="fr-CA"/>
        </w:rPr>
        <w:t>elle produit dans le cadre d</w:t>
      </w:r>
      <w:r>
        <w:rPr>
          <w:rFonts w:cs="Times New Roman"/>
          <w:lang w:val="fr-CA"/>
        </w:rPr>
        <w:t>’</w:t>
      </w:r>
      <w:r w:rsidRPr="000D5E81">
        <w:rPr>
          <w:rFonts w:cs="Times New Roman"/>
          <w:lang w:val="fr-CA"/>
        </w:rPr>
        <w:t xml:space="preserve">une enquête menée par [le commissaire] bénéficient du privilège que confère une instance judiciaire ». De plus, le </w:t>
      </w:r>
      <w:r>
        <w:rPr>
          <w:rFonts w:cs="Times New Roman"/>
          <w:lang w:val="fr-CA"/>
        </w:rPr>
        <w:t>par. </w:t>
      </w:r>
      <w:r w:rsidRPr="000D5E81">
        <w:rPr>
          <w:rFonts w:cs="Times New Roman"/>
          <w:lang w:val="fr-CA"/>
        </w:rPr>
        <w:t>59(1) prévoit que le commissaire et ses délégués « s</w:t>
      </w:r>
      <w:r>
        <w:rPr>
          <w:rFonts w:cs="Times New Roman"/>
          <w:lang w:val="fr-CA"/>
        </w:rPr>
        <w:t>’</w:t>
      </w:r>
      <w:r w:rsidRPr="000D5E81">
        <w:rPr>
          <w:rFonts w:cs="Times New Roman"/>
          <w:lang w:val="fr-CA"/>
        </w:rPr>
        <w:t>abstiennent de communiquer les renseignements obtenus dans l</w:t>
      </w:r>
      <w:r>
        <w:rPr>
          <w:rFonts w:cs="Times New Roman"/>
          <w:lang w:val="fr-CA"/>
        </w:rPr>
        <w:t>’</w:t>
      </w:r>
      <w:r w:rsidRPr="000D5E81">
        <w:rPr>
          <w:rFonts w:cs="Times New Roman"/>
          <w:lang w:val="fr-CA"/>
        </w:rPr>
        <w:t>exercice des attributions que leur confère la présente loi », sauf certains cas précis.</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La </w:t>
      </w:r>
      <w:r w:rsidRPr="000D5E81">
        <w:rPr>
          <w:rFonts w:cs="Times New Roman"/>
          <w:i/>
          <w:lang w:val="fr-CA"/>
        </w:rPr>
        <w:t>FOIPP</w:t>
      </w:r>
      <w:r w:rsidRPr="000D5E81">
        <w:rPr>
          <w:rFonts w:cs="Times New Roman"/>
          <w:lang w:val="fr-CA"/>
        </w:rPr>
        <w:t xml:space="preserve"> fait également état de la procédure applicable en matière de révision et de plaintes. Le paragraphe 65(1) prévoit que la personne qui présente une </w:t>
      </w:r>
      <w:r w:rsidRPr="000D5E81">
        <w:rPr>
          <w:rFonts w:cs="Times New Roman"/>
          <w:lang w:val="fr-CA"/>
        </w:rPr>
        <w:lastRenderedPageBreak/>
        <w:t>demande de communication à un organisme public peut demander au commissaire de réviser [</w:t>
      </w:r>
      <w:r w:rsidRPr="000D5E81">
        <w:rPr>
          <w:rFonts w:cs="Times New Roman"/>
          <w:smallCaps/>
          <w:lang w:val="fr-CA"/>
        </w:rPr>
        <w:t>traduction</w:t>
      </w:r>
      <w:r w:rsidRPr="000D5E81">
        <w:rPr>
          <w:rFonts w:cs="Times New Roman"/>
          <w:lang w:val="fr-CA"/>
        </w:rPr>
        <w:t xml:space="preserve">] « toute décision, action ou omission du responsable liée à la demande ». Suivant le </w:t>
      </w:r>
      <w:r>
        <w:rPr>
          <w:rFonts w:cs="Times New Roman"/>
          <w:lang w:val="fr-CA"/>
        </w:rPr>
        <w:t>par. </w:t>
      </w:r>
      <w:r w:rsidRPr="000D5E81">
        <w:rPr>
          <w:rFonts w:cs="Times New Roman"/>
          <w:lang w:val="fr-CA"/>
        </w:rPr>
        <w:t>69(1), sauf refus de sa part fondé sur l</w:t>
      </w:r>
      <w:r>
        <w:rPr>
          <w:rFonts w:cs="Times New Roman"/>
          <w:lang w:val="fr-CA"/>
        </w:rPr>
        <w:t>’art. </w:t>
      </w:r>
      <w:r w:rsidRPr="000D5E81">
        <w:rPr>
          <w:rFonts w:cs="Times New Roman"/>
          <w:lang w:val="fr-CA"/>
        </w:rPr>
        <w:t xml:space="preserve">70, « le commissaire doit mener une enquête et peut trancher toute question de fait ou de droit alors soulevée ». Aux termes du </w:t>
      </w:r>
      <w:r>
        <w:rPr>
          <w:rFonts w:cs="Times New Roman"/>
          <w:lang w:val="fr-CA"/>
        </w:rPr>
        <w:t>par. </w:t>
      </w:r>
      <w:r w:rsidRPr="000D5E81">
        <w:rPr>
          <w:rFonts w:cs="Times New Roman"/>
          <w:lang w:val="fr-CA"/>
        </w:rPr>
        <w:t>72(1), au moment de conclure son enquête, le commissaire « statue sur les questions soulevées au moyen d</w:t>
      </w:r>
      <w:r>
        <w:rPr>
          <w:rFonts w:cs="Times New Roman"/>
          <w:lang w:val="fr-CA"/>
        </w:rPr>
        <w:t>’</w:t>
      </w:r>
      <w:r w:rsidRPr="000D5E81">
        <w:rPr>
          <w:rFonts w:cs="Times New Roman"/>
          <w:lang w:val="fr-CA"/>
        </w:rPr>
        <w:t>une ordonnance rendue en application du présent article ». L</w:t>
      </w:r>
      <w:r>
        <w:rPr>
          <w:rFonts w:cs="Times New Roman"/>
          <w:lang w:val="fr-CA"/>
        </w:rPr>
        <w:t>’</w:t>
      </w:r>
      <w:r w:rsidRPr="000D5E81">
        <w:rPr>
          <w:rFonts w:cs="Times New Roman"/>
          <w:lang w:val="fr-CA"/>
        </w:rPr>
        <w:t>alinéa 72(2)</w:t>
      </w:r>
      <w:r w:rsidR="00AD5FCD">
        <w:rPr>
          <w:rFonts w:cs="Times New Roman"/>
          <w:lang w:val="fr-CA"/>
        </w:rPr>
        <w:t>(</w:t>
      </w:r>
      <w:r w:rsidRPr="000D5E81">
        <w:rPr>
          <w:rFonts w:cs="Times New Roman"/>
          <w:lang w:val="fr-CA"/>
        </w:rPr>
        <w:t>a) dispose qu</w:t>
      </w:r>
      <w:r>
        <w:rPr>
          <w:rFonts w:cs="Times New Roman"/>
          <w:lang w:val="fr-CA"/>
        </w:rPr>
        <w:t>’</w:t>
      </w:r>
      <w:r w:rsidRPr="000D5E81">
        <w:rPr>
          <w:rFonts w:cs="Times New Roman"/>
          <w:lang w:val="fr-CA"/>
        </w:rPr>
        <w:t>il peut « obliger le responsable à communiquer tout ou partie du document à l</w:t>
      </w:r>
      <w:r>
        <w:rPr>
          <w:rFonts w:cs="Times New Roman"/>
          <w:lang w:val="fr-CA"/>
        </w:rPr>
        <w:t>’</w:t>
      </w:r>
      <w:r w:rsidRPr="000D5E81">
        <w:rPr>
          <w:rFonts w:cs="Times New Roman"/>
          <w:lang w:val="fr-CA"/>
        </w:rPr>
        <w:t>auteur de la demande [s</w:t>
      </w:r>
      <w:r>
        <w:rPr>
          <w:rFonts w:cs="Times New Roman"/>
          <w:lang w:val="fr-CA"/>
        </w:rPr>
        <w:t>’</w:t>
      </w:r>
      <w:r w:rsidRPr="000D5E81">
        <w:rPr>
          <w:rFonts w:cs="Times New Roman"/>
          <w:lang w:val="fr-CA"/>
        </w:rPr>
        <w:t>il] estime que le responsable n</w:t>
      </w:r>
      <w:r>
        <w:rPr>
          <w:rFonts w:cs="Times New Roman"/>
          <w:lang w:val="fr-CA"/>
        </w:rPr>
        <w:t>’</w:t>
      </w:r>
      <w:r w:rsidRPr="000D5E81">
        <w:rPr>
          <w:rFonts w:cs="Times New Roman"/>
          <w:lang w:val="fr-CA"/>
        </w:rPr>
        <w:t>est ni autorisé à refuser la communication, ni tenu de la refuser ». Enfin, l</w:t>
      </w:r>
      <w:r>
        <w:rPr>
          <w:rFonts w:cs="Times New Roman"/>
          <w:lang w:val="fr-CA"/>
        </w:rPr>
        <w:t>’art. </w:t>
      </w:r>
      <w:r w:rsidRPr="000D5E81">
        <w:rPr>
          <w:rFonts w:cs="Times New Roman"/>
          <w:lang w:val="fr-CA"/>
        </w:rPr>
        <w:t>73 rend la décision du commissaire définitive, bien qu</w:t>
      </w:r>
      <w:r>
        <w:rPr>
          <w:rFonts w:cs="Times New Roman"/>
          <w:lang w:val="fr-CA"/>
        </w:rPr>
        <w:t>’</w:t>
      </w:r>
      <w:r w:rsidRPr="000D5E81">
        <w:rPr>
          <w:rFonts w:cs="Times New Roman"/>
          <w:lang w:val="fr-CA"/>
        </w:rPr>
        <w:t>elle demeure susceptible de contrôle judiciaire.</w:t>
      </w:r>
    </w:p>
    <w:p w:rsidR="0091315D" w:rsidRPr="000D5E81" w:rsidRDefault="0091315D" w:rsidP="00B3618F">
      <w:pPr>
        <w:pStyle w:val="ParaNoNdepar-AltN"/>
        <w:widowControl w:val="0"/>
        <w:rPr>
          <w:rFonts w:cs="Times New Roman"/>
          <w:lang w:val="fr-CA"/>
        </w:rPr>
      </w:pPr>
      <w:r w:rsidRPr="000D5E81">
        <w:rPr>
          <w:rFonts w:cs="Times New Roman"/>
          <w:lang w:val="fr-CA"/>
        </w:rPr>
        <w:t>L</w:t>
      </w:r>
      <w:r>
        <w:rPr>
          <w:rFonts w:cs="Times New Roman"/>
          <w:lang w:val="fr-CA"/>
        </w:rPr>
        <w:t>’</w:t>
      </w:r>
      <w:r w:rsidRPr="000D5E81">
        <w:rPr>
          <w:rFonts w:cs="Times New Roman"/>
          <w:lang w:val="fr-CA"/>
        </w:rPr>
        <w:t>intimé fait valoir un argument d</w:t>
      </w:r>
      <w:r>
        <w:rPr>
          <w:rFonts w:cs="Times New Roman"/>
          <w:lang w:val="fr-CA"/>
        </w:rPr>
        <w:t>’</w:t>
      </w:r>
      <w:r w:rsidRPr="000D5E81">
        <w:rPr>
          <w:rFonts w:cs="Times New Roman"/>
          <w:lang w:val="fr-CA"/>
        </w:rPr>
        <w:t xml:space="preserve">ordre contextuel fondé sur le </w:t>
      </w:r>
      <w:r>
        <w:rPr>
          <w:rFonts w:cs="Times New Roman"/>
          <w:lang w:val="fr-CA"/>
        </w:rPr>
        <w:t>par. </w:t>
      </w:r>
      <w:r w:rsidRPr="000D5E81">
        <w:rPr>
          <w:rFonts w:cs="Times New Roman"/>
          <w:lang w:val="fr-CA"/>
        </w:rPr>
        <w:t xml:space="preserve">59(4) de la </w:t>
      </w:r>
      <w:r w:rsidRPr="000D5E81">
        <w:rPr>
          <w:rFonts w:cs="Times New Roman"/>
          <w:i/>
          <w:lang w:val="fr-CA"/>
        </w:rPr>
        <w:t>FOIPP</w:t>
      </w:r>
      <w:r w:rsidRPr="000D5E81">
        <w:rPr>
          <w:rFonts w:cs="Times New Roman"/>
          <w:lang w:val="fr-CA"/>
        </w:rPr>
        <w:t>, dont le libellé était le suivant au moment considéré</w:t>
      </w:r>
      <w:r>
        <w:rPr>
          <w:rFonts w:cs="Times New Roman"/>
          <w:lang w:val="fr-CA"/>
        </w:rPr>
        <w:t> :</w:t>
      </w:r>
    </w:p>
    <w:p w:rsidR="0091315D" w:rsidRPr="000D5E81" w:rsidRDefault="0091315D" w:rsidP="00B3618F">
      <w:pPr>
        <w:pStyle w:val="Citation-AltC"/>
        <w:widowControl w:val="0"/>
        <w:tabs>
          <w:tab w:val="left" w:pos="1170"/>
        </w:tabs>
        <w:ind w:left="1710" w:hanging="1530"/>
        <w:contextualSpacing w:val="0"/>
        <w:rPr>
          <w:lang w:val="fr-CA"/>
        </w:rPr>
      </w:pPr>
      <w:r w:rsidRPr="000D5E81">
        <w:rPr>
          <w:lang w:val="fr-CA"/>
        </w:rPr>
        <w:tab/>
      </w:r>
      <w:r w:rsidRPr="000D5E81">
        <w:rPr>
          <w:lang w:val="fr-CA"/>
        </w:rPr>
        <w:tab/>
        <w:t>[</w:t>
      </w:r>
      <w:r w:rsidRPr="000D5E81">
        <w:rPr>
          <w:smallCaps/>
          <w:lang w:val="fr-CA"/>
        </w:rPr>
        <w:t>traduction</w:t>
      </w:r>
      <w:r w:rsidRPr="000D5E81">
        <w:rPr>
          <w:lang w:val="fr-CA"/>
        </w:rPr>
        <w:t xml:space="preserve">] </w:t>
      </w:r>
      <w:r w:rsidRPr="000D5E81">
        <w:rPr>
          <w:b/>
          <w:lang w:val="fr-CA"/>
        </w:rPr>
        <w:t>(4)</w:t>
      </w:r>
      <w:r w:rsidRPr="000D5E81">
        <w:rPr>
          <w:lang w:val="fr-CA"/>
        </w:rPr>
        <w:t> Le commissaire peut communiquer au ministre de la Justice et au procureur général des renseignements relatifs à une infraction à une loi de l</w:t>
      </w:r>
      <w:r>
        <w:rPr>
          <w:lang w:val="fr-CA"/>
        </w:rPr>
        <w:t>’</w:t>
      </w:r>
      <w:r w:rsidRPr="000D5E81">
        <w:rPr>
          <w:lang w:val="fr-CA"/>
        </w:rPr>
        <w:t>Alberta ou du Canada s</w:t>
      </w:r>
      <w:r>
        <w:rPr>
          <w:lang w:val="fr-CA"/>
        </w:rPr>
        <w:t>’</w:t>
      </w:r>
      <w:r w:rsidRPr="000D5E81">
        <w:rPr>
          <w:lang w:val="fr-CA"/>
        </w:rPr>
        <w:t>il estime qu</w:t>
      </w:r>
      <w:r>
        <w:rPr>
          <w:lang w:val="fr-CA"/>
        </w:rPr>
        <w:t>’</w:t>
      </w:r>
      <w:r w:rsidRPr="000D5E81">
        <w:rPr>
          <w:lang w:val="fr-CA"/>
        </w:rPr>
        <w:t>il existe une preuve de sa perpétration.</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Il soutient que si le </w:t>
      </w:r>
      <w:r>
        <w:rPr>
          <w:rFonts w:cs="Times New Roman"/>
          <w:lang w:val="fr-CA"/>
        </w:rPr>
        <w:t>par. </w:t>
      </w:r>
      <w:r w:rsidRPr="000D5E81">
        <w:rPr>
          <w:rFonts w:cs="Times New Roman"/>
          <w:lang w:val="fr-CA"/>
        </w:rPr>
        <w:t>56(3) habilite le commissaire à ordonner la production de documents à l</w:t>
      </w:r>
      <w:r>
        <w:rPr>
          <w:rFonts w:cs="Times New Roman"/>
          <w:lang w:val="fr-CA"/>
        </w:rPr>
        <w:t>’</w:t>
      </w:r>
      <w:r w:rsidRPr="000D5E81">
        <w:rPr>
          <w:rFonts w:cs="Times New Roman"/>
          <w:lang w:val="fr-CA"/>
        </w:rPr>
        <w:t>égard desquels le secret professionnel de l</w:t>
      </w:r>
      <w:r>
        <w:rPr>
          <w:rFonts w:cs="Times New Roman"/>
          <w:lang w:val="fr-CA"/>
        </w:rPr>
        <w:t>’</w:t>
      </w:r>
      <w:r w:rsidRPr="000D5E81">
        <w:rPr>
          <w:rFonts w:cs="Times New Roman"/>
          <w:lang w:val="fr-CA"/>
        </w:rPr>
        <w:t xml:space="preserve">avocat est invoqué, le </w:t>
      </w:r>
      <w:r>
        <w:rPr>
          <w:rFonts w:cs="Times New Roman"/>
          <w:lang w:val="fr-CA"/>
        </w:rPr>
        <w:t>par. </w:t>
      </w:r>
      <w:r w:rsidRPr="000D5E81">
        <w:rPr>
          <w:rFonts w:cs="Times New Roman"/>
          <w:lang w:val="fr-CA"/>
        </w:rPr>
        <w:t>59(4) lui permet dès lors de communiquer de tels renseignements protégés au ministre de la Justice et au procureur général lorsqu</w:t>
      </w:r>
      <w:r>
        <w:rPr>
          <w:rFonts w:cs="Times New Roman"/>
          <w:lang w:val="fr-CA"/>
        </w:rPr>
        <w:t>’</w:t>
      </w:r>
      <w:r w:rsidRPr="000D5E81">
        <w:rPr>
          <w:rFonts w:cs="Times New Roman"/>
          <w:lang w:val="fr-CA"/>
        </w:rPr>
        <w:t>il estime qu</w:t>
      </w:r>
      <w:r>
        <w:rPr>
          <w:rFonts w:cs="Times New Roman"/>
          <w:lang w:val="fr-CA"/>
        </w:rPr>
        <w:t>’</w:t>
      </w:r>
      <w:r w:rsidRPr="000D5E81">
        <w:rPr>
          <w:rFonts w:cs="Times New Roman"/>
          <w:lang w:val="fr-CA"/>
        </w:rPr>
        <w:t>ils renferment des éléments qui établissent la perpétration d</w:t>
      </w:r>
      <w:r>
        <w:rPr>
          <w:rFonts w:cs="Times New Roman"/>
          <w:lang w:val="fr-CA"/>
        </w:rPr>
        <w:t>’</w:t>
      </w:r>
      <w:r w:rsidRPr="000D5E81">
        <w:rPr>
          <w:rFonts w:cs="Times New Roman"/>
          <w:lang w:val="fr-CA"/>
        </w:rPr>
        <w:t>une infraction.</w:t>
      </w:r>
    </w:p>
    <w:p w:rsidR="0091315D" w:rsidRPr="000D5E81" w:rsidRDefault="0091315D" w:rsidP="00B3618F">
      <w:pPr>
        <w:pStyle w:val="ParaNoNdepar-AltN"/>
        <w:widowControl w:val="0"/>
        <w:rPr>
          <w:rFonts w:cs="Times New Roman"/>
          <w:lang w:val="fr-CA"/>
        </w:rPr>
      </w:pPr>
      <w:r w:rsidRPr="000D5E81">
        <w:rPr>
          <w:rFonts w:cs="Times New Roman"/>
          <w:lang w:val="fr-CA"/>
        </w:rPr>
        <w:lastRenderedPageBreak/>
        <w:t>Cet argument doit être rejeté, car il contredit, au lieu de l</w:t>
      </w:r>
      <w:r>
        <w:rPr>
          <w:rFonts w:cs="Times New Roman"/>
          <w:lang w:val="fr-CA"/>
        </w:rPr>
        <w:t>’</w:t>
      </w:r>
      <w:r w:rsidRPr="000D5E81">
        <w:rPr>
          <w:rFonts w:cs="Times New Roman"/>
          <w:lang w:val="fr-CA"/>
        </w:rPr>
        <w:t>étayer, la thèse de l</w:t>
      </w:r>
      <w:r>
        <w:rPr>
          <w:rFonts w:cs="Times New Roman"/>
          <w:lang w:val="fr-CA"/>
        </w:rPr>
        <w:t>’</w:t>
      </w:r>
      <w:r w:rsidRPr="000D5E81">
        <w:rPr>
          <w:rFonts w:cs="Times New Roman"/>
          <w:lang w:val="fr-CA"/>
        </w:rPr>
        <w:t>intimé concernant l</w:t>
      </w:r>
      <w:r>
        <w:rPr>
          <w:rFonts w:cs="Times New Roman"/>
          <w:lang w:val="fr-CA"/>
        </w:rPr>
        <w:t>’</w:t>
      </w:r>
      <w:r w:rsidRPr="000D5E81">
        <w:rPr>
          <w:rFonts w:cs="Times New Roman"/>
          <w:lang w:val="fr-CA"/>
        </w:rPr>
        <w:t xml:space="preserve">interprétation du </w:t>
      </w:r>
      <w:r>
        <w:rPr>
          <w:rFonts w:cs="Times New Roman"/>
          <w:lang w:val="fr-CA"/>
        </w:rPr>
        <w:t>par. </w:t>
      </w:r>
      <w:r w:rsidRPr="000D5E81">
        <w:rPr>
          <w:rFonts w:cs="Times New Roman"/>
          <w:lang w:val="fr-CA"/>
        </w:rPr>
        <w:t>56(3). L</w:t>
      </w:r>
      <w:r>
        <w:rPr>
          <w:rFonts w:cs="Times New Roman"/>
          <w:lang w:val="fr-CA"/>
        </w:rPr>
        <w:t>’</w:t>
      </w:r>
      <w:r w:rsidRPr="000D5E81">
        <w:rPr>
          <w:rFonts w:cs="Times New Roman"/>
          <w:lang w:val="fr-CA"/>
        </w:rPr>
        <w:t xml:space="preserve">intimé prétend en effet que le libellé du </w:t>
      </w:r>
      <w:r>
        <w:rPr>
          <w:rFonts w:cs="Times New Roman"/>
          <w:lang w:val="fr-CA"/>
        </w:rPr>
        <w:t>par. </w:t>
      </w:r>
      <w:r w:rsidRPr="000D5E81">
        <w:rPr>
          <w:rFonts w:cs="Times New Roman"/>
          <w:lang w:val="fr-CA"/>
        </w:rPr>
        <w:t>56(3) n</w:t>
      </w:r>
      <w:r>
        <w:rPr>
          <w:rFonts w:cs="Times New Roman"/>
          <w:lang w:val="fr-CA"/>
        </w:rPr>
        <w:t>’</w:t>
      </w:r>
      <w:r w:rsidRPr="000D5E81">
        <w:rPr>
          <w:rFonts w:cs="Times New Roman"/>
          <w:lang w:val="fr-CA"/>
        </w:rPr>
        <w:t>est pas suffisamment clair pour supprimer le privilège, car il ne renvoie qu</w:t>
      </w:r>
      <w:r>
        <w:rPr>
          <w:rFonts w:cs="Times New Roman"/>
          <w:lang w:val="fr-CA"/>
        </w:rPr>
        <w:t>’</w:t>
      </w:r>
      <w:r w:rsidRPr="000D5E81">
        <w:rPr>
          <w:rFonts w:cs="Times New Roman"/>
          <w:lang w:val="fr-CA"/>
        </w:rPr>
        <w:t xml:space="preserve">à ceux que reconnaît le droit de la preuve. Il ajoute par contre que le </w:t>
      </w:r>
      <w:r>
        <w:rPr>
          <w:rFonts w:cs="Times New Roman"/>
          <w:lang w:val="fr-CA"/>
        </w:rPr>
        <w:t>par. </w:t>
      </w:r>
      <w:r w:rsidRPr="000D5E81">
        <w:rPr>
          <w:rFonts w:cs="Times New Roman"/>
          <w:lang w:val="fr-CA"/>
        </w:rPr>
        <w:t>59(4), qui ne fait mention d</w:t>
      </w:r>
      <w:r>
        <w:rPr>
          <w:rFonts w:cs="Times New Roman"/>
          <w:lang w:val="fr-CA"/>
        </w:rPr>
        <w:t>’</w:t>
      </w:r>
      <w:r w:rsidRPr="000D5E81">
        <w:rPr>
          <w:rFonts w:cs="Times New Roman"/>
          <w:lang w:val="fr-CA"/>
        </w:rPr>
        <w:t>aucun privilège, permet au commissaire de communiquer des renseignements protégés qui établissent la perpétration d</w:t>
      </w:r>
      <w:r>
        <w:rPr>
          <w:rFonts w:cs="Times New Roman"/>
          <w:lang w:val="fr-CA"/>
        </w:rPr>
        <w:t>’</w:t>
      </w:r>
      <w:r w:rsidRPr="000D5E81">
        <w:rPr>
          <w:rFonts w:cs="Times New Roman"/>
          <w:lang w:val="fr-CA"/>
        </w:rPr>
        <w:t>une infraction. Son interprétation va à l</w:t>
      </w:r>
      <w:r>
        <w:rPr>
          <w:rFonts w:cs="Times New Roman"/>
          <w:lang w:val="fr-CA"/>
        </w:rPr>
        <w:t>’</w:t>
      </w:r>
      <w:r w:rsidRPr="000D5E81">
        <w:rPr>
          <w:rFonts w:cs="Times New Roman"/>
          <w:lang w:val="fr-CA"/>
        </w:rPr>
        <w:t>encontre du principe fondamental et incontesté voulant qu</w:t>
      </w:r>
      <w:r>
        <w:rPr>
          <w:rFonts w:cs="Times New Roman"/>
          <w:lang w:val="fr-CA"/>
        </w:rPr>
        <w:t>’</w:t>
      </w:r>
      <w:r w:rsidRPr="000D5E81">
        <w:rPr>
          <w:rFonts w:cs="Times New Roman"/>
          <w:lang w:val="fr-CA"/>
        </w:rPr>
        <w:t xml:space="preserve">un libellé clair soit nécessaire pour supprimer le privilège. Nul élément du libellé général du </w:t>
      </w:r>
      <w:r>
        <w:rPr>
          <w:rFonts w:cs="Times New Roman"/>
          <w:lang w:val="fr-CA"/>
        </w:rPr>
        <w:t>par. </w:t>
      </w:r>
      <w:r w:rsidRPr="000D5E81">
        <w:rPr>
          <w:rFonts w:cs="Times New Roman"/>
          <w:lang w:val="fr-CA"/>
        </w:rPr>
        <w:t>59(4) ou du contexte législatif dans lequel il s</w:t>
      </w:r>
      <w:r>
        <w:rPr>
          <w:rFonts w:cs="Times New Roman"/>
          <w:lang w:val="fr-CA"/>
        </w:rPr>
        <w:t>’</w:t>
      </w:r>
      <w:r w:rsidRPr="000D5E81">
        <w:rPr>
          <w:rFonts w:cs="Times New Roman"/>
          <w:lang w:val="fr-CA"/>
        </w:rPr>
        <w:t>inscrit n</w:t>
      </w:r>
      <w:r>
        <w:rPr>
          <w:rFonts w:cs="Times New Roman"/>
          <w:lang w:val="fr-CA"/>
        </w:rPr>
        <w:t>’</w:t>
      </w:r>
      <w:r w:rsidRPr="000D5E81">
        <w:rPr>
          <w:rFonts w:cs="Times New Roman"/>
          <w:lang w:val="fr-CA"/>
        </w:rPr>
        <w:t>étaye une interprétation permettant la suppression du secret professionnel de l</w:t>
      </w:r>
      <w:r>
        <w:rPr>
          <w:rFonts w:cs="Times New Roman"/>
          <w:lang w:val="fr-CA"/>
        </w:rPr>
        <w:t>’</w:t>
      </w:r>
      <w:r w:rsidRPr="000D5E81">
        <w:rPr>
          <w:rFonts w:cs="Times New Roman"/>
          <w:lang w:val="fr-CA"/>
        </w:rPr>
        <w:t>avocat par la communication de renseignements au ministre de la Justice ou au procureur génér</w:t>
      </w:r>
      <w:r>
        <w:rPr>
          <w:rFonts w:cs="Times New Roman"/>
          <w:lang w:val="fr-CA"/>
        </w:rPr>
        <w:t>al. </w:t>
      </w:r>
      <w:r w:rsidRPr="000D5E81">
        <w:rPr>
          <w:rFonts w:cs="Times New Roman"/>
          <w:lang w:val="fr-CA"/>
        </w:rPr>
        <w:t xml:space="preserve">Le paragraphe 59(4) ne contribue en rien à la détermination de la portée du </w:t>
      </w:r>
      <w:r>
        <w:rPr>
          <w:rFonts w:cs="Times New Roman"/>
          <w:lang w:val="fr-CA"/>
        </w:rPr>
        <w:t>par. </w:t>
      </w:r>
      <w:r w:rsidRPr="000D5E81">
        <w:rPr>
          <w:rFonts w:cs="Times New Roman"/>
          <w:lang w:val="fr-CA"/>
        </w:rPr>
        <w:t>56(3).</w:t>
      </w:r>
    </w:p>
    <w:p w:rsidR="0091315D" w:rsidRPr="000D5E81" w:rsidRDefault="0091315D" w:rsidP="00B3618F">
      <w:pPr>
        <w:pStyle w:val="ParaNoNdepar-AltN"/>
        <w:widowControl w:val="0"/>
        <w:rPr>
          <w:rFonts w:cs="Times New Roman"/>
          <w:lang w:val="fr-CA"/>
        </w:rPr>
      </w:pPr>
      <w:r w:rsidRPr="000D5E81">
        <w:rPr>
          <w:rFonts w:cs="Times New Roman"/>
          <w:lang w:val="fr-CA"/>
        </w:rPr>
        <w:t>Le régime législatif appuie donc sans équivoque la thèse selon laquelle le législateur a voulu conférer au commissaire les pouvoirs nécessaires pour décider si des documents doivent ou non être produits par un organisme public, notamment celui de statuer sur l</w:t>
      </w:r>
      <w:r>
        <w:rPr>
          <w:rFonts w:cs="Times New Roman"/>
          <w:lang w:val="fr-CA"/>
        </w:rPr>
        <w:t>’</w:t>
      </w:r>
      <w:r w:rsidRPr="000D5E81">
        <w:rPr>
          <w:rFonts w:cs="Times New Roman"/>
          <w:lang w:val="fr-CA"/>
        </w:rPr>
        <w:t>existence d</w:t>
      </w:r>
      <w:r>
        <w:rPr>
          <w:rFonts w:cs="Times New Roman"/>
          <w:lang w:val="fr-CA"/>
        </w:rPr>
        <w:t>’</w:t>
      </w:r>
      <w:r w:rsidRPr="000D5E81">
        <w:rPr>
          <w:rFonts w:cs="Times New Roman"/>
          <w:lang w:val="fr-CA"/>
        </w:rPr>
        <w:t>un privilège, sous réserve du contrôle judiciaire de l</w:t>
      </w:r>
      <w:r>
        <w:rPr>
          <w:rFonts w:cs="Times New Roman"/>
          <w:lang w:val="fr-CA"/>
        </w:rPr>
        <w:t>’</w:t>
      </w:r>
      <w:r w:rsidRPr="000D5E81">
        <w:rPr>
          <w:rFonts w:cs="Times New Roman"/>
          <w:lang w:val="fr-CA"/>
        </w:rPr>
        <w:t>exercice de ces pouvoirs.</w:t>
      </w:r>
    </w:p>
    <w:p w:rsidR="0091315D" w:rsidRPr="000D5E81" w:rsidRDefault="0091315D" w:rsidP="00B3618F">
      <w:pPr>
        <w:pStyle w:val="Title4LevelTitre4Niveau"/>
        <w:widowControl w:val="0"/>
        <w:numPr>
          <w:ilvl w:val="3"/>
          <w:numId w:val="9"/>
        </w:numPr>
        <w:rPr>
          <w:rFonts w:cs="Times New Roman"/>
          <w:lang w:val="fr-CA"/>
        </w:rPr>
      </w:pPr>
      <w:r w:rsidRPr="000D5E81">
        <w:rPr>
          <w:rFonts w:cs="Times New Roman"/>
          <w:lang w:val="fr-CA"/>
        </w:rPr>
        <w:t>Le régime législatif en cause dans l</w:t>
      </w:r>
      <w:r>
        <w:rPr>
          <w:rFonts w:cs="Times New Roman"/>
          <w:lang w:val="fr-CA"/>
        </w:rPr>
        <w:t>’</w:t>
      </w:r>
      <w:r w:rsidRPr="000D5E81">
        <w:rPr>
          <w:rFonts w:cs="Times New Roman"/>
          <w:lang w:val="fr-CA"/>
        </w:rPr>
        <w:t>arrêt Blood Tribe</w:t>
      </w:r>
    </w:p>
    <w:p w:rsidR="0091315D" w:rsidRPr="000D5E81" w:rsidRDefault="0091315D" w:rsidP="00B3618F">
      <w:pPr>
        <w:pStyle w:val="ParaNoNdepar-AltN"/>
        <w:widowControl w:val="0"/>
        <w:rPr>
          <w:rFonts w:cs="Times New Roman"/>
          <w:lang w:val="fr-CA"/>
        </w:rPr>
      </w:pPr>
      <w:r w:rsidRPr="000D5E81">
        <w:rPr>
          <w:rFonts w:cs="Times New Roman"/>
          <w:lang w:val="fr-CA"/>
        </w:rPr>
        <w:t>J</w:t>
      </w:r>
      <w:r>
        <w:rPr>
          <w:rFonts w:cs="Times New Roman"/>
          <w:lang w:val="fr-CA"/>
        </w:rPr>
        <w:t>’</w:t>
      </w:r>
      <w:r w:rsidRPr="000D5E81">
        <w:rPr>
          <w:rFonts w:cs="Times New Roman"/>
          <w:lang w:val="fr-CA"/>
        </w:rPr>
        <w:t>ai déjà mentionné brièvement en quoi, lorsqu</w:t>
      </w:r>
      <w:r>
        <w:rPr>
          <w:rFonts w:cs="Times New Roman"/>
          <w:lang w:val="fr-CA"/>
        </w:rPr>
        <w:t>’</w:t>
      </w:r>
      <w:r w:rsidRPr="000D5E81">
        <w:rPr>
          <w:rFonts w:cs="Times New Roman"/>
          <w:lang w:val="fr-CA"/>
        </w:rPr>
        <w:t>il s</w:t>
      </w:r>
      <w:r>
        <w:rPr>
          <w:rFonts w:cs="Times New Roman"/>
          <w:lang w:val="fr-CA"/>
        </w:rPr>
        <w:t>’</w:t>
      </w:r>
      <w:r w:rsidRPr="000D5E81">
        <w:rPr>
          <w:rFonts w:cs="Times New Roman"/>
          <w:lang w:val="fr-CA"/>
        </w:rPr>
        <w:t>agit de se prononcer sur l</w:t>
      </w:r>
      <w:r>
        <w:rPr>
          <w:rFonts w:cs="Times New Roman"/>
          <w:lang w:val="fr-CA"/>
        </w:rPr>
        <w:t>’</w:t>
      </w:r>
      <w:r w:rsidRPr="000D5E81">
        <w:rPr>
          <w:rFonts w:cs="Times New Roman"/>
          <w:lang w:val="fr-CA"/>
        </w:rPr>
        <w:t>application du secret professionnel de l</w:t>
      </w:r>
      <w:r>
        <w:rPr>
          <w:rFonts w:cs="Times New Roman"/>
          <w:lang w:val="fr-CA"/>
        </w:rPr>
        <w:t>’</w:t>
      </w:r>
      <w:r w:rsidRPr="000D5E81">
        <w:rPr>
          <w:rFonts w:cs="Times New Roman"/>
          <w:lang w:val="fr-CA"/>
        </w:rPr>
        <w:t xml:space="preserve">avocat, la </w:t>
      </w:r>
      <w:r w:rsidRPr="000D5E81">
        <w:rPr>
          <w:rFonts w:cs="Times New Roman"/>
          <w:i/>
          <w:lang w:val="fr-CA"/>
        </w:rPr>
        <w:t xml:space="preserve">FOIPP </w:t>
      </w:r>
      <w:r w:rsidRPr="000D5E81">
        <w:rPr>
          <w:rFonts w:cs="Times New Roman"/>
          <w:lang w:val="fr-CA"/>
        </w:rPr>
        <w:t>diffère sensiblement de la loi considérée dans</w:t>
      </w:r>
      <w:r w:rsidRPr="000D5E81">
        <w:rPr>
          <w:rFonts w:eastAsia="Times New Roman" w:cs="Times New Roman"/>
          <w:szCs w:val="24"/>
          <w:lang w:val="fr-CA" w:eastAsia="en-CA"/>
        </w:rPr>
        <w:t xml:space="preserve"> </w:t>
      </w:r>
      <w:r w:rsidRPr="000D5E81">
        <w:rPr>
          <w:rFonts w:cs="Times New Roman"/>
          <w:lang w:val="fr-CA"/>
        </w:rPr>
        <w:t>l</w:t>
      </w:r>
      <w:r>
        <w:rPr>
          <w:rFonts w:cs="Times New Roman"/>
          <w:lang w:val="fr-CA"/>
        </w:rPr>
        <w:t>’</w:t>
      </w:r>
      <w:r w:rsidRPr="000D5E81">
        <w:rPr>
          <w:rFonts w:cs="Times New Roman"/>
          <w:lang w:val="fr-CA"/>
        </w:rPr>
        <w:t xml:space="preserve">arrêt </w:t>
      </w:r>
      <w:r w:rsidRPr="000D5E81">
        <w:rPr>
          <w:rFonts w:cs="Times New Roman"/>
          <w:i/>
          <w:lang w:val="fr-CA"/>
        </w:rPr>
        <w:t>Blood Tribe</w:t>
      </w:r>
      <w:r w:rsidRPr="000D5E81">
        <w:rPr>
          <w:rFonts w:cs="Times New Roman"/>
          <w:lang w:val="fr-CA"/>
        </w:rPr>
        <w:t>. Il me paraît utile d</w:t>
      </w:r>
      <w:r>
        <w:rPr>
          <w:rFonts w:cs="Times New Roman"/>
          <w:lang w:val="fr-CA"/>
        </w:rPr>
        <w:t>’</w:t>
      </w:r>
      <w:r w:rsidRPr="000D5E81">
        <w:rPr>
          <w:rFonts w:cs="Times New Roman"/>
          <w:lang w:val="fr-CA"/>
        </w:rPr>
        <w:t>y revenir plus en détail.</w:t>
      </w:r>
    </w:p>
    <w:p w:rsidR="0091315D" w:rsidRPr="000D5E81" w:rsidRDefault="0091315D" w:rsidP="00B3618F">
      <w:pPr>
        <w:pStyle w:val="ParaNoNdepar-AltN"/>
        <w:widowControl w:val="0"/>
        <w:rPr>
          <w:rFonts w:cs="Times New Roman"/>
          <w:lang w:val="fr-CA"/>
        </w:rPr>
      </w:pPr>
      <w:r w:rsidRPr="000D5E81">
        <w:rPr>
          <w:rFonts w:cs="Times New Roman"/>
          <w:lang w:val="fr-CA"/>
        </w:rPr>
        <w:lastRenderedPageBreak/>
        <w:t xml:space="preserve">Dans cet arrêt, la Cour relève un certain nombre de difficultés propres au régime législatif établi par la </w:t>
      </w:r>
      <w:r w:rsidRPr="000D5E81">
        <w:rPr>
          <w:rFonts w:cs="Times New Roman"/>
          <w:i/>
          <w:lang w:val="fr-CA"/>
        </w:rPr>
        <w:t>LPRPDE</w:t>
      </w:r>
      <w:r w:rsidRPr="000D5E81">
        <w:rPr>
          <w:rFonts w:cs="Times New Roman"/>
          <w:lang w:val="fr-CA"/>
        </w:rPr>
        <w:t xml:space="preserve"> pour conclure que celle</w:t>
      </w:r>
      <w:r>
        <w:rPr>
          <w:rFonts w:cs="Times New Roman"/>
          <w:lang w:val="fr-CA"/>
        </w:rPr>
        <w:noBreakHyphen/>
      </w:r>
      <w:r w:rsidRPr="000D5E81">
        <w:rPr>
          <w:rFonts w:cs="Times New Roman"/>
          <w:lang w:val="fr-CA"/>
        </w:rPr>
        <w:t>ci ne supprime pas le secret professionnel de l</w:t>
      </w:r>
      <w:r>
        <w:rPr>
          <w:rFonts w:cs="Times New Roman"/>
          <w:lang w:val="fr-CA"/>
        </w:rPr>
        <w:t>’</w:t>
      </w:r>
      <w:r w:rsidRPr="000D5E81">
        <w:rPr>
          <w:rFonts w:cs="Times New Roman"/>
          <w:lang w:val="fr-CA"/>
        </w:rPr>
        <w:t>avocat, à savoir</w:t>
      </w:r>
      <w:r>
        <w:rPr>
          <w:rFonts w:cs="Times New Roman"/>
          <w:lang w:val="fr-CA"/>
        </w:rPr>
        <w:t> :</w:t>
      </w:r>
    </w:p>
    <w:p w:rsidR="0091315D" w:rsidRPr="000D5E81" w:rsidRDefault="0091315D" w:rsidP="00B3618F">
      <w:pPr>
        <w:pStyle w:val="ContinueParaSuitedupar-AltP"/>
        <w:widowControl w:val="0"/>
        <w:numPr>
          <w:ilvl w:val="0"/>
          <w:numId w:val="27"/>
        </w:numPr>
        <w:ind w:hanging="720"/>
        <w:rPr>
          <w:rFonts w:cs="Times New Roman"/>
          <w:lang w:val="fr-CA"/>
        </w:rPr>
      </w:pPr>
      <w:r w:rsidRPr="000D5E81">
        <w:rPr>
          <w:rFonts w:cs="Times New Roman"/>
          <w:lang w:val="fr-CA"/>
        </w:rPr>
        <w:t>Le pouvoir d</w:t>
      </w:r>
      <w:r>
        <w:rPr>
          <w:rFonts w:cs="Times New Roman"/>
          <w:lang w:val="fr-CA"/>
        </w:rPr>
        <w:t>’</w:t>
      </w:r>
      <w:r w:rsidRPr="000D5E81">
        <w:rPr>
          <w:rFonts w:cs="Times New Roman"/>
          <w:lang w:val="fr-CA"/>
        </w:rPr>
        <w:t>une cour de justice de statuer sur le privilège allégué mais contesté découle de son pouvoir « de statuer sur des demandes portant sur des droits », un pouvoir que ne possède pas la Commissaire à la protection de la vie privée (</w:t>
      </w:r>
      <w:r>
        <w:rPr>
          <w:rFonts w:cs="Times New Roman"/>
          <w:lang w:val="fr-CA"/>
        </w:rPr>
        <w:t>par. </w:t>
      </w:r>
      <w:r w:rsidRPr="000D5E81">
        <w:rPr>
          <w:rFonts w:cs="Times New Roman"/>
          <w:lang w:val="fr-CA"/>
        </w:rPr>
        <w:t>22).</w:t>
      </w:r>
    </w:p>
    <w:p w:rsidR="0091315D" w:rsidRPr="000D5E81" w:rsidRDefault="0091315D" w:rsidP="00B3618F">
      <w:pPr>
        <w:pStyle w:val="ContinueParaSuitedupar-AltP"/>
        <w:widowControl w:val="0"/>
        <w:numPr>
          <w:ilvl w:val="0"/>
          <w:numId w:val="27"/>
        </w:numPr>
        <w:ind w:hanging="720"/>
        <w:rPr>
          <w:rFonts w:cs="Times New Roman"/>
          <w:lang w:val="fr-CA"/>
        </w:rPr>
      </w:pPr>
      <w:r w:rsidRPr="000D5E81">
        <w:rPr>
          <w:rFonts w:cs="Times New Roman"/>
          <w:lang w:val="fr-CA"/>
        </w:rPr>
        <w:t>Contrairement à une cour de justice, la Commissaire à la protection de la vie privée peut « avoir des intérêts opposés à ceux de l</w:t>
      </w:r>
      <w:r>
        <w:rPr>
          <w:rFonts w:cs="Times New Roman"/>
          <w:lang w:val="fr-CA"/>
        </w:rPr>
        <w:t>’</w:t>
      </w:r>
      <w:r w:rsidRPr="000D5E81">
        <w:rPr>
          <w:rFonts w:cs="Times New Roman"/>
          <w:lang w:val="fr-CA"/>
        </w:rPr>
        <w:t>organisation qui possède les documents auxquels [elle] veut obtenir l</w:t>
      </w:r>
      <w:r>
        <w:rPr>
          <w:rFonts w:cs="Times New Roman"/>
          <w:lang w:val="fr-CA"/>
        </w:rPr>
        <w:t>’</w:t>
      </w:r>
      <w:r w:rsidRPr="000D5E81">
        <w:rPr>
          <w:rFonts w:cs="Times New Roman"/>
          <w:lang w:val="fr-CA"/>
        </w:rPr>
        <w:t>accès ». La Commissaire à la protection de la vie privée peut traduire en justice l</w:t>
      </w:r>
      <w:r>
        <w:rPr>
          <w:rFonts w:cs="Times New Roman"/>
          <w:lang w:val="fr-CA"/>
        </w:rPr>
        <w:t>’</w:t>
      </w:r>
      <w:r w:rsidRPr="000D5E81">
        <w:rPr>
          <w:rFonts w:cs="Times New Roman"/>
          <w:lang w:val="fr-CA"/>
        </w:rPr>
        <w:t>organisation récalcitrante et, également, décider de communiquer les renseignements obtenus sous la contrainte aux autorités chargées des poursuites (</w:t>
      </w:r>
      <w:r>
        <w:rPr>
          <w:rFonts w:cs="Times New Roman"/>
          <w:lang w:val="fr-CA"/>
        </w:rPr>
        <w:t>par. </w:t>
      </w:r>
      <w:r w:rsidRPr="000D5E81">
        <w:rPr>
          <w:rFonts w:cs="Times New Roman"/>
          <w:lang w:val="fr-CA"/>
        </w:rPr>
        <w:t>23).</w:t>
      </w:r>
    </w:p>
    <w:p w:rsidR="0091315D" w:rsidRPr="000D5E81" w:rsidRDefault="0091315D" w:rsidP="00B3618F">
      <w:pPr>
        <w:pStyle w:val="ContinueParaSuitedupar-AltP"/>
        <w:widowControl w:val="0"/>
        <w:numPr>
          <w:ilvl w:val="0"/>
          <w:numId w:val="27"/>
        </w:numPr>
        <w:ind w:hanging="720"/>
        <w:rPr>
          <w:rFonts w:cs="Times New Roman"/>
          <w:lang w:val="fr-CA"/>
        </w:rPr>
      </w:pPr>
      <w:r w:rsidRPr="000D5E81">
        <w:rPr>
          <w:rFonts w:cs="Times New Roman"/>
          <w:lang w:val="fr-CA"/>
        </w:rPr>
        <w:t>Le libellé conférant le pouvoir est général et c</w:t>
      </w:r>
      <w:r>
        <w:rPr>
          <w:rFonts w:cs="Times New Roman"/>
          <w:lang w:val="fr-CA"/>
        </w:rPr>
        <w:t>’</w:t>
      </w:r>
      <w:r w:rsidRPr="000D5E81">
        <w:rPr>
          <w:rFonts w:cs="Times New Roman"/>
          <w:lang w:val="fr-CA"/>
        </w:rPr>
        <w:t>est « le caractère général du texte [. . .], où il n</w:t>
      </w:r>
      <w:r>
        <w:rPr>
          <w:rFonts w:cs="Times New Roman"/>
          <w:lang w:val="fr-CA"/>
        </w:rPr>
        <w:t>’</w:t>
      </w:r>
      <w:r w:rsidRPr="000D5E81">
        <w:rPr>
          <w:rFonts w:cs="Times New Roman"/>
          <w:lang w:val="fr-CA"/>
        </w:rPr>
        <w:t>est fait aucune mention des questions que soulève le [. . .] secret professionnel de l</w:t>
      </w:r>
      <w:r>
        <w:rPr>
          <w:rFonts w:cs="Times New Roman"/>
          <w:lang w:val="fr-CA"/>
        </w:rPr>
        <w:t>’</w:t>
      </w:r>
      <w:r w:rsidRPr="000D5E81">
        <w:rPr>
          <w:rFonts w:cs="Times New Roman"/>
          <w:lang w:val="fr-CA"/>
        </w:rPr>
        <w:t>avocat », qui montre l</w:t>
      </w:r>
      <w:r>
        <w:rPr>
          <w:rFonts w:cs="Times New Roman"/>
          <w:lang w:val="fr-CA"/>
        </w:rPr>
        <w:t>’</w:t>
      </w:r>
      <w:r w:rsidRPr="000D5E81">
        <w:rPr>
          <w:rFonts w:cs="Times New Roman"/>
          <w:lang w:val="fr-CA"/>
        </w:rPr>
        <w:t>importance du principe selon lequel celui</w:t>
      </w:r>
      <w:r>
        <w:rPr>
          <w:rFonts w:cs="Times New Roman"/>
          <w:lang w:val="fr-CA"/>
        </w:rPr>
        <w:noBreakHyphen/>
      </w:r>
      <w:r w:rsidRPr="000D5E81">
        <w:rPr>
          <w:rFonts w:cs="Times New Roman"/>
          <w:lang w:val="fr-CA"/>
        </w:rPr>
        <w:t>ci ne saurait être supprimé par inférence (</w:t>
      </w:r>
      <w:r>
        <w:rPr>
          <w:rFonts w:cs="Times New Roman"/>
          <w:lang w:val="fr-CA"/>
        </w:rPr>
        <w:t>par. </w:t>
      </w:r>
      <w:r w:rsidRPr="000D5E81">
        <w:rPr>
          <w:rFonts w:cs="Times New Roman"/>
          <w:lang w:val="fr-CA"/>
        </w:rPr>
        <w:t xml:space="preserve">26 (italiques </w:t>
      </w:r>
      <w:r w:rsidR="00AD5FCD">
        <w:rPr>
          <w:rFonts w:cs="Times New Roman"/>
          <w:lang w:val="fr-CA"/>
        </w:rPr>
        <w:t>omis</w:t>
      </w:r>
      <w:r w:rsidR="00AD5FCD" w:rsidRPr="000D5E81">
        <w:rPr>
          <w:rFonts w:cs="Times New Roman"/>
          <w:lang w:val="fr-CA"/>
        </w:rPr>
        <w:t>)</w:t>
      </w:r>
      <w:r w:rsidRPr="000D5E81">
        <w:rPr>
          <w:rFonts w:cs="Times New Roman"/>
          <w:lang w:val="fr-CA"/>
        </w:rPr>
        <w:t>).</w:t>
      </w:r>
    </w:p>
    <w:p w:rsidR="0091315D" w:rsidRPr="000D5E81" w:rsidRDefault="0091315D" w:rsidP="00B3618F">
      <w:pPr>
        <w:pStyle w:val="ParaNoNdepar-AltN"/>
        <w:widowControl w:val="0"/>
        <w:rPr>
          <w:rFonts w:cs="Times New Roman"/>
          <w:lang w:val="fr-CA"/>
        </w:rPr>
      </w:pPr>
      <w:r w:rsidRPr="000D5E81">
        <w:rPr>
          <w:rFonts w:cs="Times New Roman"/>
          <w:lang w:val="fr-CA"/>
        </w:rPr>
        <w:t>Ces difficultés ne sont pas en cause dans le cas du régime législatif considéré en l</w:t>
      </w:r>
      <w:r>
        <w:rPr>
          <w:rFonts w:cs="Times New Roman"/>
          <w:lang w:val="fr-CA"/>
        </w:rPr>
        <w:t>’</w:t>
      </w:r>
      <w:r w:rsidRPr="000D5E81">
        <w:rPr>
          <w:rFonts w:cs="Times New Roman"/>
          <w:lang w:val="fr-CA"/>
        </w:rPr>
        <w:t>espèce.</w:t>
      </w:r>
    </w:p>
    <w:p w:rsidR="0091315D" w:rsidRPr="000D5E81" w:rsidRDefault="0091315D" w:rsidP="00B3618F">
      <w:pPr>
        <w:pStyle w:val="ParaNoNdepar-AltN"/>
        <w:widowControl w:val="0"/>
        <w:rPr>
          <w:rFonts w:cs="Times New Roman"/>
          <w:lang w:val="fr-CA"/>
        </w:rPr>
      </w:pPr>
      <w:r w:rsidRPr="000D5E81">
        <w:rPr>
          <w:rFonts w:cs="Times New Roman"/>
          <w:lang w:val="fr-CA"/>
        </w:rPr>
        <w:lastRenderedPageBreak/>
        <w:t xml:space="preserve">Premièrement, la </w:t>
      </w:r>
      <w:r w:rsidRPr="000D5E81">
        <w:rPr>
          <w:rFonts w:cs="Times New Roman"/>
          <w:i/>
          <w:lang w:val="fr-CA"/>
        </w:rPr>
        <w:t xml:space="preserve">FOIPP </w:t>
      </w:r>
      <w:r w:rsidRPr="000D5E81">
        <w:rPr>
          <w:rFonts w:cs="Times New Roman"/>
          <w:lang w:val="fr-CA"/>
        </w:rPr>
        <w:t>confère un pouvoir juridictionnel au commissaire. Le paragraphe 69(1) prévoit que le commissaire [</w:t>
      </w:r>
      <w:r w:rsidRPr="000D5E81">
        <w:rPr>
          <w:rFonts w:cs="Times New Roman"/>
          <w:smallCaps/>
          <w:lang w:val="fr-CA"/>
        </w:rPr>
        <w:t>traduction</w:t>
      </w:r>
      <w:r w:rsidRPr="000D5E81">
        <w:rPr>
          <w:rFonts w:cs="Times New Roman"/>
          <w:lang w:val="fr-CA"/>
        </w:rPr>
        <w:t>] « doit mener une enquête et peut trancher toute question de fait ou de droit alors soulevée ». Si on le dépouille du pouvoir d</w:t>
      </w:r>
      <w:r>
        <w:rPr>
          <w:rFonts w:cs="Times New Roman"/>
          <w:lang w:val="fr-CA"/>
        </w:rPr>
        <w:t>’</w:t>
      </w:r>
      <w:r w:rsidRPr="000D5E81">
        <w:rPr>
          <w:rFonts w:cs="Times New Roman"/>
          <w:lang w:val="fr-CA"/>
        </w:rPr>
        <w:t>ordonner la production de documents afin qu</w:t>
      </w:r>
      <w:r>
        <w:rPr>
          <w:rFonts w:cs="Times New Roman"/>
          <w:lang w:val="fr-CA"/>
        </w:rPr>
        <w:t>’</w:t>
      </w:r>
      <w:r w:rsidRPr="000D5E81">
        <w:rPr>
          <w:rFonts w:cs="Times New Roman"/>
          <w:lang w:val="fr-CA"/>
        </w:rPr>
        <w:t>il puisse se prononcer sur l</w:t>
      </w:r>
      <w:r>
        <w:rPr>
          <w:rFonts w:cs="Times New Roman"/>
          <w:lang w:val="fr-CA"/>
        </w:rPr>
        <w:t>’</w:t>
      </w:r>
      <w:r w:rsidRPr="000D5E81">
        <w:rPr>
          <w:rFonts w:cs="Times New Roman"/>
          <w:lang w:val="fr-CA"/>
        </w:rPr>
        <w:t>application du secret professionnel de l</w:t>
      </w:r>
      <w:r>
        <w:rPr>
          <w:rFonts w:cs="Times New Roman"/>
          <w:lang w:val="fr-CA"/>
        </w:rPr>
        <w:t>’</w:t>
      </w:r>
      <w:r w:rsidRPr="000D5E81">
        <w:rPr>
          <w:rFonts w:cs="Times New Roman"/>
          <w:lang w:val="fr-CA"/>
        </w:rPr>
        <w:t>avocat invoqué à leur égard, le commissaire ne peut manifestement pas « trancher toute question de fait ou de droit ». L</w:t>
      </w:r>
      <w:r>
        <w:rPr>
          <w:rFonts w:cs="Times New Roman"/>
          <w:lang w:val="fr-CA"/>
        </w:rPr>
        <w:t>’</w:t>
      </w:r>
      <w:r w:rsidRPr="000D5E81">
        <w:rPr>
          <w:rFonts w:cs="Times New Roman"/>
          <w:lang w:val="fr-CA"/>
        </w:rPr>
        <w:t>historique de la loi, analysé ci</w:t>
      </w:r>
      <w:r>
        <w:rPr>
          <w:rFonts w:cs="Times New Roman"/>
          <w:lang w:val="fr-CA"/>
        </w:rPr>
        <w:noBreakHyphen/>
      </w:r>
      <w:r w:rsidRPr="000D5E81">
        <w:rPr>
          <w:rFonts w:cs="Times New Roman"/>
          <w:lang w:val="fr-CA"/>
        </w:rPr>
        <w:t>après, étaye également la conclusion voulant que le législateur ait investi le commissaire d</w:t>
      </w:r>
      <w:r>
        <w:rPr>
          <w:rFonts w:cs="Times New Roman"/>
          <w:lang w:val="fr-CA"/>
        </w:rPr>
        <w:t>’</w:t>
      </w:r>
      <w:r w:rsidRPr="000D5E81">
        <w:rPr>
          <w:rFonts w:cs="Times New Roman"/>
          <w:lang w:val="fr-CA"/>
        </w:rPr>
        <w:t>un pouvoir juridictionnel</w:t>
      </w:r>
    </w:p>
    <w:p w:rsidR="0091315D" w:rsidRPr="000D5E81" w:rsidRDefault="0091315D" w:rsidP="00B3618F">
      <w:pPr>
        <w:pStyle w:val="ParaNoNdepar-AltN"/>
        <w:widowControl w:val="0"/>
        <w:rPr>
          <w:rFonts w:cs="Times New Roman"/>
          <w:lang w:val="fr-CA"/>
        </w:rPr>
      </w:pPr>
      <w:r w:rsidRPr="000D5E81">
        <w:rPr>
          <w:rFonts w:cs="Times New Roman"/>
          <w:lang w:val="fr-CA"/>
        </w:rPr>
        <w:t>Comme le fait observer le professeur Dodek, au vu de l</w:t>
      </w:r>
      <w:r>
        <w:rPr>
          <w:rFonts w:cs="Times New Roman"/>
          <w:lang w:val="fr-CA"/>
        </w:rPr>
        <w:t>’</w:t>
      </w:r>
      <w:r w:rsidRPr="000D5E81">
        <w:rPr>
          <w:rFonts w:cs="Times New Roman"/>
          <w:lang w:val="fr-CA"/>
        </w:rPr>
        <w:t xml:space="preserve">arrêt </w:t>
      </w:r>
      <w:r w:rsidRPr="000D5E81">
        <w:rPr>
          <w:rFonts w:cs="Times New Roman"/>
          <w:i/>
          <w:lang w:val="fr-CA"/>
        </w:rPr>
        <w:t>Blood Tribe</w:t>
      </w:r>
      <w:r w:rsidRPr="000D5E81">
        <w:rPr>
          <w:rFonts w:cs="Times New Roman"/>
          <w:lang w:val="fr-CA"/>
        </w:rPr>
        <w:t>, l</w:t>
      </w:r>
      <w:r>
        <w:rPr>
          <w:rFonts w:cs="Times New Roman"/>
          <w:lang w:val="fr-CA"/>
        </w:rPr>
        <w:t>’</w:t>
      </w:r>
      <w:r w:rsidRPr="000D5E81">
        <w:rPr>
          <w:rFonts w:cs="Times New Roman"/>
          <w:lang w:val="fr-CA"/>
        </w:rPr>
        <w:t>attribution d</w:t>
      </w:r>
      <w:r>
        <w:rPr>
          <w:rFonts w:cs="Times New Roman"/>
          <w:lang w:val="fr-CA"/>
        </w:rPr>
        <w:t>’</w:t>
      </w:r>
      <w:r w:rsidRPr="000D5E81">
        <w:rPr>
          <w:rFonts w:cs="Times New Roman"/>
          <w:lang w:val="fr-CA"/>
        </w:rPr>
        <w:t>un pouvoir juridictionnel se révèle décisive pour conclure qu</w:t>
      </w:r>
      <w:r>
        <w:rPr>
          <w:rFonts w:cs="Times New Roman"/>
          <w:lang w:val="fr-CA"/>
        </w:rPr>
        <w:t>’</w:t>
      </w:r>
      <w:r w:rsidRPr="000D5E81">
        <w:rPr>
          <w:rFonts w:cs="Times New Roman"/>
          <w:lang w:val="fr-CA"/>
        </w:rPr>
        <w:t>une loi permet la suppression du secret professionnel de l</w:t>
      </w:r>
      <w:r>
        <w:rPr>
          <w:rFonts w:cs="Times New Roman"/>
          <w:lang w:val="fr-CA"/>
        </w:rPr>
        <w:t>’</w:t>
      </w:r>
      <w:r w:rsidRPr="000D5E81">
        <w:rPr>
          <w:rFonts w:cs="Times New Roman"/>
          <w:lang w:val="fr-CA"/>
        </w:rPr>
        <w:t>avocat (</w:t>
      </w:r>
      <w:r>
        <w:rPr>
          <w:rFonts w:cs="Times New Roman"/>
          <w:lang w:val="fr-CA"/>
        </w:rPr>
        <w:t>p. </w:t>
      </w:r>
      <w:r w:rsidRPr="000D5E81">
        <w:rPr>
          <w:rFonts w:cs="Times New Roman"/>
          <w:lang w:val="fr-CA"/>
        </w:rPr>
        <w:t>368). À son avis, [</w:t>
      </w:r>
      <w:r w:rsidRPr="000D5E81">
        <w:rPr>
          <w:rFonts w:cs="Times New Roman"/>
          <w:smallCaps/>
          <w:lang w:val="fr-CA"/>
        </w:rPr>
        <w:t>traduction</w:t>
      </w:r>
      <w:r w:rsidRPr="000D5E81">
        <w:rPr>
          <w:rFonts w:cs="Times New Roman"/>
          <w:lang w:val="fr-CA"/>
        </w:rPr>
        <w:t>] « l</w:t>
      </w:r>
      <w:r>
        <w:rPr>
          <w:rFonts w:cs="Times New Roman"/>
          <w:lang w:val="fr-CA"/>
        </w:rPr>
        <w:t>’</w:t>
      </w:r>
      <w:r w:rsidRPr="000D5E81">
        <w:rPr>
          <w:rFonts w:cs="Times New Roman"/>
          <w:lang w:val="fr-CA"/>
        </w:rPr>
        <w:t xml:space="preserve">arrêt </w:t>
      </w:r>
      <w:r w:rsidRPr="000D5E81">
        <w:rPr>
          <w:rFonts w:cs="Times New Roman"/>
          <w:i/>
          <w:lang w:val="fr-CA"/>
        </w:rPr>
        <w:t>Blood Tribe</w:t>
      </w:r>
      <w:r w:rsidRPr="000D5E81">
        <w:rPr>
          <w:rFonts w:cs="Times New Roman"/>
          <w:lang w:val="fr-CA"/>
        </w:rPr>
        <w:t xml:space="preserve"> laisse lui</w:t>
      </w:r>
      <w:r>
        <w:rPr>
          <w:rFonts w:cs="Times New Roman"/>
          <w:lang w:val="fr-CA"/>
        </w:rPr>
        <w:noBreakHyphen/>
      </w:r>
      <w:r w:rsidRPr="000D5E81">
        <w:rPr>
          <w:rFonts w:cs="Times New Roman"/>
          <w:lang w:val="fr-CA"/>
        </w:rPr>
        <w:t>même entendre qu</w:t>
      </w:r>
      <w:r>
        <w:rPr>
          <w:rFonts w:cs="Times New Roman"/>
          <w:lang w:val="fr-CA"/>
        </w:rPr>
        <w:t>’</w:t>
      </w:r>
      <w:r w:rsidRPr="000D5E81">
        <w:rPr>
          <w:rFonts w:cs="Times New Roman"/>
          <w:lang w:val="fr-CA"/>
        </w:rPr>
        <w:t>un commissaire à la protection de la vie privée ou à l</w:t>
      </w:r>
      <w:r>
        <w:rPr>
          <w:rFonts w:cs="Times New Roman"/>
          <w:lang w:val="fr-CA"/>
        </w:rPr>
        <w:t>’</w:t>
      </w:r>
      <w:r w:rsidRPr="000D5E81">
        <w:rPr>
          <w:rFonts w:cs="Times New Roman"/>
          <w:lang w:val="fr-CA"/>
        </w:rPr>
        <w:t>information qui exerce une fonction juridictionnelle peut obtenir l</w:t>
      </w:r>
      <w:r>
        <w:rPr>
          <w:rFonts w:cs="Times New Roman"/>
          <w:lang w:val="fr-CA"/>
        </w:rPr>
        <w:t>’</w:t>
      </w:r>
      <w:r w:rsidRPr="000D5E81">
        <w:rPr>
          <w:rFonts w:cs="Times New Roman"/>
          <w:lang w:val="fr-CA"/>
        </w:rPr>
        <w:t>accès à un document pour se prononcer sur l</w:t>
      </w:r>
      <w:r>
        <w:rPr>
          <w:rFonts w:cs="Times New Roman"/>
          <w:lang w:val="fr-CA"/>
        </w:rPr>
        <w:t>’</w:t>
      </w:r>
      <w:r w:rsidRPr="000D5E81">
        <w:rPr>
          <w:rFonts w:cs="Times New Roman"/>
          <w:lang w:val="fr-CA"/>
        </w:rPr>
        <w:t>application du privilège invoqué à son égard » (</w:t>
      </w:r>
      <w:r>
        <w:rPr>
          <w:rFonts w:cs="Times New Roman"/>
          <w:lang w:val="fr-CA"/>
        </w:rPr>
        <w:t>p. </w:t>
      </w:r>
      <w:r w:rsidRPr="000D5E81">
        <w:rPr>
          <w:rFonts w:cs="Times New Roman"/>
          <w:lang w:val="fr-CA"/>
        </w:rPr>
        <w:t>377). Il ajoute qu</w:t>
      </w:r>
      <w:r>
        <w:rPr>
          <w:rFonts w:cs="Times New Roman"/>
          <w:lang w:val="fr-CA"/>
        </w:rPr>
        <w:t>’</w:t>
      </w:r>
      <w:r w:rsidRPr="000D5E81">
        <w:rPr>
          <w:rFonts w:cs="Times New Roman"/>
          <w:lang w:val="fr-CA"/>
        </w:rPr>
        <w:t>il « faut considérer que l</w:t>
      </w:r>
      <w:r>
        <w:rPr>
          <w:rFonts w:cs="Times New Roman"/>
          <w:lang w:val="fr-CA"/>
        </w:rPr>
        <w:t>’</w:t>
      </w:r>
      <w:r w:rsidRPr="000D5E81">
        <w:rPr>
          <w:rFonts w:cs="Times New Roman"/>
          <w:lang w:val="fr-CA"/>
        </w:rPr>
        <w:t>organisme juridictionnel peut, dans l</w:t>
      </w:r>
      <w:r>
        <w:rPr>
          <w:rFonts w:cs="Times New Roman"/>
          <w:lang w:val="fr-CA"/>
        </w:rPr>
        <w:t>’</w:t>
      </w:r>
      <w:r w:rsidRPr="000D5E81">
        <w:rPr>
          <w:rFonts w:cs="Times New Roman"/>
          <w:lang w:val="fr-CA"/>
        </w:rPr>
        <w:t>exercice de sa fonction juridictionnelle, se prononcer sur l</w:t>
      </w:r>
      <w:r>
        <w:rPr>
          <w:rFonts w:cs="Times New Roman"/>
          <w:lang w:val="fr-CA"/>
        </w:rPr>
        <w:t>’</w:t>
      </w:r>
      <w:r w:rsidRPr="000D5E81">
        <w:rPr>
          <w:rFonts w:cs="Times New Roman"/>
          <w:lang w:val="fr-CA"/>
        </w:rPr>
        <w:t>existence d</w:t>
      </w:r>
      <w:r>
        <w:rPr>
          <w:rFonts w:cs="Times New Roman"/>
          <w:lang w:val="fr-CA"/>
        </w:rPr>
        <w:t>’</w:t>
      </w:r>
      <w:r w:rsidRPr="000D5E81">
        <w:rPr>
          <w:rFonts w:cs="Times New Roman"/>
          <w:lang w:val="fr-CA"/>
        </w:rPr>
        <w:t>un privilège » (</w:t>
      </w:r>
      <w:r>
        <w:rPr>
          <w:rFonts w:cs="Times New Roman"/>
          <w:lang w:val="fr-CA"/>
        </w:rPr>
        <w:t>p. </w:t>
      </w:r>
      <w:r w:rsidRPr="000D5E81">
        <w:rPr>
          <w:rFonts w:cs="Times New Roman"/>
          <w:lang w:val="fr-CA"/>
        </w:rPr>
        <w:t>369). Il donne l</w:t>
      </w:r>
      <w:r>
        <w:rPr>
          <w:rFonts w:cs="Times New Roman"/>
          <w:lang w:val="fr-CA"/>
        </w:rPr>
        <w:t>’</w:t>
      </w:r>
      <w:r w:rsidRPr="000D5E81">
        <w:rPr>
          <w:rFonts w:cs="Times New Roman"/>
          <w:lang w:val="fr-CA"/>
        </w:rPr>
        <w:t>exemple de la Cour fédérale, un tribunal d</w:t>
      </w:r>
      <w:r>
        <w:rPr>
          <w:rFonts w:cs="Times New Roman"/>
          <w:lang w:val="fr-CA"/>
        </w:rPr>
        <w:t>’</w:t>
      </w:r>
      <w:r w:rsidRPr="000D5E81">
        <w:rPr>
          <w:rFonts w:cs="Times New Roman"/>
          <w:lang w:val="fr-CA"/>
        </w:rPr>
        <w:t>origine législative, qui n</w:t>
      </w:r>
      <w:r>
        <w:rPr>
          <w:rFonts w:cs="Times New Roman"/>
          <w:lang w:val="fr-CA"/>
        </w:rPr>
        <w:t>’</w:t>
      </w:r>
      <w:r w:rsidRPr="000D5E81">
        <w:rPr>
          <w:rFonts w:cs="Times New Roman"/>
          <w:lang w:val="fr-CA"/>
        </w:rPr>
        <w:t>est pourtant pas investie du pouvoir exprès de statuer sur l</w:t>
      </w:r>
      <w:r>
        <w:rPr>
          <w:rFonts w:cs="Times New Roman"/>
          <w:lang w:val="fr-CA"/>
        </w:rPr>
        <w:t>’</w:t>
      </w:r>
      <w:r w:rsidRPr="000D5E81">
        <w:rPr>
          <w:rFonts w:cs="Times New Roman"/>
          <w:lang w:val="fr-CA"/>
        </w:rPr>
        <w:t>application du secret professionnel de l</w:t>
      </w:r>
      <w:r>
        <w:rPr>
          <w:rFonts w:cs="Times New Roman"/>
          <w:lang w:val="fr-CA"/>
        </w:rPr>
        <w:t>’</w:t>
      </w:r>
      <w:r w:rsidRPr="000D5E81">
        <w:rPr>
          <w:rFonts w:cs="Times New Roman"/>
          <w:lang w:val="fr-CA"/>
        </w:rPr>
        <w:t>avocat. Selon lui, ce pouvoir « est inhérent au pouvoir juridictionnel » (</w:t>
      </w:r>
      <w:r>
        <w:rPr>
          <w:rFonts w:cs="Times New Roman"/>
          <w:lang w:val="fr-CA"/>
        </w:rPr>
        <w:t>p. </w:t>
      </w:r>
      <w:r w:rsidRPr="000D5E81">
        <w:rPr>
          <w:rFonts w:cs="Times New Roman"/>
          <w:lang w:val="fr-CA"/>
        </w:rPr>
        <w:t>369).</w:t>
      </w:r>
    </w:p>
    <w:p w:rsidR="0091315D" w:rsidRPr="000D5E81" w:rsidRDefault="0091315D" w:rsidP="00B3618F">
      <w:pPr>
        <w:pStyle w:val="ParaNoNdepar-AltN"/>
        <w:widowControl w:val="0"/>
        <w:rPr>
          <w:rFonts w:cs="Times New Roman"/>
          <w:lang w:val="fr-CA"/>
        </w:rPr>
      </w:pPr>
      <w:r w:rsidRPr="000D5E81">
        <w:rPr>
          <w:rFonts w:cs="Times New Roman"/>
          <w:lang w:val="fr-CA"/>
        </w:rPr>
        <w:t>Deuxièmement, la Commissaire ne peut avoir d</w:t>
      </w:r>
      <w:r>
        <w:rPr>
          <w:rFonts w:cs="Times New Roman"/>
          <w:lang w:val="fr-CA"/>
        </w:rPr>
        <w:t>’</w:t>
      </w:r>
      <w:r w:rsidRPr="000D5E81">
        <w:rPr>
          <w:rFonts w:cs="Times New Roman"/>
          <w:lang w:val="fr-CA"/>
        </w:rPr>
        <w:t xml:space="preserve">intérêts opposés à ceux </w:t>
      </w:r>
      <w:r w:rsidRPr="000D5E81">
        <w:rPr>
          <w:rFonts w:cs="Times New Roman"/>
          <w:lang w:val="fr-CA"/>
        </w:rPr>
        <w:lastRenderedPageBreak/>
        <w:t>d</w:t>
      </w:r>
      <w:r>
        <w:rPr>
          <w:rFonts w:cs="Times New Roman"/>
          <w:lang w:val="fr-CA"/>
        </w:rPr>
        <w:t>’</w:t>
      </w:r>
      <w:r w:rsidRPr="000D5E81">
        <w:rPr>
          <w:rFonts w:cs="Times New Roman"/>
          <w:lang w:val="fr-CA"/>
        </w:rPr>
        <w:t>une organisation au sens où la Cour l</w:t>
      </w:r>
      <w:r>
        <w:rPr>
          <w:rFonts w:cs="Times New Roman"/>
          <w:lang w:val="fr-CA"/>
        </w:rPr>
        <w:t>’</w:t>
      </w:r>
      <w:r w:rsidRPr="000D5E81">
        <w:rPr>
          <w:rFonts w:cs="Times New Roman"/>
          <w:lang w:val="fr-CA"/>
        </w:rPr>
        <w:t>entend dans l</w:t>
      </w:r>
      <w:r>
        <w:rPr>
          <w:rFonts w:cs="Times New Roman"/>
          <w:lang w:val="fr-CA"/>
        </w:rPr>
        <w:t>’</w:t>
      </w:r>
      <w:r w:rsidRPr="000D5E81">
        <w:rPr>
          <w:rFonts w:cs="Times New Roman"/>
          <w:lang w:val="fr-CA"/>
        </w:rPr>
        <w:t xml:space="preserve">arrêt </w:t>
      </w:r>
      <w:r w:rsidRPr="000D5E81">
        <w:rPr>
          <w:rFonts w:cs="Times New Roman"/>
          <w:i/>
          <w:lang w:val="fr-CA"/>
        </w:rPr>
        <w:t>Blood Tribe</w:t>
      </w:r>
      <w:r w:rsidRPr="000D5E81">
        <w:rPr>
          <w:rFonts w:cs="Times New Roman"/>
          <w:lang w:val="fr-CA"/>
        </w:rPr>
        <w:t>. L</w:t>
      </w:r>
      <w:r>
        <w:rPr>
          <w:rFonts w:cs="Times New Roman"/>
          <w:lang w:val="fr-CA"/>
        </w:rPr>
        <w:t>’</w:t>
      </w:r>
      <w:r w:rsidRPr="000D5E81">
        <w:rPr>
          <w:rFonts w:cs="Times New Roman"/>
          <w:lang w:val="fr-CA"/>
        </w:rPr>
        <w:t xml:space="preserve">article 15 de la </w:t>
      </w:r>
      <w:r w:rsidRPr="000D5E81">
        <w:rPr>
          <w:rFonts w:cs="Times New Roman"/>
          <w:i/>
          <w:lang w:val="fr-CA"/>
        </w:rPr>
        <w:t xml:space="preserve">LPRPDE </w:t>
      </w:r>
      <w:r w:rsidRPr="000D5E81">
        <w:rPr>
          <w:rFonts w:cs="Times New Roman"/>
          <w:lang w:val="fr-CA"/>
        </w:rPr>
        <w:t>disposait que la Commissaire à la protection de la vie privée pouvait se présenter en Cour fédérale au nom d</w:t>
      </w:r>
      <w:r>
        <w:rPr>
          <w:rFonts w:cs="Times New Roman"/>
          <w:lang w:val="fr-CA"/>
        </w:rPr>
        <w:t>’</w:t>
      </w:r>
      <w:r w:rsidRPr="000D5E81">
        <w:rPr>
          <w:rFonts w:cs="Times New Roman"/>
          <w:lang w:val="fr-CA"/>
        </w:rPr>
        <w:t>un plaignant. La loi visée en l</w:t>
      </w:r>
      <w:r>
        <w:rPr>
          <w:rFonts w:cs="Times New Roman"/>
          <w:lang w:val="fr-CA"/>
        </w:rPr>
        <w:t>’</w:t>
      </w:r>
      <w:r w:rsidRPr="000D5E81">
        <w:rPr>
          <w:rFonts w:cs="Times New Roman"/>
          <w:lang w:val="fr-CA"/>
        </w:rPr>
        <w:t xml:space="preserve">espèce ne renferme aucune disposition équivalente. La Commissaire peut certes être constituée partie au contrôle judiciaire, mais elle ne comparaît pas alors </w:t>
      </w:r>
      <w:r w:rsidRPr="000D5E81">
        <w:rPr>
          <w:rFonts w:cs="Times New Roman"/>
          <w:i/>
          <w:lang w:val="fr-CA"/>
        </w:rPr>
        <w:t xml:space="preserve">au nom </w:t>
      </w:r>
      <w:r w:rsidRPr="000D5E81">
        <w:rPr>
          <w:rFonts w:cs="Times New Roman"/>
          <w:lang w:val="fr-CA"/>
        </w:rPr>
        <w:t>du plaignant.</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Troisièmement, le texte du </w:t>
      </w:r>
      <w:r>
        <w:rPr>
          <w:rFonts w:cs="Times New Roman"/>
          <w:lang w:val="fr-CA"/>
        </w:rPr>
        <w:t>par. </w:t>
      </w:r>
      <w:r w:rsidRPr="000D5E81">
        <w:rPr>
          <w:rFonts w:cs="Times New Roman"/>
          <w:lang w:val="fr-CA"/>
        </w:rPr>
        <w:t>56(3) ne saurait constituer une « disposition d</w:t>
      </w:r>
      <w:r>
        <w:rPr>
          <w:rFonts w:cs="Times New Roman"/>
          <w:lang w:val="fr-CA"/>
        </w:rPr>
        <w:t>’</w:t>
      </w:r>
      <w:r w:rsidRPr="000D5E81">
        <w:rPr>
          <w:rFonts w:cs="Times New Roman"/>
          <w:lang w:val="fr-CA"/>
        </w:rPr>
        <w:t xml:space="preserve">acception large régissant la production de documents » comme celui de la disposition en cause dans </w:t>
      </w:r>
      <w:r w:rsidRPr="000D5E81">
        <w:rPr>
          <w:rFonts w:cs="Times New Roman"/>
          <w:i/>
          <w:lang w:val="fr-CA"/>
        </w:rPr>
        <w:t>Blood Tribe</w:t>
      </w:r>
      <w:r w:rsidRPr="000D5E81">
        <w:rPr>
          <w:rFonts w:cs="Times New Roman"/>
          <w:lang w:val="fr-CA"/>
        </w:rPr>
        <w:t xml:space="preserve"> (</w:t>
      </w:r>
      <w:r>
        <w:rPr>
          <w:rFonts w:cs="Times New Roman"/>
          <w:lang w:val="fr-CA"/>
        </w:rPr>
        <w:t>par. </w:t>
      </w:r>
      <w:r w:rsidRPr="000D5E81">
        <w:rPr>
          <w:rFonts w:cs="Times New Roman"/>
          <w:lang w:val="fr-CA"/>
        </w:rPr>
        <w:t xml:space="preserve">11). Au contraire, le </w:t>
      </w:r>
      <w:r>
        <w:rPr>
          <w:rFonts w:cs="Times New Roman"/>
          <w:lang w:val="fr-CA"/>
        </w:rPr>
        <w:t>par. </w:t>
      </w:r>
      <w:r w:rsidRPr="000D5E81">
        <w:rPr>
          <w:rFonts w:cs="Times New Roman"/>
          <w:lang w:val="fr-CA"/>
        </w:rPr>
        <w:t>56(3) prévoit expressément que le pouvoir d</w:t>
      </w:r>
      <w:r>
        <w:rPr>
          <w:rFonts w:cs="Times New Roman"/>
          <w:lang w:val="fr-CA"/>
        </w:rPr>
        <w:t>’</w:t>
      </w:r>
      <w:r w:rsidRPr="000D5E81">
        <w:rPr>
          <w:rFonts w:cs="Times New Roman"/>
          <w:lang w:val="fr-CA"/>
        </w:rPr>
        <w:t>ordonner la production s</w:t>
      </w:r>
      <w:r>
        <w:rPr>
          <w:rFonts w:cs="Times New Roman"/>
          <w:lang w:val="fr-CA"/>
        </w:rPr>
        <w:t>’</w:t>
      </w:r>
      <w:r w:rsidRPr="000D5E81">
        <w:rPr>
          <w:rFonts w:cs="Times New Roman"/>
          <w:lang w:val="fr-CA"/>
        </w:rPr>
        <w:t>applique malgré tout privilège que reconnaît le droit de la preuve. De plus, dans la mesure où le secret professionnel de l</w:t>
      </w:r>
      <w:r>
        <w:rPr>
          <w:rFonts w:cs="Times New Roman"/>
          <w:lang w:val="fr-CA"/>
        </w:rPr>
        <w:t>’</w:t>
      </w:r>
      <w:r w:rsidRPr="000D5E81">
        <w:rPr>
          <w:rFonts w:cs="Times New Roman"/>
          <w:lang w:val="fr-CA"/>
        </w:rPr>
        <w:t xml:space="preserve">avocat constitue à la fois un privilège légal </w:t>
      </w:r>
      <w:r w:rsidRPr="000D5E81">
        <w:rPr>
          <w:rFonts w:cs="Times New Roman"/>
          <w:i/>
          <w:lang w:val="fr-CA"/>
        </w:rPr>
        <w:t xml:space="preserve">et </w:t>
      </w:r>
      <w:r w:rsidRPr="000D5E81">
        <w:rPr>
          <w:rFonts w:cs="Times New Roman"/>
          <w:lang w:val="fr-CA"/>
        </w:rPr>
        <w:t>un principe de fond, le libellé [</w:t>
      </w:r>
      <w:r w:rsidRPr="000D5E81">
        <w:rPr>
          <w:rFonts w:cs="Times New Roman"/>
          <w:smallCaps/>
          <w:lang w:val="fr-CA"/>
        </w:rPr>
        <w:t>traduction</w:t>
      </w:r>
      <w:r w:rsidRPr="000D5E81">
        <w:rPr>
          <w:rFonts w:cs="Times New Roman"/>
          <w:lang w:val="fr-CA"/>
        </w:rPr>
        <w:t>] « tout privilège que reconnaît le droit de la preuve » englobe le secret professionnel de l</w:t>
      </w:r>
      <w:r>
        <w:rPr>
          <w:rFonts w:cs="Times New Roman"/>
          <w:lang w:val="fr-CA"/>
        </w:rPr>
        <w:t>’</w:t>
      </w:r>
      <w:r w:rsidRPr="000D5E81">
        <w:rPr>
          <w:rFonts w:cs="Times New Roman"/>
          <w:lang w:val="fr-CA"/>
        </w:rPr>
        <w:t>avocat malgré l</w:t>
      </w:r>
      <w:r>
        <w:rPr>
          <w:rFonts w:cs="Times New Roman"/>
          <w:lang w:val="fr-CA"/>
        </w:rPr>
        <w:t>’</w:t>
      </w:r>
      <w:r w:rsidRPr="000D5E81">
        <w:rPr>
          <w:rFonts w:cs="Times New Roman"/>
          <w:lang w:val="fr-CA"/>
        </w:rPr>
        <w:t>emploi des mots « secret professionnel de l</w:t>
      </w:r>
      <w:r>
        <w:rPr>
          <w:rFonts w:cs="Times New Roman"/>
          <w:lang w:val="fr-CA"/>
        </w:rPr>
        <w:t>’</w:t>
      </w:r>
      <w:r w:rsidRPr="000D5E81">
        <w:rPr>
          <w:rFonts w:cs="Times New Roman"/>
          <w:lang w:val="fr-CA"/>
        </w:rPr>
        <w:t xml:space="preserve">avocat » au </w:t>
      </w:r>
      <w:r>
        <w:rPr>
          <w:rFonts w:cs="Times New Roman"/>
          <w:lang w:val="fr-CA"/>
        </w:rPr>
        <w:t>par. </w:t>
      </w:r>
      <w:r w:rsidRPr="000D5E81">
        <w:rPr>
          <w:rFonts w:cs="Times New Roman"/>
          <w:lang w:val="fr-CA"/>
        </w:rPr>
        <w:t>27(1). Le texte de la disposition indique plutôt que l</w:t>
      </w:r>
      <w:r>
        <w:rPr>
          <w:rFonts w:cs="Times New Roman"/>
          <w:lang w:val="fr-CA"/>
        </w:rPr>
        <w:t>’</w:t>
      </w:r>
      <w:r w:rsidRPr="000D5E81">
        <w:rPr>
          <w:rFonts w:cs="Times New Roman"/>
          <w:lang w:val="fr-CA"/>
        </w:rPr>
        <w:t>expression générale « tout type de privilège légal » englobe le secret professionnel de l</w:t>
      </w:r>
      <w:r>
        <w:rPr>
          <w:rFonts w:cs="Times New Roman"/>
          <w:lang w:val="fr-CA"/>
        </w:rPr>
        <w:t>’</w:t>
      </w:r>
      <w:r w:rsidRPr="000D5E81">
        <w:rPr>
          <w:rFonts w:cs="Times New Roman"/>
          <w:lang w:val="fr-CA"/>
        </w:rPr>
        <w:t>avocat.</w:t>
      </w:r>
    </w:p>
    <w:p w:rsidR="0091315D" w:rsidRPr="000D5E81" w:rsidRDefault="0091315D" w:rsidP="00B3618F">
      <w:pPr>
        <w:pStyle w:val="ParaNoNdepar-AltN"/>
        <w:widowControl w:val="0"/>
        <w:rPr>
          <w:rFonts w:cs="Times New Roman"/>
          <w:lang w:val="fr-CA"/>
        </w:rPr>
      </w:pPr>
      <w:r w:rsidRPr="000D5E81">
        <w:rPr>
          <w:rFonts w:cs="Times New Roman"/>
          <w:lang w:val="fr-CA"/>
        </w:rPr>
        <w:t>En conclusion, il appert du contexte législatif que le législateur a voulu supprimer le secret professionnel de l</w:t>
      </w:r>
      <w:r>
        <w:rPr>
          <w:rFonts w:cs="Times New Roman"/>
          <w:lang w:val="fr-CA"/>
        </w:rPr>
        <w:t>’</w:t>
      </w:r>
      <w:r w:rsidRPr="000D5E81">
        <w:rPr>
          <w:rFonts w:cs="Times New Roman"/>
          <w:lang w:val="fr-CA"/>
        </w:rPr>
        <w:t>avocat. Aucun des éléments qui, suivant l</w:t>
      </w:r>
      <w:r>
        <w:rPr>
          <w:rFonts w:cs="Times New Roman"/>
          <w:lang w:val="fr-CA"/>
        </w:rPr>
        <w:t>’</w:t>
      </w:r>
      <w:r w:rsidRPr="000D5E81">
        <w:rPr>
          <w:rFonts w:cs="Times New Roman"/>
          <w:lang w:val="fr-CA"/>
        </w:rPr>
        <w:t xml:space="preserve">arrêt </w:t>
      </w:r>
      <w:r w:rsidRPr="000D5E81">
        <w:rPr>
          <w:rFonts w:cs="Times New Roman"/>
          <w:i/>
          <w:lang w:val="fr-CA"/>
        </w:rPr>
        <w:t>Blood Tribe</w:t>
      </w:r>
      <w:r w:rsidRPr="000D5E81">
        <w:rPr>
          <w:rFonts w:cs="Times New Roman"/>
          <w:lang w:val="fr-CA"/>
        </w:rPr>
        <w:t>, militent contre la suppression législative du secret professionnel de l</w:t>
      </w:r>
      <w:r>
        <w:rPr>
          <w:rFonts w:cs="Times New Roman"/>
          <w:lang w:val="fr-CA"/>
        </w:rPr>
        <w:t>’</w:t>
      </w:r>
      <w:r w:rsidRPr="000D5E81">
        <w:rPr>
          <w:rFonts w:cs="Times New Roman"/>
          <w:lang w:val="fr-CA"/>
        </w:rPr>
        <w:t>avocat n</w:t>
      </w:r>
      <w:r>
        <w:rPr>
          <w:rFonts w:cs="Times New Roman"/>
          <w:lang w:val="fr-CA"/>
        </w:rPr>
        <w:t>’</w:t>
      </w:r>
      <w:r w:rsidRPr="000D5E81">
        <w:rPr>
          <w:rFonts w:cs="Times New Roman"/>
          <w:lang w:val="fr-CA"/>
        </w:rPr>
        <w:t>est présent en l</w:t>
      </w:r>
      <w:r>
        <w:rPr>
          <w:rFonts w:cs="Times New Roman"/>
          <w:lang w:val="fr-CA"/>
        </w:rPr>
        <w:t>’</w:t>
      </w:r>
      <w:r w:rsidRPr="000D5E81">
        <w:rPr>
          <w:rFonts w:cs="Times New Roman"/>
          <w:lang w:val="fr-CA"/>
        </w:rPr>
        <w:t>espèce.</w:t>
      </w:r>
    </w:p>
    <w:p w:rsidR="0091315D" w:rsidRPr="000D5E81" w:rsidRDefault="0091315D" w:rsidP="00B3618F">
      <w:pPr>
        <w:pStyle w:val="Title4LevelTitre4Niveau"/>
        <w:widowControl w:val="0"/>
        <w:numPr>
          <w:ilvl w:val="3"/>
          <w:numId w:val="9"/>
        </w:numPr>
        <w:tabs>
          <w:tab w:val="clear" w:pos="1152"/>
          <w:tab w:val="num" w:pos="1440"/>
        </w:tabs>
        <w:ind w:left="1440" w:hanging="720"/>
        <w:rPr>
          <w:rFonts w:cs="Times New Roman"/>
          <w:lang w:val="fr-CA"/>
        </w:rPr>
      </w:pPr>
      <w:r w:rsidRPr="000D5E81">
        <w:rPr>
          <w:rFonts w:cs="Times New Roman"/>
          <w:lang w:val="fr-CA"/>
        </w:rPr>
        <w:t>L</w:t>
      </w:r>
      <w:r>
        <w:rPr>
          <w:rFonts w:cs="Times New Roman"/>
          <w:lang w:val="fr-CA"/>
        </w:rPr>
        <w:t>’</w:t>
      </w:r>
      <w:r w:rsidRPr="000D5E81">
        <w:rPr>
          <w:rFonts w:cs="Times New Roman"/>
          <w:lang w:val="fr-CA"/>
        </w:rPr>
        <w:t>historique législatif de la FOIPP</w:t>
      </w:r>
    </w:p>
    <w:p w:rsidR="0091315D" w:rsidRPr="000D5E81" w:rsidRDefault="0091315D" w:rsidP="00B3618F">
      <w:pPr>
        <w:pStyle w:val="ParaNoNdepar-AltN"/>
        <w:widowControl w:val="0"/>
        <w:rPr>
          <w:rFonts w:cs="Times New Roman"/>
          <w:lang w:val="fr-CA"/>
        </w:rPr>
      </w:pPr>
      <w:r w:rsidRPr="000D5E81">
        <w:rPr>
          <w:rFonts w:cs="Times New Roman"/>
          <w:lang w:val="fr-CA"/>
        </w:rPr>
        <w:lastRenderedPageBreak/>
        <w:t>Même si l</w:t>
      </w:r>
      <w:r>
        <w:rPr>
          <w:rFonts w:cs="Times New Roman"/>
          <w:lang w:val="fr-CA"/>
        </w:rPr>
        <w:t>’</w:t>
      </w:r>
      <w:r w:rsidRPr="000D5E81">
        <w:rPr>
          <w:rFonts w:cs="Times New Roman"/>
          <w:lang w:val="fr-CA"/>
        </w:rPr>
        <w:t>historique législatif en dit peu sur l</w:t>
      </w:r>
      <w:r>
        <w:rPr>
          <w:rFonts w:cs="Times New Roman"/>
          <w:lang w:val="fr-CA"/>
        </w:rPr>
        <w:t>’</w:t>
      </w:r>
      <w:r w:rsidRPr="000D5E81">
        <w:rPr>
          <w:rFonts w:cs="Times New Roman"/>
          <w:lang w:val="fr-CA"/>
        </w:rPr>
        <w:t xml:space="preserve">intention précise du législateur quant à savoir si le commissaire peut, en vertu du </w:t>
      </w:r>
      <w:r>
        <w:rPr>
          <w:rFonts w:cs="Times New Roman"/>
          <w:lang w:val="fr-CA"/>
        </w:rPr>
        <w:t>par. </w:t>
      </w:r>
      <w:r w:rsidRPr="000D5E81">
        <w:rPr>
          <w:rFonts w:cs="Times New Roman"/>
          <w:lang w:val="fr-CA"/>
        </w:rPr>
        <w:t>56(3), ordonner la production de documents protégés par le secret professionnel de l</w:t>
      </w:r>
      <w:r>
        <w:rPr>
          <w:rFonts w:cs="Times New Roman"/>
          <w:lang w:val="fr-CA"/>
        </w:rPr>
        <w:t>’</w:t>
      </w:r>
      <w:r w:rsidRPr="000D5E81">
        <w:rPr>
          <w:rFonts w:cs="Times New Roman"/>
          <w:lang w:val="fr-CA"/>
        </w:rPr>
        <w:t>avocat, les débats qui ont précédé l</w:t>
      </w:r>
      <w:r>
        <w:rPr>
          <w:rFonts w:cs="Times New Roman"/>
          <w:lang w:val="fr-CA"/>
        </w:rPr>
        <w:t>’</w:t>
      </w:r>
      <w:r w:rsidRPr="000D5E81">
        <w:rPr>
          <w:rFonts w:cs="Times New Roman"/>
          <w:lang w:val="fr-CA"/>
        </w:rPr>
        <w:t>adoption de la première ébauche de la loi montrent que le législateur a voulu doter le commissaire de vigoureux pouvoirs juridictionnels</w:t>
      </w:r>
      <w:r w:rsidRPr="00BE5944">
        <w:rPr>
          <w:rStyle w:val="Hyperlink"/>
          <w:vertAlign w:val="superscript"/>
        </w:rPr>
        <w:footnoteReference w:id="1"/>
      </w:r>
      <w:r w:rsidRPr="000D5E81">
        <w:rPr>
          <w:rFonts w:cs="Times New Roman"/>
          <w:lang w:val="fr-CA"/>
        </w:rPr>
        <w:t xml:space="preserve"> et simplifier le processus juridictionnel de manière à assurer l</w:t>
      </w:r>
      <w:r>
        <w:rPr>
          <w:rFonts w:cs="Times New Roman"/>
          <w:lang w:val="fr-CA"/>
        </w:rPr>
        <w:t>’</w:t>
      </w:r>
      <w:r w:rsidRPr="000D5E81">
        <w:rPr>
          <w:rFonts w:cs="Times New Roman"/>
          <w:lang w:val="fr-CA"/>
        </w:rPr>
        <w:t>accessibilité et à réduire les délais</w:t>
      </w:r>
      <w:r w:rsidRPr="00BE5944">
        <w:rPr>
          <w:rStyle w:val="Hyperlink"/>
          <w:vertAlign w:val="superscript"/>
        </w:rPr>
        <w:footnoteReference w:id="2"/>
      </w:r>
      <w:r w:rsidRPr="000D5E81">
        <w:rPr>
          <w:rFonts w:cs="Times New Roman"/>
          <w:lang w:val="fr-CA"/>
        </w:rPr>
        <w:t>, ce qui étaye plus avant l</w:t>
      </w:r>
      <w:r>
        <w:rPr>
          <w:rFonts w:cs="Times New Roman"/>
          <w:lang w:val="fr-CA"/>
        </w:rPr>
        <w:t>’</w:t>
      </w:r>
      <w:r w:rsidRPr="000D5E81">
        <w:rPr>
          <w:rFonts w:cs="Times New Roman"/>
          <w:lang w:val="fr-CA"/>
        </w:rPr>
        <w:t xml:space="preserve">interprétation voulant que le </w:t>
      </w:r>
      <w:r>
        <w:rPr>
          <w:rFonts w:cs="Times New Roman"/>
          <w:lang w:val="fr-CA"/>
        </w:rPr>
        <w:t>par. </w:t>
      </w:r>
      <w:r w:rsidRPr="000D5E81">
        <w:rPr>
          <w:rFonts w:cs="Times New Roman"/>
          <w:lang w:val="fr-CA"/>
        </w:rPr>
        <w:t xml:space="preserve">56(3) supprime le secret </w:t>
      </w:r>
      <w:r w:rsidRPr="000D5E81">
        <w:rPr>
          <w:rFonts w:cs="Times New Roman"/>
          <w:lang w:val="fr-CA"/>
        </w:rPr>
        <w:lastRenderedPageBreak/>
        <w:t>professionnel de l</w:t>
      </w:r>
      <w:r>
        <w:rPr>
          <w:rFonts w:cs="Times New Roman"/>
          <w:lang w:val="fr-CA"/>
        </w:rPr>
        <w:t>’</w:t>
      </w:r>
      <w:r w:rsidRPr="000D5E81">
        <w:rPr>
          <w:rFonts w:cs="Times New Roman"/>
          <w:lang w:val="fr-CA"/>
        </w:rPr>
        <w:t>avocat.</w:t>
      </w:r>
    </w:p>
    <w:p w:rsidR="0091315D" w:rsidRPr="000D5E81" w:rsidRDefault="0091315D" w:rsidP="00B3618F">
      <w:pPr>
        <w:pStyle w:val="Title4LevelTitre4Niveau"/>
        <w:widowControl w:val="0"/>
        <w:numPr>
          <w:ilvl w:val="3"/>
          <w:numId w:val="9"/>
        </w:numPr>
        <w:tabs>
          <w:tab w:val="clear" w:pos="1152"/>
          <w:tab w:val="num" w:pos="1440"/>
        </w:tabs>
        <w:ind w:left="1440" w:hanging="720"/>
        <w:rPr>
          <w:rFonts w:cs="Times New Roman"/>
          <w:i w:val="0"/>
          <w:lang w:val="fr-CA"/>
        </w:rPr>
      </w:pPr>
      <w:r w:rsidRPr="000D5E81">
        <w:rPr>
          <w:rFonts w:cs="Times New Roman"/>
          <w:lang w:val="fr-CA"/>
        </w:rPr>
        <w:t>Dispositions apparentées</w:t>
      </w:r>
    </w:p>
    <w:p w:rsidR="0091315D" w:rsidRPr="000D5E81" w:rsidRDefault="0091315D" w:rsidP="00B3618F">
      <w:pPr>
        <w:pStyle w:val="ParaNoNdepar-AltN"/>
        <w:widowControl w:val="0"/>
        <w:rPr>
          <w:rFonts w:cs="Times New Roman"/>
          <w:lang w:val="fr-CA"/>
        </w:rPr>
      </w:pPr>
      <w:r w:rsidRPr="000D5E81">
        <w:rPr>
          <w:rFonts w:cs="Times New Roman"/>
          <w:lang w:val="fr-CA"/>
        </w:rPr>
        <w:t>Les dispositions apparentées d</w:t>
      </w:r>
      <w:r>
        <w:rPr>
          <w:rFonts w:cs="Times New Roman"/>
          <w:lang w:val="fr-CA"/>
        </w:rPr>
        <w:t>’</w:t>
      </w:r>
      <w:r w:rsidRPr="000D5E81">
        <w:rPr>
          <w:rFonts w:cs="Times New Roman"/>
          <w:lang w:val="fr-CA"/>
        </w:rPr>
        <w:t>autres ressorts, que l</w:t>
      </w:r>
      <w:r>
        <w:rPr>
          <w:rFonts w:cs="Times New Roman"/>
          <w:lang w:val="fr-CA"/>
        </w:rPr>
        <w:t>’</w:t>
      </w:r>
      <w:r w:rsidRPr="000D5E81">
        <w:rPr>
          <w:rFonts w:cs="Times New Roman"/>
          <w:lang w:val="fr-CA"/>
        </w:rPr>
        <w:t xml:space="preserve">on qualifie parfois de « parallèles », peuvent utilement être intégrées au contexte législatif (voir </w:t>
      </w:r>
      <w:r>
        <w:rPr>
          <w:rFonts w:cs="Times New Roman"/>
          <w:lang w:val="fr-CA"/>
        </w:rPr>
        <w:t>p. </w:t>
      </w:r>
      <w:r w:rsidRPr="000D5E81">
        <w:rPr>
          <w:rFonts w:cs="Times New Roman"/>
          <w:lang w:val="fr-CA"/>
        </w:rPr>
        <w:t xml:space="preserve">ex. R. Sullivan, </w:t>
      </w:r>
      <w:r w:rsidRPr="000D5E81">
        <w:rPr>
          <w:rFonts w:cs="Times New Roman"/>
          <w:i/>
          <w:lang w:val="fr-CA"/>
        </w:rPr>
        <w:t>Sullivan on the Construction of Statutes</w:t>
      </w:r>
      <w:r w:rsidRPr="000D5E81">
        <w:rPr>
          <w:rFonts w:cs="Times New Roman"/>
          <w:lang w:val="fr-CA"/>
        </w:rPr>
        <w:t xml:space="preserve"> (6</w:t>
      </w:r>
      <w:r w:rsidRPr="000D5E81">
        <w:rPr>
          <w:rFonts w:cs="Times New Roman"/>
          <w:vertAlign w:val="superscript"/>
          <w:lang w:val="fr-CA"/>
        </w:rPr>
        <w:t>e</w:t>
      </w:r>
      <w:r w:rsidRPr="000D5E81">
        <w:rPr>
          <w:rFonts w:cs="Times New Roman"/>
          <w:lang w:val="fr-CA"/>
        </w:rPr>
        <w:t xml:space="preserve"> éd. 2014),</w:t>
      </w:r>
      <w:r w:rsidRPr="000D5E81">
        <w:rPr>
          <w:rFonts w:cs="Times New Roman"/>
          <w:i/>
          <w:lang w:val="fr-CA"/>
        </w:rPr>
        <w:t xml:space="preserve"> </w:t>
      </w:r>
      <w:r w:rsidRPr="000D5E81">
        <w:rPr>
          <w:rFonts w:cs="Times New Roman"/>
          <w:lang w:val="fr-CA"/>
        </w:rPr>
        <w:t>§13.41</w:t>
      </w:r>
      <w:r w:rsidR="007A441D">
        <w:rPr>
          <w:rFonts w:cs="Times New Roman"/>
          <w:lang w:val="fr-CA"/>
        </w:rPr>
        <w:t xml:space="preserve"> à </w:t>
      </w:r>
      <w:r w:rsidRPr="000D5E81">
        <w:rPr>
          <w:rFonts w:cs="Times New Roman"/>
          <w:lang w:val="fr-CA"/>
        </w:rPr>
        <w:t xml:space="preserve">13.51; </w:t>
      </w:r>
      <w:r w:rsidRPr="000D5E81">
        <w:rPr>
          <w:rFonts w:cs="Times New Roman"/>
          <w:i/>
          <w:lang w:val="fr-CA"/>
        </w:rPr>
        <w:t>Canada (Commission canadienne des droits de la personne) c. Canada (Procureur général)</w:t>
      </w:r>
      <w:r w:rsidRPr="000D5E81">
        <w:rPr>
          <w:rFonts w:cs="Times New Roman"/>
          <w:lang w:val="fr-CA"/>
        </w:rPr>
        <w:t xml:space="preserve">, 2011 CSC 53, [2011] 3 R.C.S. 471, </w:t>
      </w:r>
      <w:r>
        <w:rPr>
          <w:rFonts w:cs="Times New Roman"/>
          <w:lang w:val="fr-CA"/>
        </w:rPr>
        <w:t>par. </w:t>
      </w:r>
      <w:r w:rsidRPr="000D5E81">
        <w:rPr>
          <w:rFonts w:cs="Times New Roman"/>
          <w:lang w:val="fr-CA"/>
        </w:rPr>
        <w:t>57</w:t>
      </w:r>
      <w:r>
        <w:rPr>
          <w:rFonts w:cs="Times New Roman"/>
          <w:lang w:val="fr-CA"/>
        </w:rPr>
        <w:noBreakHyphen/>
      </w:r>
      <w:r w:rsidRPr="000D5E81">
        <w:rPr>
          <w:rFonts w:cs="Times New Roman"/>
          <w:lang w:val="fr-CA"/>
        </w:rPr>
        <w:t>60). Par exemple, il est généralement souhaitable d</w:t>
      </w:r>
      <w:r>
        <w:rPr>
          <w:rFonts w:cs="Times New Roman"/>
          <w:lang w:val="fr-CA"/>
        </w:rPr>
        <w:t>’</w:t>
      </w:r>
      <w:r w:rsidRPr="000D5E81">
        <w:rPr>
          <w:rFonts w:cs="Times New Roman"/>
          <w:lang w:val="fr-CA"/>
        </w:rPr>
        <w:t xml:space="preserve">interpréter uniformément le libellé semblable des dispositions législatives adoptées sur un même sujet dans les différents ressorts canadiens (voir </w:t>
      </w:r>
      <w:r>
        <w:rPr>
          <w:rFonts w:cs="Times New Roman"/>
          <w:lang w:val="fr-CA"/>
        </w:rPr>
        <w:t>p. </w:t>
      </w:r>
      <w:r w:rsidRPr="000D5E81">
        <w:rPr>
          <w:rFonts w:cs="Times New Roman"/>
          <w:lang w:val="fr-CA"/>
        </w:rPr>
        <w:t xml:space="preserve">ex. </w:t>
      </w:r>
      <w:r w:rsidRPr="000D5E81">
        <w:rPr>
          <w:rFonts w:cs="Times New Roman"/>
          <w:i/>
          <w:lang w:val="fr-CA"/>
        </w:rPr>
        <w:t>Merck Frosst Canada Ltée c. Canada (Santé)</w:t>
      </w:r>
      <w:r w:rsidRPr="000D5E81">
        <w:rPr>
          <w:rFonts w:cs="Times New Roman"/>
          <w:lang w:val="fr-CA"/>
        </w:rPr>
        <w:t xml:space="preserve">, 2012 CSC 3, [2012] 1 R.C.S. 23, </w:t>
      </w:r>
      <w:r>
        <w:rPr>
          <w:rFonts w:cs="Times New Roman"/>
          <w:lang w:val="fr-CA"/>
        </w:rPr>
        <w:t>par. </w:t>
      </w:r>
      <w:r w:rsidRPr="000D5E81">
        <w:rPr>
          <w:rFonts w:cs="Times New Roman"/>
          <w:lang w:val="fr-CA"/>
        </w:rPr>
        <w:t>195). Dans la présente affaire, les dispositions apparentées de la Colombie</w:t>
      </w:r>
      <w:r>
        <w:rPr>
          <w:rFonts w:cs="Times New Roman"/>
          <w:lang w:val="fr-CA"/>
        </w:rPr>
        <w:noBreakHyphen/>
      </w:r>
      <w:r w:rsidRPr="000D5E81">
        <w:rPr>
          <w:rFonts w:cs="Times New Roman"/>
          <w:lang w:val="fr-CA"/>
        </w:rPr>
        <w:t>Britannique apportent un certain éclairage sur le plan de l</w:t>
      </w:r>
      <w:r>
        <w:rPr>
          <w:rFonts w:cs="Times New Roman"/>
          <w:lang w:val="fr-CA"/>
        </w:rPr>
        <w:t>’</w:t>
      </w:r>
      <w:r w:rsidRPr="000D5E81">
        <w:rPr>
          <w:rFonts w:cs="Times New Roman"/>
          <w:lang w:val="fr-CA"/>
        </w:rPr>
        <w:t xml:space="preserve">interprétation. </w:t>
      </w:r>
    </w:p>
    <w:p w:rsidR="0091315D" w:rsidRPr="000D5E81" w:rsidRDefault="0091315D" w:rsidP="00B3618F">
      <w:pPr>
        <w:pStyle w:val="ParaNoNdepar-AltN"/>
        <w:widowControl w:val="0"/>
        <w:rPr>
          <w:rFonts w:cs="Times New Roman"/>
          <w:lang w:val="fr-CA"/>
        </w:rPr>
      </w:pPr>
      <w:r w:rsidRPr="000D5E81">
        <w:rPr>
          <w:rFonts w:cs="Times New Roman"/>
          <w:lang w:val="fr-CA"/>
        </w:rPr>
        <w:t>En effet, elles disposent au moyen d</w:t>
      </w:r>
      <w:r>
        <w:rPr>
          <w:rFonts w:cs="Times New Roman"/>
          <w:lang w:val="fr-CA"/>
        </w:rPr>
        <w:t>’</w:t>
      </w:r>
      <w:r w:rsidRPr="000D5E81">
        <w:rPr>
          <w:rFonts w:cs="Times New Roman"/>
          <w:lang w:val="fr-CA"/>
        </w:rPr>
        <w:t xml:space="preserve">un libellé quasi identique à celui du </w:t>
      </w:r>
      <w:r>
        <w:rPr>
          <w:rFonts w:cs="Times New Roman"/>
          <w:lang w:val="fr-CA"/>
        </w:rPr>
        <w:t>par. </w:t>
      </w:r>
      <w:r w:rsidRPr="000D5E81">
        <w:rPr>
          <w:rFonts w:cs="Times New Roman"/>
          <w:lang w:val="fr-CA"/>
        </w:rPr>
        <w:t>56(3) de la loi albertaine que [</w:t>
      </w:r>
      <w:r w:rsidRPr="000D5E81">
        <w:rPr>
          <w:rFonts w:cs="Times New Roman"/>
          <w:smallCaps/>
          <w:lang w:val="fr-CA"/>
        </w:rPr>
        <w:t>traduction</w:t>
      </w:r>
      <w:r>
        <w:rPr>
          <w:rFonts w:cs="Times New Roman"/>
          <w:lang w:val="fr-CA"/>
        </w:rPr>
        <w:t xml:space="preserve">] </w:t>
      </w:r>
      <w:r w:rsidRPr="000D5E81">
        <w:rPr>
          <w:rFonts w:cs="Times New Roman"/>
          <w:lang w:val="fr-CA"/>
        </w:rPr>
        <w:t>« [m]algré [. . .] tout privilège que reconnaît le droit de la preuve, l</w:t>
      </w:r>
      <w:r>
        <w:rPr>
          <w:rFonts w:cs="Times New Roman"/>
          <w:lang w:val="fr-CA"/>
        </w:rPr>
        <w:t>’</w:t>
      </w:r>
      <w:r w:rsidRPr="000D5E81">
        <w:rPr>
          <w:rFonts w:cs="Times New Roman"/>
          <w:lang w:val="fr-CA"/>
        </w:rPr>
        <w:t>organisme public produit dans les dix jours l</w:t>
      </w:r>
      <w:r>
        <w:rPr>
          <w:rFonts w:cs="Times New Roman"/>
          <w:lang w:val="fr-CA"/>
        </w:rPr>
        <w:t>’</w:t>
      </w:r>
      <w:r w:rsidRPr="000D5E81">
        <w:rPr>
          <w:rFonts w:cs="Times New Roman"/>
          <w:lang w:val="fr-CA"/>
        </w:rPr>
        <w:t xml:space="preserve">original ou une copie des documents exigés </w:t>
      </w:r>
      <w:r>
        <w:rPr>
          <w:rFonts w:cs="Times New Roman"/>
          <w:lang w:val="fr-CA"/>
        </w:rPr>
        <w:t>[. . .</w:t>
      </w:r>
      <w:r w:rsidRPr="000D5E81">
        <w:rPr>
          <w:rFonts w:cs="Times New Roman"/>
          <w:lang w:val="fr-CA"/>
        </w:rPr>
        <w:t>] en vertu du paragraphe (1) » (</w:t>
      </w:r>
      <w:r w:rsidRPr="000D5E81">
        <w:rPr>
          <w:rFonts w:cs="Times New Roman"/>
          <w:i/>
          <w:lang w:val="fr-CA"/>
        </w:rPr>
        <w:t>Freedom of Information and Protection of Privacy Act</w:t>
      </w:r>
      <w:r w:rsidRPr="000D5E81">
        <w:rPr>
          <w:rFonts w:cs="Times New Roman"/>
          <w:lang w:val="fr-CA"/>
        </w:rPr>
        <w:t xml:space="preserve">, R.S.B.C. 1996, c. 165, </w:t>
      </w:r>
      <w:r>
        <w:rPr>
          <w:rFonts w:cs="Times New Roman"/>
          <w:lang w:val="fr-CA"/>
        </w:rPr>
        <w:t>par. </w:t>
      </w:r>
      <w:r w:rsidRPr="000D5E81">
        <w:rPr>
          <w:rFonts w:cs="Times New Roman"/>
          <w:lang w:val="fr-CA"/>
        </w:rPr>
        <w:t>44(3)</w:t>
      </w:r>
      <w:r w:rsidR="00AD5FCD">
        <w:rPr>
          <w:rFonts w:cs="Times New Roman"/>
          <w:lang w:val="fr-CA"/>
        </w:rPr>
        <w:t>)</w:t>
      </w:r>
      <w:r w:rsidRPr="000D5E81">
        <w:rPr>
          <w:rFonts w:cs="Times New Roman"/>
          <w:lang w:val="fr-CA"/>
        </w:rPr>
        <w:t>. L</w:t>
      </w:r>
      <w:r>
        <w:rPr>
          <w:rFonts w:cs="Times New Roman"/>
          <w:lang w:val="fr-CA"/>
        </w:rPr>
        <w:t>’</w:t>
      </w:r>
      <w:r w:rsidRPr="000D5E81">
        <w:rPr>
          <w:rFonts w:cs="Times New Roman"/>
          <w:lang w:val="fr-CA"/>
        </w:rPr>
        <w:t>alinéa 44(1)</w:t>
      </w:r>
      <w:r w:rsidR="00D335C0">
        <w:rPr>
          <w:rFonts w:cs="Times New Roman"/>
          <w:lang w:val="fr-CA"/>
        </w:rPr>
        <w:t>(</w:t>
      </w:r>
      <w:r w:rsidRPr="000D5E81">
        <w:rPr>
          <w:rFonts w:cs="Times New Roman"/>
          <w:lang w:val="fr-CA"/>
        </w:rPr>
        <w:t>b) autorise le commissaire à « rendre une ordonnance enjoignant à une personne de [</w:t>
      </w:r>
      <w:r>
        <w:rPr>
          <w:rFonts w:cs="Times New Roman"/>
          <w:lang w:val="fr-CA"/>
        </w:rPr>
        <w:t>. . .</w:t>
      </w:r>
      <w:r w:rsidRPr="000D5E81">
        <w:rPr>
          <w:rFonts w:cs="Times New Roman"/>
          <w:lang w:val="fr-CA"/>
        </w:rPr>
        <w:t>] produire à son intention un document qu</w:t>
      </w:r>
      <w:r>
        <w:rPr>
          <w:rFonts w:cs="Times New Roman"/>
          <w:lang w:val="fr-CA"/>
        </w:rPr>
        <w:t>’</w:t>
      </w:r>
      <w:r w:rsidR="00D335C0">
        <w:rPr>
          <w:rFonts w:cs="Times New Roman"/>
          <w:lang w:val="fr-CA"/>
        </w:rPr>
        <w:t>elle a en sa possession </w:t>
      </w:r>
      <w:r w:rsidRPr="000D5E81">
        <w:rPr>
          <w:rFonts w:cs="Times New Roman"/>
          <w:lang w:val="fr-CA"/>
        </w:rPr>
        <w:t>». L</w:t>
      </w:r>
      <w:r>
        <w:rPr>
          <w:rFonts w:cs="Times New Roman"/>
          <w:lang w:val="fr-CA"/>
        </w:rPr>
        <w:t>’</w:t>
      </w:r>
      <w:r w:rsidRPr="000D5E81">
        <w:rPr>
          <w:rFonts w:cs="Times New Roman"/>
          <w:lang w:val="fr-CA"/>
        </w:rPr>
        <w:t>alinéa 44(2)</w:t>
      </w:r>
      <w:r w:rsidR="00D335C0">
        <w:rPr>
          <w:rFonts w:cs="Times New Roman"/>
          <w:lang w:val="fr-CA"/>
        </w:rPr>
        <w:t>(</w:t>
      </w:r>
      <w:r w:rsidRPr="000D5E81">
        <w:rPr>
          <w:rFonts w:cs="Times New Roman"/>
          <w:lang w:val="fr-CA"/>
        </w:rPr>
        <w:t>a) dispose qu</w:t>
      </w:r>
      <w:r>
        <w:rPr>
          <w:rFonts w:cs="Times New Roman"/>
          <w:lang w:val="fr-CA"/>
        </w:rPr>
        <w:t>’</w:t>
      </w:r>
      <w:r w:rsidRPr="000D5E81">
        <w:rPr>
          <w:rFonts w:cs="Times New Roman"/>
          <w:lang w:val="fr-CA"/>
        </w:rPr>
        <w:t>il peut s</w:t>
      </w:r>
      <w:r>
        <w:rPr>
          <w:rFonts w:cs="Times New Roman"/>
          <w:lang w:val="fr-CA"/>
        </w:rPr>
        <w:t>’</w:t>
      </w:r>
      <w:r w:rsidRPr="000D5E81">
        <w:rPr>
          <w:rFonts w:cs="Times New Roman"/>
          <w:lang w:val="fr-CA"/>
        </w:rPr>
        <w:t xml:space="preserve">adresser à la cour suprême </w:t>
      </w:r>
      <w:r w:rsidR="00D335C0">
        <w:rPr>
          <w:rFonts w:cs="Times New Roman"/>
          <w:lang w:val="fr-CA"/>
        </w:rPr>
        <w:t xml:space="preserve">de la Colombie-Britannique </w:t>
      </w:r>
      <w:r w:rsidRPr="000D5E81">
        <w:rPr>
          <w:rFonts w:cs="Times New Roman"/>
          <w:lang w:val="fr-CA"/>
        </w:rPr>
        <w:t>afin d</w:t>
      </w:r>
      <w:r>
        <w:rPr>
          <w:rFonts w:cs="Times New Roman"/>
          <w:lang w:val="fr-CA"/>
        </w:rPr>
        <w:t>’</w:t>
      </w:r>
      <w:r w:rsidRPr="000D5E81">
        <w:rPr>
          <w:rFonts w:cs="Times New Roman"/>
          <w:lang w:val="fr-CA"/>
        </w:rPr>
        <w:t xml:space="preserve">obtenir une ordonnance « enjoignant à une personne de se </w:t>
      </w:r>
      <w:r w:rsidRPr="000D5E81">
        <w:rPr>
          <w:rFonts w:cs="Times New Roman"/>
          <w:lang w:val="fr-CA"/>
        </w:rPr>
        <w:lastRenderedPageBreak/>
        <w:t>conformer à une ordonnance rendue sur le fondement du paragraphe (1) ». Je signale que le pouvoir conféré à la cour par l</w:t>
      </w:r>
      <w:r>
        <w:rPr>
          <w:rFonts w:cs="Times New Roman"/>
          <w:lang w:val="fr-CA"/>
        </w:rPr>
        <w:t>’al. </w:t>
      </w:r>
      <w:r w:rsidRPr="000D5E81">
        <w:rPr>
          <w:rFonts w:cs="Times New Roman"/>
          <w:lang w:val="fr-CA"/>
        </w:rPr>
        <w:t>44(2)</w:t>
      </w:r>
      <w:r w:rsidR="00D335C0">
        <w:rPr>
          <w:rFonts w:cs="Times New Roman"/>
          <w:lang w:val="fr-CA"/>
        </w:rPr>
        <w:t>(</w:t>
      </w:r>
      <w:r w:rsidRPr="000D5E81">
        <w:rPr>
          <w:rFonts w:cs="Times New Roman"/>
          <w:lang w:val="fr-CA"/>
        </w:rPr>
        <w:t>a) se limite à « enjoin[dre] à une personne de se conformer à une ordonnance rendue sur le fondement du paragraphe (1) [c.</w:t>
      </w:r>
      <w:r>
        <w:rPr>
          <w:rFonts w:cs="Times New Roman"/>
          <w:lang w:val="fr-CA"/>
        </w:rPr>
        <w:noBreakHyphen/>
      </w:r>
      <w:r w:rsidRPr="000D5E81">
        <w:rPr>
          <w:rFonts w:cs="Times New Roman"/>
          <w:lang w:val="fr-CA"/>
        </w:rPr>
        <w:t>à</w:t>
      </w:r>
      <w:r>
        <w:rPr>
          <w:rFonts w:cs="Times New Roman"/>
          <w:lang w:val="fr-CA"/>
        </w:rPr>
        <w:noBreakHyphen/>
      </w:r>
      <w:r w:rsidRPr="000D5E81">
        <w:rPr>
          <w:rFonts w:cs="Times New Roman"/>
          <w:lang w:val="fr-CA"/>
        </w:rPr>
        <w:t xml:space="preserve">d. </w:t>
      </w:r>
      <w:r w:rsidRPr="000D5E81">
        <w:rPr>
          <w:rFonts w:cs="Times New Roman"/>
          <w:i/>
          <w:lang w:val="fr-CA"/>
        </w:rPr>
        <w:t>une ordonnance du commissaire</w:t>
      </w:r>
      <w:r w:rsidRPr="000D5E81">
        <w:rPr>
          <w:rFonts w:cs="Times New Roman"/>
          <w:lang w:val="fr-CA"/>
        </w:rPr>
        <w:t>] ». C</w:t>
      </w:r>
      <w:r>
        <w:rPr>
          <w:rFonts w:cs="Times New Roman"/>
          <w:lang w:val="fr-CA"/>
        </w:rPr>
        <w:t>’</w:t>
      </w:r>
      <w:r w:rsidRPr="000D5E81">
        <w:rPr>
          <w:rFonts w:cs="Times New Roman"/>
          <w:lang w:val="fr-CA"/>
        </w:rPr>
        <w:t>est donc l</w:t>
      </w:r>
      <w:r>
        <w:rPr>
          <w:rFonts w:cs="Times New Roman"/>
          <w:lang w:val="fr-CA"/>
        </w:rPr>
        <w:t>’</w:t>
      </w:r>
      <w:r w:rsidRPr="000D5E81">
        <w:rPr>
          <w:rFonts w:cs="Times New Roman"/>
          <w:lang w:val="fr-CA"/>
        </w:rPr>
        <w:t xml:space="preserve">ordonnance du commissaire que la cour est autorisée à faire respecter au </w:t>
      </w:r>
      <w:r>
        <w:rPr>
          <w:rFonts w:cs="Times New Roman"/>
          <w:lang w:val="fr-CA"/>
        </w:rPr>
        <w:t>par. </w:t>
      </w:r>
      <w:r w:rsidRPr="000D5E81">
        <w:rPr>
          <w:rFonts w:cs="Times New Roman"/>
          <w:lang w:val="fr-CA"/>
        </w:rPr>
        <w:t xml:space="preserve">44(2). </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La loi a été modifiée en 2003 de manière à prévoir (au </w:t>
      </w:r>
      <w:r>
        <w:rPr>
          <w:rFonts w:cs="Times New Roman"/>
          <w:lang w:val="fr-CA"/>
        </w:rPr>
        <w:t>par. </w:t>
      </w:r>
      <w:r w:rsidRPr="000D5E81">
        <w:rPr>
          <w:rFonts w:cs="Times New Roman"/>
          <w:lang w:val="fr-CA"/>
        </w:rPr>
        <w:t>44(2.1)) que lorsqu</w:t>
      </w:r>
      <w:r>
        <w:rPr>
          <w:rFonts w:cs="Times New Roman"/>
          <w:lang w:val="fr-CA"/>
        </w:rPr>
        <w:t>’</w:t>
      </w:r>
      <w:r w:rsidRPr="000D5E81">
        <w:rPr>
          <w:rFonts w:cs="Times New Roman"/>
          <w:lang w:val="fr-CA"/>
        </w:rPr>
        <w:t>un document protégé par le secret professionnel de l</w:t>
      </w:r>
      <w:r>
        <w:rPr>
          <w:rFonts w:cs="Times New Roman"/>
          <w:lang w:val="fr-CA"/>
        </w:rPr>
        <w:t>’</w:t>
      </w:r>
      <w:r w:rsidRPr="000D5E81">
        <w:rPr>
          <w:rFonts w:cs="Times New Roman"/>
          <w:lang w:val="fr-CA"/>
        </w:rPr>
        <w:t>avocat est produit à l</w:t>
      </w:r>
      <w:r>
        <w:rPr>
          <w:rFonts w:cs="Times New Roman"/>
          <w:lang w:val="fr-CA"/>
        </w:rPr>
        <w:t>’</w:t>
      </w:r>
      <w:r w:rsidRPr="000D5E81">
        <w:rPr>
          <w:rFonts w:cs="Times New Roman"/>
          <w:lang w:val="fr-CA"/>
        </w:rPr>
        <w:t>intention du commissaire, à sa demande ou « en application</w:t>
      </w:r>
      <w:r>
        <w:rPr>
          <w:rFonts w:cs="Times New Roman"/>
          <w:lang w:val="fr-CA"/>
        </w:rPr>
        <w:t xml:space="preserve"> du paragraphe </w:t>
      </w:r>
      <w:r w:rsidRPr="000D5E81">
        <w:rPr>
          <w:rFonts w:cs="Times New Roman"/>
          <w:lang w:val="fr-CA"/>
        </w:rPr>
        <w:t>(1) », le secret professionnel de l</w:t>
      </w:r>
      <w:r>
        <w:rPr>
          <w:rFonts w:cs="Times New Roman"/>
          <w:lang w:val="fr-CA"/>
        </w:rPr>
        <w:t>’</w:t>
      </w:r>
      <w:r w:rsidRPr="000D5E81">
        <w:rPr>
          <w:rFonts w:cs="Times New Roman"/>
          <w:lang w:val="fr-CA"/>
        </w:rPr>
        <w:t>avocat continue de protéger le document malgré la communication (</w:t>
      </w:r>
      <w:r w:rsidRPr="000D5E81">
        <w:rPr>
          <w:rFonts w:cs="Times New Roman"/>
          <w:i/>
          <w:lang w:val="fr-CA"/>
        </w:rPr>
        <w:t>Freedom of Information and Protection of Privacy Amendment Act, 2003</w:t>
      </w:r>
      <w:r w:rsidRPr="000D5E81">
        <w:rPr>
          <w:rFonts w:cs="Times New Roman"/>
          <w:lang w:val="fr-CA"/>
        </w:rPr>
        <w:t>, S.B.C. 2003, c. 5</w:t>
      </w:r>
      <w:r w:rsidR="00D335C0">
        <w:rPr>
          <w:rFonts w:cs="Times New Roman"/>
          <w:lang w:val="fr-CA"/>
        </w:rPr>
        <w:t>,</w:t>
      </w:r>
      <w:r w:rsidRPr="000D5E81">
        <w:rPr>
          <w:rFonts w:cs="Times New Roman"/>
          <w:lang w:val="fr-CA"/>
        </w:rPr>
        <w:t xml:space="preserve"> </w:t>
      </w:r>
      <w:r>
        <w:rPr>
          <w:rFonts w:cs="Times New Roman"/>
          <w:lang w:val="fr-CA"/>
        </w:rPr>
        <w:t>art. </w:t>
      </w:r>
      <w:r w:rsidRPr="000D5E81">
        <w:rPr>
          <w:rFonts w:cs="Times New Roman"/>
          <w:lang w:val="fr-CA"/>
        </w:rPr>
        <w:t xml:space="preserve">15; voir aussi la </w:t>
      </w:r>
      <w:r w:rsidRPr="000D5E81">
        <w:rPr>
          <w:rFonts w:cs="Times New Roman"/>
          <w:i/>
          <w:lang w:val="fr-CA"/>
        </w:rPr>
        <w:t>Public Inquiry Act</w:t>
      </w:r>
      <w:r w:rsidRPr="000D5E81">
        <w:rPr>
          <w:rFonts w:cs="Times New Roman"/>
          <w:lang w:val="fr-CA"/>
        </w:rPr>
        <w:t xml:space="preserve">, S.B.C. 2007, c. 9, </w:t>
      </w:r>
      <w:r>
        <w:rPr>
          <w:rFonts w:cs="Times New Roman"/>
          <w:lang w:val="fr-CA"/>
        </w:rPr>
        <w:t>art. </w:t>
      </w:r>
      <w:r w:rsidRPr="000D5E81">
        <w:rPr>
          <w:rFonts w:cs="Times New Roman"/>
          <w:lang w:val="fr-CA"/>
        </w:rPr>
        <w:t>76, qui modifie l</w:t>
      </w:r>
      <w:r>
        <w:rPr>
          <w:rFonts w:cs="Times New Roman"/>
          <w:lang w:val="fr-CA"/>
        </w:rPr>
        <w:t>’art. </w:t>
      </w:r>
      <w:r w:rsidRPr="000D5E81">
        <w:rPr>
          <w:rFonts w:cs="Times New Roman"/>
          <w:lang w:val="fr-CA"/>
        </w:rPr>
        <w:t xml:space="preserve">44 de la </w:t>
      </w:r>
      <w:r w:rsidRPr="000D5E81">
        <w:rPr>
          <w:rFonts w:cs="Times New Roman"/>
          <w:i/>
          <w:lang w:val="fr-CA"/>
        </w:rPr>
        <w:t>Freedom of Information and Protection of Privacy Act</w:t>
      </w:r>
      <w:r w:rsidRPr="000D5E81">
        <w:rPr>
          <w:rFonts w:cs="Times New Roman"/>
          <w:lang w:val="fr-CA"/>
        </w:rPr>
        <w:t>, mais pas de manière pertinente en ce qui nous concerne). Rappelons que l</w:t>
      </w:r>
      <w:r>
        <w:rPr>
          <w:rFonts w:cs="Times New Roman"/>
          <w:lang w:val="fr-CA"/>
        </w:rPr>
        <w:t>’</w:t>
      </w:r>
      <w:r w:rsidRPr="000D5E81">
        <w:rPr>
          <w:rFonts w:cs="Times New Roman"/>
          <w:lang w:val="fr-CA"/>
        </w:rPr>
        <w:t xml:space="preserve">ordonnance rendue sur le fondement du </w:t>
      </w:r>
      <w:r>
        <w:rPr>
          <w:rFonts w:cs="Times New Roman"/>
          <w:lang w:val="fr-CA"/>
        </w:rPr>
        <w:t>par. </w:t>
      </w:r>
      <w:r w:rsidRPr="000D5E81">
        <w:rPr>
          <w:rFonts w:cs="Times New Roman"/>
          <w:lang w:val="fr-CA"/>
        </w:rPr>
        <w:t>44(1) est celle du commissaire qui enjoint à une personne de produire un document. Autrement dit, la modification fait en sorte que la production d</w:t>
      </w:r>
      <w:r>
        <w:rPr>
          <w:rFonts w:cs="Times New Roman"/>
          <w:lang w:val="fr-CA"/>
        </w:rPr>
        <w:t>’</w:t>
      </w:r>
      <w:r w:rsidRPr="000D5E81">
        <w:rPr>
          <w:rFonts w:cs="Times New Roman"/>
          <w:lang w:val="fr-CA"/>
        </w:rPr>
        <w:t>un document protégé par le secret professionnel de l</w:t>
      </w:r>
      <w:r>
        <w:rPr>
          <w:rFonts w:cs="Times New Roman"/>
          <w:lang w:val="fr-CA"/>
        </w:rPr>
        <w:t>’</w:t>
      </w:r>
      <w:r w:rsidRPr="000D5E81">
        <w:rPr>
          <w:rFonts w:cs="Times New Roman"/>
          <w:lang w:val="fr-CA"/>
        </w:rPr>
        <w:t>avocat conformément à une ordonnance du commissaire n</w:t>
      </w:r>
      <w:r>
        <w:rPr>
          <w:rFonts w:cs="Times New Roman"/>
          <w:lang w:val="fr-CA"/>
        </w:rPr>
        <w:t>’</w:t>
      </w:r>
      <w:r w:rsidRPr="000D5E81">
        <w:rPr>
          <w:rFonts w:cs="Times New Roman"/>
          <w:lang w:val="fr-CA"/>
        </w:rPr>
        <w:t xml:space="preserve">emporte pas renonciation au privilège. </w:t>
      </w:r>
    </w:p>
    <w:p w:rsidR="0091315D" w:rsidRPr="000D5E81" w:rsidRDefault="0091315D" w:rsidP="00B3618F">
      <w:pPr>
        <w:pStyle w:val="ParaNoNdepar-AltN"/>
        <w:widowControl w:val="0"/>
        <w:rPr>
          <w:rFonts w:cs="Times New Roman"/>
          <w:lang w:val="fr-CA"/>
        </w:rPr>
      </w:pPr>
      <w:r w:rsidRPr="000D5E81">
        <w:rPr>
          <w:rFonts w:cs="Times New Roman"/>
          <w:lang w:val="fr-CA"/>
        </w:rPr>
        <w:t>La modification a pour postulat — et c</w:t>
      </w:r>
      <w:r>
        <w:rPr>
          <w:rFonts w:cs="Times New Roman"/>
          <w:lang w:val="fr-CA"/>
        </w:rPr>
        <w:t>’</w:t>
      </w:r>
      <w:r w:rsidRPr="000D5E81">
        <w:rPr>
          <w:rFonts w:cs="Times New Roman"/>
          <w:lang w:val="fr-CA"/>
        </w:rPr>
        <w:t>est là le point important — que le document protégé par le secret professionnel de l</w:t>
      </w:r>
      <w:r>
        <w:rPr>
          <w:rFonts w:cs="Times New Roman"/>
          <w:lang w:val="fr-CA"/>
        </w:rPr>
        <w:t>’</w:t>
      </w:r>
      <w:r w:rsidRPr="000D5E81">
        <w:rPr>
          <w:rFonts w:cs="Times New Roman"/>
          <w:lang w:val="fr-CA"/>
        </w:rPr>
        <w:t xml:space="preserve">avocat fait partie de ceux dont le commissaire peut, en vertu des </w:t>
      </w:r>
      <w:r>
        <w:rPr>
          <w:rFonts w:cs="Times New Roman"/>
          <w:lang w:val="fr-CA"/>
        </w:rPr>
        <w:t>par. </w:t>
      </w:r>
      <w:r w:rsidRPr="000D5E81">
        <w:rPr>
          <w:rFonts w:cs="Times New Roman"/>
          <w:lang w:val="fr-CA"/>
        </w:rPr>
        <w:t xml:space="preserve">44(1) et (3), ordonner la production malgré </w:t>
      </w:r>
      <w:r w:rsidRPr="000D5E81">
        <w:rPr>
          <w:rFonts w:cs="Times New Roman"/>
          <w:lang w:val="fr-CA"/>
        </w:rPr>
        <w:lastRenderedPageBreak/>
        <w:t>[</w:t>
      </w:r>
      <w:r w:rsidRPr="000D5E81">
        <w:rPr>
          <w:rFonts w:cs="Times New Roman"/>
          <w:smallCaps/>
          <w:lang w:val="fr-CA"/>
        </w:rPr>
        <w:t>traduction</w:t>
      </w:r>
      <w:r w:rsidRPr="000D5E81">
        <w:rPr>
          <w:rFonts w:cs="Times New Roman"/>
          <w:lang w:val="fr-CA"/>
        </w:rPr>
        <w:t>] « tout privilège que reconnaît le droit de la preuve ». S</w:t>
      </w:r>
      <w:r>
        <w:rPr>
          <w:rFonts w:cs="Times New Roman"/>
          <w:lang w:val="fr-CA"/>
        </w:rPr>
        <w:t>’</w:t>
      </w:r>
      <w:r w:rsidRPr="000D5E81">
        <w:rPr>
          <w:rFonts w:cs="Times New Roman"/>
          <w:lang w:val="fr-CA"/>
        </w:rPr>
        <w:t>il en allait autrement, la modification relative à la renonciation au secret professionnel de l</w:t>
      </w:r>
      <w:r>
        <w:rPr>
          <w:rFonts w:cs="Times New Roman"/>
          <w:lang w:val="fr-CA"/>
        </w:rPr>
        <w:t>’</w:t>
      </w:r>
      <w:r w:rsidRPr="000D5E81">
        <w:rPr>
          <w:rFonts w:cs="Times New Roman"/>
          <w:lang w:val="fr-CA"/>
        </w:rPr>
        <w:t>avocat n</w:t>
      </w:r>
      <w:r>
        <w:rPr>
          <w:rFonts w:cs="Times New Roman"/>
          <w:lang w:val="fr-CA"/>
        </w:rPr>
        <w:t>’</w:t>
      </w:r>
      <w:r w:rsidRPr="000D5E81">
        <w:rPr>
          <w:rFonts w:cs="Times New Roman"/>
          <w:lang w:val="fr-CA"/>
        </w:rPr>
        <w:t xml:space="preserve">aurait aucun sens dans le cas des documents dont la production est ordonnée par le commissaire en vertu du </w:t>
      </w:r>
      <w:r>
        <w:rPr>
          <w:rFonts w:cs="Times New Roman"/>
          <w:lang w:val="fr-CA"/>
        </w:rPr>
        <w:t>par. </w:t>
      </w:r>
      <w:r w:rsidRPr="000D5E81">
        <w:rPr>
          <w:rFonts w:cs="Times New Roman"/>
          <w:lang w:val="fr-CA"/>
        </w:rPr>
        <w:t xml:space="preserve">44(1). La disposition issue de la modification (le </w:t>
      </w:r>
      <w:r>
        <w:rPr>
          <w:rFonts w:cs="Times New Roman"/>
          <w:lang w:val="fr-CA"/>
        </w:rPr>
        <w:t>par. </w:t>
      </w:r>
      <w:r w:rsidRPr="000D5E81">
        <w:rPr>
          <w:rFonts w:cs="Times New Roman"/>
          <w:lang w:val="fr-CA"/>
        </w:rPr>
        <w:t>44(2.1)) renvoie expressément au document protégé par le secret professionnel de l</w:t>
      </w:r>
      <w:r>
        <w:rPr>
          <w:rFonts w:cs="Times New Roman"/>
          <w:lang w:val="fr-CA"/>
        </w:rPr>
        <w:t>’</w:t>
      </w:r>
      <w:r w:rsidRPr="000D5E81">
        <w:rPr>
          <w:rFonts w:cs="Times New Roman"/>
          <w:lang w:val="fr-CA"/>
        </w:rPr>
        <w:t>avocat qu</w:t>
      </w:r>
      <w:r>
        <w:rPr>
          <w:rFonts w:cs="Times New Roman"/>
          <w:lang w:val="fr-CA"/>
        </w:rPr>
        <w:t>’</w:t>
      </w:r>
      <w:r w:rsidRPr="000D5E81">
        <w:rPr>
          <w:rFonts w:cs="Times New Roman"/>
          <w:lang w:val="fr-CA"/>
        </w:rPr>
        <w:t xml:space="preserve">une personne « communique [. . .] à la demande [du commissaire] </w:t>
      </w:r>
      <w:r w:rsidRPr="000D5E81">
        <w:rPr>
          <w:rFonts w:cs="Times New Roman"/>
          <w:u w:val="single"/>
          <w:lang w:val="fr-CA"/>
        </w:rPr>
        <w:t>ou en application du paragraphe (1)</w:t>
      </w:r>
      <w:r w:rsidRPr="000D5E81">
        <w:rPr>
          <w:rFonts w:cs="Times New Roman"/>
          <w:lang w:val="fr-CA"/>
        </w:rPr>
        <w:t xml:space="preserve"> ». Le législateur doit avoir tenu pour acquis que le </w:t>
      </w:r>
      <w:r>
        <w:rPr>
          <w:rFonts w:cs="Times New Roman"/>
          <w:lang w:val="fr-CA"/>
        </w:rPr>
        <w:t>par. </w:t>
      </w:r>
      <w:r w:rsidRPr="000D5E81">
        <w:rPr>
          <w:rFonts w:cs="Times New Roman"/>
          <w:lang w:val="fr-CA"/>
        </w:rPr>
        <w:t>44(1) autorisait le commissaire à exiger la production d</w:t>
      </w:r>
      <w:r>
        <w:rPr>
          <w:rFonts w:cs="Times New Roman"/>
          <w:lang w:val="fr-CA"/>
        </w:rPr>
        <w:t>’</w:t>
      </w:r>
      <w:r w:rsidRPr="000D5E81">
        <w:rPr>
          <w:rFonts w:cs="Times New Roman"/>
          <w:lang w:val="fr-CA"/>
        </w:rPr>
        <w:t>un document protégé par le secret professionnel de l</w:t>
      </w:r>
      <w:r>
        <w:rPr>
          <w:rFonts w:cs="Times New Roman"/>
          <w:lang w:val="fr-CA"/>
        </w:rPr>
        <w:t>’</w:t>
      </w:r>
      <w:r w:rsidRPr="000D5E81">
        <w:rPr>
          <w:rFonts w:cs="Times New Roman"/>
          <w:lang w:val="fr-CA"/>
        </w:rPr>
        <w:t>avocat. Sinon, il ne pourrait y avoir de document protégé par le secret professionnel de l</w:t>
      </w:r>
      <w:r>
        <w:rPr>
          <w:rFonts w:cs="Times New Roman"/>
          <w:lang w:val="fr-CA"/>
        </w:rPr>
        <w:t>’</w:t>
      </w:r>
      <w:r w:rsidRPr="000D5E81">
        <w:rPr>
          <w:rFonts w:cs="Times New Roman"/>
          <w:lang w:val="fr-CA"/>
        </w:rPr>
        <w:t xml:space="preserve">avocat communiqué au commissaire par application du </w:t>
      </w:r>
      <w:r>
        <w:rPr>
          <w:rFonts w:cs="Times New Roman"/>
          <w:lang w:val="fr-CA"/>
        </w:rPr>
        <w:t>par. </w:t>
      </w:r>
      <w:r w:rsidRPr="000D5E81">
        <w:rPr>
          <w:rFonts w:cs="Times New Roman"/>
          <w:lang w:val="fr-CA"/>
        </w:rPr>
        <w:t>44(1) auquel pourrait renvoyer la nouvelle disposition.</w:t>
      </w:r>
    </w:p>
    <w:p w:rsidR="0091315D" w:rsidRPr="000D5E81" w:rsidRDefault="0091315D" w:rsidP="00B3618F">
      <w:pPr>
        <w:pStyle w:val="ParaNoNdepar-AltN"/>
        <w:widowControl w:val="0"/>
        <w:rPr>
          <w:rFonts w:cs="Times New Roman"/>
          <w:lang w:val="fr-CA"/>
        </w:rPr>
      </w:pPr>
      <w:r w:rsidRPr="000D5E81">
        <w:rPr>
          <w:rFonts w:cs="Times New Roman"/>
          <w:lang w:val="fr-CA"/>
        </w:rPr>
        <w:t>Il est donc clair, au vu de cette modification, que lorsque le législateur de la Colombie</w:t>
      </w:r>
      <w:r>
        <w:rPr>
          <w:rFonts w:cs="Times New Roman"/>
          <w:lang w:val="fr-CA"/>
        </w:rPr>
        <w:noBreakHyphen/>
      </w:r>
      <w:r w:rsidRPr="000D5E81">
        <w:rPr>
          <w:rFonts w:cs="Times New Roman"/>
          <w:lang w:val="fr-CA"/>
        </w:rPr>
        <w:t xml:space="preserve">Britannique prévoit au </w:t>
      </w:r>
      <w:r>
        <w:rPr>
          <w:rFonts w:cs="Times New Roman"/>
          <w:lang w:val="fr-CA"/>
        </w:rPr>
        <w:t>par. </w:t>
      </w:r>
      <w:r w:rsidRPr="000D5E81">
        <w:rPr>
          <w:rFonts w:cs="Times New Roman"/>
          <w:lang w:val="fr-CA"/>
        </w:rPr>
        <w:t>44(3) l</w:t>
      </w:r>
      <w:r>
        <w:rPr>
          <w:rFonts w:cs="Times New Roman"/>
          <w:lang w:val="fr-CA"/>
        </w:rPr>
        <w:t>’</w:t>
      </w:r>
      <w:r w:rsidRPr="000D5E81">
        <w:rPr>
          <w:rFonts w:cs="Times New Roman"/>
          <w:lang w:val="fr-CA"/>
        </w:rPr>
        <w:t>obligation de produire un document à l</w:t>
      </w:r>
      <w:r>
        <w:rPr>
          <w:rFonts w:cs="Times New Roman"/>
          <w:lang w:val="fr-CA"/>
        </w:rPr>
        <w:t>’</w:t>
      </w:r>
      <w:r w:rsidRPr="000D5E81">
        <w:rPr>
          <w:rFonts w:cs="Times New Roman"/>
          <w:lang w:val="fr-CA"/>
        </w:rPr>
        <w:t>intention du commissaire malgré [</w:t>
      </w:r>
      <w:r w:rsidRPr="000D5E81">
        <w:rPr>
          <w:rFonts w:cs="Times New Roman"/>
          <w:smallCaps/>
          <w:lang w:val="fr-CA"/>
        </w:rPr>
        <w:t>traduction</w:t>
      </w:r>
      <w:r w:rsidRPr="000D5E81">
        <w:rPr>
          <w:rFonts w:cs="Times New Roman"/>
          <w:lang w:val="fr-CA"/>
        </w:rPr>
        <w:t>] « tout privilège que reconnaît le droit de la preuve », il tient pour acquis que ce dernier énoncé vise le secret professionnel de l</w:t>
      </w:r>
      <w:r>
        <w:rPr>
          <w:rFonts w:cs="Times New Roman"/>
          <w:lang w:val="fr-CA"/>
        </w:rPr>
        <w:t>’</w:t>
      </w:r>
      <w:r w:rsidRPr="000D5E81">
        <w:rPr>
          <w:rFonts w:cs="Times New Roman"/>
          <w:lang w:val="fr-CA"/>
        </w:rPr>
        <w:t>avocat. Cela me paraît répondre à la prétention de la juge Côté selon laquelle l</w:t>
      </w:r>
      <w:r>
        <w:rPr>
          <w:rFonts w:cs="Times New Roman"/>
          <w:lang w:val="fr-CA"/>
        </w:rPr>
        <w:t>’</w:t>
      </w:r>
      <w:r w:rsidRPr="000D5E81">
        <w:rPr>
          <w:rFonts w:cs="Times New Roman"/>
          <w:lang w:val="fr-CA"/>
        </w:rPr>
        <w:t>expression « privilège que reconnaît le droit de la preuve » n</w:t>
      </w:r>
      <w:r>
        <w:rPr>
          <w:rFonts w:cs="Times New Roman"/>
          <w:lang w:val="fr-CA"/>
        </w:rPr>
        <w:t>’</w:t>
      </w:r>
      <w:r w:rsidRPr="000D5E81">
        <w:rPr>
          <w:rFonts w:cs="Times New Roman"/>
          <w:lang w:val="fr-CA"/>
        </w:rPr>
        <w:t>est pas suffisamment « claire, explicite et non équivoque » pour viser le secret professionnel de l</w:t>
      </w:r>
      <w:r>
        <w:rPr>
          <w:rFonts w:cs="Times New Roman"/>
          <w:lang w:val="fr-CA"/>
        </w:rPr>
        <w:t>’</w:t>
      </w:r>
      <w:r w:rsidRPr="000D5E81">
        <w:rPr>
          <w:rFonts w:cs="Times New Roman"/>
          <w:lang w:val="fr-CA"/>
        </w:rPr>
        <w:t>avocat (</w:t>
      </w:r>
      <w:r>
        <w:rPr>
          <w:rFonts w:cs="Times New Roman"/>
          <w:lang w:val="fr-CA"/>
        </w:rPr>
        <w:t>par. </w:t>
      </w:r>
      <w:r w:rsidRPr="000D5E81">
        <w:rPr>
          <w:rFonts w:cs="Times New Roman"/>
          <w:lang w:val="fr-CA"/>
        </w:rPr>
        <w:t xml:space="preserve">44). </w:t>
      </w:r>
    </w:p>
    <w:p w:rsidR="0091315D" w:rsidRPr="000D5E81" w:rsidRDefault="0091315D" w:rsidP="00B3618F">
      <w:pPr>
        <w:pStyle w:val="ParaNoNdepar-AltN"/>
        <w:widowControl w:val="0"/>
        <w:rPr>
          <w:rFonts w:cs="Times New Roman"/>
          <w:lang w:val="fr-CA"/>
        </w:rPr>
      </w:pPr>
      <w:r w:rsidRPr="000D5E81">
        <w:rPr>
          <w:rFonts w:cs="Times New Roman"/>
          <w:lang w:val="fr-CA"/>
        </w:rPr>
        <w:t>L</w:t>
      </w:r>
      <w:r>
        <w:rPr>
          <w:rFonts w:cs="Times New Roman"/>
          <w:lang w:val="fr-CA"/>
        </w:rPr>
        <w:t>’</w:t>
      </w:r>
      <w:r w:rsidRPr="000D5E81">
        <w:rPr>
          <w:rFonts w:cs="Times New Roman"/>
          <w:lang w:val="fr-CA"/>
        </w:rPr>
        <w:t xml:space="preserve">appelante fait valoir que, dans la </w:t>
      </w:r>
      <w:r w:rsidRPr="000D5E81">
        <w:rPr>
          <w:rFonts w:cs="Times New Roman"/>
          <w:i/>
          <w:lang w:val="fr-CA"/>
        </w:rPr>
        <w:t>FOIPP</w:t>
      </w:r>
      <w:r w:rsidRPr="000D5E81">
        <w:rPr>
          <w:rFonts w:cs="Times New Roman"/>
          <w:lang w:val="fr-CA"/>
        </w:rPr>
        <w:t>, l</w:t>
      </w:r>
      <w:r>
        <w:rPr>
          <w:rFonts w:cs="Times New Roman"/>
          <w:lang w:val="fr-CA"/>
        </w:rPr>
        <w:t>’</w:t>
      </w:r>
      <w:r w:rsidRPr="000D5E81">
        <w:rPr>
          <w:rFonts w:cs="Times New Roman"/>
          <w:lang w:val="fr-CA"/>
        </w:rPr>
        <w:t>énoncé [</w:t>
      </w:r>
      <w:r w:rsidRPr="000D5E81">
        <w:rPr>
          <w:rFonts w:cs="Times New Roman"/>
          <w:smallCaps/>
          <w:lang w:val="fr-CA"/>
        </w:rPr>
        <w:t>traduction</w:t>
      </w:r>
      <w:r w:rsidRPr="000D5E81">
        <w:rPr>
          <w:rFonts w:cs="Times New Roman"/>
          <w:lang w:val="fr-CA"/>
        </w:rPr>
        <w:t>] « tout privilège que reconnaît le droit de la preuve » n</w:t>
      </w:r>
      <w:r>
        <w:rPr>
          <w:rFonts w:cs="Times New Roman"/>
          <w:lang w:val="fr-CA"/>
        </w:rPr>
        <w:t>’</w:t>
      </w:r>
      <w:r w:rsidRPr="000D5E81">
        <w:rPr>
          <w:rFonts w:cs="Times New Roman"/>
          <w:lang w:val="fr-CA"/>
        </w:rPr>
        <w:t xml:space="preserve">englobe pas le secret professionnel de </w:t>
      </w:r>
      <w:r w:rsidRPr="000D5E81">
        <w:rPr>
          <w:rFonts w:cs="Times New Roman"/>
          <w:lang w:val="fr-CA"/>
        </w:rPr>
        <w:lastRenderedPageBreak/>
        <w:t>l</w:t>
      </w:r>
      <w:r>
        <w:rPr>
          <w:rFonts w:cs="Times New Roman"/>
          <w:lang w:val="fr-CA"/>
        </w:rPr>
        <w:t>’</w:t>
      </w:r>
      <w:r w:rsidRPr="000D5E81">
        <w:rPr>
          <w:rFonts w:cs="Times New Roman"/>
          <w:lang w:val="fr-CA"/>
        </w:rPr>
        <w:t>avocat. Or, le fait que la même expression employée dans une disposition apparentée de la Colombie</w:t>
      </w:r>
      <w:r>
        <w:rPr>
          <w:rFonts w:cs="Times New Roman"/>
          <w:lang w:val="fr-CA"/>
        </w:rPr>
        <w:noBreakHyphen/>
      </w:r>
      <w:r w:rsidRPr="000D5E81">
        <w:rPr>
          <w:rFonts w:cs="Times New Roman"/>
          <w:lang w:val="fr-CA"/>
        </w:rPr>
        <w:t xml:space="preserve">Britannique </w:t>
      </w:r>
      <w:r w:rsidRPr="000D5E81">
        <w:rPr>
          <w:rFonts w:cs="Times New Roman"/>
          <w:i/>
          <w:lang w:val="fr-CA"/>
        </w:rPr>
        <w:t>vise</w:t>
      </w:r>
      <w:r w:rsidRPr="000D5E81">
        <w:rPr>
          <w:rFonts w:cs="Times New Roman"/>
          <w:lang w:val="fr-CA"/>
        </w:rPr>
        <w:t xml:space="preserve"> clairement le secret professionnel de l</w:t>
      </w:r>
      <w:r>
        <w:rPr>
          <w:rFonts w:cs="Times New Roman"/>
          <w:lang w:val="fr-CA"/>
        </w:rPr>
        <w:t>’</w:t>
      </w:r>
      <w:r w:rsidRPr="000D5E81">
        <w:rPr>
          <w:rFonts w:cs="Times New Roman"/>
          <w:lang w:val="fr-CA"/>
        </w:rPr>
        <w:t xml:space="preserve">avocat vient appuyer la prétention selon laquelle, dans </w:t>
      </w:r>
      <w:r w:rsidRPr="000D5E81">
        <w:rPr>
          <w:rFonts w:cs="Times New Roman"/>
          <w:i/>
          <w:lang w:val="fr-CA"/>
        </w:rPr>
        <w:t>les deux</w:t>
      </w:r>
      <w:r w:rsidRPr="000D5E81">
        <w:rPr>
          <w:rFonts w:cs="Times New Roman"/>
          <w:lang w:val="fr-CA"/>
        </w:rPr>
        <w:t xml:space="preserve"> lois, l</w:t>
      </w:r>
      <w:r>
        <w:rPr>
          <w:rFonts w:cs="Times New Roman"/>
          <w:lang w:val="fr-CA"/>
        </w:rPr>
        <w:t>’</w:t>
      </w:r>
      <w:r w:rsidRPr="000D5E81">
        <w:rPr>
          <w:rFonts w:cs="Times New Roman"/>
          <w:lang w:val="fr-CA"/>
        </w:rPr>
        <w:t>énoncé renvoie notamment au</w:t>
      </w:r>
      <w:r>
        <w:rPr>
          <w:rFonts w:cs="Times New Roman"/>
          <w:lang w:val="fr-CA"/>
        </w:rPr>
        <w:t xml:space="preserve"> </w:t>
      </w:r>
      <w:r w:rsidRPr="000D5E81">
        <w:rPr>
          <w:rFonts w:cs="Times New Roman"/>
          <w:lang w:val="fr-CA"/>
        </w:rPr>
        <w:t>secret professionnel de l</w:t>
      </w:r>
      <w:r>
        <w:rPr>
          <w:rFonts w:cs="Times New Roman"/>
          <w:lang w:val="fr-CA"/>
        </w:rPr>
        <w:t>’</w:t>
      </w:r>
      <w:r w:rsidRPr="000D5E81">
        <w:rPr>
          <w:rFonts w:cs="Times New Roman"/>
          <w:lang w:val="fr-CA"/>
        </w:rPr>
        <w:t>avocat. Et il nous faut y réfléchir à deux fois avant de décider, comme le ferait la juge Côté, que le libellé identique de deux textes de loi portant sur le même sujet renvoie ou non au secret professionnel de l</w:t>
      </w:r>
      <w:r>
        <w:rPr>
          <w:rFonts w:cs="Times New Roman"/>
          <w:lang w:val="fr-CA"/>
        </w:rPr>
        <w:t>’</w:t>
      </w:r>
      <w:r w:rsidRPr="000D5E81">
        <w:rPr>
          <w:rFonts w:cs="Times New Roman"/>
          <w:lang w:val="fr-CA"/>
        </w:rPr>
        <w:t>avocat en fonction de nuances rédactionnelles qui ne traduisent aucune différence de fond.</w:t>
      </w:r>
    </w:p>
    <w:p w:rsidR="0091315D" w:rsidRPr="000D5E81" w:rsidRDefault="0091315D" w:rsidP="00B3618F">
      <w:pPr>
        <w:pStyle w:val="Title3LevelTitre3Niveau"/>
        <w:widowControl w:val="0"/>
        <w:numPr>
          <w:ilvl w:val="2"/>
          <w:numId w:val="9"/>
        </w:numPr>
        <w:tabs>
          <w:tab w:val="clear" w:pos="1152"/>
          <w:tab w:val="num" w:pos="1440"/>
        </w:tabs>
        <w:ind w:left="1440" w:hanging="720"/>
        <w:rPr>
          <w:rFonts w:cs="Times New Roman"/>
          <w:lang w:val="fr-CA"/>
        </w:rPr>
      </w:pPr>
      <w:r w:rsidRPr="000D5E81">
        <w:rPr>
          <w:rFonts w:cs="Times New Roman"/>
          <w:lang w:val="fr-CA"/>
        </w:rPr>
        <w:t>Conclusion</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Le sens ordinaire et grammatical des termes employés au </w:t>
      </w:r>
      <w:r>
        <w:rPr>
          <w:rFonts w:cs="Times New Roman"/>
          <w:lang w:val="fr-CA"/>
        </w:rPr>
        <w:t>par. </w:t>
      </w:r>
      <w:r w:rsidRPr="000D5E81">
        <w:rPr>
          <w:rFonts w:cs="Times New Roman"/>
          <w:lang w:val="fr-CA"/>
        </w:rPr>
        <w:t>56(3) de la loi, le contexte législatif et l</w:t>
      </w:r>
      <w:r>
        <w:rPr>
          <w:rFonts w:cs="Times New Roman"/>
          <w:lang w:val="fr-CA"/>
        </w:rPr>
        <w:t>’</w:t>
      </w:r>
      <w:r w:rsidRPr="000D5E81">
        <w:rPr>
          <w:rFonts w:cs="Times New Roman"/>
          <w:lang w:val="fr-CA"/>
        </w:rPr>
        <w:t>historique législatif étayent tous la conclusion selon laquelle le législateur a exprimé l</w:t>
      </w:r>
      <w:r>
        <w:rPr>
          <w:rFonts w:cs="Times New Roman"/>
          <w:lang w:val="fr-CA"/>
        </w:rPr>
        <w:t>’</w:t>
      </w:r>
      <w:r w:rsidRPr="000D5E81">
        <w:rPr>
          <w:rFonts w:cs="Times New Roman"/>
          <w:lang w:val="fr-CA"/>
        </w:rPr>
        <w:t>intention claire de permettre au commissaire et à ses délégués d</w:t>
      </w:r>
      <w:r>
        <w:rPr>
          <w:rFonts w:cs="Times New Roman"/>
          <w:lang w:val="fr-CA"/>
        </w:rPr>
        <w:t>’</w:t>
      </w:r>
      <w:r w:rsidRPr="000D5E81">
        <w:rPr>
          <w:rFonts w:cs="Times New Roman"/>
          <w:lang w:val="fr-CA"/>
        </w:rPr>
        <w:t>ordonner la production de documents dans le cadre d</w:t>
      </w:r>
      <w:r>
        <w:rPr>
          <w:rFonts w:cs="Times New Roman"/>
          <w:lang w:val="fr-CA"/>
        </w:rPr>
        <w:t>’</w:t>
      </w:r>
      <w:r w:rsidRPr="000D5E81">
        <w:rPr>
          <w:rFonts w:cs="Times New Roman"/>
          <w:lang w:val="fr-CA"/>
        </w:rPr>
        <w:t>une enquête afin de se prononcer sur l</w:t>
      </w:r>
      <w:r>
        <w:rPr>
          <w:rFonts w:cs="Times New Roman"/>
          <w:lang w:val="fr-CA"/>
        </w:rPr>
        <w:t>’</w:t>
      </w:r>
      <w:r w:rsidRPr="000D5E81">
        <w:rPr>
          <w:rFonts w:cs="Times New Roman"/>
          <w:lang w:val="fr-CA"/>
        </w:rPr>
        <w:t>application du secret professionnel de l</w:t>
      </w:r>
      <w:r>
        <w:rPr>
          <w:rFonts w:cs="Times New Roman"/>
          <w:lang w:val="fr-CA"/>
        </w:rPr>
        <w:t>’</w:t>
      </w:r>
      <w:r w:rsidRPr="000D5E81">
        <w:rPr>
          <w:rFonts w:cs="Times New Roman"/>
          <w:lang w:val="fr-CA"/>
        </w:rPr>
        <w:t>avocat invoqué à leur égard.</w:t>
      </w:r>
    </w:p>
    <w:p w:rsidR="0091315D" w:rsidRPr="000D5E81" w:rsidRDefault="0091315D" w:rsidP="00B3618F">
      <w:pPr>
        <w:pStyle w:val="Title2LevelTitre2Niveau"/>
        <w:widowControl w:val="0"/>
        <w:numPr>
          <w:ilvl w:val="1"/>
          <w:numId w:val="9"/>
        </w:numPr>
        <w:tabs>
          <w:tab w:val="clear" w:pos="576"/>
          <w:tab w:val="num" w:pos="720"/>
        </w:tabs>
        <w:ind w:left="720" w:hanging="720"/>
        <w:rPr>
          <w:rFonts w:cs="Times New Roman"/>
        </w:rPr>
      </w:pPr>
      <w:r w:rsidRPr="000D5E81">
        <w:rPr>
          <w:rFonts w:cs="Times New Roman"/>
        </w:rPr>
        <w:t>Le délégué de la Commissaire</w:t>
      </w:r>
      <w:r w:rsidRPr="000D5E81">
        <w:rPr>
          <w:rFonts w:eastAsia="Times New Roman" w:cs="Times New Roman"/>
          <w:i w:val="0"/>
          <w:szCs w:val="24"/>
          <w:lang w:eastAsia="en-CA"/>
        </w:rPr>
        <w:t xml:space="preserve"> </w:t>
      </w:r>
      <w:r w:rsidRPr="000D5E81">
        <w:rPr>
          <w:rFonts w:cs="Times New Roman"/>
        </w:rPr>
        <w:t>a</w:t>
      </w:r>
      <w:r>
        <w:rPr>
          <w:rFonts w:cs="Times New Roman"/>
        </w:rPr>
        <w:noBreakHyphen/>
      </w:r>
      <w:r w:rsidRPr="000D5E81">
        <w:rPr>
          <w:rFonts w:cs="Times New Roman"/>
        </w:rPr>
        <w:t>t</w:t>
      </w:r>
      <w:r>
        <w:rPr>
          <w:rFonts w:cs="Times New Roman"/>
        </w:rPr>
        <w:noBreakHyphen/>
      </w:r>
      <w:r w:rsidRPr="000D5E81">
        <w:rPr>
          <w:rFonts w:cs="Times New Roman"/>
        </w:rPr>
        <w:t>il commis une erreur susceptible de contrôle en ordonnant la production?</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Après avoir conclu que le </w:t>
      </w:r>
      <w:r>
        <w:rPr>
          <w:rFonts w:cs="Times New Roman"/>
          <w:lang w:val="fr-CA"/>
        </w:rPr>
        <w:t>par. </w:t>
      </w:r>
      <w:r w:rsidRPr="000D5E81">
        <w:rPr>
          <w:rFonts w:cs="Times New Roman"/>
          <w:lang w:val="fr-CA"/>
        </w:rPr>
        <w:t xml:space="preserve">56(3) de la </w:t>
      </w:r>
      <w:r w:rsidRPr="000D5E81">
        <w:rPr>
          <w:rFonts w:cs="Times New Roman"/>
          <w:i/>
          <w:lang w:val="fr-CA"/>
        </w:rPr>
        <w:t>FOIPP</w:t>
      </w:r>
      <w:r w:rsidRPr="000D5E81">
        <w:rPr>
          <w:rFonts w:cs="Times New Roman"/>
          <w:lang w:val="fr-CA"/>
        </w:rPr>
        <w:t xml:space="preserve"> permet à la Commissaire de lever le secret professionnel de l</w:t>
      </w:r>
      <w:r>
        <w:rPr>
          <w:rFonts w:cs="Times New Roman"/>
          <w:lang w:val="fr-CA"/>
        </w:rPr>
        <w:t>’</w:t>
      </w:r>
      <w:r w:rsidRPr="000D5E81">
        <w:rPr>
          <w:rFonts w:cs="Times New Roman"/>
          <w:lang w:val="fr-CA"/>
        </w:rPr>
        <w:t>avocat, nous devons décider si le délégué de la Commissaire a commis une erreur susceptible de contrôle en ordonnant la production de documents dont on alléguait qu</w:t>
      </w:r>
      <w:r>
        <w:rPr>
          <w:rFonts w:cs="Times New Roman"/>
          <w:lang w:val="fr-CA"/>
        </w:rPr>
        <w:t>’</w:t>
      </w:r>
      <w:r w:rsidRPr="000D5E81">
        <w:rPr>
          <w:rFonts w:cs="Times New Roman"/>
          <w:lang w:val="fr-CA"/>
        </w:rPr>
        <w:t>ils étaient protégés par le secret professionnel de l</w:t>
      </w:r>
      <w:r>
        <w:rPr>
          <w:rFonts w:cs="Times New Roman"/>
          <w:lang w:val="fr-CA"/>
        </w:rPr>
        <w:t>’</w:t>
      </w:r>
      <w:r w:rsidRPr="000D5E81">
        <w:rPr>
          <w:rFonts w:cs="Times New Roman"/>
          <w:lang w:val="fr-CA"/>
        </w:rPr>
        <w:t>avocat. La jurisprudence de notre Cour commande que l</w:t>
      </w:r>
      <w:r>
        <w:rPr>
          <w:rFonts w:cs="Times New Roman"/>
          <w:lang w:val="fr-CA"/>
        </w:rPr>
        <w:t>’</w:t>
      </w:r>
      <w:r w:rsidRPr="000D5E81">
        <w:rPr>
          <w:rFonts w:cs="Times New Roman"/>
          <w:lang w:val="fr-CA"/>
        </w:rPr>
        <w:t xml:space="preserve">on ne puisse lever le secret </w:t>
      </w:r>
      <w:r w:rsidRPr="000D5E81">
        <w:rPr>
          <w:rFonts w:cs="Times New Roman"/>
          <w:lang w:val="fr-CA"/>
        </w:rPr>
        <w:lastRenderedPageBreak/>
        <w:t>professionnel de l</w:t>
      </w:r>
      <w:r>
        <w:rPr>
          <w:rFonts w:cs="Times New Roman"/>
          <w:lang w:val="fr-CA"/>
        </w:rPr>
        <w:t>’</w:t>
      </w:r>
      <w:r w:rsidRPr="000D5E81">
        <w:rPr>
          <w:rFonts w:cs="Times New Roman"/>
          <w:lang w:val="fr-CA"/>
        </w:rPr>
        <w:t>avocat que lorsque cela est absolument nécessaire à la réalisation des objectifs de la loi habilitante. Comme le signale le juge Binnie dans l</w:t>
      </w:r>
      <w:r>
        <w:rPr>
          <w:rFonts w:cs="Times New Roman"/>
          <w:lang w:val="fr-CA"/>
        </w:rPr>
        <w:t>’</w:t>
      </w:r>
      <w:r w:rsidRPr="000D5E81">
        <w:rPr>
          <w:rFonts w:cs="Times New Roman"/>
          <w:lang w:val="fr-CA"/>
        </w:rPr>
        <w:t xml:space="preserve">arrêt </w:t>
      </w:r>
      <w:r w:rsidRPr="000D5E81">
        <w:rPr>
          <w:rFonts w:cs="Times New Roman"/>
          <w:i/>
          <w:lang w:val="fr-CA"/>
        </w:rPr>
        <w:t>Blood Tribe</w:t>
      </w:r>
      <w:r w:rsidRPr="000D5E81">
        <w:rPr>
          <w:rFonts w:cs="Times New Roman"/>
          <w:lang w:val="fr-CA"/>
        </w:rPr>
        <w:t>, « [m]ême les tribunaux refusent d</w:t>
      </w:r>
      <w:r>
        <w:rPr>
          <w:rFonts w:cs="Times New Roman"/>
          <w:lang w:val="fr-CA"/>
        </w:rPr>
        <w:t>’</w:t>
      </w:r>
      <w:r w:rsidRPr="000D5E81">
        <w:rPr>
          <w:rFonts w:cs="Times New Roman"/>
          <w:lang w:val="fr-CA"/>
        </w:rPr>
        <w:t>examiner des documents protégés par le secret professionnel de l</w:t>
      </w:r>
      <w:r>
        <w:rPr>
          <w:rFonts w:cs="Times New Roman"/>
          <w:lang w:val="fr-CA"/>
        </w:rPr>
        <w:t>’</w:t>
      </w:r>
      <w:r w:rsidRPr="000D5E81">
        <w:rPr>
          <w:rFonts w:cs="Times New Roman"/>
          <w:lang w:val="fr-CA"/>
        </w:rPr>
        <w:t>avocat pour statuer sur l</w:t>
      </w:r>
      <w:r>
        <w:rPr>
          <w:rFonts w:cs="Times New Roman"/>
          <w:lang w:val="fr-CA"/>
        </w:rPr>
        <w:t>’</w:t>
      </w:r>
      <w:r w:rsidRPr="000D5E81">
        <w:rPr>
          <w:rFonts w:cs="Times New Roman"/>
          <w:lang w:val="fr-CA"/>
        </w:rPr>
        <w:t>existence du privilège, à moins que des éléments de preuve ou des arguments démontrent la nécessité de le faire pour trancher la question en toute justice » (</w:t>
      </w:r>
      <w:r>
        <w:rPr>
          <w:rFonts w:cs="Times New Roman"/>
          <w:lang w:val="fr-CA"/>
        </w:rPr>
        <w:t>par. </w:t>
      </w:r>
      <w:r w:rsidRPr="000D5E81">
        <w:rPr>
          <w:rFonts w:cs="Times New Roman"/>
          <w:lang w:val="fr-CA"/>
        </w:rPr>
        <w:t>17).</w:t>
      </w:r>
    </w:p>
    <w:p w:rsidR="0091315D" w:rsidRPr="000D5E81" w:rsidRDefault="0091315D" w:rsidP="00B3618F">
      <w:pPr>
        <w:pStyle w:val="ParaNoNdepar-AltN"/>
        <w:widowControl w:val="0"/>
        <w:rPr>
          <w:rFonts w:cs="Times New Roman"/>
          <w:lang w:val="fr-CA"/>
        </w:rPr>
      </w:pPr>
      <w:r w:rsidRPr="000D5E81">
        <w:rPr>
          <w:rFonts w:cs="Times New Roman"/>
          <w:lang w:val="fr-CA"/>
        </w:rPr>
        <w:t>En août 2010, l</w:t>
      </w:r>
      <w:r>
        <w:rPr>
          <w:rFonts w:cs="Times New Roman"/>
          <w:lang w:val="fr-CA"/>
        </w:rPr>
        <w:t>’</w:t>
      </w:r>
      <w:r w:rsidRPr="000D5E81">
        <w:rPr>
          <w:rFonts w:cs="Times New Roman"/>
          <w:lang w:val="fr-CA"/>
        </w:rPr>
        <w:t>Université a déposé un affidavit dans lequel la Commissaire déclarait sous serment que les services juridiques de l</w:t>
      </w:r>
      <w:r>
        <w:rPr>
          <w:rFonts w:cs="Times New Roman"/>
          <w:lang w:val="fr-CA"/>
        </w:rPr>
        <w:t>’</w:t>
      </w:r>
      <w:r w:rsidRPr="000D5E81">
        <w:rPr>
          <w:rFonts w:cs="Times New Roman"/>
          <w:lang w:val="fr-CA"/>
        </w:rPr>
        <w:t>Université et un avocat externe avaient conseillé divers représentants de l</w:t>
      </w:r>
      <w:r>
        <w:rPr>
          <w:rFonts w:cs="Times New Roman"/>
          <w:lang w:val="fr-CA"/>
        </w:rPr>
        <w:t>’</w:t>
      </w:r>
      <w:r w:rsidRPr="000D5E81">
        <w:rPr>
          <w:rFonts w:cs="Times New Roman"/>
          <w:lang w:val="fr-CA"/>
        </w:rPr>
        <w:t>Université sur les états de service de l</w:t>
      </w:r>
      <w:r>
        <w:rPr>
          <w:rFonts w:cs="Times New Roman"/>
          <w:lang w:val="fr-CA"/>
        </w:rPr>
        <w:t>’</w:t>
      </w:r>
      <w:r w:rsidRPr="000D5E81">
        <w:rPr>
          <w:rFonts w:cs="Times New Roman"/>
          <w:lang w:val="fr-CA"/>
        </w:rPr>
        <w:t>auteure de la demande au sein de l</w:t>
      </w:r>
      <w:r>
        <w:rPr>
          <w:rFonts w:cs="Times New Roman"/>
          <w:lang w:val="fr-CA"/>
        </w:rPr>
        <w:t>’</w:t>
      </w:r>
      <w:r w:rsidRPr="000D5E81">
        <w:rPr>
          <w:rFonts w:cs="Times New Roman"/>
          <w:lang w:val="fr-CA"/>
        </w:rPr>
        <w:t>Université. Elle déclarait que l</w:t>
      </w:r>
      <w:r>
        <w:rPr>
          <w:rFonts w:cs="Times New Roman"/>
          <w:lang w:val="fr-CA"/>
        </w:rPr>
        <w:t>’</w:t>
      </w:r>
      <w:r w:rsidRPr="000D5E81">
        <w:rPr>
          <w:rFonts w:cs="Times New Roman"/>
          <w:lang w:val="fr-CA"/>
        </w:rPr>
        <w:t>avocat général de l</w:t>
      </w:r>
      <w:r>
        <w:rPr>
          <w:rFonts w:cs="Times New Roman"/>
          <w:lang w:val="fr-CA"/>
        </w:rPr>
        <w:t>’</w:t>
      </w:r>
      <w:r w:rsidRPr="000D5E81">
        <w:rPr>
          <w:rFonts w:cs="Times New Roman"/>
          <w:lang w:val="fr-CA"/>
        </w:rPr>
        <w:t>Université l</w:t>
      </w:r>
      <w:r>
        <w:rPr>
          <w:rFonts w:cs="Times New Roman"/>
          <w:lang w:val="fr-CA"/>
        </w:rPr>
        <w:t>’</w:t>
      </w:r>
      <w:r w:rsidRPr="000D5E81">
        <w:rPr>
          <w:rFonts w:cs="Times New Roman"/>
          <w:lang w:val="fr-CA"/>
        </w:rPr>
        <w:t>avait informée — et qu</w:t>
      </w:r>
      <w:r>
        <w:rPr>
          <w:rFonts w:cs="Times New Roman"/>
          <w:lang w:val="fr-CA"/>
        </w:rPr>
        <w:t>’</w:t>
      </w:r>
      <w:r w:rsidRPr="000D5E81">
        <w:rPr>
          <w:rFonts w:cs="Times New Roman"/>
          <w:lang w:val="fr-CA"/>
        </w:rPr>
        <w:t>elle croyait — que le secret professionnel de l</w:t>
      </w:r>
      <w:r>
        <w:rPr>
          <w:rFonts w:cs="Times New Roman"/>
          <w:lang w:val="fr-CA"/>
        </w:rPr>
        <w:t>’</w:t>
      </w:r>
      <w:r w:rsidRPr="000D5E81">
        <w:rPr>
          <w:rFonts w:cs="Times New Roman"/>
          <w:lang w:val="fr-CA"/>
        </w:rPr>
        <w:t>avocat avait été invoqué à l</w:t>
      </w:r>
      <w:r>
        <w:rPr>
          <w:rFonts w:cs="Times New Roman"/>
          <w:lang w:val="fr-CA"/>
        </w:rPr>
        <w:t>’</w:t>
      </w:r>
      <w:r w:rsidRPr="000D5E81">
        <w:rPr>
          <w:rFonts w:cs="Times New Roman"/>
          <w:lang w:val="fr-CA"/>
        </w:rPr>
        <w:t>égard des échanges avec les avocats de l</w:t>
      </w:r>
      <w:r>
        <w:rPr>
          <w:rFonts w:cs="Times New Roman"/>
          <w:lang w:val="fr-CA"/>
        </w:rPr>
        <w:t>’</w:t>
      </w:r>
      <w:r w:rsidRPr="000D5E81">
        <w:rPr>
          <w:rFonts w:cs="Times New Roman"/>
          <w:lang w:val="fr-CA"/>
        </w:rPr>
        <w:t>Université dans ce dossier. Une pièce était jointe à la déclaration sous serment, à savoir un tableau indiquant le numéro des pages pour lesquelles le</w:t>
      </w:r>
      <w:r w:rsidRPr="000D5E81">
        <w:rPr>
          <w:rFonts w:eastAsia="Times New Roman" w:cs="Times New Roman"/>
          <w:szCs w:val="24"/>
          <w:lang w:val="fr-CA" w:eastAsia="en-CA"/>
        </w:rPr>
        <w:t xml:space="preserve"> </w:t>
      </w:r>
      <w:r w:rsidRPr="000D5E81">
        <w:rPr>
          <w:rFonts w:cs="Times New Roman"/>
          <w:lang w:val="fr-CA"/>
        </w:rPr>
        <w:t>secret professionnel de l</w:t>
      </w:r>
      <w:r>
        <w:rPr>
          <w:rFonts w:cs="Times New Roman"/>
          <w:lang w:val="fr-CA"/>
        </w:rPr>
        <w:t>’</w:t>
      </w:r>
      <w:r w:rsidRPr="000D5E81">
        <w:rPr>
          <w:rFonts w:cs="Times New Roman"/>
          <w:lang w:val="fr-CA"/>
        </w:rPr>
        <w:t>avocat était invoqué. Seuls les numéros de page des documents en cause étaient indiqués.</w:t>
      </w:r>
    </w:p>
    <w:p w:rsidR="0091315D" w:rsidRPr="000D5E81" w:rsidRDefault="0091315D" w:rsidP="00B3618F">
      <w:pPr>
        <w:pStyle w:val="ParaNoNdepar-AltN"/>
        <w:widowControl w:val="0"/>
        <w:rPr>
          <w:rFonts w:cs="Times New Roman"/>
          <w:lang w:val="fr-CA"/>
        </w:rPr>
      </w:pPr>
      <w:r w:rsidRPr="000D5E81">
        <w:rPr>
          <w:rFonts w:cs="Times New Roman"/>
          <w:lang w:val="fr-CA"/>
        </w:rPr>
        <w:t>Le lendemain, l</w:t>
      </w:r>
      <w:r>
        <w:rPr>
          <w:rFonts w:cs="Times New Roman"/>
          <w:lang w:val="fr-CA"/>
        </w:rPr>
        <w:t>’</w:t>
      </w:r>
      <w:r w:rsidRPr="000D5E81">
        <w:rPr>
          <w:rFonts w:cs="Times New Roman"/>
          <w:lang w:val="fr-CA"/>
        </w:rPr>
        <w:t>intimé a déposé des observations écrites auprès de la Commissaire. L</w:t>
      </w:r>
      <w:r>
        <w:rPr>
          <w:rFonts w:cs="Times New Roman"/>
          <w:lang w:val="fr-CA"/>
        </w:rPr>
        <w:t>’</w:t>
      </w:r>
      <w:r w:rsidRPr="000D5E81">
        <w:rPr>
          <w:rFonts w:cs="Times New Roman"/>
          <w:lang w:val="fr-CA"/>
        </w:rPr>
        <w:t>Université invoquait le secret professionnel de l</w:t>
      </w:r>
      <w:r>
        <w:rPr>
          <w:rFonts w:cs="Times New Roman"/>
          <w:lang w:val="fr-CA"/>
        </w:rPr>
        <w:t>’</w:t>
      </w:r>
      <w:r w:rsidRPr="000D5E81">
        <w:rPr>
          <w:rFonts w:cs="Times New Roman"/>
          <w:lang w:val="fr-CA"/>
        </w:rPr>
        <w:t>avocat à l</w:t>
      </w:r>
      <w:r>
        <w:rPr>
          <w:rFonts w:cs="Times New Roman"/>
          <w:lang w:val="fr-CA"/>
        </w:rPr>
        <w:t>’</w:t>
      </w:r>
      <w:r w:rsidRPr="000D5E81">
        <w:rPr>
          <w:rFonts w:cs="Times New Roman"/>
          <w:lang w:val="fr-CA"/>
        </w:rPr>
        <w:t>égard des documents qui concernaient l</w:t>
      </w:r>
      <w:r>
        <w:rPr>
          <w:rFonts w:cs="Times New Roman"/>
          <w:lang w:val="fr-CA"/>
        </w:rPr>
        <w:t>’</w:t>
      </w:r>
      <w:r w:rsidRPr="000D5E81">
        <w:rPr>
          <w:rFonts w:cs="Times New Roman"/>
          <w:lang w:val="fr-CA"/>
        </w:rPr>
        <w:t>avocat général de l</w:t>
      </w:r>
      <w:r>
        <w:rPr>
          <w:rFonts w:cs="Times New Roman"/>
          <w:lang w:val="fr-CA"/>
        </w:rPr>
        <w:t>’</w:t>
      </w:r>
      <w:r w:rsidRPr="000D5E81">
        <w:rPr>
          <w:rFonts w:cs="Times New Roman"/>
          <w:lang w:val="fr-CA"/>
        </w:rPr>
        <w:t>Université et l</w:t>
      </w:r>
      <w:r>
        <w:rPr>
          <w:rFonts w:cs="Times New Roman"/>
          <w:lang w:val="fr-CA"/>
        </w:rPr>
        <w:t>’</w:t>
      </w:r>
      <w:r w:rsidRPr="000D5E81">
        <w:rPr>
          <w:rFonts w:cs="Times New Roman"/>
          <w:lang w:val="fr-CA"/>
        </w:rPr>
        <w:t>avocat externe de celle</w:t>
      </w:r>
      <w:r>
        <w:rPr>
          <w:rFonts w:cs="Times New Roman"/>
          <w:lang w:val="fr-CA"/>
        </w:rPr>
        <w:noBreakHyphen/>
      </w:r>
      <w:r w:rsidRPr="000D5E81">
        <w:rPr>
          <w:rFonts w:cs="Times New Roman"/>
          <w:lang w:val="fr-CA"/>
        </w:rPr>
        <w:t>ci. Elle reproduisait le tableau indiquant le numéro des pages protégées par le secret professionnel de l</w:t>
      </w:r>
      <w:r>
        <w:rPr>
          <w:rFonts w:cs="Times New Roman"/>
          <w:lang w:val="fr-CA"/>
        </w:rPr>
        <w:t>’</w:t>
      </w:r>
      <w:r w:rsidRPr="000D5E81">
        <w:rPr>
          <w:rFonts w:cs="Times New Roman"/>
          <w:lang w:val="fr-CA"/>
        </w:rPr>
        <w:t>avocat pour faire valoir qu</w:t>
      </w:r>
      <w:r>
        <w:rPr>
          <w:rFonts w:cs="Times New Roman"/>
          <w:lang w:val="fr-CA"/>
        </w:rPr>
        <w:t>’</w:t>
      </w:r>
      <w:r w:rsidRPr="000D5E81">
        <w:rPr>
          <w:rFonts w:cs="Times New Roman"/>
          <w:lang w:val="fr-CA"/>
        </w:rPr>
        <w:t>il s</w:t>
      </w:r>
      <w:r>
        <w:rPr>
          <w:rFonts w:cs="Times New Roman"/>
          <w:lang w:val="fr-CA"/>
        </w:rPr>
        <w:t>’</w:t>
      </w:r>
      <w:r w:rsidRPr="000D5E81">
        <w:rPr>
          <w:rFonts w:cs="Times New Roman"/>
          <w:lang w:val="fr-CA"/>
        </w:rPr>
        <w:t xml:space="preserve">agissait de communications </w:t>
      </w:r>
      <w:r w:rsidRPr="000D5E81">
        <w:rPr>
          <w:rFonts w:cs="Times New Roman"/>
          <w:lang w:val="fr-CA"/>
        </w:rPr>
        <w:lastRenderedPageBreak/>
        <w:t>avec un avocat dont la production était refusée en raison du secret professionnel de l</w:t>
      </w:r>
      <w:r>
        <w:rPr>
          <w:rFonts w:cs="Times New Roman"/>
          <w:lang w:val="fr-CA"/>
        </w:rPr>
        <w:t>’</w:t>
      </w:r>
      <w:r w:rsidRPr="000D5E81">
        <w:rPr>
          <w:rFonts w:cs="Times New Roman"/>
          <w:lang w:val="fr-CA"/>
        </w:rPr>
        <w:t>avocat.</w:t>
      </w:r>
    </w:p>
    <w:p w:rsidR="0091315D" w:rsidRPr="000D5E81" w:rsidRDefault="0091315D" w:rsidP="00B3618F">
      <w:pPr>
        <w:pStyle w:val="ParaNoNdepar-AltN"/>
        <w:widowControl w:val="0"/>
        <w:rPr>
          <w:rFonts w:cs="Times New Roman"/>
          <w:lang w:val="fr-CA"/>
        </w:rPr>
      </w:pPr>
      <w:r w:rsidRPr="000D5E81">
        <w:rPr>
          <w:rFonts w:cs="Times New Roman"/>
          <w:lang w:val="fr-CA"/>
        </w:rPr>
        <w:t>En septembre 2010, le délégué de la Commissaire a transmis à l</w:t>
      </w:r>
      <w:r>
        <w:rPr>
          <w:rFonts w:cs="Times New Roman"/>
          <w:lang w:val="fr-CA"/>
        </w:rPr>
        <w:t>’</w:t>
      </w:r>
      <w:r w:rsidRPr="000D5E81">
        <w:rPr>
          <w:rFonts w:cs="Times New Roman"/>
          <w:lang w:val="fr-CA"/>
        </w:rPr>
        <w:t>intimé une lettre lui demandant un complément d</w:t>
      </w:r>
      <w:r>
        <w:rPr>
          <w:rFonts w:cs="Times New Roman"/>
          <w:lang w:val="fr-CA"/>
        </w:rPr>
        <w:t>’</w:t>
      </w:r>
      <w:r w:rsidRPr="000D5E81">
        <w:rPr>
          <w:rFonts w:cs="Times New Roman"/>
          <w:lang w:val="fr-CA"/>
        </w:rPr>
        <w:t>information sur le privilège invoqué et quelque élément établissant l</w:t>
      </w:r>
      <w:r>
        <w:rPr>
          <w:rFonts w:cs="Times New Roman"/>
          <w:lang w:val="fr-CA"/>
        </w:rPr>
        <w:t>’</w:t>
      </w:r>
      <w:r w:rsidRPr="000D5E81">
        <w:rPr>
          <w:rFonts w:cs="Times New Roman"/>
          <w:lang w:val="fr-CA"/>
        </w:rPr>
        <w:t>existence de celui</w:t>
      </w:r>
      <w:r>
        <w:rPr>
          <w:rFonts w:cs="Times New Roman"/>
          <w:lang w:val="fr-CA"/>
        </w:rPr>
        <w:noBreakHyphen/>
      </w:r>
      <w:r w:rsidRPr="000D5E81">
        <w:rPr>
          <w:rFonts w:cs="Times New Roman"/>
          <w:lang w:val="fr-CA"/>
        </w:rPr>
        <w:t>ci. Il l</w:t>
      </w:r>
      <w:r>
        <w:rPr>
          <w:rFonts w:cs="Times New Roman"/>
          <w:lang w:val="fr-CA"/>
        </w:rPr>
        <w:t>’</w:t>
      </w:r>
      <w:r w:rsidRPr="000D5E81">
        <w:rPr>
          <w:rFonts w:cs="Times New Roman"/>
          <w:lang w:val="fr-CA"/>
        </w:rPr>
        <w:t>a invité à remplir le formulaire requis pour chacun des documents ou à fournir les renseignements demandés dans le formulaire par quelque autre moyen. En réponse à la demande, le vice</w:t>
      </w:r>
      <w:r>
        <w:rPr>
          <w:rFonts w:cs="Times New Roman"/>
          <w:lang w:val="fr-CA"/>
        </w:rPr>
        <w:noBreakHyphen/>
      </w:r>
      <w:r w:rsidRPr="000D5E81">
        <w:rPr>
          <w:rFonts w:cs="Times New Roman"/>
          <w:lang w:val="fr-CA"/>
        </w:rPr>
        <w:t>recteur à l</w:t>
      </w:r>
      <w:r>
        <w:rPr>
          <w:rFonts w:cs="Times New Roman"/>
          <w:lang w:val="fr-CA"/>
        </w:rPr>
        <w:t>’</w:t>
      </w:r>
      <w:r w:rsidRPr="000D5E81">
        <w:rPr>
          <w:rFonts w:cs="Times New Roman"/>
          <w:lang w:val="fr-CA"/>
        </w:rPr>
        <w:t>enseignement et à la recherche de l</w:t>
      </w:r>
      <w:r>
        <w:rPr>
          <w:rFonts w:cs="Times New Roman"/>
          <w:lang w:val="fr-CA"/>
        </w:rPr>
        <w:t>’</w:t>
      </w:r>
      <w:r w:rsidRPr="000D5E81">
        <w:rPr>
          <w:rFonts w:cs="Times New Roman"/>
          <w:lang w:val="fr-CA"/>
        </w:rPr>
        <w:t>Université a transmis à la Commissaire une lettre dans laquelle il expliquait que l</w:t>
      </w:r>
      <w:r>
        <w:rPr>
          <w:rFonts w:cs="Times New Roman"/>
          <w:lang w:val="fr-CA"/>
        </w:rPr>
        <w:t>’</w:t>
      </w:r>
      <w:r w:rsidRPr="000D5E81">
        <w:rPr>
          <w:rFonts w:cs="Times New Roman"/>
          <w:lang w:val="fr-CA"/>
        </w:rPr>
        <w:t>auteure de la demande avait intenté contre l</w:t>
      </w:r>
      <w:r>
        <w:rPr>
          <w:rFonts w:cs="Times New Roman"/>
          <w:lang w:val="fr-CA"/>
        </w:rPr>
        <w:t>’</w:t>
      </w:r>
      <w:r w:rsidRPr="000D5E81">
        <w:rPr>
          <w:rFonts w:cs="Times New Roman"/>
          <w:lang w:val="fr-CA"/>
        </w:rPr>
        <w:t>Université une poursuite de plusieurs millions de dollars qui était vigoureusement contestée. Il indiquait que [</w:t>
      </w:r>
      <w:r w:rsidRPr="000D5E81">
        <w:rPr>
          <w:rFonts w:cs="Times New Roman"/>
          <w:smallCaps/>
          <w:lang w:val="fr-CA"/>
        </w:rPr>
        <w:t>traduction</w:t>
      </w:r>
      <w:r w:rsidRPr="000D5E81">
        <w:rPr>
          <w:rFonts w:cs="Times New Roman"/>
          <w:lang w:val="fr-CA"/>
        </w:rPr>
        <w:t>] « les communications entre l</w:t>
      </w:r>
      <w:r>
        <w:rPr>
          <w:rFonts w:cs="Times New Roman"/>
          <w:lang w:val="fr-CA"/>
        </w:rPr>
        <w:t>’</w:t>
      </w:r>
      <w:r w:rsidRPr="000D5E81">
        <w:rPr>
          <w:rFonts w:cs="Times New Roman"/>
          <w:lang w:val="fr-CA"/>
        </w:rPr>
        <w:t>Université de Calgary et ses avocats » étaient « protégées par le secret professionnel de l</w:t>
      </w:r>
      <w:r>
        <w:rPr>
          <w:rFonts w:cs="Times New Roman"/>
          <w:lang w:val="fr-CA"/>
        </w:rPr>
        <w:t>’</w:t>
      </w:r>
      <w:r w:rsidRPr="000D5E81">
        <w:rPr>
          <w:rFonts w:cs="Times New Roman"/>
          <w:lang w:val="fr-CA"/>
        </w:rPr>
        <w:t>avocat que reconnaît la common law depuis des siècles, la Cour suprême du Canada depuis l</w:t>
      </w:r>
      <w:r>
        <w:rPr>
          <w:rFonts w:cs="Times New Roman"/>
          <w:lang w:val="fr-CA"/>
        </w:rPr>
        <w:t>’</w:t>
      </w:r>
      <w:r w:rsidRPr="000D5E81">
        <w:rPr>
          <w:rFonts w:cs="Times New Roman"/>
          <w:lang w:val="fr-CA"/>
        </w:rPr>
        <w:t xml:space="preserve">arrêt </w:t>
      </w:r>
      <w:r w:rsidRPr="00D335C0">
        <w:rPr>
          <w:rFonts w:cs="Times New Roman"/>
          <w:i/>
          <w:lang w:val="fr-CA"/>
        </w:rPr>
        <w:t>Blood Indian Tribe</w:t>
      </w:r>
      <w:r w:rsidRPr="000D5E81">
        <w:rPr>
          <w:rFonts w:cs="Times New Roman"/>
          <w:lang w:val="fr-CA"/>
        </w:rPr>
        <w:t xml:space="preserve"> [. . .] de même que l</w:t>
      </w:r>
      <w:r>
        <w:rPr>
          <w:rFonts w:cs="Times New Roman"/>
          <w:lang w:val="fr-CA"/>
        </w:rPr>
        <w:t>’art. </w:t>
      </w:r>
      <w:r w:rsidRPr="000D5E81">
        <w:rPr>
          <w:rFonts w:cs="Times New Roman"/>
          <w:lang w:val="fr-CA"/>
        </w:rPr>
        <w:t>27 de la [</w:t>
      </w:r>
      <w:r w:rsidRPr="000D5E81">
        <w:rPr>
          <w:rFonts w:cs="Times New Roman"/>
          <w:i/>
          <w:lang w:val="fr-CA"/>
        </w:rPr>
        <w:t>FOIPP</w:t>
      </w:r>
      <w:r w:rsidRPr="000D5E81">
        <w:rPr>
          <w:rFonts w:cs="Times New Roman"/>
          <w:lang w:val="fr-CA"/>
        </w:rPr>
        <w:t>] ». Il affirmait également que l</w:t>
      </w:r>
      <w:r>
        <w:rPr>
          <w:rFonts w:cs="Times New Roman"/>
          <w:lang w:val="fr-CA"/>
        </w:rPr>
        <w:t>’</w:t>
      </w:r>
      <w:r w:rsidRPr="000D5E81">
        <w:rPr>
          <w:rFonts w:cs="Times New Roman"/>
          <w:lang w:val="fr-CA"/>
        </w:rPr>
        <w:t>Université n</w:t>
      </w:r>
      <w:r>
        <w:rPr>
          <w:rFonts w:cs="Times New Roman"/>
          <w:lang w:val="fr-CA"/>
        </w:rPr>
        <w:t>’</w:t>
      </w:r>
      <w:r w:rsidRPr="000D5E81">
        <w:rPr>
          <w:rFonts w:cs="Times New Roman"/>
          <w:lang w:val="fr-CA"/>
        </w:rPr>
        <w:t>entendait pas renoncer au secret des documents auxquels la Commissaire renvoyait dans son affidavit.</w:t>
      </w:r>
    </w:p>
    <w:p w:rsidR="0091315D" w:rsidRPr="000D5E81" w:rsidRDefault="0091315D" w:rsidP="00B3618F">
      <w:pPr>
        <w:pStyle w:val="ParaNoNdepar-AltN"/>
        <w:widowControl w:val="0"/>
        <w:rPr>
          <w:rFonts w:cs="Times New Roman"/>
          <w:lang w:val="fr-CA"/>
        </w:rPr>
      </w:pPr>
      <w:r w:rsidRPr="000D5E81">
        <w:rPr>
          <w:rFonts w:cs="Times New Roman"/>
          <w:lang w:val="fr-CA"/>
        </w:rPr>
        <w:t>L</w:t>
      </w:r>
      <w:r>
        <w:rPr>
          <w:rFonts w:cs="Times New Roman"/>
          <w:lang w:val="fr-CA"/>
        </w:rPr>
        <w:t>’</w:t>
      </w:r>
      <w:r w:rsidRPr="000D5E81">
        <w:rPr>
          <w:rFonts w:cs="Times New Roman"/>
          <w:lang w:val="fr-CA"/>
        </w:rPr>
        <w:t>avocat externe de l</w:t>
      </w:r>
      <w:r>
        <w:rPr>
          <w:rFonts w:cs="Times New Roman"/>
          <w:lang w:val="fr-CA"/>
        </w:rPr>
        <w:t>’</w:t>
      </w:r>
      <w:r w:rsidRPr="000D5E81">
        <w:rPr>
          <w:rFonts w:cs="Times New Roman"/>
          <w:lang w:val="fr-CA"/>
        </w:rPr>
        <w:t>Université a également transmis à la Commissaire une lettre dans laquelle il indiquait que [</w:t>
      </w:r>
      <w:r w:rsidRPr="000D5E81">
        <w:rPr>
          <w:rFonts w:cs="Times New Roman"/>
          <w:smallCaps/>
          <w:lang w:val="fr-CA"/>
        </w:rPr>
        <w:t>traduction</w:t>
      </w:r>
      <w:r w:rsidRPr="000D5E81">
        <w:rPr>
          <w:rFonts w:cs="Times New Roman"/>
          <w:lang w:val="fr-CA"/>
        </w:rPr>
        <w:t>] « l</w:t>
      </w:r>
      <w:r>
        <w:rPr>
          <w:rFonts w:cs="Times New Roman"/>
          <w:lang w:val="fr-CA"/>
        </w:rPr>
        <w:t>’</w:t>
      </w:r>
      <w:r w:rsidRPr="000D5E81">
        <w:rPr>
          <w:rFonts w:cs="Times New Roman"/>
          <w:lang w:val="fr-CA"/>
        </w:rPr>
        <w:t>Université doit se défendre contre les multiples instances judiciaires engagées par [l</w:t>
      </w:r>
      <w:r>
        <w:rPr>
          <w:rFonts w:cs="Times New Roman"/>
          <w:lang w:val="fr-CA"/>
        </w:rPr>
        <w:t>’</w:t>
      </w:r>
      <w:r w:rsidRPr="000D5E81">
        <w:rPr>
          <w:rFonts w:cs="Times New Roman"/>
          <w:lang w:val="fr-CA"/>
        </w:rPr>
        <w:t>auteure de la demande] et, ce faisant, elle doit invoquer le secret professionnel de l</w:t>
      </w:r>
      <w:r>
        <w:rPr>
          <w:rFonts w:cs="Times New Roman"/>
          <w:lang w:val="fr-CA"/>
        </w:rPr>
        <w:t>’</w:t>
      </w:r>
      <w:r w:rsidRPr="000D5E81">
        <w:rPr>
          <w:rFonts w:cs="Times New Roman"/>
          <w:lang w:val="fr-CA"/>
        </w:rPr>
        <w:t xml:space="preserve">avocat afin que les communications intervenues avec son avocat général et son avocat externe, aux fins de </w:t>
      </w:r>
      <w:r w:rsidRPr="000D5E81">
        <w:rPr>
          <w:rFonts w:cs="Times New Roman"/>
          <w:lang w:val="fr-CA"/>
        </w:rPr>
        <w:lastRenderedPageBreak/>
        <w:t>la conseiller et de lui expliquer les enjeux juridiques, demeurent confidentielles ».</w:t>
      </w:r>
    </w:p>
    <w:p w:rsidR="0091315D" w:rsidRPr="000D5E81" w:rsidRDefault="0091315D" w:rsidP="00B3618F">
      <w:pPr>
        <w:pStyle w:val="ParaNoNdepar-AltN"/>
        <w:widowControl w:val="0"/>
        <w:rPr>
          <w:rFonts w:cs="Times New Roman"/>
          <w:lang w:val="fr-CA"/>
        </w:rPr>
      </w:pPr>
      <w:r w:rsidRPr="000D5E81">
        <w:rPr>
          <w:rFonts w:cs="Times New Roman"/>
          <w:lang w:val="fr-CA"/>
        </w:rPr>
        <w:t>Le délégué de la Commissaire a ordonné à l</w:t>
      </w:r>
      <w:r>
        <w:rPr>
          <w:rFonts w:cs="Times New Roman"/>
          <w:lang w:val="fr-CA"/>
        </w:rPr>
        <w:t>’</w:t>
      </w:r>
      <w:r w:rsidRPr="000D5E81">
        <w:rPr>
          <w:rFonts w:cs="Times New Roman"/>
          <w:lang w:val="fr-CA"/>
        </w:rPr>
        <w:t>Université de produire les documents à l</w:t>
      </w:r>
      <w:r>
        <w:rPr>
          <w:rFonts w:cs="Times New Roman"/>
          <w:lang w:val="fr-CA"/>
        </w:rPr>
        <w:t>’</w:t>
      </w:r>
      <w:r w:rsidRPr="000D5E81">
        <w:rPr>
          <w:rFonts w:cs="Times New Roman"/>
          <w:lang w:val="fr-CA"/>
        </w:rPr>
        <w:t>égard desquels était invoqué le secret professionnel de l</w:t>
      </w:r>
      <w:r>
        <w:rPr>
          <w:rFonts w:cs="Times New Roman"/>
          <w:lang w:val="fr-CA"/>
        </w:rPr>
        <w:t>’</w:t>
      </w:r>
      <w:r w:rsidRPr="000D5E81">
        <w:rPr>
          <w:rFonts w:cs="Times New Roman"/>
          <w:lang w:val="fr-CA"/>
        </w:rPr>
        <w:t>avocat. Il a dit exiger leur production parce que l</w:t>
      </w:r>
      <w:r>
        <w:rPr>
          <w:rFonts w:cs="Times New Roman"/>
          <w:lang w:val="fr-CA"/>
        </w:rPr>
        <w:t>’</w:t>
      </w:r>
      <w:r w:rsidRPr="000D5E81">
        <w:rPr>
          <w:rFonts w:cs="Times New Roman"/>
          <w:lang w:val="fr-CA"/>
        </w:rPr>
        <w:t>Université n</w:t>
      </w:r>
      <w:r>
        <w:rPr>
          <w:rFonts w:cs="Times New Roman"/>
          <w:lang w:val="fr-CA"/>
        </w:rPr>
        <w:t>’</w:t>
      </w:r>
      <w:r w:rsidRPr="000D5E81">
        <w:rPr>
          <w:rFonts w:cs="Times New Roman"/>
          <w:lang w:val="fr-CA"/>
        </w:rPr>
        <w:t>avait pas dûment établi l</w:t>
      </w:r>
      <w:r>
        <w:rPr>
          <w:rFonts w:cs="Times New Roman"/>
          <w:lang w:val="fr-CA"/>
        </w:rPr>
        <w:t>’</w:t>
      </w:r>
      <w:r w:rsidRPr="000D5E81">
        <w:rPr>
          <w:rFonts w:cs="Times New Roman"/>
          <w:lang w:val="fr-CA"/>
        </w:rPr>
        <w:t>application du secret professionnel de l</w:t>
      </w:r>
      <w:r>
        <w:rPr>
          <w:rFonts w:cs="Times New Roman"/>
          <w:lang w:val="fr-CA"/>
        </w:rPr>
        <w:t>’</w:t>
      </w:r>
      <w:r w:rsidRPr="000D5E81">
        <w:rPr>
          <w:rFonts w:cs="Times New Roman"/>
          <w:lang w:val="fr-CA"/>
        </w:rPr>
        <w:t>avocat.</w:t>
      </w:r>
    </w:p>
    <w:p w:rsidR="0091315D" w:rsidRPr="000D5E81" w:rsidRDefault="0091315D" w:rsidP="00B3618F">
      <w:pPr>
        <w:pStyle w:val="ParaNoNdepar-AltN"/>
        <w:widowControl w:val="0"/>
        <w:rPr>
          <w:rFonts w:cs="Times New Roman"/>
          <w:lang w:val="fr-CA"/>
        </w:rPr>
      </w:pPr>
      <w:r w:rsidRPr="000D5E81">
        <w:rPr>
          <w:rFonts w:cs="Times New Roman"/>
          <w:lang w:val="fr-CA"/>
        </w:rPr>
        <w:t>À l</w:t>
      </w:r>
      <w:r>
        <w:rPr>
          <w:rFonts w:cs="Times New Roman"/>
          <w:lang w:val="fr-CA"/>
        </w:rPr>
        <w:t>’</w:t>
      </w:r>
      <w:r w:rsidRPr="000D5E81">
        <w:rPr>
          <w:rFonts w:cs="Times New Roman"/>
          <w:lang w:val="fr-CA"/>
        </w:rPr>
        <w:t>audience devant notre Cour, l</w:t>
      </w:r>
      <w:r>
        <w:rPr>
          <w:rFonts w:cs="Times New Roman"/>
          <w:lang w:val="fr-CA"/>
        </w:rPr>
        <w:t>’</w:t>
      </w:r>
      <w:r w:rsidRPr="000D5E81">
        <w:rPr>
          <w:rFonts w:cs="Times New Roman"/>
          <w:lang w:val="fr-CA"/>
        </w:rPr>
        <w:t>appelante a reconnu que l</w:t>
      </w:r>
      <w:r>
        <w:rPr>
          <w:rFonts w:cs="Times New Roman"/>
          <w:lang w:val="fr-CA"/>
        </w:rPr>
        <w:t>’</w:t>
      </w:r>
      <w:r w:rsidRPr="000D5E81">
        <w:rPr>
          <w:rFonts w:cs="Times New Roman"/>
          <w:lang w:val="fr-CA"/>
        </w:rPr>
        <w:t>allégation du privilège par l</w:t>
      </w:r>
      <w:r>
        <w:rPr>
          <w:rFonts w:cs="Times New Roman"/>
          <w:lang w:val="fr-CA"/>
        </w:rPr>
        <w:t>’</w:t>
      </w:r>
      <w:r w:rsidRPr="000D5E81">
        <w:rPr>
          <w:rFonts w:cs="Times New Roman"/>
          <w:lang w:val="fr-CA"/>
        </w:rPr>
        <w:t>Université respectait les règles de pratique qui valaient alors en matière civile en Alberta, lesquelles obéissaient à l</w:t>
      </w:r>
      <w:r>
        <w:rPr>
          <w:rFonts w:cs="Times New Roman"/>
          <w:lang w:val="fr-CA"/>
        </w:rPr>
        <w:t>’</w:t>
      </w:r>
      <w:r w:rsidRPr="000D5E81">
        <w:rPr>
          <w:rFonts w:cs="Times New Roman"/>
          <w:lang w:val="fr-CA"/>
        </w:rPr>
        <w:t xml:space="preserve">arrêt </w:t>
      </w:r>
      <w:r w:rsidRPr="000D5E81">
        <w:rPr>
          <w:rFonts w:cs="Times New Roman"/>
          <w:i/>
          <w:lang w:val="fr-CA"/>
        </w:rPr>
        <w:t>Dorchak c. Krupka</w:t>
      </w:r>
      <w:r>
        <w:rPr>
          <w:rFonts w:cs="Times New Roman"/>
          <w:lang w:val="fr-CA"/>
        </w:rPr>
        <w:t>,</w:t>
      </w:r>
      <w:r w:rsidRPr="000D5E81">
        <w:rPr>
          <w:rFonts w:cs="Times New Roman"/>
          <w:lang w:val="fr-CA"/>
        </w:rPr>
        <w:t xml:space="preserve"> 1997 ABCA 89, 196 A.R. 81. Ces règles ont certes évolué à la lumière de l</w:t>
      </w:r>
      <w:r>
        <w:rPr>
          <w:rFonts w:cs="Times New Roman"/>
          <w:lang w:val="fr-CA"/>
        </w:rPr>
        <w:t>’</w:t>
      </w:r>
      <w:r w:rsidRPr="000D5E81">
        <w:rPr>
          <w:rFonts w:cs="Times New Roman"/>
          <w:lang w:val="fr-CA"/>
        </w:rPr>
        <w:t xml:space="preserve">arrêt subséquent </w:t>
      </w:r>
      <w:r w:rsidRPr="000D5E81">
        <w:rPr>
          <w:rFonts w:cs="Times New Roman"/>
          <w:i/>
          <w:lang w:val="fr-CA"/>
        </w:rPr>
        <w:t>Canadian Natural Resources Ltd. c. ShawCor Ltd.</w:t>
      </w:r>
      <w:r w:rsidRPr="000D5E81">
        <w:rPr>
          <w:rFonts w:cs="Times New Roman"/>
          <w:lang w:val="fr-CA"/>
        </w:rPr>
        <w:t>, 2014 ABCA 289, 580 A.R. 265, de la Cour d</w:t>
      </w:r>
      <w:r>
        <w:rPr>
          <w:rFonts w:cs="Times New Roman"/>
          <w:lang w:val="fr-CA"/>
        </w:rPr>
        <w:t>’</w:t>
      </w:r>
      <w:r w:rsidRPr="000D5E81">
        <w:rPr>
          <w:rFonts w:cs="Times New Roman"/>
          <w:lang w:val="fr-CA"/>
        </w:rPr>
        <w:t>appel de l</w:t>
      </w:r>
      <w:r>
        <w:rPr>
          <w:rFonts w:cs="Times New Roman"/>
          <w:lang w:val="fr-CA"/>
        </w:rPr>
        <w:t>’</w:t>
      </w:r>
      <w:r w:rsidRPr="000D5E81">
        <w:rPr>
          <w:rFonts w:cs="Times New Roman"/>
          <w:lang w:val="fr-CA"/>
        </w:rPr>
        <w:t>Alberta. J</w:t>
      </w:r>
      <w:r>
        <w:rPr>
          <w:rFonts w:cs="Times New Roman"/>
          <w:lang w:val="fr-CA"/>
        </w:rPr>
        <w:t>’</w:t>
      </w:r>
      <w:r w:rsidRPr="000D5E81">
        <w:rPr>
          <w:rFonts w:cs="Times New Roman"/>
          <w:lang w:val="fr-CA"/>
        </w:rPr>
        <w:t>estime cependant que le délégué de la Commissaire a commis une erreur susceptible de contrôle en soumettant l</w:t>
      </w:r>
      <w:r>
        <w:rPr>
          <w:rFonts w:cs="Times New Roman"/>
          <w:lang w:val="fr-CA"/>
        </w:rPr>
        <w:t>’</w:t>
      </w:r>
      <w:r w:rsidRPr="000D5E81">
        <w:rPr>
          <w:rFonts w:cs="Times New Roman"/>
          <w:lang w:val="fr-CA"/>
        </w:rPr>
        <w:t>Université à une norme plus stricte que celle applicable dans un litige civil devant une cour de justice pour établir l</w:t>
      </w:r>
      <w:r>
        <w:rPr>
          <w:rFonts w:cs="Times New Roman"/>
          <w:lang w:val="fr-CA"/>
        </w:rPr>
        <w:t>’</w:t>
      </w:r>
      <w:r w:rsidRPr="000D5E81">
        <w:rPr>
          <w:rFonts w:cs="Times New Roman"/>
          <w:lang w:val="fr-CA"/>
        </w:rPr>
        <w:t>existence du privilège invoqué. Cette conclusion est étayée par le fait que la preuve présentée à la Commissaire répondait au critère à trois volets énoncé dans l</w:t>
      </w:r>
      <w:r>
        <w:rPr>
          <w:rFonts w:cs="Times New Roman"/>
          <w:lang w:val="fr-CA"/>
        </w:rPr>
        <w:t>’</w:t>
      </w:r>
      <w:r w:rsidRPr="000D5E81">
        <w:rPr>
          <w:rFonts w:cs="Times New Roman"/>
          <w:lang w:val="fr-CA"/>
        </w:rPr>
        <w:t xml:space="preserve">arrêt </w:t>
      </w:r>
      <w:r w:rsidRPr="000D5E81">
        <w:rPr>
          <w:rFonts w:cs="Times New Roman"/>
          <w:i/>
          <w:lang w:val="fr-CA"/>
        </w:rPr>
        <w:t>Solosky c. La Reine</w:t>
      </w:r>
      <w:r w:rsidRPr="000D5E81">
        <w:rPr>
          <w:rFonts w:cs="Times New Roman"/>
          <w:lang w:val="fr-CA"/>
        </w:rPr>
        <w:t>, [1980] 1 R.C.S. 821. La preuve — plus particulièrement la lettre de l</w:t>
      </w:r>
      <w:r>
        <w:rPr>
          <w:rFonts w:cs="Times New Roman"/>
          <w:lang w:val="fr-CA"/>
        </w:rPr>
        <w:t>’</w:t>
      </w:r>
      <w:r w:rsidRPr="000D5E81">
        <w:rPr>
          <w:rFonts w:cs="Times New Roman"/>
          <w:lang w:val="fr-CA"/>
        </w:rPr>
        <w:t>avocat externe de l</w:t>
      </w:r>
      <w:r>
        <w:rPr>
          <w:rFonts w:cs="Times New Roman"/>
          <w:lang w:val="fr-CA"/>
        </w:rPr>
        <w:t>’</w:t>
      </w:r>
      <w:r w:rsidRPr="000D5E81">
        <w:rPr>
          <w:rFonts w:cs="Times New Roman"/>
          <w:lang w:val="fr-CA"/>
        </w:rPr>
        <w:t>Université — indique clairement que les documents constituent des communications entre un avocat (l</w:t>
      </w:r>
      <w:r>
        <w:rPr>
          <w:rFonts w:cs="Times New Roman"/>
          <w:lang w:val="fr-CA"/>
        </w:rPr>
        <w:t>’</w:t>
      </w:r>
      <w:r w:rsidRPr="000D5E81">
        <w:rPr>
          <w:rFonts w:cs="Times New Roman"/>
          <w:lang w:val="fr-CA"/>
        </w:rPr>
        <w:t>avocat externe de l</w:t>
      </w:r>
      <w:r>
        <w:rPr>
          <w:rFonts w:cs="Times New Roman"/>
          <w:lang w:val="fr-CA"/>
        </w:rPr>
        <w:t>’</w:t>
      </w:r>
      <w:r w:rsidRPr="000D5E81">
        <w:rPr>
          <w:rFonts w:cs="Times New Roman"/>
          <w:lang w:val="fr-CA"/>
        </w:rPr>
        <w:t>Université) et son client (l</w:t>
      </w:r>
      <w:r>
        <w:rPr>
          <w:rFonts w:cs="Times New Roman"/>
          <w:lang w:val="fr-CA"/>
        </w:rPr>
        <w:t>’</w:t>
      </w:r>
      <w:r w:rsidRPr="000D5E81">
        <w:rPr>
          <w:rFonts w:cs="Times New Roman"/>
          <w:lang w:val="fr-CA"/>
        </w:rPr>
        <w:t>avocat général de l</w:t>
      </w:r>
      <w:r>
        <w:rPr>
          <w:rFonts w:cs="Times New Roman"/>
          <w:lang w:val="fr-CA"/>
        </w:rPr>
        <w:t>’</w:t>
      </w:r>
      <w:r w:rsidRPr="000D5E81">
        <w:rPr>
          <w:rFonts w:cs="Times New Roman"/>
          <w:lang w:val="fr-CA"/>
        </w:rPr>
        <w:t>Université, au nom de l</w:t>
      </w:r>
      <w:r>
        <w:rPr>
          <w:rFonts w:cs="Times New Roman"/>
          <w:lang w:val="fr-CA"/>
        </w:rPr>
        <w:t>’</w:t>
      </w:r>
      <w:r w:rsidRPr="000D5E81">
        <w:rPr>
          <w:rFonts w:cs="Times New Roman"/>
          <w:lang w:val="fr-CA"/>
        </w:rPr>
        <w:t>Université), qu</w:t>
      </w:r>
      <w:r>
        <w:rPr>
          <w:rFonts w:cs="Times New Roman"/>
          <w:lang w:val="fr-CA"/>
        </w:rPr>
        <w:t>’</w:t>
      </w:r>
      <w:r w:rsidRPr="000D5E81">
        <w:rPr>
          <w:rFonts w:cs="Times New Roman"/>
          <w:lang w:val="fr-CA"/>
        </w:rPr>
        <w:t>elles visent à obtenir un avis juridique ou à en donner un et que les parties ont voulu qu</w:t>
      </w:r>
      <w:r>
        <w:rPr>
          <w:rFonts w:cs="Times New Roman"/>
          <w:lang w:val="fr-CA"/>
        </w:rPr>
        <w:t>’</w:t>
      </w:r>
      <w:r w:rsidRPr="000D5E81">
        <w:rPr>
          <w:rFonts w:cs="Times New Roman"/>
          <w:lang w:val="fr-CA"/>
        </w:rPr>
        <w:t>elles demeurent confidentielles.</w:t>
      </w:r>
    </w:p>
    <w:p w:rsidR="0091315D" w:rsidRPr="000D5E81" w:rsidRDefault="0091315D" w:rsidP="00B3618F">
      <w:pPr>
        <w:pStyle w:val="Title1LevelTitre1Niveau-AltL"/>
        <w:widowControl w:val="0"/>
        <w:numPr>
          <w:ilvl w:val="0"/>
          <w:numId w:val="9"/>
        </w:numPr>
        <w:tabs>
          <w:tab w:val="clear" w:pos="576"/>
          <w:tab w:val="num" w:pos="720"/>
        </w:tabs>
        <w:ind w:left="720" w:hanging="450"/>
        <w:rPr>
          <w:rFonts w:cs="Times New Roman"/>
          <w:lang w:val="fr-CA"/>
        </w:rPr>
      </w:pPr>
      <w:r w:rsidRPr="000D5E81">
        <w:rPr>
          <w:rFonts w:cs="Times New Roman"/>
          <w:lang w:val="fr-CA"/>
        </w:rPr>
        <w:lastRenderedPageBreak/>
        <w:t>Dispositif</w:t>
      </w:r>
    </w:p>
    <w:p w:rsidR="0091315D" w:rsidRPr="000D5E81" w:rsidRDefault="0091315D" w:rsidP="00B3618F">
      <w:pPr>
        <w:pStyle w:val="ParaNoNdepar-AltN"/>
        <w:widowControl w:val="0"/>
        <w:rPr>
          <w:rFonts w:cs="Times New Roman"/>
          <w:lang w:val="fr-CA"/>
        </w:rPr>
      </w:pPr>
      <w:r w:rsidRPr="000D5E81">
        <w:rPr>
          <w:rFonts w:cs="Times New Roman"/>
          <w:lang w:val="fr-CA"/>
        </w:rPr>
        <w:t xml:space="preserve">Il appert du libellé exprès du </w:t>
      </w:r>
      <w:r>
        <w:rPr>
          <w:rFonts w:cs="Times New Roman"/>
          <w:lang w:val="fr-CA"/>
        </w:rPr>
        <w:t>par. </w:t>
      </w:r>
      <w:r w:rsidRPr="000D5E81">
        <w:rPr>
          <w:rFonts w:cs="Times New Roman"/>
          <w:lang w:val="fr-CA"/>
        </w:rPr>
        <w:t xml:space="preserve">56(3) de la </w:t>
      </w:r>
      <w:r w:rsidRPr="000D5E81">
        <w:rPr>
          <w:rFonts w:cs="Times New Roman"/>
          <w:i/>
          <w:lang w:val="fr-CA"/>
        </w:rPr>
        <w:t>FOIPP</w:t>
      </w:r>
      <w:r w:rsidRPr="000D5E81">
        <w:rPr>
          <w:rFonts w:cs="Times New Roman"/>
          <w:lang w:val="fr-CA"/>
        </w:rPr>
        <w:t xml:space="preserve"> et de la totalité du contexte dans lequel il s</w:t>
      </w:r>
      <w:r>
        <w:rPr>
          <w:rFonts w:cs="Times New Roman"/>
          <w:lang w:val="fr-CA"/>
        </w:rPr>
        <w:t>’</w:t>
      </w:r>
      <w:r w:rsidRPr="000D5E81">
        <w:rPr>
          <w:rFonts w:cs="Times New Roman"/>
          <w:lang w:val="fr-CA"/>
        </w:rPr>
        <w:t>inscrit que le législateur a voulu supprimer le secret professionnel de l</w:t>
      </w:r>
      <w:r>
        <w:rPr>
          <w:rFonts w:cs="Times New Roman"/>
          <w:lang w:val="fr-CA"/>
        </w:rPr>
        <w:t>’</w:t>
      </w:r>
      <w:r w:rsidRPr="000D5E81">
        <w:rPr>
          <w:rFonts w:cs="Times New Roman"/>
          <w:lang w:val="fr-CA"/>
        </w:rPr>
        <w:t>avocat pour permettre à la Commissaire d</w:t>
      </w:r>
      <w:r>
        <w:rPr>
          <w:rFonts w:cs="Times New Roman"/>
          <w:lang w:val="fr-CA"/>
        </w:rPr>
        <w:t>’</w:t>
      </w:r>
      <w:r w:rsidRPr="000D5E81">
        <w:rPr>
          <w:rFonts w:cs="Times New Roman"/>
          <w:lang w:val="fr-CA"/>
        </w:rPr>
        <w:t>ordonner la production de documents lorsque cette mesure est nécessaire pour se prononcer sur l</w:t>
      </w:r>
      <w:r>
        <w:rPr>
          <w:rFonts w:cs="Times New Roman"/>
          <w:lang w:val="fr-CA"/>
        </w:rPr>
        <w:t>’</w:t>
      </w:r>
      <w:r w:rsidRPr="000D5E81">
        <w:rPr>
          <w:rFonts w:cs="Times New Roman"/>
          <w:lang w:val="fr-CA"/>
        </w:rPr>
        <w:t>application du secret professionnel de l</w:t>
      </w:r>
      <w:r>
        <w:rPr>
          <w:rFonts w:cs="Times New Roman"/>
          <w:lang w:val="fr-CA"/>
        </w:rPr>
        <w:t>’</w:t>
      </w:r>
      <w:r w:rsidRPr="000D5E81">
        <w:rPr>
          <w:rFonts w:cs="Times New Roman"/>
          <w:lang w:val="fr-CA"/>
        </w:rPr>
        <w:t>avocat invoqué à leur égard. Toutefois, la Commissaire a commis une erreur susceptible de contrôle en ordonnant la production des documents malgré la preuve offerte à l</w:t>
      </w:r>
      <w:r>
        <w:rPr>
          <w:rFonts w:cs="Times New Roman"/>
          <w:lang w:val="fr-CA"/>
        </w:rPr>
        <w:t>’</w:t>
      </w:r>
      <w:r w:rsidRPr="000D5E81">
        <w:rPr>
          <w:rFonts w:cs="Times New Roman"/>
          <w:lang w:val="fr-CA"/>
        </w:rPr>
        <w:t>appui de l</w:t>
      </w:r>
      <w:r>
        <w:rPr>
          <w:rFonts w:cs="Times New Roman"/>
          <w:lang w:val="fr-CA"/>
        </w:rPr>
        <w:t>’</w:t>
      </w:r>
      <w:r w:rsidRPr="000D5E81">
        <w:rPr>
          <w:rFonts w:cs="Times New Roman"/>
          <w:lang w:val="fr-CA"/>
        </w:rPr>
        <w:t>existence du privilège.</w:t>
      </w:r>
    </w:p>
    <w:p w:rsidR="0091315D" w:rsidRPr="000D5E81" w:rsidRDefault="0091315D" w:rsidP="00B3618F">
      <w:pPr>
        <w:pStyle w:val="ParaNoNdepar-AltN"/>
        <w:widowControl w:val="0"/>
        <w:rPr>
          <w:rFonts w:cs="Times New Roman"/>
          <w:lang w:val="fr-CA"/>
        </w:rPr>
      </w:pPr>
      <w:r w:rsidRPr="000D5E81">
        <w:rPr>
          <w:rFonts w:cs="Times New Roman"/>
          <w:lang w:val="fr-CA"/>
        </w:rPr>
        <w:t>Je suis d</w:t>
      </w:r>
      <w:r>
        <w:rPr>
          <w:rFonts w:cs="Times New Roman"/>
          <w:lang w:val="fr-CA"/>
        </w:rPr>
        <w:t>’</w:t>
      </w:r>
      <w:r w:rsidRPr="000D5E81">
        <w:rPr>
          <w:rFonts w:cs="Times New Roman"/>
          <w:lang w:val="fr-CA"/>
        </w:rPr>
        <w:t>avis de rejeter le pourvoi, avec dépens en faveur de l</w:t>
      </w:r>
      <w:r>
        <w:rPr>
          <w:rFonts w:cs="Times New Roman"/>
          <w:lang w:val="fr-CA"/>
        </w:rPr>
        <w:t>’</w:t>
      </w:r>
      <w:r w:rsidRPr="000D5E81">
        <w:rPr>
          <w:rFonts w:cs="Times New Roman"/>
          <w:lang w:val="fr-CA"/>
        </w:rPr>
        <w:t>Université devant toutes les cours.</w:t>
      </w:r>
    </w:p>
    <w:p w:rsidR="00BE5944" w:rsidRDefault="00BE5944" w:rsidP="00B3618F">
      <w:pPr>
        <w:widowControl w:val="0"/>
        <w:ind w:firstLine="1170"/>
        <w:jc w:val="both"/>
        <w:rPr>
          <w:lang w:val="fr-CA"/>
        </w:rPr>
      </w:pPr>
      <w:r w:rsidRPr="00A61588">
        <w:rPr>
          <w:lang w:val="fr-CA"/>
        </w:rPr>
        <w:t>Version française des motifs rendus par</w:t>
      </w:r>
    </w:p>
    <w:p w:rsidR="00BE5944" w:rsidRPr="0019602B" w:rsidRDefault="00BE5944" w:rsidP="00B3618F">
      <w:pPr>
        <w:widowControl w:val="0"/>
        <w:jc w:val="both"/>
        <w:rPr>
          <w:lang w:val="fr-CA"/>
        </w:rPr>
      </w:pPr>
    </w:p>
    <w:p w:rsidR="00BE5944" w:rsidRPr="0075316C" w:rsidRDefault="00B70AC7" w:rsidP="00B3618F">
      <w:pPr>
        <w:pStyle w:val="ParaNoNdepar-AltN"/>
        <w:widowControl w:val="0"/>
        <w:rPr>
          <w:rFonts w:cs="Times New Roman"/>
          <w:lang w:val="fr-CA"/>
        </w:rPr>
      </w:pPr>
      <w:r w:rsidRPr="00B70AC7">
        <w:rPr>
          <w:smallCaps/>
          <w:lang w:val="fr-CA"/>
        </w:rPr>
        <w:t>La juge Abella</w:t>
      </w:r>
      <w:r w:rsidRPr="00B70AC7">
        <w:rPr>
          <w:lang w:val="fr-CA"/>
        </w:rPr>
        <w:t xml:space="preserve"> — </w:t>
      </w:r>
      <w:r w:rsidR="00BE5944" w:rsidRPr="0075316C">
        <w:rPr>
          <w:rFonts w:cs="Times New Roman"/>
          <w:lang w:val="fr-CA"/>
        </w:rPr>
        <w:t>La plupart des décisions d’ordre juridique que rendent les tribunaux administratifs touchent d’importantes questions de droit, telles que le délai de prescription (</w:t>
      </w:r>
      <w:r w:rsidR="00BE5944" w:rsidRPr="0075316C">
        <w:rPr>
          <w:rFonts w:cs="Times New Roman"/>
          <w:i/>
          <w:lang w:val="fr-CA"/>
        </w:rPr>
        <w:t>McLean c. Colombie</w:t>
      </w:r>
      <w:r w:rsidR="00BE5944" w:rsidRPr="0075316C">
        <w:rPr>
          <w:rFonts w:cs="Times New Roman"/>
          <w:i/>
          <w:lang w:val="fr-CA"/>
        </w:rPr>
        <w:noBreakHyphen/>
        <w:t>Britannique (Securities Commission)</w:t>
      </w:r>
      <w:r w:rsidR="00BE5944" w:rsidRPr="0075316C">
        <w:rPr>
          <w:rFonts w:cs="Times New Roman"/>
          <w:lang w:val="fr-CA"/>
        </w:rPr>
        <w:t>, [2013] 3 R.C.S. 895) ou la préclusion (</w:t>
      </w:r>
      <w:r w:rsidR="00BE5944" w:rsidRPr="0075316C">
        <w:rPr>
          <w:rFonts w:cs="Times New Roman"/>
          <w:i/>
          <w:lang w:val="fr-CA"/>
        </w:rPr>
        <w:t>Nor</w:t>
      </w:r>
      <w:r w:rsidR="00BE5944" w:rsidRPr="0075316C">
        <w:rPr>
          <w:rFonts w:cs="Times New Roman"/>
          <w:i/>
          <w:lang w:val="fr-CA"/>
        </w:rPr>
        <w:noBreakHyphen/>
        <w:t>Man Regional Health Authority Inc. c. Manitoba Association of Health Care Professionals</w:t>
      </w:r>
      <w:r w:rsidR="00BE5944" w:rsidRPr="0075316C">
        <w:rPr>
          <w:rFonts w:cs="Times New Roman"/>
          <w:lang w:val="fr-CA"/>
        </w:rPr>
        <w:t xml:space="preserve">, [2011] 3 R.C.S. </w:t>
      </w:r>
      <w:r w:rsidR="007A441D">
        <w:rPr>
          <w:rFonts w:cs="Times New Roman"/>
          <w:lang w:val="fr-CA"/>
        </w:rPr>
        <w:t>6</w:t>
      </w:r>
      <w:r w:rsidR="00BE5944" w:rsidRPr="0075316C">
        <w:rPr>
          <w:rFonts w:cs="Times New Roman"/>
          <w:lang w:val="fr-CA"/>
        </w:rPr>
        <w:t xml:space="preserve">16). On estime néanmoins que, suivant l’arrêt </w:t>
      </w:r>
      <w:r w:rsidR="00BE5944" w:rsidRPr="0075316C">
        <w:rPr>
          <w:rFonts w:cs="Times New Roman"/>
          <w:i/>
          <w:lang w:val="fr-CA"/>
        </w:rPr>
        <w:t>Dunsmuir</w:t>
      </w:r>
      <w:r w:rsidR="00BE5944" w:rsidRPr="0075316C">
        <w:rPr>
          <w:rFonts w:cs="Times New Roman"/>
          <w:lang w:val="fr-CA"/>
        </w:rPr>
        <w:t xml:space="preserve">, elles commandent l’application de la norme de la décision raisonnable lorsque le décideur met son expertise à contribution pour interpréter son propre mandat spécialisé. Or, avant d’être saisis de la présente affaire, nous n’avons pas extirpé la notion de droit de son contexte législatif de manière à lui </w:t>
      </w:r>
      <w:r w:rsidR="00BE5944" w:rsidRPr="0075316C">
        <w:rPr>
          <w:rFonts w:cs="Times New Roman"/>
          <w:lang w:val="fr-CA"/>
        </w:rPr>
        <w:lastRenderedPageBreak/>
        <w:t xml:space="preserve">attribuer l’envergure particulière qui, selon </w:t>
      </w:r>
      <w:r w:rsidR="00BE5944" w:rsidRPr="0075316C">
        <w:rPr>
          <w:rFonts w:cs="Times New Roman"/>
          <w:i/>
          <w:lang w:val="fr-CA"/>
        </w:rPr>
        <w:t>Dunsmuir</w:t>
      </w:r>
      <w:r w:rsidR="00BE5944" w:rsidRPr="0075316C">
        <w:rPr>
          <w:rFonts w:cs="Times New Roman"/>
          <w:lang w:val="fr-CA"/>
        </w:rPr>
        <w:t>, appelle la norme de la décision correcte.</w:t>
      </w:r>
    </w:p>
    <w:p w:rsidR="00BE5944" w:rsidRPr="004F7DDE" w:rsidRDefault="00BE5944" w:rsidP="00B3618F">
      <w:pPr>
        <w:pStyle w:val="ParaNoNdepar-AltN"/>
        <w:widowControl w:val="0"/>
        <w:rPr>
          <w:rFonts w:cs="Times New Roman"/>
          <w:lang w:val="fr-CA"/>
        </w:rPr>
      </w:pPr>
      <w:r w:rsidRPr="004F7DDE">
        <w:rPr>
          <w:rFonts w:cs="Times New Roman"/>
          <w:lang w:val="fr-CA"/>
        </w:rPr>
        <w:t xml:space="preserve">Dans six pourvois récents, la Cour statue sur la décision d’un commissaire à l’information et à la protection de la vie privée d’ordonner ou non une communication. Dans deux d’entre eux — </w:t>
      </w:r>
      <w:r w:rsidRPr="004F7DDE">
        <w:rPr>
          <w:rFonts w:cs="Times New Roman"/>
          <w:i/>
          <w:lang w:val="fr-CA"/>
        </w:rPr>
        <w:t>Alberta (Information and Privacy Commissioner) c. Travailleurs et travailleuses unis de l’alimentation et du commerce, section locale 401</w:t>
      </w:r>
      <w:r w:rsidRPr="004F7DDE">
        <w:rPr>
          <w:rFonts w:cs="Times New Roman"/>
          <w:lang w:val="fr-CA"/>
        </w:rPr>
        <w:t>, [2013] 3 R.C.S. 733</w:t>
      </w:r>
      <w:r w:rsidR="007A441D">
        <w:rPr>
          <w:rFonts w:cs="Times New Roman"/>
          <w:lang w:val="fr-CA"/>
        </w:rPr>
        <w:t>,</w:t>
      </w:r>
      <w:r w:rsidRPr="004F7DDE">
        <w:rPr>
          <w:rFonts w:cs="Times New Roman"/>
          <w:lang w:val="fr-CA"/>
        </w:rPr>
        <w:t xml:space="preserve"> et </w:t>
      </w:r>
      <w:r w:rsidRPr="004F7DDE">
        <w:rPr>
          <w:rFonts w:cs="Times New Roman"/>
          <w:i/>
          <w:lang w:val="fr-CA"/>
        </w:rPr>
        <w:t>Canada (Commissaire à la protection de la vie privée) c. Blood Tribe Department of Health</w:t>
      </w:r>
      <w:r w:rsidRPr="004F7DDE">
        <w:rPr>
          <w:rFonts w:cs="Times New Roman"/>
          <w:lang w:val="fr-CA"/>
        </w:rPr>
        <w:t xml:space="preserve">, [2008] 2 R.C.S. 574 </w:t>
      </w:r>
      <w:r w:rsidR="00394E1C">
        <w:rPr>
          <w:rFonts w:cs="Times New Roman"/>
          <w:lang w:val="fr-CA"/>
        </w:rPr>
        <w:t>—</w:t>
      </w:r>
      <w:r w:rsidRPr="004F7DDE">
        <w:rPr>
          <w:rFonts w:cs="Times New Roman"/>
          <w:lang w:val="fr-CA"/>
        </w:rPr>
        <w:t xml:space="preserve"> elle ne fait pas mention de la norme de contrôle applicable. Dans les quatre autres</w:t>
      </w:r>
      <w:r w:rsidRPr="004F7DDE">
        <w:rPr>
          <w:rFonts w:cs="Times New Roman"/>
          <w:szCs w:val="24"/>
          <w:lang w:val="fr-CA"/>
        </w:rPr>
        <w:t xml:space="preserve"> — </w:t>
      </w:r>
      <w:r w:rsidRPr="004F7DDE">
        <w:rPr>
          <w:rFonts w:cs="Times New Roman"/>
          <w:i/>
          <w:szCs w:val="24"/>
          <w:lang w:val="fr-CA"/>
        </w:rPr>
        <w:t>Ontario (Sécurité communautaire et Services correctionnels) c. Ontario (Commissaire à l’information et à la protection de la vie privée)</w:t>
      </w:r>
      <w:r w:rsidRPr="004F7DDE">
        <w:rPr>
          <w:rFonts w:cs="Times New Roman"/>
          <w:szCs w:val="24"/>
          <w:lang w:val="fr-CA"/>
        </w:rPr>
        <w:t>, [2014] 1</w:t>
      </w:r>
      <w:r w:rsidRPr="004F7DDE">
        <w:rPr>
          <w:rFonts w:cs="Times New Roman"/>
          <w:lang w:val="fr-CA"/>
        </w:rPr>
        <w:t xml:space="preserve"> R.C.S. </w:t>
      </w:r>
      <w:r w:rsidRPr="004F7DDE">
        <w:rPr>
          <w:rFonts w:cs="Times New Roman"/>
          <w:szCs w:val="24"/>
          <w:lang w:val="fr-CA"/>
        </w:rPr>
        <w:t>674</w:t>
      </w:r>
      <w:r w:rsidR="00D335C0">
        <w:rPr>
          <w:rFonts w:cs="Times New Roman"/>
          <w:szCs w:val="24"/>
          <w:lang w:val="fr-CA"/>
        </w:rPr>
        <w:t>;</w:t>
      </w:r>
      <w:r w:rsidRPr="004F7DDE">
        <w:rPr>
          <w:rFonts w:cs="Times New Roman"/>
          <w:szCs w:val="24"/>
          <w:lang w:val="fr-CA"/>
        </w:rPr>
        <w:t xml:space="preserve"> </w:t>
      </w:r>
      <w:r w:rsidRPr="004F7DDE">
        <w:rPr>
          <w:rFonts w:cs="Times New Roman"/>
          <w:i/>
          <w:szCs w:val="24"/>
          <w:lang w:val="fr-CA"/>
        </w:rPr>
        <w:t>Untel c. Ontario (Finances)</w:t>
      </w:r>
      <w:r w:rsidRPr="004F7DDE">
        <w:rPr>
          <w:rFonts w:cs="Times New Roman"/>
          <w:szCs w:val="24"/>
          <w:lang w:val="fr-CA"/>
        </w:rPr>
        <w:t xml:space="preserve">, [2014] 2 </w:t>
      </w:r>
      <w:r w:rsidRPr="004F7DDE">
        <w:rPr>
          <w:rFonts w:cs="Times New Roman"/>
          <w:lang w:val="fr-CA"/>
        </w:rPr>
        <w:t>R.C.S.</w:t>
      </w:r>
      <w:r w:rsidRPr="004F7DDE">
        <w:rPr>
          <w:rFonts w:cs="Times New Roman"/>
          <w:szCs w:val="24"/>
          <w:lang w:val="fr-CA"/>
        </w:rPr>
        <w:t xml:space="preserve"> 3</w:t>
      </w:r>
      <w:r w:rsidR="00D335C0">
        <w:rPr>
          <w:rFonts w:cs="Times New Roman"/>
          <w:szCs w:val="24"/>
          <w:lang w:val="fr-CA"/>
        </w:rPr>
        <w:t>;</w:t>
      </w:r>
      <w:r w:rsidRPr="004F7DDE">
        <w:rPr>
          <w:rFonts w:cs="Times New Roman"/>
          <w:szCs w:val="24"/>
          <w:lang w:val="fr-CA"/>
        </w:rPr>
        <w:t xml:space="preserve"> </w:t>
      </w:r>
      <w:r w:rsidRPr="004F7DDE">
        <w:rPr>
          <w:rFonts w:cs="Times New Roman"/>
          <w:i/>
          <w:szCs w:val="24"/>
          <w:lang w:val="fr-CA"/>
        </w:rPr>
        <w:t>Alberta (Information and Privacy Commissioner) c. Alberta Teachers’ Association</w:t>
      </w:r>
      <w:r w:rsidRPr="004F7DDE">
        <w:rPr>
          <w:rFonts w:cs="Times New Roman"/>
          <w:szCs w:val="24"/>
          <w:lang w:val="fr-CA"/>
        </w:rPr>
        <w:t xml:space="preserve">, [2011] 3 </w:t>
      </w:r>
      <w:r w:rsidRPr="004F7DDE">
        <w:rPr>
          <w:rFonts w:cs="Times New Roman"/>
          <w:lang w:val="fr-CA"/>
        </w:rPr>
        <w:t>R.C.S.</w:t>
      </w:r>
      <w:r w:rsidRPr="004F7DDE">
        <w:rPr>
          <w:rFonts w:cs="Times New Roman"/>
          <w:szCs w:val="24"/>
          <w:lang w:val="fr-CA"/>
        </w:rPr>
        <w:t xml:space="preserve"> 654</w:t>
      </w:r>
      <w:r w:rsidR="007A441D">
        <w:rPr>
          <w:rFonts w:cs="Times New Roman"/>
          <w:szCs w:val="24"/>
          <w:lang w:val="fr-CA"/>
        </w:rPr>
        <w:t>,</w:t>
      </w:r>
      <w:r w:rsidRPr="004F7DDE">
        <w:rPr>
          <w:rFonts w:cs="Times New Roman"/>
          <w:szCs w:val="24"/>
          <w:lang w:val="fr-CA"/>
        </w:rPr>
        <w:t xml:space="preserve"> et </w:t>
      </w:r>
      <w:r w:rsidRPr="004F7DDE">
        <w:rPr>
          <w:rFonts w:cs="Times New Roman"/>
          <w:i/>
          <w:szCs w:val="24"/>
          <w:lang w:val="fr-CA"/>
        </w:rPr>
        <w:t>Ontario (Sûreté et Sécurité publique) c. Criminal Lawyers’ Association</w:t>
      </w:r>
      <w:r w:rsidRPr="004F7DDE">
        <w:rPr>
          <w:rFonts w:cs="Times New Roman"/>
          <w:szCs w:val="24"/>
          <w:lang w:val="fr-CA"/>
        </w:rPr>
        <w:t xml:space="preserve">, [2010] 1 </w:t>
      </w:r>
      <w:r w:rsidRPr="004F7DDE">
        <w:rPr>
          <w:rFonts w:cs="Times New Roman"/>
          <w:lang w:val="fr-CA"/>
        </w:rPr>
        <w:t>R.C.S.</w:t>
      </w:r>
      <w:r w:rsidR="00394E1C">
        <w:rPr>
          <w:rFonts w:cs="Times New Roman"/>
          <w:szCs w:val="24"/>
          <w:lang w:val="fr-CA"/>
        </w:rPr>
        <w:t xml:space="preserve"> 815 —</w:t>
      </w:r>
      <w:r w:rsidRPr="004F7DDE">
        <w:rPr>
          <w:rFonts w:cs="Times New Roman"/>
          <w:szCs w:val="24"/>
          <w:lang w:val="fr-CA"/>
        </w:rPr>
        <w:t xml:space="preserve"> elle applique la norme de la décision raisonnable. </w:t>
      </w:r>
      <w:r w:rsidRPr="004F7DDE">
        <w:rPr>
          <w:rFonts w:cs="Times New Roman"/>
          <w:lang w:val="fr-CA"/>
        </w:rPr>
        <w:t xml:space="preserve">Dans l’arrêt </w:t>
      </w:r>
      <w:r w:rsidRPr="004F7DDE">
        <w:rPr>
          <w:rFonts w:cs="Times New Roman"/>
          <w:i/>
          <w:szCs w:val="24"/>
          <w:lang w:val="fr-CA"/>
        </w:rPr>
        <w:t xml:space="preserve">Ontario (Sûreté et Sécurité publique) c. Criminal Lawyers’ Association </w:t>
      </w:r>
      <w:r w:rsidRPr="004F7DDE">
        <w:rPr>
          <w:rFonts w:cs="Times New Roman"/>
          <w:szCs w:val="24"/>
          <w:lang w:val="fr-CA"/>
        </w:rPr>
        <w:t>rendu en</w:t>
      </w:r>
      <w:r w:rsidRPr="004F7DDE">
        <w:rPr>
          <w:rFonts w:cs="Times New Roman"/>
          <w:lang w:val="fr-CA"/>
        </w:rPr>
        <w:t xml:space="preserve"> 2010, la décision d’un commissaire est contrôlée selon la norme </w:t>
      </w:r>
      <w:r w:rsidRPr="004F7DDE">
        <w:rPr>
          <w:rFonts w:cs="Times New Roman"/>
          <w:szCs w:val="24"/>
          <w:lang w:val="fr-CA"/>
        </w:rPr>
        <w:t>de la décision raisonnable</w:t>
      </w:r>
      <w:r w:rsidRPr="004F7DDE">
        <w:rPr>
          <w:rFonts w:cs="Times New Roman"/>
          <w:lang w:val="fr-CA"/>
        </w:rPr>
        <w:t xml:space="preserve"> même si le litige porte sur la communication de documents protégés par le secret professionnel de l’avocat.</w:t>
      </w:r>
    </w:p>
    <w:p w:rsidR="00BE5944" w:rsidRPr="004F7DDE" w:rsidRDefault="00BE5944" w:rsidP="00B3618F">
      <w:pPr>
        <w:pStyle w:val="ParaNoNdepar-AltN"/>
        <w:widowControl w:val="0"/>
        <w:rPr>
          <w:rFonts w:cs="Times New Roman"/>
          <w:lang w:val="fr-CA"/>
        </w:rPr>
      </w:pPr>
      <w:r w:rsidRPr="004F7DDE">
        <w:rPr>
          <w:rFonts w:cs="Times New Roman"/>
          <w:lang w:val="fr-CA"/>
        </w:rPr>
        <w:t xml:space="preserve">Dans chacune de ces affaires, un commissaire interprétait sa loi habilitante. L’arrêt </w:t>
      </w:r>
      <w:r w:rsidRPr="004F7DDE">
        <w:rPr>
          <w:rFonts w:cs="Times New Roman"/>
          <w:i/>
          <w:lang w:val="fr-CA"/>
        </w:rPr>
        <w:t>Dunsmuir c. Nouveau</w:t>
      </w:r>
      <w:r w:rsidRPr="004F7DDE">
        <w:rPr>
          <w:rFonts w:cs="Times New Roman"/>
          <w:i/>
          <w:lang w:val="fr-CA"/>
        </w:rPr>
        <w:noBreakHyphen/>
        <w:t>Brunswick</w:t>
      </w:r>
      <w:r w:rsidRPr="004F7DDE">
        <w:rPr>
          <w:rFonts w:cs="Times New Roman"/>
          <w:lang w:val="fr-CA"/>
        </w:rPr>
        <w:t>, [2008] 1 R.C.S.</w:t>
      </w:r>
      <w:r w:rsidRPr="004F7DDE">
        <w:rPr>
          <w:rFonts w:cs="Times New Roman"/>
          <w:szCs w:val="24"/>
          <w:lang w:val="fr-CA"/>
        </w:rPr>
        <w:t xml:space="preserve"> </w:t>
      </w:r>
      <w:r w:rsidRPr="004F7DDE">
        <w:rPr>
          <w:rFonts w:cs="Times New Roman"/>
          <w:lang w:val="fr-CA"/>
        </w:rPr>
        <w:t xml:space="preserve">190, et ceux rendus dans sa foulée veulent qu’en pareil cas la </w:t>
      </w:r>
      <w:r w:rsidRPr="004F7DDE">
        <w:rPr>
          <w:rFonts w:cs="Times New Roman"/>
          <w:szCs w:val="24"/>
          <w:lang w:val="fr-CA"/>
        </w:rPr>
        <w:t>norme de la décision raisonnable</w:t>
      </w:r>
      <w:r w:rsidRPr="004F7DDE">
        <w:rPr>
          <w:rFonts w:cs="Times New Roman"/>
          <w:lang w:val="fr-CA"/>
        </w:rPr>
        <w:t xml:space="preserve"> s’applique, sauf </w:t>
      </w:r>
      <w:r w:rsidRPr="004F7DDE">
        <w:rPr>
          <w:rFonts w:cs="Times New Roman"/>
          <w:lang w:val="fr-CA"/>
        </w:rPr>
        <w:lastRenderedPageBreak/>
        <w:t>lorsque la question soulevée appartient à l’une ou l’autre des catégories qui commandent l’application de la norme de la décision correcte</w:t>
      </w:r>
      <w:r w:rsidRPr="004F7DDE">
        <w:rPr>
          <w:rFonts w:cs="Times New Roman"/>
          <w:szCs w:val="24"/>
          <w:lang w:val="fr-CA"/>
        </w:rPr>
        <w:t>, telles les questions</w:t>
      </w:r>
      <w:r w:rsidRPr="004F7DDE">
        <w:rPr>
          <w:rFonts w:cs="Times New Roman"/>
          <w:b/>
          <w:szCs w:val="24"/>
          <w:lang w:val="fr-CA"/>
        </w:rPr>
        <w:t xml:space="preserve"> </w:t>
      </w:r>
      <w:r w:rsidRPr="004F7DDE">
        <w:rPr>
          <w:rFonts w:cs="Times New Roman"/>
          <w:szCs w:val="24"/>
          <w:lang w:val="fr-CA"/>
        </w:rPr>
        <w:t>d’une importance capitale</w:t>
      </w:r>
      <w:r w:rsidRPr="004F7DDE">
        <w:rPr>
          <w:rFonts w:cs="Times New Roman"/>
          <w:b/>
          <w:szCs w:val="24"/>
          <w:lang w:val="fr-CA"/>
        </w:rPr>
        <w:t xml:space="preserve"> </w:t>
      </w:r>
      <w:r w:rsidRPr="004F7DDE">
        <w:rPr>
          <w:rFonts w:cs="Times New Roman"/>
          <w:szCs w:val="24"/>
          <w:lang w:val="fr-CA"/>
        </w:rPr>
        <w:t>pour le système juridique dans son ensemble qui sont étrangères au domaine d’expertise du tribunal. </w:t>
      </w:r>
    </w:p>
    <w:p w:rsidR="00BE5944" w:rsidRPr="004F7DDE" w:rsidRDefault="00BE5944" w:rsidP="00B3618F">
      <w:pPr>
        <w:pStyle w:val="ParaNoNdepar-AltN"/>
        <w:widowControl w:val="0"/>
        <w:rPr>
          <w:rFonts w:cs="Times New Roman"/>
          <w:lang w:val="fr-CA"/>
        </w:rPr>
      </w:pPr>
      <w:r w:rsidRPr="004F7DDE">
        <w:rPr>
          <w:rFonts w:cs="Times New Roman"/>
          <w:szCs w:val="24"/>
          <w:lang w:val="fr-CA"/>
        </w:rPr>
        <w:t xml:space="preserve">Malgré ce cheminement clair, on nous demande aujourd’hui de rompre avec la démarche établie lorsqu’un </w:t>
      </w:r>
      <w:r w:rsidRPr="004F7DDE">
        <w:rPr>
          <w:rFonts w:cs="Times New Roman"/>
          <w:lang w:val="fr-CA"/>
        </w:rPr>
        <w:t>commissaire à l’information et à la protection de la vie privée met à contribution ses connaissances spécialisées pour interpréter sa loi habilitante</w:t>
      </w:r>
      <w:r w:rsidRPr="004F7DDE">
        <w:rPr>
          <w:rFonts w:cs="Times New Roman"/>
          <w:szCs w:val="24"/>
          <w:lang w:val="fr-CA"/>
        </w:rPr>
        <w:t xml:space="preserve">, y compris dans un dossier où le secret professionnel de l’avocat est en cause, et de nous engager dans une voie nouvelle sans motif discernable. </w:t>
      </w:r>
    </w:p>
    <w:p w:rsidR="00BE5944" w:rsidRPr="004F7DDE" w:rsidRDefault="00BE5944" w:rsidP="00B3618F">
      <w:pPr>
        <w:pStyle w:val="ParaNoNdepar-AltN"/>
        <w:widowControl w:val="0"/>
        <w:rPr>
          <w:rFonts w:cs="Times New Roman"/>
          <w:lang w:val="fr-CA"/>
        </w:rPr>
      </w:pPr>
      <w:r w:rsidRPr="004F7DDE">
        <w:rPr>
          <w:rFonts w:cs="Times New Roman"/>
          <w:szCs w:val="24"/>
          <w:lang w:val="fr-CA"/>
        </w:rPr>
        <w:t xml:space="preserve">Le </w:t>
      </w:r>
      <w:r w:rsidRPr="004F7DDE">
        <w:rPr>
          <w:rFonts w:cs="Times New Roman"/>
          <w:lang w:val="fr-CA"/>
        </w:rPr>
        <w:t>secret professionnel de l’avocat</w:t>
      </w:r>
      <w:r w:rsidRPr="004F7DDE">
        <w:rPr>
          <w:rFonts w:cs="Times New Roman"/>
          <w:szCs w:val="24"/>
          <w:lang w:val="fr-CA"/>
        </w:rPr>
        <w:t xml:space="preserve"> n’est ni plus ni moins important aujourd’hui qu’il ne l’était lorsque nous avons statué dans chacun des pourvois antérieurs au regard de la </w:t>
      </w:r>
      <w:r w:rsidRPr="004F7DDE">
        <w:rPr>
          <w:rFonts w:cs="Times New Roman"/>
          <w:lang w:val="fr-CA"/>
        </w:rPr>
        <w:t xml:space="preserve">norme </w:t>
      </w:r>
      <w:r w:rsidRPr="004F7DDE">
        <w:rPr>
          <w:rFonts w:cs="Times New Roman"/>
          <w:szCs w:val="24"/>
          <w:lang w:val="fr-CA"/>
        </w:rPr>
        <w:t>de la décision raisonnable. C’était la bonne norme car, comme en l’espèce, la question, même si elle était importante, relevait bel et bien du mandat légal dans le cadre duquel le commissaire exerçait ses fonctions au quotidien. En d’autres mots, elle relevait de son domaine d’expertise.</w:t>
      </w:r>
    </w:p>
    <w:p w:rsidR="00BE5944" w:rsidRPr="004F7DDE" w:rsidRDefault="00BE5944" w:rsidP="00B3618F">
      <w:pPr>
        <w:pStyle w:val="ParaNoNdepar-AltN"/>
        <w:widowControl w:val="0"/>
        <w:rPr>
          <w:rFonts w:cs="Times New Roman"/>
          <w:lang w:val="fr-CA"/>
        </w:rPr>
      </w:pPr>
      <w:r w:rsidRPr="004F7DDE">
        <w:rPr>
          <w:rFonts w:cs="Times New Roman"/>
          <w:lang w:val="fr-CA"/>
        </w:rPr>
        <w:t xml:space="preserve">La Commissaire a pour mandat de surveiller l’application de la </w:t>
      </w:r>
      <w:r w:rsidRPr="004F7DDE">
        <w:rPr>
          <w:rFonts w:cs="Times New Roman"/>
          <w:i/>
          <w:lang w:val="fr-CA"/>
        </w:rPr>
        <w:t>Freedom of Information and Protection of Privacy Act</w:t>
      </w:r>
      <w:r w:rsidRPr="004F7DDE">
        <w:rPr>
          <w:rFonts w:cs="Times New Roman"/>
          <w:lang w:val="fr-CA"/>
        </w:rPr>
        <w:t>, R.S.A. 2000, c. F</w:t>
      </w:r>
      <w:r w:rsidRPr="004F7DDE">
        <w:rPr>
          <w:rFonts w:cs="Times New Roman"/>
          <w:lang w:val="fr-CA"/>
        </w:rPr>
        <w:noBreakHyphen/>
        <w:t xml:space="preserve">25, et de veiller à la réalisation de ses objectifs. La </w:t>
      </w:r>
      <w:r w:rsidRPr="004F7DDE">
        <w:rPr>
          <w:rFonts w:cs="Times New Roman"/>
          <w:i/>
          <w:lang w:val="fr-CA"/>
        </w:rPr>
        <w:t>Loi</w:t>
      </w:r>
      <w:r w:rsidRPr="004F7DDE">
        <w:rPr>
          <w:rFonts w:cs="Times New Roman"/>
          <w:lang w:val="fr-CA"/>
        </w:rPr>
        <w:t xml:space="preserve"> confère aux citoyens un droit d’accès à certains types de renseignements que détiennent les organismes publics, sous réserve d’exceptions précises. L’une de ces exceptions correspond au secret professionnel de l’avocat et elle est prévue </w:t>
      </w:r>
      <w:r>
        <w:rPr>
          <w:rFonts w:cs="Times New Roman"/>
          <w:lang w:val="fr-CA"/>
        </w:rPr>
        <w:t>à l’al.</w:t>
      </w:r>
      <w:r w:rsidRPr="004F7DDE">
        <w:rPr>
          <w:rFonts w:cs="Times New Roman"/>
          <w:lang w:val="fr-CA"/>
        </w:rPr>
        <w:t> 27(1)</w:t>
      </w:r>
      <w:r w:rsidR="00D335C0">
        <w:rPr>
          <w:rFonts w:cs="Times New Roman"/>
          <w:lang w:val="fr-CA"/>
        </w:rPr>
        <w:t>(</w:t>
      </w:r>
      <w:r>
        <w:rPr>
          <w:rFonts w:cs="Times New Roman"/>
          <w:lang w:val="fr-CA"/>
        </w:rPr>
        <w:t>a)</w:t>
      </w:r>
      <w:r w:rsidRPr="004F7DDE">
        <w:rPr>
          <w:rFonts w:cs="Times New Roman"/>
          <w:lang w:val="fr-CA"/>
        </w:rPr>
        <w:t>, dont voici le libellé :</w:t>
      </w:r>
    </w:p>
    <w:p w:rsidR="00BE5944" w:rsidRPr="004F7DDE" w:rsidRDefault="00BE5944" w:rsidP="00B3618F">
      <w:pPr>
        <w:pStyle w:val="Citation-AltC"/>
        <w:widowControl w:val="0"/>
        <w:spacing w:after="240"/>
        <w:ind w:left="1168" w:hanging="1168"/>
        <w:contextualSpacing w:val="0"/>
        <w:rPr>
          <w:lang w:val="fr-CA"/>
        </w:rPr>
      </w:pPr>
      <w:r w:rsidRPr="004F7DDE">
        <w:rPr>
          <w:lang w:val="fr-CA"/>
        </w:rPr>
        <w:lastRenderedPageBreak/>
        <w:tab/>
        <w:t>[</w:t>
      </w:r>
      <w:r w:rsidRPr="004F7DDE">
        <w:rPr>
          <w:smallCaps/>
          <w:lang w:val="fr-CA"/>
        </w:rPr>
        <w:t>traduction</w:t>
      </w:r>
      <w:r w:rsidRPr="004F7DDE">
        <w:rPr>
          <w:lang w:val="fr-CA"/>
        </w:rPr>
        <w:t>]</w:t>
      </w:r>
      <w:r w:rsidRPr="004F7DDE">
        <w:rPr>
          <w:b/>
          <w:lang w:val="fr-CA"/>
        </w:rPr>
        <w:t xml:space="preserve"> 27(1)</w:t>
      </w:r>
      <w:r w:rsidRPr="004F7DDE">
        <w:rPr>
          <w:lang w:val="fr-CA"/>
        </w:rPr>
        <w:t xml:space="preserve"> Le responsable de l’organisme public peut refuser de communiquer à l’auteur d’une demande :</w:t>
      </w:r>
    </w:p>
    <w:p w:rsidR="00BE5944" w:rsidRPr="004F7DDE" w:rsidRDefault="00BE5944" w:rsidP="00B3618F">
      <w:pPr>
        <w:pStyle w:val="Citation-AltC"/>
        <w:widowControl w:val="0"/>
        <w:numPr>
          <w:ilvl w:val="4"/>
          <w:numId w:val="1"/>
        </w:numPr>
        <w:contextualSpacing w:val="0"/>
        <w:rPr>
          <w:lang w:val="fr-CA"/>
        </w:rPr>
      </w:pPr>
      <w:r w:rsidRPr="004F7DDE">
        <w:rPr>
          <w:lang w:val="fr-CA"/>
        </w:rPr>
        <w:t xml:space="preserve">les renseignements qui sont protégés par tout type de privilège légal, </w:t>
      </w:r>
      <w:r w:rsidRPr="004F7DDE">
        <w:rPr>
          <w:i/>
          <w:lang w:val="fr-CA"/>
        </w:rPr>
        <w:t>notamment le secret professionnel de l’avocat</w:t>
      </w:r>
      <w:r w:rsidRPr="004F7DDE">
        <w:rPr>
          <w:lang w:val="fr-CA"/>
        </w:rPr>
        <w:t xml:space="preserve"> et le privilège parlementaire,</w:t>
      </w:r>
    </w:p>
    <w:p w:rsidR="00BE5944" w:rsidRPr="004F7DDE" w:rsidRDefault="00BE5944" w:rsidP="00B3618F">
      <w:pPr>
        <w:pStyle w:val="ContinueParaSuitedupar-AltP"/>
        <w:widowControl w:val="0"/>
        <w:rPr>
          <w:rFonts w:cs="Times New Roman"/>
          <w:lang w:val="fr-CA"/>
        </w:rPr>
      </w:pPr>
      <w:r w:rsidRPr="004F7DDE">
        <w:rPr>
          <w:rFonts w:cs="Times New Roman"/>
          <w:lang w:val="fr-CA"/>
        </w:rPr>
        <w:t xml:space="preserve">Il me paraît logiquement discutable de conclure que même si le législateur confie à la Commissaire le mandat exprès de se prononcer sur l’application du secret professionnel de l’avocat, cette fonction est néanmoins réputée échapper à son domaine d’expertise. Pareille approche supprime de manière inexplicable la conjonction « et » dans la formulation du critère de l’arrêt </w:t>
      </w:r>
      <w:r w:rsidRPr="004F7DDE">
        <w:rPr>
          <w:rFonts w:cs="Times New Roman"/>
          <w:i/>
          <w:lang w:val="fr-CA"/>
        </w:rPr>
        <w:t>Dunsmuir</w:t>
      </w:r>
      <w:r w:rsidRPr="004F7DDE">
        <w:rPr>
          <w:rFonts w:cs="Times New Roman"/>
          <w:lang w:val="fr-CA"/>
        </w:rPr>
        <w:t>, à savoir que la question</w:t>
      </w:r>
      <w:r w:rsidRPr="004F7DDE">
        <w:rPr>
          <w:rFonts w:cs="Times New Roman"/>
          <w:szCs w:val="24"/>
          <w:lang w:val="fr-CA"/>
        </w:rPr>
        <w:t xml:space="preserve"> doit à la fois</w:t>
      </w:r>
      <w:r w:rsidRPr="004F7DDE">
        <w:rPr>
          <w:rFonts w:cs="Times New Roman"/>
          <w:b/>
          <w:szCs w:val="24"/>
          <w:lang w:val="fr-CA"/>
        </w:rPr>
        <w:t xml:space="preserve"> </w:t>
      </w:r>
      <w:r w:rsidRPr="004F7DDE">
        <w:rPr>
          <w:rFonts w:cs="Times New Roman"/>
          <w:szCs w:val="24"/>
          <w:lang w:val="fr-CA"/>
        </w:rPr>
        <w:t>revêtir une importance capitale</w:t>
      </w:r>
      <w:r w:rsidRPr="004F7DDE">
        <w:rPr>
          <w:rFonts w:cs="Times New Roman"/>
          <w:b/>
          <w:szCs w:val="24"/>
          <w:lang w:val="fr-CA"/>
        </w:rPr>
        <w:t xml:space="preserve"> </w:t>
      </w:r>
      <w:r w:rsidRPr="004F7DDE">
        <w:rPr>
          <w:rFonts w:cs="Times New Roman"/>
          <w:szCs w:val="24"/>
          <w:lang w:val="fr-CA"/>
        </w:rPr>
        <w:t xml:space="preserve">pour le système juridique </w:t>
      </w:r>
      <w:r w:rsidRPr="004F7DDE">
        <w:rPr>
          <w:rFonts w:cs="Times New Roman"/>
          <w:i/>
          <w:szCs w:val="24"/>
          <w:lang w:val="fr-CA"/>
        </w:rPr>
        <w:t>et</w:t>
      </w:r>
      <w:r w:rsidRPr="004F7DDE">
        <w:rPr>
          <w:rFonts w:cs="Times New Roman"/>
          <w:szCs w:val="24"/>
          <w:lang w:val="fr-CA"/>
        </w:rPr>
        <w:t xml:space="preserve"> être étrangère au domaine d’expertise du tribunal. Elle risque aussi de se révéler problématique en privant de sens la présomption selon laquelle la déférence s’impose à l’endroit du décideur qui interprète ou qui applique sa loi habilitante.</w:t>
      </w:r>
    </w:p>
    <w:p w:rsidR="00BE5944" w:rsidRPr="004F7DDE" w:rsidRDefault="00BE5944" w:rsidP="00B3618F">
      <w:pPr>
        <w:pStyle w:val="ParaNoNdepar-AltN"/>
        <w:widowControl w:val="0"/>
        <w:rPr>
          <w:rFonts w:cs="Times New Roman"/>
          <w:lang w:val="fr-CA"/>
        </w:rPr>
      </w:pPr>
      <w:r w:rsidRPr="004F7DDE">
        <w:rPr>
          <w:rFonts w:cs="Times New Roman"/>
          <w:szCs w:val="24"/>
          <w:lang w:val="fr-CA"/>
        </w:rPr>
        <w:t xml:space="preserve">Qui plus est, dans la présente affaire, on ne demande pas à la Commissaire de se prononcer sur la teneur du </w:t>
      </w:r>
      <w:r w:rsidRPr="004F7DDE">
        <w:rPr>
          <w:rFonts w:cs="Times New Roman"/>
          <w:lang w:val="fr-CA"/>
        </w:rPr>
        <w:t>secret professionnel de l’avocat</w:t>
      </w:r>
      <w:r w:rsidRPr="004F7DDE">
        <w:rPr>
          <w:rFonts w:cs="Times New Roman"/>
          <w:szCs w:val="24"/>
          <w:lang w:val="fr-CA"/>
        </w:rPr>
        <w:t xml:space="preserve"> pour ce qui concerne le système juridique dans son ensemble, mais bien de l’appliquer pour les besoins d’une disposition de sa loi habilitante, le par. 56(3) de la </w:t>
      </w:r>
      <w:r w:rsidRPr="004F7DDE">
        <w:rPr>
          <w:rFonts w:cs="Times New Roman"/>
          <w:i/>
          <w:lang w:val="fr-CA"/>
        </w:rPr>
        <w:t>Freedom of Information and Protection of Privacy Act</w:t>
      </w:r>
      <w:r w:rsidRPr="004F7DDE">
        <w:rPr>
          <w:rFonts w:cs="Times New Roman"/>
          <w:szCs w:val="24"/>
          <w:lang w:val="fr-CA"/>
        </w:rPr>
        <w:t>. Il s’agit du territoire classique de la « raisonnabilité ».</w:t>
      </w:r>
    </w:p>
    <w:p w:rsidR="00BE5944" w:rsidRPr="004F7DDE" w:rsidRDefault="00BE5944" w:rsidP="00B3618F">
      <w:pPr>
        <w:pStyle w:val="ParaNoNdepar-AltN"/>
        <w:widowControl w:val="0"/>
        <w:rPr>
          <w:rFonts w:cs="Times New Roman"/>
          <w:lang w:val="fr-CA"/>
        </w:rPr>
      </w:pPr>
      <w:r w:rsidRPr="004F7DDE">
        <w:rPr>
          <w:rFonts w:cs="Times New Roman"/>
          <w:lang w:val="fr-CA"/>
        </w:rPr>
        <w:t>À mon sens, la décision d’ordonner la communication est cependant déraisonnable en ce que la Commissaire ne tient pas suffisamment compte de la manière dont s’applique le secret professionnel de l’avocat</w:t>
      </w:r>
      <w:r w:rsidRPr="004F7DDE">
        <w:rPr>
          <w:rFonts w:cs="Times New Roman"/>
          <w:szCs w:val="24"/>
          <w:lang w:val="fr-CA"/>
        </w:rPr>
        <w:t xml:space="preserve"> ou des raisons pour </w:t>
      </w:r>
      <w:r w:rsidRPr="004F7DDE">
        <w:rPr>
          <w:rFonts w:cs="Times New Roman"/>
          <w:szCs w:val="24"/>
          <w:lang w:val="fr-CA"/>
        </w:rPr>
        <w:lastRenderedPageBreak/>
        <w:t xml:space="preserve">lesquelles il s’applique </w:t>
      </w:r>
      <w:r w:rsidRPr="004F7DDE">
        <w:rPr>
          <w:rFonts w:cs="Times New Roman"/>
          <w:lang w:val="fr-CA"/>
        </w:rPr>
        <w:t xml:space="preserve">(voir </w:t>
      </w:r>
      <w:r w:rsidRPr="004F7DDE">
        <w:rPr>
          <w:rFonts w:cs="Times New Roman"/>
          <w:i/>
          <w:lang w:val="fr-CA"/>
        </w:rPr>
        <w:t>Pritchard c. Ontario (Commission des droits de la personne)</w:t>
      </w:r>
      <w:r w:rsidRPr="004F7DDE">
        <w:rPr>
          <w:rFonts w:cs="Times New Roman"/>
          <w:lang w:val="fr-CA"/>
        </w:rPr>
        <w:t>, [2004] 1 R.C.S. 809</w:t>
      </w:r>
      <w:r w:rsidR="00D335C0">
        <w:rPr>
          <w:rFonts w:cs="Times New Roman"/>
          <w:lang w:val="fr-CA"/>
        </w:rPr>
        <w:t>;</w:t>
      </w:r>
      <w:r w:rsidRPr="004F7DDE">
        <w:rPr>
          <w:rFonts w:cs="Times New Roman"/>
          <w:lang w:val="fr-CA"/>
        </w:rPr>
        <w:t xml:space="preserve"> </w:t>
      </w:r>
      <w:r w:rsidRPr="004F7DDE">
        <w:rPr>
          <w:rFonts w:cs="Times New Roman"/>
          <w:i/>
          <w:lang w:val="fr-CA"/>
        </w:rPr>
        <w:t>Canada (Revenu national) c. Thompson</w:t>
      </w:r>
      <w:r w:rsidRPr="004F7DDE">
        <w:rPr>
          <w:rFonts w:cs="Times New Roman"/>
          <w:lang w:val="fr-CA"/>
        </w:rPr>
        <w:t>, [2016] 1 R.C.S. 381</w:t>
      </w:r>
      <w:r w:rsidR="007A441D">
        <w:rPr>
          <w:rFonts w:cs="Times New Roman"/>
          <w:lang w:val="fr-CA"/>
        </w:rPr>
        <w:t>,</w:t>
      </w:r>
      <w:r w:rsidRPr="004F7DDE">
        <w:rPr>
          <w:rFonts w:cs="Times New Roman"/>
          <w:lang w:val="fr-CA"/>
        </w:rPr>
        <w:t xml:space="preserve"> et </w:t>
      </w:r>
      <w:r w:rsidRPr="004F7DDE">
        <w:rPr>
          <w:rFonts w:cs="Times New Roman"/>
          <w:i/>
          <w:lang w:val="fr-CA"/>
        </w:rPr>
        <w:t>Blood Tribe</w:t>
      </w:r>
      <w:r w:rsidRPr="004F7DDE">
        <w:rPr>
          <w:rFonts w:cs="Times New Roman"/>
          <w:lang w:val="fr-CA"/>
        </w:rPr>
        <w:t xml:space="preserve">). Comme le signalent les juges Côté et Cromwell, à supposer même que le par. 56(3) autorise la Commissaire à ordonner la communication de documents protégés par le secret professionnel de l’avocat, l’Université de Calgary a suffisamment justifié le respect de ce privilège au vu, tout particulièrement, des règles de droit et de pratique qui avaient cours en matière civile en Alberta. La Commissaire n’aurait dû exercer son pouvoir discrétionnaire de manière attentatoire au secret professionnel de l’avocat que si cela était absolument nécessaire à la réalisation des objectifs de la </w:t>
      </w:r>
      <w:r w:rsidRPr="004F7DDE">
        <w:rPr>
          <w:rFonts w:cs="Times New Roman"/>
          <w:i/>
          <w:lang w:val="fr-CA"/>
        </w:rPr>
        <w:t>Freedom of Information and Protection of Privacy Act.</w:t>
      </w:r>
      <w:r w:rsidRPr="004F7DDE">
        <w:rPr>
          <w:rFonts w:cs="Times New Roman"/>
          <w:lang w:val="fr-CA"/>
        </w:rPr>
        <w:t xml:space="preserve"> </w:t>
      </w:r>
    </w:p>
    <w:p w:rsidR="00BE5944" w:rsidRPr="004F7DDE" w:rsidRDefault="00BE5944" w:rsidP="00B3618F">
      <w:pPr>
        <w:pStyle w:val="ParaNoNdepar-AltN"/>
        <w:widowControl w:val="0"/>
        <w:rPr>
          <w:rFonts w:cs="Times New Roman"/>
          <w:szCs w:val="24"/>
          <w:lang w:val="fr-CA"/>
        </w:rPr>
      </w:pPr>
      <w:r w:rsidRPr="004F7DDE">
        <w:rPr>
          <w:rFonts w:cs="Times New Roman"/>
          <w:szCs w:val="24"/>
          <w:lang w:val="fr-CA"/>
        </w:rPr>
        <w:t>L’importance et la portée du privilège auraient dû orienter l’interprétation du par. 56(3) par la Commissaire de sorte qu’il n’y ait pas communication. Puisque tel n’a pas été le cas, je conviens qu’il y a lieu d’annuler la décision.</w:t>
      </w:r>
    </w:p>
    <w:p w:rsidR="004D7D95" w:rsidRPr="004D4C3B" w:rsidRDefault="004D7D95" w:rsidP="00B3618F">
      <w:pPr>
        <w:pStyle w:val="SCCNormalDoubleSpacing"/>
        <w:widowControl w:val="0"/>
        <w:spacing w:after="480"/>
        <w:rPr>
          <w:lang w:val="fr-CA"/>
        </w:rPr>
      </w:pPr>
      <w:r w:rsidRPr="004D4C3B">
        <w:rPr>
          <w:lang w:val="fr-CA"/>
        </w:rPr>
        <w:tab/>
      </w:r>
      <w:r w:rsidR="009E2944" w:rsidRPr="004D4C3B">
        <w:rPr>
          <w:i/>
          <w:lang w:val="fr-CA"/>
        </w:rPr>
        <w:t xml:space="preserve">Pourvoi </w:t>
      </w:r>
      <w:r w:rsidR="00241C00" w:rsidRPr="004D4C3B">
        <w:rPr>
          <w:i/>
          <w:lang w:val="fr-CA"/>
        </w:rPr>
        <w:t>rejeté avec dépens</w:t>
      </w:r>
      <w:r w:rsidR="009E2944" w:rsidRPr="004D4C3B">
        <w:rPr>
          <w:i/>
          <w:lang w:val="fr-CA"/>
        </w:rPr>
        <w:t>.</w:t>
      </w:r>
    </w:p>
    <w:p w:rsidR="00D203A0" w:rsidRPr="004D4C3B" w:rsidRDefault="00D203A0" w:rsidP="00B3618F">
      <w:pPr>
        <w:pStyle w:val="SCCLawFirm"/>
        <w:widowControl w:val="0"/>
        <w:spacing w:after="480"/>
        <w:rPr>
          <w:lang w:val="fr-CA"/>
        </w:rPr>
      </w:pPr>
      <w:r w:rsidRPr="004D4C3B">
        <w:rPr>
          <w:lang w:val="fr-CA"/>
        </w:rPr>
        <w:tab/>
        <w:t>Procureurs de l</w:t>
      </w:r>
      <w:r w:rsidR="00E87C0F" w:rsidRPr="004D4C3B">
        <w:rPr>
          <w:lang w:val="fr-CA"/>
        </w:rPr>
        <w:t>’</w:t>
      </w:r>
      <w:r w:rsidRPr="004D4C3B">
        <w:rPr>
          <w:lang w:val="fr-CA"/>
        </w:rPr>
        <w:t>appelant</w:t>
      </w:r>
      <w:r w:rsidR="000A1B61">
        <w:rPr>
          <w:lang w:val="fr-CA"/>
        </w:rPr>
        <w:t>e</w:t>
      </w:r>
      <w:r w:rsidR="00E87C0F" w:rsidRPr="004D4C3B">
        <w:rPr>
          <w:lang w:val="fr-CA"/>
        </w:rPr>
        <w:t> :</w:t>
      </w:r>
      <w:r w:rsidR="00D03969" w:rsidRPr="004D4C3B">
        <w:rPr>
          <w:lang w:val="fr-CA"/>
        </w:rPr>
        <w:t> </w:t>
      </w:r>
      <w:r w:rsidRPr="004D4C3B">
        <w:rPr>
          <w:lang w:val="fr-CA"/>
        </w:rPr>
        <w:t>Jensen Shawa Solomon Duguid Hawkes, Calgary.</w:t>
      </w:r>
    </w:p>
    <w:p w:rsidR="00D203A0" w:rsidRPr="004D4C3B" w:rsidRDefault="00D203A0" w:rsidP="00B3618F">
      <w:pPr>
        <w:pStyle w:val="SCCLawFirm"/>
        <w:widowControl w:val="0"/>
        <w:spacing w:after="480"/>
        <w:rPr>
          <w:lang w:val="fr-CA"/>
        </w:rPr>
      </w:pPr>
      <w:r w:rsidRPr="004D4C3B">
        <w:rPr>
          <w:lang w:val="fr-CA"/>
        </w:rPr>
        <w:tab/>
        <w:t>Procureurs de l</w:t>
      </w:r>
      <w:r w:rsidR="00E87C0F" w:rsidRPr="004D4C3B">
        <w:rPr>
          <w:lang w:val="fr-CA"/>
        </w:rPr>
        <w:t>’</w:t>
      </w:r>
      <w:r w:rsidRPr="004D4C3B">
        <w:rPr>
          <w:lang w:val="fr-CA"/>
        </w:rPr>
        <w:t>intimé</w:t>
      </w:r>
      <w:r w:rsidR="00E87C0F" w:rsidRPr="004D4C3B">
        <w:rPr>
          <w:lang w:val="fr-CA"/>
        </w:rPr>
        <w:t> :</w:t>
      </w:r>
      <w:r w:rsidR="00D03969" w:rsidRPr="004D4C3B">
        <w:rPr>
          <w:lang w:val="fr-CA"/>
        </w:rPr>
        <w:t> </w:t>
      </w:r>
      <w:r w:rsidRPr="004D4C3B">
        <w:rPr>
          <w:lang w:val="fr-CA"/>
        </w:rPr>
        <w:t>DLA Piper (Canada), Calgary.</w:t>
      </w:r>
    </w:p>
    <w:p w:rsidR="00D203A0" w:rsidRPr="004D4C3B" w:rsidRDefault="00D203A0" w:rsidP="00B3618F">
      <w:pPr>
        <w:pStyle w:val="SCCLawFirm"/>
        <w:widowControl w:val="0"/>
        <w:spacing w:after="480"/>
        <w:rPr>
          <w:lang w:val="fr-CA"/>
        </w:rPr>
      </w:pPr>
      <w:r w:rsidRPr="004D4C3B">
        <w:rPr>
          <w:lang w:val="fr-CA"/>
        </w:rPr>
        <w:tab/>
        <w:t>Procureurs de l</w:t>
      </w:r>
      <w:r w:rsidR="00E87C0F" w:rsidRPr="004D4C3B">
        <w:rPr>
          <w:lang w:val="fr-CA"/>
        </w:rPr>
        <w:t>’</w:t>
      </w:r>
      <w:r w:rsidRPr="004D4C3B">
        <w:rPr>
          <w:lang w:val="fr-CA"/>
        </w:rPr>
        <w:t>intervenante Law Society of Alberta</w:t>
      </w:r>
      <w:r w:rsidR="00E87C0F" w:rsidRPr="004D4C3B">
        <w:rPr>
          <w:lang w:val="fr-CA"/>
        </w:rPr>
        <w:t> :</w:t>
      </w:r>
      <w:r w:rsidR="00D03969" w:rsidRPr="004D4C3B">
        <w:rPr>
          <w:lang w:val="fr-CA"/>
        </w:rPr>
        <w:t> </w:t>
      </w:r>
      <w:r w:rsidRPr="004D4C3B">
        <w:rPr>
          <w:lang w:val="fr-CA"/>
        </w:rPr>
        <w:t>de Villars Jones, Edmonton.</w:t>
      </w:r>
    </w:p>
    <w:p w:rsidR="00D203A0" w:rsidRPr="004D4C3B" w:rsidRDefault="00D203A0" w:rsidP="00B3618F">
      <w:pPr>
        <w:pStyle w:val="SCCLawFirm"/>
        <w:widowControl w:val="0"/>
        <w:spacing w:after="480"/>
        <w:rPr>
          <w:lang w:val="fr-CA"/>
        </w:rPr>
      </w:pPr>
      <w:r w:rsidRPr="004D4C3B">
        <w:rPr>
          <w:lang w:val="fr-CA"/>
        </w:rPr>
        <w:lastRenderedPageBreak/>
        <w:tab/>
        <w:t>Procureurs de l</w:t>
      </w:r>
      <w:r w:rsidR="00E87C0F" w:rsidRPr="004D4C3B">
        <w:rPr>
          <w:lang w:val="fr-CA"/>
        </w:rPr>
        <w:t>’</w:t>
      </w:r>
      <w:r w:rsidRPr="004D4C3B">
        <w:rPr>
          <w:lang w:val="fr-CA"/>
        </w:rPr>
        <w:t>intervenante British Columbia Freedom of Information and Privacy Association</w:t>
      </w:r>
      <w:r w:rsidR="00E87C0F" w:rsidRPr="004D4C3B">
        <w:rPr>
          <w:lang w:val="fr-CA"/>
        </w:rPr>
        <w:t> :</w:t>
      </w:r>
      <w:r w:rsidR="00D03969" w:rsidRPr="004D4C3B">
        <w:rPr>
          <w:lang w:val="fr-CA"/>
        </w:rPr>
        <w:t> </w:t>
      </w:r>
      <w:r w:rsidRPr="004D4C3B">
        <w:rPr>
          <w:lang w:val="fr-CA"/>
        </w:rPr>
        <w:t>McCarthy Tétrault, Vancouver.</w:t>
      </w:r>
    </w:p>
    <w:p w:rsidR="00D203A0" w:rsidRPr="004D4C3B" w:rsidRDefault="00D203A0" w:rsidP="00B3618F">
      <w:pPr>
        <w:pStyle w:val="SCCLawFirm"/>
        <w:widowControl w:val="0"/>
        <w:spacing w:after="480"/>
        <w:rPr>
          <w:lang w:val="fr-CA"/>
        </w:rPr>
      </w:pPr>
      <w:r w:rsidRPr="004D4C3B">
        <w:rPr>
          <w:lang w:val="fr-CA"/>
        </w:rPr>
        <w:tab/>
        <w:t>Procureur de l</w:t>
      </w:r>
      <w:r w:rsidR="00E87C0F" w:rsidRPr="004D4C3B">
        <w:rPr>
          <w:lang w:val="fr-CA"/>
        </w:rPr>
        <w:t>’</w:t>
      </w:r>
      <w:r w:rsidRPr="004D4C3B">
        <w:rPr>
          <w:lang w:val="fr-CA"/>
        </w:rPr>
        <w:t xml:space="preserve">intervenant </w:t>
      </w:r>
      <w:r w:rsidRPr="004D4C3B">
        <w:rPr>
          <w:rStyle w:val="SCCCounselPartyRoleChar"/>
          <w:lang w:val="fr-CA"/>
        </w:rPr>
        <w:t>le c</w:t>
      </w:r>
      <w:r w:rsidRPr="004D4C3B">
        <w:rPr>
          <w:lang w:val="fr-CA"/>
        </w:rPr>
        <w:t>ommissaire à l</w:t>
      </w:r>
      <w:r w:rsidR="00E87C0F" w:rsidRPr="004D4C3B">
        <w:rPr>
          <w:lang w:val="fr-CA"/>
        </w:rPr>
        <w:t>’</w:t>
      </w:r>
      <w:r w:rsidRPr="004D4C3B">
        <w:rPr>
          <w:lang w:val="fr-CA"/>
        </w:rPr>
        <w:t>information et à la protection de la vie privée de l</w:t>
      </w:r>
      <w:r w:rsidR="00E87C0F" w:rsidRPr="004D4C3B">
        <w:rPr>
          <w:lang w:val="fr-CA"/>
        </w:rPr>
        <w:t>’</w:t>
      </w:r>
      <w:r w:rsidRPr="004D4C3B">
        <w:rPr>
          <w:lang w:val="fr-CA"/>
        </w:rPr>
        <w:t>Ontario</w:t>
      </w:r>
      <w:r w:rsidR="00E87C0F" w:rsidRPr="004D4C3B">
        <w:rPr>
          <w:lang w:val="fr-CA"/>
        </w:rPr>
        <w:t> :</w:t>
      </w:r>
      <w:r w:rsidR="00D03969" w:rsidRPr="004D4C3B">
        <w:rPr>
          <w:lang w:val="fr-CA"/>
        </w:rPr>
        <w:t> </w:t>
      </w:r>
      <w:r w:rsidRPr="004D4C3B">
        <w:rPr>
          <w:rStyle w:val="SCCCounselPartyRoleChar"/>
          <w:lang w:val="fr-CA"/>
        </w:rPr>
        <w:t>C</w:t>
      </w:r>
      <w:r w:rsidRPr="004D4C3B">
        <w:rPr>
          <w:lang w:val="fr-CA"/>
        </w:rPr>
        <w:t>ommissaire à l</w:t>
      </w:r>
      <w:r w:rsidR="00E87C0F" w:rsidRPr="004D4C3B">
        <w:rPr>
          <w:lang w:val="fr-CA"/>
        </w:rPr>
        <w:t>’</w:t>
      </w:r>
      <w:r w:rsidRPr="004D4C3B">
        <w:rPr>
          <w:lang w:val="fr-CA"/>
        </w:rPr>
        <w:t>information et à la protection de la vie privée de l</w:t>
      </w:r>
      <w:r w:rsidR="00E87C0F" w:rsidRPr="004D4C3B">
        <w:rPr>
          <w:lang w:val="fr-CA"/>
        </w:rPr>
        <w:t>’</w:t>
      </w:r>
      <w:r w:rsidRPr="004D4C3B">
        <w:rPr>
          <w:lang w:val="fr-CA"/>
        </w:rPr>
        <w:t>Ontario, Toronto.</w:t>
      </w:r>
    </w:p>
    <w:p w:rsidR="00D203A0" w:rsidRPr="004D4C3B" w:rsidRDefault="00D203A0" w:rsidP="00B3618F">
      <w:pPr>
        <w:pStyle w:val="SCCLawFirm"/>
        <w:widowControl w:val="0"/>
        <w:spacing w:after="480"/>
      </w:pPr>
      <w:r w:rsidRPr="004D4C3B">
        <w:rPr>
          <w:lang w:val="fr-CA"/>
        </w:rPr>
        <w:tab/>
      </w:r>
      <w:r w:rsidRPr="004D4C3B">
        <w:t>Procureurs de l</w:t>
      </w:r>
      <w:r w:rsidR="00E87C0F" w:rsidRPr="004D4C3B">
        <w:t>’</w:t>
      </w:r>
      <w:r w:rsidRPr="004D4C3B">
        <w:t>intervenant Information and Privacy Commissioner for British Columbia</w:t>
      </w:r>
      <w:r w:rsidR="00E87C0F" w:rsidRPr="004D4C3B">
        <w:t> :</w:t>
      </w:r>
      <w:r w:rsidR="00D03969" w:rsidRPr="004D4C3B">
        <w:t> </w:t>
      </w:r>
      <w:r w:rsidRPr="004D4C3B">
        <w:t>Miller Thomson, Calgary.</w:t>
      </w:r>
    </w:p>
    <w:p w:rsidR="00D203A0" w:rsidRPr="004D4C3B" w:rsidRDefault="00D203A0" w:rsidP="00B3618F">
      <w:pPr>
        <w:pStyle w:val="SCCLawFirm"/>
        <w:widowControl w:val="0"/>
        <w:spacing w:after="480"/>
      </w:pPr>
      <w:r w:rsidRPr="004D4C3B">
        <w:tab/>
        <w:t>Procureurs de l</w:t>
      </w:r>
      <w:r w:rsidR="00E87C0F" w:rsidRPr="004D4C3B">
        <w:t>’</w:t>
      </w:r>
      <w:r w:rsidRPr="004D4C3B">
        <w:t>intervenant Information and Privacy Commissioner for the Province of Newfoundland and Labrador</w:t>
      </w:r>
      <w:r w:rsidR="00E87C0F" w:rsidRPr="004D4C3B">
        <w:t> :</w:t>
      </w:r>
      <w:r w:rsidR="00D03969" w:rsidRPr="004D4C3B">
        <w:t> </w:t>
      </w:r>
      <w:r w:rsidRPr="004D4C3B">
        <w:t>Lewis, Sinnott, Shortall, St. John</w:t>
      </w:r>
      <w:r w:rsidR="00E87C0F" w:rsidRPr="004D4C3B">
        <w:t>’</w:t>
      </w:r>
      <w:r w:rsidRPr="004D4C3B">
        <w:t>s.</w:t>
      </w:r>
    </w:p>
    <w:p w:rsidR="00D203A0" w:rsidRPr="004D4C3B" w:rsidRDefault="00D203A0" w:rsidP="00B3618F">
      <w:pPr>
        <w:pStyle w:val="SCCLawFirm"/>
        <w:widowControl w:val="0"/>
        <w:spacing w:after="480"/>
        <w:rPr>
          <w:lang w:val="fr-CA"/>
        </w:rPr>
      </w:pPr>
      <w:r w:rsidRPr="004D4C3B">
        <w:tab/>
      </w:r>
      <w:r w:rsidRPr="004D4C3B">
        <w:rPr>
          <w:lang w:val="fr-CA"/>
        </w:rPr>
        <w:t>Procureurs de l</w:t>
      </w:r>
      <w:r w:rsidR="00E87C0F" w:rsidRPr="004D4C3B">
        <w:rPr>
          <w:lang w:val="fr-CA"/>
        </w:rPr>
        <w:t>’</w:t>
      </w:r>
      <w:r w:rsidRPr="004D4C3B">
        <w:rPr>
          <w:lang w:val="fr-CA"/>
        </w:rPr>
        <w:t>intervenante Advocates</w:t>
      </w:r>
      <w:r w:rsidR="00E87C0F" w:rsidRPr="004D4C3B">
        <w:rPr>
          <w:lang w:val="fr-CA"/>
        </w:rPr>
        <w:t>’</w:t>
      </w:r>
      <w:r w:rsidRPr="004D4C3B">
        <w:rPr>
          <w:lang w:val="fr-CA"/>
        </w:rPr>
        <w:t xml:space="preserve"> Society</w:t>
      </w:r>
      <w:r w:rsidR="00E87C0F" w:rsidRPr="004D4C3B">
        <w:rPr>
          <w:lang w:val="fr-CA"/>
        </w:rPr>
        <w:t> :</w:t>
      </w:r>
      <w:r w:rsidR="00D03969" w:rsidRPr="004D4C3B">
        <w:rPr>
          <w:lang w:val="fr-CA"/>
        </w:rPr>
        <w:t> </w:t>
      </w:r>
      <w:r w:rsidRPr="004D4C3B">
        <w:rPr>
          <w:lang w:val="fr-CA"/>
        </w:rPr>
        <w:t>Peacock Linder Halt &amp; Mack, Calgary.</w:t>
      </w:r>
    </w:p>
    <w:p w:rsidR="00D203A0" w:rsidRPr="004D4C3B" w:rsidRDefault="00D203A0" w:rsidP="00B3618F">
      <w:pPr>
        <w:pStyle w:val="SCCLawFirm"/>
        <w:widowControl w:val="0"/>
        <w:spacing w:after="480"/>
        <w:rPr>
          <w:lang w:val="fr-CA"/>
        </w:rPr>
      </w:pPr>
      <w:r w:rsidRPr="004D4C3B">
        <w:rPr>
          <w:lang w:val="fr-CA"/>
        </w:rPr>
        <w:tab/>
        <w:t>Procureurs de l</w:t>
      </w:r>
      <w:r w:rsidR="00E87C0F" w:rsidRPr="004D4C3B">
        <w:rPr>
          <w:lang w:val="fr-CA"/>
        </w:rPr>
        <w:t>’</w:t>
      </w:r>
      <w:r w:rsidRPr="004D4C3B">
        <w:rPr>
          <w:lang w:val="fr-CA"/>
        </w:rPr>
        <w:t xml:space="preserve">intervenante </w:t>
      </w:r>
      <w:r w:rsidRPr="004D4C3B">
        <w:rPr>
          <w:rStyle w:val="SCCCounselPartyRoleChar"/>
          <w:lang w:val="fr-CA"/>
        </w:rPr>
        <w:t xml:space="preserve">la </w:t>
      </w:r>
      <w:r w:rsidRPr="004D4C3B">
        <w:rPr>
          <w:lang w:val="fr-CA"/>
        </w:rPr>
        <w:t>Fédération des ordres professionnels de juristes du Canada</w:t>
      </w:r>
      <w:r w:rsidR="00E87C0F" w:rsidRPr="004D4C3B">
        <w:rPr>
          <w:lang w:val="fr-CA"/>
        </w:rPr>
        <w:t> :</w:t>
      </w:r>
      <w:r w:rsidR="00D03969" w:rsidRPr="004D4C3B">
        <w:rPr>
          <w:lang w:val="fr-CA"/>
        </w:rPr>
        <w:t> </w:t>
      </w:r>
      <w:r w:rsidRPr="004D4C3B">
        <w:rPr>
          <w:lang w:val="fr-CA"/>
        </w:rPr>
        <w:t>Osler, Hoskin &amp; Harcourt, Toronto.</w:t>
      </w:r>
    </w:p>
    <w:p w:rsidR="00D203A0" w:rsidRPr="004D4C3B" w:rsidRDefault="00D203A0" w:rsidP="00B3618F">
      <w:pPr>
        <w:pStyle w:val="SCCLawFirm"/>
        <w:widowControl w:val="0"/>
        <w:spacing w:after="480"/>
        <w:rPr>
          <w:lang w:val="fr-CA"/>
        </w:rPr>
      </w:pPr>
      <w:r w:rsidRPr="004D4C3B">
        <w:rPr>
          <w:lang w:val="fr-CA"/>
        </w:rPr>
        <w:tab/>
        <w:t>Procureurs de l</w:t>
      </w:r>
      <w:r w:rsidR="00E87C0F" w:rsidRPr="004D4C3B">
        <w:rPr>
          <w:lang w:val="fr-CA"/>
        </w:rPr>
        <w:t>’</w:t>
      </w:r>
      <w:r w:rsidRPr="004D4C3B">
        <w:rPr>
          <w:lang w:val="fr-CA"/>
        </w:rPr>
        <w:t xml:space="preserve">intervenante </w:t>
      </w:r>
      <w:r w:rsidRPr="004D4C3B">
        <w:rPr>
          <w:rStyle w:val="SCCCounselPartyRoleChar"/>
          <w:lang w:val="fr-CA"/>
        </w:rPr>
        <w:t>l</w:t>
      </w:r>
      <w:r w:rsidR="00E87C0F" w:rsidRPr="004D4C3B">
        <w:rPr>
          <w:rStyle w:val="SCCCounselPartyRoleChar"/>
          <w:lang w:val="fr-CA"/>
        </w:rPr>
        <w:t>’</w:t>
      </w:r>
      <w:r w:rsidRPr="004D4C3B">
        <w:rPr>
          <w:lang w:val="fr-CA"/>
        </w:rPr>
        <w:t>Association du Barreau canadien</w:t>
      </w:r>
      <w:r w:rsidR="00E87C0F" w:rsidRPr="004D4C3B">
        <w:rPr>
          <w:lang w:val="fr-CA"/>
        </w:rPr>
        <w:t> :</w:t>
      </w:r>
      <w:r w:rsidR="00D03969" w:rsidRPr="004D4C3B">
        <w:rPr>
          <w:lang w:val="fr-CA"/>
        </w:rPr>
        <w:t> </w:t>
      </w:r>
      <w:r w:rsidRPr="004D4C3B">
        <w:rPr>
          <w:lang w:val="fr-CA"/>
        </w:rPr>
        <w:t>Dunphy Best Blocksom, Calgary; McLennan Ross, Calgary.</w:t>
      </w:r>
    </w:p>
    <w:p w:rsidR="00D203A0" w:rsidRPr="004D4C3B" w:rsidRDefault="00D203A0" w:rsidP="00B3618F">
      <w:pPr>
        <w:pStyle w:val="SCCLawFirm"/>
        <w:widowControl w:val="0"/>
        <w:spacing w:after="480"/>
        <w:rPr>
          <w:lang w:val="fr-CA"/>
        </w:rPr>
      </w:pPr>
      <w:r w:rsidRPr="004D4C3B">
        <w:rPr>
          <w:lang w:val="fr-CA"/>
        </w:rPr>
        <w:tab/>
        <w:t xml:space="preserve">Procureurs des </w:t>
      </w:r>
      <w:r w:rsidRPr="004D4C3B">
        <w:rPr>
          <w:rStyle w:val="SCCCounselPartyRoleChar"/>
          <w:lang w:val="fr-CA"/>
        </w:rPr>
        <w:t>intervenants le commissaire à l</w:t>
      </w:r>
      <w:r w:rsidR="00E87C0F" w:rsidRPr="004D4C3B">
        <w:rPr>
          <w:rStyle w:val="SCCCounselPartyRoleChar"/>
          <w:lang w:val="fr-CA"/>
        </w:rPr>
        <w:t>’</w:t>
      </w:r>
      <w:r w:rsidRPr="004D4C3B">
        <w:rPr>
          <w:rStyle w:val="SCCCounselPartyRoleChar"/>
          <w:lang w:val="fr-CA"/>
        </w:rPr>
        <w:t xml:space="preserve">information du Canada, le commissaire à la protection de la vie privée du Canada, </w:t>
      </w:r>
      <w:r w:rsidR="00CA7436" w:rsidRPr="004D4C3B">
        <w:rPr>
          <w:rStyle w:val="SCCCounselPartyRoleChar"/>
          <w:lang w:val="fr-CA"/>
        </w:rPr>
        <w:t>l</w:t>
      </w:r>
      <w:r w:rsidR="00E87C0F" w:rsidRPr="004D4C3B">
        <w:rPr>
          <w:rStyle w:val="SCCCounselPartyRoleChar"/>
          <w:lang w:val="fr-CA"/>
        </w:rPr>
        <w:t>’</w:t>
      </w:r>
      <w:r w:rsidR="00CA7436" w:rsidRPr="004D4C3B">
        <w:rPr>
          <w:lang w:val="fr-CA"/>
        </w:rPr>
        <w:t>Ombudsman du Manitoba</w:t>
      </w:r>
      <w:r w:rsidR="00CA7436" w:rsidRPr="004D4C3B">
        <w:rPr>
          <w:rStyle w:val="SCCCounselPartyRoleChar"/>
          <w:lang w:val="fr-CA"/>
        </w:rPr>
        <w:t xml:space="preserve">, </w:t>
      </w:r>
      <w:r w:rsidR="00CA7436" w:rsidRPr="004D4C3B">
        <w:rPr>
          <w:rStyle w:val="SCCCounselPartyRoleChar"/>
          <w:lang w:val="fr-CA"/>
        </w:rPr>
        <w:lastRenderedPageBreak/>
        <w:t>le commissaire à l</w:t>
      </w:r>
      <w:r w:rsidR="00E87C0F" w:rsidRPr="004D4C3B">
        <w:rPr>
          <w:rStyle w:val="SCCCounselPartyRoleChar"/>
          <w:lang w:val="fr-CA"/>
        </w:rPr>
        <w:t>’</w:t>
      </w:r>
      <w:r w:rsidR="00CA7436" w:rsidRPr="004D4C3B">
        <w:rPr>
          <w:rStyle w:val="SCCCounselPartyRoleChar"/>
          <w:lang w:val="fr-CA"/>
        </w:rPr>
        <w:t>information et à la protection de la vie privée des Territoires du Nord</w:t>
      </w:r>
      <w:r w:rsidR="00E87C0F" w:rsidRPr="004D4C3B">
        <w:rPr>
          <w:rStyle w:val="SCCCounselPartyRoleChar"/>
          <w:lang w:val="fr-CA"/>
        </w:rPr>
        <w:noBreakHyphen/>
      </w:r>
      <w:r w:rsidR="00CA7436" w:rsidRPr="004D4C3B">
        <w:rPr>
          <w:rStyle w:val="SCCCounselPartyRoleChar"/>
          <w:lang w:val="fr-CA"/>
        </w:rPr>
        <w:t>Ouest, Nova Scotia Information and Privacy Commissioner [Review Officer], le commissaire à l</w:t>
      </w:r>
      <w:r w:rsidR="00E87C0F" w:rsidRPr="004D4C3B">
        <w:rPr>
          <w:rStyle w:val="SCCCounselPartyRoleChar"/>
          <w:lang w:val="fr-CA"/>
        </w:rPr>
        <w:t>’</w:t>
      </w:r>
      <w:r w:rsidR="00CA7436" w:rsidRPr="004D4C3B">
        <w:rPr>
          <w:rStyle w:val="SCCCounselPartyRoleChar"/>
          <w:lang w:val="fr-CA"/>
        </w:rPr>
        <w:t xml:space="preserve">information et à la protection de la vie privée du Nunavut, Saskatchewan Information and Privacy Commissioner et le </w:t>
      </w:r>
      <w:r w:rsidR="00DE07D5" w:rsidRPr="004D4C3B">
        <w:rPr>
          <w:rStyle w:val="SCCCounselPartyRoleChar"/>
          <w:lang w:val="fr-CA"/>
        </w:rPr>
        <w:t>c</w:t>
      </w:r>
      <w:r w:rsidR="00CA7436" w:rsidRPr="004D4C3B">
        <w:rPr>
          <w:rStyle w:val="SCCCounselPartyRoleChar"/>
          <w:lang w:val="fr-CA"/>
        </w:rPr>
        <w:t>ommissaire à l</w:t>
      </w:r>
      <w:r w:rsidR="00E87C0F" w:rsidRPr="004D4C3B">
        <w:rPr>
          <w:rStyle w:val="SCCCounselPartyRoleChar"/>
          <w:lang w:val="fr-CA"/>
        </w:rPr>
        <w:t>’</w:t>
      </w:r>
      <w:r w:rsidR="00CA7436" w:rsidRPr="004D4C3B">
        <w:rPr>
          <w:rStyle w:val="SCCCounselPartyRoleChar"/>
          <w:lang w:val="fr-CA"/>
        </w:rPr>
        <w:t>information et à la protection de la vie privée et ombudsman du Yukon</w:t>
      </w:r>
      <w:r w:rsidR="00E87C0F" w:rsidRPr="004D4C3B">
        <w:rPr>
          <w:lang w:val="fr-CA"/>
        </w:rPr>
        <w:t> :</w:t>
      </w:r>
      <w:r w:rsidR="00D03969" w:rsidRPr="004D4C3B">
        <w:rPr>
          <w:lang w:val="fr-CA"/>
        </w:rPr>
        <w:t> </w:t>
      </w:r>
      <w:r w:rsidRPr="004D4C3B">
        <w:rPr>
          <w:lang w:val="fr-CA"/>
        </w:rPr>
        <w:t>Goldblatt Partners, Toronto; Commissariat à la protection de la vie privée du Canada, Gatineau; Commissariat à l</w:t>
      </w:r>
      <w:r w:rsidR="00E87C0F" w:rsidRPr="004D4C3B">
        <w:rPr>
          <w:lang w:val="fr-CA"/>
        </w:rPr>
        <w:t>’</w:t>
      </w:r>
      <w:r w:rsidRPr="004D4C3B">
        <w:rPr>
          <w:lang w:val="fr-CA"/>
        </w:rPr>
        <w:t>information du Canada, Gatineau.</w:t>
      </w:r>
    </w:p>
    <w:p w:rsidR="009B57B3" w:rsidRPr="004D4C3B" w:rsidRDefault="00D203A0" w:rsidP="00B3618F">
      <w:pPr>
        <w:pStyle w:val="SCCLawFirm"/>
        <w:widowControl w:val="0"/>
      </w:pPr>
      <w:r w:rsidRPr="004D4C3B">
        <w:rPr>
          <w:lang w:val="fr-CA"/>
        </w:rPr>
        <w:tab/>
      </w:r>
      <w:r w:rsidRPr="004D4C3B">
        <w:t>Procureurs de l</w:t>
      </w:r>
      <w:r w:rsidR="00E87C0F" w:rsidRPr="004D4C3B">
        <w:t>’</w:t>
      </w:r>
      <w:r w:rsidRPr="004D4C3B">
        <w:t>intervenante Criminal Lawyers</w:t>
      </w:r>
      <w:r w:rsidR="00E87C0F" w:rsidRPr="004D4C3B">
        <w:t>’</w:t>
      </w:r>
      <w:r w:rsidRPr="004D4C3B">
        <w:t xml:space="preserve"> Association</w:t>
      </w:r>
      <w:r w:rsidR="00E87C0F" w:rsidRPr="004D4C3B">
        <w:t> :</w:t>
      </w:r>
      <w:r w:rsidR="00D03969" w:rsidRPr="004D4C3B">
        <w:t> </w:t>
      </w:r>
      <w:r w:rsidRPr="004D4C3B">
        <w:t>Stockwoods, Toronto.</w:t>
      </w:r>
    </w:p>
    <w:sectPr w:rsidR="009B57B3" w:rsidRPr="004D4C3B"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5C0" w:rsidRDefault="00D335C0">
      <w:r>
        <w:separator/>
      </w:r>
    </w:p>
  </w:endnote>
  <w:endnote w:type="continuationSeparator" w:id="0">
    <w:p w:rsidR="00D335C0" w:rsidRDefault="00D33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C0" w:rsidRDefault="00D335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C0" w:rsidRDefault="00D335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C0" w:rsidRDefault="00D335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5C0" w:rsidRDefault="00D335C0">
      <w:r>
        <w:separator/>
      </w:r>
    </w:p>
  </w:footnote>
  <w:footnote w:type="continuationSeparator" w:id="0">
    <w:p w:rsidR="00D335C0" w:rsidRDefault="00D335C0">
      <w:r>
        <w:continuationSeparator/>
      </w:r>
    </w:p>
  </w:footnote>
  <w:footnote w:id="1">
    <w:p w:rsidR="00D335C0" w:rsidRPr="00891531" w:rsidRDefault="00D335C0" w:rsidP="0091315D">
      <w:pPr>
        <w:pStyle w:val="FootnoteText"/>
        <w:spacing w:after="160"/>
        <w:rPr>
          <w:lang w:val="fr-CA"/>
        </w:rPr>
      </w:pPr>
      <w:r>
        <w:rPr>
          <w:rStyle w:val="FootnoteReference"/>
        </w:rPr>
        <w:footnoteRef/>
      </w:r>
      <w:r w:rsidRPr="00CC4334">
        <w:rPr>
          <w:lang w:val="fr-CA"/>
        </w:rPr>
        <w:t xml:space="preserve"> </w:t>
      </w:r>
      <w:r>
        <w:rPr>
          <w:lang w:val="fr-CA"/>
        </w:rPr>
        <w:tab/>
      </w:r>
      <w:r w:rsidRPr="00CC4334">
        <w:rPr>
          <w:lang w:val="fr-CA"/>
        </w:rPr>
        <w:t>Le</w:t>
      </w:r>
      <w:r w:rsidRPr="00891531">
        <w:rPr>
          <w:lang w:val="fr-CA"/>
        </w:rPr>
        <w:t xml:space="preserve"> 11</w:t>
      </w:r>
      <w:r>
        <w:rPr>
          <w:lang w:val="fr-CA"/>
        </w:rPr>
        <w:t> avril </w:t>
      </w:r>
      <w:r w:rsidRPr="00891531">
        <w:rPr>
          <w:lang w:val="fr-CA"/>
        </w:rPr>
        <w:t xml:space="preserve">1994, </w:t>
      </w:r>
      <w:r>
        <w:rPr>
          <w:lang w:val="fr-CA"/>
        </w:rPr>
        <w:t>le premier ministre de l’</w:t>
      </w:r>
      <w:r w:rsidRPr="00891531">
        <w:rPr>
          <w:lang w:val="fr-CA"/>
        </w:rPr>
        <w:t xml:space="preserve">Alberta </w:t>
      </w:r>
      <w:r>
        <w:rPr>
          <w:lang w:val="fr-CA"/>
        </w:rPr>
        <w:t xml:space="preserve">d’alors, </w:t>
      </w:r>
      <w:r w:rsidRPr="00891531">
        <w:rPr>
          <w:lang w:val="fr-CA"/>
        </w:rPr>
        <w:t>M.</w:t>
      </w:r>
      <w:r>
        <w:rPr>
          <w:lang w:val="fr-CA"/>
        </w:rPr>
        <w:t xml:space="preserve"> Klein, faisait </w:t>
      </w:r>
      <w:r w:rsidRPr="00891531">
        <w:rPr>
          <w:lang w:val="fr-CA"/>
        </w:rPr>
        <w:t>observe</w:t>
      </w:r>
      <w:r>
        <w:rPr>
          <w:lang w:val="fr-CA"/>
        </w:rPr>
        <w:t>r que [</w:t>
      </w:r>
      <w:r w:rsidRPr="00570EE5">
        <w:rPr>
          <w:smallCaps/>
          <w:lang w:val="fr-CA"/>
        </w:rPr>
        <w:t>traduction</w:t>
      </w:r>
      <w:r>
        <w:rPr>
          <w:lang w:val="fr-CA"/>
        </w:rPr>
        <w:t>] « l</w:t>
      </w:r>
      <w:r w:rsidRPr="00891531">
        <w:rPr>
          <w:lang w:val="fr-CA"/>
        </w:rPr>
        <w:t>e commiss</w:t>
      </w:r>
      <w:r>
        <w:rPr>
          <w:lang w:val="fr-CA"/>
        </w:rPr>
        <w:t xml:space="preserve">aire aura une </w:t>
      </w:r>
      <w:r w:rsidRPr="00891531">
        <w:rPr>
          <w:lang w:val="fr-CA"/>
        </w:rPr>
        <w:t>aut</w:t>
      </w:r>
      <w:r>
        <w:rPr>
          <w:lang w:val="fr-CA"/>
        </w:rPr>
        <w:t>orité absolue</w:t>
      </w:r>
      <w:r w:rsidRPr="00891531">
        <w:rPr>
          <w:lang w:val="fr-CA"/>
        </w:rPr>
        <w:t xml:space="preserve">. </w:t>
      </w:r>
      <w:r>
        <w:rPr>
          <w:lang w:val="fr-CA"/>
        </w:rPr>
        <w:t xml:space="preserve">Si un député ou le </w:t>
      </w:r>
      <w:r w:rsidRPr="00891531">
        <w:rPr>
          <w:lang w:val="fr-CA"/>
        </w:rPr>
        <w:t>r</w:t>
      </w:r>
      <w:r>
        <w:rPr>
          <w:lang w:val="fr-CA"/>
        </w:rPr>
        <w:t xml:space="preserve">esponsable d’un ministère ou un fonctionnaire </w:t>
      </w:r>
      <w:r w:rsidRPr="00891531">
        <w:rPr>
          <w:lang w:val="fr-CA"/>
        </w:rPr>
        <w:t xml:space="preserve">refuse </w:t>
      </w:r>
      <w:r>
        <w:rPr>
          <w:lang w:val="fr-CA"/>
        </w:rPr>
        <w:t xml:space="preserve">de communiquer des renseignements et qu’un appel est ensuite interjeté auprès du </w:t>
      </w:r>
      <w:r w:rsidRPr="00891531">
        <w:rPr>
          <w:lang w:val="fr-CA"/>
        </w:rPr>
        <w:t>commiss</w:t>
      </w:r>
      <w:r>
        <w:rPr>
          <w:lang w:val="fr-CA"/>
        </w:rPr>
        <w:t xml:space="preserve">aire et que ce dernier dit </w:t>
      </w:r>
      <w:r w:rsidRPr="00CF2359">
        <w:rPr>
          <w:lang w:val="fr-CA"/>
        </w:rPr>
        <w:t>“</w:t>
      </w:r>
      <w:r>
        <w:rPr>
          <w:lang w:val="fr-CA"/>
        </w:rPr>
        <w:t>Vous devez les communiquer</w:t>
      </w:r>
      <w:r w:rsidRPr="00CF2359">
        <w:rPr>
          <w:lang w:val="fr-CA"/>
        </w:rPr>
        <w:t>”</w:t>
      </w:r>
      <w:r w:rsidRPr="00891531">
        <w:rPr>
          <w:lang w:val="fr-CA"/>
        </w:rPr>
        <w:t xml:space="preserve">, </w:t>
      </w:r>
      <w:r>
        <w:rPr>
          <w:lang w:val="fr-CA"/>
        </w:rPr>
        <w:t>alors il faut obtempérer »</w:t>
      </w:r>
      <w:r w:rsidRPr="00891531">
        <w:rPr>
          <w:lang w:val="fr-CA"/>
        </w:rPr>
        <w:t xml:space="preserve"> </w:t>
      </w:r>
      <w:r>
        <w:rPr>
          <w:lang w:val="fr-CA"/>
        </w:rPr>
        <w:t>(</w:t>
      </w:r>
      <w:r w:rsidRPr="008D3016">
        <w:rPr>
          <w:i/>
          <w:lang w:val="fr-CA"/>
        </w:rPr>
        <w:t>Alberta Hansard</w:t>
      </w:r>
      <w:r>
        <w:rPr>
          <w:lang w:val="fr-CA"/>
        </w:rPr>
        <w:t>, 2</w:t>
      </w:r>
      <w:r w:rsidRPr="00CF2359">
        <w:rPr>
          <w:vertAlign w:val="superscript"/>
          <w:lang w:val="fr-CA"/>
        </w:rPr>
        <w:t>e</w:t>
      </w:r>
      <w:r>
        <w:rPr>
          <w:lang w:val="fr-CA"/>
        </w:rPr>
        <w:t xml:space="preserve"> sess., 23</w:t>
      </w:r>
      <w:r w:rsidRPr="00CF2359">
        <w:rPr>
          <w:vertAlign w:val="superscript"/>
          <w:lang w:val="fr-CA"/>
        </w:rPr>
        <w:t>e</w:t>
      </w:r>
      <w:r>
        <w:rPr>
          <w:lang w:val="fr-CA"/>
        </w:rPr>
        <w:t xml:space="preserve"> lég., </w:t>
      </w:r>
      <w:r w:rsidRPr="00891531">
        <w:rPr>
          <w:lang w:val="fr-CA"/>
        </w:rPr>
        <w:t>p.</w:t>
      </w:r>
      <w:r>
        <w:rPr>
          <w:lang w:val="fr-CA"/>
        </w:rPr>
        <w:t> </w:t>
      </w:r>
      <w:r w:rsidRPr="00891531">
        <w:rPr>
          <w:lang w:val="fr-CA"/>
        </w:rPr>
        <w:t>1052). M.</w:t>
      </w:r>
      <w:r>
        <w:rPr>
          <w:lang w:val="fr-CA"/>
        </w:rPr>
        <w:t> </w:t>
      </w:r>
      <w:r w:rsidRPr="00891531">
        <w:rPr>
          <w:lang w:val="fr-CA"/>
        </w:rPr>
        <w:t>Rostad</w:t>
      </w:r>
      <w:r>
        <w:rPr>
          <w:lang w:val="fr-CA"/>
        </w:rPr>
        <w:t xml:space="preserve"> en a convenu et a</w:t>
      </w:r>
      <w:r w:rsidRPr="00891531">
        <w:rPr>
          <w:lang w:val="fr-CA"/>
        </w:rPr>
        <w:t xml:space="preserve"> </w:t>
      </w:r>
      <w:r>
        <w:rPr>
          <w:lang w:val="fr-CA"/>
        </w:rPr>
        <w:t>ajouté </w:t>
      </w:r>
      <w:r w:rsidRPr="00891531">
        <w:rPr>
          <w:lang w:val="fr-CA"/>
        </w:rPr>
        <w:t xml:space="preserve">: </w:t>
      </w:r>
      <w:r>
        <w:rPr>
          <w:lang w:val="fr-CA"/>
        </w:rPr>
        <w:t>« L</w:t>
      </w:r>
      <w:r w:rsidRPr="00891531">
        <w:rPr>
          <w:lang w:val="fr-CA"/>
        </w:rPr>
        <w:t xml:space="preserve">e </w:t>
      </w:r>
      <w:r>
        <w:rPr>
          <w:lang w:val="fr-CA"/>
        </w:rPr>
        <w:t>premier ministre a tout à fait raison</w:t>
      </w:r>
      <w:r w:rsidRPr="00891531">
        <w:rPr>
          <w:lang w:val="fr-CA"/>
        </w:rPr>
        <w:t xml:space="preserve"> </w:t>
      </w:r>
      <w:r>
        <w:rPr>
          <w:lang w:val="fr-CA"/>
        </w:rPr>
        <w:t xml:space="preserve">de dire que </w:t>
      </w:r>
      <w:r>
        <w:rPr>
          <w:u w:val="single"/>
          <w:lang w:val="fr-CA"/>
        </w:rPr>
        <w:t>l</w:t>
      </w:r>
      <w:r w:rsidRPr="00891531">
        <w:rPr>
          <w:u w:val="single"/>
          <w:lang w:val="fr-CA"/>
        </w:rPr>
        <w:t>e commiss</w:t>
      </w:r>
      <w:r>
        <w:rPr>
          <w:u w:val="single"/>
          <w:lang w:val="fr-CA"/>
        </w:rPr>
        <w:t>aire est investi de pouvoirs juridictionnels</w:t>
      </w:r>
      <w:r w:rsidRPr="00891531">
        <w:rPr>
          <w:lang w:val="fr-CA"/>
        </w:rPr>
        <w:t xml:space="preserve">, </w:t>
      </w:r>
      <w:r>
        <w:rPr>
          <w:lang w:val="fr-CA"/>
        </w:rPr>
        <w:t xml:space="preserve">qu’il peut imposer une décision et qu’il y a appel devant la </w:t>
      </w:r>
      <w:r w:rsidRPr="00891531">
        <w:rPr>
          <w:lang w:val="fr-CA"/>
        </w:rPr>
        <w:t xml:space="preserve">Cour </w:t>
      </w:r>
      <w:r>
        <w:rPr>
          <w:lang w:val="fr-CA"/>
        </w:rPr>
        <w:t>d’a</w:t>
      </w:r>
      <w:r w:rsidRPr="00891531">
        <w:rPr>
          <w:lang w:val="fr-CA"/>
        </w:rPr>
        <w:t xml:space="preserve">ppel </w:t>
      </w:r>
      <w:r>
        <w:rPr>
          <w:lang w:val="fr-CA"/>
        </w:rPr>
        <w:t xml:space="preserve">ou la Cour du Banc de la Reine seulement lorsqu’il se trouve que le </w:t>
      </w:r>
      <w:r w:rsidRPr="00891531">
        <w:rPr>
          <w:lang w:val="fr-CA"/>
        </w:rPr>
        <w:t>commiss</w:t>
      </w:r>
      <w:r>
        <w:rPr>
          <w:lang w:val="fr-CA"/>
        </w:rPr>
        <w:t>aire est le responsable du ministère ou de la division de l’</w:t>
      </w:r>
      <w:r w:rsidRPr="00891531">
        <w:rPr>
          <w:lang w:val="fr-CA"/>
        </w:rPr>
        <w:t xml:space="preserve">information </w:t>
      </w:r>
      <w:r>
        <w:rPr>
          <w:lang w:val="fr-CA"/>
        </w:rPr>
        <w:t xml:space="preserve">et de la protection de la vie </w:t>
      </w:r>
      <w:r w:rsidRPr="00891531">
        <w:rPr>
          <w:lang w:val="fr-CA"/>
        </w:rPr>
        <w:t>priv</w:t>
      </w:r>
      <w:r>
        <w:rPr>
          <w:lang w:val="fr-CA"/>
        </w:rPr>
        <w:t>ée »</w:t>
      </w:r>
      <w:r w:rsidRPr="00891531">
        <w:rPr>
          <w:lang w:val="fr-CA"/>
        </w:rPr>
        <w:t xml:space="preserve"> (p.</w:t>
      </w:r>
      <w:r>
        <w:rPr>
          <w:lang w:val="fr-CA"/>
        </w:rPr>
        <w:t> </w:t>
      </w:r>
      <w:r w:rsidRPr="00891531">
        <w:rPr>
          <w:lang w:val="fr-CA"/>
        </w:rPr>
        <w:t>1052</w:t>
      </w:r>
      <w:r>
        <w:rPr>
          <w:lang w:val="fr-CA"/>
        </w:rPr>
        <w:t xml:space="preserve"> (je souligne)</w:t>
      </w:r>
      <w:r w:rsidRPr="00891531">
        <w:rPr>
          <w:lang w:val="fr-CA"/>
        </w:rPr>
        <w:t>).</w:t>
      </w:r>
    </w:p>
  </w:footnote>
  <w:footnote w:id="2">
    <w:p w:rsidR="00D335C0" w:rsidRPr="00891531" w:rsidRDefault="00D335C0" w:rsidP="0091315D">
      <w:pPr>
        <w:pStyle w:val="FootnoteText"/>
        <w:rPr>
          <w:lang w:val="fr-CA"/>
        </w:rPr>
      </w:pPr>
      <w:r w:rsidRPr="00891531">
        <w:rPr>
          <w:rStyle w:val="FootnoteReference"/>
          <w:lang w:val="fr-CA"/>
        </w:rPr>
        <w:footnoteRef/>
      </w:r>
      <w:r w:rsidRPr="00891531">
        <w:rPr>
          <w:lang w:val="fr-CA"/>
        </w:rPr>
        <w:t xml:space="preserve"> </w:t>
      </w:r>
      <w:r>
        <w:rPr>
          <w:lang w:val="fr-CA"/>
        </w:rPr>
        <w:tab/>
        <w:t>Le</w:t>
      </w:r>
      <w:r w:rsidRPr="00F77A7C">
        <w:rPr>
          <w:lang w:val="fr-CA"/>
        </w:rPr>
        <w:t xml:space="preserve"> 18</w:t>
      </w:r>
      <w:r>
        <w:rPr>
          <w:lang w:val="fr-CA"/>
        </w:rPr>
        <w:t> avril </w:t>
      </w:r>
      <w:r w:rsidRPr="00F77A7C">
        <w:rPr>
          <w:lang w:val="fr-CA"/>
        </w:rPr>
        <w:t xml:space="preserve">1994, </w:t>
      </w:r>
      <w:r>
        <w:rPr>
          <w:lang w:val="fr-CA"/>
        </w:rPr>
        <w:t xml:space="preserve">le </w:t>
      </w:r>
      <w:r w:rsidRPr="00891531">
        <w:rPr>
          <w:lang w:val="fr-CA"/>
        </w:rPr>
        <w:t>D</w:t>
      </w:r>
      <w:r w:rsidRPr="00CF2359">
        <w:rPr>
          <w:vertAlign w:val="superscript"/>
          <w:lang w:val="fr-CA"/>
        </w:rPr>
        <w:t>r</w:t>
      </w:r>
      <w:r>
        <w:rPr>
          <w:lang w:val="fr-CA"/>
        </w:rPr>
        <w:t> </w:t>
      </w:r>
      <w:r w:rsidRPr="00891531">
        <w:rPr>
          <w:lang w:val="fr-CA"/>
        </w:rPr>
        <w:t xml:space="preserve">Massey </w:t>
      </w:r>
      <w:r>
        <w:rPr>
          <w:lang w:val="fr-CA"/>
        </w:rPr>
        <w:t xml:space="preserve">indiquait que selon le comité composé de représentants de tous les partis qui avait </w:t>
      </w:r>
      <w:r w:rsidRPr="00891531">
        <w:rPr>
          <w:lang w:val="fr-CA"/>
        </w:rPr>
        <w:t>pr</w:t>
      </w:r>
      <w:r>
        <w:rPr>
          <w:lang w:val="fr-CA"/>
        </w:rPr>
        <w:t xml:space="preserve">ésenté des </w:t>
      </w:r>
      <w:r w:rsidRPr="00891531">
        <w:rPr>
          <w:lang w:val="fr-CA"/>
        </w:rPr>
        <w:t>r</w:t>
      </w:r>
      <w:r>
        <w:rPr>
          <w:lang w:val="fr-CA"/>
        </w:rPr>
        <w:t>e</w:t>
      </w:r>
      <w:r w:rsidRPr="00891531">
        <w:rPr>
          <w:lang w:val="fr-CA"/>
        </w:rPr>
        <w:t>comm</w:t>
      </w:r>
      <w:r>
        <w:rPr>
          <w:lang w:val="fr-CA"/>
        </w:rPr>
        <w:t>a</w:t>
      </w:r>
      <w:r w:rsidRPr="00891531">
        <w:rPr>
          <w:lang w:val="fr-CA"/>
        </w:rPr>
        <w:t xml:space="preserve">ndations </w:t>
      </w:r>
      <w:r>
        <w:rPr>
          <w:lang w:val="fr-CA"/>
        </w:rPr>
        <w:t xml:space="preserve">à l’assemblée </w:t>
      </w:r>
      <w:r w:rsidRPr="00891531">
        <w:rPr>
          <w:lang w:val="fr-CA"/>
        </w:rPr>
        <w:t>l</w:t>
      </w:r>
      <w:r>
        <w:rPr>
          <w:lang w:val="fr-CA"/>
        </w:rPr>
        <w:t>é</w:t>
      </w:r>
      <w:r w:rsidRPr="00891531">
        <w:rPr>
          <w:lang w:val="fr-CA"/>
        </w:rPr>
        <w:t>gislat</w:t>
      </w:r>
      <w:r>
        <w:rPr>
          <w:lang w:val="fr-CA"/>
        </w:rPr>
        <w:t>ive,</w:t>
      </w:r>
      <w:r w:rsidRPr="00891531">
        <w:rPr>
          <w:lang w:val="fr-CA"/>
        </w:rPr>
        <w:t xml:space="preserve"> </w:t>
      </w:r>
      <w:r>
        <w:rPr>
          <w:lang w:val="fr-CA"/>
        </w:rPr>
        <w:t>[</w:t>
      </w:r>
      <w:r w:rsidRPr="00C31AD5">
        <w:rPr>
          <w:smallCaps/>
          <w:lang w:val="fr-CA"/>
        </w:rPr>
        <w:t>traduction</w:t>
      </w:r>
      <w:r>
        <w:rPr>
          <w:lang w:val="fr-CA"/>
        </w:rPr>
        <w:t xml:space="preserve">] « il </w:t>
      </w:r>
      <w:r w:rsidRPr="006F5656">
        <w:rPr>
          <w:lang w:val="fr-CA"/>
        </w:rPr>
        <w:t xml:space="preserve">ne devrait pas </w:t>
      </w:r>
      <w:r>
        <w:rPr>
          <w:lang w:val="fr-CA"/>
        </w:rPr>
        <w:t xml:space="preserve">y avoir de droit </w:t>
      </w:r>
      <w:r w:rsidRPr="00891531">
        <w:rPr>
          <w:lang w:val="fr-CA"/>
        </w:rPr>
        <w:t>g</w:t>
      </w:r>
      <w:r>
        <w:rPr>
          <w:lang w:val="fr-CA"/>
        </w:rPr>
        <w:t>é</w:t>
      </w:r>
      <w:r w:rsidRPr="00891531">
        <w:rPr>
          <w:lang w:val="fr-CA"/>
        </w:rPr>
        <w:t>n</w:t>
      </w:r>
      <w:r>
        <w:rPr>
          <w:lang w:val="fr-CA"/>
        </w:rPr>
        <w:t>é</w:t>
      </w:r>
      <w:r w:rsidRPr="00891531">
        <w:rPr>
          <w:lang w:val="fr-CA"/>
        </w:rPr>
        <w:t xml:space="preserve">ral </w:t>
      </w:r>
      <w:r>
        <w:rPr>
          <w:lang w:val="fr-CA"/>
        </w:rPr>
        <w:t>d’en appeler d’une déc</w:t>
      </w:r>
      <w:r w:rsidRPr="00891531">
        <w:rPr>
          <w:lang w:val="fr-CA"/>
        </w:rPr>
        <w:t xml:space="preserve">ision </w:t>
      </w:r>
      <w:r>
        <w:rPr>
          <w:lang w:val="fr-CA"/>
        </w:rPr>
        <w:t>du c</w:t>
      </w:r>
      <w:r w:rsidRPr="00891531">
        <w:rPr>
          <w:lang w:val="fr-CA"/>
        </w:rPr>
        <w:t>ommiss</w:t>
      </w:r>
      <w:r>
        <w:rPr>
          <w:lang w:val="fr-CA"/>
        </w:rPr>
        <w:t>aire</w:t>
      </w:r>
      <w:r w:rsidRPr="00891531">
        <w:rPr>
          <w:lang w:val="fr-CA"/>
        </w:rPr>
        <w:t xml:space="preserve">, </w:t>
      </w:r>
      <w:r>
        <w:rPr>
          <w:lang w:val="fr-CA"/>
        </w:rPr>
        <w:t xml:space="preserve">mais seulement le droit de solliciter un contrôle judiciaire s’il était allégué que le </w:t>
      </w:r>
      <w:r w:rsidRPr="00891531">
        <w:rPr>
          <w:lang w:val="fr-CA"/>
        </w:rPr>
        <w:t>commiss</w:t>
      </w:r>
      <w:r>
        <w:rPr>
          <w:lang w:val="fr-CA"/>
        </w:rPr>
        <w:t>aire</w:t>
      </w:r>
      <w:r w:rsidRPr="00891531">
        <w:rPr>
          <w:lang w:val="fr-CA"/>
        </w:rPr>
        <w:t xml:space="preserve"> a</w:t>
      </w:r>
      <w:r>
        <w:rPr>
          <w:lang w:val="fr-CA"/>
        </w:rPr>
        <w:t>vait</w:t>
      </w:r>
      <w:r w:rsidRPr="00891531">
        <w:rPr>
          <w:lang w:val="fr-CA"/>
        </w:rPr>
        <w:t xml:space="preserve"> </w:t>
      </w:r>
      <w:r>
        <w:rPr>
          <w:lang w:val="fr-CA"/>
        </w:rPr>
        <w:t>outrepassé sa compétence »</w:t>
      </w:r>
      <w:r w:rsidRPr="00891531">
        <w:rPr>
          <w:lang w:val="fr-CA"/>
        </w:rPr>
        <w:t xml:space="preserve"> </w:t>
      </w:r>
      <w:r>
        <w:rPr>
          <w:lang w:val="fr-CA"/>
        </w:rPr>
        <w:t>(</w:t>
      </w:r>
      <w:r w:rsidRPr="007140B4">
        <w:rPr>
          <w:i/>
          <w:lang w:val="fr-CA"/>
        </w:rPr>
        <w:t>Alberta Hansard</w:t>
      </w:r>
      <w:r>
        <w:rPr>
          <w:lang w:val="fr-CA"/>
        </w:rPr>
        <w:t>, 2</w:t>
      </w:r>
      <w:r w:rsidRPr="00694433">
        <w:rPr>
          <w:vertAlign w:val="superscript"/>
          <w:lang w:val="fr-CA"/>
        </w:rPr>
        <w:t>e</w:t>
      </w:r>
      <w:r>
        <w:rPr>
          <w:lang w:val="fr-CA"/>
        </w:rPr>
        <w:t xml:space="preserve"> sess., 23</w:t>
      </w:r>
      <w:r w:rsidRPr="00694433">
        <w:rPr>
          <w:vertAlign w:val="superscript"/>
          <w:lang w:val="fr-CA"/>
        </w:rPr>
        <w:t>e</w:t>
      </w:r>
      <w:r>
        <w:rPr>
          <w:lang w:val="fr-CA"/>
        </w:rPr>
        <w:t xml:space="preserve"> lég., </w:t>
      </w:r>
      <w:r w:rsidRPr="00891531">
        <w:rPr>
          <w:lang w:val="fr-CA"/>
        </w:rPr>
        <w:t>p.</w:t>
      </w:r>
      <w:r>
        <w:rPr>
          <w:lang w:val="fr-CA"/>
        </w:rPr>
        <w:t> </w:t>
      </w:r>
      <w:r w:rsidRPr="00891531">
        <w:rPr>
          <w:lang w:val="fr-CA"/>
        </w:rPr>
        <w:t xml:space="preserve">1239). </w:t>
      </w:r>
      <w:r>
        <w:rPr>
          <w:lang w:val="fr-CA"/>
        </w:rPr>
        <w:t xml:space="preserve">Le </w:t>
      </w:r>
      <w:r w:rsidRPr="00891531">
        <w:rPr>
          <w:lang w:val="fr-CA"/>
        </w:rPr>
        <w:t>D</w:t>
      </w:r>
      <w:r w:rsidRPr="00694433">
        <w:rPr>
          <w:vertAlign w:val="superscript"/>
          <w:lang w:val="fr-CA"/>
        </w:rPr>
        <w:t>r</w:t>
      </w:r>
      <w:r>
        <w:rPr>
          <w:lang w:val="fr-CA"/>
        </w:rPr>
        <w:t> </w:t>
      </w:r>
      <w:r w:rsidRPr="00891531">
        <w:rPr>
          <w:lang w:val="fr-CA"/>
        </w:rPr>
        <w:t xml:space="preserve">Massey </w:t>
      </w:r>
      <w:r>
        <w:rPr>
          <w:lang w:val="fr-CA"/>
        </w:rPr>
        <w:t>se disait inquiet de ce qu’une disposition du projet de loi créait un droit d’appel devant un juge de la Cour du Banc de la Reine</w:t>
      </w:r>
      <w:r w:rsidRPr="00891531">
        <w:rPr>
          <w:lang w:val="fr-CA"/>
        </w:rPr>
        <w:t xml:space="preserve">. </w:t>
      </w:r>
      <w:r>
        <w:rPr>
          <w:lang w:val="fr-CA"/>
        </w:rPr>
        <w:t xml:space="preserve">Il y voyait un problème parce que « le </w:t>
      </w:r>
      <w:r w:rsidRPr="00891531">
        <w:rPr>
          <w:lang w:val="fr-CA"/>
        </w:rPr>
        <w:t>go</w:t>
      </w:r>
      <w:r>
        <w:rPr>
          <w:lang w:val="fr-CA"/>
        </w:rPr>
        <w:t>u</w:t>
      </w:r>
      <w:r w:rsidRPr="00891531">
        <w:rPr>
          <w:lang w:val="fr-CA"/>
        </w:rPr>
        <w:t>vern</w:t>
      </w:r>
      <w:r>
        <w:rPr>
          <w:lang w:val="fr-CA"/>
        </w:rPr>
        <w:t>e</w:t>
      </w:r>
      <w:r w:rsidRPr="00891531">
        <w:rPr>
          <w:lang w:val="fr-CA"/>
        </w:rPr>
        <w:t xml:space="preserve">ment </w:t>
      </w:r>
      <w:r>
        <w:rPr>
          <w:lang w:val="fr-CA"/>
        </w:rPr>
        <w:t>pouvait ainsi différer le moment de se conformer à une ordonnance de communication</w:t>
      </w:r>
      <w:r w:rsidRPr="00891531">
        <w:rPr>
          <w:lang w:val="fr-CA"/>
        </w:rPr>
        <w:t xml:space="preserve">, </w:t>
      </w:r>
      <w:r>
        <w:rPr>
          <w:lang w:val="fr-CA"/>
        </w:rPr>
        <w:t>comme cela avait été le cas du c</w:t>
      </w:r>
      <w:r w:rsidRPr="00891531">
        <w:rPr>
          <w:lang w:val="fr-CA"/>
        </w:rPr>
        <w:t>ommiss</w:t>
      </w:r>
      <w:r>
        <w:rPr>
          <w:lang w:val="fr-CA"/>
        </w:rPr>
        <w:t>aire à l’information fédéral »</w:t>
      </w:r>
      <w:r w:rsidRPr="00891531">
        <w:rPr>
          <w:lang w:val="fr-CA"/>
        </w:rPr>
        <w:t xml:space="preserve"> (p.</w:t>
      </w:r>
      <w:r>
        <w:rPr>
          <w:lang w:val="fr-CA"/>
        </w:rPr>
        <w:t> </w:t>
      </w:r>
      <w:r w:rsidRPr="00891531">
        <w:rPr>
          <w:lang w:val="fr-CA"/>
        </w:rPr>
        <w:t xml:space="preserve">1239). </w:t>
      </w:r>
      <w:r>
        <w:rPr>
          <w:lang w:val="fr-CA"/>
        </w:rPr>
        <w:t xml:space="preserve">Dans le même ordre d’idée, </w:t>
      </w:r>
      <w:r w:rsidRPr="00891531">
        <w:rPr>
          <w:lang w:val="fr-CA"/>
        </w:rPr>
        <w:t>M</w:t>
      </w:r>
      <w:r>
        <w:rPr>
          <w:lang w:val="fr-CA"/>
        </w:rPr>
        <w:t>. </w:t>
      </w:r>
      <w:r w:rsidRPr="00891531">
        <w:rPr>
          <w:lang w:val="fr-CA"/>
        </w:rPr>
        <w:t xml:space="preserve">Kirkland </w:t>
      </w:r>
      <w:r>
        <w:rPr>
          <w:lang w:val="fr-CA"/>
        </w:rPr>
        <w:t>faisait valoir</w:t>
      </w:r>
      <w:r w:rsidRPr="00891531">
        <w:rPr>
          <w:lang w:val="fr-CA"/>
        </w:rPr>
        <w:t xml:space="preserve"> </w:t>
      </w:r>
      <w:r>
        <w:rPr>
          <w:lang w:val="fr-CA"/>
        </w:rPr>
        <w:t xml:space="preserve">le même jour qu’un droit d’appel devant la Cour du Banc de la Reine posait deux </w:t>
      </w:r>
      <w:r w:rsidRPr="00891531">
        <w:rPr>
          <w:lang w:val="fr-CA"/>
        </w:rPr>
        <w:t>probl</w:t>
      </w:r>
      <w:r>
        <w:rPr>
          <w:lang w:val="fr-CA"/>
        </w:rPr>
        <w:t>èmes </w:t>
      </w:r>
      <w:r w:rsidRPr="00891531">
        <w:rPr>
          <w:lang w:val="fr-CA"/>
        </w:rPr>
        <w:t xml:space="preserve">: </w:t>
      </w:r>
      <w:r>
        <w:rPr>
          <w:lang w:val="fr-CA"/>
        </w:rPr>
        <w:t>« </w:t>
      </w:r>
      <w:r w:rsidRPr="00891531">
        <w:rPr>
          <w:lang w:val="fr-CA"/>
        </w:rPr>
        <w:t>I</w:t>
      </w:r>
      <w:r>
        <w:rPr>
          <w:lang w:val="fr-CA"/>
        </w:rPr>
        <w:t>l permet de retarder la communication des renseignements</w:t>
      </w:r>
      <w:r w:rsidRPr="00891531">
        <w:rPr>
          <w:lang w:val="fr-CA"/>
        </w:rPr>
        <w:t xml:space="preserve">, </w:t>
      </w:r>
      <w:r>
        <w:rPr>
          <w:lang w:val="fr-CA"/>
        </w:rPr>
        <w:t xml:space="preserve">ce qui est inacceptable, car leur communication en temps opportun est très </w:t>
      </w:r>
      <w:r w:rsidRPr="00891531">
        <w:rPr>
          <w:lang w:val="fr-CA"/>
        </w:rPr>
        <w:t>important</w:t>
      </w:r>
      <w:r>
        <w:rPr>
          <w:lang w:val="fr-CA"/>
        </w:rPr>
        <w:t>e</w:t>
      </w:r>
      <w:r w:rsidRPr="00891531">
        <w:rPr>
          <w:lang w:val="fr-CA"/>
        </w:rPr>
        <w:t xml:space="preserve">, </w:t>
      </w:r>
      <w:r>
        <w:rPr>
          <w:lang w:val="fr-CA"/>
        </w:rPr>
        <w:t>et les mesures dilatoires ne devaient pas être permises</w:t>
      </w:r>
      <w:r w:rsidRPr="00891531">
        <w:rPr>
          <w:lang w:val="fr-CA"/>
        </w:rPr>
        <w:t xml:space="preserve">. </w:t>
      </w:r>
      <w:r>
        <w:rPr>
          <w:lang w:val="fr-CA"/>
        </w:rPr>
        <w:t>En deuxième lieu, l’existence d’un droit d’appel fait généralement grimper le coût d’obtention</w:t>
      </w:r>
      <w:r w:rsidRPr="00891531">
        <w:rPr>
          <w:lang w:val="fr-CA"/>
        </w:rPr>
        <w:t xml:space="preserve"> </w:t>
      </w:r>
      <w:r>
        <w:rPr>
          <w:lang w:val="fr-CA"/>
        </w:rPr>
        <w:t>des renseignements</w:t>
      </w:r>
      <w:r w:rsidRPr="00891531">
        <w:rPr>
          <w:lang w:val="fr-CA"/>
        </w:rPr>
        <w:t xml:space="preserve">. </w:t>
      </w:r>
      <w:r>
        <w:rPr>
          <w:lang w:val="fr-CA"/>
        </w:rPr>
        <w:t>Le citoyen qui doit contester à ses frais l’</w:t>
      </w:r>
      <w:r w:rsidRPr="00891531">
        <w:rPr>
          <w:lang w:val="fr-CA"/>
        </w:rPr>
        <w:t xml:space="preserve">appel </w:t>
      </w:r>
      <w:r>
        <w:rPr>
          <w:lang w:val="fr-CA"/>
        </w:rPr>
        <w:t xml:space="preserve">interjeté par le </w:t>
      </w:r>
      <w:r w:rsidRPr="00891531">
        <w:rPr>
          <w:lang w:val="fr-CA"/>
        </w:rPr>
        <w:t>go</w:t>
      </w:r>
      <w:r>
        <w:rPr>
          <w:lang w:val="fr-CA"/>
        </w:rPr>
        <w:t>u</w:t>
      </w:r>
      <w:r w:rsidRPr="00891531">
        <w:rPr>
          <w:lang w:val="fr-CA"/>
        </w:rPr>
        <w:t>vern</w:t>
      </w:r>
      <w:r>
        <w:rPr>
          <w:lang w:val="fr-CA"/>
        </w:rPr>
        <w:t>e</w:t>
      </w:r>
      <w:r w:rsidRPr="00891531">
        <w:rPr>
          <w:lang w:val="fr-CA"/>
        </w:rPr>
        <w:t xml:space="preserve">ment </w:t>
      </w:r>
      <w:r>
        <w:rPr>
          <w:lang w:val="fr-CA"/>
        </w:rPr>
        <w:t>qui refuse de communiquer des renseignements</w:t>
      </w:r>
      <w:r w:rsidRPr="00891531">
        <w:rPr>
          <w:lang w:val="fr-CA"/>
        </w:rPr>
        <w:t xml:space="preserve"> </w:t>
      </w:r>
      <w:r>
        <w:rPr>
          <w:lang w:val="fr-CA"/>
        </w:rPr>
        <w:t xml:space="preserve">doit dès lors engager des dépenses </w:t>
      </w:r>
      <w:r w:rsidRPr="00891531">
        <w:rPr>
          <w:lang w:val="fr-CA"/>
        </w:rPr>
        <w:t>consid</w:t>
      </w:r>
      <w:r>
        <w:rPr>
          <w:lang w:val="fr-CA"/>
        </w:rPr>
        <w:t>é</w:t>
      </w:r>
      <w:r w:rsidRPr="00891531">
        <w:rPr>
          <w:lang w:val="fr-CA"/>
        </w:rPr>
        <w:t xml:space="preserve">rables, </w:t>
      </w:r>
      <w:r>
        <w:rPr>
          <w:lang w:val="fr-CA"/>
        </w:rPr>
        <w:t>ce qui est de nature à le dissuader de contester l’appel »</w:t>
      </w:r>
      <w:r w:rsidRPr="00891531">
        <w:rPr>
          <w:lang w:val="fr-CA"/>
        </w:rPr>
        <w:t xml:space="preserve"> (p.</w:t>
      </w:r>
      <w:r>
        <w:rPr>
          <w:lang w:val="fr-CA"/>
        </w:rPr>
        <w:t> </w:t>
      </w:r>
      <w:r w:rsidRPr="00891531">
        <w:rPr>
          <w:lang w:val="fr-CA"/>
        </w:rPr>
        <w:t xml:space="preserve">1240). </w:t>
      </w:r>
      <w:r>
        <w:rPr>
          <w:lang w:val="fr-CA"/>
        </w:rPr>
        <w:t>Le</w:t>
      </w:r>
      <w:r w:rsidRPr="00891531">
        <w:rPr>
          <w:lang w:val="fr-CA"/>
        </w:rPr>
        <w:t xml:space="preserve"> 5</w:t>
      </w:r>
      <w:r>
        <w:rPr>
          <w:lang w:val="fr-CA"/>
        </w:rPr>
        <w:t> mai </w:t>
      </w:r>
      <w:r w:rsidRPr="00891531">
        <w:rPr>
          <w:lang w:val="fr-CA"/>
        </w:rPr>
        <w:t>1994, M.</w:t>
      </w:r>
      <w:r>
        <w:rPr>
          <w:lang w:val="fr-CA"/>
        </w:rPr>
        <w:t> </w:t>
      </w:r>
      <w:r w:rsidRPr="00891531">
        <w:rPr>
          <w:lang w:val="fr-CA"/>
        </w:rPr>
        <w:t xml:space="preserve">Dickson </w:t>
      </w:r>
      <w:r>
        <w:rPr>
          <w:lang w:val="fr-CA"/>
        </w:rPr>
        <w:t>a analysé les modifications proposées à l’égard du projet de loi</w:t>
      </w:r>
      <w:r w:rsidRPr="00891531">
        <w:rPr>
          <w:lang w:val="fr-CA"/>
        </w:rPr>
        <w:t xml:space="preserve">. </w:t>
      </w:r>
      <w:r>
        <w:rPr>
          <w:lang w:val="fr-CA"/>
        </w:rPr>
        <w:t>Il a relevé que le</w:t>
      </w:r>
      <w:r w:rsidRPr="00140881">
        <w:rPr>
          <w:sz w:val="24"/>
          <w:szCs w:val="24"/>
          <w:lang w:val="fr-CA"/>
        </w:rPr>
        <w:t xml:space="preserve"> </w:t>
      </w:r>
      <w:r w:rsidRPr="00140881">
        <w:rPr>
          <w:lang w:val="fr-CA"/>
        </w:rPr>
        <w:t>comité composé de représentants de tous les partis</w:t>
      </w:r>
      <w:r>
        <w:rPr>
          <w:lang w:val="fr-CA"/>
        </w:rPr>
        <w:t xml:space="preserve"> avait clairement </w:t>
      </w:r>
      <w:r w:rsidRPr="00891531">
        <w:rPr>
          <w:lang w:val="fr-CA"/>
        </w:rPr>
        <w:t>recomm</w:t>
      </w:r>
      <w:r>
        <w:rPr>
          <w:lang w:val="fr-CA"/>
        </w:rPr>
        <w:t xml:space="preserve">andé au </w:t>
      </w:r>
      <w:r w:rsidRPr="00891531">
        <w:rPr>
          <w:lang w:val="fr-CA"/>
        </w:rPr>
        <w:t>go</w:t>
      </w:r>
      <w:r>
        <w:rPr>
          <w:lang w:val="fr-CA"/>
        </w:rPr>
        <w:t>u</w:t>
      </w:r>
      <w:r w:rsidRPr="00891531">
        <w:rPr>
          <w:lang w:val="fr-CA"/>
        </w:rPr>
        <w:t>vern</w:t>
      </w:r>
      <w:r>
        <w:rPr>
          <w:lang w:val="fr-CA"/>
        </w:rPr>
        <w:t>e</w:t>
      </w:r>
      <w:r w:rsidRPr="00891531">
        <w:rPr>
          <w:lang w:val="fr-CA"/>
        </w:rPr>
        <w:t xml:space="preserve">ment </w:t>
      </w:r>
      <w:r>
        <w:rPr>
          <w:lang w:val="fr-CA"/>
        </w:rPr>
        <w:t>« qu’il n’y ait pas de droit d’en appeler de la dé</w:t>
      </w:r>
      <w:r w:rsidRPr="00891531">
        <w:rPr>
          <w:lang w:val="fr-CA"/>
        </w:rPr>
        <w:t xml:space="preserve">cision </w:t>
      </w:r>
      <w:r>
        <w:rPr>
          <w:lang w:val="fr-CA"/>
        </w:rPr>
        <w:t>de</w:t>
      </w:r>
      <w:r w:rsidRPr="00891531">
        <w:rPr>
          <w:lang w:val="fr-CA"/>
        </w:rPr>
        <w:t xml:space="preserve"> </w:t>
      </w:r>
      <w:r>
        <w:rPr>
          <w:lang w:val="fr-CA"/>
        </w:rPr>
        <w:t xml:space="preserve">la </w:t>
      </w:r>
      <w:r w:rsidRPr="00891531">
        <w:rPr>
          <w:lang w:val="fr-CA"/>
        </w:rPr>
        <w:t xml:space="preserve">commission </w:t>
      </w:r>
      <w:r>
        <w:rPr>
          <w:lang w:val="fr-CA"/>
        </w:rPr>
        <w:t>parce que, là où un tel droit d’appel existe</w:t>
      </w:r>
      <w:r w:rsidRPr="00891531">
        <w:rPr>
          <w:lang w:val="fr-CA"/>
        </w:rPr>
        <w:t xml:space="preserve">, </w:t>
      </w:r>
      <w:r>
        <w:rPr>
          <w:lang w:val="fr-CA"/>
        </w:rPr>
        <w:t xml:space="preserve">il y a eu abus et retards, et les coûts sont devenus un obstacle important à l’accessibilité des renseignements pour les </w:t>
      </w:r>
      <w:r w:rsidRPr="00891531">
        <w:rPr>
          <w:lang w:val="fr-CA"/>
        </w:rPr>
        <w:t>Alberta</w:t>
      </w:r>
      <w:r>
        <w:rPr>
          <w:lang w:val="fr-CA"/>
        </w:rPr>
        <w:t>i</w:t>
      </w:r>
      <w:r w:rsidRPr="00891531">
        <w:rPr>
          <w:lang w:val="fr-CA"/>
        </w:rPr>
        <w:t>ns</w:t>
      </w:r>
      <w:r>
        <w:rPr>
          <w:lang w:val="fr-CA"/>
        </w:rPr>
        <w:t xml:space="preserve"> » </w:t>
      </w:r>
      <w:r w:rsidRPr="00891531">
        <w:rPr>
          <w:lang w:val="fr-CA"/>
        </w:rPr>
        <w:t>(p.</w:t>
      </w:r>
      <w:r>
        <w:rPr>
          <w:lang w:val="fr-CA"/>
        </w:rPr>
        <w:t> </w:t>
      </w:r>
      <w:r w:rsidRPr="00891531">
        <w:rPr>
          <w:lang w:val="fr-CA"/>
        </w:rPr>
        <w:t xml:space="preserve">1752). </w:t>
      </w:r>
      <w:r>
        <w:rPr>
          <w:lang w:val="fr-CA"/>
        </w:rPr>
        <w:t>E</w:t>
      </w:r>
      <w:r w:rsidRPr="00891531">
        <w:rPr>
          <w:lang w:val="fr-CA"/>
        </w:rPr>
        <w:t>n r</w:t>
      </w:r>
      <w:r>
        <w:rPr>
          <w:lang w:val="fr-CA"/>
        </w:rPr>
        <w:t>é</w:t>
      </w:r>
      <w:r w:rsidRPr="00891531">
        <w:rPr>
          <w:lang w:val="fr-CA"/>
        </w:rPr>
        <w:t xml:space="preserve">ponse </w:t>
      </w:r>
      <w:r>
        <w:rPr>
          <w:lang w:val="fr-CA"/>
        </w:rPr>
        <w:t>à la proposition de modification qui, selon lui, règle la question du droit d’appel</w:t>
      </w:r>
      <w:r w:rsidRPr="00891531">
        <w:rPr>
          <w:lang w:val="fr-CA"/>
        </w:rPr>
        <w:t xml:space="preserve">, </w:t>
      </w:r>
      <w:r>
        <w:rPr>
          <w:lang w:val="fr-CA"/>
        </w:rPr>
        <w:t xml:space="preserve">il ajoute :  « Si jamais on doit revenir sur ce point et que quelqu’un consulte le </w:t>
      </w:r>
      <w:r w:rsidRPr="00891531">
        <w:rPr>
          <w:i/>
          <w:lang w:val="fr-CA"/>
        </w:rPr>
        <w:t>Hansard</w:t>
      </w:r>
      <w:r w:rsidRPr="00891531">
        <w:rPr>
          <w:lang w:val="fr-CA"/>
        </w:rPr>
        <w:t xml:space="preserve">, </w:t>
      </w:r>
      <w:r>
        <w:rPr>
          <w:lang w:val="fr-CA"/>
        </w:rPr>
        <w:t xml:space="preserve">on verra que l’intention était clairement la suivante : qu’il n’y ait un droit de révision que lorsque la plainte ou la préoccupation se rapporte à quelque chose que le </w:t>
      </w:r>
      <w:r w:rsidRPr="00891531">
        <w:rPr>
          <w:lang w:val="fr-CA"/>
        </w:rPr>
        <w:t>commiss</w:t>
      </w:r>
      <w:r>
        <w:rPr>
          <w:lang w:val="fr-CA"/>
        </w:rPr>
        <w:t>aire fait dans son propre petit bureau ou ministère</w:t>
      </w:r>
      <w:r w:rsidRPr="00891531">
        <w:rPr>
          <w:lang w:val="fr-CA"/>
        </w:rPr>
        <w:t xml:space="preserve">. </w:t>
      </w:r>
      <w:r>
        <w:rPr>
          <w:lang w:val="fr-CA"/>
        </w:rPr>
        <w:t>C’est le seul contexte dans lequel un tel droit existera »</w:t>
      </w:r>
      <w:r w:rsidRPr="00891531">
        <w:rPr>
          <w:lang w:val="fr-CA"/>
        </w:rPr>
        <w:t xml:space="preserve"> (p.</w:t>
      </w:r>
      <w:r>
        <w:rPr>
          <w:lang w:val="fr-CA"/>
        </w:rPr>
        <w:t> </w:t>
      </w:r>
      <w:r w:rsidRPr="00891531">
        <w:rPr>
          <w:lang w:val="fr-CA"/>
        </w:rPr>
        <w:t>1752).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C0" w:rsidRDefault="00D335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C0" w:rsidRPr="00450352" w:rsidRDefault="00D335C0" w:rsidP="004503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5C0" w:rsidRDefault="00D335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1" w15:restartNumberingAfterBreak="0">
    <w:nsid w:val="014D1465"/>
    <w:multiLevelType w:val="hybridMultilevel"/>
    <w:tmpl w:val="3B4AF5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D3F5BE4"/>
    <w:multiLevelType w:val="hybridMultilevel"/>
    <w:tmpl w:val="23C45952"/>
    <w:lvl w:ilvl="0" w:tplc="CC9C20FE">
      <w:start w:val="2"/>
      <w:numFmt w:val="decimal"/>
      <w:lvlText w:val="(%1)"/>
      <w:lvlJc w:val="left"/>
      <w:pPr>
        <w:ind w:left="1886"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CB20C55"/>
    <w:multiLevelType w:val="hybridMultilevel"/>
    <w:tmpl w:val="C8B2D35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5" w15:restartNumberingAfterBreak="0">
    <w:nsid w:val="1D22643B"/>
    <w:multiLevelType w:val="hybridMultilevel"/>
    <w:tmpl w:val="7AB01036"/>
    <w:lvl w:ilvl="0" w:tplc="357C633E">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E992305"/>
    <w:multiLevelType w:val="hybridMultilevel"/>
    <w:tmpl w:val="7AB01036"/>
    <w:lvl w:ilvl="0" w:tplc="357C633E">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EA63884"/>
    <w:multiLevelType w:val="hybridMultilevel"/>
    <w:tmpl w:val="D69CCA84"/>
    <w:lvl w:ilvl="0" w:tplc="859073D6">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8417B7"/>
    <w:multiLevelType w:val="hybridMultilevel"/>
    <w:tmpl w:val="EE56208C"/>
    <w:lvl w:ilvl="0" w:tplc="E918EA28">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3130A"/>
    <w:multiLevelType w:val="multilevel"/>
    <w:tmpl w:val="43269D86"/>
    <w:lvl w:ilvl="0">
      <w:start w:val="1"/>
      <w:numFmt w:val="upperRoman"/>
      <w:lvlText w:val="%1."/>
      <w:lvlJc w:val="right"/>
      <w:pPr>
        <w:tabs>
          <w:tab w:val="num" w:pos="576"/>
        </w:tabs>
        <w:ind w:left="576" w:hanging="576"/>
      </w:pPr>
      <w:rPr>
        <w:rFonts w:hint="default"/>
        <w:sz w:val="24"/>
      </w:rPr>
    </w:lvl>
    <w:lvl w:ilvl="1">
      <w:start w:val="1"/>
      <w:numFmt w:val="upperLetter"/>
      <w:lvlText w:val="%2."/>
      <w:lvlJc w:val="left"/>
      <w:pPr>
        <w:tabs>
          <w:tab w:val="num" w:pos="576"/>
        </w:tabs>
        <w:ind w:left="576" w:hanging="576"/>
      </w:pPr>
      <w:rPr>
        <w:rFonts w:ascii="Times New Roman" w:hAnsi="Times New Roman" w:hint="default"/>
        <w:b w:val="0"/>
        <w:i w:val="0"/>
        <w:sz w:val="24"/>
      </w:rPr>
    </w:lvl>
    <w:lvl w:ilvl="2">
      <w:start w:val="1"/>
      <w:numFmt w:val="decimal"/>
      <w:lvlText w:val="(%3)"/>
      <w:lvlJc w:val="left"/>
      <w:pPr>
        <w:tabs>
          <w:tab w:val="num" w:pos="1152"/>
        </w:tabs>
        <w:ind w:left="1152" w:hanging="576"/>
      </w:pPr>
      <w:rPr>
        <w:rFonts w:ascii="Times New Roman" w:hAnsi="Times New Roman" w:hint="default"/>
        <w:b w:val="0"/>
        <w:i w:val="0"/>
        <w:sz w:val="24"/>
      </w:rPr>
    </w:lvl>
    <w:lvl w:ilvl="3">
      <w:start w:val="1"/>
      <w:numFmt w:val="lowerLetter"/>
      <w:lvlText w:val="%4)"/>
      <w:lvlJc w:val="left"/>
      <w:pPr>
        <w:tabs>
          <w:tab w:val="num" w:pos="1152"/>
        </w:tabs>
        <w:ind w:left="1152" w:hanging="576"/>
      </w:pPr>
      <w:rPr>
        <w:rFonts w:hint="default"/>
        <w:b w:val="0"/>
        <w:i w:val="0"/>
      </w:rPr>
    </w:lvl>
    <w:lvl w:ilvl="4">
      <w:start w:val="1"/>
      <w:numFmt w:val="lowerRoman"/>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1" w15:restartNumberingAfterBreak="0">
    <w:nsid w:val="4A2115EA"/>
    <w:multiLevelType w:val="hybridMultilevel"/>
    <w:tmpl w:val="7AB01036"/>
    <w:lvl w:ilvl="0" w:tplc="357C633E">
      <w:start w:val="1"/>
      <w:numFmt w:val="upperLetter"/>
      <w:lvlText w:val="%1."/>
      <w:lvlJc w:val="left"/>
      <w:pPr>
        <w:ind w:left="720" w:hanging="360"/>
      </w:pPr>
      <w:rPr>
        <w:i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3"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534E1629"/>
    <w:multiLevelType w:val="hybridMultilevel"/>
    <w:tmpl w:val="A27618F0"/>
    <w:lvl w:ilvl="0" w:tplc="02585768">
      <w:start w:val="1"/>
      <w:numFmt w:val="upperRoman"/>
      <w:lvlText w:val="%1."/>
      <w:lvlJc w:val="righ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83943A7"/>
    <w:multiLevelType w:val="hybridMultilevel"/>
    <w:tmpl w:val="460241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B82053"/>
    <w:multiLevelType w:val="hybridMultilevel"/>
    <w:tmpl w:val="237CADAE"/>
    <w:lvl w:ilvl="0" w:tplc="199603AE">
      <w:start w:val="4"/>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EA943F7"/>
    <w:multiLevelType w:val="hybridMultilevel"/>
    <w:tmpl w:val="2354B396"/>
    <w:lvl w:ilvl="0" w:tplc="DB283630">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CBA3992"/>
    <w:multiLevelType w:val="hybridMultilevel"/>
    <w:tmpl w:val="9CA8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5921D7"/>
    <w:multiLevelType w:val="hybridMultilevel"/>
    <w:tmpl w:val="5A0CEC16"/>
    <w:lvl w:ilvl="0" w:tplc="0610EAE8">
      <w:numFmt w:val="bullet"/>
      <w:lvlText w:val="-"/>
      <w:lvlJc w:val="left"/>
      <w:pPr>
        <w:ind w:left="720" w:hanging="360"/>
      </w:pPr>
      <w:rPr>
        <w:rFonts w:ascii="Times New Roman" w:eastAsia="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15"/>
  </w:num>
  <w:num w:numId="3">
    <w:abstractNumId w:val="15"/>
  </w:num>
  <w:num w:numId="4">
    <w:abstractNumId w:val="19"/>
  </w:num>
  <w:num w:numId="5">
    <w:abstractNumId w:val="6"/>
  </w:num>
  <w:num w:numId="6">
    <w:abstractNumId w:val="2"/>
  </w:num>
  <w:num w:numId="7">
    <w:abstractNumId w:val="12"/>
  </w:num>
  <w:num w:numId="8">
    <w:abstractNumId w:val="13"/>
  </w:num>
  <w:num w:numId="9">
    <w:abstractNumId w:val="10"/>
  </w:num>
  <w:num w:numId="10">
    <w:abstractNumId w:val="10"/>
    <w:lvlOverride w:ilvl="0">
      <w:lvl w:ilvl="0">
        <w:start w:val="1"/>
        <w:numFmt w:val="upperRoman"/>
        <w:lvlText w:val="%1."/>
        <w:lvlJc w:val="left"/>
        <w:pPr>
          <w:tabs>
            <w:tab w:val="num" w:pos="576"/>
          </w:tabs>
          <w:ind w:left="576" w:hanging="576"/>
        </w:pPr>
        <w:rPr>
          <w:rFonts w:hint="default"/>
          <w:sz w:val="24"/>
        </w:rPr>
      </w:lvl>
    </w:lvlOverride>
    <w:lvlOverride w:ilvl="1">
      <w:lvl w:ilvl="1">
        <w:start w:val="1"/>
        <w:numFmt w:val="upperLetter"/>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lvlText w:val="(%4)"/>
        <w:lvlJc w:val="left"/>
        <w:pPr>
          <w:tabs>
            <w:tab w:val="num" w:pos="1152"/>
          </w:tabs>
          <w:ind w:left="1152" w:hanging="576"/>
        </w:pPr>
        <w:rPr>
          <w:rFonts w:hint="default"/>
          <w:b w:val="0"/>
          <w:i w:val="0"/>
        </w:rPr>
      </w:lvl>
    </w:lvlOverride>
    <w:lvlOverride w:ilvl="4">
      <w:lvl w:ilvl="4">
        <w:start w:val="1"/>
        <w:numFmt w:val="lowerRoman"/>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1">
    <w:abstractNumId w:val="17"/>
  </w:num>
  <w:num w:numId="12">
    <w:abstractNumId w:val="21"/>
  </w:num>
  <w:num w:numId="13">
    <w:abstractNumId w:val="0"/>
  </w:num>
  <w:num w:numId="14">
    <w:abstractNumId w:val="10"/>
    <w:lvlOverride w:ilvl="0">
      <w:lvl w:ilvl="0">
        <w:start w:val="1"/>
        <w:numFmt w:val="decimal"/>
        <w:lvlText w:val="(%1)"/>
        <w:lvlJc w:val="left"/>
        <w:pPr>
          <w:ind w:left="360" w:hanging="360"/>
        </w:pPr>
        <w:rPr>
          <w:rFonts w:hint="default"/>
        </w:rPr>
      </w:lvl>
    </w:lvlOverride>
    <w:lvlOverride w:ilvl="1">
      <w:lvl w:ilvl="1" w:tentative="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pStyle w:val="Title6LevelTitre6Niveau"/>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7"/>
  </w:num>
  <w:num w:numId="19">
    <w:abstractNumId w:val="5"/>
  </w:num>
  <w:num w:numId="20">
    <w:abstractNumId w:val="11"/>
  </w:num>
  <w:num w:numId="21">
    <w:abstractNumId w:val="18"/>
  </w:num>
  <w:num w:numId="22">
    <w:abstractNumId w:val="16"/>
  </w:num>
  <w:num w:numId="23">
    <w:abstractNumId w:val="8"/>
  </w:num>
  <w:num w:numId="24">
    <w:abstractNumId w:val="9"/>
  </w:num>
  <w:num w:numId="25">
    <w:abstractNumId w:val="4"/>
  </w:num>
  <w:num w:numId="26">
    <w:abstractNumId w:val="1"/>
  </w:num>
  <w:num w:numId="27">
    <w:abstractNumId w:val="20"/>
  </w:num>
  <w:num w:numId="28">
    <w:abstractNumId w:val="10"/>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33EC"/>
    <w:rsid w:val="00023FC7"/>
    <w:rsid w:val="00025198"/>
    <w:rsid w:val="000578A3"/>
    <w:rsid w:val="00061EDB"/>
    <w:rsid w:val="000648CC"/>
    <w:rsid w:val="0007384E"/>
    <w:rsid w:val="000869F8"/>
    <w:rsid w:val="00087021"/>
    <w:rsid w:val="000A1B61"/>
    <w:rsid w:val="000A2DF0"/>
    <w:rsid w:val="000A7EDC"/>
    <w:rsid w:val="000B0D1D"/>
    <w:rsid w:val="000B4674"/>
    <w:rsid w:val="000C3CD7"/>
    <w:rsid w:val="000C59B8"/>
    <w:rsid w:val="000C6AF0"/>
    <w:rsid w:val="000D0A77"/>
    <w:rsid w:val="000E299E"/>
    <w:rsid w:val="000E3D65"/>
    <w:rsid w:val="000F7993"/>
    <w:rsid w:val="00104F33"/>
    <w:rsid w:val="00110607"/>
    <w:rsid w:val="00111DE2"/>
    <w:rsid w:val="00116B38"/>
    <w:rsid w:val="00123348"/>
    <w:rsid w:val="00135406"/>
    <w:rsid w:val="00135972"/>
    <w:rsid w:val="0013622E"/>
    <w:rsid w:val="00140530"/>
    <w:rsid w:val="001426A9"/>
    <w:rsid w:val="001505A0"/>
    <w:rsid w:val="00154A10"/>
    <w:rsid w:val="00154D7C"/>
    <w:rsid w:val="001570B0"/>
    <w:rsid w:val="0015752C"/>
    <w:rsid w:val="00157737"/>
    <w:rsid w:val="001630D4"/>
    <w:rsid w:val="00165277"/>
    <w:rsid w:val="00170592"/>
    <w:rsid w:val="001720F7"/>
    <w:rsid w:val="00173DBD"/>
    <w:rsid w:val="00176C6D"/>
    <w:rsid w:val="00195D83"/>
    <w:rsid w:val="001A00C1"/>
    <w:rsid w:val="001B33E0"/>
    <w:rsid w:val="001B4573"/>
    <w:rsid w:val="001C779F"/>
    <w:rsid w:val="001D2AC1"/>
    <w:rsid w:val="001D4E88"/>
    <w:rsid w:val="001D682B"/>
    <w:rsid w:val="001D7DF2"/>
    <w:rsid w:val="001E2F76"/>
    <w:rsid w:val="00212AED"/>
    <w:rsid w:val="00220FC2"/>
    <w:rsid w:val="002222F4"/>
    <w:rsid w:val="00224FC0"/>
    <w:rsid w:val="00225EA4"/>
    <w:rsid w:val="00226EAF"/>
    <w:rsid w:val="00231F3A"/>
    <w:rsid w:val="002406EE"/>
    <w:rsid w:val="00241B32"/>
    <w:rsid w:val="00241C00"/>
    <w:rsid w:val="00243EC8"/>
    <w:rsid w:val="00270D93"/>
    <w:rsid w:val="002745CC"/>
    <w:rsid w:val="002B2A84"/>
    <w:rsid w:val="002B61F4"/>
    <w:rsid w:val="002B6FBE"/>
    <w:rsid w:val="002B7924"/>
    <w:rsid w:val="002C10A6"/>
    <w:rsid w:val="002D28C3"/>
    <w:rsid w:val="002D39A4"/>
    <w:rsid w:val="002D3F97"/>
    <w:rsid w:val="002E6705"/>
    <w:rsid w:val="0030329A"/>
    <w:rsid w:val="0031086F"/>
    <w:rsid w:val="0031414C"/>
    <w:rsid w:val="00314E01"/>
    <w:rsid w:val="0032089D"/>
    <w:rsid w:val="003310DE"/>
    <w:rsid w:val="003323B0"/>
    <w:rsid w:val="0033768B"/>
    <w:rsid w:val="00340A49"/>
    <w:rsid w:val="00346CE3"/>
    <w:rsid w:val="00351568"/>
    <w:rsid w:val="0035169A"/>
    <w:rsid w:val="0035259D"/>
    <w:rsid w:val="00364B18"/>
    <w:rsid w:val="00386062"/>
    <w:rsid w:val="00394E1C"/>
    <w:rsid w:val="003A125D"/>
    <w:rsid w:val="003A4BA3"/>
    <w:rsid w:val="003A4C70"/>
    <w:rsid w:val="003B0573"/>
    <w:rsid w:val="003B215F"/>
    <w:rsid w:val="003B27FE"/>
    <w:rsid w:val="003C799C"/>
    <w:rsid w:val="003D0399"/>
    <w:rsid w:val="003E1C71"/>
    <w:rsid w:val="003E7C39"/>
    <w:rsid w:val="003F327B"/>
    <w:rsid w:val="00406166"/>
    <w:rsid w:val="004061F9"/>
    <w:rsid w:val="0040704B"/>
    <w:rsid w:val="00410A55"/>
    <w:rsid w:val="00411300"/>
    <w:rsid w:val="00413F17"/>
    <w:rsid w:val="00415417"/>
    <w:rsid w:val="00426659"/>
    <w:rsid w:val="0044621C"/>
    <w:rsid w:val="00450352"/>
    <w:rsid w:val="00454BDB"/>
    <w:rsid w:val="0045508F"/>
    <w:rsid w:val="00455214"/>
    <w:rsid w:val="00461EB7"/>
    <w:rsid w:val="00465132"/>
    <w:rsid w:val="00480C90"/>
    <w:rsid w:val="00482150"/>
    <w:rsid w:val="0048396F"/>
    <w:rsid w:val="004930FE"/>
    <w:rsid w:val="00493C18"/>
    <w:rsid w:val="004A3193"/>
    <w:rsid w:val="004A600C"/>
    <w:rsid w:val="004A6118"/>
    <w:rsid w:val="004B22D2"/>
    <w:rsid w:val="004C1B1D"/>
    <w:rsid w:val="004C478D"/>
    <w:rsid w:val="004D4C3B"/>
    <w:rsid w:val="004D7D95"/>
    <w:rsid w:val="004E2C26"/>
    <w:rsid w:val="005125A8"/>
    <w:rsid w:val="00517549"/>
    <w:rsid w:val="00520ABC"/>
    <w:rsid w:val="00521AE8"/>
    <w:rsid w:val="00524DAA"/>
    <w:rsid w:val="00525F56"/>
    <w:rsid w:val="005263C1"/>
    <w:rsid w:val="00527180"/>
    <w:rsid w:val="00533EE4"/>
    <w:rsid w:val="0054502C"/>
    <w:rsid w:val="00555291"/>
    <w:rsid w:val="00566AD1"/>
    <w:rsid w:val="00583EDE"/>
    <w:rsid w:val="00584F73"/>
    <w:rsid w:val="0058769F"/>
    <w:rsid w:val="005900D7"/>
    <w:rsid w:val="005A6079"/>
    <w:rsid w:val="005C58AB"/>
    <w:rsid w:val="005D6D1A"/>
    <w:rsid w:val="005E4698"/>
    <w:rsid w:val="00603924"/>
    <w:rsid w:val="00610539"/>
    <w:rsid w:val="00613586"/>
    <w:rsid w:val="00613969"/>
    <w:rsid w:val="00625C35"/>
    <w:rsid w:val="00642E31"/>
    <w:rsid w:val="00647E49"/>
    <w:rsid w:val="00656313"/>
    <w:rsid w:val="006565F4"/>
    <w:rsid w:val="00684EEA"/>
    <w:rsid w:val="00685CB2"/>
    <w:rsid w:val="0069689B"/>
    <w:rsid w:val="006B5FF5"/>
    <w:rsid w:val="006C7EDE"/>
    <w:rsid w:val="006F08A4"/>
    <w:rsid w:val="006F14DB"/>
    <w:rsid w:val="006F30AF"/>
    <w:rsid w:val="006F3725"/>
    <w:rsid w:val="00701759"/>
    <w:rsid w:val="00703BF2"/>
    <w:rsid w:val="00705C15"/>
    <w:rsid w:val="007110F6"/>
    <w:rsid w:val="007208D1"/>
    <w:rsid w:val="0073305A"/>
    <w:rsid w:val="00736DF7"/>
    <w:rsid w:val="00744518"/>
    <w:rsid w:val="00747288"/>
    <w:rsid w:val="00747DD3"/>
    <w:rsid w:val="007549C8"/>
    <w:rsid w:val="00762A5D"/>
    <w:rsid w:val="00766D14"/>
    <w:rsid w:val="00767A0F"/>
    <w:rsid w:val="00773594"/>
    <w:rsid w:val="0078404F"/>
    <w:rsid w:val="00791272"/>
    <w:rsid w:val="007A05F6"/>
    <w:rsid w:val="007A441D"/>
    <w:rsid w:val="007A6A8E"/>
    <w:rsid w:val="007B298A"/>
    <w:rsid w:val="007B6F4A"/>
    <w:rsid w:val="007E1C47"/>
    <w:rsid w:val="007E337A"/>
    <w:rsid w:val="007E5C70"/>
    <w:rsid w:val="007F2FF5"/>
    <w:rsid w:val="007F3F08"/>
    <w:rsid w:val="00804CC6"/>
    <w:rsid w:val="00817190"/>
    <w:rsid w:val="008260E2"/>
    <w:rsid w:val="00827DEF"/>
    <w:rsid w:val="008322BD"/>
    <w:rsid w:val="00834F73"/>
    <w:rsid w:val="00835622"/>
    <w:rsid w:val="00854CF6"/>
    <w:rsid w:val="0086299D"/>
    <w:rsid w:val="00864C8A"/>
    <w:rsid w:val="00864CF8"/>
    <w:rsid w:val="00874914"/>
    <w:rsid w:val="00891422"/>
    <w:rsid w:val="00892E1A"/>
    <w:rsid w:val="008B660A"/>
    <w:rsid w:val="008C01DA"/>
    <w:rsid w:val="008C41E2"/>
    <w:rsid w:val="008D6749"/>
    <w:rsid w:val="008F0C0B"/>
    <w:rsid w:val="008F2674"/>
    <w:rsid w:val="008F5F31"/>
    <w:rsid w:val="008F78E9"/>
    <w:rsid w:val="0091315D"/>
    <w:rsid w:val="009179F9"/>
    <w:rsid w:val="00917C7A"/>
    <w:rsid w:val="00933E5E"/>
    <w:rsid w:val="00935218"/>
    <w:rsid w:val="00937C52"/>
    <w:rsid w:val="009403F3"/>
    <w:rsid w:val="009555B7"/>
    <w:rsid w:val="009567AA"/>
    <w:rsid w:val="009602C9"/>
    <w:rsid w:val="00967374"/>
    <w:rsid w:val="009A343A"/>
    <w:rsid w:val="009B2F23"/>
    <w:rsid w:val="009B57B3"/>
    <w:rsid w:val="009D2920"/>
    <w:rsid w:val="009D5AEB"/>
    <w:rsid w:val="009E2944"/>
    <w:rsid w:val="009F0E33"/>
    <w:rsid w:val="00A13490"/>
    <w:rsid w:val="00A149DF"/>
    <w:rsid w:val="00A1755C"/>
    <w:rsid w:val="00A20A17"/>
    <w:rsid w:val="00A21B90"/>
    <w:rsid w:val="00A22AAC"/>
    <w:rsid w:val="00A41805"/>
    <w:rsid w:val="00A51882"/>
    <w:rsid w:val="00A52AFB"/>
    <w:rsid w:val="00A548CB"/>
    <w:rsid w:val="00A5521C"/>
    <w:rsid w:val="00A55968"/>
    <w:rsid w:val="00A56CF7"/>
    <w:rsid w:val="00A643E7"/>
    <w:rsid w:val="00A64A12"/>
    <w:rsid w:val="00A73C38"/>
    <w:rsid w:val="00A77D38"/>
    <w:rsid w:val="00A921A7"/>
    <w:rsid w:val="00AB670D"/>
    <w:rsid w:val="00AD5915"/>
    <w:rsid w:val="00AD5FCD"/>
    <w:rsid w:val="00AE1054"/>
    <w:rsid w:val="00AE74A6"/>
    <w:rsid w:val="00AF03C5"/>
    <w:rsid w:val="00AF5C6F"/>
    <w:rsid w:val="00B000D8"/>
    <w:rsid w:val="00B00F75"/>
    <w:rsid w:val="00B05D53"/>
    <w:rsid w:val="00B145B6"/>
    <w:rsid w:val="00B229DB"/>
    <w:rsid w:val="00B279EB"/>
    <w:rsid w:val="00B3618F"/>
    <w:rsid w:val="00B50C81"/>
    <w:rsid w:val="00B557F8"/>
    <w:rsid w:val="00B70AC7"/>
    <w:rsid w:val="00B815FC"/>
    <w:rsid w:val="00B86B40"/>
    <w:rsid w:val="00B93FBC"/>
    <w:rsid w:val="00BA0CF1"/>
    <w:rsid w:val="00BA404F"/>
    <w:rsid w:val="00BA7DA0"/>
    <w:rsid w:val="00BB1035"/>
    <w:rsid w:val="00BB2EE4"/>
    <w:rsid w:val="00BB4C92"/>
    <w:rsid w:val="00BC2019"/>
    <w:rsid w:val="00BC2108"/>
    <w:rsid w:val="00BD0B67"/>
    <w:rsid w:val="00BD0E9E"/>
    <w:rsid w:val="00BD1BEC"/>
    <w:rsid w:val="00BD32FF"/>
    <w:rsid w:val="00BD644D"/>
    <w:rsid w:val="00BE126A"/>
    <w:rsid w:val="00BE5944"/>
    <w:rsid w:val="00BF6FE9"/>
    <w:rsid w:val="00C02092"/>
    <w:rsid w:val="00C24D91"/>
    <w:rsid w:val="00C26DB2"/>
    <w:rsid w:val="00C27961"/>
    <w:rsid w:val="00C304B8"/>
    <w:rsid w:val="00C40D03"/>
    <w:rsid w:val="00C527A3"/>
    <w:rsid w:val="00C53F14"/>
    <w:rsid w:val="00C600CF"/>
    <w:rsid w:val="00C6084F"/>
    <w:rsid w:val="00C62A66"/>
    <w:rsid w:val="00C66359"/>
    <w:rsid w:val="00C71458"/>
    <w:rsid w:val="00C768F4"/>
    <w:rsid w:val="00C77613"/>
    <w:rsid w:val="00C828E7"/>
    <w:rsid w:val="00C86719"/>
    <w:rsid w:val="00C921DD"/>
    <w:rsid w:val="00CA6391"/>
    <w:rsid w:val="00CA7436"/>
    <w:rsid w:val="00CE036E"/>
    <w:rsid w:val="00CE3171"/>
    <w:rsid w:val="00CF1601"/>
    <w:rsid w:val="00D0172F"/>
    <w:rsid w:val="00D01E33"/>
    <w:rsid w:val="00D03969"/>
    <w:rsid w:val="00D068A7"/>
    <w:rsid w:val="00D10242"/>
    <w:rsid w:val="00D17476"/>
    <w:rsid w:val="00D17B0E"/>
    <w:rsid w:val="00D203A0"/>
    <w:rsid w:val="00D32086"/>
    <w:rsid w:val="00D335C0"/>
    <w:rsid w:val="00D37A3F"/>
    <w:rsid w:val="00D4431D"/>
    <w:rsid w:val="00D4667A"/>
    <w:rsid w:val="00D63A1C"/>
    <w:rsid w:val="00D7516F"/>
    <w:rsid w:val="00D83549"/>
    <w:rsid w:val="00D92545"/>
    <w:rsid w:val="00D9524F"/>
    <w:rsid w:val="00D95F8E"/>
    <w:rsid w:val="00DA0590"/>
    <w:rsid w:val="00DB51B7"/>
    <w:rsid w:val="00DC1739"/>
    <w:rsid w:val="00DC1788"/>
    <w:rsid w:val="00DD5691"/>
    <w:rsid w:val="00DE0409"/>
    <w:rsid w:val="00DE07D5"/>
    <w:rsid w:val="00DE319C"/>
    <w:rsid w:val="00DF0CA8"/>
    <w:rsid w:val="00DF2B48"/>
    <w:rsid w:val="00DF49A7"/>
    <w:rsid w:val="00E07EE2"/>
    <w:rsid w:val="00E07FD1"/>
    <w:rsid w:val="00E124AC"/>
    <w:rsid w:val="00E24573"/>
    <w:rsid w:val="00E25E1E"/>
    <w:rsid w:val="00E27EE7"/>
    <w:rsid w:val="00E3047B"/>
    <w:rsid w:val="00E35404"/>
    <w:rsid w:val="00E45109"/>
    <w:rsid w:val="00E46970"/>
    <w:rsid w:val="00E47B7A"/>
    <w:rsid w:val="00E56A44"/>
    <w:rsid w:val="00E60269"/>
    <w:rsid w:val="00E80C02"/>
    <w:rsid w:val="00E817B4"/>
    <w:rsid w:val="00E8756C"/>
    <w:rsid w:val="00E87C0F"/>
    <w:rsid w:val="00E9469A"/>
    <w:rsid w:val="00E97830"/>
    <w:rsid w:val="00ED28CA"/>
    <w:rsid w:val="00EE0830"/>
    <w:rsid w:val="00EE308B"/>
    <w:rsid w:val="00EE6CB8"/>
    <w:rsid w:val="00EF0683"/>
    <w:rsid w:val="00F0070C"/>
    <w:rsid w:val="00F00EB7"/>
    <w:rsid w:val="00F3114C"/>
    <w:rsid w:val="00F36AB6"/>
    <w:rsid w:val="00F37A09"/>
    <w:rsid w:val="00F409CE"/>
    <w:rsid w:val="00F4379D"/>
    <w:rsid w:val="00F50D2D"/>
    <w:rsid w:val="00F55478"/>
    <w:rsid w:val="00F56C8B"/>
    <w:rsid w:val="00F62639"/>
    <w:rsid w:val="00F66810"/>
    <w:rsid w:val="00F80C15"/>
    <w:rsid w:val="00F84DF4"/>
    <w:rsid w:val="00F85C97"/>
    <w:rsid w:val="00F96780"/>
    <w:rsid w:val="00FA1740"/>
    <w:rsid w:val="00FA3C70"/>
    <w:rsid w:val="00FB0371"/>
    <w:rsid w:val="00FB37D2"/>
    <w:rsid w:val="00FC4EFB"/>
    <w:rsid w:val="00FD068D"/>
    <w:rsid w:val="00FD0C88"/>
    <w:rsid w:val="00FD4F28"/>
    <w:rsid w:val="00FD5170"/>
    <w:rsid w:val="00FE6784"/>
    <w:rsid w:val="00FE7A8B"/>
    <w:rsid w:val="00FF07EB"/>
    <w:rsid w:val="00FF7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944"/>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character" w:customStyle="1" w:styleId="SCCLsocLastPartyInRoleChar">
    <w:name w:val="SCC.Lsoc.LastPartyInRole Char"/>
    <w:basedOn w:val="SCCLsocPartyChar"/>
    <w:link w:val="SCCLsocLastPartyInRole"/>
    <w:rsid w:val="00FE7A8B"/>
    <w:rPr>
      <w:b/>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paragraph" w:customStyle="1" w:styleId="SCCBanSummary">
    <w:name w:val="SCC.BanSummary"/>
    <w:basedOn w:val="Normal"/>
    <w:next w:val="Normal"/>
    <w:link w:val="SCCBanSummaryChar"/>
    <w:rsid w:val="00111DE2"/>
    <w:pPr>
      <w:jc w:val="right"/>
    </w:pPr>
    <w:rPr>
      <w:b/>
    </w:rPr>
  </w:style>
  <w:style w:type="character" w:customStyle="1" w:styleId="SCCBanSummaryChar">
    <w:name w:val="SCC.BanSummary Char"/>
    <w:basedOn w:val="DefaultParagraphFont"/>
    <w:link w:val="SCCBanSummary"/>
    <w:rsid w:val="00FA3C70"/>
    <w:rPr>
      <w:b/>
      <w:sz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ParaNoNdepar-AltN">
    <w:name w:val="Para. No. / Nº de par. - Alt N"/>
    <w:link w:val="ParaNoNdepar-AltNChar"/>
    <w:qFormat/>
    <w:rsid w:val="000A2DF0"/>
    <w:pPr>
      <w:numPr>
        <w:numId w:val="1"/>
      </w:numPr>
      <w:spacing w:before="480" w:after="480" w:line="480" w:lineRule="auto"/>
      <w:jc w:val="both"/>
    </w:pPr>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FA3C70"/>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FA3C70"/>
    <w:rPr>
      <w:rFonts w:eastAsiaTheme="minorHAnsi" w:cstheme="minorBidi"/>
      <w:sz w:val="24"/>
      <w:szCs w:val="22"/>
      <w:lang w:eastAsia="en-US"/>
    </w:rPr>
  </w:style>
  <w:style w:type="paragraph" w:customStyle="1" w:styleId="SCCCoram">
    <w:name w:val="SCC.Coram"/>
    <w:basedOn w:val="Normal"/>
    <w:next w:val="Normal"/>
    <w:link w:val="SCCCoramChar"/>
    <w:rsid w:val="00FA3C70"/>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FA3C70"/>
    <w:rPr>
      <w:rFonts w:eastAsiaTheme="minorHAnsi" w:cstheme="minorBidi"/>
      <w:sz w:val="24"/>
      <w:szCs w:val="22"/>
      <w:lang w:eastAsia="en-US"/>
    </w:rPr>
  </w:style>
  <w:style w:type="table" w:styleId="TableGrid">
    <w:name w:val="Table Grid"/>
    <w:basedOn w:val="TableNormal"/>
    <w:uiPriority w:val="59"/>
    <w:rsid w:val="00FA3C70"/>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FA3C70"/>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FA3C70"/>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FA3C70"/>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FA3C70"/>
    <w:p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FA3C70"/>
    <w:pPr>
      <w:numPr>
        <w:ilvl w:val="1"/>
      </w:numPr>
    </w:pPr>
    <w:rPr>
      <w:i/>
      <w:u w:val="none"/>
      <w:lang w:val="fr-CA"/>
    </w:rPr>
  </w:style>
  <w:style w:type="paragraph" w:customStyle="1" w:styleId="Title3LevelTitre3Niveau">
    <w:name w:val="Title 3 Level / Titre 3 Niveau"/>
    <w:basedOn w:val="Title1LevelTitre1Niveau-AltL"/>
    <w:next w:val="ParaNoNdepar-AltN"/>
    <w:uiPriority w:val="4"/>
    <w:qFormat/>
    <w:rsid w:val="00FA3C70"/>
    <w:pPr>
      <w:numPr>
        <w:ilvl w:val="2"/>
      </w:numPr>
    </w:pPr>
  </w:style>
  <w:style w:type="paragraph" w:customStyle="1" w:styleId="Title4LevelTitre4Niveau">
    <w:name w:val="Title 4 Level / Titre 4 Niveau"/>
    <w:basedOn w:val="Title3LevelTitre3Niveau"/>
    <w:next w:val="ParaNoNdepar-AltN"/>
    <w:uiPriority w:val="4"/>
    <w:qFormat/>
    <w:rsid w:val="00FA3C70"/>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FA3C70"/>
    <w:pPr>
      <w:numPr>
        <w:ilvl w:val="4"/>
      </w:numPr>
    </w:pPr>
  </w:style>
  <w:style w:type="paragraph" w:styleId="TOC1">
    <w:name w:val="toc 1"/>
    <w:basedOn w:val="Normal"/>
    <w:next w:val="Normal"/>
    <w:autoRedefine/>
    <w:uiPriority w:val="39"/>
    <w:unhideWhenUsed/>
    <w:rsid w:val="00FA3C70"/>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FA3C70"/>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FA3C70"/>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FA3C70"/>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FA3C70"/>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FA3C70"/>
    <w:pPr>
      <w:tabs>
        <w:tab w:val="left" w:pos="2160"/>
        <w:tab w:val="right" w:leader="dot" w:pos="8270"/>
      </w:tabs>
      <w:spacing w:after="100"/>
      <w:ind w:left="1800"/>
    </w:pPr>
    <w:rPr>
      <w:noProof/>
    </w:rPr>
  </w:style>
  <w:style w:type="table" w:customStyle="1" w:styleId="TableGrid1">
    <w:name w:val="Table Grid1"/>
    <w:basedOn w:val="TableNormal"/>
    <w:uiPriority w:val="59"/>
    <w:rsid w:val="00FA3C70"/>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FA3C70"/>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FA3C70"/>
    <w:pPr>
      <w:numPr>
        <w:ilvl w:val="5"/>
        <w:numId w:val="9"/>
      </w:numPr>
    </w:pPr>
    <w:rPr>
      <w:i/>
      <w:u w:val="none"/>
    </w:rPr>
  </w:style>
  <w:style w:type="paragraph" w:styleId="FootnoteText">
    <w:name w:val="footnote text"/>
    <w:basedOn w:val="Normal"/>
    <w:link w:val="FootnoteTextChar"/>
    <w:uiPriority w:val="99"/>
    <w:unhideWhenUsed/>
    <w:rsid w:val="00FA3C70"/>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FA3C70"/>
  </w:style>
  <w:style w:type="character" w:styleId="FootnoteReference">
    <w:name w:val="footnote reference"/>
    <w:basedOn w:val="DefaultParagraphFont"/>
    <w:uiPriority w:val="99"/>
    <w:semiHidden/>
    <w:unhideWhenUsed/>
    <w:rsid w:val="00FA3C70"/>
    <w:rPr>
      <w:vertAlign w:val="superscript"/>
    </w:rPr>
  </w:style>
  <w:style w:type="paragraph" w:styleId="ListParagraph">
    <w:name w:val="List Paragraph"/>
    <w:basedOn w:val="Normal"/>
    <w:uiPriority w:val="34"/>
    <w:qFormat/>
    <w:rsid w:val="00FA3C70"/>
    <w:pPr>
      <w:ind w:left="720"/>
      <w:contextualSpacing/>
    </w:pPr>
    <w:rPr>
      <w:szCs w:val="24"/>
    </w:rPr>
  </w:style>
  <w:style w:type="character" w:styleId="Hyperlink">
    <w:name w:val="Hyperlink"/>
    <w:basedOn w:val="DefaultParagraphFont"/>
    <w:uiPriority w:val="99"/>
    <w:unhideWhenUsed/>
    <w:rsid w:val="00FA3C70"/>
    <w:rPr>
      <w:color w:val="0000FF" w:themeColor="hyperlink"/>
      <w:u w:val="single"/>
    </w:rPr>
  </w:style>
  <w:style w:type="table" w:customStyle="1" w:styleId="TableGrid2">
    <w:name w:val="Table Grid2"/>
    <w:basedOn w:val="TableNormal"/>
    <w:next w:val="TableGrid"/>
    <w:uiPriority w:val="59"/>
    <w:rsid w:val="00FA3C7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91315D"/>
    <w:rPr>
      <w:sz w:val="20"/>
    </w:rPr>
  </w:style>
  <w:style w:type="character" w:customStyle="1" w:styleId="CommentTextChar">
    <w:name w:val="Comment Text Char"/>
    <w:basedOn w:val="DefaultParagraphFont"/>
    <w:link w:val="CommentText"/>
    <w:uiPriority w:val="99"/>
    <w:rsid w:val="0091315D"/>
  </w:style>
  <w:style w:type="character" w:customStyle="1" w:styleId="CommentSubjectChar">
    <w:name w:val="Comment Subject Char"/>
    <w:basedOn w:val="CommentTextChar"/>
    <w:link w:val="CommentSubject"/>
    <w:uiPriority w:val="99"/>
    <w:semiHidden/>
    <w:rsid w:val="0091315D"/>
    <w:rPr>
      <w:b/>
      <w:bCs/>
    </w:rPr>
  </w:style>
  <w:style w:type="paragraph" w:styleId="CommentSubject">
    <w:name w:val="annotation subject"/>
    <w:basedOn w:val="CommentText"/>
    <w:next w:val="CommentText"/>
    <w:link w:val="CommentSubjectChar"/>
    <w:uiPriority w:val="99"/>
    <w:semiHidden/>
    <w:unhideWhenUsed/>
    <w:rsid w:val="0091315D"/>
    <w:rPr>
      <w:b/>
      <w:bCs/>
    </w:rPr>
  </w:style>
  <w:style w:type="character" w:styleId="Emphasis">
    <w:name w:val="Emphasis"/>
    <w:basedOn w:val="DefaultParagraphFont"/>
    <w:uiPriority w:val="20"/>
    <w:qFormat/>
    <w:rsid w:val="0091315D"/>
    <w:rPr>
      <w:i/>
      <w:iCs/>
    </w:rPr>
  </w:style>
  <w:style w:type="character" w:customStyle="1" w:styleId="ParaNoNdepar-AltNChar">
    <w:name w:val="Para. No. / Nº de par. - Alt N Char"/>
    <w:basedOn w:val="DefaultParagraphFont"/>
    <w:link w:val="ParaNoNdepar-AltN"/>
    <w:rsid w:val="00BE5944"/>
    <w:rPr>
      <w:rFonts w:eastAsiaTheme="minorEastAsia" w:cstheme="minorBidi"/>
      <w:sz w:val="24"/>
      <w:szCs w:val="22"/>
      <w:lang w:eastAsia="en-US"/>
    </w:rPr>
  </w:style>
  <w:style w:type="character" w:customStyle="1" w:styleId="JudgeJugeChar">
    <w:name w:val="Judge / Juge Char"/>
    <w:basedOn w:val="DefaultParagraphFont"/>
    <w:link w:val="JudgeJuge"/>
    <w:uiPriority w:val="3"/>
    <w:rsid w:val="00BE5944"/>
    <w:rPr>
      <w:smallCaps/>
      <w:sz w:val="24"/>
      <w:szCs w:val="24"/>
    </w:rPr>
  </w:style>
  <w:style w:type="table" w:customStyle="1" w:styleId="TableGrid3">
    <w:name w:val="Table Grid3"/>
    <w:basedOn w:val="TableNormal"/>
    <w:next w:val="TableGrid"/>
    <w:uiPriority w:val="59"/>
    <w:rsid w:val="00BE5944"/>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FF07EB"/>
    <w:rPr>
      <w:lang w:val="fr-CA"/>
    </w:rPr>
  </w:style>
  <w:style w:type="paragraph" w:customStyle="1" w:styleId="SCCLsocPrefix">
    <w:name w:val="SCC.Lsoc.Prefix"/>
    <w:basedOn w:val="Normal"/>
    <w:next w:val="Normal"/>
    <w:link w:val="SCCLsocPrefixChar"/>
    <w:rsid w:val="00FF07EB"/>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FF07EB"/>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857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19347</Words>
  <Characters>110279</Characters>
  <Application>Microsoft Office Word</Application>
  <DocSecurity>0</DocSecurity>
  <Lines>918</Lines>
  <Paragraphs>258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2016-12-06T14:13:00Z</dcterms:created>
  <dcterms:modified xsi:type="dcterms:W3CDTF">2017-03-09T14:28:00Z</dcterms:modified>
</cp:coreProperties>
</file>