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D4" w:rsidRDefault="008820D4" w:rsidP="008820D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5.15pt" o:ole="">
            <v:imagedata r:id="rId6" o:title=""/>
          </v:shape>
          <o:OLEObject Type="Embed" ProgID="Presentations.Drawing.13" ShapeID="_x0000_i1025" DrawAspect="Content" ObjectID="_1736099204" r:id="rId7"/>
        </w:object>
      </w:r>
      <w:r>
        <w:t xml:space="preserve"> </w:t>
      </w:r>
      <w:r>
        <w:ptab w:relativeTo="margin" w:alignment="right" w:leader="none"/>
      </w:r>
    </w:p>
    <w:p w:rsidR="008820D4" w:rsidRDefault="008820D4" w:rsidP="008820D4">
      <w:pPr>
        <w:pStyle w:val="Header"/>
      </w:pPr>
    </w:p>
    <w:p w:rsidR="008820D4" w:rsidRPr="001E12E2" w:rsidRDefault="008820D4" w:rsidP="008820D4">
      <w:pPr>
        <w:jc w:val="center"/>
        <w:rPr>
          <w:b/>
        </w:rPr>
      </w:pPr>
      <w:r w:rsidRPr="001E12E2">
        <w:rPr>
          <w:b/>
        </w:rPr>
        <w:t>COUR SUPRÊME DU CANADA</w:t>
      </w:r>
    </w:p>
    <w:p w:rsidR="008820D4" w:rsidRDefault="008820D4" w:rsidP="008820D4"/>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230"/>
      </w:tblGrid>
      <w:tr w:rsidR="008820D4" w:rsidRPr="001E12E2" w:rsidTr="001149D9">
        <w:trPr>
          <w:cantSplit/>
        </w:trPr>
        <w:tc>
          <w:tcPr>
            <w:tcW w:w="5220" w:type="dxa"/>
          </w:tcPr>
          <w:p w:rsidR="008820D4" w:rsidRPr="008820D4" w:rsidRDefault="008820D4" w:rsidP="001149D9">
            <w:pPr>
              <w:ind w:left="-58"/>
              <w:rPr>
                <w:lang w:val="fr-CA"/>
              </w:rPr>
            </w:pPr>
            <w:r w:rsidRPr="008820D4">
              <w:rPr>
                <w:b/>
                <w:smallCaps/>
                <w:lang w:val="fr-CA"/>
              </w:rPr>
              <w:t>Référence :</w:t>
            </w:r>
            <w:r w:rsidRPr="008820D4">
              <w:rPr>
                <w:lang w:val="fr-CA"/>
              </w:rPr>
              <w:t xml:space="preserve"> R. </w:t>
            </w:r>
            <w:r w:rsidRPr="008820D4">
              <w:rPr>
                <w:i/>
                <w:lang w:val="fr-CA"/>
              </w:rPr>
              <w:t>c</w:t>
            </w:r>
            <w:r w:rsidRPr="008820D4">
              <w:rPr>
                <w:lang w:val="fr-CA"/>
              </w:rPr>
              <w:t>. Doonan</w:t>
            </w:r>
            <w:r w:rsidR="00E85993">
              <w:rPr>
                <w:lang w:val="fr-CA"/>
              </w:rPr>
              <w:t>co, 2020 CSC 2, [2020] 1</w:t>
            </w:r>
            <w:r w:rsidR="0041328A" w:rsidRPr="0041328A">
              <w:rPr>
                <w:lang w:val="fr-CA"/>
              </w:rPr>
              <w:t xml:space="preserve"> R.C.S. </w:t>
            </w:r>
            <w:r w:rsidR="00E85993">
              <w:rPr>
                <w:lang w:val="fr-CA"/>
              </w:rPr>
              <w:t>9</w:t>
            </w:r>
          </w:p>
        </w:tc>
        <w:tc>
          <w:tcPr>
            <w:tcW w:w="4230" w:type="dxa"/>
          </w:tcPr>
          <w:p w:rsidR="008820D4" w:rsidRPr="008820D4" w:rsidRDefault="008820D4" w:rsidP="001149D9">
            <w:pPr>
              <w:rPr>
                <w:lang w:val="fr-CA"/>
              </w:rPr>
            </w:pPr>
            <w:r w:rsidRPr="008820D4">
              <w:rPr>
                <w:b/>
                <w:smallCaps/>
                <w:lang w:val="fr-CA"/>
              </w:rPr>
              <w:t>Appel entendu :</w:t>
            </w:r>
            <w:r w:rsidRPr="008820D4">
              <w:rPr>
                <w:lang w:val="fr-CA"/>
              </w:rPr>
              <w:t xml:space="preserve"> 18 février 2020</w:t>
            </w:r>
          </w:p>
          <w:p w:rsidR="008820D4" w:rsidRPr="008820D4" w:rsidRDefault="008820D4" w:rsidP="001149D9">
            <w:pPr>
              <w:rPr>
                <w:b/>
                <w:smallCaps/>
                <w:lang w:val="fr-CA"/>
              </w:rPr>
            </w:pPr>
            <w:r w:rsidRPr="008820D4">
              <w:rPr>
                <w:b/>
                <w:smallCaps/>
                <w:lang w:val="fr-CA"/>
              </w:rPr>
              <w:t xml:space="preserve">Jugement rendu : </w:t>
            </w:r>
            <w:r w:rsidRPr="008820D4">
              <w:rPr>
                <w:lang w:val="fr-CA"/>
              </w:rPr>
              <w:t>18 février 2020</w:t>
            </w:r>
          </w:p>
          <w:p w:rsidR="008820D4" w:rsidRPr="001E12E2" w:rsidRDefault="008820D4" w:rsidP="001149D9">
            <w:r w:rsidRPr="001E12E2">
              <w:rPr>
                <w:b/>
                <w:smallCaps/>
              </w:rPr>
              <w:t>Do</w:t>
            </w:r>
            <w:r>
              <w:rPr>
                <w:b/>
                <w:smallCaps/>
              </w:rPr>
              <w:t>ssier :</w:t>
            </w:r>
            <w:r w:rsidRPr="001E12E2">
              <w:t xml:space="preserve"> </w:t>
            </w:r>
            <w:r>
              <w:t>38577</w:t>
            </w:r>
          </w:p>
        </w:tc>
      </w:tr>
    </w:tbl>
    <w:p w:rsidR="008820D4" w:rsidRPr="001E12E2" w:rsidRDefault="008820D4" w:rsidP="008820D4"/>
    <w:p w:rsidR="008820D4" w:rsidRDefault="008820D4" w:rsidP="008820D4">
      <w:pPr>
        <w:pStyle w:val="SCCLsocPrefix"/>
      </w:pPr>
      <w:r>
        <w:t>Entre :</w:t>
      </w:r>
    </w:p>
    <w:p w:rsidR="008820D4" w:rsidRDefault="008820D4" w:rsidP="008820D4"/>
    <w:p w:rsidR="008820D4" w:rsidRPr="001D745E" w:rsidRDefault="008820D4" w:rsidP="008820D4"/>
    <w:p w:rsidR="008820D4" w:rsidRDefault="008820D4" w:rsidP="008820D4">
      <w:pPr>
        <w:pStyle w:val="SCCLsocParty"/>
        <w:jc w:val="center"/>
      </w:pPr>
      <w:r>
        <w:t>Deborah Lee Doonanco</w:t>
      </w:r>
    </w:p>
    <w:p w:rsidR="008820D4" w:rsidRDefault="008820D4" w:rsidP="008820D4">
      <w:pPr>
        <w:jc w:val="center"/>
      </w:pPr>
      <w:r>
        <w:t>Appelante</w:t>
      </w:r>
    </w:p>
    <w:p w:rsidR="008820D4" w:rsidRPr="001D745E" w:rsidRDefault="008820D4" w:rsidP="008820D4"/>
    <w:p w:rsidR="008820D4" w:rsidRPr="008820D4" w:rsidRDefault="008820D4" w:rsidP="008820D4">
      <w:pPr>
        <w:pStyle w:val="SCCLsocVersus"/>
        <w:spacing w:after="0"/>
        <w:jc w:val="center"/>
        <w:rPr>
          <w:i w:val="0"/>
        </w:rPr>
      </w:pPr>
      <w:r w:rsidRPr="008820D4">
        <w:rPr>
          <w:i w:val="0"/>
        </w:rPr>
        <w:t>et</w:t>
      </w:r>
    </w:p>
    <w:p w:rsidR="008820D4" w:rsidRPr="001D745E" w:rsidRDefault="008820D4" w:rsidP="008820D4"/>
    <w:p w:rsidR="008820D4" w:rsidRDefault="008820D4" w:rsidP="008820D4">
      <w:pPr>
        <w:pStyle w:val="SCCLsocParty"/>
        <w:jc w:val="center"/>
      </w:pPr>
      <w:r>
        <w:t>Sa Majesté la Reine</w:t>
      </w:r>
    </w:p>
    <w:p w:rsidR="008820D4" w:rsidRDefault="008820D4" w:rsidP="008820D4">
      <w:pPr>
        <w:jc w:val="center"/>
      </w:pPr>
      <w:r>
        <w:t>Intimée</w:t>
      </w:r>
    </w:p>
    <w:p w:rsidR="008820D4" w:rsidRDefault="008820D4" w:rsidP="008820D4"/>
    <w:p w:rsidR="008820D4" w:rsidRPr="00F666CF" w:rsidRDefault="008820D4" w:rsidP="008820D4"/>
    <w:p w:rsidR="008820D4" w:rsidRPr="008820D4" w:rsidRDefault="008820D4" w:rsidP="008820D4">
      <w:pPr>
        <w:jc w:val="center"/>
        <w:rPr>
          <w:b/>
          <w:smallCaps/>
          <w:lang w:val="fr-CA"/>
        </w:rPr>
      </w:pPr>
      <w:r w:rsidRPr="008820D4">
        <w:rPr>
          <w:b/>
          <w:smallCaps/>
          <w:lang w:val="fr-CA"/>
        </w:rPr>
        <w:t>Traduction française officielle</w:t>
      </w:r>
    </w:p>
    <w:p w:rsidR="008820D4" w:rsidRPr="008820D4" w:rsidRDefault="008820D4" w:rsidP="008820D4">
      <w:pPr>
        <w:rPr>
          <w:lang w:val="fr-CA"/>
        </w:rPr>
      </w:pPr>
    </w:p>
    <w:p w:rsidR="008820D4" w:rsidRPr="008820D4" w:rsidRDefault="008820D4" w:rsidP="008820D4">
      <w:pPr>
        <w:rPr>
          <w:lang w:val="fr-CA"/>
        </w:rPr>
      </w:pPr>
      <w:r w:rsidRPr="008820D4">
        <w:rPr>
          <w:b/>
          <w:smallCaps/>
          <w:lang w:val="fr-CA"/>
        </w:rPr>
        <w:t>Coram :</w:t>
      </w:r>
      <w:r w:rsidRPr="008820D4">
        <w:rPr>
          <w:lang w:val="fr-CA"/>
        </w:rPr>
        <w:t xml:space="preserve"> Le juge en chef Wagner et les juges Abella, Moldaver, Karakatsanis, Côté, Brown, Rowe, Martin et Kasirer</w:t>
      </w:r>
    </w:p>
    <w:p w:rsidR="008820D4" w:rsidRPr="008820D4" w:rsidRDefault="008820D4" w:rsidP="008820D4">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820D4" w:rsidRPr="001E12E2" w:rsidTr="001149D9">
        <w:trPr>
          <w:cantSplit/>
        </w:trPr>
        <w:tc>
          <w:tcPr>
            <w:tcW w:w="3618" w:type="dxa"/>
          </w:tcPr>
          <w:p w:rsidR="008820D4" w:rsidRPr="008820D4" w:rsidRDefault="008820D4" w:rsidP="001149D9">
            <w:pPr>
              <w:ind w:left="-58"/>
              <w:rPr>
                <w:lang w:val="fr-CA"/>
              </w:rPr>
            </w:pPr>
            <w:r w:rsidRPr="008820D4">
              <w:rPr>
                <w:b/>
                <w:smallCaps/>
                <w:lang w:val="fr-CA"/>
              </w:rPr>
              <w:t>Jugement unanime lu par:</w:t>
            </w:r>
          </w:p>
          <w:p w:rsidR="008820D4" w:rsidRPr="008820D4" w:rsidRDefault="008820D4" w:rsidP="001149D9">
            <w:pPr>
              <w:ind w:left="-58"/>
              <w:rPr>
                <w:lang w:val="fr-CA"/>
              </w:rPr>
            </w:pPr>
            <w:r w:rsidRPr="008820D4">
              <w:rPr>
                <w:lang w:val="fr-CA"/>
              </w:rPr>
              <w:t>(par. 1 à 5)</w:t>
            </w:r>
          </w:p>
          <w:p w:rsidR="008820D4" w:rsidRPr="008820D4" w:rsidRDefault="008820D4" w:rsidP="001149D9">
            <w:pPr>
              <w:ind w:left="-58"/>
              <w:rPr>
                <w:lang w:val="fr-CA"/>
              </w:rPr>
            </w:pPr>
          </w:p>
        </w:tc>
        <w:tc>
          <w:tcPr>
            <w:tcW w:w="5958" w:type="dxa"/>
          </w:tcPr>
          <w:p w:rsidR="008820D4" w:rsidRDefault="008820D4" w:rsidP="001149D9">
            <w:r>
              <w:t xml:space="preserve">Le juge </w:t>
            </w:r>
            <w:r w:rsidRPr="00F666CF">
              <w:t>Moldaver</w:t>
            </w:r>
            <w:r>
              <w:t xml:space="preserve"> </w:t>
            </w:r>
          </w:p>
          <w:p w:rsidR="008820D4" w:rsidRPr="001E12E2" w:rsidRDefault="008820D4" w:rsidP="001149D9"/>
        </w:tc>
      </w:tr>
    </w:tbl>
    <w:p w:rsidR="008820D4" w:rsidRDefault="008820D4" w:rsidP="008820D4"/>
    <w:p w:rsidR="008820D4" w:rsidRPr="008820D4" w:rsidRDefault="008820D4" w:rsidP="008820D4">
      <w:pPr>
        <w:rPr>
          <w:lang w:val="fr-CA"/>
        </w:rPr>
      </w:pPr>
      <w:r>
        <w:rPr>
          <w:noProof/>
        </w:rPr>
        <mc:AlternateContent>
          <mc:Choice Requires="wps">
            <w:drawing>
              <wp:anchor distT="0" distB="0" distL="114300" distR="114300" simplePos="0" relativeHeight="251659264" behindDoc="0" locked="0" layoutInCell="1" allowOverlap="1" wp14:anchorId="70AC5FD4" wp14:editId="1FE52AE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9FC8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820D4" w:rsidRPr="00F004E3" w:rsidRDefault="008820D4" w:rsidP="000A7801">
      <w:pPr>
        <w:spacing w:after="720"/>
        <w:jc w:val="both"/>
        <w:rPr>
          <w:rStyle w:val="SCCAppellantForRunningHeadChar"/>
          <w:lang w:val="fr-CA"/>
        </w:rPr>
      </w:pPr>
      <w:bookmarkStart w:id="0" w:name="_GoBack"/>
      <w:bookmarkEnd w:id="0"/>
      <w:r w:rsidRPr="00F004E3">
        <w:rPr>
          <w:rStyle w:val="SCCAppellantForRunningHeadChar"/>
          <w:lang w:val="fr-CA"/>
        </w:rPr>
        <w:br w:type="page"/>
      </w:r>
    </w:p>
    <w:p w:rsidR="000A7801" w:rsidRPr="004F57A0" w:rsidRDefault="000A7801" w:rsidP="000A7801">
      <w:pPr>
        <w:pStyle w:val="SCCLsocLastPartyInRole"/>
        <w:rPr>
          <w:lang w:val="en-US"/>
        </w:rPr>
      </w:pPr>
      <w:r w:rsidRPr="004F57A0">
        <w:rPr>
          <w:lang w:val="en-US"/>
        </w:rPr>
        <w:lastRenderedPageBreak/>
        <w:t>Deborah Lee Doonanco</w:t>
      </w:r>
      <w:r w:rsidRPr="004F57A0">
        <w:rPr>
          <w:rStyle w:val="SCCLsocPartyRole"/>
          <w:lang w:val="en-US"/>
        </w:rPr>
        <w:tab/>
        <w:t>Appelant</w:t>
      </w:r>
      <w:r>
        <w:rPr>
          <w:rStyle w:val="SCCLsocPartyRole"/>
          <w:lang w:val="en-US"/>
        </w:rPr>
        <w:t>e</w:t>
      </w:r>
    </w:p>
    <w:p w:rsidR="000A7801" w:rsidRPr="00F004E3" w:rsidRDefault="000A7801" w:rsidP="000A7801">
      <w:pPr>
        <w:pStyle w:val="SCCLsocVersus"/>
        <w:rPr>
          <w:lang w:val="en-US"/>
        </w:rPr>
      </w:pPr>
      <w:r w:rsidRPr="00F004E3">
        <w:rPr>
          <w:lang w:val="en-US"/>
        </w:rPr>
        <w:t>c.</w:t>
      </w:r>
    </w:p>
    <w:p w:rsidR="000A7801" w:rsidRPr="00DF76CB" w:rsidRDefault="000A7801" w:rsidP="000A7801">
      <w:pPr>
        <w:pStyle w:val="SCCLsocLastPartyInRole"/>
        <w:rPr>
          <w:lang w:val="fr-CA"/>
        </w:rPr>
      </w:pPr>
      <w:r w:rsidRPr="00DF76CB">
        <w:rPr>
          <w:lang w:val="fr-CA"/>
        </w:rPr>
        <w:t>Sa Majesté la Reine</w:t>
      </w:r>
      <w:r>
        <w:rPr>
          <w:rStyle w:val="SCCLsocPartyRole"/>
          <w:lang w:val="fr-CA"/>
        </w:rPr>
        <w:tab/>
        <w:t>Intimée</w:t>
      </w:r>
    </w:p>
    <w:p w:rsidR="000A7801" w:rsidRPr="00DF76CB" w:rsidRDefault="000A7801" w:rsidP="000A7801">
      <w:pPr>
        <w:spacing w:after="720"/>
        <w:jc w:val="both"/>
        <w:rPr>
          <w:b/>
          <w:lang w:val="fr-CA"/>
        </w:rPr>
      </w:pPr>
      <w:r>
        <w:rPr>
          <w:b/>
          <w:lang w:val="fr-CA"/>
        </w:rPr>
        <w:t xml:space="preserve">Répertorié : R. </w:t>
      </w:r>
      <w:r>
        <w:rPr>
          <w:b/>
          <w:i/>
          <w:lang w:val="fr-CA"/>
        </w:rPr>
        <w:t xml:space="preserve">c. </w:t>
      </w:r>
      <w:r>
        <w:rPr>
          <w:rStyle w:val="SCCAppellantForIndexChar"/>
          <w:lang w:val="fr-CA"/>
        </w:rPr>
        <w:t>Doonanco</w:t>
      </w:r>
    </w:p>
    <w:p w:rsidR="000A7801" w:rsidRPr="00DF76CB" w:rsidRDefault="000A7801" w:rsidP="000A7801">
      <w:pPr>
        <w:pStyle w:val="SCCSystemYear"/>
        <w:spacing w:after="720"/>
        <w:jc w:val="both"/>
        <w:rPr>
          <w:lang w:val="fr-CA"/>
        </w:rPr>
      </w:pPr>
      <w:r w:rsidRPr="00DF76CB">
        <w:rPr>
          <w:lang w:val="fr-CA"/>
        </w:rPr>
        <w:t xml:space="preserve">2020 </w:t>
      </w:r>
      <w:r w:rsidRPr="004E1462">
        <w:rPr>
          <w:lang w:val="fr-CA"/>
        </w:rPr>
        <w:t>CSC 2</w:t>
      </w:r>
    </w:p>
    <w:p w:rsidR="000A7801" w:rsidRPr="00DF76CB" w:rsidRDefault="000A7801" w:rsidP="000A7801">
      <w:pPr>
        <w:spacing w:after="720"/>
        <w:jc w:val="both"/>
        <w:rPr>
          <w:lang w:val="fr-CA"/>
        </w:rPr>
      </w:pPr>
      <w:r w:rsidRPr="00DF76CB">
        <w:rPr>
          <w:lang w:val="fr-CA"/>
        </w:rPr>
        <w:t>N</w:t>
      </w:r>
      <w:r w:rsidRPr="00DF76CB">
        <w:rPr>
          <w:vertAlign w:val="superscript"/>
          <w:lang w:val="fr-CA"/>
        </w:rPr>
        <w:t>o</w:t>
      </w:r>
      <w:r>
        <w:rPr>
          <w:lang w:val="fr-CA"/>
        </w:rPr>
        <w:t xml:space="preserve"> du greffe : 38577.</w:t>
      </w:r>
    </w:p>
    <w:p w:rsidR="000A7801" w:rsidRPr="00DF76CB" w:rsidRDefault="000A7801" w:rsidP="000A7801">
      <w:pPr>
        <w:spacing w:after="720"/>
        <w:jc w:val="both"/>
        <w:rPr>
          <w:lang w:val="fr-CA"/>
        </w:rPr>
      </w:pPr>
      <w:r>
        <w:rPr>
          <w:lang w:val="fr-CA"/>
        </w:rPr>
        <w:t>2020 : 18 février.</w:t>
      </w:r>
    </w:p>
    <w:p w:rsidR="000A7801" w:rsidRPr="00DF76CB" w:rsidRDefault="000A7801" w:rsidP="000A7801">
      <w:pPr>
        <w:spacing w:after="720"/>
        <w:jc w:val="both"/>
        <w:rPr>
          <w:smallCaps/>
          <w:lang w:val="fr-CA"/>
        </w:rPr>
      </w:pPr>
      <w:r w:rsidRPr="00DF76CB">
        <w:rPr>
          <w:lang w:val="fr-CA"/>
        </w:rPr>
        <w:t>Présents : Le juge en chef Wagner et les juges Abella, Moldaver, Karakatsanis, Côté, Brown, Rowe, Martin et Kasirer.</w:t>
      </w:r>
    </w:p>
    <w:p w:rsidR="000A7801" w:rsidRPr="00DF76CB" w:rsidRDefault="000A7801" w:rsidP="000A7801">
      <w:pPr>
        <w:pStyle w:val="SCCLowerCourtNameLowercase"/>
        <w:spacing w:after="720" w:line="240" w:lineRule="auto"/>
        <w:rPr>
          <w:smallCaps w:val="0"/>
          <w:lang w:val="fr-CA"/>
        </w:rPr>
      </w:pPr>
      <w:r w:rsidRPr="00DF76CB">
        <w:rPr>
          <w:lang w:val="fr-CA"/>
        </w:rPr>
        <w:t>en appel de la cour d’</w:t>
      </w:r>
      <w:r>
        <w:rPr>
          <w:lang w:val="fr-CA"/>
        </w:rPr>
        <w:t>appel de l’</w:t>
      </w:r>
      <w:r w:rsidRPr="0021283C">
        <w:rPr>
          <w:lang w:val="fr-CA"/>
        </w:rPr>
        <w:t>a</w:t>
      </w:r>
      <w:r>
        <w:rPr>
          <w:lang w:val="fr-CA"/>
        </w:rPr>
        <w:t>lberta</w:t>
      </w:r>
    </w:p>
    <w:p w:rsidR="000A7801" w:rsidRPr="00913EAA" w:rsidRDefault="000A7801" w:rsidP="000A7801">
      <w:pPr>
        <w:pStyle w:val="SCCNormalDoubleSpacing"/>
        <w:spacing w:after="480"/>
        <w:rPr>
          <w:i/>
          <w:lang w:val="fr-CA"/>
        </w:rPr>
      </w:pPr>
      <w:r w:rsidRPr="00BB4C92">
        <w:rPr>
          <w:lang w:val="fr-CA"/>
        </w:rPr>
        <w:tab/>
      </w:r>
      <w:r w:rsidRPr="00913EAA">
        <w:rPr>
          <w:i/>
          <w:lang w:val="fr-CA"/>
        </w:rPr>
        <w:t xml:space="preserve">Droit criminel — Preuve — Preuve d’expert — Communication de la preuve — Demande de la Couronne sollicitant l’autorisation de soumettre une contre-preuve d’expert au procès mais défaut de celle-ci de communiquer le rapport d’expertise avant la présentation du témoignage de l’experte de la défense — </w:t>
      </w:r>
      <w:r>
        <w:rPr>
          <w:i/>
          <w:lang w:val="fr-CA"/>
        </w:rPr>
        <w:t>Témoignage de l’e</w:t>
      </w:r>
      <w:r w:rsidRPr="00913EAA">
        <w:rPr>
          <w:i/>
          <w:lang w:val="fr-CA"/>
        </w:rPr>
        <w:t xml:space="preserve">xpert de la Couronne autorisé mais étendue </w:t>
      </w:r>
      <w:r>
        <w:rPr>
          <w:i/>
          <w:lang w:val="fr-CA"/>
        </w:rPr>
        <w:t>du</w:t>
      </w:r>
      <w:r w:rsidRPr="00913EAA">
        <w:rPr>
          <w:i/>
          <w:lang w:val="fr-CA"/>
        </w:rPr>
        <w:t xml:space="preserve"> témoignage</w:t>
      </w:r>
      <w:r>
        <w:rPr>
          <w:i/>
          <w:lang w:val="fr-CA"/>
        </w:rPr>
        <w:t xml:space="preserve"> limitée</w:t>
      </w:r>
      <w:r w:rsidRPr="00913EAA">
        <w:rPr>
          <w:i/>
          <w:lang w:val="fr-CA"/>
        </w:rPr>
        <w:t xml:space="preserve"> — Accusé</w:t>
      </w:r>
      <w:r>
        <w:rPr>
          <w:i/>
          <w:lang w:val="fr-CA"/>
        </w:rPr>
        <w:t>e</w:t>
      </w:r>
      <w:r w:rsidRPr="00913EAA">
        <w:rPr>
          <w:i/>
          <w:lang w:val="fr-CA"/>
        </w:rPr>
        <w:t xml:space="preserve"> déclaré</w:t>
      </w:r>
      <w:r>
        <w:rPr>
          <w:i/>
          <w:lang w:val="fr-CA"/>
        </w:rPr>
        <w:t>e</w:t>
      </w:r>
      <w:r w:rsidRPr="00913EAA">
        <w:rPr>
          <w:i/>
          <w:lang w:val="fr-CA"/>
        </w:rPr>
        <w:t xml:space="preserve"> coupable </w:t>
      </w:r>
      <w:r>
        <w:rPr>
          <w:i/>
          <w:lang w:val="fr-CA"/>
        </w:rPr>
        <w:t xml:space="preserve">par un jury </w:t>
      </w:r>
      <w:r w:rsidRPr="00913EAA">
        <w:rPr>
          <w:i/>
          <w:lang w:val="fr-CA"/>
        </w:rPr>
        <w:t xml:space="preserve">de meurtre au deuxième degré, d’indécence envers des restes humains et d’incendie criminel — Déclarations de culpabilité confirmées par la Cour d’appel — Capacité de l’accusée de connaître la preuve à charge et de </w:t>
      </w:r>
      <w:r w:rsidRPr="00913EAA">
        <w:rPr>
          <w:i/>
          <w:lang w:val="fr-CA"/>
        </w:rPr>
        <w:lastRenderedPageBreak/>
        <w:t>présenter une défense pleine et entière entravée par la communication tardive du rapport d’expert par la Couronne et par le défaut de celle-ci de contre-interroger l’experte de la défense au sujet du contenu du rapport — Décision réparatrice de la juge du procès ne permettant pas de compenser le préjudice causé — Nouveau procès ordonné.</w:t>
      </w:r>
    </w:p>
    <w:p w:rsidR="000A7801" w:rsidRPr="004D7D95" w:rsidRDefault="000A7801" w:rsidP="000A7801">
      <w:pPr>
        <w:pStyle w:val="SCCNormalDoubleSpacing"/>
        <w:spacing w:after="720" w:line="240" w:lineRule="auto"/>
        <w:rPr>
          <w:lang w:val="fr-CA"/>
        </w:rPr>
      </w:pPr>
      <w:r w:rsidRPr="004D7D95">
        <w:rPr>
          <w:b/>
          <w:lang w:val="fr-CA"/>
        </w:rPr>
        <w:t>Lois et règlements cités</w:t>
      </w:r>
    </w:p>
    <w:p w:rsidR="000A7801" w:rsidRPr="004D7D95" w:rsidRDefault="000A7801" w:rsidP="000A7801">
      <w:pPr>
        <w:pStyle w:val="SCCNormalDoubleSpacing"/>
        <w:spacing w:after="720" w:line="240" w:lineRule="auto"/>
        <w:ind w:left="547" w:hanging="547"/>
        <w:rPr>
          <w:lang w:val="fr-CA"/>
        </w:rPr>
      </w:pPr>
      <w:r w:rsidRPr="004F57A0">
        <w:rPr>
          <w:i/>
          <w:iCs/>
          <w:lang w:val="fr-CA"/>
        </w:rPr>
        <w:t>Code criminel</w:t>
      </w:r>
      <w:r w:rsidRPr="004F57A0">
        <w:rPr>
          <w:lang w:val="fr-CA"/>
        </w:rPr>
        <w:t>, L.R.C. 1985, c. C-46, a</w:t>
      </w:r>
      <w:r>
        <w:rPr>
          <w:lang w:val="fr-CA"/>
        </w:rPr>
        <w:t>rt</w:t>
      </w:r>
      <w:r w:rsidRPr="004F57A0">
        <w:rPr>
          <w:lang w:val="fr-CA"/>
        </w:rPr>
        <w:t>. 686</w:t>
      </w:r>
      <w:r>
        <w:rPr>
          <w:lang w:val="fr-CA"/>
        </w:rPr>
        <w:t>(1)a</w:t>
      </w:r>
      <w:r w:rsidRPr="004F57A0">
        <w:rPr>
          <w:lang w:val="fr-CA"/>
        </w:rPr>
        <w:t>)</w:t>
      </w:r>
      <w:r>
        <w:rPr>
          <w:lang w:val="fr-CA"/>
        </w:rPr>
        <w:t>(iii)</w:t>
      </w:r>
      <w:r w:rsidRPr="004F57A0">
        <w:rPr>
          <w:lang w:val="fr-CA"/>
        </w:rPr>
        <w:t>.</w:t>
      </w:r>
    </w:p>
    <w:p w:rsidR="000A7801" w:rsidRPr="004D7D95" w:rsidRDefault="000A7801" w:rsidP="000A7801">
      <w:pPr>
        <w:pStyle w:val="SCCNormalDoubleSpacing"/>
        <w:spacing w:after="480"/>
        <w:rPr>
          <w:lang w:val="fr-CA"/>
        </w:rPr>
      </w:pPr>
      <w:r w:rsidRPr="004D7D95">
        <w:rPr>
          <w:lang w:val="fr-CA"/>
        </w:rPr>
        <w:tab/>
        <w:t xml:space="preserve">POURVOI contre un arrêt de la </w:t>
      </w:r>
      <w:r w:rsidRPr="00DF76CB">
        <w:rPr>
          <w:lang w:val="fr-CA"/>
        </w:rPr>
        <w:t>Cour d</w:t>
      </w:r>
      <w:r>
        <w:rPr>
          <w:lang w:val="fr-CA"/>
        </w:rPr>
        <w:t>’appel de l’Alberta</w:t>
      </w:r>
      <w:r w:rsidRPr="00DF76CB">
        <w:rPr>
          <w:lang w:val="fr-CA"/>
        </w:rPr>
        <w:t xml:space="preserve"> </w:t>
      </w:r>
      <w:r w:rsidRPr="00D2339B">
        <w:rPr>
          <w:lang w:val="fr-CA"/>
        </w:rPr>
        <w:t>(</w:t>
      </w:r>
      <w:r>
        <w:rPr>
          <w:lang w:val="fr-CA"/>
        </w:rPr>
        <w:t xml:space="preserve">les juges Watson, Bielby et Wakeling), 2019 ABCA 118, 432 C.R.R. (2d) 270, [2019] 7 W.W.R. 430, 373 C.C.C. (3d) 275, 87 Alta. L.R. (6th) 221, [2019] A.J. No. 395 (QL), 2019 CarswellAlta 619 (WL Can.), qui a confirmé les déclarations de culpabilité pour meurtre au deuxième degré, indécence envers des restes humains et incendie criminel prononcées contre l’accusée. Pourvoi accueilli. </w:t>
      </w:r>
    </w:p>
    <w:p w:rsidR="000A7801" w:rsidRPr="00DF76CB" w:rsidRDefault="000A7801" w:rsidP="000A7801">
      <w:pPr>
        <w:pStyle w:val="SCCNormalDoubleSpacing"/>
        <w:spacing w:after="480"/>
        <w:rPr>
          <w:lang w:val="fr-CA"/>
        </w:rPr>
      </w:pPr>
      <w:r>
        <w:rPr>
          <w:rStyle w:val="SCCCounselNameChar"/>
          <w:lang w:val="fr-CA"/>
        </w:rPr>
        <w:tab/>
        <w:t>Brian A. Beresh</w:t>
      </w:r>
      <w:r w:rsidRPr="0047362A">
        <w:rPr>
          <w:rStyle w:val="SCCCounselNameChar"/>
          <w:i w:val="0"/>
          <w:lang w:val="fr-CA"/>
        </w:rPr>
        <w:t>,</w:t>
      </w:r>
      <w:r>
        <w:rPr>
          <w:rStyle w:val="SCCCounselNameChar"/>
          <w:lang w:val="fr-CA"/>
        </w:rPr>
        <w:t xml:space="preserve"> c.r.</w:t>
      </w:r>
      <w:r w:rsidRPr="00DF76CB">
        <w:rPr>
          <w:rStyle w:val="SCCCounselPartyRoleChar"/>
          <w:lang w:val="fr-CA"/>
        </w:rPr>
        <w:t>, pour l</w:t>
      </w:r>
      <w:r>
        <w:rPr>
          <w:rStyle w:val="SCCCounselPartyRoleChar"/>
          <w:lang w:val="fr-CA"/>
        </w:rPr>
        <w:t>’appelante</w:t>
      </w:r>
      <w:r w:rsidRPr="00DF76CB">
        <w:rPr>
          <w:rStyle w:val="SCCCounselPartyRoleChar"/>
          <w:lang w:val="fr-CA"/>
        </w:rPr>
        <w:t>.</w:t>
      </w:r>
    </w:p>
    <w:p w:rsidR="000A7801" w:rsidRDefault="000A7801" w:rsidP="000A7801">
      <w:pPr>
        <w:pStyle w:val="SCCNormalDoubleSpacing"/>
        <w:spacing w:after="480"/>
        <w:rPr>
          <w:rStyle w:val="SCCCounselPartyRoleChar"/>
          <w:lang w:val="fr-CA"/>
        </w:rPr>
      </w:pPr>
      <w:r w:rsidRPr="00DF76CB">
        <w:rPr>
          <w:rStyle w:val="SCCCounselNameChar"/>
          <w:lang w:val="fr-CA"/>
        </w:rPr>
        <w:tab/>
      </w:r>
      <w:r w:rsidRPr="004F57A0">
        <w:rPr>
          <w:rStyle w:val="SCCCounselNameChar"/>
          <w:lang w:val="fr-CA"/>
        </w:rPr>
        <w:t xml:space="preserve">Joanne Dartana </w:t>
      </w:r>
      <w:r w:rsidRPr="00454A0C">
        <w:rPr>
          <w:rStyle w:val="SCCCounselNameChar"/>
          <w:i w:val="0"/>
          <w:lang w:val="fr-CA"/>
        </w:rPr>
        <w:t>et</w:t>
      </w:r>
      <w:r w:rsidRPr="004F57A0">
        <w:rPr>
          <w:rStyle w:val="SCCCounselNameChar"/>
          <w:lang w:val="fr-CA"/>
        </w:rPr>
        <w:t xml:space="preserve"> Cheryl A.</w:t>
      </w:r>
      <w:r>
        <w:rPr>
          <w:rStyle w:val="SCCCounselNameChar"/>
          <w:lang w:val="fr-CA"/>
        </w:rPr>
        <w:t xml:space="preserve"> Schlecker</w:t>
      </w:r>
      <w:r w:rsidRPr="00DF76CB">
        <w:rPr>
          <w:rStyle w:val="SCCCounselPartyRoleChar"/>
          <w:lang w:val="fr-CA"/>
        </w:rPr>
        <w:t>, pour l</w:t>
      </w:r>
      <w:r>
        <w:rPr>
          <w:rStyle w:val="SCCCounselPartyRoleChar"/>
          <w:lang w:val="fr-CA"/>
        </w:rPr>
        <w:t>’intimée</w:t>
      </w:r>
      <w:r w:rsidRPr="00DF76CB">
        <w:rPr>
          <w:rStyle w:val="SCCCounselPartyRoleChar"/>
          <w:lang w:val="fr-CA"/>
        </w:rPr>
        <w:t>.</w:t>
      </w:r>
    </w:p>
    <w:p w:rsidR="000A7801" w:rsidRDefault="000A7801" w:rsidP="000A7801">
      <w:pPr>
        <w:pStyle w:val="SCCNormalDoubleSpacing"/>
        <w:widowControl w:val="0"/>
        <w:spacing w:before="480" w:after="480"/>
        <w:rPr>
          <w:rStyle w:val="SCCCounselPartyRoleChar"/>
          <w:lang w:val="fr-CA"/>
        </w:rPr>
      </w:pPr>
      <w:r>
        <w:rPr>
          <w:rStyle w:val="SCCCounselPartyRoleChar"/>
          <w:lang w:val="fr-CA"/>
        </w:rPr>
        <w:tab/>
        <w:t>Version française du jugement de la Cour rendu oralement par</w:t>
      </w:r>
    </w:p>
    <w:p w:rsidR="000A7801" w:rsidRPr="00FB25D0" w:rsidRDefault="000A7801" w:rsidP="000A7801">
      <w:pPr>
        <w:pStyle w:val="ParaNoNdepar-AltN"/>
        <w:tabs>
          <w:tab w:val="clear" w:pos="720"/>
        </w:tabs>
        <w:ind w:left="0" w:firstLine="0"/>
        <w:rPr>
          <w:rFonts w:cs="Times New Roman"/>
          <w:lang w:val="fr-CA"/>
        </w:rPr>
      </w:pPr>
      <w:r w:rsidRPr="0021283C">
        <w:rPr>
          <w:lang w:val="fr-CA"/>
        </w:rPr>
        <w:t>[1]</w:t>
      </w:r>
      <w:r w:rsidRPr="0021283C">
        <w:rPr>
          <w:lang w:val="fr-CA"/>
        </w:rPr>
        <w:tab/>
      </w:r>
      <w:r w:rsidRPr="00B12956">
        <w:rPr>
          <w:smallCaps/>
          <w:lang w:val="fr-CA"/>
        </w:rPr>
        <w:t xml:space="preserve">Le juge Moldaver </w:t>
      </w:r>
      <w:r w:rsidRPr="00A767A5">
        <w:rPr>
          <w:rFonts w:cs="Times New Roman"/>
          <w:lang w:val="fr-CA"/>
        </w:rPr>
        <w:t xml:space="preserve">— Nous sommes </w:t>
      </w:r>
      <w:r w:rsidRPr="00805F09">
        <w:rPr>
          <w:rFonts w:cs="Times New Roman"/>
          <w:lang w:val="fr-CA"/>
        </w:rPr>
        <w:t>toutes et</w:t>
      </w:r>
      <w:r>
        <w:rPr>
          <w:rFonts w:cs="Times New Roman"/>
          <w:lang w:val="fr-CA"/>
        </w:rPr>
        <w:t xml:space="preserve"> </w:t>
      </w:r>
      <w:r w:rsidRPr="00A767A5">
        <w:rPr>
          <w:rFonts w:cs="Times New Roman"/>
          <w:lang w:val="fr-CA"/>
        </w:rPr>
        <w:t>tous d’avis</w:t>
      </w:r>
      <w:r>
        <w:rPr>
          <w:rFonts w:cs="Times New Roman"/>
          <w:lang w:val="fr-CA"/>
        </w:rPr>
        <w:t xml:space="preserve"> que le pourvoi doit être accueilli et qu’un nouveau procès doit être ordonné pour tous les chefs d’accusation. Le fait que la Couronne n’a pas communiqué le rapport </w:t>
      </w:r>
      <w:r w:rsidRPr="007D66AE">
        <w:rPr>
          <w:rFonts w:cs="Times New Roman"/>
          <w:lang w:val="fr-CA"/>
        </w:rPr>
        <w:t>du</w:t>
      </w:r>
      <w:r>
        <w:rPr>
          <w:rFonts w:cs="Times New Roman"/>
          <w:lang w:val="fr-CA"/>
        </w:rPr>
        <w:t xml:space="preserve"> Dr Glancy avant la fin du témoignage de</w:t>
      </w:r>
      <w:r w:rsidRPr="005D7559">
        <w:rPr>
          <w:rFonts w:cs="Times New Roman"/>
          <w:lang w:val="fr-CA"/>
        </w:rPr>
        <w:t xml:space="preserve"> </w:t>
      </w:r>
      <w:r>
        <w:rPr>
          <w:rFonts w:cs="Times New Roman"/>
          <w:lang w:val="fr-CA"/>
        </w:rPr>
        <w:t xml:space="preserve">la </w:t>
      </w:r>
      <w:r w:rsidRPr="00A767A5">
        <w:rPr>
          <w:rFonts w:cs="Times New Roman"/>
          <w:lang w:val="fr-CA"/>
        </w:rPr>
        <w:t>Dre</w:t>
      </w:r>
      <w:r>
        <w:rPr>
          <w:rFonts w:cs="Times New Roman"/>
          <w:lang w:val="fr-CA"/>
        </w:rPr>
        <w:t xml:space="preserve"> Walker, en plus du fait qu’elle n’a pas contre-interrogé la Dre Walker au sujet du contenu de ce </w:t>
      </w:r>
      <w:r>
        <w:rPr>
          <w:rFonts w:cs="Times New Roman"/>
          <w:lang w:val="fr-CA"/>
        </w:rPr>
        <w:lastRenderedPageBreak/>
        <w:t>rapport, a entravé la capacité de Mme Do</w:t>
      </w:r>
      <w:r w:rsidRPr="00805F09">
        <w:rPr>
          <w:rFonts w:cs="Times New Roman"/>
          <w:lang w:val="fr-CA"/>
        </w:rPr>
        <w:t>onanco de connaître la preuve à charge</w:t>
      </w:r>
      <w:r>
        <w:rPr>
          <w:rFonts w:cs="Times New Roman"/>
          <w:lang w:val="fr-CA"/>
        </w:rPr>
        <w:t xml:space="preserve"> et de présenter une défense pleine et entière. Dans cette mesure, nous souscrivons aux motifs de la juge Bielby, dissidente en Cour d’appel.</w:t>
      </w:r>
    </w:p>
    <w:p w:rsidR="000A7801" w:rsidRDefault="000A7801" w:rsidP="000A7801">
      <w:pPr>
        <w:pStyle w:val="ParaNoNdepar-AltN"/>
        <w:tabs>
          <w:tab w:val="clear" w:pos="720"/>
        </w:tabs>
        <w:ind w:left="0" w:firstLine="0"/>
        <w:rPr>
          <w:rFonts w:cs="Times New Roman"/>
          <w:lang w:val="fr-CA"/>
        </w:rPr>
      </w:pPr>
      <w:r w:rsidRPr="0021283C">
        <w:rPr>
          <w:lang w:val="fr-CA"/>
        </w:rPr>
        <w:t>[2]</w:t>
      </w:r>
      <w:r w:rsidRPr="0021283C">
        <w:rPr>
          <w:lang w:val="fr-CA"/>
        </w:rPr>
        <w:tab/>
      </w:r>
      <w:r>
        <w:rPr>
          <w:rFonts w:cs="Times New Roman"/>
          <w:lang w:val="fr-CA"/>
        </w:rPr>
        <w:t>Toutefois, soit dit en tout respect, nous ne sommes pas convaincus, contrairement à la juge Bielby, que la décision réparatrice prononcée par la juge du pro</w:t>
      </w:r>
      <w:r w:rsidRPr="00805F09">
        <w:rPr>
          <w:rFonts w:cs="Times New Roman"/>
          <w:lang w:val="fr-CA"/>
        </w:rPr>
        <w:t>cès pouvait compenser le préjudice causé à Mme Doonanco par la façon dont la Couronne a procédé.</w:t>
      </w:r>
      <w:r>
        <w:rPr>
          <w:rFonts w:cs="Times New Roman"/>
          <w:lang w:val="fr-CA"/>
        </w:rPr>
        <w:t xml:space="preserve"> Dans les circonstances, nous estimons que la seule façon de préserver le droit de Mme Doonanco à un procès équitable était d’empêcher le Dr Glancy de témoigner.</w:t>
      </w:r>
    </w:p>
    <w:p w:rsidR="000A7801" w:rsidRDefault="000A7801" w:rsidP="000A7801">
      <w:pPr>
        <w:pStyle w:val="ParaNoNdepar-AltN"/>
        <w:tabs>
          <w:tab w:val="clear" w:pos="720"/>
        </w:tabs>
        <w:ind w:left="0" w:firstLine="0"/>
        <w:rPr>
          <w:lang w:val="fr-CA"/>
        </w:rPr>
      </w:pPr>
      <w:r w:rsidRPr="0021283C">
        <w:rPr>
          <w:lang w:val="fr-CA"/>
        </w:rPr>
        <w:t>[3]</w:t>
      </w:r>
      <w:r w:rsidRPr="0021283C">
        <w:rPr>
          <w:lang w:val="fr-CA"/>
        </w:rPr>
        <w:tab/>
      </w:r>
      <w:r w:rsidRPr="00F71F63">
        <w:rPr>
          <w:rFonts w:cs="Times New Roman"/>
          <w:lang w:val="fr-CA"/>
        </w:rPr>
        <w:t xml:space="preserve">Le témoignage du Dr Glancy a eu comme effet net de remettre en question la compétence de la Dre Walker et la fiabilité de son témoignage d’expert en montrant qu’elle a omis de prendre en considération, et </w:t>
      </w:r>
      <w:r>
        <w:rPr>
          <w:rFonts w:cs="Times New Roman"/>
          <w:lang w:val="fr-CA"/>
        </w:rPr>
        <w:t>par le fait même</w:t>
      </w:r>
      <w:r w:rsidRPr="00F71F63">
        <w:rPr>
          <w:rFonts w:cs="Times New Roman"/>
          <w:lang w:val="fr-CA"/>
        </w:rPr>
        <w:t xml:space="preserve"> d’expliquer, un certain nombre de facteurs qui, selon le Dr Glancy, étaient atypiques du syndrome de la femme battue </w:t>
      </w:r>
      <w:r w:rsidRPr="00F71F63">
        <w:rPr>
          <w:lang w:val="fr-CA"/>
        </w:rPr>
        <w:t xml:space="preserve">— des facteurs qui ont </w:t>
      </w:r>
      <w:r>
        <w:rPr>
          <w:lang w:val="fr-CA"/>
        </w:rPr>
        <w:t>affaibli</w:t>
      </w:r>
      <w:r w:rsidRPr="00F71F63">
        <w:rPr>
          <w:lang w:val="fr-CA"/>
        </w:rPr>
        <w:t xml:space="preserve"> la conclusion </w:t>
      </w:r>
      <w:r>
        <w:rPr>
          <w:lang w:val="fr-CA"/>
        </w:rPr>
        <w:t>de la Dre Walker selon laquelle Mme Doonanco souffrait de ce syndrome lorsqu’elle a tué son partenaire.</w:t>
      </w:r>
    </w:p>
    <w:p w:rsidR="000A7801" w:rsidRDefault="000A7801" w:rsidP="000A7801">
      <w:pPr>
        <w:pStyle w:val="ParaNoNdepar-AltN"/>
        <w:tabs>
          <w:tab w:val="clear" w:pos="720"/>
        </w:tabs>
        <w:ind w:left="0" w:firstLine="0"/>
        <w:rPr>
          <w:lang w:val="fr-CA"/>
        </w:rPr>
      </w:pPr>
      <w:r w:rsidRPr="0021283C">
        <w:rPr>
          <w:lang w:val="fr-CA"/>
        </w:rPr>
        <w:t>[4]</w:t>
      </w:r>
      <w:r w:rsidRPr="0021283C">
        <w:rPr>
          <w:lang w:val="fr-CA"/>
        </w:rPr>
        <w:tab/>
      </w:r>
      <w:r>
        <w:rPr>
          <w:lang w:val="fr-CA"/>
        </w:rPr>
        <w:t xml:space="preserve">Parce que le rapport du Dr Glancy n’a pas été communiqué à la défense avant la fin du témoignage de la Dre Walker, et parce que la Couronne n’a jamais présenté en contre-interrogatoire à la Dre Walker les facteurs sur lesquels le Dr Glancy s’est fondé pour qualifier le cas de Mme Doonanco d’atypique, la défense n’était pas en mesure de répondre aux critiques du Dr Glancy. Ces éléments ont fait en sorte que le procès de Mme Doonanco était inéquitable, donnant ainsi lieu à une erreur judiciaire (voir </w:t>
      </w:r>
      <w:r w:rsidRPr="00DF6F6F">
        <w:rPr>
          <w:i/>
          <w:lang w:val="fr-CA"/>
        </w:rPr>
        <w:t>Code criminel</w:t>
      </w:r>
      <w:r>
        <w:rPr>
          <w:lang w:val="fr-CA"/>
        </w:rPr>
        <w:t>, L.R.C. 1985, c. C-46, al. 686(1)a)(iii)).</w:t>
      </w:r>
    </w:p>
    <w:p w:rsidR="000A7801" w:rsidRPr="00DF76CB" w:rsidRDefault="000A7801" w:rsidP="000A7801">
      <w:pPr>
        <w:pStyle w:val="ParaNoNdepar-AltN"/>
        <w:tabs>
          <w:tab w:val="clear" w:pos="720"/>
        </w:tabs>
        <w:ind w:left="0" w:firstLine="0"/>
        <w:rPr>
          <w:lang w:val="fr-CA"/>
        </w:rPr>
      </w:pPr>
      <w:r w:rsidRPr="0021283C">
        <w:rPr>
          <w:lang w:val="fr-CA"/>
        </w:rPr>
        <w:lastRenderedPageBreak/>
        <w:t>[5]</w:t>
      </w:r>
      <w:r w:rsidRPr="0021283C">
        <w:rPr>
          <w:lang w:val="fr-CA"/>
        </w:rPr>
        <w:tab/>
      </w:r>
      <w:r>
        <w:rPr>
          <w:lang w:val="fr-CA"/>
        </w:rPr>
        <w:t>Par conséquent, le pourvoi est accueilli, les déclarations de culpabilité sont annulées et un nouveau procès est ordonné pour tous les chefs d’accusation.</w:t>
      </w:r>
    </w:p>
    <w:p w:rsidR="000A7801" w:rsidRPr="00DF76CB" w:rsidRDefault="000A7801" w:rsidP="000A7801">
      <w:pPr>
        <w:pStyle w:val="SCCNormalDoubleSpacing"/>
        <w:spacing w:after="480"/>
        <w:rPr>
          <w:lang w:val="fr-CA"/>
        </w:rPr>
      </w:pPr>
      <w:r w:rsidRPr="00DF76CB">
        <w:rPr>
          <w:lang w:val="fr-CA"/>
        </w:rPr>
        <w:tab/>
      </w:r>
      <w:r>
        <w:rPr>
          <w:i/>
          <w:lang w:val="fr-CA"/>
        </w:rPr>
        <w:t>Jugement en conséquence.</w:t>
      </w:r>
    </w:p>
    <w:p w:rsidR="000A7801" w:rsidRPr="00DF76CB" w:rsidRDefault="000A7801" w:rsidP="000A7801">
      <w:pPr>
        <w:pStyle w:val="SCCLawFirm"/>
        <w:spacing w:after="480"/>
        <w:rPr>
          <w:lang w:val="fr-CA"/>
        </w:rPr>
      </w:pPr>
      <w:r>
        <w:rPr>
          <w:lang w:val="fr-CA"/>
        </w:rPr>
        <w:tab/>
        <w:t>Procureurs</w:t>
      </w:r>
      <w:r w:rsidRPr="00DF76CB">
        <w:rPr>
          <w:lang w:val="fr-CA"/>
        </w:rPr>
        <w:t xml:space="preserve"> de l</w:t>
      </w:r>
      <w:r>
        <w:rPr>
          <w:lang w:val="fr-CA"/>
        </w:rPr>
        <w:t>’appelante : Beresh Law</w:t>
      </w:r>
      <w:r w:rsidRPr="00DF76CB">
        <w:rPr>
          <w:lang w:val="fr-CA"/>
        </w:rPr>
        <w:t xml:space="preserve">, </w:t>
      </w:r>
      <w:r>
        <w:rPr>
          <w:lang w:val="fr-CA"/>
        </w:rPr>
        <w:t>Edmonton</w:t>
      </w:r>
      <w:r w:rsidRPr="00DF76CB">
        <w:rPr>
          <w:lang w:val="fr-CA"/>
        </w:rPr>
        <w:t>.</w:t>
      </w:r>
    </w:p>
    <w:p w:rsidR="000A7801" w:rsidRPr="00454A0C" w:rsidRDefault="000A7801" w:rsidP="000A7801">
      <w:pPr>
        <w:pStyle w:val="SCCLawFirm"/>
        <w:rPr>
          <w:lang w:val="fr-CA"/>
        </w:rPr>
      </w:pPr>
      <w:r w:rsidRPr="00DF76CB">
        <w:rPr>
          <w:lang w:val="fr-CA"/>
        </w:rPr>
        <w:tab/>
      </w:r>
      <w:r w:rsidRPr="004F57A0">
        <w:rPr>
          <w:lang w:val="fr-CA"/>
        </w:rPr>
        <w:t>Procureur d</w:t>
      </w:r>
      <w:r w:rsidRPr="00454A0C">
        <w:rPr>
          <w:lang w:val="fr-CA"/>
        </w:rPr>
        <w:t>e l’intimée :</w:t>
      </w:r>
      <w:r>
        <w:rPr>
          <w:lang w:val="fr-CA"/>
        </w:rPr>
        <w:t xml:space="preserve"> Procureur général de l’Alberta, Edmonton</w:t>
      </w:r>
      <w:r>
        <w:rPr>
          <w:i w:val="0"/>
          <w:lang w:val="fr-CA"/>
        </w:rPr>
        <w:t xml:space="preserve">. </w:t>
      </w:r>
    </w:p>
    <w:p w:rsidR="004D7D95" w:rsidRPr="000A7801" w:rsidRDefault="004D7D95" w:rsidP="000A7801">
      <w:pPr>
        <w:rPr>
          <w:lang w:val="fr-CA"/>
        </w:rPr>
      </w:pPr>
    </w:p>
    <w:sectPr w:rsidR="004D7D95" w:rsidRPr="000A7801" w:rsidSect="00F26BDB">
      <w:pgSz w:w="12240" w:h="15840"/>
      <w:pgMar w:top="1440" w:right="1440" w:bottom="1440" w:left="144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DED" w:rsidRDefault="00456DED">
      <w:r>
        <w:separator/>
      </w:r>
    </w:p>
  </w:endnote>
  <w:endnote w:type="continuationSeparator" w:id="0">
    <w:p w:rsidR="00456DED" w:rsidRDefault="0045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DED" w:rsidRDefault="00456DED">
      <w:r>
        <w:separator/>
      </w:r>
    </w:p>
  </w:footnote>
  <w:footnote w:type="continuationSeparator" w:id="0">
    <w:p w:rsidR="00456DED" w:rsidRDefault="00456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315"/>
    <w:rsid w:val="00023FC7"/>
    <w:rsid w:val="00025198"/>
    <w:rsid w:val="000578A3"/>
    <w:rsid w:val="000648CC"/>
    <w:rsid w:val="000A06A4"/>
    <w:rsid w:val="000A7801"/>
    <w:rsid w:val="000C59B8"/>
    <w:rsid w:val="000C6047"/>
    <w:rsid w:val="000C6AF0"/>
    <w:rsid w:val="000C78D0"/>
    <w:rsid w:val="000D0A77"/>
    <w:rsid w:val="000D7402"/>
    <w:rsid w:val="000F7993"/>
    <w:rsid w:val="00104F33"/>
    <w:rsid w:val="00111DE2"/>
    <w:rsid w:val="00116B38"/>
    <w:rsid w:val="00133C97"/>
    <w:rsid w:val="00135406"/>
    <w:rsid w:val="00135972"/>
    <w:rsid w:val="001426A9"/>
    <w:rsid w:val="00154D7C"/>
    <w:rsid w:val="001570B0"/>
    <w:rsid w:val="0015752C"/>
    <w:rsid w:val="00157737"/>
    <w:rsid w:val="00165277"/>
    <w:rsid w:val="00170592"/>
    <w:rsid w:val="001720F7"/>
    <w:rsid w:val="00195D83"/>
    <w:rsid w:val="001A00C1"/>
    <w:rsid w:val="001A3B48"/>
    <w:rsid w:val="001B33E0"/>
    <w:rsid w:val="001B4573"/>
    <w:rsid w:val="001C779F"/>
    <w:rsid w:val="001D2AC1"/>
    <w:rsid w:val="001D2D5F"/>
    <w:rsid w:val="001D327B"/>
    <w:rsid w:val="001D4E88"/>
    <w:rsid w:val="0021283C"/>
    <w:rsid w:val="00220FC2"/>
    <w:rsid w:val="002215BB"/>
    <w:rsid w:val="002222F4"/>
    <w:rsid w:val="00224FC0"/>
    <w:rsid w:val="00225EA4"/>
    <w:rsid w:val="00226EAF"/>
    <w:rsid w:val="00231F3A"/>
    <w:rsid w:val="002406EE"/>
    <w:rsid w:val="00243EC8"/>
    <w:rsid w:val="00270D93"/>
    <w:rsid w:val="002745CC"/>
    <w:rsid w:val="002B6FBE"/>
    <w:rsid w:val="002B7924"/>
    <w:rsid w:val="002C10A6"/>
    <w:rsid w:val="002D28C3"/>
    <w:rsid w:val="002D39A4"/>
    <w:rsid w:val="002E6705"/>
    <w:rsid w:val="0030329A"/>
    <w:rsid w:val="00304ED2"/>
    <w:rsid w:val="0031086F"/>
    <w:rsid w:val="0031414C"/>
    <w:rsid w:val="00314E01"/>
    <w:rsid w:val="0032089D"/>
    <w:rsid w:val="003310DE"/>
    <w:rsid w:val="003323B0"/>
    <w:rsid w:val="00335C36"/>
    <w:rsid w:val="00340A49"/>
    <w:rsid w:val="0035169A"/>
    <w:rsid w:val="0035259D"/>
    <w:rsid w:val="00364B18"/>
    <w:rsid w:val="003A125D"/>
    <w:rsid w:val="003A4C70"/>
    <w:rsid w:val="003B215F"/>
    <w:rsid w:val="003B78DC"/>
    <w:rsid w:val="003C6C56"/>
    <w:rsid w:val="003C799C"/>
    <w:rsid w:val="003D0399"/>
    <w:rsid w:val="003E1C71"/>
    <w:rsid w:val="003F327B"/>
    <w:rsid w:val="00400E04"/>
    <w:rsid w:val="00406166"/>
    <w:rsid w:val="0040704B"/>
    <w:rsid w:val="00410A55"/>
    <w:rsid w:val="00411300"/>
    <w:rsid w:val="0041328A"/>
    <w:rsid w:val="00413F17"/>
    <w:rsid w:val="00415417"/>
    <w:rsid w:val="00426659"/>
    <w:rsid w:val="00450352"/>
    <w:rsid w:val="00454A0C"/>
    <w:rsid w:val="00454BDB"/>
    <w:rsid w:val="00456DED"/>
    <w:rsid w:val="00465132"/>
    <w:rsid w:val="0047233B"/>
    <w:rsid w:val="0047362A"/>
    <w:rsid w:val="00480C90"/>
    <w:rsid w:val="0048396F"/>
    <w:rsid w:val="00493C18"/>
    <w:rsid w:val="00495BDA"/>
    <w:rsid w:val="004A600C"/>
    <w:rsid w:val="004A6118"/>
    <w:rsid w:val="004C478D"/>
    <w:rsid w:val="004D7D95"/>
    <w:rsid w:val="004E1462"/>
    <w:rsid w:val="004E2C26"/>
    <w:rsid w:val="004F57A0"/>
    <w:rsid w:val="005125A8"/>
    <w:rsid w:val="00517549"/>
    <w:rsid w:val="00520ABC"/>
    <w:rsid w:val="00521AE8"/>
    <w:rsid w:val="00527180"/>
    <w:rsid w:val="0053545B"/>
    <w:rsid w:val="005364B5"/>
    <w:rsid w:val="00555291"/>
    <w:rsid w:val="00566AD1"/>
    <w:rsid w:val="00583EDE"/>
    <w:rsid w:val="005A6079"/>
    <w:rsid w:val="005E4698"/>
    <w:rsid w:val="00603924"/>
    <w:rsid w:val="00610539"/>
    <w:rsid w:val="00613969"/>
    <w:rsid w:val="00625C35"/>
    <w:rsid w:val="00647E49"/>
    <w:rsid w:val="00656313"/>
    <w:rsid w:val="006565F4"/>
    <w:rsid w:val="00684EEA"/>
    <w:rsid w:val="0069689B"/>
    <w:rsid w:val="006B5FF5"/>
    <w:rsid w:val="006E5A8B"/>
    <w:rsid w:val="006F30AF"/>
    <w:rsid w:val="00701759"/>
    <w:rsid w:val="00705C15"/>
    <w:rsid w:val="007110F6"/>
    <w:rsid w:val="007208D1"/>
    <w:rsid w:val="00744518"/>
    <w:rsid w:val="00747288"/>
    <w:rsid w:val="00747DD3"/>
    <w:rsid w:val="007549C8"/>
    <w:rsid w:val="00766D14"/>
    <w:rsid w:val="00767A0F"/>
    <w:rsid w:val="00791272"/>
    <w:rsid w:val="007A05F6"/>
    <w:rsid w:val="007A6AE0"/>
    <w:rsid w:val="007B6F4A"/>
    <w:rsid w:val="007E1C47"/>
    <w:rsid w:val="007E337A"/>
    <w:rsid w:val="007E5C70"/>
    <w:rsid w:val="007F2FF5"/>
    <w:rsid w:val="007F3F08"/>
    <w:rsid w:val="00804CC6"/>
    <w:rsid w:val="00805898"/>
    <w:rsid w:val="00817190"/>
    <w:rsid w:val="008260E2"/>
    <w:rsid w:val="008322BD"/>
    <w:rsid w:val="00834F73"/>
    <w:rsid w:val="00864C8A"/>
    <w:rsid w:val="00864CF8"/>
    <w:rsid w:val="00874914"/>
    <w:rsid w:val="008820D4"/>
    <w:rsid w:val="00891422"/>
    <w:rsid w:val="00892E1A"/>
    <w:rsid w:val="008B660A"/>
    <w:rsid w:val="008C01DA"/>
    <w:rsid w:val="008F2674"/>
    <w:rsid w:val="008F7648"/>
    <w:rsid w:val="008F78E9"/>
    <w:rsid w:val="00913EAA"/>
    <w:rsid w:val="009179F9"/>
    <w:rsid w:val="00917C7A"/>
    <w:rsid w:val="00933E5E"/>
    <w:rsid w:val="00935218"/>
    <w:rsid w:val="00937C52"/>
    <w:rsid w:val="009403F3"/>
    <w:rsid w:val="009555B7"/>
    <w:rsid w:val="0095657D"/>
    <w:rsid w:val="009567AA"/>
    <w:rsid w:val="00956F98"/>
    <w:rsid w:val="009602C9"/>
    <w:rsid w:val="00967374"/>
    <w:rsid w:val="00975BE3"/>
    <w:rsid w:val="009A343A"/>
    <w:rsid w:val="009B2F23"/>
    <w:rsid w:val="009B4DED"/>
    <w:rsid w:val="009B57B3"/>
    <w:rsid w:val="009D2920"/>
    <w:rsid w:val="009D5AEB"/>
    <w:rsid w:val="009D7708"/>
    <w:rsid w:val="009F0E33"/>
    <w:rsid w:val="00A149DF"/>
    <w:rsid w:val="00A1755C"/>
    <w:rsid w:val="00A21B90"/>
    <w:rsid w:val="00A22AAC"/>
    <w:rsid w:val="00A25352"/>
    <w:rsid w:val="00A41805"/>
    <w:rsid w:val="00A51882"/>
    <w:rsid w:val="00A52AFB"/>
    <w:rsid w:val="00A548CB"/>
    <w:rsid w:val="00A5521C"/>
    <w:rsid w:val="00A643E7"/>
    <w:rsid w:val="00A73C38"/>
    <w:rsid w:val="00A81E6B"/>
    <w:rsid w:val="00A85327"/>
    <w:rsid w:val="00A921A7"/>
    <w:rsid w:val="00AB670D"/>
    <w:rsid w:val="00AF03C5"/>
    <w:rsid w:val="00B000D8"/>
    <w:rsid w:val="00B00F75"/>
    <w:rsid w:val="00B10CA8"/>
    <w:rsid w:val="00B145B6"/>
    <w:rsid w:val="00B279EB"/>
    <w:rsid w:val="00B50C81"/>
    <w:rsid w:val="00B557F8"/>
    <w:rsid w:val="00B73D94"/>
    <w:rsid w:val="00B815FC"/>
    <w:rsid w:val="00B93FBC"/>
    <w:rsid w:val="00BA7DA0"/>
    <w:rsid w:val="00BB2EE4"/>
    <w:rsid w:val="00BB4C92"/>
    <w:rsid w:val="00BC2108"/>
    <w:rsid w:val="00BD0E9E"/>
    <w:rsid w:val="00BD1BEC"/>
    <w:rsid w:val="00BD32FF"/>
    <w:rsid w:val="00BF6FE9"/>
    <w:rsid w:val="00C02092"/>
    <w:rsid w:val="00C24D91"/>
    <w:rsid w:val="00C26DB2"/>
    <w:rsid w:val="00C53F14"/>
    <w:rsid w:val="00C600CF"/>
    <w:rsid w:val="00C6084F"/>
    <w:rsid w:val="00C62A66"/>
    <w:rsid w:val="00C66359"/>
    <w:rsid w:val="00C71458"/>
    <w:rsid w:val="00C77613"/>
    <w:rsid w:val="00C828E7"/>
    <w:rsid w:val="00C86719"/>
    <w:rsid w:val="00C921DD"/>
    <w:rsid w:val="00CA6391"/>
    <w:rsid w:val="00CE036E"/>
    <w:rsid w:val="00CE3171"/>
    <w:rsid w:val="00CF1601"/>
    <w:rsid w:val="00D0172F"/>
    <w:rsid w:val="00D01E33"/>
    <w:rsid w:val="00D068A7"/>
    <w:rsid w:val="00D17476"/>
    <w:rsid w:val="00D17B0E"/>
    <w:rsid w:val="00D20066"/>
    <w:rsid w:val="00D2194E"/>
    <w:rsid w:val="00D2339B"/>
    <w:rsid w:val="00D32086"/>
    <w:rsid w:val="00D33C4B"/>
    <w:rsid w:val="00D37A3F"/>
    <w:rsid w:val="00D4431D"/>
    <w:rsid w:val="00D4667A"/>
    <w:rsid w:val="00D63A1C"/>
    <w:rsid w:val="00D7516F"/>
    <w:rsid w:val="00D95F8E"/>
    <w:rsid w:val="00DA0590"/>
    <w:rsid w:val="00DC1739"/>
    <w:rsid w:val="00DC1788"/>
    <w:rsid w:val="00DE319C"/>
    <w:rsid w:val="00DF0CA8"/>
    <w:rsid w:val="00DF2B48"/>
    <w:rsid w:val="00DF49A7"/>
    <w:rsid w:val="00DF76CB"/>
    <w:rsid w:val="00E0280E"/>
    <w:rsid w:val="00E07EE2"/>
    <w:rsid w:val="00E07FD1"/>
    <w:rsid w:val="00E24573"/>
    <w:rsid w:val="00E25E1E"/>
    <w:rsid w:val="00E27EE7"/>
    <w:rsid w:val="00E35404"/>
    <w:rsid w:val="00E45109"/>
    <w:rsid w:val="00E47B7A"/>
    <w:rsid w:val="00E55776"/>
    <w:rsid w:val="00E56A44"/>
    <w:rsid w:val="00E60269"/>
    <w:rsid w:val="00E85993"/>
    <w:rsid w:val="00E95AC1"/>
    <w:rsid w:val="00E97830"/>
    <w:rsid w:val="00EE0830"/>
    <w:rsid w:val="00EE6CB8"/>
    <w:rsid w:val="00EF0683"/>
    <w:rsid w:val="00F004E3"/>
    <w:rsid w:val="00F0070C"/>
    <w:rsid w:val="00F00EB7"/>
    <w:rsid w:val="00F36AB6"/>
    <w:rsid w:val="00F37A09"/>
    <w:rsid w:val="00F409CE"/>
    <w:rsid w:val="00F4379D"/>
    <w:rsid w:val="00F50D2D"/>
    <w:rsid w:val="00F56C8B"/>
    <w:rsid w:val="00F6213E"/>
    <w:rsid w:val="00F62639"/>
    <w:rsid w:val="00F66759"/>
    <w:rsid w:val="00F66810"/>
    <w:rsid w:val="00F84DF4"/>
    <w:rsid w:val="00F85C97"/>
    <w:rsid w:val="00FB25D0"/>
    <w:rsid w:val="00FB37D2"/>
    <w:rsid w:val="00FC1059"/>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ListParagraph">
    <w:name w:val="List Paragraph"/>
    <w:basedOn w:val="Normal"/>
    <w:uiPriority w:val="34"/>
    <w:qFormat/>
    <w:rsid w:val="00DF76CB"/>
    <w:pPr>
      <w:ind w:left="720"/>
      <w:contextualSpacing/>
    </w:pPr>
  </w:style>
  <w:style w:type="paragraph" w:customStyle="1" w:styleId="ParaNoNdepar-AltN">
    <w:name w:val="Para. No. / Nº de par. - Alt N"/>
    <w:qFormat/>
    <w:rsid w:val="0021283C"/>
    <w:pPr>
      <w:tabs>
        <w:tab w:val="num" w:pos="720"/>
        <w:tab w:val="left" w:pos="1166"/>
      </w:tabs>
      <w:spacing w:before="480" w:after="480" w:line="480" w:lineRule="auto"/>
      <w:ind w:left="720" w:hanging="720"/>
      <w:jc w:val="both"/>
    </w:pPr>
    <w:rPr>
      <w:rFonts w:eastAsiaTheme="minorEastAsia" w:cstheme="minorBidi"/>
      <w:sz w:val="24"/>
      <w:szCs w:val="22"/>
      <w:lang w:eastAsia="en-US"/>
    </w:rPr>
  </w:style>
  <w:style w:type="table" w:styleId="TableGrid">
    <w:name w:val="Table Grid"/>
    <w:basedOn w:val="TableNormal"/>
    <w:uiPriority w:val="59"/>
    <w:rsid w:val="00D33C4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8820D4"/>
    <w:rPr>
      <w:lang w:val="fr-CA"/>
    </w:rPr>
  </w:style>
  <w:style w:type="paragraph" w:customStyle="1" w:styleId="SCCLsocPrefix">
    <w:name w:val="SCC.Lsoc.Prefix"/>
    <w:basedOn w:val="Normal"/>
    <w:next w:val="Normal"/>
    <w:link w:val="SCCLsocPrefixChar"/>
    <w:rsid w:val="008820D4"/>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8820D4"/>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2021-11-03T20:11:00Z</dcterms:created>
  <dcterms:modified xsi:type="dcterms:W3CDTF">2023-01-25T02:00:00Z</dcterms:modified>
</cp:coreProperties>
</file>