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41" w:rsidRDefault="00F86741" w:rsidP="00F8674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3.45pt" o:ole="">
            <v:imagedata r:id="rId6" o:title=""/>
          </v:shape>
          <o:OLEObject Type="Embed" ProgID="Presentations.Drawing.13" ShapeID="_x0000_i1025" DrawAspect="Content" ObjectID="_1736099249" r:id="rId7"/>
        </w:object>
      </w:r>
      <w:r>
        <w:t xml:space="preserve"> </w:t>
      </w:r>
      <w:r>
        <w:ptab w:relativeTo="margin" w:alignment="right" w:leader="none"/>
      </w:r>
    </w:p>
    <w:p w:rsidR="00F86741" w:rsidRDefault="00F86741" w:rsidP="00F86741">
      <w:pPr>
        <w:pStyle w:val="Header"/>
      </w:pPr>
    </w:p>
    <w:p w:rsidR="00F86741" w:rsidRDefault="00F86741" w:rsidP="00F86741">
      <w:pPr>
        <w:jc w:val="center"/>
        <w:rPr>
          <w:b/>
        </w:rPr>
      </w:pPr>
      <w:r w:rsidRPr="001E12E2">
        <w:rPr>
          <w:b/>
        </w:rPr>
        <w:t>COUR SUPRÊME DU CANADA</w:t>
      </w:r>
    </w:p>
    <w:p w:rsidR="00F86741" w:rsidRPr="001E12E2" w:rsidRDefault="00F86741" w:rsidP="00F86741">
      <w:pPr>
        <w:rPr>
          <w:b/>
        </w:rPr>
      </w:pP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54"/>
        <w:gridCol w:w="1821"/>
        <w:gridCol w:w="3585"/>
      </w:tblGrid>
      <w:tr w:rsidR="00F86741" w:rsidTr="004407C7">
        <w:tc>
          <w:tcPr>
            <w:tcW w:w="2112" w:type="pct"/>
            <w:tcMar>
              <w:top w:w="284" w:type="dxa"/>
              <w:left w:w="57" w:type="dxa"/>
              <w:bottom w:w="57" w:type="dxa"/>
              <w:right w:w="57" w:type="dxa"/>
            </w:tcMar>
            <w:hideMark/>
          </w:tcPr>
          <w:p w:rsidR="00F86741" w:rsidRPr="00F86741" w:rsidRDefault="00F86741" w:rsidP="004407C7">
            <w:pPr>
              <w:spacing w:before="100" w:beforeAutospacing="1"/>
              <w:rPr>
                <w:rFonts w:eastAsia="Calibri"/>
                <w:lang w:val="fr-CA"/>
              </w:rPr>
            </w:pPr>
            <w:r w:rsidRPr="00F86741">
              <w:rPr>
                <w:b/>
                <w:smallCaps/>
                <w:lang w:val="fr-CA"/>
              </w:rPr>
              <w:t>Référence :</w:t>
            </w:r>
            <w:r w:rsidRPr="00F86741">
              <w:rPr>
                <w:lang w:val="fr-CA"/>
              </w:rPr>
              <w:t xml:space="preserve"> R. </w:t>
            </w:r>
            <w:r w:rsidRPr="00F86741">
              <w:rPr>
                <w:i/>
                <w:lang w:val="fr-CA"/>
              </w:rPr>
              <w:t>c</w:t>
            </w:r>
            <w:r w:rsidRPr="00F86741">
              <w:rPr>
                <w:lang w:val="fr-CA"/>
              </w:rPr>
              <w:t>. S.</w:t>
            </w:r>
            <w:r w:rsidR="00DD3380">
              <w:rPr>
                <w:lang w:val="fr-CA"/>
              </w:rPr>
              <w:t>H., 2020 CSC 3, [2020] 1</w:t>
            </w:r>
            <w:r w:rsidR="000B4381" w:rsidRPr="000B4381">
              <w:rPr>
                <w:lang w:val="fr-CA"/>
              </w:rPr>
              <w:t xml:space="preserve"> R.C.S. </w:t>
            </w:r>
            <w:r w:rsidR="00DD3380">
              <w:rPr>
                <w:lang w:val="fr-CA"/>
              </w:rPr>
              <w:t>12</w:t>
            </w:r>
          </w:p>
        </w:tc>
        <w:tc>
          <w:tcPr>
            <w:tcW w:w="973" w:type="pct"/>
          </w:tcPr>
          <w:p w:rsidR="00F86741" w:rsidRPr="00F86741" w:rsidRDefault="00F86741" w:rsidP="004407C7">
            <w:pPr>
              <w:rPr>
                <w:b/>
                <w:smallCaps/>
                <w:lang w:val="fr-CA"/>
              </w:rPr>
            </w:pPr>
          </w:p>
        </w:tc>
        <w:tc>
          <w:tcPr>
            <w:tcW w:w="1915" w:type="pct"/>
            <w:tcMar>
              <w:top w:w="284" w:type="dxa"/>
              <w:left w:w="57" w:type="dxa"/>
              <w:bottom w:w="57" w:type="dxa"/>
              <w:right w:w="57" w:type="dxa"/>
            </w:tcMar>
            <w:hideMark/>
          </w:tcPr>
          <w:p w:rsidR="00F86741" w:rsidRPr="00F86741" w:rsidRDefault="00F86741" w:rsidP="004407C7">
            <w:pPr>
              <w:rPr>
                <w:lang w:val="fr-CA"/>
              </w:rPr>
            </w:pPr>
            <w:r w:rsidRPr="00F86741">
              <w:rPr>
                <w:b/>
                <w:smallCaps/>
                <w:lang w:val="fr-CA"/>
              </w:rPr>
              <w:t>Appel entendu :</w:t>
            </w:r>
            <w:r w:rsidRPr="00F86741">
              <w:rPr>
                <w:lang w:val="fr-CA"/>
              </w:rPr>
              <w:t xml:space="preserve"> 19 février 2020</w:t>
            </w:r>
          </w:p>
          <w:p w:rsidR="00F86741" w:rsidRPr="00F86741" w:rsidRDefault="00F86741" w:rsidP="004407C7">
            <w:pPr>
              <w:rPr>
                <w:b/>
                <w:smallCaps/>
                <w:lang w:val="fr-CA"/>
              </w:rPr>
            </w:pPr>
            <w:r w:rsidRPr="00F86741">
              <w:rPr>
                <w:b/>
                <w:smallCaps/>
                <w:lang w:val="fr-CA"/>
              </w:rPr>
              <w:t xml:space="preserve">Jugement rendu : </w:t>
            </w:r>
            <w:r w:rsidRPr="00F86741">
              <w:rPr>
                <w:lang w:val="fr-CA"/>
              </w:rPr>
              <w:t>19 février 2020</w:t>
            </w:r>
          </w:p>
          <w:p w:rsidR="00F86741" w:rsidRDefault="00F86741" w:rsidP="004407C7">
            <w:pPr>
              <w:rPr>
                <w:rFonts w:eastAsia="Calibri"/>
              </w:rPr>
            </w:pPr>
            <w:r>
              <w:rPr>
                <w:b/>
                <w:smallCaps/>
              </w:rPr>
              <w:t>Dossier :</w:t>
            </w:r>
            <w:r>
              <w:t xml:space="preserve"> 38827</w:t>
            </w:r>
          </w:p>
        </w:tc>
      </w:tr>
    </w:tbl>
    <w:p w:rsidR="00F86741" w:rsidRPr="001E12E2" w:rsidRDefault="00F86741" w:rsidP="00F86741"/>
    <w:p w:rsidR="00F86741" w:rsidRPr="00D74471" w:rsidRDefault="00F86741" w:rsidP="00EF5318">
      <w:pPr>
        <w:pStyle w:val="SCCLsocPrefix"/>
      </w:pPr>
      <w:r>
        <w:t>Entre :</w:t>
      </w:r>
    </w:p>
    <w:p w:rsidR="00F86741" w:rsidRDefault="00F86741" w:rsidP="00F86741">
      <w:pPr>
        <w:pStyle w:val="SCCLsocParty"/>
        <w:jc w:val="center"/>
      </w:pPr>
      <w:r>
        <w:t>S.H.</w:t>
      </w:r>
    </w:p>
    <w:p w:rsidR="00F86741" w:rsidRDefault="00F86741" w:rsidP="00F86741">
      <w:pPr>
        <w:jc w:val="center"/>
      </w:pPr>
      <w:r>
        <w:t>Appelant</w:t>
      </w:r>
    </w:p>
    <w:p w:rsidR="00F86741" w:rsidRPr="00D74471" w:rsidRDefault="00F86741" w:rsidP="00F86741"/>
    <w:p w:rsidR="00F86741" w:rsidRPr="00F86741" w:rsidRDefault="00F86741" w:rsidP="00F86741">
      <w:pPr>
        <w:pStyle w:val="SCCLsocVersus"/>
        <w:spacing w:after="0"/>
        <w:jc w:val="center"/>
        <w:rPr>
          <w:i w:val="0"/>
        </w:rPr>
      </w:pPr>
      <w:r w:rsidRPr="00F86741">
        <w:rPr>
          <w:i w:val="0"/>
        </w:rPr>
        <w:t>et</w:t>
      </w:r>
    </w:p>
    <w:p w:rsidR="00F86741" w:rsidRPr="00D74471" w:rsidRDefault="00F86741" w:rsidP="00F86741"/>
    <w:p w:rsidR="00F86741" w:rsidRDefault="00F86741" w:rsidP="00F86741">
      <w:pPr>
        <w:pStyle w:val="SCCLsocParty"/>
        <w:jc w:val="center"/>
      </w:pPr>
      <w:r>
        <w:t>Sa Majesté la Reine</w:t>
      </w:r>
    </w:p>
    <w:p w:rsidR="00F86741" w:rsidRDefault="00F86741" w:rsidP="00F86741">
      <w:pPr>
        <w:jc w:val="center"/>
      </w:pPr>
      <w:r>
        <w:t>Intimée</w:t>
      </w:r>
    </w:p>
    <w:p w:rsidR="00F86741" w:rsidRPr="00D74471" w:rsidRDefault="00F86741" w:rsidP="00F86741"/>
    <w:p w:rsidR="00F86741" w:rsidRDefault="00F86741" w:rsidP="00F86741">
      <w:pPr>
        <w:pStyle w:val="SCCLsocOtherPartySeparator"/>
        <w:spacing w:after="0"/>
        <w:jc w:val="center"/>
      </w:pPr>
      <w:r>
        <w:t>- et -</w:t>
      </w:r>
    </w:p>
    <w:p w:rsidR="00F86741" w:rsidRDefault="00F86741" w:rsidP="00F86741">
      <w:pPr>
        <w:pStyle w:val="SCCLsocParty"/>
      </w:pPr>
    </w:p>
    <w:p w:rsidR="00F86741" w:rsidRDefault="00F86741" w:rsidP="00F86741">
      <w:pPr>
        <w:pStyle w:val="SCCLsocParty"/>
        <w:jc w:val="center"/>
      </w:pPr>
      <w:r>
        <w:t>Criminal Lawyers’ Association (Ontario)</w:t>
      </w:r>
    </w:p>
    <w:p w:rsidR="00F86741" w:rsidRPr="00D74471" w:rsidRDefault="00F86741" w:rsidP="00F86741">
      <w:pPr>
        <w:jc w:val="center"/>
      </w:pPr>
      <w:r>
        <w:t>Intervenante</w:t>
      </w:r>
    </w:p>
    <w:p w:rsidR="00F86741" w:rsidRPr="001B2137" w:rsidRDefault="00F86741" w:rsidP="00F86741"/>
    <w:p w:rsidR="00F86741" w:rsidRPr="001E12E2" w:rsidRDefault="00F86741" w:rsidP="00F86741">
      <w:pPr>
        <w:jc w:val="center"/>
        <w:rPr>
          <w:b/>
          <w:smallCaps/>
        </w:rPr>
      </w:pPr>
      <w:r w:rsidRPr="003116D2">
        <w:rPr>
          <w:b/>
          <w:smallCaps/>
        </w:rPr>
        <w:t>Traduction française officielle</w:t>
      </w:r>
    </w:p>
    <w:p w:rsidR="00F86741" w:rsidRPr="001E12E2" w:rsidRDefault="00F86741" w:rsidP="00F86741"/>
    <w:p w:rsidR="00F86741" w:rsidRPr="00F86741" w:rsidRDefault="00F86741" w:rsidP="00F86741">
      <w:pPr>
        <w:rPr>
          <w:lang w:val="fr-CA"/>
        </w:rPr>
      </w:pPr>
      <w:r w:rsidRPr="00F86741">
        <w:rPr>
          <w:b/>
          <w:smallCaps/>
          <w:lang w:val="fr-CA"/>
        </w:rPr>
        <w:t>Coram :</w:t>
      </w:r>
      <w:r w:rsidRPr="00F86741">
        <w:rPr>
          <w:lang w:val="fr-CA"/>
        </w:rPr>
        <w:t xml:space="preserve"> Les juges Abella, Moldaver, Côté, Brown et Martin</w:t>
      </w:r>
    </w:p>
    <w:p w:rsidR="00F86741" w:rsidRPr="00F86741" w:rsidRDefault="00F86741" w:rsidP="00F86741">
      <w:pPr>
        <w:rPr>
          <w:lang w:val="fr-CA"/>
        </w:rPr>
      </w:pPr>
    </w:p>
    <w:p w:rsidR="00F86741" w:rsidRPr="00F86741" w:rsidRDefault="00F86741" w:rsidP="00F86741">
      <w:pPr>
        <w:rPr>
          <w:lang w:val="fr-CA"/>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5958"/>
      </w:tblGrid>
      <w:tr w:rsidR="00F86741" w:rsidRPr="001E12E2" w:rsidTr="004407C7">
        <w:tc>
          <w:tcPr>
            <w:tcW w:w="3618" w:type="dxa"/>
          </w:tcPr>
          <w:p w:rsidR="00F86741" w:rsidRPr="00F86741" w:rsidRDefault="00F86741" w:rsidP="004407C7">
            <w:pPr>
              <w:rPr>
                <w:b/>
                <w:smallCaps/>
                <w:lang w:val="fr-CA"/>
              </w:rPr>
            </w:pPr>
            <w:r w:rsidRPr="00F86741">
              <w:rPr>
                <w:b/>
                <w:smallCaps/>
                <w:lang w:val="fr-CA"/>
              </w:rPr>
              <w:t>Jugement lu par :</w:t>
            </w:r>
          </w:p>
          <w:p w:rsidR="00F86741" w:rsidRPr="00F86741" w:rsidRDefault="00F86741" w:rsidP="004407C7">
            <w:pPr>
              <w:rPr>
                <w:lang w:val="fr-CA"/>
              </w:rPr>
            </w:pPr>
            <w:r w:rsidRPr="00F86741">
              <w:rPr>
                <w:lang w:val="fr-CA"/>
              </w:rPr>
              <w:t>(par. 1 à 3)</w:t>
            </w:r>
          </w:p>
          <w:p w:rsidR="00F86741" w:rsidRPr="00F86741" w:rsidRDefault="00F86741" w:rsidP="004407C7">
            <w:pPr>
              <w:rPr>
                <w:lang w:val="fr-CA"/>
              </w:rPr>
            </w:pPr>
          </w:p>
          <w:p w:rsidR="00F86741" w:rsidRPr="00F86741" w:rsidRDefault="00F86741" w:rsidP="004407C7">
            <w:pPr>
              <w:rPr>
                <w:b/>
                <w:smallCaps/>
                <w:lang w:val="fr-CA"/>
              </w:rPr>
            </w:pPr>
            <w:r w:rsidRPr="00F86741">
              <w:rPr>
                <w:b/>
                <w:smallCaps/>
                <w:lang w:val="fr-CA"/>
              </w:rPr>
              <w:t>Dissidence lue par :</w:t>
            </w:r>
          </w:p>
          <w:p w:rsidR="00F86741" w:rsidRPr="00F86741" w:rsidRDefault="00F86741" w:rsidP="004407C7">
            <w:pPr>
              <w:rPr>
                <w:lang w:val="fr-CA"/>
              </w:rPr>
            </w:pPr>
            <w:r w:rsidRPr="00F86741">
              <w:rPr>
                <w:lang w:val="fr-CA"/>
              </w:rPr>
              <w:t>(par. 4)</w:t>
            </w:r>
          </w:p>
          <w:p w:rsidR="00F86741" w:rsidRPr="00F86741" w:rsidRDefault="00F86741" w:rsidP="004407C7">
            <w:pPr>
              <w:rPr>
                <w:b/>
                <w:smallCaps/>
                <w:lang w:val="fr-CA"/>
              </w:rPr>
            </w:pPr>
          </w:p>
          <w:p w:rsidR="00F86741" w:rsidRPr="00F86741" w:rsidRDefault="00F86741" w:rsidP="004407C7">
            <w:pPr>
              <w:rPr>
                <w:b/>
                <w:smallCaps/>
                <w:lang w:val="fr-CA"/>
              </w:rPr>
            </w:pPr>
            <w:r w:rsidRPr="00F86741">
              <w:rPr>
                <w:b/>
                <w:smallCaps/>
                <w:lang w:val="fr-CA"/>
              </w:rPr>
              <w:t>Majorité :</w:t>
            </w:r>
          </w:p>
          <w:p w:rsidR="00F86741" w:rsidRPr="00F86741" w:rsidRDefault="00F86741" w:rsidP="004407C7">
            <w:pPr>
              <w:rPr>
                <w:lang w:val="fr-CA"/>
              </w:rPr>
            </w:pPr>
          </w:p>
          <w:p w:rsidR="00F86741" w:rsidRDefault="00F86741" w:rsidP="004407C7">
            <w:r w:rsidRPr="005D54EE">
              <w:rPr>
                <w:b/>
                <w:smallCaps/>
              </w:rPr>
              <w:t>Dissidence :</w:t>
            </w:r>
          </w:p>
          <w:p w:rsidR="00F86741" w:rsidRPr="003116D2" w:rsidRDefault="00F86741" w:rsidP="004407C7"/>
        </w:tc>
        <w:tc>
          <w:tcPr>
            <w:tcW w:w="5958" w:type="dxa"/>
          </w:tcPr>
          <w:p w:rsidR="00F86741" w:rsidRPr="00F86741" w:rsidRDefault="00F86741" w:rsidP="004407C7">
            <w:pPr>
              <w:rPr>
                <w:lang w:val="fr-CA"/>
              </w:rPr>
            </w:pPr>
            <w:r w:rsidRPr="00F86741">
              <w:rPr>
                <w:lang w:val="fr-CA"/>
              </w:rPr>
              <w:t>Le juge Moldaver</w:t>
            </w:r>
          </w:p>
          <w:p w:rsidR="00F86741" w:rsidRPr="00F86741" w:rsidRDefault="00F86741" w:rsidP="004407C7">
            <w:pPr>
              <w:rPr>
                <w:lang w:val="fr-CA"/>
              </w:rPr>
            </w:pPr>
          </w:p>
          <w:p w:rsidR="00F86741" w:rsidRPr="00F86741" w:rsidRDefault="00F86741" w:rsidP="004407C7">
            <w:pPr>
              <w:rPr>
                <w:lang w:val="fr-CA"/>
              </w:rPr>
            </w:pPr>
          </w:p>
          <w:p w:rsidR="00F86741" w:rsidRPr="00F86741" w:rsidRDefault="00F86741" w:rsidP="004407C7">
            <w:pPr>
              <w:rPr>
                <w:lang w:val="fr-CA"/>
              </w:rPr>
            </w:pPr>
            <w:r w:rsidRPr="00F86741">
              <w:rPr>
                <w:lang w:val="fr-CA"/>
              </w:rPr>
              <w:t xml:space="preserve">Le juge Brown </w:t>
            </w:r>
          </w:p>
          <w:p w:rsidR="00F86741" w:rsidRPr="00F86741" w:rsidRDefault="00F86741" w:rsidP="004407C7">
            <w:pPr>
              <w:rPr>
                <w:lang w:val="fr-CA"/>
              </w:rPr>
            </w:pPr>
          </w:p>
          <w:p w:rsidR="00F86741" w:rsidRPr="00F86741" w:rsidRDefault="00F86741" w:rsidP="004407C7">
            <w:pPr>
              <w:rPr>
                <w:lang w:val="fr-CA"/>
              </w:rPr>
            </w:pPr>
          </w:p>
          <w:p w:rsidR="00F86741" w:rsidRPr="00F86741" w:rsidRDefault="00F86741" w:rsidP="004407C7">
            <w:pPr>
              <w:rPr>
                <w:lang w:val="fr-CA"/>
              </w:rPr>
            </w:pPr>
            <w:r w:rsidRPr="00F86741">
              <w:rPr>
                <w:lang w:val="fr-CA"/>
              </w:rPr>
              <w:t>Les juges Abella, Moldaver et Côté</w:t>
            </w:r>
          </w:p>
          <w:p w:rsidR="00F86741" w:rsidRPr="00F86741" w:rsidRDefault="00F86741" w:rsidP="004407C7">
            <w:pPr>
              <w:rPr>
                <w:lang w:val="fr-CA"/>
              </w:rPr>
            </w:pPr>
          </w:p>
          <w:p w:rsidR="00F86741" w:rsidRPr="005D54EE" w:rsidRDefault="00F86741" w:rsidP="004407C7">
            <w:r w:rsidRPr="005D54EE">
              <w:t>Les juges Brown et Martin</w:t>
            </w:r>
          </w:p>
          <w:p w:rsidR="00F86741" w:rsidRPr="001E12E2" w:rsidRDefault="00F86741" w:rsidP="004407C7"/>
        </w:tc>
      </w:tr>
      <w:tr w:rsidR="00F86741" w:rsidRPr="001E12E2" w:rsidTr="004407C7">
        <w:tblPrEx>
          <w:tblCellMar>
            <w:top w:w="58" w:type="dxa"/>
            <w:left w:w="58" w:type="dxa"/>
            <w:bottom w:w="58" w:type="dxa"/>
            <w:right w:w="58" w:type="dxa"/>
          </w:tblCellMar>
        </w:tblPrEx>
        <w:trPr>
          <w:cantSplit/>
        </w:trPr>
        <w:tc>
          <w:tcPr>
            <w:tcW w:w="3618" w:type="dxa"/>
          </w:tcPr>
          <w:p w:rsidR="00F86741" w:rsidRPr="004F21BD" w:rsidRDefault="00F86741" w:rsidP="004407C7">
            <w:pPr>
              <w:rPr>
                <w:b/>
                <w:smallCaps/>
                <w:highlight w:val="yellow"/>
              </w:rPr>
            </w:pPr>
          </w:p>
        </w:tc>
        <w:tc>
          <w:tcPr>
            <w:tcW w:w="5958" w:type="dxa"/>
          </w:tcPr>
          <w:p w:rsidR="00F86741" w:rsidRPr="003116D2" w:rsidRDefault="00F86741" w:rsidP="004407C7"/>
        </w:tc>
      </w:tr>
    </w:tbl>
    <w:p w:rsidR="00F86741" w:rsidRPr="00F86741" w:rsidRDefault="00F86741" w:rsidP="00F86741">
      <w:pPr>
        <w:rPr>
          <w:lang w:val="fr-CA"/>
        </w:rPr>
      </w:pPr>
      <w:r>
        <w:rPr>
          <w:noProof/>
        </w:rPr>
        <mc:AlternateContent>
          <mc:Choice Requires="wps">
            <w:drawing>
              <wp:anchor distT="0" distB="0" distL="114300" distR="114300" simplePos="0" relativeHeight="251659264" behindDoc="0" locked="0" layoutInCell="1" allowOverlap="1" wp14:anchorId="45A6A579" wp14:editId="2526F12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8C89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86741" w:rsidRDefault="00F86741" w:rsidP="00040D4C">
      <w:pPr>
        <w:spacing w:after="720"/>
        <w:jc w:val="both"/>
        <w:rPr>
          <w:rStyle w:val="SCCAppellantForRunningHeadChar"/>
          <w:lang w:val="fr-CA"/>
        </w:rPr>
      </w:pPr>
      <w:r>
        <w:rPr>
          <w:rStyle w:val="SCCAppellantForRunningHeadChar"/>
          <w:lang w:val="fr-CA"/>
        </w:rPr>
        <w:br w:type="page"/>
      </w:r>
    </w:p>
    <w:p w:rsidR="00040D4C" w:rsidRPr="00B15566" w:rsidRDefault="00040D4C" w:rsidP="00040D4C">
      <w:pPr>
        <w:pStyle w:val="SCCLsocLastPartyInRole"/>
        <w:rPr>
          <w:lang w:val="fr-CA"/>
        </w:rPr>
      </w:pPr>
      <w:bookmarkStart w:id="0" w:name="_GoBack"/>
      <w:bookmarkEnd w:id="0"/>
      <w:r w:rsidRPr="00B15566">
        <w:rPr>
          <w:lang w:val="fr-CA"/>
        </w:rPr>
        <w:lastRenderedPageBreak/>
        <w:t>S.H.</w:t>
      </w:r>
      <w:r w:rsidRPr="00B15566">
        <w:rPr>
          <w:rStyle w:val="SCCLsocPartyRole"/>
          <w:lang w:val="fr-CA"/>
        </w:rPr>
        <w:tab/>
        <w:t>Appelant</w:t>
      </w:r>
    </w:p>
    <w:p w:rsidR="00040D4C" w:rsidRPr="00DF76CB" w:rsidRDefault="00040D4C" w:rsidP="00040D4C">
      <w:pPr>
        <w:pStyle w:val="SCCLsocVersus"/>
        <w:rPr>
          <w:lang w:val="fr-CA"/>
        </w:rPr>
      </w:pPr>
      <w:r w:rsidRPr="00DF76CB">
        <w:rPr>
          <w:lang w:val="fr-CA"/>
        </w:rPr>
        <w:t>c.</w:t>
      </w:r>
    </w:p>
    <w:p w:rsidR="00040D4C" w:rsidRDefault="00040D4C" w:rsidP="00040D4C">
      <w:pPr>
        <w:pStyle w:val="SCCLsocLastPartyInRole"/>
        <w:rPr>
          <w:rStyle w:val="SCCLsocPartyRole"/>
          <w:lang w:val="fr-CA"/>
        </w:rPr>
      </w:pPr>
      <w:r w:rsidRPr="00DF76CB">
        <w:rPr>
          <w:lang w:val="fr-CA"/>
        </w:rPr>
        <w:t>Sa Majesté la Reine</w:t>
      </w:r>
      <w:r>
        <w:rPr>
          <w:rStyle w:val="SCCLsocPartyRole"/>
          <w:lang w:val="fr-CA"/>
        </w:rPr>
        <w:tab/>
        <w:t>Intimée</w:t>
      </w:r>
    </w:p>
    <w:p w:rsidR="00040D4C" w:rsidRPr="00B15566" w:rsidRDefault="00040D4C" w:rsidP="00040D4C">
      <w:pPr>
        <w:pStyle w:val="SCCLsocLastPartyInRole"/>
        <w:rPr>
          <w:b w:val="0"/>
          <w:lang w:val="fr-CA"/>
        </w:rPr>
      </w:pPr>
      <w:r w:rsidRPr="00B15566">
        <w:rPr>
          <w:b w:val="0"/>
          <w:lang w:val="fr-CA"/>
        </w:rPr>
        <w:t>et</w:t>
      </w:r>
    </w:p>
    <w:p w:rsidR="00040D4C" w:rsidRPr="00B15566" w:rsidRDefault="00040D4C" w:rsidP="00040D4C">
      <w:pPr>
        <w:pStyle w:val="SCCLsocLastPartyInRole"/>
        <w:rPr>
          <w:lang w:val="fr-CA"/>
        </w:rPr>
      </w:pPr>
      <w:r w:rsidRPr="00B15566">
        <w:rPr>
          <w:lang w:val="fr-CA"/>
        </w:rPr>
        <w:t>Criminal Lawyers’ Association (Ontario)</w:t>
      </w:r>
      <w:r w:rsidRPr="00B15566">
        <w:rPr>
          <w:lang w:val="fr-CA"/>
        </w:rPr>
        <w:tab/>
      </w:r>
      <w:r w:rsidRPr="00B15566">
        <w:rPr>
          <w:b w:val="0"/>
          <w:i/>
          <w:lang w:val="fr-CA"/>
        </w:rPr>
        <w:t>Intervenante</w:t>
      </w:r>
    </w:p>
    <w:p w:rsidR="00040D4C" w:rsidRPr="00DF76CB" w:rsidRDefault="00040D4C" w:rsidP="00040D4C">
      <w:pPr>
        <w:spacing w:after="720"/>
        <w:jc w:val="both"/>
        <w:rPr>
          <w:b/>
          <w:lang w:val="fr-CA"/>
        </w:rPr>
      </w:pPr>
      <w:r>
        <w:rPr>
          <w:b/>
          <w:lang w:val="fr-CA"/>
        </w:rPr>
        <w:t xml:space="preserve">Répertorié : R. </w:t>
      </w:r>
      <w:r>
        <w:rPr>
          <w:b/>
          <w:i/>
          <w:lang w:val="fr-CA"/>
        </w:rPr>
        <w:t xml:space="preserve">c. </w:t>
      </w:r>
      <w:r>
        <w:rPr>
          <w:rStyle w:val="SCCAppellantForIndexChar"/>
          <w:lang w:val="fr-CA"/>
        </w:rPr>
        <w:t>S.H.</w:t>
      </w:r>
    </w:p>
    <w:p w:rsidR="00040D4C" w:rsidRPr="00DF76CB" w:rsidRDefault="00040D4C" w:rsidP="00040D4C">
      <w:pPr>
        <w:pStyle w:val="SCCSystemYear"/>
        <w:spacing w:after="720"/>
        <w:jc w:val="both"/>
        <w:rPr>
          <w:lang w:val="fr-CA"/>
        </w:rPr>
      </w:pPr>
      <w:r w:rsidRPr="00DF76CB">
        <w:rPr>
          <w:lang w:val="fr-CA"/>
        </w:rPr>
        <w:t xml:space="preserve">2020 </w:t>
      </w:r>
      <w:r w:rsidRPr="004E1462">
        <w:rPr>
          <w:lang w:val="fr-CA"/>
        </w:rPr>
        <w:t>CSC </w:t>
      </w:r>
      <w:r>
        <w:rPr>
          <w:lang w:val="fr-CA"/>
        </w:rPr>
        <w:t>3</w:t>
      </w:r>
    </w:p>
    <w:p w:rsidR="00040D4C" w:rsidRPr="00DF76CB" w:rsidRDefault="00040D4C" w:rsidP="00040D4C">
      <w:pPr>
        <w:spacing w:after="720"/>
        <w:jc w:val="both"/>
        <w:rPr>
          <w:lang w:val="fr-CA"/>
        </w:rPr>
      </w:pPr>
      <w:r w:rsidRPr="00DF76CB">
        <w:rPr>
          <w:lang w:val="fr-CA"/>
        </w:rPr>
        <w:t>N</w:t>
      </w:r>
      <w:r w:rsidRPr="00DF76CB">
        <w:rPr>
          <w:vertAlign w:val="superscript"/>
          <w:lang w:val="fr-CA"/>
        </w:rPr>
        <w:t>o</w:t>
      </w:r>
      <w:r>
        <w:rPr>
          <w:lang w:val="fr-CA"/>
        </w:rPr>
        <w:t xml:space="preserve"> du greffe : 38827.</w:t>
      </w:r>
    </w:p>
    <w:p w:rsidR="00040D4C" w:rsidRPr="00DF76CB" w:rsidRDefault="00040D4C" w:rsidP="00040D4C">
      <w:pPr>
        <w:spacing w:after="720"/>
        <w:jc w:val="both"/>
        <w:rPr>
          <w:lang w:val="fr-CA"/>
        </w:rPr>
      </w:pPr>
      <w:r>
        <w:rPr>
          <w:lang w:val="fr-CA"/>
        </w:rPr>
        <w:t>2020 : 19 février.</w:t>
      </w:r>
    </w:p>
    <w:p w:rsidR="00040D4C" w:rsidRPr="00DF76CB" w:rsidRDefault="00040D4C" w:rsidP="00040D4C">
      <w:pPr>
        <w:spacing w:after="720"/>
        <w:jc w:val="both"/>
        <w:rPr>
          <w:smallCaps/>
          <w:lang w:val="fr-CA"/>
        </w:rPr>
      </w:pPr>
      <w:r w:rsidRPr="00DF76CB">
        <w:rPr>
          <w:lang w:val="fr-CA"/>
        </w:rPr>
        <w:t xml:space="preserve">Présents : Les juges Abella, Moldaver, Côté, Brown </w:t>
      </w:r>
      <w:r>
        <w:rPr>
          <w:lang w:val="fr-CA"/>
        </w:rPr>
        <w:t xml:space="preserve">et </w:t>
      </w:r>
      <w:r w:rsidRPr="00DF76CB">
        <w:rPr>
          <w:lang w:val="fr-CA"/>
        </w:rPr>
        <w:t>Martin.</w:t>
      </w:r>
    </w:p>
    <w:p w:rsidR="00040D4C" w:rsidRPr="00DF76CB" w:rsidRDefault="00040D4C" w:rsidP="00040D4C">
      <w:pPr>
        <w:pStyle w:val="SCCLowerCourtNameLowercase"/>
        <w:spacing w:after="720" w:line="240" w:lineRule="auto"/>
        <w:rPr>
          <w:smallCaps w:val="0"/>
          <w:lang w:val="fr-CA"/>
        </w:rPr>
      </w:pPr>
      <w:r w:rsidRPr="00DF76CB">
        <w:rPr>
          <w:lang w:val="fr-CA"/>
        </w:rPr>
        <w:t>en appel de la cour d’</w:t>
      </w:r>
      <w:r>
        <w:rPr>
          <w:lang w:val="fr-CA"/>
        </w:rPr>
        <w:t xml:space="preserve">appel de l’ontario </w:t>
      </w:r>
    </w:p>
    <w:p w:rsidR="00040D4C" w:rsidRPr="00262B6E" w:rsidRDefault="00040D4C" w:rsidP="00040D4C">
      <w:pPr>
        <w:pStyle w:val="SCCNormalDoubleSpacing"/>
        <w:spacing w:after="480"/>
        <w:rPr>
          <w:i/>
          <w:lang w:val="fr-CA"/>
        </w:rPr>
      </w:pPr>
      <w:r w:rsidRPr="00BB4C92">
        <w:rPr>
          <w:lang w:val="fr-CA"/>
        </w:rPr>
        <w:tab/>
      </w:r>
      <w:r w:rsidRPr="003B3648">
        <w:rPr>
          <w:i/>
          <w:lang w:val="fr-CA"/>
        </w:rPr>
        <w:t>Droit criminel — Preuve — Admissibilité — Disposition réparatrice — Accusé déclaré coupable au procès d’infractions liées à la dr</w:t>
      </w:r>
      <w:r>
        <w:rPr>
          <w:i/>
          <w:lang w:val="fr-CA"/>
        </w:rPr>
        <w:t>ogue</w:t>
      </w:r>
      <w:r w:rsidRPr="003B3648">
        <w:rPr>
          <w:i/>
          <w:lang w:val="fr-CA"/>
        </w:rPr>
        <w:t xml:space="preserve"> — Cour d’appel </w:t>
      </w:r>
      <w:r>
        <w:rPr>
          <w:i/>
          <w:lang w:val="fr-CA"/>
        </w:rPr>
        <w:t>d’avis</w:t>
      </w:r>
      <w:r w:rsidRPr="003B3648">
        <w:rPr>
          <w:i/>
          <w:lang w:val="fr-CA"/>
        </w:rPr>
        <w:t xml:space="preserve"> à la majorité que l’erreur commise par le juge du procès lorsqu’il s’est appuyé sur la mauvaise disposition législative pour admettre en pre</w:t>
      </w:r>
      <w:r>
        <w:rPr>
          <w:i/>
          <w:lang w:val="fr-CA"/>
        </w:rPr>
        <w:t xml:space="preserve">uve </w:t>
      </w:r>
      <w:r w:rsidRPr="003B3648">
        <w:rPr>
          <w:i/>
          <w:lang w:val="fr-CA"/>
        </w:rPr>
        <w:t>les données ext</w:t>
      </w:r>
      <w:r>
        <w:rPr>
          <w:i/>
          <w:lang w:val="fr-CA"/>
        </w:rPr>
        <w:t xml:space="preserve">raites du téléphone cellulaire, ainsi que les </w:t>
      </w:r>
      <w:r>
        <w:rPr>
          <w:i/>
          <w:lang w:val="fr-CA"/>
        </w:rPr>
        <w:lastRenderedPageBreak/>
        <w:t xml:space="preserve">possibles erreurs qu’il a commises lorsqu’il a autorisé la Couronne à rouvrir sa preuve en rappelant l’agent de police à la barre des témoins et qu’il a admis en preuve une déclaration de l’accusé sans tenir de voir dire quant au caractère volontaire de celle-ci n’ont pas influencé l’issue du procès </w:t>
      </w:r>
      <w:r w:rsidRPr="00262B6E">
        <w:rPr>
          <w:i/>
          <w:lang w:val="fr-CA"/>
        </w:rPr>
        <w:t>— Cour d</w:t>
      </w:r>
      <w:r>
        <w:rPr>
          <w:i/>
          <w:lang w:val="fr-CA"/>
        </w:rPr>
        <w:t xml:space="preserve">’appel concluant à la majorité que la </w:t>
      </w:r>
      <w:r w:rsidRPr="003F3DA9">
        <w:rPr>
          <w:i/>
          <w:lang w:val="fr-CA"/>
        </w:rPr>
        <w:t>preuve de la Couronne était accablante</w:t>
      </w:r>
      <w:r>
        <w:rPr>
          <w:i/>
          <w:lang w:val="fr-CA"/>
        </w:rPr>
        <w:t xml:space="preserve"> et appliquant la disposition rép</w:t>
      </w:r>
      <w:r w:rsidRPr="00262B6E">
        <w:rPr>
          <w:i/>
          <w:lang w:val="fr-CA"/>
        </w:rPr>
        <w:t>a</w:t>
      </w:r>
      <w:r>
        <w:rPr>
          <w:i/>
          <w:lang w:val="fr-CA"/>
        </w:rPr>
        <w:t>ratrice afin de maintenir les déclarations de culpabilité</w:t>
      </w:r>
      <w:r w:rsidRPr="00262B6E">
        <w:rPr>
          <w:i/>
          <w:lang w:val="fr-CA"/>
        </w:rPr>
        <w:t xml:space="preserve"> — Déclarations de culpabilité confirmées.</w:t>
      </w:r>
    </w:p>
    <w:p w:rsidR="00040D4C" w:rsidRDefault="00040D4C" w:rsidP="00040D4C">
      <w:pPr>
        <w:pStyle w:val="SCCNormalDoubleSpacing"/>
        <w:spacing w:after="720" w:line="240" w:lineRule="auto"/>
        <w:rPr>
          <w:b/>
          <w:lang w:val="fr-CA"/>
        </w:rPr>
      </w:pPr>
      <w:r>
        <w:rPr>
          <w:b/>
          <w:lang w:val="fr-CA"/>
        </w:rPr>
        <w:t>Jurisprudence</w:t>
      </w:r>
    </w:p>
    <w:p w:rsidR="00040D4C" w:rsidRDefault="00040D4C" w:rsidP="00040D4C">
      <w:pPr>
        <w:pStyle w:val="SCCNormalDoubleSpacing"/>
        <w:spacing w:after="720" w:line="240" w:lineRule="auto"/>
        <w:rPr>
          <w:color w:val="000000"/>
          <w:lang w:val="fr-CA"/>
        </w:rPr>
      </w:pPr>
      <w:r>
        <w:rPr>
          <w:color w:val="000000"/>
          <w:lang w:val="fr-CA"/>
        </w:rPr>
        <w:t>Citée par le</w:t>
      </w:r>
      <w:r w:rsidRPr="00B15566">
        <w:rPr>
          <w:color w:val="000000"/>
          <w:lang w:val="fr-CA"/>
        </w:rPr>
        <w:t xml:space="preserve"> juge </w:t>
      </w:r>
      <w:r>
        <w:rPr>
          <w:color w:val="000000"/>
          <w:lang w:val="fr-CA"/>
        </w:rPr>
        <w:t xml:space="preserve">Brown </w:t>
      </w:r>
      <w:r w:rsidRPr="00B15566">
        <w:rPr>
          <w:color w:val="000000"/>
          <w:lang w:val="fr-CA"/>
        </w:rPr>
        <w:t>(dissident)</w:t>
      </w:r>
    </w:p>
    <w:p w:rsidR="00040D4C" w:rsidRPr="00B15566" w:rsidRDefault="00040D4C" w:rsidP="00040D4C">
      <w:pPr>
        <w:pStyle w:val="SCCNormalDoubleSpacing"/>
        <w:spacing w:after="720" w:line="240" w:lineRule="auto"/>
        <w:rPr>
          <w:lang w:val="en-US"/>
        </w:rPr>
      </w:pPr>
      <w:r>
        <w:rPr>
          <w:color w:val="000000"/>
          <w:lang w:val="fr-CA"/>
        </w:rPr>
        <w:tab/>
      </w:r>
      <w:r w:rsidRPr="00B15566">
        <w:rPr>
          <w:i/>
          <w:color w:val="000000"/>
          <w:lang w:val="en-US"/>
        </w:rPr>
        <w:t>R. c. Khan</w:t>
      </w:r>
      <w:r w:rsidRPr="00B15566">
        <w:rPr>
          <w:color w:val="000000"/>
          <w:lang w:val="en-US"/>
        </w:rPr>
        <w:t>, 2001 CSC 86, [2001] 3 R.C.S. 823</w:t>
      </w:r>
      <w:r>
        <w:rPr>
          <w:color w:val="000000"/>
          <w:lang w:val="en-US"/>
        </w:rPr>
        <w:t>.</w:t>
      </w:r>
    </w:p>
    <w:p w:rsidR="00040D4C" w:rsidRPr="004D7D95" w:rsidRDefault="00040D4C" w:rsidP="00040D4C">
      <w:pPr>
        <w:pStyle w:val="SCCNormalDoubleSpacing"/>
        <w:spacing w:after="480"/>
        <w:rPr>
          <w:lang w:val="fr-CA"/>
        </w:rPr>
      </w:pPr>
      <w:r w:rsidRPr="00B15566">
        <w:rPr>
          <w:lang w:val="en-US"/>
        </w:rPr>
        <w:tab/>
      </w:r>
      <w:r w:rsidRPr="004D7D95">
        <w:rPr>
          <w:lang w:val="fr-CA"/>
        </w:rPr>
        <w:t xml:space="preserve">POURVOI contre un arrêt de la </w:t>
      </w:r>
      <w:r w:rsidRPr="00DF76CB">
        <w:rPr>
          <w:lang w:val="fr-CA"/>
        </w:rPr>
        <w:t>Cour d</w:t>
      </w:r>
      <w:r>
        <w:rPr>
          <w:lang w:val="fr-CA"/>
        </w:rPr>
        <w:t xml:space="preserve">’appel de l’Ontario </w:t>
      </w:r>
      <w:r w:rsidRPr="00D2339B">
        <w:rPr>
          <w:lang w:val="fr-CA"/>
        </w:rPr>
        <w:t>(</w:t>
      </w:r>
      <w:r>
        <w:rPr>
          <w:lang w:val="fr-CA"/>
        </w:rPr>
        <w:t xml:space="preserve">les juges </w:t>
      </w:r>
      <w:r w:rsidRPr="00C61246">
        <w:rPr>
          <w:lang w:val="fr-CA"/>
        </w:rPr>
        <w:t>Simmons, Tulloch</w:t>
      </w:r>
      <w:r>
        <w:rPr>
          <w:lang w:val="fr-CA"/>
        </w:rPr>
        <w:t xml:space="preserve"> et </w:t>
      </w:r>
      <w:r w:rsidRPr="00C61246">
        <w:rPr>
          <w:lang w:val="fr-CA"/>
        </w:rPr>
        <w:t>Brown</w:t>
      </w:r>
      <w:r>
        <w:rPr>
          <w:lang w:val="fr-CA"/>
        </w:rPr>
        <w:t xml:space="preserve">), </w:t>
      </w:r>
      <w:r w:rsidRPr="003F3DA9">
        <w:rPr>
          <w:lang w:val="fr-CA"/>
        </w:rPr>
        <w:t xml:space="preserve">2019 ONCA 669, 377 C.C.C. (3d) 335, 442 D.L.R. (4th) 184, [2019] O.J. No. 4438 </w:t>
      </w:r>
      <w:r w:rsidRPr="003F3DA9">
        <w:rPr>
          <w:color w:val="000000"/>
          <w:lang w:val="fr-CA"/>
        </w:rPr>
        <w:t>(</w:t>
      </w:r>
      <w:r w:rsidRPr="003F3DA9">
        <w:rPr>
          <w:lang w:val="fr-CA"/>
        </w:rPr>
        <w:t>QL), 2019 CarswellOnt 14110 (WL Can.), qui a confirmé les déclarations de culpabilité prononcées contre l’accusé pour possession de cocaïne en vue d’en faire le trafic, possession d’oxycodone, production de marijuana et possession de marijuana en vue d’en faire le trafic. Pourvoi rejeté, les juges Brown</w:t>
      </w:r>
      <w:r>
        <w:rPr>
          <w:lang w:val="fr-CA"/>
        </w:rPr>
        <w:t xml:space="preserve"> et Martin sont dissidents. </w:t>
      </w:r>
    </w:p>
    <w:p w:rsidR="00040D4C" w:rsidRPr="00DF76CB" w:rsidRDefault="00040D4C" w:rsidP="00040D4C">
      <w:pPr>
        <w:pStyle w:val="SCCNormalDoubleSpacing"/>
        <w:spacing w:after="480"/>
        <w:rPr>
          <w:lang w:val="fr-CA"/>
        </w:rPr>
      </w:pPr>
      <w:r>
        <w:rPr>
          <w:rStyle w:val="SCCCounselNameChar"/>
          <w:lang w:val="fr-CA"/>
        </w:rPr>
        <w:tab/>
      </w:r>
      <w:r w:rsidRPr="00B15566">
        <w:rPr>
          <w:i/>
          <w:iCs/>
          <w:color w:val="000000"/>
          <w:lang w:val="fr-CA"/>
        </w:rPr>
        <w:t xml:space="preserve">Alice Barton </w:t>
      </w:r>
      <w:r w:rsidRPr="00B15566">
        <w:rPr>
          <w:color w:val="000000"/>
          <w:lang w:val="fr-CA"/>
        </w:rPr>
        <w:t xml:space="preserve">et </w:t>
      </w:r>
      <w:r w:rsidRPr="00B15566">
        <w:rPr>
          <w:i/>
          <w:iCs/>
          <w:color w:val="000000"/>
          <w:lang w:val="fr-CA"/>
        </w:rPr>
        <w:t>Michael Dineen</w:t>
      </w:r>
      <w:r w:rsidRPr="00DF76CB">
        <w:rPr>
          <w:rStyle w:val="SCCCounselPartyRoleChar"/>
          <w:lang w:val="fr-CA"/>
        </w:rPr>
        <w:t>, pour l</w:t>
      </w:r>
      <w:r>
        <w:rPr>
          <w:rStyle w:val="SCCCounselPartyRoleChar"/>
          <w:lang w:val="fr-CA"/>
        </w:rPr>
        <w:t>’appelant</w:t>
      </w:r>
      <w:r w:rsidRPr="00DF76CB">
        <w:rPr>
          <w:rStyle w:val="SCCCounselPartyRoleChar"/>
          <w:lang w:val="fr-CA"/>
        </w:rPr>
        <w:t>.</w:t>
      </w:r>
    </w:p>
    <w:p w:rsidR="00040D4C" w:rsidRDefault="00040D4C" w:rsidP="00040D4C">
      <w:pPr>
        <w:pStyle w:val="SCCNormalDoubleSpacing"/>
        <w:spacing w:after="480"/>
        <w:rPr>
          <w:rStyle w:val="SCCCounselPartyRoleChar"/>
          <w:lang w:val="fr-CA"/>
        </w:rPr>
      </w:pPr>
      <w:r w:rsidRPr="00DF76CB">
        <w:rPr>
          <w:rStyle w:val="SCCCounselNameChar"/>
          <w:lang w:val="fr-CA"/>
        </w:rPr>
        <w:tab/>
      </w:r>
      <w:r w:rsidRPr="00B15566">
        <w:rPr>
          <w:i/>
          <w:iCs/>
          <w:color w:val="000000"/>
          <w:lang w:val="fr-CA"/>
        </w:rPr>
        <w:t xml:space="preserve">Jennifer Conroy </w:t>
      </w:r>
      <w:r w:rsidRPr="00B15566">
        <w:rPr>
          <w:iCs/>
          <w:color w:val="000000"/>
          <w:lang w:val="fr-CA"/>
        </w:rPr>
        <w:t>et</w:t>
      </w:r>
      <w:r w:rsidRPr="00B15566">
        <w:rPr>
          <w:i/>
          <w:iCs/>
          <w:color w:val="000000"/>
          <w:lang w:val="fr-CA"/>
        </w:rPr>
        <w:t xml:space="preserve"> François Lacasse</w:t>
      </w:r>
      <w:r w:rsidRPr="00DF76CB">
        <w:rPr>
          <w:rStyle w:val="SCCCounselPartyRoleChar"/>
          <w:lang w:val="fr-CA"/>
        </w:rPr>
        <w:t>, pour l</w:t>
      </w:r>
      <w:r>
        <w:rPr>
          <w:rStyle w:val="SCCCounselPartyRoleChar"/>
          <w:lang w:val="fr-CA"/>
        </w:rPr>
        <w:t>’intimée</w:t>
      </w:r>
      <w:r w:rsidRPr="00DF76CB">
        <w:rPr>
          <w:rStyle w:val="SCCCounselPartyRoleChar"/>
          <w:lang w:val="fr-CA"/>
        </w:rPr>
        <w:t>.</w:t>
      </w:r>
    </w:p>
    <w:p w:rsidR="00040D4C" w:rsidRDefault="00040D4C" w:rsidP="00040D4C">
      <w:pPr>
        <w:pStyle w:val="SCCNormalDoubleSpacing"/>
        <w:spacing w:after="480"/>
        <w:rPr>
          <w:rStyle w:val="SCCCounselPartyRoleChar"/>
          <w:lang w:val="fr-CA"/>
        </w:rPr>
      </w:pPr>
      <w:r>
        <w:rPr>
          <w:rStyle w:val="SCCCounselPartyRoleChar"/>
          <w:lang w:val="fr-CA"/>
        </w:rPr>
        <w:tab/>
      </w:r>
      <w:r w:rsidRPr="00B15566">
        <w:rPr>
          <w:i/>
          <w:iCs/>
          <w:color w:val="000000"/>
          <w:lang w:val="fr-CA"/>
        </w:rPr>
        <w:t>Nader R. Hasan</w:t>
      </w:r>
      <w:r>
        <w:rPr>
          <w:i/>
          <w:iCs/>
          <w:color w:val="000000"/>
          <w:lang w:val="fr-CA"/>
        </w:rPr>
        <w:t xml:space="preserve"> </w:t>
      </w:r>
      <w:r w:rsidRPr="00B15566">
        <w:rPr>
          <w:iCs/>
          <w:color w:val="000000"/>
          <w:lang w:val="fr-CA"/>
        </w:rPr>
        <w:t>et</w:t>
      </w:r>
      <w:r>
        <w:rPr>
          <w:i/>
          <w:iCs/>
          <w:color w:val="000000"/>
          <w:lang w:val="fr-CA"/>
        </w:rPr>
        <w:t xml:space="preserve"> </w:t>
      </w:r>
      <w:r w:rsidRPr="00B15566">
        <w:rPr>
          <w:i/>
          <w:iCs/>
          <w:color w:val="000000"/>
          <w:lang w:val="fr-CA"/>
        </w:rPr>
        <w:t>Taufiq Hashmani</w:t>
      </w:r>
      <w:r w:rsidRPr="00B15566">
        <w:rPr>
          <w:color w:val="000000"/>
          <w:lang w:val="fr-CA"/>
        </w:rPr>
        <w:t>, pour l’intervenante.</w:t>
      </w:r>
    </w:p>
    <w:p w:rsidR="00040D4C" w:rsidRDefault="00040D4C" w:rsidP="00040D4C">
      <w:pPr>
        <w:pStyle w:val="SCCNormalDoubleSpacing"/>
        <w:widowControl w:val="0"/>
        <w:spacing w:before="480" w:after="480"/>
        <w:rPr>
          <w:rStyle w:val="SCCCounselPartyRoleChar"/>
          <w:lang w:val="fr-CA"/>
        </w:rPr>
      </w:pPr>
      <w:r>
        <w:rPr>
          <w:rStyle w:val="SCCCounselPartyRoleChar"/>
          <w:lang w:val="fr-CA"/>
        </w:rPr>
        <w:lastRenderedPageBreak/>
        <w:tab/>
        <w:t>Version française du jugement des juges Abella, Moldaver et Côté rendu oralement par</w:t>
      </w:r>
    </w:p>
    <w:p w:rsidR="00040D4C" w:rsidRPr="00B15566" w:rsidRDefault="00040D4C" w:rsidP="00040D4C">
      <w:pPr>
        <w:pStyle w:val="ParaNoNdepar-AltN"/>
        <w:tabs>
          <w:tab w:val="clear" w:pos="720"/>
        </w:tabs>
        <w:ind w:left="0" w:firstLine="0"/>
        <w:rPr>
          <w:rFonts w:cs="Times New Roman"/>
          <w:lang w:val="fr-CA"/>
        </w:rPr>
      </w:pPr>
      <w:r w:rsidRPr="0021283C">
        <w:rPr>
          <w:lang w:val="fr-CA"/>
        </w:rPr>
        <w:t>[1]</w:t>
      </w:r>
      <w:r w:rsidRPr="0021283C">
        <w:rPr>
          <w:lang w:val="fr-CA"/>
        </w:rPr>
        <w:tab/>
      </w:r>
      <w:r w:rsidRPr="00B12956">
        <w:rPr>
          <w:smallCaps/>
          <w:lang w:val="fr-CA"/>
        </w:rPr>
        <w:t xml:space="preserve">Le juge Moldaver </w:t>
      </w:r>
      <w:r w:rsidRPr="00A767A5">
        <w:rPr>
          <w:rFonts w:cs="Times New Roman"/>
          <w:lang w:val="fr-CA"/>
        </w:rPr>
        <w:t xml:space="preserve">— </w:t>
      </w:r>
      <w:r w:rsidRPr="00B15566">
        <w:rPr>
          <w:color w:val="000000"/>
          <w:lang w:val="fr-CA"/>
        </w:rPr>
        <w:t>Les juges majoritaires de la Cour sont d’avis que la preuve présentée par la Couronne après la réouverture confirmait pour l’essentiel la preuve qu’elle avait déjà produite et qui démontrait que l’appelant était en possession imputée des drogues en question. Nous convenons avec les juges majoritaires de la Cour d’appel que la preuve présentée avant la réouverture était accablante.</w:t>
      </w:r>
    </w:p>
    <w:p w:rsidR="00040D4C" w:rsidRPr="00D1267A" w:rsidRDefault="00040D4C" w:rsidP="00040D4C">
      <w:pPr>
        <w:pStyle w:val="ParaNoNdepar-AltN"/>
        <w:tabs>
          <w:tab w:val="clear" w:pos="720"/>
        </w:tabs>
        <w:ind w:left="0" w:firstLine="0"/>
        <w:rPr>
          <w:rFonts w:cs="Times New Roman"/>
          <w:lang w:val="fr-CA"/>
        </w:rPr>
      </w:pPr>
      <w:r w:rsidRPr="0021283C">
        <w:rPr>
          <w:lang w:val="fr-CA"/>
        </w:rPr>
        <w:t>[2]</w:t>
      </w:r>
      <w:r w:rsidRPr="0021283C">
        <w:rPr>
          <w:lang w:val="fr-CA"/>
        </w:rPr>
        <w:tab/>
      </w:r>
      <w:r w:rsidRPr="00D1267A">
        <w:rPr>
          <w:color w:val="000000"/>
          <w:lang w:val="fr-CA"/>
        </w:rPr>
        <w:t>Dans les circonstances, nous sommes convaincus que la Cour d’appel n’a pas commis d’erreur en appliquant la disposition réparatrice pour maintenir les déclarations de culpabilité.</w:t>
      </w:r>
    </w:p>
    <w:p w:rsidR="00040D4C" w:rsidRDefault="00040D4C" w:rsidP="00040D4C">
      <w:pPr>
        <w:pStyle w:val="ParaNoNdepar-AltN"/>
        <w:tabs>
          <w:tab w:val="clear" w:pos="720"/>
        </w:tabs>
        <w:ind w:left="0" w:firstLine="0"/>
        <w:rPr>
          <w:color w:val="000000"/>
          <w:lang w:val="fr-CA"/>
        </w:rPr>
      </w:pPr>
      <w:r w:rsidRPr="0021283C">
        <w:rPr>
          <w:lang w:val="fr-CA"/>
        </w:rPr>
        <w:t>[3]</w:t>
      </w:r>
      <w:r w:rsidRPr="0021283C">
        <w:rPr>
          <w:lang w:val="fr-CA"/>
        </w:rPr>
        <w:tab/>
      </w:r>
      <w:r w:rsidRPr="00D1267A">
        <w:rPr>
          <w:color w:val="000000"/>
          <w:lang w:val="fr-CA"/>
        </w:rPr>
        <w:t>Par conséquent, nous sommes d’avis de rejeter le pourvoi</w:t>
      </w:r>
      <w:r>
        <w:rPr>
          <w:color w:val="000000"/>
          <w:lang w:val="fr-CA"/>
        </w:rPr>
        <w:t>.</w:t>
      </w:r>
    </w:p>
    <w:p w:rsidR="00040D4C" w:rsidRDefault="00040D4C" w:rsidP="00040D4C">
      <w:pPr>
        <w:pStyle w:val="ParaNoNdepar-AltN"/>
        <w:tabs>
          <w:tab w:val="clear" w:pos="720"/>
        </w:tabs>
        <w:ind w:left="0" w:firstLine="0"/>
        <w:rPr>
          <w:color w:val="000000"/>
          <w:lang w:val="fr-CA"/>
        </w:rPr>
      </w:pPr>
      <w:r>
        <w:rPr>
          <w:color w:val="000000"/>
          <w:lang w:val="fr-CA"/>
        </w:rPr>
        <w:tab/>
        <w:t>Version française des motifs des juges Brown et Martin rendus oralement par</w:t>
      </w:r>
    </w:p>
    <w:p w:rsidR="00040D4C" w:rsidRPr="00D1267A" w:rsidRDefault="00040D4C" w:rsidP="00040D4C">
      <w:pPr>
        <w:pStyle w:val="SCCNormalDoubleSpacing"/>
        <w:spacing w:after="480"/>
        <w:rPr>
          <w:lang w:val="fr-CA"/>
        </w:rPr>
      </w:pPr>
      <w:r>
        <w:rPr>
          <w:lang w:val="fr-CA"/>
        </w:rPr>
        <w:t>[4</w:t>
      </w:r>
      <w:r w:rsidRPr="0021283C">
        <w:rPr>
          <w:lang w:val="fr-CA"/>
        </w:rPr>
        <w:t>]</w:t>
      </w:r>
      <w:r>
        <w:rPr>
          <w:lang w:val="fr-CA"/>
        </w:rPr>
        <w:t xml:space="preserve"> </w:t>
      </w:r>
      <w:r>
        <w:rPr>
          <w:lang w:val="fr-CA"/>
        </w:rPr>
        <w:tab/>
      </w:r>
      <w:r w:rsidRPr="00D1267A">
        <w:rPr>
          <w:smallCaps/>
          <w:color w:val="000000"/>
          <w:lang w:val="fr-CA"/>
        </w:rPr>
        <w:t>Le juge Brown</w:t>
      </w:r>
      <w:r>
        <w:rPr>
          <w:smallCaps/>
          <w:color w:val="000000"/>
          <w:lang w:val="fr-CA"/>
        </w:rPr>
        <w:t xml:space="preserve"> </w:t>
      </w:r>
      <w:r>
        <w:rPr>
          <w:color w:val="000000"/>
          <w:lang w:val="fr-CA"/>
        </w:rPr>
        <w:t xml:space="preserve">(dissident) </w:t>
      </w:r>
      <w:r w:rsidRPr="00D1267A">
        <w:rPr>
          <w:color w:val="000000"/>
          <w:lang w:val="fr-CA"/>
        </w:rPr>
        <w:t>— Nous accueillerions le pourvoi et ordonnerions la tenue d’un nouveau procès. À notre</w:t>
      </w:r>
      <w:r>
        <w:rPr>
          <w:color w:val="000000"/>
          <w:lang w:val="fr-CA"/>
        </w:rPr>
        <w:t xml:space="preserve"> </w:t>
      </w:r>
      <w:r w:rsidRPr="00D1267A">
        <w:rPr>
          <w:color w:val="000000"/>
          <w:lang w:val="fr-CA"/>
        </w:rPr>
        <w:t>avis, l’erreur qu’a commise le juge du procès en autorisant la Couronne à scinder sa preuve a rendu le procès inéquitable, et l’erreur judiciaire qui en a résulté ne peut être corrigée : </w:t>
      </w:r>
      <w:r w:rsidRPr="00D1267A">
        <w:rPr>
          <w:i/>
          <w:iCs/>
          <w:color w:val="000000"/>
          <w:lang w:val="fr-CA"/>
        </w:rPr>
        <w:t>R. c. Khan</w:t>
      </w:r>
      <w:r w:rsidRPr="00D1267A">
        <w:rPr>
          <w:color w:val="000000"/>
          <w:lang w:val="fr-CA"/>
        </w:rPr>
        <w:t>, 2001 CSC 86, [2001]</w:t>
      </w:r>
      <w:r>
        <w:rPr>
          <w:color w:val="000000"/>
          <w:lang w:val="fr-CA"/>
        </w:rPr>
        <w:t xml:space="preserve"> 3 </w:t>
      </w:r>
      <w:r w:rsidRPr="00D1267A">
        <w:rPr>
          <w:color w:val="000000"/>
          <w:lang w:val="fr-CA"/>
        </w:rPr>
        <w:t>R.C.S. 823, par. 27.</w:t>
      </w:r>
    </w:p>
    <w:p w:rsidR="00040D4C" w:rsidRPr="00DF76CB" w:rsidRDefault="00040D4C" w:rsidP="00040D4C">
      <w:pPr>
        <w:pStyle w:val="SCCNormalDoubleSpacing"/>
        <w:spacing w:after="480"/>
        <w:rPr>
          <w:lang w:val="fr-CA"/>
        </w:rPr>
      </w:pPr>
      <w:r w:rsidRPr="00DF76CB">
        <w:rPr>
          <w:lang w:val="fr-CA"/>
        </w:rPr>
        <w:tab/>
      </w:r>
      <w:r>
        <w:rPr>
          <w:i/>
          <w:lang w:val="fr-CA"/>
        </w:rPr>
        <w:t>Jugement en conséquence.</w:t>
      </w:r>
    </w:p>
    <w:p w:rsidR="00040D4C" w:rsidRPr="00DF76CB" w:rsidRDefault="00040D4C" w:rsidP="00040D4C">
      <w:pPr>
        <w:pStyle w:val="SCCLawFirm"/>
        <w:spacing w:after="480"/>
        <w:rPr>
          <w:lang w:val="fr-CA"/>
        </w:rPr>
      </w:pPr>
      <w:r>
        <w:rPr>
          <w:lang w:val="fr-CA"/>
        </w:rPr>
        <w:tab/>
        <w:t>Procureurs</w:t>
      </w:r>
      <w:r w:rsidRPr="00DF76CB">
        <w:rPr>
          <w:lang w:val="fr-CA"/>
        </w:rPr>
        <w:t xml:space="preserve"> de l</w:t>
      </w:r>
      <w:r>
        <w:rPr>
          <w:lang w:val="fr-CA"/>
        </w:rPr>
        <w:t>’appelant :</w:t>
      </w:r>
      <w:r w:rsidRPr="00A67136">
        <w:rPr>
          <w:lang w:val="fr-CA"/>
        </w:rPr>
        <w:t xml:space="preserve"> Dawe &amp; Dineen, Toronto</w:t>
      </w:r>
      <w:r w:rsidRPr="00DF76CB">
        <w:rPr>
          <w:lang w:val="fr-CA"/>
        </w:rPr>
        <w:t>.</w:t>
      </w:r>
    </w:p>
    <w:p w:rsidR="00040D4C" w:rsidRDefault="00040D4C" w:rsidP="00040D4C">
      <w:pPr>
        <w:pStyle w:val="SCCLawFirm"/>
        <w:spacing w:after="480"/>
        <w:rPr>
          <w:i w:val="0"/>
          <w:lang w:val="fr-CA"/>
        </w:rPr>
      </w:pPr>
      <w:r w:rsidRPr="00DF76CB">
        <w:rPr>
          <w:lang w:val="fr-CA"/>
        </w:rPr>
        <w:lastRenderedPageBreak/>
        <w:tab/>
      </w:r>
      <w:r w:rsidRPr="004F57A0">
        <w:rPr>
          <w:lang w:val="fr-CA"/>
        </w:rPr>
        <w:t>Procureur d</w:t>
      </w:r>
      <w:r w:rsidRPr="00454A0C">
        <w:rPr>
          <w:lang w:val="fr-CA"/>
        </w:rPr>
        <w:t xml:space="preserve">e </w:t>
      </w:r>
      <w:r w:rsidRPr="00A67136">
        <w:rPr>
          <w:lang w:val="fr-CA"/>
        </w:rPr>
        <w:t xml:space="preserve">l’intimée : </w:t>
      </w:r>
      <w:r w:rsidRPr="00A67136">
        <w:rPr>
          <w:iCs/>
          <w:color w:val="000000"/>
          <w:lang w:val="fr-CA"/>
        </w:rPr>
        <w:t>Service des poursuites pénales du Canada, Toronto.</w:t>
      </w:r>
      <w:r>
        <w:rPr>
          <w:lang w:val="fr-CA"/>
        </w:rPr>
        <w:t xml:space="preserve"> </w:t>
      </w:r>
    </w:p>
    <w:p w:rsidR="00040D4C" w:rsidRPr="00A67136" w:rsidRDefault="00040D4C" w:rsidP="00040D4C">
      <w:pPr>
        <w:pStyle w:val="SCCLawFirm"/>
        <w:spacing w:after="480"/>
        <w:rPr>
          <w:lang w:val="fr-CA"/>
        </w:rPr>
      </w:pPr>
      <w:r>
        <w:rPr>
          <w:i w:val="0"/>
          <w:lang w:val="fr-CA"/>
        </w:rPr>
        <w:tab/>
      </w:r>
      <w:r w:rsidRPr="00A67136">
        <w:rPr>
          <w:lang w:val="fr-CA"/>
        </w:rPr>
        <w:t>Procureur</w:t>
      </w:r>
      <w:r>
        <w:rPr>
          <w:lang w:val="fr-CA"/>
        </w:rPr>
        <w:t>s</w:t>
      </w:r>
      <w:r w:rsidRPr="00A67136">
        <w:rPr>
          <w:lang w:val="fr-CA"/>
        </w:rPr>
        <w:t xml:space="preserve"> de l’intervenante : </w:t>
      </w:r>
      <w:r w:rsidRPr="00A67136">
        <w:rPr>
          <w:iCs/>
          <w:color w:val="000000"/>
          <w:lang w:val="fr-CA"/>
        </w:rPr>
        <w:t>S</w:t>
      </w:r>
      <w:r>
        <w:rPr>
          <w:iCs/>
          <w:color w:val="000000"/>
          <w:lang w:val="fr-CA"/>
        </w:rPr>
        <w:t xml:space="preserve">tockwoods, </w:t>
      </w:r>
      <w:r w:rsidRPr="00A67136">
        <w:rPr>
          <w:iCs/>
          <w:color w:val="000000"/>
          <w:lang w:val="fr-CA"/>
        </w:rPr>
        <w:t>Toronto</w:t>
      </w:r>
      <w:r w:rsidRPr="00A67136">
        <w:rPr>
          <w:i w:val="0"/>
          <w:iCs/>
          <w:color w:val="000000"/>
          <w:lang w:val="fr-CA"/>
        </w:rPr>
        <w:t>.</w:t>
      </w:r>
    </w:p>
    <w:p w:rsidR="004D7D95" w:rsidRPr="00040D4C" w:rsidRDefault="004D7D95" w:rsidP="00040D4C">
      <w:pPr>
        <w:rPr>
          <w:lang w:val="fr-CA"/>
        </w:rPr>
      </w:pPr>
    </w:p>
    <w:sectPr w:rsidR="004D7D95" w:rsidRPr="00040D4C" w:rsidSect="003E2E8E">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B6" w:rsidRDefault="00747CB6">
      <w:r>
        <w:separator/>
      </w:r>
    </w:p>
  </w:endnote>
  <w:endnote w:type="continuationSeparator" w:id="0">
    <w:p w:rsidR="00747CB6" w:rsidRDefault="0074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B6" w:rsidRDefault="00747CB6">
      <w:r>
        <w:separator/>
      </w:r>
    </w:p>
  </w:footnote>
  <w:footnote w:type="continuationSeparator" w:id="0">
    <w:p w:rsidR="00747CB6" w:rsidRDefault="0074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AD6"/>
    <w:rsid w:val="00003315"/>
    <w:rsid w:val="00023FC7"/>
    <w:rsid w:val="00025198"/>
    <w:rsid w:val="00040D4C"/>
    <w:rsid w:val="000578A3"/>
    <w:rsid w:val="000648CC"/>
    <w:rsid w:val="000A06A4"/>
    <w:rsid w:val="000B4381"/>
    <w:rsid w:val="000C59B8"/>
    <w:rsid w:val="000C6047"/>
    <w:rsid w:val="000C6AF0"/>
    <w:rsid w:val="000D0A77"/>
    <w:rsid w:val="000D7402"/>
    <w:rsid w:val="000F7993"/>
    <w:rsid w:val="00104F33"/>
    <w:rsid w:val="00111DE2"/>
    <w:rsid w:val="00116B38"/>
    <w:rsid w:val="0013313A"/>
    <w:rsid w:val="00133C97"/>
    <w:rsid w:val="00135406"/>
    <w:rsid w:val="00135972"/>
    <w:rsid w:val="001426A9"/>
    <w:rsid w:val="00154D7C"/>
    <w:rsid w:val="001570B0"/>
    <w:rsid w:val="0015752C"/>
    <w:rsid w:val="00157737"/>
    <w:rsid w:val="00165277"/>
    <w:rsid w:val="00170592"/>
    <w:rsid w:val="001720F7"/>
    <w:rsid w:val="00195D83"/>
    <w:rsid w:val="001A00C1"/>
    <w:rsid w:val="001A3B48"/>
    <w:rsid w:val="001B33E0"/>
    <w:rsid w:val="001B4573"/>
    <w:rsid w:val="001C779F"/>
    <w:rsid w:val="001D2AC1"/>
    <w:rsid w:val="001D2D5F"/>
    <w:rsid w:val="001D327B"/>
    <w:rsid w:val="001D4E88"/>
    <w:rsid w:val="0021283C"/>
    <w:rsid w:val="00220FC2"/>
    <w:rsid w:val="002215BB"/>
    <w:rsid w:val="002222F4"/>
    <w:rsid w:val="00224FC0"/>
    <w:rsid w:val="00225EA4"/>
    <w:rsid w:val="00226EAF"/>
    <w:rsid w:val="00231F3A"/>
    <w:rsid w:val="002406EE"/>
    <w:rsid w:val="00243EC8"/>
    <w:rsid w:val="00262B6E"/>
    <w:rsid w:val="00270D93"/>
    <w:rsid w:val="002745CC"/>
    <w:rsid w:val="002B6FBE"/>
    <w:rsid w:val="002B7924"/>
    <w:rsid w:val="002C10A6"/>
    <w:rsid w:val="002D28C3"/>
    <w:rsid w:val="002D39A4"/>
    <w:rsid w:val="002E6705"/>
    <w:rsid w:val="0030329A"/>
    <w:rsid w:val="00304ED2"/>
    <w:rsid w:val="0031086F"/>
    <w:rsid w:val="0031414C"/>
    <w:rsid w:val="00314E01"/>
    <w:rsid w:val="0032089D"/>
    <w:rsid w:val="003310DE"/>
    <w:rsid w:val="003323B0"/>
    <w:rsid w:val="00335C36"/>
    <w:rsid w:val="00340A49"/>
    <w:rsid w:val="0035169A"/>
    <w:rsid w:val="0035259D"/>
    <w:rsid w:val="00364B18"/>
    <w:rsid w:val="003A125D"/>
    <w:rsid w:val="003A4C70"/>
    <w:rsid w:val="003B215F"/>
    <w:rsid w:val="003B3648"/>
    <w:rsid w:val="003B78DC"/>
    <w:rsid w:val="003C6C56"/>
    <w:rsid w:val="003C799C"/>
    <w:rsid w:val="003D0399"/>
    <w:rsid w:val="003E1C71"/>
    <w:rsid w:val="003F327B"/>
    <w:rsid w:val="00400E04"/>
    <w:rsid w:val="00406166"/>
    <w:rsid w:val="0040704B"/>
    <w:rsid w:val="00410A55"/>
    <w:rsid w:val="00411300"/>
    <w:rsid w:val="00411943"/>
    <w:rsid w:val="00413F17"/>
    <w:rsid w:val="00415417"/>
    <w:rsid w:val="004229C1"/>
    <w:rsid w:val="004251FA"/>
    <w:rsid w:val="00426659"/>
    <w:rsid w:val="00444E87"/>
    <w:rsid w:val="00450352"/>
    <w:rsid w:val="00454A0C"/>
    <w:rsid w:val="00454BDB"/>
    <w:rsid w:val="00465132"/>
    <w:rsid w:val="004678E4"/>
    <w:rsid w:val="0047233B"/>
    <w:rsid w:val="0047362A"/>
    <w:rsid w:val="00480C90"/>
    <w:rsid w:val="0048396F"/>
    <w:rsid w:val="00493C18"/>
    <w:rsid w:val="004A600C"/>
    <w:rsid w:val="004A6118"/>
    <w:rsid w:val="004C478D"/>
    <w:rsid w:val="004D7D95"/>
    <w:rsid w:val="004E1462"/>
    <w:rsid w:val="004E2C26"/>
    <w:rsid w:val="004F57A0"/>
    <w:rsid w:val="005125A8"/>
    <w:rsid w:val="00517549"/>
    <w:rsid w:val="00520ABC"/>
    <w:rsid w:val="00521AE8"/>
    <w:rsid w:val="00527180"/>
    <w:rsid w:val="0053545B"/>
    <w:rsid w:val="005364B5"/>
    <w:rsid w:val="00555291"/>
    <w:rsid w:val="00566AD1"/>
    <w:rsid w:val="00583EDE"/>
    <w:rsid w:val="005968FB"/>
    <w:rsid w:val="005A6079"/>
    <w:rsid w:val="005E4698"/>
    <w:rsid w:val="00603924"/>
    <w:rsid w:val="00610539"/>
    <w:rsid w:val="00613969"/>
    <w:rsid w:val="00625C35"/>
    <w:rsid w:val="00647E49"/>
    <w:rsid w:val="00656313"/>
    <w:rsid w:val="006565F4"/>
    <w:rsid w:val="00684EEA"/>
    <w:rsid w:val="00691AA3"/>
    <w:rsid w:val="0069689B"/>
    <w:rsid w:val="006A3DDB"/>
    <w:rsid w:val="006B5FF5"/>
    <w:rsid w:val="006E5A8B"/>
    <w:rsid w:val="006E6090"/>
    <w:rsid w:val="006F30AF"/>
    <w:rsid w:val="007011BD"/>
    <w:rsid w:val="00701759"/>
    <w:rsid w:val="00702572"/>
    <w:rsid w:val="00705C15"/>
    <w:rsid w:val="007110F6"/>
    <w:rsid w:val="007208D1"/>
    <w:rsid w:val="00744518"/>
    <w:rsid w:val="00747288"/>
    <w:rsid w:val="00747CB6"/>
    <w:rsid w:val="00747DD3"/>
    <w:rsid w:val="007549C8"/>
    <w:rsid w:val="00766D14"/>
    <w:rsid w:val="00767A0F"/>
    <w:rsid w:val="00791272"/>
    <w:rsid w:val="007A05F6"/>
    <w:rsid w:val="007A6AE0"/>
    <w:rsid w:val="007B0225"/>
    <w:rsid w:val="007B6F4A"/>
    <w:rsid w:val="007E1C47"/>
    <w:rsid w:val="007E337A"/>
    <w:rsid w:val="007E5C70"/>
    <w:rsid w:val="007F2FF5"/>
    <w:rsid w:val="007F3F08"/>
    <w:rsid w:val="007F6597"/>
    <w:rsid w:val="00804CC6"/>
    <w:rsid w:val="00817190"/>
    <w:rsid w:val="008260E2"/>
    <w:rsid w:val="008322BD"/>
    <w:rsid w:val="00834F73"/>
    <w:rsid w:val="00864C8A"/>
    <w:rsid w:val="00864CF8"/>
    <w:rsid w:val="0087050C"/>
    <w:rsid w:val="00874914"/>
    <w:rsid w:val="00883377"/>
    <w:rsid w:val="00891422"/>
    <w:rsid w:val="00892E1A"/>
    <w:rsid w:val="008B660A"/>
    <w:rsid w:val="008C01DA"/>
    <w:rsid w:val="008F2674"/>
    <w:rsid w:val="008F7648"/>
    <w:rsid w:val="008F78E9"/>
    <w:rsid w:val="00913EAA"/>
    <w:rsid w:val="009179F9"/>
    <w:rsid w:val="00917C7A"/>
    <w:rsid w:val="00933E5E"/>
    <w:rsid w:val="00935218"/>
    <w:rsid w:val="00937C52"/>
    <w:rsid w:val="009403F3"/>
    <w:rsid w:val="009555B7"/>
    <w:rsid w:val="0095657D"/>
    <w:rsid w:val="009567AA"/>
    <w:rsid w:val="009602C9"/>
    <w:rsid w:val="00967374"/>
    <w:rsid w:val="009730F6"/>
    <w:rsid w:val="00975BE3"/>
    <w:rsid w:val="00981BAA"/>
    <w:rsid w:val="009A343A"/>
    <w:rsid w:val="009B2F23"/>
    <w:rsid w:val="009B4DED"/>
    <w:rsid w:val="009B57B3"/>
    <w:rsid w:val="009D2920"/>
    <w:rsid w:val="009D5AEB"/>
    <w:rsid w:val="009D7708"/>
    <w:rsid w:val="009F0E33"/>
    <w:rsid w:val="00A1137C"/>
    <w:rsid w:val="00A149DF"/>
    <w:rsid w:val="00A1755C"/>
    <w:rsid w:val="00A21B90"/>
    <w:rsid w:val="00A22AAC"/>
    <w:rsid w:val="00A25352"/>
    <w:rsid w:val="00A41805"/>
    <w:rsid w:val="00A51882"/>
    <w:rsid w:val="00A52AFB"/>
    <w:rsid w:val="00A548CB"/>
    <w:rsid w:val="00A5521C"/>
    <w:rsid w:val="00A643E7"/>
    <w:rsid w:val="00A67136"/>
    <w:rsid w:val="00A73C38"/>
    <w:rsid w:val="00A81E6B"/>
    <w:rsid w:val="00A85327"/>
    <w:rsid w:val="00A921A7"/>
    <w:rsid w:val="00AB257D"/>
    <w:rsid w:val="00AB670D"/>
    <w:rsid w:val="00AF03C5"/>
    <w:rsid w:val="00B000D8"/>
    <w:rsid w:val="00B00F75"/>
    <w:rsid w:val="00B10CA8"/>
    <w:rsid w:val="00B145B6"/>
    <w:rsid w:val="00B15566"/>
    <w:rsid w:val="00B279EB"/>
    <w:rsid w:val="00B50C81"/>
    <w:rsid w:val="00B557F8"/>
    <w:rsid w:val="00B73D94"/>
    <w:rsid w:val="00B815FC"/>
    <w:rsid w:val="00B93FBC"/>
    <w:rsid w:val="00B95DB6"/>
    <w:rsid w:val="00BA7DA0"/>
    <w:rsid w:val="00BB2EE4"/>
    <w:rsid w:val="00BB4C92"/>
    <w:rsid w:val="00BC2108"/>
    <w:rsid w:val="00BD0E9E"/>
    <w:rsid w:val="00BD1BEC"/>
    <w:rsid w:val="00BD32FF"/>
    <w:rsid w:val="00BE67F5"/>
    <w:rsid w:val="00BF6FE9"/>
    <w:rsid w:val="00C02092"/>
    <w:rsid w:val="00C24D91"/>
    <w:rsid w:val="00C26DB2"/>
    <w:rsid w:val="00C53722"/>
    <w:rsid w:val="00C53F14"/>
    <w:rsid w:val="00C600CF"/>
    <w:rsid w:val="00C6084F"/>
    <w:rsid w:val="00C61246"/>
    <w:rsid w:val="00C62A66"/>
    <w:rsid w:val="00C65447"/>
    <w:rsid w:val="00C66359"/>
    <w:rsid w:val="00C71458"/>
    <w:rsid w:val="00C77613"/>
    <w:rsid w:val="00C828E7"/>
    <w:rsid w:val="00C86719"/>
    <w:rsid w:val="00C921DD"/>
    <w:rsid w:val="00C957C4"/>
    <w:rsid w:val="00CA6391"/>
    <w:rsid w:val="00CE036E"/>
    <w:rsid w:val="00CE3171"/>
    <w:rsid w:val="00CE321F"/>
    <w:rsid w:val="00CF1601"/>
    <w:rsid w:val="00D0172F"/>
    <w:rsid w:val="00D01E33"/>
    <w:rsid w:val="00D068A7"/>
    <w:rsid w:val="00D1267A"/>
    <w:rsid w:val="00D17476"/>
    <w:rsid w:val="00D17B0E"/>
    <w:rsid w:val="00D20066"/>
    <w:rsid w:val="00D2194E"/>
    <w:rsid w:val="00D2339B"/>
    <w:rsid w:val="00D32086"/>
    <w:rsid w:val="00D33C4B"/>
    <w:rsid w:val="00D37A3F"/>
    <w:rsid w:val="00D4431D"/>
    <w:rsid w:val="00D4667A"/>
    <w:rsid w:val="00D63A1C"/>
    <w:rsid w:val="00D7516F"/>
    <w:rsid w:val="00D95F8E"/>
    <w:rsid w:val="00DA0590"/>
    <w:rsid w:val="00DC1739"/>
    <w:rsid w:val="00DC1788"/>
    <w:rsid w:val="00DC4DE6"/>
    <w:rsid w:val="00DD3380"/>
    <w:rsid w:val="00DE319C"/>
    <w:rsid w:val="00DF0CA8"/>
    <w:rsid w:val="00DF2B48"/>
    <w:rsid w:val="00DF49A7"/>
    <w:rsid w:val="00DF76CB"/>
    <w:rsid w:val="00E0280E"/>
    <w:rsid w:val="00E07EE2"/>
    <w:rsid w:val="00E07FD1"/>
    <w:rsid w:val="00E24573"/>
    <w:rsid w:val="00E25E1E"/>
    <w:rsid w:val="00E27EE7"/>
    <w:rsid w:val="00E35404"/>
    <w:rsid w:val="00E45109"/>
    <w:rsid w:val="00E47B7A"/>
    <w:rsid w:val="00E55776"/>
    <w:rsid w:val="00E56A44"/>
    <w:rsid w:val="00E60269"/>
    <w:rsid w:val="00E95AC1"/>
    <w:rsid w:val="00E97830"/>
    <w:rsid w:val="00EA207A"/>
    <w:rsid w:val="00EE0830"/>
    <w:rsid w:val="00EE6CB8"/>
    <w:rsid w:val="00EF0683"/>
    <w:rsid w:val="00EF5318"/>
    <w:rsid w:val="00F0070C"/>
    <w:rsid w:val="00F00EB7"/>
    <w:rsid w:val="00F36AB6"/>
    <w:rsid w:val="00F37A09"/>
    <w:rsid w:val="00F409CE"/>
    <w:rsid w:val="00F4379D"/>
    <w:rsid w:val="00F50D2D"/>
    <w:rsid w:val="00F56C8B"/>
    <w:rsid w:val="00F62639"/>
    <w:rsid w:val="00F66759"/>
    <w:rsid w:val="00F66810"/>
    <w:rsid w:val="00F84DF4"/>
    <w:rsid w:val="00F85C97"/>
    <w:rsid w:val="00F86741"/>
    <w:rsid w:val="00FB25D0"/>
    <w:rsid w:val="00FB37D2"/>
    <w:rsid w:val="00FC1059"/>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DF76CB"/>
    <w:pPr>
      <w:ind w:left="720"/>
      <w:contextualSpacing/>
    </w:pPr>
  </w:style>
  <w:style w:type="paragraph" w:customStyle="1" w:styleId="ParaNoNdepar-AltN">
    <w:name w:val="Para. No. / Nº de par. - Alt N"/>
    <w:qFormat/>
    <w:rsid w:val="0021283C"/>
    <w:pPr>
      <w:tabs>
        <w:tab w:val="num" w:pos="720"/>
        <w:tab w:val="left" w:pos="1166"/>
      </w:tabs>
      <w:spacing w:before="480" w:after="480" w:line="480" w:lineRule="auto"/>
      <w:ind w:left="720" w:hanging="720"/>
      <w:jc w:val="both"/>
    </w:pPr>
    <w:rPr>
      <w:rFonts w:eastAsiaTheme="minorEastAsia" w:cstheme="minorBidi"/>
      <w:sz w:val="24"/>
      <w:szCs w:val="22"/>
      <w:lang w:eastAsia="en-US"/>
    </w:rPr>
  </w:style>
  <w:style w:type="table" w:styleId="TableGrid">
    <w:name w:val="Table Grid"/>
    <w:basedOn w:val="TableNormal"/>
    <w:uiPriority w:val="59"/>
    <w:rsid w:val="00D33C4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15566"/>
    <w:rPr>
      <w:lang w:val="fr-CA"/>
    </w:rPr>
  </w:style>
  <w:style w:type="character" w:customStyle="1" w:styleId="solexhl">
    <w:name w:val="solexhl"/>
    <w:basedOn w:val="DefaultParagraphFont"/>
    <w:rsid w:val="00D1267A"/>
  </w:style>
  <w:style w:type="paragraph" w:customStyle="1" w:styleId="SCCLsocPrefix">
    <w:name w:val="SCC.Lsoc.Prefix"/>
    <w:basedOn w:val="Normal"/>
    <w:next w:val="Normal"/>
    <w:link w:val="SCCLsocPrefixChar"/>
    <w:rsid w:val="00F8674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86741"/>
    <w:rPr>
      <w:rFonts w:eastAsiaTheme="minorHAnsi" w:cstheme="minorBidi"/>
      <w:b/>
      <w:smallCaps/>
      <w:sz w:val="24"/>
      <w:szCs w:val="24"/>
      <w:lang w:val="fr-CA" w:eastAsia="en-US"/>
    </w:rPr>
  </w:style>
  <w:style w:type="table" w:customStyle="1" w:styleId="TableGrid1">
    <w:name w:val="Table Grid1"/>
    <w:basedOn w:val="TableNormal"/>
    <w:next w:val="TableGrid"/>
    <w:uiPriority w:val="59"/>
    <w:rsid w:val="00F86741"/>
    <w:rPr>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2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2021-11-04T14:07:00Z</dcterms:created>
  <dcterms:modified xsi:type="dcterms:W3CDTF">2023-01-25T02:00:00Z</dcterms:modified>
</cp:coreProperties>
</file>