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491"/>
        <w:gridCol w:w="1745"/>
        <w:gridCol w:w="3026"/>
        <w:gridCol w:w="18"/>
      </w:tblGrid>
      <w:tr w:rsidR="009644E9" w:rsidTr="008E32ED">
        <w:trPr>
          <w:trHeight w:val="1786"/>
        </w:trPr>
        <w:tc>
          <w:tcPr>
            <w:tcW w:w="5000" w:type="pct"/>
            <w:gridSpan w:val="4"/>
          </w:tcPr>
          <w:p w:rsidR="009644E9" w:rsidRDefault="009644E9" w:rsidP="008E32ED">
            <w:pPr>
              <w:jc w:val="center"/>
            </w:pPr>
            <w:r w:rsidRPr="00C22905">
              <w:rPr>
                <w:rFonts w:eastAsia="Calibr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pt;height:64.8pt" o:ole="">
                  <v:imagedata r:id="rId8" o:title=""/>
                </v:shape>
                <o:OLEObject Type="Embed" ProgID="Presentations.Drawing.15" ShapeID="_x0000_i1025" DrawAspect="Content" ObjectID="_1766495904" r:id="rId9"/>
              </w:object>
            </w:r>
          </w:p>
          <w:p w:rsidR="009644E9" w:rsidRDefault="009644E9" w:rsidP="008E32ED">
            <w:pPr>
              <w:spacing w:before="120" w:after="100" w:afterAutospacing="1"/>
              <w:jc w:val="center"/>
              <w:rPr>
                <w:rFonts w:eastAsia="Calibri"/>
              </w:rPr>
            </w:pPr>
            <w:r w:rsidRPr="00C22905">
              <w:rPr>
                <w:rFonts w:eastAsia="Calibri"/>
                <w:b/>
                <w:szCs w:val="24"/>
                <w:lang w:eastAsia="en-US"/>
              </w:rPr>
              <w:t>COUR</w:t>
            </w:r>
            <w:r>
              <w:rPr>
                <w:rFonts w:eastAsia="Calibri"/>
                <w:b/>
                <w:szCs w:val="24"/>
                <w:lang w:eastAsia="en-US"/>
              </w:rPr>
              <w:t xml:space="preserve"> SUPRÊME DU</w:t>
            </w:r>
            <w:r w:rsidRPr="00C22905">
              <w:rPr>
                <w:rFonts w:eastAsia="Calibri"/>
                <w:b/>
                <w:szCs w:val="24"/>
                <w:lang w:eastAsia="en-US"/>
              </w:rPr>
              <w:t xml:space="preserve"> CANADA</w:t>
            </w:r>
          </w:p>
        </w:tc>
      </w:tr>
      <w:tr w:rsidR="009644E9" w:rsidRPr="00067E9C" w:rsidTr="008E32ED">
        <w:trPr>
          <w:gridAfter w:val="1"/>
          <w:wAfter w:w="10" w:type="pct"/>
        </w:trPr>
        <w:tc>
          <w:tcPr>
            <w:tcW w:w="2108" w:type="pct"/>
            <w:tcMar>
              <w:top w:w="284" w:type="dxa"/>
            </w:tcMar>
          </w:tcPr>
          <w:p w:rsidR="009644E9" w:rsidRPr="005F03B5" w:rsidRDefault="009644E9" w:rsidP="008E32ED">
            <w:pPr>
              <w:spacing w:before="100" w:beforeAutospacing="1"/>
              <w:rPr>
                <w:rFonts w:eastAsia="Calibri"/>
                <w:lang w:val="fr-CA"/>
              </w:rPr>
            </w:pPr>
            <w:r w:rsidRPr="00CB5B04">
              <w:rPr>
                <w:b/>
                <w:smallCaps/>
                <w:lang w:val="fr-CA"/>
              </w:rPr>
              <w:t>Référence :</w:t>
            </w:r>
            <w:r w:rsidRPr="00CB5B04">
              <w:rPr>
                <w:lang w:val="fr-CA"/>
              </w:rPr>
              <w:t xml:space="preserve"> </w:t>
            </w:r>
            <w:r>
              <w:rPr>
                <w:lang w:val="fr-CA"/>
              </w:rPr>
              <w:t xml:space="preserve">R. </w:t>
            </w:r>
            <w:r>
              <w:rPr>
                <w:i/>
                <w:lang w:val="fr-CA"/>
              </w:rPr>
              <w:t>c.</w:t>
            </w:r>
            <w:r>
              <w:rPr>
                <w:lang w:val="fr-CA"/>
              </w:rPr>
              <w:t xml:space="preserve"> Murtaza, 2021 CSC 4, [2021] 1 R.C.S. 12</w:t>
            </w:r>
          </w:p>
        </w:tc>
        <w:tc>
          <w:tcPr>
            <w:tcW w:w="1054" w:type="pct"/>
          </w:tcPr>
          <w:p w:rsidR="009644E9" w:rsidRPr="00CB5B04" w:rsidRDefault="009644E9" w:rsidP="008E32ED">
            <w:pPr>
              <w:rPr>
                <w:b/>
                <w:smallCaps/>
                <w:lang w:val="fr-CA"/>
              </w:rPr>
            </w:pPr>
          </w:p>
        </w:tc>
        <w:tc>
          <w:tcPr>
            <w:tcW w:w="1827" w:type="pct"/>
            <w:tcMar>
              <w:top w:w="284" w:type="dxa"/>
            </w:tcMar>
          </w:tcPr>
          <w:p w:rsidR="009644E9" w:rsidRPr="00CB5B04" w:rsidRDefault="009644E9" w:rsidP="008E32ED">
            <w:pPr>
              <w:rPr>
                <w:lang w:val="fr-CA"/>
              </w:rPr>
            </w:pPr>
            <w:r w:rsidRPr="00CB5B04">
              <w:rPr>
                <w:b/>
                <w:smallCaps/>
                <w:lang w:val="fr-CA"/>
              </w:rPr>
              <w:t>Appel entendu :</w:t>
            </w:r>
            <w:r w:rsidRPr="00CB5B04">
              <w:rPr>
                <w:lang w:val="fr-CA"/>
              </w:rPr>
              <w:t xml:space="preserve"> </w:t>
            </w:r>
            <w:r>
              <w:rPr>
                <w:lang w:val="fr-CA"/>
              </w:rPr>
              <w:t>21 janvier 2021</w:t>
            </w:r>
          </w:p>
          <w:p w:rsidR="009644E9" w:rsidRPr="00CB5B04" w:rsidRDefault="009644E9" w:rsidP="008E32ED">
            <w:pPr>
              <w:rPr>
                <w:b/>
                <w:smallCaps/>
                <w:lang w:val="fr-CA"/>
              </w:rPr>
            </w:pPr>
            <w:r w:rsidRPr="00CB5B04">
              <w:rPr>
                <w:b/>
                <w:smallCaps/>
                <w:lang w:val="fr-CA"/>
              </w:rPr>
              <w:t xml:space="preserve">Jugement rendu : </w:t>
            </w:r>
            <w:r>
              <w:rPr>
                <w:lang w:val="fr-CA"/>
              </w:rPr>
              <w:t>21 janvier 2021</w:t>
            </w:r>
          </w:p>
          <w:p w:rsidR="009644E9" w:rsidRPr="00A9085B" w:rsidRDefault="009644E9" w:rsidP="008E32ED">
            <w:pPr>
              <w:rPr>
                <w:rFonts w:eastAsia="Calibri"/>
                <w:lang w:val="fr-CA"/>
              </w:rPr>
            </w:pPr>
            <w:r w:rsidRPr="00A9085B">
              <w:rPr>
                <w:b/>
                <w:smallCaps/>
                <w:lang w:val="fr-CA"/>
              </w:rPr>
              <w:t>Dossier :</w:t>
            </w:r>
            <w:r w:rsidRPr="00A9085B">
              <w:rPr>
                <w:lang w:val="fr-CA"/>
              </w:rPr>
              <w:t xml:space="preserve"> </w:t>
            </w:r>
            <w:r>
              <w:t>39134</w:t>
            </w:r>
          </w:p>
        </w:tc>
      </w:tr>
      <w:tr w:rsidR="009644E9" w:rsidRPr="005F03B5" w:rsidTr="008E32ED">
        <w:tc>
          <w:tcPr>
            <w:tcW w:w="5000" w:type="pct"/>
            <w:gridSpan w:val="4"/>
          </w:tcPr>
          <w:p w:rsidR="009644E9" w:rsidRPr="00EA28F6" w:rsidRDefault="009644E9" w:rsidP="008E32ED">
            <w:pPr>
              <w:rPr>
                <w:rFonts w:eastAsiaTheme="minorHAnsi" w:cstheme="minorBidi"/>
                <w:b/>
                <w:smallCaps/>
                <w:szCs w:val="24"/>
                <w:lang w:val="fr-CA" w:eastAsia="en-US"/>
              </w:rPr>
            </w:pPr>
          </w:p>
          <w:p w:rsidR="009644E9" w:rsidRPr="008E477A" w:rsidRDefault="009644E9" w:rsidP="008E32ED">
            <w:pPr>
              <w:rPr>
                <w:rFonts w:eastAsiaTheme="minorHAnsi" w:cstheme="minorBidi"/>
                <w:b/>
                <w:smallCaps/>
                <w:szCs w:val="24"/>
                <w:lang w:val="fr-CA" w:eastAsia="en-US"/>
              </w:rPr>
            </w:pPr>
            <w:r w:rsidRPr="005F03B5">
              <w:rPr>
                <w:rFonts w:eastAsiaTheme="minorHAnsi" w:cstheme="minorBidi"/>
                <w:b/>
                <w:smallCaps/>
                <w:szCs w:val="24"/>
                <w:lang w:val="fr-CA" w:eastAsia="en-US"/>
              </w:rPr>
              <w:t>Entre </w:t>
            </w:r>
            <w:r>
              <w:rPr>
                <w:rFonts w:eastAsiaTheme="minorHAnsi" w:cstheme="minorBidi"/>
                <w:b/>
                <w:smallCaps/>
                <w:szCs w:val="24"/>
                <w:lang w:val="fr-CA" w:eastAsia="en-US"/>
              </w:rPr>
              <w:t>:</w:t>
            </w:r>
          </w:p>
          <w:p w:rsidR="009644E9" w:rsidRPr="008E477A" w:rsidRDefault="009644E9" w:rsidP="008E32ED">
            <w:pPr>
              <w:jc w:val="center"/>
              <w:rPr>
                <w:rFonts w:eastAsiaTheme="minorHAnsi" w:cstheme="minorBidi"/>
                <w:b/>
                <w:szCs w:val="24"/>
                <w:lang w:val="fr-CA" w:eastAsia="en-US"/>
              </w:rPr>
            </w:pPr>
            <w:r w:rsidRPr="008E477A">
              <w:rPr>
                <w:rFonts w:eastAsiaTheme="minorHAnsi" w:cstheme="minorBidi"/>
                <w:b/>
                <w:szCs w:val="24"/>
                <w:lang w:val="fr-CA" w:eastAsia="en-US"/>
              </w:rPr>
              <w:t>Muneeb Murtaza</w:t>
            </w:r>
          </w:p>
          <w:p w:rsidR="009644E9" w:rsidRPr="005F03B5" w:rsidRDefault="009644E9" w:rsidP="008E32ED">
            <w:pPr>
              <w:jc w:val="center"/>
              <w:rPr>
                <w:rFonts w:eastAsiaTheme="minorHAnsi" w:cstheme="minorBidi"/>
                <w:szCs w:val="24"/>
                <w:lang w:val="fr-CA" w:eastAsia="en-US"/>
              </w:rPr>
            </w:pPr>
            <w:r w:rsidRPr="005F03B5">
              <w:rPr>
                <w:rFonts w:eastAsiaTheme="minorHAnsi" w:cstheme="minorBidi"/>
                <w:szCs w:val="24"/>
                <w:lang w:val="fr-CA" w:eastAsia="en-US"/>
              </w:rPr>
              <w:t>Appelant</w:t>
            </w:r>
          </w:p>
          <w:p w:rsidR="009644E9" w:rsidRPr="008E477A" w:rsidRDefault="009644E9" w:rsidP="008E32ED">
            <w:pPr>
              <w:jc w:val="center"/>
              <w:rPr>
                <w:rFonts w:eastAsiaTheme="minorHAnsi" w:cstheme="minorBidi"/>
                <w:szCs w:val="24"/>
                <w:lang w:val="fr-CA" w:eastAsia="en-US"/>
              </w:rPr>
            </w:pPr>
          </w:p>
          <w:p w:rsidR="009644E9" w:rsidRPr="005F03B5" w:rsidRDefault="009644E9" w:rsidP="008E32ED">
            <w:pPr>
              <w:jc w:val="center"/>
              <w:rPr>
                <w:rFonts w:eastAsiaTheme="minorHAnsi" w:cstheme="minorBidi"/>
                <w:szCs w:val="24"/>
                <w:lang w:val="fr-CA" w:eastAsia="en-US"/>
              </w:rPr>
            </w:pPr>
            <w:r w:rsidRPr="005F03B5">
              <w:rPr>
                <w:rFonts w:eastAsiaTheme="minorHAnsi" w:cstheme="minorBidi"/>
                <w:szCs w:val="24"/>
                <w:lang w:val="fr-CA" w:eastAsia="en-US"/>
              </w:rPr>
              <w:t>et</w:t>
            </w:r>
          </w:p>
          <w:p w:rsidR="009644E9" w:rsidRPr="008E477A" w:rsidRDefault="009644E9" w:rsidP="008E32ED">
            <w:pPr>
              <w:jc w:val="center"/>
              <w:rPr>
                <w:rFonts w:eastAsiaTheme="minorHAnsi" w:cstheme="minorBidi"/>
                <w:szCs w:val="24"/>
                <w:lang w:val="fr-CA" w:eastAsia="en-US"/>
              </w:rPr>
            </w:pPr>
          </w:p>
          <w:p w:rsidR="009644E9" w:rsidRPr="008E477A" w:rsidRDefault="009644E9" w:rsidP="008E32ED">
            <w:pPr>
              <w:jc w:val="center"/>
              <w:rPr>
                <w:rFonts w:eastAsiaTheme="minorHAnsi" w:cstheme="minorBidi"/>
                <w:b/>
                <w:szCs w:val="24"/>
                <w:lang w:val="fr-CA" w:eastAsia="en-US"/>
              </w:rPr>
            </w:pPr>
            <w:r w:rsidRPr="005F03B5">
              <w:rPr>
                <w:rFonts w:eastAsiaTheme="minorHAnsi" w:cstheme="minorBidi"/>
                <w:b/>
                <w:szCs w:val="24"/>
                <w:lang w:val="fr-CA" w:eastAsia="en-US"/>
              </w:rPr>
              <w:t>S</w:t>
            </w:r>
            <w:r>
              <w:rPr>
                <w:rFonts w:eastAsiaTheme="minorHAnsi" w:cstheme="minorBidi"/>
                <w:b/>
                <w:szCs w:val="24"/>
                <w:lang w:val="fr-CA" w:eastAsia="en-US"/>
              </w:rPr>
              <w:t>a Majesté la Reine</w:t>
            </w:r>
          </w:p>
          <w:p w:rsidR="009644E9" w:rsidRPr="005F03B5" w:rsidRDefault="009644E9" w:rsidP="008E32ED">
            <w:pPr>
              <w:jc w:val="center"/>
              <w:rPr>
                <w:rFonts w:eastAsiaTheme="minorHAnsi" w:cstheme="minorBidi"/>
                <w:szCs w:val="24"/>
                <w:lang w:eastAsia="en-US"/>
              </w:rPr>
            </w:pPr>
            <w:r>
              <w:rPr>
                <w:rFonts w:eastAsiaTheme="minorHAnsi" w:cstheme="minorBidi"/>
                <w:szCs w:val="24"/>
                <w:lang w:eastAsia="en-US"/>
              </w:rPr>
              <w:t>Intimée</w:t>
            </w:r>
          </w:p>
          <w:p w:rsidR="009644E9" w:rsidRDefault="009644E9" w:rsidP="008E32ED">
            <w:pPr>
              <w:rPr>
                <w:rFonts w:eastAsiaTheme="minorHAnsi" w:cstheme="minorBidi"/>
                <w:szCs w:val="24"/>
                <w:lang w:val="fr-CA" w:eastAsia="en-US"/>
              </w:rPr>
            </w:pPr>
          </w:p>
          <w:p w:rsidR="009644E9" w:rsidRPr="00CB5B04" w:rsidRDefault="009644E9" w:rsidP="008E32ED">
            <w:pPr>
              <w:rPr>
                <w:rFonts w:eastAsiaTheme="minorHAnsi" w:cstheme="minorBidi"/>
                <w:szCs w:val="24"/>
                <w:lang w:val="fr-CA" w:eastAsia="en-US"/>
              </w:rPr>
            </w:pPr>
          </w:p>
          <w:p w:rsidR="009644E9" w:rsidRPr="00EA28F6" w:rsidRDefault="009644E9" w:rsidP="008E32ED">
            <w:pPr>
              <w:jc w:val="center"/>
              <w:rPr>
                <w:rFonts w:eastAsiaTheme="minorHAnsi" w:cstheme="minorBidi"/>
                <w:b/>
                <w:smallCaps/>
                <w:szCs w:val="24"/>
                <w:lang w:val="fr-CA" w:eastAsia="en-US"/>
              </w:rPr>
            </w:pPr>
            <w:r w:rsidRPr="00CB5B04">
              <w:rPr>
                <w:rFonts w:eastAsiaTheme="minorHAnsi" w:cstheme="minorBidi"/>
                <w:b/>
                <w:smallCaps/>
                <w:szCs w:val="24"/>
                <w:lang w:val="fr-CA" w:eastAsia="en-US"/>
              </w:rPr>
              <w:t>Traduction française officielle</w:t>
            </w:r>
          </w:p>
        </w:tc>
      </w:tr>
    </w:tbl>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560"/>
        <w:gridCol w:w="6702"/>
        <w:gridCol w:w="18"/>
      </w:tblGrid>
      <w:tr w:rsidR="009644E9" w:rsidRPr="003A59AD" w:rsidTr="008E32ED">
        <w:trPr>
          <w:cantSplit/>
          <w:trHeight w:val="508"/>
        </w:trPr>
        <w:tc>
          <w:tcPr>
            <w:tcW w:w="5000" w:type="pct"/>
            <w:gridSpan w:val="3"/>
            <w:tcMar>
              <w:top w:w="284" w:type="dxa"/>
              <w:bottom w:w="57" w:type="dxa"/>
            </w:tcMar>
            <w:vAlign w:val="center"/>
          </w:tcPr>
          <w:p w:rsidR="009644E9" w:rsidRDefault="009644E9" w:rsidP="008E32ED">
            <w:pPr>
              <w:rPr>
                <w:lang w:val="fr-CA"/>
              </w:rPr>
            </w:pPr>
            <w:r w:rsidRPr="00CB5B04">
              <w:rPr>
                <w:b/>
                <w:smallCaps/>
                <w:lang w:val="fr-CA"/>
              </w:rPr>
              <w:t>Coram :</w:t>
            </w:r>
            <w:r w:rsidRPr="00CB5B04">
              <w:rPr>
                <w:lang w:val="fr-CA"/>
              </w:rPr>
              <w:t xml:space="preserve"> Le juge en chef Wagner et les juges Abella, Moldaver, Karakat</w:t>
            </w:r>
            <w:r>
              <w:rPr>
                <w:lang w:val="fr-CA"/>
              </w:rPr>
              <w:t>sanis, Côté, Brown</w:t>
            </w:r>
            <w:r w:rsidRPr="00CB5B04">
              <w:rPr>
                <w:lang w:val="fr-CA"/>
              </w:rPr>
              <w:t xml:space="preserve"> et Kasirer</w:t>
            </w:r>
          </w:p>
          <w:p w:rsidR="009644E9" w:rsidRPr="00CB5B04" w:rsidRDefault="009644E9" w:rsidP="008E32ED">
            <w:pPr>
              <w:rPr>
                <w:lang w:val="fr-CA"/>
              </w:rPr>
            </w:pPr>
          </w:p>
        </w:tc>
      </w:tr>
      <w:tr w:rsidR="009644E9" w:rsidRPr="00067E9C" w:rsidTr="009644E9">
        <w:trPr>
          <w:gridAfter w:val="1"/>
          <w:wAfter w:w="11" w:type="pct"/>
          <w:cantSplit/>
        </w:trPr>
        <w:tc>
          <w:tcPr>
            <w:tcW w:w="942" w:type="pct"/>
            <w:tcMar>
              <w:top w:w="284" w:type="dxa"/>
              <w:bottom w:w="57" w:type="dxa"/>
            </w:tcMar>
            <w:vAlign w:val="center"/>
          </w:tcPr>
          <w:p w:rsidR="009644E9" w:rsidRPr="007B3D74" w:rsidRDefault="009644E9" w:rsidP="008E32ED">
            <w:pPr>
              <w:rPr>
                <w:b/>
                <w:smallCaps/>
                <w:lang w:val="fr-CA"/>
              </w:rPr>
            </w:pPr>
            <w:r w:rsidRPr="007B3D74">
              <w:rPr>
                <w:b/>
                <w:smallCaps/>
                <w:lang w:val="fr-CA"/>
              </w:rPr>
              <w:t>Jugement</w:t>
            </w:r>
            <w:r>
              <w:rPr>
                <w:b/>
                <w:smallCaps/>
                <w:lang w:val="fr-CA"/>
              </w:rPr>
              <w:t xml:space="preserve"> lu par : </w:t>
            </w:r>
          </w:p>
          <w:p w:rsidR="009644E9" w:rsidRPr="007B3D74" w:rsidRDefault="009644E9" w:rsidP="008E32ED">
            <w:pPr>
              <w:rPr>
                <w:b/>
                <w:smallCaps/>
                <w:lang w:val="fr-CA"/>
              </w:rPr>
            </w:pPr>
            <w:r w:rsidRPr="007B3D74">
              <w:rPr>
                <w:lang w:val="fr-CA"/>
              </w:rPr>
              <w:t>(par. 1</w:t>
            </w:r>
            <w:r>
              <w:rPr>
                <w:lang w:val="fr-CA"/>
              </w:rPr>
              <w:t xml:space="preserve"> à 2</w:t>
            </w:r>
            <w:r w:rsidRPr="007B3D74">
              <w:rPr>
                <w:lang w:val="fr-CA"/>
              </w:rPr>
              <w:t>)</w:t>
            </w:r>
          </w:p>
        </w:tc>
        <w:tc>
          <w:tcPr>
            <w:tcW w:w="4047" w:type="pct"/>
            <w:tcMar>
              <w:top w:w="284" w:type="dxa"/>
            </w:tcMar>
            <w:vAlign w:val="center"/>
          </w:tcPr>
          <w:p w:rsidR="009644E9" w:rsidRDefault="009644E9" w:rsidP="008E32ED">
            <w:pPr>
              <w:rPr>
                <w:b/>
                <w:smallCaps/>
                <w:lang w:val="fr-CA"/>
              </w:rPr>
            </w:pPr>
            <w:r>
              <w:rPr>
                <w:lang w:val="fr-CA"/>
              </w:rPr>
              <w:t>Le juge en chef Wagner</w:t>
            </w:r>
          </w:p>
          <w:p w:rsidR="009644E9" w:rsidRPr="007B3D74" w:rsidRDefault="009644E9" w:rsidP="008E32ED">
            <w:pPr>
              <w:rPr>
                <w:b/>
                <w:smallCaps/>
                <w:lang w:val="fr-CA"/>
              </w:rPr>
            </w:pPr>
          </w:p>
        </w:tc>
      </w:tr>
      <w:tr w:rsidR="009644E9" w:rsidRPr="003A59AD" w:rsidTr="009644E9">
        <w:trPr>
          <w:gridAfter w:val="1"/>
          <w:wAfter w:w="11" w:type="pct"/>
          <w:cantSplit/>
        </w:trPr>
        <w:tc>
          <w:tcPr>
            <w:tcW w:w="942" w:type="pct"/>
            <w:tcMar>
              <w:top w:w="284" w:type="dxa"/>
              <w:bottom w:w="57" w:type="dxa"/>
            </w:tcMar>
            <w:vAlign w:val="center"/>
          </w:tcPr>
          <w:p w:rsidR="009644E9" w:rsidRPr="007B3D74" w:rsidRDefault="009644E9" w:rsidP="008E32ED">
            <w:pPr>
              <w:rPr>
                <w:b/>
                <w:smallCaps/>
                <w:lang w:val="fr-CA"/>
              </w:rPr>
            </w:pPr>
            <w:r>
              <w:rPr>
                <w:b/>
                <w:smallCaps/>
                <w:lang w:val="fr-CA"/>
              </w:rPr>
              <w:t>Majorité :</w:t>
            </w:r>
          </w:p>
        </w:tc>
        <w:tc>
          <w:tcPr>
            <w:tcW w:w="4047" w:type="pct"/>
            <w:tcMar>
              <w:top w:w="284" w:type="dxa"/>
            </w:tcMar>
            <w:vAlign w:val="center"/>
          </w:tcPr>
          <w:p w:rsidR="009644E9" w:rsidRPr="004707F9" w:rsidRDefault="009644E9" w:rsidP="008E32ED">
            <w:pPr>
              <w:rPr>
                <w:lang w:val="fr-CA"/>
              </w:rPr>
            </w:pPr>
            <w:r w:rsidRPr="00CB5B04">
              <w:rPr>
                <w:lang w:val="fr-CA"/>
              </w:rPr>
              <w:t>Le juge en chef Wagner et les juges Abella, Moldaver, Karakat</w:t>
            </w:r>
            <w:r>
              <w:rPr>
                <w:lang w:val="fr-CA"/>
              </w:rPr>
              <w:t>sanis, Côté et Kasirer</w:t>
            </w:r>
          </w:p>
        </w:tc>
      </w:tr>
      <w:tr w:rsidR="009644E9" w:rsidRPr="00067E9C" w:rsidTr="009644E9">
        <w:trPr>
          <w:gridAfter w:val="1"/>
          <w:wAfter w:w="11" w:type="pct"/>
          <w:cantSplit/>
        </w:trPr>
        <w:tc>
          <w:tcPr>
            <w:tcW w:w="942" w:type="pct"/>
            <w:tcMar>
              <w:top w:w="284" w:type="dxa"/>
              <w:bottom w:w="57" w:type="dxa"/>
            </w:tcMar>
            <w:vAlign w:val="center"/>
          </w:tcPr>
          <w:p w:rsidR="009644E9" w:rsidRDefault="009644E9" w:rsidP="008E32ED">
            <w:pPr>
              <w:rPr>
                <w:b/>
                <w:smallCaps/>
                <w:lang w:val="fr-CA"/>
              </w:rPr>
            </w:pPr>
            <w:r>
              <w:rPr>
                <w:b/>
                <w:smallCaps/>
                <w:lang w:val="fr-CA"/>
              </w:rPr>
              <w:t>Dissidence :</w:t>
            </w:r>
          </w:p>
        </w:tc>
        <w:tc>
          <w:tcPr>
            <w:tcW w:w="4047" w:type="pct"/>
            <w:tcMar>
              <w:top w:w="284" w:type="dxa"/>
            </w:tcMar>
            <w:vAlign w:val="center"/>
          </w:tcPr>
          <w:p w:rsidR="009644E9" w:rsidRPr="004707F9" w:rsidRDefault="009644E9" w:rsidP="008E32ED">
            <w:pPr>
              <w:rPr>
                <w:lang w:val="fr-CA"/>
              </w:rPr>
            </w:pPr>
            <w:r>
              <w:rPr>
                <w:lang w:val="fr-CA"/>
              </w:rPr>
              <w:t>Le juge Brown</w:t>
            </w:r>
            <w:bookmarkStart w:id="0" w:name="_GoBack"/>
            <w:bookmarkEnd w:id="0"/>
          </w:p>
        </w:tc>
      </w:tr>
    </w:tbl>
    <w:tbl>
      <w:tblPr>
        <w:tblStyle w:val="TableGrid"/>
        <w:tblW w:w="100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026"/>
        <w:gridCol w:w="4034"/>
        <w:gridCol w:w="3020"/>
        <w:gridCol w:w="6"/>
      </w:tblGrid>
      <w:tr w:rsidR="009644E9" w:rsidRPr="009048AE" w:rsidTr="008E32ED">
        <w:trPr>
          <w:gridAfter w:val="1"/>
          <w:wAfter w:w="6" w:type="dxa"/>
        </w:trPr>
        <w:tc>
          <w:tcPr>
            <w:tcW w:w="10080" w:type="dxa"/>
            <w:gridSpan w:val="3"/>
          </w:tcPr>
          <w:p w:rsidR="009644E9" w:rsidRPr="00EB1401" w:rsidRDefault="009644E9" w:rsidP="008E32ED">
            <w:pPr>
              <w:jc w:val="both"/>
              <w:rPr>
                <w:lang w:val="fr-CA"/>
              </w:rPr>
            </w:pPr>
          </w:p>
        </w:tc>
      </w:tr>
      <w:tr w:rsidR="009644E9" w:rsidRPr="003A59AD" w:rsidTr="008E32ED">
        <w:tblPrEx>
          <w:tblCellMar>
            <w:top w:w="0" w:type="dxa"/>
            <w:left w:w="108" w:type="dxa"/>
            <w:bottom w:w="0" w:type="dxa"/>
            <w:right w:w="108" w:type="dxa"/>
          </w:tblCellMar>
        </w:tblPrEx>
        <w:tc>
          <w:tcPr>
            <w:tcW w:w="3026" w:type="dxa"/>
            <w:tcMar>
              <w:top w:w="284" w:type="dxa"/>
            </w:tcMar>
          </w:tcPr>
          <w:p w:rsidR="009644E9" w:rsidRPr="00A9085B" w:rsidRDefault="009644E9" w:rsidP="008E32ED">
            <w:pPr>
              <w:rPr>
                <w:rFonts w:eastAsia="Calibri"/>
                <w:szCs w:val="24"/>
                <w:lang w:val="fr-CA" w:eastAsia="en-US"/>
              </w:rPr>
            </w:pPr>
          </w:p>
        </w:tc>
        <w:tc>
          <w:tcPr>
            <w:tcW w:w="4034" w:type="dxa"/>
            <w:tcBorders>
              <w:bottom w:val="single" w:sz="4" w:space="0" w:color="auto"/>
            </w:tcBorders>
            <w:tcMar>
              <w:top w:w="284" w:type="dxa"/>
            </w:tcMar>
          </w:tcPr>
          <w:p w:rsidR="009644E9" w:rsidRPr="00A9085B" w:rsidRDefault="009644E9" w:rsidP="008E32ED">
            <w:pPr>
              <w:rPr>
                <w:rFonts w:eastAsia="Calibri"/>
                <w:szCs w:val="24"/>
                <w:lang w:val="fr-CA" w:eastAsia="en-US"/>
              </w:rPr>
            </w:pPr>
          </w:p>
        </w:tc>
        <w:tc>
          <w:tcPr>
            <w:tcW w:w="3026" w:type="dxa"/>
            <w:gridSpan w:val="2"/>
            <w:tcMar>
              <w:top w:w="284" w:type="dxa"/>
            </w:tcMar>
          </w:tcPr>
          <w:p w:rsidR="009644E9" w:rsidRPr="00A9085B" w:rsidRDefault="009644E9" w:rsidP="008E32ED">
            <w:pPr>
              <w:rPr>
                <w:rFonts w:eastAsia="Calibri"/>
                <w:szCs w:val="24"/>
                <w:lang w:val="fr-CA" w:eastAsia="en-US"/>
              </w:rPr>
            </w:pPr>
          </w:p>
        </w:tc>
      </w:tr>
    </w:tbl>
    <w:p w:rsidR="009644E9" w:rsidRDefault="009644E9" w:rsidP="003970FA">
      <w:pPr>
        <w:spacing w:after="720"/>
        <w:jc w:val="both"/>
        <w:rPr>
          <w:smallCaps/>
          <w:lang w:val="fr-CA"/>
        </w:rPr>
        <w:sectPr w:rsidR="009644E9" w:rsidSect="000648CC">
          <w:pgSz w:w="12240" w:h="15840"/>
          <w:pgMar w:top="1267" w:right="2160" w:bottom="720" w:left="1800" w:header="1802" w:footer="720" w:gutter="0"/>
          <w:cols w:space="720"/>
          <w:docGrid w:linePitch="326"/>
        </w:sectPr>
      </w:pPr>
    </w:p>
    <w:p w:rsidR="003970FA" w:rsidRPr="00A758C7" w:rsidRDefault="003970FA" w:rsidP="003970FA">
      <w:pPr>
        <w:spacing w:after="720"/>
        <w:jc w:val="both"/>
        <w:rPr>
          <w:lang w:val="fr-CA"/>
        </w:rPr>
      </w:pPr>
      <w:r w:rsidRPr="00A758C7">
        <w:rPr>
          <w:smallCaps/>
          <w:lang w:val="fr-CA"/>
        </w:rPr>
        <w:lastRenderedPageBreak/>
        <w:t xml:space="preserve">r. </w:t>
      </w:r>
      <w:r w:rsidRPr="00A758C7">
        <w:rPr>
          <w:i/>
          <w:lang w:val="fr-CA"/>
        </w:rPr>
        <w:t>c.</w:t>
      </w:r>
      <w:r w:rsidRPr="00A758C7">
        <w:rPr>
          <w:lang w:val="fr-CA"/>
        </w:rPr>
        <w:t xml:space="preserve"> </w:t>
      </w:r>
      <w:r w:rsidRPr="00211B61">
        <w:rPr>
          <w:smallCaps/>
          <w:lang w:val="fr-CA"/>
        </w:rPr>
        <w:t>murtaza</w:t>
      </w:r>
    </w:p>
    <w:p w:rsidR="003970FA" w:rsidRPr="00A758C7" w:rsidRDefault="003970FA" w:rsidP="003970FA">
      <w:pPr>
        <w:pStyle w:val="SCCLsocLastPartyInRole"/>
        <w:rPr>
          <w:lang w:val="fr-CA"/>
        </w:rPr>
      </w:pPr>
      <w:r w:rsidRPr="00A758C7">
        <w:rPr>
          <w:bCs/>
          <w:lang w:val="fr-CA"/>
        </w:rPr>
        <w:t>Muneeb Murtaza</w:t>
      </w:r>
      <w:r>
        <w:rPr>
          <w:rStyle w:val="SCCLsocPartyRole"/>
          <w:lang w:val="fr-CA"/>
        </w:rPr>
        <w:tab/>
        <w:t>Appelant</w:t>
      </w:r>
    </w:p>
    <w:p w:rsidR="003970FA" w:rsidRPr="00E834D6" w:rsidRDefault="003970FA" w:rsidP="003970FA">
      <w:pPr>
        <w:pStyle w:val="SCCLsocVersus"/>
        <w:rPr>
          <w:lang w:val="fr-CA"/>
        </w:rPr>
      </w:pPr>
      <w:r w:rsidRPr="00E834D6">
        <w:rPr>
          <w:lang w:val="fr-CA"/>
        </w:rPr>
        <w:t>c.</w:t>
      </w:r>
    </w:p>
    <w:p w:rsidR="003970FA" w:rsidRPr="00A758C7" w:rsidRDefault="003970FA" w:rsidP="003970FA">
      <w:pPr>
        <w:pStyle w:val="SCCLsocLastPartyInRole"/>
        <w:rPr>
          <w:lang w:val="fr-CA"/>
        </w:rPr>
      </w:pPr>
      <w:r w:rsidRPr="00E834D6">
        <w:rPr>
          <w:bCs/>
          <w:lang w:val="fr-CA"/>
        </w:rPr>
        <w:t>Sa Majesté la Reine</w:t>
      </w:r>
      <w:r w:rsidRPr="00A758C7">
        <w:rPr>
          <w:rStyle w:val="SCCLsocPartyRole"/>
          <w:lang w:val="fr-CA"/>
        </w:rPr>
        <w:tab/>
        <w:t>Intimée</w:t>
      </w:r>
    </w:p>
    <w:p w:rsidR="003970FA" w:rsidRPr="00A758C7" w:rsidRDefault="003970FA" w:rsidP="003970FA">
      <w:pPr>
        <w:spacing w:after="720"/>
        <w:jc w:val="both"/>
        <w:rPr>
          <w:b/>
          <w:lang w:val="fr-CA"/>
        </w:rPr>
      </w:pPr>
      <w:r>
        <w:rPr>
          <w:b/>
          <w:lang w:val="fr-CA"/>
        </w:rPr>
        <w:t xml:space="preserve">Répertorié : R. </w:t>
      </w:r>
      <w:r w:rsidRPr="00A758C7">
        <w:rPr>
          <w:b/>
          <w:i/>
          <w:iCs/>
          <w:lang w:val="fr-CA"/>
        </w:rPr>
        <w:t>c.</w:t>
      </w:r>
      <w:r>
        <w:rPr>
          <w:b/>
          <w:lang w:val="fr-CA"/>
        </w:rPr>
        <w:t xml:space="preserve"> </w:t>
      </w:r>
      <w:r w:rsidRPr="00A758C7">
        <w:rPr>
          <w:b/>
          <w:lang w:val="fr-CA"/>
        </w:rPr>
        <w:t>Murtaza</w:t>
      </w:r>
    </w:p>
    <w:p w:rsidR="003970FA" w:rsidRPr="00A758C7" w:rsidRDefault="003970FA" w:rsidP="003970FA">
      <w:pPr>
        <w:pStyle w:val="SCCSystemYear"/>
        <w:spacing w:after="720"/>
        <w:jc w:val="both"/>
        <w:rPr>
          <w:lang w:val="fr-CA"/>
        </w:rPr>
      </w:pPr>
      <w:r w:rsidRPr="00A758C7">
        <w:rPr>
          <w:lang w:val="fr-CA"/>
        </w:rPr>
        <w:t>2021</w:t>
      </w:r>
      <w:r>
        <w:rPr>
          <w:lang w:val="fr-CA"/>
        </w:rPr>
        <w:t xml:space="preserve"> CSC </w:t>
      </w:r>
      <w:r w:rsidRPr="00A758C7">
        <w:rPr>
          <w:color w:val="000000"/>
          <w:lang w:val="fr-CA"/>
        </w:rPr>
        <w:t>4</w:t>
      </w:r>
    </w:p>
    <w:p w:rsidR="003970FA" w:rsidRPr="00AE3A60" w:rsidRDefault="003970FA" w:rsidP="003970FA">
      <w:pPr>
        <w:spacing w:after="720"/>
        <w:jc w:val="both"/>
        <w:rPr>
          <w:lang w:val="fr-CA"/>
        </w:rPr>
      </w:pPr>
      <w:r w:rsidRPr="00AE3A60">
        <w:rPr>
          <w:lang w:val="fr-CA"/>
        </w:rPr>
        <w:t>N</w:t>
      </w:r>
      <w:r w:rsidRPr="00AE3A60">
        <w:rPr>
          <w:vertAlign w:val="superscript"/>
          <w:lang w:val="fr-CA"/>
        </w:rPr>
        <w:t>o</w:t>
      </w:r>
      <w:r>
        <w:rPr>
          <w:lang w:val="fr-CA"/>
        </w:rPr>
        <w:t xml:space="preserve"> du greffe : </w:t>
      </w:r>
      <w:r w:rsidRPr="00A758C7">
        <w:rPr>
          <w:color w:val="000000"/>
          <w:lang w:val="fr-CA"/>
        </w:rPr>
        <w:t>39134</w:t>
      </w:r>
      <w:r w:rsidRPr="00AE3A60">
        <w:rPr>
          <w:lang w:val="fr-CA"/>
        </w:rPr>
        <w:t>.</w:t>
      </w:r>
    </w:p>
    <w:p w:rsidR="003970FA" w:rsidRPr="00AE3A60" w:rsidRDefault="003970FA" w:rsidP="003970FA">
      <w:pPr>
        <w:spacing w:after="720"/>
        <w:jc w:val="both"/>
        <w:rPr>
          <w:lang w:val="fr-CA"/>
        </w:rPr>
      </w:pPr>
      <w:r w:rsidRPr="00AE3A60">
        <w:rPr>
          <w:lang w:val="fr-CA"/>
        </w:rPr>
        <w:t>2021</w:t>
      </w:r>
      <w:r>
        <w:rPr>
          <w:lang w:val="fr-CA"/>
        </w:rPr>
        <w:t> </w:t>
      </w:r>
      <w:r w:rsidRPr="00AE3A60">
        <w:rPr>
          <w:lang w:val="fr-CA"/>
        </w:rPr>
        <w:t>:</w:t>
      </w:r>
      <w:r>
        <w:rPr>
          <w:lang w:val="fr-CA"/>
        </w:rPr>
        <w:t xml:space="preserve"> 21 janvier</w:t>
      </w:r>
      <w:r w:rsidRPr="00AE3A60">
        <w:rPr>
          <w:lang w:val="fr-CA"/>
        </w:rPr>
        <w:t>.</w:t>
      </w:r>
    </w:p>
    <w:p w:rsidR="003970FA" w:rsidRPr="006517E8" w:rsidRDefault="003970FA" w:rsidP="003970FA">
      <w:pPr>
        <w:spacing w:after="720"/>
        <w:jc w:val="both"/>
        <w:rPr>
          <w:lang w:val="fr-CA"/>
        </w:rPr>
      </w:pPr>
      <w:r>
        <w:rPr>
          <w:lang w:val="fr-CA"/>
        </w:rPr>
        <w:t xml:space="preserve">Présents : </w:t>
      </w:r>
      <w:r w:rsidRPr="00A758C7">
        <w:rPr>
          <w:color w:val="000000"/>
          <w:lang w:val="fr-CA"/>
        </w:rPr>
        <w:t>Le juge en chef Wagner et les juges Abella, Moldaver, Karakatsanis, Côté, Brown et Kasirer</w:t>
      </w:r>
      <w:r>
        <w:rPr>
          <w:color w:val="000000"/>
          <w:lang w:val="fr-CA"/>
        </w:rPr>
        <w:t>.</w:t>
      </w:r>
    </w:p>
    <w:p w:rsidR="003970FA" w:rsidRPr="006517E8" w:rsidRDefault="003970FA" w:rsidP="003970FA">
      <w:pPr>
        <w:spacing w:after="720"/>
        <w:jc w:val="both"/>
        <w:rPr>
          <w:smallCaps/>
          <w:lang w:val="fr-CA"/>
        </w:rPr>
      </w:pPr>
      <w:r w:rsidRPr="006517E8">
        <w:rPr>
          <w:smallCaps/>
          <w:lang w:val="fr-CA"/>
        </w:rPr>
        <w:t xml:space="preserve">en appel de la </w:t>
      </w:r>
      <w:r>
        <w:rPr>
          <w:smallCaps/>
          <w:lang w:val="fr-CA"/>
        </w:rPr>
        <w:t>cour d’appel de l’alberta</w:t>
      </w:r>
    </w:p>
    <w:p w:rsidR="003970FA" w:rsidRPr="000C3857" w:rsidRDefault="003970FA" w:rsidP="003970FA">
      <w:pPr>
        <w:pStyle w:val="SCCNormalDoubleSpacing"/>
        <w:spacing w:after="480"/>
        <w:rPr>
          <w:i/>
          <w:lang w:val="fr-CA"/>
        </w:rPr>
      </w:pPr>
      <w:r w:rsidRPr="00BB4C92">
        <w:rPr>
          <w:lang w:val="fr-CA"/>
        </w:rPr>
        <w:tab/>
      </w:r>
      <w:r w:rsidRPr="000C3857">
        <w:rPr>
          <w:i/>
          <w:lang w:val="fr-CA"/>
        </w:rPr>
        <w:t>Droit criminel — Preuve — Admissibilité — Identification — Accusé inculpé de trafic de coca</w:t>
      </w:r>
      <w:r>
        <w:rPr>
          <w:i/>
          <w:lang w:val="fr-CA"/>
        </w:rPr>
        <w:t>ïn</w:t>
      </w:r>
      <w:r w:rsidRPr="000C3857">
        <w:rPr>
          <w:i/>
          <w:lang w:val="fr-CA"/>
        </w:rPr>
        <w:t xml:space="preserve">e et de possession de </w:t>
      </w:r>
      <w:r w:rsidRPr="005F7F1B">
        <w:rPr>
          <w:i/>
          <w:lang w:val="fr-CA"/>
        </w:rPr>
        <w:t>produits de la criminalité</w:t>
      </w:r>
      <w:r w:rsidRPr="000C3857">
        <w:rPr>
          <w:i/>
          <w:lang w:val="fr-CA"/>
        </w:rPr>
        <w:t xml:space="preserve"> — Témoignage d’un agent d’infiltration </w:t>
      </w:r>
      <w:r w:rsidRPr="005F7F1B">
        <w:rPr>
          <w:i/>
          <w:lang w:val="fr-CA"/>
        </w:rPr>
        <w:t>de la police</w:t>
      </w:r>
      <w:r w:rsidRPr="000C3857">
        <w:rPr>
          <w:i/>
          <w:lang w:val="fr-CA"/>
        </w:rPr>
        <w:t xml:space="preserve"> </w:t>
      </w:r>
      <w:r w:rsidRPr="005F7F1B">
        <w:rPr>
          <w:i/>
          <w:lang w:val="fr-CA"/>
        </w:rPr>
        <w:t>au procès</w:t>
      </w:r>
      <w:r w:rsidRPr="000C3857">
        <w:rPr>
          <w:i/>
          <w:lang w:val="fr-CA"/>
        </w:rPr>
        <w:t xml:space="preserve"> portant que l’accusé était la personne qui lui avait vendu de la cocaïne trois ans </w:t>
      </w:r>
      <w:r w:rsidRPr="005F7F1B">
        <w:rPr>
          <w:i/>
          <w:lang w:val="fr-CA"/>
        </w:rPr>
        <w:t>auparavant</w:t>
      </w:r>
      <w:r w:rsidRPr="000C3857">
        <w:rPr>
          <w:i/>
          <w:lang w:val="fr-CA"/>
        </w:rPr>
        <w:t xml:space="preserve"> </w:t>
      </w:r>
      <w:r>
        <w:rPr>
          <w:i/>
          <w:lang w:val="fr-CA"/>
        </w:rPr>
        <w:t xml:space="preserve">— Preuve d’identification présentée par l’agent d’infiltration sur la base de souvenirs ravivés par l’examen d’une vidéo de la transaction de drogue et d’une photographie tirée de la vidéo et montrant le visage du trafiquant — Témoignage du policier surveillant </w:t>
      </w:r>
      <w:r>
        <w:rPr>
          <w:i/>
          <w:lang w:val="fr-CA"/>
        </w:rPr>
        <w:lastRenderedPageBreak/>
        <w:t xml:space="preserve">indiquant également que la personne qui a été arrêtée est le trafiquant qu’il avait observé durant </w:t>
      </w:r>
      <w:r w:rsidRPr="005F7F1B">
        <w:rPr>
          <w:i/>
          <w:lang w:val="fr-CA"/>
        </w:rPr>
        <w:t>l’opération poli</w:t>
      </w:r>
      <w:r>
        <w:rPr>
          <w:i/>
          <w:lang w:val="fr-CA"/>
        </w:rPr>
        <w:t>cière</w:t>
      </w:r>
      <w:r w:rsidRPr="000C3857">
        <w:rPr>
          <w:i/>
          <w:lang w:val="fr-CA"/>
        </w:rPr>
        <w:t xml:space="preserve"> — </w:t>
      </w:r>
      <w:r>
        <w:rPr>
          <w:i/>
          <w:lang w:val="fr-CA"/>
        </w:rPr>
        <w:t>Déclaration de culpabilité prononcée contre l’accusé par la juge du procès — Arrêt majoritaire de la Cour d’appel maintenant la déclaration de culpabilité</w:t>
      </w:r>
      <w:r w:rsidRPr="000C3857">
        <w:rPr>
          <w:i/>
          <w:lang w:val="fr-CA"/>
        </w:rPr>
        <w:t xml:space="preserve"> — </w:t>
      </w:r>
      <w:r>
        <w:rPr>
          <w:i/>
          <w:lang w:val="fr-CA"/>
        </w:rPr>
        <w:t>La juge dissidente aurait ordonné un nouveau procès au motif que la juge du procès aurait dû tenir un voir</w:t>
      </w:r>
      <w:r>
        <w:rPr>
          <w:i/>
          <w:lang w:val="fr-CA"/>
        </w:rPr>
        <w:noBreakHyphen/>
        <w:t>dire afin de statuer sur l’admissibilité de la preuve d’identification et aurait dû examiner la vidéo et la photographie — Déclaration de culpabilité confirmée</w:t>
      </w:r>
      <w:r w:rsidRPr="000C3857">
        <w:rPr>
          <w:i/>
          <w:lang w:val="fr-CA"/>
        </w:rPr>
        <w:t>.</w:t>
      </w:r>
    </w:p>
    <w:p w:rsidR="003970FA" w:rsidRPr="006517E8" w:rsidRDefault="003970FA" w:rsidP="003970FA">
      <w:pPr>
        <w:pStyle w:val="SCCNormalDoubleSpacing"/>
        <w:spacing w:after="480"/>
        <w:rPr>
          <w:lang w:val="fr-CA"/>
        </w:rPr>
      </w:pPr>
      <w:r w:rsidRPr="004D7D95">
        <w:rPr>
          <w:lang w:val="fr-CA"/>
        </w:rPr>
        <w:tab/>
        <w:t xml:space="preserve">POURVOI contre un arrêt de la </w:t>
      </w:r>
      <w:r w:rsidRPr="00AE3A60">
        <w:rPr>
          <w:lang w:val="fr-CA"/>
        </w:rPr>
        <w:t xml:space="preserve">Cour d’appel de </w:t>
      </w:r>
      <w:r>
        <w:rPr>
          <w:lang w:val="fr-CA"/>
        </w:rPr>
        <w:t xml:space="preserve">l’Alberta (les juges </w:t>
      </w:r>
      <w:r w:rsidRPr="0054462C">
        <w:rPr>
          <w:lang w:val="fr-CA"/>
        </w:rPr>
        <w:t xml:space="preserve">Rowbotham, Veldhuis </w:t>
      </w:r>
      <w:r>
        <w:rPr>
          <w:lang w:val="fr-CA"/>
        </w:rPr>
        <w:t>et</w:t>
      </w:r>
      <w:r w:rsidRPr="0054462C">
        <w:rPr>
          <w:lang w:val="fr-CA"/>
        </w:rPr>
        <w:t xml:space="preserve"> Wakeling</w:t>
      </w:r>
      <w:r>
        <w:rPr>
          <w:lang w:val="fr-CA"/>
        </w:rPr>
        <w:t xml:space="preserve">), </w:t>
      </w:r>
      <w:r w:rsidRPr="0054462C">
        <w:rPr>
          <w:color w:val="000000"/>
          <w:lang w:val="fr-CA"/>
        </w:rPr>
        <w:t xml:space="preserve">2020 ABCA 158, 8 Alta. L.R. (7th) 20, 453 D.L.R. (4th) 550, [2020] A.J. No. 480 (QL), 2020 CarswellAlta 749 (WL Can.), </w:t>
      </w:r>
      <w:r>
        <w:rPr>
          <w:lang w:val="fr-CA"/>
        </w:rPr>
        <w:t>qui a confirmé la</w:t>
      </w:r>
      <w:r w:rsidRPr="00173A02">
        <w:rPr>
          <w:lang w:val="fr-CA"/>
        </w:rPr>
        <w:t xml:space="preserve"> déclaration de culpabilité pour</w:t>
      </w:r>
      <w:r>
        <w:rPr>
          <w:lang w:val="fr-CA"/>
        </w:rPr>
        <w:t xml:space="preserve"> trafic de cocaïne et possession de produits de la criminalité </w:t>
      </w:r>
      <w:r>
        <w:rPr>
          <w:color w:val="000000"/>
          <w:lang w:val="fr-CA"/>
        </w:rPr>
        <w:t>prononcée contre l’accusé</w:t>
      </w:r>
      <w:r w:rsidRPr="006517E8">
        <w:rPr>
          <w:bCs/>
          <w:lang w:val="fr-CA"/>
        </w:rPr>
        <w:t>. Pourvoi rejeté</w:t>
      </w:r>
      <w:r>
        <w:rPr>
          <w:bCs/>
          <w:lang w:val="fr-CA"/>
        </w:rPr>
        <w:t>, le juge Brown est dissident</w:t>
      </w:r>
      <w:r w:rsidRPr="006517E8">
        <w:rPr>
          <w:bCs/>
          <w:lang w:val="fr-CA"/>
        </w:rPr>
        <w:t>.</w:t>
      </w:r>
    </w:p>
    <w:p w:rsidR="003970FA" w:rsidRDefault="003970FA" w:rsidP="003970FA">
      <w:pPr>
        <w:pStyle w:val="SCCNormalDoubleSpacing"/>
        <w:spacing w:after="480"/>
        <w:rPr>
          <w:color w:val="000000"/>
          <w:szCs w:val="24"/>
          <w:lang w:val="fr-CA" w:eastAsia="en-US"/>
        </w:rPr>
      </w:pPr>
      <w:r w:rsidRPr="00924130">
        <w:rPr>
          <w:lang w:val="fr-CA"/>
        </w:rPr>
        <w:tab/>
      </w:r>
      <w:r w:rsidRPr="003304A3">
        <w:rPr>
          <w:i/>
          <w:iCs/>
          <w:lang w:val="fr-CA"/>
        </w:rPr>
        <w:t>Dale Wm. Fedorchuk, c.r</w:t>
      </w:r>
      <w:r w:rsidRPr="0054462C">
        <w:rPr>
          <w:iCs/>
          <w:lang w:val="fr-CA"/>
        </w:rPr>
        <w:t>.,</w:t>
      </w:r>
      <w:r>
        <w:rPr>
          <w:iCs/>
          <w:lang w:val="fr-CA"/>
        </w:rPr>
        <w:t xml:space="preserve"> </w:t>
      </w:r>
      <w:r w:rsidRPr="006517E8">
        <w:rPr>
          <w:color w:val="000000"/>
          <w:szCs w:val="24"/>
          <w:lang w:val="fr-CA" w:eastAsia="en-US"/>
        </w:rPr>
        <w:t>et</w:t>
      </w:r>
      <w:r>
        <w:rPr>
          <w:color w:val="000000"/>
          <w:szCs w:val="24"/>
          <w:lang w:val="fr-CA" w:eastAsia="en-US"/>
        </w:rPr>
        <w:t xml:space="preserve"> </w:t>
      </w:r>
      <w:r w:rsidRPr="003304A3">
        <w:rPr>
          <w:i/>
          <w:iCs/>
          <w:lang w:val="fr-CA"/>
        </w:rPr>
        <w:t>Ramai L. Alvarez</w:t>
      </w:r>
      <w:r>
        <w:rPr>
          <w:color w:val="000000"/>
          <w:szCs w:val="24"/>
          <w:lang w:val="fr-CA" w:eastAsia="en-US"/>
        </w:rPr>
        <w:t>, pour l’appelant</w:t>
      </w:r>
      <w:r w:rsidRPr="006517E8">
        <w:rPr>
          <w:color w:val="000000"/>
          <w:szCs w:val="24"/>
          <w:lang w:val="fr-CA" w:eastAsia="en-US"/>
        </w:rPr>
        <w:t>.</w:t>
      </w:r>
    </w:p>
    <w:p w:rsidR="003970FA" w:rsidRDefault="003970FA" w:rsidP="003970FA">
      <w:pPr>
        <w:pStyle w:val="SCCNormalDoubleSpacing"/>
        <w:spacing w:after="480"/>
        <w:rPr>
          <w:color w:val="000000"/>
          <w:szCs w:val="24"/>
          <w:lang w:val="fr-CA" w:eastAsia="en-US"/>
        </w:rPr>
      </w:pPr>
      <w:r>
        <w:rPr>
          <w:color w:val="000000"/>
          <w:szCs w:val="24"/>
          <w:lang w:val="fr-CA" w:eastAsia="en-US"/>
        </w:rPr>
        <w:tab/>
      </w:r>
      <w:r w:rsidRPr="003304A3">
        <w:rPr>
          <w:i/>
          <w:iCs/>
          <w:lang w:val="fr-CA"/>
        </w:rPr>
        <w:t>Janna Hyman</w:t>
      </w:r>
      <w:r>
        <w:rPr>
          <w:iCs/>
          <w:lang w:val="fr-CA"/>
        </w:rPr>
        <w:t xml:space="preserve"> </w:t>
      </w:r>
      <w:r w:rsidRPr="0054462C">
        <w:rPr>
          <w:iCs/>
          <w:lang w:val="fr-CA"/>
        </w:rPr>
        <w:t>et</w:t>
      </w:r>
      <w:r>
        <w:rPr>
          <w:iCs/>
          <w:lang w:val="fr-CA"/>
        </w:rPr>
        <w:t xml:space="preserve"> </w:t>
      </w:r>
      <w:r w:rsidRPr="003304A3">
        <w:rPr>
          <w:i/>
          <w:iCs/>
          <w:lang w:val="fr-CA"/>
        </w:rPr>
        <w:t>Barbara A. Mercier</w:t>
      </w:r>
      <w:r w:rsidRPr="006517E8">
        <w:rPr>
          <w:color w:val="000000"/>
          <w:szCs w:val="24"/>
          <w:lang w:val="fr-CA" w:eastAsia="en-US"/>
        </w:rPr>
        <w:t>, pour l’intimé</w:t>
      </w:r>
      <w:r>
        <w:rPr>
          <w:color w:val="000000"/>
          <w:szCs w:val="24"/>
          <w:lang w:val="fr-CA" w:eastAsia="en-US"/>
        </w:rPr>
        <w:t>e</w:t>
      </w:r>
      <w:r w:rsidRPr="006517E8">
        <w:rPr>
          <w:color w:val="000000"/>
          <w:szCs w:val="24"/>
          <w:lang w:val="fr-CA" w:eastAsia="en-US"/>
        </w:rPr>
        <w:t>.</w:t>
      </w:r>
    </w:p>
    <w:p w:rsidR="003970FA" w:rsidRDefault="003970FA" w:rsidP="003970FA">
      <w:pPr>
        <w:pStyle w:val="SCCNormalDoubleSpacing"/>
        <w:spacing w:after="480"/>
        <w:rPr>
          <w:color w:val="000000"/>
          <w:lang w:val="fr-CA"/>
        </w:rPr>
      </w:pPr>
      <w:r>
        <w:rPr>
          <w:color w:val="000000"/>
          <w:lang w:val="fr-CA"/>
        </w:rPr>
        <w:tab/>
      </w:r>
      <w:r w:rsidRPr="006517E8">
        <w:rPr>
          <w:color w:val="000000"/>
          <w:lang w:val="fr-CA"/>
        </w:rPr>
        <w:t>Version française du jugement de la Cour rendu oralement par</w:t>
      </w:r>
    </w:p>
    <w:p w:rsidR="003970FA" w:rsidRPr="0092565F" w:rsidRDefault="003970FA" w:rsidP="003970FA">
      <w:pPr>
        <w:pStyle w:val="SCCNormalDoubleSpacing"/>
        <w:spacing w:after="480"/>
        <w:rPr>
          <w:lang w:val="fr-CA" w:eastAsia="en-US"/>
        </w:rPr>
      </w:pPr>
      <w:r>
        <w:rPr>
          <w:lang w:val="fr-CA"/>
        </w:rPr>
        <w:t>[1]</w:t>
      </w:r>
      <w:r>
        <w:rPr>
          <w:lang w:val="fr-CA"/>
        </w:rPr>
        <w:tab/>
      </w:r>
      <w:r w:rsidRPr="009C60BD">
        <w:rPr>
          <w:smallCaps/>
          <w:lang w:val="fr-CA"/>
        </w:rPr>
        <w:t>Le juge en chef</w:t>
      </w:r>
      <w:r w:rsidRPr="00351398">
        <w:rPr>
          <w:lang w:val="fr-CA"/>
        </w:rPr>
        <w:t xml:space="preserve"> — </w:t>
      </w:r>
      <w:r w:rsidRPr="0054462C">
        <w:rPr>
          <w:color w:val="000000"/>
          <w:lang w:val="fr-CA"/>
        </w:rPr>
        <w:t xml:space="preserve">La Cour, à la majorité, est d’avis de rejeter l’appel, essentiellement pour les motifs exposés par la juge d’appel Rowbotham. Les juges de la majorité ajouteraient simplement que, si l’on considère la preuve fournie par le policier acheteur et le policier surveillant conjointement avec la concession de la défense suivant laquelle la personne qui a été arrêtée le 27 juillet 2015 était l’appelant, </w:t>
      </w:r>
      <w:r w:rsidRPr="0054462C">
        <w:rPr>
          <w:color w:val="000000"/>
          <w:lang w:val="fr-CA"/>
        </w:rPr>
        <w:lastRenderedPageBreak/>
        <w:t>il existait suffisamment d’éléments de preuve admissibles étayant la conclusion de la juge du procès portant que l’appelant et le suspect étaient une seule et même personne</w:t>
      </w:r>
      <w:r>
        <w:rPr>
          <w:lang w:val="fr-CA"/>
        </w:rPr>
        <w:t>.</w:t>
      </w:r>
    </w:p>
    <w:p w:rsidR="003970FA" w:rsidRPr="0054462C" w:rsidRDefault="003970FA" w:rsidP="003970FA">
      <w:pPr>
        <w:pStyle w:val="SCCNormalDoubleSpacing"/>
        <w:spacing w:before="480" w:after="480"/>
        <w:rPr>
          <w:lang w:val="fr-CA"/>
        </w:rPr>
      </w:pPr>
      <w:r>
        <w:rPr>
          <w:lang w:val="fr-CA"/>
        </w:rPr>
        <w:t>[2]</w:t>
      </w:r>
      <w:r>
        <w:rPr>
          <w:lang w:val="fr-CA"/>
        </w:rPr>
        <w:tab/>
      </w:r>
      <w:r w:rsidRPr="0054462C">
        <w:rPr>
          <w:color w:val="000000"/>
          <w:lang w:val="fr-CA"/>
        </w:rPr>
        <w:t>Le juge Brown aurait accueilli l’appel, pr</w:t>
      </w:r>
      <w:r>
        <w:rPr>
          <w:color w:val="000000"/>
          <w:lang w:val="fr-CA"/>
        </w:rPr>
        <w:t xml:space="preserve">incipalement pour les motifs de </w:t>
      </w:r>
      <w:r w:rsidRPr="0054462C">
        <w:rPr>
          <w:color w:val="000000"/>
          <w:lang w:val="fr-CA"/>
        </w:rPr>
        <w:t>la juge d’appel Veldhuis, et il aurait ordonné un nouveau procès.</w:t>
      </w:r>
    </w:p>
    <w:p w:rsidR="003970FA" w:rsidRPr="00AE3A60" w:rsidRDefault="003970FA" w:rsidP="003970FA">
      <w:pPr>
        <w:pStyle w:val="SCCNormalDoubleSpacing"/>
        <w:spacing w:after="480"/>
        <w:rPr>
          <w:lang w:val="fr-CA"/>
        </w:rPr>
      </w:pPr>
      <w:r w:rsidRPr="006517E8">
        <w:rPr>
          <w:lang w:val="fr-CA"/>
        </w:rPr>
        <w:tab/>
      </w:r>
      <w:r w:rsidRPr="006517E8">
        <w:rPr>
          <w:i/>
          <w:iCs/>
          <w:color w:val="000000"/>
          <w:lang w:val="fr-CA"/>
        </w:rPr>
        <w:t>Jugement en conséquence.</w:t>
      </w:r>
    </w:p>
    <w:p w:rsidR="003970FA" w:rsidRPr="001B2993" w:rsidRDefault="003970FA" w:rsidP="003970FA">
      <w:pPr>
        <w:pStyle w:val="SCCNormalDoubleSpacing"/>
        <w:spacing w:after="480"/>
        <w:rPr>
          <w:i/>
          <w:iCs/>
          <w:color w:val="000000"/>
          <w:lang w:val="fr-CA"/>
        </w:rPr>
      </w:pPr>
      <w:r w:rsidRPr="001B2993">
        <w:rPr>
          <w:i/>
          <w:iCs/>
          <w:color w:val="000000"/>
          <w:lang w:val="fr-CA"/>
        </w:rPr>
        <w:tab/>
        <w:t>Procureurs de l’appelant : Kantor, Calgary.</w:t>
      </w:r>
    </w:p>
    <w:p w:rsidR="003970FA" w:rsidRPr="001B2993" w:rsidRDefault="003970FA" w:rsidP="003970FA">
      <w:pPr>
        <w:pStyle w:val="SCCNormalDoubleSpacing"/>
        <w:spacing w:after="480"/>
        <w:rPr>
          <w:i/>
          <w:iCs/>
          <w:color w:val="000000"/>
          <w:lang w:val="fr-CA"/>
        </w:rPr>
      </w:pPr>
      <w:r w:rsidRPr="001B2993">
        <w:rPr>
          <w:i/>
          <w:iCs/>
          <w:color w:val="000000"/>
          <w:lang w:val="fr-CA"/>
        </w:rPr>
        <w:tab/>
        <w:t>Procureur de l’intimée : Service des poursuites pénales du Canada, Calgary.</w:t>
      </w:r>
    </w:p>
    <w:p w:rsidR="00C22905" w:rsidRPr="007502C8" w:rsidRDefault="00C22905" w:rsidP="003970FA">
      <w:pPr>
        <w:rPr>
          <w:lang w:val="fr-CA"/>
        </w:rPr>
      </w:pPr>
    </w:p>
    <w:sectPr w:rsidR="00C22905" w:rsidRPr="007502C8"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518" w:rsidRDefault="006C1518">
      <w:r>
        <w:separator/>
      </w:r>
    </w:p>
  </w:endnote>
  <w:endnote w:type="continuationSeparator" w:id="0">
    <w:p w:rsidR="006C1518" w:rsidRDefault="006C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518" w:rsidRDefault="006C1518">
      <w:r>
        <w:separator/>
      </w:r>
    </w:p>
  </w:footnote>
  <w:footnote w:type="continuationSeparator" w:id="0">
    <w:p w:rsidR="006C1518" w:rsidRDefault="006C15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64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763F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C850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A47E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3837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3003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7208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9661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905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2A51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B73F21"/>
    <w:multiLevelType w:val="hybridMultilevel"/>
    <w:tmpl w:val="1CA8AB4C"/>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000BA4"/>
    <w:multiLevelType w:val="hybridMultilevel"/>
    <w:tmpl w:val="900CBD0E"/>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C1B2609"/>
    <w:multiLevelType w:val="hybridMultilevel"/>
    <w:tmpl w:val="B62EB43A"/>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0F65EB2"/>
    <w:multiLevelType w:val="hybridMultilevel"/>
    <w:tmpl w:val="406E4396"/>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03130A"/>
    <w:multiLevelType w:val="multilevel"/>
    <w:tmpl w:val="9A5EAD4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283EE8"/>
    <w:multiLevelType w:val="multilevel"/>
    <w:tmpl w:val="61380426"/>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662891"/>
    <w:multiLevelType w:val="hybridMultilevel"/>
    <w:tmpl w:val="FAECBADC"/>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666D1F9C"/>
    <w:multiLevelType w:val="hybridMultilevel"/>
    <w:tmpl w:val="A1BAD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A5550B"/>
    <w:multiLevelType w:val="hybridMultilevel"/>
    <w:tmpl w:val="D9EA6A54"/>
    <w:lvl w:ilvl="0" w:tplc="AF12D38C">
      <w:start w:val="1"/>
      <w:numFmt w:val="decimal"/>
      <w:lvlText w:val="(%1)"/>
      <w:lvlJc w:val="left"/>
      <w:pPr>
        <w:ind w:left="1080" w:hanging="360"/>
      </w:pPr>
      <w:rPr>
        <w:rFonts w:hint="default"/>
      </w:rPr>
    </w:lvl>
    <w:lvl w:ilvl="1" w:tplc="19B23C74">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7A957F3C"/>
    <w:multiLevelType w:val="hybridMultilevel"/>
    <w:tmpl w:val="A0A41CF8"/>
    <w:lvl w:ilvl="0" w:tplc="D7E6156A">
      <w:start w:val="1"/>
      <w:numFmt w:val="bullet"/>
      <w:lvlText w:val=""/>
      <w:lvlJc w:val="left"/>
      <w:pPr>
        <w:ind w:left="900" w:hanging="360"/>
      </w:pPr>
      <w:rPr>
        <w:rFonts w:ascii="Symbol" w:hAnsi="Symbol" w:hint="default"/>
        <w:color w:val="auto"/>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num w:numId="1">
    <w:abstractNumId w:val="22"/>
  </w:num>
  <w:num w:numId="2">
    <w:abstractNumId w:val="12"/>
  </w:num>
  <w:num w:numId="3">
    <w:abstractNumId w:val="10"/>
  </w:num>
  <w:num w:numId="4">
    <w:abstractNumId w:val="19"/>
  </w:num>
  <w:num w:numId="5">
    <w:abstractNumId w:val="20"/>
  </w:num>
  <w:num w:numId="6">
    <w:abstractNumId w:val="21"/>
  </w:num>
  <w:num w:numId="7">
    <w:abstractNumId w:val="17"/>
  </w:num>
  <w:num w:numId="8">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5"/>
  </w:num>
  <w:num w:numId="10">
    <w:abstractNumId w:val="15"/>
  </w:num>
  <w:num w:numId="11">
    <w:abstractNumId w:val="13"/>
  </w:num>
  <w:num w:numId="12">
    <w:abstractNumId w:val="11"/>
  </w:num>
  <w:num w:numId="13">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i w:val="0"/>
        </w:rPr>
      </w:lvl>
    </w:lvlOverride>
    <w:lvlOverride w:ilvl="4">
      <w:lvl w:ilvl="4">
        <w:start w:val="1"/>
        <w:numFmt w:val="lowerRoman"/>
        <w:pStyle w:val="Title5LevelTitre5Niveau"/>
        <w:lvlText w:val="(%5)"/>
        <w:lvlJc w:val="left"/>
        <w:pPr>
          <w:tabs>
            <w:tab w:val="num" w:pos="1728"/>
          </w:tabs>
          <w:ind w:left="1728" w:hanging="576"/>
        </w:pPr>
        <w:rPr>
          <w:rFonts w:hint="default"/>
          <w:i w:val="0"/>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23"/>
  </w:num>
  <w:num w:numId="27">
    <w:abstractNumId w:val="14"/>
  </w:num>
  <w:num w:numId="28">
    <w:abstractNumId w:val="26"/>
  </w:num>
  <w:num w:numId="29">
    <w:abstractNumId w:val="24"/>
  </w:num>
  <w:num w:numId="30">
    <w:abstractNumId w:val="17"/>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3781"/>
    <w:rsid w:val="00017885"/>
    <w:rsid w:val="00025198"/>
    <w:rsid w:val="00026467"/>
    <w:rsid w:val="00040D1B"/>
    <w:rsid w:val="00041BDD"/>
    <w:rsid w:val="000578A3"/>
    <w:rsid w:val="000648CC"/>
    <w:rsid w:val="00067E9C"/>
    <w:rsid w:val="00076E46"/>
    <w:rsid w:val="00094FED"/>
    <w:rsid w:val="000B5CFA"/>
    <w:rsid w:val="000B69B5"/>
    <w:rsid w:val="000C3FCE"/>
    <w:rsid w:val="000C59B8"/>
    <w:rsid w:val="000C6AF0"/>
    <w:rsid w:val="000C78C2"/>
    <w:rsid w:val="000F0995"/>
    <w:rsid w:val="000F2FF1"/>
    <w:rsid w:val="00104F33"/>
    <w:rsid w:val="00106D75"/>
    <w:rsid w:val="00111905"/>
    <w:rsid w:val="00111DE2"/>
    <w:rsid w:val="0011492A"/>
    <w:rsid w:val="001160DE"/>
    <w:rsid w:val="00116B38"/>
    <w:rsid w:val="00134F55"/>
    <w:rsid w:val="00135406"/>
    <w:rsid w:val="00135972"/>
    <w:rsid w:val="00136268"/>
    <w:rsid w:val="00137E61"/>
    <w:rsid w:val="001426A9"/>
    <w:rsid w:val="0014546A"/>
    <w:rsid w:val="00154563"/>
    <w:rsid w:val="00154D7C"/>
    <w:rsid w:val="001570B0"/>
    <w:rsid w:val="0015752C"/>
    <w:rsid w:val="00157737"/>
    <w:rsid w:val="00165277"/>
    <w:rsid w:val="001677C1"/>
    <w:rsid w:val="00170592"/>
    <w:rsid w:val="00186351"/>
    <w:rsid w:val="00195D83"/>
    <w:rsid w:val="001977DB"/>
    <w:rsid w:val="001A00C1"/>
    <w:rsid w:val="001A42A4"/>
    <w:rsid w:val="001A6272"/>
    <w:rsid w:val="001B33E0"/>
    <w:rsid w:val="001B4573"/>
    <w:rsid w:val="001C779F"/>
    <w:rsid w:val="001D2AC1"/>
    <w:rsid w:val="001D4DDF"/>
    <w:rsid w:val="001D4E88"/>
    <w:rsid w:val="001D65FF"/>
    <w:rsid w:val="001D6E70"/>
    <w:rsid w:val="001E477D"/>
    <w:rsid w:val="00220FC2"/>
    <w:rsid w:val="002222F4"/>
    <w:rsid w:val="00224FC0"/>
    <w:rsid w:val="00225EA4"/>
    <w:rsid w:val="00226EAF"/>
    <w:rsid w:val="002310A2"/>
    <w:rsid w:val="00231F3A"/>
    <w:rsid w:val="00234199"/>
    <w:rsid w:val="00236389"/>
    <w:rsid w:val="00237AFE"/>
    <w:rsid w:val="002406EE"/>
    <w:rsid w:val="00243EC8"/>
    <w:rsid w:val="0026412B"/>
    <w:rsid w:val="00264B77"/>
    <w:rsid w:val="00270D93"/>
    <w:rsid w:val="002745CC"/>
    <w:rsid w:val="002909F6"/>
    <w:rsid w:val="0029178F"/>
    <w:rsid w:val="002A28FE"/>
    <w:rsid w:val="002B7924"/>
    <w:rsid w:val="002B7ABA"/>
    <w:rsid w:val="002D2226"/>
    <w:rsid w:val="002D28C3"/>
    <w:rsid w:val="002D294E"/>
    <w:rsid w:val="002D39A4"/>
    <w:rsid w:val="002E6189"/>
    <w:rsid w:val="002E6705"/>
    <w:rsid w:val="00301D08"/>
    <w:rsid w:val="0030329A"/>
    <w:rsid w:val="00303F14"/>
    <w:rsid w:val="00305526"/>
    <w:rsid w:val="0031086F"/>
    <w:rsid w:val="0031414C"/>
    <w:rsid w:val="00314E01"/>
    <w:rsid w:val="00317670"/>
    <w:rsid w:val="0032089D"/>
    <w:rsid w:val="00324AE2"/>
    <w:rsid w:val="003310DE"/>
    <w:rsid w:val="003323B0"/>
    <w:rsid w:val="00337C82"/>
    <w:rsid w:val="00342089"/>
    <w:rsid w:val="00347BA4"/>
    <w:rsid w:val="0035169A"/>
    <w:rsid w:val="0035259D"/>
    <w:rsid w:val="00353B79"/>
    <w:rsid w:val="00355C66"/>
    <w:rsid w:val="00362ADA"/>
    <w:rsid w:val="00364B18"/>
    <w:rsid w:val="00396BF3"/>
    <w:rsid w:val="003970FA"/>
    <w:rsid w:val="003A125D"/>
    <w:rsid w:val="003A4C70"/>
    <w:rsid w:val="003B215F"/>
    <w:rsid w:val="003C2CFF"/>
    <w:rsid w:val="003C799C"/>
    <w:rsid w:val="003D0399"/>
    <w:rsid w:val="003E1C71"/>
    <w:rsid w:val="003E2693"/>
    <w:rsid w:val="003E53AC"/>
    <w:rsid w:val="003F327B"/>
    <w:rsid w:val="003F7ACB"/>
    <w:rsid w:val="00400B24"/>
    <w:rsid w:val="00404D28"/>
    <w:rsid w:val="00406166"/>
    <w:rsid w:val="0040704B"/>
    <w:rsid w:val="00407839"/>
    <w:rsid w:val="00410003"/>
    <w:rsid w:val="00410A55"/>
    <w:rsid w:val="00411300"/>
    <w:rsid w:val="00415417"/>
    <w:rsid w:val="00424FE1"/>
    <w:rsid w:val="00426659"/>
    <w:rsid w:val="00426D16"/>
    <w:rsid w:val="00450352"/>
    <w:rsid w:val="00454BDB"/>
    <w:rsid w:val="0045704A"/>
    <w:rsid w:val="00463A7A"/>
    <w:rsid w:val="00464800"/>
    <w:rsid w:val="00464BF6"/>
    <w:rsid w:val="00465132"/>
    <w:rsid w:val="00465EF1"/>
    <w:rsid w:val="004707F9"/>
    <w:rsid w:val="00470DB3"/>
    <w:rsid w:val="0047411A"/>
    <w:rsid w:val="00480C90"/>
    <w:rsid w:val="0048396F"/>
    <w:rsid w:val="00493C18"/>
    <w:rsid w:val="00495D96"/>
    <w:rsid w:val="004A0E38"/>
    <w:rsid w:val="004A600C"/>
    <w:rsid w:val="004A6118"/>
    <w:rsid w:val="004C2314"/>
    <w:rsid w:val="004C25EE"/>
    <w:rsid w:val="004C478D"/>
    <w:rsid w:val="004D4FEC"/>
    <w:rsid w:val="004E0D6A"/>
    <w:rsid w:val="004E2C26"/>
    <w:rsid w:val="004E61A7"/>
    <w:rsid w:val="004F36FF"/>
    <w:rsid w:val="00500039"/>
    <w:rsid w:val="005125A8"/>
    <w:rsid w:val="005145F6"/>
    <w:rsid w:val="00516DED"/>
    <w:rsid w:val="0052151B"/>
    <w:rsid w:val="00521AE8"/>
    <w:rsid w:val="00524449"/>
    <w:rsid w:val="00527180"/>
    <w:rsid w:val="005341CE"/>
    <w:rsid w:val="00534AB2"/>
    <w:rsid w:val="0054201E"/>
    <w:rsid w:val="005541DB"/>
    <w:rsid w:val="00555291"/>
    <w:rsid w:val="0056265A"/>
    <w:rsid w:val="00566AD1"/>
    <w:rsid w:val="0057257D"/>
    <w:rsid w:val="00583EDE"/>
    <w:rsid w:val="00586928"/>
    <w:rsid w:val="005966EF"/>
    <w:rsid w:val="005A4F85"/>
    <w:rsid w:val="005A6079"/>
    <w:rsid w:val="005C7840"/>
    <w:rsid w:val="005D161E"/>
    <w:rsid w:val="005E4698"/>
    <w:rsid w:val="005F03B5"/>
    <w:rsid w:val="006003EE"/>
    <w:rsid w:val="00610539"/>
    <w:rsid w:val="00613969"/>
    <w:rsid w:val="0061523C"/>
    <w:rsid w:val="00617208"/>
    <w:rsid w:val="00625C35"/>
    <w:rsid w:val="00626A7D"/>
    <w:rsid w:val="0062787A"/>
    <w:rsid w:val="00635521"/>
    <w:rsid w:val="006468AB"/>
    <w:rsid w:val="00656313"/>
    <w:rsid w:val="006565F4"/>
    <w:rsid w:val="0066108F"/>
    <w:rsid w:val="006763FD"/>
    <w:rsid w:val="00684EEA"/>
    <w:rsid w:val="006908E8"/>
    <w:rsid w:val="0069689B"/>
    <w:rsid w:val="006A1551"/>
    <w:rsid w:val="006A48DB"/>
    <w:rsid w:val="006B5FF5"/>
    <w:rsid w:val="006B7683"/>
    <w:rsid w:val="006C1518"/>
    <w:rsid w:val="006D4200"/>
    <w:rsid w:val="006E1B6F"/>
    <w:rsid w:val="006F30AF"/>
    <w:rsid w:val="007009A0"/>
    <w:rsid w:val="00701759"/>
    <w:rsid w:val="00701CF2"/>
    <w:rsid w:val="00705C15"/>
    <w:rsid w:val="00712E55"/>
    <w:rsid w:val="00713025"/>
    <w:rsid w:val="007154A1"/>
    <w:rsid w:val="0071600E"/>
    <w:rsid w:val="007162FD"/>
    <w:rsid w:val="00717FDC"/>
    <w:rsid w:val="007208D1"/>
    <w:rsid w:val="0072428C"/>
    <w:rsid w:val="00724307"/>
    <w:rsid w:val="00730177"/>
    <w:rsid w:val="00742119"/>
    <w:rsid w:val="00747288"/>
    <w:rsid w:val="00747DD3"/>
    <w:rsid w:val="007502C8"/>
    <w:rsid w:val="007549C8"/>
    <w:rsid w:val="00754A0B"/>
    <w:rsid w:val="0076370F"/>
    <w:rsid w:val="00766D14"/>
    <w:rsid w:val="00767A0F"/>
    <w:rsid w:val="00796207"/>
    <w:rsid w:val="007A05F6"/>
    <w:rsid w:val="007B3D74"/>
    <w:rsid w:val="007B6F4A"/>
    <w:rsid w:val="007D097E"/>
    <w:rsid w:val="007E1C47"/>
    <w:rsid w:val="007E337A"/>
    <w:rsid w:val="007E5C70"/>
    <w:rsid w:val="007F25A9"/>
    <w:rsid w:val="007F2FF5"/>
    <w:rsid w:val="007F3F08"/>
    <w:rsid w:val="00804CC6"/>
    <w:rsid w:val="00813B48"/>
    <w:rsid w:val="00814616"/>
    <w:rsid w:val="00817190"/>
    <w:rsid w:val="00820EE5"/>
    <w:rsid w:val="008244E9"/>
    <w:rsid w:val="008260E2"/>
    <w:rsid w:val="008322BD"/>
    <w:rsid w:val="008323C4"/>
    <w:rsid w:val="00833E0A"/>
    <w:rsid w:val="00834F73"/>
    <w:rsid w:val="00847F55"/>
    <w:rsid w:val="00850C64"/>
    <w:rsid w:val="008544FA"/>
    <w:rsid w:val="00864CF8"/>
    <w:rsid w:val="00872819"/>
    <w:rsid w:val="00874914"/>
    <w:rsid w:val="00891422"/>
    <w:rsid w:val="00892E1A"/>
    <w:rsid w:val="008A3F29"/>
    <w:rsid w:val="008B660A"/>
    <w:rsid w:val="008B70F9"/>
    <w:rsid w:val="008C01DA"/>
    <w:rsid w:val="008C02C9"/>
    <w:rsid w:val="008C7263"/>
    <w:rsid w:val="008D2104"/>
    <w:rsid w:val="008F78E9"/>
    <w:rsid w:val="00903C32"/>
    <w:rsid w:val="009048AE"/>
    <w:rsid w:val="00911989"/>
    <w:rsid w:val="009179F9"/>
    <w:rsid w:val="0093031F"/>
    <w:rsid w:val="00931C1C"/>
    <w:rsid w:val="00933E5E"/>
    <w:rsid w:val="00935218"/>
    <w:rsid w:val="009403F3"/>
    <w:rsid w:val="00944EB1"/>
    <w:rsid w:val="009555B7"/>
    <w:rsid w:val="009567AA"/>
    <w:rsid w:val="009644E9"/>
    <w:rsid w:val="0096473A"/>
    <w:rsid w:val="00967374"/>
    <w:rsid w:val="00970CFD"/>
    <w:rsid w:val="00976EB5"/>
    <w:rsid w:val="009813A2"/>
    <w:rsid w:val="00981B4D"/>
    <w:rsid w:val="009A343A"/>
    <w:rsid w:val="009A4E51"/>
    <w:rsid w:val="009A520F"/>
    <w:rsid w:val="009B2F23"/>
    <w:rsid w:val="009B57B3"/>
    <w:rsid w:val="009B6FFE"/>
    <w:rsid w:val="009C5B92"/>
    <w:rsid w:val="009D2920"/>
    <w:rsid w:val="009D5AEB"/>
    <w:rsid w:val="009F0E33"/>
    <w:rsid w:val="009F1E77"/>
    <w:rsid w:val="00A003F4"/>
    <w:rsid w:val="00A030CE"/>
    <w:rsid w:val="00A149DF"/>
    <w:rsid w:val="00A1755C"/>
    <w:rsid w:val="00A21B90"/>
    <w:rsid w:val="00A41805"/>
    <w:rsid w:val="00A42DCD"/>
    <w:rsid w:val="00A44699"/>
    <w:rsid w:val="00A52AFB"/>
    <w:rsid w:val="00A548CB"/>
    <w:rsid w:val="00A5521C"/>
    <w:rsid w:val="00A557A1"/>
    <w:rsid w:val="00A55CEF"/>
    <w:rsid w:val="00A643E7"/>
    <w:rsid w:val="00A73C38"/>
    <w:rsid w:val="00A9085B"/>
    <w:rsid w:val="00AB670D"/>
    <w:rsid w:val="00AC6FA4"/>
    <w:rsid w:val="00AD2826"/>
    <w:rsid w:val="00AD342F"/>
    <w:rsid w:val="00AE25FE"/>
    <w:rsid w:val="00AE4535"/>
    <w:rsid w:val="00AF03C5"/>
    <w:rsid w:val="00AF0B26"/>
    <w:rsid w:val="00B000D8"/>
    <w:rsid w:val="00B00F75"/>
    <w:rsid w:val="00B11735"/>
    <w:rsid w:val="00B1431F"/>
    <w:rsid w:val="00B145B6"/>
    <w:rsid w:val="00B2215E"/>
    <w:rsid w:val="00B279EB"/>
    <w:rsid w:val="00B30E18"/>
    <w:rsid w:val="00B32357"/>
    <w:rsid w:val="00B33419"/>
    <w:rsid w:val="00B43559"/>
    <w:rsid w:val="00B50C81"/>
    <w:rsid w:val="00B557F8"/>
    <w:rsid w:val="00B56AAF"/>
    <w:rsid w:val="00B67199"/>
    <w:rsid w:val="00B815FC"/>
    <w:rsid w:val="00B93FBC"/>
    <w:rsid w:val="00BA066D"/>
    <w:rsid w:val="00BA7DA0"/>
    <w:rsid w:val="00BB2366"/>
    <w:rsid w:val="00BB2EE4"/>
    <w:rsid w:val="00BB5AE6"/>
    <w:rsid w:val="00BC2108"/>
    <w:rsid w:val="00BC5642"/>
    <w:rsid w:val="00BD0E9E"/>
    <w:rsid w:val="00BD1BEC"/>
    <w:rsid w:val="00BD32FF"/>
    <w:rsid w:val="00BD67ED"/>
    <w:rsid w:val="00C02092"/>
    <w:rsid w:val="00C22905"/>
    <w:rsid w:val="00C229CD"/>
    <w:rsid w:val="00C24D91"/>
    <w:rsid w:val="00C31D39"/>
    <w:rsid w:val="00C53F14"/>
    <w:rsid w:val="00C548EF"/>
    <w:rsid w:val="00C600CF"/>
    <w:rsid w:val="00C6084F"/>
    <w:rsid w:val="00C62A66"/>
    <w:rsid w:val="00C62FD6"/>
    <w:rsid w:val="00C71458"/>
    <w:rsid w:val="00C77613"/>
    <w:rsid w:val="00C828E7"/>
    <w:rsid w:val="00C86719"/>
    <w:rsid w:val="00C921DD"/>
    <w:rsid w:val="00CA6391"/>
    <w:rsid w:val="00CA7B39"/>
    <w:rsid w:val="00CB5B04"/>
    <w:rsid w:val="00CC34BD"/>
    <w:rsid w:val="00CE161A"/>
    <w:rsid w:val="00CE3171"/>
    <w:rsid w:val="00CF1601"/>
    <w:rsid w:val="00D0172F"/>
    <w:rsid w:val="00D068A7"/>
    <w:rsid w:val="00D173CE"/>
    <w:rsid w:val="00D17476"/>
    <w:rsid w:val="00D22128"/>
    <w:rsid w:val="00D25F6B"/>
    <w:rsid w:val="00D26B67"/>
    <w:rsid w:val="00D32086"/>
    <w:rsid w:val="00D360E6"/>
    <w:rsid w:val="00D37A3F"/>
    <w:rsid w:val="00D4431D"/>
    <w:rsid w:val="00D4667A"/>
    <w:rsid w:val="00D469D5"/>
    <w:rsid w:val="00D47BFC"/>
    <w:rsid w:val="00D614A5"/>
    <w:rsid w:val="00D63A1C"/>
    <w:rsid w:val="00D7516F"/>
    <w:rsid w:val="00D81CE7"/>
    <w:rsid w:val="00D83628"/>
    <w:rsid w:val="00D8579F"/>
    <w:rsid w:val="00D90B9E"/>
    <w:rsid w:val="00D91A89"/>
    <w:rsid w:val="00D95F8E"/>
    <w:rsid w:val="00DA0590"/>
    <w:rsid w:val="00DB7BEA"/>
    <w:rsid w:val="00DC1739"/>
    <w:rsid w:val="00DC1788"/>
    <w:rsid w:val="00DC2F37"/>
    <w:rsid w:val="00DD105B"/>
    <w:rsid w:val="00DE319C"/>
    <w:rsid w:val="00DE54B0"/>
    <w:rsid w:val="00DF0CA8"/>
    <w:rsid w:val="00DF2B48"/>
    <w:rsid w:val="00DF49A7"/>
    <w:rsid w:val="00E07EE2"/>
    <w:rsid w:val="00E07FD1"/>
    <w:rsid w:val="00E176D8"/>
    <w:rsid w:val="00E24573"/>
    <w:rsid w:val="00E25E1E"/>
    <w:rsid w:val="00E27EE7"/>
    <w:rsid w:val="00E31D67"/>
    <w:rsid w:val="00E3214F"/>
    <w:rsid w:val="00E333F9"/>
    <w:rsid w:val="00E35404"/>
    <w:rsid w:val="00E45109"/>
    <w:rsid w:val="00E47B7A"/>
    <w:rsid w:val="00E56A44"/>
    <w:rsid w:val="00E60269"/>
    <w:rsid w:val="00E653D0"/>
    <w:rsid w:val="00E65A2E"/>
    <w:rsid w:val="00E71951"/>
    <w:rsid w:val="00E77932"/>
    <w:rsid w:val="00E83FDA"/>
    <w:rsid w:val="00E92347"/>
    <w:rsid w:val="00E97830"/>
    <w:rsid w:val="00EA1D3B"/>
    <w:rsid w:val="00EA28F6"/>
    <w:rsid w:val="00EB1401"/>
    <w:rsid w:val="00ED681A"/>
    <w:rsid w:val="00EE5737"/>
    <w:rsid w:val="00EE643C"/>
    <w:rsid w:val="00EF0683"/>
    <w:rsid w:val="00EF69D2"/>
    <w:rsid w:val="00EF766E"/>
    <w:rsid w:val="00F0070C"/>
    <w:rsid w:val="00F00EB7"/>
    <w:rsid w:val="00F03D8E"/>
    <w:rsid w:val="00F36AB6"/>
    <w:rsid w:val="00F37A09"/>
    <w:rsid w:val="00F409CE"/>
    <w:rsid w:val="00F4379D"/>
    <w:rsid w:val="00F43876"/>
    <w:rsid w:val="00F50635"/>
    <w:rsid w:val="00F50D2D"/>
    <w:rsid w:val="00F56C8B"/>
    <w:rsid w:val="00F66810"/>
    <w:rsid w:val="00F846D9"/>
    <w:rsid w:val="00F84DF4"/>
    <w:rsid w:val="00F85C97"/>
    <w:rsid w:val="00F94A57"/>
    <w:rsid w:val="00FA51A0"/>
    <w:rsid w:val="00FB37D2"/>
    <w:rsid w:val="00FB7D08"/>
    <w:rsid w:val="00FC3788"/>
    <w:rsid w:val="00FC4EFB"/>
    <w:rsid w:val="00FD068D"/>
    <w:rsid w:val="00FD3B1B"/>
    <w:rsid w:val="00FD4F28"/>
    <w:rsid w:val="00FE0416"/>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AB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2905"/>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C22905"/>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C22905"/>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C22905"/>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C22905"/>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C22905"/>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C22905"/>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qFormat/>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E65A2E"/>
    <w:rPr>
      <w:color w:val="0000FF" w:themeColor="hyperlink"/>
      <w:u w:val="single"/>
    </w:rPr>
  </w:style>
  <w:style w:type="character" w:customStyle="1" w:styleId="solexhl">
    <w:name w:val="solexhl"/>
    <w:basedOn w:val="DefaultParagraphFont"/>
    <w:rsid w:val="000C78C2"/>
  </w:style>
  <w:style w:type="character" w:customStyle="1" w:styleId="Heading3Char">
    <w:name w:val="Heading 3 Char"/>
    <w:basedOn w:val="DefaultParagraphFont"/>
    <w:link w:val="Heading3"/>
    <w:uiPriority w:val="9"/>
    <w:semiHidden/>
    <w:rsid w:val="00C22905"/>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C22905"/>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C22905"/>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C22905"/>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C22905"/>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C22905"/>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C22905"/>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C22905"/>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C22905"/>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C22905"/>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C22905"/>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C22905"/>
    <w:rPr>
      <w:b/>
      <w:sz w:val="24"/>
    </w:rPr>
  </w:style>
  <w:style w:type="table" w:styleId="TableGrid">
    <w:name w:val="Table Grid"/>
    <w:basedOn w:val="TableNormal"/>
    <w:uiPriority w:val="59"/>
    <w:rsid w:val="00C22905"/>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2290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C22905"/>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C22905"/>
    <w:pPr>
      <w:tabs>
        <w:tab w:val="left" w:pos="1260"/>
      </w:tabs>
      <w:spacing w:after="480" w:line="480" w:lineRule="auto"/>
    </w:pPr>
    <w:rPr>
      <w:smallCaps/>
      <w:sz w:val="24"/>
    </w:rPr>
  </w:style>
  <w:style w:type="paragraph" w:customStyle="1" w:styleId="ParaNoNdepar-AltN">
    <w:name w:val="Para. No. / Nº de par. - Alt N"/>
    <w:link w:val="ParaNoNdepar-AltNChar"/>
    <w:qFormat/>
    <w:rsid w:val="00C22905"/>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C22905"/>
    <w:pPr>
      <w:numPr>
        <w:numId w:val="7"/>
      </w:numPr>
      <w:tabs>
        <w:tab w:val="clear" w:pos="576"/>
      </w:tabs>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22905"/>
    <w:pPr>
      <w:numPr>
        <w:ilvl w:val="1"/>
      </w:numPr>
      <w:tabs>
        <w:tab w:val="clear" w:pos="576"/>
      </w:tabs>
      <w:outlineLvl w:val="1"/>
    </w:pPr>
    <w:rPr>
      <w:i/>
      <w:u w:val="none"/>
    </w:rPr>
  </w:style>
  <w:style w:type="paragraph" w:customStyle="1" w:styleId="Title3LevelTitre3Niveau">
    <w:name w:val="Title 3 Level / Titre 3 Niveau"/>
    <w:basedOn w:val="Title1LevelTitre1Niveau-AltL"/>
    <w:next w:val="ParaNoNdepar-AltN"/>
    <w:uiPriority w:val="4"/>
    <w:qFormat/>
    <w:rsid w:val="00C22905"/>
    <w:pPr>
      <w:numPr>
        <w:ilvl w:val="2"/>
      </w:numPr>
      <w:tabs>
        <w:tab w:val="clear" w:pos="1152"/>
      </w:tabs>
      <w:outlineLvl w:val="2"/>
    </w:pPr>
  </w:style>
  <w:style w:type="paragraph" w:customStyle="1" w:styleId="Title4LevelTitre4Niveau">
    <w:name w:val="Title 4 Level / Titre 4 Niveau"/>
    <w:basedOn w:val="Title3LevelTitre3Niveau"/>
    <w:next w:val="ParaNoNdepar-AltN"/>
    <w:uiPriority w:val="4"/>
    <w:qFormat/>
    <w:rsid w:val="00C22905"/>
    <w:pPr>
      <w:numPr>
        <w:ilvl w:val="3"/>
      </w:numPr>
      <w:tabs>
        <w:tab w:val="clear" w:pos="1152"/>
      </w:tabs>
      <w:ind w:left="1156" w:hanging="578"/>
      <w:outlineLvl w:val="3"/>
    </w:pPr>
    <w:rPr>
      <w:i/>
      <w:u w:val="none"/>
    </w:rPr>
  </w:style>
  <w:style w:type="paragraph" w:customStyle="1" w:styleId="Title5LevelTitre5Niveau">
    <w:name w:val="Title 5 Level / Titre 5 Niveau"/>
    <w:basedOn w:val="Title1LevelTitre1Niveau-AltL"/>
    <w:next w:val="ParaNoNdepar-AltN"/>
    <w:uiPriority w:val="4"/>
    <w:qFormat/>
    <w:rsid w:val="00C22905"/>
    <w:pPr>
      <w:numPr>
        <w:ilvl w:val="4"/>
      </w:numPr>
      <w:tabs>
        <w:tab w:val="clear" w:pos="1728"/>
      </w:tabs>
      <w:ind w:left="1729" w:hanging="578"/>
      <w:outlineLvl w:val="4"/>
    </w:pPr>
  </w:style>
  <w:style w:type="paragraph" w:styleId="TOC1">
    <w:name w:val="toc 1"/>
    <w:basedOn w:val="Normal"/>
    <w:next w:val="Normal"/>
    <w:autoRedefine/>
    <w:uiPriority w:val="39"/>
    <w:unhideWhenUsed/>
    <w:rsid w:val="00C22905"/>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C22905"/>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C22905"/>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C22905"/>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C22905"/>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C22905"/>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C2290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2290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C22905"/>
    <w:pPr>
      <w:numPr>
        <w:ilvl w:val="5"/>
      </w:numPr>
      <w:jc w:val="both"/>
      <w:outlineLvl w:val="5"/>
    </w:pPr>
    <w:rPr>
      <w:i/>
      <w:u w:val="none"/>
    </w:rPr>
  </w:style>
  <w:style w:type="paragraph" w:styleId="FootnoteText">
    <w:name w:val="footnote text"/>
    <w:basedOn w:val="Normal"/>
    <w:link w:val="FootnoteTextChar"/>
    <w:uiPriority w:val="99"/>
    <w:unhideWhenUsed/>
    <w:rsid w:val="00C2290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C22905"/>
  </w:style>
  <w:style w:type="character" w:styleId="FootnoteReference">
    <w:name w:val="footnote reference"/>
    <w:basedOn w:val="DefaultParagraphFont"/>
    <w:uiPriority w:val="99"/>
    <w:semiHidden/>
    <w:unhideWhenUsed/>
    <w:rsid w:val="00C22905"/>
    <w:rPr>
      <w:vertAlign w:val="superscript"/>
    </w:rPr>
  </w:style>
  <w:style w:type="character" w:styleId="SubtleEmphasis">
    <w:name w:val="Subtle Emphasis"/>
    <w:basedOn w:val="DefaultParagraphFont"/>
    <w:uiPriority w:val="19"/>
    <w:rsid w:val="00C22905"/>
    <w:rPr>
      <w:i/>
      <w:iCs/>
      <w:color w:val="808080" w:themeColor="text1" w:themeTint="7F"/>
    </w:rPr>
  </w:style>
  <w:style w:type="character" w:customStyle="1" w:styleId="ParaNoNdepar-AltNChar">
    <w:name w:val="Para. No. / Nº de par. - Alt N Char"/>
    <w:basedOn w:val="DefaultParagraphFont"/>
    <w:link w:val="ParaNoNdepar-AltN"/>
    <w:locked/>
    <w:rsid w:val="00C22905"/>
    <w:rPr>
      <w:rFonts w:eastAsiaTheme="minorEastAsia" w:cstheme="minorBidi"/>
      <w:sz w:val="24"/>
      <w:szCs w:val="22"/>
      <w:lang w:eastAsia="en-US"/>
    </w:rPr>
  </w:style>
  <w:style w:type="character" w:styleId="CommentReference">
    <w:name w:val="annotation reference"/>
    <w:basedOn w:val="DefaultParagraphFont"/>
    <w:uiPriority w:val="99"/>
    <w:semiHidden/>
    <w:unhideWhenUsed/>
    <w:rsid w:val="00C22905"/>
    <w:rPr>
      <w:sz w:val="16"/>
      <w:szCs w:val="16"/>
    </w:rPr>
  </w:style>
  <w:style w:type="paragraph" w:styleId="CommentText">
    <w:name w:val="annotation text"/>
    <w:basedOn w:val="Normal"/>
    <w:link w:val="CommentTextChar"/>
    <w:uiPriority w:val="99"/>
    <w:semiHidden/>
    <w:unhideWhenUsed/>
    <w:rsid w:val="00C22905"/>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C22905"/>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C22905"/>
    <w:rPr>
      <w:b/>
      <w:bCs/>
    </w:rPr>
  </w:style>
  <w:style w:type="character" w:customStyle="1" w:styleId="CommentSubjectChar">
    <w:name w:val="Comment Subject Char"/>
    <w:basedOn w:val="CommentTextChar"/>
    <w:link w:val="CommentSubject"/>
    <w:uiPriority w:val="99"/>
    <w:semiHidden/>
    <w:rsid w:val="00C22905"/>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C22905"/>
    <w:rPr>
      <w:smallCaps/>
      <w:sz w:val="24"/>
    </w:rPr>
  </w:style>
  <w:style w:type="paragraph" w:styleId="NoSpacing">
    <w:name w:val="No Spacing"/>
    <w:uiPriority w:val="1"/>
    <w:rsid w:val="00C22905"/>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C22905"/>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C22905"/>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C229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C22905"/>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C22905"/>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C22905"/>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C22905"/>
    <w:rPr>
      <w:i/>
      <w:iCs/>
    </w:rPr>
  </w:style>
  <w:style w:type="paragraph" w:styleId="ListParagraph">
    <w:name w:val="List Paragraph"/>
    <w:basedOn w:val="Normal"/>
    <w:uiPriority w:val="34"/>
    <w:rsid w:val="00C22905"/>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C22905"/>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C22905"/>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C22905"/>
    <w:rPr>
      <w:b/>
      <w:bCs/>
      <w:i/>
      <w:iCs/>
      <w:color w:val="4F81BD" w:themeColor="accent1"/>
    </w:rPr>
  </w:style>
  <w:style w:type="character" w:styleId="SubtleReference">
    <w:name w:val="Subtle Reference"/>
    <w:basedOn w:val="DefaultParagraphFont"/>
    <w:uiPriority w:val="31"/>
    <w:rsid w:val="00C22905"/>
    <w:rPr>
      <w:smallCaps/>
      <w:color w:val="C0504D" w:themeColor="accent2"/>
      <w:u w:val="single"/>
    </w:rPr>
  </w:style>
  <w:style w:type="character" w:styleId="IntenseReference">
    <w:name w:val="Intense Reference"/>
    <w:basedOn w:val="DefaultParagraphFont"/>
    <w:uiPriority w:val="32"/>
    <w:rsid w:val="00C22905"/>
    <w:rPr>
      <w:b/>
      <w:bCs/>
      <w:smallCaps/>
      <w:color w:val="C0504D" w:themeColor="accent2"/>
      <w:spacing w:val="5"/>
      <w:u w:val="single"/>
    </w:rPr>
  </w:style>
  <w:style w:type="character" w:styleId="BookTitle">
    <w:name w:val="Book Title"/>
    <w:basedOn w:val="DefaultParagraphFont"/>
    <w:uiPriority w:val="33"/>
    <w:rsid w:val="00C22905"/>
    <w:rPr>
      <w:b/>
      <w:bCs/>
      <w:smallCaps/>
      <w:spacing w:val="5"/>
    </w:rPr>
  </w:style>
  <w:style w:type="paragraph" w:styleId="Revision">
    <w:name w:val="Revision"/>
    <w:hidden/>
    <w:uiPriority w:val="99"/>
    <w:semiHidden/>
    <w:rsid w:val="00C22905"/>
    <w:rPr>
      <w:rFonts w:eastAsiaTheme="minorHAnsi" w:cstheme="minorBidi"/>
      <w:sz w:val="24"/>
      <w:szCs w:val="22"/>
      <w:lang w:val="en-US" w:eastAsia="en-US" w:bidi="en-US"/>
    </w:rPr>
  </w:style>
  <w:style w:type="paragraph" w:styleId="EndnoteText">
    <w:name w:val="endnote text"/>
    <w:basedOn w:val="Normal"/>
    <w:link w:val="EndnoteTextChar"/>
    <w:uiPriority w:val="99"/>
    <w:semiHidden/>
    <w:unhideWhenUsed/>
    <w:rsid w:val="00C22905"/>
    <w:rPr>
      <w:rFonts w:eastAsiaTheme="minorHAnsi" w:cstheme="minorBidi"/>
      <w:sz w:val="20"/>
      <w:lang w:val="en-US" w:eastAsia="en-US" w:bidi="en-US"/>
    </w:rPr>
  </w:style>
  <w:style w:type="character" w:customStyle="1" w:styleId="EndnoteTextChar">
    <w:name w:val="Endnote Text Char"/>
    <w:basedOn w:val="DefaultParagraphFont"/>
    <w:link w:val="EndnoteText"/>
    <w:uiPriority w:val="99"/>
    <w:semiHidden/>
    <w:rsid w:val="00C22905"/>
    <w:rPr>
      <w:rFonts w:eastAsiaTheme="minorHAnsi" w:cstheme="minorBidi"/>
      <w:lang w:val="en-US" w:eastAsia="en-US" w:bidi="en-US"/>
    </w:rPr>
  </w:style>
  <w:style w:type="character" w:styleId="EndnoteReference">
    <w:name w:val="endnote reference"/>
    <w:basedOn w:val="DefaultParagraphFont"/>
    <w:uiPriority w:val="99"/>
    <w:semiHidden/>
    <w:unhideWhenUsed/>
    <w:rsid w:val="00C22905"/>
    <w:rPr>
      <w:vertAlign w:val="superscript"/>
    </w:rPr>
  </w:style>
  <w:style w:type="character" w:customStyle="1" w:styleId="reflex3-block">
    <w:name w:val="reflex3-block"/>
    <w:basedOn w:val="DefaultParagraphFont"/>
    <w:rsid w:val="00C22905"/>
  </w:style>
  <w:style w:type="character" w:customStyle="1" w:styleId="reflex3-alt">
    <w:name w:val="reflex3-alt"/>
    <w:basedOn w:val="DefaultParagraphFont"/>
    <w:rsid w:val="00C22905"/>
  </w:style>
  <w:style w:type="character" w:customStyle="1" w:styleId="lawlabel">
    <w:name w:val="lawlabel"/>
    <w:basedOn w:val="DefaultParagraphFont"/>
    <w:rsid w:val="00C22905"/>
  </w:style>
  <w:style w:type="table" w:customStyle="1" w:styleId="TableGrid2">
    <w:name w:val="Table Grid2"/>
    <w:basedOn w:val="TableNormal"/>
    <w:next w:val="TableGrid"/>
    <w:uiPriority w:val="59"/>
    <w:rsid w:val="00C22905"/>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CLsocPartyRoleChar">
    <w:name w:val="SCC.Lsoc.PartyRole Char"/>
    <w:basedOn w:val="DefaultParagraphFont"/>
    <w:rsid w:val="007502C8"/>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7502C8"/>
    <w:rPr>
      <w:rFonts w:eastAsiaTheme="minorHAnsi" w:cstheme="minorBidi"/>
      <w:b/>
      <w:szCs w:val="22"/>
      <w:lang w:eastAsia="en-US"/>
    </w:rPr>
  </w:style>
  <w:style w:type="character" w:customStyle="1" w:styleId="SCCLsocPrefixChar">
    <w:name w:val="SCC.Lsoc.Prefix Char"/>
    <w:basedOn w:val="DefaultParagraphFont"/>
    <w:link w:val="SCCLsocPrefix"/>
    <w:rsid w:val="007502C8"/>
    <w:rPr>
      <w:rFonts w:eastAsiaTheme="minorHAnsi" w:cstheme="minorBid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561B2-307C-4BA1-B05B-A1499EA8E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533</Words>
  <Characters>2932</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2021-01-27T21:30:00Z</dcterms:created>
  <dcterms:modified xsi:type="dcterms:W3CDTF">2024-01-11T21:30:00Z</dcterms:modified>
</cp:coreProperties>
</file>