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59" w:rsidRDefault="00AE4E59" w:rsidP="00AE4E59">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5.4pt" o:ole="">
            <v:imagedata r:id="rId7" o:title=""/>
          </v:shape>
          <o:OLEObject Type="Embed" ProgID="Presentations.Drawing.13" ShapeID="_x0000_i1025" DrawAspect="Content" ObjectID="_1362570578" r:id="rId8"/>
        </w:object>
      </w:r>
      <w:r>
        <w:t xml:space="preserve"> </w:t>
      </w:r>
      <w:r>
        <w:ptab w:relativeTo="margin" w:alignment="right" w:leader="none"/>
      </w:r>
    </w:p>
    <w:p w:rsidR="00AE4E59" w:rsidRDefault="00AE4E59" w:rsidP="00AE4E59">
      <w:pPr>
        <w:pStyle w:val="Header"/>
      </w:pPr>
    </w:p>
    <w:p w:rsidR="00AE4E59" w:rsidRPr="001E12E2" w:rsidRDefault="00AE4E59" w:rsidP="00AE4E59">
      <w:pPr>
        <w:jc w:val="center"/>
        <w:rPr>
          <w:b/>
        </w:rPr>
      </w:pPr>
      <w:r w:rsidRPr="001E12E2">
        <w:rPr>
          <w:b/>
        </w:rPr>
        <w:t>COUR SUPRÊME DU CANADA</w:t>
      </w:r>
    </w:p>
    <w:p w:rsidR="00AE4E59" w:rsidRDefault="00AE4E59" w:rsidP="00AE4E59"/>
    <w:p w:rsidR="00AE4E59" w:rsidRDefault="00AE4E5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E4E59" w:rsidRPr="001E12E2" w:rsidTr="00EB3E9F">
        <w:trPr>
          <w:cantSplit/>
        </w:trPr>
        <w:tc>
          <w:tcPr>
            <w:tcW w:w="6768" w:type="dxa"/>
          </w:tcPr>
          <w:p w:rsidR="00AE4E59" w:rsidRPr="001E12E2" w:rsidRDefault="00AE4E59" w:rsidP="00EB3E9F">
            <w:r>
              <w:rPr>
                <w:b/>
                <w:smallCaps/>
              </w:rPr>
              <w:t>Référence</w:t>
            </w:r>
            <w:r w:rsidRPr="001E12E2">
              <w:rPr>
                <w:b/>
                <w:smallCaps/>
              </w:rPr>
              <w:t xml:space="preserve"> </w:t>
            </w:r>
            <w:proofErr w:type="gramStart"/>
            <w:r w:rsidRPr="001E12E2">
              <w:t xml:space="preserve">: </w:t>
            </w:r>
            <w:r>
              <w:t xml:space="preserve"> </w:t>
            </w:r>
            <w:r w:rsidRPr="004E7A6A">
              <w:rPr>
                <w:rStyle w:val="SCCAppellantForIndexChar"/>
                <w:b w:val="0"/>
              </w:rPr>
              <w:t>R</w:t>
            </w:r>
            <w:proofErr w:type="gramEnd"/>
            <w:r w:rsidRPr="004E7A6A">
              <w:rPr>
                <w:rStyle w:val="SCCAppellantForIndexChar"/>
                <w:b w:val="0"/>
              </w:rPr>
              <w:t>.</w:t>
            </w:r>
            <w:r w:rsidRPr="004E7A6A">
              <w:rPr>
                <w:b/>
              </w:rPr>
              <w:t xml:space="preserve"> </w:t>
            </w:r>
            <w:r w:rsidRPr="004E7A6A">
              <w:rPr>
                <w:i/>
              </w:rPr>
              <w:t>c.</w:t>
            </w:r>
            <w:r w:rsidRPr="00315349">
              <w:t xml:space="preserve"> Hay</w:t>
            </w:r>
            <w:r>
              <w:rPr>
                <w:rStyle w:val="SCCRespondentForIndexChar"/>
                <w:b w:val="0"/>
              </w:rPr>
              <w:t>, 2010 CSC 54, [2010] 3 R.C.S. 206</w:t>
            </w:r>
          </w:p>
        </w:tc>
        <w:tc>
          <w:tcPr>
            <w:tcW w:w="2808" w:type="dxa"/>
          </w:tcPr>
          <w:p w:rsidR="00AE4E59" w:rsidRPr="001E12E2" w:rsidRDefault="00AE4E59" w:rsidP="00EB3E9F">
            <w:r w:rsidRPr="001E12E2">
              <w:rPr>
                <w:b/>
                <w:smallCaps/>
              </w:rPr>
              <w:t xml:space="preserve">Date </w:t>
            </w:r>
            <w:r w:rsidRPr="001E12E2">
              <w:t xml:space="preserve">: </w:t>
            </w:r>
            <w:r>
              <w:t>20101118</w:t>
            </w:r>
          </w:p>
          <w:p w:rsidR="00AE4E59" w:rsidRPr="001E12E2" w:rsidRDefault="00AE4E59" w:rsidP="00EB3E9F">
            <w:r w:rsidRPr="001E12E2">
              <w:rPr>
                <w:b/>
                <w:smallCaps/>
              </w:rPr>
              <w:t>Do</w:t>
            </w:r>
            <w:r>
              <w:rPr>
                <w:b/>
                <w:smallCaps/>
              </w:rPr>
              <w:t>ssier</w:t>
            </w:r>
            <w:r w:rsidRPr="001E12E2">
              <w:rPr>
                <w:b/>
                <w:smallCaps/>
              </w:rPr>
              <w:t xml:space="preserve"> </w:t>
            </w:r>
            <w:r w:rsidRPr="001E12E2">
              <w:t xml:space="preserve">: </w:t>
            </w:r>
            <w:r>
              <w:t>33536</w:t>
            </w:r>
          </w:p>
        </w:tc>
      </w:tr>
    </w:tbl>
    <w:p w:rsidR="00AE4E59" w:rsidRPr="001E12E2" w:rsidRDefault="00AE4E59" w:rsidP="00AE4E59"/>
    <w:p w:rsidR="00AE4E59" w:rsidRDefault="00AE4E59" w:rsidP="00AE4E59">
      <w:pPr>
        <w:pStyle w:val="SCCLsocPrefix"/>
      </w:pPr>
      <w:r>
        <w:t>Entre :</w:t>
      </w:r>
    </w:p>
    <w:p w:rsidR="00AE4E59" w:rsidRDefault="00AE4E59" w:rsidP="00AE4E59">
      <w:pPr>
        <w:pStyle w:val="SCCLsocParty"/>
        <w:jc w:val="center"/>
      </w:pPr>
      <w:r>
        <w:t>Leighton Hay</w:t>
      </w:r>
    </w:p>
    <w:p w:rsidR="00AE4E59" w:rsidRPr="00AE4E59" w:rsidRDefault="00AE4E59" w:rsidP="00AE4E59">
      <w:pPr>
        <w:pStyle w:val="SCCLsocPartyRole"/>
        <w:jc w:val="center"/>
        <w:rPr>
          <w:i w:val="0"/>
        </w:rPr>
      </w:pPr>
      <w:r w:rsidRPr="00AE4E59">
        <w:rPr>
          <w:i w:val="0"/>
        </w:rPr>
        <w:t>Demandeur/Requérant à la requête</w:t>
      </w:r>
    </w:p>
    <w:p w:rsidR="00AE4E59" w:rsidRPr="00AE4E59" w:rsidRDefault="00AE4E59" w:rsidP="00AE4E59">
      <w:pPr>
        <w:pStyle w:val="SCCLsocVersus"/>
        <w:jc w:val="center"/>
        <w:rPr>
          <w:i w:val="0"/>
        </w:rPr>
      </w:pPr>
      <w:proofErr w:type="gramStart"/>
      <w:r w:rsidRPr="00AE4E59">
        <w:rPr>
          <w:i w:val="0"/>
        </w:rPr>
        <w:t>et</w:t>
      </w:r>
      <w:proofErr w:type="gramEnd"/>
    </w:p>
    <w:p w:rsidR="00AE4E59" w:rsidRDefault="00AE4E59" w:rsidP="00AE4E59">
      <w:pPr>
        <w:pStyle w:val="SCCLsocParty"/>
        <w:jc w:val="center"/>
      </w:pPr>
      <w:r>
        <w:t>Sa Majesté la Reine</w:t>
      </w:r>
    </w:p>
    <w:p w:rsidR="00AE4E59" w:rsidRPr="00AE4E59" w:rsidRDefault="00AE4E59" w:rsidP="00AE4E59">
      <w:pPr>
        <w:pStyle w:val="SCCLsocPartyRole"/>
        <w:jc w:val="center"/>
        <w:rPr>
          <w:i w:val="0"/>
        </w:rPr>
      </w:pPr>
      <w:r w:rsidRPr="00AE4E59">
        <w:rPr>
          <w:i w:val="0"/>
        </w:rPr>
        <w:t>Intimée/Intimée à la requête</w:t>
      </w:r>
    </w:p>
    <w:p w:rsidR="00AE4E59" w:rsidRDefault="00AE4E59" w:rsidP="00AE4E59"/>
    <w:p w:rsidR="00AE4E59" w:rsidRPr="001E12E2" w:rsidRDefault="00AE4E59" w:rsidP="00AE4E59">
      <w:pPr>
        <w:jc w:val="center"/>
        <w:rPr>
          <w:b/>
          <w:smallCaps/>
        </w:rPr>
      </w:pPr>
      <w:r>
        <w:rPr>
          <w:b/>
          <w:smallCaps/>
        </w:rPr>
        <w:t>Traduction française o</w:t>
      </w:r>
      <w:r w:rsidRPr="001E12E2">
        <w:rPr>
          <w:b/>
          <w:smallCaps/>
        </w:rPr>
        <w:t>ffici</w:t>
      </w:r>
      <w:r>
        <w:rPr>
          <w:b/>
          <w:smallCaps/>
        </w:rPr>
        <w:t>elle</w:t>
      </w:r>
    </w:p>
    <w:p w:rsidR="00AE4E59" w:rsidRPr="001E12E2" w:rsidRDefault="00AE4E59" w:rsidP="00AE4E59"/>
    <w:p w:rsidR="00AE4E59" w:rsidRPr="001E12E2" w:rsidRDefault="00AE4E59" w:rsidP="00AE4E59">
      <w:r w:rsidRPr="001E12E2">
        <w:rPr>
          <w:b/>
          <w:smallCaps/>
        </w:rPr>
        <w:t xml:space="preserve">Coram </w:t>
      </w:r>
      <w:r w:rsidRPr="001E12E2">
        <w:t xml:space="preserve">: </w:t>
      </w:r>
      <w:r>
        <w:t xml:space="preserve">Les juges </w:t>
      </w:r>
      <w:proofErr w:type="spellStart"/>
      <w:r>
        <w:t>Binnie</w:t>
      </w:r>
      <w:proofErr w:type="spellEnd"/>
      <w:r>
        <w:t>, Abella et Cromwell</w:t>
      </w:r>
    </w:p>
    <w:p w:rsidR="00AE4E59" w:rsidRPr="001E12E2" w:rsidRDefault="00AE4E59" w:rsidP="00AE4E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E4E59" w:rsidRPr="001E12E2" w:rsidTr="00EB3E9F">
        <w:trPr>
          <w:cantSplit/>
        </w:trPr>
        <w:tc>
          <w:tcPr>
            <w:tcW w:w="3618" w:type="dxa"/>
          </w:tcPr>
          <w:p w:rsidR="00AE4E59" w:rsidRDefault="00AE4E59" w:rsidP="00EB3E9F">
            <w:r>
              <w:rPr>
                <w:b/>
                <w:smallCaps/>
              </w:rPr>
              <w:t>Motifs</w:t>
            </w:r>
            <w:r w:rsidRPr="001E12E2">
              <w:rPr>
                <w:b/>
                <w:smallCaps/>
              </w:rPr>
              <w:t xml:space="preserve"> </w:t>
            </w:r>
            <w:r>
              <w:rPr>
                <w:b/>
                <w:smallCaps/>
              </w:rPr>
              <w:t>de</w:t>
            </w:r>
            <w:r w:rsidRPr="001E12E2">
              <w:rPr>
                <w:b/>
                <w:smallCaps/>
              </w:rPr>
              <w:t xml:space="preserve"> </w:t>
            </w:r>
            <w:r>
              <w:rPr>
                <w:b/>
                <w:smallCaps/>
              </w:rPr>
              <w:t>j</w:t>
            </w:r>
            <w:r w:rsidRPr="001E12E2">
              <w:rPr>
                <w:b/>
                <w:smallCaps/>
              </w:rPr>
              <w:t>ug</w:t>
            </w:r>
            <w:r>
              <w:rPr>
                <w:b/>
                <w:smallCaps/>
              </w:rPr>
              <w:t>e</w:t>
            </w:r>
            <w:r w:rsidRPr="001E12E2">
              <w:rPr>
                <w:b/>
                <w:smallCaps/>
              </w:rPr>
              <w:t>ment</w:t>
            </w:r>
            <w:r w:rsidRPr="001E12E2">
              <w:t xml:space="preserve"> :</w:t>
            </w:r>
          </w:p>
          <w:p w:rsidR="00AE4E59" w:rsidRDefault="00AE4E59" w:rsidP="00EB3E9F">
            <w:r>
              <w:t>(requête sollicitant la production de pièces)</w:t>
            </w:r>
          </w:p>
          <w:p w:rsidR="00AE4E59" w:rsidRPr="001E12E2" w:rsidRDefault="00AE4E59" w:rsidP="00EB3E9F">
            <w:r>
              <w:t>(par. 1 à 10)</w:t>
            </w:r>
          </w:p>
        </w:tc>
        <w:tc>
          <w:tcPr>
            <w:tcW w:w="5958" w:type="dxa"/>
          </w:tcPr>
          <w:p w:rsidR="00AE4E59" w:rsidRDefault="00AE4E59" w:rsidP="00EB3E9F">
            <w:r>
              <w:t xml:space="preserve">Le juge Cromwell (avec l’accord des juges </w:t>
            </w:r>
            <w:proofErr w:type="spellStart"/>
            <w:r>
              <w:t>Binnie</w:t>
            </w:r>
            <w:proofErr w:type="spellEnd"/>
            <w:r>
              <w:t xml:space="preserve"> et Abella)</w:t>
            </w:r>
          </w:p>
          <w:p w:rsidR="00AE4E59" w:rsidRPr="001E12E2" w:rsidRDefault="00AE4E59" w:rsidP="00EB3E9F"/>
        </w:tc>
      </w:tr>
    </w:tbl>
    <w:p w:rsidR="00AE4E59" w:rsidRPr="001E12E2" w:rsidRDefault="002B34B6" w:rsidP="00AE4E59">
      <w:r>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AE4E59" w:rsidRPr="00AE4E59" w:rsidRDefault="00AE4E59">
      <w:pPr>
        <w:rPr>
          <w:rStyle w:val="SCCAppellantForIndexChar"/>
          <w:b w:val="0"/>
        </w:rPr>
      </w:pPr>
      <w:r w:rsidRPr="00AE4E59">
        <w:rPr>
          <w:rStyle w:val="SCCAppellantForIndexChar"/>
          <w:b w:val="0"/>
        </w:rPr>
        <w:br w:type="page"/>
      </w:r>
    </w:p>
    <w:p w:rsidR="008322BD" w:rsidRPr="009628EA" w:rsidRDefault="009628EA" w:rsidP="00832B2C">
      <w:pPr>
        <w:spacing w:line="480" w:lineRule="auto"/>
        <w:jc w:val="both"/>
        <w:rPr>
          <w:rStyle w:val="SCCRespondentForRunningHeadChar"/>
          <w:lang w:val="en-US"/>
        </w:rPr>
      </w:pPr>
      <w:r w:rsidRPr="009628EA">
        <w:rPr>
          <w:rStyle w:val="SCCAppellantForIndexChar"/>
          <w:b w:val="0"/>
          <w:lang w:val="en-US"/>
        </w:rPr>
        <w:lastRenderedPageBreak/>
        <w:t>R.</w:t>
      </w:r>
      <w:r w:rsidRPr="009628EA">
        <w:rPr>
          <w:lang w:val="en-US"/>
        </w:rPr>
        <w:t xml:space="preserve"> </w:t>
      </w:r>
      <w:r w:rsidRPr="009628EA">
        <w:rPr>
          <w:i/>
          <w:lang w:val="en-US"/>
        </w:rPr>
        <w:t>c.</w:t>
      </w:r>
      <w:r w:rsidRPr="009628EA">
        <w:rPr>
          <w:lang w:val="en-US"/>
        </w:rPr>
        <w:t xml:space="preserve"> </w:t>
      </w:r>
      <w:r w:rsidRPr="009628EA">
        <w:rPr>
          <w:rStyle w:val="SCCRespondentForIndexChar"/>
          <w:b w:val="0"/>
          <w:lang w:val="en-US"/>
        </w:rPr>
        <w:t>Hay</w:t>
      </w:r>
      <w:r w:rsidRPr="009628EA">
        <w:rPr>
          <w:rStyle w:val="SCCRespondentForRunningHeadChar"/>
          <w:lang w:val="en-US"/>
        </w:rPr>
        <w:t xml:space="preserve">, </w:t>
      </w:r>
      <w:r w:rsidRPr="009628EA">
        <w:rPr>
          <w:rStyle w:val="SCCRespondentForIndexChar"/>
          <w:b w:val="0"/>
          <w:lang w:val="en-US"/>
        </w:rPr>
        <w:t xml:space="preserve">2010 CSC </w:t>
      </w:r>
      <w:r>
        <w:rPr>
          <w:rStyle w:val="SCCRespondentForIndexChar"/>
          <w:b w:val="0"/>
          <w:lang w:val="en-US"/>
        </w:rPr>
        <w:t>5</w:t>
      </w:r>
      <w:r w:rsidRPr="009628EA">
        <w:rPr>
          <w:rStyle w:val="SCCRespondentForIndexChar"/>
          <w:b w:val="0"/>
          <w:lang w:val="en-US"/>
        </w:rPr>
        <w:t xml:space="preserve">4, [2010] </w:t>
      </w:r>
      <w:r>
        <w:rPr>
          <w:rStyle w:val="SCCRespondentForIndexChar"/>
          <w:b w:val="0"/>
          <w:lang w:val="en-US"/>
        </w:rPr>
        <w:t>3</w:t>
      </w:r>
      <w:r w:rsidRPr="009628EA">
        <w:rPr>
          <w:rStyle w:val="SCCRespondentForIndexChar"/>
          <w:b w:val="0"/>
          <w:lang w:val="en-US"/>
        </w:rPr>
        <w:t xml:space="preserve"> R.C.S. </w:t>
      </w:r>
      <w:r>
        <w:rPr>
          <w:rStyle w:val="SCCRespondentForIndexChar"/>
          <w:b w:val="0"/>
          <w:lang w:val="en-US"/>
        </w:rPr>
        <w:t>20</w:t>
      </w:r>
      <w:r w:rsidRPr="009628EA">
        <w:rPr>
          <w:rStyle w:val="SCCRespondentForIndexChar"/>
          <w:b w:val="0"/>
          <w:lang w:val="en-US"/>
        </w:rPr>
        <w:t>6</w:t>
      </w:r>
    </w:p>
    <w:p w:rsidR="00271E1D" w:rsidRPr="009628EA" w:rsidRDefault="00271E1D" w:rsidP="00832B2C">
      <w:pPr>
        <w:spacing w:line="480" w:lineRule="auto"/>
        <w:jc w:val="both"/>
        <w:rPr>
          <w:rStyle w:val="SCCRespondentForRunningHeadChar"/>
          <w:lang w:val="en-US"/>
        </w:rPr>
      </w:pPr>
    </w:p>
    <w:p w:rsidR="00A34E79" w:rsidRPr="00EA6EEB" w:rsidRDefault="00EA6EEB" w:rsidP="00832B2C">
      <w:pPr>
        <w:pStyle w:val="SCCLsocParty"/>
        <w:tabs>
          <w:tab w:val="right" w:pos="8280"/>
        </w:tabs>
        <w:spacing w:line="480" w:lineRule="auto"/>
      </w:pPr>
      <w:r w:rsidRPr="00EA6EEB">
        <w:t>Lei</w:t>
      </w:r>
      <w:r>
        <w:t>g</w:t>
      </w:r>
      <w:r w:rsidR="002C7E14" w:rsidRPr="00EA6EEB">
        <w:t>hton Hay</w:t>
      </w:r>
      <w:r w:rsidR="00271E1D" w:rsidRPr="00EA6EEB">
        <w:tab/>
      </w:r>
      <w:r w:rsidR="009E0ED4" w:rsidRPr="00746ABA">
        <w:rPr>
          <w:b w:val="0"/>
          <w:i/>
        </w:rPr>
        <w:t>Demandeur</w:t>
      </w:r>
      <w:r w:rsidR="002536E9" w:rsidRPr="00746ABA">
        <w:rPr>
          <w:b w:val="0"/>
          <w:i/>
        </w:rPr>
        <w:t>/Requérant à la requête</w:t>
      </w:r>
      <w:r w:rsidR="005B6095" w:rsidRPr="00EA6EEB">
        <w:br/>
      </w:r>
    </w:p>
    <w:p w:rsidR="00A34E79" w:rsidRDefault="005B6095" w:rsidP="00832B2C">
      <w:pPr>
        <w:pStyle w:val="SCCLsocVersus"/>
        <w:spacing w:line="480" w:lineRule="auto"/>
        <w:jc w:val="both"/>
      </w:pPr>
      <w:proofErr w:type="gramStart"/>
      <w:r>
        <w:t>c</w:t>
      </w:r>
      <w:proofErr w:type="gramEnd"/>
      <w:r>
        <w:t>.</w:t>
      </w:r>
      <w:r>
        <w:br/>
      </w:r>
    </w:p>
    <w:p w:rsidR="00A34E79" w:rsidRDefault="005B6095" w:rsidP="00832B2C">
      <w:pPr>
        <w:pStyle w:val="SCCLsocParty"/>
        <w:tabs>
          <w:tab w:val="right" w:pos="8280"/>
        </w:tabs>
        <w:spacing w:line="480" w:lineRule="auto"/>
      </w:pPr>
      <w:r>
        <w:t>Sa Majesté la Reine</w:t>
      </w:r>
      <w:r w:rsidR="00271E1D">
        <w:tab/>
      </w:r>
      <w:r w:rsidR="005F4071" w:rsidRPr="00746ABA">
        <w:rPr>
          <w:b w:val="0"/>
          <w:i/>
        </w:rPr>
        <w:t>Intimé</w:t>
      </w:r>
      <w:r w:rsidR="00F8456F" w:rsidRPr="00746ABA">
        <w:rPr>
          <w:b w:val="0"/>
          <w:i/>
        </w:rPr>
        <w:t>e/</w:t>
      </w:r>
      <w:r w:rsidR="009E0ED4" w:rsidRPr="00746ABA">
        <w:rPr>
          <w:b w:val="0"/>
          <w:i/>
        </w:rPr>
        <w:t xml:space="preserve">Intimée </w:t>
      </w:r>
      <w:r w:rsidR="005F4071" w:rsidRPr="00746ABA">
        <w:rPr>
          <w:b w:val="0"/>
          <w:i/>
        </w:rPr>
        <w:t>à la requête</w:t>
      </w:r>
    </w:p>
    <w:p w:rsidR="00766D14" w:rsidRPr="00A24E15" w:rsidRDefault="00766D14" w:rsidP="00832B2C">
      <w:pPr>
        <w:spacing w:line="480" w:lineRule="auto"/>
        <w:jc w:val="both"/>
      </w:pPr>
    </w:p>
    <w:p w:rsidR="00426659" w:rsidRPr="00A24E15" w:rsidRDefault="0043088E" w:rsidP="00832B2C">
      <w:pPr>
        <w:spacing w:line="480" w:lineRule="auto"/>
        <w:jc w:val="both"/>
        <w:rPr>
          <w:b/>
        </w:rPr>
      </w:pPr>
      <w:r w:rsidRPr="00A24E15">
        <w:rPr>
          <w:b/>
        </w:rPr>
        <w:t>Répertorié</w:t>
      </w:r>
      <w:r w:rsidR="00C67CA5" w:rsidRPr="00A24E15">
        <w:rPr>
          <w:b/>
        </w:rPr>
        <w:t> </w:t>
      </w:r>
      <w:r w:rsidR="00426659" w:rsidRPr="00A24E15">
        <w:rPr>
          <w:b/>
        </w:rPr>
        <w:t>:</w:t>
      </w:r>
      <w:r w:rsidR="00C67CA5" w:rsidRPr="00A24E15">
        <w:rPr>
          <w:b/>
        </w:rPr>
        <w:t> </w:t>
      </w:r>
      <w:r w:rsidR="00271E1D">
        <w:rPr>
          <w:rStyle w:val="SCCAppellantForIndexChar"/>
        </w:rPr>
        <w:t>R.</w:t>
      </w:r>
      <w:r w:rsidR="00426659" w:rsidRPr="00A24E15">
        <w:rPr>
          <w:b/>
        </w:rPr>
        <w:t xml:space="preserve"> </w:t>
      </w:r>
      <w:r w:rsidR="00645057" w:rsidRPr="00A24E15">
        <w:rPr>
          <w:b/>
          <w:i/>
        </w:rPr>
        <w:t>c</w:t>
      </w:r>
      <w:r w:rsidR="00426659" w:rsidRPr="00A24E15">
        <w:rPr>
          <w:b/>
          <w:i/>
        </w:rPr>
        <w:t>.</w:t>
      </w:r>
      <w:r w:rsidR="00426659" w:rsidRPr="00A24E15">
        <w:rPr>
          <w:b/>
        </w:rPr>
        <w:t xml:space="preserve"> </w:t>
      </w:r>
      <w:r w:rsidR="002C7E14">
        <w:rPr>
          <w:rStyle w:val="SCCRespondentForIndexChar"/>
        </w:rPr>
        <w:t>Hay</w:t>
      </w:r>
    </w:p>
    <w:p w:rsidR="00426659" w:rsidRPr="00A24E15" w:rsidRDefault="00426659" w:rsidP="00832B2C">
      <w:pPr>
        <w:spacing w:line="480" w:lineRule="auto"/>
        <w:jc w:val="both"/>
      </w:pPr>
    </w:p>
    <w:p w:rsidR="00426659" w:rsidRPr="00A24E15" w:rsidRDefault="00F853FB" w:rsidP="00832B2C">
      <w:pPr>
        <w:pStyle w:val="SCCSystemYear"/>
        <w:spacing w:line="480" w:lineRule="auto"/>
        <w:jc w:val="both"/>
      </w:pPr>
      <w:r>
        <w:t>2010</w:t>
      </w:r>
      <w:r w:rsidR="00EE0FAF" w:rsidRPr="00A24E15">
        <w:t xml:space="preserve"> </w:t>
      </w:r>
      <w:r w:rsidR="00C71F58" w:rsidRPr="00A24E15">
        <w:t>C</w:t>
      </w:r>
      <w:r w:rsidR="002C7E14">
        <w:t>SC 54</w:t>
      </w:r>
    </w:p>
    <w:p w:rsidR="00426659" w:rsidRPr="00A24E15" w:rsidRDefault="00426659" w:rsidP="00832B2C">
      <w:pPr>
        <w:spacing w:line="480" w:lineRule="auto"/>
        <w:jc w:val="both"/>
      </w:pPr>
    </w:p>
    <w:p w:rsidR="008322BD" w:rsidRPr="00A24E15" w:rsidRDefault="009B57B3" w:rsidP="00832B2C">
      <w:pPr>
        <w:spacing w:line="480" w:lineRule="auto"/>
        <w:jc w:val="both"/>
      </w:pPr>
      <w:r w:rsidRPr="00A24E15">
        <w:t>N</w:t>
      </w:r>
      <w:r w:rsidRPr="00A24E15">
        <w:rPr>
          <w:vertAlign w:val="superscript"/>
        </w:rPr>
        <w:t>o</w:t>
      </w:r>
      <w:r w:rsidR="0043088E" w:rsidRPr="00A24E15">
        <w:t xml:space="preserve"> du greffe</w:t>
      </w:r>
      <w:r w:rsidR="00C67CA5" w:rsidRPr="00A24E15">
        <w:t> </w:t>
      </w:r>
      <w:r w:rsidRPr="00A24E15">
        <w:t>:</w:t>
      </w:r>
      <w:r w:rsidR="00C67CA5" w:rsidRPr="00A24E15">
        <w:t> </w:t>
      </w:r>
      <w:r>
        <w:t>335</w:t>
      </w:r>
      <w:r w:rsidR="002C7E14">
        <w:t>36</w:t>
      </w:r>
      <w:r w:rsidRPr="00A24E15">
        <w:t>.</w:t>
      </w:r>
    </w:p>
    <w:p w:rsidR="00E97830" w:rsidRPr="00A24E15" w:rsidRDefault="00E97830" w:rsidP="00832B2C">
      <w:pPr>
        <w:spacing w:line="480" w:lineRule="auto"/>
        <w:jc w:val="both"/>
      </w:pPr>
    </w:p>
    <w:p w:rsidR="008322BD" w:rsidRPr="00A24E15" w:rsidRDefault="001A6921" w:rsidP="00832B2C">
      <w:pPr>
        <w:spacing w:line="480" w:lineRule="auto"/>
        <w:jc w:val="both"/>
      </w:pPr>
      <w:r>
        <w:t>2010 </w:t>
      </w:r>
      <w:r w:rsidR="00F853FB">
        <w:t>:</w:t>
      </w:r>
      <w:r>
        <w:t> </w:t>
      </w:r>
      <w:r w:rsidR="002C7E14">
        <w:t>1</w:t>
      </w:r>
      <w:r w:rsidR="002C7E14" w:rsidRPr="002C7E14">
        <w:rPr>
          <w:vertAlign w:val="superscript"/>
        </w:rPr>
        <w:t>er</w:t>
      </w:r>
      <w:r w:rsidR="002C7E14">
        <w:t xml:space="preserve"> novembre</w:t>
      </w:r>
      <w:r w:rsidR="009B57B3" w:rsidRPr="00A24E15">
        <w:t xml:space="preserve">; </w:t>
      </w:r>
      <w:r w:rsidR="009F1419">
        <w:t>2010</w:t>
      </w:r>
      <w:r w:rsidR="00771CAB">
        <w:t> :</w:t>
      </w:r>
      <w:r w:rsidR="006F3DC8">
        <w:t> </w:t>
      </w:r>
      <w:r w:rsidR="002C7E14">
        <w:t>18 novembre</w:t>
      </w:r>
      <w:r w:rsidR="009B57B3" w:rsidRPr="00A24E15">
        <w:t>.</w:t>
      </w:r>
    </w:p>
    <w:p w:rsidR="00E97830" w:rsidRPr="00A24E15" w:rsidRDefault="00E97830" w:rsidP="00832B2C">
      <w:pPr>
        <w:spacing w:line="480" w:lineRule="auto"/>
        <w:jc w:val="both"/>
      </w:pPr>
    </w:p>
    <w:p w:rsidR="008322BD" w:rsidRPr="00A24E15" w:rsidRDefault="009B57B3" w:rsidP="00832B2C">
      <w:pPr>
        <w:spacing w:line="480" w:lineRule="auto"/>
        <w:jc w:val="both"/>
      </w:pPr>
      <w:r w:rsidRPr="00A24E15">
        <w:t>Pr</w:t>
      </w:r>
      <w:r w:rsidR="0043088E" w:rsidRPr="00A24E15">
        <w:t>é</w:t>
      </w:r>
      <w:r w:rsidRPr="00A24E15">
        <w:t>sent</w:t>
      </w:r>
      <w:r w:rsidR="008A6558" w:rsidRPr="00A24E15">
        <w:t>s</w:t>
      </w:r>
      <w:r w:rsidR="00C67CA5" w:rsidRPr="00A24E15">
        <w:t> </w:t>
      </w:r>
      <w:r w:rsidRPr="00A24E15">
        <w:t>:</w:t>
      </w:r>
      <w:r w:rsidR="006F3DC8">
        <w:t> </w:t>
      </w:r>
      <w:r w:rsidR="00271E1D">
        <w:t xml:space="preserve">Les juges </w:t>
      </w:r>
      <w:proofErr w:type="spellStart"/>
      <w:r>
        <w:t>Binnie</w:t>
      </w:r>
      <w:proofErr w:type="spellEnd"/>
      <w:r>
        <w:t>,</w:t>
      </w:r>
      <w:r w:rsidR="00896461">
        <w:t xml:space="preserve"> </w:t>
      </w:r>
      <w:r w:rsidR="005A1878">
        <w:t>Abella</w:t>
      </w:r>
      <w:r>
        <w:t xml:space="preserve"> et </w:t>
      </w:r>
      <w:r w:rsidR="00896461">
        <w:t>Cromwell</w:t>
      </w:r>
      <w:r w:rsidRPr="00A24E15">
        <w:t>.</w:t>
      </w:r>
    </w:p>
    <w:p w:rsidR="00E97830" w:rsidRPr="00A24E15" w:rsidRDefault="00E97830" w:rsidP="00832B2C">
      <w:pPr>
        <w:spacing w:line="480" w:lineRule="auto"/>
        <w:jc w:val="both"/>
      </w:pPr>
    </w:p>
    <w:p w:rsidR="003A4C70" w:rsidRDefault="002536E9" w:rsidP="00832B2C">
      <w:pPr>
        <w:pStyle w:val="SCCLowerCourtNameLowercase"/>
      </w:pPr>
      <w:r w:rsidRPr="00746ABA">
        <w:t>requête</w:t>
      </w:r>
      <w:r w:rsidR="00896461" w:rsidRPr="00746ABA">
        <w:t xml:space="preserve"> </w:t>
      </w:r>
      <w:r w:rsidR="009E0ED4" w:rsidRPr="00746ABA">
        <w:t>sollicitant</w:t>
      </w:r>
      <w:r w:rsidR="00896461" w:rsidRPr="00746ABA">
        <w:t xml:space="preserve"> la production</w:t>
      </w:r>
      <w:r w:rsidR="00C668E7" w:rsidRPr="00746ABA">
        <w:t xml:space="preserve"> de pièces</w:t>
      </w:r>
    </w:p>
    <w:p w:rsidR="00146C9B" w:rsidRPr="001426A9" w:rsidRDefault="00146C9B" w:rsidP="00832B2C">
      <w:pPr>
        <w:pStyle w:val="SCCNormalDoubleSpacing"/>
      </w:pPr>
    </w:p>
    <w:p w:rsidR="00146C9B" w:rsidRDefault="00146C9B" w:rsidP="00832B2C">
      <w:pPr>
        <w:pStyle w:val="SCCNormalDoubleSpacing"/>
        <w:rPr>
          <w:i/>
          <w:highlight w:val="yellow"/>
        </w:rPr>
      </w:pPr>
      <w:r w:rsidRPr="00583EDE">
        <w:tab/>
      </w:r>
      <w:r w:rsidR="009E0ED4" w:rsidRPr="00746ABA">
        <w:rPr>
          <w:i/>
        </w:rPr>
        <w:t>Tribunaux</w:t>
      </w:r>
      <w:r w:rsidR="005F4071" w:rsidRPr="00746ABA">
        <w:rPr>
          <w:i/>
        </w:rPr>
        <w:t xml:space="preserve"> — </w:t>
      </w:r>
      <w:r w:rsidR="009E0ED4" w:rsidRPr="00746ABA">
        <w:rPr>
          <w:i/>
        </w:rPr>
        <w:t>Cour suprême du Canada</w:t>
      </w:r>
      <w:r w:rsidR="005F4071" w:rsidRPr="00746ABA">
        <w:rPr>
          <w:i/>
        </w:rPr>
        <w:t xml:space="preserve"> — </w:t>
      </w:r>
      <w:r w:rsidR="009E0ED4" w:rsidRPr="00746ABA">
        <w:rPr>
          <w:i/>
        </w:rPr>
        <w:t>Compétence</w:t>
      </w:r>
      <w:r w:rsidR="005F4071" w:rsidRPr="00746ABA">
        <w:rPr>
          <w:i/>
        </w:rPr>
        <w:t xml:space="preserve"> — </w:t>
      </w:r>
      <w:r w:rsidR="009E0ED4" w:rsidRPr="00746ABA">
        <w:rPr>
          <w:i/>
        </w:rPr>
        <w:t xml:space="preserve">La Cour suprême a-t-elle compétence pour ordonner la production de pièces aux fins d’analyses médico-légales à la suite d’une requête en ce sens accompagnant une demande </w:t>
      </w:r>
      <w:r w:rsidR="009E0ED4" w:rsidRPr="00746ABA">
        <w:rPr>
          <w:i/>
        </w:rPr>
        <w:lastRenderedPageBreak/>
        <w:t>d’autorisation d’appel</w:t>
      </w:r>
      <w:r w:rsidR="00EF0A33">
        <w:rPr>
          <w:i/>
        </w:rPr>
        <w:t>?</w:t>
      </w:r>
      <w:r w:rsidR="005F4071" w:rsidRPr="00746ABA">
        <w:rPr>
          <w:i/>
        </w:rPr>
        <w:t xml:space="preserve"> —</w:t>
      </w:r>
      <w:r w:rsidR="009E0ED4" w:rsidRPr="00746ABA">
        <w:rPr>
          <w:i/>
        </w:rPr>
        <w:t xml:space="preserve"> Dans l’affirmative, est-il dans l’intérêt de la justice qu’une telle ordonnance soit rendue?</w:t>
      </w:r>
      <w:r w:rsidR="009E0ED4">
        <w:rPr>
          <w:i/>
          <w:highlight w:val="yellow"/>
        </w:rPr>
        <w:t xml:space="preserve"> </w:t>
      </w:r>
    </w:p>
    <w:p w:rsidR="00C12295" w:rsidRPr="009E0ED4" w:rsidRDefault="00C12295" w:rsidP="00832B2C">
      <w:pPr>
        <w:pStyle w:val="SCCNormalDoubleSpacing"/>
        <w:rPr>
          <w:i/>
          <w:highlight w:val="yellow"/>
        </w:rPr>
      </w:pPr>
    </w:p>
    <w:p w:rsidR="005F4071" w:rsidRPr="005F4071" w:rsidRDefault="005F4071" w:rsidP="00832B2C">
      <w:pPr>
        <w:pStyle w:val="SCCNormalDoubleSpacing"/>
        <w:spacing w:line="240" w:lineRule="auto"/>
        <w:rPr>
          <w:b/>
        </w:rPr>
      </w:pPr>
      <w:r w:rsidRPr="005F4071">
        <w:rPr>
          <w:b/>
        </w:rPr>
        <w:t>Lois et règlements cités</w:t>
      </w:r>
    </w:p>
    <w:p w:rsidR="005F4071" w:rsidRPr="005F4071" w:rsidRDefault="005F4071" w:rsidP="00832B2C">
      <w:pPr>
        <w:pStyle w:val="SCCNormalDoubleSpacing"/>
        <w:spacing w:line="240" w:lineRule="auto"/>
      </w:pPr>
    </w:p>
    <w:p w:rsidR="005F4071" w:rsidRPr="009E0ED4" w:rsidRDefault="005F4071" w:rsidP="00832B2C">
      <w:pPr>
        <w:pStyle w:val="SCCNormalDoubleSpacing"/>
        <w:spacing w:line="240" w:lineRule="auto"/>
      </w:pPr>
      <w:r w:rsidRPr="009E0ED4">
        <w:rPr>
          <w:i/>
          <w:iCs/>
        </w:rPr>
        <w:t xml:space="preserve">Code </w:t>
      </w:r>
      <w:r w:rsidR="007A7D6A" w:rsidRPr="009E0ED4">
        <w:rPr>
          <w:i/>
          <w:iCs/>
        </w:rPr>
        <w:t>crimine</w:t>
      </w:r>
      <w:r w:rsidRPr="009E0ED4">
        <w:rPr>
          <w:i/>
          <w:iCs/>
        </w:rPr>
        <w:t>l</w:t>
      </w:r>
      <w:r w:rsidRPr="009E0ED4">
        <w:t>, L.R.C. 1985, ch. C</w:t>
      </w:r>
      <w:r w:rsidRPr="009E0ED4">
        <w:noBreakHyphen/>
        <w:t>46, art. 683(1)</w:t>
      </w:r>
      <w:r w:rsidRPr="009E0ED4">
        <w:rPr>
          <w:i/>
        </w:rPr>
        <w:t>a</w:t>
      </w:r>
      <w:r w:rsidRPr="009E0ED4">
        <w:t>), 694.2(1), (2)</w:t>
      </w:r>
      <w:r w:rsidRPr="009E0ED4">
        <w:rPr>
          <w:i/>
        </w:rPr>
        <w:t>a</w:t>
      </w:r>
      <w:r w:rsidRPr="009E0ED4">
        <w:t>), 695(1).</w:t>
      </w:r>
    </w:p>
    <w:p w:rsidR="005F4071" w:rsidRPr="009E0ED4" w:rsidRDefault="005F4071" w:rsidP="00832B2C">
      <w:pPr>
        <w:pStyle w:val="SCCNormalDoubleSpacing"/>
        <w:spacing w:line="240" w:lineRule="auto"/>
      </w:pPr>
    </w:p>
    <w:p w:rsidR="005F4071" w:rsidRPr="009E0ED4" w:rsidRDefault="005F4071" w:rsidP="00832B2C">
      <w:pPr>
        <w:pStyle w:val="SCCNormalDoubleSpacing"/>
        <w:spacing w:line="240" w:lineRule="auto"/>
      </w:pPr>
      <w:r w:rsidRPr="005F4071">
        <w:rPr>
          <w:i/>
        </w:rPr>
        <w:t>Loi d’interprétation</w:t>
      </w:r>
      <w:r w:rsidRPr="005F4071">
        <w:t xml:space="preserve">, L.R.C. 1985, ch. </w:t>
      </w:r>
      <w:r w:rsidRPr="009E0ED4">
        <w:t>I</w:t>
      </w:r>
      <w:r w:rsidR="007A7D6A" w:rsidRPr="009E0ED4">
        <w:noBreakHyphen/>
      </w:r>
      <w:r w:rsidRPr="009E0ED4">
        <w:t>21, art. 15(2)</w:t>
      </w:r>
      <w:r w:rsidRPr="009E0ED4">
        <w:rPr>
          <w:i/>
        </w:rPr>
        <w:t>b</w:t>
      </w:r>
      <w:r w:rsidRPr="009E0ED4">
        <w:t xml:space="preserve">).  </w:t>
      </w:r>
    </w:p>
    <w:p w:rsidR="005F4071" w:rsidRPr="009E0ED4" w:rsidRDefault="005F4071" w:rsidP="00832B2C">
      <w:pPr>
        <w:pStyle w:val="SCCNormalDoubleSpacing"/>
        <w:spacing w:line="240" w:lineRule="auto"/>
      </w:pPr>
    </w:p>
    <w:p w:rsidR="005F4071" w:rsidRPr="009E0ED4" w:rsidRDefault="005F4071" w:rsidP="00832B2C">
      <w:pPr>
        <w:pStyle w:val="SCCNormalDoubleSpacing"/>
        <w:spacing w:line="240" w:lineRule="auto"/>
      </w:pPr>
      <w:r w:rsidRPr="005F4071">
        <w:rPr>
          <w:i/>
        </w:rPr>
        <w:t>Loi sur la Cour suprême</w:t>
      </w:r>
      <w:r w:rsidRPr="005F4071">
        <w:t xml:space="preserve">, L.R.C. 1985, ch. </w:t>
      </w:r>
      <w:r w:rsidRPr="009E0ED4">
        <w:t>S</w:t>
      </w:r>
      <w:r w:rsidR="007A7D6A" w:rsidRPr="009E0ED4">
        <w:noBreakHyphen/>
      </w:r>
      <w:r w:rsidRPr="009E0ED4">
        <w:t>26, art. 2(1)</w:t>
      </w:r>
      <w:r w:rsidR="00C12295">
        <w:t xml:space="preserve"> </w:t>
      </w:r>
      <w:r w:rsidR="00C12295" w:rsidRPr="006A2394">
        <w:rPr>
          <w:lang w:val="fr-FR"/>
        </w:rPr>
        <w:t xml:space="preserve">« </w:t>
      </w:r>
      <w:r w:rsidR="00C12295">
        <w:rPr>
          <w:lang w:val="fr-FR"/>
        </w:rPr>
        <w:t xml:space="preserve">appel </w:t>
      </w:r>
      <w:r w:rsidR="00C12295" w:rsidRPr="006A2394">
        <w:rPr>
          <w:lang w:val="fr-FR"/>
        </w:rPr>
        <w:t>»</w:t>
      </w:r>
      <w:r w:rsidRPr="009E0ED4">
        <w:t xml:space="preserve">. </w:t>
      </w:r>
    </w:p>
    <w:p w:rsidR="005F4071" w:rsidRPr="009E0ED4" w:rsidRDefault="005F4071" w:rsidP="00832B2C">
      <w:pPr>
        <w:pStyle w:val="SCCNormalDoubleSpacing"/>
        <w:ind w:firstLine="720"/>
      </w:pPr>
    </w:p>
    <w:p w:rsidR="00344AAB" w:rsidRDefault="00BB6E2A" w:rsidP="00832B2C">
      <w:pPr>
        <w:pStyle w:val="SCCNormalDoubleSpacing"/>
        <w:ind w:firstLine="720"/>
      </w:pPr>
      <w:r w:rsidRPr="00BB6E2A">
        <w:t>REQUÊTE</w:t>
      </w:r>
      <w:r w:rsidR="002536E9" w:rsidRPr="00746ABA">
        <w:rPr>
          <w:smallCaps/>
        </w:rPr>
        <w:t xml:space="preserve"> </w:t>
      </w:r>
      <w:r w:rsidR="00EB3E7E" w:rsidRPr="00746ABA">
        <w:t>sollicitant</w:t>
      </w:r>
      <w:r w:rsidR="00896461" w:rsidRPr="00746ABA">
        <w:t xml:space="preserve"> la production</w:t>
      </w:r>
      <w:r w:rsidR="00C668E7" w:rsidRPr="00746ABA">
        <w:t xml:space="preserve"> de pièces</w:t>
      </w:r>
      <w:r w:rsidR="00271E1D" w:rsidRPr="00746ABA">
        <w:rPr>
          <w:szCs w:val="24"/>
        </w:rPr>
        <w:t>.</w:t>
      </w:r>
      <w:r w:rsidR="00344AAB" w:rsidRPr="00746ABA">
        <w:t xml:space="preserve"> </w:t>
      </w:r>
      <w:r w:rsidR="00896461" w:rsidRPr="00746ABA">
        <w:t xml:space="preserve"> </w:t>
      </w:r>
      <w:r w:rsidR="002536E9" w:rsidRPr="00746ABA">
        <w:t xml:space="preserve">Requête </w:t>
      </w:r>
      <w:r w:rsidR="00896461" w:rsidRPr="00746ABA">
        <w:t>acc</w:t>
      </w:r>
      <w:r w:rsidR="00EB3E7E" w:rsidRPr="00746ABA">
        <w:t>ordée</w:t>
      </w:r>
      <w:r w:rsidR="00896461" w:rsidRPr="00746ABA">
        <w:t>.</w:t>
      </w:r>
    </w:p>
    <w:p w:rsidR="00344AAB" w:rsidRDefault="00344AAB" w:rsidP="00832B2C">
      <w:pPr>
        <w:pStyle w:val="SCCNormalDoubleSpacing"/>
      </w:pPr>
    </w:p>
    <w:p w:rsidR="00A34E79" w:rsidRDefault="005B6095" w:rsidP="00832B2C">
      <w:pPr>
        <w:pStyle w:val="SCCNormalDoubleSpacing"/>
      </w:pPr>
      <w:r>
        <w:rPr>
          <w:rStyle w:val="SCCCounselNameChar"/>
        </w:rPr>
        <w:tab/>
      </w:r>
      <w:r w:rsidR="00896461">
        <w:rPr>
          <w:rStyle w:val="SCCCounselNameChar"/>
        </w:rPr>
        <w:t>James Lockyer</w:t>
      </w:r>
      <w:r w:rsidR="00896461">
        <w:rPr>
          <w:rStyle w:val="SCCCounselNameChar"/>
          <w:i w:val="0"/>
        </w:rPr>
        <w:t xml:space="preserve"> et</w:t>
      </w:r>
      <w:r w:rsidR="00896461">
        <w:rPr>
          <w:rStyle w:val="SCCCounselPartyRoleChar"/>
        </w:rPr>
        <w:t xml:space="preserve"> </w:t>
      </w:r>
      <w:r w:rsidR="00896461">
        <w:rPr>
          <w:rStyle w:val="SCCCounselPartyRoleChar"/>
          <w:i/>
        </w:rPr>
        <w:t>Philip Campbell</w:t>
      </w:r>
      <w:r>
        <w:rPr>
          <w:rStyle w:val="SCCCounselPartyRoleChar"/>
        </w:rPr>
        <w:t xml:space="preserve">, pour </w:t>
      </w:r>
      <w:r w:rsidR="00F8456F">
        <w:rPr>
          <w:rStyle w:val="SCCCounselPartyRoleChar"/>
        </w:rPr>
        <w:t xml:space="preserve">le </w:t>
      </w:r>
      <w:r w:rsidR="00EB3E7E">
        <w:t>demandeur</w:t>
      </w:r>
      <w:r w:rsidR="00F8456F">
        <w:t>/r</w:t>
      </w:r>
      <w:r w:rsidR="00F8456F" w:rsidRPr="00F8456F">
        <w:t>equérant à la requête</w:t>
      </w:r>
      <w:r>
        <w:rPr>
          <w:rStyle w:val="SCCCounselPartyRoleChar"/>
        </w:rPr>
        <w:t>.</w:t>
      </w:r>
    </w:p>
    <w:p w:rsidR="00A34E79" w:rsidRDefault="00A34E79" w:rsidP="00832B2C">
      <w:pPr>
        <w:pStyle w:val="SCCNormalDoubleSpacing"/>
      </w:pPr>
    </w:p>
    <w:p w:rsidR="00A34E79" w:rsidRDefault="005B6095" w:rsidP="00832B2C">
      <w:pPr>
        <w:pStyle w:val="SCCNormalDoubleSpacing"/>
      </w:pPr>
      <w:r>
        <w:rPr>
          <w:rStyle w:val="SCCCounselNameChar"/>
        </w:rPr>
        <w:tab/>
      </w:r>
      <w:r w:rsidR="005A1878">
        <w:rPr>
          <w:rStyle w:val="SCCCounselNameChar"/>
        </w:rPr>
        <w:t>Susan L. Reid</w:t>
      </w:r>
      <w:r w:rsidR="005A1878" w:rsidRPr="005A1878">
        <w:rPr>
          <w:rStyle w:val="SCCCounselNameChar"/>
          <w:i w:val="0"/>
        </w:rPr>
        <w:t>,</w:t>
      </w:r>
      <w:r w:rsidR="005A1878">
        <w:rPr>
          <w:rStyle w:val="SCCCounselNameChar"/>
        </w:rPr>
        <w:t xml:space="preserve"> </w:t>
      </w:r>
      <w:r>
        <w:rPr>
          <w:rStyle w:val="SCCCounselPartyRoleChar"/>
        </w:rPr>
        <w:t xml:space="preserve">pour </w:t>
      </w:r>
      <w:r w:rsidR="00F8456F">
        <w:rPr>
          <w:rStyle w:val="SCCCounselPartyRoleChar"/>
        </w:rPr>
        <w:t>l’</w:t>
      </w:r>
      <w:r w:rsidR="00F8456F">
        <w:t>i</w:t>
      </w:r>
      <w:r w:rsidR="00F8456F" w:rsidRPr="00F8456F">
        <w:t>ntimé</w:t>
      </w:r>
      <w:r w:rsidR="00F8456F">
        <w:t>e/</w:t>
      </w:r>
      <w:r w:rsidR="00EB3E7E">
        <w:t>intimée</w:t>
      </w:r>
      <w:r w:rsidR="00F8456F" w:rsidRPr="00F8456F">
        <w:t xml:space="preserve"> à la requête</w:t>
      </w:r>
      <w:r>
        <w:rPr>
          <w:rStyle w:val="SCCCounselPartyRoleChar"/>
        </w:rPr>
        <w:t>.</w:t>
      </w:r>
    </w:p>
    <w:p w:rsidR="00A34E79" w:rsidRDefault="00A34E79" w:rsidP="00832B2C">
      <w:pPr>
        <w:pStyle w:val="SCCNormalDoubleSpacing"/>
      </w:pPr>
    </w:p>
    <w:p w:rsidR="00453646" w:rsidRPr="00453646" w:rsidRDefault="00453646" w:rsidP="00832B2C">
      <w:pPr>
        <w:jc w:val="both"/>
      </w:pPr>
      <w:r w:rsidRPr="00C12295">
        <w:tab/>
      </w:r>
      <w:r w:rsidRPr="00453646">
        <w:t>Version française du jugement d</w:t>
      </w:r>
      <w:r>
        <w:t>e la Cour rendu par</w:t>
      </w:r>
    </w:p>
    <w:p w:rsidR="00453646" w:rsidRPr="006A2394" w:rsidRDefault="00453646" w:rsidP="00832B2C">
      <w:pPr>
        <w:spacing w:line="480" w:lineRule="auto"/>
        <w:jc w:val="both"/>
        <w:rPr>
          <w:b/>
          <w:u w:val="single"/>
        </w:rPr>
      </w:pPr>
    </w:p>
    <w:p w:rsidR="00453646" w:rsidRPr="006A2394" w:rsidRDefault="00453646" w:rsidP="00832B2C">
      <w:pPr>
        <w:spacing w:line="480" w:lineRule="auto"/>
        <w:jc w:val="both"/>
        <w:rPr>
          <w:lang w:val="fr-FR"/>
        </w:rPr>
      </w:pPr>
      <w:r>
        <w:t>[1]</w:t>
      </w:r>
      <w:r>
        <w:tab/>
      </w:r>
      <w:r w:rsidRPr="00453646">
        <w:rPr>
          <w:smallCaps/>
        </w:rPr>
        <w:t>Le juge Cromwell</w:t>
      </w:r>
      <w:r>
        <w:t xml:space="preserve"> — </w:t>
      </w:r>
      <w:r w:rsidRPr="006A2394">
        <w:rPr>
          <w:lang w:val="fr-FR"/>
        </w:rPr>
        <w:t xml:space="preserve">Le demandeur et Gary </w:t>
      </w:r>
      <w:proofErr w:type="spellStart"/>
      <w:r w:rsidRPr="006A2394">
        <w:rPr>
          <w:lang w:val="fr-FR"/>
        </w:rPr>
        <w:t>Eunick</w:t>
      </w:r>
      <w:proofErr w:type="spellEnd"/>
      <w:r w:rsidRPr="006A2394">
        <w:rPr>
          <w:lang w:val="fr-FR"/>
        </w:rPr>
        <w:t xml:space="preserve"> ont été reconnus coupables du meurtre au premier degré de </w:t>
      </w:r>
      <w:proofErr w:type="spellStart"/>
      <w:r w:rsidRPr="006A2394">
        <w:rPr>
          <w:lang w:val="fr-FR"/>
        </w:rPr>
        <w:t>Collin</w:t>
      </w:r>
      <w:proofErr w:type="spellEnd"/>
      <w:r w:rsidRPr="006A2394">
        <w:rPr>
          <w:lang w:val="fr-FR"/>
        </w:rPr>
        <w:t> Moore et de tentative de meurtre à l’endroit de Roger Moore à la suite d’une fusillade survenue dans une boîte de nuit à l’été 2002. La Cour d’appel de l’Ontario a rejeté leur appel conjoint de ces déclarations de culpabilité (</w:t>
      </w:r>
      <w:r w:rsidRPr="006A2394">
        <w:rPr>
          <w:i/>
          <w:lang w:val="fr-FR"/>
        </w:rPr>
        <w:t>R. c. Hay</w:t>
      </w:r>
      <w:r w:rsidRPr="006A2394">
        <w:rPr>
          <w:lang w:val="fr-FR"/>
        </w:rPr>
        <w:t xml:space="preserve">, 2009 ONCA 398, 249 O.A.C. 24), et le demandeur sollicite l’autorisation de se pourvoir devant notre Cour. Il désire </w:t>
      </w:r>
      <w:r>
        <w:rPr>
          <w:lang w:val="fr-FR"/>
        </w:rPr>
        <w:t>déterminer s</w:t>
      </w:r>
      <w:r w:rsidRPr="006A2394">
        <w:rPr>
          <w:lang w:val="fr-FR"/>
        </w:rPr>
        <w:t xml:space="preserve">’il </w:t>
      </w:r>
      <w:r>
        <w:rPr>
          <w:lang w:val="fr-FR"/>
        </w:rPr>
        <w:t>existe de nouveaux éléments de preuve qui pourraient servir à étayer sa demande d’autorisation penda</w:t>
      </w:r>
      <w:r w:rsidRPr="006A2394">
        <w:rPr>
          <w:lang w:val="fr-FR"/>
        </w:rPr>
        <w:t xml:space="preserve">nte, relativement à son argument selon lequel le </w:t>
      </w:r>
      <w:r w:rsidRPr="006A2394">
        <w:rPr>
          <w:lang w:val="fr-FR"/>
        </w:rPr>
        <w:lastRenderedPageBreak/>
        <w:t xml:space="preserve">verdict était déraisonnable. À cette fin, il a sollicité une ordonnance visant la production de deux pièces déposées au procès et leur remise pour examen au Centre des sciences judiciaires. Le ministère public intimé s’oppose à cette demande. Je suis d’accord avec les avocats des deux parties pour dire que la Cour a compétence pour rendre l’ordonnance demandée. J’estime également qu’il est dans l’intérêt de la justice qu’une telle ordonnance soit rendue. </w:t>
      </w:r>
    </w:p>
    <w:p w:rsidR="00453646" w:rsidRPr="006A2394" w:rsidRDefault="00453646" w:rsidP="00832B2C">
      <w:pPr>
        <w:spacing w:line="480" w:lineRule="auto"/>
        <w:jc w:val="both"/>
        <w:rPr>
          <w:lang w:val="fr-FR"/>
        </w:rPr>
      </w:pPr>
    </w:p>
    <w:p w:rsidR="00453646" w:rsidRPr="006A2394" w:rsidRDefault="00453646" w:rsidP="00832B2C">
      <w:pPr>
        <w:spacing w:line="480" w:lineRule="auto"/>
        <w:jc w:val="both"/>
        <w:rPr>
          <w:lang w:val="fr-FR"/>
        </w:rPr>
      </w:pPr>
      <w:r>
        <w:rPr>
          <w:lang w:val="fr-FR"/>
        </w:rPr>
        <w:t>[2]</w:t>
      </w:r>
      <w:r>
        <w:rPr>
          <w:lang w:val="fr-FR"/>
        </w:rPr>
        <w:tab/>
      </w:r>
      <w:r w:rsidRPr="006A2394">
        <w:rPr>
          <w:lang w:val="fr-FR"/>
        </w:rPr>
        <w:t xml:space="preserve">Commençons d’abord par la question de la compétence. Je souscris à la thèse de l’avocate de l’intimée selon laquelle le par. 695(1) du </w:t>
      </w:r>
      <w:r w:rsidRPr="006A2394">
        <w:rPr>
          <w:i/>
          <w:iCs/>
          <w:lang w:val="fr-FR"/>
        </w:rPr>
        <w:t>Code criminel</w:t>
      </w:r>
      <w:r w:rsidRPr="006A2394">
        <w:rPr>
          <w:lang w:val="fr-FR"/>
        </w:rPr>
        <w:t>, L.R.C. 1985, ch. C-46, lu en corrélation avec l</w:t>
      </w:r>
      <w:r w:rsidR="00C12295">
        <w:rPr>
          <w:lang w:val="fr-FR"/>
        </w:rPr>
        <w:t>’</w:t>
      </w:r>
      <w:r w:rsidRPr="006A2394">
        <w:rPr>
          <w:lang w:val="fr-FR"/>
        </w:rPr>
        <w:t>al. 683(1)</w:t>
      </w:r>
      <w:r w:rsidRPr="006A2394">
        <w:rPr>
          <w:i/>
          <w:iCs/>
          <w:lang w:val="fr-FR"/>
        </w:rPr>
        <w:t>a</w:t>
      </w:r>
      <w:r w:rsidRPr="006A2394">
        <w:rPr>
          <w:lang w:val="fr-FR"/>
        </w:rPr>
        <w:t>) de cette loi, autorise une formation de la Cour saisie d’une demande d’autorisation d’appel à rendre l’ordonnance que sollicite le demandeur. Suivant le par. 695(1), la Cour peut, « sur un appel aux termes de la présente partie</w:t>
      </w:r>
      <w:r>
        <w:rPr>
          <w:lang w:val="fr-FR"/>
        </w:rPr>
        <w:t xml:space="preserve"> </w:t>
      </w:r>
      <w:r w:rsidRPr="006A2394">
        <w:rPr>
          <w:lang w:val="fr-FR"/>
        </w:rPr>
        <w:t xml:space="preserve">», rendre toute ordonnance que la cour d’appel aurait pu rendre. Quoiqu’il soit permis de se demander si ce pouvoir s’étend à la Cour lorsqu’elle examine une demande d’autorisation d’appel, trois facteurs me convainquent que la réponse est oui.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t>[3]</w:t>
      </w:r>
      <w:r>
        <w:rPr>
          <w:lang w:val="fr-FR"/>
        </w:rPr>
        <w:tab/>
      </w:r>
      <w:r w:rsidRPr="006A2394">
        <w:rPr>
          <w:lang w:val="fr-FR"/>
        </w:rPr>
        <w:t xml:space="preserve">Premièrement, bien qu’elles figurent sous la rubrique « Appels à la Cour suprême du Canada », les dispositions du </w:t>
      </w:r>
      <w:r w:rsidRPr="006A2394">
        <w:rPr>
          <w:i/>
          <w:lang w:val="fr-FR"/>
        </w:rPr>
        <w:t>Code criminel</w:t>
      </w:r>
      <w:r w:rsidRPr="006A2394">
        <w:rPr>
          <w:lang w:val="fr-FR"/>
        </w:rPr>
        <w:t xml:space="preserve"> conférant à la Cour compétence en matière d’appel prévoient des situations où l’appel est formé soit de plein droit soit sur autorisation. En outre, à certains égards au moins, la demande d’autorisation d’appel et l’appel lui-même (si l’autorisation est accordée) sont considérés comme deux étapes d’un appel à la Cour. Par exemple, l’al. 694.2(2)</w:t>
      </w:r>
      <w:r w:rsidRPr="006A2394">
        <w:rPr>
          <w:i/>
          <w:lang w:val="fr-FR"/>
        </w:rPr>
        <w:t>a</w:t>
      </w:r>
      <w:r w:rsidRPr="006A2394">
        <w:rPr>
          <w:lang w:val="fr-FR"/>
        </w:rPr>
        <w:t xml:space="preserve">) </w:t>
      </w:r>
      <w:r w:rsidRPr="006A2394">
        <w:rPr>
          <w:lang w:val="fr-FR"/>
        </w:rPr>
        <w:lastRenderedPageBreak/>
        <w:t xml:space="preserve">vient préciser le par. 694.2(1) -- lequel accorde à l’appelant qui est sous garde le droit d’être présent « à l’audition de l’appel devant la Cour suprême du Canada » -- en indiquant clairement qu’une personne qui est sous garde et qui est représentée par un avocat n’a pas le droit d’être présente devant la Cour suprême « lors de la demande d’autorisation d’appel ». Cette précision serait inutile si le droit, prévu au par. 694.2(1), d’être présent lors de l’audition d’un appel n’emportait pas celui d’assister à l’audition d’une demande d’autorisation d’appel.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t>[4]</w:t>
      </w:r>
      <w:r>
        <w:rPr>
          <w:lang w:val="fr-FR"/>
        </w:rPr>
        <w:tab/>
      </w:r>
      <w:r w:rsidRPr="006A2394">
        <w:rPr>
          <w:lang w:val="fr-FR"/>
        </w:rPr>
        <w:t xml:space="preserve">Deuxièmement, le terme « appel » n’est pas défini dans le </w:t>
      </w:r>
      <w:r w:rsidRPr="006A2394">
        <w:rPr>
          <w:i/>
          <w:lang w:val="fr-FR"/>
        </w:rPr>
        <w:t>Code criminel</w:t>
      </w:r>
      <w:r w:rsidRPr="006A2394">
        <w:rPr>
          <w:lang w:val="fr-FR"/>
        </w:rPr>
        <w:t xml:space="preserve">, mais il l’est dans la </w:t>
      </w:r>
      <w:r w:rsidRPr="006A2394">
        <w:rPr>
          <w:i/>
          <w:lang w:val="fr-FR"/>
        </w:rPr>
        <w:t>Loi sur la Cour suprême</w:t>
      </w:r>
      <w:r w:rsidRPr="006A2394">
        <w:rPr>
          <w:lang w:val="fr-FR"/>
        </w:rPr>
        <w:t xml:space="preserve">, où il s’entend de « toute procédure visant […] </w:t>
      </w:r>
      <w:r w:rsidRPr="006A2394">
        <w:t>l’infirmation ou la rectification d’un jugement d’une juridiction inférieure</w:t>
      </w:r>
      <w:r w:rsidR="00C12295">
        <w:t> </w:t>
      </w:r>
      <w:r w:rsidRPr="006A2394">
        <w:t xml:space="preserve">» : </w:t>
      </w:r>
      <w:r w:rsidRPr="006A2394">
        <w:rPr>
          <w:i/>
        </w:rPr>
        <w:t>Loi sur la Cour suprême</w:t>
      </w:r>
      <w:r w:rsidRPr="006A2394">
        <w:rPr>
          <w:lang w:val="fr-FR"/>
        </w:rPr>
        <w:t>, L.R.C. 1985, ch. S-26, par. 2(1). Cette définition est suffisamment large, dans le contexte qui nous occupe, pour englober une demande d’autorisation d’appel. Aux termes de l’al. 15(2)</w:t>
      </w:r>
      <w:r w:rsidRPr="006A2394">
        <w:rPr>
          <w:i/>
          <w:lang w:val="fr-FR"/>
        </w:rPr>
        <w:t>b</w:t>
      </w:r>
      <w:r w:rsidRPr="006A2394">
        <w:rPr>
          <w:lang w:val="fr-FR"/>
        </w:rPr>
        <w:t xml:space="preserve">) de la </w:t>
      </w:r>
      <w:r w:rsidRPr="006A2394">
        <w:rPr>
          <w:i/>
          <w:lang w:val="fr-FR"/>
        </w:rPr>
        <w:t>Loi d’interprétation</w:t>
      </w:r>
      <w:r w:rsidRPr="006A2394">
        <w:rPr>
          <w:lang w:val="fr-FR"/>
        </w:rPr>
        <w:t>,</w:t>
      </w:r>
      <w:r w:rsidR="00C12295">
        <w:rPr>
          <w:lang w:val="fr-FR"/>
        </w:rPr>
        <w:t xml:space="preserve"> L.R.C. 1985, ch</w:t>
      </w:r>
      <w:r w:rsidR="00E17C8D">
        <w:rPr>
          <w:lang w:val="fr-FR"/>
        </w:rPr>
        <w:t>.</w:t>
      </w:r>
      <w:r w:rsidR="00C12295">
        <w:rPr>
          <w:lang w:val="fr-FR"/>
        </w:rPr>
        <w:t xml:space="preserve"> I-21,</w:t>
      </w:r>
      <w:r w:rsidRPr="006A2394">
        <w:rPr>
          <w:lang w:val="fr-FR"/>
        </w:rPr>
        <w:t xml:space="preserve"> il faut consid</w:t>
      </w:r>
      <w:r w:rsidR="00C12295">
        <w:rPr>
          <w:lang w:val="fr-FR"/>
        </w:rPr>
        <w:t>érer que cette définition « </w:t>
      </w:r>
      <w:r w:rsidRPr="006A2394">
        <w:rPr>
          <w:lang w:val="fr-FR"/>
        </w:rPr>
        <w:t>s’</w:t>
      </w:r>
      <w:proofErr w:type="spellStart"/>
      <w:r w:rsidRPr="006A2394">
        <w:rPr>
          <w:lang w:val="fr-FR"/>
        </w:rPr>
        <w:t>appliqu</w:t>
      </w:r>
      <w:proofErr w:type="spellEnd"/>
      <w:r w:rsidR="00C12295">
        <w:rPr>
          <w:lang w:val="fr-FR"/>
        </w:rPr>
        <w:t>[</w:t>
      </w:r>
      <w:r w:rsidRPr="006A2394">
        <w:rPr>
          <w:lang w:val="fr-FR"/>
        </w:rPr>
        <w:t xml:space="preserve">e], sauf indication contraire, aux autres textes portant sur un domaine identique ». Par conséquent, la définition large d’« appel » qui figure dans la </w:t>
      </w:r>
      <w:r w:rsidRPr="006A2394">
        <w:rPr>
          <w:i/>
          <w:lang w:val="fr-FR"/>
        </w:rPr>
        <w:t>Loi sur la</w:t>
      </w:r>
      <w:r w:rsidRPr="006A2394">
        <w:rPr>
          <w:lang w:val="fr-FR"/>
        </w:rPr>
        <w:t xml:space="preserve"> </w:t>
      </w:r>
      <w:r w:rsidRPr="006A2394">
        <w:rPr>
          <w:i/>
          <w:lang w:val="fr-FR"/>
        </w:rPr>
        <w:t>Cour suprême</w:t>
      </w:r>
      <w:r w:rsidRPr="006A2394">
        <w:rPr>
          <w:lang w:val="fr-FR"/>
        </w:rPr>
        <w:t xml:space="preserve"> doit être appliquée à ce terme lorsqu’il est utilisé dans les dispositions du </w:t>
      </w:r>
      <w:r w:rsidRPr="006A2394">
        <w:rPr>
          <w:i/>
          <w:lang w:val="fr-FR"/>
        </w:rPr>
        <w:t>Code criminel</w:t>
      </w:r>
      <w:r w:rsidRPr="006A2394">
        <w:rPr>
          <w:lang w:val="fr-FR"/>
        </w:rPr>
        <w:t xml:space="preserve"> conférant à notre Cour sa compétence en matière d’appel, sauf indication à l’effet contraire. Or, je ne peux trouver aucune indication de cette nature.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lastRenderedPageBreak/>
        <w:t>[5]</w:t>
      </w:r>
      <w:r>
        <w:rPr>
          <w:lang w:val="fr-FR"/>
        </w:rPr>
        <w:tab/>
      </w:r>
      <w:r w:rsidRPr="006A2394">
        <w:rPr>
          <w:lang w:val="fr-FR"/>
        </w:rPr>
        <w:t xml:space="preserve">Enfin, comme l’a souligné l’avocate de l’intimée dans sa plaidoirie, une interprétation contraire risquerait de limiter considérablement le pouvoir de la Cour d’examiner à fond les demandes d’autorisation d’appel.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t>[6]</w:t>
      </w:r>
      <w:r>
        <w:rPr>
          <w:lang w:val="fr-FR"/>
        </w:rPr>
        <w:tab/>
      </w:r>
      <w:r w:rsidRPr="006A2394">
        <w:rPr>
          <w:lang w:val="fr-FR"/>
        </w:rPr>
        <w:t xml:space="preserve">J’en viens à la conclusion qu’une formation de la Cour saisie d’une demande d’autorisation est compétente pour rendre l’ordonnance sollicitée en l’espèce. Je vais maintenant examiner les raisons pour lesquelles il est dans l’intérêt de la justice, à mon avis, que nous rendions une telle ordonnance.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t>[7]</w:t>
      </w:r>
      <w:r>
        <w:rPr>
          <w:lang w:val="fr-FR"/>
        </w:rPr>
        <w:tab/>
      </w:r>
      <w:r w:rsidRPr="006A2394">
        <w:rPr>
          <w:lang w:val="fr-FR"/>
        </w:rPr>
        <w:t xml:space="preserve">La question de savoir si le demandeur était le deuxième des deux hommes armés ayant participé au meurtre a été vigoureusement débattue au procès. L’identification faite par les témoins oculaires sur les lieux était quelque peu équivoque, mais il existait une abondante preuve circonstancielle tendant à démontrer que le demandeur avait pris part à la fusillade. Au procès, le ministère public a dit au jury que la manière dont s’était comporté le demandeur après l’infraction étayait une inférence de culpabilité. On a soutenu que, peu de temps après le meurtre, le demandeur s’est rendu chez lui avec le coaccusé et a changé son apparence en se rasant la tête. Le ministère public a notamment déposé en preuve des bouts de cheveux emballés dans du papier journal qui avaient été découverts dans la poubelle des toilettes adjacentes à la chambre à coucher du demandeur, ainsi qu’une tondeuse ou un rasoir à cheveux trouvé dans le tiroir d’une table de nuit dans la chambre à coucher. Dans sa décision, la Cour d’appel a conclu que, conjugués à d’autres éléments de preuve relatifs à l’apparence du demandeur avant la fusillade, ces bouts </w:t>
      </w:r>
      <w:r w:rsidRPr="006A2394">
        <w:rPr>
          <w:lang w:val="fr-FR"/>
        </w:rPr>
        <w:lastRenderedPageBreak/>
        <w:t>de cheveux permettaient de tirer [</w:t>
      </w:r>
      <w:r w:rsidRPr="00C12295">
        <w:rPr>
          <w:smallCaps/>
          <w:lang w:val="fr-FR"/>
        </w:rPr>
        <w:t>traduction</w:t>
      </w:r>
      <w:r w:rsidRPr="006A2394">
        <w:rPr>
          <w:lang w:val="fr-FR"/>
        </w:rPr>
        <w:t>] « une solide inférence » que ce dernier s’était rasé la tête après le meurtre pour changer d’apparence (par. 36). La Cour d’appel a conclu que cette « solide inférence », ajoutée à ces autres éléments de preuve, suffisait pour élever le verdict au-dessus du [</w:t>
      </w:r>
      <w:r w:rsidRPr="00C12295">
        <w:rPr>
          <w:smallCaps/>
          <w:lang w:val="fr-FR"/>
        </w:rPr>
        <w:t>traduction</w:t>
      </w:r>
      <w:r w:rsidRPr="006A2394">
        <w:rPr>
          <w:lang w:val="fr-FR"/>
        </w:rPr>
        <w:t xml:space="preserve">] « seuil sous lequel un verdict est déraisonnable » (par. 36).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t>[8]</w:t>
      </w:r>
      <w:r>
        <w:rPr>
          <w:lang w:val="fr-FR"/>
        </w:rPr>
        <w:tab/>
      </w:r>
      <w:r w:rsidRPr="006A2394">
        <w:rPr>
          <w:lang w:val="fr-FR"/>
        </w:rPr>
        <w:t xml:space="preserve">Le demandeur sollicite la production des bouts de cheveux pour que l’on détermine, par analyse scientifique, s’il s’agit de poils faciaux ou de cheveux. D’après la preuve dont nous disposons dans le cadre de la demande, le Centre des sciences judiciaires possède l’expertise requise pour effectuer une telle analyse et que celle-ci peut être réalisée dans un délai de trois semaines après avoir reçu les objets en question. Aucune analyse de ce genre n’a été effectuée par le ministère public en vue du procès et on n’en a demandé une, pour le compte de la défense, que plusieurs mois après le rejet de l’appel par la Cour d’appel. Dans son affidavit, l’avocat qui a occupé pour la défense au procès dit qu’il ne savait pas que des analyses scientifiques permettaient de distinguer les cheveux des poils faciaux. Une lettre au dossier indique que l’avocat ayant représenté le demandeur devant la Cour d’appel n’était pas non plus au courant de la possibilité de telles analyses. Rien ne prouve que le ministère public </w:t>
      </w:r>
      <w:proofErr w:type="gramStart"/>
      <w:r w:rsidRPr="006A2394">
        <w:rPr>
          <w:lang w:val="fr-FR"/>
        </w:rPr>
        <w:t>était</w:t>
      </w:r>
      <w:proofErr w:type="gramEnd"/>
      <w:r w:rsidRPr="006A2394">
        <w:rPr>
          <w:lang w:val="fr-FR"/>
        </w:rPr>
        <w:t xml:space="preserve"> au fait de cette possibilité. Puisqu’il semble que personne n’a demandé pareille analyse et, vu l’importance que pourraient avoir les résultats susceptibles d’être obtenus grâce à celle-ci, j’en déduis qu’il n’est tout simplement pas venu à l’esprit de l’un ou l’autre des criminalistes d’expérience concernés que pareilles analyses existaient.  </w:t>
      </w:r>
    </w:p>
    <w:p w:rsidR="00453646" w:rsidRPr="006A2394" w:rsidRDefault="00453646" w:rsidP="00832B2C">
      <w:pPr>
        <w:spacing w:line="480" w:lineRule="auto"/>
        <w:jc w:val="both"/>
        <w:rPr>
          <w:lang w:val="fr-FR"/>
        </w:rPr>
      </w:pPr>
    </w:p>
    <w:p w:rsidR="00453646" w:rsidRPr="006A2394" w:rsidRDefault="00453646" w:rsidP="00832B2C">
      <w:pPr>
        <w:spacing w:line="480" w:lineRule="auto"/>
        <w:jc w:val="both"/>
        <w:rPr>
          <w:lang w:val="fr-FR"/>
        </w:rPr>
      </w:pPr>
      <w:r>
        <w:rPr>
          <w:lang w:val="fr-FR"/>
        </w:rPr>
        <w:t>[9]</w:t>
      </w:r>
      <w:r>
        <w:rPr>
          <w:lang w:val="fr-FR"/>
        </w:rPr>
        <w:tab/>
      </w:r>
      <w:r w:rsidRPr="006A2394">
        <w:rPr>
          <w:lang w:val="fr-FR"/>
        </w:rPr>
        <w:t xml:space="preserve">En raison de l’importance qu’a accordée l’avocat du ministère public, au procès, à la preuve selon laquelle le demandeur s’était rasé la tête, et du poids que l’inférence de culpabilité tirée de cette preuve semble avoir eu dans la conclusion de la Cour d’appel que le verdict de culpabilité n’était pas </w:t>
      </w:r>
      <w:r>
        <w:rPr>
          <w:lang w:val="fr-FR"/>
        </w:rPr>
        <w:t>dé</w:t>
      </w:r>
      <w:r w:rsidRPr="006A2394">
        <w:rPr>
          <w:lang w:val="fr-FR"/>
        </w:rPr>
        <w:t xml:space="preserve">raisonnable, il est selon moi dans l’intérêt de la justice que le demandeur dispose de l’information pertinente pour préparer sa demande d’autorisation d’appel à notre Cour. Bien entendu, nous n’en sommes pas à l’examen d’une demande sollicitant l’autorisation de produire de nouveaux éléments de preuve, demande qui serait examinée lors de sa présentation, si effectivement une telle demande est présentée. Pour l’instant, le demandeur désire simplement recourir à une mesure d’expertise qui pourrait ou non produire des éléments de preuve susceptibles d’étayer la présentation d’une demande de ce genre. </w:t>
      </w:r>
    </w:p>
    <w:p w:rsidR="00453646" w:rsidRPr="006A2394" w:rsidRDefault="00453646" w:rsidP="00832B2C">
      <w:pPr>
        <w:spacing w:line="480" w:lineRule="auto"/>
        <w:ind w:firstLine="720"/>
        <w:jc w:val="both"/>
        <w:rPr>
          <w:lang w:val="fr-FR"/>
        </w:rPr>
      </w:pPr>
    </w:p>
    <w:p w:rsidR="00453646" w:rsidRPr="006A2394" w:rsidRDefault="00453646" w:rsidP="00832B2C">
      <w:pPr>
        <w:spacing w:line="480" w:lineRule="auto"/>
        <w:jc w:val="both"/>
        <w:rPr>
          <w:lang w:val="fr-FR"/>
        </w:rPr>
      </w:pPr>
      <w:r>
        <w:rPr>
          <w:lang w:val="fr-FR"/>
        </w:rPr>
        <w:t>[10]</w:t>
      </w:r>
      <w:r>
        <w:rPr>
          <w:lang w:val="fr-FR"/>
        </w:rPr>
        <w:tab/>
      </w:r>
      <w:r w:rsidRPr="006A2394">
        <w:rPr>
          <w:lang w:val="fr-FR"/>
        </w:rPr>
        <w:t xml:space="preserve">Il est fait droit à la demande et ordonné aux avocats de soumettre à la Cour un projet d’ordonnance supplémentaire précisant les arrangements devant être pris en vue de la production, du transport et de l’analyse des pièces en question, ainsi que de leur remise après les analyses. Si les avocats ne parviennent pas à s’entendre sur ce projet d’ordonnance commune dans un délai de 14 jours suivant la date de la présente ordonnance, chaque partie doit alors présenter un projet d’ordonnance à la Cour, pour examen, dans les 21 jours qui suivent la date de la présente décision. </w:t>
      </w:r>
    </w:p>
    <w:p w:rsidR="005A1878" w:rsidRPr="005A1878" w:rsidRDefault="005A1878" w:rsidP="00832B2C">
      <w:pPr>
        <w:pStyle w:val="SCCNormalDoubleSpacing"/>
      </w:pPr>
    </w:p>
    <w:p w:rsidR="0033393C" w:rsidRPr="00A24E15" w:rsidRDefault="0033393C" w:rsidP="00832B2C">
      <w:pPr>
        <w:pStyle w:val="SCCNormalDoubleSpacing"/>
      </w:pPr>
      <w:r w:rsidRPr="00117584">
        <w:tab/>
      </w:r>
      <w:r w:rsidR="009856FE" w:rsidRPr="00746ABA">
        <w:rPr>
          <w:i/>
        </w:rPr>
        <w:t>Requête</w:t>
      </w:r>
      <w:r w:rsidR="005A1878" w:rsidRPr="00746ABA">
        <w:rPr>
          <w:i/>
        </w:rPr>
        <w:t xml:space="preserve"> acc</w:t>
      </w:r>
      <w:r w:rsidR="00EB3E7E" w:rsidRPr="00746ABA">
        <w:rPr>
          <w:i/>
        </w:rPr>
        <w:t>ordée</w:t>
      </w:r>
      <w:r w:rsidR="00DB6B11" w:rsidRPr="00746ABA">
        <w:rPr>
          <w:i/>
        </w:rPr>
        <w:t>.</w:t>
      </w:r>
    </w:p>
    <w:p w:rsidR="00DB6B11" w:rsidRDefault="00DB6B11" w:rsidP="00832B2C">
      <w:pPr>
        <w:pStyle w:val="SCCNormalDoubleSpacing"/>
      </w:pPr>
    </w:p>
    <w:p w:rsidR="005A1878" w:rsidRDefault="00F8456F" w:rsidP="00832B2C">
      <w:pPr>
        <w:pStyle w:val="SCCLawFirm"/>
      </w:pPr>
      <w:r>
        <w:lastRenderedPageBreak/>
        <w:tab/>
        <w:t>Procureurs du</w:t>
      </w:r>
      <w:r w:rsidR="005A1878">
        <w:t xml:space="preserve"> </w:t>
      </w:r>
      <w:r w:rsidR="00EB3E7E">
        <w:t>demandeur</w:t>
      </w:r>
      <w:r>
        <w:t>/r</w:t>
      </w:r>
      <w:r w:rsidRPr="00F8456F">
        <w:t>equérant à la requête</w:t>
      </w:r>
      <w:r w:rsidR="005A1878">
        <w:t xml:space="preserve"> : Lockyer Campbell </w:t>
      </w:r>
      <w:proofErr w:type="spellStart"/>
      <w:r w:rsidR="005A1878">
        <w:t>Posner</w:t>
      </w:r>
      <w:proofErr w:type="spellEnd"/>
      <w:r w:rsidR="005A1878">
        <w:t>, Toronto.</w:t>
      </w:r>
    </w:p>
    <w:p w:rsidR="005A1878" w:rsidRDefault="005A1878" w:rsidP="00832B2C">
      <w:pPr>
        <w:pStyle w:val="SCCLawFirm"/>
      </w:pPr>
    </w:p>
    <w:p w:rsidR="005A1878" w:rsidRDefault="005A1878" w:rsidP="00832B2C">
      <w:pPr>
        <w:pStyle w:val="SCCLawFirm"/>
      </w:pPr>
      <w:r>
        <w:tab/>
      </w:r>
      <w:r w:rsidRPr="00117584">
        <w:t xml:space="preserve">Procureur de </w:t>
      </w:r>
      <w:r w:rsidR="00F8456F">
        <w:rPr>
          <w:rStyle w:val="SCCCounselPartyRoleChar"/>
        </w:rPr>
        <w:t>l’</w:t>
      </w:r>
      <w:r w:rsidR="00F8456F">
        <w:t>i</w:t>
      </w:r>
      <w:r w:rsidR="00F8456F" w:rsidRPr="00F8456F">
        <w:t>ntimé</w:t>
      </w:r>
      <w:r w:rsidR="00F8456F">
        <w:t>e/</w:t>
      </w:r>
      <w:r w:rsidR="00EB3E7E">
        <w:t>intimée</w:t>
      </w:r>
      <w:r w:rsidR="00F8456F" w:rsidRPr="00F8456F">
        <w:t xml:space="preserve"> à la requête</w:t>
      </w:r>
      <w:r w:rsidR="00F8456F">
        <w:t> :</w:t>
      </w:r>
      <w:r>
        <w:t> </w:t>
      </w:r>
      <w:r w:rsidRPr="00117584">
        <w:t>Procureur général de</w:t>
      </w:r>
      <w:r>
        <w:t xml:space="preserve"> l’Ontario</w:t>
      </w:r>
      <w:r w:rsidRPr="00117584">
        <w:t xml:space="preserve">, </w:t>
      </w:r>
      <w:r>
        <w:t>Toronto</w:t>
      </w:r>
      <w:r w:rsidRPr="00117584">
        <w:t>.</w:t>
      </w:r>
    </w:p>
    <w:p w:rsidR="0033393C" w:rsidRDefault="0033393C" w:rsidP="00832B2C">
      <w:pPr>
        <w:pStyle w:val="SCCNormalDoubleSpacing"/>
      </w:pPr>
    </w:p>
    <w:sectPr w:rsidR="0033393C" w:rsidSect="004943BF">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D4" w:rsidRDefault="009E0ED4">
      <w:r>
        <w:separator/>
      </w:r>
    </w:p>
  </w:endnote>
  <w:endnote w:type="continuationSeparator" w:id="0">
    <w:p w:rsidR="009E0ED4" w:rsidRDefault="009E0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D4" w:rsidRDefault="009E0ED4">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D4" w:rsidRDefault="009E0ED4">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BF" w:rsidRDefault="00494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D4" w:rsidRDefault="009E0ED4">
      <w:r>
        <w:separator/>
      </w:r>
    </w:p>
  </w:footnote>
  <w:footnote w:type="continuationSeparator" w:id="0">
    <w:p w:rsidR="009E0ED4" w:rsidRDefault="009E0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D4" w:rsidRDefault="009E0ED4">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D4" w:rsidRDefault="009E0ED4">
    <w:pPr>
      <w:pStyle w:val="Header"/>
      <w:jc w:val="center"/>
    </w:pPr>
    <w:r>
      <w:t xml:space="preserve">- </w:t>
    </w:r>
    <w:sdt>
      <w:sdtPr>
        <w:id w:val="4489881"/>
        <w:docPartObj>
          <w:docPartGallery w:val="Page Numbers (Top of Page)"/>
          <w:docPartUnique/>
        </w:docPartObj>
      </w:sdtPr>
      <w:sdtContent>
        <w:fldSimple w:instr=" PAGE   \* MERGEFORMAT ">
          <w:r w:rsidR="00372383">
            <w:rPr>
              <w:noProof/>
            </w:rPr>
            <w:t>9</w:t>
          </w:r>
        </w:fldSimple>
        <w:r>
          <w:t xml:space="preserve"> -</w:t>
        </w:r>
      </w:sdtContent>
    </w:sdt>
  </w:p>
  <w:p w:rsidR="009E0ED4" w:rsidRDefault="009E0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3BF" w:rsidRDefault="004943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rsids>
    <w:rsidRoot w:val="0031414C"/>
    <w:rsid w:val="00022D22"/>
    <w:rsid w:val="00025198"/>
    <w:rsid w:val="00055518"/>
    <w:rsid w:val="00055A36"/>
    <w:rsid w:val="000578A3"/>
    <w:rsid w:val="00064563"/>
    <w:rsid w:val="000648CC"/>
    <w:rsid w:val="00094DE0"/>
    <w:rsid w:val="000A5321"/>
    <w:rsid w:val="000A7B84"/>
    <w:rsid w:val="000C59B8"/>
    <w:rsid w:val="0010517C"/>
    <w:rsid w:val="00111DE2"/>
    <w:rsid w:val="00116B38"/>
    <w:rsid w:val="00117584"/>
    <w:rsid w:val="0013109F"/>
    <w:rsid w:val="00135406"/>
    <w:rsid w:val="00135972"/>
    <w:rsid w:val="001362E1"/>
    <w:rsid w:val="00140667"/>
    <w:rsid w:val="001426A9"/>
    <w:rsid w:val="00146C9B"/>
    <w:rsid w:val="00154D7C"/>
    <w:rsid w:val="00154E54"/>
    <w:rsid w:val="001570B0"/>
    <w:rsid w:val="00172A04"/>
    <w:rsid w:val="00175A97"/>
    <w:rsid w:val="00184624"/>
    <w:rsid w:val="00185394"/>
    <w:rsid w:val="001A451D"/>
    <w:rsid w:val="001A6921"/>
    <w:rsid w:val="001B33E0"/>
    <w:rsid w:val="001B4573"/>
    <w:rsid w:val="001C27AD"/>
    <w:rsid w:val="001C779F"/>
    <w:rsid w:val="001D2AC1"/>
    <w:rsid w:val="001F7673"/>
    <w:rsid w:val="00220FC2"/>
    <w:rsid w:val="00224FC0"/>
    <w:rsid w:val="00225EA4"/>
    <w:rsid w:val="00226EAF"/>
    <w:rsid w:val="00231F3A"/>
    <w:rsid w:val="002406EE"/>
    <w:rsid w:val="002536E9"/>
    <w:rsid w:val="00263892"/>
    <w:rsid w:val="00271E1D"/>
    <w:rsid w:val="002745CC"/>
    <w:rsid w:val="002B34B6"/>
    <w:rsid w:val="002C7E14"/>
    <w:rsid w:val="002D39A4"/>
    <w:rsid w:val="002E6705"/>
    <w:rsid w:val="002F3B82"/>
    <w:rsid w:val="002F696C"/>
    <w:rsid w:val="0030329A"/>
    <w:rsid w:val="00307AFD"/>
    <w:rsid w:val="0031086F"/>
    <w:rsid w:val="00310E05"/>
    <w:rsid w:val="0031414C"/>
    <w:rsid w:val="00314E01"/>
    <w:rsid w:val="0032089D"/>
    <w:rsid w:val="0033393C"/>
    <w:rsid w:val="00344AAB"/>
    <w:rsid w:val="00345548"/>
    <w:rsid w:val="0034770C"/>
    <w:rsid w:val="0035259D"/>
    <w:rsid w:val="00372383"/>
    <w:rsid w:val="003866EC"/>
    <w:rsid w:val="00394476"/>
    <w:rsid w:val="003A4C70"/>
    <w:rsid w:val="003A4E15"/>
    <w:rsid w:val="003C799C"/>
    <w:rsid w:val="003E1C71"/>
    <w:rsid w:val="003F327B"/>
    <w:rsid w:val="004059A7"/>
    <w:rsid w:val="00406166"/>
    <w:rsid w:val="00411300"/>
    <w:rsid w:val="00426659"/>
    <w:rsid w:val="0043088E"/>
    <w:rsid w:val="004439D8"/>
    <w:rsid w:val="00453646"/>
    <w:rsid w:val="00465132"/>
    <w:rsid w:val="004725CF"/>
    <w:rsid w:val="00480C90"/>
    <w:rsid w:val="0048396F"/>
    <w:rsid w:val="00493C18"/>
    <w:rsid w:val="004943BF"/>
    <w:rsid w:val="00494CDC"/>
    <w:rsid w:val="004A600C"/>
    <w:rsid w:val="004C478D"/>
    <w:rsid w:val="004D348D"/>
    <w:rsid w:val="004E6A2C"/>
    <w:rsid w:val="004F1A49"/>
    <w:rsid w:val="00521AE8"/>
    <w:rsid w:val="00527180"/>
    <w:rsid w:val="00536719"/>
    <w:rsid w:val="00545703"/>
    <w:rsid w:val="005564A7"/>
    <w:rsid w:val="00583925"/>
    <w:rsid w:val="005842B1"/>
    <w:rsid w:val="005A1878"/>
    <w:rsid w:val="005B6095"/>
    <w:rsid w:val="005E4698"/>
    <w:rsid w:val="005F4071"/>
    <w:rsid w:val="00614FAC"/>
    <w:rsid w:val="00625C35"/>
    <w:rsid w:val="00634E1B"/>
    <w:rsid w:val="00645057"/>
    <w:rsid w:val="00654858"/>
    <w:rsid w:val="006565F4"/>
    <w:rsid w:val="00681AD1"/>
    <w:rsid w:val="006A51F0"/>
    <w:rsid w:val="006A56F1"/>
    <w:rsid w:val="006B5FF5"/>
    <w:rsid w:val="006C5661"/>
    <w:rsid w:val="006D4790"/>
    <w:rsid w:val="006F3DC8"/>
    <w:rsid w:val="00701759"/>
    <w:rsid w:val="00702C6F"/>
    <w:rsid w:val="007250A8"/>
    <w:rsid w:val="00746ABA"/>
    <w:rsid w:val="00747288"/>
    <w:rsid w:val="00747DD3"/>
    <w:rsid w:val="00752F4E"/>
    <w:rsid w:val="007549C8"/>
    <w:rsid w:val="00762D30"/>
    <w:rsid w:val="00763377"/>
    <w:rsid w:val="00766D14"/>
    <w:rsid w:val="00767A0F"/>
    <w:rsid w:val="00771CAB"/>
    <w:rsid w:val="007834A8"/>
    <w:rsid w:val="00792C81"/>
    <w:rsid w:val="007A05F6"/>
    <w:rsid w:val="007A7D6A"/>
    <w:rsid w:val="007B6F4A"/>
    <w:rsid w:val="007D440A"/>
    <w:rsid w:val="007E1C47"/>
    <w:rsid w:val="007E337A"/>
    <w:rsid w:val="007E5C70"/>
    <w:rsid w:val="007F2FF5"/>
    <w:rsid w:val="00817190"/>
    <w:rsid w:val="0082117C"/>
    <w:rsid w:val="008322BD"/>
    <w:rsid w:val="00832B2C"/>
    <w:rsid w:val="00855307"/>
    <w:rsid w:val="008562CC"/>
    <w:rsid w:val="00862CF3"/>
    <w:rsid w:val="00864CF8"/>
    <w:rsid w:val="00874914"/>
    <w:rsid w:val="00892E1A"/>
    <w:rsid w:val="008958F5"/>
    <w:rsid w:val="00896461"/>
    <w:rsid w:val="008A6558"/>
    <w:rsid w:val="008A727C"/>
    <w:rsid w:val="008C01DA"/>
    <w:rsid w:val="008F16D9"/>
    <w:rsid w:val="008F2885"/>
    <w:rsid w:val="008F78E9"/>
    <w:rsid w:val="00902462"/>
    <w:rsid w:val="009403F3"/>
    <w:rsid w:val="00957FA2"/>
    <w:rsid w:val="009628EA"/>
    <w:rsid w:val="00966913"/>
    <w:rsid w:val="00967374"/>
    <w:rsid w:val="0097543E"/>
    <w:rsid w:val="00975585"/>
    <w:rsid w:val="00983F3F"/>
    <w:rsid w:val="009856FE"/>
    <w:rsid w:val="00985C69"/>
    <w:rsid w:val="0099079B"/>
    <w:rsid w:val="009B2F23"/>
    <w:rsid w:val="009B53E2"/>
    <w:rsid w:val="009B57B3"/>
    <w:rsid w:val="009D5AEB"/>
    <w:rsid w:val="009E0ED4"/>
    <w:rsid w:val="009F1419"/>
    <w:rsid w:val="009F383F"/>
    <w:rsid w:val="00A05F0E"/>
    <w:rsid w:val="00A21107"/>
    <w:rsid w:val="00A21B90"/>
    <w:rsid w:val="00A222A3"/>
    <w:rsid w:val="00A24E15"/>
    <w:rsid w:val="00A34E79"/>
    <w:rsid w:val="00A431DC"/>
    <w:rsid w:val="00A548CB"/>
    <w:rsid w:val="00A6242E"/>
    <w:rsid w:val="00A643E7"/>
    <w:rsid w:val="00A73C38"/>
    <w:rsid w:val="00A96366"/>
    <w:rsid w:val="00AC7437"/>
    <w:rsid w:val="00AC7A44"/>
    <w:rsid w:val="00AE4E59"/>
    <w:rsid w:val="00AF03C5"/>
    <w:rsid w:val="00B000D8"/>
    <w:rsid w:val="00B00F75"/>
    <w:rsid w:val="00B145B6"/>
    <w:rsid w:val="00B464AC"/>
    <w:rsid w:val="00B50C81"/>
    <w:rsid w:val="00B557F8"/>
    <w:rsid w:val="00B629E5"/>
    <w:rsid w:val="00B64972"/>
    <w:rsid w:val="00B66DD8"/>
    <w:rsid w:val="00B8145D"/>
    <w:rsid w:val="00B815FC"/>
    <w:rsid w:val="00B931F2"/>
    <w:rsid w:val="00B93FBC"/>
    <w:rsid w:val="00B9404C"/>
    <w:rsid w:val="00BA575C"/>
    <w:rsid w:val="00BB6E2A"/>
    <w:rsid w:val="00BC51EB"/>
    <w:rsid w:val="00BC5B69"/>
    <w:rsid w:val="00C02092"/>
    <w:rsid w:val="00C057F7"/>
    <w:rsid w:val="00C12295"/>
    <w:rsid w:val="00C24C8C"/>
    <w:rsid w:val="00C24D91"/>
    <w:rsid w:val="00C52532"/>
    <w:rsid w:val="00C53F14"/>
    <w:rsid w:val="00C55C2E"/>
    <w:rsid w:val="00C600CF"/>
    <w:rsid w:val="00C6084F"/>
    <w:rsid w:val="00C62A66"/>
    <w:rsid w:val="00C62A6F"/>
    <w:rsid w:val="00C668E7"/>
    <w:rsid w:val="00C67CA5"/>
    <w:rsid w:val="00C71458"/>
    <w:rsid w:val="00C71F58"/>
    <w:rsid w:val="00C77613"/>
    <w:rsid w:val="00C828E7"/>
    <w:rsid w:val="00C921DD"/>
    <w:rsid w:val="00CA4D82"/>
    <w:rsid w:val="00CA6391"/>
    <w:rsid w:val="00CA774F"/>
    <w:rsid w:val="00CE3171"/>
    <w:rsid w:val="00CF1601"/>
    <w:rsid w:val="00D32086"/>
    <w:rsid w:val="00D37A3F"/>
    <w:rsid w:val="00D45FCF"/>
    <w:rsid w:val="00D4667A"/>
    <w:rsid w:val="00D510BB"/>
    <w:rsid w:val="00D5435D"/>
    <w:rsid w:val="00D74F2E"/>
    <w:rsid w:val="00D86E38"/>
    <w:rsid w:val="00DA0590"/>
    <w:rsid w:val="00DB6B11"/>
    <w:rsid w:val="00DC1788"/>
    <w:rsid w:val="00DF0CA8"/>
    <w:rsid w:val="00DF49A7"/>
    <w:rsid w:val="00E01106"/>
    <w:rsid w:val="00E07EE2"/>
    <w:rsid w:val="00E17C8D"/>
    <w:rsid w:val="00E24573"/>
    <w:rsid w:val="00E377A1"/>
    <w:rsid w:val="00E45109"/>
    <w:rsid w:val="00E54B02"/>
    <w:rsid w:val="00E8545B"/>
    <w:rsid w:val="00E97830"/>
    <w:rsid w:val="00EA03E5"/>
    <w:rsid w:val="00EA6EEB"/>
    <w:rsid w:val="00EB0559"/>
    <w:rsid w:val="00EB3E7E"/>
    <w:rsid w:val="00EC1345"/>
    <w:rsid w:val="00ED2040"/>
    <w:rsid w:val="00EE0FAF"/>
    <w:rsid w:val="00EF0A33"/>
    <w:rsid w:val="00F00EB7"/>
    <w:rsid w:val="00F2258E"/>
    <w:rsid w:val="00F33658"/>
    <w:rsid w:val="00F36AB6"/>
    <w:rsid w:val="00F409CE"/>
    <w:rsid w:val="00F8456F"/>
    <w:rsid w:val="00F84DF4"/>
    <w:rsid w:val="00F853FB"/>
    <w:rsid w:val="00F85C97"/>
    <w:rsid w:val="00FA2FE1"/>
    <w:rsid w:val="00FC606D"/>
    <w:rsid w:val="00FD068D"/>
    <w:rsid w:val="00FD4F28"/>
    <w:rsid w:val="00FD60F3"/>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table" w:styleId="TableGrid">
    <w:name w:val="Table Grid"/>
    <w:basedOn w:val="TableNormal"/>
    <w:uiPriority w:val="59"/>
    <w:rsid w:val="00AE4E5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AE4E59"/>
    <w:rPr>
      <w:rFonts w:eastAsiaTheme="minorHAnsi" w:cstheme="minorBidi"/>
      <w:b/>
      <w:smallCaps/>
      <w:szCs w:val="24"/>
      <w:lang w:eastAsia="en-US"/>
    </w:rPr>
  </w:style>
  <w:style w:type="character" w:customStyle="1" w:styleId="SCCLsocPrefixChar">
    <w:name w:val="SCC.Lsoc.Prefix Char"/>
    <w:basedOn w:val="DefaultParagraphFont"/>
    <w:link w:val="SCCLsocPrefix"/>
    <w:rsid w:val="00AE4E59"/>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E419-5A7F-4792-B22C-7D024CB9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1694</Words>
  <Characters>8920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2011-03-25T19:03:00Z</dcterms:created>
  <dcterms:modified xsi:type="dcterms:W3CDTF">2011-03-25T19:03:00Z</dcterms:modified>
</cp:coreProperties>
</file>