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14" w:rsidRDefault="00393A14" w:rsidP="00393A1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5pt" o:ole="">
            <v:imagedata r:id="rId7" o:title=""/>
          </v:shape>
          <o:OLEObject Type="Embed" ProgID="Presentations.Drawing.13" ShapeID="_x0000_i1025" DrawAspect="Content" ObjectID="_1362829064" r:id="rId8"/>
        </w:object>
      </w:r>
      <w:r>
        <w:t xml:space="preserve"> </w:t>
      </w:r>
      <w:r>
        <w:ptab w:relativeTo="margin" w:alignment="right" w:leader="none"/>
      </w:r>
    </w:p>
    <w:p w:rsidR="00393A14" w:rsidRDefault="00393A14" w:rsidP="00393A14">
      <w:pPr>
        <w:pStyle w:val="Header"/>
      </w:pPr>
    </w:p>
    <w:p w:rsidR="00393A14" w:rsidRPr="001E12E2" w:rsidRDefault="00393A14" w:rsidP="00393A14">
      <w:pPr>
        <w:jc w:val="center"/>
        <w:rPr>
          <w:b/>
        </w:rPr>
      </w:pPr>
      <w:r w:rsidRPr="001E12E2">
        <w:rPr>
          <w:b/>
        </w:rPr>
        <w:t>COUR SUPRÊME DU CANADA</w:t>
      </w:r>
    </w:p>
    <w:p w:rsidR="00393A14" w:rsidRDefault="00393A14"/>
    <w:p w:rsidR="00393A14" w:rsidRDefault="00393A1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93A14" w:rsidRPr="001E12E2" w:rsidTr="00E30ABC">
        <w:trPr>
          <w:cantSplit/>
        </w:trPr>
        <w:tc>
          <w:tcPr>
            <w:tcW w:w="6768" w:type="dxa"/>
          </w:tcPr>
          <w:p w:rsidR="00393A14" w:rsidRPr="001E12E2" w:rsidRDefault="00393A14" w:rsidP="00E30ABC">
            <w:r>
              <w:rPr>
                <w:b/>
                <w:smallCaps/>
              </w:rPr>
              <w:t>Référence</w:t>
            </w:r>
            <w:r w:rsidRPr="001E12E2">
              <w:rPr>
                <w:b/>
                <w:smallCaps/>
              </w:rPr>
              <w:t xml:space="preserve"> </w:t>
            </w:r>
            <w:proofErr w:type="gramStart"/>
            <w:r w:rsidRPr="001E12E2">
              <w:t xml:space="preserve">: </w:t>
            </w:r>
            <w:r>
              <w:t xml:space="preserve"> </w:t>
            </w:r>
            <w:r w:rsidRPr="004E7A6A">
              <w:rPr>
                <w:rStyle w:val="SCCAppellantForIndexChar"/>
                <w:b w:val="0"/>
              </w:rPr>
              <w:t>R</w:t>
            </w:r>
            <w:proofErr w:type="gramEnd"/>
            <w:r w:rsidRPr="004E7A6A">
              <w:rPr>
                <w:rStyle w:val="SCCAppellantForIndexChar"/>
                <w:b w:val="0"/>
              </w:rPr>
              <w:t>.</w:t>
            </w:r>
            <w:r w:rsidRPr="004E7A6A">
              <w:rPr>
                <w:b/>
              </w:rPr>
              <w:t xml:space="preserve"> </w:t>
            </w:r>
            <w:r w:rsidRPr="004E7A6A">
              <w:rPr>
                <w:i/>
              </w:rPr>
              <w:t>c.</w:t>
            </w:r>
            <w:r w:rsidRPr="00315349">
              <w:t xml:space="preserve"> </w:t>
            </w:r>
            <w:r>
              <w:t>White</w:t>
            </w:r>
            <w:r>
              <w:rPr>
                <w:rStyle w:val="SCCRespondentForIndexChar"/>
                <w:b w:val="0"/>
              </w:rPr>
              <w:t>, 2010 CSC 59, [2010] 3 R.C.S. 374</w:t>
            </w:r>
          </w:p>
        </w:tc>
        <w:tc>
          <w:tcPr>
            <w:tcW w:w="2808" w:type="dxa"/>
          </w:tcPr>
          <w:p w:rsidR="00393A14" w:rsidRPr="001E12E2" w:rsidRDefault="00393A14" w:rsidP="00E30ABC">
            <w:r w:rsidRPr="001E12E2">
              <w:rPr>
                <w:b/>
                <w:smallCaps/>
              </w:rPr>
              <w:t xml:space="preserve">Date </w:t>
            </w:r>
            <w:r w:rsidRPr="001E12E2">
              <w:t xml:space="preserve">: </w:t>
            </w:r>
            <w:r>
              <w:t>20101117</w:t>
            </w:r>
          </w:p>
          <w:p w:rsidR="00393A14" w:rsidRPr="001E12E2" w:rsidRDefault="00393A14" w:rsidP="00E30ABC">
            <w:r w:rsidRPr="001E12E2">
              <w:rPr>
                <w:b/>
                <w:smallCaps/>
              </w:rPr>
              <w:t>Do</w:t>
            </w:r>
            <w:r>
              <w:rPr>
                <w:b/>
                <w:smallCaps/>
              </w:rPr>
              <w:t>ssier</w:t>
            </w:r>
            <w:r w:rsidRPr="001E12E2">
              <w:rPr>
                <w:b/>
                <w:smallCaps/>
              </w:rPr>
              <w:t xml:space="preserve"> </w:t>
            </w:r>
            <w:r w:rsidRPr="001E12E2">
              <w:t xml:space="preserve">: </w:t>
            </w:r>
            <w:r>
              <w:t>33330</w:t>
            </w:r>
          </w:p>
        </w:tc>
      </w:tr>
    </w:tbl>
    <w:p w:rsidR="00393A14" w:rsidRPr="001E12E2" w:rsidRDefault="00393A14" w:rsidP="00393A14"/>
    <w:p w:rsidR="00393A14" w:rsidRDefault="00393A14" w:rsidP="00393A14">
      <w:pPr>
        <w:pStyle w:val="SCCLsocPrefix"/>
      </w:pPr>
      <w:r>
        <w:t>Entre :</w:t>
      </w:r>
    </w:p>
    <w:p w:rsidR="00393A14" w:rsidRDefault="00393A14" w:rsidP="00393A14">
      <w:pPr>
        <w:pStyle w:val="SCCLsocParty"/>
        <w:jc w:val="center"/>
      </w:pPr>
      <w:r>
        <w:t>John (Jack) Robert White</w:t>
      </w:r>
    </w:p>
    <w:p w:rsidR="00393A14" w:rsidRPr="00393A14" w:rsidRDefault="00393A14" w:rsidP="00393A14">
      <w:pPr>
        <w:pStyle w:val="SCCLsocPartyRole"/>
        <w:jc w:val="center"/>
        <w:rPr>
          <w:i w:val="0"/>
        </w:rPr>
      </w:pPr>
      <w:r w:rsidRPr="00393A14">
        <w:rPr>
          <w:i w:val="0"/>
        </w:rPr>
        <w:t>Demandeur</w:t>
      </w:r>
    </w:p>
    <w:p w:rsidR="00393A14" w:rsidRPr="00393A14" w:rsidRDefault="00393A14" w:rsidP="00393A14">
      <w:pPr>
        <w:pStyle w:val="SCCLsocVersus"/>
        <w:jc w:val="center"/>
        <w:rPr>
          <w:i w:val="0"/>
        </w:rPr>
      </w:pPr>
      <w:proofErr w:type="gramStart"/>
      <w:r w:rsidRPr="00393A14">
        <w:rPr>
          <w:i w:val="0"/>
        </w:rPr>
        <w:t>et</w:t>
      </w:r>
      <w:proofErr w:type="gramEnd"/>
    </w:p>
    <w:p w:rsidR="00393A14" w:rsidRDefault="00393A14" w:rsidP="00393A14">
      <w:pPr>
        <w:pStyle w:val="SCCLsocParty"/>
        <w:jc w:val="center"/>
      </w:pPr>
      <w:r>
        <w:t>Sa Majesté la Reine</w:t>
      </w:r>
    </w:p>
    <w:p w:rsidR="00393A14" w:rsidRPr="00393A14" w:rsidRDefault="00393A14" w:rsidP="00393A14">
      <w:pPr>
        <w:pStyle w:val="SCCLsocPartyRole"/>
        <w:jc w:val="center"/>
        <w:rPr>
          <w:i w:val="0"/>
        </w:rPr>
      </w:pPr>
      <w:r w:rsidRPr="00393A14">
        <w:rPr>
          <w:i w:val="0"/>
        </w:rPr>
        <w:t>Intimée</w:t>
      </w:r>
    </w:p>
    <w:p w:rsidR="00393A14" w:rsidRDefault="00393A14" w:rsidP="00393A14"/>
    <w:p w:rsidR="00393A14" w:rsidRPr="001E12E2" w:rsidRDefault="00393A14" w:rsidP="00393A14">
      <w:pPr>
        <w:jc w:val="center"/>
        <w:rPr>
          <w:b/>
          <w:smallCaps/>
        </w:rPr>
      </w:pPr>
      <w:r>
        <w:rPr>
          <w:b/>
          <w:smallCaps/>
        </w:rPr>
        <w:t>Traduction française o</w:t>
      </w:r>
      <w:r w:rsidRPr="001E12E2">
        <w:rPr>
          <w:b/>
          <w:smallCaps/>
        </w:rPr>
        <w:t>ffici</w:t>
      </w:r>
      <w:r>
        <w:rPr>
          <w:b/>
          <w:smallCaps/>
        </w:rPr>
        <w:t>elle</w:t>
      </w:r>
    </w:p>
    <w:p w:rsidR="00393A14" w:rsidRPr="001E12E2" w:rsidRDefault="00393A14" w:rsidP="00393A14"/>
    <w:p w:rsidR="00393A14" w:rsidRPr="001E12E2" w:rsidRDefault="00393A14" w:rsidP="00393A14">
      <w:r w:rsidRPr="001E12E2">
        <w:rPr>
          <w:b/>
          <w:smallCaps/>
        </w:rPr>
        <w:t xml:space="preserve">Coram </w:t>
      </w:r>
      <w:r w:rsidRPr="001E12E2">
        <w:t xml:space="preserve">: </w:t>
      </w:r>
      <w:r>
        <w:t xml:space="preserve">Les juges </w:t>
      </w:r>
      <w:proofErr w:type="spellStart"/>
      <w:r>
        <w:t>Binnie</w:t>
      </w:r>
      <w:proofErr w:type="spellEnd"/>
      <w:r>
        <w:t>, Fish et Charron</w:t>
      </w:r>
    </w:p>
    <w:p w:rsidR="00393A14" w:rsidRPr="001E12E2" w:rsidRDefault="00393A14" w:rsidP="00393A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93A14" w:rsidRPr="001E12E2" w:rsidTr="00E30ABC">
        <w:trPr>
          <w:cantSplit/>
        </w:trPr>
        <w:tc>
          <w:tcPr>
            <w:tcW w:w="3618" w:type="dxa"/>
          </w:tcPr>
          <w:p w:rsidR="00393A14" w:rsidRDefault="00393A14" w:rsidP="00E30ABC">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p>
          <w:p w:rsidR="00393A14" w:rsidRDefault="00393A14" w:rsidP="00E30ABC">
            <w:r>
              <w:t>(demande de fixation du tarif des honoraires)</w:t>
            </w:r>
          </w:p>
          <w:p w:rsidR="00393A14" w:rsidRPr="001E12E2" w:rsidRDefault="00393A14" w:rsidP="00E30ABC">
            <w:r>
              <w:t>(par. 1 à 7)</w:t>
            </w:r>
          </w:p>
        </w:tc>
        <w:tc>
          <w:tcPr>
            <w:tcW w:w="5958" w:type="dxa"/>
          </w:tcPr>
          <w:p w:rsidR="00393A14" w:rsidRPr="001E12E2" w:rsidRDefault="00393A14" w:rsidP="00E30ABC">
            <w:r>
              <w:t xml:space="preserve">Le juge </w:t>
            </w:r>
            <w:proofErr w:type="spellStart"/>
            <w:r>
              <w:t>Binnie</w:t>
            </w:r>
            <w:proofErr w:type="spellEnd"/>
            <w:r>
              <w:t xml:space="preserve"> (avec l’accord des juges Fish et Charron)</w:t>
            </w:r>
          </w:p>
        </w:tc>
      </w:tr>
    </w:tbl>
    <w:p w:rsidR="00393A14" w:rsidRPr="001E12E2" w:rsidRDefault="00E62E86" w:rsidP="00393A14">
      <w:r>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393A14" w:rsidRPr="00393A14" w:rsidRDefault="00393A14">
      <w:pPr>
        <w:rPr>
          <w:rStyle w:val="SCCAppellantForIndexChar"/>
          <w:b w:val="0"/>
        </w:rPr>
      </w:pPr>
      <w:r w:rsidRPr="00393A14">
        <w:rPr>
          <w:rStyle w:val="SCCAppellantForIndexChar"/>
          <w:b w:val="0"/>
        </w:rPr>
        <w:br w:type="page"/>
      </w:r>
    </w:p>
    <w:p w:rsidR="008322BD" w:rsidRPr="00AF1C7E" w:rsidRDefault="00AF1C7E" w:rsidP="00140667">
      <w:pPr>
        <w:spacing w:line="480" w:lineRule="auto"/>
        <w:jc w:val="both"/>
        <w:rPr>
          <w:rStyle w:val="SCCRespondentForRunningHeadChar"/>
          <w:lang w:val="en-US"/>
        </w:rPr>
      </w:pPr>
      <w:r w:rsidRPr="00AF1C7E">
        <w:rPr>
          <w:rStyle w:val="SCCAppellantForIndexChar"/>
          <w:b w:val="0"/>
          <w:lang w:val="en-US"/>
        </w:rPr>
        <w:lastRenderedPageBreak/>
        <w:t>R.</w:t>
      </w:r>
      <w:r w:rsidRPr="00AF1C7E">
        <w:rPr>
          <w:lang w:val="en-US"/>
        </w:rPr>
        <w:t xml:space="preserve"> </w:t>
      </w:r>
      <w:r w:rsidRPr="00AF1C7E">
        <w:rPr>
          <w:i/>
          <w:lang w:val="en-US"/>
        </w:rPr>
        <w:t>c.</w:t>
      </w:r>
      <w:r w:rsidRPr="00AF1C7E">
        <w:rPr>
          <w:lang w:val="en-US"/>
        </w:rPr>
        <w:t xml:space="preserve"> </w:t>
      </w:r>
      <w:r w:rsidRPr="00AF1C7E">
        <w:rPr>
          <w:rStyle w:val="SCCRespondentForIndexChar"/>
          <w:b w:val="0"/>
          <w:lang w:val="en-US"/>
        </w:rPr>
        <w:t>White</w:t>
      </w:r>
      <w:r w:rsidRPr="00AF1C7E">
        <w:rPr>
          <w:smallCaps/>
          <w:lang w:val="en-US"/>
        </w:rPr>
        <w:t xml:space="preserve">, </w:t>
      </w:r>
      <w:r w:rsidRPr="0030134C">
        <w:rPr>
          <w:rStyle w:val="SCCRespondentForIndexChar"/>
          <w:b w:val="0"/>
          <w:lang w:val="en-US"/>
        </w:rPr>
        <w:t>2010 CSC 5</w:t>
      </w:r>
      <w:r>
        <w:rPr>
          <w:rStyle w:val="SCCRespondentForIndexChar"/>
          <w:b w:val="0"/>
          <w:lang w:val="en-US"/>
        </w:rPr>
        <w:t>9</w:t>
      </w:r>
      <w:r w:rsidRPr="0030134C">
        <w:rPr>
          <w:rStyle w:val="SCCRespondentForIndexChar"/>
          <w:b w:val="0"/>
          <w:lang w:val="en-US"/>
        </w:rPr>
        <w:t xml:space="preserve">, [2010] 3 R.C.S. </w:t>
      </w:r>
      <w:r>
        <w:rPr>
          <w:rStyle w:val="SCCRespondentForIndexChar"/>
          <w:b w:val="0"/>
          <w:lang w:val="en-US"/>
        </w:rPr>
        <w:t>374</w:t>
      </w:r>
    </w:p>
    <w:p w:rsidR="00271E1D" w:rsidRPr="00AF1C7E" w:rsidRDefault="00271E1D" w:rsidP="00271E1D">
      <w:pPr>
        <w:spacing w:line="480" w:lineRule="auto"/>
        <w:jc w:val="both"/>
        <w:rPr>
          <w:rStyle w:val="SCCRespondentForRunningHeadChar"/>
          <w:lang w:val="en-US"/>
        </w:rPr>
      </w:pPr>
    </w:p>
    <w:p w:rsidR="00A34E79" w:rsidRPr="00393A14" w:rsidRDefault="005A623F" w:rsidP="00271E1D">
      <w:pPr>
        <w:pStyle w:val="SCCLsocParty"/>
        <w:tabs>
          <w:tab w:val="right" w:pos="8280"/>
        </w:tabs>
        <w:spacing w:line="480" w:lineRule="auto"/>
        <w:rPr>
          <w:lang w:val="en-CA"/>
        </w:rPr>
      </w:pPr>
      <w:r w:rsidRPr="00393A14">
        <w:rPr>
          <w:lang w:val="en-CA"/>
        </w:rPr>
        <w:t>John (Jack) Robert White</w:t>
      </w:r>
      <w:r w:rsidR="00271E1D" w:rsidRPr="00393A14">
        <w:rPr>
          <w:lang w:val="en-CA"/>
        </w:rPr>
        <w:tab/>
      </w:r>
      <w:proofErr w:type="spellStart"/>
      <w:r w:rsidR="009E0ED4" w:rsidRPr="00393A14">
        <w:rPr>
          <w:b w:val="0"/>
          <w:i/>
          <w:lang w:val="en-CA"/>
        </w:rPr>
        <w:t>Demandeur</w:t>
      </w:r>
      <w:proofErr w:type="spellEnd"/>
      <w:r w:rsidR="005B6095" w:rsidRPr="00393A14">
        <w:rPr>
          <w:lang w:val="en-CA"/>
        </w:rPr>
        <w:br/>
      </w:r>
    </w:p>
    <w:p w:rsidR="00A34E79" w:rsidRPr="00F93E95" w:rsidRDefault="005B6095" w:rsidP="00271E1D">
      <w:pPr>
        <w:pStyle w:val="SCCLsocVersus"/>
        <w:spacing w:line="480" w:lineRule="auto"/>
      </w:pPr>
      <w:proofErr w:type="gramStart"/>
      <w:r w:rsidRPr="00F93E95">
        <w:t>c</w:t>
      </w:r>
      <w:proofErr w:type="gramEnd"/>
      <w:r w:rsidRPr="00F93E95">
        <w:t>.</w:t>
      </w:r>
      <w:r w:rsidRPr="00F93E95">
        <w:br/>
      </w:r>
    </w:p>
    <w:p w:rsidR="00A34E79" w:rsidRPr="00F93E95" w:rsidRDefault="005B6095" w:rsidP="00271E1D">
      <w:pPr>
        <w:pStyle w:val="SCCLsocParty"/>
        <w:tabs>
          <w:tab w:val="right" w:pos="8280"/>
        </w:tabs>
        <w:spacing w:line="480" w:lineRule="auto"/>
      </w:pPr>
      <w:r w:rsidRPr="00F93E95">
        <w:t>Sa Majesté la Reine</w:t>
      </w:r>
      <w:r w:rsidR="00271E1D" w:rsidRPr="00F93E95">
        <w:tab/>
      </w:r>
      <w:r w:rsidR="005F4071" w:rsidRPr="00F93E95">
        <w:rPr>
          <w:b w:val="0"/>
          <w:i/>
        </w:rPr>
        <w:t>Intimé</w:t>
      </w:r>
      <w:r w:rsidR="00F8456F" w:rsidRPr="00F93E95">
        <w:rPr>
          <w:b w:val="0"/>
          <w:i/>
        </w:rPr>
        <w:t>e</w:t>
      </w:r>
    </w:p>
    <w:p w:rsidR="00766D14" w:rsidRPr="00F93E95" w:rsidRDefault="00766D14" w:rsidP="00271E1D">
      <w:pPr>
        <w:spacing w:line="480" w:lineRule="auto"/>
        <w:jc w:val="both"/>
      </w:pPr>
    </w:p>
    <w:p w:rsidR="00426659" w:rsidRPr="00F93E95" w:rsidRDefault="0043088E" w:rsidP="00271E1D">
      <w:pPr>
        <w:spacing w:line="480" w:lineRule="auto"/>
        <w:jc w:val="both"/>
        <w:rPr>
          <w:b/>
        </w:rPr>
      </w:pPr>
      <w:r w:rsidRPr="00F93E95">
        <w:rPr>
          <w:b/>
        </w:rPr>
        <w:t>Répertorié</w:t>
      </w:r>
      <w:r w:rsidR="00C67CA5" w:rsidRPr="00F93E95">
        <w:rPr>
          <w:b/>
        </w:rPr>
        <w:t> </w:t>
      </w:r>
      <w:r w:rsidR="00426659" w:rsidRPr="00F93E95">
        <w:rPr>
          <w:b/>
        </w:rPr>
        <w:t>:</w:t>
      </w:r>
      <w:r w:rsidR="00C67CA5" w:rsidRPr="00F93E95">
        <w:rPr>
          <w:b/>
        </w:rPr>
        <w:t> </w:t>
      </w:r>
      <w:r w:rsidR="00271E1D" w:rsidRPr="00F93E95">
        <w:rPr>
          <w:rStyle w:val="SCCAppellantForIndexChar"/>
        </w:rPr>
        <w:t>R.</w:t>
      </w:r>
      <w:r w:rsidR="00426659" w:rsidRPr="00F93E95">
        <w:rPr>
          <w:b/>
        </w:rPr>
        <w:t xml:space="preserve"> </w:t>
      </w:r>
      <w:r w:rsidR="00645057" w:rsidRPr="00F93E95">
        <w:rPr>
          <w:b/>
          <w:i/>
        </w:rPr>
        <w:t>c</w:t>
      </w:r>
      <w:r w:rsidR="00426659" w:rsidRPr="00F93E95">
        <w:rPr>
          <w:b/>
          <w:i/>
        </w:rPr>
        <w:t>.</w:t>
      </w:r>
      <w:r w:rsidR="00426659" w:rsidRPr="00F93E95">
        <w:rPr>
          <w:b/>
        </w:rPr>
        <w:t xml:space="preserve"> </w:t>
      </w:r>
      <w:r w:rsidR="005A623F" w:rsidRPr="00F93E95">
        <w:rPr>
          <w:rStyle w:val="SCCRespondentForIndexChar"/>
        </w:rPr>
        <w:t>White</w:t>
      </w:r>
    </w:p>
    <w:p w:rsidR="00426659" w:rsidRPr="00F93E95" w:rsidRDefault="00426659" w:rsidP="00271E1D">
      <w:pPr>
        <w:spacing w:line="480" w:lineRule="auto"/>
        <w:jc w:val="both"/>
      </w:pPr>
    </w:p>
    <w:p w:rsidR="00426659" w:rsidRPr="00F93E95" w:rsidRDefault="00F853FB" w:rsidP="00271E1D">
      <w:pPr>
        <w:pStyle w:val="SCCSystemYear"/>
        <w:spacing w:line="480" w:lineRule="auto"/>
        <w:jc w:val="both"/>
      </w:pPr>
      <w:r w:rsidRPr="00F93E95">
        <w:t>2010</w:t>
      </w:r>
      <w:r w:rsidR="00EE0FAF" w:rsidRPr="00F93E95">
        <w:t xml:space="preserve"> </w:t>
      </w:r>
      <w:r w:rsidR="00C71F58" w:rsidRPr="00F93E95">
        <w:t>C</w:t>
      </w:r>
      <w:r w:rsidR="002C7E14" w:rsidRPr="00F93E95">
        <w:t>SC 5</w:t>
      </w:r>
      <w:r w:rsidR="005A623F" w:rsidRPr="00F93E95">
        <w:t>9</w:t>
      </w:r>
    </w:p>
    <w:p w:rsidR="00426659" w:rsidRPr="00F93E95" w:rsidRDefault="00426659" w:rsidP="00271E1D">
      <w:pPr>
        <w:spacing w:line="480" w:lineRule="auto"/>
        <w:jc w:val="both"/>
      </w:pPr>
    </w:p>
    <w:p w:rsidR="008322BD" w:rsidRPr="00F93E95" w:rsidRDefault="009B57B3" w:rsidP="00271E1D">
      <w:pPr>
        <w:spacing w:line="480" w:lineRule="auto"/>
        <w:jc w:val="both"/>
      </w:pPr>
      <w:r w:rsidRPr="00F93E95">
        <w:t>N</w:t>
      </w:r>
      <w:r w:rsidRPr="00F93E95">
        <w:rPr>
          <w:vertAlign w:val="superscript"/>
        </w:rPr>
        <w:t>o</w:t>
      </w:r>
      <w:r w:rsidR="0043088E" w:rsidRPr="00F93E95">
        <w:t xml:space="preserve"> du greffe</w:t>
      </w:r>
      <w:r w:rsidR="00C67CA5" w:rsidRPr="00F93E95">
        <w:t> </w:t>
      </w:r>
      <w:r w:rsidRPr="00F93E95">
        <w:t>:</w:t>
      </w:r>
      <w:r w:rsidR="00C67CA5" w:rsidRPr="00F93E95">
        <w:t> </w:t>
      </w:r>
      <w:r w:rsidRPr="00F93E95">
        <w:t>33</w:t>
      </w:r>
      <w:r w:rsidR="005A623F" w:rsidRPr="00F93E95">
        <w:t>330</w:t>
      </w:r>
      <w:r w:rsidRPr="00F93E95">
        <w:t>.</w:t>
      </w:r>
    </w:p>
    <w:p w:rsidR="00E97830" w:rsidRPr="00F93E95" w:rsidRDefault="00E97830" w:rsidP="00271E1D">
      <w:pPr>
        <w:spacing w:line="480" w:lineRule="auto"/>
        <w:jc w:val="both"/>
      </w:pPr>
    </w:p>
    <w:p w:rsidR="008322BD" w:rsidRPr="00F93E95" w:rsidRDefault="009F1419" w:rsidP="00271E1D">
      <w:pPr>
        <w:spacing w:line="480" w:lineRule="auto"/>
        <w:jc w:val="both"/>
      </w:pPr>
      <w:r w:rsidRPr="00F93E95">
        <w:t>2010</w:t>
      </w:r>
      <w:r w:rsidR="00771CAB" w:rsidRPr="00F93E95">
        <w:t> :</w:t>
      </w:r>
      <w:r w:rsidR="006F3DC8" w:rsidRPr="00F93E95">
        <w:t> </w:t>
      </w:r>
      <w:r w:rsidR="002C7E14" w:rsidRPr="00F93E95">
        <w:t>1</w:t>
      </w:r>
      <w:r w:rsidR="005A623F" w:rsidRPr="00F93E95">
        <w:t>7</w:t>
      </w:r>
      <w:r w:rsidR="002C7E14" w:rsidRPr="00F93E95">
        <w:t xml:space="preserve"> novembre</w:t>
      </w:r>
      <w:r w:rsidR="009B57B3" w:rsidRPr="00F93E95">
        <w:t>.</w:t>
      </w:r>
    </w:p>
    <w:p w:rsidR="00E97830" w:rsidRPr="00F93E95" w:rsidRDefault="00E97830" w:rsidP="00271E1D">
      <w:pPr>
        <w:spacing w:line="480" w:lineRule="auto"/>
        <w:jc w:val="both"/>
      </w:pPr>
    </w:p>
    <w:p w:rsidR="008322BD" w:rsidRPr="00F93E95" w:rsidRDefault="009B57B3" w:rsidP="00271E1D">
      <w:pPr>
        <w:spacing w:line="480" w:lineRule="auto"/>
        <w:jc w:val="both"/>
      </w:pPr>
      <w:r w:rsidRPr="00F93E95">
        <w:t>Pr</w:t>
      </w:r>
      <w:r w:rsidR="0043088E" w:rsidRPr="00F93E95">
        <w:t>é</w:t>
      </w:r>
      <w:r w:rsidRPr="00F93E95">
        <w:t>sent</w:t>
      </w:r>
      <w:r w:rsidR="008A6558" w:rsidRPr="00F93E95">
        <w:t>s</w:t>
      </w:r>
      <w:r w:rsidR="00C67CA5" w:rsidRPr="00F93E95">
        <w:t> </w:t>
      </w:r>
      <w:r w:rsidRPr="00F93E95">
        <w:t>:</w:t>
      </w:r>
      <w:r w:rsidR="006F3DC8" w:rsidRPr="00F93E95">
        <w:t> </w:t>
      </w:r>
      <w:r w:rsidR="00271E1D" w:rsidRPr="00F93E95">
        <w:t xml:space="preserve">Les juges </w:t>
      </w:r>
      <w:proofErr w:type="spellStart"/>
      <w:r w:rsidRPr="00F93E95">
        <w:t>Binnie</w:t>
      </w:r>
      <w:proofErr w:type="spellEnd"/>
      <w:r w:rsidRPr="00F93E95">
        <w:t>,</w:t>
      </w:r>
      <w:r w:rsidR="00896461" w:rsidRPr="00F93E95">
        <w:t xml:space="preserve"> </w:t>
      </w:r>
      <w:r w:rsidR="005A623F" w:rsidRPr="00F93E95">
        <w:t>Fish et Charron</w:t>
      </w:r>
      <w:r w:rsidRPr="00F93E95">
        <w:t>.</w:t>
      </w:r>
    </w:p>
    <w:p w:rsidR="00E97830" w:rsidRPr="00F93E95" w:rsidRDefault="00E97830" w:rsidP="00271E1D">
      <w:pPr>
        <w:spacing w:line="480" w:lineRule="auto"/>
        <w:jc w:val="both"/>
      </w:pPr>
    </w:p>
    <w:p w:rsidR="003A4C70" w:rsidRPr="00F93E95" w:rsidRDefault="005A623F" w:rsidP="00271E1D">
      <w:pPr>
        <w:pStyle w:val="SCCLowerCourtNameLowercase"/>
      </w:pPr>
      <w:r w:rsidRPr="00F93E95">
        <w:t>demande de fixation du tarif des honoraires</w:t>
      </w:r>
    </w:p>
    <w:p w:rsidR="00FC1D41" w:rsidRPr="00F93E95" w:rsidRDefault="00FC1D41" w:rsidP="00FC1D41">
      <w:pPr>
        <w:pStyle w:val="SCCNormalDoubleSpacing"/>
        <w:rPr>
          <w:szCs w:val="24"/>
        </w:rPr>
      </w:pPr>
    </w:p>
    <w:p w:rsidR="00FC1D41" w:rsidRPr="00F93E95" w:rsidRDefault="00FC1D41" w:rsidP="00FC1D41">
      <w:pPr>
        <w:pStyle w:val="SCCNormalDoubleSpacing"/>
        <w:rPr>
          <w:i/>
        </w:rPr>
      </w:pPr>
      <w:r w:rsidRPr="00F93E95">
        <w:tab/>
      </w:r>
      <w:r w:rsidR="00432874" w:rsidRPr="00F93E95">
        <w:rPr>
          <w:i/>
        </w:rPr>
        <w:t>Droit criminel</w:t>
      </w:r>
      <w:r w:rsidRPr="00F93E95">
        <w:rPr>
          <w:i/>
        </w:rPr>
        <w:t xml:space="preserve"> — </w:t>
      </w:r>
      <w:r w:rsidR="00F93E95">
        <w:rPr>
          <w:i/>
        </w:rPr>
        <w:t>Avocats et procureurs</w:t>
      </w:r>
      <w:r w:rsidRPr="00F93E95">
        <w:rPr>
          <w:i/>
        </w:rPr>
        <w:t xml:space="preserve"> — </w:t>
      </w:r>
      <w:r w:rsidR="00D30835">
        <w:rPr>
          <w:i/>
        </w:rPr>
        <w:t xml:space="preserve">Avocat </w:t>
      </w:r>
      <w:r w:rsidR="00930197">
        <w:rPr>
          <w:i/>
        </w:rPr>
        <w:t xml:space="preserve">désigné </w:t>
      </w:r>
      <w:r w:rsidR="00D30835">
        <w:rPr>
          <w:i/>
        </w:rPr>
        <w:t>par la Cour</w:t>
      </w:r>
      <w:r w:rsidRPr="00F93E95">
        <w:rPr>
          <w:i/>
        </w:rPr>
        <w:t xml:space="preserve"> — Fix</w:t>
      </w:r>
      <w:r w:rsidR="00D30835">
        <w:rPr>
          <w:i/>
        </w:rPr>
        <w:t xml:space="preserve">ation </w:t>
      </w:r>
      <w:r w:rsidR="00C068DF">
        <w:rPr>
          <w:i/>
        </w:rPr>
        <w:t>d</w:t>
      </w:r>
      <w:r w:rsidR="00D30835">
        <w:rPr>
          <w:i/>
        </w:rPr>
        <w:t>es honoraires d</w:t>
      </w:r>
      <w:r w:rsidR="00E81D80">
        <w:rPr>
          <w:i/>
        </w:rPr>
        <w:t>es avocats</w:t>
      </w:r>
      <w:r w:rsidRPr="00F93E95">
        <w:rPr>
          <w:i/>
        </w:rPr>
        <w:t xml:space="preserve"> — </w:t>
      </w:r>
      <w:r w:rsidR="00D30835">
        <w:rPr>
          <w:i/>
        </w:rPr>
        <w:t xml:space="preserve">Avocat </w:t>
      </w:r>
      <w:r w:rsidR="00E81D80">
        <w:rPr>
          <w:i/>
        </w:rPr>
        <w:t>désigné</w:t>
      </w:r>
      <w:r w:rsidR="00D30835">
        <w:rPr>
          <w:i/>
        </w:rPr>
        <w:t xml:space="preserve"> par la Cour suprême du </w:t>
      </w:r>
      <w:r w:rsidRPr="00F93E95">
        <w:rPr>
          <w:i/>
        </w:rPr>
        <w:t xml:space="preserve">Canada </w:t>
      </w:r>
      <w:r w:rsidR="00D30835">
        <w:rPr>
          <w:i/>
        </w:rPr>
        <w:t xml:space="preserve">en </w:t>
      </w:r>
      <w:r w:rsidR="00E81D80">
        <w:rPr>
          <w:i/>
        </w:rPr>
        <w:t xml:space="preserve">vertu </w:t>
      </w:r>
      <w:r w:rsidR="00D30835">
        <w:rPr>
          <w:i/>
        </w:rPr>
        <w:t>du Code criminel</w:t>
      </w:r>
      <w:r w:rsidRPr="00F93E95">
        <w:rPr>
          <w:i/>
        </w:rPr>
        <w:t xml:space="preserve"> — </w:t>
      </w:r>
      <w:r w:rsidR="00F7082B">
        <w:rPr>
          <w:i/>
        </w:rPr>
        <w:t xml:space="preserve">Désaccord entre les </w:t>
      </w:r>
      <w:r w:rsidR="00D30835">
        <w:rPr>
          <w:i/>
        </w:rPr>
        <w:t>p</w:t>
      </w:r>
      <w:r w:rsidRPr="00F93E95">
        <w:rPr>
          <w:i/>
        </w:rPr>
        <w:t xml:space="preserve">arties </w:t>
      </w:r>
      <w:r w:rsidR="00F7082B">
        <w:rPr>
          <w:i/>
        </w:rPr>
        <w:t xml:space="preserve">quant aux </w:t>
      </w:r>
      <w:r w:rsidR="00F7082B">
        <w:rPr>
          <w:i/>
        </w:rPr>
        <w:lastRenderedPageBreak/>
        <w:t xml:space="preserve">honoraires devant être payés aux avocats </w:t>
      </w:r>
      <w:r w:rsidR="00D30835">
        <w:rPr>
          <w:i/>
        </w:rPr>
        <w:t>par le procureur général</w:t>
      </w:r>
      <w:r w:rsidRPr="00F93E95">
        <w:rPr>
          <w:i/>
        </w:rPr>
        <w:t xml:space="preserve"> — </w:t>
      </w:r>
      <w:r w:rsidR="00324552">
        <w:rPr>
          <w:i/>
        </w:rPr>
        <w:t xml:space="preserve">Doit-on appliquer le </w:t>
      </w:r>
      <w:r w:rsidR="00C068DF">
        <w:rPr>
          <w:i/>
        </w:rPr>
        <w:t xml:space="preserve">tarif de l’aide juridique provinciale ou est-ce </w:t>
      </w:r>
      <w:r w:rsidR="00324552">
        <w:rPr>
          <w:i/>
        </w:rPr>
        <w:t xml:space="preserve">que </w:t>
      </w:r>
      <w:r w:rsidR="00C068DF">
        <w:rPr>
          <w:i/>
        </w:rPr>
        <w:t>l’</w:t>
      </w:r>
      <w:r w:rsidR="00324552">
        <w:rPr>
          <w:i/>
        </w:rPr>
        <w:t xml:space="preserve">examen de </w:t>
      </w:r>
      <w:r w:rsidR="00C068DF">
        <w:rPr>
          <w:i/>
        </w:rPr>
        <w:t xml:space="preserve">ce qui est juste et raisonnable dans les circonstances constitue la bonne méthode </w:t>
      </w:r>
      <w:r w:rsidR="00324552">
        <w:rPr>
          <w:i/>
        </w:rPr>
        <w:t xml:space="preserve">pour déterminer les </w:t>
      </w:r>
      <w:r w:rsidR="00C068DF">
        <w:rPr>
          <w:i/>
        </w:rPr>
        <w:t>honoraire</w:t>
      </w:r>
      <w:r w:rsidR="00324552">
        <w:rPr>
          <w:i/>
        </w:rPr>
        <w:t>s payables?</w:t>
      </w:r>
      <w:r w:rsidRPr="00F93E95">
        <w:rPr>
          <w:i/>
        </w:rPr>
        <w:t xml:space="preserve"> — C</w:t>
      </w:r>
      <w:r w:rsidR="00C068DF">
        <w:rPr>
          <w:i/>
        </w:rPr>
        <w:t>ode criminel</w:t>
      </w:r>
      <w:r w:rsidRPr="00F93E95">
        <w:rPr>
          <w:i/>
        </w:rPr>
        <w:t xml:space="preserve">, </w:t>
      </w:r>
      <w:r w:rsidR="00C068DF">
        <w:rPr>
          <w:i/>
        </w:rPr>
        <w:t>L.R.C</w:t>
      </w:r>
      <w:r w:rsidRPr="00F93E95">
        <w:rPr>
          <w:i/>
        </w:rPr>
        <w:t>. 1985, c</w:t>
      </w:r>
      <w:r w:rsidR="00C068DF">
        <w:rPr>
          <w:i/>
        </w:rPr>
        <w:t>h</w:t>
      </w:r>
      <w:r w:rsidRPr="00F93E95">
        <w:rPr>
          <w:i/>
        </w:rPr>
        <w:t xml:space="preserve">. C-46, </w:t>
      </w:r>
      <w:r w:rsidR="00C068DF">
        <w:rPr>
          <w:i/>
        </w:rPr>
        <w:t>art.</w:t>
      </w:r>
      <w:r w:rsidRPr="00F93E95">
        <w:rPr>
          <w:i/>
        </w:rPr>
        <w:t xml:space="preserve"> 694.1.</w:t>
      </w:r>
    </w:p>
    <w:p w:rsidR="00146C9B" w:rsidRPr="00F93E95" w:rsidRDefault="00146C9B" w:rsidP="00146C9B">
      <w:pPr>
        <w:pStyle w:val="SCCNormalDoubleSpacing"/>
      </w:pPr>
    </w:p>
    <w:p w:rsidR="005A623F" w:rsidRPr="00F93E95" w:rsidRDefault="005A623F" w:rsidP="005A623F">
      <w:pPr>
        <w:pStyle w:val="SCCNormalDoubleSpacing"/>
        <w:keepNext/>
        <w:keepLines/>
        <w:rPr>
          <w:b/>
        </w:rPr>
      </w:pPr>
      <w:r w:rsidRPr="00F93E95">
        <w:rPr>
          <w:b/>
        </w:rPr>
        <w:t>Jurisprudence</w:t>
      </w:r>
    </w:p>
    <w:p w:rsidR="005A623F" w:rsidRPr="00F93E95" w:rsidRDefault="005A623F" w:rsidP="005A623F">
      <w:pPr>
        <w:spacing w:line="480" w:lineRule="auto"/>
        <w:jc w:val="both"/>
        <w:rPr>
          <w:szCs w:val="24"/>
        </w:rPr>
      </w:pPr>
    </w:p>
    <w:p w:rsidR="00844CF0" w:rsidRPr="00F93E95" w:rsidRDefault="00E62E86" w:rsidP="005A623F">
      <w:pPr>
        <w:pStyle w:val="SCCNormalDoubleSpacing"/>
        <w:rPr>
          <w:szCs w:val="24"/>
        </w:rPr>
      </w:pPr>
      <w:r w:rsidRPr="00F93E95">
        <w:rPr>
          <w:szCs w:val="24"/>
        </w:rPr>
        <w:fldChar w:fldCharType="begin"/>
      </w:r>
      <w:r w:rsidR="005A623F" w:rsidRPr="00F93E95">
        <w:rPr>
          <w:szCs w:val="24"/>
        </w:rPr>
        <w:instrText xml:space="preserve"> SEQ CHAPTER \h \r 1</w:instrText>
      </w:r>
      <w:r w:rsidRPr="00F93E95">
        <w:rPr>
          <w:szCs w:val="24"/>
        </w:rPr>
        <w:fldChar w:fldCharType="end"/>
      </w:r>
      <w:r w:rsidR="005A623F" w:rsidRPr="00F93E95">
        <w:rPr>
          <w:szCs w:val="24"/>
        </w:rPr>
        <w:tab/>
      </w:r>
      <w:r w:rsidR="005A623F" w:rsidRPr="00F93E95">
        <w:rPr>
          <w:b/>
          <w:bCs/>
          <w:szCs w:val="24"/>
        </w:rPr>
        <w:t>Arrêts mentionnés : </w:t>
      </w:r>
      <w:r w:rsidR="005A623F" w:rsidRPr="00F93E95">
        <w:rPr>
          <w:i/>
          <w:szCs w:val="24"/>
        </w:rPr>
        <w:t xml:space="preserve">R. c. </w:t>
      </w:r>
      <w:proofErr w:type="spellStart"/>
      <w:r w:rsidR="005A623F" w:rsidRPr="00F93E95">
        <w:rPr>
          <w:i/>
          <w:szCs w:val="24"/>
        </w:rPr>
        <w:t>Cairenius</w:t>
      </w:r>
      <w:proofErr w:type="spellEnd"/>
      <w:r w:rsidR="005A623F" w:rsidRPr="00F93E95">
        <w:rPr>
          <w:szCs w:val="24"/>
        </w:rPr>
        <w:t xml:space="preserve"> (2008), 232 C.C.C. (3d) 13; </w:t>
      </w:r>
      <w:r w:rsidR="005A623F" w:rsidRPr="00F93E95">
        <w:rPr>
          <w:i/>
          <w:szCs w:val="24"/>
        </w:rPr>
        <w:t>R. c. Magda</w:t>
      </w:r>
      <w:r w:rsidR="005A623F" w:rsidRPr="00F93E95">
        <w:rPr>
          <w:szCs w:val="24"/>
        </w:rPr>
        <w:t xml:space="preserve">, [2001] O.J. No. 1861 (QL); </w:t>
      </w:r>
      <w:r w:rsidR="005A623F" w:rsidRPr="00F93E95">
        <w:rPr>
          <w:i/>
          <w:szCs w:val="24"/>
        </w:rPr>
        <w:t>Egan c. Canada</w:t>
      </w:r>
      <w:r w:rsidR="005A623F" w:rsidRPr="00F93E95">
        <w:rPr>
          <w:szCs w:val="24"/>
        </w:rPr>
        <w:t xml:space="preserve">, [1995] 2 R.C.S. 513; </w:t>
      </w:r>
      <w:r w:rsidR="005A623F" w:rsidRPr="00F93E95">
        <w:rPr>
          <w:i/>
          <w:szCs w:val="24"/>
        </w:rPr>
        <w:t>Alberta (</w:t>
      </w:r>
      <w:proofErr w:type="spellStart"/>
      <w:r w:rsidR="005A623F" w:rsidRPr="00F93E95">
        <w:rPr>
          <w:i/>
          <w:szCs w:val="24"/>
        </w:rPr>
        <w:t>Chief</w:t>
      </w:r>
      <w:proofErr w:type="spellEnd"/>
      <w:r w:rsidR="005A623F" w:rsidRPr="00F93E95">
        <w:rPr>
          <w:i/>
          <w:szCs w:val="24"/>
        </w:rPr>
        <w:t xml:space="preserve"> </w:t>
      </w:r>
      <w:proofErr w:type="spellStart"/>
      <w:r w:rsidR="005A623F" w:rsidRPr="00F93E95">
        <w:rPr>
          <w:i/>
          <w:szCs w:val="24"/>
        </w:rPr>
        <w:t>Commissioner</w:t>
      </w:r>
      <w:proofErr w:type="spellEnd"/>
      <w:r w:rsidR="005A623F" w:rsidRPr="00F93E95">
        <w:rPr>
          <w:i/>
          <w:szCs w:val="24"/>
        </w:rPr>
        <w:t xml:space="preserve"> of the </w:t>
      </w:r>
      <w:proofErr w:type="spellStart"/>
      <w:r w:rsidR="005A623F" w:rsidRPr="00F93E95">
        <w:rPr>
          <w:i/>
          <w:szCs w:val="24"/>
        </w:rPr>
        <w:t>Human</w:t>
      </w:r>
      <w:proofErr w:type="spellEnd"/>
      <w:r w:rsidR="005A623F" w:rsidRPr="00F93E95">
        <w:rPr>
          <w:i/>
          <w:szCs w:val="24"/>
        </w:rPr>
        <w:t xml:space="preserve"> </w:t>
      </w:r>
      <w:proofErr w:type="spellStart"/>
      <w:r w:rsidR="005A623F" w:rsidRPr="00F93E95">
        <w:rPr>
          <w:i/>
          <w:szCs w:val="24"/>
        </w:rPr>
        <w:t>Rights</w:t>
      </w:r>
      <w:proofErr w:type="spellEnd"/>
      <w:r w:rsidR="005A623F" w:rsidRPr="00F93E95">
        <w:rPr>
          <w:i/>
          <w:szCs w:val="24"/>
        </w:rPr>
        <w:t xml:space="preserve"> and </w:t>
      </w:r>
      <w:proofErr w:type="spellStart"/>
      <w:r w:rsidR="005A623F" w:rsidRPr="00F93E95">
        <w:rPr>
          <w:i/>
          <w:szCs w:val="24"/>
        </w:rPr>
        <w:t>Citizenship</w:t>
      </w:r>
      <w:proofErr w:type="spellEnd"/>
      <w:r w:rsidR="005A623F" w:rsidRPr="00F93E95">
        <w:rPr>
          <w:i/>
          <w:szCs w:val="24"/>
        </w:rPr>
        <w:t xml:space="preserve"> Commission) c. </w:t>
      </w:r>
      <w:proofErr w:type="spellStart"/>
      <w:r w:rsidR="005A623F" w:rsidRPr="00F93E95">
        <w:rPr>
          <w:i/>
          <w:szCs w:val="24"/>
        </w:rPr>
        <w:t>Brewer</w:t>
      </w:r>
      <w:proofErr w:type="spellEnd"/>
      <w:r w:rsidR="00844CF0" w:rsidRPr="00F93E95">
        <w:rPr>
          <w:szCs w:val="24"/>
        </w:rPr>
        <w:t>, C.S.C., n</w:t>
      </w:r>
      <w:r w:rsidR="00844CF0" w:rsidRPr="00F93E95">
        <w:rPr>
          <w:szCs w:val="24"/>
          <w:vertAlign w:val="superscript"/>
        </w:rPr>
        <w:t>o</w:t>
      </w:r>
      <w:r w:rsidR="00844CF0" w:rsidRPr="00F93E95">
        <w:rPr>
          <w:szCs w:val="24"/>
        </w:rPr>
        <w:t xml:space="preserve"> 32695, 25 août 2009 </w:t>
      </w:r>
      <w:r w:rsidR="005A623F" w:rsidRPr="00F93E95">
        <w:rPr>
          <w:szCs w:val="24"/>
        </w:rPr>
        <w:t>(</w:t>
      </w:r>
      <w:r w:rsidR="00844CF0" w:rsidRPr="00F93E95">
        <w:t xml:space="preserve">reproduit dans le </w:t>
      </w:r>
      <w:r w:rsidR="00844CF0" w:rsidRPr="00F93E95">
        <w:rPr>
          <w:i/>
        </w:rPr>
        <w:t>Bulletin des procédures de la Cour suprême du Canada</w:t>
      </w:r>
      <w:r w:rsidR="00844CF0" w:rsidRPr="00F93E95">
        <w:t>, 19 février 2010</w:t>
      </w:r>
      <w:r w:rsidR="00C060EE">
        <w:t>, p. 224</w:t>
      </w:r>
      <w:r w:rsidR="005A623F" w:rsidRPr="00F93E95">
        <w:rPr>
          <w:szCs w:val="24"/>
        </w:rPr>
        <w:t xml:space="preserve">); </w:t>
      </w:r>
      <w:r w:rsidR="005A623F" w:rsidRPr="00F93E95">
        <w:rPr>
          <w:i/>
          <w:szCs w:val="24"/>
        </w:rPr>
        <w:t xml:space="preserve">R. c. </w:t>
      </w:r>
      <w:proofErr w:type="spellStart"/>
      <w:r w:rsidR="005A623F" w:rsidRPr="00F93E95">
        <w:rPr>
          <w:i/>
          <w:szCs w:val="24"/>
        </w:rPr>
        <w:t>Pietrangelo</w:t>
      </w:r>
      <w:proofErr w:type="spellEnd"/>
      <w:r w:rsidR="005A623F" w:rsidRPr="00F93E95">
        <w:rPr>
          <w:szCs w:val="24"/>
        </w:rPr>
        <w:t xml:space="preserve">, 2008 ONCA 547, [2008] O.J. No. 5137 (QL); </w:t>
      </w:r>
      <w:r w:rsidR="00E04CC7" w:rsidRPr="00F93E95">
        <w:rPr>
          <w:i/>
          <w:szCs w:val="24"/>
        </w:rPr>
        <w:t xml:space="preserve">R. c. </w:t>
      </w:r>
      <w:proofErr w:type="spellStart"/>
      <w:r w:rsidR="00E04CC7" w:rsidRPr="00F93E95">
        <w:rPr>
          <w:i/>
          <w:szCs w:val="24"/>
        </w:rPr>
        <w:t>Kumar</w:t>
      </w:r>
      <w:proofErr w:type="spellEnd"/>
      <w:r w:rsidR="00E04CC7" w:rsidRPr="00F93E95">
        <w:rPr>
          <w:szCs w:val="24"/>
        </w:rPr>
        <w:t xml:space="preserve"> (</w:t>
      </w:r>
      <w:r w:rsidR="001702CF" w:rsidRPr="00F93E95">
        <w:rPr>
          <w:szCs w:val="24"/>
        </w:rPr>
        <w:t>inscription</w:t>
      </w:r>
      <w:r w:rsidR="00E04CC7" w:rsidRPr="00F93E95">
        <w:rPr>
          <w:szCs w:val="24"/>
        </w:rPr>
        <w:t xml:space="preserve"> </w:t>
      </w:r>
      <w:r w:rsidR="00443670" w:rsidRPr="00F93E95">
        <w:rPr>
          <w:szCs w:val="24"/>
        </w:rPr>
        <w:t xml:space="preserve">de la </w:t>
      </w:r>
      <w:r w:rsidR="009F2D11" w:rsidRPr="00F93E95">
        <w:rPr>
          <w:szCs w:val="24"/>
        </w:rPr>
        <w:t>C</w:t>
      </w:r>
      <w:r w:rsidR="00443670" w:rsidRPr="00F93E95">
        <w:rPr>
          <w:szCs w:val="24"/>
        </w:rPr>
        <w:t>our d’appel d’Ontario,</w:t>
      </w:r>
      <w:r w:rsidR="00E04CC7" w:rsidRPr="00F93E95">
        <w:rPr>
          <w:szCs w:val="24"/>
        </w:rPr>
        <w:t xml:space="preserve"> </w:t>
      </w:r>
      <w:r w:rsidR="008D29D9" w:rsidRPr="00F93E95">
        <w:rPr>
          <w:szCs w:val="24"/>
        </w:rPr>
        <w:t xml:space="preserve">C48821, </w:t>
      </w:r>
      <w:r w:rsidR="00E04CC7" w:rsidRPr="00F93E95">
        <w:rPr>
          <w:szCs w:val="24"/>
        </w:rPr>
        <w:t xml:space="preserve">2 octobre 2008), </w:t>
      </w:r>
      <w:r w:rsidR="00E04CC7" w:rsidRPr="00F93E95">
        <w:rPr>
          <w:i/>
          <w:szCs w:val="24"/>
        </w:rPr>
        <w:t>R. c. C.M</w:t>
      </w:r>
      <w:r w:rsidR="00E04CC7" w:rsidRPr="00F93E95">
        <w:rPr>
          <w:szCs w:val="24"/>
        </w:rPr>
        <w:t>. (</w:t>
      </w:r>
      <w:r w:rsidR="001702CF" w:rsidRPr="00F93E95">
        <w:rPr>
          <w:szCs w:val="24"/>
        </w:rPr>
        <w:t>inscription</w:t>
      </w:r>
      <w:r w:rsidR="00E04CC7" w:rsidRPr="00F93E95">
        <w:rPr>
          <w:szCs w:val="24"/>
        </w:rPr>
        <w:t xml:space="preserve"> </w:t>
      </w:r>
      <w:r w:rsidR="00443670" w:rsidRPr="00F93E95">
        <w:rPr>
          <w:szCs w:val="24"/>
        </w:rPr>
        <w:t xml:space="preserve">de la </w:t>
      </w:r>
      <w:r w:rsidR="009F2D11" w:rsidRPr="00F93E95">
        <w:rPr>
          <w:szCs w:val="24"/>
        </w:rPr>
        <w:t>C</w:t>
      </w:r>
      <w:r w:rsidR="00443670" w:rsidRPr="00F93E95">
        <w:rPr>
          <w:szCs w:val="24"/>
        </w:rPr>
        <w:t xml:space="preserve">our d’appel d’Ontario, </w:t>
      </w:r>
      <w:r w:rsidR="008D29D9" w:rsidRPr="00F93E95">
        <w:rPr>
          <w:szCs w:val="24"/>
        </w:rPr>
        <w:t xml:space="preserve">C36764/M36765, </w:t>
      </w:r>
      <w:r w:rsidR="00E04CC7" w:rsidRPr="00F93E95">
        <w:rPr>
          <w:szCs w:val="24"/>
        </w:rPr>
        <w:t>24 octobre 2008)</w:t>
      </w:r>
      <w:r w:rsidR="007457D8">
        <w:rPr>
          <w:szCs w:val="24"/>
        </w:rPr>
        <w:t>;</w:t>
      </w:r>
      <w:r w:rsidR="00E04CC7" w:rsidRPr="00F93E95">
        <w:rPr>
          <w:szCs w:val="24"/>
        </w:rPr>
        <w:t xml:space="preserve"> </w:t>
      </w:r>
      <w:r w:rsidR="00E04CC7" w:rsidRPr="00F93E95">
        <w:rPr>
          <w:i/>
          <w:szCs w:val="24"/>
        </w:rPr>
        <w:t xml:space="preserve">R. c. </w:t>
      </w:r>
      <w:proofErr w:type="spellStart"/>
      <w:r w:rsidR="00E04CC7" w:rsidRPr="00F93E95">
        <w:rPr>
          <w:i/>
          <w:szCs w:val="24"/>
        </w:rPr>
        <w:t>Hanemaayer</w:t>
      </w:r>
      <w:proofErr w:type="spellEnd"/>
      <w:r w:rsidR="00E04CC7" w:rsidRPr="00F93E95">
        <w:rPr>
          <w:szCs w:val="24"/>
        </w:rPr>
        <w:t xml:space="preserve"> (</w:t>
      </w:r>
      <w:r w:rsidR="001702CF" w:rsidRPr="00F93E95">
        <w:rPr>
          <w:szCs w:val="24"/>
        </w:rPr>
        <w:t>inscription</w:t>
      </w:r>
      <w:r w:rsidR="00E04CC7" w:rsidRPr="00F93E95">
        <w:rPr>
          <w:szCs w:val="24"/>
        </w:rPr>
        <w:t xml:space="preserve"> </w:t>
      </w:r>
      <w:r w:rsidR="009F2D11" w:rsidRPr="00F93E95">
        <w:rPr>
          <w:szCs w:val="24"/>
        </w:rPr>
        <w:t>de la C</w:t>
      </w:r>
      <w:r w:rsidR="00443670" w:rsidRPr="00F93E95">
        <w:rPr>
          <w:szCs w:val="24"/>
        </w:rPr>
        <w:t xml:space="preserve">our d’appel d’Ontario, </w:t>
      </w:r>
      <w:r w:rsidR="008D29D9" w:rsidRPr="00F93E95">
        <w:rPr>
          <w:szCs w:val="24"/>
        </w:rPr>
        <w:t xml:space="preserve">C48928, </w:t>
      </w:r>
      <w:r w:rsidR="00E04CC7" w:rsidRPr="00F93E95">
        <w:rPr>
          <w:szCs w:val="24"/>
        </w:rPr>
        <w:t>13 janvier 2009)</w:t>
      </w:r>
      <w:r w:rsidR="005A623F" w:rsidRPr="00F93E95">
        <w:rPr>
          <w:szCs w:val="24"/>
        </w:rPr>
        <w:t>.</w:t>
      </w:r>
    </w:p>
    <w:p w:rsidR="00844CF0" w:rsidRPr="00F93E95" w:rsidRDefault="00844CF0" w:rsidP="005A623F">
      <w:pPr>
        <w:pStyle w:val="SCCNormalDoubleSpacing"/>
        <w:rPr>
          <w:highlight w:val="yellow"/>
        </w:rPr>
      </w:pPr>
    </w:p>
    <w:p w:rsidR="005F4071" w:rsidRPr="00F93E95" w:rsidRDefault="005F4071" w:rsidP="00910CF8">
      <w:pPr>
        <w:pStyle w:val="SCCNormalDoubleSpacing"/>
        <w:spacing w:after="480" w:line="240" w:lineRule="auto"/>
        <w:rPr>
          <w:b/>
        </w:rPr>
      </w:pPr>
      <w:r w:rsidRPr="00F93E95">
        <w:rPr>
          <w:b/>
        </w:rPr>
        <w:t>Lois et règlements cités</w:t>
      </w:r>
    </w:p>
    <w:p w:rsidR="005F4071" w:rsidRPr="00F93E95" w:rsidRDefault="005F4071" w:rsidP="00910CF8">
      <w:pPr>
        <w:pStyle w:val="SCCNormalDoubleSpacing"/>
        <w:spacing w:after="480" w:line="240" w:lineRule="auto"/>
      </w:pPr>
      <w:r w:rsidRPr="00F93E95">
        <w:rPr>
          <w:i/>
          <w:iCs/>
        </w:rPr>
        <w:t xml:space="preserve">Code </w:t>
      </w:r>
      <w:r w:rsidR="007A7D6A" w:rsidRPr="00F93E95">
        <w:rPr>
          <w:i/>
          <w:iCs/>
        </w:rPr>
        <w:t>crimine</w:t>
      </w:r>
      <w:r w:rsidRPr="00F93E95">
        <w:rPr>
          <w:i/>
          <w:iCs/>
        </w:rPr>
        <w:t>l</w:t>
      </w:r>
      <w:r w:rsidRPr="00F93E95">
        <w:t>, L.R.C. 1985, ch. C</w:t>
      </w:r>
      <w:r w:rsidR="00490942" w:rsidRPr="00F93E95">
        <w:noBreakHyphen/>
      </w:r>
      <w:r w:rsidRPr="00F93E95">
        <w:t xml:space="preserve">46, art. </w:t>
      </w:r>
      <w:r w:rsidR="005A623F" w:rsidRPr="00F93E95">
        <w:t xml:space="preserve">684(3), </w:t>
      </w:r>
      <w:r w:rsidR="00BA7052" w:rsidRPr="00F93E95">
        <w:t xml:space="preserve">694, </w:t>
      </w:r>
      <w:r w:rsidR="005A623F" w:rsidRPr="00F93E95">
        <w:t>694.1</w:t>
      </w:r>
      <w:r w:rsidRPr="00F93E95">
        <w:t>.</w:t>
      </w:r>
    </w:p>
    <w:p w:rsidR="00344AAB" w:rsidRPr="00F93E95" w:rsidRDefault="00092F38" w:rsidP="00092F38">
      <w:pPr>
        <w:pStyle w:val="SCCNormalDoubleSpacing"/>
      </w:pPr>
      <w:r w:rsidRPr="00F93E95">
        <w:rPr>
          <w:smallCaps/>
        </w:rPr>
        <w:tab/>
      </w:r>
      <w:r w:rsidR="00C060EE" w:rsidRPr="00C060EE">
        <w:t>DEMANDE</w:t>
      </w:r>
      <w:r w:rsidR="005A623F" w:rsidRPr="00F93E95">
        <w:t xml:space="preserve"> de fixation du tarif des honoraires</w:t>
      </w:r>
      <w:r w:rsidR="00896461" w:rsidRPr="00F93E95">
        <w:t>.</w:t>
      </w:r>
      <w:r w:rsidR="005A623F" w:rsidRPr="00F93E95">
        <w:t xml:space="preserve"> </w:t>
      </w:r>
      <w:r w:rsidR="00443670" w:rsidRPr="00F93E95">
        <w:t>Demande accueillie.</w:t>
      </w:r>
    </w:p>
    <w:p w:rsidR="00344AAB" w:rsidRPr="00F93E95" w:rsidRDefault="00344AAB" w:rsidP="00344AAB">
      <w:pPr>
        <w:pStyle w:val="SCCNormalDoubleSpacing"/>
      </w:pPr>
    </w:p>
    <w:p w:rsidR="00A34E79" w:rsidRPr="00F93E95" w:rsidRDefault="005B6095" w:rsidP="00344AAB">
      <w:pPr>
        <w:pStyle w:val="SCCNormalDoubleSpacing"/>
      </w:pPr>
      <w:r w:rsidRPr="00F93E95">
        <w:rPr>
          <w:rStyle w:val="SCCCounselNameChar"/>
        </w:rPr>
        <w:lastRenderedPageBreak/>
        <w:tab/>
      </w:r>
      <w:r w:rsidR="00896461" w:rsidRPr="00F93E95">
        <w:rPr>
          <w:rStyle w:val="SCCCounselNameChar"/>
        </w:rPr>
        <w:t>James Lockyer</w:t>
      </w:r>
      <w:r w:rsidR="00896461" w:rsidRPr="00F93E95">
        <w:rPr>
          <w:rStyle w:val="SCCCounselNameChar"/>
          <w:i w:val="0"/>
        </w:rPr>
        <w:t xml:space="preserve"> et</w:t>
      </w:r>
      <w:r w:rsidR="00896461" w:rsidRPr="00F93E95">
        <w:rPr>
          <w:rStyle w:val="SCCCounselPartyRoleChar"/>
        </w:rPr>
        <w:t xml:space="preserve"> </w:t>
      </w:r>
      <w:r w:rsidR="00D93905" w:rsidRPr="00F93E95">
        <w:rPr>
          <w:rStyle w:val="SCCCounselPartyRoleChar"/>
          <w:i/>
        </w:rPr>
        <w:t>Joanne McLean</w:t>
      </w:r>
      <w:r w:rsidRPr="00F93E95">
        <w:rPr>
          <w:rStyle w:val="SCCCounselPartyRoleChar"/>
        </w:rPr>
        <w:t xml:space="preserve">, pour </w:t>
      </w:r>
      <w:r w:rsidR="00F8456F" w:rsidRPr="00F93E95">
        <w:rPr>
          <w:rStyle w:val="SCCCounselPartyRoleChar"/>
        </w:rPr>
        <w:t xml:space="preserve">le </w:t>
      </w:r>
      <w:r w:rsidR="00EB3E7E" w:rsidRPr="00F93E95">
        <w:t>demandeur</w:t>
      </w:r>
      <w:r w:rsidRPr="00F93E95">
        <w:rPr>
          <w:rStyle w:val="SCCCounselPartyRoleChar"/>
        </w:rPr>
        <w:t>.</w:t>
      </w:r>
    </w:p>
    <w:p w:rsidR="00A34E79" w:rsidRPr="00F93E95" w:rsidRDefault="00A34E79" w:rsidP="00271E1D">
      <w:pPr>
        <w:pStyle w:val="SCCNormalDoubleSpacing"/>
      </w:pPr>
    </w:p>
    <w:p w:rsidR="005A1878" w:rsidRPr="00F93E95" w:rsidRDefault="005B6095" w:rsidP="00C060EE">
      <w:pPr>
        <w:pStyle w:val="SCCNormalDoubleSpacing"/>
        <w:spacing w:after="480"/>
      </w:pPr>
      <w:r w:rsidRPr="00F93E95">
        <w:rPr>
          <w:rStyle w:val="SCCCounselNameChar"/>
        </w:rPr>
        <w:tab/>
      </w:r>
      <w:r w:rsidR="00D93905" w:rsidRPr="00F93E95">
        <w:rPr>
          <w:rStyle w:val="SCCCounselNameChar"/>
        </w:rPr>
        <w:t xml:space="preserve">Jennifer M. </w:t>
      </w:r>
      <w:proofErr w:type="spellStart"/>
      <w:r w:rsidR="00D93905" w:rsidRPr="00F93E95">
        <w:rPr>
          <w:rStyle w:val="SCCCounselNameChar"/>
        </w:rPr>
        <w:t>Woollcombe</w:t>
      </w:r>
      <w:proofErr w:type="spellEnd"/>
      <w:r w:rsidR="005A1878" w:rsidRPr="00F93E95">
        <w:rPr>
          <w:rStyle w:val="SCCCounselNameChar"/>
          <w:i w:val="0"/>
        </w:rPr>
        <w:t>,</w:t>
      </w:r>
      <w:r w:rsidR="005A1878" w:rsidRPr="00F93E95">
        <w:rPr>
          <w:rStyle w:val="SCCCounselNameChar"/>
        </w:rPr>
        <w:t xml:space="preserve"> </w:t>
      </w:r>
      <w:r w:rsidRPr="00F93E95">
        <w:rPr>
          <w:rStyle w:val="SCCCounselPartyRoleChar"/>
        </w:rPr>
        <w:t xml:space="preserve">pour </w:t>
      </w:r>
      <w:r w:rsidR="00F8456F" w:rsidRPr="00F93E95">
        <w:rPr>
          <w:rStyle w:val="SCCCounselPartyRoleChar"/>
        </w:rPr>
        <w:t>l’</w:t>
      </w:r>
      <w:r w:rsidR="00F8456F" w:rsidRPr="00F93E95">
        <w:t>intimée</w:t>
      </w:r>
      <w:r w:rsidRPr="00F93E95">
        <w:rPr>
          <w:rStyle w:val="SCCCounselPartyRoleChar"/>
        </w:rPr>
        <w:t>.</w:t>
      </w:r>
    </w:p>
    <w:p w:rsidR="00A34E79" w:rsidRPr="00C060EE" w:rsidRDefault="00C060EE" w:rsidP="00C060EE">
      <w:pPr>
        <w:pStyle w:val="SCCLawFirm"/>
        <w:spacing w:after="480"/>
        <w:rPr>
          <w:i w:val="0"/>
        </w:rPr>
      </w:pPr>
      <w:r>
        <w:tab/>
      </w:r>
      <w:r w:rsidRPr="00C060EE">
        <w:rPr>
          <w:i w:val="0"/>
        </w:rPr>
        <w:t>Version française du jugement de la Cour rendu par</w:t>
      </w:r>
    </w:p>
    <w:p w:rsidR="00B60370" w:rsidRPr="0056209A" w:rsidRDefault="00B60370" w:rsidP="00B60370">
      <w:pPr>
        <w:spacing w:line="480" w:lineRule="auto"/>
        <w:jc w:val="both"/>
        <w:rPr>
          <w:szCs w:val="24"/>
        </w:rPr>
      </w:pPr>
      <w:r w:rsidRPr="00913E7B">
        <w:rPr>
          <w:szCs w:val="24"/>
        </w:rPr>
        <w:t>[1]</w:t>
      </w:r>
      <w:r w:rsidRPr="00913E7B">
        <w:rPr>
          <w:szCs w:val="24"/>
        </w:rPr>
        <w:tab/>
      </w:r>
      <w:r w:rsidR="00C060EE" w:rsidRPr="00C060EE">
        <w:rPr>
          <w:smallCaps/>
          <w:szCs w:val="24"/>
        </w:rPr>
        <w:t xml:space="preserve">Le juge </w:t>
      </w:r>
      <w:proofErr w:type="spellStart"/>
      <w:r w:rsidR="00C060EE" w:rsidRPr="00C060EE">
        <w:rPr>
          <w:smallCaps/>
          <w:szCs w:val="24"/>
        </w:rPr>
        <w:t>Binnie</w:t>
      </w:r>
      <w:proofErr w:type="spellEnd"/>
      <w:r w:rsidR="00C060EE">
        <w:rPr>
          <w:szCs w:val="24"/>
        </w:rPr>
        <w:t xml:space="preserve"> — </w:t>
      </w:r>
      <w:r w:rsidRPr="00913E7B">
        <w:rPr>
          <w:szCs w:val="24"/>
        </w:rPr>
        <w:t xml:space="preserve">Il s’agit d’une demande fondée sur l’art. 694 du </w:t>
      </w:r>
      <w:r w:rsidRPr="00C060EE">
        <w:rPr>
          <w:i/>
          <w:szCs w:val="24"/>
        </w:rPr>
        <w:t>Code criminel</w:t>
      </w:r>
      <w:r w:rsidRPr="00913E7B">
        <w:rPr>
          <w:szCs w:val="24"/>
        </w:rPr>
        <w:t>, L.R.C. 1985, ch. C-46,</w:t>
      </w:r>
      <w:r>
        <w:rPr>
          <w:szCs w:val="24"/>
        </w:rPr>
        <w:t xml:space="preserve"> sollicitant la fixation du </w:t>
      </w:r>
      <w:r w:rsidRPr="000613CA">
        <w:rPr>
          <w:szCs w:val="24"/>
        </w:rPr>
        <w:t>tarif des honorai</w:t>
      </w:r>
      <w:r>
        <w:rPr>
          <w:szCs w:val="24"/>
        </w:rPr>
        <w:t>r</w:t>
      </w:r>
      <w:r w:rsidRPr="000613CA">
        <w:rPr>
          <w:szCs w:val="24"/>
        </w:rPr>
        <w:t xml:space="preserve">es de l’avocat </w:t>
      </w:r>
      <w:r>
        <w:rPr>
          <w:szCs w:val="24"/>
        </w:rPr>
        <w:t xml:space="preserve">désigné </w:t>
      </w:r>
      <w:r w:rsidRPr="000613CA">
        <w:rPr>
          <w:szCs w:val="24"/>
        </w:rPr>
        <w:t>par la Cour</w:t>
      </w:r>
      <w:r>
        <w:rPr>
          <w:szCs w:val="24"/>
        </w:rPr>
        <w:t>,</w:t>
      </w:r>
      <w:r w:rsidRPr="000613CA">
        <w:rPr>
          <w:szCs w:val="24"/>
        </w:rPr>
        <w:t xml:space="preserve"> en application du par. 694.1(1)</w:t>
      </w:r>
      <w:r>
        <w:rPr>
          <w:szCs w:val="24"/>
        </w:rPr>
        <w:t>, pour représenter le demandeur, qui a été reconnu coupable d’agression sexuelle à l’issue d’un procès o</w:t>
      </w:r>
      <w:r w:rsidRPr="0075591A">
        <w:rPr>
          <w:szCs w:val="24"/>
          <w:lang w:val="fr-FR"/>
        </w:rPr>
        <w:t>ù</w:t>
      </w:r>
      <w:r>
        <w:rPr>
          <w:szCs w:val="24"/>
        </w:rPr>
        <w:t xml:space="preserve">, selon ses dires, on lui a refusé l’assistance effective d’un avocat. </w:t>
      </w:r>
      <w:r w:rsidRPr="00435953">
        <w:rPr>
          <w:szCs w:val="24"/>
        </w:rPr>
        <w:t>Dans son ordonnance datée du 3 décembre 2009, la Cour a accueilli la demande d</w:t>
      </w:r>
      <w:r>
        <w:rPr>
          <w:szCs w:val="24"/>
        </w:rPr>
        <w:t>e désignation d</w:t>
      </w:r>
      <w:r w:rsidRPr="00435953">
        <w:rPr>
          <w:szCs w:val="24"/>
        </w:rPr>
        <w:t xml:space="preserve">’un </w:t>
      </w:r>
      <w:r>
        <w:rPr>
          <w:szCs w:val="24"/>
        </w:rPr>
        <w:t>avoca</w:t>
      </w:r>
      <w:r w:rsidRPr="00435953">
        <w:rPr>
          <w:szCs w:val="24"/>
        </w:rPr>
        <w:t>t pour les</w:t>
      </w:r>
      <w:r>
        <w:rPr>
          <w:szCs w:val="24"/>
        </w:rPr>
        <w:t xml:space="preserve"> procédures devant la Cour et pour « toute procédure devant la Cour d’appel de l’Ontario</w:t>
      </w:r>
      <w:r w:rsidRPr="00435953">
        <w:rPr>
          <w:szCs w:val="24"/>
        </w:rPr>
        <w:t xml:space="preserve"> </w:t>
      </w:r>
      <w:r>
        <w:rPr>
          <w:szCs w:val="24"/>
        </w:rPr>
        <w:t xml:space="preserve">». </w:t>
      </w:r>
      <w:r w:rsidRPr="00435953">
        <w:rPr>
          <w:szCs w:val="24"/>
        </w:rPr>
        <w:t>La Cour a renvoyé l’affaire à la Cour d’appel de l’Ontario pour que celle</w:t>
      </w:r>
      <w:r>
        <w:rPr>
          <w:szCs w:val="24"/>
        </w:rPr>
        <w:t xml:space="preserve">-ci examine les nouveaux éléments de preuve et décide si, eu égard à l’ensemble des circonstances, le maintien de la déclaration de culpabilité du demandeur constitue une erreur judiciaire. </w:t>
      </w:r>
      <w:r w:rsidRPr="0056209A">
        <w:rPr>
          <w:szCs w:val="24"/>
        </w:rPr>
        <w:t xml:space="preserve">L’article 694.1 </w:t>
      </w:r>
      <w:r>
        <w:rPr>
          <w:szCs w:val="24"/>
        </w:rPr>
        <w:t xml:space="preserve">est rédigé ainsi </w:t>
      </w:r>
      <w:r w:rsidRPr="0056209A">
        <w:rPr>
          <w:szCs w:val="24"/>
        </w:rPr>
        <w:t>:</w:t>
      </w:r>
    </w:p>
    <w:p w:rsidR="00B60370" w:rsidRPr="0056209A" w:rsidRDefault="00B60370" w:rsidP="00B60370">
      <w:pPr>
        <w:spacing w:line="233" w:lineRule="auto"/>
        <w:jc w:val="both"/>
        <w:rPr>
          <w:szCs w:val="24"/>
        </w:rPr>
      </w:pPr>
    </w:p>
    <w:p w:rsidR="00B60370" w:rsidRPr="00456875" w:rsidRDefault="00B60370" w:rsidP="00C060EE">
      <w:pPr>
        <w:spacing w:line="233" w:lineRule="auto"/>
        <w:ind w:left="810" w:firstLine="630"/>
        <w:jc w:val="both"/>
        <w:rPr>
          <w:szCs w:val="24"/>
          <w:lang w:val="fr-FR"/>
        </w:rPr>
      </w:pPr>
      <w:r w:rsidRPr="00C060EE">
        <w:rPr>
          <w:b/>
          <w:szCs w:val="24"/>
          <w:lang w:val="fr-FR"/>
        </w:rPr>
        <w:t>694.1</w:t>
      </w:r>
      <w:r w:rsidR="00C060EE">
        <w:rPr>
          <w:szCs w:val="24"/>
          <w:lang w:val="fr-FR"/>
        </w:rPr>
        <w:t xml:space="preserve"> </w:t>
      </w:r>
      <w:r w:rsidRPr="00456875">
        <w:rPr>
          <w:szCs w:val="24"/>
          <w:lang w:val="fr-FR"/>
        </w:rPr>
        <w:t xml:space="preserve">(1) </w:t>
      </w:r>
      <w:r w:rsidR="00C060EE">
        <w:rPr>
          <w:szCs w:val="24"/>
          <w:lang w:val="fr-FR"/>
        </w:rPr>
        <w:t>[</w:t>
      </w:r>
      <w:r w:rsidR="00C060EE" w:rsidRPr="0056209A">
        <w:rPr>
          <w:szCs w:val="24"/>
        </w:rPr>
        <w:t>Assistance d’un avocat</w:t>
      </w:r>
      <w:r w:rsidR="00C060EE">
        <w:rPr>
          <w:szCs w:val="24"/>
        </w:rPr>
        <w:t>]</w:t>
      </w:r>
      <w:r w:rsidR="00C060EE" w:rsidRPr="00456875">
        <w:rPr>
          <w:szCs w:val="24"/>
          <w:lang w:val="fr-FR"/>
        </w:rPr>
        <w:t xml:space="preserve"> </w:t>
      </w:r>
      <w:r w:rsidRPr="00456875">
        <w:rPr>
          <w:szCs w:val="24"/>
          <w:lang w:val="fr-FR"/>
        </w:rPr>
        <w:t>La Cour suprême du Canada, ou l’un de ses juges, peut à tout moment désigner un avoc</w:t>
      </w:r>
      <w:r>
        <w:rPr>
          <w:szCs w:val="24"/>
          <w:lang w:val="fr-FR"/>
        </w:rPr>
        <w:t>at pour agir au nom d’un accusé</w:t>
      </w:r>
      <w:r w:rsidRPr="00456875">
        <w:rPr>
          <w:szCs w:val="24"/>
          <w:lang w:val="fr-FR"/>
        </w:rPr>
        <w:t xml:space="preserve"> qui est partie à un appel ou à des procédures préliminaires ou accessoi</w:t>
      </w:r>
      <w:r>
        <w:rPr>
          <w:szCs w:val="24"/>
          <w:lang w:val="fr-FR"/>
        </w:rPr>
        <w:t>r</w:t>
      </w:r>
      <w:r w:rsidRPr="00456875">
        <w:rPr>
          <w:szCs w:val="24"/>
          <w:lang w:val="fr-FR"/>
        </w:rPr>
        <w:t>es à un appel devant elle, lorsque, à son avis, il paraît désirable dans l’intérêt de la justice que l’accusé soit pourvu d’un avocat et lorsqu’il appert que l’accusé n</w:t>
      </w:r>
      <w:r>
        <w:rPr>
          <w:szCs w:val="24"/>
          <w:lang w:val="fr-FR"/>
        </w:rPr>
        <w:t>’a pas les moyens</w:t>
      </w:r>
      <w:r w:rsidRPr="00456875">
        <w:rPr>
          <w:szCs w:val="24"/>
          <w:lang w:val="fr-FR"/>
        </w:rPr>
        <w:t xml:space="preserve"> </w:t>
      </w:r>
      <w:r>
        <w:rPr>
          <w:szCs w:val="24"/>
          <w:lang w:val="fr-FR"/>
        </w:rPr>
        <w:t xml:space="preserve">requis pour obtenir l’assistance d’un avocat. </w:t>
      </w:r>
    </w:p>
    <w:p w:rsidR="00B60370" w:rsidRPr="00456875" w:rsidRDefault="00B60370" w:rsidP="00B60370">
      <w:pPr>
        <w:spacing w:line="233" w:lineRule="auto"/>
        <w:ind w:left="810"/>
        <w:jc w:val="both"/>
        <w:rPr>
          <w:szCs w:val="24"/>
          <w:lang w:val="fr-FR"/>
        </w:rPr>
      </w:pPr>
    </w:p>
    <w:p w:rsidR="00B60370" w:rsidRPr="00870373" w:rsidRDefault="00B60370" w:rsidP="00C060EE">
      <w:pPr>
        <w:spacing w:line="233" w:lineRule="auto"/>
        <w:ind w:left="810" w:firstLine="630"/>
        <w:jc w:val="both"/>
        <w:rPr>
          <w:szCs w:val="24"/>
          <w:lang w:val="fr-FR"/>
        </w:rPr>
      </w:pPr>
      <w:r w:rsidRPr="00870373">
        <w:rPr>
          <w:szCs w:val="24"/>
          <w:lang w:val="fr-FR"/>
        </w:rPr>
        <w:t xml:space="preserve">(2) </w:t>
      </w:r>
      <w:r w:rsidR="00C060EE">
        <w:rPr>
          <w:szCs w:val="24"/>
          <w:lang w:val="fr-FR"/>
        </w:rPr>
        <w:t>[H</w:t>
      </w:r>
      <w:r w:rsidR="00C060EE" w:rsidRPr="00870373">
        <w:rPr>
          <w:szCs w:val="24"/>
          <w:lang w:val="fr-FR"/>
        </w:rPr>
        <w:t>onorai</w:t>
      </w:r>
      <w:r w:rsidR="00C060EE">
        <w:rPr>
          <w:szCs w:val="24"/>
          <w:lang w:val="fr-FR"/>
        </w:rPr>
        <w:t>r</w:t>
      </w:r>
      <w:r w:rsidR="00C060EE" w:rsidRPr="00870373">
        <w:rPr>
          <w:szCs w:val="24"/>
          <w:lang w:val="fr-FR"/>
        </w:rPr>
        <w:t>es et dépe</w:t>
      </w:r>
      <w:r w:rsidR="00C060EE">
        <w:rPr>
          <w:szCs w:val="24"/>
          <w:lang w:val="fr-FR"/>
        </w:rPr>
        <w:t>nses]</w:t>
      </w:r>
      <w:r w:rsidR="00C060EE" w:rsidRPr="00870373">
        <w:rPr>
          <w:szCs w:val="24"/>
          <w:lang w:val="fr-FR"/>
        </w:rPr>
        <w:t xml:space="preserve"> </w:t>
      </w:r>
      <w:r w:rsidRPr="00870373">
        <w:rPr>
          <w:szCs w:val="24"/>
          <w:lang w:val="fr-FR"/>
        </w:rPr>
        <w:t xml:space="preserve">Dans le cas où l’accusé ne bénéficie </w:t>
      </w:r>
      <w:r w:rsidR="007457D8">
        <w:rPr>
          <w:szCs w:val="24"/>
          <w:lang w:val="fr-FR"/>
        </w:rPr>
        <w:t xml:space="preserve">pas </w:t>
      </w:r>
      <w:r w:rsidRPr="00870373">
        <w:rPr>
          <w:szCs w:val="24"/>
          <w:lang w:val="fr-FR"/>
        </w:rPr>
        <w:t>de l’aide juridique prévue par un régime provincial, le procureur général en cause paie les honorair</w:t>
      </w:r>
      <w:r>
        <w:rPr>
          <w:szCs w:val="24"/>
          <w:lang w:val="fr-FR"/>
        </w:rPr>
        <w:t>es et les dépenses de l’avocat désigné au titre du paragraphe (1).</w:t>
      </w:r>
    </w:p>
    <w:p w:rsidR="00B60370" w:rsidRPr="00870373" w:rsidRDefault="00B60370" w:rsidP="00B60370">
      <w:pPr>
        <w:spacing w:line="233" w:lineRule="auto"/>
        <w:ind w:left="810"/>
        <w:jc w:val="both"/>
        <w:rPr>
          <w:szCs w:val="24"/>
          <w:lang w:val="fr-FR"/>
        </w:rPr>
      </w:pPr>
    </w:p>
    <w:p w:rsidR="00B60370" w:rsidRPr="006E48E7" w:rsidRDefault="00B60370" w:rsidP="00C060EE">
      <w:pPr>
        <w:spacing w:after="480" w:line="233" w:lineRule="auto"/>
        <w:ind w:left="806" w:firstLine="634"/>
        <w:jc w:val="both"/>
        <w:rPr>
          <w:szCs w:val="24"/>
          <w:lang w:val="fr-FR"/>
        </w:rPr>
      </w:pPr>
      <w:r w:rsidRPr="006E48E7">
        <w:rPr>
          <w:szCs w:val="24"/>
          <w:lang w:val="fr-FR"/>
        </w:rPr>
        <w:t xml:space="preserve">(3) </w:t>
      </w:r>
      <w:r w:rsidR="00C060EE">
        <w:rPr>
          <w:szCs w:val="24"/>
          <w:lang w:val="fr-FR"/>
        </w:rPr>
        <w:t>[</w:t>
      </w:r>
      <w:r w:rsidR="00C060EE" w:rsidRPr="00870373">
        <w:rPr>
          <w:szCs w:val="24"/>
          <w:lang w:val="fr-FR"/>
        </w:rPr>
        <w:t>Taxation des honorai</w:t>
      </w:r>
      <w:r w:rsidR="00C060EE">
        <w:rPr>
          <w:szCs w:val="24"/>
          <w:lang w:val="fr-FR"/>
        </w:rPr>
        <w:t>r</w:t>
      </w:r>
      <w:r w:rsidR="00C060EE" w:rsidRPr="00870373">
        <w:rPr>
          <w:szCs w:val="24"/>
          <w:lang w:val="fr-FR"/>
        </w:rPr>
        <w:t>es et des dépens</w:t>
      </w:r>
      <w:r w:rsidR="00C060EE">
        <w:rPr>
          <w:szCs w:val="24"/>
          <w:lang w:val="fr-FR"/>
        </w:rPr>
        <w:t xml:space="preserve">es] </w:t>
      </w:r>
      <w:r w:rsidRPr="006E48E7">
        <w:rPr>
          <w:szCs w:val="24"/>
          <w:lang w:val="fr-FR"/>
        </w:rPr>
        <w:t xml:space="preserve">Dans le cas de l’application du paragraphe (2), le registraire de la Cour suprême du Canada peut, sur demande du procureur général ou de l’avocat, taxer les honoraires et les dépenses de l’avocat si le </w:t>
      </w:r>
      <w:r>
        <w:rPr>
          <w:szCs w:val="24"/>
          <w:lang w:val="fr-FR"/>
        </w:rPr>
        <w:t xml:space="preserve">procureur général et ce dernier ne s’entendent pas sur leur montant. </w:t>
      </w:r>
    </w:p>
    <w:p w:rsidR="00B60370" w:rsidRPr="000A1BE4" w:rsidRDefault="00B60370" w:rsidP="00B60370">
      <w:pPr>
        <w:spacing w:line="480" w:lineRule="auto"/>
        <w:jc w:val="both"/>
        <w:rPr>
          <w:szCs w:val="24"/>
          <w:lang w:val="fr-FR"/>
        </w:rPr>
      </w:pPr>
      <w:r>
        <w:rPr>
          <w:szCs w:val="24"/>
          <w:lang w:val="fr-FR"/>
        </w:rPr>
        <w:t>[2]</w:t>
      </w:r>
      <w:r>
        <w:rPr>
          <w:szCs w:val="24"/>
          <w:lang w:val="fr-FR"/>
        </w:rPr>
        <w:tab/>
      </w:r>
      <w:r w:rsidRPr="009B0542">
        <w:rPr>
          <w:szCs w:val="24"/>
          <w:lang w:val="fr-FR"/>
        </w:rPr>
        <w:t xml:space="preserve">Le procureur général a consenti à la </w:t>
      </w:r>
      <w:r>
        <w:rPr>
          <w:szCs w:val="24"/>
          <w:lang w:val="fr-FR"/>
        </w:rPr>
        <w:t xml:space="preserve">désignation </w:t>
      </w:r>
      <w:r w:rsidRPr="009B0542">
        <w:rPr>
          <w:szCs w:val="24"/>
          <w:lang w:val="fr-FR"/>
        </w:rPr>
        <w:t>de James Lockyer à</w:t>
      </w:r>
      <w:r>
        <w:rPr>
          <w:szCs w:val="24"/>
          <w:lang w:val="fr-FR"/>
        </w:rPr>
        <w:t xml:space="preserve"> titre d’avocat principal et de </w:t>
      </w:r>
      <w:r w:rsidRPr="009B0542">
        <w:rPr>
          <w:szCs w:val="24"/>
          <w:lang w:val="fr-FR"/>
        </w:rPr>
        <w:t xml:space="preserve">Joanne </w:t>
      </w:r>
      <w:proofErr w:type="spellStart"/>
      <w:r w:rsidRPr="009B0542">
        <w:rPr>
          <w:szCs w:val="24"/>
          <w:lang w:val="fr-FR"/>
        </w:rPr>
        <w:t>McLean</w:t>
      </w:r>
      <w:proofErr w:type="spellEnd"/>
      <w:r w:rsidRPr="009B0542">
        <w:rPr>
          <w:szCs w:val="24"/>
          <w:lang w:val="fr-FR"/>
        </w:rPr>
        <w:t xml:space="preserve"> </w:t>
      </w:r>
      <w:r>
        <w:rPr>
          <w:szCs w:val="24"/>
          <w:lang w:val="fr-FR"/>
        </w:rPr>
        <w:t>comme avocate adjointe</w:t>
      </w:r>
      <w:r w:rsidRPr="009B0542">
        <w:rPr>
          <w:szCs w:val="24"/>
          <w:lang w:val="fr-FR"/>
        </w:rPr>
        <w:t>.</w:t>
      </w:r>
      <w:r>
        <w:rPr>
          <w:szCs w:val="24"/>
          <w:lang w:val="fr-FR"/>
        </w:rPr>
        <w:t xml:space="preserve"> Bien </w:t>
      </w:r>
      <w:proofErr w:type="gramStart"/>
      <w:r>
        <w:rPr>
          <w:szCs w:val="24"/>
          <w:lang w:val="fr-FR"/>
        </w:rPr>
        <w:t xml:space="preserve">que </w:t>
      </w:r>
      <w:r w:rsidRPr="00EC297C">
        <w:rPr>
          <w:szCs w:val="24"/>
          <w:lang w:val="fr-FR"/>
        </w:rPr>
        <w:t>Aide</w:t>
      </w:r>
      <w:proofErr w:type="gramEnd"/>
      <w:r w:rsidRPr="00EC297C">
        <w:rPr>
          <w:szCs w:val="24"/>
          <w:lang w:val="fr-FR"/>
        </w:rPr>
        <w:t xml:space="preserve"> juridique Ontario (AJO) a</w:t>
      </w:r>
      <w:r>
        <w:rPr>
          <w:szCs w:val="24"/>
          <w:lang w:val="fr-FR"/>
        </w:rPr>
        <w:t>it</w:t>
      </w:r>
      <w:r w:rsidRPr="00EC297C">
        <w:rPr>
          <w:szCs w:val="24"/>
          <w:lang w:val="fr-FR"/>
        </w:rPr>
        <w:t xml:space="preserve"> refusé de délivrer un certificat d’aide juridique en l’espèce, les parties ont convenu qu</w:t>
      </w:r>
      <w:r>
        <w:rPr>
          <w:szCs w:val="24"/>
          <w:lang w:val="fr-FR"/>
        </w:rPr>
        <w:t xml:space="preserve">e </w:t>
      </w:r>
      <w:r w:rsidRPr="00EC297C">
        <w:rPr>
          <w:szCs w:val="24"/>
          <w:lang w:val="fr-FR"/>
        </w:rPr>
        <w:t>AJO admi</w:t>
      </w:r>
      <w:r>
        <w:rPr>
          <w:szCs w:val="24"/>
          <w:lang w:val="fr-FR"/>
        </w:rPr>
        <w:t>n</w:t>
      </w:r>
      <w:r w:rsidRPr="00EC297C">
        <w:rPr>
          <w:szCs w:val="24"/>
          <w:lang w:val="fr-FR"/>
        </w:rPr>
        <w:t>istre</w:t>
      </w:r>
      <w:r>
        <w:rPr>
          <w:szCs w:val="24"/>
          <w:lang w:val="fr-FR"/>
        </w:rPr>
        <w:t xml:space="preserve">rait </w:t>
      </w:r>
      <w:r w:rsidRPr="00EC297C">
        <w:rPr>
          <w:szCs w:val="24"/>
          <w:lang w:val="fr-FR"/>
        </w:rPr>
        <w:t>et g</w:t>
      </w:r>
      <w:r>
        <w:rPr>
          <w:szCs w:val="24"/>
          <w:lang w:val="fr-FR"/>
        </w:rPr>
        <w:t xml:space="preserve">érerait </w:t>
      </w:r>
      <w:r w:rsidRPr="00EC297C">
        <w:rPr>
          <w:szCs w:val="24"/>
          <w:lang w:val="fr-FR"/>
        </w:rPr>
        <w:t xml:space="preserve">le compte comme si un </w:t>
      </w:r>
      <w:r>
        <w:rPr>
          <w:szCs w:val="24"/>
          <w:lang w:val="fr-FR"/>
        </w:rPr>
        <w:t>tel certificat</w:t>
      </w:r>
      <w:r w:rsidRPr="00EC297C">
        <w:rPr>
          <w:szCs w:val="24"/>
          <w:lang w:val="fr-FR"/>
        </w:rPr>
        <w:t xml:space="preserve"> avait</w:t>
      </w:r>
      <w:r>
        <w:rPr>
          <w:szCs w:val="24"/>
          <w:lang w:val="fr-FR"/>
        </w:rPr>
        <w:t xml:space="preserve"> été délivré. Les politiques et les procédures d’AJO, ainsi que ses règles et pratiques en matière de facturation, s’appliquent donc. </w:t>
      </w:r>
      <w:r w:rsidRPr="00041115">
        <w:rPr>
          <w:szCs w:val="24"/>
          <w:lang w:val="fr-FR"/>
        </w:rPr>
        <w:t>Les parties ne sont toutefois pas parvenues à s’entendre sur le tarif des honoraires</w:t>
      </w:r>
      <w:r>
        <w:rPr>
          <w:szCs w:val="24"/>
          <w:lang w:val="fr-FR"/>
        </w:rPr>
        <w:t xml:space="preserve"> payables aux avocats. </w:t>
      </w:r>
      <w:r w:rsidRPr="00C65559">
        <w:rPr>
          <w:szCs w:val="24"/>
          <w:lang w:val="fr-FR"/>
        </w:rPr>
        <w:t>M</w:t>
      </w:r>
      <w:r w:rsidRPr="00C65559">
        <w:rPr>
          <w:szCs w:val="24"/>
          <w:vertAlign w:val="superscript"/>
          <w:lang w:val="fr-FR"/>
        </w:rPr>
        <w:t>e</w:t>
      </w:r>
      <w:r w:rsidRPr="00C65559">
        <w:rPr>
          <w:szCs w:val="24"/>
          <w:lang w:val="fr-FR"/>
        </w:rPr>
        <w:t xml:space="preserve"> Lockyer sollicite des honoraires de 225 $ l’heure pour lui-même et de 175 $ l’heure pour M</w:t>
      </w:r>
      <w:r w:rsidRPr="00C65559">
        <w:rPr>
          <w:szCs w:val="24"/>
          <w:vertAlign w:val="superscript"/>
          <w:lang w:val="fr-FR"/>
        </w:rPr>
        <w:t>e</w:t>
      </w:r>
      <w:r w:rsidRPr="00C65559">
        <w:rPr>
          <w:szCs w:val="24"/>
          <w:lang w:val="fr-FR"/>
        </w:rPr>
        <w:t xml:space="preserve"> </w:t>
      </w:r>
      <w:proofErr w:type="spellStart"/>
      <w:r w:rsidRPr="00C65559">
        <w:rPr>
          <w:szCs w:val="24"/>
          <w:lang w:val="fr-FR"/>
        </w:rPr>
        <w:t>McLean</w:t>
      </w:r>
      <w:proofErr w:type="spellEnd"/>
      <w:r w:rsidRPr="00C65559">
        <w:rPr>
          <w:szCs w:val="24"/>
          <w:lang w:val="fr-FR"/>
        </w:rPr>
        <w:t>.</w:t>
      </w:r>
      <w:r>
        <w:rPr>
          <w:szCs w:val="24"/>
          <w:lang w:val="fr-FR"/>
        </w:rPr>
        <w:t xml:space="preserve"> </w:t>
      </w:r>
      <w:r w:rsidRPr="00C65559">
        <w:rPr>
          <w:szCs w:val="24"/>
          <w:lang w:val="fr-FR"/>
        </w:rPr>
        <w:t xml:space="preserve">Le procureur général </w:t>
      </w:r>
      <w:r>
        <w:rPr>
          <w:szCs w:val="24"/>
          <w:lang w:val="fr-FR"/>
        </w:rPr>
        <w:t xml:space="preserve">propose </w:t>
      </w:r>
      <w:r w:rsidRPr="00C65559">
        <w:rPr>
          <w:szCs w:val="24"/>
          <w:lang w:val="fr-FR"/>
        </w:rPr>
        <w:t>que les honoraires des avocats corresponde</w:t>
      </w:r>
      <w:r>
        <w:rPr>
          <w:szCs w:val="24"/>
          <w:lang w:val="fr-FR"/>
        </w:rPr>
        <w:t>nt</w:t>
      </w:r>
      <w:r w:rsidRPr="00C65559">
        <w:rPr>
          <w:szCs w:val="24"/>
          <w:lang w:val="fr-FR"/>
        </w:rPr>
        <w:t xml:space="preserve"> au tarif de l’aide juridiq</w:t>
      </w:r>
      <w:r>
        <w:rPr>
          <w:szCs w:val="24"/>
          <w:lang w:val="fr-FR"/>
        </w:rPr>
        <w:t xml:space="preserve">ue pour les dossiers complexes </w:t>
      </w:r>
      <w:r w:rsidRPr="00C65559">
        <w:rPr>
          <w:szCs w:val="24"/>
          <w:lang w:val="fr-FR"/>
        </w:rPr>
        <w:t>(</w:t>
      </w:r>
      <w:r>
        <w:rPr>
          <w:szCs w:val="24"/>
          <w:lang w:val="fr-FR"/>
        </w:rPr>
        <w:t>ce tarif est maintenant de 120,02 $ l’heure)</w:t>
      </w:r>
      <w:r w:rsidRPr="00C65559">
        <w:rPr>
          <w:szCs w:val="24"/>
          <w:lang w:val="fr-FR"/>
        </w:rPr>
        <w:t xml:space="preserve">. </w:t>
      </w:r>
      <w:r>
        <w:rPr>
          <w:szCs w:val="24"/>
          <w:lang w:val="fr-FR"/>
        </w:rPr>
        <w:t>L</w:t>
      </w:r>
      <w:r w:rsidRPr="00821A5B">
        <w:rPr>
          <w:szCs w:val="24"/>
          <w:lang w:val="fr-FR"/>
        </w:rPr>
        <w:t>a demande qui avait</w:t>
      </w:r>
      <w:r>
        <w:rPr>
          <w:szCs w:val="24"/>
          <w:lang w:val="fr-FR"/>
        </w:rPr>
        <w:t xml:space="preserve"> été adressée au registraire pour qu’il fixe le tarif des honoraires des avocats avant la taxation</w:t>
      </w:r>
      <w:r w:rsidRPr="00821A5B">
        <w:rPr>
          <w:szCs w:val="24"/>
          <w:lang w:val="fr-FR"/>
        </w:rPr>
        <w:t xml:space="preserve"> </w:t>
      </w:r>
      <w:r>
        <w:rPr>
          <w:szCs w:val="24"/>
          <w:lang w:val="fr-FR"/>
        </w:rPr>
        <w:t xml:space="preserve">nous a été déférée par ce dernier, étant donné que notre formation avait été saisie de la demande d’autorisation originale. </w:t>
      </w:r>
    </w:p>
    <w:p w:rsidR="00B60370" w:rsidRPr="000A1BE4" w:rsidRDefault="00B60370" w:rsidP="00B60370">
      <w:pPr>
        <w:spacing w:line="480" w:lineRule="auto"/>
        <w:jc w:val="both"/>
        <w:rPr>
          <w:szCs w:val="24"/>
          <w:lang w:val="fr-FR"/>
        </w:rPr>
      </w:pPr>
    </w:p>
    <w:p w:rsidR="00B60370" w:rsidRPr="00696420" w:rsidRDefault="00B60370" w:rsidP="00B60370">
      <w:pPr>
        <w:spacing w:line="480" w:lineRule="auto"/>
        <w:jc w:val="both"/>
        <w:rPr>
          <w:szCs w:val="24"/>
          <w:lang w:val="fr-FR"/>
        </w:rPr>
      </w:pPr>
      <w:r>
        <w:rPr>
          <w:szCs w:val="24"/>
          <w:lang w:val="fr-FR"/>
        </w:rPr>
        <w:t>[3]</w:t>
      </w:r>
      <w:r>
        <w:rPr>
          <w:szCs w:val="24"/>
          <w:lang w:val="fr-FR"/>
        </w:rPr>
        <w:tab/>
      </w:r>
      <w:r w:rsidRPr="00821A5B">
        <w:rPr>
          <w:szCs w:val="24"/>
          <w:lang w:val="fr-FR"/>
        </w:rPr>
        <w:t xml:space="preserve">Selon le procureur général, il faut présumer que le tarif de l’aide juridique constitue, en </w:t>
      </w:r>
      <w:r>
        <w:rPr>
          <w:szCs w:val="24"/>
          <w:lang w:val="fr-FR"/>
        </w:rPr>
        <w:t>règle générale</w:t>
      </w:r>
      <w:r w:rsidRPr="00821A5B">
        <w:rPr>
          <w:szCs w:val="24"/>
          <w:lang w:val="fr-FR"/>
        </w:rPr>
        <w:t>, la mesure des honoraires d’un avoca</w:t>
      </w:r>
      <w:r>
        <w:rPr>
          <w:szCs w:val="24"/>
          <w:lang w:val="fr-FR"/>
        </w:rPr>
        <w:t xml:space="preserve">t payé sur les deniers publics </w:t>
      </w:r>
      <w:r w:rsidRPr="00821A5B">
        <w:rPr>
          <w:szCs w:val="24"/>
          <w:lang w:val="fr-FR"/>
        </w:rPr>
        <w:t>(</w:t>
      </w:r>
      <w:r>
        <w:rPr>
          <w:szCs w:val="24"/>
          <w:lang w:val="fr-FR"/>
        </w:rPr>
        <w:t xml:space="preserve">se fondant sur </w:t>
      </w:r>
      <w:r w:rsidRPr="00C7194C">
        <w:rPr>
          <w:i/>
          <w:szCs w:val="24"/>
          <w:lang w:val="fr-FR"/>
        </w:rPr>
        <w:t xml:space="preserve">R. v. </w:t>
      </w:r>
      <w:proofErr w:type="spellStart"/>
      <w:r w:rsidRPr="00C7194C">
        <w:rPr>
          <w:i/>
          <w:szCs w:val="24"/>
          <w:lang w:val="fr-FR"/>
        </w:rPr>
        <w:t>Cairenius</w:t>
      </w:r>
      <w:proofErr w:type="spellEnd"/>
      <w:r>
        <w:rPr>
          <w:szCs w:val="24"/>
          <w:lang w:val="fr-FR"/>
        </w:rPr>
        <w:t xml:space="preserve"> (2008), 232 C.C.C. (3d) 13 (C.S.J. Ont.)</w:t>
      </w:r>
      <w:r w:rsidR="00C060EE">
        <w:rPr>
          <w:szCs w:val="24"/>
          <w:lang w:val="fr-FR"/>
        </w:rPr>
        <w:t>,</w:t>
      </w:r>
      <w:r>
        <w:rPr>
          <w:szCs w:val="24"/>
          <w:lang w:val="fr-FR"/>
        </w:rPr>
        <w:t xml:space="preserve"> et </w:t>
      </w:r>
      <w:r w:rsidRPr="00821A5B">
        <w:rPr>
          <w:i/>
          <w:szCs w:val="24"/>
          <w:lang w:val="fr-FR"/>
        </w:rPr>
        <w:t xml:space="preserve">R. </w:t>
      </w:r>
      <w:r>
        <w:rPr>
          <w:i/>
          <w:szCs w:val="24"/>
          <w:lang w:val="fr-FR"/>
        </w:rPr>
        <w:t>c</w:t>
      </w:r>
      <w:r w:rsidRPr="00821A5B">
        <w:rPr>
          <w:i/>
          <w:szCs w:val="24"/>
          <w:lang w:val="fr-FR"/>
        </w:rPr>
        <w:t>. Magda</w:t>
      </w:r>
      <w:r w:rsidRPr="00821A5B">
        <w:rPr>
          <w:szCs w:val="24"/>
          <w:lang w:val="fr-FR"/>
        </w:rPr>
        <w:t xml:space="preserve">, [2001] O.J. No. 1861 </w:t>
      </w:r>
      <w:r>
        <w:rPr>
          <w:szCs w:val="24"/>
          <w:lang w:val="fr-FR"/>
        </w:rPr>
        <w:t>(QL) (</w:t>
      </w:r>
      <w:r w:rsidR="00FE7D87">
        <w:rPr>
          <w:szCs w:val="24"/>
          <w:lang w:val="fr-FR"/>
        </w:rPr>
        <w:t>C.</w:t>
      </w:r>
      <w:r>
        <w:rPr>
          <w:szCs w:val="24"/>
          <w:lang w:val="fr-FR"/>
        </w:rPr>
        <w:t>S.J.)</w:t>
      </w:r>
      <w:r w:rsidRPr="00821A5B">
        <w:rPr>
          <w:szCs w:val="24"/>
          <w:lang w:val="fr-FR"/>
        </w:rPr>
        <w:t>,</w:t>
      </w:r>
      <w:r>
        <w:rPr>
          <w:szCs w:val="24"/>
          <w:lang w:val="fr-FR"/>
        </w:rPr>
        <w:t xml:space="preserve"> par. </w:t>
      </w:r>
      <w:r w:rsidRPr="009865F8">
        <w:rPr>
          <w:szCs w:val="24"/>
          <w:lang w:val="fr-FR"/>
        </w:rPr>
        <w:t xml:space="preserve">56), mais le par. 694.1(3) ne </w:t>
      </w:r>
      <w:r w:rsidRPr="009865F8">
        <w:rPr>
          <w:szCs w:val="24"/>
          <w:lang w:val="fr-FR"/>
        </w:rPr>
        <w:lastRenderedPageBreak/>
        <w:t xml:space="preserve">prévoit aucune limite de cette nature. </w:t>
      </w:r>
      <w:r w:rsidRPr="00932C61">
        <w:rPr>
          <w:szCs w:val="24"/>
          <w:lang w:val="fr-FR"/>
        </w:rPr>
        <w:t>Le ministère public fixe unilatéralement ce tarif en fonction de ses propres politiques et priorités</w:t>
      </w:r>
      <w:r>
        <w:rPr>
          <w:szCs w:val="24"/>
          <w:lang w:val="fr-FR"/>
        </w:rPr>
        <w:t>,</w:t>
      </w:r>
      <w:r w:rsidRPr="00932C61">
        <w:rPr>
          <w:szCs w:val="24"/>
          <w:lang w:val="fr-FR"/>
        </w:rPr>
        <w:t xml:space="preserve"> et sa décision à cet égard ne saurait être</w:t>
      </w:r>
      <w:r>
        <w:rPr>
          <w:szCs w:val="24"/>
          <w:lang w:val="fr-FR"/>
        </w:rPr>
        <w:t>, à notre avis,</w:t>
      </w:r>
      <w:r w:rsidRPr="00932C61">
        <w:rPr>
          <w:szCs w:val="24"/>
          <w:lang w:val="fr-FR"/>
        </w:rPr>
        <w:t xml:space="preserve"> jugée </w:t>
      </w:r>
      <w:r>
        <w:rPr>
          <w:szCs w:val="24"/>
          <w:lang w:val="fr-FR"/>
        </w:rPr>
        <w:t xml:space="preserve">déterminante, quoiqu’il  s’agisse d’un facteur important à prendre en considération. </w:t>
      </w:r>
      <w:r w:rsidRPr="00696420">
        <w:rPr>
          <w:szCs w:val="24"/>
          <w:lang w:val="fr-FR"/>
        </w:rPr>
        <w:t xml:space="preserve">Comme l’a affirmé le juge </w:t>
      </w:r>
      <w:proofErr w:type="spellStart"/>
      <w:r w:rsidRPr="00696420">
        <w:rPr>
          <w:szCs w:val="24"/>
          <w:lang w:val="fr-FR"/>
        </w:rPr>
        <w:t>Sopinka</w:t>
      </w:r>
      <w:proofErr w:type="spellEnd"/>
      <w:r w:rsidRPr="00696420">
        <w:rPr>
          <w:szCs w:val="24"/>
          <w:lang w:val="fr-FR"/>
        </w:rPr>
        <w:t xml:space="preserve"> dans </w:t>
      </w:r>
      <w:r w:rsidRPr="00696420">
        <w:rPr>
          <w:i/>
          <w:szCs w:val="24"/>
          <w:lang w:val="fr-FR"/>
        </w:rPr>
        <w:t>Egan c. Canada</w:t>
      </w:r>
      <w:r w:rsidRPr="00696420">
        <w:rPr>
          <w:szCs w:val="24"/>
          <w:lang w:val="fr-FR"/>
        </w:rPr>
        <w:t>, [1995] 2 R.C.S. 513, « [l]a Cour ferait preuve d’un manqu</w:t>
      </w:r>
      <w:r>
        <w:rPr>
          <w:szCs w:val="24"/>
          <w:lang w:val="fr-FR"/>
        </w:rPr>
        <w:t>e</w:t>
      </w:r>
      <w:r w:rsidRPr="00696420">
        <w:rPr>
          <w:szCs w:val="24"/>
          <w:lang w:val="fr-FR"/>
        </w:rPr>
        <w:t xml:space="preserve"> de réalisme si elle présumait qu’il existe des ressources inép</w:t>
      </w:r>
      <w:r>
        <w:rPr>
          <w:szCs w:val="24"/>
          <w:lang w:val="fr-FR"/>
        </w:rPr>
        <w:t>uisables pour répondre aux besoins de chacun » (par. </w:t>
      </w:r>
      <w:r w:rsidRPr="00696420">
        <w:rPr>
          <w:szCs w:val="24"/>
          <w:lang w:val="fr-FR"/>
        </w:rPr>
        <w:t>104).</w:t>
      </w:r>
    </w:p>
    <w:p w:rsidR="00B60370" w:rsidRPr="00696420" w:rsidRDefault="00B60370" w:rsidP="00B60370">
      <w:pPr>
        <w:spacing w:line="480" w:lineRule="auto"/>
        <w:jc w:val="both"/>
        <w:rPr>
          <w:szCs w:val="24"/>
          <w:lang w:val="fr-FR"/>
        </w:rPr>
      </w:pPr>
    </w:p>
    <w:p w:rsidR="00B60370" w:rsidRPr="0026136C" w:rsidRDefault="00B60370" w:rsidP="00B60370">
      <w:pPr>
        <w:spacing w:line="480" w:lineRule="auto"/>
        <w:jc w:val="both"/>
        <w:rPr>
          <w:szCs w:val="24"/>
          <w:lang w:val="fr-FR"/>
        </w:rPr>
      </w:pPr>
      <w:r>
        <w:rPr>
          <w:szCs w:val="24"/>
          <w:lang w:val="fr-FR"/>
        </w:rPr>
        <w:t>[4]</w:t>
      </w:r>
      <w:r>
        <w:rPr>
          <w:szCs w:val="24"/>
          <w:lang w:val="fr-FR"/>
        </w:rPr>
        <w:tab/>
      </w:r>
      <w:r w:rsidRPr="00F77EFE">
        <w:rPr>
          <w:szCs w:val="24"/>
          <w:lang w:val="fr-FR"/>
        </w:rPr>
        <w:t xml:space="preserve">La décision prise en application du par. 694.1(3) doit </w:t>
      </w:r>
      <w:proofErr w:type="gramStart"/>
      <w:r w:rsidRPr="00F77EFE">
        <w:rPr>
          <w:szCs w:val="24"/>
          <w:lang w:val="fr-FR"/>
        </w:rPr>
        <w:t>reposer</w:t>
      </w:r>
      <w:proofErr w:type="gramEnd"/>
      <w:r w:rsidRPr="00F77EFE">
        <w:rPr>
          <w:szCs w:val="24"/>
          <w:lang w:val="fr-FR"/>
        </w:rPr>
        <w:t xml:space="preserve"> sur un examen plus général de ce qui est juste et raisonnable dans les circonstances, y compris le</w:t>
      </w:r>
      <w:r>
        <w:rPr>
          <w:szCs w:val="24"/>
          <w:lang w:val="fr-FR"/>
        </w:rPr>
        <w:t xml:space="preserve">s limites du financement accordé </w:t>
      </w:r>
      <w:r w:rsidRPr="00F77EFE">
        <w:rPr>
          <w:szCs w:val="24"/>
          <w:lang w:val="fr-FR"/>
        </w:rPr>
        <w:t xml:space="preserve">par l’État. </w:t>
      </w:r>
      <w:r w:rsidRPr="0026136C">
        <w:rPr>
          <w:szCs w:val="24"/>
          <w:lang w:val="fr-FR"/>
        </w:rPr>
        <w:t>Il faut cependant tenir compte de facteurs comme l’expérience de l’avocat, l’importance des questions en jeu et la complexité du dossier</w:t>
      </w:r>
      <w:r>
        <w:rPr>
          <w:szCs w:val="24"/>
          <w:lang w:val="fr-FR"/>
        </w:rPr>
        <w:t>;</w:t>
      </w:r>
      <w:r w:rsidRPr="0026136C">
        <w:rPr>
          <w:szCs w:val="24"/>
          <w:lang w:val="fr-FR"/>
        </w:rPr>
        <w:t xml:space="preserve"> voir </w:t>
      </w:r>
      <w:r w:rsidRPr="009139F5">
        <w:rPr>
          <w:i/>
          <w:szCs w:val="24"/>
          <w:lang w:val="fr-FR"/>
        </w:rPr>
        <w:t>Alberta (</w:t>
      </w:r>
      <w:proofErr w:type="spellStart"/>
      <w:r w:rsidRPr="0026136C">
        <w:rPr>
          <w:i/>
          <w:szCs w:val="24"/>
          <w:lang w:val="fr-FR"/>
        </w:rPr>
        <w:t>Chief</w:t>
      </w:r>
      <w:proofErr w:type="spellEnd"/>
      <w:r w:rsidRPr="0026136C">
        <w:rPr>
          <w:i/>
          <w:szCs w:val="24"/>
          <w:lang w:val="fr-FR"/>
        </w:rPr>
        <w:t xml:space="preserve"> </w:t>
      </w:r>
      <w:proofErr w:type="spellStart"/>
      <w:r w:rsidRPr="0026136C">
        <w:rPr>
          <w:i/>
          <w:szCs w:val="24"/>
          <w:lang w:val="fr-FR"/>
        </w:rPr>
        <w:t>Commissioner</w:t>
      </w:r>
      <w:proofErr w:type="spellEnd"/>
      <w:r w:rsidRPr="0026136C">
        <w:rPr>
          <w:i/>
          <w:szCs w:val="24"/>
          <w:lang w:val="fr-FR"/>
        </w:rPr>
        <w:t xml:space="preserve"> of the </w:t>
      </w:r>
      <w:proofErr w:type="spellStart"/>
      <w:r w:rsidRPr="0026136C">
        <w:rPr>
          <w:i/>
          <w:szCs w:val="24"/>
          <w:lang w:val="fr-FR"/>
        </w:rPr>
        <w:t>Human</w:t>
      </w:r>
      <w:proofErr w:type="spellEnd"/>
      <w:r w:rsidRPr="0026136C">
        <w:rPr>
          <w:i/>
          <w:szCs w:val="24"/>
          <w:lang w:val="fr-FR"/>
        </w:rPr>
        <w:t xml:space="preserve"> </w:t>
      </w:r>
      <w:proofErr w:type="spellStart"/>
      <w:r w:rsidRPr="0026136C">
        <w:rPr>
          <w:i/>
          <w:szCs w:val="24"/>
          <w:lang w:val="fr-FR"/>
        </w:rPr>
        <w:t>Rights</w:t>
      </w:r>
      <w:proofErr w:type="spellEnd"/>
      <w:r w:rsidRPr="0026136C">
        <w:rPr>
          <w:i/>
          <w:szCs w:val="24"/>
          <w:lang w:val="fr-FR"/>
        </w:rPr>
        <w:t xml:space="preserve"> and </w:t>
      </w:r>
      <w:proofErr w:type="spellStart"/>
      <w:r w:rsidRPr="0026136C">
        <w:rPr>
          <w:i/>
          <w:szCs w:val="24"/>
          <w:lang w:val="fr-FR"/>
        </w:rPr>
        <w:t>Citizenship</w:t>
      </w:r>
      <w:proofErr w:type="spellEnd"/>
      <w:r w:rsidRPr="0026136C">
        <w:rPr>
          <w:i/>
          <w:szCs w:val="24"/>
          <w:lang w:val="fr-FR"/>
        </w:rPr>
        <w:t xml:space="preserve"> Commission</w:t>
      </w:r>
      <w:r>
        <w:rPr>
          <w:i/>
          <w:szCs w:val="24"/>
          <w:lang w:val="fr-FR"/>
        </w:rPr>
        <w:t>)</w:t>
      </w:r>
      <w:r w:rsidRPr="0026136C">
        <w:rPr>
          <w:i/>
          <w:szCs w:val="24"/>
          <w:lang w:val="fr-FR"/>
        </w:rPr>
        <w:t xml:space="preserve"> c. </w:t>
      </w:r>
      <w:proofErr w:type="spellStart"/>
      <w:r w:rsidRPr="0026136C">
        <w:rPr>
          <w:i/>
          <w:szCs w:val="24"/>
          <w:lang w:val="fr-FR"/>
        </w:rPr>
        <w:t>Brewer</w:t>
      </w:r>
      <w:proofErr w:type="spellEnd"/>
      <w:r w:rsidRPr="0026136C">
        <w:rPr>
          <w:i/>
          <w:szCs w:val="24"/>
          <w:lang w:val="fr-FR"/>
        </w:rPr>
        <w:t xml:space="preserve"> </w:t>
      </w:r>
      <w:r w:rsidRPr="0026136C">
        <w:rPr>
          <w:szCs w:val="24"/>
          <w:lang w:val="fr-FR"/>
        </w:rPr>
        <w:t>(</w:t>
      </w:r>
      <w:r w:rsidR="00C060EE">
        <w:rPr>
          <w:szCs w:val="24"/>
          <w:lang w:val="fr-FR"/>
        </w:rPr>
        <w:t>C.S.C., n</w:t>
      </w:r>
      <w:r w:rsidR="00C060EE" w:rsidRPr="00C060EE">
        <w:rPr>
          <w:szCs w:val="24"/>
          <w:vertAlign w:val="superscript"/>
          <w:lang w:val="fr-FR"/>
        </w:rPr>
        <w:t>o</w:t>
      </w:r>
      <w:r w:rsidR="00C060EE">
        <w:rPr>
          <w:szCs w:val="24"/>
          <w:lang w:val="fr-FR"/>
        </w:rPr>
        <w:t xml:space="preserve"> 32695, </w:t>
      </w:r>
      <w:r w:rsidRPr="0026136C">
        <w:rPr>
          <w:szCs w:val="24"/>
          <w:lang w:val="fr-FR"/>
        </w:rPr>
        <w:t xml:space="preserve">une décision </w:t>
      </w:r>
      <w:r>
        <w:rPr>
          <w:szCs w:val="24"/>
          <w:lang w:val="fr-FR"/>
        </w:rPr>
        <w:t xml:space="preserve">en matière de taxation </w:t>
      </w:r>
      <w:r w:rsidRPr="0026136C">
        <w:rPr>
          <w:szCs w:val="24"/>
          <w:lang w:val="fr-FR"/>
        </w:rPr>
        <w:t xml:space="preserve">rendue le </w:t>
      </w:r>
      <w:r w:rsidR="00C060EE">
        <w:rPr>
          <w:szCs w:val="24"/>
          <w:lang w:val="fr-FR"/>
        </w:rPr>
        <w:t xml:space="preserve">25 août </w:t>
      </w:r>
      <w:r w:rsidRPr="0026136C">
        <w:rPr>
          <w:szCs w:val="24"/>
          <w:lang w:val="fr-FR"/>
        </w:rPr>
        <w:t xml:space="preserve">2009 par le registraire de </w:t>
      </w:r>
      <w:r>
        <w:rPr>
          <w:szCs w:val="24"/>
          <w:lang w:val="fr-FR"/>
        </w:rPr>
        <w:t xml:space="preserve">la Cour suprême du Canada) et </w:t>
      </w:r>
      <w:r w:rsidRPr="0026136C">
        <w:rPr>
          <w:i/>
          <w:szCs w:val="24"/>
          <w:lang w:val="fr-FR"/>
        </w:rPr>
        <w:t xml:space="preserve">R. </w:t>
      </w:r>
      <w:r>
        <w:rPr>
          <w:i/>
          <w:szCs w:val="24"/>
          <w:lang w:val="fr-FR"/>
        </w:rPr>
        <w:t>c</w:t>
      </w:r>
      <w:r w:rsidRPr="0026136C">
        <w:rPr>
          <w:i/>
          <w:szCs w:val="24"/>
          <w:lang w:val="fr-FR"/>
        </w:rPr>
        <w:t xml:space="preserve">. </w:t>
      </w:r>
      <w:proofErr w:type="spellStart"/>
      <w:r w:rsidRPr="0026136C">
        <w:rPr>
          <w:i/>
          <w:szCs w:val="24"/>
          <w:lang w:val="fr-FR"/>
        </w:rPr>
        <w:t>Pietrangelo</w:t>
      </w:r>
      <w:proofErr w:type="spellEnd"/>
      <w:r w:rsidRPr="0026136C">
        <w:rPr>
          <w:szCs w:val="24"/>
          <w:lang w:val="fr-FR"/>
        </w:rPr>
        <w:t>, 2008 ONCA 547</w:t>
      </w:r>
      <w:r>
        <w:rPr>
          <w:szCs w:val="24"/>
          <w:lang w:val="fr-FR"/>
        </w:rPr>
        <w:t>, [2008] O.J. No</w:t>
      </w:r>
      <w:r w:rsidR="00C060EE">
        <w:rPr>
          <w:szCs w:val="24"/>
          <w:lang w:val="fr-FR"/>
        </w:rPr>
        <w:t>.</w:t>
      </w:r>
      <w:r>
        <w:rPr>
          <w:szCs w:val="24"/>
          <w:lang w:val="fr-FR"/>
        </w:rPr>
        <w:t xml:space="preserve"> 5137 (QL)</w:t>
      </w:r>
      <w:r w:rsidRPr="0026136C">
        <w:rPr>
          <w:szCs w:val="24"/>
          <w:lang w:val="fr-FR"/>
        </w:rPr>
        <w:t>.</w:t>
      </w:r>
    </w:p>
    <w:p w:rsidR="00B60370" w:rsidRPr="0026136C" w:rsidRDefault="00B60370" w:rsidP="00B60370">
      <w:pPr>
        <w:spacing w:line="480" w:lineRule="auto"/>
        <w:jc w:val="both"/>
        <w:rPr>
          <w:szCs w:val="24"/>
          <w:lang w:val="fr-FR"/>
        </w:rPr>
      </w:pPr>
    </w:p>
    <w:p w:rsidR="00B60370" w:rsidRPr="0056209A" w:rsidRDefault="00B60370" w:rsidP="00B60370">
      <w:pPr>
        <w:spacing w:line="480" w:lineRule="auto"/>
        <w:jc w:val="both"/>
        <w:rPr>
          <w:szCs w:val="24"/>
        </w:rPr>
      </w:pPr>
      <w:r>
        <w:rPr>
          <w:szCs w:val="24"/>
          <w:lang w:val="fr-FR"/>
        </w:rPr>
        <w:t>[5]</w:t>
      </w:r>
      <w:r>
        <w:rPr>
          <w:szCs w:val="24"/>
          <w:lang w:val="fr-FR"/>
        </w:rPr>
        <w:tab/>
      </w:r>
      <w:r w:rsidRPr="00301EEB">
        <w:rPr>
          <w:szCs w:val="24"/>
          <w:lang w:val="fr-FR"/>
        </w:rPr>
        <w:t>Le procureur général a fait plusieurs concessions en l’espèce et a dit notamment s’attendre à ce que la Cour d’appel ordonne la tenue d’un nouveau</w:t>
      </w:r>
      <w:r>
        <w:rPr>
          <w:szCs w:val="24"/>
          <w:lang w:val="fr-FR"/>
        </w:rPr>
        <w:t xml:space="preserve"> procès </w:t>
      </w:r>
      <w:r w:rsidRPr="00301EEB">
        <w:rPr>
          <w:szCs w:val="24"/>
          <w:lang w:val="fr-FR"/>
        </w:rPr>
        <w:t>(</w:t>
      </w:r>
      <w:r w:rsidR="00C060EE">
        <w:rPr>
          <w:szCs w:val="24"/>
          <w:lang w:val="fr-FR"/>
        </w:rPr>
        <w:t>m</w:t>
      </w:r>
      <w:r>
        <w:rPr>
          <w:szCs w:val="24"/>
          <w:lang w:val="fr-FR"/>
        </w:rPr>
        <w:t xml:space="preserve">émoire, </w:t>
      </w:r>
      <w:r w:rsidRPr="00301EEB">
        <w:rPr>
          <w:szCs w:val="24"/>
          <w:lang w:val="fr-FR"/>
        </w:rPr>
        <w:t>par</w:t>
      </w:r>
      <w:r>
        <w:rPr>
          <w:szCs w:val="24"/>
          <w:lang w:val="fr-FR"/>
        </w:rPr>
        <w:t>. </w:t>
      </w:r>
      <w:r w:rsidRPr="00301EEB">
        <w:rPr>
          <w:szCs w:val="24"/>
          <w:lang w:val="fr-FR"/>
        </w:rPr>
        <w:t>2).</w:t>
      </w:r>
      <w:r>
        <w:rPr>
          <w:szCs w:val="24"/>
          <w:lang w:val="fr-FR"/>
        </w:rPr>
        <w:t xml:space="preserve"> </w:t>
      </w:r>
      <w:r w:rsidRPr="003D6463">
        <w:rPr>
          <w:szCs w:val="24"/>
          <w:lang w:val="fr-FR"/>
        </w:rPr>
        <w:t xml:space="preserve">Les questions sont </w:t>
      </w:r>
      <w:r>
        <w:rPr>
          <w:szCs w:val="24"/>
          <w:lang w:val="fr-FR"/>
        </w:rPr>
        <w:t xml:space="preserve">assez </w:t>
      </w:r>
      <w:r w:rsidRPr="003D6463">
        <w:rPr>
          <w:szCs w:val="24"/>
          <w:lang w:val="fr-FR"/>
        </w:rPr>
        <w:t xml:space="preserve">complexes, car elles ont déjà </w:t>
      </w:r>
      <w:r>
        <w:rPr>
          <w:szCs w:val="24"/>
          <w:lang w:val="fr-FR"/>
        </w:rPr>
        <w:t xml:space="preserve">donné lieu à un procès, à </w:t>
      </w:r>
      <w:r w:rsidRPr="003D6463">
        <w:rPr>
          <w:szCs w:val="24"/>
          <w:lang w:val="fr-FR"/>
        </w:rPr>
        <w:t xml:space="preserve">une longue procédure d’arbitrage, </w:t>
      </w:r>
      <w:r>
        <w:rPr>
          <w:szCs w:val="24"/>
          <w:lang w:val="fr-FR"/>
        </w:rPr>
        <w:t xml:space="preserve">à </w:t>
      </w:r>
      <w:r w:rsidRPr="003D6463">
        <w:rPr>
          <w:szCs w:val="24"/>
          <w:lang w:val="fr-FR"/>
        </w:rPr>
        <w:t>un appel à la Cour</w:t>
      </w:r>
      <w:r>
        <w:rPr>
          <w:szCs w:val="24"/>
          <w:lang w:val="fr-FR"/>
        </w:rPr>
        <w:t xml:space="preserve"> divisionnaire de l’Ontario, à trois appels à la Cour d’appel de l’Ontario, ainsi qu’à deux demandes et un appel à la Cour. Par ailleurs</w:t>
      </w:r>
      <w:r w:rsidRPr="008812E2">
        <w:rPr>
          <w:szCs w:val="24"/>
          <w:lang w:val="fr-FR"/>
        </w:rPr>
        <w:t xml:space="preserve">, le procureur général signale, dans son mémoire, que </w:t>
      </w:r>
      <w:r w:rsidRPr="008812E2">
        <w:rPr>
          <w:szCs w:val="24"/>
          <w:lang w:val="fr-FR"/>
        </w:rPr>
        <w:lastRenderedPageBreak/>
        <w:t>l’affaire a été renvoyée sur consentement à la Cour d’appel de l’Ontario et que [</w:t>
      </w:r>
      <w:r w:rsidRPr="008812E2">
        <w:rPr>
          <w:smallCaps/>
          <w:szCs w:val="24"/>
          <w:lang w:val="fr-FR"/>
        </w:rPr>
        <w:t>traduction</w:t>
      </w:r>
      <w:r w:rsidRPr="008812E2">
        <w:rPr>
          <w:szCs w:val="24"/>
          <w:lang w:val="fr-FR"/>
        </w:rPr>
        <w:t xml:space="preserve">] « le ministère public a reconnu, avant </w:t>
      </w:r>
      <w:r>
        <w:rPr>
          <w:szCs w:val="24"/>
          <w:lang w:val="fr-FR"/>
        </w:rPr>
        <w:t xml:space="preserve">que les avocats n’aient déposé quelque document que ce soit à la Cour d’appel, qu’il y avait lieu d’annuler la déclaration de culpabilité et de corriger cette erreur judiciaire potentielle par la tenue d’un nouveau procès » </w:t>
      </w:r>
      <w:r w:rsidRPr="00301EEB">
        <w:rPr>
          <w:szCs w:val="24"/>
          <w:lang w:val="fr-FR"/>
        </w:rPr>
        <w:t>(par</w:t>
      </w:r>
      <w:r>
        <w:rPr>
          <w:szCs w:val="24"/>
          <w:lang w:val="fr-FR"/>
        </w:rPr>
        <w:t>. </w:t>
      </w:r>
      <w:r w:rsidRPr="00301EEB">
        <w:rPr>
          <w:szCs w:val="24"/>
          <w:lang w:val="fr-FR"/>
        </w:rPr>
        <w:t>2</w:t>
      </w:r>
      <w:r>
        <w:rPr>
          <w:szCs w:val="24"/>
          <w:lang w:val="fr-FR"/>
        </w:rPr>
        <w:t>9</w:t>
      </w:r>
      <w:r w:rsidRPr="00301EEB">
        <w:rPr>
          <w:szCs w:val="24"/>
          <w:lang w:val="fr-FR"/>
        </w:rPr>
        <w:t>)</w:t>
      </w:r>
      <w:r>
        <w:rPr>
          <w:szCs w:val="24"/>
          <w:lang w:val="fr-FR"/>
        </w:rPr>
        <w:t>. C</w:t>
      </w:r>
      <w:r w:rsidRPr="003555FC">
        <w:rPr>
          <w:szCs w:val="24"/>
          <w:lang w:val="fr-FR"/>
        </w:rPr>
        <w:t xml:space="preserve">es concessions ont </w:t>
      </w:r>
      <w:r>
        <w:rPr>
          <w:szCs w:val="24"/>
          <w:lang w:val="fr-FR"/>
        </w:rPr>
        <w:t xml:space="preserve">certainement </w:t>
      </w:r>
      <w:r w:rsidRPr="003555FC">
        <w:rPr>
          <w:szCs w:val="24"/>
          <w:lang w:val="fr-FR"/>
        </w:rPr>
        <w:t>réduit l</w:t>
      </w:r>
      <w:r>
        <w:rPr>
          <w:szCs w:val="24"/>
          <w:lang w:val="fr-FR"/>
        </w:rPr>
        <w:t xml:space="preserve">’ampleur des tâches requises des </w:t>
      </w:r>
      <w:r w:rsidRPr="003555FC">
        <w:rPr>
          <w:szCs w:val="24"/>
          <w:lang w:val="fr-FR"/>
        </w:rPr>
        <w:t xml:space="preserve">avocats du demandeur, </w:t>
      </w:r>
      <w:r>
        <w:rPr>
          <w:szCs w:val="24"/>
          <w:lang w:val="fr-FR"/>
        </w:rPr>
        <w:t>et (indubitablement) le temps nécessaire pour trouver une solution au litige. Toutefois,</w:t>
      </w:r>
      <w:r w:rsidRPr="003555FC">
        <w:rPr>
          <w:szCs w:val="24"/>
          <w:lang w:val="fr-FR"/>
        </w:rPr>
        <w:t xml:space="preserve"> </w:t>
      </w:r>
      <w:r>
        <w:rPr>
          <w:szCs w:val="24"/>
          <w:lang w:val="fr-FR"/>
        </w:rPr>
        <w:t>il ne faudrait pas pénaliser les avocats en réduisant leur tarif horaire du fait que le litige sera réglé de manière efficiente. Cette efficience se manifestera par la facturation d’un moins grand nombre d’heures</w:t>
      </w:r>
      <w:r w:rsidRPr="003555FC">
        <w:rPr>
          <w:szCs w:val="24"/>
          <w:lang w:val="fr-FR"/>
        </w:rPr>
        <w:t xml:space="preserve">.  </w:t>
      </w:r>
    </w:p>
    <w:p w:rsidR="00B60370" w:rsidRPr="0056209A" w:rsidRDefault="00B60370" w:rsidP="00B60370">
      <w:pPr>
        <w:spacing w:line="480" w:lineRule="auto"/>
        <w:jc w:val="both"/>
        <w:rPr>
          <w:szCs w:val="24"/>
        </w:rPr>
      </w:pPr>
    </w:p>
    <w:p w:rsidR="00B60370" w:rsidRPr="00E63A54" w:rsidRDefault="00B60370" w:rsidP="00B60370">
      <w:pPr>
        <w:spacing w:line="480" w:lineRule="auto"/>
        <w:jc w:val="both"/>
        <w:rPr>
          <w:szCs w:val="24"/>
          <w:lang w:val="fr-FR"/>
        </w:rPr>
      </w:pPr>
      <w:r>
        <w:rPr>
          <w:szCs w:val="24"/>
          <w:lang w:val="fr-FR"/>
        </w:rPr>
        <w:t>[6]</w:t>
      </w:r>
      <w:r>
        <w:rPr>
          <w:szCs w:val="24"/>
          <w:lang w:val="fr-FR"/>
        </w:rPr>
        <w:tab/>
      </w:r>
      <w:r w:rsidRPr="00064BBA">
        <w:rPr>
          <w:szCs w:val="24"/>
          <w:lang w:val="fr-FR"/>
        </w:rPr>
        <w:t>M</w:t>
      </w:r>
      <w:r w:rsidRPr="00064BBA">
        <w:rPr>
          <w:szCs w:val="24"/>
          <w:vertAlign w:val="superscript"/>
          <w:lang w:val="fr-FR"/>
        </w:rPr>
        <w:t>e</w:t>
      </w:r>
      <w:r w:rsidRPr="00064BBA">
        <w:rPr>
          <w:szCs w:val="24"/>
          <w:lang w:val="fr-FR"/>
        </w:rPr>
        <w:t xml:space="preserve"> Lockyer et sa collègue, M</w:t>
      </w:r>
      <w:r w:rsidRPr="00064BBA">
        <w:rPr>
          <w:szCs w:val="24"/>
          <w:vertAlign w:val="superscript"/>
          <w:lang w:val="fr-FR"/>
        </w:rPr>
        <w:t>e</w:t>
      </w:r>
      <w:r w:rsidRPr="00064BBA">
        <w:rPr>
          <w:szCs w:val="24"/>
          <w:lang w:val="fr-FR"/>
        </w:rPr>
        <w:t xml:space="preserve"> </w:t>
      </w:r>
      <w:proofErr w:type="spellStart"/>
      <w:r w:rsidRPr="00064BBA">
        <w:rPr>
          <w:szCs w:val="24"/>
          <w:lang w:val="fr-FR"/>
        </w:rPr>
        <w:t>McLean</w:t>
      </w:r>
      <w:proofErr w:type="spellEnd"/>
      <w:r w:rsidRPr="00064BBA">
        <w:rPr>
          <w:szCs w:val="24"/>
          <w:lang w:val="fr-FR"/>
        </w:rPr>
        <w:t xml:space="preserve">, comptent </w:t>
      </w:r>
      <w:r>
        <w:rPr>
          <w:szCs w:val="24"/>
          <w:lang w:val="fr-FR"/>
        </w:rPr>
        <w:t xml:space="preserve">respectivement </w:t>
      </w:r>
      <w:r w:rsidRPr="00064BBA">
        <w:rPr>
          <w:szCs w:val="24"/>
          <w:lang w:val="fr-FR"/>
        </w:rPr>
        <w:t xml:space="preserve">plus de 30 ans et de 20 ans d’expérience, et </w:t>
      </w:r>
      <w:r>
        <w:rPr>
          <w:szCs w:val="24"/>
          <w:lang w:val="fr-FR"/>
        </w:rPr>
        <w:t xml:space="preserve">ils </w:t>
      </w:r>
      <w:r w:rsidRPr="00064BBA">
        <w:rPr>
          <w:szCs w:val="24"/>
          <w:lang w:val="fr-FR"/>
        </w:rPr>
        <w:t>tous deux ont exercé exclusivement le droit criminel</w:t>
      </w:r>
      <w:r>
        <w:rPr>
          <w:szCs w:val="24"/>
          <w:lang w:val="fr-FR"/>
        </w:rPr>
        <w:t xml:space="preserve"> </w:t>
      </w:r>
      <w:r w:rsidRPr="00064BBA">
        <w:rPr>
          <w:szCs w:val="24"/>
          <w:lang w:val="fr-FR"/>
        </w:rPr>
        <w:t>durant to</w:t>
      </w:r>
      <w:r>
        <w:rPr>
          <w:szCs w:val="24"/>
          <w:lang w:val="fr-FR"/>
        </w:rPr>
        <w:t>ute leur carrière.</w:t>
      </w:r>
      <w:r w:rsidRPr="00064BBA">
        <w:rPr>
          <w:szCs w:val="24"/>
          <w:lang w:val="fr-FR"/>
        </w:rPr>
        <w:t xml:space="preserve">  </w:t>
      </w:r>
      <w:r>
        <w:rPr>
          <w:szCs w:val="24"/>
          <w:lang w:val="fr-FR"/>
        </w:rPr>
        <w:t>D</w:t>
      </w:r>
      <w:r w:rsidRPr="00E63A54">
        <w:rPr>
          <w:szCs w:val="24"/>
          <w:lang w:val="fr-FR"/>
        </w:rPr>
        <w:t xml:space="preserve">ans le cadre de demandes </w:t>
      </w:r>
      <w:r>
        <w:rPr>
          <w:szCs w:val="24"/>
          <w:lang w:val="fr-FR"/>
        </w:rPr>
        <w:t xml:space="preserve">fondées sur le régime comparable établi au par. 684(3) du </w:t>
      </w:r>
      <w:r w:rsidRPr="009139F5">
        <w:rPr>
          <w:i/>
          <w:szCs w:val="24"/>
          <w:lang w:val="fr-FR"/>
        </w:rPr>
        <w:t>Code</w:t>
      </w:r>
      <w:r>
        <w:rPr>
          <w:szCs w:val="24"/>
          <w:lang w:val="fr-FR"/>
        </w:rPr>
        <w:t xml:space="preserve"> en matière d’honoraires et de dépenses, l</w:t>
      </w:r>
      <w:r w:rsidRPr="00E63A54">
        <w:rPr>
          <w:szCs w:val="24"/>
          <w:lang w:val="fr-FR"/>
        </w:rPr>
        <w:t>e greffier et le juge Rosenberg de la Cour d’appel de l’Ontario ont déjà fixé</w:t>
      </w:r>
      <w:r>
        <w:rPr>
          <w:szCs w:val="24"/>
          <w:lang w:val="fr-FR"/>
        </w:rPr>
        <w:t xml:space="preserve"> </w:t>
      </w:r>
      <w:r w:rsidRPr="00E63A54">
        <w:rPr>
          <w:szCs w:val="24"/>
          <w:lang w:val="fr-FR"/>
        </w:rPr>
        <w:t xml:space="preserve">des </w:t>
      </w:r>
      <w:r>
        <w:rPr>
          <w:szCs w:val="24"/>
          <w:lang w:val="fr-FR"/>
        </w:rPr>
        <w:t>tarifs d’honoraires</w:t>
      </w:r>
      <w:r w:rsidRPr="00E63A54">
        <w:rPr>
          <w:szCs w:val="24"/>
          <w:lang w:val="fr-FR"/>
        </w:rPr>
        <w:t xml:space="preserve"> équivalents ou supérieurs à ceux </w:t>
      </w:r>
      <w:r>
        <w:rPr>
          <w:szCs w:val="24"/>
          <w:lang w:val="fr-FR"/>
        </w:rPr>
        <w:t xml:space="preserve">sollicités par l’avocat en l’espèce; voir </w:t>
      </w:r>
      <w:proofErr w:type="spellStart"/>
      <w:r w:rsidRPr="00E63A54">
        <w:rPr>
          <w:i/>
          <w:szCs w:val="24"/>
          <w:lang w:val="fr-FR"/>
        </w:rPr>
        <w:t>Pietrangelo</w:t>
      </w:r>
      <w:proofErr w:type="spellEnd"/>
      <w:r w:rsidRPr="00E63A54">
        <w:rPr>
          <w:szCs w:val="24"/>
          <w:lang w:val="fr-FR"/>
        </w:rPr>
        <w:t xml:space="preserve">, </w:t>
      </w:r>
      <w:r w:rsidRPr="00E63A54">
        <w:rPr>
          <w:i/>
          <w:szCs w:val="24"/>
          <w:lang w:val="fr-FR"/>
        </w:rPr>
        <w:t xml:space="preserve">R. c. </w:t>
      </w:r>
      <w:proofErr w:type="spellStart"/>
      <w:r w:rsidRPr="00E63A54">
        <w:rPr>
          <w:i/>
          <w:szCs w:val="24"/>
          <w:lang w:val="fr-FR"/>
        </w:rPr>
        <w:t>Kumar</w:t>
      </w:r>
      <w:proofErr w:type="spellEnd"/>
      <w:r w:rsidRPr="00E63A54">
        <w:rPr>
          <w:szCs w:val="24"/>
          <w:lang w:val="fr-FR"/>
        </w:rPr>
        <w:t xml:space="preserve"> </w:t>
      </w:r>
      <w:r>
        <w:rPr>
          <w:szCs w:val="24"/>
          <w:lang w:val="fr-FR"/>
        </w:rPr>
        <w:t>(</w:t>
      </w:r>
      <w:r w:rsidR="00C060EE">
        <w:rPr>
          <w:szCs w:val="24"/>
          <w:lang w:val="fr-FR"/>
        </w:rPr>
        <w:t xml:space="preserve">C.A. Ont., C48821, </w:t>
      </w:r>
      <w:r>
        <w:rPr>
          <w:szCs w:val="24"/>
          <w:lang w:val="fr-FR"/>
        </w:rPr>
        <w:t xml:space="preserve">décision datée du 2 octobre </w:t>
      </w:r>
      <w:r w:rsidRPr="00E63A54">
        <w:rPr>
          <w:szCs w:val="24"/>
          <w:lang w:val="fr-FR"/>
        </w:rPr>
        <w:t>2008</w:t>
      </w:r>
      <w:r>
        <w:rPr>
          <w:szCs w:val="24"/>
          <w:lang w:val="fr-FR"/>
        </w:rPr>
        <w:t>)</w:t>
      </w:r>
      <w:r w:rsidRPr="00E63A54">
        <w:rPr>
          <w:szCs w:val="24"/>
          <w:lang w:val="fr-FR"/>
        </w:rPr>
        <w:t xml:space="preserve">, </w:t>
      </w:r>
      <w:r w:rsidRPr="00E63A54">
        <w:rPr>
          <w:i/>
          <w:szCs w:val="24"/>
          <w:lang w:val="fr-FR"/>
        </w:rPr>
        <w:t xml:space="preserve">R. </w:t>
      </w:r>
      <w:r>
        <w:rPr>
          <w:i/>
          <w:szCs w:val="24"/>
          <w:lang w:val="fr-FR"/>
        </w:rPr>
        <w:t>c</w:t>
      </w:r>
      <w:r w:rsidRPr="00E63A54">
        <w:rPr>
          <w:i/>
          <w:szCs w:val="24"/>
          <w:lang w:val="fr-FR"/>
        </w:rPr>
        <w:t>. C.M</w:t>
      </w:r>
      <w:r w:rsidRPr="00E63A54">
        <w:rPr>
          <w:szCs w:val="24"/>
          <w:lang w:val="fr-FR"/>
        </w:rPr>
        <w:t xml:space="preserve">. </w:t>
      </w:r>
      <w:r>
        <w:rPr>
          <w:szCs w:val="24"/>
          <w:lang w:val="fr-FR"/>
        </w:rPr>
        <w:t>(</w:t>
      </w:r>
      <w:r w:rsidR="00C060EE">
        <w:rPr>
          <w:szCs w:val="24"/>
          <w:lang w:val="fr-FR"/>
        </w:rPr>
        <w:t xml:space="preserve">C.A. Ont., C36764/M36765, </w:t>
      </w:r>
      <w:r>
        <w:rPr>
          <w:szCs w:val="24"/>
          <w:lang w:val="fr-FR"/>
        </w:rPr>
        <w:t xml:space="preserve">décision datée du 24 octobre </w:t>
      </w:r>
      <w:r w:rsidRPr="00E63A54">
        <w:rPr>
          <w:szCs w:val="24"/>
          <w:lang w:val="fr-FR"/>
        </w:rPr>
        <w:t>2008</w:t>
      </w:r>
      <w:r>
        <w:rPr>
          <w:szCs w:val="24"/>
          <w:lang w:val="fr-FR"/>
        </w:rPr>
        <w:t>)</w:t>
      </w:r>
      <w:r w:rsidR="00FE7D87">
        <w:rPr>
          <w:szCs w:val="24"/>
          <w:lang w:val="fr-FR"/>
        </w:rPr>
        <w:t>,</w:t>
      </w:r>
      <w:r>
        <w:rPr>
          <w:szCs w:val="24"/>
          <w:lang w:val="fr-FR"/>
        </w:rPr>
        <w:t xml:space="preserve"> et </w:t>
      </w:r>
      <w:r w:rsidRPr="00E63A54">
        <w:rPr>
          <w:i/>
          <w:szCs w:val="24"/>
          <w:lang w:val="fr-FR"/>
        </w:rPr>
        <w:t xml:space="preserve">R. </w:t>
      </w:r>
      <w:r>
        <w:rPr>
          <w:i/>
          <w:szCs w:val="24"/>
          <w:lang w:val="fr-FR"/>
        </w:rPr>
        <w:t>c</w:t>
      </w:r>
      <w:r w:rsidRPr="00E63A54">
        <w:rPr>
          <w:i/>
          <w:szCs w:val="24"/>
          <w:lang w:val="fr-FR"/>
        </w:rPr>
        <w:t xml:space="preserve">. </w:t>
      </w:r>
      <w:proofErr w:type="spellStart"/>
      <w:r w:rsidRPr="00E63A54">
        <w:rPr>
          <w:i/>
          <w:szCs w:val="24"/>
          <w:lang w:val="fr-FR"/>
        </w:rPr>
        <w:t>Hanemaayer</w:t>
      </w:r>
      <w:proofErr w:type="spellEnd"/>
      <w:r w:rsidRPr="00E63A54">
        <w:rPr>
          <w:szCs w:val="24"/>
          <w:lang w:val="fr-FR"/>
        </w:rPr>
        <w:t xml:space="preserve"> </w:t>
      </w:r>
      <w:r>
        <w:rPr>
          <w:szCs w:val="24"/>
          <w:lang w:val="fr-FR"/>
        </w:rPr>
        <w:t>(</w:t>
      </w:r>
      <w:r w:rsidR="00C060EE">
        <w:rPr>
          <w:szCs w:val="24"/>
          <w:lang w:val="fr-FR"/>
        </w:rPr>
        <w:t xml:space="preserve">C.A. Ont., C48928, </w:t>
      </w:r>
      <w:r>
        <w:rPr>
          <w:szCs w:val="24"/>
          <w:lang w:val="fr-FR"/>
        </w:rPr>
        <w:t xml:space="preserve">décision datée du 13 janvier </w:t>
      </w:r>
      <w:r w:rsidRPr="00E63A54">
        <w:rPr>
          <w:szCs w:val="24"/>
          <w:lang w:val="fr-FR"/>
        </w:rPr>
        <w:t>2009)</w:t>
      </w:r>
      <w:r>
        <w:rPr>
          <w:szCs w:val="24"/>
          <w:lang w:val="fr-FR"/>
        </w:rPr>
        <w:t xml:space="preserve">. </w:t>
      </w:r>
    </w:p>
    <w:p w:rsidR="00B60370" w:rsidRPr="00E63A54" w:rsidRDefault="00B60370" w:rsidP="00B60370">
      <w:pPr>
        <w:spacing w:line="480" w:lineRule="auto"/>
        <w:jc w:val="both"/>
        <w:rPr>
          <w:szCs w:val="24"/>
          <w:lang w:val="fr-FR"/>
        </w:rPr>
      </w:pPr>
    </w:p>
    <w:p w:rsidR="00B60370" w:rsidRPr="006958A2" w:rsidRDefault="00B60370" w:rsidP="00B60370">
      <w:pPr>
        <w:spacing w:line="480" w:lineRule="auto"/>
        <w:jc w:val="both"/>
        <w:rPr>
          <w:szCs w:val="24"/>
          <w:lang w:val="fr-FR"/>
        </w:rPr>
      </w:pPr>
      <w:r>
        <w:rPr>
          <w:szCs w:val="24"/>
          <w:lang w:val="fr-FR"/>
        </w:rPr>
        <w:t>[7]</w:t>
      </w:r>
      <w:r>
        <w:rPr>
          <w:szCs w:val="24"/>
          <w:lang w:val="fr-FR"/>
        </w:rPr>
        <w:tab/>
      </w:r>
      <w:r w:rsidRPr="00C274A3">
        <w:rPr>
          <w:szCs w:val="24"/>
          <w:lang w:val="fr-FR"/>
        </w:rPr>
        <w:t>À notre humble avis, les tarifs proposés par M</w:t>
      </w:r>
      <w:r w:rsidRPr="00C274A3">
        <w:rPr>
          <w:szCs w:val="24"/>
          <w:vertAlign w:val="superscript"/>
          <w:lang w:val="fr-FR"/>
        </w:rPr>
        <w:t>e</w:t>
      </w:r>
      <w:r w:rsidRPr="00C274A3">
        <w:rPr>
          <w:szCs w:val="24"/>
          <w:lang w:val="fr-FR"/>
        </w:rPr>
        <w:t xml:space="preserve"> Lockyer sont justes et raisonnables eu égard à </w:t>
      </w:r>
      <w:r>
        <w:rPr>
          <w:szCs w:val="24"/>
          <w:lang w:val="fr-FR"/>
        </w:rPr>
        <w:t xml:space="preserve">l’ensemble des </w:t>
      </w:r>
      <w:r w:rsidRPr="00C274A3">
        <w:rPr>
          <w:szCs w:val="24"/>
          <w:lang w:val="fr-FR"/>
        </w:rPr>
        <w:t xml:space="preserve">circonstances de l’espèce. </w:t>
      </w:r>
      <w:r w:rsidRPr="006958A2">
        <w:rPr>
          <w:szCs w:val="24"/>
          <w:lang w:val="fr-FR"/>
        </w:rPr>
        <w:t xml:space="preserve">Il y a donc lieu de </w:t>
      </w:r>
      <w:r w:rsidRPr="006958A2">
        <w:rPr>
          <w:szCs w:val="24"/>
          <w:lang w:val="fr-FR"/>
        </w:rPr>
        <w:lastRenderedPageBreak/>
        <w:t>fixer son tarif horaire à 225 $ l’heure et celui de M</w:t>
      </w:r>
      <w:r w:rsidRPr="006958A2">
        <w:rPr>
          <w:szCs w:val="24"/>
          <w:vertAlign w:val="superscript"/>
          <w:lang w:val="fr-FR"/>
        </w:rPr>
        <w:t>e</w:t>
      </w:r>
      <w:r w:rsidRPr="006958A2">
        <w:rPr>
          <w:szCs w:val="24"/>
          <w:lang w:val="fr-FR"/>
        </w:rPr>
        <w:t xml:space="preserve"> </w:t>
      </w:r>
      <w:proofErr w:type="spellStart"/>
      <w:r w:rsidRPr="006958A2">
        <w:rPr>
          <w:szCs w:val="24"/>
          <w:lang w:val="fr-FR"/>
        </w:rPr>
        <w:t>McLean</w:t>
      </w:r>
      <w:proofErr w:type="spellEnd"/>
      <w:r w:rsidRPr="006958A2">
        <w:rPr>
          <w:szCs w:val="24"/>
          <w:lang w:val="fr-FR"/>
        </w:rPr>
        <w:t xml:space="preserve"> à 175 $ l’heure </w:t>
      </w:r>
      <w:r>
        <w:rPr>
          <w:szCs w:val="24"/>
          <w:lang w:val="fr-FR"/>
        </w:rPr>
        <w:t>pour les procédures devant la Cour et</w:t>
      </w:r>
      <w:r w:rsidRPr="006958A2">
        <w:rPr>
          <w:szCs w:val="24"/>
          <w:lang w:val="fr-FR"/>
        </w:rPr>
        <w:t xml:space="preserve"> </w:t>
      </w:r>
      <w:r w:rsidR="00FE7D87">
        <w:rPr>
          <w:szCs w:val="24"/>
          <w:lang w:val="fr-FR"/>
        </w:rPr>
        <w:t xml:space="preserve">pour </w:t>
      </w:r>
      <w:r>
        <w:rPr>
          <w:szCs w:val="24"/>
          <w:lang w:val="fr-FR"/>
        </w:rPr>
        <w:t xml:space="preserve">« toute procédure devant la Cour d’appel de l’Ontario ». </w:t>
      </w:r>
      <w:r w:rsidRPr="006958A2">
        <w:rPr>
          <w:szCs w:val="24"/>
          <w:lang w:val="fr-FR"/>
        </w:rPr>
        <w:t xml:space="preserve"> </w:t>
      </w:r>
    </w:p>
    <w:p w:rsidR="00B60370" w:rsidRPr="006958A2" w:rsidRDefault="00B60370" w:rsidP="00B60370">
      <w:pPr>
        <w:jc w:val="both"/>
        <w:rPr>
          <w:lang w:val="fr-FR"/>
        </w:rPr>
      </w:pPr>
    </w:p>
    <w:p w:rsidR="0033393C" w:rsidRPr="00F93E95" w:rsidRDefault="0033393C" w:rsidP="0033393C">
      <w:pPr>
        <w:pStyle w:val="SCCNormalDoubleSpacing"/>
        <w:rPr>
          <w:i/>
        </w:rPr>
      </w:pPr>
      <w:r w:rsidRPr="00F93E95">
        <w:tab/>
      </w:r>
      <w:r w:rsidR="00443670" w:rsidRPr="00F93E95">
        <w:rPr>
          <w:i/>
        </w:rPr>
        <w:t>Demande accueillie.</w:t>
      </w:r>
    </w:p>
    <w:p w:rsidR="00DB6B11" w:rsidRPr="00F93E95" w:rsidRDefault="00DB6B11" w:rsidP="00DB6B11">
      <w:pPr>
        <w:pStyle w:val="SCCNormalDoubleSpacing"/>
      </w:pPr>
    </w:p>
    <w:p w:rsidR="005A1878" w:rsidRPr="00F93E95" w:rsidRDefault="00F8456F" w:rsidP="005A1878">
      <w:pPr>
        <w:pStyle w:val="SCCLawFirm"/>
      </w:pPr>
      <w:r w:rsidRPr="00F93E95">
        <w:tab/>
        <w:t>Procureurs du</w:t>
      </w:r>
      <w:r w:rsidR="005A1878" w:rsidRPr="00F93E95">
        <w:t xml:space="preserve"> </w:t>
      </w:r>
      <w:r w:rsidR="00EB3E7E" w:rsidRPr="00F93E95">
        <w:t>demandeur</w:t>
      </w:r>
      <w:r w:rsidR="005A1878" w:rsidRPr="00F93E95">
        <w:t xml:space="preserve"> : Lockyer Campbell </w:t>
      </w:r>
      <w:proofErr w:type="spellStart"/>
      <w:r w:rsidR="005A1878" w:rsidRPr="00F93E95">
        <w:t>Posner</w:t>
      </w:r>
      <w:proofErr w:type="spellEnd"/>
      <w:r w:rsidR="005A1878" w:rsidRPr="00F93E95">
        <w:t>, Toronto.</w:t>
      </w:r>
    </w:p>
    <w:p w:rsidR="005A1878" w:rsidRPr="00F93E95" w:rsidRDefault="005A1878" w:rsidP="005A1878">
      <w:pPr>
        <w:pStyle w:val="SCCLawFirm"/>
      </w:pPr>
    </w:p>
    <w:p w:rsidR="005A1878" w:rsidRPr="00F93E95" w:rsidRDefault="005A1878" w:rsidP="005A1878">
      <w:pPr>
        <w:pStyle w:val="SCCLawFirm"/>
      </w:pPr>
      <w:r w:rsidRPr="00F93E95">
        <w:tab/>
        <w:t xml:space="preserve">Procureur de </w:t>
      </w:r>
      <w:r w:rsidR="00F8456F" w:rsidRPr="00F93E95">
        <w:rPr>
          <w:rStyle w:val="SCCCounselPartyRoleChar"/>
        </w:rPr>
        <w:t>l’</w:t>
      </w:r>
      <w:r w:rsidR="00F8456F" w:rsidRPr="00F93E95">
        <w:t>intimée :</w:t>
      </w:r>
      <w:r w:rsidRPr="00F93E95">
        <w:t> Procureur général de l’Ontario, Toronto.</w:t>
      </w:r>
    </w:p>
    <w:p w:rsidR="0033393C" w:rsidRPr="00F93E95" w:rsidRDefault="0033393C" w:rsidP="00D74F2E">
      <w:pPr>
        <w:pStyle w:val="SCCNormalDoubleSpacing"/>
      </w:pPr>
    </w:p>
    <w:sectPr w:rsidR="0033393C" w:rsidRPr="00F93E95" w:rsidSect="00C30266">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10" w:rsidRDefault="00253210">
      <w:r>
        <w:separator/>
      </w:r>
    </w:p>
  </w:endnote>
  <w:endnote w:type="continuationSeparator" w:id="0">
    <w:p w:rsidR="00253210" w:rsidRDefault="00253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10" w:rsidRDefault="00253210">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10" w:rsidRDefault="00253210">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10" w:rsidRDefault="00253210">
      <w:r>
        <w:separator/>
      </w:r>
    </w:p>
  </w:footnote>
  <w:footnote w:type="continuationSeparator" w:id="0">
    <w:p w:rsidR="00253210" w:rsidRDefault="00253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10" w:rsidRDefault="00253210">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210" w:rsidRDefault="00253210">
    <w:pPr>
      <w:pStyle w:val="Header"/>
      <w:jc w:val="center"/>
    </w:pPr>
    <w:r>
      <w:t xml:space="preserve">- </w:t>
    </w:r>
    <w:sdt>
      <w:sdtPr>
        <w:id w:val="4489881"/>
        <w:docPartObj>
          <w:docPartGallery w:val="Page Numbers (Top of Page)"/>
          <w:docPartUnique/>
        </w:docPartObj>
      </w:sdtPr>
      <w:sdtContent>
        <w:fldSimple w:instr=" PAGE   \* MERGEFORMAT ">
          <w:r w:rsidR="00B44FD7">
            <w:rPr>
              <w:noProof/>
            </w:rPr>
            <w:t>8</w:t>
          </w:r>
        </w:fldSimple>
        <w:r>
          <w:t xml:space="preserve"> -</w:t>
        </w:r>
      </w:sdtContent>
    </w:sdt>
  </w:p>
  <w:p w:rsidR="00253210" w:rsidRDefault="002532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rsids>
    <w:rsidRoot w:val="0031414C"/>
    <w:rsid w:val="0001221F"/>
    <w:rsid w:val="00022D22"/>
    <w:rsid w:val="00025198"/>
    <w:rsid w:val="00055518"/>
    <w:rsid w:val="00055A36"/>
    <w:rsid w:val="000578A3"/>
    <w:rsid w:val="00064563"/>
    <w:rsid w:val="000648CC"/>
    <w:rsid w:val="00081238"/>
    <w:rsid w:val="00092F38"/>
    <w:rsid w:val="00094DE0"/>
    <w:rsid w:val="000A5321"/>
    <w:rsid w:val="000A7B84"/>
    <w:rsid w:val="000C59B8"/>
    <w:rsid w:val="0010517C"/>
    <w:rsid w:val="00111DE2"/>
    <w:rsid w:val="00116B38"/>
    <w:rsid w:val="00117584"/>
    <w:rsid w:val="0013109F"/>
    <w:rsid w:val="00135406"/>
    <w:rsid w:val="00135972"/>
    <w:rsid w:val="001362E1"/>
    <w:rsid w:val="00140667"/>
    <w:rsid w:val="001426A9"/>
    <w:rsid w:val="00146C9B"/>
    <w:rsid w:val="00154D7C"/>
    <w:rsid w:val="00154E54"/>
    <w:rsid w:val="001570B0"/>
    <w:rsid w:val="001702CF"/>
    <w:rsid w:val="00172A04"/>
    <w:rsid w:val="00175A97"/>
    <w:rsid w:val="00184624"/>
    <w:rsid w:val="00185394"/>
    <w:rsid w:val="001A451D"/>
    <w:rsid w:val="001A6921"/>
    <w:rsid w:val="001B33E0"/>
    <w:rsid w:val="001B4573"/>
    <w:rsid w:val="001C27AD"/>
    <w:rsid w:val="001C779F"/>
    <w:rsid w:val="001D2AC1"/>
    <w:rsid w:val="001F7673"/>
    <w:rsid w:val="00220FC2"/>
    <w:rsid w:val="00224FC0"/>
    <w:rsid w:val="00225EA4"/>
    <w:rsid w:val="00226EAF"/>
    <w:rsid w:val="00231F3A"/>
    <w:rsid w:val="00232FC1"/>
    <w:rsid w:val="002406EE"/>
    <w:rsid w:val="00253210"/>
    <w:rsid w:val="002536E9"/>
    <w:rsid w:val="00263892"/>
    <w:rsid w:val="00271E1D"/>
    <w:rsid w:val="002745CC"/>
    <w:rsid w:val="002C7E14"/>
    <w:rsid w:val="002D39A4"/>
    <w:rsid w:val="002E4C86"/>
    <w:rsid w:val="002E6705"/>
    <w:rsid w:val="002F696C"/>
    <w:rsid w:val="0030329A"/>
    <w:rsid w:val="00307AFD"/>
    <w:rsid w:val="0031086F"/>
    <w:rsid w:val="00310E05"/>
    <w:rsid w:val="0031414C"/>
    <w:rsid w:val="00314E01"/>
    <w:rsid w:val="0032089D"/>
    <w:rsid w:val="00324552"/>
    <w:rsid w:val="003273A1"/>
    <w:rsid w:val="0033393C"/>
    <w:rsid w:val="00344AAB"/>
    <w:rsid w:val="00345548"/>
    <w:rsid w:val="0034770C"/>
    <w:rsid w:val="0035259D"/>
    <w:rsid w:val="003738A9"/>
    <w:rsid w:val="003866EC"/>
    <w:rsid w:val="00393A14"/>
    <w:rsid w:val="00394476"/>
    <w:rsid w:val="003A4C70"/>
    <w:rsid w:val="003A4E15"/>
    <w:rsid w:val="003C799C"/>
    <w:rsid w:val="003E1C71"/>
    <w:rsid w:val="003F327B"/>
    <w:rsid w:val="004059A7"/>
    <w:rsid w:val="00406166"/>
    <w:rsid w:val="00411300"/>
    <w:rsid w:val="00426659"/>
    <w:rsid w:val="0043088E"/>
    <w:rsid w:val="00430EDD"/>
    <w:rsid w:val="00432874"/>
    <w:rsid w:val="00443670"/>
    <w:rsid w:val="004439D8"/>
    <w:rsid w:val="00465132"/>
    <w:rsid w:val="004725CF"/>
    <w:rsid w:val="00480C90"/>
    <w:rsid w:val="0048396F"/>
    <w:rsid w:val="00490942"/>
    <w:rsid w:val="00493C18"/>
    <w:rsid w:val="00494CDC"/>
    <w:rsid w:val="004A600C"/>
    <w:rsid w:val="004C478D"/>
    <w:rsid w:val="004D348D"/>
    <w:rsid w:val="004E6A2C"/>
    <w:rsid w:val="004F54F4"/>
    <w:rsid w:val="005209EA"/>
    <w:rsid w:val="00521AE8"/>
    <w:rsid w:val="00527180"/>
    <w:rsid w:val="00536719"/>
    <w:rsid w:val="005564A7"/>
    <w:rsid w:val="005842B1"/>
    <w:rsid w:val="005A1878"/>
    <w:rsid w:val="005A623F"/>
    <w:rsid w:val="005B6095"/>
    <w:rsid w:val="005E4698"/>
    <w:rsid w:val="005F4071"/>
    <w:rsid w:val="00614FAC"/>
    <w:rsid w:val="00625C35"/>
    <w:rsid w:val="00634E1B"/>
    <w:rsid w:val="00645057"/>
    <w:rsid w:val="00654858"/>
    <w:rsid w:val="006565F4"/>
    <w:rsid w:val="00681AD1"/>
    <w:rsid w:val="006A51F0"/>
    <w:rsid w:val="006A56F1"/>
    <w:rsid w:val="006B5FF5"/>
    <w:rsid w:val="006C5661"/>
    <w:rsid w:val="006D4790"/>
    <w:rsid w:val="006F3DC8"/>
    <w:rsid w:val="00701759"/>
    <w:rsid w:val="00702C6F"/>
    <w:rsid w:val="007250A8"/>
    <w:rsid w:val="00736422"/>
    <w:rsid w:val="007457D8"/>
    <w:rsid w:val="00746ABA"/>
    <w:rsid w:val="00747288"/>
    <w:rsid w:val="00747DD3"/>
    <w:rsid w:val="00752F4E"/>
    <w:rsid w:val="007549C8"/>
    <w:rsid w:val="00762D30"/>
    <w:rsid w:val="00763377"/>
    <w:rsid w:val="00766D14"/>
    <w:rsid w:val="00767A0F"/>
    <w:rsid w:val="00771CAB"/>
    <w:rsid w:val="007834A8"/>
    <w:rsid w:val="00792C81"/>
    <w:rsid w:val="007939F2"/>
    <w:rsid w:val="007A05F6"/>
    <w:rsid w:val="007A7D6A"/>
    <w:rsid w:val="007B6F4A"/>
    <w:rsid w:val="007E1C47"/>
    <w:rsid w:val="007E337A"/>
    <w:rsid w:val="007E5C70"/>
    <w:rsid w:val="007F2FF5"/>
    <w:rsid w:val="00817190"/>
    <w:rsid w:val="0082117C"/>
    <w:rsid w:val="00825C90"/>
    <w:rsid w:val="008322BD"/>
    <w:rsid w:val="00844CF0"/>
    <w:rsid w:val="00855307"/>
    <w:rsid w:val="008562CC"/>
    <w:rsid w:val="00862CF3"/>
    <w:rsid w:val="00864CF8"/>
    <w:rsid w:val="00874914"/>
    <w:rsid w:val="008777D8"/>
    <w:rsid w:val="00892E1A"/>
    <w:rsid w:val="008958F5"/>
    <w:rsid w:val="00896461"/>
    <w:rsid w:val="008A6558"/>
    <w:rsid w:val="008A727C"/>
    <w:rsid w:val="008C01DA"/>
    <w:rsid w:val="008D29D9"/>
    <w:rsid w:val="008F16D9"/>
    <w:rsid w:val="008F2885"/>
    <w:rsid w:val="008F78E9"/>
    <w:rsid w:val="00902462"/>
    <w:rsid w:val="00910CF8"/>
    <w:rsid w:val="00930197"/>
    <w:rsid w:val="009403F3"/>
    <w:rsid w:val="00957FA2"/>
    <w:rsid w:val="00966913"/>
    <w:rsid w:val="00967374"/>
    <w:rsid w:val="0097543E"/>
    <w:rsid w:val="00975585"/>
    <w:rsid w:val="00983F3F"/>
    <w:rsid w:val="009856FE"/>
    <w:rsid w:val="00985C69"/>
    <w:rsid w:val="0099079B"/>
    <w:rsid w:val="009B2F23"/>
    <w:rsid w:val="009B53E2"/>
    <w:rsid w:val="009B57B3"/>
    <w:rsid w:val="009D5AEB"/>
    <w:rsid w:val="009E0ED4"/>
    <w:rsid w:val="009F1419"/>
    <w:rsid w:val="009F2D11"/>
    <w:rsid w:val="009F383F"/>
    <w:rsid w:val="00A05F0E"/>
    <w:rsid w:val="00A21107"/>
    <w:rsid w:val="00A21B90"/>
    <w:rsid w:val="00A222A3"/>
    <w:rsid w:val="00A24E15"/>
    <w:rsid w:val="00A34E79"/>
    <w:rsid w:val="00A431DC"/>
    <w:rsid w:val="00A548CB"/>
    <w:rsid w:val="00A6242E"/>
    <w:rsid w:val="00A643E7"/>
    <w:rsid w:val="00A72845"/>
    <w:rsid w:val="00A73C38"/>
    <w:rsid w:val="00A96366"/>
    <w:rsid w:val="00AC7437"/>
    <w:rsid w:val="00AC7A44"/>
    <w:rsid w:val="00AF03C5"/>
    <w:rsid w:val="00AF1C7E"/>
    <w:rsid w:val="00B000D8"/>
    <w:rsid w:val="00B00F75"/>
    <w:rsid w:val="00B145B6"/>
    <w:rsid w:val="00B44FD7"/>
    <w:rsid w:val="00B464AC"/>
    <w:rsid w:val="00B50C81"/>
    <w:rsid w:val="00B557F8"/>
    <w:rsid w:val="00B60370"/>
    <w:rsid w:val="00B64972"/>
    <w:rsid w:val="00B66DD8"/>
    <w:rsid w:val="00B8145D"/>
    <w:rsid w:val="00B815FC"/>
    <w:rsid w:val="00B931F2"/>
    <w:rsid w:val="00B93FBC"/>
    <w:rsid w:val="00BA575C"/>
    <w:rsid w:val="00BA7052"/>
    <w:rsid w:val="00BC5B69"/>
    <w:rsid w:val="00C02092"/>
    <w:rsid w:val="00C057F7"/>
    <w:rsid w:val="00C060EE"/>
    <w:rsid w:val="00C068DF"/>
    <w:rsid w:val="00C24C8C"/>
    <w:rsid w:val="00C24D91"/>
    <w:rsid w:val="00C30266"/>
    <w:rsid w:val="00C52532"/>
    <w:rsid w:val="00C53F14"/>
    <w:rsid w:val="00C55C2E"/>
    <w:rsid w:val="00C600CF"/>
    <w:rsid w:val="00C6084F"/>
    <w:rsid w:val="00C62A66"/>
    <w:rsid w:val="00C62A6F"/>
    <w:rsid w:val="00C668E7"/>
    <w:rsid w:val="00C67CA5"/>
    <w:rsid w:val="00C71458"/>
    <w:rsid w:val="00C71F58"/>
    <w:rsid w:val="00C77613"/>
    <w:rsid w:val="00C828E7"/>
    <w:rsid w:val="00C921DD"/>
    <w:rsid w:val="00CA4D82"/>
    <w:rsid w:val="00CA6391"/>
    <w:rsid w:val="00CA774F"/>
    <w:rsid w:val="00CE3171"/>
    <w:rsid w:val="00CF1601"/>
    <w:rsid w:val="00D20DD5"/>
    <w:rsid w:val="00D30835"/>
    <w:rsid w:val="00D32086"/>
    <w:rsid w:val="00D37A3F"/>
    <w:rsid w:val="00D45FCF"/>
    <w:rsid w:val="00D4667A"/>
    <w:rsid w:val="00D510BB"/>
    <w:rsid w:val="00D5435D"/>
    <w:rsid w:val="00D74F2E"/>
    <w:rsid w:val="00D86E38"/>
    <w:rsid w:val="00D93905"/>
    <w:rsid w:val="00DA0590"/>
    <w:rsid w:val="00DB6B11"/>
    <w:rsid w:val="00DC1788"/>
    <w:rsid w:val="00DF0CA8"/>
    <w:rsid w:val="00DF49A7"/>
    <w:rsid w:val="00E01047"/>
    <w:rsid w:val="00E01106"/>
    <w:rsid w:val="00E04CC7"/>
    <w:rsid w:val="00E07EE2"/>
    <w:rsid w:val="00E24573"/>
    <w:rsid w:val="00E275F9"/>
    <w:rsid w:val="00E377A1"/>
    <w:rsid w:val="00E45109"/>
    <w:rsid w:val="00E54B02"/>
    <w:rsid w:val="00E62E86"/>
    <w:rsid w:val="00E81D80"/>
    <w:rsid w:val="00E8545B"/>
    <w:rsid w:val="00E97830"/>
    <w:rsid w:val="00EA03E5"/>
    <w:rsid w:val="00EA6EEB"/>
    <w:rsid w:val="00EB0559"/>
    <w:rsid w:val="00EB3E7E"/>
    <w:rsid w:val="00ED2040"/>
    <w:rsid w:val="00EE0FAF"/>
    <w:rsid w:val="00EE1DE7"/>
    <w:rsid w:val="00EF0A33"/>
    <w:rsid w:val="00F00EB7"/>
    <w:rsid w:val="00F2258E"/>
    <w:rsid w:val="00F33658"/>
    <w:rsid w:val="00F36AB6"/>
    <w:rsid w:val="00F3787F"/>
    <w:rsid w:val="00F409CE"/>
    <w:rsid w:val="00F7082B"/>
    <w:rsid w:val="00F8456F"/>
    <w:rsid w:val="00F84DF4"/>
    <w:rsid w:val="00F853FB"/>
    <w:rsid w:val="00F85C97"/>
    <w:rsid w:val="00F93E95"/>
    <w:rsid w:val="00FA2FE1"/>
    <w:rsid w:val="00FC1D41"/>
    <w:rsid w:val="00FC606D"/>
    <w:rsid w:val="00FD068D"/>
    <w:rsid w:val="00FD4F28"/>
    <w:rsid w:val="00FE6784"/>
    <w:rsid w:val="00FE7D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B60370"/>
    <w:pPr>
      <w:widowControl w:val="0"/>
      <w:autoSpaceDE w:val="0"/>
      <w:autoSpaceDN w:val="0"/>
      <w:adjustRightInd w:val="0"/>
      <w:ind w:left="720"/>
      <w:contextualSpacing/>
    </w:pPr>
    <w:rPr>
      <w:rFonts w:ascii="Times New" w:eastAsiaTheme="minorEastAsia" w:hAnsi="Times New" w:cstheme="minorBidi"/>
      <w:sz w:val="20"/>
      <w:lang w:val="en-US" w:eastAsia="en-US"/>
    </w:rPr>
  </w:style>
  <w:style w:type="table" w:styleId="TableGrid">
    <w:name w:val="Table Grid"/>
    <w:basedOn w:val="TableNormal"/>
    <w:uiPriority w:val="59"/>
    <w:rsid w:val="00393A1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393A14"/>
    <w:rPr>
      <w:rFonts w:eastAsiaTheme="minorHAnsi" w:cstheme="minorBidi"/>
      <w:b/>
      <w:smallCaps/>
      <w:szCs w:val="24"/>
      <w:lang w:eastAsia="en-US"/>
    </w:rPr>
  </w:style>
  <w:style w:type="character" w:customStyle="1" w:styleId="SCCLsocPrefixChar">
    <w:name w:val="SCC.Lsoc.Prefix Char"/>
    <w:basedOn w:val="DefaultParagraphFont"/>
    <w:link w:val="SCCLsocPrefix"/>
    <w:rsid w:val="00393A14"/>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7FBD-4B7A-4058-AC69-744EF0E7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1522</Words>
  <Characters>7806</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2011-03-28T18:51:00Z</dcterms:created>
  <dcterms:modified xsi:type="dcterms:W3CDTF">2011-03-28T18:51:00Z</dcterms:modified>
</cp:coreProperties>
</file>