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9C" w:rsidRPr="00124E15" w:rsidRDefault="00DB4C9C" w:rsidP="00DB4C9C">
      <w:pPr>
        <w:tabs>
          <w:tab w:val="center" w:pos="4680"/>
          <w:tab w:val="right" w:pos="9360"/>
        </w:tabs>
        <w:rPr>
          <w:rFonts w:eastAsiaTheme="minorHAnsi" w:cstheme="minorBidi"/>
          <w:szCs w:val="24"/>
          <w:lang w:eastAsia="en-US"/>
        </w:rPr>
      </w:pPr>
      <w:r w:rsidRPr="00124E15">
        <w:rPr>
          <w:rFonts w:eastAsiaTheme="minorHAnsi" w:cstheme="minorBidi"/>
          <w:szCs w:val="24"/>
          <w:lang w:eastAsia="en-US"/>
        </w:rPr>
        <w:ptab w:relativeTo="margin" w:alignment="center" w:leader="none"/>
      </w:r>
      <w:r w:rsidRPr="00124E15">
        <w:rPr>
          <w:rFonts w:eastAsiaTheme="minorHAnsi" w:cstheme="minorBidi"/>
          <w:szCs w:val="24"/>
          <w:lang w:eastAsia="en-US"/>
        </w:rPr>
        <w:t xml:space="preserve"> </w:t>
      </w:r>
      <w:r w:rsidRPr="00124E15">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68958963" r:id="rId9"/>
        </w:object>
      </w:r>
      <w:r w:rsidRPr="00124E15">
        <w:rPr>
          <w:rFonts w:eastAsiaTheme="minorHAnsi" w:cstheme="minorBidi"/>
          <w:szCs w:val="24"/>
          <w:lang w:eastAsia="en-US"/>
        </w:rPr>
        <w:t xml:space="preserve"> </w:t>
      </w:r>
      <w:r w:rsidRPr="00124E15">
        <w:rPr>
          <w:rFonts w:eastAsiaTheme="minorHAnsi" w:cstheme="minorBidi"/>
          <w:szCs w:val="24"/>
          <w:lang w:eastAsia="en-US"/>
        </w:rPr>
        <w:ptab w:relativeTo="margin" w:alignment="right" w:leader="none"/>
      </w:r>
    </w:p>
    <w:p w:rsidR="00DB4C9C" w:rsidRPr="00124E15" w:rsidRDefault="00DB4C9C" w:rsidP="00DB4C9C">
      <w:pPr>
        <w:tabs>
          <w:tab w:val="center" w:pos="4680"/>
          <w:tab w:val="right" w:pos="9360"/>
        </w:tabs>
        <w:rPr>
          <w:rFonts w:eastAsiaTheme="minorHAnsi" w:cstheme="minorBidi"/>
          <w:szCs w:val="24"/>
          <w:lang w:eastAsia="en-US"/>
        </w:rPr>
      </w:pPr>
    </w:p>
    <w:p w:rsidR="00DB4C9C" w:rsidRPr="00124E15" w:rsidRDefault="00DB4C9C" w:rsidP="00DB4C9C">
      <w:pPr>
        <w:jc w:val="center"/>
        <w:rPr>
          <w:rFonts w:eastAsiaTheme="minorHAnsi" w:cstheme="minorBidi"/>
          <w:b/>
          <w:szCs w:val="24"/>
          <w:lang w:eastAsia="en-US"/>
        </w:rPr>
      </w:pPr>
      <w:r w:rsidRPr="00124E15">
        <w:rPr>
          <w:rFonts w:eastAsiaTheme="minorHAnsi" w:cstheme="minorBidi"/>
          <w:b/>
          <w:szCs w:val="24"/>
          <w:lang w:eastAsia="en-US"/>
        </w:rPr>
        <w:t>COUR SUPRÊME DU CANADA</w:t>
      </w:r>
    </w:p>
    <w:p w:rsidR="00DB4C9C" w:rsidRPr="00124E15" w:rsidRDefault="00DB4C9C" w:rsidP="00DB4C9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B4C9C" w:rsidRPr="00124E15" w:rsidTr="00BA475A">
        <w:trPr>
          <w:cantSplit/>
        </w:trPr>
        <w:tc>
          <w:tcPr>
            <w:tcW w:w="6768" w:type="dxa"/>
          </w:tcPr>
          <w:p w:rsidR="00DB4C9C" w:rsidRPr="00DB4C9C" w:rsidRDefault="00DB4C9C" w:rsidP="00BA475A">
            <w:pPr>
              <w:rPr>
                <w:lang w:val="fr-CA"/>
              </w:rPr>
            </w:pPr>
            <w:r w:rsidRPr="00DB4C9C">
              <w:rPr>
                <w:b/>
                <w:smallCaps/>
                <w:lang w:val="fr-CA"/>
              </w:rPr>
              <w:t>Référence :</w:t>
            </w:r>
            <w:r w:rsidRPr="00DB4C9C">
              <w:rPr>
                <w:lang w:val="fr-CA"/>
              </w:rPr>
              <w:t xml:space="preserve"> Canada (Procureur général) </w:t>
            </w:r>
            <w:r w:rsidRPr="00DB4C9C">
              <w:rPr>
                <w:i/>
                <w:lang w:val="fr-CA"/>
              </w:rPr>
              <w:t>c.</w:t>
            </w:r>
            <w:r w:rsidRPr="00DB4C9C">
              <w:rPr>
                <w:lang w:val="fr-CA"/>
              </w:rPr>
              <w:t xml:space="preserve"> </w:t>
            </w:r>
            <w:proofErr w:type="spellStart"/>
            <w:r w:rsidRPr="00DB4C9C">
              <w:rPr>
                <w:lang w:val="fr-CA"/>
              </w:rPr>
              <w:t>TeleZone</w:t>
            </w:r>
            <w:proofErr w:type="spellEnd"/>
            <w:r w:rsidRPr="00DB4C9C">
              <w:rPr>
                <w:lang w:val="fr-CA"/>
              </w:rPr>
              <w:t xml:space="preserve"> Inc.,</w:t>
            </w:r>
          </w:p>
          <w:p w:rsidR="00DB4C9C" w:rsidRPr="00124E15" w:rsidRDefault="00965273" w:rsidP="00BA475A">
            <w:pPr>
              <w:rPr>
                <w:b/>
              </w:rPr>
            </w:pPr>
            <w:r w:rsidRPr="00BD1790">
              <w:rPr>
                <w:rStyle w:val="SCCRespondentForIndexChar"/>
                <w:b w:val="0"/>
                <w:lang w:val="fr-CA"/>
              </w:rPr>
              <w:t xml:space="preserve">2010 </w:t>
            </w:r>
            <w:r>
              <w:rPr>
                <w:rStyle w:val="SCCRespondentForIndexChar"/>
                <w:b w:val="0"/>
                <w:lang w:val="fr-CA"/>
              </w:rPr>
              <w:t>C</w:t>
            </w:r>
            <w:r w:rsidRPr="00BD1790">
              <w:rPr>
                <w:rStyle w:val="SCCRespondentForIndexChar"/>
                <w:b w:val="0"/>
                <w:lang w:val="fr-CA"/>
              </w:rPr>
              <w:t>SC 6</w:t>
            </w:r>
            <w:r>
              <w:rPr>
                <w:rStyle w:val="SCCRespondentForIndexChar"/>
                <w:b w:val="0"/>
                <w:lang w:val="fr-CA"/>
              </w:rPr>
              <w:t>2</w:t>
            </w:r>
            <w:r w:rsidRPr="00BD1790">
              <w:rPr>
                <w:rStyle w:val="SCCRespondentForIndexChar"/>
                <w:b w:val="0"/>
                <w:lang w:val="fr-CA"/>
              </w:rPr>
              <w:t xml:space="preserve">, [2010] 3 </w:t>
            </w:r>
            <w:r>
              <w:rPr>
                <w:rStyle w:val="SCCRespondentForIndexChar"/>
                <w:b w:val="0"/>
                <w:lang w:val="fr-CA"/>
              </w:rPr>
              <w:t>R.C.</w:t>
            </w:r>
            <w:r w:rsidRPr="00BD1790">
              <w:rPr>
                <w:rStyle w:val="SCCRespondentForIndexChar"/>
                <w:b w:val="0"/>
                <w:lang w:val="fr-CA"/>
              </w:rPr>
              <w:t xml:space="preserve">S. </w:t>
            </w:r>
            <w:r>
              <w:rPr>
                <w:rStyle w:val="SCCRespondentForIndexChar"/>
                <w:b w:val="0"/>
                <w:lang w:val="fr-CA"/>
              </w:rPr>
              <w:t>585</w:t>
            </w:r>
          </w:p>
        </w:tc>
        <w:tc>
          <w:tcPr>
            <w:tcW w:w="2808" w:type="dxa"/>
          </w:tcPr>
          <w:p w:rsidR="00DB4C9C" w:rsidRPr="00124E15" w:rsidRDefault="00DB4C9C" w:rsidP="00BA475A">
            <w:r w:rsidRPr="00124E15">
              <w:rPr>
                <w:b/>
                <w:smallCaps/>
              </w:rPr>
              <w:t>Date :</w:t>
            </w:r>
            <w:r w:rsidRPr="00124E15">
              <w:t xml:space="preserve"> 20101223</w:t>
            </w:r>
          </w:p>
          <w:p w:rsidR="00DB4C9C" w:rsidRPr="00124E15" w:rsidRDefault="00DB4C9C" w:rsidP="00BA475A">
            <w:r w:rsidRPr="00124E15">
              <w:rPr>
                <w:b/>
                <w:smallCaps/>
              </w:rPr>
              <w:t>Dossier :</w:t>
            </w:r>
            <w:r w:rsidRPr="00124E15">
              <w:t xml:space="preserve"> 33041</w:t>
            </w:r>
          </w:p>
        </w:tc>
      </w:tr>
    </w:tbl>
    <w:p w:rsidR="00DB4C9C" w:rsidRPr="00124E15" w:rsidRDefault="00DB4C9C" w:rsidP="00DB4C9C">
      <w:pPr>
        <w:rPr>
          <w:rFonts w:eastAsiaTheme="minorHAnsi" w:cstheme="minorBidi"/>
          <w:szCs w:val="24"/>
          <w:lang w:eastAsia="en-US"/>
        </w:rPr>
      </w:pPr>
    </w:p>
    <w:p w:rsidR="00DB4C9C" w:rsidRPr="00124E15" w:rsidRDefault="00DB4C9C" w:rsidP="00DB4C9C">
      <w:pPr>
        <w:rPr>
          <w:rFonts w:eastAsiaTheme="minorHAnsi" w:cstheme="minorBidi"/>
          <w:b/>
          <w:smallCaps/>
          <w:szCs w:val="24"/>
          <w:lang w:eastAsia="en-US"/>
        </w:rPr>
      </w:pPr>
      <w:proofErr w:type="gramStart"/>
      <w:r w:rsidRPr="00124E15">
        <w:rPr>
          <w:rFonts w:eastAsiaTheme="minorHAnsi" w:cstheme="minorBidi"/>
          <w:b/>
          <w:smallCaps/>
          <w:szCs w:val="24"/>
          <w:lang w:eastAsia="en-US"/>
        </w:rPr>
        <w:t>Entre :</w:t>
      </w:r>
      <w:proofErr w:type="gramEnd"/>
    </w:p>
    <w:p w:rsidR="00DB4C9C" w:rsidRPr="00124E15" w:rsidRDefault="00DB4C9C" w:rsidP="00DB4C9C">
      <w:pPr>
        <w:jc w:val="center"/>
        <w:rPr>
          <w:rFonts w:eastAsiaTheme="minorHAnsi" w:cstheme="minorBidi"/>
          <w:b/>
          <w:szCs w:val="24"/>
          <w:lang w:eastAsia="en-US"/>
        </w:rPr>
      </w:pPr>
      <w:proofErr w:type="spellStart"/>
      <w:r w:rsidRPr="00124E15">
        <w:rPr>
          <w:rFonts w:eastAsiaTheme="minorHAnsi" w:cstheme="minorBidi"/>
          <w:b/>
          <w:szCs w:val="24"/>
          <w:lang w:eastAsia="en-US"/>
        </w:rPr>
        <w:t>Procureur</w:t>
      </w:r>
      <w:proofErr w:type="spellEnd"/>
      <w:r w:rsidRPr="00124E15">
        <w:rPr>
          <w:rFonts w:eastAsiaTheme="minorHAnsi" w:cstheme="minorBidi"/>
          <w:b/>
          <w:szCs w:val="24"/>
          <w:lang w:eastAsia="en-US"/>
        </w:rPr>
        <w:t xml:space="preserve"> </w:t>
      </w:r>
      <w:proofErr w:type="spellStart"/>
      <w:r w:rsidRPr="00124E15">
        <w:rPr>
          <w:rFonts w:eastAsiaTheme="minorHAnsi" w:cstheme="minorBidi"/>
          <w:b/>
          <w:szCs w:val="24"/>
          <w:lang w:eastAsia="en-US"/>
        </w:rPr>
        <w:t>général</w:t>
      </w:r>
      <w:proofErr w:type="spellEnd"/>
      <w:r w:rsidRPr="00124E15">
        <w:rPr>
          <w:rFonts w:eastAsiaTheme="minorHAnsi" w:cstheme="minorBidi"/>
          <w:b/>
          <w:szCs w:val="24"/>
          <w:lang w:eastAsia="en-US"/>
        </w:rPr>
        <w:t xml:space="preserve"> du Canada</w:t>
      </w:r>
    </w:p>
    <w:p w:rsidR="00DB4C9C" w:rsidRPr="00124E15" w:rsidRDefault="00DB4C9C" w:rsidP="00DB4C9C">
      <w:pPr>
        <w:jc w:val="center"/>
        <w:rPr>
          <w:rFonts w:eastAsiaTheme="minorHAnsi" w:cstheme="minorBidi"/>
          <w:szCs w:val="24"/>
          <w:lang w:eastAsia="en-US"/>
        </w:rPr>
      </w:pPr>
      <w:proofErr w:type="spellStart"/>
      <w:r w:rsidRPr="00124E15">
        <w:rPr>
          <w:rFonts w:eastAsiaTheme="minorHAnsi" w:cstheme="minorBidi"/>
          <w:szCs w:val="24"/>
          <w:lang w:eastAsia="en-US"/>
        </w:rPr>
        <w:t>Appelant</w:t>
      </w:r>
      <w:proofErr w:type="spellEnd"/>
    </w:p>
    <w:p w:rsidR="00DB4C9C" w:rsidRPr="00124E15" w:rsidRDefault="00DB4C9C" w:rsidP="00DB4C9C">
      <w:pPr>
        <w:jc w:val="center"/>
        <w:rPr>
          <w:rFonts w:eastAsiaTheme="minorHAnsi" w:cstheme="minorBidi"/>
          <w:szCs w:val="24"/>
          <w:lang w:eastAsia="en-US"/>
        </w:rPr>
      </w:pPr>
      <w:proofErr w:type="gramStart"/>
      <w:r w:rsidRPr="00124E15">
        <w:rPr>
          <w:rFonts w:eastAsiaTheme="minorHAnsi" w:cstheme="minorBidi"/>
          <w:szCs w:val="24"/>
          <w:lang w:eastAsia="en-US"/>
        </w:rPr>
        <w:t>et</w:t>
      </w:r>
      <w:proofErr w:type="gramEnd"/>
    </w:p>
    <w:p w:rsidR="00DB4C9C" w:rsidRPr="00124E15" w:rsidRDefault="00DB4C9C" w:rsidP="00DB4C9C">
      <w:pPr>
        <w:jc w:val="center"/>
        <w:rPr>
          <w:rFonts w:eastAsiaTheme="minorHAnsi" w:cstheme="minorBidi"/>
          <w:b/>
          <w:szCs w:val="24"/>
          <w:lang w:eastAsia="en-US"/>
        </w:rPr>
      </w:pPr>
      <w:proofErr w:type="spellStart"/>
      <w:r w:rsidRPr="00124E15">
        <w:rPr>
          <w:rFonts w:eastAsiaTheme="minorHAnsi" w:cstheme="minorBidi"/>
          <w:b/>
          <w:szCs w:val="24"/>
          <w:lang w:eastAsia="en-US"/>
        </w:rPr>
        <w:t>TeleZone</w:t>
      </w:r>
      <w:proofErr w:type="spellEnd"/>
      <w:r w:rsidRPr="00124E15">
        <w:rPr>
          <w:rFonts w:eastAsiaTheme="minorHAnsi" w:cstheme="minorBidi"/>
          <w:b/>
          <w:szCs w:val="24"/>
          <w:lang w:eastAsia="en-US"/>
        </w:rPr>
        <w:t xml:space="preserve"> Inc.</w:t>
      </w:r>
    </w:p>
    <w:p w:rsidR="00DB4C9C" w:rsidRPr="00124E15" w:rsidRDefault="00DB4C9C" w:rsidP="00DB4C9C">
      <w:pPr>
        <w:jc w:val="center"/>
        <w:rPr>
          <w:rFonts w:eastAsiaTheme="minorHAnsi" w:cstheme="minorBidi"/>
          <w:szCs w:val="24"/>
          <w:lang w:eastAsia="en-US"/>
        </w:rPr>
      </w:pPr>
      <w:proofErr w:type="spellStart"/>
      <w:r w:rsidRPr="00124E15">
        <w:rPr>
          <w:rFonts w:eastAsiaTheme="minorHAnsi" w:cstheme="minorBidi"/>
          <w:szCs w:val="24"/>
          <w:lang w:eastAsia="en-US"/>
        </w:rPr>
        <w:t>Intimée</w:t>
      </w:r>
      <w:proofErr w:type="spellEnd"/>
    </w:p>
    <w:p w:rsidR="00DB4C9C" w:rsidRPr="00124E15" w:rsidRDefault="00DB4C9C" w:rsidP="00DB4C9C">
      <w:pPr>
        <w:jc w:val="center"/>
        <w:rPr>
          <w:rFonts w:eastAsiaTheme="minorHAnsi" w:cstheme="minorBidi"/>
          <w:szCs w:val="24"/>
          <w:lang w:eastAsia="en-US"/>
        </w:rPr>
      </w:pPr>
    </w:p>
    <w:p w:rsidR="00DB4C9C" w:rsidRPr="00124E15" w:rsidRDefault="00DB4C9C" w:rsidP="00DB4C9C">
      <w:pPr>
        <w:jc w:val="center"/>
        <w:rPr>
          <w:rFonts w:eastAsiaTheme="minorHAnsi" w:cstheme="minorBidi"/>
          <w:b/>
          <w:smallCaps/>
          <w:szCs w:val="24"/>
          <w:lang w:eastAsia="en-US"/>
        </w:rPr>
      </w:pPr>
      <w:proofErr w:type="spellStart"/>
      <w:r w:rsidRPr="00124E15">
        <w:rPr>
          <w:rFonts w:eastAsiaTheme="minorHAnsi" w:cstheme="minorBidi"/>
          <w:b/>
          <w:smallCaps/>
          <w:szCs w:val="24"/>
          <w:lang w:eastAsia="en-US"/>
        </w:rPr>
        <w:t>Traduction</w:t>
      </w:r>
      <w:proofErr w:type="spellEnd"/>
      <w:r w:rsidRPr="00124E15">
        <w:rPr>
          <w:rFonts w:eastAsiaTheme="minorHAnsi" w:cstheme="minorBidi"/>
          <w:b/>
          <w:smallCaps/>
          <w:szCs w:val="24"/>
          <w:lang w:eastAsia="en-US"/>
        </w:rPr>
        <w:t xml:space="preserve"> </w:t>
      </w:r>
      <w:proofErr w:type="spellStart"/>
      <w:r w:rsidRPr="00124E15">
        <w:rPr>
          <w:rFonts w:eastAsiaTheme="minorHAnsi" w:cstheme="minorBidi"/>
          <w:b/>
          <w:smallCaps/>
          <w:szCs w:val="24"/>
          <w:lang w:eastAsia="en-US"/>
        </w:rPr>
        <w:t>française</w:t>
      </w:r>
      <w:proofErr w:type="spellEnd"/>
      <w:r w:rsidRPr="00124E15">
        <w:rPr>
          <w:rFonts w:eastAsiaTheme="minorHAnsi" w:cstheme="minorBidi"/>
          <w:b/>
          <w:smallCaps/>
          <w:szCs w:val="24"/>
          <w:lang w:eastAsia="en-US"/>
        </w:rPr>
        <w:t xml:space="preserve"> </w:t>
      </w:r>
      <w:proofErr w:type="spellStart"/>
      <w:r w:rsidRPr="00124E15">
        <w:rPr>
          <w:rFonts w:eastAsiaTheme="minorHAnsi" w:cstheme="minorBidi"/>
          <w:b/>
          <w:smallCaps/>
          <w:szCs w:val="24"/>
          <w:lang w:eastAsia="en-US"/>
        </w:rPr>
        <w:t>officielle</w:t>
      </w:r>
      <w:proofErr w:type="spellEnd"/>
    </w:p>
    <w:p w:rsidR="00DB4C9C" w:rsidRPr="00124E15" w:rsidRDefault="00DB4C9C" w:rsidP="00DB4C9C">
      <w:pPr>
        <w:rPr>
          <w:rFonts w:eastAsiaTheme="minorHAnsi" w:cstheme="minorBidi"/>
          <w:szCs w:val="24"/>
          <w:lang w:eastAsia="en-US"/>
        </w:rPr>
      </w:pPr>
    </w:p>
    <w:p w:rsidR="00DB4C9C" w:rsidRPr="00DB4C9C" w:rsidRDefault="00DB4C9C" w:rsidP="00DB4C9C">
      <w:pPr>
        <w:rPr>
          <w:rFonts w:eastAsiaTheme="minorHAnsi" w:cstheme="minorBidi"/>
          <w:szCs w:val="24"/>
          <w:lang w:val="fr-CA" w:eastAsia="en-US"/>
        </w:rPr>
      </w:pPr>
      <w:r w:rsidRPr="00DB4C9C">
        <w:rPr>
          <w:rFonts w:eastAsiaTheme="minorHAnsi" w:cstheme="minorBidi"/>
          <w:b/>
          <w:smallCaps/>
          <w:szCs w:val="24"/>
          <w:lang w:val="fr-CA" w:eastAsia="en-US"/>
        </w:rPr>
        <w:t>Coram :</w:t>
      </w:r>
      <w:r w:rsidRPr="00DB4C9C">
        <w:rPr>
          <w:rFonts w:eastAsiaTheme="minorHAnsi" w:cstheme="minorBidi"/>
          <w:szCs w:val="24"/>
          <w:lang w:val="fr-CA" w:eastAsia="en-US"/>
        </w:rPr>
        <w:t xml:space="preserve"> Les juges </w:t>
      </w:r>
      <w:proofErr w:type="spellStart"/>
      <w:r w:rsidRPr="00DB4C9C">
        <w:rPr>
          <w:rFonts w:eastAsiaTheme="minorHAnsi" w:cstheme="minorBidi"/>
          <w:szCs w:val="24"/>
          <w:lang w:val="fr-CA" w:eastAsia="en-US"/>
        </w:rPr>
        <w:t>Binnie</w:t>
      </w:r>
      <w:proofErr w:type="spellEnd"/>
      <w:r w:rsidRPr="00DB4C9C">
        <w:rPr>
          <w:rFonts w:eastAsiaTheme="minorHAnsi" w:cstheme="minorBidi"/>
          <w:szCs w:val="24"/>
          <w:lang w:val="fr-CA" w:eastAsia="en-US"/>
        </w:rPr>
        <w:t xml:space="preserve">, </w:t>
      </w:r>
      <w:proofErr w:type="spellStart"/>
      <w:r w:rsidRPr="00DB4C9C">
        <w:rPr>
          <w:rFonts w:eastAsiaTheme="minorHAnsi" w:cstheme="minorBidi"/>
          <w:szCs w:val="24"/>
          <w:lang w:val="fr-CA" w:eastAsia="en-US"/>
        </w:rPr>
        <w:t>LeBel</w:t>
      </w:r>
      <w:proofErr w:type="spellEnd"/>
      <w:r w:rsidRPr="00DB4C9C">
        <w:rPr>
          <w:rFonts w:eastAsiaTheme="minorHAnsi" w:cstheme="minorBidi"/>
          <w:szCs w:val="24"/>
          <w:lang w:val="fr-CA" w:eastAsia="en-US"/>
        </w:rPr>
        <w:t xml:space="preserve">, Deschamps, Abella, Charron, </w:t>
      </w:r>
      <w:proofErr w:type="spellStart"/>
      <w:r w:rsidRPr="00DB4C9C">
        <w:rPr>
          <w:rFonts w:eastAsiaTheme="minorHAnsi" w:cstheme="minorBidi"/>
          <w:szCs w:val="24"/>
          <w:lang w:val="fr-CA" w:eastAsia="en-US"/>
        </w:rPr>
        <w:t>Rothstein</w:t>
      </w:r>
      <w:proofErr w:type="spellEnd"/>
      <w:r w:rsidRPr="00DB4C9C">
        <w:rPr>
          <w:rFonts w:eastAsiaTheme="minorHAnsi" w:cstheme="minorBidi"/>
          <w:szCs w:val="24"/>
          <w:lang w:val="fr-CA" w:eastAsia="en-US"/>
        </w:rPr>
        <w:t xml:space="preserve"> et Cromwell</w:t>
      </w:r>
    </w:p>
    <w:p w:rsidR="00DB4C9C" w:rsidRPr="00DB4C9C" w:rsidRDefault="00DB4C9C" w:rsidP="00DB4C9C">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B4C9C" w:rsidRPr="00DB4C9C" w:rsidTr="00BA475A">
        <w:trPr>
          <w:cantSplit/>
        </w:trPr>
        <w:tc>
          <w:tcPr>
            <w:tcW w:w="3618" w:type="dxa"/>
          </w:tcPr>
          <w:p w:rsidR="00DB4C9C" w:rsidRPr="00DB4C9C" w:rsidRDefault="00DB4C9C" w:rsidP="00BA475A">
            <w:pPr>
              <w:rPr>
                <w:b/>
                <w:smallCaps/>
                <w:lang w:val="fr-CA"/>
              </w:rPr>
            </w:pPr>
            <w:r w:rsidRPr="00DB4C9C">
              <w:rPr>
                <w:b/>
                <w:smallCaps/>
                <w:lang w:val="fr-CA"/>
              </w:rPr>
              <w:t>Motifs de jugement :</w:t>
            </w:r>
          </w:p>
          <w:p w:rsidR="00DB4C9C" w:rsidRPr="00DB4C9C" w:rsidRDefault="00DB4C9C" w:rsidP="00BA475A">
            <w:pPr>
              <w:rPr>
                <w:lang w:val="fr-CA"/>
              </w:rPr>
            </w:pPr>
            <w:r w:rsidRPr="00DB4C9C">
              <w:rPr>
                <w:lang w:val="fr-CA"/>
              </w:rPr>
              <w:t>(par. 1 à 81)</w:t>
            </w:r>
          </w:p>
        </w:tc>
        <w:tc>
          <w:tcPr>
            <w:tcW w:w="5958" w:type="dxa"/>
          </w:tcPr>
          <w:p w:rsidR="00DB4C9C" w:rsidRPr="00DB4C9C" w:rsidRDefault="00DB4C9C" w:rsidP="00BA475A">
            <w:pPr>
              <w:rPr>
                <w:lang w:val="fr-CA"/>
              </w:rPr>
            </w:pPr>
            <w:r w:rsidRPr="00DB4C9C">
              <w:rPr>
                <w:lang w:val="fr-CA"/>
              </w:rPr>
              <w:t xml:space="preserve">Le juge </w:t>
            </w:r>
            <w:proofErr w:type="spellStart"/>
            <w:r w:rsidRPr="00DB4C9C">
              <w:rPr>
                <w:lang w:val="fr-CA"/>
              </w:rPr>
              <w:t>Binnie</w:t>
            </w:r>
            <w:proofErr w:type="spellEnd"/>
            <w:r w:rsidRPr="00DB4C9C">
              <w:rPr>
                <w:lang w:val="fr-CA"/>
              </w:rPr>
              <w:t xml:space="preserve"> (avec l’accord des juges </w:t>
            </w:r>
            <w:proofErr w:type="spellStart"/>
            <w:r w:rsidRPr="00DB4C9C">
              <w:rPr>
                <w:lang w:val="fr-CA"/>
              </w:rPr>
              <w:t>LeBel</w:t>
            </w:r>
            <w:proofErr w:type="spellEnd"/>
            <w:r w:rsidRPr="00DB4C9C">
              <w:rPr>
                <w:lang w:val="fr-CA"/>
              </w:rPr>
              <w:t xml:space="preserve">, Deschamps, Abella, Charron, </w:t>
            </w:r>
            <w:proofErr w:type="spellStart"/>
            <w:r w:rsidRPr="00DB4C9C">
              <w:rPr>
                <w:lang w:val="fr-CA"/>
              </w:rPr>
              <w:t>Rothstein</w:t>
            </w:r>
            <w:proofErr w:type="spellEnd"/>
            <w:r w:rsidRPr="00DB4C9C">
              <w:rPr>
                <w:lang w:val="fr-CA"/>
              </w:rPr>
              <w:t xml:space="preserve"> et Cromwell)</w:t>
            </w:r>
          </w:p>
        </w:tc>
      </w:tr>
    </w:tbl>
    <w:p w:rsidR="00DB4C9C" w:rsidRPr="00DB4C9C" w:rsidRDefault="00DB4C9C" w:rsidP="00DB4C9C">
      <w:pPr>
        <w:rPr>
          <w:rFonts w:eastAsiaTheme="minorHAnsi" w:cstheme="minorBidi"/>
          <w:szCs w:val="24"/>
          <w:lang w:val="fr-CA" w:eastAsia="en-US"/>
        </w:rPr>
      </w:pPr>
    </w:p>
    <w:p w:rsidR="00DB4C9C" w:rsidRPr="00DB4C9C" w:rsidRDefault="00DB4C9C" w:rsidP="00DB4C9C">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B4C9C" w:rsidRPr="00DB4C9C" w:rsidRDefault="00DB4C9C" w:rsidP="00DB4C9C">
      <w:pPr>
        <w:rPr>
          <w:rStyle w:val="SCCAppellantForRunningHeadChar"/>
          <w:lang w:val="fr-CA"/>
        </w:rPr>
      </w:pPr>
      <w:r w:rsidRPr="00DB4C9C">
        <w:rPr>
          <w:rStyle w:val="SCCAppellantForRunningHeadChar"/>
          <w:lang w:val="fr-CA"/>
        </w:rPr>
        <w:br w:type="page"/>
      </w:r>
    </w:p>
    <w:p w:rsidR="008322BD" w:rsidRPr="00BD1790" w:rsidRDefault="00BD1790" w:rsidP="00140667">
      <w:pPr>
        <w:spacing w:line="480" w:lineRule="auto"/>
        <w:jc w:val="both"/>
        <w:rPr>
          <w:lang w:val="fr-CA"/>
        </w:rPr>
      </w:pPr>
      <w:r w:rsidRPr="00BD1790">
        <w:rPr>
          <w:rStyle w:val="SCCAppellantForIndexChar"/>
          <w:b w:val="0"/>
          <w:lang w:val="fr-CA"/>
        </w:rPr>
        <w:lastRenderedPageBreak/>
        <w:t>Canada (Procureur général)</w:t>
      </w:r>
      <w:r w:rsidRPr="00BD1790">
        <w:rPr>
          <w:lang w:val="fr-CA"/>
        </w:rPr>
        <w:t xml:space="preserve"> </w:t>
      </w:r>
      <w:r w:rsidRPr="00BD1790">
        <w:rPr>
          <w:i/>
          <w:lang w:val="fr-CA"/>
        </w:rPr>
        <w:t>c.</w:t>
      </w:r>
      <w:r w:rsidRPr="00BD1790">
        <w:rPr>
          <w:lang w:val="fr-CA"/>
        </w:rPr>
        <w:t xml:space="preserve"> </w:t>
      </w:r>
      <w:proofErr w:type="spellStart"/>
      <w:r w:rsidRPr="00BD1790">
        <w:rPr>
          <w:rStyle w:val="SCCRespondentForIndexChar"/>
          <w:b w:val="0"/>
          <w:lang w:val="fr-CA"/>
        </w:rPr>
        <w:t>TeleZone</w:t>
      </w:r>
      <w:proofErr w:type="spellEnd"/>
      <w:r w:rsidRPr="00BD1790">
        <w:rPr>
          <w:rStyle w:val="SCCRespondentForIndexChar"/>
          <w:b w:val="0"/>
          <w:lang w:val="fr-CA"/>
        </w:rPr>
        <w:t xml:space="preserve"> Inc.</w:t>
      </w:r>
      <w:r w:rsidRPr="00BD1790">
        <w:rPr>
          <w:rStyle w:val="SCCRespondentForRunningHeadChar"/>
          <w:lang w:val="fr-CA"/>
        </w:rPr>
        <w:t xml:space="preserve">, </w:t>
      </w:r>
      <w:r w:rsidRPr="00BD1790">
        <w:rPr>
          <w:rStyle w:val="SCCRespondentForIndexChar"/>
          <w:b w:val="0"/>
          <w:lang w:val="fr-CA"/>
        </w:rPr>
        <w:t xml:space="preserve">2010 </w:t>
      </w:r>
      <w:r w:rsidR="005A5AAC">
        <w:rPr>
          <w:rStyle w:val="SCCRespondentForIndexChar"/>
          <w:b w:val="0"/>
          <w:lang w:val="fr-CA"/>
        </w:rPr>
        <w:t>C</w:t>
      </w:r>
      <w:r w:rsidRPr="00BD1790">
        <w:rPr>
          <w:rStyle w:val="SCCRespondentForIndexChar"/>
          <w:b w:val="0"/>
          <w:lang w:val="fr-CA"/>
        </w:rPr>
        <w:t>SC 6</w:t>
      </w:r>
      <w:r>
        <w:rPr>
          <w:rStyle w:val="SCCRespondentForIndexChar"/>
          <w:b w:val="0"/>
          <w:lang w:val="fr-CA"/>
        </w:rPr>
        <w:t>2</w:t>
      </w:r>
      <w:r w:rsidRPr="00BD1790">
        <w:rPr>
          <w:rStyle w:val="SCCRespondentForIndexChar"/>
          <w:b w:val="0"/>
          <w:lang w:val="fr-CA"/>
        </w:rPr>
        <w:t xml:space="preserve">, [2010] 3 </w:t>
      </w:r>
      <w:r w:rsidR="005A5AAC">
        <w:rPr>
          <w:rStyle w:val="SCCRespondentForIndexChar"/>
          <w:b w:val="0"/>
          <w:lang w:val="fr-CA"/>
        </w:rPr>
        <w:t>R.C.</w:t>
      </w:r>
      <w:r w:rsidRPr="00BD1790">
        <w:rPr>
          <w:rStyle w:val="SCCRespondentForIndexChar"/>
          <w:b w:val="0"/>
          <w:lang w:val="fr-CA"/>
        </w:rPr>
        <w:t xml:space="preserve">S. </w:t>
      </w:r>
      <w:r>
        <w:rPr>
          <w:rStyle w:val="SCCRespondentForIndexChar"/>
          <w:b w:val="0"/>
          <w:lang w:val="fr-CA"/>
        </w:rPr>
        <w:t>585</w:t>
      </w:r>
    </w:p>
    <w:p w:rsidR="00766D14" w:rsidRPr="00BD1790" w:rsidRDefault="00766D14" w:rsidP="005E0667">
      <w:pPr>
        <w:spacing w:line="480" w:lineRule="auto"/>
        <w:jc w:val="both"/>
        <w:rPr>
          <w:lang w:val="fr-CA"/>
        </w:rPr>
      </w:pPr>
    </w:p>
    <w:p w:rsidR="005E0667" w:rsidRPr="00291752" w:rsidRDefault="003A29E7" w:rsidP="00767D30">
      <w:pPr>
        <w:pStyle w:val="SCCLsocParty"/>
        <w:tabs>
          <w:tab w:val="right" w:pos="8280"/>
        </w:tabs>
        <w:rPr>
          <w:b/>
          <w:i/>
          <w:lang w:val="fr-CA"/>
        </w:rPr>
      </w:pPr>
      <w:r w:rsidRPr="00291752">
        <w:rPr>
          <w:b/>
          <w:lang w:val="fr-CA"/>
        </w:rPr>
        <w:t>Procureur général du Canada</w:t>
      </w:r>
      <w:r w:rsidR="005E0667" w:rsidRPr="00291752">
        <w:rPr>
          <w:lang w:val="fr-CA"/>
        </w:rPr>
        <w:tab/>
      </w:r>
      <w:r w:rsidRPr="00291752">
        <w:rPr>
          <w:i/>
          <w:lang w:val="fr-CA"/>
        </w:rPr>
        <w:t>Appelant</w:t>
      </w:r>
    </w:p>
    <w:p w:rsidR="007E00FE" w:rsidRPr="00291752" w:rsidRDefault="007E00FE" w:rsidP="000557F2">
      <w:pPr>
        <w:spacing w:line="480" w:lineRule="auto"/>
        <w:jc w:val="both"/>
        <w:rPr>
          <w:i/>
          <w:lang w:val="fr-CA"/>
        </w:rPr>
      </w:pPr>
    </w:p>
    <w:p w:rsidR="00053F03" w:rsidRPr="00291752" w:rsidRDefault="007E00FE" w:rsidP="000557F2">
      <w:pPr>
        <w:spacing w:line="480" w:lineRule="auto"/>
        <w:jc w:val="both"/>
        <w:rPr>
          <w:rStyle w:val="SCCAppellantForRunningHeadChar"/>
          <w:i/>
          <w:lang w:val="fr-CA"/>
        </w:rPr>
      </w:pPr>
      <w:proofErr w:type="gramStart"/>
      <w:r w:rsidRPr="00291752">
        <w:rPr>
          <w:i/>
          <w:lang w:val="fr-CA"/>
        </w:rPr>
        <w:t>c</w:t>
      </w:r>
      <w:proofErr w:type="gramEnd"/>
      <w:r w:rsidRPr="00291752">
        <w:rPr>
          <w:i/>
          <w:lang w:val="fr-CA"/>
        </w:rPr>
        <w:t>.</w:t>
      </w:r>
    </w:p>
    <w:p w:rsidR="005E0667" w:rsidRPr="00291752" w:rsidRDefault="005E0667" w:rsidP="000557F2">
      <w:pPr>
        <w:spacing w:line="480" w:lineRule="auto"/>
        <w:jc w:val="both"/>
        <w:rPr>
          <w:rStyle w:val="SCCAppellantForRunningHeadChar"/>
          <w:lang w:val="fr-CA"/>
        </w:rPr>
      </w:pPr>
    </w:p>
    <w:p w:rsidR="00053F03" w:rsidRPr="00291752" w:rsidRDefault="003A29E7" w:rsidP="007E00FE">
      <w:pPr>
        <w:pStyle w:val="SCCLsocParty"/>
        <w:tabs>
          <w:tab w:val="right" w:pos="8280"/>
        </w:tabs>
        <w:rPr>
          <w:i/>
          <w:lang w:val="fr-CA"/>
        </w:rPr>
      </w:pPr>
      <w:r w:rsidRPr="00291752">
        <w:rPr>
          <w:b/>
          <w:lang w:val="fr-CA"/>
        </w:rPr>
        <w:t>TeleZone Inc.</w:t>
      </w:r>
      <w:r w:rsidR="00295D1D" w:rsidRPr="00291752">
        <w:rPr>
          <w:b/>
          <w:lang w:val="fr-CA"/>
        </w:rPr>
        <w:tab/>
      </w:r>
      <w:r w:rsidRPr="00291752">
        <w:rPr>
          <w:i/>
          <w:lang w:val="fr-CA"/>
        </w:rPr>
        <w:t>Intimée</w:t>
      </w:r>
    </w:p>
    <w:p w:rsidR="00766D14" w:rsidRPr="00291752" w:rsidRDefault="00766D14" w:rsidP="005E0667">
      <w:pPr>
        <w:spacing w:line="480" w:lineRule="auto"/>
        <w:jc w:val="both"/>
        <w:rPr>
          <w:rStyle w:val="SCCAppellantForRunningHeadChar"/>
          <w:lang w:val="fr-CA"/>
        </w:rPr>
      </w:pPr>
    </w:p>
    <w:p w:rsidR="00426659" w:rsidRPr="00291752" w:rsidRDefault="0043088E" w:rsidP="005E0667">
      <w:pPr>
        <w:spacing w:line="480" w:lineRule="auto"/>
        <w:jc w:val="both"/>
        <w:rPr>
          <w:b/>
          <w:lang w:val="fr-CA"/>
        </w:rPr>
      </w:pPr>
      <w:r w:rsidRPr="00291752">
        <w:rPr>
          <w:b/>
          <w:lang w:val="fr-CA"/>
        </w:rPr>
        <w:t>Répertorié</w:t>
      </w:r>
      <w:r w:rsidR="00DA4465" w:rsidRPr="00291752">
        <w:rPr>
          <w:b/>
          <w:lang w:val="fr-CA"/>
        </w:rPr>
        <w:t> </w:t>
      </w:r>
      <w:r w:rsidR="00426659" w:rsidRPr="00291752">
        <w:rPr>
          <w:b/>
          <w:lang w:val="fr-CA"/>
        </w:rPr>
        <w:t>:</w:t>
      </w:r>
      <w:r w:rsidR="00DA4465" w:rsidRPr="00291752">
        <w:rPr>
          <w:b/>
          <w:lang w:val="fr-CA"/>
        </w:rPr>
        <w:t> </w:t>
      </w:r>
      <w:r w:rsidRPr="00291752">
        <w:rPr>
          <w:rStyle w:val="SCCAppellantForIndexChar"/>
          <w:lang w:val="fr-CA"/>
        </w:rPr>
        <w:t>Canada</w:t>
      </w:r>
      <w:r w:rsidR="00295D1D" w:rsidRPr="00291752">
        <w:rPr>
          <w:rStyle w:val="SCCAppellantForIndexChar"/>
          <w:lang w:val="fr-CA"/>
        </w:rPr>
        <w:t xml:space="preserve"> (Procureur général)</w:t>
      </w:r>
      <w:r w:rsidR="00426659" w:rsidRPr="00291752">
        <w:rPr>
          <w:b/>
          <w:lang w:val="fr-CA"/>
        </w:rPr>
        <w:t xml:space="preserve"> </w:t>
      </w:r>
      <w:r w:rsidR="00645057" w:rsidRPr="00291752">
        <w:rPr>
          <w:b/>
          <w:i/>
          <w:lang w:val="fr-CA"/>
        </w:rPr>
        <w:t>c</w:t>
      </w:r>
      <w:r w:rsidR="00426659" w:rsidRPr="00291752">
        <w:rPr>
          <w:b/>
          <w:i/>
          <w:lang w:val="fr-CA"/>
        </w:rPr>
        <w:t>.</w:t>
      </w:r>
      <w:r w:rsidR="00426659" w:rsidRPr="00291752">
        <w:rPr>
          <w:b/>
          <w:lang w:val="fr-CA"/>
        </w:rPr>
        <w:t xml:space="preserve"> </w:t>
      </w:r>
      <w:r w:rsidRPr="00291752">
        <w:rPr>
          <w:rStyle w:val="SCCRespondentForIndexChar"/>
          <w:lang w:val="fr-CA"/>
        </w:rPr>
        <w:t>TeleZone Inc.</w:t>
      </w:r>
    </w:p>
    <w:p w:rsidR="00426659" w:rsidRPr="00291752" w:rsidRDefault="00426659" w:rsidP="005E0667">
      <w:pPr>
        <w:spacing w:line="480" w:lineRule="auto"/>
        <w:jc w:val="both"/>
        <w:rPr>
          <w:lang w:val="fr-CA"/>
        </w:rPr>
      </w:pPr>
    </w:p>
    <w:p w:rsidR="00426659" w:rsidRPr="00291752" w:rsidRDefault="00F853FB" w:rsidP="005E0667">
      <w:pPr>
        <w:pStyle w:val="SCCSystemYear"/>
        <w:spacing w:line="480" w:lineRule="auto"/>
        <w:jc w:val="both"/>
        <w:rPr>
          <w:lang w:val="fr-CA"/>
        </w:rPr>
      </w:pPr>
      <w:r w:rsidRPr="00291752">
        <w:rPr>
          <w:lang w:val="fr-CA"/>
        </w:rPr>
        <w:t>2010</w:t>
      </w:r>
      <w:r w:rsidR="00DA4465" w:rsidRPr="00291752">
        <w:rPr>
          <w:lang w:val="fr-CA"/>
        </w:rPr>
        <w:t> </w:t>
      </w:r>
      <w:r w:rsidR="00C71F58" w:rsidRPr="00291752">
        <w:rPr>
          <w:lang w:val="fr-CA"/>
        </w:rPr>
        <w:t>C</w:t>
      </w:r>
      <w:r w:rsidR="00426659" w:rsidRPr="00291752">
        <w:rPr>
          <w:lang w:val="fr-CA"/>
        </w:rPr>
        <w:t>SC</w:t>
      </w:r>
      <w:r w:rsidR="00DA4465" w:rsidRPr="00291752">
        <w:rPr>
          <w:lang w:val="fr-CA"/>
        </w:rPr>
        <w:t> </w:t>
      </w:r>
      <w:r w:rsidR="00EF6EC6" w:rsidRPr="00291752">
        <w:rPr>
          <w:lang w:val="fr-CA"/>
        </w:rPr>
        <w:t>62</w:t>
      </w:r>
    </w:p>
    <w:p w:rsidR="00426659" w:rsidRPr="00291752" w:rsidRDefault="00426659" w:rsidP="005E0667">
      <w:pPr>
        <w:spacing w:line="480" w:lineRule="auto"/>
        <w:jc w:val="both"/>
        <w:rPr>
          <w:lang w:val="fr-CA"/>
        </w:rPr>
      </w:pPr>
    </w:p>
    <w:p w:rsidR="008322BD" w:rsidRPr="00291752" w:rsidRDefault="009B57B3" w:rsidP="005E0667">
      <w:pPr>
        <w:spacing w:line="480" w:lineRule="auto"/>
        <w:jc w:val="both"/>
        <w:rPr>
          <w:lang w:val="fr-CA"/>
        </w:rPr>
      </w:pPr>
      <w:r w:rsidRPr="00291752">
        <w:rPr>
          <w:lang w:val="fr-CA"/>
        </w:rPr>
        <w:t>N</w:t>
      </w:r>
      <w:r w:rsidRPr="00291752">
        <w:rPr>
          <w:vertAlign w:val="superscript"/>
          <w:lang w:val="fr-CA"/>
        </w:rPr>
        <w:t>o</w:t>
      </w:r>
      <w:r w:rsidR="0043088E" w:rsidRPr="00291752">
        <w:rPr>
          <w:lang w:val="fr-CA"/>
        </w:rPr>
        <w:t xml:space="preserve"> du greffe</w:t>
      </w:r>
      <w:r w:rsidR="00DA4465" w:rsidRPr="00291752">
        <w:rPr>
          <w:lang w:val="fr-CA"/>
        </w:rPr>
        <w:t> </w:t>
      </w:r>
      <w:r w:rsidRPr="00291752">
        <w:rPr>
          <w:lang w:val="fr-CA"/>
        </w:rPr>
        <w:t>:</w:t>
      </w:r>
      <w:r w:rsidR="00DA4465" w:rsidRPr="00291752">
        <w:rPr>
          <w:lang w:val="fr-CA"/>
        </w:rPr>
        <w:t> </w:t>
      </w:r>
      <w:r w:rsidRPr="00291752">
        <w:rPr>
          <w:lang w:val="fr-CA"/>
        </w:rPr>
        <w:t>33041.</w:t>
      </w:r>
    </w:p>
    <w:p w:rsidR="00E97830" w:rsidRPr="00291752" w:rsidRDefault="00E97830" w:rsidP="005E0667">
      <w:pPr>
        <w:spacing w:line="480" w:lineRule="auto"/>
        <w:jc w:val="both"/>
        <w:rPr>
          <w:lang w:val="fr-CA"/>
        </w:rPr>
      </w:pPr>
    </w:p>
    <w:p w:rsidR="008322BD" w:rsidRPr="00291752" w:rsidRDefault="00482503" w:rsidP="005E0667">
      <w:pPr>
        <w:spacing w:line="480" w:lineRule="auto"/>
        <w:jc w:val="both"/>
        <w:rPr>
          <w:lang w:val="fr-CA"/>
        </w:rPr>
      </w:pPr>
      <w:r w:rsidRPr="00291752">
        <w:rPr>
          <w:lang w:val="fr-CA"/>
        </w:rPr>
        <w:t>2010 </w:t>
      </w:r>
      <w:r w:rsidR="00F853FB" w:rsidRPr="00291752">
        <w:rPr>
          <w:lang w:val="fr-CA"/>
        </w:rPr>
        <w:t>:</w:t>
      </w:r>
      <w:r w:rsidRPr="00291752">
        <w:rPr>
          <w:lang w:val="fr-CA"/>
        </w:rPr>
        <w:t> </w:t>
      </w:r>
      <w:r w:rsidR="00F853FB" w:rsidRPr="00291752">
        <w:rPr>
          <w:lang w:val="fr-CA"/>
        </w:rPr>
        <w:t>20</w:t>
      </w:r>
      <w:r w:rsidR="005177F9" w:rsidRPr="00291752">
        <w:rPr>
          <w:lang w:val="fr-CA"/>
        </w:rPr>
        <w:t>, 21</w:t>
      </w:r>
      <w:r w:rsidRPr="00291752">
        <w:rPr>
          <w:lang w:val="fr-CA"/>
        </w:rPr>
        <w:t> </w:t>
      </w:r>
      <w:r w:rsidR="00F853FB" w:rsidRPr="00291752">
        <w:rPr>
          <w:lang w:val="fr-CA"/>
        </w:rPr>
        <w:t>janvier</w:t>
      </w:r>
      <w:r w:rsidR="009B57B3" w:rsidRPr="00291752">
        <w:rPr>
          <w:lang w:val="fr-CA"/>
        </w:rPr>
        <w:t xml:space="preserve">; </w:t>
      </w:r>
      <w:r w:rsidR="00EF6EC6" w:rsidRPr="00291752">
        <w:rPr>
          <w:lang w:val="fr-CA"/>
        </w:rPr>
        <w:t>2010 :</w:t>
      </w:r>
      <w:r w:rsidRPr="00291752">
        <w:rPr>
          <w:lang w:val="fr-CA"/>
        </w:rPr>
        <w:t> 23 </w:t>
      </w:r>
      <w:r w:rsidR="00EF6EC6" w:rsidRPr="00291752">
        <w:rPr>
          <w:lang w:val="fr-CA"/>
        </w:rPr>
        <w:t>décembre</w:t>
      </w:r>
      <w:r w:rsidR="009B57B3" w:rsidRPr="00291752">
        <w:rPr>
          <w:lang w:val="fr-CA"/>
        </w:rPr>
        <w:t>.</w:t>
      </w:r>
    </w:p>
    <w:p w:rsidR="00E97830" w:rsidRPr="00291752" w:rsidRDefault="00E97830" w:rsidP="005E0667">
      <w:pPr>
        <w:spacing w:line="480" w:lineRule="auto"/>
        <w:jc w:val="both"/>
        <w:rPr>
          <w:lang w:val="fr-CA"/>
        </w:rPr>
      </w:pPr>
    </w:p>
    <w:p w:rsidR="00E21284" w:rsidRPr="00291752" w:rsidRDefault="009B57B3" w:rsidP="00DA4465">
      <w:pPr>
        <w:pStyle w:val="SCCNormalDoubleSpacing"/>
        <w:spacing w:after="720" w:line="240" w:lineRule="auto"/>
        <w:jc w:val="left"/>
        <w:rPr>
          <w:rStyle w:val="SCCCounselPartyRoleChar"/>
        </w:rPr>
      </w:pPr>
      <w:r w:rsidRPr="00291752">
        <w:rPr>
          <w:lang w:val="fr-CA"/>
        </w:rPr>
        <w:t>Pr</w:t>
      </w:r>
      <w:r w:rsidR="0043088E" w:rsidRPr="00291752">
        <w:rPr>
          <w:lang w:val="fr-CA"/>
        </w:rPr>
        <w:t>é</w:t>
      </w:r>
      <w:r w:rsidRPr="00291752">
        <w:rPr>
          <w:lang w:val="fr-CA"/>
        </w:rPr>
        <w:t>sent</w:t>
      </w:r>
      <w:r w:rsidR="008A6558" w:rsidRPr="00291752">
        <w:rPr>
          <w:lang w:val="fr-CA"/>
        </w:rPr>
        <w:t>s</w:t>
      </w:r>
      <w:r w:rsidR="00DA4465" w:rsidRPr="00291752">
        <w:rPr>
          <w:lang w:val="fr-CA"/>
        </w:rPr>
        <w:t> </w:t>
      </w:r>
      <w:r w:rsidRPr="00291752">
        <w:rPr>
          <w:lang w:val="fr-CA"/>
        </w:rPr>
        <w:t>:</w:t>
      </w:r>
      <w:r w:rsidR="00DA4465" w:rsidRPr="00291752">
        <w:rPr>
          <w:lang w:val="fr-CA"/>
        </w:rPr>
        <w:t> </w:t>
      </w:r>
      <w:r w:rsidR="00295D1D" w:rsidRPr="00291752">
        <w:rPr>
          <w:lang w:val="fr-CA"/>
        </w:rPr>
        <w:t xml:space="preserve">Les juges </w:t>
      </w:r>
      <w:proofErr w:type="spellStart"/>
      <w:r w:rsidRPr="00291752">
        <w:rPr>
          <w:lang w:val="fr-CA"/>
        </w:rPr>
        <w:t>Binnie</w:t>
      </w:r>
      <w:proofErr w:type="spellEnd"/>
      <w:r w:rsidRPr="00291752">
        <w:rPr>
          <w:lang w:val="fr-CA"/>
        </w:rPr>
        <w:t xml:space="preserve">, </w:t>
      </w:r>
      <w:proofErr w:type="spellStart"/>
      <w:r w:rsidRPr="00291752">
        <w:rPr>
          <w:lang w:val="fr-CA"/>
        </w:rPr>
        <w:t>LeBel</w:t>
      </w:r>
      <w:proofErr w:type="spellEnd"/>
      <w:r w:rsidRPr="00291752">
        <w:rPr>
          <w:lang w:val="fr-CA"/>
        </w:rPr>
        <w:t xml:space="preserve">, Deschamps, Abella, Charron, </w:t>
      </w:r>
      <w:proofErr w:type="spellStart"/>
      <w:r w:rsidRPr="00291752">
        <w:rPr>
          <w:lang w:val="fr-CA"/>
        </w:rPr>
        <w:t>Rothstein</w:t>
      </w:r>
      <w:proofErr w:type="spellEnd"/>
      <w:r w:rsidRPr="00291752">
        <w:rPr>
          <w:lang w:val="fr-CA"/>
        </w:rPr>
        <w:t xml:space="preserve"> et Cromwell</w:t>
      </w:r>
      <w:r w:rsidR="00E21284" w:rsidRPr="00291752">
        <w:rPr>
          <w:rStyle w:val="SCCCounselPartyRoleChar"/>
        </w:rPr>
        <w:t>.</w:t>
      </w:r>
    </w:p>
    <w:p w:rsidR="008322BD" w:rsidRPr="00291752" w:rsidRDefault="00AC7437" w:rsidP="00295D1D">
      <w:pPr>
        <w:pStyle w:val="SCCLowerCourtNameLowercase"/>
        <w:jc w:val="left"/>
        <w:rPr>
          <w:lang w:val="fr-CA"/>
        </w:rPr>
      </w:pPr>
      <w:r w:rsidRPr="00291752">
        <w:rPr>
          <w:lang w:val="fr-CA"/>
        </w:rPr>
        <w:t>e</w:t>
      </w:r>
      <w:r w:rsidR="00855307" w:rsidRPr="00291752">
        <w:rPr>
          <w:lang w:val="fr-CA"/>
        </w:rPr>
        <w:t>n</w:t>
      </w:r>
      <w:r w:rsidR="00224FC0" w:rsidRPr="00291752">
        <w:rPr>
          <w:lang w:val="fr-CA"/>
        </w:rPr>
        <w:t xml:space="preserve"> </w:t>
      </w:r>
      <w:r w:rsidR="00855307" w:rsidRPr="00291752">
        <w:rPr>
          <w:lang w:val="fr-CA"/>
        </w:rPr>
        <w:t>appel</w:t>
      </w:r>
      <w:r w:rsidR="00224FC0" w:rsidRPr="00291752">
        <w:rPr>
          <w:lang w:val="fr-CA"/>
        </w:rPr>
        <w:t xml:space="preserve"> </w:t>
      </w:r>
      <w:r w:rsidR="00855307" w:rsidRPr="00291752">
        <w:rPr>
          <w:lang w:val="fr-CA"/>
        </w:rPr>
        <w:t>de</w:t>
      </w:r>
      <w:r w:rsidR="0043088E" w:rsidRPr="00291752">
        <w:rPr>
          <w:lang w:val="fr-CA"/>
        </w:rPr>
        <w:t xml:space="preserve"> </w:t>
      </w:r>
      <w:r w:rsidR="00855307" w:rsidRPr="00291752">
        <w:rPr>
          <w:lang w:val="fr-CA"/>
        </w:rPr>
        <w:t>la</w:t>
      </w:r>
      <w:r w:rsidR="00224FC0" w:rsidRPr="00291752">
        <w:rPr>
          <w:lang w:val="fr-CA"/>
        </w:rPr>
        <w:t xml:space="preserve"> </w:t>
      </w:r>
      <w:r w:rsidR="009B57B3" w:rsidRPr="00291752">
        <w:rPr>
          <w:lang w:val="fr-CA"/>
        </w:rPr>
        <w:t>cour d’appel de l’ontario</w:t>
      </w:r>
    </w:p>
    <w:p w:rsidR="003A4C70" w:rsidRPr="00291752" w:rsidRDefault="003A4C70" w:rsidP="005323CA">
      <w:pPr>
        <w:pStyle w:val="SCCNormalDoubleSpacing"/>
        <w:tabs>
          <w:tab w:val="left" w:pos="1170"/>
        </w:tabs>
        <w:jc w:val="left"/>
        <w:rPr>
          <w:lang w:val="fr-CA"/>
        </w:rPr>
      </w:pPr>
    </w:p>
    <w:p w:rsidR="005177F9" w:rsidRPr="00291752" w:rsidRDefault="009B57B3" w:rsidP="005323CA">
      <w:pPr>
        <w:pStyle w:val="SCCNormalDoubleSpacing"/>
        <w:tabs>
          <w:tab w:val="left" w:pos="1170"/>
        </w:tabs>
        <w:rPr>
          <w:i/>
          <w:lang w:val="fr-CA"/>
        </w:rPr>
      </w:pPr>
      <w:r w:rsidRPr="00291752">
        <w:rPr>
          <w:lang w:val="fr-CA"/>
        </w:rPr>
        <w:tab/>
      </w:r>
      <w:r w:rsidR="005177F9" w:rsidRPr="00291752">
        <w:rPr>
          <w:i/>
          <w:lang w:val="fr-CA"/>
        </w:rPr>
        <w:t xml:space="preserve">Tribunaux — Compétence — Cours supérieures provinciales — Action </w:t>
      </w:r>
      <w:r w:rsidR="00C21EC6" w:rsidRPr="00291752">
        <w:rPr>
          <w:i/>
          <w:lang w:val="fr-CA"/>
        </w:rPr>
        <w:t>en dommages</w:t>
      </w:r>
      <w:r w:rsidR="00A16E3A" w:rsidRPr="00291752">
        <w:rPr>
          <w:i/>
          <w:lang w:val="fr-CA"/>
        </w:rPr>
        <w:t>-</w:t>
      </w:r>
      <w:r w:rsidR="00C21EC6" w:rsidRPr="00291752">
        <w:rPr>
          <w:i/>
          <w:lang w:val="fr-CA"/>
        </w:rPr>
        <w:t xml:space="preserve">intérêts intentée contre la Couronne fédérale devant la Cour </w:t>
      </w:r>
      <w:r w:rsidR="00C21EC6" w:rsidRPr="00291752">
        <w:rPr>
          <w:i/>
          <w:lang w:val="fr-CA"/>
        </w:rPr>
        <w:lastRenderedPageBreak/>
        <w:t>supérieure de</w:t>
      </w:r>
      <w:r w:rsidR="00E62FD5" w:rsidRPr="00291752">
        <w:rPr>
          <w:i/>
          <w:lang w:val="fr-CA"/>
        </w:rPr>
        <w:t xml:space="preserve"> justice de</w:t>
      </w:r>
      <w:r w:rsidR="00C21EC6" w:rsidRPr="00291752">
        <w:rPr>
          <w:i/>
          <w:lang w:val="fr-CA"/>
        </w:rPr>
        <w:t xml:space="preserve"> l’Ontario pour inexécution de contrat, </w:t>
      </w:r>
      <w:r w:rsidR="008320C3" w:rsidRPr="00291752">
        <w:rPr>
          <w:i/>
          <w:lang w:val="fr-CA"/>
        </w:rPr>
        <w:t>n</w:t>
      </w:r>
      <w:r w:rsidR="009379E1" w:rsidRPr="00291752">
        <w:rPr>
          <w:i/>
          <w:lang w:val="fr-CA"/>
        </w:rPr>
        <w:t>é</w:t>
      </w:r>
      <w:r w:rsidR="008320C3" w:rsidRPr="00291752">
        <w:rPr>
          <w:i/>
          <w:lang w:val="fr-CA"/>
        </w:rPr>
        <w:t xml:space="preserve">gligence et enrichissement injustifié à la suite </w:t>
      </w:r>
      <w:r w:rsidR="007F41EB" w:rsidRPr="00291752">
        <w:rPr>
          <w:i/>
          <w:lang w:val="fr-CA"/>
        </w:rPr>
        <w:t>du rejet d’une</w:t>
      </w:r>
      <w:r w:rsidR="009379E1" w:rsidRPr="00291752">
        <w:rPr>
          <w:i/>
          <w:lang w:val="fr-CA"/>
        </w:rPr>
        <w:t xml:space="preserve"> demande de licence de télécommunications</w:t>
      </w:r>
      <w:r w:rsidR="005177F9" w:rsidRPr="00291752">
        <w:rPr>
          <w:i/>
          <w:lang w:val="fr-CA"/>
        </w:rPr>
        <w:t xml:space="preserve"> — </w:t>
      </w:r>
      <w:r w:rsidR="009379E1" w:rsidRPr="00291752">
        <w:rPr>
          <w:i/>
          <w:lang w:val="fr-CA"/>
        </w:rPr>
        <w:t>La demanderesse a</w:t>
      </w:r>
      <w:r w:rsidR="00A16E3A" w:rsidRPr="00291752">
        <w:rPr>
          <w:i/>
          <w:lang w:val="fr-CA"/>
        </w:rPr>
        <w:t>-</w:t>
      </w:r>
      <w:r w:rsidR="009379E1" w:rsidRPr="00291752">
        <w:rPr>
          <w:i/>
          <w:lang w:val="fr-CA"/>
        </w:rPr>
        <w:t>t</w:t>
      </w:r>
      <w:r w:rsidR="00A16E3A" w:rsidRPr="00291752">
        <w:rPr>
          <w:i/>
          <w:lang w:val="fr-CA"/>
        </w:rPr>
        <w:t>-</w:t>
      </w:r>
      <w:r w:rsidR="009379E1" w:rsidRPr="00291752">
        <w:rPr>
          <w:i/>
          <w:lang w:val="fr-CA"/>
        </w:rPr>
        <w:t>elle le droit d’intenter une action en Cour su</w:t>
      </w:r>
      <w:r w:rsidR="00D93F8C" w:rsidRPr="00291752">
        <w:rPr>
          <w:i/>
          <w:lang w:val="fr-CA"/>
        </w:rPr>
        <w:t xml:space="preserve">périeure </w:t>
      </w:r>
      <w:r w:rsidR="00E62FD5" w:rsidRPr="00291752">
        <w:rPr>
          <w:i/>
          <w:lang w:val="fr-CA"/>
        </w:rPr>
        <w:t xml:space="preserve">de justice </w:t>
      </w:r>
      <w:r w:rsidR="00D93F8C" w:rsidRPr="00291752">
        <w:rPr>
          <w:i/>
          <w:lang w:val="fr-CA"/>
        </w:rPr>
        <w:t xml:space="preserve">de l’Ontario sans </w:t>
      </w:r>
      <w:r w:rsidR="007F41EB" w:rsidRPr="00291752">
        <w:rPr>
          <w:i/>
          <w:lang w:val="fr-CA"/>
        </w:rPr>
        <w:t>engager</w:t>
      </w:r>
      <w:r w:rsidR="00D93F8C" w:rsidRPr="00291752">
        <w:rPr>
          <w:i/>
          <w:lang w:val="fr-CA"/>
        </w:rPr>
        <w:t xml:space="preserve"> d’abord </w:t>
      </w:r>
      <w:r w:rsidR="007F41EB" w:rsidRPr="00291752">
        <w:rPr>
          <w:i/>
          <w:lang w:val="fr-CA"/>
        </w:rPr>
        <w:t>une procédure de</w:t>
      </w:r>
      <w:r w:rsidR="00D93F8C" w:rsidRPr="00291752">
        <w:rPr>
          <w:i/>
          <w:lang w:val="fr-CA"/>
        </w:rPr>
        <w:t xml:space="preserve"> contrôle judiciaire devant la Cour fédérale?</w:t>
      </w:r>
      <w:r w:rsidR="005177F9" w:rsidRPr="00291752">
        <w:rPr>
          <w:i/>
          <w:lang w:val="fr-CA"/>
        </w:rPr>
        <w:t xml:space="preserve"> — </w:t>
      </w:r>
      <w:r w:rsidR="009379E1" w:rsidRPr="00291752">
        <w:rPr>
          <w:i/>
          <w:lang w:val="fr-CA"/>
        </w:rPr>
        <w:t>Loi sur les Cours fédérales</w:t>
      </w:r>
      <w:r w:rsidR="005177F9" w:rsidRPr="00291752">
        <w:rPr>
          <w:i/>
          <w:lang w:val="fr-CA"/>
        </w:rPr>
        <w:t>,</w:t>
      </w:r>
      <w:r w:rsidR="00D93F8C" w:rsidRPr="00291752">
        <w:rPr>
          <w:i/>
          <w:lang w:val="fr-CA"/>
        </w:rPr>
        <w:t xml:space="preserve"> L.R.C. </w:t>
      </w:r>
      <w:r w:rsidR="005177F9" w:rsidRPr="00291752">
        <w:rPr>
          <w:i/>
          <w:lang w:val="fr-CA"/>
        </w:rPr>
        <w:t>1985, c</w:t>
      </w:r>
      <w:r w:rsidR="00D93F8C" w:rsidRPr="00291752">
        <w:rPr>
          <w:i/>
          <w:lang w:val="fr-CA"/>
        </w:rPr>
        <w:t>h</w:t>
      </w:r>
      <w:r w:rsidR="005177F9" w:rsidRPr="00291752">
        <w:rPr>
          <w:i/>
          <w:lang w:val="fr-CA"/>
        </w:rPr>
        <w:t>.</w:t>
      </w:r>
      <w:r w:rsidR="00D93F8C" w:rsidRPr="00291752">
        <w:rPr>
          <w:i/>
          <w:lang w:val="fr-CA"/>
        </w:rPr>
        <w:t> </w:t>
      </w:r>
      <w:r w:rsidR="00D93F8C" w:rsidRPr="00291752">
        <w:rPr>
          <w:i/>
          <w:lang w:val="fr-FR"/>
        </w:rPr>
        <w:t>F</w:t>
      </w:r>
      <w:r w:rsidR="00A16E3A" w:rsidRPr="00291752">
        <w:rPr>
          <w:i/>
          <w:lang w:val="fr-FR"/>
        </w:rPr>
        <w:t>-</w:t>
      </w:r>
      <w:r w:rsidR="00D93F8C" w:rsidRPr="00291752">
        <w:rPr>
          <w:i/>
          <w:lang w:val="fr-FR"/>
        </w:rPr>
        <w:t>7, art</w:t>
      </w:r>
      <w:r w:rsidR="00482503" w:rsidRPr="00291752">
        <w:rPr>
          <w:i/>
          <w:lang w:val="fr-FR"/>
        </w:rPr>
        <w:t>. </w:t>
      </w:r>
      <w:r w:rsidR="005177F9" w:rsidRPr="00291752">
        <w:rPr>
          <w:i/>
          <w:lang w:val="fr-FR"/>
        </w:rPr>
        <w:t>17</w:t>
      </w:r>
      <w:r w:rsidR="00305EAE" w:rsidRPr="00291752">
        <w:rPr>
          <w:i/>
          <w:lang w:val="fr-FR"/>
        </w:rPr>
        <w:t xml:space="preserve">, </w:t>
      </w:r>
      <w:r w:rsidR="005177F9" w:rsidRPr="00291752">
        <w:rPr>
          <w:i/>
          <w:lang w:val="fr-FR"/>
        </w:rPr>
        <w:t xml:space="preserve">18; </w:t>
      </w:r>
      <w:r w:rsidR="00D93F8C" w:rsidRPr="00291752">
        <w:rPr>
          <w:i/>
          <w:lang w:val="fr-FR"/>
        </w:rPr>
        <w:t>Loi sur la responsabilité civile de l’État et le contentieux administratif</w:t>
      </w:r>
      <w:r w:rsidR="005177F9" w:rsidRPr="00291752">
        <w:rPr>
          <w:i/>
          <w:lang w:val="fr-FR"/>
        </w:rPr>
        <w:t>,</w:t>
      </w:r>
      <w:r w:rsidR="00D93F8C" w:rsidRPr="00291752">
        <w:rPr>
          <w:i/>
          <w:lang w:val="fr-FR"/>
        </w:rPr>
        <w:t xml:space="preserve"> L.R.C. </w:t>
      </w:r>
      <w:r w:rsidR="005177F9" w:rsidRPr="00291752">
        <w:rPr>
          <w:i/>
          <w:lang w:val="fr-FR"/>
        </w:rPr>
        <w:t>1985, c</w:t>
      </w:r>
      <w:r w:rsidR="00D93F8C" w:rsidRPr="00291752">
        <w:rPr>
          <w:i/>
          <w:lang w:val="fr-FR"/>
        </w:rPr>
        <w:t>h</w:t>
      </w:r>
      <w:r w:rsidR="005177F9" w:rsidRPr="00291752">
        <w:rPr>
          <w:i/>
          <w:lang w:val="fr-FR"/>
        </w:rPr>
        <w:t>.</w:t>
      </w:r>
      <w:r w:rsidR="00482503" w:rsidRPr="00291752">
        <w:rPr>
          <w:i/>
          <w:lang w:val="fr-FR"/>
        </w:rPr>
        <w:t> </w:t>
      </w:r>
      <w:r w:rsidR="005177F9" w:rsidRPr="00291752">
        <w:rPr>
          <w:i/>
          <w:lang w:val="fr-CA"/>
        </w:rPr>
        <w:t>C</w:t>
      </w:r>
      <w:r w:rsidR="00A16E3A" w:rsidRPr="00291752">
        <w:rPr>
          <w:i/>
          <w:lang w:val="fr-CA"/>
        </w:rPr>
        <w:t>-</w:t>
      </w:r>
      <w:r w:rsidR="005177F9" w:rsidRPr="00291752">
        <w:rPr>
          <w:i/>
          <w:lang w:val="fr-CA"/>
        </w:rPr>
        <w:t xml:space="preserve">50, </w:t>
      </w:r>
      <w:r w:rsidR="00D93F8C" w:rsidRPr="00291752">
        <w:rPr>
          <w:i/>
          <w:lang w:val="fr-CA"/>
        </w:rPr>
        <w:t>art</w:t>
      </w:r>
      <w:r w:rsidR="00482503" w:rsidRPr="00291752">
        <w:rPr>
          <w:i/>
          <w:lang w:val="fr-CA"/>
        </w:rPr>
        <w:t>. </w:t>
      </w:r>
      <w:r w:rsidR="005177F9" w:rsidRPr="00291752">
        <w:rPr>
          <w:i/>
          <w:lang w:val="fr-CA"/>
        </w:rPr>
        <w:t>21.</w:t>
      </w:r>
    </w:p>
    <w:p w:rsidR="005177F9" w:rsidRPr="00291752" w:rsidRDefault="005177F9" w:rsidP="005323CA">
      <w:pPr>
        <w:pStyle w:val="SCCNormalDoubleSpacing"/>
        <w:tabs>
          <w:tab w:val="left" w:pos="1170"/>
        </w:tabs>
        <w:rPr>
          <w:lang w:val="fr-CA"/>
        </w:rPr>
      </w:pPr>
    </w:p>
    <w:p w:rsidR="008322BD" w:rsidRPr="00291752" w:rsidRDefault="005177F9" w:rsidP="005323CA">
      <w:pPr>
        <w:pStyle w:val="SCCNormalDoubleSpacing"/>
        <w:tabs>
          <w:tab w:val="left" w:pos="1170"/>
        </w:tabs>
        <w:rPr>
          <w:lang w:val="fr-FR"/>
        </w:rPr>
      </w:pPr>
      <w:r w:rsidRPr="00291752">
        <w:rPr>
          <w:lang w:val="fr-CA"/>
        </w:rPr>
        <w:tab/>
      </w:r>
      <w:r w:rsidR="000E7850" w:rsidRPr="00291752">
        <w:rPr>
          <w:lang w:val="fr-FR"/>
        </w:rPr>
        <w:t>E</w:t>
      </w:r>
      <w:r w:rsidRPr="00291752">
        <w:rPr>
          <w:lang w:val="fr-FR"/>
        </w:rPr>
        <w:t>n 1995, Industr</w:t>
      </w:r>
      <w:r w:rsidR="000E7850" w:rsidRPr="00291752">
        <w:rPr>
          <w:lang w:val="fr-FR"/>
        </w:rPr>
        <w:t>ie</w:t>
      </w:r>
      <w:r w:rsidRPr="00291752">
        <w:rPr>
          <w:lang w:val="fr-FR"/>
        </w:rPr>
        <w:t xml:space="preserve"> Canada</w:t>
      </w:r>
      <w:r w:rsidR="000E7850" w:rsidRPr="00291752">
        <w:rPr>
          <w:lang w:val="fr-FR"/>
        </w:rPr>
        <w:t xml:space="preserve"> a lanc</w:t>
      </w:r>
      <w:r w:rsidR="00C95ECC" w:rsidRPr="00291752">
        <w:rPr>
          <w:lang w:val="fr-FR"/>
        </w:rPr>
        <w:t>é</w:t>
      </w:r>
      <w:r w:rsidR="00455BAE" w:rsidRPr="00291752">
        <w:rPr>
          <w:lang w:val="fr-FR"/>
        </w:rPr>
        <w:t xml:space="preserve"> une invitation à soumettre des demandes </w:t>
      </w:r>
      <w:r w:rsidR="000E7850" w:rsidRPr="00291752">
        <w:rPr>
          <w:lang w:val="fr-FR"/>
        </w:rPr>
        <w:t xml:space="preserve">de licences de </w:t>
      </w:r>
      <w:r w:rsidR="00C95ECC" w:rsidRPr="00291752">
        <w:rPr>
          <w:lang w:val="fr-FR"/>
        </w:rPr>
        <w:t>services de communications personnelles et a publié l’énoncé de politique</w:t>
      </w:r>
      <w:r w:rsidRPr="00291752">
        <w:rPr>
          <w:lang w:val="fr-FR"/>
        </w:rPr>
        <w:t xml:space="preserve"> </w:t>
      </w:r>
      <w:r w:rsidR="007F41EB" w:rsidRPr="00291752">
        <w:rPr>
          <w:lang w:val="fr-FR"/>
        </w:rPr>
        <w:t>devant</w:t>
      </w:r>
      <w:r w:rsidR="00C95ECC" w:rsidRPr="00291752">
        <w:rPr>
          <w:lang w:val="fr-FR"/>
        </w:rPr>
        <w:t xml:space="preserve"> servir de cadre aux demandes des fournisseurs potentiels. </w:t>
      </w:r>
      <w:r w:rsidRPr="00291752">
        <w:rPr>
          <w:lang w:val="fr-FR"/>
        </w:rPr>
        <w:t xml:space="preserve"> </w:t>
      </w:r>
      <w:r w:rsidR="00C95ECC" w:rsidRPr="00291752">
        <w:rPr>
          <w:lang w:val="fr-FR"/>
        </w:rPr>
        <w:t>L’énoncé indiquait qu’Industrie</w:t>
      </w:r>
      <w:r w:rsidRPr="00291752">
        <w:rPr>
          <w:lang w:val="fr-FR"/>
        </w:rPr>
        <w:t xml:space="preserve"> Canada </w:t>
      </w:r>
      <w:r w:rsidR="00FF5F70" w:rsidRPr="00291752">
        <w:rPr>
          <w:lang w:val="fr-FR"/>
        </w:rPr>
        <w:t>délivrerait jusqu’à six licences en fonction des critères qu’elle avait définis</w:t>
      </w:r>
      <w:r w:rsidR="007F41EB" w:rsidRPr="00291752">
        <w:rPr>
          <w:lang w:val="fr-FR"/>
        </w:rPr>
        <w:t xml:space="preserve">.  </w:t>
      </w:r>
      <w:r w:rsidRPr="00291752">
        <w:rPr>
          <w:lang w:val="fr-FR"/>
        </w:rPr>
        <w:t xml:space="preserve">T </w:t>
      </w:r>
      <w:r w:rsidR="00FF5F70" w:rsidRPr="00291752">
        <w:rPr>
          <w:lang w:val="fr-FR"/>
        </w:rPr>
        <w:t xml:space="preserve">a soumis une demande, mais </w:t>
      </w:r>
      <w:r w:rsidR="007F41EB" w:rsidRPr="00291752">
        <w:rPr>
          <w:lang w:val="fr-FR"/>
        </w:rPr>
        <w:t xml:space="preserve">seules quatre demandes ont été retenues par </w:t>
      </w:r>
      <w:r w:rsidR="00FF5F70" w:rsidRPr="00291752">
        <w:rPr>
          <w:lang w:val="fr-FR"/>
        </w:rPr>
        <w:t xml:space="preserve">Industrie Canada </w:t>
      </w:r>
      <w:r w:rsidR="007F41EB" w:rsidRPr="00291752">
        <w:rPr>
          <w:lang w:val="fr-FR"/>
        </w:rPr>
        <w:t>et</w:t>
      </w:r>
      <w:r w:rsidR="00FF5F70" w:rsidRPr="00291752">
        <w:rPr>
          <w:lang w:val="fr-FR"/>
        </w:rPr>
        <w:t xml:space="preserve"> celle de T</w:t>
      </w:r>
      <w:r w:rsidR="007F41EB" w:rsidRPr="00291752">
        <w:rPr>
          <w:lang w:val="fr-FR"/>
        </w:rPr>
        <w:t xml:space="preserve"> n’en faisait pas partie</w:t>
      </w:r>
      <w:r w:rsidRPr="00291752">
        <w:rPr>
          <w:lang w:val="fr-FR"/>
        </w:rPr>
        <w:t xml:space="preserve">.  T </w:t>
      </w:r>
      <w:r w:rsidR="00FF5F70" w:rsidRPr="00291752">
        <w:rPr>
          <w:lang w:val="fr-FR"/>
        </w:rPr>
        <w:t>a intenté une action</w:t>
      </w:r>
      <w:r w:rsidRPr="00291752">
        <w:rPr>
          <w:lang w:val="fr-FR"/>
        </w:rPr>
        <w:t xml:space="preserve"> </w:t>
      </w:r>
      <w:r w:rsidR="00FF5F70" w:rsidRPr="00291752">
        <w:rPr>
          <w:lang w:val="fr-FR"/>
        </w:rPr>
        <w:t>contre la Couronne fédérale devant la Cour supérieure</w:t>
      </w:r>
      <w:r w:rsidR="00E62FD5" w:rsidRPr="00291752">
        <w:rPr>
          <w:lang w:val="fr-FR"/>
        </w:rPr>
        <w:t xml:space="preserve"> de justice</w:t>
      </w:r>
      <w:r w:rsidR="00FF5F70" w:rsidRPr="00291752">
        <w:rPr>
          <w:lang w:val="fr-FR"/>
        </w:rPr>
        <w:t xml:space="preserve"> de l’O</w:t>
      </w:r>
      <w:r w:rsidRPr="00291752">
        <w:rPr>
          <w:lang w:val="fr-FR"/>
        </w:rPr>
        <w:t>ntario</w:t>
      </w:r>
      <w:r w:rsidR="00725737" w:rsidRPr="00291752">
        <w:rPr>
          <w:lang w:val="fr-FR"/>
        </w:rPr>
        <w:t xml:space="preserve"> pour inexécution de contrat, négligence et enrichissement injustifié, </w:t>
      </w:r>
      <w:r w:rsidR="00851506" w:rsidRPr="00291752">
        <w:rPr>
          <w:lang w:val="fr-FR"/>
        </w:rPr>
        <w:t>réclamant des dommages</w:t>
      </w:r>
      <w:r w:rsidR="00A16E3A" w:rsidRPr="00291752">
        <w:rPr>
          <w:lang w:val="fr-FR"/>
        </w:rPr>
        <w:t>-</w:t>
      </w:r>
      <w:r w:rsidR="00482503" w:rsidRPr="00291752">
        <w:rPr>
          <w:lang w:val="fr-FR"/>
        </w:rPr>
        <w:t>intérêts pour les pertes de 250 </w:t>
      </w:r>
      <w:r w:rsidR="00851506" w:rsidRPr="00291752">
        <w:rPr>
          <w:lang w:val="fr-FR"/>
        </w:rPr>
        <w:t xml:space="preserve">millions de dollars qu’elle affirme avoir subies. </w:t>
      </w:r>
      <w:r w:rsidRPr="00291752">
        <w:rPr>
          <w:lang w:val="fr-FR"/>
        </w:rPr>
        <w:t xml:space="preserve"> </w:t>
      </w:r>
      <w:r w:rsidR="00202F38" w:rsidRPr="00291752">
        <w:rPr>
          <w:lang w:val="fr-FR"/>
        </w:rPr>
        <w:t xml:space="preserve">Elle a allégué que l’énoncé de politique comportait </w:t>
      </w:r>
      <w:r w:rsidR="00E62CCC" w:rsidRPr="00291752">
        <w:rPr>
          <w:lang w:val="fr-FR"/>
        </w:rPr>
        <w:t xml:space="preserve">la </w:t>
      </w:r>
      <w:r w:rsidR="00202F38" w:rsidRPr="00291752">
        <w:rPr>
          <w:lang w:val="fr-FR"/>
        </w:rPr>
        <w:t>condition expresse ou implicite qu’Industrie Canada délivrerait moins de six lice</w:t>
      </w:r>
      <w:r w:rsidR="00720E88" w:rsidRPr="00291752">
        <w:rPr>
          <w:lang w:val="fr-FR"/>
        </w:rPr>
        <w:t>nces uniquement si moins de six </w:t>
      </w:r>
      <w:r w:rsidR="00202F38" w:rsidRPr="00291752">
        <w:rPr>
          <w:lang w:val="fr-FR"/>
        </w:rPr>
        <w:t xml:space="preserve">demandes répondaient aux critères. </w:t>
      </w:r>
      <w:r w:rsidRPr="00291752">
        <w:rPr>
          <w:lang w:val="fr-FR"/>
        </w:rPr>
        <w:t xml:space="preserve"> </w:t>
      </w:r>
      <w:r w:rsidR="00202F38" w:rsidRPr="00291752">
        <w:rPr>
          <w:lang w:val="fr-FR"/>
        </w:rPr>
        <w:t>Puisque, aux dires de T, sa demande satis</w:t>
      </w:r>
      <w:r w:rsidR="00E62CCC" w:rsidRPr="00291752">
        <w:rPr>
          <w:lang w:val="fr-FR"/>
        </w:rPr>
        <w:t>faisait à tous l</w:t>
      </w:r>
      <w:r w:rsidR="00096955" w:rsidRPr="00291752">
        <w:rPr>
          <w:lang w:val="fr-FR"/>
        </w:rPr>
        <w:t xml:space="preserve">es critères, </w:t>
      </w:r>
      <w:r w:rsidRPr="00291752">
        <w:rPr>
          <w:lang w:val="fr-FR"/>
        </w:rPr>
        <w:t>Industr</w:t>
      </w:r>
      <w:r w:rsidR="00096955" w:rsidRPr="00291752">
        <w:rPr>
          <w:lang w:val="fr-FR"/>
        </w:rPr>
        <w:t>ie</w:t>
      </w:r>
      <w:r w:rsidRPr="00291752">
        <w:rPr>
          <w:lang w:val="fr-FR"/>
        </w:rPr>
        <w:t xml:space="preserve"> Canada</w:t>
      </w:r>
      <w:r w:rsidR="00096955" w:rsidRPr="00291752">
        <w:rPr>
          <w:lang w:val="fr-FR"/>
        </w:rPr>
        <w:t xml:space="preserve"> a dû appliquer d’autres facteurs, non communiqués, pour la rejeter. </w:t>
      </w:r>
      <w:r w:rsidRPr="00291752">
        <w:rPr>
          <w:lang w:val="fr-FR"/>
        </w:rPr>
        <w:t xml:space="preserve"> </w:t>
      </w:r>
      <w:r w:rsidR="00096955" w:rsidRPr="00291752">
        <w:rPr>
          <w:lang w:val="fr-FR"/>
        </w:rPr>
        <w:t xml:space="preserve">Se fondant sur </w:t>
      </w:r>
      <w:r w:rsidRPr="00291752">
        <w:rPr>
          <w:i/>
          <w:lang w:val="fr-FR"/>
        </w:rPr>
        <w:t xml:space="preserve">Canada </w:t>
      </w:r>
      <w:r w:rsidR="00096955" w:rsidRPr="00291752">
        <w:rPr>
          <w:i/>
          <w:lang w:val="fr-FR"/>
        </w:rPr>
        <w:t>c</w:t>
      </w:r>
      <w:r w:rsidRPr="00291752">
        <w:rPr>
          <w:i/>
          <w:lang w:val="fr-FR"/>
        </w:rPr>
        <w:t>. Grenier</w:t>
      </w:r>
      <w:r w:rsidRPr="00291752">
        <w:rPr>
          <w:lang w:val="fr-FR"/>
        </w:rPr>
        <w:t>, 2005 CA</w:t>
      </w:r>
      <w:r w:rsidR="00096955" w:rsidRPr="00291752">
        <w:rPr>
          <w:lang w:val="fr-FR"/>
        </w:rPr>
        <w:t>F</w:t>
      </w:r>
      <w:r w:rsidRPr="00291752">
        <w:rPr>
          <w:lang w:val="fr-FR"/>
        </w:rPr>
        <w:t xml:space="preserve"> 348, [2006] 2 </w:t>
      </w:r>
      <w:r w:rsidR="00096955" w:rsidRPr="00291752">
        <w:rPr>
          <w:lang w:val="fr-FR"/>
        </w:rPr>
        <w:t>R.C.F</w:t>
      </w:r>
      <w:r w:rsidRPr="00291752">
        <w:rPr>
          <w:lang w:val="fr-FR"/>
        </w:rPr>
        <w:t>. 287,</w:t>
      </w:r>
      <w:r w:rsidR="00096955" w:rsidRPr="00291752">
        <w:rPr>
          <w:lang w:val="fr-FR"/>
        </w:rPr>
        <w:t xml:space="preserve"> le </w:t>
      </w:r>
      <w:r w:rsidR="002D0FA6" w:rsidRPr="00291752">
        <w:rPr>
          <w:lang w:val="fr-FR"/>
        </w:rPr>
        <w:t>procureur général</w:t>
      </w:r>
      <w:r w:rsidR="009B0181" w:rsidRPr="00291752">
        <w:rPr>
          <w:lang w:val="fr-FR"/>
        </w:rPr>
        <w:t xml:space="preserve"> du Canada</w:t>
      </w:r>
      <w:r w:rsidR="002D0FA6" w:rsidRPr="00291752">
        <w:rPr>
          <w:lang w:val="fr-FR"/>
        </w:rPr>
        <w:t xml:space="preserve"> a contesté la </w:t>
      </w:r>
      <w:r w:rsidR="002D0FA6" w:rsidRPr="00291752">
        <w:rPr>
          <w:lang w:val="fr-FR"/>
        </w:rPr>
        <w:lastRenderedPageBreak/>
        <w:t>comp</w:t>
      </w:r>
      <w:r w:rsidR="00985563" w:rsidRPr="00291752">
        <w:rPr>
          <w:lang w:val="fr-FR"/>
        </w:rPr>
        <w:t>étence de la Cour </w:t>
      </w:r>
      <w:r w:rsidR="002D0FA6" w:rsidRPr="00291752">
        <w:rPr>
          <w:lang w:val="fr-FR"/>
        </w:rPr>
        <w:t xml:space="preserve">supérieure de justice au motif que la demande </w:t>
      </w:r>
      <w:r w:rsidR="00E62CCC" w:rsidRPr="00291752">
        <w:rPr>
          <w:lang w:val="fr-FR"/>
        </w:rPr>
        <w:t>était une contestation indirecte de</w:t>
      </w:r>
      <w:r w:rsidR="002D0FA6" w:rsidRPr="00291752">
        <w:rPr>
          <w:lang w:val="fr-FR"/>
        </w:rPr>
        <w:t xml:space="preserve"> la décision, ce qui est interdit compte tenu de la compétence exclusive accordé</w:t>
      </w:r>
      <w:r w:rsidR="00482503" w:rsidRPr="00291752">
        <w:rPr>
          <w:lang w:val="fr-FR"/>
        </w:rPr>
        <w:t>e à la Cour fédérale par l’art. </w:t>
      </w:r>
      <w:r w:rsidR="002D0FA6" w:rsidRPr="00291752">
        <w:rPr>
          <w:lang w:val="fr-FR"/>
        </w:rPr>
        <w:t xml:space="preserve">18 de la </w:t>
      </w:r>
      <w:r w:rsidR="002D0FA6" w:rsidRPr="00291752">
        <w:rPr>
          <w:i/>
          <w:lang w:val="fr-FR"/>
        </w:rPr>
        <w:t>Loi sur les Cours fédérales</w:t>
      </w:r>
      <w:r w:rsidR="002D0FA6" w:rsidRPr="00291752">
        <w:rPr>
          <w:lang w:val="fr-FR"/>
        </w:rPr>
        <w:t xml:space="preserve"> </w:t>
      </w:r>
      <w:r w:rsidR="00AA505D" w:rsidRPr="00291752">
        <w:rPr>
          <w:lang w:val="fr-FR"/>
        </w:rPr>
        <w:t>(</w:t>
      </w:r>
      <w:r w:rsidR="00455D17" w:rsidRPr="00291752">
        <w:rPr>
          <w:lang w:val="fr-FR"/>
        </w:rPr>
        <w:t>« </w:t>
      </w:r>
      <w:r w:rsidR="00AA505D" w:rsidRPr="00291752">
        <w:rPr>
          <w:i/>
          <w:lang w:val="fr-FR"/>
        </w:rPr>
        <w:t>LCF</w:t>
      </w:r>
      <w:r w:rsidR="00482503" w:rsidRPr="00291752">
        <w:rPr>
          <w:i/>
          <w:lang w:val="fr-FR"/>
        </w:rPr>
        <w:t> </w:t>
      </w:r>
      <w:r w:rsidR="00AA505D" w:rsidRPr="00291752">
        <w:rPr>
          <w:lang w:val="fr-FR"/>
        </w:rPr>
        <w:t xml:space="preserve">») </w:t>
      </w:r>
      <w:r w:rsidR="002D0FA6" w:rsidRPr="00291752">
        <w:rPr>
          <w:lang w:val="fr-FR"/>
        </w:rPr>
        <w:t xml:space="preserve">en matière de contrôle judiciaire des décisions de tout office fédéral. </w:t>
      </w:r>
      <w:r w:rsidRPr="00291752">
        <w:rPr>
          <w:lang w:val="fr-FR"/>
        </w:rPr>
        <w:t xml:space="preserve"> </w:t>
      </w:r>
      <w:r w:rsidR="002D0FA6" w:rsidRPr="00291752">
        <w:rPr>
          <w:lang w:val="fr-FR"/>
        </w:rPr>
        <w:t xml:space="preserve">La Cour supérieure </w:t>
      </w:r>
      <w:r w:rsidR="00E62CCC" w:rsidRPr="00291752">
        <w:rPr>
          <w:lang w:val="fr-FR"/>
        </w:rPr>
        <w:t xml:space="preserve">a rejeté cette </w:t>
      </w:r>
      <w:r w:rsidR="00012C94" w:rsidRPr="00291752">
        <w:rPr>
          <w:lang w:val="fr-FR"/>
        </w:rPr>
        <w:t xml:space="preserve">objection parce que la demande n’était pas manifestement vouée à l’échec. </w:t>
      </w:r>
      <w:r w:rsidRPr="00291752">
        <w:rPr>
          <w:lang w:val="fr-FR"/>
        </w:rPr>
        <w:t xml:space="preserve"> </w:t>
      </w:r>
      <w:r w:rsidR="00012C94" w:rsidRPr="00291752">
        <w:rPr>
          <w:lang w:val="fr-FR"/>
        </w:rPr>
        <w:t xml:space="preserve">La Cour d’appel a maintenu la décision, </w:t>
      </w:r>
      <w:r w:rsidR="00021065" w:rsidRPr="00291752">
        <w:rPr>
          <w:lang w:val="fr-FR"/>
        </w:rPr>
        <w:t xml:space="preserve">estimant que l’arrêt </w:t>
      </w:r>
      <w:r w:rsidR="00021065" w:rsidRPr="00291752">
        <w:rPr>
          <w:i/>
          <w:lang w:val="fr-FR"/>
        </w:rPr>
        <w:t>Grenier</w:t>
      </w:r>
      <w:r w:rsidR="00021065" w:rsidRPr="00291752">
        <w:rPr>
          <w:lang w:val="fr-FR"/>
        </w:rPr>
        <w:t xml:space="preserve"> est incorrect.  </w:t>
      </w:r>
      <w:r w:rsidR="00E62CCC" w:rsidRPr="00291752">
        <w:rPr>
          <w:lang w:val="fr-FR"/>
        </w:rPr>
        <w:t>Selon elle,</w:t>
      </w:r>
      <w:r w:rsidR="00482503" w:rsidRPr="00291752">
        <w:rPr>
          <w:lang w:val="fr-FR"/>
        </w:rPr>
        <w:t xml:space="preserve"> l’art. </w:t>
      </w:r>
      <w:r w:rsidR="00012C94" w:rsidRPr="00291752">
        <w:rPr>
          <w:lang w:val="fr-FR"/>
        </w:rPr>
        <w:t xml:space="preserve">17 de la </w:t>
      </w:r>
      <w:r w:rsidR="00985563" w:rsidRPr="00291752">
        <w:rPr>
          <w:i/>
          <w:lang w:val="fr-FR"/>
        </w:rPr>
        <w:t>L</w:t>
      </w:r>
      <w:r w:rsidR="00AA505D" w:rsidRPr="00291752">
        <w:rPr>
          <w:i/>
          <w:lang w:val="fr-FR"/>
        </w:rPr>
        <w:t xml:space="preserve">CF </w:t>
      </w:r>
      <w:r w:rsidR="00985563" w:rsidRPr="00291752">
        <w:rPr>
          <w:lang w:val="fr-FR"/>
        </w:rPr>
        <w:t>et l’art.</w:t>
      </w:r>
      <w:r w:rsidR="00C629FE" w:rsidRPr="00291752">
        <w:rPr>
          <w:lang w:val="fr-FR"/>
        </w:rPr>
        <w:t> </w:t>
      </w:r>
      <w:r w:rsidRPr="00291752">
        <w:rPr>
          <w:lang w:val="fr-FR"/>
        </w:rPr>
        <w:t xml:space="preserve">21 </w:t>
      </w:r>
      <w:r w:rsidR="00985563" w:rsidRPr="00291752">
        <w:rPr>
          <w:lang w:val="fr-FR"/>
        </w:rPr>
        <w:t xml:space="preserve">de la </w:t>
      </w:r>
      <w:r w:rsidR="00985563" w:rsidRPr="00291752">
        <w:rPr>
          <w:i/>
          <w:lang w:val="fr-FR"/>
        </w:rPr>
        <w:t xml:space="preserve">Loi sur la responsabilité civile de l’État et le contentieux </w:t>
      </w:r>
      <w:r w:rsidR="00455D17" w:rsidRPr="00291752">
        <w:rPr>
          <w:i/>
          <w:lang w:val="fr-FR"/>
        </w:rPr>
        <w:t xml:space="preserve">administratif </w:t>
      </w:r>
      <w:r w:rsidR="00985563" w:rsidRPr="00291752">
        <w:rPr>
          <w:lang w:val="fr-FR"/>
        </w:rPr>
        <w:t>confèrent aux cours supérieures et à la Cour fédérale une compétence concurrente à l’égard des demandes de réparatio</w:t>
      </w:r>
      <w:r w:rsidR="00C629FE" w:rsidRPr="00291752">
        <w:rPr>
          <w:lang w:val="fr-FR"/>
        </w:rPr>
        <w:t>n contre la Couronne, et l’art. </w:t>
      </w:r>
      <w:r w:rsidR="00985563" w:rsidRPr="00291752">
        <w:rPr>
          <w:lang w:val="fr-FR"/>
        </w:rPr>
        <w:t xml:space="preserve">18 de la </w:t>
      </w:r>
      <w:r w:rsidR="00985563" w:rsidRPr="00291752">
        <w:rPr>
          <w:i/>
          <w:lang w:val="fr-FR"/>
        </w:rPr>
        <w:t>L</w:t>
      </w:r>
      <w:r w:rsidR="00AA505D" w:rsidRPr="00291752">
        <w:rPr>
          <w:i/>
          <w:lang w:val="fr-FR"/>
        </w:rPr>
        <w:t xml:space="preserve">CF </w:t>
      </w:r>
      <w:r w:rsidR="00985563" w:rsidRPr="00291752">
        <w:rPr>
          <w:lang w:val="fr-FR"/>
        </w:rPr>
        <w:t>n’a pas soustrait l’action en dommages</w:t>
      </w:r>
      <w:r w:rsidR="00A16E3A" w:rsidRPr="00291752">
        <w:rPr>
          <w:lang w:val="fr-FR"/>
        </w:rPr>
        <w:t>-</w:t>
      </w:r>
      <w:r w:rsidR="00985563" w:rsidRPr="00291752">
        <w:rPr>
          <w:lang w:val="fr-FR"/>
        </w:rPr>
        <w:t>intérêts de la compétence des cours supérieures.</w:t>
      </w:r>
    </w:p>
    <w:p w:rsidR="007834A8" w:rsidRPr="00291752" w:rsidRDefault="007834A8" w:rsidP="005323CA">
      <w:pPr>
        <w:pStyle w:val="SCCNormalDoubleSpacing"/>
        <w:tabs>
          <w:tab w:val="left" w:pos="1170"/>
        </w:tabs>
        <w:rPr>
          <w:lang w:val="fr-FR"/>
        </w:rPr>
      </w:pPr>
    </w:p>
    <w:p w:rsidR="008322BD" w:rsidRPr="00291752" w:rsidRDefault="009B57B3" w:rsidP="005323CA">
      <w:pPr>
        <w:pStyle w:val="SCCNormalDoubleSpacing"/>
        <w:tabs>
          <w:tab w:val="left" w:pos="1170"/>
        </w:tabs>
        <w:rPr>
          <w:lang w:val="fr-CA"/>
        </w:rPr>
      </w:pPr>
      <w:r w:rsidRPr="00291752">
        <w:rPr>
          <w:lang w:val="fr-FR"/>
        </w:rPr>
        <w:tab/>
      </w:r>
      <w:r w:rsidR="00455D17" w:rsidRPr="00291752">
        <w:rPr>
          <w:i/>
          <w:lang w:val="fr-CA"/>
        </w:rPr>
        <w:t>Arrêt </w:t>
      </w:r>
      <w:r w:rsidRPr="00291752">
        <w:rPr>
          <w:rStyle w:val="QuoteChar"/>
          <w:i w:val="0"/>
          <w:color w:val="auto"/>
          <w:lang w:val="fr-CA"/>
        </w:rPr>
        <w:t>:</w:t>
      </w:r>
      <w:r w:rsidRPr="00291752">
        <w:rPr>
          <w:lang w:val="fr-CA"/>
        </w:rPr>
        <w:t xml:space="preserve"> </w:t>
      </w:r>
      <w:r w:rsidR="0043088E" w:rsidRPr="00291752">
        <w:rPr>
          <w:lang w:val="fr-CA"/>
        </w:rPr>
        <w:t>Le pourvoi est</w:t>
      </w:r>
      <w:r w:rsidR="00985563" w:rsidRPr="00291752">
        <w:rPr>
          <w:lang w:val="fr-CA"/>
        </w:rPr>
        <w:t xml:space="preserve"> rejeté.</w:t>
      </w:r>
    </w:p>
    <w:p w:rsidR="007834A8" w:rsidRPr="00291752" w:rsidRDefault="007834A8" w:rsidP="005323CA">
      <w:pPr>
        <w:pStyle w:val="SCCNormalDoubleSpacing"/>
        <w:tabs>
          <w:tab w:val="left" w:pos="1170"/>
        </w:tabs>
        <w:rPr>
          <w:lang w:val="fr-CA"/>
        </w:rPr>
      </w:pPr>
    </w:p>
    <w:p w:rsidR="00416AC2" w:rsidRPr="00291752" w:rsidRDefault="009B57B3" w:rsidP="005323CA">
      <w:pPr>
        <w:pStyle w:val="SCCNormalDoubleSpacing"/>
        <w:tabs>
          <w:tab w:val="left" w:pos="1170"/>
        </w:tabs>
        <w:rPr>
          <w:lang w:val="fr-CA"/>
        </w:rPr>
      </w:pPr>
      <w:r w:rsidRPr="00291752">
        <w:rPr>
          <w:lang w:val="fr-CA"/>
        </w:rPr>
        <w:tab/>
      </w:r>
      <w:r w:rsidR="00021065" w:rsidRPr="00291752">
        <w:rPr>
          <w:lang w:val="fr-CA"/>
        </w:rPr>
        <w:t xml:space="preserve">Le pourvoi porte essentiellement sur l’accès à la justice.  Les personnes qui prétendent avoir subi un préjudice attribuable à une mesure administrative doivent pouvoir exercer les recours autorisés par la loi au moyen de procédures réduisant au minimum les frais et complexités inutiles.  La Cour </w:t>
      </w:r>
      <w:r w:rsidR="007C1344" w:rsidRPr="00291752">
        <w:rPr>
          <w:lang w:val="fr-CA"/>
        </w:rPr>
        <w:t>doit adopter une approche</w:t>
      </w:r>
      <w:r w:rsidR="00021065" w:rsidRPr="00291752">
        <w:rPr>
          <w:lang w:val="fr-CA"/>
        </w:rPr>
        <w:t xml:space="preserve"> pratique et pragmatique en gardant cet objectif à l’esprit. </w:t>
      </w:r>
      <w:r w:rsidR="007C1344" w:rsidRPr="00291752">
        <w:rPr>
          <w:lang w:val="fr-CA"/>
        </w:rPr>
        <w:t>Appliquer</w:t>
      </w:r>
      <w:r w:rsidR="00CC0B1C" w:rsidRPr="00291752">
        <w:rPr>
          <w:lang w:val="fr-CA"/>
        </w:rPr>
        <w:t xml:space="preserve"> </w:t>
      </w:r>
      <w:r w:rsidR="00416AC2" w:rsidRPr="00291752">
        <w:rPr>
          <w:i/>
          <w:lang w:val="fr-CA"/>
        </w:rPr>
        <w:t>Grenier</w:t>
      </w:r>
      <w:r w:rsidR="00416AC2" w:rsidRPr="00291752">
        <w:rPr>
          <w:lang w:val="fr-CA"/>
        </w:rPr>
        <w:t xml:space="preserve"> </w:t>
      </w:r>
      <w:r w:rsidR="00CC0B1C" w:rsidRPr="00291752">
        <w:rPr>
          <w:lang w:val="fr-CA"/>
        </w:rPr>
        <w:t xml:space="preserve">tendrait à miner l’efficacité des réformes mises en place </w:t>
      </w:r>
      <w:r w:rsidR="007C1344" w:rsidRPr="00291752">
        <w:rPr>
          <w:lang w:val="fr-CA"/>
        </w:rPr>
        <w:t xml:space="preserve">par la </w:t>
      </w:r>
      <w:r w:rsidR="007C1344" w:rsidRPr="00291752">
        <w:rPr>
          <w:i/>
          <w:lang w:val="fr-CA"/>
        </w:rPr>
        <w:t>LCF</w:t>
      </w:r>
      <w:r w:rsidR="007C1344" w:rsidRPr="00291752">
        <w:rPr>
          <w:lang w:val="fr-CA"/>
        </w:rPr>
        <w:t xml:space="preserve"> </w:t>
      </w:r>
      <w:r w:rsidR="00CC0B1C" w:rsidRPr="00291752">
        <w:rPr>
          <w:lang w:val="fr-CA"/>
        </w:rPr>
        <w:t>au début des années 1990</w:t>
      </w:r>
      <w:r w:rsidR="007C1344" w:rsidRPr="00291752">
        <w:rPr>
          <w:lang w:val="fr-CA"/>
        </w:rPr>
        <w:t>,</w:t>
      </w:r>
      <w:r w:rsidR="00CC0B1C" w:rsidRPr="00291752">
        <w:rPr>
          <w:lang w:val="fr-CA"/>
        </w:rPr>
        <w:t xml:space="preserve"> </w:t>
      </w:r>
      <w:r w:rsidR="009B0181" w:rsidRPr="00291752">
        <w:rPr>
          <w:lang w:val="fr-CA"/>
        </w:rPr>
        <w:t xml:space="preserve">en </w:t>
      </w:r>
      <w:r w:rsidR="00CC0B1C" w:rsidRPr="00291752">
        <w:rPr>
          <w:lang w:val="fr-CA"/>
        </w:rPr>
        <w:t xml:space="preserve">maintenant l’exclusivité juridictionnelle de la Cour fédérale à l’égard d’un élément fondamental </w:t>
      </w:r>
      <w:r w:rsidR="002278EB" w:rsidRPr="00291752">
        <w:rPr>
          <w:lang w:val="fr-CA"/>
        </w:rPr>
        <w:t xml:space="preserve">de nombreux recours instruits devant les cours provinciales, en dépit de la promesse du législateur de donner au demandeur le choix du </w:t>
      </w:r>
      <w:r w:rsidR="00292ADC" w:rsidRPr="00291752">
        <w:rPr>
          <w:lang w:val="fr-CA"/>
        </w:rPr>
        <w:t xml:space="preserve">tribunal et de </w:t>
      </w:r>
      <w:r w:rsidR="00C72E50" w:rsidRPr="00291752">
        <w:rPr>
          <w:lang w:val="fr-CA"/>
        </w:rPr>
        <w:lastRenderedPageBreak/>
        <w:t>permettre</w:t>
      </w:r>
      <w:r w:rsidR="00292ADC" w:rsidRPr="00291752">
        <w:rPr>
          <w:lang w:val="fr-CA"/>
        </w:rPr>
        <w:t xml:space="preserve"> aux parties l’accès aux cours supérieures provinciales</w:t>
      </w:r>
      <w:r w:rsidR="00021065" w:rsidRPr="00291752">
        <w:rPr>
          <w:lang w:val="fr-CA"/>
        </w:rPr>
        <w:t>, « dans les cas de demande de réparation contre la Couronne » fédérale, sauf disposition contraire</w:t>
      </w:r>
      <w:r w:rsidR="00292ADC" w:rsidRPr="00291752">
        <w:rPr>
          <w:lang w:val="fr-CA"/>
        </w:rPr>
        <w:t xml:space="preserve">. </w:t>
      </w:r>
    </w:p>
    <w:p w:rsidR="00416AC2" w:rsidRPr="00291752" w:rsidRDefault="00416AC2" w:rsidP="005323CA">
      <w:pPr>
        <w:pStyle w:val="SCCNormalDoubleSpacing"/>
        <w:tabs>
          <w:tab w:val="left" w:pos="1170"/>
        </w:tabs>
        <w:rPr>
          <w:lang w:val="fr-CA"/>
        </w:rPr>
      </w:pPr>
    </w:p>
    <w:p w:rsidR="006503A9" w:rsidRPr="00291752" w:rsidRDefault="00416AC2" w:rsidP="005323CA">
      <w:pPr>
        <w:pStyle w:val="SCCNormalDoubleSpacing"/>
        <w:tabs>
          <w:tab w:val="left" w:pos="1170"/>
        </w:tabs>
        <w:rPr>
          <w:lang w:val="fr-CA"/>
        </w:rPr>
      </w:pPr>
      <w:r w:rsidRPr="00291752">
        <w:rPr>
          <w:lang w:val="fr-CA"/>
        </w:rPr>
        <w:tab/>
      </w:r>
      <w:r w:rsidR="00292ADC" w:rsidRPr="00291752">
        <w:rPr>
          <w:lang w:val="fr-CA"/>
        </w:rPr>
        <w:t>Sous réserve de restrictions constitutionnelles,</w:t>
      </w:r>
      <w:r w:rsidR="00F66E8E" w:rsidRPr="00291752">
        <w:rPr>
          <w:lang w:val="fr-CA"/>
        </w:rPr>
        <w:t xml:space="preserve"> dont aucune n’est pertinente en l’espèce,</w:t>
      </w:r>
      <w:r w:rsidR="00292ADC" w:rsidRPr="00291752">
        <w:rPr>
          <w:lang w:val="fr-CA"/>
        </w:rPr>
        <w:t xml:space="preserve"> le législateur peut transférer un pouvoir appartenant aux cours supérieures à d’autres organismes juridictionnels, comme la Cour fédérale. </w:t>
      </w:r>
      <w:r w:rsidR="007C1344" w:rsidRPr="00291752">
        <w:rPr>
          <w:lang w:val="fr-CA"/>
        </w:rPr>
        <w:t xml:space="preserve"> </w:t>
      </w:r>
      <w:r w:rsidR="00292ADC" w:rsidRPr="00291752">
        <w:rPr>
          <w:lang w:val="fr-CA"/>
        </w:rPr>
        <w:t>Cependant, la compétence des cours supérieures provinciales</w:t>
      </w:r>
      <w:r w:rsidR="00BC2793" w:rsidRPr="00291752">
        <w:rPr>
          <w:lang w:val="fr-CA"/>
        </w:rPr>
        <w:t xml:space="preserve"> ne peut être amoindrie</w:t>
      </w:r>
      <w:r w:rsidR="00292ADC" w:rsidRPr="00291752">
        <w:rPr>
          <w:lang w:val="fr-CA"/>
        </w:rPr>
        <w:t xml:space="preserve"> (en fave</w:t>
      </w:r>
      <w:r w:rsidRPr="00291752">
        <w:rPr>
          <w:lang w:val="fr-CA"/>
        </w:rPr>
        <w:t xml:space="preserve">ur </w:t>
      </w:r>
      <w:r w:rsidR="00292ADC" w:rsidRPr="00291752">
        <w:rPr>
          <w:lang w:val="fr-CA"/>
        </w:rPr>
        <w:t>de la Cour fédérale ou d’un autre tribunal</w:t>
      </w:r>
      <w:r w:rsidRPr="00291752">
        <w:rPr>
          <w:lang w:val="fr-CA"/>
        </w:rPr>
        <w:t xml:space="preserve">) </w:t>
      </w:r>
      <w:r w:rsidR="00292ADC" w:rsidRPr="00291752">
        <w:rPr>
          <w:lang w:val="fr-CA"/>
        </w:rPr>
        <w:t xml:space="preserve">que si une disposition législative claire le prévoit expressément. </w:t>
      </w:r>
      <w:r w:rsidRPr="00291752">
        <w:rPr>
          <w:lang w:val="fr-FR"/>
        </w:rPr>
        <w:t xml:space="preserve"> </w:t>
      </w:r>
      <w:r w:rsidR="00BC2793" w:rsidRPr="00291752">
        <w:rPr>
          <w:lang w:val="fr-FR"/>
        </w:rPr>
        <w:t>Aucune disposition de</w:t>
      </w:r>
      <w:r w:rsidR="00AA505D" w:rsidRPr="00291752">
        <w:rPr>
          <w:lang w:val="fr-FR"/>
        </w:rPr>
        <w:t xml:space="preserve"> la </w:t>
      </w:r>
      <w:r w:rsidR="00AA505D" w:rsidRPr="00291752">
        <w:rPr>
          <w:i/>
          <w:lang w:val="fr-FR"/>
        </w:rPr>
        <w:t xml:space="preserve">LCF </w:t>
      </w:r>
      <w:r w:rsidR="00AA505D" w:rsidRPr="00291752">
        <w:rPr>
          <w:lang w:val="fr-FR"/>
        </w:rPr>
        <w:t xml:space="preserve">ne </w:t>
      </w:r>
      <w:r w:rsidR="00BC2793" w:rsidRPr="00291752">
        <w:rPr>
          <w:lang w:val="fr-FR"/>
        </w:rPr>
        <w:t>répond à ce critère</w:t>
      </w:r>
      <w:r w:rsidRPr="00291752">
        <w:rPr>
          <w:lang w:val="fr-FR"/>
        </w:rPr>
        <w:t xml:space="preserve">.  </w:t>
      </w:r>
      <w:r w:rsidR="00AA505D" w:rsidRPr="00291752">
        <w:rPr>
          <w:lang w:val="fr-FR"/>
        </w:rPr>
        <w:t>L’octroi explicite aux cours supérieures provinciales d’une compétence concurrente en matière de demandes de réparati</w:t>
      </w:r>
      <w:r w:rsidR="00482503" w:rsidRPr="00291752">
        <w:rPr>
          <w:lang w:val="fr-FR"/>
        </w:rPr>
        <w:t>on contre la Couronne, à l’art.</w:t>
      </w:r>
      <w:r w:rsidR="00C629FE" w:rsidRPr="00291752">
        <w:rPr>
          <w:lang w:val="fr-FR"/>
        </w:rPr>
        <w:t> </w:t>
      </w:r>
      <w:r w:rsidRPr="00291752">
        <w:rPr>
          <w:lang w:val="fr-FR"/>
        </w:rPr>
        <w:t xml:space="preserve">17 </w:t>
      </w:r>
      <w:r w:rsidR="00AA505D" w:rsidRPr="00291752">
        <w:rPr>
          <w:lang w:val="fr-FR"/>
        </w:rPr>
        <w:t>de cette loi</w:t>
      </w:r>
      <w:r w:rsidRPr="00291752">
        <w:rPr>
          <w:lang w:val="fr-FR"/>
        </w:rPr>
        <w:t xml:space="preserve"> (</w:t>
      </w:r>
      <w:r w:rsidR="00BC2793" w:rsidRPr="00291752">
        <w:rPr>
          <w:lang w:val="fr-FR"/>
        </w:rPr>
        <w:t>et</w:t>
      </w:r>
      <w:r w:rsidR="007C1344" w:rsidRPr="00291752">
        <w:rPr>
          <w:lang w:val="fr-FR"/>
        </w:rPr>
        <w:t xml:space="preserve"> </w:t>
      </w:r>
      <w:r w:rsidR="00AA505D" w:rsidRPr="00291752">
        <w:rPr>
          <w:lang w:val="fr-FR"/>
        </w:rPr>
        <w:t>à l’art. </w:t>
      </w:r>
      <w:r w:rsidRPr="00291752">
        <w:rPr>
          <w:lang w:val="fr-FR"/>
        </w:rPr>
        <w:t xml:space="preserve">21 </w:t>
      </w:r>
      <w:r w:rsidR="00AA505D" w:rsidRPr="00291752">
        <w:rPr>
          <w:lang w:val="fr-FR"/>
        </w:rPr>
        <w:t xml:space="preserve">de la </w:t>
      </w:r>
      <w:r w:rsidR="00AA505D" w:rsidRPr="00291752">
        <w:rPr>
          <w:i/>
          <w:lang w:val="fr-FR"/>
        </w:rPr>
        <w:t>Loi sur la responsabilité civile de l’État et le contentieux administratif</w:t>
      </w:r>
      <w:r w:rsidRPr="00291752">
        <w:rPr>
          <w:lang w:val="fr-FR"/>
        </w:rPr>
        <w:t xml:space="preserve">) </w:t>
      </w:r>
      <w:r w:rsidR="00C72E50" w:rsidRPr="00291752">
        <w:rPr>
          <w:lang w:val="fr-CA"/>
        </w:rPr>
        <w:t xml:space="preserve">réfute directement </w:t>
      </w:r>
      <w:r w:rsidR="00C72E50" w:rsidRPr="00291752">
        <w:rPr>
          <w:lang w:val="fr-FR"/>
        </w:rPr>
        <w:t>l’argument du procureur général</w:t>
      </w:r>
      <w:r w:rsidRPr="00291752">
        <w:rPr>
          <w:lang w:val="fr-FR"/>
        </w:rPr>
        <w:t xml:space="preserve">.  </w:t>
      </w:r>
      <w:r w:rsidR="00BC2793" w:rsidRPr="00291752">
        <w:rPr>
          <w:lang w:val="fr-FR"/>
        </w:rPr>
        <w:t>Il faut voir l</w:t>
      </w:r>
      <w:r w:rsidR="00C72E50" w:rsidRPr="00291752">
        <w:rPr>
          <w:lang w:val="fr-CA"/>
        </w:rPr>
        <w:t>’attribution de la compétence exclusive en matière de contrôle judiciaire des décisions de l’a</w:t>
      </w:r>
      <w:r w:rsidR="00482503" w:rsidRPr="00291752">
        <w:rPr>
          <w:lang w:val="fr-CA"/>
        </w:rPr>
        <w:t>dministration fédérale à l’art. </w:t>
      </w:r>
      <w:r w:rsidR="00C72E50" w:rsidRPr="00291752">
        <w:rPr>
          <w:lang w:val="fr-CA"/>
        </w:rPr>
        <w:t xml:space="preserve">18 </w:t>
      </w:r>
      <w:r w:rsidR="00E40FDF" w:rsidRPr="00291752">
        <w:rPr>
          <w:lang w:val="fr-CA"/>
        </w:rPr>
        <w:t>comme une réserve ou une exception à l</w:t>
      </w:r>
      <w:r w:rsidR="007C1344" w:rsidRPr="00291752">
        <w:rPr>
          <w:lang w:val="fr-CA"/>
        </w:rPr>
        <w:t>’attribution d’une</w:t>
      </w:r>
      <w:r w:rsidR="00E40FDF" w:rsidRPr="00291752">
        <w:rPr>
          <w:lang w:val="fr-CA"/>
        </w:rPr>
        <w:t xml:space="preserve"> compétence concurrente plus générale </w:t>
      </w:r>
      <w:r w:rsidR="007C1344" w:rsidRPr="00291752">
        <w:rPr>
          <w:lang w:val="fr-CA"/>
        </w:rPr>
        <w:t>à</w:t>
      </w:r>
      <w:r w:rsidR="00482503" w:rsidRPr="00291752">
        <w:rPr>
          <w:lang w:val="fr-CA"/>
        </w:rPr>
        <w:t xml:space="preserve"> l’art. 17 « </w:t>
      </w:r>
      <w:r w:rsidR="00E40FDF" w:rsidRPr="00291752">
        <w:rPr>
          <w:lang w:val="fr-CA"/>
        </w:rPr>
        <w:t>dans les cas de demande de réparation contre la Couronne »</w:t>
      </w:r>
      <w:r w:rsidR="00E40FDF" w:rsidRPr="00291752">
        <w:rPr>
          <w:lang w:val="fr-FR"/>
        </w:rPr>
        <w:t xml:space="preserve"> fédérale.  Cette réserve ou exception </w:t>
      </w:r>
      <w:r w:rsidR="00E40FDF" w:rsidRPr="00291752">
        <w:rPr>
          <w:lang w:val="fr-CA"/>
        </w:rPr>
        <w:t xml:space="preserve">est énoncée à l’art. 18 de la </w:t>
      </w:r>
      <w:r w:rsidR="00E40FDF" w:rsidRPr="00291752">
        <w:rPr>
          <w:i/>
          <w:lang w:val="fr-CA"/>
        </w:rPr>
        <w:t xml:space="preserve">LCF </w:t>
      </w:r>
      <w:r w:rsidR="00E40FDF" w:rsidRPr="00291752">
        <w:rPr>
          <w:lang w:val="fr-CA"/>
        </w:rPr>
        <w:t>sous forme de recours particuliers</w:t>
      </w:r>
      <w:r w:rsidR="00E40FDF" w:rsidRPr="00291752">
        <w:rPr>
          <w:lang w:val="fr-FR"/>
        </w:rPr>
        <w:t xml:space="preserve">. </w:t>
      </w:r>
      <w:r w:rsidRPr="00291752">
        <w:rPr>
          <w:lang w:val="fr-FR"/>
        </w:rPr>
        <w:t xml:space="preserve"> </w:t>
      </w:r>
      <w:r w:rsidR="00C72E50" w:rsidRPr="00291752">
        <w:rPr>
          <w:lang w:val="fr-FR"/>
        </w:rPr>
        <w:t>Tous les recours énumérés sont des recours classiques du droit administratif, et l’octroi de dommages</w:t>
      </w:r>
      <w:r w:rsidR="00A16E3A" w:rsidRPr="00291752">
        <w:rPr>
          <w:lang w:val="fr-FR"/>
        </w:rPr>
        <w:t>-</w:t>
      </w:r>
      <w:r w:rsidR="00C72E50" w:rsidRPr="00291752">
        <w:rPr>
          <w:lang w:val="fr-FR"/>
        </w:rPr>
        <w:t xml:space="preserve">intérêts n’en fait pas partie. </w:t>
      </w:r>
      <w:r w:rsidRPr="00291752">
        <w:rPr>
          <w:lang w:val="fr-FR"/>
        </w:rPr>
        <w:t xml:space="preserve"> </w:t>
      </w:r>
      <w:r w:rsidR="00C72E50" w:rsidRPr="00291752">
        <w:rPr>
          <w:lang w:val="fr-FR"/>
        </w:rPr>
        <w:t xml:space="preserve">L’indemnisation n’est pas possible dans le cadre </w:t>
      </w:r>
      <w:r w:rsidR="00C72E50" w:rsidRPr="00291752">
        <w:rPr>
          <w:lang w:val="fr-CA"/>
        </w:rPr>
        <w:t xml:space="preserve">d’une procédure de contrôle judiciaire; </w:t>
      </w:r>
      <w:r w:rsidR="00D75764" w:rsidRPr="00291752">
        <w:rPr>
          <w:lang w:val="fr-CA"/>
        </w:rPr>
        <w:t>mais</w:t>
      </w:r>
      <w:r w:rsidR="00C72E50" w:rsidRPr="00291752">
        <w:rPr>
          <w:lang w:val="fr-CA"/>
        </w:rPr>
        <w:t xml:space="preserve"> seulement dans le cadre d’une action. </w:t>
      </w:r>
    </w:p>
    <w:p w:rsidR="00D75764" w:rsidRPr="00291752" w:rsidRDefault="00D75764" w:rsidP="005323CA">
      <w:pPr>
        <w:pStyle w:val="SCCNormalDoubleSpacing"/>
        <w:tabs>
          <w:tab w:val="left" w:pos="1170"/>
        </w:tabs>
        <w:rPr>
          <w:lang w:val="fr-CA"/>
        </w:rPr>
      </w:pPr>
    </w:p>
    <w:p w:rsidR="00416AC2" w:rsidRPr="00291752" w:rsidRDefault="005C434E" w:rsidP="005C434E">
      <w:pPr>
        <w:pStyle w:val="SCCNormalDoubleSpacing"/>
        <w:tabs>
          <w:tab w:val="left" w:pos="1170"/>
        </w:tabs>
        <w:rPr>
          <w:lang w:val="fr-CA"/>
        </w:rPr>
      </w:pPr>
      <w:r w:rsidRPr="00291752">
        <w:rPr>
          <w:lang w:val="fr-CA"/>
        </w:rPr>
        <w:lastRenderedPageBreak/>
        <w:tab/>
      </w:r>
      <w:r w:rsidR="006503A9" w:rsidRPr="00291752">
        <w:rPr>
          <w:lang w:val="fr-CA"/>
        </w:rPr>
        <w:t xml:space="preserve">D’autres éléments intrinsèques de la </w:t>
      </w:r>
      <w:r w:rsidR="006503A9" w:rsidRPr="00291752">
        <w:rPr>
          <w:i/>
          <w:lang w:val="fr-CA"/>
        </w:rPr>
        <w:t>LCF</w:t>
      </w:r>
      <w:r w:rsidR="006503A9" w:rsidRPr="00291752">
        <w:rPr>
          <w:lang w:val="fr-CA"/>
        </w:rPr>
        <w:t xml:space="preserve"> indiquent que le législateur ne peut avoir eu l’intention de faire du contrôle judiciaire une épreuve préliminaire comme le laisse entrevoir l’arrêt </w:t>
      </w:r>
      <w:r w:rsidR="006503A9" w:rsidRPr="00291752">
        <w:rPr>
          <w:i/>
          <w:lang w:val="fr-CA"/>
        </w:rPr>
        <w:t>Grenier</w:t>
      </w:r>
      <w:r w:rsidR="00A16E3A" w:rsidRPr="00291752">
        <w:rPr>
          <w:lang w:val="fr-CA"/>
        </w:rPr>
        <w:t>.</w:t>
      </w:r>
      <w:r w:rsidR="006503A9" w:rsidRPr="00291752">
        <w:rPr>
          <w:lang w:val="fr-CA"/>
        </w:rPr>
        <w:t xml:space="preserve"> </w:t>
      </w:r>
      <w:r w:rsidR="00416AC2" w:rsidRPr="00291752">
        <w:rPr>
          <w:lang w:val="fr-CA"/>
        </w:rPr>
        <w:t xml:space="preserve"> </w:t>
      </w:r>
      <w:r w:rsidR="005323CA" w:rsidRPr="00291752">
        <w:rPr>
          <w:lang w:val="fr-CA"/>
        </w:rPr>
        <w:t>Le paragraphe </w:t>
      </w:r>
      <w:r w:rsidR="006503A9" w:rsidRPr="00291752">
        <w:rPr>
          <w:lang w:val="fr-CA"/>
        </w:rPr>
        <w:t>18</w:t>
      </w:r>
      <w:r w:rsidR="00921F1B" w:rsidRPr="00291752">
        <w:rPr>
          <w:lang w:val="fr-CA"/>
        </w:rPr>
        <w:t>.1</w:t>
      </w:r>
      <w:r w:rsidR="006503A9" w:rsidRPr="00291752">
        <w:rPr>
          <w:lang w:val="fr-CA"/>
        </w:rPr>
        <w:t>(2) fixe un</w:t>
      </w:r>
      <w:r w:rsidR="005D46DC" w:rsidRPr="00291752">
        <w:rPr>
          <w:lang w:val="fr-CA"/>
        </w:rPr>
        <w:t xml:space="preserve"> délai de 30</w:t>
      </w:r>
      <w:r w:rsidR="00385BF1" w:rsidRPr="00291752">
        <w:rPr>
          <w:lang w:val="fr-CA"/>
        </w:rPr>
        <w:t xml:space="preserve"> </w:t>
      </w:r>
      <w:r w:rsidR="005D46DC" w:rsidRPr="00291752">
        <w:rPr>
          <w:lang w:val="fr-CA"/>
        </w:rPr>
        <w:t xml:space="preserve">jours </w:t>
      </w:r>
      <w:r w:rsidR="006503A9" w:rsidRPr="00291752">
        <w:rPr>
          <w:lang w:val="fr-CA"/>
        </w:rPr>
        <w:t>pour</w:t>
      </w:r>
      <w:r w:rsidR="005D46DC" w:rsidRPr="00291752">
        <w:rPr>
          <w:lang w:val="fr-CA"/>
        </w:rPr>
        <w:t xml:space="preserve"> la présentation d’une demande de contrôle judiciaire</w:t>
      </w:r>
      <w:r w:rsidR="00416AC2" w:rsidRPr="00291752">
        <w:rPr>
          <w:lang w:val="fr-CA"/>
        </w:rPr>
        <w:t xml:space="preserve">. </w:t>
      </w:r>
      <w:r w:rsidR="00C451E6" w:rsidRPr="00291752">
        <w:rPr>
          <w:lang w:val="fr-CA"/>
        </w:rPr>
        <w:t xml:space="preserve"> </w:t>
      </w:r>
      <w:r w:rsidR="005D46DC" w:rsidRPr="00291752">
        <w:rPr>
          <w:lang w:val="fr-CA"/>
        </w:rPr>
        <w:t>Il ne serait pas réaliste qu’une action en dommag</w:t>
      </w:r>
      <w:r w:rsidR="005323CA" w:rsidRPr="00291752">
        <w:rPr>
          <w:lang w:val="fr-CA"/>
        </w:rPr>
        <w:t>es</w:t>
      </w:r>
      <w:r w:rsidR="00362F52" w:rsidRPr="00291752">
        <w:rPr>
          <w:lang w:val="fr-CA"/>
        </w:rPr>
        <w:t>-</w:t>
      </w:r>
      <w:r w:rsidR="005323CA" w:rsidRPr="00291752">
        <w:rPr>
          <w:lang w:val="fr-CA"/>
        </w:rPr>
        <w:t>intérêts se prescrive par 30 </w:t>
      </w:r>
      <w:r w:rsidR="005D46DC" w:rsidRPr="00291752">
        <w:rPr>
          <w:lang w:val="fr-CA"/>
        </w:rPr>
        <w:t xml:space="preserve">jours, vu que les faits nécessaires pour fonder un recours civil </w:t>
      </w:r>
      <w:proofErr w:type="gramStart"/>
      <w:r w:rsidR="005D46DC" w:rsidRPr="00291752">
        <w:rPr>
          <w:lang w:val="fr-CA"/>
        </w:rPr>
        <w:t>peuvent</w:t>
      </w:r>
      <w:proofErr w:type="gramEnd"/>
      <w:r w:rsidR="005D46DC" w:rsidRPr="00291752">
        <w:rPr>
          <w:lang w:val="fr-CA"/>
        </w:rPr>
        <w:t xml:space="preserve"> fort bien n’être connus qu’après 30</w:t>
      </w:r>
      <w:r w:rsidR="005323CA" w:rsidRPr="00291752">
        <w:rPr>
          <w:lang w:val="fr-CA"/>
        </w:rPr>
        <w:t> </w:t>
      </w:r>
      <w:r w:rsidR="005D46DC" w:rsidRPr="00291752">
        <w:rPr>
          <w:lang w:val="fr-CA"/>
        </w:rPr>
        <w:t xml:space="preserve">jours et qu’il se pourrait qu’un demandeur ne soit pas en mesure de déposer sa demande de contrôle judiciaire dans </w:t>
      </w:r>
      <w:r w:rsidR="00D75764" w:rsidRPr="00291752">
        <w:rPr>
          <w:lang w:val="fr-CA"/>
        </w:rPr>
        <w:t>le</w:t>
      </w:r>
      <w:r w:rsidR="005D46DC" w:rsidRPr="00291752">
        <w:rPr>
          <w:lang w:val="fr-CA"/>
        </w:rPr>
        <w:t xml:space="preserve"> délai</w:t>
      </w:r>
      <w:r w:rsidR="00D75764" w:rsidRPr="00291752">
        <w:rPr>
          <w:lang w:val="fr-CA"/>
        </w:rPr>
        <w:t xml:space="preserve"> fixé</w:t>
      </w:r>
      <w:r w:rsidR="005D46DC" w:rsidRPr="00291752">
        <w:rPr>
          <w:lang w:val="fr-CA"/>
        </w:rPr>
        <w:t>.</w:t>
      </w:r>
      <w:r w:rsidR="00416AC2" w:rsidRPr="00291752">
        <w:rPr>
          <w:lang w:val="fr-CA"/>
        </w:rPr>
        <w:t xml:space="preserve"> </w:t>
      </w:r>
      <w:r w:rsidR="00416AC2" w:rsidRPr="00291752">
        <w:rPr>
          <w:lang w:val="fr-FR"/>
        </w:rPr>
        <w:t xml:space="preserve"> </w:t>
      </w:r>
      <w:r w:rsidR="003069BF" w:rsidRPr="00291752">
        <w:rPr>
          <w:lang w:val="fr-FR"/>
        </w:rPr>
        <w:t>Il est possible de proroger le délai de 30</w:t>
      </w:r>
      <w:r w:rsidR="00CE4313" w:rsidRPr="00291752">
        <w:rPr>
          <w:lang w:val="fr-FR"/>
        </w:rPr>
        <w:t> </w:t>
      </w:r>
      <w:r w:rsidR="003069BF" w:rsidRPr="00291752">
        <w:rPr>
          <w:lang w:val="fr-FR"/>
        </w:rPr>
        <w:t>jours, mais il s’agit là d’une décision discrétionnaire</w:t>
      </w:r>
      <w:r w:rsidR="00526939" w:rsidRPr="00291752">
        <w:rPr>
          <w:lang w:val="fr-FR"/>
        </w:rPr>
        <w:t>,</w:t>
      </w:r>
      <w:r w:rsidR="003069BF" w:rsidRPr="00291752">
        <w:rPr>
          <w:lang w:val="fr-FR"/>
        </w:rPr>
        <w:t xml:space="preserve"> </w:t>
      </w:r>
      <w:r w:rsidR="00526939" w:rsidRPr="00291752">
        <w:rPr>
          <w:lang w:val="fr-CA"/>
        </w:rPr>
        <w:t>et l’issue d’une action civile intentée devant une cour supérieure serait ainsi subordonnée au pouvoir discr</w:t>
      </w:r>
      <w:r w:rsidR="00385BF1" w:rsidRPr="00291752">
        <w:rPr>
          <w:lang w:val="fr-CA"/>
        </w:rPr>
        <w:t xml:space="preserve">étionnaire d’un juge de la Cour </w:t>
      </w:r>
      <w:r w:rsidR="00526939" w:rsidRPr="00291752">
        <w:rPr>
          <w:lang w:val="fr-CA"/>
        </w:rPr>
        <w:t>fédérale statuant sur une demande de prorogation de délai en fonction de considérations de droit public et non de facteurs propres aux dommages</w:t>
      </w:r>
      <w:r w:rsidR="00A16E3A" w:rsidRPr="00291752">
        <w:rPr>
          <w:lang w:val="fr-CA"/>
        </w:rPr>
        <w:t>-</w:t>
      </w:r>
      <w:r w:rsidR="00526939" w:rsidRPr="00291752">
        <w:rPr>
          <w:lang w:val="fr-CA"/>
        </w:rPr>
        <w:t xml:space="preserve">intérêts de droit civil. </w:t>
      </w:r>
      <w:r w:rsidR="00416AC2" w:rsidRPr="00291752">
        <w:rPr>
          <w:lang w:val="fr-CA"/>
        </w:rPr>
        <w:t xml:space="preserve"> </w:t>
      </w:r>
      <w:r w:rsidR="00526939" w:rsidRPr="00291752">
        <w:rPr>
          <w:lang w:val="fr-CA"/>
        </w:rPr>
        <w:t>En outre</w:t>
      </w:r>
      <w:r w:rsidR="00416AC2" w:rsidRPr="00291752">
        <w:rPr>
          <w:lang w:val="fr-CA"/>
        </w:rPr>
        <w:t xml:space="preserve">, </w:t>
      </w:r>
      <w:r w:rsidR="00526939" w:rsidRPr="00291752">
        <w:rPr>
          <w:lang w:val="fr-CA"/>
        </w:rPr>
        <w:t xml:space="preserve">les décisions en matière de contrôle judiciaire sont de nature discrétionnaire, et une demande de contrôle judiciaire peut être rejetée même lorsque le demandeur a établi l’existence de motifs qui justifieraient l’intervention de la cour. </w:t>
      </w:r>
      <w:r w:rsidR="00416AC2" w:rsidRPr="00291752">
        <w:rPr>
          <w:lang w:val="fr-CA"/>
        </w:rPr>
        <w:t xml:space="preserve"> </w:t>
      </w:r>
      <w:r w:rsidR="00526939" w:rsidRPr="00291752">
        <w:rPr>
          <w:lang w:val="fr-CA"/>
        </w:rPr>
        <w:t>Cette approche</w:t>
      </w:r>
      <w:r w:rsidR="00416AC2" w:rsidRPr="00291752">
        <w:rPr>
          <w:lang w:val="fr-CA"/>
        </w:rPr>
        <w:t xml:space="preserve"> </w:t>
      </w:r>
      <w:r w:rsidR="00C21F0F" w:rsidRPr="00291752">
        <w:rPr>
          <w:lang w:val="fr-CA"/>
        </w:rPr>
        <w:t>ne concorde pas avec le paradigme de l’action en dommages</w:t>
      </w:r>
      <w:r w:rsidR="00A16E3A" w:rsidRPr="00291752">
        <w:rPr>
          <w:lang w:val="fr-CA"/>
        </w:rPr>
        <w:t>-</w:t>
      </w:r>
      <w:r w:rsidR="00C21F0F" w:rsidRPr="00291752">
        <w:rPr>
          <w:lang w:val="fr-CA"/>
        </w:rPr>
        <w:t>intérêts de la common law, suivant lequel la preuve des éléments de la demande entraîne normalement l’indemnisation.</w:t>
      </w:r>
      <w:r w:rsidR="00416AC2" w:rsidRPr="00291752">
        <w:rPr>
          <w:lang w:val="fr-CA"/>
        </w:rPr>
        <w:t xml:space="preserve">  </w:t>
      </w:r>
      <w:r w:rsidR="00C21F0F" w:rsidRPr="00291752">
        <w:rPr>
          <w:lang w:val="fr-CA"/>
        </w:rPr>
        <w:t xml:space="preserve">De plus, </w:t>
      </w:r>
      <w:r w:rsidR="005323CA" w:rsidRPr="00291752">
        <w:rPr>
          <w:lang w:val="fr-CA"/>
        </w:rPr>
        <w:t>l’art. </w:t>
      </w:r>
      <w:r w:rsidR="00416AC2" w:rsidRPr="00291752">
        <w:rPr>
          <w:lang w:val="fr-CA"/>
        </w:rPr>
        <w:t xml:space="preserve">8 </w:t>
      </w:r>
      <w:r w:rsidR="00C21F0F" w:rsidRPr="00291752">
        <w:rPr>
          <w:lang w:val="fr-CA"/>
        </w:rPr>
        <w:t xml:space="preserve">de la </w:t>
      </w:r>
      <w:r w:rsidR="00C21F0F" w:rsidRPr="00291752">
        <w:rPr>
          <w:i/>
          <w:lang w:val="fr-CA"/>
        </w:rPr>
        <w:t>Loi sur la responsabilité civile de l’État et le contentieux administratif</w:t>
      </w:r>
      <w:r w:rsidR="008158DB" w:rsidRPr="00291752">
        <w:rPr>
          <w:lang w:val="fr-CA"/>
        </w:rPr>
        <w:t xml:space="preserve">, qui codifie la défense de pouvoir d’origine législative, prouve que le législateur prévoyait que la cour supérieure </w:t>
      </w:r>
      <w:r w:rsidR="00D75764" w:rsidRPr="00291752">
        <w:rPr>
          <w:lang w:val="fr-CA"/>
        </w:rPr>
        <w:t xml:space="preserve">provinciale </w:t>
      </w:r>
      <w:r w:rsidR="007D5C9A" w:rsidRPr="00291752">
        <w:rPr>
          <w:lang w:val="fr-CA"/>
        </w:rPr>
        <w:t xml:space="preserve">pourrait </w:t>
      </w:r>
      <w:r w:rsidR="008158DB" w:rsidRPr="00291752">
        <w:rPr>
          <w:lang w:val="fr-CA"/>
        </w:rPr>
        <w:t xml:space="preserve">se prononcer sur la légalité de décisions administratives dans le cadre </w:t>
      </w:r>
      <w:r w:rsidR="00047910" w:rsidRPr="00291752">
        <w:rPr>
          <w:lang w:val="fr-CA"/>
        </w:rPr>
        <w:t>d’une action en dommages</w:t>
      </w:r>
      <w:r w:rsidR="00A16E3A" w:rsidRPr="00291752">
        <w:rPr>
          <w:lang w:val="fr-CA"/>
        </w:rPr>
        <w:t>-</w:t>
      </w:r>
      <w:r w:rsidR="00047910" w:rsidRPr="00291752">
        <w:rPr>
          <w:lang w:val="fr-CA"/>
        </w:rPr>
        <w:t>intérêts</w:t>
      </w:r>
      <w:r w:rsidR="008158DB" w:rsidRPr="00291752">
        <w:rPr>
          <w:lang w:val="fr-CA"/>
        </w:rPr>
        <w:t>.</w:t>
      </w:r>
    </w:p>
    <w:p w:rsidR="00416AC2" w:rsidRPr="00291752" w:rsidRDefault="00416AC2" w:rsidP="005323CA">
      <w:pPr>
        <w:pStyle w:val="SCCNormalDoubleSpacing"/>
        <w:tabs>
          <w:tab w:val="left" w:pos="1170"/>
        </w:tabs>
        <w:rPr>
          <w:lang w:val="fr-CA"/>
        </w:rPr>
      </w:pPr>
    </w:p>
    <w:p w:rsidR="00BC7989" w:rsidRPr="00291752" w:rsidRDefault="00416AC2" w:rsidP="005323CA">
      <w:pPr>
        <w:pStyle w:val="SCCNormalDoubleSpacing"/>
        <w:tabs>
          <w:tab w:val="left" w:pos="1170"/>
        </w:tabs>
        <w:rPr>
          <w:lang w:val="fr-CA"/>
        </w:rPr>
      </w:pPr>
      <w:r w:rsidRPr="00291752">
        <w:rPr>
          <w:lang w:val="fr-CA"/>
        </w:rPr>
        <w:lastRenderedPageBreak/>
        <w:tab/>
      </w:r>
      <w:r w:rsidR="008158DB" w:rsidRPr="00291752">
        <w:rPr>
          <w:lang w:val="fr-FR"/>
        </w:rPr>
        <w:t xml:space="preserve">La règle interdisant les contestations indirectes ne peut justifier l’approche proposée dans </w:t>
      </w:r>
      <w:r w:rsidR="008158DB" w:rsidRPr="00291752">
        <w:rPr>
          <w:i/>
          <w:lang w:val="fr-FR"/>
        </w:rPr>
        <w:t>Grenier</w:t>
      </w:r>
      <w:r w:rsidRPr="00291752">
        <w:rPr>
          <w:lang w:val="fr-FR"/>
        </w:rPr>
        <w:t>.  T</w:t>
      </w:r>
      <w:r w:rsidR="00934F4D" w:rsidRPr="00291752">
        <w:rPr>
          <w:lang w:val="fr-FR"/>
        </w:rPr>
        <w:t xml:space="preserve"> ne se sert pas de sa demande pour faire invalider</w:t>
      </w:r>
      <w:r w:rsidR="00934460" w:rsidRPr="00291752">
        <w:rPr>
          <w:lang w:val="fr-FR"/>
        </w:rPr>
        <w:t xml:space="preserve"> ou déclarer inopérante</w:t>
      </w:r>
      <w:r w:rsidR="00934F4D" w:rsidRPr="00291752">
        <w:rPr>
          <w:lang w:val="fr-FR"/>
        </w:rPr>
        <w:t xml:space="preserve"> la décision</w:t>
      </w:r>
      <w:r w:rsidR="007D5C9A" w:rsidRPr="00291752">
        <w:rPr>
          <w:lang w:val="fr-FR"/>
        </w:rPr>
        <w:t xml:space="preserve"> du ministre</w:t>
      </w:r>
      <w:r w:rsidR="00934F4D" w:rsidRPr="00291752">
        <w:rPr>
          <w:lang w:val="fr-FR"/>
        </w:rPr>
        <w:t>; elle fait plutôt de la décision et des pertes pécuniaires qui en auraient résulté les assises mêmes de sa demande de dommages</w:t>
      </w:r>
      <w:r w:rsidR="00A16E3A" w:rsidRPr="00291752">
        <w:rPr>
          <w:lang w:val="fr-FR"/>
        </w:rPr>
        <w:t>-</w:t>
      </w:r>
      <w:r w:rsidR="00934F4D" w:rsidRPr="00291752">
        <w:rPr>
          <w:lang w:val="fr-FR"/>
        </w:rPr>
        <w:t xml:space="preserve">intérêts. </w:t>
      </w:r>
      <w:r w:rsidR="00BC7989" w:rsidRPr="00291752">
        <w:rPr>
          <w:lang w:val="fr-FR"/>
        </w:rPr>
        <w:t xml:space="preserve"> </w:t>
      </w:r>
      <w:r w:rsidR="007D5C9A" w:rsidRPr="00291752">
        <w:rPr>
          <w:lang w:val="fr-FR"/>
        </w:rPr>
        <w:t>Quoi qu’il en soit, l</w:t>
      </w:r>
      <w:r w:rsidR="00BC7989" w:rsidRPr="00291752">
        <w:rPr>
          <w:lang w:val="fr-FR"/>
        </w:rPr>
        <w:t xml:space="preserve">e législateur a spécifié, en attribuant une </w:t>
      </w:r>
      <w:r w:rsidR="00C629FE" w:rsidRPr="00291752">
        <w:rPr>
          <w:lang w:val="fr-FR"/>
        </w:rPr>
        <w:t>compétence concurrente à l’art. </w:t>
      </w:r>
      <w:r w:rsidR="00BC7989" w:rsidRPr="00291752">
        <w:rPr>
          <w:lang w:val="fr-FR"/>
        </w:rPr>
        <w:t xml:space="preserve">17 de la </w:t>
      </w:r>
      <w:r w:rsidR="00BC7989" w:rsidRPr="00291752">
        <w:rPr>
          <w:i/>
          <w:lang w:val="fr-FR"/>
        </w:rPr>
        <w:t>LCF</w:t>
      </w:r>
      <w:r w:rsidR="00BC7989" w:rsidRPr="00291752">
        <w:rPr>
          <w:lang w:val="fr-FR"/>
        </w:rPr>
        <w:t>,</w:t>
      </w:r>
      <w:r w:rsidR="00D308E2" w:rsidRPr="00291752">
        <w:rPr>
          <w:lang w:val="fr-FR"/>
        </w:rPr>
        <w:t xml:space="preserve"> que les cours supérieures provinciales disposent de la compétence concurrente voulue pour </w:t>
      </w:r>
      <w:r w:rsidR="001717A6" w:rsidRPr="00291752">
        <w:rPr>
          <w:lang w:val="fr-FR"/>
        </w:rPr>
        <w:t xml:space="preserve">trancher </w:t>
      </w:r>
      <w:r w:rsidR="007B47DD" w:rsidRPr="00291752">
        <w:rPr>
          <w:lang w:val="fr-FR"/>
        </w:rPr>
        <w:t>une demande dans son intégralité</w:t>
      </w:r>
      <w:r w:rsidR="007D5C9A" w:rsidRPr="00291752">
        <w:rPr>
          <w:lang w:val="fr-FR"/>
        </w:rPr>
        <w:t>, y compris pour décider de la validité d’une décision du ministre, lorsque cette question est un élément essentiel de</w:t>
      </w:r>
      <w:r w:rsidR="00D308E2" w:rsidRPr="00291752">
        <w:rPr>
          <w:lang w:val="fr-FR"/>
        </w:rPr>
        <w:t xml:space="preserve"> la cause d’action et qu’il faut </w:t>
      </w:r>
      <w:r w:rsidR="007D5C9A" w:rsidRPr="00291752">
        <w:rPr>
          <w:lang w:val="fr-FR"/>
        </w:rPr>
        <w:t>la trancher</w:t>
      </w:r>
      <w:r w:rsidR="00D308E2" w:rsidRPr="00291752">
        <w:rPr>
          <w:lang w:val="fr-FR"/>
        </w:rPr>
        <w:t xml:space="preserve"> pour </w:t>
      </w:r>
      <w:r w:rsidR="007D5C9A" w:rsidRPr="00291752">
        <w:rPr>
          <w:lang w:val="fr-FR"/>
        </w:rPr>
        <w:t>statuer</w:t>
      </w:r>
      <w:r w:rsidR="00D308E2" w:rsidRPr="00291752">
        <w:rPr>
          <w:lang w:val="fr-FR"/>
        </w:rPr>
        <w:t xml:space="preserve"> sur la demande. </w:t>
      </w:r>
      <w:r w:rsidR="00BC7989" w:rsidRPr="00291752">
        <w:rPr>
          <w:lang w:val="fr-FR"/>
        </w:rPr>
        <w:t xml:space="preserve"> </w:t>
      </w:r>
      <w:r w:rsidR="00D308E2" w:rsidRPr="00291752">
        <w:rPr>
          <w:lang w:val="fr-FR"/>
        </w:rPr>
        <w:t>La Couronne peut invoquer la doctrine de la contestation indirecte en défense devant la cour supérieure provinciale</w:t>
      </w:r>
      <w:r w:rsidR="00BC7989" w:rsidRPr="00291752">
        <w:rPr>
          <w:lang w:val="fr-FR"/>
        </w:rPr>
        <w:t>,</w:t>
      </w:r>
      <w:r w:rsidR="00D308E2" w:rsidRPr="00291752">
        <w:rPr>
          <w:lang w:val="fr-FR"/>
        </w:rPr>
        <w:t xml:space="preserve"> mais la </w:t>
      </w:r>
      <w:r w:rsidR="00D308E2" w:rsidRPr="00291752">
        <w:rPr>
          <w:lang w:val="fr-CA"/>
        </w:rPr>
        <w:t xml:space="preserve">possibilité de recourir à ce moyen de défense ne peut étayer la thèse de l’incompétence de la cour supérieure provinciale. </w:t>
      </w:r>
      <w:r w:rsidR="00BC7989" w:rsidRPr="00291752">
        <w:rPr>
          <w:lang w:val="fr-CA"/>
        </w:rPr>
        <w:t xml:space="preserve"> </w:t>
      </w:r>
      <w:r w:rsidR="007B47DD" w:rsidRPr="00291752">
        <w:rPr>
          <w:lang w:val="fr-CA"/>
        </w:rPr>
        <w:t>De même</w:t>
      </w:r>
      <w:r w:rsidR="00D308E2" w:rsidRPr="00291752">
        <w:rPr>
          <w:lang w:val="fr-CA"/>
        </w:rPr>
        <w:t xml:space="preserve">, </w:t>
      </w:r>
      <w:r w:rsidR="007B7358" w:rsidRPr="00291752">
        <w:rPr>
          <w:lang w:val="fr-CA"/>
        </w:rPr>
        <w:t>bien que</w:t>
      </w:r>
      <w:r w:rsidR="00047910" w:rsidRPr="00291752">
        <w:rPr>
          <w:lang w:val="fr-CA"/>
        </w:rPr>
        <w:t xml:space="preserve"> </w:t>
      </w:r>
      <w:r w:rsidR="007B7358" w:rsidRPr="00291752">
        <w:rPr>
          <w:lang w:val="fr-CA"/>
        </w:rPr>
        <w:t xml:space="preserve">la Couronne puisse faire valoir, en défense, que le décideur public exerçait un pouvoir d’origine législative qui exclut l’indemnisation des pertes pouvant en résulter, </w:t>
      </w:r>
      <w:r w:rsidR="007B47DD" w:rsidRPr="00291752">
        <w:rPr>
          <w:lang w:val="fr-CA"/>
        </w:rPr>
        <w:t>cette</w:t>
      </w:r>
      <w:r w:rsidR="007B7358" w:rsidRPr="00291752">
        <w:rPr>
          <w:lang w:val="fr-CA"/>
        </w:rPr>
        <w:t xml:space="preserve"> question </w:t>
      </w:r>
      <w:r w:rsidR="007B47DD" w:rsidRPr="00291752">
        <w:rPr>
          <w:lang w:val="fr-CA"/>
        </w:rPr>
        <w:t>n’</w:t>
      </w:r>
      <w:r w:rsidR="007B7358" w:rsidRPr="00291752">
        <w:rPr>
          <w:lang w:val="fr-CA"/>
        </w:rPr>
        <w:t xml:space="preserve">a </w:t>
      </w:r>
      <w:r w:rsidR="007B47DD" w:rsidRPr="00291752">
        <w:rPr>
          <w:lang w:val="fr-CA"/>
        </w:rPr>
        <w:t xml:space="preserve">pas </w:t>
      </w:r>
      <w:r w:rsidR="007B7358" w:rsidRPr="00291752">
        <w:rPr>
          <w:lang w:val="fr-CA"/>
        </w:rPr>
        <w:t>trait à la compétence</w:t>
      </w:r>
      <w:r w:rsidR="007B47DD" w:rsidRPr="00291752">
        <w:rPr>
          <w:lang w:val="fr-CA"/>
        </w:rPr>
        <w:t xml:space="preserve"> et peut être tranchée aussi bien par la cour supérieure d’une province que par la Cour fédérale</w:t>
      </w:r>
      <w:r w:rsidR="007B7358" w:rsidRPr="00291752">
        <w:rPr>
          <w:lang w:val="fr-CA"/>
        </w:rPr>
        <w:t>.</w:t>
      </w:r>
    </w:p>
    <w:p w:rsidR="00BC7989" w:rsidRPr="00291752" w:rsidRDefault="00BC7989" w:rsidP="005323CA">
      <w:pPr>
        <w:pStyle w:val="SCCNormalDoubleSpacing"/>
        <w:tabs>
          <w:tab w:val="left" w:pos="1170"/>
        </w:tabs>
        <w:rPr>
          <w:lang w:val="fr-CA"/>
        </w:rPr>
      </w:pPr>
    </w:p>
    <w:p w:rsidR="006C5661" w:rsidRPr="00291752" w:rsidRDefault="00BC7989" w:rsidP="005323CA">
      <w:pPr>
        <w:pStyle w:val="SCCNormalDoubleSpacing"/>
        <w:tabs>
          <w:tab w:val="left" w:pos="1170"/>
        </w:tabs>
        <w:rPr>
          <w:lang w:val="fr-CA"/>
        </w:rPr>
      </w:pPr>
      <w:r w:rsidRPr="00291752">
        <w:rPr>
          <w:lang w:val="fr-CA"/>
        </w:rPr>
        <w:tab/>
      </w:r>
      <w:r w:rsidR="00E10938" w:rsidRPr="00291752">
        <w:rPr>
          <w:lang w:val="fr-CA"/>
        </w:rPr>
        <w:t xml:space="preserve">Les cours supérieures provinciales et la Cour fédérale disposent du pouvoir discrétionnaire résiduel de suspendre </w:t>
      </w:r>
      <w:r w:rsidR="00F41B6C" w:rsidRPr="00291752">
        <w:rPr>
          <w:lang w:val="fr-CA"/>
        </w:rPr>
        <w:t>une action en dommages</w:t>
      </w:r>
      <w:r w:rsidR="00362F52" w:rsidRPr="00291752">
        <w:rPr>
          <w:lang w:val="fr-CA"/>
        </w:rPr>
        <w:t>-</w:t>
      </w:r>
      <w:r w:rsidR="00F41B6C" w:rsidRPr="00291752">
        <w:rPr>
          <w:lang w:val="fr-CA"/>
        </w:rPr>
        <w:t>intérêts</w:t>
      </w:r>
      <w:r w:rsidRPr="00291752">
        <w:rPr>
          <w:lang w:val="fr-CA"/>
        </w:rPr>
        <w:t xml:space="preserve"> </w:t>
      </w:r>
      <w:r w:rsidR="00F41B6C" w:rsidRPr="00291752">
        <w:rPr>
          <w:lang w:val="fr-CA"/>
        </w:rPr>
        <w:t>lorsqu’il</w:t>
      </w:r>
      <w:r w:rsidRPr="00291752">
        <w:rPr>
          <w:lang w:val="fr-CA"/>
        </w:rPr>
        <w:t xml:space="preserve"> </w:t>
      </w:r>
      <w:r w:rsidR="00F41B6C" w:rsidRPr="00291752">
        <w:rPr>
          <w:lang w:val="fr-CA"/>
        </w:rPr>
        <w:t xml:space="preserve">s’agit essentiellement d’une demande de contrôle judiciaire et qu’elle n’a que superficiellement l’apparence d’un recours délictuel de droit privé. </w:t>
      </w:r>
      <w:r w:rsidRPr="00291752">
        <w:rPr>
          <w:lang w:val="fr-FR"/>
        </w:rPr>
        <w:t xml:space="preserve"> </w:t>
      </w:r>
      <w:r w:rsidR="00F41B6C" w:rsidRPr="00291752">
        <w:rPr>
          <w:lang w:val="fr-FR"/>
        </w:rPr>
        <w:t>Toutefois</w:t>
      </w:r>
      <w:r w:rsidRPr="00291752">
        <w:rPr>
          <w:lang w:val="fr-FR"/>
        </w:rPr>
        <w:t xml:space="preserve">, </w:t>
      </w:r>
      <w:r w:rsidR="00A97488" w:rsidRPr="00291752">
        <w:rPr>
          <w:lang w:val="fr-FR"/>
        </w:rPr>
        <w:t xml:space="preserve">lorsque le demandeur allègue les éléments d’une cause d’action </w:t>
      </w:r>
      <w:r w:rsidR="006D3318" w:rsidRPr="00291752">
        <w:rPr>
          <w:lang w:val="fr-FR"/>
        </w:rPr>
        <w:t xml:space="preserve">en droit privé </w:t>
      </w:r>
      <w:r w:rsidR="006D3318" w:rsidRPr="00291752">
        <w:rPr>
          <w:lang w:val="fr-CA"/>
        </w:rPr>
        <w:t xml:space="preserve">dans </w:t>
      </w:r>
      <w:r w:rsidR="006D3318" w:rsidRPr="00291752">
        <w:rPr>
          <w:lang w:val="fr-CA"/>
        </w:rPr>
        <w:lastRenderedPageBreak/>
        <w:t>son argumentation</w:t>
      </w:r>
      <w:r w:rsidR="007B47DD" w:rsidRPr="00291752">
        <w:rPr>
          <w:lang w:val="fr-CA"/>
        </w:rPr>
        <w:t xml:space="preserve">, la </w:t>
      </w:r>
      <w:r w:rsidR="006D3318" w:rsidRPr="00291752">
        <w:rPr>
          <w:lang w:val="fr-CA"/>
        </w:rPr>
        <w:t>cour supérieure provinciale</w:t>
      </w:r>
      <w:r w:rsidR="007B47DD" w:rsidRPr="00291752">
        <w:rPr>
          <w:lang w:val="fr-CA"/>
        </w:rPr>
        <w:t xml:space="preserve"> </w:t>
      </w:r>
      <w:r w:rsidR="006D3318" w:rsidRPr="00291752">
        <w:rPr>
          <w:lang w:val="fr-CA"/>
        </w:rPr>
        <w:t>ne doit généralement pas décliner compétence au motif que l’action s’apparente à un recours qui doit être instruit comme une demande de contrôle judiciaire.  Si le demandeur a plaidé une cause d’action valide en dommages</w:t>
      </w:r>
      <w:r w:rsidR="00A16E3A" w:rsidRPr="00291752">
        <w:rPr>
          <w:lang w:val="fr-CA"/>
        </w:rPr>
        <w:t>-</w:t>
      </w:r>
      <w:r w:rsidR="006D3318" w:rsidRPr="00291752">
        <w:rPr>
          <w:lang w:val="fr-CA"/>
        </w:rPr>
        <w:t>intérêts, il devrait généralement être admis</w:t>
      </w:r>
      <w:r w:rsidRPr="00291752">
        <w:rPr>
          <w:lang w:val="fr-CA"/>
        </w:rPr>
        <w:t xml:space="preserve"> </w:t>
      </w:r>
      <w:r w:rsidR="006D3318" w:rsidRPr="00291752">
        <w:rPr>
          <w:lang w:val="fr-CA"/>
        </w:rPr>
        <w:t>à exercer son recours à ce titre.</w:t>
      </w:r>
    </w:p>
    <w:p w:rsidR="00A97488" w:rsidRPr="00291752" w:rsidRDefault="00A97488" w:rsidP="005323CA">
      <w:pPr>
        <w:pStyle w:val="SCCNormalDoubleSpacing"/>
        <w:tabs>
          <w:tab w:val="left" w:pos="1170"/>
        </w:tabs>
        <w:rPr>
          <w:lang w:val="fr-CA"/>
        </w:rPr>
      </w:pPr>
    </w:p>
    <w:p w:rsidR="007004EB" w:rsidRPr="00291752" w:rsidRDefault="005C434E" w:rsidP="005C434E">
      <w:pPr>
        <w:pStyle w:val="SCCNormalDoubleSpacing"/>
        <w:tabs>
          <w:tab w:val="left" w:pos="1170"/>
        </w:tabs>
        <w:spacing w:after="480"/>
        <w:rPr>
          <w:lang w:val="fr-CA"/>
        </w:rPr>
      </w:pPr>
      <w:r w:rsidRPr="00291752">
        <w:rPr>
          <w:lang w:val="fr-CA"/>
        </w:rPr>
        <w:tab/>
      </w:r>
      <w:r w:rsidR="007B47DD" w:rsidRPr="00291752">
        <w:rPr>
          <w:lang w:val="fr-CA"/>
        </w:rPr>
        <w:t>Tel qu’il a été présenté</w:t>
      </w:r>
      <w:r w:rsidR="00A97488" w:rsidRPr="00291752">
        <w:rPr>
          <w:lang w:val="fr-CA"/>
        </w:rPr>
        <w:t xml:space="preserve">, </w:t>
      </w:r>
      <w:r w:rsidR="007B47DD" w:rsidRPr="00291752">
        <w:rPr>
          <w:lang w:val="fr-CA"/>
        </w:rPr>
        <w:t>le recours de T met principalement en jeu des questions de droit privé</w:t>
      </w:r>
      <w:r w:rsidR="00921F1B" w:rsidRPr="00291752">
        <w:rPr>
          <w:lang w:val="fr-CA"/>
        </w:rPr>
        <w:t>.</w:t>
      </w:r>
      <w:r w:rsidR="007B47DD" w:rsidRPr="00291752">
        <w:rPr>
          <w:lang w:val="fr-CA"/>
        </w:rPr>
        <w:t xml:space="preserve"> </w:t>
      </w:r>
      <w:r w:rsidR="00A97488" w:rsidRPr="00291752">
        <w:rPr>
          <w:lang w:val="fr-CA"/>
        </w:rPr>
        <w:t xml:space="preserve"> T </w:t>
      </w:r>
      <w:r w:rsidR="007004EB" w:rsidRPr="00291752">
        <w:rPr>
          <w:lang w:val="fr-CA"/>
        </w:rPr>
        <w:t xml:space="preserve">ne cherche pas à obtenir l’annulation de la décision de délivrer les licences. </w:t>
      </w:r>
      <w:r w:rsidR="00A97488" w:rsidRPr="00291752">
        <w:rPr>
          <w:lang w:val="fr-FR"/>
        </w:rPr>
        <w:t xml:space="preserve"> </w:t>
      </w:r>
      <w:r w:rsidR="004D614C" w:rsidRPr="00291752">
        <w:rPr>
          <w:lang w:val="fr-FR"/>
        </w:rPr>
        <w:t xml:space="preserve">Elle ne </w:t>
      </w:r>
      <w:r w:rsidR="004D614C" w:rsidRPr="00291752">
        <w:rPr>
          <w:lang w:val="fr-CA"/>
        </w:rPr>
        <w:t>cherche pas non plus à priver la décision de ses effets juridiques</w:t>
      </w:r>
      <w:r w:rsidR="00A97488" w:rsidRPr="00291752">
        <w:rPr>
          <w:lang w:val="fr-FR"/>
        </w:rPr>
        <w:t xml:space="preserve">.  </w:t>
      </w:r>
      <w:r w:rsidR="00F50CD6" w:rsidRPr="00291752">
        <w:rPr>
          <w:lang w:val="fr-FR"/>
        </w:rPr>
        <w:t>Ses causes d’</w:t>
      </w:r>
      <w:r w:rsidR="00A97488" w:rsidRPr="00291752">
        <w:rPr>
          <w:lang w:val="fr-FR"/>
        </w:rPr>
        <w:t>action</w:t>
      </w:r>
      <w:r w:rsidR="00F50CD6" w:rsidRPr="00291752">
        <w:rPr>
          <w:lang w:val="fr-FR"/>
        </w:rPr>
        <w:t xml:space="preserve"> contractuelles, délictuelles et en equity sont fondées sur le caractère définitif de cette décision</w:t>
      </w:r>
      <w:r w:rsidR="00A97488" w:rsidRPr="00291752">
        <w:rPr>
          <w:lang w:val="fr-FR"/>
        </w:rPr>
        <w:t xml:space="preserve"> </w:t>
      </w:r>
      <w:r w:rsidR="00F50CD6" w:rsidRPr="00291752">
        <w:rPr>
          <w:lang w:val="fr-FR"/>
        </w:rPr>
        <w:t>qui l’écarte du marché des télécommunications.</w:t>
      </w:r>
      <w:r w:rsidR="0010088A" w:rsidRPr="00291752">
        <w:rPr>
          <w:lang w:val="fr-CA"/>
        </w:rPr>
        <w:t xml:space="preserve"> </w:t>
      </w:r>
      <w:r w:rsidR="00A97488" w:rsidRPr="00291752">
        <w:rPr>
          <w:lang w:val="fr-CA"/>
        </w:rPr>
        <w:t xml:space="preserve"> </w:t>
      </w:r>
      <w:r w:rsidR="0051336A" w:rsidRPr="00291752">
        <w:rPr>
          <w:lang w:val="fr-CA"/>
        </w:rPr>
        <w:t xml:space="preserve">La Cour supérieure </w:t>
      </w:r>
      <w:r w:rsidR="00E62FD5" w:rsidRPr="00291752">
        <w:rPr>
          <w:lang w:val="fr-CA"/>
        </w:rPr>
        <w:t xml:space="preserve">de justice </w:t>
      </w:r>
      <w:r w:rsidR="0051336A" w:rsidRPr="00291752">
        <w:rPr>
          <w:lang w:val="fr-CA"/>
        </w:rPr>
        <w:t xml:space="preserve">de l’Ontario </w:t>
      </w:r>
      <w:proofErr w:type="gramStart"/>
      <w:r w:rsidR="0051336A" w:rsidRPr="00291752">
        <w:rPr>
          <w:lang w:val="fr-CA"/>
        </w:rPr>
        <w:t>a</w:t>
      </w:r>
      <w:proofErr w:type="gramEnd"/>
      <w:r w:rsidR="0051336A" w:rsidRPr="00291752">
        <w:rPr>
          <w:lang w:val="fr-CA"/>
        </w:rPr>
        <w:t xml:space="preserve"> compétence sur les parties et sur l’objet du litige, et elle a le pouvoir d’accorder des dommages</w:t>
      </w:r>
      <w:r w:rsidR="00A16E3A" w:rsidRPr="00291752">
        <w:rPr>
          <w:lang w:val="fr-CA"/>
        </w:rPr>
        <w:t>-</w:t>
      </w:r>
      <w:r w:rsidR="0051336A" w:rsidRPr="00291752">
        <w:rPr>
          <w:lang w:val="fr-CA"/>
        </w:rPr>
        <w:t xml:space="preserve">intérêts. </w:t>
      </w:r>
      <w:r w:rsidR="00A97488" w:rsidRPr="00291752">
        <w:rPr>
          <w:lang w:val="fr-CA"/>
        </w:rPr>
        <w:t xml:space="preserve"> </w:t>
      </w:r>
      <w:r w:rsidR="0051336A" w:rsidRPr="00291752">
        <w:rPr>
          <w:lang w:val="fr-CA"/>
        </w:rPr>
        <w:t xml:space="preserve">Aucune disposition de la </w:t>
      </w:r>
      <w:r w:rsidR="0051336A" w:rsidRPr="00291752">
        <w:rPr>
          <w:i/>
          <w:lang w:val="fr-CA"/>
        </w:rPr>
        <w:t>LCF</w:t>
      </w:r>
      <w:r w:rsidR="0051336A" w:rsidRPr="00291752">
        <w:rPr>
          <w:lang w:val="fr-CA"/>
        </w:rPr>
        <w:t xml:space="preserve"> n’empêche la Cour supérieure de l’Ontario de statuer sur la demande. </w:t>
      </w:r>
    </w:p>
    <w:p w:rsidR="00EF6EC6" w:rsidRPr="00291752" w:rsidRDefault="0043088E" w:rsidP="00385BF1">
      <w:pPr>
        <w:pStyle w:val="SCCNormalDoubleSpacing"/>
        <w:keepNext/>
        <w:spacing w:after="480"/>
        <w:rPr>
          <w:b/>
          <w:lang w:val="fr-CA"/>
        </w:rPr>
      </w:pPr>
      <w:r w:rsidRPr="00291752">
        <w:rPr>
          <w:b/>
          <w:lang w:val="fr-CA"/>
        </w:rPr>
        <w:t>Jurisprudence</w:t>
      </w:r>
    </w:p>
    <w:p w:rsidR="007834A8" w:rsidRPr="00291752" w:rsidRDefault="005C434E" w:rsidP="005C434E">
      <w:pPr>
        <w:pStyle w:val="SCCNormalDoubleSpacing"/>
        <w:tabs>
          <w:tab w:val="left" w:pos="1170"/>
        </w:tabs>
        <w:rPr>
          <w:szCs w:val="24"/>
          <w:lang w:val="en-US"/>
        </w:rPr>
      </w:pPr>
      <w:r w:rsidRPr="00291752">
        <w:rPr>
          <w:b/>
          <w:lang w:val="fr-CA"/>
        </w:rPr>
        <w:tab/>
      </w:r>
      <w:r w:rsidR="00E14672" w:rsidRPr="00291752">
        <w:rPr>
          <w:b/>
          <w:lang w:val="fr-CA"/>
        </w:rPr>
        <w:t>Arrêt renvers</w:t>
      </w:r>
      <w:r w:rsidR="007F254B" w:rsidRPr="00291752">
        <w:rPr>
          <w:b/>
          <w:lang w:val="fr-CA"/>
        </w:rPr>
        <w:t xml:space="preserve">é : </w:t>
      </w:r>
      <w:r w:rsidR="00AE53C5" w:rsidRPr="00291752">
        <w:rPr>
          <w:i/>
          <w:iCs/>
          <w:szCs w:val="24"/>
          <w:lang w:val="fr-CA"/>
        </w:rPr>
        <w:t>Canada c. Grenier</w:t>
      </w:r>
      <w:r w:rsidR="002223E8" w:rsidRPr="00291752">
        <w:rPr>
          <w:szCs w:val="24"/>
          <w:lang w:val="fr-CA"/>
        </w:rPr>
        <w:t>, 2005 CAF 348, [2006</w:t>
      </w:r>
      <w:r w:rsidR="00D7417F" w:rsidRPr="00291752">
        <w:rPr>
          <w:szCs w:val="24"/>
          <w:lang w:val="fr-CA"/>
        </w:rPr>
        <w:t>]</w:t>
      </w:r>
      <w:r w:rsidR="00624D0F" w:rsidRPr="00291752">
        <w:rPr>
          <w:szCs w:val="24"/>
          <w:lang w:val="fr-CA"/>
        </w:rPr>
        <w:t xml:space="preserve"> </w:t>
      </w:r>
      <w:r w:rsidR="00F72E9A" w:rsidRPr="00291752">
        <w:rPr>
          <w:szCs w:val="24"/>
          <w:lang w:val="fr-CA"/>
        </w:rPr>
        <w:t>2</w:t>
      </w:r>
      <w:r w:rsidR="00624D0F" w:rsidRPr="00291752">
        <w:rPr>
          <w:szCs w:val="24"/>
          <w:lang w:val="fr-CA"/>
        </w:rPr>
        <w:t xml:space="preserve"> </w:t>
      </w:r>
      <w:r w:rsidR="00F72E9A" w:rsidRPr="00291752">
        <w:rPr>
          <w:szCs w:val="24"/>
          <w:lang w:val="fr-CA"/>
        </w:rPr>
        <w:t>R.C.F.</w:t>
      </w:r>
      <w:r w:rsidR="00624D0F" w:rsidRPr="00291752">
        <w:rPr>
          <w:szCs w:val="24"/>
          <w:lang w:val="fr-CA"/>
        </w:rPr>
        <w:t xml:space="preserve"> </w:t>
      </w:r>
      <w:r w:rsidR="00AE53C5" w:rsidRPr="00291752">
        <w:rPr>
          <w:szCs w:val="24"/>
          <w:lang w:val="fr-CA"/>
        </w:rPr>
        <w:t>287</w:t>
      </w:r>
      <w:r w:rsidR="000D164C" w:rsidRPr="00291752">
        <w:rPr>
          <w:szCs w:val="24"/>
          <w:lang w:val="fr-CA"/>
        </w:rPr>
        <w:t>;</w:t>
      </w:r>
      <w:r w:rsidR="007F254B" w:rsidRPr="00291752">
        <w:rPr>
          <w:szCs w:val="24"/>
          <w:lang w:val="fr-CA"/>
        </w:rPr>
        <w:t xml:space="preserve"> </w:t>
      </w:r>
      <w:r w:rsidR="007F254B" w:rsidRPr="00291752">
        <w:rPr>
          <w:b/>
          <w:lang w:val="fr-CA"/>
        </w:rPr>
        <w:t>arrêts mentionnés</w:t>
      </w:r>
      <w:r w:rsidR="00450BD7" w:rsidRPr="00291752">
        <w:rPr>
          <w:b/>
          <w:lang w:val="fr-CA"/>
        </w:rPr>
        <w:t> </w:t>
      </w:r>
      <w:r w:rsidR="007F254B" w:rsidRPr="00291752">
        <w:rPr>
          <w:b/>
          <w:lang w:val="fr-CA"/>
        </w:rPr>
        <w:t>:</w:t>
      </w:r>
      <w:r w:rsidRPr="00291752">
        <w:rPr>
          <w:b/>
          <w:lang w:val="fr-CA"/>
        </w:rPr>
        <w:t xml:space="preserve"> </w:t>
      </w:r>
      <w:r w:rsidR="00272A11" w:rsidRPr="00291752">
        <w:rPr>
          <w:i/>
          <w:lang w:val="fr-CA"/>
        </w:rPr>
        <w:t xml:space="preserve">Canada (Procureur général) c. </w:t>
      </w:r>
      <w:proofErr w:type="spellStart"/>
      <w:r w:rsidR="00272A11" w:rsidRPr="00291752">
        <w:rPr>
          <w:i/>
          <w:lang w:val="fr-CA"/>
        </w:rPr>
        <w:t>McArthur</w:t>
      </w:r>
      <w:proofErr w:type="spellEnd"/>
      <w:r w:rsidR="00272A11" w:rsidRPr="00291752">
        <w:rPr>
          <w:lang w:val="fr-CA"/>
        </w:rPr>
        <w:t>, 2010 CSC 63</w:t>
      </w:r>
      <w:r w:rsidR="005E1AEA" w:rsidRPr="00291752">
        <w:rPr>
          <w:lang w:val="fr-CA"/>
        </w:rPr>
        <w:t xml:space="preserve">, [2010] 3 R.C.S. </w:t>
      </w:r>
      <w:r w:rsidR="00305EAE" w:rsidRPr="00291752">
        <w:rPr>
          <w:lang w:val="fr-CA"/>
        </w:rPr>
        <w:t>626</w:t>
      </w:r>
      <w:r w:rsidR="00272A11" w:rsidRPr="00291752">
        <w:rPr>
          <w:lang w:val="fr-CA"/>
        </w:rPr>
        <w:t>;</w:t>
      </w:r>
      <w:r w:rsidR="00450BD7" w:rsidRPr="00291752">
        <w:rPr>
          <w:b/>
          <w:lang w:val="fr-CA"/>
        </w:rPr>
        <w:t xml:space="preserve"> </w:t>
      </w:r>
      <w:r w:rsidR="000B34B3" w:rsidRPr="00291752">
        <w:rPr>
          <w:i/>
          <w:szCs w:val="24"/>
        </w:rPr>
        <w:fldChar w:fldCharType="begin"/>
      </w:r>
      <w:r w:rsidR="00450BD7" w:rsidRPr="00291752">
        <w:rPr>
          <w:i/>
          <w:szCs w:val="24"/>
          <w:lang w:val="fr-CA"/>
        </w:rPr>
        <w:instrText xml:space="preserve"> SEQ CHAPTER \h \r 1</w:instrText>
      </w:r>
      <w:r w:rsidR="000B34B3" w:rsidRPr="00291752">
        <w:rPr>
          <w:i/>
          <w:szCs w:val="24"/>
        </w:rPr>
        <w:fldChar w:fldCharType="end"/>
      </w:r>
      <w:proofErr w:type="spellStart"/>
      <w:r w:rsidR="00450BD7" w:rsidRPr="00291752">
        <w:rPr>
          <w:i/>
          <w:szCs w:val="24"/>
          <w:lang w:val="fr-CA"/>
        </w:rPr>
        <w:t>Little</w:t>
      </w:r>
      <w:proofErr w:type="spellEnd"/>
      <w:r w:rsidR="00450BD7" w:rsidRPr="00291752">
        <w:rPr>
          <w:i/>
          <w:szCs w:val="24"/>
          <w:lang w:val="fr-CA"/>
        </w:rPr>
        <w:t xml:space="preserve"> </w:t>
      </w:r>
      <w:proofErr w:type="spellStart"/>
      <w:r w:rsidR="00450BD7" w:rsidRPr="00291752">
        <w:rPr>
          <w:i/>
          <w:szCs w:val="24"/>
          <w:lang w:val="fr-CA"/>
        </w:rPr>
        <w:t>Sisters</w:t>
      </w:r>
      <w:proofErr w:type="spellEnd"/>
      <w:r w:rsidR="00450BD7" w:rsidRPr="00291752">
        <w:rPr>
          <w:i/>
          <w:szCs w:val="24"/>
          <w:lang w:val="fr-CA"/>
        </w:rPr>
        <w:t xml:space="preserve"> Book and Art Emporium c. Canada (Commissaire des Douanes et du Revenu)</w:t>
      </w:r>
      <w:r w:rsidR="00450BD7" w:rsidRPr="00291752">
        <w:rPr>
          <w:szCs w:val="24"/>
          <w:lang w:val="fr-CA"/>
        </w:rPr>
        <w:t>, 2007 CSC 2, [2007] 1 R.C.S. 38;</w:t>
      </w:r>
      <w:r w:rsidR="000D164C" w:rsidRPr="00291752">
        <w:rPr>
          <w:szCs w:val="24"/>
          <w:lang w:val="fr-CA"/>
        </w:rPr>
        <w:t xml:space="preserve"> </w:t>
      </w:r>
      <w:r w:rsidR="000B34B3" w:rsidRPr="00291752">
        <w:rPr>
          <w:szCs w:val="24"/>
        </w:rPr>
        <w:fldChar w:fldCharType="begin"/>
      </w:r>
      <w:r w:rsidR="000D164C" w:rsidRPr="00291752">
        <w:rPr>
          <w:szCs w:val="24"/>
          <w:lang w:val="fr-CA"/>
        </w:rPr>
        <w:instrText xml:space="preserve"> SEQ CHAPTER \h \r 1</w:instrText>
      </w:r>
      <w:r w:rsidR="000B34B3" w:rsidRPr="00291752">
        <w:rPr>
          <w:szCs w:val="24"/>
        </w:rPr>
        <w:fldChar w:fldCharType="end"/>
      </w:r>
      <w:r w:rsidR="000D164C" w:rsidRPr="00291752">
        <w:rPr>
          <w:i/>
          <w:iCs/>
          <w:szCs w:val="24"/>
          <w:lang w:val="fr-CA"/>
        </w:rPr>
        <w:t>La Reine du chef du Canada c. Saskatchewan Wheat Pool</w:t>
      </w:r>
      <w:r w:rsidR="000D164C" w:rsidRPr="00291752">
        <w:rPr>
          <w:szCs w:val="24"/>
          <w:lang w:val="fr-CA"/>
        </w:rPr>
        <w:t>, [1983] 1 R.C.S. 205</w:t>
      </w:r>
      <w:r w:rsidR="00D55BE1" w:rsidRPr="00291752">
        <w:rPr>
          <w:szCs w:val="24"/>
          <w:lang w:val="fr-CA"/>
        </w:rPr>
        <w:t>;</w:t>
      </w:r>
      <w:r w:rsidR="006177D8" w:rsidRPr="00291752">
        <w:rPr>
          <w:szCs w:val="24"/>
          <w:lang w:val="fr-CA"/>
        </w:rPr>
        <w:t xml:space="preserve"> </w:t>
      </w:r>
      <w:r w:rsidR="006177D8" w:rsidRPr="00291752">
        <w:rPr>
          <w:i/>
          <w:iCs/>
          <w:szCs w:val="24"/>
          <w:lang w:val="fr-CA"/>
        </w:rPr>
        <w:t xml:space="preserve">Agricultural Research </w:t>
      </w:r>
      <w:r w:rsidR="006177D8" w:rsidRPr="00291752">
        <w:rPr>
          <w:i/>
          <w:iCs/>
          <w:szCs w:val="24"/>
          <w:lang w:val="fr-CA"/>
        </w:rPr>
        <w:lastRenderedPageBreak/>
        <w:t>Institute of Ontario c. Campbell</w:t>
      </w:r>
      <w:r w:rsidR="00A16E3A" w:rsidRPr="00291752">
        <w:rPr>
          <w:i/>
          <w:iCs/>
          <w:szCs w:val="24"/>
          <w:lang w:val="fr-CA"/>
        </w:rPr>
        <w:t>-</w:t>
      </w:r>
      <w:r w:rsidR="006177D8" w:rsidRPr="00291752">
        <w:rPr>
          <w:i/>
          <w:iCs/>
          <w:szCs w:val="24"/>
          <w:lang w:val="fr-CA"/>
        </w:rPr>
        <w:t xml:space="preserve">High </w:t>
      </w:r>
      <w:r w:rsidR="006177D8" w:rsidRPr="00291752">
        <w:rPr>
          <w:szCs w:val="24"/>
          <w:lang w:val="fr-CA"/>
        </w:rPr>
        <w:t>(2002), 58</w:t>
      </w:r>
      <w:r w:rsidR="00624D0F" w:rsidRPr="00291752">
        <w:rPr>
          <w:szCs w:val="24"/>
          <w:lang w:val="fr-CA"/>
        </w:rPr>
        <w:t xml:space="preserve"> </w:t>
      </w:r>
      <w:r w:rsidR="006177D8" w:rsidRPr="00291752">
        <w:rPr>
          <w:szCs w:val="24"/>
          <w:lang w:val="fr-CA"/>
        </w:rPr>
        <w:t>O.R.</w:t>
      </w:r>
      <w:r w:rsidR="00624D0F" w:rsidRPr="00291752">
        <w:rPr>
          <w:szCs w:val="24"/>
          <w:lang w:val="fr-CA"/>
        </w:rPr>
        <w:t xml:space="preserve"> </w:t>
      </w:r>
      <w:r w:rsidR="006177D8" w:rsidRPr="00291752">
        <w:rPr>
          <w:szCs w:val="24"/>
          <w:lang w:val="fr-CA"/>
        </w:rPr>
        <w:t>(3d)</w:t>
      </w:r>
      <w:r w:rsidR="00624D0F" w:rsidRPr="00291752">
        <w:rPr>
          <w:szCs w:val="24"/>
          <w:lang w:val="fr-CA"/>
        </w:rPr>
        <w:t xml:space="preserve"> </w:t>
      </w:r>
      <w:r w:rsidR="006177D8" w:rsidRPr="00291752">
        <w:rPr>
          <w:szCs w:val="24"/>
          <w:lang w:val="fr-CA"/>
        </w:rPr>
        <w:t xml:space="preserve">321, </w:t>
      </w:r>
      <w:r w:rsidR="000B34B3" w:rsidRPr="00291752">
        <w:rPr>
          <w:szCs w:val="24"/>
        </w:rPr>
        <w:fldChar w:fldCharType="begin"/>
      </w:r>
      <w:r w:rsidR="006177D8" w:rsidRPr="00291752">
        <w:rPr>
          <w:szCs w:val="24"/>
          <w:lang w:val="fr-CA"/>
        </w:rPr>
        <w:instrText xml:space="preserve"> SEQ CHAPTER \h \r 1</w:instrText>
      </w:r>
      <w:r w:rsidR="000B34B3" w:rsidRPr="00291752">
        <w:rPr>
          <w:szCs w:val="24"/>
        </w:rPr>
        <w:fldChar w:fldCharType="end"/>
      </w:r>
      <w:r w:rsidR="006177D8" w:rsidRPr="00291752">
        <w:rPr>
          <w:szCs w:val="24"/>
          <w:lang w:val="fr-CA"/>
        </w:rPr>
        <w:t>autorisation d</w:t>
      </w:r>
      <w:r w:rsidR="005E1AEA" w:rsidRPr="00291752">
        <w:rPr>
          <w:szCs w:val="24"/>
          <w:lang w:val="fr-CA"/>
        </w:rPr>
        <w:t>’appel</w:t>
      </w:r>
      <w:r w:rsidR="006177D8" w:rsidRPr="00291752">
        <w:rPr>
          <w:szCs w:val="24"/>
          <w:lang w:val="fr-CA"/>
        </w:rPr>
        <w:t xml:space="preserve"> refusée, [2003] 1 R.C.S. vii;</w:t>
      </w:r>
      <w:r w:rsidR="004B5E97" w:rsidRPr="00291752">
        <w:rPr>
          <w:szCs w:val="24"/>
          <w:lang w:val="fr-CA"/>
        </w:rPr>
        <w:t xml:space="preserve"> </w:t>
      </w:r>
      <w:r w:rsidR="004B5E97" w:rsidRPr="00291752">
        <w:rPr>
          <w:i/>
          <w:iCs/>
          <w:szCs w:val="24"/>
          <w:lang w:val="fr-CA"/>
        </w:rPr>
        <w:t>Ryan c. Victoria (Ville)</w:t>
      </w:r>
      <w:r w:rsidR="004B5E97" w:rsidRPr="00291752">
        <w:rPr>
          <w:szCs w:val="24"/>
          <w:lang w:val="fr-CA"/>
        </w:rPr>
        <w:t>, [1999] 1 R.C.S. 201</w:t>
      </w:r>
      <w:r w:rsidR="009B03F6" w:rsidRPr="00291752">
        <w:rPr>
          <w:szCs w:val="24"/>
          <w:lang w:val="fr-CA"/>
        </w:rPr>
        <w:t>;</w:t>
      </w:r>
      <w:r w:rsidR="00BD5C0C" w:rsidRPr="00291752">
        <w:rPr>
          <w:szCs w:val="24"/>
          <w:lang w:val="fr-CA"/>
        </w:rPr>
        <w:t xml:space="preserve"> </w:t>
      </w:r>
      <w:r w:rsidR="000B34B3" w:rsidRPr="00291752">
        <w:rPr>
          <w:szCs w:val="24"/>
        </w:rPr>
        <w:fldChar w:fldCharType="begin"/>
      </w:r>
      <w:r w:rsidR="00BD5C0C" w:rsidRPr="00291752">
        <w:rPr>
          <w:szCs w:val="24"/>
          <w:lang w:val="fr-CA"/>
        </w:rPr>
        <w:instrText xml:space="preserve"> SEQ CHAPTER \h \r 1</w:instrText>
      </w:r>
      <w:r w:rsidR="000B34B3" w:rsidRPr="00291752">
        <w:rPr>
          <w:szCs w:val="24"/>
        </w:rPr>
        <w:fldChar w:fldCharType="end"/>
      </w:r>
      <w:r w:rsidR="00BD5C0C" w:rsidRPr="00291752">
        <w:rPr>
          <w:i/>
          <w:iCs/>
          <w:szCs w:val="24"/>
          <w:lang w:val="fr-CA"/>
        </w:rPr>
        <w:t>Miazga c. Kvello (Succession)</w:t>
      </w:r>
      <w:r w:rsidR="00BD5C0C" w:rsidRPr="00291752">
        <w:rPr>
          <w:szCs w:val="24"/>
          <w:lang w:val="fr-CA"/>
        </w:rPr>
        <w:t>, 2009 CSC 51, [2009] 3 R.C.S. 339</w:t>
      </w:r>
      <w:r w:rsidR="009E45D0" w:rsidRPr="00291752">
        <w:rPr>
          <w:szCs w:val="24"/>
          <w:lang w:val="fr-CA"/>
        </w:rPr>
        <w:t xml:space="preserve">; </w:t>
      </w:r>
      <w:r w:rsidR="000B34B3" w:rsidRPr="00291752">
        <w:rPr>
          <w:szCs w:val="24"/>
        </w:rPr>
        <w:fldChar w:fldCharType="begin"/>
      </w:r>
      <w:r w:rsidR="009E45D0" w:rsidRPr="00291752">
        <w:rPr>
          <w:szCs w:val="24"/>
          <w:lang w:val="fr-CA"/>
        </w:rPr>
        <w:instrText xml:space="preserve"> SEQ CHAPTER \h \r 1</w:instrText>
      </w:r>
      <w:r w:rsidR="000B34B3" w:rsidRPr="00291752">
        <w:rPr>
          <w:szCs w:val="24"/>
        </w:rPr>
        <w:fldChar w:fldCharType="end"/>
      </w:r>
      <w:r w:rsidR="009E45D0" w:rsidRPr="00291752">
        <w:rPr>
          <w:i/>
          <w:iCs/>
          <w:szCs w:val="24"/>
          <w:lang w:val="fr-CA"/>
        </w:rPr>
        <w:t>Cooper c. Hobart</w:t>
      </w:r>
      <w:r w:rsidR="00F72E9A" w:rsidRPr="00291752">
        <w:rPr>
          <w:szCs w:val="24"/>
          <w:lang w:val="fr-CA"/>
        </w:rPr>
        <w:t>, 2001</w:t>
      </w:r>
      <w:r w:rsidR="00624D0F" w:rsidRPr="00291752">
        <w:rPr>
          <w:szCs w:val="24"/>
          <w:lang w:val="fr-CA"/>
        </w:rPr>
        <w:t xml:space="preserve"> </w:t>
      </w:r>
      <w:r w:rsidR="009E45D0" w:rsidRPr="00291752">
        <w:rPr>
          <w:szCs w:val="24"/>
          <w:lang w:val="fr-CA"/>
        </w:rPr>
        <w:t>CSC 79, [2001] 3 R.C.S. 537;</w:t>
      </w:r>
      <w:r w:rsidR="00AD57B8" w:rsidRPr="00291752">
        <w:rPr>
          <w:szCs w:val="24"/>
          <w:lang w:val="fr-CA"/>
        </w:rPr>
        <w:t xml:space="preserve"> </w:t>
      </w:r>
      <w:r w:rsidR="00AD57B8" w:rsidRPr="00291752">
        <w:rPr>
          <w:i/>
          <w:iCs/>
          <w:szCs w:val="24"/>
          <w:lang w:val="fr-CA"/>
        </w:rPr>
        <w:t>Edwards c. Barreau du Haut</w:t>
      </w:r>
      <w:r w:rsidR="00A16E3A" w:rsidRPr="00291752">
        <w:rPr>
          <w:i/>
          <w:iCs/>
          <w:szCs w:val="24"/>
          <w:lang w:val="fr-CA"/>
        </w:rPr>
        <w:t>-</w:t>
      </w:r>
      <w:r w:rsidR="00AD57B8" w:rsidRPr="00291752">
        <w:rPr>
          <w:i/>
          <w:iCs/>
          <w:szCs w:val="24"/>
          <w:lang w:val="fr-CA"/>
        </w:rPr>
        <w:t>Canada</w:t>
      </w:r>
      <w:r w:rsidR="00F72E9A" w:rsidRPr="00291752">
        <w:rPr>
          <w:szCs w:val="24"/>
          <w:lang w:val="fr-CA"/>
        </w:rPr>
        <w:t>, 2001</w:t>
      </w:r>
      <w:r w:rsidR="00624D0F" w:rsidRPr="00291752">
        <w:rPr>
          <w:szCs w:val="24"/>
          <w:lang w:val="fr-CA"/>
        </w:rPr>
        <w:t xml:space="preserve"> </w:t>
      </w:r>
      <w:r w:rsidR="00F72E9A" w:rsidRPr="00291752">
        <w:rPr>
          <w:szCs w:val="24"/>
          <w:lang w:val="fr-CA"/>
        </w:rPr>
        <w:t>CSC</w:t>
      </w:r>
      <w:r w:rsidR="00624D0F" w:rsidRPr="00291752">
        <w:rPr>
          <w:szCs w:val="24"/>
          <w:lang w:val="fr-CA"/>
        </w:rPr>
        <w:t xml:space="preserve"> </w:t>
      </w:r>
      <w:r w:rsidR="00AD57B8" w:rsidRPr="00291752">
        <w:rPr>
          <w:szCs w:val="24"/>
          <w:lang w:val="fr-CA"/>
        </w:rPr>
        <w:t xml:space="preserve">80, [2001] 3 R.C.S. 562; </w:t>
      </w:r>
      <w:r w:rsidR="00AD57B8" w:rsidRPr="00291752">
        <w:rPr>
          <w:i/>
          <w:iCs/>
          <w:szCs w:val="24"/>
          <w:lang w:val="fr-CA"/>
        </w:rPr>
        <w:t>Holland c. Saskatchewan</w:t>
      </w:r>
      <w:r w:rsidR="00D7417F" w:rsidRPr="00291752">
        <w:rPr>
          <w:szCs w:val="24"/>
          <w:lang w:val="fr-CA"/>
        </w:rPr>
        <w:t>, 2008 CSC 42, [2008]</w:t>
      </w:r>
      <w:r w:rsidR="00624D0F" w:rsidRPr="00291752">
        <w:rPr>
          <w:szCs w:val="24"/>
          <w:lang w:val="fr-CA"/>
        </w:rPr>
        <w:t xml:space="preserve"> </w:t>
      </w:r>
      <w:r w:rsidR="00C75B23" w:rsidRPr="00291752">
        <w:rPr>
          <w:szCs w:val="24"/>
          <w:lang w:val="fr-CA"/>
        </w:rPr>
        <w:t>2</w:t>
      </w:r>
      <w:r w:rsidR="00624D0F" w:rsidRPr="00291752">
        <w:rPr>
          <w:szCs w:val="24"/>
          <w:lang w:val="fr-CA"/>
        </w:rPr>
        <w:t xml:space="preserve"> </w:t>
      </w:r>
      <w:r w:rsidR="00AD57B8" w:rsidRPr="00291752">
        <w:rPr>
          <w:szCs w:val="24"/>
          <w:lang w:val="fr-CA"/>
        </w:rPr>
        <w:t>R.C.S. 551</w:t>
      </w:r>
      <w:r w:rsidR="002D3925" w:rsidRPr="00291752">
        <w:rPr>
          <w:szCs w:val="24"/>
          <w:lang w:val="fr-CA"/>
        </w:rPr>
        <w:t xml:space="preserve">; </w:t>
      </w:r>
      <w:r w:rsidR="000B34B3" w:rsidRPr="00291752">
        <w:rPr>
          <w:szCs w:val="24"/>
        </w:rPr>
        <w:fldChar w:fldCharType="begin"/>
      </w:r>
      <w:r w:rsidR="002D3925" w:rsidRPr="00291752">
        <w:rPr>
          <w:szCs w:val="24"/>
          <w:lang w:val="fr-CA"/>
        </w:rPr>
        <w:instrText xml:space="preserve"> SEQ CHAPTER \h \r 1</w:instrText>
      </w:r>
      <w:r w:rsidR="000B34B3" w:rsidRPr="00291752">
        <w:rPr>
          <w:szCs w:val="24"/>
        </w:rPr>
        <w:fldChar w:fldCharType="end"/>
      </w:r>
      <w:r w:rsidR="002D3925" w:rsidRPr="00291752">
        <w:rPr>
          <w:i/>
          <w:iCs/>
          <w:szCs w:val="24"/>
          <w:lang w:val="fr-CA"/>
        </w:rPr>
        <w:t>R. c. Consolidated Maybrun Mines Ltd.</w:t>
      </w:r>
      <w:r w:rsidR="002D3925" w:rsidRPr="00291752">
        <w:rPr>
          <w:szCs w:val="24"/>
          <w:lang w:val="fr-CA"/>
        </w:rPr>
        <w:t>, [1998] 1 R.C.S. 706</w:t>
      </w:r>
      <w:r w:rsidR="00255CDB" w:rsidRPr="00291752">
        <w:rPr>
          <w:szCs w:val="24"/>
          <w:lang w:val="fr-CA"/>
        </w:rPr>
        <w:t xml:space="preserve">; </w:t>
      </w:r>
      <w:r w:rsidR="000B34B3" w:rsidRPr="00291752">
        <w:rPr>
          <w:szCs w:val="24"/>
        </w:rPr>
        <w:fldChar w:fldCharType="begin"/>
      </w:r>
      <w:r w:rsidR="00255CDB" w:rsidRPr="00291752">
        <w:rPr>
          <w:szCs w:val="24"/>
          <w:lang w:val="fr-CA"/>
        </w:rPr>
        <w:instrText xml:space="preserve"> SEQ CHAPTER \h \r 1</w:instrText>
      </w:r>
      <w:r w:rsidR="000B34B3" w:rsidRPr="00291752">
        <w:rPr>
          <w:szCs w:val="24"/>
        </w:rPr>
        <w:fldChar w:fldCharType="end"/>
      </w:r>
      <w:r w:rsidR="00255CDB" w:rsidRPr="00291752">
        <w:rPr>
          <w:i/>
          <w:iCs/>
          <w:szCs w:val="24"/>
          <w:lang w:val="fr-CA"/>
        </w:rPr>
        <w:t>Hinton c. Canada (Ministre de la Citoyenneté et de l’Immigration)</w:t>
      </w:r>
      <w:r w:rsidR="00C75B23" w:rsidRPr="00291752">
        <w:rPr>
          <w:szCs w:val="24"/>
          <w:lang w:val="fr-CA"/>
        </w:rPr>
        <w:t>, 2008 CAF 215, [2009] 1</w:t>
      </w:r>
      <w:r w:rsidR="00624D0F" w:rsidRPr="00291752">
        <w:rPr>
          <w:szCs w:val="24"/>
          <w:lang w:val="fr-CA"/>
        </w:rPr>
        <w:t xml:space="preserve"> </w:t>
      </w:r>
      <w:r w:rsidR="00255CDB" w:rsidRPr="00291752">
        <w:rPr>
          <w:szCs w:val="24"/>
          <w:lang w:val="fr-CA"/>
        </w:rPr>
        <w:t>R.C.F. 476</w:t>
      </w:r>
      <w:r w:rsidR="00F305BC" w:rsidRPr="00291752">
        <w:rPr>
          <w:szCs w:val="24"/>
          <w:lang w:val="fr-CA"/>
        </w:rPr>
        <w:t>;</w:t>
      </w:r>
      <w:r w:rsidR="000B34B3" w:rsidRPr="00291752">
        <w:rPr>
          <w:szCs w:val="24"/>
        </w:rPr>
        <w:fldChar w:fldCharType="begin"/>
      </w:r>
      <w:r w:rsidR="00F305BC" w:rsidRPr="00291752">
        <w:rPr>
          <w:szCs w:val="24"/>
          <w:lang w:val="fr-CA"/>
        </w:rPr>
        <w:instrText xml:space="preserve"> SEQ CHAPTER \h \r 1</w:instrText>
      </w:r>
      <w:r w:rsidR="000B34B3" w:rsidRPr="00291752">
        <w:rPr>
          <w:szCs w:val="24"/>
        </w:rPr>
        <w:fldChar w:fldCharType="end"/>
      </w:r>
      <w:r w:rsidR="00F305BC" w:rsidRPr="00291752">
        <w:rPr>
          <w:szCs w:val="24"/>
          <w:lang w:val="fr-CA"/>
        </w:rPr>
        <w:t xml:space="preserve"> </w:t>
      </w:r>
      <w:r w:rsidR="00F305BC" w:rsidRPr="00291752">
        <w:rPr>
          <w:i/>
          <w:iCs/>
          <w:szCs w:val="24"/>
          <w:lang w:val="fr-CA"/>
        </w:rPr>
        <w:t>Parrish &amp; Heimbecker Ltd. c. Canada (Ministre de l’Agriculture et de l’Agroalimentaire)</w:t>
      </w:r>
      <w:r w:rsidR="00F305BC" w:rsidRPr="00291752">
        <w:rPr>
          <w:szCs w:val="24"/>
          <w:lang w:val="fr-CA"/>
        </w:rPr>
        <w:t>, 2008 CAF 362, [2009] 3 R.C.F. 568</w:t>
      </w:r>
      <w:r w:rsidR="005E1AEA" w:rsidRPr="00291752">
        <w:rPr>
          <w:szCs w:val="24"/>
          <w:lang w:val="fr-CA"/>
        </w:rPr>
        <w:t xml:space="preserve">, inf. par 2010 CSC 64, [2010] 3 R.C.S. </w:t>
      </w:r>
      <w:r w:rsidR="00305EAE" w:rsidRPr="00291752">
        <w:rPr>
          <w:szCs w:val="24"/>
          <w:lang w:val="fr-CA"/>
        </w:rPr>
        <w:t>639</w:t>
      </w:r>
      <w:r w:rsidR="0041518D" w:rsidRPr="00291752">
        <w:rPr>
          <w:szCs w:val="24"/>
          <w:lang w:val="fr-CA"/>
        </w:rPr>
        <w:t xml:space="preserve">; </w:t>
      </w:r>
      <w:r w:rsidR="000B34B3" w:rsidRPr="00291752">
        <w:rPr>
          <w:szCs w:val="24"/>
        </w:rPr>
        <w:fldChar w:fldCharType="begin"/>
      </w:r>
      <w:r w:rsidR="0041518D" w:rsidRPr="00291752">
        <w:rPr>
          <w:szCs w:val="24"/>
          <w:lang w:val="fr-CA"/>
        </w:rPr>
        <w:instrText xml:space="preserve"> SEQ CHAPTER \h \r 1</w:instrText>
      </w:r>
      <w:r w:rsidR="000B34B3" w:rsidRPr="00291752">
        <w:rPr>
          <w:szCs w:val="24"/>
        </w:rPr>
        <w:fldChar w:fldCharType="end"/>
      </w:r>
      <w:r w:rsidR="0041518D" w:rsidRPr="00291752">
        <w:rPr>
          <w:i/>
          <w:iCs/>
          <w:szCs w:val="24"/>
          <w:lang w:val="fr-CA"/>
        </w:rPr>
        <w:t>Donovan c. Canada (Attorney General)</w:t>
      </w:r>
      <w:r w:rsidR="0041518D" w:rsidRPr="00291752">
        <w:rPr>
          <w:szCs w:val="24"/>
          <w:lang w:val="fr-CA"/>
        </w:rPr>
        <w:t xml:space="preserve">, 2008 NLCA 8, 273 Nfld. </w:t>
      </w:r>
      <w:r w:rsidR="0041518D" w:rsidRPr="00291752">
        <w:rPr>
          <w:szCs w:val="24"/>
          <w:lang w:val="en-US"/>
        </w:rPr>
        <w:t xml:space="preserve">&amp; P.E.I.R. 116; </w:t>
      </w:r>
      <w:r w:rsidR="0041518D" w:rsidRPr="00291752">
        <w:rPr>
          <w:i/>
          <w:iCs/>
          <w:szCs w:val="24"/>
          <w:lang w:val="en-US"/>
        </w:rPr>
        <w:t>Lidstone c. Canada (Minister of Canadian Heritage)</w:t>
      </w:r>
      <w:r w:rsidR="0041518D" w:rsidRPr="00291752">
        <w:rPr>
          <w:szCs w:val="24"/>
          <w:lang w:val="en-US"/>
        </w:rPr>
        <w:t>, 2008</w:t>
      </w:r>
      <w:r w:rsidR="00D7417F" w:rsidRPr="00291752">
        <w:rPr>
          <w:szCs w:val="24"/>
          <w:lang w:val="en-US"/>
        </w:rPr>
        <w:t xml:space="preserve"> PESCTD 6, 286</w:t>
      </w:r>
      <w:r w:rsidR="00624D0F" w:rsidRPr="00291752">
        <w:rPr>
          <w:szCs w:val="24"/>
          <w:lang w:val="en-US"/>
        </w:rPr>
        <w:t xml:space="preserve"> </w:t>
      </w:r>
      <w:r w:rsidR="00D7417F" w:rsidRPr="00291752">
        <w:rPr>
          <w:szCs w:val="24"/>
          <w:lang w:val="en-US"/>
        </w:rPr>
        <w:t>Nfld.</w:t>
      </w:r>
      <w:r w:rsidR="00624D0F" w:rsidRPr="00291752">
        <w:rPr>
          <w:szCs w:val="24"/>
          <w:lang w:val="en-US"/>
        </w:rPr>
        <w:t xml:space="preserve"> </w:t>
      </w:r>
      <w:r w:rsidR="00D7417F" w:rsidRPr="00291752">
        <w:rPr>
          <w:szCs w:val="24"/>
          <w:lang w:val="en-US"/>
        </w:rPr>
        <w:t>&amp;</w:t>
      </w:r>
      <w:r w:rsidR="00624D0F" w:rsidRPr="00291752">
        <w:rPr>
          <w:szCs w:val="24"/>
          <w:lang w:val="en-US"/>
        </w:rPr>
        <w:t xml:space="preserve"> </w:t>
      </w:r>
      <w:r w:rsidR="00D7417F" w:rsidRPr="00291752">
        <w:rPr>
          <w:szCs w:val="24"/>
          <w:lang w:val="en-US"/>
        </w:rPr>
        <w:t>P.E.I.R.</w:t>
      </w:r>
      <w:r w:rsidR="00624D0F" w:rsidRPr="00291752">
        <w:rPr>
          <w:szCs w:val="24"/>
          <w:lang w:val="en-US"/>
        </w:rPr>
        <w:t xml:space="preserve"> </w:t>
      </w:r>
      <w:r w:rsidR="0041518D" w:rsidRPr="00291752">
        <w:rPr>
          <w:szCs w:val="24"/>
          <w:lang w:val="en-US"/>
        </w:rPr>
        <w:t xml:space="preserve">244; </w:t>
      </w:r>
      <w:r w:rsidR="00362F52" w:rsidRPr="00291752">
        <w:rPr>
          <w:i/>
          <w:iCs/>
          <w:szCs w:val="24"/>
          <w:lang w:val="en-US"/>
        </w:rPr>
        <w:t xml:space="preserve">River </w:t>
      </w:r>
      <w:r w:rsidR="0041518D" w:rsidRPr="00291752">
        <w:rPr>
          <w:i/>
          <w:iCs/>
          <w:szCs w:val="24"/>
          <w:lang w:val="en-US"/>
        </w:rPr>
        <w:t>Valley Poultry Farm Ltd. c. Canada (Attorney General)</w:t>
      </w:r>
      <w:r w:rsidR="00C75B23" w:rsidRPr="00291752">
        <w:rPr>
          <w:szCs w:val="24"/>
          <w:lang w:val="en-US"/>
        </w:rPr>
        <w:t>, 2009 ONCA 326, 95</w:t>
      </w:r>
      <w:r w:rsidR="00624D0F" w:rsidRPr="00291752">
        <w:rPr>
          <w:szCs w:val="24"/>
          <w:lang w:val="en-US"/>
        </w:rPr>
        <w:t xml:space="preserve"> </w:t>
      </w:r>
      <w:r w:rsidR="0041518D" w:rsidRPr="00291752">
        <w:rPr>
          <w:szCs w:val="24"/>
          <w:lang w:val="en-US"/>
        </w:rPr>
        <w:t xml:space="preserve">O.R. (3d) 1; </w:t>
      </w:r>
      <w:r w:rsidR="0041518D" w:rsidRPr="00291752">
        <w:rPr>
          <w:i/>
          <w:iCs/>
          <w:szCs w:val="24"/>
          <w:lang w:val="en-US"/>
        </w:rPr>
        <w:t>Los Angeles Salad Co. c. Canadian Food Inspection Agency</w:t>
      </w:r>
      <w:r w:rsidR="0041518D" w:rsidRPr="00291752">
        <w:rPr>
          <w:iCs/>
          <w:szCs w:val="24"/>
          <w:lang w:val="en-US"/>
        </w:rPr>
        <w:t>,</w:t>
      </w:r>
      <w:r w:rsidR="00C75B23" w:rsidRPr="00291752">
        <w:rPr>
          <w:szCs w:val="24"/>
          <w:lang w:val="en-US"/>
        </w:rPr>
        <w:t xml:space="preserve"> 2009</w:t>
      </w:r>
      <w:r w:rsidR="00624D0F" w:rsidRPr="00291752">
        <w:rPr>
          <w:szCs w:val="24"/>
          <w:lang w:val="en-US"/>
        </w:rPr>
        <w:t xml:space="preserve"> </w:t>
      </w:r>
      <w:r w:rsidR="0041518D" w:rsidRPr="00291752">
        <w:rPr>
          <w:szCs w:val="24"/>
          <w:lang w:val="en-US"/>
        </w:rPr>
        <w:t xml:space="preserve">BCSC 109, 92 B.C.L.R. (4th) 379; </w:t>
      </w:r>
      <w:r w:rsidR="00243B59" w:rsidRPr="00291752">
        <w:rPr>
          <w:i/>
          <w:iCs/>
          <w:szCs w:val="24"/>
          <w:lang w:val="en-US"/>
        </w:rPr>
        <w:t>Leroux c</w:t>
      </w:r>
      <w:r w:rsidR="0041518D" w:rsidRPr="00291752">
        <w:rPr>
          <w:i/>
          <w:iCs/>
          <w:szCs w:val="24"/>
          <w:lang w:val="en-US"/>
        </w:rPr>
        <w:t>. Canada Revenue Agency</w:t>
      </w:r>
      <w:r w:rsidR="00C75B23" w:rsidRPr="00291752">
        <w:rPr>
          <w:szCs w:val="24"/>
          <w:lang w:val="en-US"/>
        </w:rPr>
        <w:t>, 2010</w:t>
      </w:r>
      <w:r w:rsidR="00624D0F" w:rsidRPr="00291752">
        <w:rPr>
          <w:szCs w:val="24"/>
          <w:lang w:val="en-US"/>
        </w:rPr>
        <w:t xml:space="preserve"> </w:t>
      </w:r>
      <w:r w:rsidR="0041518D" w:rsidRPr="00291752">
        <w:rPr>
          <w:szCs w:val="24"/>
          <w:lang w:val="en-US"/>
        </w:rPr>
        <w:t xml:space="preserve">BCSC 865, 2010 D.T.C. 5123; </w:t>
      </w:r>
      <w:r w:rsidR="0041518D" w:rsidRPr="00291752">
        <w:rPr>
          <w:i/>
          <w:iCs/>
          <w:szCs w:val="24"/>
          <w:lang w:val="en-US"/>
        </w:rPr>
        <w:t>Fantasy Construction Ltd., Re</w:t>
      </w:r>
      <w:r w:rsidR="0041518D" w:rsidRPr="00291752">
        <w:rPr>
          <w:szCs w:val="24"/>
          <w:lang w:val="en-US"/>
        </w:rPr>
        <w:t xml:space="preserve">, 2007 ABCA 335, 89 Alta. L.R. (4th) 93; </w:t>
      </w:r>
      <w:r w:rsidR="0041518D" w:rsidRPr="00291752">
        <w:rPr>
          <w:i/>
          <w:iCs/>
          <w:szCs w:val="24"/>
          <w:lang w:val="en-US"/>
        </w:rPr>
        <w:t>Genge c. Canada (Attorney General)</w:t>
      </w:r>
      <w:r w:rsidR="00D7417F" w:rsidRPr="00291752">
        <w:rPr>
          <w:szCs w:val="24"/>
          <w:lang w:val="en-US"/>
        </w:rPr>
        <w:t>, 2007</w:t>
      </w:r>
      <w:r w:rsidR="005E1AEA" w:rsidRPr="00291752">
        <w:rPr>
          <w:szCs w:val="24"/>
          <w:lang w:val="en-US"/>
        </w:rPr>
        <w:t xml:space="preserve"> </w:t>
      </w:r>
      <w:r w:rsidR="00C75B23" w:rsidRPr="00291752">
        <w:rPr>
          <w:szCs w:val="24"/>
          <w:lang w:val="en-US"/>
        </w:rPr>
        <w:t>NLCA 60, 270</w:t>
      </w:r>
      <w:r w:rsidR="005E1AEA" w:rsidRPr="00291752">
        <w:rPr>
          <w:szCs w:val="24"/>
          <w:lang w:val="en-US"/>
        </w:rPr>
        <w:t xml:space="preserve"> </w:t>
      </w:r>
      <w:r w:rsidR="0041518D" w:rsidRPr="00291752">
        <w:rPr>
          <w:szCs w:val="24"/>
          <w:lang w:val="en-US"/>
        </w:rPr>
        <w:t xml:space="preserve">Nfld. </w:t>
      </w:r>
      <w:r w:rsidR="0041518D" w:rsidRPr="00291752">
        <w:rPr>
          <w:szCs w:val="24"/>
          <w:lang w:val="fr-CA"/>
        </w:rPr>
        <w:t>&amp; P.E.I.R. 182</w:t>
      </w:r>
      <w:r w:rsidR="00DB3BF0" w:rsidRPr="00291752">
        <w:rPr>
          <w:szCs w:val="24"/>
          <w:lang w:val="fr-CA"/>
        </w:rPr>
        <w:t xml:space="preserve">; </w:t>
      </w:r>
      <w:r w:rsidR="000B34B3" w:rsidRPr="00291752">
        <w:rPr>
          <w:szCs w:val="24"/>
        </w:rPr>
        <w:fldChar w:fldCharType="begin"/>
      </w:r>
      <w:r w:rsidR="00DB3BF0" w:rsidRPr="00291752">
        <w:rPr>
          <w:szCs w:val="24"/>
          <w:lang w:val="fr-CA"/>
        </w:rPr>
        <w:instrText xml:space="preserve"> SEQ CHAPTER \h \r 1</w:instrText>
      </w:r>
      <w:r w:rsidR="000B34B3" w:rsidRPr="00291752">
        <w:rPr>
          <w:szCs w:val="24"/>
        </w:rPr>
        <w:fldChar w:fldCharType="end"/>
      </w:r>
      <w:r w:rsidR="00DB3BF0" w:rsidRPr="00291752">
        <w:rPr>
          <w:i/>
          <w:iCs/>
          <w:szCs w:val="24"/>
          <w:lang w:val="fr-CA"/>
        </w:rPr>
        <w:t>Gestion Complexe Cousineau (1989) Inc. c. Canada (Ministre des Travaux publics et Services gouvernementaux)</w:t>
      </w:r>
      <w:r w:rsidR="00D7417F" w:rsidRPr="00291752">
        <w:rPr>
          <w:szCs w:val="24"/>
          <w:lang w:val="fr-CA"/>
        </w:rPr>
        <w:t>, [1995]</w:t>
      </w:r>
      <w:r w:rsidR="005E1AEA" w:rsidRPr="00291752">
        <w:rPr>
          <w:szCs w:val="24"/>
          <w:lang w:val="fr-CA"/>
        </w:rPr>
        <w:t xml:space="preserve"> </w:t>
      </w:r>
      <w:r w:rsidR="00D7417F" w:rsidRPr="00291752">
        <w:rPr>
          <w:szCs w:val="24"/>
          <w:lang w:val="fr-CA"/>
        </w:rPr>
        <w:t>2</w:t>
      </w:r>
      <w:r w:rsidR="005E1AEA" w:rsidRPr="00291752">
        <w:rPr>
          <w:szCs w:val="24"/>
          <w:lang w:val="fr-CA"/>
        </w:rPr>
        <w:t xml:space="preserve"> </w:t>
      </w:r>
      <w:r w:rsidR="00DB3BF0" w:rsidRPr="00291752">
        <w:rPr>
          <w:szCs w:val="24"/>
          <w:lang w:val="fr-CA"/>
        </w:rPr>
        <w:t>C.F. 694</w:t>
      </w:r>
      <w:r w:rsidR="00D03A28" w:rsidRPr="00291752">
        <w:rPr>
          <w:szCs w:val="24"/>
          <w:lang w:val="fr-CA"/>
        </w:rPr>
        <w:t xml:space="preserve">; </w:t>
      </w:r>
      <w:r w:rsidR="00D03A28" w:rsidRPr="00291752">
        <w:rPr>
          <w:i/>
          <w:iCs/>
          <w:szCs w:val="24"/>
          <w:lang w:val="fr-CA"/>
        </w:rPr>
        <w:t>Irving Shipbuilding Inc. c. Canada (Procureur général)</w:t>
      </w:r>
      <w:r w:rsidR="00D03A28" w:rsidRPr="00291752">
        <w:rPr>
          <w:iCs/>
          <w:szCs w:val="24"/>
          <w:lang w:val="fr-CA"/>
        </w:rPr>
        <w:t xml:space="preserve">, </w:t>
      </w:r>
      <w:r w:rsidR="00D7417F" w:rsidRPr="00291752">
        <w:rPr>
          <w:szCs w:val="24"/>
          <w:lang w:val="fr-CA"/>
        </w:rPr>
        <w:t>2009</w:t>
      </w:r>
      <w:r w:rsidR="005E1AEA" w:rsidRPr="00291752">
        <w:rPr>
          <w:szCs w:val="24"/>
          <w:lang w:val="fr-CA"/>
        </w:rPr>
        <w:t xml:space="preserve"> </w:t>
      </w:r>
      <w:r w:rsidR="00D03A28" w:rsidRPr="00291752">
        <w:rPr>
          <w:szCs w:val="24"/>
          <w:lang w:val="fr-CA"/>
        </w:rPr>
        <w:t>CAF 116</w:t>
      </w:r>
      <w:r w:rsidR="00305EAE" w:rsidRPr="00291752">
        <w:rPr>
          <w:szCs w:val="24"/>
          <w:lang w:val="fr-CA"/>
        </w:rPr>
        <w:t xml:space="preserve"> (</w:t>
      </w:r>
      <w:proofErr w:type="spellStart"/>
      <w:r w:rsidR="00305EAE" w:rsidRPr="00291752">
        <w:rPr>
          <w:szCs w:val="24"/>
          <w:lang w:val="fr-CA"/>
        </w:rPr>
        <w:t>CanLII</w:t>
      </w:r>
      <w:proofErr w:type="spellEnd"/>
      <w:r w:rsidR="00305EAE" w:rsidRPr="00291752">
        <w:rPr>
          <w:szCs w:val="24"/>
          <w:lang w:val="fr-CA"/>
        </w:rPr>
        <w:t>)</w:t>
      </w:r>
      <w:r w:rsidR="00D03A28" w:rsidRPr="00291752">
        <w:rPr>
          <w:szCs w:val="24"/>
          <w:lang w:val="fr-CA"/>
        </w:rPr>
        <w:t>, autorisati</w:t>
      </w:r>
      <w:r w:rsidR="00D7417F" w:rsidRPr="00291752">
        <w:rPr>
          <w:szCs w:val="24"/>
          <w:lang w:val="fr-CA"/>
        </w:rPr>
        <w:t>on d</w:t>
      </w:r>
      <w:r w:rsidR="005E1AEA" w:rsidRPr="00291752">
        <w:rPr>
          <w:szCs w:val="24"/>
          <w:lang w:val="fr-CA"/>
        </w:rPr>
        <w:t>’appel</w:t>
      </w:r>
      <w:r w:rsidR="00D7417F" w:rsidRPr="00291752">
        <w:rPr>
          <w:szCs w:val="24"/>
          <w:lang w:val="fr-CA"/>
        </w:rPr>
        <w:t xml:space="preserve"> refusée, [2009]</w:t>
      </w:r>
      <w:r w:rsidR="005E1AEA" w:rsidRPr="00291752">
        <w:rPr>
          <w:szCs w:val="24"/>
          <w:lang w:val="fr-CA"/>
        </w:rPr>
        <w:t xml:space="preserve"> </w:t>
      </w:r>
      <w:r w:rsidR="00D7417F" w:rsidRPr="00291752">
        <w:rPr>
          <w:szCs w:val="24"/>
          <w:lang w:val="fr-CA"/>
        </w:rPr>
        <w:t>3</w:t>
      </w:r>
      <w:r w:rsidR="005E1AEA" w:rsidRPr="00291752">
        <w:rPr>
          <w:szCs w:val="24"/>
          <w:lang w:val="fr-CA"/>
        </w:rPr>
        <w:t xml:space="preserve"> </w:t>
      </w:r>
      <w:r w:rsidR="00D03A28" w:rsidRPr="00291752">
        <w:rPr>
          <w:szCs w:val="24"/>
          <w:lang w:val="fr-CA"/>
        </w:rPr>
        <w:t>R.C.S. vii</w:t>
      </w:r>
      <w:r w:rsidR="007D5509" w:rsidRPr="00291752">
        <w:rPr>
          <w:szCs w:val="24"/>
          <w:lang w:val="fr-CA"/>
        </w:rPr>
        <w:t xml:space="preserve">; </w:t>
      </w:r>
      <w:r w:rsidR="00C75B23" w:rsidRPr="00291752">
        <w:rPr>
          <w:i/>
          <w:iCs/>
          <w:szCs w:val="24"/>
          <w:lang w:val="fr-CA"/>
        </w:rPr>
        <w:t>Martel</w:t>
      </w:r>
      <w:r w:rsidR="005E1AEA" w:rsidRPr="00291752">
        <w:rPr>
          <w:i/>
          <w:iCs/>
          <w:szCs w:val="24"/>
          <w:lang w:val="fr-CA"/>
        </w:rPr>
        <w:t xml:space="preserve"> </w:t>
      </w:r>
      <w:r w:rsidR="007D5509" w:rsidRPr="00291752">
        <w:rPr>
          <w:i/>
          <w:iCs/>
          <w:szCs w:val="24"/>
          <w:lang w:val="fr-CA"/>
        </w:rPr>
        <w:t>Building Ltd. c. Canada</w:t>
      </w:r>
      <w:r w:rsidR="007D5509" w:rsidRPr="00291752">
        <w:rPr>
          <w:iCs/>
          <w:szCs w:val="24"/>
          <w:lang w:val="fr-CA"/>
        </w:rPr>
        <w:t xml:space="preserve">, 2000 CSC 60, </w:t>
      </w:r>
      <w:r w:rsidR="00D7417F" w:rsidRPr="00291752">
        <w:rPr>
          <w:szCs w:val="24"/>
          <w:lang w:val="fr-CA"/>
        </w:rPr>
        <w:t>[2000] 2</w:t>
      </w:r>
      <w:r w:rsidR="005E1AEA" w:rsidRPr="00291752">
        <w:rPr>
          <w:szCs w:val="24"/>
          <w:lang w:val="fr-CA"/>
        </w:rPr>
        <w:t xml:space="preserve"> </w:t>
      </w:r>
      <w:r w:rsidR="00D7417F" w:rsidRPr="00291752">
        <w:rPr>
          <w:szCs w:val="24"/>
          <w:lang w:val="fr-CA"/>
        </w:rPr>
        <w:t>R.C.S.</w:t>
      </w:r>
      <w:r w:rsidR="005E1AEA" w:rsidRPr="00291752">
        <w:rPr>
          <w:szCs w:val="24"/>
          <w:lang w:val="fr-CA"/>
        </w:rPr>
        <w:t xml:space="preserve"> </w:t>
      </w:r>
      <w:r w:rsidR="007D5509" w:rsidRPr="00291752">
        <w:rPr>
          <w:szCs w:val="24"/>
          <w:lang w:val="fr-CA"/>
        </w:rPr>
        <w:t>860</w:t>
      </w:r>
      <w:r w:rsidR="00AE4D87" w:rsidRPr="00291752">
        <w:rPr>
          <w:szCs w:val="24"/>
          <w:lang w:val="fr-CA"/>
        </w:rPr>
        <w:t xml:space="preserve">; </w:t>
      </w:r>
      <w:r w:rsidR="000B34B3" w:rsidRPr="00291752">
        <w:rPr>
          <w:szCs w:val="24"/>
        </w:rPr>
        <w:fldChar w:fldCharType="begin"/>
      </w:r>
      <w:r w:rsidR="00AE4D87" w:rsidRPr="00291752">
        <w:rPr>
          <w:szCs w:val="24"/>
          <w:lang w:val="fr-CA"/>
        </w:rPr>
        <w:instrText xml:space="preserve"> SEQ CHAPTER \h \r 1</w:instrText>
      </w:r>
      <w:r w:rsidR="000B34B3" w:rsidRPr="00291752">
        <w:rPr>
          <w:szCs w:val="24"/>
        </w:rPr>
        <w:fldChar w:fldCharType="end"/>
      </w:r>
      <w:r w:rsidR="00AE4D87" w:rsidRPr="00291752">
        <w:rPr>
          <w:i/>
          <w:iCs/>
          <w:szCs w:val="24"/>
          <w:lang w:val="fr-CA"/>
        </w:rPr>
        <w:t>R. c. Al Klippert Ltd.</w:t>
      </w:r>
      <w:r w:rsidR="00AE4D87" w:rsidRPr="00291752">
        <w:rPr>
          <w:szCs w:val="24"/>
          <w:lang w:val="fr-CA"/>
        </w:rPr>
        <w:t>, [1998] 1 R.C.S. 737</w:t>
      </w:r>
      <w:r w:rsidR="006D7BC8" w:rsidRPr="00291752">
        <w:rPr>
          <w:szCs w:val="24"/>
          <w:lang w:val="fr-CA"/>
        </w:rPr>
        <w:t>;</w:t>
      </w:r>
      <w:r w:rsidR="000B34B3" w:rsidRPr="00291752">
        <w:rPr>
          <w:szCs w:val="24"/>
        </w:rPr>
        <w:fldChar w:fldCharType="begin"/>
      </w:r>
      <w:r w:rsidR="006D7BC8" w:rsidRPr="00291752">
        <w:rPr>
          <w:szCs w:val="24"/>
          <w:lang w:val="fr-CA"/>
        </w:rPr>
        <w:instrText xml:space="preserve"> SEQ CHAPTER \h \r 1</w:instrText>
      </w:r>
      <w:r w:rsidR="000B34B3" w:rsidRPr="00291752">
        <w:rPr>
          <w:szCs w:val="24"/>
        </w:rPr>
        <w:fldChar w:fldCharType="end"/>
      </w:r>
      <w:r w:rsidR="006D7BC8" w:rsidRPr="00291752">
        <w:rPr>
          <w:i/>
          <w:iCs/>
          <w:szCs w:val="24"/>
          <w:lang w:val="fr-CA"/>
        </w:rPr>
        <w:t xml:space="preserve"> Succession Ordon c. Grail</w:t>
      </w:r>
      <w:r w:rsidR="00A930FD" w:rsidRPr="00291752">
        <w:rPr>
          <w:szCs w:val="24"/>
          <w:lang w:val="fr-CA"/>
        </w:rPr>
        <w:t xml:space="preserve">, [1998] 3 R.C.S. </w:t>
      </w:r>
      <w:r w:rsidR="006D7BC8" w:rsidRPr="00291752">
        <w:rPr>
          <w:szCs w:val="24"/>
          <w:lang w:val="fr-CA"/>
        </w:rPr>
        <w:t>4</w:t>
      </w:r>
      <w:r w:rsidR="00A930FD" w:rsidRPr="00291752">
        <w:rPr>
          <w:szCs w:val="24"/>
          <w:lang w:val="fr-CA"/>
        </w:rPr>
        <w:t>3</w:t>
      </w:r>
      <w:r w:rsidR="006D7BC8" w:rsidRPr="00291752">
        <w:rPr>
          <w:szCs w:val="24"/>
          <w:lang w:val="fr-CA"/>
        </w:rPr>
        <w:t xml:space="preserve">7; </w:t>
      </w:r>
      <w:r w:rsidR="006D7BC8" w:rsidRPr="00291752">
        <w:rPr>
          <w:i/>
          <w:iCs/>
          <w:szCs w:val="24"/>
          <w:lang w:val="fr-CA"/>
        </w:rPr>
        <w:t>Pringle c. Fraser</w:t>
      </w:r>
      <w:r w:rsidR="006D7BC8" w:rsidRPr="00291752">
        <w:rPr>
          <w:szCs w:val="24"/>
          <w:lang w:val="fr-CA"/>
        </w:rPr>
        <w:t xml:space="preserve">, [1972] R.C.S. 821; </w:t>
      </w:r>
      <w:r w:rsidR="006D7BC8" w:rsidRPr="00291752">
        <w:rPr>
          <w:i/>
          <w:iCs/>
          <w:szCs w:val="24"/>
          <w:lang w:val="fr-CA"/>
        </w:rPr>
        <w:t xml:space="preserve">Canada (Commission des droits de la personne) c. </w:t>
      </w:r>
      <w:r w:rsidR="006D7BC8" w:rsidRPr="00291752">
        <w:rPr>
          <w:i/>
          <w:iCs/>
          <w:szCs w:val="24"/>
          <w:lang w:val="fr-CA"/>
        </w:rPr>
        <w:lastRenderedPageBreak/>
        <w:t>Canadian Liberty Net</w:t>
      </w:r>
      <w:r w:rsidR="00D7417F" w:rsidRPr="00291752">
        <w:rPr>
          <w:szCs w:val="24"/>
          <w:lang w:val="fr-CA"/>
        </w:rPr>
        <w:t>, [1998]</w:t>
      </w:r>
      <w:r w:rsidR="005E1AEA" w:rsidRPr="00291752">
        <w:rPr>
          <w:szCs w:val="24"/>
          <w:lang w:val="fr-CA"/>
        </w:rPr>
        <w:t xml:space="preserve"> </w:t>
      </w:r>
      <w:r w:rsidR="00D7417F" w:rsidRPr="00291752">
        <w:rPr>
          <w:szCs w:val="24"/>
          <w:lang w:val="fr-CA"/>
        </w:rPr>
        <w:t>1</w:t>
      </w:r>
      <w:r w:rsidR="005E1AEA" w:rsidRPr="00291752">
        <w:rPr>
          <w:szCs w:val="24"/>
          <w:lang w:val="fr-CA"/>
        </w:rPr>
        <w:t xml:space="preserve"> </w:t>
      </w:r>
      <w:r w:rsidR="006D7BC8" w:rsidRPr="00291752">
        <w:rPr>
          <w:szCs w:val="24"/>
          <w:lang w:val="fr-CA"/>
        </w:rPr>
        <w:t>R.C.</w:t>
      </w:r>
      <w:r w:rsidR="00D7417F" w:rsidRPr="00291752">
        <w:rPr>
          <w:szCs w:val="24"/>
          <w:lang w:val="fr-CA"/>
        </w:rPr>
        <w:t>S.</w:t>
      </w:r>
      <w:r w:rsidR="00624D0F" w:rsidRPr="00291752">
        <w:rPr>
          <w:szCs w:val="24"/>
          <w:lang w:val="fr-CA"/>
        </w:rPr>
        <w:t xml:space="preserve"> </w:t>
      </w:r>
      <w:r w:rsidR="006D7BC8" w:rsidRPr="00291752">
        <w:rPr>
          <w:szCs w:val="24"/>
          <w:lang w:val="fr-CA"/>
        </w:rPr>
        <w:t>626</w:t>
      </w:r>
      <w:r w:rsidR="00A23605" w:rsidRPr="00291752">
        <w:rPr>
          <w:szCs w:val="24"/>
          <w:lang w:val="fr-CA"/>
        </w:rPr>
        <w:t>;</w:t>
      </w:r>
      <w:r w:rsidR="000B34B3" w:rsidRPr="00291752">
        <w:rPr>
          <w:szCs w:val="24"/>
        </w:rPr>
        <w:fldChar w:fldCharType="begin"/>
      </w:r>
      <w:r w:rsidR="00A23605" w:rsidRPr="00291752">
        <w:rPr>
          <w:szCs w:val="24"/>
          <w:lang w:val="fr-CA"/>
        </w:rPr>
        <w:instrText xml:space="preserve"> SEQ CHAPTER \h \r 1</w:instrText>
      </w:r>
      <w:r w:rsidR="000B34B3" w:rsidRPr="00291752">
        <w:rPr>
          <w:szCs w:val="24"/>
        </w:rPr>
        <w:fldChar w:fldCharType="end"/>
      </w:r>
      <w:r w:rsidR="00A23605" w:rsidRPr="00291752">
        <w:rPr>
          <w:szCs w:val="24"/>
          <w:lang w:val="fr-CA"/>
        </w:rPr>
        <w:t xml:space="preserve"> </w:t>
      </w:r>
      <w:r w:rsidR="00A23605" w:rsidRPr="00291752">
        <w:rPr>
          <w:i/>
          <w:iCs/>
          <w:szCs w:val="24"/>
          <w:lang w:val="fr-CA"/>
        </w:rPr>
        <w:t xml:space="preserve">Peacock c. Bell </w:t>
      </w:r>
      <w:r w:rsidR="002A05E3" w:rsidRPr="00291752">
        <w:rPr>
          <w:szCs w:val="24"/>
          <w:lang w:val="fr-CA"/>
        </w:rPr>
        <w:t>(166</w:t>
      </w:r>
      <w:r w:rsidR="00C75B23" w:rsidRPr="00291752">
        <w:rPr>
          <w:szCs w:val="24"/>
          <w:lang w:val="fr-CA"/>
        </w:rPr>
        <w:t>7), 1</w:t>
      </w:r>
      <w:r w:rsidR="005E1AEA" w:rsidRPr="00291752">
        <w:rPr>
          <w:szCs w:val="24"/>
          <w:lang w:val="fr-CA"/>
        </w:rPr>
        <w:t xml:space="preserve"> </w:t>
      </w:r>
      <w:r w:rsidR="00C75B23" w:rsidRPr="00291752">
        <w:rPr>
          <w:szCs w:val="24"/>
          <w:lang w:val="fr-CA"/>
        </w:rPr>
        <w:t>Wm</w:t>
      </w:r>
      <w:r w:rsidR="004B0772" w:rsidRPr="00291752">
        <w:rPr>
          <w:szCs w:val="24"/>
          <w:lang w:val="fr-CA"/>
        </w:rPr>
        <w:t>s</w:t>
      </w:r>
      <w:r w:rsidR="00C75B23" w:rsidRPr="00291752">
        <w:rPr>
          <w:szCs w:val="24"/>
          <w:lang w:val="fr-CA"/>
        </w:rPr>
        <w:t>.</w:t>
      </w:r>
      <w:r w:rsidR="005E1AEA" w:rsidRPr="00291752">
        <w:rPr>
          <w:szCs w:val="24"/>
          <w:lang w:val="fr-CA"/>
        </w:rPr>
        <w:t xml:space="preserve"> </w:t>
      </w:r>
      <w:r w:rsidR="00C75B23" w:rsidRPr="00291752">
        <w:rPr>
          <w:szCs w:val="24"/>
          <w:lang w:val="fr-CA"/>
        </w:rPr>
        <w:t>Saund.</w:t>
      </w:r>
      <w:r w:rsidR="005E1AEA" w:rsidRPr="00291752">
        <w:rPr>
          <w:szCs w:val="24"/>
          <w:lang w:val="fr-CA"/>
        </w:rPr>
        <w:t xml:space="preserve"> </w:t>
      </w:r>
      <w:r w:rsidR="00A23605" w:rsidRPr="00291752">
        <w:rPr>
          <w:szCs w:val="24"/>
          <w:lang w:val="fr-CA"/>
        </w:rPr>
        <w:t>73, 85</w:t>
      </w:r>
      <w:r w:rsidR="00A23605" w:rsidRPr="00291752">
        <w:rPr>
          <w:i/>
          <w:iCs/>
          <w:szCs w:val="24"/>
          <w:lang w:val="fr-CA"/>
        </w:rPr>
        <w:t xml:space="preserve"> </w:t>
      </w:r>
      <w:r w:rsidR="00A23605" w:rsidRPr="00291752">
        <w:rPr>
          <w:szCs w:val="24"/>
          <w:lang w:val="fr-CA"/>
        </w:rPr>
        <w:t>E.R. 84</w:t>
      </w:r>
      <w:r w:rsidR="00351AF7" w:rsidRPr="00291752">
        <w:rPr>
          <w:szCs w:val="24"/>
          <w:lang w:val="fr-CA"/>
        </w:rPr>
        <w:t xml:space="preserve">; </w:t>
      </w:r>
      <w:r w:rsidR="00305EAE" w:rsidRPr="00291752">
        <w:rPr>
          <w:i/>
          <w:iCs/>
          <w:szCs w:val="24"/>
          <w:lang w:val="fr-CA"/>
        </w:rPr>
        <w:t>Mills</w:t>
      </w:r>
      <w:r w:rsidR="00305EAE" w:rsidRPr="00291752">
        <w:rPr>
          <w:szCs w:val="24"/>
          <w:lang w:val="fr-CA"/>
        </w:rPr>
        <w:t xml:space="preserve"> </w:t>
      </w:r>
      <w:r w:rsidR="00305EAE" w:rsidRPr="00291752">
        <w:rPr>
          <w:i/>
          <w:iCs/>
          <w:szCs w:val="24"/>
          <w:lang w:val="fr-CA"/>
        </w:rPr>
        <w:t>c. La Reine</w:t>
      </w:r>
      <w:r w:rsidR="00305EAE" w:rsidRPr="00291752">
        <w:rPr>
          <w:szCs w:val="24"/>
          <w:lang w:val="fr-CA"/>
        </w:rPr>
        <w:t xml:space="preserve">, [1986] 1 R.C.S. 863; </w:t>
      </w:r>
      <w:r w:rsidR="00351AF7" w:rsidRPr="00291752">
        <w:rPr>
          <w:i/>
          <w:szCs w:val="24"/>
          <w:lang w:val="fr-CA"/>
        </w:rPr>
        <w:t>R. c. Morgentaler</w:t>
      </w:r>
      <w:r w:rsidR="00351AF7" w:rsidRPr="00291752">
        <w:rPr>
          <w:szCs w:val="24"/>
          <w:lang w:val="fr-CA"/>
        </w:rPr>
        <w:t xml:space="preserve"> </w:t>
      </w:r>
      <w:r w:rsidR="00351AF7" w:rsidRPr="00291752">
        <w:rPr>
          <w:lang w:val="fr-CA"/>
        </w:rPr>
        <w:t>(1984), 41 C.R. (3d) 262</w:t>
      </w:r>
      <w:r w:rsidR="00A23605" w:rsidRPr="00291752">
        <w:rPr>
          <w:szCs w:val="24"/>
          <w:lang w:val="fr-CA"/>
        </w:rPr>
        <w:t xml:space="preserve">; </w:t>
      </w:r>
      <w:r w:rsidR="000B34B3" w:rsidRPr="00291752">
        <w:rPr>
          <w:szCs w:val="24"/>
        </w:rPr>
        <w:fldChar w:fldCharType="begin"/>
      </w:r>
      <w:r w:rsidR="00A23605" w:rsidRPr="00291752">
        <w:rPr>
          <w:szCs w:val="24"/>
          <w:lang w:val="fr-CA"/>
        </w:rPr>
        <w:instrText xml:space="preserve"> SEQ CHAPTER \h \r 1</w:instrText>
      </w:r>
      <w:r w:rsidR="000B34B3" w:rsidRPr="00291752">
        <w:rPr>
          <w:szCs w:val="24"/>
        </w:rPr>
        <w:fldChar w:fldCharType="end"/>
      </w:r>
      <w:r w:rsidR="00A23605" w:rsidRPr="00291752">
        <w:rPr>
          <w:i/>
          <w:iCs/>
          <w:szCs w:val="24"/>
          <w:lang w:val="fr-CA"/>
        </w:rPr>
        <w:t>R. c. Rahey</w:t>
      </w:r>
      <w:r w:rsidR="00A23605" w:rsidRPr="00291752">
        <w:rPr>
          <w:szCs w:val="24"/>
          <w:lang w:val="fr-CA"/>
        </w:rPr>
        <w:t xml:space="preserve">, [1987] 1 R.C.S. 588; </w:t>
      </w:r>
      <w:r w:rsidR="00D637EE" w:rsidRPr="00291752">
        <w:rPr>
          <w:i/>
          <w:iCs/>
          <w:szCs w:val="24"/>
          <w:lang w:val="fr-CA"/>
        </w:rPr>
        <w:t>R. c. 974649</w:t>
      </w:r>
      <w:r w:rsidR="00624D0F" w:rsidRPr="00291752">
        <w:rPr>
          <w:i/>
          <w:iCs/>
          <w:szCs w:val="24"/>
          <w:lang w:val="fr-CA"/>
        </w:rPr>
        <w:t xml:space="preserve"> </w:t>
      </w:r>
      <w:r w:rsidR="00A23605" w:rsidRPr="00291752">
        <w:rPr>
          <w:i/>
          <w:iCs/>
          <w:szCs w:val="24"/>
          <w:lang w:val="fr-CA"/>
        </w:rPr>
        <w:t>Ontario Inc.</w:t>
      </w:r>
      <w:r w:rsidR="00A23605" w:rsidRPr="00291752">
        <w:rPr>
          <w:szCs w:val="24"/>
          <w:lang w:val="fr-CA"/>
        </w:rPr>
        <w:t>, 2001 CSC 81, [2001] 3 R.C.S. 575</w:t>
      </w:r>
      <w:r w:rsidR="005147CB" w:rsidRPr="00291752">
        <w:rPr>
          <w:szCs w:val="24"/>
          <w:lang w:val="fr-CA"/>
        </w:rPr>
        <w:t xml:space="preserve">; </w:t>
      </w:r>
      <w:r w:rsidR="000B34B3" w:rsidRPr="00291752">
        <w:rPr>
          <w:i/>
          <w:szCs w:val="24"/>
        </w:rPr>
        <w:fldChar w:fldCharType="begin"/>
      </w:r>
      <w:r w:rsidR="005147CB" w:rsidRPr="00291752">
        <w:rPr>
          <w:i/>
          <w:szCs w:val="24"/>
          <w:lang w:val="fr-CA"/>
        </w:rPr>
        <w:instrText xml:space="preserve"> SEQ CHAPTER \h \r 1</w:instrText>
      </w:r>
      <w:r w:rsidR="000B34B3" w:rsidRPr="00291752">
        <w:rPr>
          <w:i/>
          <w:szCs w:val="24"/>
        </w:rPr>
        <w:fldChar w:fldCharType="end"/>
      </w:r>
      <w:r w:rsidR="005147CB" w:rsidRPr="00291752">
        <w:rPr>
          <w:i/>
          <w:szCs w:val="24"/>
          <w:lang w:val="fr-CA"/>
        </w:rPr>
        <w:t>R. c. Conway</w:t>
      </w:r>
      <w:r w:rsidR="005147CB" w:rsidRPr="00291752">
        <w:rPr>
          <w:szCs w:val="24"/>
          <w:lang w:val="fr-CA"/>
        </w:rPr>
        <w:t>, 2010 CSC 22, [2010] 1 R.C.S. 765</w:t>
      </w:r>
      <w:r w:rsidR="00741BD4" w:rsidRPr="00291752">
        <w:rPr>
          <w:szCs w:val="24"/>
          <w:lang w:val="fr-CA"/>
        </w:rPr>
        <w:t xml:space="preserve">; </w:t>
      </w:r>
      <w:r w:rsidR="000B34B3" w:rsidRPr="00291752">
        <w:rPr>
          <w:szCs w:val="24"/>
        </w:rPr>
        <w:fldChar w:fldCharType="begin"/>
      </w:r>
      <w:r w:rsidR="00741BD4" w:rsidRPr="00291752">
        <w:rPr>
          <w:szCs w:val="24"/>
          <w:lang w:val="fr-CA"/>
        </w:rPr>
        <w:instrText xml:space="preserve"> SEQ CHAPTER \h \r 1</w:instrText>
      </w:r>
      <w:r w:rsidR="000B34B3" w:rsidRPr="00291752">
        <w:rPr>
          <w:szCs w:val="24"/>
        </w:rPr>
        <w:fldChar w:fldCharType="end"/>
      </w:r>
      <w:r w:rsidR="00741BD4" w:rsidRPr="00291752">
        <w:rPr>
          <w:i/>
          <w:iCs/>
          <w:szCs w:val="24"/>
          <w:lang w:val="fr-CA"/>
        </w:rPr>
        <w:t>Procureur général du Canada c. Law Society of British Columbia</w:t>
      </w:r>
      <w:r w:rsidR="00C75B23" w:rsidRPr="00291752">
        <w:rPr>
          <w:szCs w:val="24"/>
          <w:lang w:val="fr-CA"/>
        </w:rPr>
        <w:t>, [1982]</w:t>
      </w:r>
      <w:r w:rsidR="00624D0F" w:rsidRPr="00291752">
        <w:rPr>
          <w:szCs w:val="24"/>
          <w:lang w:val="fr-CA"/>
        </w:rPr>
        <w:t xml:space="preserve"> </w:t>
      </w:r>
      <w:r w:rsidR="00C75B23" w:rsidRPr="00291752">
        <w:rPr>
          <w:szCs w:val="24"/>
          <w:lang w:val="fr-CA"/>
        </w:rPr>
        <w:t>2</w:t>
      </w:r>
      <w:r w:rsidR="00624D0F" w:rsidRPr="00291752">
        <w:rPr>
          <w:szCs w:val="24"/>
          <w:lang w:val="fr-CA"/>
        </w:rPr>
        <w:t xml:space="preserve"> </w:t>
      </w:r>
      <w:r w:rsidR="00C75B23" w:rsidRPr="00291752">
        <w:rPr>
          <w:szCs w:val="24"/>
          <w:lang w:val="fr-CA"/>
        </w:rPr>
        <w:t>R.C.S.</w:t>
      </w:r>
      <w:r w:rsidR="00624D0F" w:rsidRPr="00291752">
        <w:rPr>
          <w:szCs w:val="24"/>
          <w:lang w:val="fr-CA"/>
        </w:rPr>
        <w:t xml:space="preserve"> </w:t>
      </w:r>
      <w:r w:rsidR="00741BD4" w:rsidRPr="00291752">
        <w:rPr>
          <w:szCs w:val="24"/>
          <w:lang w:val="fr-CA"/>
        </w:rPr>
        <w:t>307</w:t>
      </w:r>
      <w:r w:rsidR="00D212EA" w:rsidRPr="00291752">
        <w:rPr>
          <w:szCs w:val="24"/>
          <w:lang w:val="fr-CA"/>
        </w:rPr>
        <w:t xml:space="preserve">; </w:t>
      </w:r>
      <w:r w:rsidR="000B34B3" w:rsidRPr="00291752">
        <w:rPr>
          <w:szCs w:val="24"/>
        </w:rPr>
        <w:fldChar w:fldCharType="begin"/>
      </w:r>
      <w:r w:rsidR="00D212EA" w:rsidRPr="00291752">
        <w:rPr>
          <w:szCs w:val="24"/>
          <w:lang w:val="fr-CA"/>
        </w:rPr>
        <w:instrText xml:space="preserve"> SEQ CHAPTER \h \r 1</w:instrText>
      </w:r>
      <w:r w:rsidR="000B34B3" w:rsidRPr="00291752">
        <w:rPr>
          <w:szCs w:val="24"/>
        </w:rPr>
        <w:fldChar w:fldCharType="end"/>
      </w:r>
      <w:r w:rsidR="00D212EA" w:rsidRPr="00291752">
        <w:rPr>
          <w:i/>
          <w:iCs/>
          <w:szCs w:val="24"/>
          <w:lang w:val="fr-CA"/>
        </w:rPr>
        <w:t>Conseil canadien des relations du travail c. Paul L’Anglais Inc.</w:t>
      </w:r>
      <w:r w:rsidR="00D212EA" w:rsidRPr="00291752">
        <w:rPr>
          <w:szCs w:val="24"/>
          <w:lang w:val="fr-CA"/>
        </w:rPr>
        <w:t>, [1983] 1 R.C.S. 147</w:t>
      </w:r>
      <w:r w:rsidR="009F192F" w:rsidRPr="00291752">
        <w:rPr>
          <w:szCs w:val="24"/>
          <w:lang w:val="fr-CA"/>
        </w:rPr>
        <w:t xml:space="preserve">; </w:t>
      </w:r>
      <w:r w:rsidR="000B34B3" w:rsidRPr="00291752">
        <w:rPr>
          <w:szCs w:val="24"/>
        </w:rPr>
        <w:fldChar w:fldCharType="begin"/>
      </w:r>
      <w:r w:rsidR="009F192F" w:rsidRPr="00291752">
        <w:rPr>
          <w:szCs w:val="24"/>
          <w:lang w:val="fr-CA"/>
        </w:rPr>
        <w:instrText xml:space="preserve"> SEQ CHAPTER \h \r 1</w:instrText>
      </w:r>
      <w:r w:rsidR="000B34B3" w:rsidRPr="00291752">
        <w:rPr>
          <w:szCs w:val="24"/>
        </w:rPr>
        <w:fldChar w:fldCharType="end"/>
      </w:r>
      <w:r w:rsidR="009F192F" w:rsidRPr="00291752">
        <w:rPr>
          <w:i/>
          <w:iCs/>
          <w:szCs w:val="24"/>
          <w:lang w:val="fr-CA"/>
        </w:rPr>
        <w:t>Canada (Citoyenneté et Immigration) c. Khosa</w:t>
      </w:r>
      <w:r w:rsidR="009F192F" w:rsidRPr="00291752">
        <w:rPr>
          <w:szCs w:val="24"/>
          <w:lang w:val="fr-CA"/>
        </w:rPr>
        <w:t>, 2009 CSC 12, [2009] 1 R.C.S. 339</w:t>
      </w:r>
      <w:r w:rsidR="00167793" w:rsidRPr="00291752">
        <w:rPr>
          <w:szCs w:val="24"/>
          <w:lang w:val="fr-CA"/>
        </w:rPr>
        <w:t xml:space="preserve">; </w:t>
      </w:r>
      <w:r w:rsidR="000B34B3" w:rsidRPr="00291752">
        <w:rPr>
          <w:szCs w:val="24"/>
        </w:rPr>
        <w:fldChar w:fldCharType="begin"/>
      </w:r>
      <w:r w:rsidR="00167793" w:rsidRPr="00291752">
        <w:rPr>
          <w:szCs w:val="24"/>
          <w:lang w:val="fr-CA"/>
        </w:rPr>
        <w:instrText xml:space="preserve"> SEQ CHAPTER \h \r 1</w:instrText>
      </w:r>
      <w:r w:rsidR="000B34B3" w:rsidRPr="00291752">
        <w:rPr>
          <w:szCs w:val="24"/>
        </w:rPr>
        <w:fldChar w:fldCharType="end"/>
      </w:r>
      <w:r w:rsidR="00167793" w:rsidRPr="00291752">
        <w:rPr>
          <w:i/>
          <w:iCs/>
          <w:szCs w:val="24"/>
          <w:lang w:val="fr-CA"/>
        </w:rPr>
        <w:t>Harelkin c. Université de Regina</w:t>
      </w:r>
      <w:r w:rsidR="00167793" w:rsidRPr="00291752">
        <w:rPr>
          <w:szCs w:val="24"/>
          <w:lang w:val="fr-CA"/>
        </w:rPr>
        <w:t xml:space="preserve">, [1979] 2 R.C.S. 561; </w:t>
      </w:r>
      <w:r w:rsidR="00167793" w:rsidRPr="00291752">
        <w:rPr>
          <w:i/>
          <w:iCs/>
          <w:szCs w:val="24"/>
          <w:lang w:val="fr-CA"/>
        </w:rPr>
        <w:t>Immeubles Port Louis Ltée c. Lafontaine (Village)</w:t>
      </w:r>
      <w:r w:rsidR="00167793" w:rsidRPr="00291752">
        <w:rPr>
          <w:szCs w:val="24"/>
          <w:lang w:val="fr-CA"/>
        </w:rPr>
        <w:t xml:space="preserve">, [1991] 1 </w:t>
      </w:r>
      <w:r w:rsidR="00362F52" w:rsidRPr="00291752">
        <w:rPr>
          <w:szCs w:val="24"/>
          <w:lang w:val="fr-CA"/>
        </w:rPr>
        <w:t>R.C.S.</w:t>
      </w:r>
      <w:r w:rsidR="00167793" w:rsidRPr="00291752">
        <w:rPr>
          <w:szCs w:val="24"/>
          <w:lang w:val="fr-CA"/>
        </w:rPr>
        <w:t xml:space="preserve"> 326</w:t>
      </w:r>
      <w:r w:rsidR="00E33299" w:rsidRPr="00291752">
        <w:rPr>
          <w:szCs w:val="24"/>
          <w:lang w:val="fr-CA"/>
        </w:rPr>
        <w:t xml:space="preserve">; </w:t>
      </w:r>
      <w:r w:rsidR="00E33299" w:rsidRPr="00291752">
        <w:rPr>
          <w:i/>
          <w:lang w:val="fr-CA"/>
        </w:rPr>
        <w:t>Wilson c. La Reine</w:t>
      </w:r>
      <w:r w:rsidR="00E33299" w:rsidRPr="00291752">
        <w:rPr>
          <w:lang w:val="fr-CA"/>
        </w:rPr>
        <w:t>, [1983] 2 R.C.S. 594</w:t>
      </w:r>
      <w:r w:rsidR="00A961C7" w:rsidRPr="00291752">
        <w:rPr>
          <w:szCs w:val="24"/>
          <w:lang w:val="fr-CA"/>
        </w:rPr>
        <w:t xml:space="preserve">; </w:t>
      </w:r>
      <w:r w:rsidR="000B34B3" w:rsidRPr="00291752">
        <w:rPr>
          <w:szCs w:val="24"/>
        </w:rPr>
        <w:fldChar w:fldCharType="begin"/>
      </w:r>
      <w:r w:rsidR="00A961C7" w:rsidRPr="00291752">
        <w:rPr>
          <w:szCs w:val="24"/>
          <w:lang w:val="fr-CA"/>
        </w:rPr>
        <w:instrText xml:space="preserve"> SEQ CHAPTER \h \r 1</w:instrText>
      </w:r>
      <w:r w:rsidR="000B34B3" w:rsidRPr="00291752">
        <w:rPr>
          <w:szCs w:val="24"/>
        </w:rPr>
        <w:fldChar w:fldCharType="end"/>
      </w:r>
      <w:r w:rsidR="00A961C7" w:rsidRPr="00291752">
        <w:rPr>
          <w:i/>
          <w:iCs/>
          <w:szCs w:val="24"/>
          <w:lang w:val="fr-CA"/>
        </w:rPr>
        <w:t>Garland c. Consumers’ Gas Co</w:t>
      </w:r>
      <w:r w:rsidR="009D55D4" w:rsidRPr="00291752">
        <w:rPr>
          <w:szCs w:val="24"/>
          <w:lang w:val="fr-CA"/>
        </w:rPr>
        <w:t>., 2004 CSC 25, [2004]</w:t>
      </w:r>
      <w:r w:rsidR="00624D0F" w:rsidRPr="00291752">
        <w:rPr>
          <w:szCs w:val="24"/>
          <w:lang w:val="fr-CA"/>
        </w:rPr>
        <w:t xml:space="preserve"> </w:t>
      </w:r>
      <w:r w:rsidR="009D55D4" w:rsidRPr="00291752">
        <w:rPr>
          <w:szCs w:val="24"/>
          <w:lang w:val="fr-CA"/>
        </w:rPr>
        <w:t>1</w:t>
      </w:r>
      <w:r w:rsidR="00624D0F" w:rsidRPr="00291752">
        <w:rPr>
          <w:szCs w:val="24"/>
          <w:lang w:val="fr-CA"/>
        </w:rPr>
        <w:t xml:space="preserve"> </w:t>
      </w:r>
      <w:r w:rsidR="00A961C7" w:rsidRPr="00291752">
        <w:rPr>
          <w:szCs w:val="24"/>
          <w:lang w:val="fr-CA"/>
        </w:rPr>
        <w:t>R.C.S. 629</w:t>
      </w:r>
      <w:r w:rsidR="00EF2698" w:rsidRPr="00291752">
        <w:rPr>
          <w:szCs w:val="24"/>
          <w:lang w:val="fr-CA"/>
        </w:rPr>
        <w:t xml:space="preserve">; </w:t>
      </w:r>
      <w:r w:rsidR="00EF2698" w:rsidRPr="00291752">
        <w:rPr>
          <w:i/>
          <w:lang w:val="fr-CA"/>
        </w:rPr>
        <w:t>R. c. Litchfield</w:t>
      </w:r>
      <w:r w:rsidR="00EF2698" w:rsidRPr="00291752">
        <w:rPr>
          <w:lang w:val="fr-CA"/>
        </w:rPr>
        <w:t>, [1993] 4 R.C.S. 333</w:t>
      </w:r>
      <w:r w:rsidR="008B68E0" w:rsidRPr="00291752">
        <w:rPr>
          <w:lang w:val="fr-CA"/>
        </w:rPr>
        <w:t xml:space="preserve">; </w:t>
      </w:r>
      <w:r w:rsidR="008B68E0" w:rsidRPr="00291752">
        <w:rPr>
          <w:i/>
          <w:lang w:val="fr-CA"/>
        </w:rPr>
        <w:t>Toronto (Ville) c. S.C.F.P., section locale 79</w:t>
      </w:r>
      <w:r w:rsidR="008B68E0" w:rsidRPr="00291752">
        <w:rPr>
          <w:lang w:val="fr-CA"/>
        </w:rPr>
        <w:t>, 2003 CSC 63, [2003] 3 R.C.S. 77</w:t>
      </w:r>
      <w:r w:rsidR="0060220E" w:rsidRPr="00291752">
        <w:rPr>
          <w:szCs w:val="24"/>
          <w:lang w:val="fr-CA"/>
        </w:rPr>
        <w:t xml:space="preserve">; </w:t>
      </w:r>
      <w:r w:rsidR="000B34B3" w:rsidRPr="00291752">
        <w:rPr>
          <w:szCs w:val="24"/>
        </w:rPr>
        <w:fldChar w:fldCharType="begin"/>
      </w:r>
      <w:r w:rsidR="0060220E" w:rsidRPr="00291752">
        <w:rPr>
          <w:szCs w:val="24"/>
          <w:lang w:val="fr-CA"/>
        </w:rPr>
        <w:instrText xml:space="preserve"> SEQ CHAPTER \h \r 1</w:instrText>
      </w:r>
      <w:r w:rsidR="000B34B3" w:rsidRPr="00291752">
        <w:rPr>
          <w:szCs w:val="24"/>
        </w:rPr>
        <w:fldChar w:fldCharType="end"/>
      </w:r>
      <w:r w:rsidR="0060220E" w:rsidRPr="00291752">
        <w:rPr>
          <w:i/>
          <w:iCs/>
          <w:szCs w:val="24"/>
          <w:lang w:val="fr-CA"/>
        </w:rPr>
        <w:t>Tock c. St. John’s Metropolitan Area Board</w:t>
      </w:r>
      <w:r w:rsidR="00D637EE" w:rsidRPr="00291752">
        <w:rPr>
          <w:szCs w:val="24"/>
          <w:lang w:val="fr-CA"/>
        </w:rPr>
        <w:t>, [1989]</w:t>
      </w:r>
      <w:r w:rsidR="00624D0F" w:rsidRPr="00291752">
        <w:rPr>
          <w:szCs w:val="24"/>
          <w:lang w:val="fr-CA"/>
        </w:rPr>
        <w:t xml:space="preserve"> </w:t>
      </w:r>
      <w:r w:rsidR="00D637EE" w:rsidRPr="00291752">
        <w:rPr>
          <w:szCs w:val="24"/>
          <w:lang w:val="fr-CA"/>
        </w:rPr>
        <w:t>2</w:t>
      </w:r>
      <w:r w:rsidR="00624D0F" w:rsidRPr="00291752">
        <w:rPr>
          <w:szCs w:val="24"/>
          <w:lang w:val="fr-CA"/>
        </w:rPr>
        <w:t xml:space="preserve"> </w:t>
      </w:r>
      <w:r w:rsidR="00D637EE" w:rsidRPr="00291752">
        <w:rPr>
          <w:szCs w:val="24"/>
          <w:lang w:val="fr-CA"/>
        </w:rPr>
        <w:t>R.C.S.</w:t>
      </w:r>
      <w:r w:rsidR="00624D0F" w:rsidRPr="00291752">
        <w:rPr>
          <w:szCs w:val="24"/>
          <w:lang w:val="fr-CA"/>
        </w:rPr>
        <w:t xml:space="preserve"> </w:t>
      </w:r>
      <w:r w:rsidR="0060220E" w:rsidRPr="00291752">
        <w:rPr>
          <w:szCs w:val="24"/>
          <w:lang w:val="fr-CA"/>
        </w:rPr>
        <w:t xml:space="preserve">1181; </w:t>
      </w:r>
      <w:r w:rsidR="0060220E" w:rsidRPr="00291752">
        <w:rPr>
          <w:i/>
          <w:iCs/>
          <w:szCs w:val="24"/>
          <w:lang w:val="fr-CA"/>
        </w:rPr>
        <w:t>City of Manchester c. Farnworth</w:t>
      </w:r>
      <w:r w:rsidR="009D55D4" w:rsidRPr="00291752">
        <w:rPr>
          <w:szCs w:val="24"/>
          <w:lang w:val="fr-CA"/>
        </w:rPr>
        <w:t>, [1930]</w:t>
      </w:r>
      <w:r w:rsidR="00624D0F" w:rsidRPr="00291752">
        <w:rPr>
          <w:szCs w:val="24"/>
          <w:lang w:val="fr-CA"/>
        </w:rPr>
        <w:t xml:space="preserve"> </w:t>
      </w:r>
      <w:r w:rsidR="009D55D4" w:rsidRPr="00291752">
        <w:rPr>
          <w:szCs w:val="24"/>
          <w:lang w:val="fr-CA"/>
        </w:rPr>
        <w:t>A.C.</w:t>
      </w:r>
      <w:r w:rsidR="00624D0F" w:rsidRPr="00291752">
        <w:rPr>
          <w:szCs w:val="24"/>
          <w:lang w:val="fr-CA"/>
        </w:rPr>
        <w:t xml:space="preserve"> </w:t>
      </w:r>
      <w:r w:rsidR="0060220E" w:rsidRPr="00291752">
        <w:rPr>
          <w:szCs w:val="24"/>
          <w:lang w:val="fr-CA"/>
        </w:rPr>
        <w:t>171</w:t>
      </w:r>
      <w:r w:rsidR="00706460" w:rsidRPr="00291752">
        <w:rPr>
          <w:szCs w:val="24"/>
          <w:lang w:val="fr-CA"/>
        </w:rPr>
        <w:t xml:space="preserve">; </w:t>
      </w:r>
      <w:r w:rsidR="000B34B3" w:rsidRPr="00291752">
        <w:rPr>
          <w:szCs w:val="24"/>
        </w:rPr>
        <w:fldChar w:fldCharType="begin"/>
      </w:r>
      <w:r w:rsidR="00706460" w:rsidRPr="00291752">
        <w:rPr>
          <w:szCs w:val="24"/>
          <w:lang w:val="fr-CA"/>
        </w:rPr>
        <w:instrText xml:space="preserve"> SEQ CHAPTER \h \r 1</w:instrText>
      </w:r>
      <w:r w:rsidR="000B34B3" w:rsidRPr="00291752">
        <w:rPr>
          <w:szCs w:val="24"/>
        </w:rPr>
        <w:fldChar w:fldCharType="end"/>
      </w:r>
      <w:r w:rsidR="00706460" w:rsidRPr="00291752">
        <w:rPr>
          <w:i/>
          <w:iCs/>
          <w:szCs w:val="24"/>
          <w:lang w:val="fr-CA"/>
        </w:rPr>
        <w:t>Sutherland c. Canada (Attorney General)</w:t>
      </w:r>
      <w:r w:rsidR="009D55D4" w:rsidRPr="00291752">
        <w:rPr>
          <w:szCs w:val="24"/>
          <w:lang w:val="fr-CA"/>
        </w:rPr>
        <w:t>, 2002 BCCA 416, [2002]</w:t>
      </w:r>
      <w:r w:rsidR="00624D0F" w:rsidRPr="00291752">
        <w:rPr>
          <w:szCs w:val="24"/>
          <w:lang w:val="fr-CA"/>
        </w:rPr>
        <w:t xml:space="preserve"> </w:t>
      </w:r>
      <w:r w:rsidR="00706460" w:rsidRPr="00291752">
        <w:rPr>
          <w:szCs w:val="24"/>
          <w:lang w:val="fr-CA"/>
        </w:rPr>
        <w:t>10 W.W.R. 1, autorisation d</w:t>
      </w:r>
      <w:r w:rsidR="00362F52" w:rsidRPr="00291752">
        <w:rPr>
          <w:szCs w:val="24"/>
          <w:lang w:val="fr-CA"/>
        </w:rPr>
        <w:t>’appel</w:t>
      </w:r>
      <w:r w:rsidR="00706460" w:rsidRPr="00291752">
        <w:rPr>
          <w:szCs w:val="24"/>
          <w:lang w:val="fr-CA"/>
        </w:rPr>
        <w:t xml:space="preserve"> refusée, [2003] 1 R.C.S. xi</w:t>
      </w:r>
      <w:r w:rsidR="000A2261" w:rsidRPr="00291752">
        <w:rPr>
          <w:szCs w:val="24"/>
          <w:lang w:val="fr-CA"/>
        </w:rPr>
        <w:t xml:space="preserve"> (</w:t>
      </w:r>
      <w:r w:rsidR="000A2261" w:rsidRPr="00291752">
        <w:rPr>
          <w:i/>
          <w:szCs w:val="24"/>
          <w:lang w:val="fr-CA"/>
        </w:rPr>
        <w:t xml:space="preserve">sub nom. </w:t>
      </w:r>
      <w:r w:rsidR="000A2261" w:rsidRPr="00291752">
        <w:rPr>
          <w:i/>
          <w:szCs w:val="24"/>
          <w:lang w:val="en-US"/>
        </w:rPr>
        <w:t>Jones c. Attorney General of Canada</w:t>
      </w:r>
      <w:r w:rsidR="000A2261" w:rsidRPr="00291752">
        <w:rPr>
          <w:szCs w:val="24"/>
          <w:lang w:val="en-US"/>
        </w:rPr>
        <w:t>)</w:t>
      </w:r>
      <w:r w:rsidR="00706460" w:rsidRPr="00291752">
        <w:rPr>
          <w:szCs w:val="24"/>
          <w:lang w:val="en-US"/>
        </w:rPr>
        <w:t xml:space="preserve">; </w:t>
      </w:r>
      <w:r w:rsidR="00643B45" w:rsidRPr="00291752">
        <w:rPr>
          <w:i/>
          <w:szCs w:val="24"/>
          <w:lang w:val="en-US"/>
        </w:rPr>
        <w:t xml:space="preserve">Lake c. </w:t>
      </w:r>
      <w:r w:rsidR="00643B45" w:rsidRPr="00291752">
        <w:rPr>
          <w:i/>
          <w:iCs/>
          <w:szCs w:val="24"/>
          <w:lang w:val="en-US"/>
        </w:rPr>
        <w:t xml:space="preserve">St. John’s </w:t>
      </w:r>
      <w:r w:rsidR="00305EAE" w:rsidRPr="00291752">
        <w:rPr>
          <w:i/>
          <w:iCs/>
          <w:szCs w:val="24"/>
          <w:lang w:val="en-US"/>
        </w:rPr>
        <w:t>(</w:t>
      </w:r>
      <w:r w:rsidR="00643B45" w:rsidRPr="00291752">
        <w:rPr>
          <w:i/>
          <w:iCs/>
          <w:szCs w:val="24"/>
          <w:lang w:val="en-US"/>
        </w:rPr>
        <w:t>City</w:t>
      </w:r>
      <w:r w:rsidR="00305EAE" w:rsidRPr="00291752">
        <w:rPr>
          <w:i/>
          <w:iCs/>
          <w:szCs w:val="24"/>
          <w:lang w:val="en-US"/>
        </w:rPr>
        <w:t>)</w:t>
      </w:r>
      <w:r w:rsidR="009D55D4" w:rsidRPr="00291752">
        <w:rPr>
          <w:szCs w:val="24"/>
          <w:lang w:val="en-US"/>
        </w:rPr>
        <w:t>, 2000 NFCA 48, 192</w:t>
      </w:r>
      <w:r w:rsidR="00624D0F" w:rsidRPr="00291752">
        <w:rPr>
          <w:szCs w:val="24"/>
          <w:lang w:val="en-US"/>
        </w:rPr>
        <w:t xml:space="preserve"> </w:t>
      </w:r>
      <w:r w:rsidR="00643B45" w:rsidRPr="00291752">
        <w:rPr>
          <w:szCs w:val="24"/>
          <w:lang w:val="en-US"/>
        </w:rPr>
        <w:t xml:space="preserve">Nfld. &amp; P.E.I.R. 84; </w:t>
      </w:r>
      <w:r w:rsidR="00643B45" w:rsidRPr="00291752">
        <w:rPr>
          <w:i/>
          <w:iCs/>
          <w:szCs w:val="24"/>
          <w:lang w:val="en-US"/>
        </w:rPr>
        <w:t xml:space="preserve">Neuman </w:t>
      </w:r>
      <w:r w:rsidR="004642BF" w:rsidRPr="00291752">
        <w:rPr>
          <w:i/>
          <w:iCs/>
          <w:szCs w:val="24"/>
          <w:lang w:val="en-US"/>
        </w:rPr>
        <w:t>c</w:t>
      </w:r>
      <w:r w:rsidR="00643B45" w:rsidRPr="00291752">
        <w:rPr>
          <w:i/>
          <w:iCs/>
          <w:szCs w:val="24"/>
          <w:lang w:val="en-US"/>
        </w:rPr>
        <w:t>. Parkland (County)</w:t>
      </w:r>
      <w:r w:rsidR="00362F52" w:rsidRPr="00291752">
        <w:rPr>
          <w:szCs w:val="24"/>
          <w:lang w:val="en-US"/>
        </w:rPr>
        <w:t>, 2004 ABPC 58, 36</w:t>
      </w:r>
      <w:r w:rsidR="00624D0F" w:rsidRPr="00291752">
        <w:rPr>
          <w:szCs w:val="24"/>
          <w:lang w:val="en-US"/>
        </w:rPr>
        <w:t xml:space="preserve"> </w:t>
      </w:r>
      <w:r w:rsidR="00F92AB5" w:rsidRPr="00291752">
        <w:rPr>
          <w:szCs w:val="24"/>
          <w:lang w:val="en-US"/>
        </w:rPr>
        <w:t>Alta.</w:t>
      </w:r>
      <w:r w:rsidR="00624D0F" w:rsidRPr="00291752">
        <w:rPr>
          <w:szCs w:val="24"/>
          <w:lang w:val="en-US"/>
        </w:rPr>
        <w:t xml:space="preserve"> </w:t>
      </w:r>
      <w:r w:rsidR="00F92AB5" w:rsidRPr="00291752">
        <w:rPr>
          <w:szCs w:val="24"/>
          <w:lang w:val="en-US"/>
        </w:rPr>
        <w:t>L.R.</w:t>
      </w:r>
      <w:r w:rsidR="00624D0F" w:rsidRPr="00291752">
        <w:rPr>
          <w:szCs w:val="24"/>
          <w:lang w:val="en-US"/>
        </w:rPr>
        <w:t xml:space="preserve"> </w:t>
      </w:r>
      <w:r w:rsidR="00643B45" w:rsidRPr="00291752">
        <w:rPr>
          <w:szCs w:val="24"/>
          <w:lang w:val="en-US"/>
        </w:rPr>
        <w:t xml:space="preserve">(4th) 161; </w:t>
      </w:r>
      <w:r w:rsidR="004642BF" w:rsidRPr="00291752">
        <w:rPr>
          <w:i/>
          <w:iCs/>
          <w:szCs w:val="24"/>
          <w:lang w:val="en-US"/>
        </w:rPr>
        <w:t>Danco c</w:t>
      </w:r>
      <w:r w:rsidR="00643B45" w:rsidRPr="00291752">
        <w:rPr>
          <w:i/>
          <w:iCs/>
          <w:szCs w:val="24"/>
          <w:lang w:val="en-US"/>
        </w:rPr>
        <w:t>. Thunder Bay (City)</w:t>
      </w:r>
      <w:r w:rsidR="00643B45" w:rsidRPr="00291752">
        <w:rPr>
          <w:szCs w:val="24"/>
          <w:lang w:val="en-US"/>
        </w:rPr>
        <w:t xml:space="preserve"> (2000), 13 M.</w:t>
      </w:r>
      <w:r w:rsidR="00696418" w:rsidRPr="00291752">
        <w:rPr>
          <w:szCs w:val="24"/>
          <w:lang w:val="en-US"/>
        </w:rPr>
        <w:t>P.</w:t>
      </w:r>
      <w:r w:rsidR="00643B45" w:rsidRPr="00291752">
        <w:rPr>
          <w:szCs w:val="24"/>
          <w:lang w:val="en-US"/>
        </w:rPr>
        <w:t xml:space="preserve">L.R. (3d) 130; </w:t>
      </w:r>
      <w:r w:rsidR="00643B45" w:rsidRPr="00291752">
        <w:rPr>
          <w:i/>
          <w:iCs/>
          <w:szCs w:val="24"/>
          <w:lang w:val="en-US"/>
        </w:rPr>
        <w:t xml:space="preserve">Landry </w:t>
      </w:r>
      <w:r w:rsidR="004642BF" w:rsidRPr="00291752">
        <w:rPr>
          <w:i/>
          <w:iCs/>
          <w:szCs w:val="24"/>
          <w:lang w:val="en-US"/>
        </w:rPr>
        <w:t>c</w:t>
      </w:r>
      <w:r w:rsidR="00643B45" w:rsidRPr="00291752">
        <w:rPr>
          <w:i/>
          <w:iCs/>
          <w:szCs w:val="24"/>
          <w:lang w:val="en-US"/>
        </w:rPr>
        <w:t>. Moncton (</w:t>
      </w:r>
      <w:r w:rsidR="00305EAE" w:rsidRPr="00291752">
        <w:rPr>
          <w:i/>
          <w:iCs/>
          <w:szCs w:val="24"/>
          <w:lang w:val="en-US"/>
        </w:rPr>
        <w:t>Ville</w:t>
      </w:r>
      <w:r w:rsidR="00643B45" w:rsidRPr="00291752">
        <w:rPr>
          <w:i/>
          <w:iCs/>
          <w:szCs w:val="24"/>
          <w:lang w:val="en-US"/>
        </w:rPr>
        <w:t>)</w:t>
      </w:r>
      <w:r w:rsidR="00643B45" w:rsidRPr="00291752">
        <w:rPr>
          <w:szCs w:val="24"/>
          <w:lang w:val="en-US"/>
        </w:rPr>
        <w:t xml:space="preserve">, 2008 NBCA 32, 329 </w:t>
      </w:r>
      <w:r w:rsidR="004642BF" w:rsidRPr="00291752">
        <w:rPr>
          <w:szCs w:val="24"/>
          <w:lang w:val="en-US"/>
        </w:rPr>
        <w:t>R.N.</w:t>
      </w:r>
      <w:r w:rsidR="00A16E3A" w:rsidRPr="00291752">
        <w:rPr>
          <w:szCs w:val="24"/>
          <w:lang w:val="en-US"/>
        </w:rPr>
        <w:t>-</w:t>
      </w:r>
      <w:r w:rsidR="00643B45" w:rsidRPr="00291752">
        <w:rPr>
          <w:szCs w:val="24"/>
          <w:lang w:val="en-US"/>
        </w:rPr>
        <w:t xml:space="preserve">B. </w:t>
      </w:r>
      <w:proofErr w:type="gramStart"/>
      <w:r w:rsidR="00643B45" w:rsidRPr="00291752">
        <w:rPr>
          <w:szCs w:val="24"/>
          <w:lang w:val="en-US"/>
        </w:rPr>
        <w:t>(2</w:t>
      </w:r>
      <w:r w:rsidR="00362F52" w:rsidRPr="00291752">
        <w:rPr>
          <w:szCs w:val="24"/>
          <w:vertAlign w:val="superscript"/>
          <w:lang w:val="en-US"/>
        </w:rPr>
        <w:t>e</w:t>
      </w:r>
      <w:r w:rsidR="00643B45" w:rsidRPr="00291752">
        <w:rPr>
          <w:szCs w:val="24"/>
          <w:lang w:val="en-US"/>
        </w:rPr>
        <w:t>) 212</w:t>
      </w:r>
      <w:r w:rsidR="0008618E" w:rsidRPr="00291752">
        <w:rPr>
          <w:szCs w:val="24"/>
          <w:lang w:val="en-US"/>
        </w:rPr>
        <w:t xml:space="preserve">; </w:t>
      </w:r>
      <w:proofErr w:type="gramEnd"/>
      <w:r w:rsidR="000B34B3" w:rsidRPr="00291752">
        <w:rPr>
          <w:szCs w:val="24"/>
        </w:rPr>
        <w:fldChar w:fldCharType="begin"/>
      </w:r>
      <w:r w:rsidR="0008618E" w:rsidRPr="00291752">
        <w:rPr>
          <w:szCs w:val="24"/>
          <w:lang w:val="en-US"/>
        </w:rPr>
        <w:instrText xml:space="preserve"> SEQ CHAPTER \h \r 1</w:instrText>
      </w:r>
      <w:r w:rsidR="000B34B3" w:rsidRPr="00291752">
        <w:rPr>
          <w:szCs w:val="24"/>
        </w:rPr>
        <w:fldChar w:fldCharType="end"/>
      </w:r>
      <w:proofErr w:type="gramStart"/>
      <w:r w:rsidR="0008618E" w:rsidRPr="00291752">
        <w:rPr>
          <w:i/>
          <w:iCs/>
          <w:szCs w:val="24"/>
          <w:lang w:val="en-US"/>
        </w:rPr>
        <w:t>Roy c. Kensington and Chelsea and Westminster Family Practitioner Committee</w:t>
      </w:r>
      <w:r w:rsidR="0008618E" w:rsidRPr="00291752">
        <w:rPr>
          <w:szCs w:val="24"/>
          <w:lang w:val="en-US"/>
        </w:rPr>
        <w:t>, [1992] 1 A.C. 624</w:t>
      </w:r>
      <w:r w:rsidR="004642BF" w:rsidRPr="00291752">
        <w:rPr>
          <w:szCs w:val="24"/>
          <w:lang w:val="en-US"/>
        </w:rPr>
        <w:t>.</w:t>
      </w:r>
      <w:proofErr w:type="gramEnd"/>
    </w:p>
    <w:p w:rsidR="00777F2D" w:rsidRPr="00291752" w:rsidRDefault="00777F2D" w:rsidP="00534EAC">
      <w:pPr>
        <w:pStyle w:val="SCCNormalDoubleSpacing"/>
        <w:outlineLvl w:val="0"/>
        <w:rPr>
          <w:lang w:val="en-US"/>
        </w:rPr>
      </w:pPr>
    </w:p>
    <w:p w:rsidR="00777F2D" w:rsidRPr="00291752" w:rsidRDefault="0043088E" w:rsidP="00C629FE">
      <w:pPr>
        <w:pStyle w:val="SCCNormalDoubleSpacing"/>
        <w:keepNext/>
        <w:outlineLvl w:val="0"/>
        <w:rPr>
          <w:szCs w:val="24"/>
          <w:lang w:val="fr-CA"/>
        </w:rPr>
      </w:pPr>
      <w:r w:rsidRPr="00291752">
        <w:rPr>
          <w:b/>
          <w:lang w:val="fr-CA"/>
        </w:rPr>
        <w:lastRenderedPageBreak/>
        <w:t>Lois</w:t>
      </w:r>
      <w:r w:rsidR="002E6705" w:rsidRPr="00291752">
        <w:rPr>
          <w:b/>
          <w:lang w:val="fr-CA"/>
        </w:rPr>
        <w:t xml:space="preserve"> </w:t>
      </w:r>
      <w:r w:rsidR="008A6558" w:rsidRPr="00291752">
        <w:rPr>
          <w:b/>
          <w:lang w:val="fr-CA"/>
        </w:rPr>
        <w:t>et</w:t>
      </w:r>
      <w:r w:rsidR="002E6705" w:rsidRPr="00291752">
        <w:rPr>
          <w:b/>
          <w:lang w:val="fr-CA"/>
        </w:rPr>
        <w:t xml:space="preserve"> </w:t>
      </w:r>
      <w:r w:rsidRPr="00291752">
        <w:rPr>
          <w:b/>
          <w:lang w:val="fr-CA"/>
        </w:rPr>
        <w:t>rè</w:t>
      </w:r>
      <w:r w:rsidR="002E6705" w:rsidRPr="00291752">
        <w:rPr>
          <w:b/>
          <w:lang w:val="fr-CA"/>
        </w:rPr>
        <w:t>gl</w:t>
      </w:r>
      <w:r w:rsidRPr="00291752">
        <w:rPr>
          <w:b/>
          <w:lang w:val="fr-CA"/>
        </w:rPr>
        <w:t>ements</w:t>
      </w:r>
      <w:r w:rsidR="002E6705" w:rsidRPr="00291752">
        <w:rPr>
          <w:b/>
          <w:lang w:val="fr-CA"/>
        </w:rPr>
        <w:t xml:space="preserve"> </w:t>
      </w:r>
      <w:r w:rsidRPr="00291752">
        <w:rPr>
          <w:b/>
          <w:lang w:val="fr-CA"/>
        </w:rPr>
        <w:t>c</w:t>
      </w:r>
      <w:r w:rsidR="002E6705" w:rsidRPr="00291752">
        <w:rPr>
          <w:b/>
          <w:lang w:val="fr-CA"/>
        </w:rPr>
        <w:t>it</w:t>
      </w:r>
      <w:r w:rsidRPr="00291752">
        <w:rPr>
          <w:b/>
          <w:lang w:val="fr-CA"/>
        </w:rPr>
        <w:t>és</w:t>
      </w:r>
    </w:p>
    <w:p w:rsidR="00DD71EB" w:rsidRPr="00291752" w:rsidRDefault="00DD71EB" w:rsidP="00C629FE">
      <w:pPr>
        <w:pStyle w:val="SCCNormalDoubleSpacing"/>
        <w:keepNext/>
        <w:outlineLvl w:val="0"/>
        <w:rPr>
          <w:szCs w:val="24"/>
          <w:lang w:val="fr-CA"/>
        </w:rPr>
      </w:pPr>
    </w:p>
    <w:p w:rsidR="00777F2D" w:rsidRPr="00291752" w:rsidRDefault="00DD71EB" w:rsidP="00534EAC">
      <w:pPr>
        <w:pStyle w:val="SCCNormalDoubleSpacing"/>
        <w:spacing w:line="240" w:lineRule="auto"/>
        <w:outlineLvl w:val="0"/>
        <w:rPr>
          <w:lang w:val="fr-CA"/>
        </w:rPr>
      </w:pPr>
      <w:r w:rsidRPr="00291752">
        <w:rPr>
          <w:i/>
          <w:iCs/>
          <w:lang w:val="fr-CA"/>
        </w:rPr>
        <w:t>Code civil du Québec</w:t>
      </w:r>
      <w:r w:rsidRPr="00291752">
        <w:rPr>
          <w:lang w:val="fr-CA"/>
        </w:rPr>
        <w:t xml:space="preserve">, </w:t>
      </w:r>
      <w:r w:rsidR="00C629FE" w:rsidRPr="00291752">
        <w:rPr>
          <w:szCs w:val="24"/>
          <w:lang w:val="fr-CA"/>
        </w:rPr>
        <w:t>L.R.Q., ch.</w:t>
      </w:r>
      <w:r w:rsidR="00624D0F" w:rsidRPr="00291752">
        <w:rPr>
          <w:szCs w:val="24"/>
          <w:lang w:val="fr-CA"/>
        </w:rPr>
        <w:t xml:space="preserve"> </w:t>
      </w:r>
      <w:r w:rsidR="00355A4B" w:rsidRPr="00291752">
        <w:rPr>
          <w:szCs w:val="24"/>
          <w:lang w:val="fr-CA"/>
        </w:rPr>
        <w:t>C</w:t>
      </w:r>
      <w:r w:rsidR="00A16E3A" w:rsidRPr="00291752">
        <w:rPr>
          <w:szCs w:val="24"/>
          <w:lang w:val="fr-CA"/>
        </w:rPr>
        <w:t>-</w:t>
      </w:r>
      <w:r w:rsidR="00355A4B" w:rsidRPr="00291752">
        <w:rPr>
          <w:szCs w:val="24"/>
          <w:lang w:val="fr-CA"/>
        </w:rPr>
        <w:t>1991</w:t>
      </w:r>
      <w:r w:rsidRPr="00291752">
        <w:rPr>
          <w:lang w:val="fr-CA"/>
        </w:rPr>
        <w:t>.</w:t>
      </w:r>
    </w:p>
    <w:p w:rsidR="00534EAC" w:rsidRPr="00291752" w:rsidRDefault="00534EAC" w:rsidP="00534EAC">
      <w:pPr>
        <w:pStyle w:val="SCCNormalDoubleSpacing"/>
        <w:spacing w:line="240" w:lineRule="auto"/>
        <w:outlineLvl w:val="0"/>
        <w:rPr>
          <w:szCs w:val="24"/>
          <w:lang w:val="fr-CA"/>
        </w:rPr>
      </w:pPr>
    </w:p>
    <w:p w:rsidR="001B3F2F" w:rsidRPr="00291752" w:rsidRDefault="000B34B3" w:rsidP="00534EAC">
      <w:pPr>
        <w:rPr>
          <w:iCs/>
          <w:szCs w:val="24"/>
          <w:lang w:val="fr-CA"/>
        </w:rPr>
      </w:pPr>
      <w:r w:rsidRPr="00291752">
        <w:rPr>
          <w:szCs w:val="24"/>
        </w:rPr>
        <w:fldChar w:fldCharType="begin"/>
      </w:r>
      <w:r w:rsidR="001B3F2F" w:rsidRPr="00291752">
        <w:rPr>
          <w:szCs w:val="24"/>
          <w:lang w:val="fr-CA"/>
        </w:rPr>
        <w:instrText xml:space="preserve"> SEQ CHAPTER \h \r 1</w:instrText>
      </w:r>
      <w:r w:rsidRPr="00291752">
        <w:rPr>
          <w:szCs w:val="24"/>
        </w:rPr>
        <w:fldChar w:fldCharType="end"/>
      </w:r>
      <w:r w:rsidR="001B3F2F" w:rsidRPr="00291752">
        <w:rPr>
          <w:i/>
          <w:iCs/>
          <w:szCs w:val="24"/>
          <w:lang w:val="fr-CA"/>
        </w:rPr>
        <w:t>Loi constitutionnelle de 1867</w:t>
      </w:r>
      <w:r w:rsidR="00624D0F" w:rsidRPr="00291752">
        <w:rPr>
          <w:iCs/>
          <w:szCs w:val="24"/>
          <w:lang w:val="fr-CA"/>
        </w:rPr>
        <w:t xml:space="preserve">, art. </w:t>
      </w:r>
      <w:r w:rsidR="00D212EA" w:rsidRPr="00291752">
        <w:rPr>
          <w:iCs/>
          <w:szCs w:val="24"/>
          <w:lang w:val="fr-CA"/>
        </w:rPr>
        <w:t xml:space="preserve">96, </w:t>
      </w:r>
      <w:r w:rsidR="001B3F2F" w:rsidRPr="00291752">
        <w:rPr>
          <w:iCs/>
          <w:szCs w:val="24"/>
          <w:lang w:val="fr-CA"/>
        </w:rPr>
        <w:t>101.</w:t>
      </w:r>
    </w:p>
    <w:p w:rsidR="00235154" w:rsidRPr="00291752" w:rsidRDefault="00235154" w:rsidP="00534EAC">
      <w:pPr>
        <w:pStyle w:val="SCCNormalDoubleSpacing"/>
        <w:spacing w:line="240" w:lineRule="auto"/>
        <w:ind w:left="540" w:hanging="540"/>
        <w:rPr>
          <w:lang w:val="fr-CA"/>
        </w:rPr>
      </w:pPr>
    </w:p>
    <w:p w:rsidR="00F92AB5" w:rsidRPr="00291752" w:rsidRDefault="00F92AB5" w:rsidP="00534EAC">
      <w:pPr>
        <w:pStyle w:val="SCCNormalDoubleSpacing"/>
        <w:spacing w:line="240" w:lineRule="auto"/>
        <w:ind w:left="540" w:hanging="540"/>
        <w:rPr>
          <w:szCs w:val="24"/>
          <w:lang w:val="fr-CA"/>
        </w:rPr>
      </w:pPr>
      <w:r w:rsidRPr="00291752">
        <w:rPr>
          <w:i/>
          <w:iCs/>
          <w:szCs w:val="24"/>
          <w:lang w:val="fr-CA" w:eastAsia="en-US"/>
        </w:rPr>
        <w:t>Loi</w:t>
      </w:r>
      <w:r w:rsidRPr="00291752">
        <w:rPr>
          <w:szCs w:val="24"/>
          <w:lang w:val="fr-CA"/>
        </w:rPr>
        <w:t xml:space="preserve"> </w:t>
      </w:r>
      <w:r w:rsidR="000B34B3" w:rsidRPr="00291752">
        <w:rPr>
          <w:szCs w:val="24"/>
        </w:rPr>
        <w:fldChar w:fldCharType="begin"/>
      </w:r>
      <w:r w:rsidRPr="00291752">
        <w:rPr>
          <w:szCs w:val="24"/>
          <w:lang w:val="fr-CA"/>
        </w:rPr>
        <w:instrText xml:space="preserve"> SEQ CHAPTER \h \r 1</w:instrText>
      </w:r>
      <w:r w:rsidR="000B34B3" w:rsidRPr="00291752">
        <w:rPr>
          <w:szCs w:val="24"/>
        </w:rPr>
        <w:fldChar w:fldCharType="end"/>
      </w:r>
      <w:r w:rsidR="000B34B3" w:rsidRPr="00291752">
        <w:rPr>
          <w:szCs w:val="24"/>
        </w:rPr>
        <w:fldChar w:fldCharType="begin"/>
      </w:r>
      <w:r w:rsidRPr="00291752">
        <w:rPr>
          <w:szCs w:val="24"/>
          <w:lang w:val="fr-CA"/>
        </w:rPr>
        <w:instrText xml:space="preserve"> SEQ CHAPTER \h \r 1</w:instrText>
      </w:r>
      <w:r w:rsidR="000B34B3" w:rsidRPr="00291752">
        <w:rPr>
          <w:szCs w:val="24"/>
        </w:rPr>
        <w:fldChar w:fldCharType="end"/>
      </w:r>
      <w:r w:rsidRPr="00291752">
        <w:rPr>
          <w:i/>
          <w:iCs/>
          <w:szCs w:val="24"/>
          <w:lang w:val="fr-CA"/>
        </w:rPr>
        <w:t>sur la Cour fédérale</w:t>
      </w:r>
      <w:r w:rsidRPr="00291752">
        <w:rPr>
          <w:szCs w:val="24"/>
          <w:lang w:val="fr-CA"/>
        </w:rPr>
        <w:t>, L.C. 1970</w:t>
      </w:r>
      <w:r w:rsidR="00A16E3A" w:rsidRPr="00291752">
        <w:rPr>
          <w:szCs w:val="24"/>
          <w:lang w:val="fr-CA"/>
        </w:rPr>
        <w:t>-</w:t>
      </w:r>
      <w:r w:rsidRPr="00291752">
        <w:rPr>
          <w:szCs w:val="24"/>
          <w:lang w:val="fr-CA"/>
        </w:rPr>
        <w:t>71</w:t>
      </w:r>
      <w:r w:rsidR="00A16E3A" w:rsidRPr="00291752">
        <w:rPr>
          <w:szCs w:val="24"/>
          <w:lang w:val="fr-CA"/>
        </w:rPr>
        <w:t>-</w:t>
      </w:r>
      <w:r w:rsidRPr="00291752">
        <w:rPr>
          <w:szCs w:val="24"/>
          <w:lang w:val="fr-CA"/>
        </w:rPr>
        <w:t>72, ch.</w:t>
      </w:r>
      <w:r w:rsidR="00624D0F" w:rsidRPr="00291752">
        <w:rPr>
          <w:szCs w:val="24"/>
          <w:lang w:val="fr-CA"/>
        </w:rPr>
        <w:t xml:space="preserve"> </w:t>
      </w:r>
      <w:r w:rsidRPr="00291752">
        <w:rPr>
          <w:szCs w:val="24"/>
          <w:lang w:val="fr-CA"/>
        </w:rPr>
        <w:t>1.</w:t>
      </w:r>
    </w:p>
    <w:p w:rsidR="00F92AB5" w:rsidRPr="00291752" w:rsidRDefault="00F92AB5" w:rsidP="00534EAC">
      <w:pPr>
        <w:pStyle w:val="SCCNormalDoubleSpacing"/>
        <w:spacing w:line="240" w:lineRule="auto"/>
        <w:ind w:left="540" w:hanging="540"/>
        <w:rPr>
          <w:szCs w:val="24"/>
          <w:lang w:val="fr-CA"/>
        </w:rPr>
      </w:pPr>
    </w:p>
    <w:p w:rsidR="00235154" w:rsidRPr="00291752" w:rsidRDefault="000B34B3" w:rsidP="00235154">
      <w:pPr>
        <w:pStyle w:val="SCCNormalDoubleSpacing"/>
        <w:spacing w:line="240" w:lineRule="auto"/>
        <w:ind w:left="540" w:hanging="540"/>
        <w:rPr>
          <w:lang w:val="fr-CA"/>
        </w:rPr>
      </w:pPr>
      <w:r w:rsidRPr="00291752">
        <w:rPr>
          <w:szCs w:val="24"/>
        </w:rPr>
        <w:fldChar w:fldCharType="begin"/>
      </w:r>
      <w:r w:rsidR="00235154" w:rsidRPr="00291752">
        <w:rPr>
          <w:szCs w:val="24"/>
          <w:lang w:val="fr-CA"/>
        </w:rPr>
        <w:instrText xml:space="preserve"> SEQ CHAPTER \h \r 1</w:instrText>
      </w:r>
      <w:r w:rsidRPr="00291752">
        <w:rPr>
          <w:szCs w:val="24"/>
        </w:rPr>
        <w:fldChar w:fldCharType="end"/>
      </w:r>
      <w:r w:rsidR="00235154" w:rsidRPr="00291752">
        <w:rPr>
          <w:i/>
          <w:iCs/>
          <w:szCs w:val="24"/>
          <w:lang w:val="fr-CA"/>
        </w:rPr>
        <w:t>Loi sur la radiocommunication</w:t>
      </w:r>
      <w:r w:rsidR="00235154" w:rsidRPr="00291752">
        <w:rPr>
          <w:szCs w:val="24"/>
          <w:lang w:val="fr-CA"/>
        </w:rPr>
        <w:t>, L.R.C. 1985, ch.</w:t>
      </w:r>
      <w:r w:rsidR="00624D0F" w:rsidRPr="00291752">
        <w:rPr>
          <w:szCs w:val="24"/>
          <w:lang w:val="fr-CA"/>
        </w:rPr>
        <w:t xml:space="preserve"> </w:t>
      </w:r>
      <w:r w:rsidR="00235154" w:rsidRPr="00291752">
        <w:rPr>
          <w:szCs w:val="24"/>
          <w:lang w:val="fr-CA"/>
        </w:rPr>
        <w:t>R</w:t>
      </w:r>
      <w:r w:rsidR="00A16E3A" w:rsidRPr="00291752">
        <w:rPr>
          <w:szCs w:val="24"/>
          <w:lang w:val="fr-CA"/>
        </w:rPr>
        <w:t>-</w:t>
      </w:r>
      <w:r w:rsidR="00235154" w:rsidRPr="00291752">
        <w:rPr>
          <w:szCs w:val="24"/>
          <w:lang w:val="fr-CA"/>
        </w:rPr>
        <w:t>2.</w:t>
      </w:r>
    </w:p>
    <w:p w:rsidR="00235154" w:rsidRPr="00291752" w:rsidRDefault="00235154" w:rsidP="00235154">
      <w:pPr>
        <w:pStyle w:val="SCCNormalDoubleSpacing"/>
        <w:spacing w:line="240" w:lineRule="auto"/>
        <w:ind w:left="540" w:hanging="540"/>
        <w:rPr>
          <w:lang w:val="fr-CA"/>
        </w:rPr>
      </w:pPr>
    </w:p>
    <w:p w:rsidR="00DA3961" w:rsidRPr="00291752" w:rsidRDefault="00DA3961" w:rsidP="00EE2341">
      <w:pPr>
        <w:shd w:val="clear" w:color="auto" w:fill="FFFFFF"/>
        <w:autoSpaceDE w:val="0"/>
        <w:autoSpaceDN w:val="0"/>
        <w:ind w:left="547" w:hanging="547"/>
        <w:jc w:val="both"/>
        <w:rPr>
          <w:szCs w:val="24"/>
          <w:lang w:val="fr-CA"/>
        </w:rPr>
      </w:pPr>
      <w:r w:rsidRPr="00291752">
        <w:rPr>
          <w:i/>
          <w:iCs/>
          <w:szCs w:val="24"/>
          <w:lang w:val="fr-CA" w:eastAsia="en-US"/>
        </w:rPr>
        <w:t>Loi sur la responsabilité civile de l’État et le contentieux administratif</w:t>
      </w:r>
      <w:r w:rsidR="00C629FE" w:rsidRPr="00291752">
        <w:rPr>
          <w:szCs w:val="24"/>
          <w:lang w:val="fr-CA" w:eastAsia="en-US"/>
        </w:rPr>
        <w:t>, L.R.C. 1985, ch.</w:t>
      </w:r>
      <w:r w:rsidR="00624D0F" w:rsidRPr="00291752">
        <w:rPr>
          <w:szCs w:val="24"/>
          <w:lang w:val="fr-CA" w:eastAsia="en-US"/>
        </w:rPr>
        <w:t xml:space="preserve"> </w:t>
      </w:r>
      <w:r w:rsidR="00BA366A" w:rsidRPr="00291752">
        <w:rPr>
          <w:szCs w:val="24"/>
          <w:lang w:val="fr-CA" w:eastAsia="en-US"/>
        </w:rPr>
        <w:t>C</w:t>
      </w:r>
      <w:r w:rsidR="00A16E3A" w:rsidRPr="00291752">
        <w:rPr>
          <w:szCs w:val="24"/>
          <w:lang w:val="fr-CA" w:eastAsia="en-US"/>
        </w:rPr>
        <w:t>-</w:t>
      </w:r>
      <w:r w:rsidRPr="00291752">
        <w:rPr>
          <w:szCs w:val="24"/>
          <w:lang w:val="fr-CA" w:eastAsia="en-US"/>
        </w:rPr>
        <w:t xml:space="preserve">50, </w:t>
      </w:r>
      <w:r w:rsidR="000B34B3" w:rsidRPr="00291752">
        <w:rPr>
          <w:szCs w:val="24"/>
        </w:rPr>
        <w:fldChar w:fldCharType="begin"/>
      </w:r>
      <w:r w:rsidRPr="00291752">
        <w:rPr>
          <w:szCs w:val="24"/>
          <w:lang w:val="fr-CA"/>
        </w:rPr>
        <w:instrText xml:space="preserve"> SEQ CHAPTER \h \r 1</w:instrText>
      </w:r>
      <w:r w:rsidR="000B34B3" w:rsidRPr="00291752">
        <w:rPr>
          <w:szCs w:val="24"/>
        </w:rPr>
        <w:fldChar w:fldCharType="end"/>
      </w:r>
      <w:r w:rsidR="00C629FE" w:rsidRPr="00291752">
        <w:rPr>
          <w:szCs w:val="24"/>
          <w:lang w:val="fr-CA"/>
        </w:rPr>
        <w:t>art.</w:t>
      </w:r>
      <w:r w:rsidR="00624D0F" w:rsidRPr="00291752">
        <w:rPr>
          <w:szCs w:val="24"/>
          <w:lang w:val="fr-CA"/>
        </w:rPr>
        <w:t xml:space="preserve"> </w:t>
      </w:r>
      <w:r w:rsidR="00A152FD" w:rsidRPr="00291752">
        <w:rPr>
          <w:szCs w:val="24"/>
          <w:lang w:val="fr-CA"/>
        </w:rPr>
        <w:t xml:space="preserve">3, </w:t>
      </w:r>
      <w:r w:rsidR="00A32C96" w:rsidRPr="00291752">
        <w:rPr>
          <w:szCs w:val="24"/>
          <w:lang w:val="fr-CA"/>
        </w:rPr>
        <w:t xml:space="preserve">8, </w:t>
      </w:r>
      <w:r w:rsidRPr="00291752">
        <w:rPr>
          <w:szCs w:val="24"/>
          <w:lang w:val="fr-CA"/>
        </w:rPr>
        <w:t>21.</w:t>
      </w:r>
    </w:p>
    <w:p w:rsidR="000A5321" w:rsidRPr="00291752" w:rsidRDefault="000A5321" w:rsidP="000A5321">
      <w:pPr>
        <w:pStyle w:val="SCCNormalDoubleSpacing"/>
        <w:spacing w:line="240" w:lineRule="auto"/>
        <w:ind w:left="540" w:hanging="540"/>
        <w:rPr>
          <w:lang w:val="fr-CA"/>
        </w:rPr>
      </w:pPr>
    </w:p>
    <w:p w:rsidR="00777F2D" w:rsidRPr="00291752" w:rsidRDefault="000B34B3" w:rsidP="00EF6EC6">
      <w:pPr>
        <w:ind w:left="540" w:hanging="540"/>
        <w:rPr>
          <w:szCs w:val="24"/>
          <w:lang w:val="fr-CA"/>
        </w:rPr>
      </w:pPr>
      <w:r w:rsidRPr="00291752">
        <w:rPr>
          <w:szCs w:val="24"/>
        </w:rPr>
        <w:fldChar w:fldCharType="begin"/>
      </w:r>
      <w:r w:rsidR="00566128" w:rsidRPr="00291752">
        <w:rPr>
          <w:szCs w:val="24"/>
          <w:lang w:val="fr-CA"/>
        </w:rPr>
        <w:instrText xml:space="preserve"> SEQ CHAPTER \h \r 1</w:instrText>
      </w:r>
      <w:r w:rsidRPr="00291752">
        <w:rPr>
          <w:szCs w:val="24"/>
        </w:rPr>
        <w:fldChar w:fldCharType="end"/>
      </w:r>
      <w:r w:rsidR="00566128" w:rsidRPr="00291752">
        <w:rPr>
          <w:i/>
          <w:iCs/>
          <w:szCs w:val="24"/>
          <w:lang w:val="fr-CA"/>
        </w:rPr>
        <w:t>Loi sur le système correctionnel et la mise en liberté sous condition</w:t>
      </w:r>
      <w:r w:rsidR="00566128" w:rsidRPr="00291752">
        <w:rPr>
          <w:szCs w:val="24"/>
          <w:lang w:val="fr-CA"/>
        </w:rPr>
        <w:t>, L.C. 1992, ch</w:t>
      </w:r>
      <w:r w:rsidR="00F92AB5" w:rsidRPr="00291752">
        <w:rPr>
          <w:szCs w:val="24"/>
          <w:lang w:val="fr-CA"/>
        </w:rPr>
        <w:t>.</w:t>
      </w:r>
      <w:r w:rsidR="00624D0F" w:rsidRPr="00291752">
        <w:rPr>
          <w:szCs w:val="24"/>
          <w:lang w:val="fr-CA"/>
        </w:rPr>
        <w:t xml:space="preserve"> </w:t>
      </w:r>
      <w:r w:rsidR="00566128" w:rsidRPr="00291752">
        <w:rPr>
          <w:szCs w:val="24"/>
          <w:lang w:val="fr-CA"/>
        </w:rPr>
        <w:t>20.</w:t>
      </w:r>
    </w:p>
    <w:p w:rsidR="008E7454" w:rsidRPr="00291752" w:rsidRDefault="008E7454" w:rsidP="008E7454">
      <w:pPr>
        <w:pStyle w:val="SCCNormalDoubleSpacing"/>
        <w:spacing w:line="240" w:lineRule="auto"/>
        <w:ind w:left="540" w:hanging="540"/>
        <w:rPr>
          <w:szCs w:val="24"/>
          <w:lang w:val="fr-CA"/>
        </w:rPr>
      </w:pPr>
    </w:p>
    <w:p w:rsidR="008E7454" w:rsidRPr="00291752" w:rsidRDefault="008E7454" w:rsidP="009E5749">
      <w:pPr>
        <w:spacing w:after="720"/>
        <w:ind w:left="547" w:hanging="547"/>
        <w:rPr>
          <w:szCs w:val="24"/>
        </w:rPr>
      </w:pPr>
      <w:r w:rsidRPr="00291752">
        <w:rPr>
          <w:i/>
          <w:iCs/>
          <w:szCs w:val="24"/>
          <w:lang w:val="fr-CA" w:eastAsia="en-US"/>
        </w:rPr>
        <w:t>Loi</w:t>
      </w:r>
      <w:r w:rsidRPr="00291752">
        <w:rPr>
          <w:szCs w:val="24"/>
          <w:lang w:val="fr-CA"/>
        </w:rPr>
        <w:t xml:space="preserve"> </w:t>
      </w:r>
      <w:r w:rsidR="000B34B3" w:rsidRPr="00291752">
        <w:rPr>
          <w:szCs w:val="24"/>
        </w:rPr>
        <w:fldChar w:fldCharType="begin"/>
      </w:r>
      <w:r w:rsidRPr="00291752">
        <w:rPr>
          <w:szCs w:val="24"/>
          <w:lang w:val="fr-CA"/>
        </w:rPr>
        <w:instrText xml:space="preserve"> SEQ CHAPTER \h \r 1</w:instrText>
      </w:r>
      <w:r w:rsidR="000B34B3" w:rsidRPr="00291752">
        <w:rPr>
          <w:szCs w:val="24"/>
        </w:rPr>
        <w:fldChar w:fldCharType="end"/>
      </w:r>
      <w:r w:rsidR="000B34B3" w:rsidRPr="00291752">
        <w:rPr>
          <w:szCs w:val="24"/>
        </w:rPr>
        <w:fldChar w:fldCharType="begin"/>
      </w:r>
      <w:r w:rsidRPr="00291752">
        <w:rPr>
          <w:szCs w:val="24"/>
          <w:lang w:val="fr-CA"/>
        </w:rPr>
        <w:instrText xml:space="preserve"> SEQ CHAPTER \h \r 1</w:instrText>
      </w:r>
      <w:r w:rsidR="000B34B3" w:rsidRPr="00291752">
        <w:rPr>
          <w:szCs w:val="24"/>
        </w:rPr>
        <w:fldChar w:fldCharType="end"/>
      </w:r>
      <w:r w:rsidRPr="00291752">
        <w:rPr>
          <w:i/>
          <w:iCs/>
          <w:szCs w:val="24"/>
          <w:lang w:val="fr-CA"/>
        </w:rPr>
        <w:t>sur les Cours fédérales</w:t>
      </w:r>
      <w:r w:rsidR="00C629FE" w:rsidRPr="00291752">
        <w:rPr>
          <w:szCs w:val="24"/>
          <w:lang w:val="fr-CA"/>
        </w:rPr>
        <w:t>, L.R.C. 1985, ch.</w:t>
      </w:r>
      <w:r w:rsidR="00624D0F" w:rsidRPr="00291752">
        <w:rPr>
          <w:szCs w:val="24"/>
          <w:lang w:val="fr-CA"/>
        </w:rPr>
        <w:t xml:space="preserve"> </w:t>
      </w:r>
      <w:r w:rsidR="00C629FE" w:rsidRPr="00120AF7">
        <w:rPr>
          <w:szCs w:val="24"/>
        </w:rPr>
        <w:t>F</w:t>
      </w:r>
      <w:r w:rsidR="00A16E3A" w:rsidRPr="00120AF7">
        <w:rPr>
          <w:szCs w:val="24"/>
        </w:rPr>
        <w:t>-</w:t>
      </w:r>
      <w:r w:rsidR="00C629FE" w:rsidRPr="00120AF7">
        <w:rPr>
          <w:szCs w:val="24"/>
        </w:rPr>
        <w:t>7, art.</w:t>
      </w:r>
      <w:r w:rsidR="00624D0F" w:rsidRPr="00120AF7">
        <w:rPr>
          <w:szCs w:val="24"/>
        </w:rPr>
        <w:t xml:space="preserve"> </w:t>
      </w:r>
      <w:proofErr w:type="gramStart"/>
      <w:r w:rsidRPr="00291752">
        <w:rPr>
          <w:szCs w:val="24"/>
          <w:lang w:val="en-US"/>
        </w:rPr>
        <w:t xml:space="preserve">2(1) </w:t>
      </w:r>
      <w:proofErr w:type="gramEnd"/>
      <w:r w:rsidR="000B34B3" w:rsidRPr="00291752">
        <w:rPr>
          <w:szCs w:val="24"/>
        </w:rPr>
        <w:fldChar w:fldCharType="begin"/>
      </w:r>
      <w:r w:rsidRPr="00291752">
        <w:rPr>
          <w:szCs w:val="24"/>
          <w:lang w:val="en-US"/>
        </w:rPr>
        <w:instrText xml:space="preserve"> SEQ CHAPTER \h \r </w:instrText>
      </w:r>
      <w:r w:rsidRPr="00291752">
        <w:rPr>
          <w:szCs w:val="24"/>
        </w:rPr>
        <w:instrText>1</w:instrText>
      </w:r>
      <w:r w:rsidR="000B34B3" w:rsidRPr="00291752">
        <w:rPr>
          <w:szCs w:val="24"/>
        </w:rPr>
        <w:fldChar w:fldCharType="end"/>
      </w:r>
      <w:proofErr w:type="gramStart"/>
      <w:r w:rsidRPr="00291752">
        <w:rPr>
          <w:szCs w:val="24"/>
        </w:rPr>
        <w:t>«</w:t>
      </w:r>
      <w:r w:rsidR="00C629FE" w:rsidRPr="00291752">
        <w:t> </w:t>
      </w:r>
      <w:r w:rsidRPr="00291752">
        <w:rPr>
          <w:szCs w:val="24"/>
        </w:rPr>
        <w:t xml:space="preserve">office </w:t>
      </w:r>
      <w:proofErr w:type="spellStart"/>
      <w:r w:rsidRPr="00291752">
        <w:rPr>
          <w:szCs w:val="24"/>
        </w:rPr>
        <w:t>fédéral</w:t>
      </w:r>
      <w:proofErr w:type="spellEnd"/>
      <w:r w:rsidR="00C629FE" w:rsidRPr="00291752">
        <w:rPr>
          <w:szCs w:val="24"/>
        </w:rPr>
        <w:t> </w:t>
      </w:r>
      <w:proofErr w:type="gramEnd"/>
      <w:r w:rsidR="000B34B3" w:rsidRPr="00291752">
        <w:rPr>
          <w:szCs w:val="24"/>
        </w:rPr>
        <w:fldChar w:fldCharType="begin"/>
      </w:r>
      <w:r w:rsidRPr="00291752">
        <w:rPr>
          <w:szCs w:val="24"/>
        </w:rPr>
        <w:instrText xml:space="preserve"> SEQ CHAPTER \h \r 1</w:instrText>
      </w:r>
      <w:r w:rsidR="000B34B3" w:rsidRPr="00291752">
        <w:rPr>
          <w:szCs w:val="24"/>
        </w:rPr>
        <w:fldChar w:fldCharType="end"/>
      </w:r>
      <w:proofErr w:type="gramStart"/>
      <w:r w:rsidRPr="00291752">
        <w:rPr>
          <w:szCs w:val="24"/>
        </w:rPr>
        <w:t>», 17, 18, 18.1, 18.4, 39, 50(1).</w:t>
      </w:r>
      <w:proofErr w:type="gramEnd"/>
    </w:p>
    <w:p w:rsidR="002E6705" w:rsidRPr="00291752" w:rsidRDefault="0043088E" w:rsidP="009E5749">
      <w:pPr>
        <w:pStyle w:val="SCCNormalDoubleSpacing"/>
        <w:keepNext/>
        <w:spacing w:after="480"/>
        <w:rPr>
          <w:b/>
        </w:rPr>
      </w:pPr>
      <w:r w:rsidRPr="00291752">
        <w:rPr>
          <w:b/>
        </w:rPr>
        <w:t>Doctrine</w:t>
      </w:r>
      <w:r w:rsidR="002E6705" w:rsidRPr="00291752">
        <w:rPr>
          <w:b/>
        </w:rPr>
        <w:t xml:space="preserve"> </w:t>
      </w:r>
      <w:r w:rsidRPr="00291752">
        <w:rPr>
          <w:b/>
        </w:rPr>
        <w:t>c</w:t>
      </w:r>
      <w:r w:rsidR="002E6705" w:rsidRPr="00291752">
        <w:rPr>
          <w:b/>
        </w:rPr>
        <w:t>it</w:t>
      </w:r>
      <w:r w:rsidRPr="00291752">
        <w:rPr>
          <w:b/>
        </w:rPr>
        <w:t>é</w:t>
      </w:r>
      <w:r w:rsidR="002E6705" w:rsidRPr="00291752">
        <w:rPr>
          <w:b/>
        </w:rPr>
        <w:t>e</w:t>
      </w:r>
    </w:p>
    <w:p w:rsidR="00107F23" w:rsidRPr="00291752" w:rsidRDefault="000B34B3" w:rsidP="00107F23">
      <w:pPr>
        <w:pStyle w:val="SCCNormalDoubleSpacing"/>
        <w:spacing w:line="240" w:lineRule="auto"/>
        <w:ind w:left="540" w:hanging="540"/>
        <w:rPr>
          <w:szCs w:val="24"/>
          <w:lang w:val="en-US"/>
        </w:rPr>
      </w:pPr>
      <w:r w:rsidRPr="00291752">
        <w:rPr>
          <w:szCs w:val="24"/>
        </w:rPr>
        <w:fldChar w:fldCharType="begin"/>
      </w:r>
      <w:r w:rsidR="00107F23" w:rsidRPr="00291752">
        <w:rPr>
          <w:szCs w:val="24"/>
          <w:lang w:val="en-US"/>
        </w:rPr>
        <w:instrText xml:space="preserve"> SEQ CHAPTER \h \r 1</w:instrText>
      </w:r>
      <w:r w:rsidRPr="00291752">
        <w:rPr>
          <w:szCs w:val="24"/>
        </w:rPr>
        <w:fldChar w:fldCharType="end"/>
      </w:r>
      <w:proofErr w:type="gramStart"/>
      <w:r w:rsidR="00107F23" w:rsidRPr="00291752">
        <w:rPr>
          <w:szCs w:val="24"/>
          <w:lang w:val="en-US"/>
        </w:rPr>
        <w:t>Brown, Donald</w:t>
      </w:r>
      <w:r w:rsidR="00624D0F" w:rsidRPr="00291752">
        <w:rPr>
          <w:szCs w:val="24"/>
          <w:lang w:val="en-US"/>
        </w:rPr>
        <w:t xml:space="preserve"> </w:t>
      </w:r>
      <w:r w:rsidR="00107F23" w:rsidRPr="00291752">
        <w:rPr>
          <w:szCs w:val="24"/>
          <w:lang w:val="en-US"/>
        </w:rPr>
        <w:t>J.</w:t>
      </w:r>
      <w:r w:rsidR="00C629FE" w:rsidRPr="00291752">
        <w:rPr>
          <w:szCs w:val="24"/>
          <w:lang w:val="en-US"/>
        </w:rPr>
        <w:t> M., and John</w:t>
      </w:r>
      <w:r w:rsidR="00624D0F" w:rsidRPr="00291752">
        <w:rPr>
          <w:szCs w:val="24"/>
          <w:lang w:val="en-US"/>
        </w:rPr>
        <w:t xml:space="preserve"> </w:t>
      </w:r>
      <w:r w:rsidR="00107F23" w:rsidRPr="00291752">
        <w:rPr>
          <w:szCs w:val="24"/>
          <w:lang w:val="en-US"/>
        </w:rPr>
        <w:t>M. Evans.</w:t>
      </w:r>
      <w:proofErr w:type="gramEnd"/>
      <w:r w:rsidR="00107F23" w:rsidRPr="00291752">
        <w:rPr>
          <w:szCs w:val="24"/>
          <w:lang w:val="en-US"/>
        </w:rPr>
        <w:t xml:space="preserve">  </w:t>
      </w:r>
      <w:proofErr w:type="gramStart"/>
      <w:r w:rsidR="00107F23" w:rsidRPr="00291752">
        <w:rPr>
          <w:i/>
          <w:iCs/>
          <w:szCs w:val="24"/>
          <w:lang w:val="en-US"/>
        </w:rPr>
        <w:t>Judicial Review of Administrative Action in Canada</w:t>
      </w:r>
      <w:r w:rsidR="00107F23" w:rsidRPr="00291752">
        <w:rPr>
          <w:szCs w:val="24"/>
          <w:lang w:val="en-US"/>
        </w:rPr>
        <w:t>.</w:t>
      </w:r>
      <w:proofErr w:type="gramEnd"/>
      <w:r w:rsidR="00107F23" w:rsidRPr="00291752">
        <w:rPr>
          <w:szCs w:val="24"/>
          <w:lang w:val="en-US"/>
        </w:rPr>
        <w:t xml:space="preserve">  </w:t>
      </w:r>
      <w:proofErr w:type="gramStart"/>
      <w:r w:rsidR="00107F23" w:rsidRPr="00291752">
        <w:rPr>
          <w:szCs w:val="24"/>
          <w:lang w:val="en-US"/>
        </w:rPr>
        <w:t>Toronto</w:t>
      </w:r>
      <w:r w:rsidR="00107F23" w:rsidRPr="00291752">
        <w:rPr>
          <w:lang w:val="en-US"/>
        </w:rPr>
        <w:t xml:space="preserve"> </w:t>
      </w:r>
      <w:r w:rsidR="00107F23" w:rsidRPr="00291752">
        <w:rPr>
          <w:szCs w:val="24"/>
          <w:lang w:val="en-US"/>
        </w:rPr>
        <w:t>:</w:t>
      </w:r>
      <w:proofErr w:type="gramEnd"/>
      <w:r w:rsidR="00107F23" w:rsidRPr="00291752">
        <w:rPr>
          <w:szCs w:val="24"/>
          <w:lang w:val="en-US"/>
        </w:rPr>
        <w:t xml:space="preserve"> Canvasback, 1998 (loose</w:t>
      </w:r>
      <w:r w:rsidR="00A16E3A" w:rsidRPr="00291752">
        <w:rPr>
          <w:szCs w:val="24"/>
          <w:lang w:val="en-US"/>
        </w:rPr>
        <w:t>-</w:t>
      </w:r>
      <w:r w:rsidR="00107F23" w:rsidRPr="00291752">
        <w:rPr>
          <w:szCs w:val="24"/>
          <w:lang w:val="en-US"/>
        </w:rPr>
        <w:t>leaf updated July 2010).</w:t>
      </w:r>
    </w:p>
    <w:p w:rsidR="002B3D6E" w:rsidRPr="00291752" w:rsidRDefault="002B3D6E" w:rsidP="00107F23">
      <w:pPr>
        <w:pStyle w:val="SCCNormalDoubleSpacing"/>
        <w:spacing w:line="240" w:lineRule="auto"/>
        <w:ind w:left="540" w:hanging="540"/>
        <w:rPr>
          <w:szCs w:val="24"/>
          <w:lang w:val="en-US"/>
        </w:rPr>
      </w:pPr>
    </w:p>
    <w:p w:rsidR="002B3D6E" w:rsidRPr="00291752" w:rsidRDefault="00AF1680" w:rsidP="002B3D6E">
      <w:pPr>
        <w:pStyle w:val="SCCNormalDoubleSpacing"/>
        <w:spacing w:line="240" w:lineRule="auto"/>
        <w:ind w:left="540" w:hanging="540"/>
        <w:rPr>
          <w:szCs w:val="24"/>
          <w:lang w:val="fr-CA"/>
        </w:rPr>
      </w:pPr>
      <w:r w:rsidRPr="00291752">
        <w:t xml:space="preserve">Canada.  </w:t>
      </w:r>
      <w:proofErr w:type="spellStart"/>
      <w:proofErr w:type="gramStart"/>
      <w:r w:rsidRPr="00291752">
        <w:rPr>
          <w:lang w:val="en-US"/>
        </w:rPr>
        <w:t>Chambre</w:t>
      </w:r>
      <w:proofErr w:type="spellEnd"/>
      <w:r w:rsidRPr="00291752">
        <w:rPr>
          <w:lang w:val="en-US"/>
        </w:rPr>
        <w:t xml:space="preserve"> des communes.</w:t>
      </w:r>
      <w:proofErr w:type="gramEnd"/>
      <w:r w:rsidR="002B3D6E" w:rsidRPr="00291752">
        <w:rPr>
          <w:lang w:val="en-US"/>
        </w:rPr>
        <w:t xml:space="preserve">  </w:t>
      </w:r>
      <w:r w:rsidR="000B34B3" w:rsidRPr="00291752">
        <w:rPr>
          <w:szCs w:val="24"/>
        </w:rPr>
        <w:fldChar w:fldCharType="begin"/>
      </w:r>
      <w:r w:rsidR="002B3D6E" w:rsidRPr="00291752">
        <w:rPr>
          <w:szCs w:val="24"/>
          <w:lang w:val="en-US"/>
        </w:rPr>
        <w:instrText xml:space="preserve"> SEQ CHAPTER \h \r 1</w:instrText>
      </w:r>
      <w:r w:rsidR="000B34B3" w:rsidRPr="00291752">
        <w:rPr>
          <w:szCs w:val="24"/>
        </w:rPr>
        <w:fldChar w:fldCharType="end"/>
      </w:r>
      <w:r w:rsidR="002B3D6E" w:rsidRPr="00291752">
        <w:rPr>
          <w:i/>
          <w:iCs/>
          <w:szCs w:val="24"/>
          <w:lang w:val="fr-CA"/>
        </w:rPr>
        <w:t>Procès</w:t>
      </w:r>
      <w:r w:rsidR="00A16E3A" w:rsidRPr="00291752">
        <w:rPr>
          <w:i/>
          <w:iCs/>
          <w:szCs w:val="24"/>
          <w:lang w:val="fr-CA"/>
        </w:rPr>
        <w:t>-</w:t>
      </w:r>
      <w:r w:rsidR="002B3D6E" w:rsidRPr="00291752">
        <w:rPr>
          <w:i/>
          <w:iCs/>
          <w:szCs w:val="24"/>
          <w:lang w:val="fr-CA"/>
        </w:rPr>
        <w:t xml:space="preserve">verbaux et témoignages du Comité </w:t>
      </w:r>
      <w:proofErr w:type="spellStart"/>
      <w:r w:rsidR="001B6023" w:rsidRPr="00291752">
        <w:rPr>
          <w:i/>
          <w:iCs/>
          <w:szCs w:val="24"/>
          <w:lang w:val="fr-CA"/>
        </w:rPr>
        <w:t>legislatif</w:t>
      </w:r>
      <w:proofErr w:type="spellEnd"/>
      <w:r w:rsidR="002B3D6E" w:rsidRPr="00291752">
        <w:rPr>
          <w:i/>
          <w:iCs/>
          <w:szCs w:val="24"/>
          <w:lang w:val="fr-CA"/>
        </w:rPr>
        <w:t xml:space="preserve"> sur le projet de loi C</w:t>
      </w:r>
      <w:r w:rsidR="00A16E3A" w:rsidRPr="00291752">
        <w:rPr>
          <w:i/>
          <w:iCs/>
          <w:szCs w:val="24"/>
          <w:lang w:val="fr-CA"/>
        </w:rPr>
        <w:t>-</w:t>
      </w:r>
      <w:r w:rsidR="002B3D6E" w:rsidRPr="00291752">
        <w:rPr>
          <w:i/>
          <w:iCs/>
          <w:szCs w:val="24"/>
          <w:lang w:val="fr-CA"/>
        </w:rPr>
        <w:t>38</w:t>
      </w:r>
      <w:r w:rsidR="002B3D6E" w:rsidRPr="00291752">
        <w:rPr>
          <w:szCs w:val="24"/>
          <w:lang w:val="fr-CA"/>
        </w:rPr>
        <w:t xml:space="preserve">, </w:t>
      </w:r>
      <w:r w:rsidR="0085624F" w:rsidRPr="00291752">
        <w:rPr>
          <w:szCs w:val="24"/>
          <w:lang w:val="fr-CA"/>
        </w:rPr>
        <w:t>n</w:t>
      </w:r>
      <w:r w:rsidR="002B3D6E" w:rsidRPr="00291752">
        <w:rPr>
          <w:szCs w:val="24"/>
          <w:vertAlign w:val="superscript"/>
          <w:lang w:val="fr-CA"/>
        </w:rPr>
        <w:t>o</w:t>
      </w:r>
      <w:r w:rsidR="00624D0F" w:rsidRPr="00291752">
        <w:rPr>
          <w:szCs w:val="24"/>
          <w:lang w:val="fr-CA"/>
        </w:rPr>
        <w:t xml:space="preserve"> </w:t>
      </w:r>
      <w:r w:rsidR="002B3D6E" w:rsidRPr="00291752">
        <w:rPr>
          <w:szCs w:val="24"/>
          <w:lang w:val="fr-CA"/>
        </w:rPr>
        <w:t>1, 2</w:t>
      </w:r>
      <w:r w:rsidR="0085624F" w:rsidRPr="00291752">
        <w:rPr>
          <w:szCs w:val="24"/>
          <w:vertAlign w:val="superscript"/>
          <w:lang w:val="fr-CA"/>
        </w:rPr>
        <w:t>e</w:t>
      </w:r>
      <w:r w:rsidR="002B3D6E" w:rsidRPr="00291752">
        <w:rPr>
          <w:szCs w:val="24"/>
          <w:lang w:val="fr-CA"/>
        </w:rPr>
        <w:t xml:space="preserve"> </w:t>
      </w:r>
      <w:r w:rsidR="0085624F" w:rsidRPr="00291752">
        <w:rPr>
          <w:szCs w:val="24"/>
          <w:lang w:val="fr-CA"/>
        </w:rPr>
        <w:t>s</w:t>
      </w:r>
      <w:r w:rsidR="002B3D6E" w:rsidRPr="00291752">
        <w:rPr>
          <w:szCs w:val="24"/>
          <w:lang w:val="fr-CA"/>
        </w:rPr>
        <w:t>ess., 34</w:t>
      </w:r>
      <w:r w:rsidR="0085624F" w:rsidRPr="00291752">
        <w:rPr>
          <w:szCs w:val="24"/>
          <w:vertAlign w:val="superscript"/>
          <w:lang w:val="fr-CA"/>
        </w:rPr>
        <w:t>e</w:t>
      </w:r>
      <w:r w:rsidR="0085624F" w:rsidRPr="00291752">
        <w:rPr>
          <w:szCs w:val="24"/>
          <w:lang w:val="fr-CA"/>
        </w:rPr>
        <w:t xml:space="preserve"> </w:t>
      </w:r>
      <w:proofErr w:type="spellStart"/>
      <w:r w:rsidR="002B3D6E" w:rsidRPr="00291752">
        <w:rPr>
          <w:szCs w:val="24"/>
          <w:lang w:val="fr-CA"/>
        </w:rPr>
        <w:t>l</w:t>
      </w:r>
      <w:r w:rsidR="0085624F" w:rsidRPr="00291752">
        <w:rPr>
          <w:szCs w:val="24"/>
          <w:lang w:val="fr-CA"/>
        </w:rPr>
        <w:t>ég</w:t>
      </w:r>
      <w:proofErr w:type="spellEnd"/>
      <w:r w:rsidR="002B3D6E" w:rsidRPr="00291752">
        <w:rPr>
          <w:szCs w:val="24"/>
          <w:lang w:val="fr-CA"/>
        </w:rPr>
        <w:t xml:space="preserve">., </w:t>
      </w:r>
      <w:r w:rsidR="00624D0F" w:rsidRPr="00291752">
        <w:rPr>
          <w:szCs w:val="24"/>
          <w:lang w:val="fr-CA"/>
        </w:rPr>
        <w:t xml:space="preserve">23 </w:t>
      </w:r>
      <w:r w:rsidR="0085624F" w:rsidRPr="00291752">
        <w:rPr>
          <w:szCs w:val="24"/>
          <w:lang w:val="fr-CA"/>
        </w:rPr>
        <w:t>n</w:t>
      </w:r>
      <w:r w:rsidR="002B3D6E" w:rsidRPr="00291752">
        <w:rPr>
          <w:szCs w:val="24"/>
          <w:lang w:val="fr-CA"/>
        </w:rPr>
        <w:t>ovemb</w:t>
      </w:r>
      <w:r w:rsidR="0085624F" w:rsidRPr="00291752">
        <w:rPr>
          <w:szCs w:val="24"/>
          <w:lang w:val="fr-CA"/>
        </w:rPr>
        <w:t>r</w:t>
      </w:r>
      <w:r w:rsidR="00624D0F" w:rsidRPr="00291752">
        <w:rPr>
          <w:szCs w:val="24"/>
          <w:lang w:val="fr-CA"/>
        </w:rPr>
        <w:t xml:space="preserve">e 1989, p. </w:t>
      </w:r>
      <w:r w:rsidR="002B3D6E" w:rsidRPr="00291752">
        <w:rPr>
          <w:szCs w:val="24"/>
          <w:lang w:val="fr-CA"/>
        </w:rPr>
        <w:t>14</w:t>
      </w:r>
      <w:r w:rsidR="00A16E3A" w:rsidRPr="00291752">
        <w:rPr>
          <w:szCs w:val="24"/>
          <w:lang w:val="fr-CA"/>
        </w:rPr>
        <w:t>-</w:t>
      </w:r>
      <w:r w:rsidR="002B3D6E" w:rsidRPr="00291752">
        <w:rPr>
          <w:szCs w:val="24"/>
          <w:lang w:val="fr-CA"/>
        </w:rPr>
        <w:t>15.</w:t>
      </w:r>
    </w:p>
    <w:p w:rsidR="00E471DF" w:rsidRPr="00291752" w:rsidRDefault="00E471DF" w:rsidP="00E471DF">
      <w:pPr>
        <w:pStyle w:val="SCCNormalDoubleSpacing"/>
        <w:spacing w:line="240" w:lineRule="auto"/>
        <w:ind w:left="540" w:hanging="540"/>
        <w:rPr>
          <w:lang w:val="fr-CA"/>
        </w:rPr>
      </w:pPr>
    </w:p>
    <w:p w:rsidR="00E471DF" w:rsidRPr="00291752" w:rsidRDefault="00E471DF" w:rsidP="00E471DF">
      <w:pPr>
        <w:pStyle w:val="SCCNormalDoubleSpacing"/>
        <w:spacing w:line="240" w:lineRule="auto"/>
        <w:ind w:left="540" w:hanging="540"/>
        <w:rPr>
          <w:lang w:val="fr-CA"/>
        </w:rPr>
      </w:pPr>
      <w:r w:rsidRPr="00291752">
        <w:rPr>
          <w:lang w:val="fr-CA"/>
        </w:rPr>
        <w:t xml:space="preserve">Canada.  </w:t>
      </w:r>
      <w:r w:rsidRPr="00291752">
        <w:rPr>
          <w:i/>
          <w:lang w:val="fr-CA"/>
        </w:rPr>
        <w:t>Débats de la Chambre des communes</w:t>
      </w:r>
      <w:r w:rsidRPr="00291752">
        <w:rPr>
          <w:lang w:val="fr-CA"/>
        </w:rPr>
        <w:t>, 2</w:t>
      </w:r>
      <w:r w:rsidRPr="00291752">
        <w:rPr>
          <w:vertAlign w:val="superscript"/>
          <w:lang w:val="fr-CA"/>
        </w:rPr>
        <w:t>e</w:t>
      </w:r>
      <w:r w:rsidRPr="00291752">
        <w:rPr>
          <w:lang w:val="fr-CA"/>
        </w:rPr>
        <w:t xml:space="preserve"> </w:t>
      </w:r>
      <w:proofErr w:type="gramStart"/>
      <w:r w:rsidRPr="00291752">
        <w:rPr>
          <w:lang w:val="fr-CA"/>
        </w:rPr>
        <w:t>sess.,</w:t>
      </w:r>
      <w:proofErr w:type="gramEnd"/>
      <w:r w:rsidRPr="00291752">
        <w:rPr>
          <w:lang w:val="fr-CA"/>
        </w:rPr>
        <w:t xml:space="preserve"> 28</w:t>
      </w:r>
      <w:r w:rsidRPr="00291752">
        <w:rPr>
          <w:vertAlign w:val="superscript"/>
          <w:lang w:val="fr-CA"/>
        </w:rPr>
        <w:t>e</w:t>
      </w:r>
      <w:r w:rsidRPr="00291752">
        <w:rPr>
          <w:lang w:val="fr-CA"/>
        </w:rPr>
        <w:t xml:space="preserve"> </w:t>
      </w:r>
      <w:proofErr w:type="spellStart"/>
      <w:r w:rsidRPr="00291752">
        <w:rPr>
          <w:lang w:val="fr-CA"/>
        </w:rPr>
        <w:t>lég</w:t>
      </w:r>
      <w:proofErr w:type="spellEnd"/>
      <w:r w:rsidRPr="00291752">
        <w:rPr>
          <w:lang w:val="fr-CA"/>
        </w:rPr>
        <w:t xml:space="preserve">., </w:t>
      </w:r>
      <w:r w:rsidR="00624D0F" w:rsidRPr="00291752">
        <w:rPr>
          <w:lang w:val="fr-CA"/>
        </w:rPr>
        <w:t xml:space="preserve">25 </w:t>
      </w:r>
      <w:r w:rsidRPr="00291752">
        <w:rPr>
          <w:lang w:val="fr-CA"/>
        </w:rPr>
        <w:t>mars 1970, p.</w:t>
      </w:r>
      <w:r w:rsidR="00C629FE" w:rsidRPr="00291752">
        <w:rPr>
          <w:lang w:val="fr-CA"/>
        </w:rPr>
        <w:t> </w:t>
      </w:r>
      <w:r w:rsidRPr="00291752">
        <w:rPr>
          <w:lang w:val="fr-CA"/>
        </w:rPr>
        <w:t>5470</w:t>
      </w:r>
      <w:r w:rsidR="00A16E3A" w:rsidRPr="00291752">
        <w:rPr>
          <w:lang w:val="fr-CA"/>
        </w:rPr>
        <w:t>-</w:t>
      </w:r>
      <w:r w:rsidR="00AF1680" w:rsidRPr="00291752">
        <w:rPr>
          <w:lang w:val="fr-CA"/>
        </w:rPr>
        <w:t>54</w:t>
      </w:r>
      <w:r w:rsidRPr="00291752">
        <w:rPr>
          <w:lang w:val="fr-CA"/>
        </w:rPr>
        <w:t>71.</w:t>
      </w:r>
    </w:p>
    <w:p w:rsidR="00E471DF" w:rsidRPr="00291752" w:rsidRDefault="00E471DF" w:rsidP="00E471DF">
      <w:pPr>
        <w:pStyle w:val="SCCNormalDoubleSpacing"/>
        <w:spacing w:line="240" w:lineRule="auto"/>
        <w:ind w:left="540" w:hanging="540"/>
        <w:rPr>
          <w:szCs w:val="24"/>
          <w:lang w:val="fr-CA" w:eastAsia="en-US"/>
        </w:rPr>
      </w:pPr>
    </w:p>
    <w:p w:rsidR="00535A22" w:rsidRPr="00291752" w:rsidRDefault="00535A22" w:rsidP="00535A22">
      <w:pPr>
        <w:pStyle w:val="SCCNormalDoubleSpacing"/>
        <w:spacing w:line="240" w:lineRule="auto"/>
        <w:ind w:left="540" w:hanging="540"/>
        <w:rPr>
          <w:lang w:val="fr-CA"/>
        </w:rPr>
      </w:pPr>
      <w:r w:rsidRPr="00291752">
        <w:rPr>
          <w:lang w:val="fr-CA"/>
        </w:rPr>
        <w:t xml:space="preserve">Canada.  </w:t>
      </w:r>
      <w:r w:rsidRPr="00291752">
        <w:rPr>
          <w:i/>
          <w:lang w:val="fr-CA"/>
        </w:rPr>
        <w:t>Débats de la Chambre des communes</w:t>
      </w:r>
      <w:r w:rsidRPr="00291752">
        <w:rPr>
          <w:lang w:val="fr-CA"/>
        </w:rPr>
        <w:t>, 2</w:t>
      </w:r>
      <w:r w:rsidRPr="00291752">
        <w:rPr>
          <w:vertAlign w:val="superscript"/>
          <w:lang w:val="fr-CA"/>
        </w:rPr>
        <w:t>e</w:t>
      </w:r>
      <w:r w:rsidRPr="00291752">
        <w:rPr>
          <w:lang w:val="fr-CA"/>
        </w:rPr>
        <w:t xml:space="preserve"> </w:t>
      </w:r>
      <w:proofErr w:type="gramStart"/>
      <w:r w:rsidRPr="00291752">
        <w:rPr>
          <w:lang w:val="fr-CA"/>
        </w:rPr>
        <w:t>sess.,</w:t>
      </w:r>
      <w:proofErr w:type="gramEnd"/>
      <w:r w:rsidRPr="00291752">
        <w:rPr>
          <w:lang w:val="fr-CA"/>
        </w:rPr>
        <w:t xml:space="preserve"> 34</w:t>
      </w:r>
      <w:r w:rsidRPr="00291752">
        <w:rPr>
          <w:vertAlign w:val="superscript"/>
          <w:lang w:val="fr-CA"/>
        </w:rPr>
        <w:t>e</w:t>
      </w:r>
      <w:r w:rsidRPr="00291752">
        <w:rPr>
          <w:lang w:val="fr-CA"/>
        </w:rPr>
        <w:t xml:space="preserve"> </w:t>
      </w:r>
      <w:proofErr w:type="spellStart"/>
      <w:r w:rsidRPr="00291752">
        <w:rPr>
          <w:lang w:val="fr-CA"/>
        </w:rPr>
        <w:t>lég</w:t>
      </w:r>
      <w:proofErr w:type="spellEnd"/>
      <w:r w:rsidRPr="00291752">
        <w:rPr>
          <w:lang w:val="fr-CA"/>
        </w:rPr>
        <w:t>., 1</w:t>
      </w:r>
      <w:r w:rsidRPr="00291752">
        <w:rPr>
          <w:vertAlign w:val="superscript"/>
          <w:lang w:val="fr-CA"/>
        </w:rPr>
        <w:t>er</w:t>
      </w:r>
      <w:r w:rsidR="00624D0F" w:rsidRPr="00291752">
        <w:rPr>
          <w:vertAlign w:val="superscript"/>
          <w:lang w:val="fr-CA"/>
        </w:rPr>
        <w:t xml:space="preserve"> </w:t>
      </w:r>
      <w:r w:rsidRPr="00291752">
        <w:rPr>
          <w:lang w:val="fr-CA"/>
        </w:rPr>
        <w:t>novembr</w:t>
      </w:r>
      <w:r w:rsidR="00C629FE" w:rsidRPr="00291752">
        <w:rPr>
          <w:lang w:val="fr-CA"/>
        </w:rPr>
        <w:t>e 1989, p. </w:t>
      </w:r>
      <w:r w:rsidRPr="00291752">
        <w:rPr>
          <w:lang w:val="fr-CA"/>
        </w:rPr>
        <w:t>5414.</w:t>
      </w:r>
    </w:p>
    <w:p w:rsidR="00535A22" w:rsidRPr="00291752" w:rsidRDefault="00535A22" w:rsidP="00535A22">
      <w:pPr>
        <w:pStyle w:val="SCCNormalDoubleSpacing"/>
        <w:spacing w:line="240" w:lineRule="auto"/>
        <w:ind w:left="540" w:hanging="540"/>
        <w:rPr>
          <w:szCs w:val="24"/>
          <w:lang w:val="fr-CA" w:eastAsia="en-US"/>
        </w:rPr>
      </w:pPr>
    </w:p>
    <w:p w:rsidR="00017463" w:rsidRPr="00291752" w:rsidRDefault="00C629FE" w:rsidP="00017463">
      <w:pPr>
        <w:pStyle w:val="SCCNormalDoubleSpacing"/>
        <w:spacing w:line="240" w:lineRule="auto"/>
        <w:ind w:left="540" w:hanging="540"/>
        <w:rPr>
          <w:lang w:val="en-US"/>
        </w:rPr>
      </w:pPr>
      <w:r w:rsidRPr="00291752">
        <w:rPr>
          <w:lang w:val="en-US"/>
        </w:rPr>
        <w:t>Craig, Paul</w:t>
      </w:r>
      <w:r w:rsidR="00624D0F" w:rsidRPr="00291752">
        <w:rPr>
          <w:lang w:val="en-US"/>
        </w:rPr>
        <w:t xml:space="preserve"> </w:t>
      </w:r>
      <w:r w:rsidR="00017463" w:rsidRPr="00291752">
        <w:rPr>
          <w:lang w:val="en-US"/>
        </w:rPr>
        <w:t xml:space="preserve">P.  </w:t>
      </w:r>
      <w:r w:rsidR="00017463" w:rsidRPr="00291752">
        <w:rPr>
          <w:i/>
          <w:lang w:val="en-US"/>
        </w:rPr>
        <w:t>Administrative Law</w:t>
      </w:r>
      <w:r w:rsidR="00017463" w:rsidRPr="00291752">
        <w:rPr>
          <w:lang w:val="en-US"/>
        </w:rPr>
        <w:t xml:space="preserve">, 6th </w:t>
      </w:r>
      <w:proofErr w:type="gramStart"/>
      <w:r w:rsidR="00017463" w:rsidRPr="00291752">
        <w:rPr>
          <w:lang w:val="en-US"/>
        </w:rPr>
        <w:t>ed</w:t>
      </w:r>
      <w:proofErr w:type="gramEnd"/>
      <w:r w:rsidR="00017463" w:rsidRPr="00291752">
        <w:rPr>
          <w:lang w:val="en-US"/>
        </w:rPr>
        <w:t xml:space="preserve">.  </w:t>
      </w:r>
      <w:proofErr w:type="gramStart"/>
      <w:r w:rsidRPr="00291752">
        <w:rPr>
          <w:lang w:val="en-US"/>
        </w:rPr>
        <w:t>London </w:t>
      </w:r>
      <w:r w:rsidR="00017463" w:rsidRPr="00291752">
        <w:rPr>
          <w:lang w:val="en-US"/>
        </w:rPr>
        <w:t>:</w:t>
      </w:r>
      <w:proofErr w:type="gramEnd"/>
      <w:r w:rsidR="00017463" w:rsidRPr="00291752">
        <w:rPr>
          <w:lang w:val="en-US"/>
        </w:rPr>
        <w:t xml:space="preserve"> Sweet &amp; Maxwell, 2008.</w:t>
      </w:r>
    </w:p>
    <w:p w:rsidR="002B1AC6" w:rsidRPr="00291752" w:rsidRDefault="002B1AC6" w:rsidP="002B1AC6">
      <w:pPr>
        <w:pStyle w:val="SCCNormalDoubleSpacing"/>
        <w:spacing w:line="240" w:lineRule="auto"/>
        <w:ind w:left="540" w:hanging="540"/>
        <w:rPr>
          <w:lang w:val="en-US"/>
        </w:rPr>
      </w:pPr>
    </w:p>
    <w:p w:rsidR="002B1AC6" w:rsidRPr="00291752" w:rsidRDefault="002B1AC6" w:rsidP="002B1AC6">
      <w:pPr>
        <w:pStyle w:val="SCCNormalDoubleSpacing"/>
        <w:spacing w:line="240" w:lineRule="auto"/>
        <w:ind w:left="540" w:hanging="540"/>
        <w:rPr>
          <w:lang w:val="en-US"/>
        </w:rPr>
      </w:pPr>
      <w:proofErr w:type="gramStart"/>
      <w:r w:rsidRPr="00291752">
        <w:rPr>
          <w:lang w:val="en-US"/>
        </w:rPr>
        <w:t>Hogg</w:t>
      </w:r>
      <w:proofErr w:type="gramEnd"/>
      <w:r w:rsidR="000B34B3" w:rsidRPr="00291752">
        <w:rPr>
          <w:szCs w:val="24"/>
        </w:rPr>
        <w:fldChar w:fldCharType="begin"/>
      </w:r>
      <w:r w:rsidRPr="00291752">
        <w:rPr>
          <w:szCs w:val="24"/>
          <w:lang w:val="en-US"/>
        </w:rPr>
        <w:instrText xml:space="preserve"> SEQ CHAPTER \h \r 1</w:instrText>
      </w:r>
      <w:r w:rsidR="000B34B3" w:rsidRPr="00291752">
        <w:rPr>
          <w:szCs w:val="24"/>
        </w:rPr>
        <w:fldChar w:fldCharType="end"/>
      </w:r>
      <w:proofErr w:type="gramStart"/>
      <w:r w:rsidR="00362F52" w:rsidRPr="00291752">
        <w:rPr>
          <w:szCs w:val="24"/>
          <w:lang w:val="en-US"/>
        </w:rPr>
        <w:t xml:space="preserve">, Peter </w:t>
      </w:r>
      <w:r w:rsidR="00C629FE" w:rsidRPr="00291752">
        <w:rPr>
          <w:szCs w:val="24"/>
          <w:lang w:val="en-US"/>
        </w:rPr>
        <w:t>W., and Patrick</w:t>
      </w:r>
      <w:r w:rsidR="00362F52" w:rsidRPr="00291752">
        <w:rPr>
          <w:szCs w:val="24"/>
          <w:lang w:val="en-US"/>
        </w:rPr>
        <w:t xml:space="preserve"> </w:t>
      </w:r>
      <w:r w:rsidRPr="00291752">
        <w:rPr>
          <w:szCs w:val="24"/>
          <w:lang w:val="en-US"/>
        </w:rPr>
        <w:t>J. Monahan.</w:t>
      </w:r>
      <w:proofErr w:type="gramEnd"/>
      <w:r w:rsidRPr="00291752">
        <w:rPr>
          <w:szCs w:val="24"/>
          <w:lang w:val="en-US"/>
        </w:rPr>
        <w:t xml:space="preserve">  </w:t>
      </w:r>
      <w:r w:rsidRPr="00291752">
        <w:rPr>
          <w:i/>
          <w:szCs w:val="24"/>
          <w:lang w:val="en-US"/>
        </w:rPr>
        <w:t>Liability of the Crown</w:t>
      </w:r>
      <w:r w:rsidR="00C629FE" w:rsidRPr="00291752">
        <w:rPr>
          <w:szCs w:val="24"/>
          <w:lang w:val="en-US"/>
        </w:rPr>
        <w:t xml:space="preserve">, 3rd </w:t>
      </w:r>
      <w:proofErr w:type="gramStart"/>
      <w:r w:rsidR="00C629FE" w:rsidRPr="00291752">
        <w:rPr>
          <w:szCs w:val="24"/>
          <w:lang w:val="en-US"/>
        </w:rPr>
        <w:t>ed</w:t>
      </w:r>
      <w:proofErr w:type="gramEnd"/>
      <w:r w:rsidR="00C629FE" w:rsidRPr="00291752">
        <w:rPr>
          <w:szCs w:val="24"/>
          <w:lang w:val="en-US"/>
        </w:rPr>
        <w:t>.  Scarborough, Ont</w:t>
      </w:r>
      <w:proofErr w:type="gramStart"/>
      <w:r w:rsidR="00C629FE" w:rsidRPr="00291752">
        <w:rPr>
          <w:szCs w:val="24"/>
          <w:lang w:val="en-US"/>
        </w:rPr>
        <w:t>. </w:t>
      </w:r>
      <w:r w:rsidRPr="00291752">
        <w:rPr>
          <w:szCs w:val="24"/>
          <w:lang w:val="en-US"/>
        </w:rPr>
        <w:t>:</w:t>
      </w:r>
      <w:proofErr w:type="gramEnd"/>
      <w:r w:rsidRPr="00291752">
        <w:rPr>
          <w:szCs w:val="24"/>
          <w:lang w:val="en-US"/>
        </w:rPr>
        <w:t xml:space="preserve"> Carswell, 2000.</w:t>
      </w:r>
    </w:p>
    <w:p w:rsidR="002A4B73" w:rsidRPr="00291752" w:rsidRDefault="002A4B73" w:rsidP="00777F2D">
      <w:pPr>
        <w:pStyle w:val="SCCNormalDoubleSpacing"/>
        <w:spacing w:line="240" w:lineRule="auto"/>
        <w:ind w:left="540" w:hanging="540"/>
        <w:rPr>
          <w:szCs w:val="24"/>
          <w:lang w:val="en-US" w:eastAsia="en-US"/>
        </w:rPr>
      </w:pPr>
    </w:p>
    <w:p w:rsidR="002A4B73" w:rsidRPr="00291752" w:rsidRDefault="000B34B3" w:rsidP="00777F2D">
      <w:pPr>
        <w:pStyle w:val="SCCNormalDoubleSpacing"/>
        <w:keepNext/>
        <w:keepLines/>
        <w:spacing w:line="240" w:lineRule="auto"/>
        <w:ind w:left="540" w:hanging="540"/>
        <w:outlineLvl w:val="0"/>
        <w:rPr>
          <w:szCs w:val="24"/>
          <w:lang w:val="en-US"/>
        </w:rPr>
      </w:pPr>
      <w:r w:rsidRPr="00291752">
        <w:rPr>
          <w:szCs w:val="24"/>
        </w:rPr>
        <w:lastRenderedPageBreak/>
        <w:fldChar w:fldCharType="begin"/>
      </w:r>
      <w:r w:rsidR="002A4B73" w:rsidRPr="00291752">
        <w:rPr>
          <w:szCs w:val="24"/>
          <w:lang w:val="en-US"/>
        </w:rPr>
        <w:instrText xml:space="preserve"> SEQ CHAPTER \h \r 1</w:instrText>
      </w:r>
      <w:r w:rsidRPr="00291752">
        <w:rPr>
          <w:szCs w:val="24"/>
        </w:rPr>
        <w:fldChar w:fldCharType="end"/>
      </w:r>
      <w:r w:rsidR="002A4B73" w:rsidRPr="00291752">
        <w:rPr>
          <w:szCs w:val="24"/>
          <w:lang w:val="en-US"/>
        </w:rPr>
        <w:t>Horsman, Karen, and Gareth Mor</w:t>
      </w:r>
      <w:r w:rsidR="009F027B" w:rsidRPr="00291752">
        <w:rPr>
          <w:szCs w:val="24"/>
          <w:lang w:val="en-US"/>
        </w:rPr>
        <w:t>l</w:t>
      </w:r>
      <w:r w:rsidR="002A4B73" w:rsidRPr="00291752">
        <w:rPr>
          <w:szCs w:val="24"/>
          <w:lang w:val="en-US"/>
        </w:rPr>
        <w:t xml:space="preserve">ey, </w:t>
      </w:r>
      <w:proofErr w:type="gramStart"/>
      <w:r w:rsidR="002A4B73" w:rsidRPr="00291752">
        <w:rPr>
          <w:szCs w:val="24"/>
          <w:lang w:val="en-US"/>
        </w:rPr>
        <w:t>eds</w:t>
      </w:r>
      <w:proofErr w:type="gramEnd"/>
      <w:r w:rsidR="002A4B73" w:rsidRPr="00291752">
        <w:rPr>
          <w:szCs w:val="24"/>
          <w:lang w:val="en-US"/>
        </w:rPr>
        <w:t xml:space="preserve">.  </w:t>
      </w:r>
      <w:r w:rsidR="002A4B73" w:rsidRPr="00291752">
        <w:rPr>
          <w:i/>
          <w:iCs/>
          <w:szCs w:val="24"/>
          <w:lang w:val="en-US"/>
        </w:rPr>
        <w:t xml:space="preserve">Government </w:t>
      </w:r>
      <w:proofErr w:type="gramStart"/>
      <w:r w:rsidR="002A4B73" w:rsidRPr="00291752">
        <w:rPr>
          <w:i/>
          <w:iCs/>
          <w:szCs w:val="24"/>
          <w:lang w:val="en-US"/>
        </w:rPr>
        <w:t>Liability</w:t>
      </w:r>
      <w:r w:rsidR="00C629FE" w:rsidRPr="00291752">
        <w:rPr>
          <w:i/>
          <w:iCs/>
          <w:szCs w:val="24"/>
          <w:lang w:val="en-US"/>
        </w:rPr>
        <w:t> </w:t>
      </w:r>
      <w:r w:rsidR="002A4B73" w:rsidRPr="00291752">
        <w:rPr>
          <w:i/>
          <w:iCs/>
          <w:szCs w:val="24"/>
          <w:lang w:val="en-US"/>
        </w:rPr>
        <w:t>:</w:t>
      </w:r>
      <w:proofErr w:type="gramEnd"/>
      <w:r w:rsidR="002A4B73" w:rsidRPr="00291752">
        <w:rPr>
          <w:i/>
          <w:iCs/>
          <w:szCs w:val="24"/>
          <w:lang w:val="en-US"/>
        </w:rPr>
        <w:t xml:space="preserve"> Law and Practice</w:t>
      </w:r>
      <w:r w:rsidR="002A4B73" w:rsidRPr="00291752">
        <w:rPr>
          <w:szCs w:val="24"/>
          <w:lang w:val="en-US"/>
        </w:rPr>
        <w:t>.  Aurora, Ont</w:t>
      </w:r>
      <w:proofErr w:type="gramStart"/>
      <w:r w:rsidR="002A4B73" w:rsidRPr="00291752">
        <w:rPr>
          <w:szCs w:val="24"/>
          <w:lang w:val="en-US"/>
        </w:rPr>
        <w:t>.</w:t>
      </w:r>
      <w:r w:rsidR="00C629FE" w:rsidRPr="00291752">
        <w:rPr>
          <w:szCs w:val="24"/>
          <w:lang w:val="en-US"/>
        </w:rPr>
        <w:t> </w:t>
      </w:r>
      <w:r w:rsidR="002A4B73" w:rsidRPr="00291752">
        <w:rPr>
          <w:szCs w:val="24"/>
          <w:lang w:val="en-US"/>
        </w:rPr>
        <w:t>:</w:t>
      </w:r>
      <w:proofErr w:type="gramEnd"/>
      <w:r w:rsidR="002A4B73" w:rsidRPr="00291752">
        <w:rPr>
          <w:szCs w:val="24"/>
          <w:lang w:val="en-US"/>
        </w:rPr>
        <w:t xml:space="preserve"> Cartwright Law Group, 2007 (loose</w:t>
      </w:r>
      <w:r w:rsidR="00362F52" w:rsidRPr="00291752">
        <w:rPr>
          <w:szCs w:val="24"/>
          <w:lang w:val="en-US"/>
        </w:rPr>
        <w:t>-</w:t>
      </w:r>
      <w:r w:rsidR="002A4B73" w:rsidRPr="00291752">
        <w:rPr>
          <w:szCs w:val="24"/>
          <w:lang w:val="en-US"/>
        </w:rPr>
        <w:t>leaf updated 2010).</w:t>
      </w:r>
    </w:p>
    <w:p w:rsidR="00142BA7" w:rsidRPr="00291752" w:rsidRDefault="00142BA7" w:rsidP="00142BA7">
      <w:pPr>
        <w:pStyle w:val="SCCNormalDoubleSpacing"/>
        <w:spacing w:line="240" w:lineRule="auto"/>
        <w:ind w:left="540" w:hanging="540"/>
        <w:rPr>
          <w:lang w:val="en-US"/>
        </w:rPr>
      </w:pPr>
    </w:p>
    <w:p w:rsidR="00142BA7" w:rsidRPr="00291752" w:rsidRDefault="00C629FE" w:rsidP="00142BA7">
      <w:pPr>
        <w:pStyle w:val="SCCNormalDoubleSpacing"/>
        <w:spacing w:line="240" w:lineRule="auto"/>
        <w:ind w:left="540" w:hanging="540"/>
        <w:rPr>
          <w:lang w:val="en-US"/>
        </w:rPr>
      </w:pPr>
      <w:r w:rsidRPr="00291752">
        <w:rPr>
          <w:lang w:val="en-US"/>
        </w:rPr>
        <w:t>Mullan, David</w:t>
      </w:r>
      <w:r w:rsidR="00362F52" w:rsidRPr="00291752">
        <w:rPr>
          <w:lang w:val="en-US"/>
        </w:rPr>
        <w:t xml:space="preserve"> </w:t>
      </w:r>
      <w:r w:rsidR="00142BA7" w:rsidRPr="00291752">
        <w:rPr>
          <w:lang w:val="en-US"/>
        </w:rPr>
        <w:t xml:space="preserve">J.  </w:t>
      </w:r>
      <w:r w:rsidR="000B34B3" w:rsidRPr="00291752">
        <w:rPr>
          <w:szCs w:val="24"/>
        </w:rPr>
        <w:fldChar w:fldCharType="begin"/>
      </w:r>
      <w:r w:rsidR="00142BA7" w:rsidRPr="00291752">
        <w:rPr>
          <w:szCs w:val="24"/>
          <w:lang w:val="en-US"/>
        </w:rPr>
        <w:instrText xml:space="preserve"> SEQ CHAPTER \h \r 1</w:instrText>
      </w:r>
      <w:r w:rsidR="000B34B3" w:rsidRPr="00291752">
        <w:rPr>
          <w:szCs w:val="24"/>
        </w:rPr>
        <w:fldChar w:fldCharType="end"/>
      </w:r>
      <w:r w:rsidR="00142BA7" w:rsidRPr="00291752">
        <w:rPr>
          <w:szCs w:val="24"/>
          <w:lang w:val="en-US"/>
        </w:rPr>
        <w:t>«</w:t>
      </w:r>
      <w:r w:rsidR="000B34B3" w:rsidRPr="00291752">
        <w:rPr>
          <w:szCs w:val="24"/>
        </w:rPr>
        <w:fldChar w:fldCharType="begin"/>
      </w:r>
      <w:r w:rsidR="00142BA7" w:rsidRPr="00291752">
        <w:rPr>
          <w:szCs w:val="24"/>
          <w:lang w:val="en-US"/>
        </w:rPr>
        <w:instrText xml:space="preserve"> SEQ CHAPTER \h \r 1</w:instrText>
      </w:r>
      <w:r w:rsidR="000B34B3" w:rsidRPr="00291752">
        <w:rPr>
          <w:szCs w:val="24"/>
        </w:rPr>
        <w:fldChar w:fldCharType="end"/>
      </w:r>
      <w:r w:rsidR="00142BA7" w:rsidRPr="00291752">
        <w:rPr>
          <w:szCs w:val="24"/>
          <w:lang w:val="en-US"/>
        </w:rPr>
        <w:t> </w:t>
      </w:r>
      <w:r w:rsidR="00142BA7" w:rsidRPr="00291752">
        <w:rPr>
          <w:lang w:val="en-US"/>
        </w:rPr>
        <w:t>Administrative Law Update — 2008</w:t>
      </w:r>
      <w:r w:rsidR="00A16E3A" w:rsidRPr="00291752">
        <w:rPr>
          <w:lang w:val="en-US"/>
        </w:rPr>
        <w:t>-</w:t>
      </w:r>
      <w:r w:rsidR="00142BA7" w:rsidRPr="00291752">
        <w:rPr>
          <w:lang w:val="en-US"/>
        </w:rPr>
        <w:t>2009</w:t>
      </w:r>
      <w:r w:rsidR="000B34B3" w:rsidRPr="00291752">
        <w:rPr>
          <w:szCs w:val="24"/>
        </w:rPr>
        <w:fldChar w:fldCharType="begin"/>
      </w:r>
      <w:r w:rsidR="00142BA7" w:rsidRPr="00291752">
        <w:rPr>
          <w:szCs w:val="24"/>
          <w:lang w:val="en-US"/>
        </w:rPr>
        <w:instrText xml:space="preserve"> SEQ CHAPTER \h \r 1</w:instrText>
      </w:r>
      <w:r w:rsidR="000B34B3" w:rsidRPr="00291752">
        <w:rPr>
          <w:szCs w:val="24"/>
        </w:rPr>
        <w:fldChar w:fldCharType="end"/>
      </w:r>
      <w:r w:rsidR="00142BA7" w:rsidRPr="00291752">
        <w:rPr>
          <w:szCs w:val="24"/>
          <w:lang w:val="en-US"/>
        </w:rPr>
        <w:t> </w:t>
      </w:r>
      <w:r w:rsidR="000B34B3" w:rsidRPr="00291752">
        <w:rPr>
          <w:szCs w:val="24"/>
        </w:rPr>
        <w:fldChar w:fldCharType="begin"/>
      </w:r>
      <w:r w:rsidR="00142BA7" w:rsidRPr="00291752">
        <w:rPr>
          <w:szCs w:val="24"/>
          <w:lang w:val="en-US"/>
        </w:rPr>
        <w:instrText xml:space="preserve"> SEQ CHAPTER \h \r 1</w:instrText>
      </w:r>
      <w:r w:rsidR="000B34B3" w:rsidRPr="00291752">
        <w:rPr>
          <w:szCs w:val="24"/>
        </w:rPr>
        <w:fldChar w:fldCharType="end"/>
      </w:r>
      <w:r w:rsidR="00142BA7" w:rsidRPr="00291752">
        <w:rPr>
          <w:szCs w:val="24"/>
          <w:lang w:val="en-US"/>
        </w:rPr>
        <w:t>»</w:t>
      </w:r>
      <w:r w:rsidR="00142BA7" w:rsidRPr="00291752">
        <w:rPr>
          <w:lang w:val="en-US"/>
        </w:rPr>
        <w:t xml:space="preserve">, </w:t>
      </w:r>
      <w:r w:rsidR="00694744" w:rsidRPr="00291752">
        <w:rPr>
          <w:lang w:val="en-US"/>
        </w:rPr>
        <w:t>prepared for the</w:t>
      </w:r>
      <w:r w:rsidR="00AF1680" w:rsidRPr="00291752">
        <w:rPr>
          <w:lang w:val="en-US"/>
        </w:rPr>
        <w:t xml:space="preserve"> </w:t>
      </w:r>
      <w:r w:rsidR="00142BA7" w:rsidRPr="00291752">
        <w:rPr>
          <w:lang w:val="en-US"/>
        </w:rPr>
        <w:t xml:space="preserve">Continuing Legal Education </w:t>
      </w:r>
      <w:r w:rsidR="00AF1680" w:rsidRPr="00291752">
        <w:rPr>
          <w:lang w:val="en-US"/>
        </w:rPr>
        <w:t>c</w:t>
      </w:r>
      <w:r w:rsidR="00142BA7" w:rsidRPr="00291752">
        <w:rPr>
          <w:lang w:val="en-US"/>
        </w:rPr>
        <w:t xml:space="preserve">onference, </w:t>
      </w:r>
      <w:r w:rsidR="00142BA7" w:rsidRPr="00291752">
        <w:rPr>
          <w:i/>
          <w:lang w:val="en-US"/>
        </w:rPr>
        <w:t>Administrative Law Conference</w:t>
      </w:r>
      <w:r w:rsidR="00AF1680" w:rsidRPr="00291752">
        <w:rPr>
          <w:i/>
          <w:lang w:val="en-US"/>
        </w:rPr>
        <w:t>—</w:t>
      </w:r>
      <w:r w:rsidR="00142BA7" w:rsidRPr="00291752">
        <w:rPr>
          <w:i/>
          <w:lang w:val="en-US"/>
        </w:rPr>
        <w:t>2009</w:t>
      </w:r>
      <w:r w:rsidR="00142BA7" w:rsidRPr="00291752">
        <w:rPr>
          <w:lang w:val="en-US"/>
        </w:rPr>
        <w:t>.  Vancouver</w:t>
      </w:r>
      <w:r w:rsidR="000B34B3" w:rsidRPr="00291752">
        <w:rPr>
          <w:szCs w:val="24"/>
        </w:rPr>
        <w:fldChar w:fldCharType="begin"/>
      </w:r>
      <w:r w:rsidR="00142BA7" w:rsidRPr="00291752">
        <w:rPr>
          <w:szCs w:val="24"/>
        </w:rPr>
        <w:instrText xml:space="preserve"> SEQ CHAPTER \h \r 1</w:instrText>
      </w:r>
      <w:r w:rsidR="000B34B3" w:rsidRPr="00291752">
        <w:rPr>
          <w:szCs w:val="24"/>
        </w:rPr>
        <w:fldChar w:fldCharType="end"/>
      </w:r>
      <w:r w:rsidR="00142BA7" w:rsidRPr="00291752">
        <w:rPr>
          <w:szCs w:val="24"/>
        </w:rPr>
        <w:t> </w:t>
      </w:r>
      <w:r w:rsidR="005357BD" w:rsidRPr="00291752">
        <w:rPr>
          <w:lang w:val="en-US"/>
        </w:rPr>
        <w:t xml:space="preserve">: </w:t>
      </w:r>
      <w:r w:rsidR="00AF1680" w:rsidRPr="00291752">
        <w:rPr>
          <w:lang w:val="en-US"/>
        </w:rPr>
        <w:t xml:space="preserve">The </w:t>
      </w:r>
      <w:r w:rsidR="00142BA7" w:rsidRPr="00291752">
        <w:rPr>
          <w:lang w:val="en-US"/>
        </w:rPr>
        <w:t>Continuing Legal Education Society of British Columbia, 2009.</w:t>
      </w:r>
    </w:p>
    <w:p w:rsidR="00B05F03" w:rsidRPr="00291752" w:rsidRDefault="00B05F03" w:rsidP="00777F2D">
      <w:pPr>
        <w:pStyle w:val="SCCNormalDoubleSpacing"/>
        <w:spacing w:line="240" w:lineRule="auto"/>
        <w:ind w:left="540" w:hanging="540"/>
        <w:rPr>
          <w:szCs w:val="24"/>
          <w:lang w:val="en-US" w:eastAsia="en-US"/>
        </w:rPr>
      </w:pPr>
    </w:p>
    <w:p w:rsidR="00777F2D" w:rsidRPr="00291752" w:rsidRDefault="00B05F03" w:rsidP="00C518A2">
      <w:pPr>
        <w:pStyle w:val="SCCNormalDoubleSpacing"/>
        <w:spacing w:line="240" w:lineRule="auto"/>
        <w:ind w:left="547" w:hanging="547"/>
        <w:outlineLvl w:val="0"/>
        <w:rPr>
          <w:szCs w:val="24"/>
          <w:lang w:val="en-US"/>
        </w:rPr>
      </w:pPr>
      <w:proofErr w:type="gramStart"/>
      <w:r w:rsidRPr="00291752">
        <w:rPr>
          <w:szCs w:val="24"/>
          <w:lang w:val="en-US"/>
        </w:rPr>
        <w:t xml:space="preserve">Woolf, Harry, Jeffrey </w:t>
      </w:r>
      <w:proofErr w:type="spellStart"/>
      <w:r w:rsidRPr="00291752">
        <w:rPr>
          <w:szCs w:val="24"/>
          <w:lang w:val="en-US"/>
        </w:rPr>
        <w:t>Jowell</w:t>
      </w:r>
      <w:proofErr w:type="spellEnd"/>
      <w:r w:rsidRPr="00291752">
        <w:rPr>
          <w:szCs w:val="24"/>
          <w:lang w:val="en-US"/>
        </w:rPr>
        <w:t xml:space="preserve"> and Andrew Le Sueur.</w:t>
      </w:r>
      <w:proofErr w:type="gramEnd"/>
      <w:r w:rsidRPr="00291752">
        <w:rPr>
          <w:szCs w:val="24"/>
          <w:lang w:val="en-US"/>
        </w:rPr>
        <w:t xml:space="preserve">  </w:t>
      </w:r>
      <w:r w:rsidRPr="00291752">
        <w:rPr>
          <w:i/>
          <w:iCs/>
          <w:szCs w:val="24"/>
          <w:lang w:val="en-US"/>
        </w:rPr>
        <w:t>De Smith’s Judicial Review</w:t>
      </w:r>
      <w:r w:rsidRPr="00291752">
        <w:rPr>
          <w:szCs w:val="24"/>
          <w:lang w:val="en-US"/>
        </w:rPr>
        <w:t xml:space="preserve">, 6th </w:t>
      </w:r>
      <w:proofErr w:type="gramStart"/>
      <w:r w:rsidRPr="00291752">
        <w:rPr>
          <w:szCs w:val="24"/>
          <w:lang w:val="en-US"/>
        </w:rPr>
        <w:t>ed</w:t>
      </w:r>
      <w:proofErr w:type="gramEnd"/>
      <w:r w:rsidRPr="00291752">
        <w:rPr>
          <w:szCs w:val="24"/>
          <w:lang w:val="en-US"/>
        </w:rPr>
        <w:t xml:space="preserve">.  </w:t>
      </w:r>
      <w:proofErr w:type="gramStart"/>
      <w:r w:rsidRPr="00291752">
        <w:rPr>
          <w:szCs w:val="24"/>
          <w:lang w:val="en-US"/>
        </w:rPr>
        <w:t>London</w:t>
      </w:r>
      <w:r w:rsidR="00C629FE" w:rsidRPr="00291752">
        <w:rPr>
          <w:szCs w:val="24"/>
          <w:lang w:val="en-US"/>
        </w:rPr>
        <w:t> </w:t>
      </w:r>
      <w:r w:rsidRPr="00291752">
        <w:rPr>
          <w:szCs w:val="24"/>
          <w:lang w:val="en-US"/>
        </w:rPr>
        <w:t>:</w:t>
      </w:r>
      <w:proofErr w:type="gramEnd"/>
      <w:r w:rsidRPr="00291752">
        <w:rPr>
          <w:szCs w:val="24"/>
          <w:lang w:val="en-US"/>
        </w:rPr>
        <w:t xml:space="preserve"> Sweet &amp; Maxwell, 2007.</w:t>
      </w:r>
    </w:p>
    <w:p w:rsidR="00C518A2" w:rsidRPr="00291752" w:rsidRDefault="00C518A2" w:rsidP="00D91043">
      <w:pPr>
        <w:pStyle w:val="SCCNormalDoubleSpacing"/>
        <w:spacing w:after="480"/>
        <w:ind w:left="547" w:hanging="547"/>
        <w:outlineLvl w:val="0"/>
        <w:rPr>
          <w:szCs w:val="24"/>
          <w:lang w:val="en-US"/>
        </w:rPr>
      </w:pPr>
    </w:p>
    <w:p w:rsidR="003C4671" w:rsidRPr="00291752" w:rsidRDefault="009B57B3" w:rsidP="00C629FE">
      <w:pPr>
        <w:tabs>
          <w:tab w:val="left" w:pos="1170"/>
        </w:tabs>
        <w:spacing w:line="480" w:lineRule="auto"/>
        <w:jc w:val="both"/>
        <w:rPr>
          <w:szCs w:val="24"/>
          <w:lang w:val="fr-CA"/>
        </w:rPr>
      </w:pPr>
      <w:r w:rsidRPr="00291752">
        <w:rPr>
          <w:lang w:val="en-US"/>
        </w:rPr>
        <w:tab/>
      </w:r>
      <w:r w:rsidRPr="00120AF7">
        <w:rPr>
          <w:lang w:val="fr-CA"/>
        </w:rPr>
        <w:t>P</w:t>
      </w:r>
      <w:r w:rsidR="0043088E" w:rsidRPr="00120AF7">
        <w:rPr>
          <w:lang w:val="fr-CA"/>
        </w:rPr>
        <w:t>OURVOI contre un arrêt de la</w:t>
      </w:r>
      <w:r w:rsidRPr="00120AF7">
        <w:rPr>
          <w:lang w:val="fr-CA"/>
        </w:rPr>
        <w:t xml:space="preserve"> Cour d’appel de l’Ontario</w:t>
      </w:r>
      <w:r w:rsidR="003C4671" w:rsidRPr="00120AF7">
        <w:rPr>
          <w:lang w:val="fr-CA"/>
        </w:rPr>
        <w:t xml:space="preserve"> (les juges </w:t>
      </w:r>
      <w:proofErr w:type="spellStart"/>
      <w:r w:rsidR="003C4671" w:rsidRPr="00120AF7">
        <w:rPr>
          <w:szCs w:val="24"/>
          <w:lang w:val="fr-CA"/>
        </w:rPr>
        <w:t>Laskin</w:t>
      </w:r>
      <w:proofErr w:type="spellEnd"/>
      <w:r w:rsidR="003C4671" w:rsidRPr="00120AF7">
        <w:rPr>
          <w:szCs w:val="24"/>
          <w:lang w:val="fr-CA"/>
        </w:rPr>
        <w:t xml:space="preserve">, Borins et </w:t>
      </w:r>
      <w:proofErr w:type="spellStart"/>
      <w:r w:rsidR="003C4671" w:rsidRPr="00120AF7">
        <w:rPr>
          <w:szCs w:val="24"/>
          <w:lang w:val="fr-CA"/>
        </w:rPr>
        <w:t>Feldman</w:t>
      </w:r>
      <w:proofErr w:type="spellEnd"/>
      <w:r w:rsidR="003C4671" w:rsidRPr="00120AF7">
        <w:rPr>
          <w:szCs w:val="24"/>
          <w:lang w:val="fr-CA"/>
        </w:rPr>
        <w:t xml:space="preserve">), </w:t>
      </w:r>
      <w:r w:rsidR="000B34B3" w:rsidRPr="00291752">
        <w:rPr>
          <w:szCs w:val="24"/>
        </w:rPr>
        <w:fldChar w:fldCharType="begin"/>
      </w:r>
      <w:r w:rsidR="003C4671" w:rsidRPr="00120AF7">
        <w:rPr>
          <w:szCs w:val="24"/>
          <w:lang w:val="fr-CA"/>
        </w:rPr>
        <w:instrText xml:space="preserve"> SEQ CHAPTER \h \r 1</w:instrText>
      </w:r>
      <w:r w:rsidR="000B34B3" w:rsidRPr="00291752">
        <w:rPr>
          <w:szCs w:val="24"/>
        </w:rPr>
        <w:fldChar w:fldCharType="end"/>
      </w:r>
      <w:r w:rsidR="003C4671" w:rsidRPr="00120AF7">
        <w:rPr>
          <w:szCs w:val="24"/>
          <w:lang w:val="fr-CA"/>
        </w:rPr>
        <w:t>2008 ONCA 892, 94 O.R. (3d</w:t>
      </w:r>
      <w:r w:rsidR="00720E88" w:rsidRPr="00120AF7">
        <w:rPr>
          <w:szCs w:val="24"/>
          <w:lang w:val="fr-CA"/>
        </w:rPr>
        <w:t>) 19, 303 D.L.R. (4th) 626, 245 </w:t>
      </w:r>
      <w:r w:rsidR="003C4671" w:rsidRPr="00120AF7">
        <w:rPr>
          <w:szCs w:val="24"/>
          <w:lang w:val="fr-CA"/>
        </w:rPr>
        <w:t xml:space="preserve">O.A.C. 91, 86 </w:t>
      </w:r>
      <w:proofErr w:type="spellStart"/>
      <w:r w:rsidR="003C4671" w:rsidRPr="00120AF7">
        <w:rPr>
          <w:szCs w:val="24"/>
          <w:lang w:val="fr-CA"/>
        </w:rPr>
        <w:t>Admin</w:t>
      </w:r>
      <w:proofErr w:type="spellEnd"/>
      <w:r w:rsidR="003C4671" w:rsidRPr="00120AF7">
        <w:rPr>
          <w:szCs w:val="24"/>
          <w:lang w:val="fr-CA"/>
        </w:rPr>
        <w:t xml:space="preserve"> L.R. (4th) 163, 40 C.E.L.R. (3d) 183, </w:t>
      </w:r>
      <w:r w:rsidR="000B34B3" w:rsidRPr="00291752">
        <w:rPr>
          <w:szCs w:val="24"/>
        </w:rPr>
        <w:fldChar w:fldCharType="begin"/>
      </w:r>
      <w:r w:rsidR="003C4671" w:rsidRPr="00120AF7">
        <w:rPr>
          <w:szCs w:val="24"/>
          <w:lang w:val="fr-CA"/>
        </w:rPr>
        <w:instrText xml:space="preserve"> SEQ CHAPTER \h \r 1</w:instrText>
      </w:r>
      <w:r w:rsidR="000B34B3" w:rsidRPr="00291752">
        <w:rPr>
          <w:szCs w:val="24"/>
        </w:rPr>
        <w:fldChar w:fldCharType="end"/>
      </w:r>
      <w:r w:rsidR="0051736C" w:rsidRPr="00120AF7">
        <w:rPr>
          <w:szCs w:val="24"/>
          <w:lang w:val="fr-CA"/>
        </w:rPr>
        <w:t>[2008] O.J. No. </w:t>
      </w:r>
      <w:r w:rsidR="003C4671" w:rsidRPr="00120AF7">
        <w:rPr>
          <w:szCs w:val="24"/>
          <w:lang w:val="fr-CA"/>
        </w:rPr>
        <w:t xml:space="preserve">5291 (QL), 2008 </w:t>
      </w:r>
      <w:proofErr w:type="spellStart"/>
      <w:r w:rsidR="003C4671" w:rsidRPr="00120AF7">
        <w:rPr>
          <w:szCs w:val="24"/>
          <w:lang w:val="fr-CA"/>
        </w:rPr>
        <w:t>CarswellOnt</w:t>
      </w:r>
      <w:proofErr w:type="spellEnd"/>
      <w:r w:rsidR="003C4671" w:rsidRPr="00120AF7">
        <w:rPr>
          <w:szCs w:val="24"/>
          <w:lang w:val="fr-CA"/>
        </w:rPr>
        <w:t xml:space="preserve"> 7826, </w:t>
      </w:r>
      <w:r w:rsidR="007647E1" w:rsidRPr="00120AF7">
        <w:rPr>
          <w:szCs w:val="24"/>
          <w:lang w:val="fr-CA"/>
        </w:rPr>
        <w:t>qui a confirmé</w:t>
      </w:r>
      <w:r w:rsidR="003C4671" w:rsidRPr="00120AF7">
        <w:rPr>
          <w:szCs w:val="24"/>
          <w:lang w:val="fr-CA"/>
        </w:rPr>
        <w:t xml:space="preserve"> une décision du juge </w:t>
      </w:r>
      <w:r w:rsidR="000B34B3" w:rsidRPr="00291752">
        <w:rPr>
          <w:szCs w:val="24"/>
        </w:rPr>
        <w:fldChar w:fldCharType="begin"/>
      </w:r>
      <w:r w:rsidR="003C4671" w:rsidRPr="00120AF7">
        <w:rPr>
          <w:szCs w:val="24"/>
          <w:lang w:val="fr-CA"/>
        </w:rPr>
        <w:instrText xml:space="preserve"> SEQ CHAPTER \h \r 1</w:instrText>
      </w:r>
      <w:r w:rsidR="000B34B3" w:rsidRPr="00291752">
        <w:rPr>
          <w:szCs w:val="24"/>
        </w:rPr>
        <w:fldChar w:fldCharType="end"/>
      </w:r>
      <w:proofErr w:type="spellStart"/>
      <w:r w:rsidR="003C4671" w:rsidRPr="00120AF7">
        <w:rPr>
          <w:szCs w:val="24"/>
          <w:lang w:val="fr-CA"/>
        </w:rPr>
        <w:t>Morawetz</w:t>
      </w:r>
      <w:proofErr w:type="spellEnd"/>
      <w:r w:rsidR="003C4671" w:rsidRPr="00120AF7">
        <w:rPr>
          <w:szCs w:val="24"/>
          <w:lang w:val="fr-CA"/>
        </w:rPr>
        <w:t xml:space="preserve"> </w:t>
      </w:r>
      <w:r w:rsidR="00AF7BA8" w:rsidRPr="00120AF7">
        <w:rPr>
          <w:szCs w:val="24"/>
          <w:lang w:val="fr-CA"/>
        </w:rPr>
        <w:t xml:space="preserve">(2007), </w:t>
      </w:r>
      <w:r w:rsidR="003C4671" w:rsidRPr="00120AF7">
        <w:rPr>
          <w:szCs w:val="24"/>
          <w:lang w:val="fr-CA"/>
        </w:rPr>
        <w:t>88</w:t>
      </w:r>
      <w:r w:rsidR="0051736C" w:rsidRPr="00120AF7">
        <w:rPr>
          <w:szCs w:val="24"/>
          <w:lang w:val="fr-CA"/>
        </w:rPr>
        <w:t xml:space="preserve"> O.R. (3d) 173, [2007] O.J. No. </w:t>
      </w:r>
      <w:r w:rsidR="003C4671" w:rsidRPr="00120AF7">
        <w:rPr>
          <w:szCs w:val="24"/>
          <w:lang w:val="fr-CA"/>
        </w:rPr>
        <w:t xml:space="preserve">4766 (QL), 2007 </w:t>
      </w:r>
      <w:proofErr w:type="spellStart"/>
      <w:r w:rsidR="003C4671" w:rsidRPr="00120AF7">
        <w:rPr>
          <w:szCs w:val="24"/>
          <w:lang w:val="fr-CA"/>
        </w:rPr>
        <w:t>CarswellOnt</w:t>
      </w:r>
      <w:proofErr w:type="spellEnd"/>
      <w:r w:rsidR="003C4671" w:rsidRPr="00120AF7">
        <w:rPr>
          <w:szCs w:val="24"/>
          <w:lang w:val="fr-CA"/>
        </w:rPr>
        <w:t xml:space="preserve"> 7847.  </w:t>
      </w:r>
      <w:r w:rsidR="00E91A45" w:rsidRPr="00291752">
        <w:rPr>
          <w:szCs w:val="24"/>
          <w:lang w:val="fr-CA"/>
        </w:rPr>
        <w:t>Pourvoi rejeté</w:t>
      </w:r>
      <w:r w:rsidR="003C4671" w:rsidRPr="00291752">
        <w:rPr>
          <w:lang w:val="fr-CA"/>
        </w:rPr>
        <w:t>.</w:t>
      </w:r>
    </w:p>
    <w:p w:rsidR="00966913" w:rsidRPr="00291752" w:rsidRDefault="00966913" w:rsidP="00C629FE">
      <w:pPr>
        <w:pStyle w:val="SCCNormalDoubleSpacing"/>
        <w:tabs>
          <w:tab w:val="left" w:pos="1170"/>
        </w:tabs>
        <w:rPr>
          <w:lang w:val="fr-CA"/>
        </w:rPr>
      </w:pPr>
    </w:p>
    <w:p w:rsidR="00053F03" w:rsidRPr="00291752" w:rsidRDefault="003A29E7" w:rsidP="00C629FE">
      <w:pPr>
        <w:pStyle w:val="SCCNormalDoubleSpacing"/>
        <w:tabs>
          <w:tab w:val="left" w:pos="1170"/>
        </w:tabs>
        <w:rPr>
          <w:lang w:val="fr-CA"/>
        </w:rPr>
      </w:pPr>
      <w:r w:rsidRPr="00291752">
        <w:rPr>
          <w:rStyle w:val="SCCCounselNameChar"/>
          <w:lang w:val="fr-CA"/>
        </w:rPr>
        <w:tab/>
        <w:t>Christopher</w:t>
      </w:r>
      <w:r w:rsidR="0051736C" w:rsidRPr="00291752">
        <w:rPr>
          <w:rStyle w:val="SCCCounselNameChar"/>
          <w:lang w:val="fr-CA"/>
        </w:rPr>
        <w:t> </w:t>
      </w:r>
      <w:r w:rsidRPr="00291752">
        <w:rPr>
          <w:rStyle w:val="SCCCounselNameChar"/>
          <w:lang w:val="fr-CA"/>
        </w:rPr>
        <w:t>M. Rupar</w:t>
      </w:r>
      <w:r w:rsidRPr="00291752">
        <w:rPr>
          <w:rStyle w:val="SCCCounselSeparatorChar"/>
          <w:lang w:val="fr-CA"/>
        </w:rPr>
        <w:t xml:space="preserve">, </w:t>
      </w:r>
      <w:r w:rsidRPr="00291752">
        <w:rPr>
          <w:rStyle w:val="SCCCounselNameChar"/>
          <w:lang w:val="fr-CA"/>
        </w:rPr>
        <w:t>Alain Préfontaine</w:t>
      </w:r>
      <w:r w:rsidRPr="00291752">
        <w:rPr>
          <w:rStyle w:val="SCCCounselSeparatorChar"/>
          <w:lang w:val="fr-CA"/>
        </w:rPr>
        <w:t xml:space="preserve"> et </w:t>
      </w:r>
      <w:r w:rsidRPr="00291752">
        <w:rPr>
          <w:rStyle w:val="SCCCounselNameChar"/>
          <w:lang w:val="fr-CA"/>
        </w:rPr>
        <w:t>Bernard Letarte</w:t>
      </w:r>
      <w:r w:rsidR="00E91A45" w:rsidRPr="00291752">
        <w:rPr>
          <w:rStyle w:val="SCCCounselPartyRoleChar"/>
        </w:rPr>
        <w:t>, pour l’</w:t>
      </w:r>
      <w:r w:rsidRPr="00291752">
        <w:rPr>
          <w:rStyle w:val="SCCCounselPartyRoleChar"/>
        </w:rPr>
        <w:t>appelant.</w:t>
      </w:r>
    </w:p>
    <w:p w:rsidR="00053F03" w:rsidRPr="00291752" w:rsidRDefault="00053F03" w:rsidP="00C629FE">
      <w:pPr>
        <w:pStyle w:val="SCCNormalDoubleSpacing"/>
        <w:tabs>
          <w:tab w:val="left" w:pos="1170"/>
        </w:tabs>
        <w:rPr>
          <w:lang w:val="fr-CA"/>
        </w:rPr>
      </w:pPr>
    </w:p>
    <w:p w:rsidR="00053F03" w:rsidRPr="00291752" w:rsidRDefault="003A29E7" w:rsidP="00C629FE">
      <w:pPr>
        <w:pStyle w:val="SCCNormalDoubleSpacing"/>
        <w:tabs>
          <w:tab w:val="left" w:pos="1170"/>
        </w:tabs>
        <w:rPr>
          <w:rStyle w:val="SCCCounselNameChar"/>
          <w:lang w:val="fr-CA"/>
        </w:rPr>
      </w:pPr>
      <w:r w:rsidRPr="00291752">
        <w:rPr>
          <w:rStyle w:val="SCCCounselNameChar"/>
          <w:lang w:val="fr-CA"/>
        </w:rPr>
        <w:tab/>
        <w:t>Peter</w:t>
      </w:r>
      <w:r w:rsidR="0051736C" w:rsidRPr="00291752">
        <w:rPr>
          <w:rStyle w:val="SCCCounselNameChar"/>
          <w:lang w:val="fr-CA"/>
        </w:rPr>
        <w:t> </w:t>
      </w:r>
      <w:r w:rsidRPr="00291752">
        <w:rPr>
          <w:rStyle w:val="SCCCounselNameChar"/>
          <w:lang w:val="fr-CA"/>
        </w:rPr>
        <w:t>F.</w:t>
      </w:r>
      <w:r w:rsidR="0051736C" w:rsidRPr="00291752">
        <w:rPr>
          <w:rStyle w:val="SCCCounselNameChar"/>
          <w:lang w:val="fr-CA"/>
        </w:rPr>
        <w:t> </w:t>
      </w:r>
      <w:r w:rsidRPr="00291752">
        <w:rPr>
          <w:rStyle w:val="SCCCounselNameChar"/>
          <w:lang w:val="fr-CA"/>
        </w:rPr>
        <w:t>C. Howard</w:t>
      </w:r>
      <w:r w:rsidRPr="00291752">
        <w:rPr>
          <w:rStyle w:val="SCCCounselSeparatorChar"/>
          <w:lang w:val="fr-CA"/>
        </w:rPr>
        <w:t xml:space="preserve">, </w:t>
      </w:r>
      <w:r w:rsidR="00E91A45" w:rsidRPr="00291752">
        <w:rPr>
          <w:rStyle w:val="SCCCounselNameChar"/>
          <w:lang w:val="fr-CA"/>
        </w:rPr>
        <w:t>Patrick</w:t>
      </w:r>
      <w:r w:rsidR="0051736C" w:rsidRPr="00291752">
        <w:rPr>
          <w:rStyle w:val="SCCCounselNameChar"/>
          <w:lang w:val="fr-CA"/>
        </w:rPr>
        <w:t> </w:t>
      </w:r>
      <w:r w:rsidR="00E91A45" w:rsidRPr="00291752">
        <w:rPr>
          <w:rStyle w:val="SCCCounselNameChar"/>
          <w:lang w:val="fr-CA"/>
        </w:rPr>
        <w:t>J. Monahan</w:t>
      </w:r>
      <w:r w:rsidR="00E91A45" w:rsidRPr="00291752">
        <w:rPr>
          <w:rStyle w:val="SCCCounselNameChar"/>
          <w:i w:val="0"/>
          <w:lang w:val="fr-CA"/>
        </w:rPr>
        <w:t xml:space="preserve">, </w:t>
      </w:r>
      <w:r w:rsidRPr="00291752">
        <w:rPr>
          <w:rStyle w:val="SCCCounselNameChar"/>
          <w:lang w:val="fr-CA"/>
        </w:rPr>
        <w:t>Eliot</w:t>
      </w:r>
      <w:r w:rsidR="0051736C" w:rsidRPr="00291752">
        <w:rPr>
          <w:rStyle w:val="SCCCounselNameChar"/>
          <w:lang w:val="fr-CA"/>
        </w:rPr>
        <w:t> </w:t>
      </w:r>
      <w:r w:rsidRPr="00291752">
        <w:rPr>
          <w:rStyle w:val="SCCCounselNameChar"/>
          <w:lang w:val="fr-CA"/>
        </w:rPr>
        <w:t>N. Kolers</w:t>
      </w:r>
      <w:r w:rsidRPr="00291752">
        <w:rPr>
          <w:rStyle w:val="SCCCounselSeparatorChar"/>
          <w:lang w:val="fr-CA"/>
        </w:rPr>
        <w:t xml:space="preserve"> et </w:t>
      </w:r>
      <w:r w:rsidR="00720E88" w:rsidRPr="00291752">
        <w:rPr>
          <w:rStyle w:val="SCCCounselNameChar"/>
          <w:lang w:val="fr-CA"/>
        </w:rPr>
        <w:t>Nicholas</w:t>
      </w:r>
      <w:r w:rsidR="0051736C" w:rsidRPr="00291752">
        <w:rPr>
          <w:rStyle w:val="SCCCounselNameChar"/>
          <w:lang w:val="fr-CA"/>
        </w:rPr>
        <w:t xml:space="preserve"> </w:t>
      </w:r>
      <w:r w:rsidRPr="00291752">
        <w:rPr>
          <w:rStyle w:val="SCCCounselNameChar"/>
          <w:lang w:val="fr-CA"/>
        </w:rPr>
        <w:t>McHaffie</w:t>
      </w:r>
      <w:r w:rsidRPr="00291752">
        <w:rPr>
          <w:rStyle w:val="SCCCounselNameChar"/>
          <w:i w:val="0"/>
          <w:lang w:val="fr-CA"/>
        </w:rPr>
        <w:t>, pour l</w:t>
      </w:r>
      <w:r w:rsidR="00E91A45" w:rsidRPr="00291752">
        <w:rPr>
          <w:rStyle w:val="SCCCounselNameChar"/>
          <w:i w:val="0"/>
          <w:lang w:val="fr-CA"/>
        </w:rPr>
        <w:t>’</w:t>
      </w:r>
      <w:r w:rsidRPr="00291752">
        <w:rPr>
          <w:rStyle w:val="SCCCounselNameChar"/>
          <w:i w:val="0"/>
          <w:lang w:val="fr-CA"/>
        </w:rPr>
        <w:t>intimée.</w:t>
      </w:r>
    </w:p>
    <w:p w:rsidR="00AF1680" w:rsidRPr="00291752" w:rsidRDefault="00AF1680" w:rsidP="00AF1680">
      <w:pPr>
        <w:pStyle w:val="SCCNormalDoubleSpacing"/>
        <w:tabs>
          <w:tab w:val="left" w:pos="1170"/>
        </w:tabs>
        <w:rPr>
          <w:rStyle w:val="SCCCounselNameChar"/>
          <w:lang w:val="fr-CA"/>
        </w:rPr>
      </w:pPr>
    </w:p>
    <w:p w:rsidR="00AF1680" w:rsidRPr="00291752" w:rsidRDefault="00AF1680" w:rsidP="00AF1680">
      <w:pPr>
        <w:pStyle w:val="SCCNormalDoubleSpacing"/>
        <w:tabs>
          <w:tab w:val="left" w:pos="1170"/>
        </w:tabs>
        <w:rPr>
          <w:rStyle w:val="SCCCounselNameChar"/>
          <w:i w:val="0"/>
          <w:lang w:val="fr-CA"/>
        </w:rPr>
      </w:pPr>
      <w:r w:rsidRPr="00291752">
        <w:rPr>
          <w:rStyle w:val="SCCCounselNameChar"/>
          <w:lang w:val="fr-CA"/>
        </w:rPr>
        <w:tab/>
      </w:r>
      <w:r w:rsidRPr="00291752">
        <w:rPr>
          <w:rStyle w:val="SCCCounselNameChar"/>
          <w:i w:val="0"/>
          <w:lang w:val="fr-CA"/>
        </w:rPr>
        <w:t>Version française du jugement de la Cour rendu par</w:t>
      </w:r>
    </w:p>
    <w:p w:rsidR="00AF1680" w:rsidRPr="00291752" w:rsidRDefault="00AF1680" w:rsidP="00AF1680">
      <w:pPr>
        <w:pStyle w:val="SCCNormalDoubleSpacing"/>
        <w:tabs>
          <w:tab w:val="left" w:pos="1170"/>
        </w:tabs>
        <w:rPr>
          <w:rStyle w:val="SCCCounselNameChar"/>
          <w:lang w:val="fr-CA"/>
        </w:rPr>
      </w:pPr>
    </w:p>
    <w:p w:rsidR="00534959" w:rsidRPr="00291752" w:rsidRDefault="00AF1680" w:rsidP="00767D30">
      <w:pPr>
        <w:pStyle w:val="ReasonsNumbering-AltN"/>
        <w:rPr>
          <w:lang w:val="fr-CA"/>
        </w:rPr>
      </w:pPr>
      <w:r w:rsidRPr="00291752">
        <w:rPr>
          <w:rStyle w:val="SCCCounselNameChar"/>
          <w:i w:val="0"/>
          <w:smallCaps/>
          <w:lang w:val="fr-CA"/>
        </w:rPr>
        <w:lastRenderedPageBreak/>
        <w:t>Le juge Binnie</w:t>
      </w:r>
      <w:r w:rsidRPr="00291752">
        <w:rPr>
          <w:rStyle w:val="SCCCounselNameChar"/>
          <w:lang w:val="fr-CA"/>
        </w:rPr>
        <w:t xml:space="preserve"> ― </w:t>
      </w:r>
      <w:r w:rsidR="00534959" w:rsidRPr="00291752">
        <w:rPr>
          <w:lang w:val="fr-CA"/>
        </w:rPr>
        <w:t>TeleZone Inc. prétend avoir été lésée par la décision du ministre d’Industrie Canada de rejeter sa demande de licence de fourniture de services de télécommunications.</w:t>
      </w:r>
      <w:r w:rsidR="002731BC" w:rsidRPr="00291752">
        <w:rPr>
          <w:lang w:val="fr-CA"/>
        </w:rPr>
        <w:t xml:space="preserve">  TeleZone réclame des dommages-</w:t>
      </w:r>
      <w:r w:rsidR="00534959" w:rsidRPr="00291752">
        <w:rPr>
          <w:lang w:val="fr-CA"/>
        </w:rPr>
        <w:t>intérêts contre la Couronne fédérale devant la Cour supérieure de justice de l</w:t>
      </w:r>
      <w:r w:rsidR="002731BC" w:rsidRPr="00291752">
        <w:rPr>
          <w:lang w:val="fr-CA"/>
        </w:rPr>
        <w:t xml:space="preserve">’Ontario pour les pertes de 250 </w:t>
      </w:r>
      <w:r w:rsidR="00534959" w:rsidRPr="00291752">
        <w:rPr>
          <w:lang w:val="fr-CA"/>
        </w:rPr>
        <w:t>millions de dollars qu’elle affirme avoir subies.  Elle invoque l’inexécution de contrat et la négligence et, subsidiairement, l’enrichissement injustifié afférent aux sommes inutilement consacrées à la demande de licence.</w:t>
      </w:r>
    </w:p>
    <w:p w:rsidR="00534959" w:rsidRPr="00291752" w:rsidRDefault="00534959" w:rsidP="00767D30">
      <w:pPr>
        <w:pStyle w:val="ReasonsNumbering-AltN"/>
        <w:rPr>
          <w:lang w:val="fr-CA"/>
        </w:rPr>
      </w:pPr>
      <w:r w:rsidRPr="00291752">
        <w:rPr>
          <w:lang w:val="fr-CA"/>
        </w:rPr>
        <w:t xml:space="preserve">Le procureur général conteste la compétence de la Cour supérieure d’instruire la demande d’indemnisation, affirmant que sa compétence est subordonnée à l’obtention par TeleZone d’une ordonnance de la Cour fédérale </w:t>
      </w:r>
      <w:r w:rsidR="00100EED" w:rsidRPr="00291752">
        <w:rPr>
          <w:lang w:val="fr-CA"/>
        </w:rPr>
        <w:t xml:space="preserve">du Canada </w:t>
      </w:r>
      <w:r w:rsidRPr="00291752">
        <w:rPr>
          <w:lang w:val="fr-CA"/>
        </w:rPr>
        <w:t xml:space="preserve">annulant la décision du ministre.  Il soutient que la demande de TeleZone sert à contester indirectement la décision du ministre, ce qui est interdit compte tenu de la compétence </w:t>
      </w:r>
      <w:r w:rsidRPr="00291752">
        <w:rPr>
          <w:i/>
          <w:lang w:val="fr-CA"/>
        </w:rPr>
        <w:t>exclusive</w:t>
      </w:r>
      <w:r w:rsidRPr="00291752">
        <w:rPr>
          <w:lang w:val="fr-CA"/>
        </w:rPr>
        <w:t xml:space="preserve"> accordée à la Cour fédérale en matière de contrôle judiciaire des décisions de tout « office fédéral » — </w:t>
      </w:r>
      <w:r w:rsidRPr="00291752">
        <w:rPr>
          <w:i/>
          <w:lang w:val="fr-CA"/>
        </w:rPr>
        <w:t>Loi sur les Cours fédérales</w:t>
      </w:r>
      <w:r w:rsidR="002731BC" w:rsidRPr="00291752">
        <w:rPr>
          <w:lang w:val="fr-CA"/>
        </w:rPr>
        <w:t xml:space="preserve">, L.R.C. 1985, ch. F-7, art. </w:t>
      </w:r>
      <w:r w:rsidRPr="00291752">
        <w:rPr>
          <w:lang w:val="fr-CA"/>
        </w:rPr>
        <w:t>18 (« </w:t>
      </w:r>
      <w:r w:rsidRPr="00291752">
        <w:rPr>
          <w:i/>
          <w:lang w:val="fr-CA"/>
        </w:rPr>
        <w:t>LCF </w:t>
      </w:r>
      <w:r w:rsidRPr="00291752">
        <w:rPr>
          <w:lang w:val="fr-CA"/>
        </w:rPr>
        <w:t xml:space="preserve">»).  Le procureur général s’appuie à cet égard sur une série d’arrêts de la Cour d’appel fédérale et, plus particulièrement, sur le principe établi dans </w:t>
      </w:r>
      <w:r w:rsidRPr="00291752">
        <w:rPr>
          <w:i/>
          <w:lang w:val="fr-CA"/>
        </w:rPr>
        <w:t>Canada c. Grenier</w:t>
      </w:r>
      <w:r w:rsidR="002731BC" w:rsidRPr="00291752">
        <w:rPr>
          <w:lang w:val="fr-CA"/>
        </w:rPr>
        <w:t xml:space="preserve">, 2005 CAF </w:t>
      </w:r>
      <w:r w:rsidRPr="00291752">
        <w:rPr>
          <w:lang w:val="fr-CA"/>
        </w:rPr>
        <w:t>348, [2006] 2 R.C.F. 287.</w:t>
      </w:r>
    </w:p>
    <w:p w:rsidR="00534959" w:rsidRPr="00291752" w:rsidRDefault="00534959" w:rsidP="00767D30">
      <w:pPr>
        <w:pStyle w:val="ReasonsNumbering-AltN"/>
        <w:rPr>
          <w:lang w:val="fr-CA"/>
        </w:rPr>
      </w:pPr>
      <w:r w:rsidRPr="00291752">
        <w:rPr>
          <w:lang w:val="fr-CA"/>
        </w:rPr>
        <w:t xml:space="preserve">La définition d’un « office fédéral » figurant dans la </w:t>
      </w:r>
      <w:r w:rsidRPr="00291752">
        <w:rPr>
          <w:i/>
          <w:lang w:val="fr-CA"/>
        </w:rPr>
        <w:t>LCF</w:t>
      </w:r>
      <w:r w:rsidRPr="00291752">
        <w:rPr>
          <w:lang w:val="fr-CA"/>
        </w:rPr>
        <w:t xml:space="preserve"> est très large : « Conseil, bureau, commission ou autre organisme, ou personne ou groupe de personnes, ayant, exerçant ou censé exercer une compétence ou des pouvoirs prévus par une loi fédérale ou par une ordonnance prise en vertu d</w:t>
      </w:r>
      <w:r w:rsidR="002731BC" w:rsidRPr="00291752">
        <w:rPr>
          <w:lang w:val="fr-CA"/>
        </w:rPr>
        <w:t xml:space="preserve">’une prérogative royale » </w:t>
      </w:r>
      <w:r w:rsidR="002731BC" w:rsidRPr="00291752">
        <w:rPr>
          <w:lang w:val="fr-CA"/>
        </w:rPr>
        <w:lastRenderedPageBreak/>
        <w:t xml:space="preserve">(art. </w:t>
      </w:r>
      <w:r w:rsidRPr="00291752">
        <w:rPr>
          <w:lang w:val="fr-CA"/>
        </w:rPr>
        <w:t>2) ― cette définition exclut certains décideurs, notamment les juges de la Cour canadienne de l’impôt, mais ces exceptions ne sont pas pertinentes en l’espèce.  Les décideurs fédéraux visés vont du Premier ministre et des organismes les</w:t>
      </w:r>
      <w:r w:rsidR="002731BC" w:rsidRPr="00291752">
        <w:rPr>
          <w:lang w:val="fr-CA"/>
        </w:rPr>
        <w:t xml:space="preserve"> plus importants jusqu’au garde-</w:t>
      </w:r>
      <w:r w:rsidRPr="00291752">
        <w:rPr>
          <w:lang w:val="fr-CA"/>
        </w:rPr>
        <w:t xml:space="preserve">frontière et au douanier locaux, et englobent tous ceux qui se situent entre ces deux extrêmes.  Le principe établi dans </w:t>
      </w:r>
      <w:r w:rsidRPr="00291752">
        <w:rPr>
          <w:i/>
          <w:lang w:val="fr-CA"/>
        </w:rPr>
        <w:t>Grenier</w:t>
      </w:r>
      <w:r w:rsidRPr="00291752">
        <w:rPr>
          <w:lang w:val="fr-CA"/>
        </w:rPr>
        <w:t xml:space="preserve"> immuniserait la Couronne contre l’obligation de vers</w:t>
      </w:r>
      <w:r w:rsidR="002731BC" w:rsidRPr="00291752">
        <w:rPr>
          <w:lang w:val="fr-CA"/>
        </w:rPr>
        <w:t>er des dommages-</w:t>
      </w:r>
      <w:r w:rsidRPr="00291752">
        <w:rPr>
          <w:lang w:val="fr-CA"/>
        </w:rPr>
        <w:t xml:space="preserve">intérêts de droit privé par suite d’une décision administrative illégale de l’une de ces personnes ou entités, à moins que le demandeur lésé ne passe d’abord par la Cour fédérale.  Quand le législateur a édicté les dispositions de la </w:t>
      </w:r>
      <w:r w:rsidRPr="00291752">
        <w:rPr>
          <w:i/>
          <w:lang w:val="fr-CA"/>
        </w:rPr>
        <w:t>LCF</w:t>
      </w:r>
      <w:r w:rsidRPr="00291752">
        <w:rPr>
          <w:lang w:val="fr-CA"/>
        </w:rPr>
        <w:t xml:space="preserve"> relatives au contrôle judiciaire, il n’entendait manifestement pas créer un tel goulot d’étranglement.</w:t>
      </w:r>
    </w:p>
    <w:p w:rsidR="00534959" w:rsidRPr="00291752" w:rsidRDefault="00534959" w:rsidP="00767D30">
      <w:pPr>
        <w:pStyle w:val="ReasonsNumbering-AltN"/>
        <w:rPr>
          <w:lang w:val="fr-CA"/>
        </w:rPr>
      </w:pPr>
      <w:r w:rsidRPr="00291752">
        <w:rPr>
          <w:lang w:val="fr-CA"/>
        </w:rPr>
        <w:t xml:space="preserve">Le principe énoncé dans </w:t>
      </w:r>
      <w:r w:rsidRPr="00291752">
        <w:rPr>
          <w:i/>
          <w:lang w:val="fr-CA"/>
        </w:rPr>
        <w:t>Grenier</w:t>
      </w:r>
      <w:r w:rsidR="002731BC" w:rsidRPr="00291752">
        <w:rPr>
          <w:lang w:val="fr-CA"/>
        </w:rPr>
        <w:t xml:space="preserve"> irait à l’encontre de l’art. </w:t>
      </w:r>
      <w:r w:rsidRPr="00291752">
        <w:rPr>
          <w:lang w:val="fr-CA"/>
        </w:rPr>
        <w:t xml:space="preserve">17 de la </w:t>
      </w:r>
      <w:r w:rsidRPr="00291752">
        <w:rPr>
          <w:i/>
          <w:lang w:val="fr-CA"/>
        </w:rPr>
        <w:t>LCF</w:t>
      </w:r>
      <w:r w:rsidRPr="00291752">
        <w:rPr>
          <w:lang w:val="fr-CA"/>
        </w:rPr>
        <w:t>, qui confère aux cours supérieures provinciales une compétence concurrente « dans les cas de demande de réparation con</w:t>
      </w:r>
      <w:r w:rsidR="002731BC" w:rsidRPr="00291752">
        <w:rPr>
          <w:lang w:val="fr-CA"/>
        </w:rPr>
        <w:t xml:space="preserve">tre la Couronne », et de l’art. </w:t>
      </w:r>
      <w:r w:rsidRPr="00291752">
        <w:rPr>
          <w:lang w:val="fr-CA"/>
        </w:rPr>
        <w:t xml:space="preserve">21 de la </w:t>
      </w:r>
      <w:r w:rsidRPr="00291752">
        <w:rPr>
          <w:i/>
          <w:lang w:val="fr-CA"/>
        </w:rPr>
        <w:t>Loi sur la responsabilité civile de l’État et le contentieux administratif</w:t>
      </w:r>
      <w:r w:rsidR="002731BC" w:rsidRPr="00291752">
        <w:rPr>
          <w:lang w:val="fr-CA"/>
        </w:rPr>
        <w:t>, L.R.C. 1985, ch. C-</w:t>
      </w:r>
      <w:r w:rsidRPr="00291752">
        <w:rPr>
          <w:lang w:val="fr-CA"/>
        </w:rPr>
        <w:t xml:space="preserve">50, qui a le même effet à l’égard des actions en responsabilité délictuelle.  Dans </w:t>
      </w:r>
      <w:r w:rsidR="002731BC" w:rsidRPr="00291752">
        <w:rPr>
          <w:lang w:val="fr-CA"/>
        </w:rPr>
        <w:t>certaines actions en dommages-</w:t>
      </w:r>
      <w:r w:rsidRPr="00291752">
        <w:rPr>
          <w:lang w:val="fr-CA"/>
        </w:rPr>
        <w:t xml:space="preserve">intérêts intentées contre la Couronne fédérale (mais non dans toutes), la question de la « légalité » de la décision administrative censée avoir causé la perte est primordiale.  L’arrêt </w:t>
      </w:r>
      <w:r w:rsidRPr="00291752">
        <w:rPr>
          <w:i/>
          <w:lang w:val="fr-CA"/>
        </w:rPr>
        <w:t>Grenier</w:t>
      </w:r>
      <w:r w:rsidRPr="00291752">
        <w:rPr>
          <w:lang w:val="fr-CA"/>
        </w:rPr>
        <w:t xml:space="preserve"> nierait aux cours supérieures provinciales la compétence nécessaire pour examiner cette question fondamentale lorsqu’un demandeur s’adresse à </w:t>
      </w:r>
      <w:r w:rsidR="002731BC" w:rsidRPr="00291752">
        <w:rPr>
          <w:lang w:val="fr-CA"/>
        </w:rPr>
        <w:t>elles pour obtenir des dommages-</w:t>
      </w:r>
      <w:r w:rsidRPr="00291752">
        <w:rPr>
          <w:lang w:val="fr-CA"/>
        </w:rPr>
        <w:t xml:space="preserve">intérêts.  Si l’on adoptait le principe formulé dans cet arrêt, la compétence de ces cours ne serait plus concurrente, mais subordonnée et conditionnelle.  Elle deviendrait en effet subordonnée à la </w:t>
      </w:r>
      <w:r w:rsidRPr="00291752">
        <w:rPr>
          <w:lang w:val="fr-CA"/>
        </w:rPr>
        <w:lastRenderedPageBreak/>
        <w:t>décision de la Cour fédérale sur la demande de contrôle judiciaire et conditionnelle à l’exercice de son pouvoir discrétionnaire en faveur du demandeur.</w:t>
      </w:r>
    </w:p>
    <w:p w:rsidR="00534959" w:rsidRPr="00291752" w:rsidRDefault="00534959" w:rsidP="00767D30">
      <w:pPr>
        <w:pStyle w:val="ReasonsNumbering-AltN"/>
        <w:rPr>
          <w:lang w:val="fr-CA"/>
        </w:rPr>
      </w:pPr>
      <w:r w:rsidRPr="00291752">
        <w:rPr>
          <w:lang w:val="fr-CA"/>
        </w:rPr>
        <w:t xml:space="preserve">C’est à bon droit, à mon avis, que la Cour d’appel de l’Ontario a rejeté l’argumentation du procureur général.  J’estime que l’arrêt </w:t>
      </w:r>
      <w:r w:rsidRPr="00291752">
        <w:rPr>
          <w:i/>
          <w:lang w:val="fr-CA"/>
        </w:rPr>
        <w:t xml:space="preserve">Grenier </w:t>
      </w:r>
      <w:r w:rsidRPr="00291752">
        <w:rPr>
          <w:lang w:val="fr-CA"/>
        </w:rPr>
        <w:t xml:space="preserve">procède d’une perception exagérée de la portée juridique de l’attribution de la compétence en matière de contrôle judiciaire à la Cour fédérale, à l’art. 18 de la </w:t>
      </w:r>
      <w:r w:rsidRPr="00291752">
        <w:rPr>
          <w:i/>
          <w:lang w:val="fr-CA"/>
        </w:rPr>
        <w:t>LCF</w:t>
      </w:r>
      <w:r w:rsidRPr="00291752">
        <w:rPr>
          <w:lang w:val="fr-CA"/>
        </w:rPr>
        <w:t xml:space="preserve">, qu’il faut voir </w:t>
      </w:r>
      <w:bookmarkStart w:id="0" w:name="_Hlk280340187"/>
      <w:r w:rsidRPr="00291752">
        <w:rPr>
          <w:lang w:val="fr-CA"/>
        </w:rPr>
        <w:t>comme une réserve ou une exception à la compétence concurrente plus générale que lui confère l’art. 17 « dans les cas de demande de réparation contre la Couronne</w:t>
      </w:r>
      <w:bookmarkEnd w:id="0"/>
      <w:r w:rsidRPr="00291752">
        <w:rPr>
          <w:lang w:val="fr-FR"/>
        </w:rPr>
        <w:t xml:space="preserve"> » </w:t>
      </w:r>
      <w:r w:rsidRPr="00291752">
        <w:rPr>
          <w:lang w:val="fr-CA"/>
        </w:rPr>
        <w:t>fédérale</w:t>
      </w:r>
      <w:r w:rsidRPr="00291752">
        <w:rPr>
          <w:lang w:val="fr-FR"/>
        </w:rPr>
        <w:t>.</w:t>
      </w:r>
      <w:r w:rsidRPr="00291752">
        <w:rPr>
          <w:lang w:val="fr-CA"/>
        </w:rPr>
        <w:t xml:space="preserve">  Les arguments du procureur général n’étant pas étayés par les termes exprès de l’art. 18, ils relèvent nécessairement de l’inférence.  Or, il est bien établi que les inférences ne suffisent pas pour écarter la compétence des cours supérieures provinciales.</w:t>
      </w:r>
    </w:p>
    <w:p w:rsidR="00534959" w:rsidRPr="00291752" w:rsidRDefault="00534959" w:rsidP="00767D30">
      <w:pPr>
        <w:pStyle w:val="ReasonsNumbering-AltN"/>
        <w:rPr>
          <w:lang w:val="fr-CA"/>
        </w:rPr>
      </w:pPr>
      <w:r w:rsidRPr="00291752">
        <w:rPr>
          <w:lang w:val="fr-CA"/>
        </w:rPr>
        <w:t xml:space="preserve">En l’espèce, la Cour supérieure de l’Ontario a compétence à l’égard des parties, de l’objet du litige et des réparations demandées par TeleZone.  Cette compétence emporte le pouvoir de statuer sur toutes les questions de droit et de fait nécessaires à l’octroi ou au refus des réparations demandées, à moins que le texte de loi ne l’écarte.  Or, la </w:t>
      </w:r>
      <w:r w:rsidRPr="00291752">
        <w:rPr>
          <w:i/>
          <w:lang w:val="fr-CA"/>
        </w:rPr>
        <w:t>LCF</w:t>
      </w:r>
      <w:r w:rsidR="00100EED" w:rsidRPr="00291752">
        <w:rPr>
          <w:i/>
          <w:lang w:val="fr-CA"/>
        </w:rPr>
        <w:t xml:space="preserve"> </w:t>
      </w:r>
      <w:r w:rsidRPr="00291752">
        <w:rPr>
          <w:lang w:val="fr-CA"/>
        </w:rPr>
        <w:t xml:space="preserve">n’écarte pas en termes clairs et directs la compétence des cours supérieures provinciales pour statuer sur ces demandes en </w:t>
      </w:r>
      <w:proofErr w:type="spellStart"/>
      <w:r w:rsidRPr="00291752">
        <w:rPr>
          <w:lang w:val="fr-CA"/>
        </w:rPr>
        <w:t>common</w:t>
      </w:r>
      <w:proofErr w:type="spellEnd"/>
      <w:r w:rsidRPr="00291752">
        <w:rPr>
          <w:lang w:val="fr-CA"/>
        </w:rPr>
        <w:t xml:space="preserve"> </w:t>
      </w:r>
      <w:proofErr w:type="spellStart"/>
      <w:r w:rsidRPr="00291752">
        <w:rPr>
          <w:lang w:val="fr-CA"/>
        </w:rPr>
        <w:t>law</w:t>
      </w:r>
      <w:proofErr w:type="spellEnd"/>
      <w:r w:rsidRPr="00291752">
        <w:rPr>
          <w:lang w:val="fr-CA"/>
        </w:rPr>
        <w:t xml:space="preserve"> et en </w:t>
      </w:r>
      <w:proofErr w:type="spellStart"/>
      <w:r w:rsidRPr="00291752">
        <w:rPr>
          <w:lang w:val="fr-CA"/>
        </w:rPr>
        <w:t>equity</w:t>
      </w:r>
      <w:proofErr w:type="spellEnd"/>
      <w:r w:rsidRPr="00291752">
        <w:rPr>
          <w:lang w:val="fr-CA"/>
        </w:rPr>
        <w:t xml:space="preserve">, y compris sur la question de l’« illégalité » des </w:t>
      </w:r>
      <w:r w:rsidR="00305EAE" w:rsidRPr="00291752">
        <w:rPr>
          <w:lang w:val="fr-CA"/>
        </w:rPr>
        <w:t>décisions administratives.  La C</w:t>
      </w:r>
      <w:r w:rsidRPr="00291752">
        <w:rPr>
          <w:lang w:val="fr-CA"/>
        </w:rPr>
        <w:t xml:space="preserve">our supérieure a donc compétence pour instruire l’affaire.  C’est la conclusion à laquelle sont parvenues la Cour supérieure de l’Ontario ((2007), 88 O.R. (3d) 173) et </w:t>
      </w:r>
      <w:r w:rsidRPr="00291752">
        <w:rPr>
          <w:lang w:val="fr-CA"/>
        </w:rPr>
        <w:lastRenderedPageBreak/>
        <w:t>la Cour d’appel de l’Ontario (2008 ONCA 892, 94 O.R. (3d) 19).  Je souscris à cette conclusion.  Je suis d’avis de rejeter le pourvoi.</w:t>
      </w:r>
    </w:p>
    <w:p w:rsidR="00534959" w:rsidRPr="00291752" w:rsidRDefault="00534959" w:rsidP="00440093">
      <w:pPr>
        <w:spacing w:after="720"/>
      </w:pPr>
      <w:r w:rsidRPr="00291752">
        <w:t>I.  </w:t>
      </w:r>
      <w:proofErr w:type="spellStart"/>
      <w:r w:rsidRPr="00291752">
        <w:rPr>
          <w:u w:val="single"/>
        </w:rPr>
        <w:t>Faits</w:t>
      </w:r>
      <w:proofErr w:type="spellEnd"/>
    </w:p>
    <w:p w:rsidR="00534959" w:rsidRPr="00291752" w:rsidRDefault="00534959" w:rsidP="00767D30">
      <w:pPr>
        <w:pStyle w:val="ReasonsNumbering-AltN"/>
        <w:rPr>
          <w:lang w:val="fr-CA"/>
        </w:rPr>
      </w:pPr>
      <w:r w:rsidRPr="00291752">
        <w:rPr>
          <w:lang w:val="fr-CA"/>
        </w:rPr>
        <w:t xml:space="preserve">La déclaration modifiée décrit les fautes que le ministre d’Industrie Canada aurait commises dans le traitement de la demande de licence sous le régime de la </w:t>
      </w:r>
      <w:r w:rsidRPr="00291752">
        <w:rPr>
          <w:i/>
          <w:lang w:val="fr-CA"/>
        </w:rPr>
        <w:t>Loi sur la radiocommunication</w:t>
      </w:r>
      <w:r w:rsidR="002731BC" w:rsidRPr="00291752">
        <w:rPr>
          <w:lang w:val="fr-CA"/>
        </w:rPr>
        <w:t>, L.R.C. 1985, ch. R-</w:t>
      </w:r>
      <w:r w:rsidRPr="00291752">
        <w:rPr>
          <w:lang w:val="fr-CA"/>
        </w:rPr>
        <w:t>2.  Il faut supposer, pour les besoins du présent pourvoi, que ces allégations peuvent être prouvées.</w:t>
      </w:r>
    </w:p>
    <w:p w:rsidR="00534959" w:rsidRPr="00291752" w:rsidRDefault="00534959" w:rsidP="00767D30">
      <w:pPr>
        <w:pStyle w:val="ReasonsNumbering-AltN"/>
      </w:pPr>
      <w:r w:rsidRPr="00291752">
        <w:rPr>
          <w:lang w:val="fr-CA"/>
        </w:rPr>
        <w:t xml:space="preserve">TeleZone a été constituée en 1992, avec comme but ultime l’obtention d’une licence de fourniture de services de communications personnelles (« SCP ») ― essentiellement un réseau de téléphonie cellulaire.  En décembre 1992, elle a franchi une étape préliminaire en obtenant une licence de fourniture de services de téléphonie sans fil.  TeleZone affirme qu’entre 1993 et 1995 elle a tenu Industrie Canada au courant des efforts qu’elle déployait pour réunir le capital et acquérir l’expérience nécessaire à la fourniture de SCP.  </w:t>
      </w:r>
      <w:r w:rsidRPr="00291752">
        <w:t xml:space="preserve">Elle </w:t>
      </w:r>
      <w:proofErr w:type="spellStart"/>
      <w:r w:rsidRPr="00291752">
        <w:t>soutient</w:t>
      </w:r>
      <w:proofErr w:type="spellEnd"/>
      <w:r w:rsidRPr="00291752">
        <w:t xml:space="preserve"> </w:t>
      </w:r>
      <w:proofErr w:type="spellStart"/>
      <w:r w:rsidRPr="00291752">
        <w:t>qu’Industrie</w:t>
      </w:r>
      <w:proofErr w:type="spellEnd"/>
      <w:r w:rsidRPr="00291752">
        <w:t xml:space="preserve"> Canada </w:t>
      </w:r>
      <w:proofErr w:type="spellStart"/>
      <w:r w:rsidRPr="00291752">
        <w:t>l’a</w:t>
      </w:r>
      <w:proofErr w:type="spellEnd"/>
      <w:r w:rsidRPr="00291752">
        <w:t xml:space="preserve"> encouragée à persévérer.</w:t>
      </w:r>
    </w:p>
    <w:p w:rsidR="00534959" w:rsidRPr="00291752" w:rsidRDefault="00534959" w:rsidP="00767D30">
      <w:pPr>
        <w:pStyle w:val="ReasonsNumbering-AltN"/>
      </w:pPr>
      <w:r w:rsidRPr="00291752">
        <w:rPr>
          <w:lang w:val="fr-CA"/>
        </w:rPr>
        <w:t xml:space="preserve">Au mois de juin 1995, Industrie Canada a lancé une invitation à soumettre des demandes de licences de SCP et a publié un énoncé de politique décrivant la politique et la procédure qui devaient servir de cadre aux demandes des fournisseurs potentiels.  L’énoncé de politique indiquait qu’Industrie Canada délivrerait jusqu’à </w:t>
      </w:r>
      <w:r w:rsidRPr="00291752">
        <w:rPr>
          <w:lang w:val="fr-CA"/>
        </w:rPr>
        <w:lastRenderedPageBreak/>
        <w:t xml:space="preserve">six licences en fonction des critères qu’elle avait définis.  Selon TeleZone, Industrie Canada disait avoir pour politique générale de favoriser la délivrance d’un nombre maximal de licences afin de stimuler la concurrence et de donner un plus grand choix aux consommateurs.  </w:t>
      </w:r>
      <w:r w:rsidRPr="00291752">
        <w:t xml:space="preserve">TeleZone </w:t>
      </w:r>
      <w:proofErr w:type="gramStart"/>
      <w:r w:rsidRPr="00291752">
        <w:t>a</w:t>
      </w:r>
      <w:proofErr w:type="gramEnd"/>
      <w:r w:rsidRPr="00291752">
        <w:t xml:space="preserve"> agi en fonction de cette politique.</w:t>
      </w:r>
    </w:p>
    <w:p w:rsidR="00534959" w:rsidRPr="00291752" w:rsidRDefault="00534959" w:rsidP="00767D30">
      <w:pPr>
        <w:pStyle w:val="ReasonsNumbering-AltN"/>
        <w:rPr>
          <w:lang w:val="fr-CA"/>
        </w:rPr>
      </w:pPr>
      <w:r w:rsidRPr="00291752">
        <w:rPr>
          <w:lang w:val="fr-CA"/>
        </w:rPr>
        <w:t xml:space="preserve">L’article 9.1 de l’invitation créait un processus de demande en trois étapes : </w:t>
      </w:r>
      <w:r w:rsidR="003436A0" w:rsidRPr="00291752">
        <w:rPr>
          <w:lang w:val="fr-CA"/>
        </w:rPr>
        <w:t>(</w:t>
      </w:r>
      <w:r w:rsidRPr="00291752">
        <w:rPr>
          <w:lang w:val="fr-CA"/>
        </w:rPr>
        <w:t xml:space="preserve">1) la déclaration d’intérêt des fournisseurs potentiels; </w:t>
      </w:r>
      <w:r w:rsidR="003436A0" w:rsidRPr="00291752">
        <w:rPr>
          <w:lang w:val="fr-CA"/>
        </w:rPr>
        <w:t>(</w:t>
      </w:r>
      <w:r w:rsidRPr="00291752">
        <w:rPr>
          <w:lang w:val="fr-CA"/>
        </w:rPr>
        <w:t xml:space="preserve">2) la présentation de demandes détaillées par les fournisseurs potentiels, </w:t>
      </w:r>
      <w:r w:rsidR="003436A0" w:rsidRPr="00291752">
        <w:rPr>
          <w:lang w:val="fr-CA"/>
        </w:rPr>
        <w:t>(</w:t>
      </w:r>
      <w:r w:rsidRPr="00291752">
        <w:rPr>
          <w:lang w:val="fr-CA"/>
        </w:rPr>
        <w:t>3) l’annonce des candidatures retenues et l’octroi des licences de SCP par Industrie Canada.  Les articles 9.4 à 9.5.6 établissaient les critères d’évaluation applicables.  Dans l’invitation, Industrie Canada ne s’était pas expressément réservé le droit d’examiner d’autres facteurs.  TeleZone soutient qu’Industrie Canada ne pouvait prendre en compte d’autres critères que ceux qui étaient énoncés dans l’invitation.</w:t>
      </w:r>
    </w:p>
    <w:p w:rsidR="00534959" w:rsidRPr="00291752" w:rsidRDefault="00534959" w:rsidP="00767D30">
      <w:pPr>
        <w:pStyle w:val="ReasonsNumbering-AltN"/>
        <w:rPr>
          <w:lang w:val="fr-CA"/>
        </w:rPr>
      </w:pPr>
      <w:r w:rsidRPr="00291752">
        <w:rPr>
          <w:lang w:val="fr-CA"/>
        </w:rPr>
        <w:t>Au mois de septembre 1995, TeleZone a soumis sa demande détaillée de licence de SCP, dont la préparation lui aurait coûté environ 20 millions de dollars.  Industrie Canada a rendu publique sa décision au sujet des licences de SCP en décembre 1995.  Seules quatre demandes avaient été retenues.  Celle de TeleZone n’en faisait pas partie.</w:t>
      </w:r>
    </w:p>
    <w:p w:rsidR="00534959" w:rsidRPr="00291752" w:rsidRDefault="00534959" w:rsidP="00767D30">
      <w:pPr>
        <w:pStyle w:val="ReasonsNumbering-AltN"/>
        <w:rPr>
          <w:lang w:val="fr-CA"/>
        </w:rPr>
      </w:pPr>
      <w:r w:rsidRPr="00291752">
        <w:rPr>
          <w:lang w:val="fr-CA"/>
        </w:rPr>
        <w:t xml:space="preserve">Dans sa déclaration modifiée, TeleZone allègue que l’énoncé de politique comportait une condition expresse ou implicite portant qu’Industrie Canada délivrerait moins de six licences uniquement si moins de six demandes répondaient </w:t>
      </w:r>
      <w:r w:rsidRPr="00291752">
        <w:rPr>
          <w:lang w:val="fr-CA"/>
        </w:rPr>
        <w:lastRenderedPageBreak/>
        <w:t>aux critères (par.</w:t>
      </w:r>
      <w:r w:rsidR="00100EED" w:rsidRPr="00291752">
        <w:rPr>
          <w:lang w:val="fr-CA"/>
        </w:rPr>
        <w:t xml:space="preserve"> </w:t>
      </w:r>
      <w:r w:rsidRPr="00291752">
        <w:rPr>
          <w:lang w:val="fr-CA"/>
        </w:rPr>
        <w:t>12).  Elle affirme que sa demande satisfaisait à tous les critères énumérés dans l’invitation.  Elle soutient, en conséquence, que le ministre a dû appliquer d’autres facteurs pour rejeter sa demande (par</w:t>
      </w:r>
      <w:r w:rsidR="00100EED" w:rsidRPr="00291752">
        <w:rPr>
          <w:lang w:val="fr-CA"/>
        </w:rPr>
        <w:t>.</w:t>
      </w:r>
      <w:r w:rsidRPr="00291752">
        <w:rPr>
          <w:lang w:val="fr-CA"/>
        </w:rPr>
        <w:t xml:space="preserve"> 17).  Ces autres facteurs n’ont pas été communiqués à TeleZone.</w:t>
      </w:r>
    </w:p>
    <w:p w:rsidR="00534959" w:rsidRPr="00291752" w:rsidRDefault="00534959" w:rsidP="00767D30">
      <w:pPr>
        <w:pStyle w:val="ReasonsNumbering-AltN"/>
        <w:rPr>
          <w:lang w:val="fr-CA"/>
        </w:rPr>
      </w:pPr>
      <w:r w:rsidRPr="00291752">
        <w:rPr>
          <w:lang w:val="fr-CA"/>
        </w:rPr>
        <w:t xml:space="preserve">TeleZone fonde le volet contractuel de sa cause sur l’existence d’un contrat (le </w:t>
      </w:r>
      <w:r w:rsidR="00100EED" w:rsidRPr="00291752">
        <w:rPr>
          <w:lang w:val="fr-CA"/>
        </w:rPr>
        <w:t>« </w:t>
      </w:r>
      <w:r w:rsidR="00694744" w:rsidRPr="00291752">
        <w:rPr>
          <w:lang w:val="fr-CA"/>
        </w:rPr>
        <w:t>C</w:t>
      </w:r>
      <w:r w:rsidRPr="00291752">
        <w:rPr>
          <w:lang w:val="fr-CA"/>
        </w:rPr>
        <w:t>ontrat A</w:t>
      </w:r>
      <w:r w:rsidR="00100EED" w:rsidRPr="00291752">
        <w:rPr>
          <w:lang w:val="fr-CA"/>
        </w:rPr>
        <w:t> »</w:t>
      </w:r>
      <w:r w:rsidRPr="00291752">
        <w:rPr>
          <w:lang w:val="fr-CA"/>
        </w:rPr>
        <w:t>), né du processus d’appel d’offres, qui obligeait Industrie Canada à se conformer à l’invitation et à l’énoncé de politique et à traiter tous les demandeurs de licence avec équité et bonne foi dans l’attribution des licences de SCP (</w:t>
      </w:r>
      <w:r w:rsidR="00100EED" w:rsidRPr="00291752">
        <w:rPr>
          <w:lang w:val="fr-CA"/>
        </w:rPr>
        <w:t>m</w:t>
      </w:r>
      <w:r w:rsidRPr="00291752">
        <w:rPr>
          <w:lang w:val="fr-CA"/>
        </w:rPr>
        <w:t>.</w:t>
      </w:r>
      <w:r w:rsidR="00100EED" w:rsidRPr="00291752">
        <w:rPr>
          <w:lang w:val="fr-CA"/>
        </w:rPr>
        <w:t>i</w:t>
      </w:r>
      <w:r w:rsidRPr="00291752">
        <w:rPr>
          <w:lang w:val="fr-CA"/>
        </w:rPr>
        <w:t>., par. 133).  Elle prétend q</w:t>
      </w:r>
      <w:r w:rsidR="00100EED" w:rsidRPr="00291752">
        <w:rPr>
          <w:lang w:val="fr-CA"/>
        </w:rPr>
        <w:t>ue la Couronne a contrevenu au C</w:t>
      </w:r>
      <w:r w:rsidRPr="00291752">
        <w:rPr>
          <w:lang w:val="fr-CA"/>
        </w:rPr>
        <w:t>ontrat A (1) en octroyant moins de licences que le nombre annoncé, (2) en ne s’en tenant pas aux exigences formulées dans l’invitation, notamment aux critères qui y étaient énumérés (par. 134), et (3) en manquant à son obligation de diligence et à son obligation d’agir de bonne foi (par. 135).</w:t>
      </w:r>
    </w:p>
    <w:p w:rsidR="00534959" w:rsidRPr="00291752" w:rsidRDefault="00534959" w:rsidP="00767D30">
      <w:pPr>
        <w:pStyle w:val="ReasonsNumbering-AltN"/>
        <w:rPr>
          <w:lang w:val="fr-CA"/>
        </w:rPr>
      </w:pPr>
      <w:r w:rsidRPr="00291752">
        <w:rPr>
          <w:lang w:val="fr-CA"/>
        </w:rPr>
        <w:t xml:space="preserve">Dans sa déclaration modifiée, TeleZone ne conteste pas la décision du ministre concernant l’octroi des licences; elle ne cherche pas à obtenir de licence ni à faire retirer leur licence aux candidats retenus.  Elle </w:t>
      </w:r>
      <w:r w:rsidR="002731BC" w:rsidRPr="00291752">
        <w:rPr>
          <w:lang w:val="fr-CA"/>
        </w:rPr>
        <w:t>réclame simplement des dommages-</w:t>
      </w:r>
      <w:r w:rsidRPr="00291752">
        <w:rPr>
          <w:lang w:val="fr-CA"/>
        </w:rPr>
        <w:t>intérêts.  Elle soutient en conséquence que la question de la validité des licences octroyées aux autres demandeurs ne se pose pas puisque deux autres licences de SCP pouvaient encore être délivrées aux termes de l’invitation et de l’énoncé de politique et qu’elle conteste seulement la conduite de la Couronne à son endroit (par. 136).</w:t>
      </w:r>
    </w:p>
    <w:p w:rsidR="00534959" w:rsidRPr="00291752" w:rsidRDefault="00100EED" w:rsidP="00100EED">
      <w:pPr>
        <w:spacing w:after="720"/>
        <w:ind w:left="450" w:hanging="450"/>
        <w:rPr>
          <w:lang w:val="fr-CA"/>
        </w:rPr>
      </w:pPr>
      <w:r w:rsidRPr="00291752">
        <w:rPr>
          <w:lang w:val="fr-CA"/>
        </w:rPr>
        <w:lastRenderedPageBreak/>
        <w:t>II.</w:t>
      </w:r>
      <w:r w:rsidRPr="00291752">
        <w:rPr>
          <w:lang w:val="fr-CA"/>
        </w:rPr>
        <w:tab/>
      </w:r>
      <w:r w:rsidR="00534959" w:rsidRPr="00291752">
        <w:rPr>
          <w:u w:val="single"/>
          <w:lang w:val="fr-CA"/>
        </w:rPr>
        <w:t>Historique judiciaire</w:t>
      </w:r>
    </w:p>
    <w:p w:rsidR="00534959" w:rsidRPr="00291752" w:rsidRDefault="00534959" w:rsidP="00440093">
      <w:pPr>
        <w:spacing w:after="720"/>
        <w:ind w:left="450" w:hanging="450"/>
        <w:rPr>
          <w:lang w:val="fr-CA"/>
        </w:rPr>
      </w:pPr>
      <w:r w:rsidRPr="00291752">
        <w:rPr>
          <w:lang w:val="fr-CA"/>
        </w:rPr>
        <w:t>A.</w:t>
      </w:r>
      <w:r w:rsidR="00100EED" w:rsidRPr="00291752">
        <w:rPr>
          <w:lang w:val="fr-CA"/>
        </w:rPr>
        <w:tab/>
      </w:r>
      <w:r w:rsidRPr="00291752">
        <w:rPr>
          <w:i/>
          <w:lang w:val="fr-CA"/>
        </w:rPr>
        <w:t>Cour supérieure de justice de l’Ontario (le juge Morawetz) (2007), 88 O.R. (3d) 173</w:t>
      </w:r>
      <w:r w:rsidRPr="00291752">
        <w:rPr>
          <w:lang w:val="fr-CA"/>
        </w:rPr>
        <w:t xml:space="preserve"> </w:t>
      </w:r>
    </w:p>
    <w:p w:rsidR="00534959" w:rsidRPr="00291752" w:rsidRDefault="00534959" w:rsidP="00767D30">
      <w:pPr>
        <w:pStyle w:val="ReasonsNumbering-AltN"/>
        <w:rPr>
          <w:lang w:val="fr-CA"/>
        </w:rPr>
      </w:pPr>
      <w:r w:rsidRPr="00291752">
        <w:rPr>
          <w:lang w:val="fr-CA"/>
        </w:rPr>
        <w:t>Le procureur général a présenté une requête préliminaire visant le rejet de l’action de TeleZone pour défaut de compétence, soutenant que cette dernière devait obtenir l’annulation de la décision du ministre par voie de contrôle judiciaire devant la Cour fédérale avant d’intenter un recours civil contre la Couronne.  TeleZone a répliqué que son recours repose sur des causes d’action distinctes de celles d’une demande de contrôle judiciaire.  Elle ne cherche pas à faire annuler les licences; elle</w:t>
      </w:r>
      <w:r w:rsidR="002731BC" w:rsidRPr="00291752">
        <w:rPr>
          <w:lang w:val="fr-CA"/>
        </w:rPr>
        <w:t xml:space="preserve"> cherche à obtenir des dommages-</w:t>
      </w:r>
      <w:r w:rsidRPr="00291752">
        <w:rPr>
          <w:lang w:val="fr-CA"/>
        </w:rPr>
        <w:t>intérêts pour négligence, inexécution de contrat ou enrichissement injustifié.  Le juge Morawetz a rejeté la requête, estimant que l’action de TeleZone devant la Cour supérieure n’était pas manifestement vouée à l’échec.</w:t>
      </w:r>
    </w:p>
    <w:p w:rsidR="00534959" w:rsidRPr="00291752" w:rsidRDefault="00100EED" w:rsidP="00440093">
      <w:pPr>
        <w:spacing w:after="720"/>
        <w:ind w:left="450" w:hanging="450"/>
        <w:rPr>
          <w:lang w:val="fr-CA"/>
        </w:rPr>
      </w:pPr>
      <w:r w:rsidRPr="00291752">
        <w:rPr>
          <w:lang w:val="fr-CA"/>
        </w:rPr>
        <w:t>B.</w:t>
      </w:r>
      <w:r w:rsidRPr="00291752">
        <w:rPr>
          <w:lang w:val="fr-CA"/>
        </w:rPr>
        <w:tab/>
      </w:r>
      <w:r w:rsidR="00534959" w:rsidRPr="00291752">
        <w:rPr>
          <w:i/>
          <w:lang w:val="fr-CA"/>
        </w:rPr>
        <w:t>Cour d’appel de l’Ontario (les juges Laskin, Borins et Feldman), 2008 ONCA 892, 94 O.R. (3d) 19</w:t>
      </w:r>
    </w:p>
    <w:p w:rsidR="00534959" w:rsidRPr="00291752" w:rsidRDefault="00534959" w:rsidP="00767D30">
      <w:pPr>
        <w:pStyle w:val="ReasonsNumbering-AltN"/>
        <w:rPr>
          <w:lang w:val="fr-CA"/>
        </w:rPr>
      </w:pPr>
      <w:r w:rsidRPr="00291752">
        <w:rPr>
          <w:lang w:val="fr-CA"/>
        </w:rPr>
        <w:t xml:space="preserve">Dans un jugement unanime, le juge </w:t>
      </w:r>
      <w:proofErr w:type="gramStart"/>
      <w:r w:rsidRPr="00291752">
        <w:rPr>
          <w:lang w:val="fr-CA"/>
        </w:rPr>
        <w:t>Borins</w:t>
      </w:r>
      <w:r w:rsidR="002731BC" w:rsidRPr="00291752">
        <w:rPr>
          <w:lang w:val="fr-CA"/>
        </w:rPr>
        <w:t xml:space="preserve"> a</w:t>
      </w:r>
      <w:proofErr w:type="gramEnd"/>
      <w:r w:rsidR="002731BC" w:rsidRPr="00291752">
        <w:rPr>
          <w:lang w:val="fr-CA"/>
        </w:rPr>
        <w:t xml:space="preserve"> conclu que l’art. </w:t>
      </w:r>
      <w:r w:rsidRPr="00291752">
        <w:rPr>
          <w:lang w:val="fr-CA"/>
        </w:rPr>
        <w:t xml:space="preserve">17 de la </w:t>
      </w:r>
      <w:r w:rsidRPr="00291752">
        <w:rPr>
          <w:i/>
          <w:lang w:val="fr-CA"/>
        </w:rPr>
        <w:t>LCF</w:t>
      </w:r>
      <w:r w:rsidR="002731BC" w:rsidRPr="00291752">
        <w:rPr>
          <w:lang w:val="fr-CA"/>
        </w:rPr>
        <w:t xml:space="preserve"> et l’art. </w:t>
      </w:r>
      <w:r w:rsidRPr="00291752">
        <w:rPr>
          <w:lang w:val="fr-CA"/>
        </w:rPr>
        <w:t xml:space="preserve">21 de la </w:t>
      </w:r>
      <w:r w:rsidRPr="00291752">
        <w:rPr>
          <w:i/>
          <w:lang w:val="fr-CA"/>
        </w:rPr>
        <w:t>Loi sur la responsabilité civile de l’État et le contentieux administratif</w:t>
      </w:r>
      <w:r w:rsidRPr="00291752">
        <w:rPr>
          <w:lang w:val="fr-CA"/>
        </w:rPr>
        <w:t xml:space="preserve"> confèrent aux cours supérieures et à la Cour fédérale une compétence concurrente à l’égard des demandes de réparation contre la Couronne.  Compte tenu de sa compétence générale et inhérente, la Cour supérieure de l’Ontario connaît de toutes les causes d’action, à moins qu’une disposition législative ou une convention </w:t>
      </w:r>
      <w:r w:rsidRPr="00291752">
        <w:rPr>
          <w:lang w:val="fr-CA"/>
        </w:rPr>
        <w:lastRenderedPageBreak/>
        <w:t>d’arbitrage ne p</w:t>
      </w:r>
      <w:r w:rsidR="005067DD" w:rsidRPr="00291752">
        <w:rPr>
          <w:lang w:val="fr-CA"/>
        </w:rPr>
        <w:t xml:space="preserve">révoie le contraire.  L’article </w:t>
      </w:r>
      <w:r w:rsidRPr="00291752">
        <w:rPr>
          <w:lang w:val="fr-CA"/>
        </w:rPr>
        <w:t xml:space="preserve">18 de la </w:t>
      </w:r>
      <w:r w:rsidRPr="00291752">
        <w:rPr>
          <w:i/>
          <w:lang w:val="fr-CA"/>
        </w:rPr>
        <w:t>LCF</w:t>
      </w:r>
      <w:r w:rsidRPr="00291752">
        <w:rPr>
          <w:lang w:val="fr-CA"/>
        </w:rPr>
        <w:t xml:space="preserve"> a soustrait les brefs de prérogative et recours extraordinaires qui y sont énumérés à la compétence des cours supérieures (par. 94).  Puisque le recours entrepris p</w:t>
      </w:r>
      <w:r w:rsidR="005067DD" w:rsidRPr="00291752">
        <w:rPr>
          <w:lang w:val="fr-CA"/>
        </w:rPr>
        <w:t>ar TeleZone (action en dommages-</w:t>
      </w:r>
      <w:r w:rsidRPr="00291752">
        <w:rPr>
          <w:lang w:val="fr-CA"/>
        </w:rPr>
        <w:t>intérêts) n’est pas énuméré à l’art. 18, le juge Borins est arrivé à la conclusion que la Cour supérieure demeure compétente.  L’appel a été rejeté.</w:t>
      </w:r>
    </w:p>
    <w:p w:rsidR="00534959" w:rsidRPr="00291752" w:rsidRDefault="00534959" w:rsidP="00100EED">
      <w:pPr>
        <w:spacing w:after="720"/>
        <w:ind w:left="450" w:hanging="450"/>
        <w:rPr>
          <w:lang w:val="fr-CA"/>
        </w:rPr>
      </w:pPr>
      <w:r w:rsidRPr="00291752">
        <w:rPr>
          <w:lang w:val="fr-CA"/>
        </w:rPr>
        <w:t>III.</w:t>
      </w:r>
      <w:r w:rsidR="00100EED" w:rsidRPr="00291752">
        <w:rPr>
          <w:lang w:val="fr-CA"/>
        </w:rPr>
        <w:tab/>
      </w:r>
      <w:r w:rsidRPr="00291752">
        <w:rPr>
          <w:u w:val="single"/>
          <w:lang w:val="fr-CA"/>
        </w:rPr>
        <w:t>Dispositions pertinentes</w:t>
      </w:r>
    </w:p>
    <w:p w:rsidR="00534959" w:rsidRPr="00291752" w:rsidRDefault="00534959" w:rsidP="00767D30">
      <w:pPr>
        <w:pStyle w:val="ReasonsNumbering-AltN"/>
        <w:rPr>
          <w:lang w:val="fr-CA"/>
        </w:rPr>
      </w:pPr>
      <w:r w:rsidRPr="00291752">
        <w:rPr>
          <w:i/>
          <w:lang w:val="fr-CA"/>
        </w:rPr>
        <w:t>Loi constitutionnelle de 1867</w:t>
      </w:r>
    </w:p>
    <w:p w:rsidR="00534959" w:rsidRPr="00291752" w:rsidRDefault="00CB2D3B" w:rsidP="00211FE1">
      <w:pPr>
        <w:pStyle w:val="Citation1"/>
        <w:tabs>
          <w:tab w:val="left" w:pos="1620"/>
          <w:tab w:val="left" w:pos="2340"/>
          <w:tab w:val="left" w:pos="2430"/>
        </w:tabs>
        <w:ind w:hanging="1166"/>
        <w:rPr>
          <w:lang w:val="fr-CA"/>
        </w:rPr>
      </w:pPr>
      <w:r w:rsidRPr="00291752">
        <w:rPr>
          <w:b/>
          <w:lang w:val="fr-CA"/>
        </w:rPr>
        <w:tab/>
      </w:r>
      <w:r w:rsidR="00211FE1" w:rsidRPr="00291752">
        <w:rPr>
          <w:b/>
          <w:lang w:val="fr-CA"/>
        </w:rPr>
        <w:tab/>
      </w:r>
      <w:r w:rsidR="00534959" w:rsidRPr="00291752">
        <w:rPr>
          <w:b/>
          <w:lang w:val="fr-CA"/>
        </w:rPr>
        <w:t>101.</w:t>
      </w:r>
      <w:r w:rsidRPr="00291752">
        <w:rPr>
          <w:b/>
          <w:lang w:val="fr-CA"/>
        </w:rPr>
        <w:tab/>
      </w:r>
      <w:r w:rsidR="00534959" w:rsidRPr="00291752">
        <w:rPr>
          <w:lang w:val="fr-CA"/>
        </w:rPr>
        <w:t>Le parlement du Canada pourra, nonobstant toute disposition contraire énoncée dans la présente loi, lorsque l’occasion le requerra, adopter des mesures à l’effet de créer, maintenir et organiser une cour générale d’appel pour le Canada, et établir des tribunaux additionnels pour la meilleure administration des lois du Canada.</w:t>
      </w:r>
    </w:p>
    <w:p w:rsidR="00534959" w:rsidRPr="00291752" w:rsidRDefault="00534959" w:rsidP="00440093">
      <w:pPr>
        <w:spacing w:after="720"/>
        <w:rPr>
          <w:lang w:val="fr-CA"/>
        </w:rPr>
      </w:pPr>
      <w:r w:rsidRPr="00291752">
        <w:rPr>
          <w:i/>
          <w:lang w:val="fr-CA"/>
        </w:rPr>
        <w:t>Loi sur les Cours fédérales</w:t>
      </w:r>
      <w:r w:rsidR="005067DD" w:rsidRPr="00291752">
        <w:rPr>
          <w:lang w:val="fr-CA"/>
        </w:rPr>
        <w:t>, L.R.C. 1985, ch. F-</w:t>
      </w:r>
      <w:r w:rsidRPr="00291752">
        <w:rPr>
          <w:lang w:val="fr-CA"/>
        </w:rPr>
        <w:t>7</w:t>
      </w:r>
    </w:p>
    <w:p w:rsidR="00534959" w:rsidRPr="00291752" w:rsidRDefault="00CB2D3B" w:rsidP="00211FE1">
      <w:pPr>
        <w:pStyle w:val="Citation1"/>
        <w:tabs>
          <w:tab w:val="left" w:pos="1620"/>
        </w:tabs>
        <w:ind w:hanging="1166"/>
        <w:rPr>
          <w:lang w:val="fr-CA"/>
        </w:rPr>
      </w:pPr>
      <w:r w:rsidRPr="00291752">
        <w:rPr>
          <w:b/>
          <w:lang w:val="fr-CA"/>
        </w:rPr>
        <w:tab/>
      </w:r>
      <w:r w:rsidR="00211FE1" w:rsidRPr="00291752">
        <w:rPr>
          <w:b/>
          <w:lang w:val="fr-CA"/>
        </w:rPr>
        <w:tab/>
      </w:r>
      <w:r w:rsidR="00534959" w:rsidRPr="00291752">
        <w:rPr>
          <w:b/>
          <w:lang w:val="fr-CA"/>
        </w:rPr>
        <w:t>2.</w:t>
      </w:r>
      <w:r w:rsidR="00694744" w:rsidRPr="00291752">
        <w:rPr>
          <w:b/>
          <w:lang w:val="fr-CA"/>
        </w:rPr>
        <w:t xml:space="preserve"> </w:t>
      </w:r>
      <w:r w:rsidR="00534959" w:rsidRPr="00291752">
        <w:rPr>
          <w:lang w:val="fr-CA"/>
        </w:rPr>
        <w:t>(1</w:t>
      </w:r>
      <w:proofErr w:type="gramStart"/>
      <w:r w:rsidR="00534959" w:rsidRPr="00291752">
        <w:rPr>
          <w:lang w:val="fr-CA"/>
        </w:rPr>
        <w:t>)</w:t>
      </w:r>
      <w:r w:rsidR="00F12EE8" w:rsidRPr="00291752">
        <w:rPr>
          <w:lang w:val="fr-CA"/>
        </w:rPr>
        <w:t xml:space="preserve"> </w:t>
      </w:r>
      <w:r w:rsidR="00534959" w:rsidRPr="00291752">
        <w:rPr>
          <w:lang w:val="fr-CA"/>
        </w:rPr>
        <w:t> .</w:t>
      </w:r>
      <w:proofErr w:type="gramEnd"/>
      <w:r w:rsidR="00534959" w:rsidRPr="00291752">
        <w:rPr>
          <w:lang w:val="fr-CA"/>
        </w:rPr>
        <w:t> . .</w:t>
      </w:r>
    </w:p>
    <w:p w:rsidR="00100EED" w:rsidRPr="00291752" w:rsidRDefault="00100EED" w:rsidP="00100EED">
      <w:pPr>
        <w:pStyle w:val="Citation1"/>
        <w:ind w:firstLine="274"/>
        <w:rPr>
          <w:lang w:val="fr-CA"/>
        </w:rPr>
      </w:pPr>
    </w:p>
    <w:p w:rsidR="00534959" w:rsidRPr="00291752" w:rsidRDefault="00D22989" w:rsidP="00C31990">
      <w:pPr>
        <w:pStyle w:val="Citation1"/>
        <w:tabs>
          <w:tab w:val="left" w:pos="1260"/>
        </w:tabs>
        <w:spacing w:after="240"/>
        <w:ind w:left="1620" w:hanging="1800"/>
        <w:contextualSpacing w:val="0"/>
        <w:rPr>
          <w:lang w:val="fr-CA"/>
        </w:rPr>
      </w:pPr>
      <w:r w:rsidRPr="00291752">
        <w:rPr>
          <w:lang w:val="fr-CA"/>
        </w:rPr>
        <w:tab/>
      </w:r>
      <w:r w:rsidR="00534959" w:rsidRPr="00291752">
        <w:rPr>
          <w:lang w:val="fr-CA"/>
        </w:rPr>
        <w:t xml:space="preserve">« office fédéral » Conseil, bureau, commission ou autre organisme, ou personne ou groupe de personnes, ayant, exerçant ou censé exercer une compétence ou des pouvoirs prévus par une loi fédérale ou par une ordonnance prise en vertu d’une prérogative royale, à l’exclusion de la Cour canadienne de l’impôt et ses juges, d’un organisme constitué sous le régime d’une loi provinciale ou d’une personne ou d’un groupe de personnes nommées aux termes d’une loi provinciale ou de l’article 96 de la </w:t>
      </w:r>
      <w:r w:rsidR="00534959" w:rsidRPr="00291752">
        <w:rPr>
          <w:i/>
          <w:lang w:val="fr-CA"/>
        </w:rPr>
        <w:t>Loi constitutionnelle de 1867</w:t>
      </w:r>
      <w:r w:rsidR="00534959" w:rsidRPr="00291752">
        <w:rPr>
          <w:lang w:val="fr-CA"/>
        </w:rPr>
        <w:t>.</w:t>
      </w:r>
    </w:p>
    <w:p w:rsidR="00534959" w:rsidRPr="00291752" w:rsidRDefault="00CB2D3B" w:rsidP="00211FE1">
      <w:pPr>
        <w:pStyle w:val="Citation1"/>
        <w:tabs>
          <w:tab w:val="left" w:pos="1620"/>
        </w:tabs>
        <w:ind w:hanging="1166"/>
        <w:rPr>
          <w:lang w:val="fr-CA"/>
        </w:rPr>
      </w:pPr>
      <w:r w:rsidRPr="00291752">
        <w:rPr>
          <w:b/>
          <w:lang w:val="fr-CA"/>
        </w:rPr>
        <w:tab/>
      </w:r>
      <w:r w:rsidR="00211FE1" w:rsidRPr="00291752">
        <w:rPr>
          <w:b/>
          <w:lang w:val="fr-CA"/>
        </w:rPr>
        <w:tab/>
      </w:r>
      <w:r w:rsidR="00534959" w:rsidRPr="00291752">
        <w:rPr>
          <w:b/>
          <w:lang w:val="fr-CA"/>
        </w:rPr>
        <w:t>17.</w:t>
      </w:r>
      <w:r w:rsidR="00694744" w:rsidRPr="00291752">
        <w:rPr>
          <w:b/>
          <w:lang w:val="fr-CA"/>
        </w:rPr>
        <w:t xml:space="preserve"> </w:t>
      </w:r>
      <w:r w:rsidR="00100EED" w:rsidRPr="00291752">
        <w:rPr>
          <w:lang w:val="fr-CA"/>
        </w:rPr>
        <w:t>(1)</w:t>
      </w:r>
      <w:r w:rsidR="00F12EE8" w:rsidRPr="00291752">
        <w:rPr>
          <w:b/>
          <w:lang w:val="fr-CA"/>
        </w:rPr>
        <w:t xml:space="preserve"> </w:t>
      </w:r>
      <w:r w:rsidR="00534959" w:rsidRPr="00291752">
        <w:rPr>
          <w:lang w:val="fr-CA"/>
        </w:rPr>
        <w:t>[Réparation contre la Couronne] Sauf disposition contraire de la présente loi ou de toute autre loi fédérale, la Cour fédérale a compétence concurrente, en première instance, dans les cas de demande de réparation contre la Couronne.</w:t>
      </w:r>
    </w:p>
    <w:p w:rsidR="00100EED" w:rsidRPr="00291752" w:rsidRDefault="00100EED" w:rsidP="00100EED">
      <w:pPr>
        <w:pStyle w:val="Citation1"/>
        <w:ind w:firstLine="274"/>
        <w:rPr>
          <w:lang w:val="fr-CA"/>
        </w:rPr>
      </w:pPr>
    </w:p>
    <w:p w:rsidR="00534959" w:rsidRPr="00291752" w:rsidRDefault="00CB2D3B" w:rsidP="00211FE1">
      <w:pPr>
        <w:pStyle w:val="Citation1"/>
        <w:tabs>
          <w:tab w:val="left" w:pos="1620"/>
        </w:tabs>
        <w:ind w:hanging="1166"/>
        <w:rPr>
          <w:lang w:val="fr-CA"/>
        </w:rPr>
      </w:pPr>
      <w:r w:rsidRPr="00291752">
        <w:rPr>
          <w:lang w:val="fr-CA"/>
        </w:rPr>
        <w:tab/>
      </w:r>
      <w:r w:rsidR="00211FE1" w:rsidRPr="00291752">
        <w:rPr>
          <w:lang w:val="fr-CA"/>
        </w:rPr>
        <w:tab/>
      </w:r>
      <w:r w:rsidR="00BB2872" w:rsidRPr="00291752">
        <w:rPr>
          <w:lang w:val="fr-CA"/>
        </w:rPr>
        <w:t xml:space="preserve">(2) </w:t>
      </w:r>
      <w:r w:rsidR="00534959" w:rsidRPr="00291752">
        <w:rPr>
          <w:lang w:val="fr-CA"/>
        </w:rPr>
        <w:t>[Motifs] Elle a notamment compétence concurrente en première instance, sauf disposition contraire, dans les cas de demande motivés par :</w:t>
      </w:r>
    </w:p>
    <w:p w:rsidR="00CB2D3B" w:rsidRPr="00291752" w:rsidRDefault="00CB2D3B" w:rsidP="00CB2D3B">
      <w:pPr>
        <w:pStyle w:val="Citation1"/>
        <w:ind w:firstLine="4"/>
        <w:rPr>
          <w:lang w:val="fr-CA"/>
        </w:rPr>
      </w:pPr>
    </w:p>
    <w:p w:rsidR="00534959" w:rsidRPr="00291752" w:rsidRDefault="00534959" w:rsidP="00534959">
      <w:pPr>
        <w:pStyle w:val="Citation1"/>
        <w:spacing w:after="240"/>
        <w:contextualSpacing w:val="0"/>
        <w:jc w:val="center"/>
        <w:rPr>
          <w:lang w:val="fr-CA"/>
        </w:rPr>
      </w:pPr>
      <w:r w:rsidRPr="00291752">
        <w:rPr>
          <w:lang w:val="fr-CA"/>
        </w:rPr>
        <w:t>. . .</w:t>
      </w:r>
    </w:p>
    <w:p w:rsidR="00534959" w:rsidRPr="00291752" w:rsidRDefault="00CB2D3B" w:rsidP="00211FE1">
      <w:pPr>
        <w:pStyle w:val="Citation1"/>
        <w:tabs>
          <w:tab w:val="left" w:pos="1170"/>
          <w:tab w:val="left" w:pos="1620"/>
          <w:tab w:val="left" w:pos="1980"/>
        </w:tabs>
        <w:ind w:left="1620" w:hanging="1620"/>
        <w:rPr>
          <w:lang w:val="fr-CA"/>
        </w:rPr>
      </w:pPr>
      <w:r w:rsidRPr="00291752">
        <w:rPr>
          <w:i/>
          <w:lang w:val="fr-CA"/>
        </w:rPr>
        <w:tab/>
      </w:r>
      <w:r w:rsidR="00211FE1" w:rsidRPr="00291752">
        <w:rPr>
          <w:i/>
          <w:lang w:val="fr-CA"/>
        </w:rPr>
        <w:tab/>
      </w:r>
      <w:r w:rsidR="00534959" w:rsidRPr="00291752">
        <w:rPr>
          <w:i/>
          <w:lang w:val="fr-CA"/>
        </w:rPr>
        <w:t>b</w:t>
      </w:r>
      <w:r w:rsidR="00534959" w:rsidRPr="00291752">
        <w:rPr>
          <w:lang w:val="fr-CA"/>
        </w:rPr>
        <w:t>)</w:t>
      </w:r>
      <w:r w:rsidR="00F12EE8" w:rsidRPr="00291752">
        <w:rPr>
          <w:lang w:val="fr-CA"/>
        </w:rPr>
        <w:tab/>
      </w:r>
      <w:r w:rsidR="00534959" w:rsidRPr="00291752">
        <w:rPr>
          <w:lang w:val="fr-CA"/>
        </w:rPr>
        <w:t>un contrat conclu par ou pour la Couronne;</w:t>
      </w:r>
    </w:p>
    <w:p w:rsidR="00CB2D3B" w:rsidRPr="00291752" w:rsidRDefault="00CB2D3B" w:rsidP="00CB2D3B">
      <w:pPr>
        <w:pStyle w:val="Citation1"/>
        <w:ind w:firstLine="4"/>
        <w:rPr>
          <w:lang w:val="fr-CA"/>
        </w:rPr>
      </w:pPr>
    </w:p>
    <w:p w:rsidR="00534959" w:rsidRPr="00291752" w:rsidRDefault="00534959" w:rsidP="00534959">
      <w:pPr>
        <w:pStyle w:val="Citation1"/>
        <w:spacing w:after="240"/>
        <w:contextualSpacing w:val="0"/>
        <w:jc w:val="center"/>
        <w:rPr>
          <w:lang w:val="fr-CA"/>
        </w:rPr>
      </w:pPr>
      <w:r w:rsidRPr="00291752">
        <w:rPr>
          <w:lang w:val="fr-CA"/>
        </w:rPr>
        <w:t>. . .</w:t>
      </w:r>
    </w:p>
    <w:p w:rsidR="00534959" w:rsidRPr="00291752" w:rsidRDefault="00CB2D3B" w:rsidP="00211FE1">
      <w:pPr>
        <w:pStyle w:val="Citation1"/>
        <w:tabs>
          <w:tab w:val="left" w:pos="1170"/>
          <w:tab w:val="left" w:pos="1620"/>
          <w:tab w:val="left" w:pos="1980"/>
        </w:tabs>
        <w:ind w:left="1620" w:hanging="1620"/>
        <w:rPr>
          <w:lang w:val="fr-CA"/>
        </w:rPr>
      </w:pPr>
      <w:r w:rsidRPr="00291752">
        <w:rPr>
          <w:i/>
          <w:lang w:val="fr-CA"/>
        </w:rPr>
        <w:tab/>
      </w:r>
      <w:r w:rsidR="00211FE1" w:rsidRPr="00291752">
        <w:rPr>
          <w:i/>
          <w:lang w:val="fr-CA"/>
        </w:rPr>
        <w:tab/>
      </w:r>
      <w:r w:rsidR="00534959" w:rsidRPr="00291752">
        <w:rPr>
          <w:i/>
          <w:lang w:val="fr-CA"/>
        </w:rPr>
        <w:t>d</w:t>
      </w:r>
      <w:r w:rsidR="00534959" w:rsidRPr="00291752">
        <w:rPr>
          <w:lang w:val="fr-CA"/>
        </w:rPr>
        <w:t>)</w:t>
      </w:r>
      <w:r w:rsidR="00F12EE8" w:rsidRPr="00291752">
        <w:rPr>
          <w:lang w:val="fr-CA"/>
        </w:rPr>
        <w:tab/>
      </w:r>
      <w:r w:rsidR="005067DD" w:rsidRPr="00291752">
        <w:rPr>
          <w:lang w:val="fr-CA"/>
        </w:rPr>
        <w:t>une demande en dommages-</w:t>
      </w:r>
      <w:r w:rsidR="00534959" w:rsidRPr="00291752">
        <w:rPr>
          <w:lang w:val="fr-CA"/>
        </w:rPr>
        <w:t xml:space="preserve">intérêts formée au titre de la </w:t>
      </w:r>
      <w:r w:rsidR="00534959" w:rsidRPr="00291752">
        <w:rPr>
          <w:i/>
          <w:lang w:val="fr-CA"/>
        </w:rPr>
        <w:t>Loi sur la responsabilité civile de l’État et le contentieux administratif</w:t>
      </w:r>
      <w:r w:rsidR="00534959" w:rsidRPr="00291752">
        <w:rPr>
          <w:lang w:val="fr-CA"/>
        </w:rPr>
        <w:t>.</w:t>
      </w:r>
    </w:p>
    <w:p w:rsidR="00CB2D3B" w:rsidRPr="00291752" w:rsidRDefault="00CB2D3B" w:rsidP="00CB2D3B">
      <w:pPr>
        <w:pStyle w:val="Citation1"/>
        <w:tabs>
          <w:tab w:val="left" w:pos="1440"/>
          <w:tab w:val="left" w:pos="1980"/>
        </w:tabs>
        <w:ind w:firstLine="4"/>
        <w:rPr>
          <w:lang w:val="fr-CA"/>
        </w:rPr>
      </w:pPr>
    </w:p>
    <w:p w:rsidR="00534959" w:rsidRPr="00291752" w:rsidRDefault="00CB2D3B" w:rsidP="00211FE1">
      <w:pPr>
        <w:pStyle w:val="Citation1"/>
        <w:tabs>
          <w:tab w:val="left" w:pos="1620"/>
        </w:tabs>
        <w:ind w:hanging="1166"/>
        <w:rPr>
          <w:lang w:val="fr-CA"/>
        </w:rPr>
      </w:pPr>
      <w:r w:rsidRPr="00291752">
        <w:rPr>
          <w:lang w:val="fr-CA"/>
        </w:rPr>
        <w:tab/>
      </w:r>
      <w:r w:rsidR="00211FE1" w:rsidRPr="00291752">
        <w:rPr>
          <w:lang w:val="fr-CA"/>
        </w:rPr>
        <w:tab/>
      </w:r>
      <w:r w:rsidR="005971D4" w:rsidRPr="00291752">
        <w:rPr>
          <w:lang w:val="fr-CA"/>
        </w:rPr>
        <w:t xml:space="preserve">(5) [Actions en réparation] </w:t>
      </w:r>
      <w:r w:rsidR="00534959" w:rsidRPr="00291752">
        <w:rPr>
          <w:lang w:val="fr-CA"/>
        </w:rPr>
        <w:t xml:space="preserve">Elle </w:t>
      </w:r>
      <w:proofErr w:type="gramStart"/>
      <w:r w:rsidR="00534959" w:rsidRPr="00291752">
        <w:rPr>
          <w:lang w:val="fr-CA"/>
        </w:rPr>
        <w:t>a</w:t>
      </w:r>
      <w:proofErr w:type="gramEnd"/>
      <w:r w:rsidR="00534959" w:rsidRPr="00291752">
        <w:rPr>
          <w:lang w:val="fr-CA"/>
        </w:rPr>
        <w:t xml:space="preserve"> compétence concurrente, en première instance, dans les actions en réparation intentées :</w:t>
      </w:r>
    </w:p>
    <w:p w:rsidR="005971D4" w:rsidRPr="00291752" w:rsidRDefault="005971D4" w:rsidP="005971D4">
      <w:pPr>
        <w:pStyle w:val="Citation1"/>
        <w:ind w:firstLine="274"/>
        <w:rPr>
          <w:lang w:val="fr-CA"/>
        </w:rPr>
      </w:pPr>
    </w:p>
    <w:p w:rsidR="00534959" w:rsidRPr="00291752" w:rsidRDefault="00534959" w:rsidP="00534959">
      <w:pPr>
        <w:pStyle w:val="Citation1"/>
        <w:spacing w:after="240"/>
        <w:contextualSpacing w:val="0"/>
        <w:jc w:val="center"/>
        <w:rPr>
          <w:lang w:val="fr-CA"/>
        </w:rPr>
      </w:pPr>
      <w:r w:rsidRPr="00291752">
        <w:rPr>
          <w:lang w:val="fr-CA"/>
        </w:rPr>
        <w:t>. . .</w:t>
      </w:r>
    </w:p>
    <w:p w:rsidR="00534959" w:rsidRPr="00291752" w:rsidRDefault="00211FE1" w:rsidP="00211FE1">
      <w:pPr>
        <w:pStyle w:val="Citation1"/>
        <w:tabs>
          <w:tab w:val="left" w:pos="1170"/>
          <w:tab w:val="left" w:pos="1620"/>
          <w:tab w:val="left" w:pos="1980"/>
        </w:tabs>
        <w:ind w:left="1620" w:hanging="1620"/>
        <w:rPr>
          <w:lang w:val="fr-CA"/>
        </w:rPr>
      </w:pPr>
      <w:r w:rsidRPr="00291752">
        <w:rPr>
          <w:i/>
          <w:lang w:val="fr-CA"/>
        </w:rPr>
        <w:tab/>
      </w:r>
      <w:r w:rsidRPr="00291752">
        <w:rPr>
          <w:i/>
          <w:lang w:val="fr-CA"/>
        </w:rPr>
        <w:tab/>
      </w:r>
      <w:r w:rsidR="00534959" w:rsidRPr="00291752">
        <w:rPr>
          <w:i/>
          <w:lang w:val="fr-CA"/>
        </w:rPr>
        <w:t>b</w:t>
      </w:r>
      <w:r w:rsidR="00534959" w:rsidRPr="00291752">
        <w:rPr>
          <w:lang w:val="fr-CA"/>
        </w:rPr>
        <w:t>)</w:t>
      </w:r>
      <w:r w:rsidR="00F12EE8" w:rsidRPr="00291752">
        <w:rPr>
          <w:lang w:val="fr-CA"/>
        </w:rPr>
        <w:tab/>
      </w:r>
      <w:r w:rsidR="00534959" w:rsidRPr="00291752">
        <w:rPr>
          <w:lang w:val="fr-CA"/>
        </w:rPr>
        <w:t>contre un fonctionnaire, préposé ou mandataire de la Couronne pour des faits — actes ou omissions — survenus dans le cadre de ses fonctions.</w:t>
      </w:r>
    </w:p>
    <w:p w:rsidR="00534959" w:rsidRPr="00291752" w:rsidRDefault="00534959" w:rsidP="00534959">
      <w:pPr>
        <w:pStyle w:val="Citation1"/>
        <w:spacing w:after="240"/>
        <w:contextualSpacing w:val="0"/>
        <w:rPr>
          <w:lang w:val="fr-CA"/>
        </w:rPr>
      </w:pPr>
    </w:p>
    <w:p w:rsidR="00534959" w:rsidRPr="00291752" w:rsidRDefault="00534959" w:rsidP="00211FE1">
      <w:pPr>
        <w:pStyle w:val="Citation1"/>
        <w:tabs>
          <w:tab w:val="left" w:pos="1620"/>
        </w:tabs>
        <w:ind w:hanging="1166"/>
        <w:rPr>
          <w:lang w:val="fr-CA"/>
        </w:rPr>
      </w:pPr>
      <w:r w:rsidRPr="00291752">
        <w:rPr>
          <w:b/>
          <w:lang w:val="fr-CA"/>
        </w:rPr>
        <w:tab/>
      </w:r>
      <w:r w:rsidR="00211FE1" w:rsidRPr="00291752">
        <w:rPr>
          <w:b/>
          <w:lang w:val="fr-CA"/>
        </w:rPr>
        <w:tab/>
      </w:r>
      <w:r w:rsidRPr="00291752">
        <w:rPr>
          <w:b/>
          <w:lang w:val="fr-CA"/>
        </w:rPr>
        <w:t>18.</w:t>
      </w:r>
      <w:r w:rsidR="00694744" w:rsidRPr="00291752">
        <w:rPr>
          <w:b/>
          <w:lang w:val="fr-CA"/>
        </w:rPr>
        <w:t xml:space="preserve"> </w:t>
      </w:r>
      <w:r w:rsidR="005971D4" w:rsidRPr="00291752">
        <w:rPr>
          <w:lang w:val="fr-CA"/>
        </w:rPr>
        <w:t>(1)</w:t>
      </w:r>
      <w:r w:rsidR="00F12EE8" w:rsidRPr="00291752">
        <w:rPr>
          <w:lang w:val="fr-CA"/>
        </w:rPr>
        <w:t xml:space="preserve"> </w:t>
      </w:r>
      <w:r w:rsidRPr="00291752">
        <w:rPr>
          <w:lang w:val="fr-CA"/>
        </w:rPr>
        <w:t>[Recours extraordinaires : offices fédéraux] Sous réserve de l’article 28, la Cour fédérale a compétence exclusive, en première instance, pour :</w:t>
      </w:r>
    </w:p>
    <w:p w:rsidR="00CB2D3B" w:rsidRPr="00291752" w:rsidRDefault="00CB2D3B" w:rsidP="00CB2D3B">
      <w:pPr>
        <w:pStyle w:val="Citation1"/>
        <w:tabs>
          <w:tab w:val="left" w:pos="1440"/>
          <w:tab w:val="left" w:pos="1980"/>
        </w:tabs>
        <w:ind w:firstLine="4"/>
        <w:rPr>
          <w:lang w:val="fr-CA"/>
        </w:rPr>
      </w:pPr>
    </w:p>
    <w:p w:rsidR="00534959" w:rsidRPr="00291752" w:rsidRDefault="00CB2D3B" w:rsidP="00211FE1">
      <w:pPr>
        <w:pStyle w:val="Citation1"/>
        <w:tabs>
          <w:tab w:val="left" w:pos="1170"/>
          <w:tab w:val="left" w:pos="1620"/>
          <w:tab w:val="left" w:pos="1980"/>
        </w:tabs>
        <w:ind w:left="1620" w:hanging="1620"/>
        <w:rPr>
          <w:lang w:val="fr-CA"/>
        </w:rPr>
      </w:pPr>
      <w:r w:rsidRPr="00291752">
        <w:rPr>
          <w:i/>
          <w:lang w:val="fr-CA"/>
        </w:rPr>
        <w:tab/>
      </w:r>
      <w:r w:rsidR="00211FE1" w:rsidRPr="00291752">
        <w:rPr>
          <w:i/>
          <w:lang w:val="fr-CA"/>
        </w:rPr>
        <w:tab/>
      </w:r>
      <w:r w:rsidR="00534959" w:rsidRPr="00291752">
        <w:rPr>
          <w:i/>
          <w:lang w:val="fr-CA"/>
        </w:rPr>
        <w:t>a</w:t>
      </w:r>
      <w:r w:rsidR="00F12EE8" w:rsidRPr="00291752">
        <w:rPr>
          <w:lang w:val="fr-CA"/>
        </w:rPr>
        <w:t>)</w:t>
      </w:r>
      <w:r w:rsidR="00F12EE8" w:rsidRPr="00291752">
        <w:rPr>
          <w:lang w:val="fr-CA"/>
        </w:rPr>
        <w:tab/>
      </w:r>
      <w:r w:rsidR="00534959" w:rsidRPr="00291752">
        <w:rPr>
          <w:lang w:val="fr-CA"/>
        </w:rPr>
        <w:t xml:space="preserve">décerner une injonction, un bref de </w:t>
      </w:r>
      <w:r w:rsidR="00534959" w:rsidRPr="00291752">
        <w:rPr>
          <w:i/>
          <w:lang w:val="fr-CA"/>
        </w:rPr>
        <w:t>certiorari</w:t>
      </w:r>
      <w:r w:rsidR="00534959" w:rsidRPr="00291752">
        <w:rPr>
          <w:lang w:val="fr-CA"/>
        </w:rPr>
        <w:t xml:space="preserve">, de </w:t>
      </w:r>
      <w:r w:rsidR="00534959" w:rsidRPr="00291752">
        <w:rPr>
          <w:i/>
          <w:lang w:val="fr-CA"/>
        </w:rPr>
        <w:t>mandamus</w:t>
      </w:r>
      <w:r w:rsidR="00534959" w:rsidRPr="00291752">
        <w:rPr>
          <w:lang w:val="fr-CA"/>
        </w:rPr>
        <w:t xml:space="preserve">, de prohibition ou de </w:t>
      </w:r>
      <w:r w:rsidR="00534959" w:rsidRPr="00291752">
        <w:rPr>
          <w:i/>
          <w:lang w:val="fr-CA"/>
        </w:rPr>
        <w:t>quo warranto</w:t>
      </w:r>
      <w:r w:rsidR="00534959" w:rsidRPr="00291752">
        <w:rPr>
          <w:lang w:val="fr-CA"/>
        </w:rPr>
        <w:t>, ou pour rendre un jugement déclaratoire contre tout office fédéral;</w:t>
      </w:r>
    </w:p>
    <w:p w:rsidR="00CB2D3B" w:rsidRPr="00291752" w:rsidRDefault="00CB2D3B" w:rsidP="00CB2D3B">
      <w:pPr>
        <w:pStyle w:val="Citation1"/>
        <w:tabs>
          <w:tab w:val="left" w:pos="1440"/>
          <w:tab w:val="left" w:pos="1980"/>
        </w:tabs>
        <w:ind w:firstLine="4"/>
        <w:rPr>
          <w:lang w:val="fr-CA"/>
        </w:rPr>
      </w:pPr>
    </w:p>
    <w:p w:rsidR="00534959" w:rsidRPr="00291752" w:rsidRDefault="00211FE1" w:rsidP="00211FE1">
      <w:pPr>
        <w:pStyle w:val="Citation1"/>
        <w:tabs>
          <w:tab w:val="left" w:pos="1170"/>
          <w:tab w:val="left" w:pos="1620"/>
          <w:tab w:val="left" w:pos="1980"/>
        </w:tabs>
        <w:ind w:left="1620" w:hanging="1620"/>
        <w:rPr>
          <w:lang w:val="fr-CA"/>
        </w:rPr>
      </w:pPr>
      <w:r w:rsidRPr="00291752">
        <w:rPr>
          <w:i/>
          <w:lang w:val="fr-CA"/>
        </w:rPr>
        <w:tab/>
      </w:r>
      <w:r w:rsidR="00CB2D3B" w:rsidRPr="00291752">
        <w:rPr>
          <w:i/>
          <w:lang w:val="fr-CA"/>
        </w:rPr>
        <w:tab/>
      </w:r>
      <w:r w:rsidR="00534959" w:rsidRPr="00291752">
        <w:rPr>
          <w:i/>
          <w:lang w:val="fr-CA"/>
        </w:rPr>
        <w:t>b</w:t>
      </w:r>
      <w:r w:rsidR="005971D4" w:rsidRPr="00291752">
        <w:rPr>
          <w:lang w:val="fr-CA"/>
        </w:rPr>
        <w:t>)</w:t>
      </w:r>
      <w:r w:rsidR="00F12EE8" w:rsidRPr="00291752">
        <w:rPr>
          <w:lang w:val="fr-CA"/>
        </w:rPr>
        <w:tab/>
      </w:r>
      <w:r w:rsidR="00534959" w:rsidRPr="00291752">
        <w:rPr>
          <w:lang w:val="fr-CA"/>
        </w:rPr>
        <w:t xml:space="preserve">connaître de toute demande de réparation de la nature visée par l’alinéa </w:t>
      </w:r>
      <w:r w:rsidR="00534959" w:rsidRPr="00291752">
        <w:rPr>
          <w:i/>
          <w:lang w:val="fr-CA"/>
        </w:rPr>
        <w:t>a</w:t>
      </w:r>
      <w:r w:rsidR="00534959" w:rsidRPr="00291752">
        <w:rPr>
          <w:lang w:val="fr-CA"/>
        </w:rPr>
        <w:t>), et notamment de toute procédure engagée contre le procureur général du Canada afin d’obtenir réparation de la part d’un office fédéral.</w:t>
      </w:r>
    </w:p>
    <w:p w:rsidR="00CB2D3B" w:rsidRPr="00291752" w:rsidRDefault="00CB2D3B" w:rsidP="00CB2D3B">
      <w:pPr>
        <w:pStyle w:val="Citation1"/>
        <w:tabs>
          <w:tab w:val="left" w:pos="1440"/>
          <w:tab w:val="left" w:pos="1980"/>
        </w:tabs>
        <w:ind w:firstLine="4"/>
        <w:rPr>
          <w:lang w:val="fr-CA"/>
        </w:rPr>
      </w:pPr>
    </w:p>
    <w:p w:rsidR="00534959" w:rsidRPr="00291752" w:rsidRDefault="00534959" w:rsidP="00534959">
      <w:pPr>
        <w:pStyle w:val="Citation1"/>
        <w:spacing w:after="240"/>
        <w:contextualSpacing w:val="0"/>
        <w:jc w:val="center"/>
        <w:rPr>
          <w:lang w:val="fr-CA"/>
        </w:rPr>
      </w:pPr>
      <w:r w:rsidRPr="00291752">
        <w:rPr>
          <w:lang w:val="fr-CA"/>
        </w:rPr>
        <w:t>. . .</w:t>
      </w:r>
    </w:p>
    <w:p w:rsidR="00534959" w:rsidRPr="00291752" w:rsidRDefault="00534959" w:rsidP="00211FE1">
      <w:pPr>
        <w:pStyle w:val="Citation1"/>
        <w:tabs>
          <w:tab w:val="left" w:pos="1620"/>
        </w:tabs>
        <w:ind w:hanging="1166"/>
        <w:rPr>
          <w:lang w:val="fr-CA"/>
        </w:rPr>
      </w:pPr>
      <w:r w:rsidRPr="00291752">
        <w:rPr>
          <w:lang w:val="fr-CA"/>
        </w:rPr>
        <w:tab/>
      </w:r>
      <w:r w:rsidR="00211FE1" w:rsidRPr="00291752">
        <w:rPr>
          <w:lang w:val="fr-CA"/>
        </w:rPr>
        <w:tab/>
      </w:r>
      <w:r w:rsidR="00F12EE8" w:rsidRPr="00291752">
        <w:rPr>
          <w:lang w:val="fr-CA"/>
        </w:rPr>
        <w:t xml:space="preserve">(3) </w:t>
      </w:r>
      <w:r w:rsidRPr="00291752">
        <w:rPr>
          <w:lang w:val="fr-CA"/>
        </w:rPr>
        <w:t>[Exercice des recours] Les recours prévus aux paragraphes (1) ou (2) sont exercés par présentation d’une demande de contrôle judiciaire.</w:t>
      </w:r>
    </w:p>
    <w:p w:rsidR="00CB2D3B" w:rsidRPr="00291752" w:rsidRDefault="00CB2D3B" w:rsidP="00CB2D3B">
      <w:pPr>
        <w:pStyle w:val="Citation1"/>
        <w:tabs>
          <w:tab w:val="left" w:pos="1440"/>
          <w:tab w:val="left" w:pos="1980"/>
        </w:tabs>
        <w:ind w:firstLine="4"/>
        <w:rPr>
          <w:lang w:val="fr-CA"/>
        </w:rPr>
      </w:pPr>
    </w:p>
    <w:p w:rsidR="00534959" w:rsidRPr="00291752" w:rsidRDefault="00534959" w:rsidP="00211FE1">
      <w:pPr>
        <w:pStyle w:val="Citation1"/>
        <w:tabs>
          <w:tab w:val="left" w:pos="1620"/>
        </w:tabs>
        <w:ind w:hanging="1166"/>
        <w:rPr>
          <w:lang w:val="fr-CA"/>
        </w:rPr>
      </w:pPr>
      <w:r w:rsidRPr="00291752">
        <w:rPr>
          <w:b/>
          <w:lang w:val="fr-CA"/>
        </w:rPr>
        <w:tab/>
      </w:r>
      <w:r w:rsidR="00211FE1" w:rsidRPr="00291752">
        <w:rPr>
          <w:b/>
          <w:lang w:val="fr-CA"/>
        </w:rPr>
        <w:tab/>
      </w:r>
      <w:r w:rsidRPr="00291752">
        <w:rPr>
          <w:b/>
          <w:lang w:val="fr-CA"/>
        </w:rPr>
        <w:t>18.1</w:t>
      </w:r>
      <w:r w:rsidR="00694744" w:rsidRPr="00291752">
        <w:rPr>
          <w:b/>
          <w:lang w:val="fr-CA"/>
        </w:rPr>
        <w:t xml:space="preserve"> </w:t>
      </w:r>
      <w:r w:rsidR="005971D4" w:rsidRPr="00291752">
        <w:rPr>
          <w:lang w:val="fr-CA"/>
        </w:rPr>
        <w:t>(1)</w:t>
      </w:r>
      <w:r w:rsidR="00F12EE8" w:rsidRPr="00291752">
        <w:rPr>
          <w:lang w:val="fr-CA"/>
        </w:rPr>
        <w:t xml:space="preserve"> </w:t>
      </w:r>
      <w:r w:rsidRPr="00291752">
        <w:rPr>
          <w:lang w:val="fr-CA"/>
        </w:rPr>
        <w:t>[Demande de contrôle judiciaire] Une demande de contrôle judiciaire peut être présentée par le procureur général du Canada ou par quiconque est directement touché par l’objet de la demande.</w:t>
      </w:r>
    </w:p>
    <w:p w:rsidR="00CB2D3B" w:rsidRPr="00291752" w:rsidRDefault="00CB2D3B" w:rsidP="00CB2D3B">
      <w:pPr>
        <w:pStyle w:val="Citation1"/>
        <w:tabs>
          <w:tab w:val="left" w:pos="1440"/>
          <w:tab w:val="left" w:pos="1980"/>
        </w:tabs>
        <w:ind w:firstLine="4"/>
        <w:rPr>
          <w:lang w:val="fr-CA"/>
        </w:rPr>
      </w:pPr>
    </w:p>
    <w:p w:rsidR="00534959" w:rsidRPr="00291752" w:rsidRDefault="00534959" w:rsidP="00211FE1">
      <w:pPr>
        <w:pStyle w:val="Citation1"/>
        <w:tabs>
          <w:tab w:val="left" w:pos="1620"/>
        </w:tabs>
        <w:ind w:hanging="1166"/>
        <w:rPr>
          <w:lang w:val="fr-CA"/>
        </w:rPr>
      </w:pPr>
      <w:r w:rsidRPr="00291752">
        <w:rPr>
          <w:lang w:val="fr-CA"/>
        </w:rPr>
        <w:lastRenderedPageBreak/>
        <w:tab/>
      </w:r>
      <w:r w:rsidR="00211FE1" w:rsidRPr="00291752">
        <w:rPr>
          <w:lang w:val="fr-CA"/>
        </w:rPr>
        <w:tab/>
      </w:r>
      <w:r w:rsidR="00F12EE8" w:rsidRPr="00291752">
        <w:rPr>
          <w:lang w:val="fr-CA"/>
        </w:rPr>
        <w:t xml:space="preserve">(2) </w:t>
      </w:r>
      <w:r w:rsidRPr="00291752">
        <w:rPr>
          <w:lang w:val="fr-CA"/>
        </w:rPr>
        <w:t>[Délai de présentation] Les demandes de contrôle judiciaire sont à présenter dans les trente jours qui suivent la première communication, par l’office fédéral, de sa décision ou de s</w:t>
      </w:r>
      <w:r w:rsidR="00F12EE8" w:rsidRPr="00291752">
        <w:rPr>
          <w:lang w:val="fr-CA"/>
        </w:rPr>
        <w:t>on ordonnance au bureau du sous-</w:t>
      </w:r>
      <w:r w:rsidRPr="00291752">
        <w:rPr>
          <w:lang w:val="fr-CA"/>
        </w:rPr>
        <w:t>procureur général du Canada ou à la partie concernée, ou dans le délai supplémentaire qu’un juge de la Cour fédérale peut, avant ou après l’expiration de ces trente jours, fixer ou accorder.</w:t>
      </w:r>
    </w:p>
    <w:p w:rsidR="00CB2D3B" w:rsidRPr="00291752" w:rsidRDefault="00CB2D3B" w:rsidP="00CB2D3B">
      <w:pPr>
        <w:pStyle w:val="Citation1"/>
        <w:tabs>
          <w:tab w:val="left" w:pos="1440"/>
          <w:tab w:val="left" w:pos="1980"/>
        </w:tabs>
        <w:ind w:firstLine="4"/>
        <w:rPr>
          <w:lang w:val="fr-CA"/>
        </w:rPr>
      </w:pPr>
    </w:p>
    <w:p w:rsidR="00534959" w:rsidRPr="00291752" w:rsidRDefault="00534959" w:rsidP="00211FE1">
      <w:pPr>
        <w:pStyle w:val="Citation1"/>
        <w:tabs>
          <w:tab w:val="left" w:pos="1620"/>
        </w:tabs>
        <w:ind w:hanging="1166"/>
        <w:rPr>
          <w:lang w:val="fr-CA"/>
        </w:rPr>
      </w:pPr>
      <w:r w:rsidRPr="00291752">
        <w:rPr>
          <w:lang w:val="fr-CA"/>
        </w:rPr>
        <w:tab/>
      </w:r>
      <w:r w:rsidR="00211FE1" w:rsidRPr="00291752">
        <w:rPr>
          <w:lang w:val="fr-CA"/>
        </w:rPr>
        <w:tab/>
      </w:r>
      <w:r w:rsidR="00F12EE8" w:rsidRPr="00291752">
        <w:rPr>
          <w:lang w:val="fr-CA"/>
        </w:rPr>
        <w:t xml:space="preserve">(3) </w:t>
      </w:r>
      <w:r w:rsidRPr="00291752">
        <w:rPr>
          <w:lang w:val="fr-CA"/>
        </w:rPr>
        <w:t>[Pouvoirs de la Cour fédérale] Sur présentation d’une demande de contrôle judiciaire, la Cour fédérale peut :</w:t>
      </w:r>
    </w:p>
    <w:p w:rsidR="00CB2D3B" w:rsidRPr="00291752" w:rsidRDefault="00CB2D3B" w:rsidP="00CB2D3B">
      <w:pPr>
        <w:pStyle w:val="Citation1"/>
        <w:tabs>
          <w:tab w:val="left" w:pos="1440"/>
          <w:tab w:val="left" w:pos="1980"/>
        </w:tabs>
        <w:ind w:firstLine="4"/>
        <w:rPr>
          <w:lang w:val="fr-CA"/>
        </w:rPr>
      </w:pPr>
    </w:p>
    <w:p w:rsidR="00534959" w:rsidRPr="00291752" w:rsidRDefault="00211FE1" w:rsidP="00211FE1">
      <w:pPr>
        <w:pStyle w:val="Citation1"/>
        <w:tabs>
          <w:tab w:val="left" w:pos="1170"/>
          <w:tab w:val="left" w:pos="1620"/>
          <w:tab w:val="left" w:pos="1980"/>
        </w:tabs>
        <w:ind w:left="1620" w:hanging="1620"/>
        <w:rPr>
          <w:lang w:val="fr-CA"/>
        </w:rPr>
      </w:pPr>
      <w:r w:rsidRPr="00291752">
        <w:rPr>
          <w:i/>
          <w:lang w:val="fr-CA"/>
        </w:rPr>
        <w:tab/>
      </w:r>
      <w:r w:rsidR="00CB2D3B" w:rsidRPr="00291752">
        <w:rPr>
          <w:i/>
          <w:lang w:val="fr-CA"/>
        </w:rPr>
        <w:tab/>
      </w:r>
      <w:r w:rsidR="00534959" w:rsidRPr="00291752">
        <w:rPr>
          <w:i/>
          <w:lang w:val="fr-CA"/>
        </w:rPr>
        <w:t>a</w:t>
      </w:r>
      <w:r w:rsidR="00534959" w:rsidRPr="00291752">
        <w:rPr>
          <w:lang w:val="fr-CA"/>
        </w:rPr>
        <w:t>)</w:t>
      </w:r>
      <w:r w:rsidR="00F12EE8" w:rsidRPr="00291752">
        <w:rPr>
          <w:lang w:val="fr-CA"/>
        </w:rPr>
        <w:tab/>
      </w:r>
      <w:r w:rsidR="00534959" w:rsidRPr="00291752">
        <w:rPr>
          <w:lang w:val="fr-CA"/>
        </w:rPr>
        <w:t>ordonner à l’office fédéral en cause d’accomplir tout acte qu’il a illégalement omis ou refusé d’accomplir ou dont il a retardé l’exécution de manière déraisonnable;</w:t>
      </w:r>
    </w:p>
    <w:p w:rsidR="00CB2D3B" w:rsidRPr="00291752" w:rsidRDefault="00CB2D3B" w:rsidP="00CB2D3B">
      <w:pPr>
        <w:pStyle w:val="Citation1"/>
        <w:tabs>
          <w:tab w:val="left" w:pos="1440"/>
          <w:tab w:val="left" w:pos="1980"/>
        </w:tabs>
        <w:ind w:firstLine="4"/>
        <w:rPr>
          <w:lang w:val="fr-CA"/>
        </w:rPr>
      </w:pPr>
    </w:p>
    <w:p w:rsidR="00534959" w:rsidRPr="00291752" w:rsidRDefault="00211FE1" w:rsidP="00211FE1">
      <w:pPr>
        <w:pStyle w:val="Citation1"/>
        <w:tabs>
          <w:tab w:val="left" w:pos="1170"/>
          <w:tab w:val="left" w:pos="1620"/>
          <w:tab w:val="left" w:pos="1980"/>
        </w:tabs>
        <w:ind w:left="1620" w:hanging="1620"/>
        <w:rPr>
          <w:lang w:val="fr-CA"/>
        </w:rPr>
      </w:pPr>
      <w:r w:rsidRPr="00291752">
        <w:rPr>
          <w:i/>
          <w:lang w:val="fr-CA"/>
        </w:rPr>
        <w:tab/>
      </w:r>
      <w:r w:rsidR="00CB2D3B" w:rsidRPr="00291752">
        <w:rPr>
          <w:i/>
          <w:lang w:val="fr-CA"/>
        </w:rPr>
        <w:tab/>
      </w:r>
      <w:r w:rsidR="00534959" w:rsidRPr="00291752">
        <w:rPr>
          <w:i/>
          <w:lang w:val="fr-CA"/>
        </w:rPr>
        <w:t>b</w:t>
      </w:r>
      <w:r w:rsidR="00F12EE8" w:rsidRPr="00291752">
        <w:rPr>
          <w:lang w:val="fr-CA"/>
        </w:rPr>
        <w:t>)</w:t>
      </w:r>
      <w:r w:rsidR="00F12EE8" w:rsidRPr="00291752">
        <w:rPr>
          <w:lang w:val="fr-CA"/>
        </w:rPr>
        <w:tab/>
      </w:r>
      <w:r w:rsidR="00534959" w:rsidRPr="00291752">
        <w:rPr>
          <w:lang w:val="fr-CA"/>
        </w:rPr>
        <w:t>déclarer nul ou illégal, ou annuler, ou infirmer et renvoyer pour jugement conformément aux instructions qu’elle estime appropriées, ou prohiber ou encore restreindre toute décision, ordonnance, procédure ou tout autre acte de l’office fédéral.</w:t>
      </w:r>
    </w:p>
    <w:p w:rsidR="00534959" w:rsidRPr="00291752" w:rsidRDefault="00534959" w:rsidP="00534959">
      <w:pPr>
        <w:pStyle w:val="Citation1"/>
        <w:spacing w:after="240"/>
        <w:contextualSpacing w:val="0"/>
        <w:rPr>
          <w:lang w:val="fr-CA"/>
        </w:rPr>
      </w:pPr>
    </w:p>
    <w:p w:rsidR="00534959" w:rsidRPr="00291752" w:rsidRDefault="00534959" w:rsidP="00211FE1">
      <w:pPr>
        <w:pStyle w:val="Citation1"/>
        <w:tabs>
          <w:tab w:val="left" w:pos="1620"/>
        </w:tabs>
        <w:ind w:hanging="1166"/>
        <w:rPr>
          <w:lang w:val="fr-CA"/>
        </w:rPr>
      </w:pPr>
      <w:r w:rsidRPr="00291752">
        <w:rPr>
          <w:b/>
          <w:lang w:val="fr-CA"/>
        </w:rPr>
        <w:tab/>
      </w:r>
      <w:r w:rsidR="00211FE1" w:rsidRPr="00291752">
        <w:rPr>
          <w:b/>
          <w:lang w:val="fr-CA"/>
        </w:rPr>
        <w:tab/>
      </w:r>
      <w:r w:rsidRPr="00291752">
        <w:rPr>
          <w:b/>
          <w:lang w:val="fr-CA"/>
        </w:rPr>
        <w:t>18.4</w:t>
      </w:r>
      <w:r w:rsidR="00694744" w:rsidRPr="00291752">
        <w:rPr>
          <w:b/>
          <w:lang w:val="fr-CA"/>
        </w:rPr>
        <w:t xml:space="preserve"> </w:t>
      </w:r>
      <w:r w:rsidR="00F12EE8" w:rsidRPr="00291752">
        <w:rPr>
          <w:lang w:val="fr-CA"/>
        </w:rPr>
        <w:t xml:space="preserve">(1) </w:t>
      </w:r>
      <w:r w:rsidRPr="00291752">
        <w:rPr>
          <w:lang w:val="fr-CA"/>
        </w:rPr>
        <w:t>[Procédure sommaire d’audition] Sous réserve du paragraphe (2), la Cour fédérale statue à bref délai et selon une procédure sommaire sur les demandes et les renvois qui lui sont prése</w:t>
      </w:r>
      <w:r w:rsidR="00F12EE8" w:rsidRPr="00291752">
        <w:rPr>
          <w:lang w:val="fr-CA"/>
        </w:rPr>
        <w:t>ntés dans le cadre des articles 1</w:t>
      </w:r>
      <w:r w:rsidRPr="00291752">
        <w:rPr>
          <w:lang w:val="fr-CA"/>
        </w:rPr>
        <w:t>8.1 à 18.3.</w:t>
      </w:r>
    </w:p>
    <w:p w:rsidR="00CB2D3B" w:rsidRPr="00291752" w:rsidRDefault="00CB2D3B" w:rsidP="00CB2D3B">
      <w:pPr>
        <w:pStyle w:val="Citation1"/>
        <w:tabs>
          <w:tab w:val="left" w:pos="1440"/>
          <w:tab w:val="left" w:pos="1980"/>
        </w:tabs>
        <w:ind w:firstLine="4"/>
        <w:rPr>
          <w:lang w:val="fr-CA"/>
        </w:rPr>
      </w:pPr>
    </w:p>
    <w:p w:rsidR="00534959" w:rsidRPr="00291752" w:rsidRDefault="00534959" w:rsidP="00211FE1">
      <w:pPr>
        <w:pStyle w:val="Citation1"/>
        <w:tabs>
          <w:tab w:val="left" w:pos="1620"/>
        </w:tabs>
        <w:ind w:hanging="1166"/>
        <w:rPr>
          <w:lang w:val="fr-CA"/>
        </w:rPr>
      </w:pPr>
      <w:r w:rsidRPr="00291752">
        <w:rPr>
          <w:lang w:val="fr-CA"/>
        </w:rPr>
        <w:tab/>
      </w:r>
      <w:r w:rsidR="00211FE1" w:rsidRPr="00291752">
        <w:rPr>
          <w:lang w:val="fr-CA"/>
        </w:rPr>
        <w:tab/>
      </w:r>
      <w:r w:rsidR="00F12EE8" w:rsidRPr="00291752">
        <w:rPr>
          <w:lang w:val="fr-CA"/>
        </w:rPr>
        <w:t xml:space="preserve">(2) </w:t>
      </w:r>
      <w:r w:rsidRPr="00291752">
        <w:rPr>
          <w:lang w:val="fr-CA"/>
        </w:rPr>
        <w:t>[Exception] Elle peut, si elle l’estime indiqué, ordonner qu’une demande de contrôle judiciaire soit instruite comme s’il s’agissait d’une action.</w:t>
      </w:r>
    </w:p>
    <w:p w:rsidR="00534959" w:rsidRPr="00291752" w:rsidRDefault="00534959" w:rsidP="00440093">
      <w:pPr>
        <w:spacing w:after="720"/>
        <w:rPr>
          <w:lang w:val="fr-CA"/>
        </w:rPr>
      </w:pPr>
      <w:r w:rsidRPr="00291752">
        <w:rPr>
          <w:i/>
          <w:lang w:val="fr-CA"/>
        </w:rPr>
        <w:t>Loi sur la responsabilité civile de l’État et le contentieux administratif</w:t>
      </w:r>
      <w:r w:rsidRPr="00291752">
        <w:rPr>
          <w:lang w:val="fr-CA"/>
        </w:rPr>
        <w:t>, L.R.C. 1985, ch. C</w:t>
      </w:r>
      <w:r w:rsidRPr="00291752">
        <w:rPr>
          <w:lang w:val="fr-CA"/>
        </w:rPr>
        <w:noBreakHyphen/>
        <w:t>50</w:t>
      </w:r>
    </w:p>
    <w:p w:rsidR="00534959" w:rsidRPr="00291752" w:rsidRDefault="00D22989" w:rsidP="00211FE1">
      <w:pPr>
        <w:pStyle w:val="Citation1"/>
        <w:tabs>
          <w:tab w:val="left" w:pos="1620"/>
        </w:tabs>
        <w:ind w:hanging="1166"/>
        <w:rPr>
          <w:lang w:val="fr-CA"/>
        </w:rPr>
      </w:pPr>
      <w:r w:rsidRPr="00291752">
        <w:rPr>
          <w:b/>
          <w:lang w:val="fr-CA"/>
        </w:rPr>
        <w:tab/>
      </w:r>
      <w:r w:rsidR="00211FE1" w:rsidRPr="00291752">
        <w:rPr>
          <w:b/>
          <w:lang w:val="fr-CA"/>
        </w:rPr>
        <w:tab/>
      </w:r>
      <w:r w:rsidR="00534959" w:rsidRPr="00291752">
        <w:rPr>
          <w:b/>
          <w:lang w:val="fr-CA"/>
        </w:rPr>
        <w:t>3.</w:t>
      </w:r>
      <w:r w:rsidR="00F12EE8" w:rsidRPr="00291752">
        <w:rPr>
          <w:b/>
          <w:lang w:val="fr-CA"/>
        </w:rPr>
        <w:t xml:space="preserve"> </w:t>
      </w:r>
      <w:r w:rsidR="00534959" w:rsidRPr="00291752">
        <w:rPr>
          <w:lang w:val="fr-CA"/>
        </w:rPr>
        <w:t>[Responsabilité] En matière de responsabilité, l’État est assimilé à une personne pour :</w:t>
      </w:r>
    </w:p>
    <w:p w:rsidR="00CB2D3B" w:rsidRPr="00291752" w:rsidRDefault="00CB2D3B" w:rsidP="00CB2D3B">
      <w:pPr>
        <w:pStyle w:val="Citation1"/>
        <w:tabs>
          <w:tab w:val="left" w:pos="1440"/>
          <w:tab w:val="left" w:pos="1980"/>
        </w:tabs>
        <w:ind w:firstLine="4"/>
        <w:rPr>
          <w:lang w:val="fr-CA"/>
        </w:rPr>
      </w:pPr>
    </w:p>
    <w:p w:rsidR="00534959" w:rsidRPr="00291752" w:rsidRDefault="00CB2D3B" w:rsidP="00211FE1">
      <w:pPr>
        <w:pStyle w:val="Citation1"/>
        <w:tabs>
          <w:tab w:val="left" w:pos="1170"/>
          <w:tab w:val="left" w:pos="1620"/>
          <w:tab w:val="left" w:pos="1980"/>
        </w:tabs>
        <w:ind w:left="1620" w:hanging="1620"/>
        <w:rPr>
          <w:lang w:val="fr-CA"/>
        </w:rPr>
      </w:pPr>
      <w:r w:rsidRPr="00291752">
        <w:rPr>
          <w:i/>
          <w:lang w:val="fr-CA"/>
        </w:rPr>
        <w:tab/>
      </w:r>
      <w:r w:rsidR="00211FE1" w:rsidRPr="00291752">
        <w:rPr>
          <w:i/>
          <w:lang w:val="fr-CA"/>
        </w:rPr>
        <w:tab/>
      </w:r>
      <w:r w:rsidR="00534959" w:rsidRPr="00291752">
        <w:rPr>
          <w:i/>
          <w:lang w:val="fr-CA"/>
        </w:rPr>
        <w:t>a</w:t>
      </w:r>
      <w:r w:rsidR="00534959" w:rsidRPr="00291752">
        <w:rPr>
          <w:lang w:val="fr-CA"/>
        </w:rPr>
        <w:t>)</w:t>
      </w:r>
      <w:r w:rsidR="00F12EE8" w:rsidRPr="00291752">
        <w:rPr>
          <w:lang w:val="fr-CA"/>
        </w:rPr>
        <w:tab/>
      </w:r>
      <w:r w:rsidR="00534959" w:rsidRPr="00291752">
        <w:rPr>
          <w:lang w:val="fr-CA"/>
        </w:rPr>
        <w:t>dans la province de Québec :</w:t>
      </w:r>
    </w:p>
    <w:p w:rsidR="00CB2D3B" w:rsidRPr="00291752" w:rsidRDefault="00CB2D3B" w:rsidP="00CB2D3B">
      <w:pPr>
        <w:pStyle w:val="Citation1"/>
        <w:tabs>
          <w:tab w:val="left" w:pos="1440"/>
          <w:tab w:val="left" w:pos="1980"/>
        </w:tabs>
        <w:ind w:firstLine="4"/>
        <w:rPr>
          <w:lang w:val="fr-CA"/>
        </w:rPr>
      </w:pPr>
    </w:p>
    <w:p w:rsidR="00534959" w:rsidRPr="00291752" w:rsidRDefault="00CB2D3B" w:rsidP="00305EAE">
      <w:pPr>
        <w:pStyle w:val="Citation1"/>
        <w:tabs>
          <w:tab w:val="left" w:pos="1440"/>
          <w:tab w:val="left" w:pos="1980"/>
          <w:tab w:val="left" w:pos="2520"/>
        </w:tabs>
        <w:ind w:left="1980" w:hanging="1980"/>
        <w:rPr>
          <w:lang w:val="fr-CA"/>
        </w:rPr>
      </w:pPr>
      <w:r w:rsidRPr="00291752">
        <w:rPr>
          <w:lang w:val="fr-CA"/>
        </w:rPr>
        <w:tab/>
      </w:r>
      <w:r w:rsidRPr="00291752">
        <w:rPr>
          <w:lang w:val="fr-CA"/>
        </w:rPr>
        <w:tab/>
      </w:r>
      <w:r w:rsidR="00F12EE8" w:rsidRPr="00291752">
        <w:rPr>
          <w:lang w:val="fr-CA"/>
        </w:rPr>
        <w:t>(i)</w:t>
      </w:r>
      <w:r w:rsidRPr="00291752">
        <w:rPr>
          <w:lang w:val="fr-CA"/>
        </w:rPr>
        <w:tab/>
      </w:r>
      <w:r w:rsidR="00534959" w:rsidRPr="00291752">
        <w:rPr>
          <w:lang w:val="fr-CA"/>
        </w:rPr>
        <w:t>le dommage causé par la faute de ses préposés,</w:t>
      </w:r>
    </w:p>
    <w:p w:rsidR="00CB2D3B" w:rsidRPr="00291752" w:rsidRDefault="00CB2D3B" w:rsidP="00442F0E">
      <w:pPr>
        <w:pStyle w:val="Citation1"/>
        <w:tabs>
          <w:tab w:val="left" w:pos="1440"/>
          <w:tab w:val="left" w:pos="1980"/>
          <w:tab w:val="left" w:pos="2520"/>
        </w:tabs>
        <w:ind w:left="2520" w:hanging="2520"/>
        <w:rPr>
          <w:lang w:val="fr-CA"/>
        </w:rPr>
      </w:pPr>
    </w:p>
    <w:p w:rsidR="00534959" w:rsidRPr="00291752" w:rsidRDefault="00CB2D3B" w:rsidP="00305EAE">
      <w:pPr>
        <w:pStyle w:val="Citation1"/>
        <w:tabs>
          <w:tab w:val="left" w:pos="1440"/>
          <w:tab w:val="left" w:pos="1980"/>
          <w:tab w:val="left" w:pos="2520"/>
        </w:tabs>
        <w:ind w:left="1980" w:hanging="1980"/>
        <w:rPr>
          <w:lang w:val="fr-CA"/>
        </w:rPr>
      </w:pPr>
      <w:r w:rsidRPr="00291752">
        <w:rPr>
          <w:lang w:val="fr-CA"/>
        </w:rPr>
        <w:tab/>
      </w:r>
      <w:r w:rsidRPr="00291752">
        <w:rPr>
          <w:lang w:val="fr-CA"/>
        </w:rPr>
        <w:tab/>
      </w:r>
      <w:r w:rsidR="00F12EE8" w:rsidRPr="00291752">
        <w:rPr>
          <w:lang w:val="fr-CA"/>
        </w:rPr>
        <w:t>(ii)</w:t>
      </w:r>
      <w:r w:rsidR="00305EAE" w:rsidRPr="00291752">
        <w:rPr>
          <w:lang w:val="fr-CA"/>
        </w:rPr>
        <w:tab/>
      </w:r>
      <w:r w:rsidR="00534959" w:rsidRPr="00291752">
        <w:rPr>
          <w:lang w:val="fr-CA"/>
        </w:rPr>
        <w:t>le dommage causé par le fait des biens qu’il a sous sa garde ou dont il est propriétaire ou par sa faute à l’un ou l’autre de ces titres;</w:t>
      </w:r>
    </w:p>
    <w:p w:rsidR="00CB2D3B" w:rsidRPr="00291752" w:rsidRDefault="00CB2D3B" w:rsidP="00CB2D3B">
      <w:pPr>
        <w:pStyle w:val="Citation1"/>
        <w:tabs>
          <w:tab w:val="left" w:pos="1440"/>
          <w:tab w:val="left" w:pos="1980"/>
          <w:tab w:val="left" w:pos="2520"/>
        </w:tabs>
        <w:ind w:left="2520" w:hanging="1350"/>
        <w:rPr>
          <w:lang w:val="fr-CA"/>
        </w:rPr>
      </w:pPr>
    </w:p>
    <w:p w:rsidR="00534959" w:rsidRPr="00291752" w:rsidRDefault="00CB2D3B" w:rsidP="00211FE1">
      <w:pPr>
        <w:pStyle w:val="Citation1"/>
        <w:tabs>
          <w:tab w:val="left" w:pos="1170"/>
          <w:tab w:val="left" w:pos="1620"/>
          <w:tab w:val="left" w:pos="1980"/>
        </w:tabs>
        <w:ind w:left="1620" w:hanging="1620"/>
        <w:rPr>
          <w:lang w:val="fr-CA"/>
        </w:rPr>
      </w:pPr>
      <w:r w:rsidRPr="00291752">
        <w:rPr>
          <w:i/>
          <w:lang w:val="fr-CA"/>
        </w:rPr>
        <w:tab/>
      </w:r>
      <w:r w:rsidR="00211FE1" w:rsidRPr="00291752">
        <w:rPr>
          <w:i/>
          <w:lang w:val="fr-CA"/>
        </w:rPr>
        <w:tab/>
      </w:r>
      <w:r w:rsidR="00534959" w:rsidRPr="00291752">
        <w:rPr>
          <w:i/>
          <w:lang w:val="fr-CA"/>
        </w:rPr>
        <w:t>b</w:t>
      </w:r>
      <w:r w:rsidR="00F12EE8" w:rsidRPr="00291752">
        <w:rPr>
          <w:lang w:val="fr-CA"/>
        </w:rPr>
        <w:t>)</w:t>
      </w:r>
      <w:r w:rsidR="00F12EE8" w:rsidRPr="00291752">
        <w:rPr>
          <w:lang w:val="fr-CA"/>
        </w:rPr>
        <w:tab/>
      </w:r>
      <w:r w:rsidR="00534959" w:rsidRPr="00291752">
        <w:rPr>
          <w:lang w:val="fr-CA"/>
        </w:rPr>
        <w:t>dans les autres provinces :</w:t>
      </w:r>
    </w:p>
    <w:p w:rsidR="00CB2D3B" w:rsidRPr="00291752" w:rsidRDefault="00CB2D3B" w:rsidP="00CB2D3B">
      <w:pPr>
        <w:pStyle w:val="Citation1"/>
        <w:tabs>
          <w:tab w:val="left" w:pos="1440"/>
          <w:tab w:val="left" w:pos="1980"/>
        </w:tabs>
        <w:ind w:firstLine="4"/>
        <w:rPr>
          <w:lang w:val="fr-CA"/>
        </w:rPr>
      </w:pPr>
    </w:p>
    <w:p w:rsidR="00534959" w:rsidRPr="00291752" w:rsidRDefault="00CB2D3B" w:rsidP="00305EAE">
      <w:pPr>
        <w:pStyle w:val="Citation1"/>
        <w:tabs>
          <w:tab w:val="left" w:pos="1440"/>
          <w:tab w:val="left" w:pos="1980"/>
          <w:tab w:val="left" w:pos="2520"/>
        </w:tabs>
        <w:ind w:left="1980" w:hanging="1980"/>
        <w:rPr>
          <w:lang w:val="fr-CA"/>
        </w:rPr>
      </w:pPr>
      <w:r w:rsidRPr="00291752">
        <w:rPr>
          <w:lang w:val="fr-CA"/>
        </w:rPr>
        <w:tab/>
      </w:r>
      <w:r w:rsidRPr="00291752">
        <w:rPr>
          <w:lang w:val="fr-CA"/>
        </w:rPr>
        <w:tab/>
      </w:r>
      <w:r w:rsidR="00534959" w:rsidRPr="00291752">
        <w:rPr>
          <w:lang w:val="fr-CA"/>
        </w:rPr>
        <w:t>(i)</w:t>
      </w:r>
      <w:r w:rsidRPr="00291752">
        <w:rPr>
          <w:lang w:val="fr-CA"/>
        </w:rPr>
        <w:tab/>
      </w:r>
      <w:r w:rsidR="00534959" w:rsidRPr="00291752">
        <w:rPr>
          <w:lang w:val="fr-CA"/>
        </w:rPr>
        <w:t>les délits civils commis par ses préposés,</w:t>
      </w:r>
    </w:p>
    <w:p w:rsidR="00CB2D3B" w:rsidRPr="00291752" w:rsidRDefault="00CB2D3B" w:rsidP="00CB2D3B">
      <w:pPr>
        <w:pStyle w:val="Citation1"/>
        <w:tabs>
          <w:tab w:val="left" w:pos="1440"/>
          <w:tab w:val="left" w:pos="1980"/>
          <w:tab w:val="left" w:pos="2520"/>
        </w:tabs>
        <w:ind w:firstLine="4"/>
        <w:rPr>
          <w:lang w:val="fr-CA"/>
        </w:rPr>
      </w:pPr>
    </w:p>
    <w:p w:rsidR="00CB2D3B" w:rsidRPr="00291752" w:rsidRDefault="00CB2D3B" w:rsidP="00305EAE">
      <w:pPr>
        <w:pStyle w:val="Citation1"/>
        <w:tabs>
          <w:tab w:val="left" w:pos="1440"/>
          <w:tab w:val="left" w:pos="1980"/>
          <w:tab w:val="left" w:pos="2520"/>
        </w:tabs>
        <w:ind w:left="1980" w:hanging="1980"/>
        <w:rPr>
          <w:lang w:val="fr-CA"/>
        </w:rPr>
      </w:pPr>
      <w:r w:rsidRPr="00291752">
        <w:rPr>
          <w:lang w:val="fr-CA"/>
        </w:rPr>
        <w:tab/>
      </w:r>
      <w:r w:rsidRPr="00291752">
        <w:rPr>
          <w:lang w:val="fr-CA"/>
        </w:rPr>
        <w:tab/>
      </w:r>
      <w:r w:rsidR="00534959" w:rsidRPr="00291752">
        <w:rPr>
          <w:lang w:val="fr-CA"/>
        </w:rPr>
        <w:t>(ii)</w:t>
      </w:r>
      <w:r w:rsidRPr="00291752">
        <w:rPr>
          <w:lang w:val="fr-CA"/>
        </w:rPr>
        <w:tab/>
      </w:r>
      <w:r w:rsidR="00534959" w:rsidRPr="00291752">
        <w:rPr>
          <w:lang w:val="fr-CA"/>
        </w:rPr>
        <w:t>les manquements aux obligations liées à la propriété, à l’occupation, à la possession ou à la garde de biens.</w:t>
      </w:r>
    </w:p>
    <w:p w:rsidR="00CB2D3B" w:rsidRPr="00291752" w:rsidRDefault="00CB2D3B" w:rsidP="00CB2D3B">
      <w:pPr>
        <w:pStyle w:val="Citation1"/>
        <w:tabs>
          <w:tab w:val="left" w:pos="1440"/>
          <w:tab w:val="left" w:pos="1980"/>
          <w:tab w:val="left" w:pos="2520"/>
        </w:tabs>
        <w:ind w:left="2520" w:hanging="1350"/>
        <w:rPr>
          <w:lang w:val="fr-CA"/>
        </w:rPr>
      </w:pPr>
    </w:p>
    <w:p w:rsidR="00534959" w:rsidRPr="00291752" w:rsidRDefault="00CB2D3B" w:rsidP="00211FE1">
      <w:pPr>
        <w:pStyle w:val="Citation1"/>
        <w:tabs>
          <w:tab w:val="left" w:pos="1620"/>
        </w:tabs>
        <w:ind w:hanging="1166"/>
        <w:rPr>
          <w:lang w:val="fr-CA"/>
        </w:rPr>
      </w:pPr>
      <w:r w:rsidRPr="00291752">
        <w:rPr>
          <w:b/>
          <w:lang w:val="fr-CA"/>
        </w:rPr>
        <w:tab/>
      </w:r>
      <w:r w:rsidR="00211FE1" w:rsidRPr="00291752">
        <w:rPr>
          <w:b/>
          <w:lang w:val="fr-CA"/>
        </w:rPr>
        <w:tab/>
      </w:r>
      <w:r w:rsidR="00534959" w:rsidRPr="00291752">
        <w:rPr>
          <w:b/>
          <w:lang w:val="fr-CA"/>
        </w:rPr>
        <w:t>8.</w:t>
      </w:r>
      <w:r w:rsidR="00F12EE8" w:rsidRPr="00291752">
        <w:rPr>
          <w:b/>
          <w:lang w:val="fr-CA"/>
        </w:rPr>
        <w:t xml:space="preserve"> </w:t>
      </w:r>
      <w:r w:rsidR="00534959" w:rsidRPr="00291752">
        <w:rPr>
          <w:lang w:val="fr-CA"/>
        </w:rPr>
        <w:t>[Sauvegarde de la prérogative et des pouvoirs de l’État] Les articles</w:t>
      </w:r>
      <w:r w:rsidR="00A436D2" w:rsidRPr="00291752">
        <w:rPr>
          <w:lang w:val="fr-CA"/>
        </w:rPr>
        <w:t xml:space="preserve"> </w:t>
      </w:r>
      <w:r w:rsidR="00534959" w:rsidRPr="00291752">
        <w:rPr>
          <w:lang w:val="fr-CA"/>
        </w:rPr>
        <w:t>3 à 7 n’ont pas pour effet d’engager la responsabilité de l’État pour tout fait — acte ou omission — commis dans l’exercice d’un pouvoir qui, sans ces articles, s’exercerait au titre de la prérogative royale ou d’une disposition législative, et notamment pour les faits commis dans l’exercice d’un pouvoir dévolu à l’État, en temps de paix ou de guerre, pour la défense du Canada, l’instruction des Forces canadiennes ou le maintien de leur efficacité.</w:t>
      </w:r>
    </w:p>
    <w:p w:rsidR="00CB2D3B" w:rsidRPr="00291752" w:rsidRDefault="00CB2D3B" w:rsidP="00CB2D3B">
      <w:pPr>
        <w:pStyle w:val="Citation1"/>
        <w:tabs>
          <w:tab w:val="left" w:pos="1440"/>
          <w:tab w:val="left" w:pos="1980"/>
        </w:tabs>
        <w:ind w:left="1170"/>
        <w:rPr>
          <w:lang w:val="fr-CA"/>
        </w:rPr>
      </w:pPr>
    </w:p>
    <w:p w:rsidR="00534959" w:rsidRPr="00291752" w:rsidRDefault="00534959" w:rsidP="00211FE1">
      <w:pPr>
        <w:pStyle w:val="Citation1"/>
        <w:tabs>
          <w:tab w:val="left" w:pos="1620"/>
        </w:tabs>
        <w:ind w:hanging="1166"/>
        <w:rPr>
          <w:lang w:val="fr-CA"/>
        </w:rPr>
      </w:pPr>
      <w:r w:rsidRPr="00291752">
        <w:rPr>
          <w:b/>
          <w:lang w:val="fr-CA"/>
        </w:rPr>
        <w:tab/>
      </w:r>
      <w:r w:rsidR="00211FE1" w:rsidRPr="00291752">
        <w:rPr>
          <w:b/>
          <w:lang w:val="fr-CA"/>
        </w:rPr>
        <w:tab/>
      </w:r>
      <w:r w:rsidRPr="00291752">
        <w:rPr>
          <w:b/>
          <w:lang w:val="fr-CA"/>
        </w:rPr>
        <w:t>21.</w:t>
      </w:r>
      <w:r w:rsidR="00694744" w:rsidRPr="00291752">
        <w:rPr>
          <w:b/>
          <w:lang w:val="fr-CA"/>
        </w:rPr>
        <w:t xml:space="preserve"> </w:t>
      </w:r>
      <w:r w:rsidR="00F12EE8" w:rsidRPr="00291752">
        <w:rPr>
          <w:lang w:val="fr-CA"/>
        </w:rPr>
        <w:t xml:space="preserve">(1) </w:t>
      </w:r>
      <w:r w:rsidRPr="00291752">
        <w:rPr>
          <w:lang w:val="fr-CA"/>
        </w:rPr>
        <w:t xml:space="preserve">[Compétence concurrente des tribunaux provinciaux] Dans les cas de réclamation visant l’État pour lesquels la Cour fédérale n’a pas compétence exclusive, </w:t>
      </w:r>
      <w:proofErr w:type="gramStart"/>
      <w:r w:rsidRPr="00291752">
        <w:rPr>
          <w:lang w:val="fr-CA"/>
        </w:rPr>
        <w:t>a</w:t>
      </w:r>
      <w:proofErr w:type="gramEnd"/>
      <w:r w:rsidRPr="00291752">
        <w:rPr>
          <w:lang w:val="fr-CA"/>
        </w:rPr>
        <w:t xml:space="preserve"> compétence concurrente en la matière la cour supérieure de la province où survient la cause d’action.</w:t>
      </w:r>
    </w:p>
    <w:p w:rsidR="00534959" w:rsidRPr="00291752" w:rsidRDefault="00534959" w:rsidP="00D74A37">
      <w:pPr>
        <w:spacing w:after="720"/>
        <w:ind w:left="450" w:hanging="450"/>
        <w:rPr>
          <w:lang w:val="fr-CA"/>
        </w:rPr>
      </w:pPr>
      <w:r w:rsidRPr="00291752">
        <w:rPr>
          <w:lang w:val="fr-CA"/>
        </w:rPr>
        <w:t>IV.</w:t>
      </w:r>
      <w:r w:rsidR="00D74A37" w:rsidRPr="00291752">
        <w:rPr>
          <w:lang w:val="fr-CA"/>
        </w:rPr>
        <w:tab/>
      </w:r>
      <w:r w:rsidRPr="00291752">
        <w:rPr>
          <w:u w:val="single"/>
          <w:lang w:val="fr-CA"/>
        </w:rPr>
        <w:t>Analyse</w:t>
      </w:r>
    </w:p>
    <w:p w:rsidR="00534959" w:rsidRPr="00291752" w:rsidRDefault="00534959" w:rsidP="00767D30">
      <w:pPr>
        <w:pStyle w:val="ReasonsNumbering-AltN"/>
        <w:rPr>
          <w:lang w:val="fr-CA"/>
        </w:rPr>
      </w:pPr>
      <w:r w:rsidRPr="00291752">
        <w:rPr>
          <w:lang w:val="fr-CA"/>
        </w:rPr>
        <w:t>C’est essentiellement l’accès à la justice qui est en cause en l’espèce.  Les personnes qui prétendent avoir subi un préjudice attribuable à une mesure administrative doivent pouvoir exercer les recours autorisés par la loi au moyen de procédures réduisant au minimum les frais et complexités inutiles.  Notre Cour doit aborder cette question d’un point de vue pratique et pragmatique en gardant cet objectif à l’esprit.</w:t>
      </w:r>
    </w:p>
    <w:p w:rsidR="00534959" w:rsidRPr="00291752" w:rsidRDefault="00534959" w:rsidP="00767D30">
      <w:pPr>
        <w:pStyle w:val="ReasonsNumbering-AltN"/>
        <w:rPr>
          <w:lang w:val="fr-CA"/>
        </w:rPr>
      </w:pPr>
      <w:r w:rsidRPr="00291752">
        <w:rPr>
          <w:lang w:val="fr-CA"/>
        </w:rPr>
        <w:t xml:space="preserve">Le demandeur qui veut obtenir l’annulation d’une décision de l’administration fédérale doit procéder par voie de contrôle judiciaire, comme le </w:t>
      </w:r>
      <w:r w:rsidRPr="00291752">
        <w:rPr>
          <w:lang w:val="fr-CA"/>
        </w:rPr>
        <w:lastRenderedPageBreak/>
        <w:t xml:space="preserve">précise l’arrêt </w:t>
      </w:r>
      <w:r w:rsidRPr="00291752">
        <w:rPr>
          <w:i/>
          <w:lang w:val="fr-CA"/>
        </w:rPr>
        <w:t>Grenier</w:t>
      </w:r>
      <w:r w:rsidRPr="00291752">
        <w:rPr>
          <w:lang w:val="fr-CA"/>
        </w:rPr>
        <w:t>.  Par contre, s’il ne s’oppose pas à ce que la décision continue de s’appliquer, mais cherche plutôt à se faire indemniser des pertes qu’il dit avoir subies (comme en l’espèce), il n’existe aucune raison logique de lui imposer l’étape supplémentaire d’un détour devant la Cour fédérale pour le contrôle judiciaire de la décision (entreprise pouvant parfois se révéler coûteuse en soi), alors que ce n’est pas le recours qui lui convient.  L’accès à la justice exige que le demandeur puisse exercer directement le recours qu’il a choisi et, autant que possible, sans détours procéduraux.</w:t>
      </w:r>
    </w:p>
    <w:p w:rsidR="00534959" w:rsidRPr="00291752" w:rsidRDefault="00534959" w:rsidP="00767D30">
      <w:pPr>
        <w:pStyle w:val="ReasonsNumbering-AltN"/>
        <w:rPr>
          <w:lang w:val="fr-CA"/>
        </w:rPr>
      </w:pPr>
      <w:r w:rsidRPr="00291752">
        <w:rPr>
          <w:lang w:val="fr-CA"/>
        </w:rPr>
        <w:t>Selon le procureur général, il est nécessaire de passer par la Cour fédérale</w:t>
      </w:r>
      <w:r w:rsidR="005067DD" w:rsidRPr="00291752">
        <w:rPr>
          <w:lang w:val="fr-CA"/>
        </w:rPr>
        <w:t xml:space="preserve"> parce que l’action en dommages-</w:t>
      </w:r>
      <w:r w:rsidRPr="00291752">
        <w:rPr>
          <w:lang w:val="fr-CA"/>
        </w:rPr>
        <w:t>intérêts constitue une « contestation indirecte » interdite « implicitement » par l’art.</w:t>
      </w:r>
      <w:r w:rsidR="00A436D2" w:rsidRPr="00291752">
        <w:rPr>
          <w:lang w:val="fr-CA"/>
        </w:rPr>
        <w:t xml:space="preserve"> </w:t>
      </w:r>
      <w:r w:rsidRPr="00291752">
        <w:rPr>
          <w:lang w:val="fr-CA"/>
        </w:rPr>
        <w:t xml:space="preserve">18 de la </w:t>
      </w:r>
      <w:r w:rsidRPr="00291752">
        <w:rPr>
          <w:i/>
          <w:lang w:val="fr-CA"/>
        </w:rPr>
        <w:t>LCF</w:t>
      </w:r>
      <w:r w:rsidRPr="00291752">
        <w:rPr>
          <w:lang w:val="fr-CA"/>
        </w:rPr>
        <w:t xml:space="preserve">.  En bref, voici son argument : </w:t>
      </w:r>
    </w:p>
    <w:p w:rsidR="00534959" w:rsidRPr="00291752" w:rsidRDefault="00534959" w:rsidP="00A837AA">
      <w:pPr>
        <w:pStyle w:val="Citation1"/>
        <w:ind w:left="1170" w:firstLine="540"/>
        <w:rPr>
          <w:lang w:val="fr-CA"/>
        </w:rPr>
      </w:pPr>
      <w:r w:rsidRPr="00291752">
        <w:rPr>
          <w:lang w:val="fr-CA"/>
        </w:rPr>
        <w:t>[</w:t>
      </w:r>
      <w:r w:rsidRPr="00291752">
        <w:rPr>
          <w:smallCaps/>
          <w:lang w:val="fr-CA"/>
        </w:rPr>
        <w:t>traduction</w:t>
      </w:r>
      <w:r w:rsidRPr="00291752">
        <w:rPr>
          <w:lang w:val="fr-CA"/>
        </w:rPr>
        <w:t>]  On ne saurait permettre qu’il soit possible de contourner la volonté du législateur que le contrôle des décisions administratives fédérales soit réservé à la Cour fédérale en de</w:t>
      </w:r>
      <w:r w:rsidR="005067DD" w:rsidRPr="00291752">
        <w:rPr>
          <w:lang w:val="fr-CA"/>
        </w:rPr>
        <w:t>mandant simplement des dommages-</w:t>
      </w:r>
      <w:r w:rsidRPr="00291752">
        <w:rPr>
          <w:lang w:val="fr-CA"/>
        </w:rPr>
        <w:t>intérêts ou une autre forme de réparation qui ne peut être obtenue par voie de contrôle judiciaire devant cette cour.</w:t>
      </w:r>
    </w:p>
    <w:p w:rsidR="00534959" w:rsidRPr="00291752" w:rsidRDefault="00534959" w:rsidP="00534959">
      <w:pPr>
        <w:pStyle w:val="Citation1"/>
        <w:rPr>
          <w:lang w:val="fr-CA"/>
        </w:rPr>
      </w:pPr>
    </w:p>
    <w:p w:rsidR="00534959" w:rsidRPr="00D63591" w:rsidRDefault="00534959" w:rsidP="00A837AA">
      <w:pPr>
        <w:pStyle w:val="Citation1"/>
        <w:ind w:left="1170"/>
        <w:rPr>
          <w:lang w:val="fr-CA"/>
        </w:rPr>
      </w:pPr>
      <w:r w:rsidRPr="00D63591">
        <w:rPr>
          <w:lang w:val="fr-CA"/>
        </w:rPr>
        <w:t>(Mémoire du P</w:t>
      </w:r>
      <w:r w:rsidR="00A837AA" w:rsidRPr="00D63591">
        <w:rPr>
          <w:lang w:val="fr-CA"/>
        </w:rPr>
        <w:t>.</w:t>
      </w:r>
      <w:r w:rsidRPr="00D63591">
        <w:rPr>
          <w:lang w:val="fr-CA"/>
        </w:rPr>
        <w:t>G</w:t>
      </w:r>
      <w:r w:rsidR="00A837AA" w:rsidRPr="00D63591">
        <w:rPr>
          <w:lang w:val="fr-CA"/>
        </w:rPr>
        <w:t>.</w:t>
      </w:r>
      <w:r w:rsidRPr="00291752">
        <w:rPr>
          <w:rStyle w:val="FootnoteReference"/>
        </w:rPr>
        <w:footnoteReference w:id="1"/>
      </w:r>
      <w:r w:rsidR="00A436D2" w:rsidRPr="00D63591">
        <w:rPr>
          <w:lang w:val="fr-CA"/>
        </w:rPr>
        <w:t xml:space="preserve">, par. </w:t>
      </w:r>
      <w:r w:rsidRPr="00D63591">
        <w:rPr>
          <w:lang w:val="fr-CA"/>
        </w:rPr>
        <w:t>4)</w:t>
      </w:r>
    </w:p>
    <w:p w:rsidR="00534959" w:rsidRPr="00291752" w:rsidRDefault="00534959" w:rsidP="00767D30">
      <w:pPr>
        <w:pStyle w:val="ReasonsNumbering-AltN"/>
        <w:rPr>
          <w:lang w:val="fr-CA"/>
        </w:rPr>
      </w:pPr>
      <w:r w:rsidRPr="00291752">
        <w:rPr>
          <w:lang w:val="fr-CA"/>
        </w:rPr>
        <w:t>Le procureur général reconnaît que le contrôle judiciaire ne s’impose pas [</w:t>
      </w:r>
      <w:r w:rsidRPr="00291752">
        <w:rPr>
          <w:smallCaps/>
          <w:lang w:val="fr-CA"/>
        </w:rPr>
        <w:t>traduction</w:t>
      </w:r>
      <w:r w:rsidRPr="00291752">
        <w:rPr>
          <w:lang w:val="fr-CA"/>
        </w:rPr>
        <w:t>] « dans toutes les affaires intéressant de quelque façon une décision ou la condu</w:t>
      </w:r>
      <w:r w:rsidR="00A436D2" w:rsidRPr="00291752">
        <w:rPr>
          <w:lang w:val="fr-CA"/>
        </w:rPr>
        <w:t xml:space="preserve">ite d’un office fédéral » (par. </w:t>
      </w:r>
      <w:r w:rsidRPr="00291752">
        <w:rPr>
          <w:lang w:val="fr-CA"/>
        </w:rPr>
        <w:t xml:space="preserve">29), mais il affirme que ce détour est nécessaire </w:t>
      </w:r>
      <w:r w:rsidRPr="00291752">
        <w:rPr>
          <w:lang w:val="fr-CA"/>
        </w:rPr>
        <w:lastRenderedPageBreak/>
        <w:t>lorsque la demande met directement ou</w:t>
      </w:r>
      <w:r w:rsidR="00F12EE8" w:rsidRPr="00291752">
        <w:rPr>
          <w:lang w:val="fr-CA"/>
        </w:rPr>
        <w:t xml:space="preserve"> indirectement en cause la</w:t>
      </w:r>
      <w:r w:rsidRPr="00291752">
        <w:rPr>
          <w:lang w:val="fr-CA"/>
        </w:rPr>
        <w:t xml:space="preserve"> « validité et l’illégalité » d’une telle décision (par.</w:t>
      </w:r>
      <w:r w:rsidR="00A436D2" w:rsidRPr="00291752">
        <w:rPr>
          <w:lang w:val="fr-CA"/>
        </w:rPr>
        <w:t xml:space="preserve"> </w:t>
      </w:r>
      <w:r w:rsidRPr="00291752">
        <w:rPr>
          <w:lang w:val="fr-CA"/>
        </w:rPr>
        <w:t>2).  La notion de « légalité » est très large.  Le procur</w:t>
      </w:r>
      <w:r w:rsidR="00F12EE8" w:rsidRPr="00291752">
        <w:rPr>
          <w:lang w:val="fr-CA"/>
        </w:rPr>
        <w:t>eur général utilise les termes</w:t>
      </w:r>
      <w:r w:rsidRPr="00291752">
        <w:rPr>
          <w:lang w:val="fr-CA"/>
        </w:rPr>
        <w:t xml:space="preserve"> « invalide » et « illégal » de façon conjonctive (voir, p. </w:t>
      </w:r>
      <w:r w:rsidR="00E547C8" w:rsidRPr="00291752">
        <w:rPr>
          <w:lang w:val="fr-CA"/>
        </w:rPr>
        <w:t xml:space="preserve">ex., le par. </w:t>
      </w:r>
      <w:r w:rsidRPr="00291752">
        <w:rPr>
          <w:lang w:val="fr-CA"/>
        </w:rPr>
        <w:t>49).  Il semble qualifier d’illégale presque toute décision de l’administration fédérale pouvant mener à la conclusion qu’il y a eu faute au sens du droit privé, mais il exclut les actes bureaucratiques comme la fourniture de renseignements erronés, la nég</w:t>
      </w:r>
      <w:r w:rsidR="00F12EE8" w:rsidRPr="00291752">
        <w:rPr>
          <w:lang w:val="fr-CA"/>
        </w:rPr>
        <w:t xml:space="preserve">ligence dans l’accomplissement </w:t>
      </w:r>
      <w:r w:rsidRPr="00291752">
        <w:rPr>
          <w:lang w:val="fr-CA"/>
        </w:rPr>
        <w:t>« d’une tâche ou d’une activité physique » ou le manquement à une obligation d’avertissement (mémoire, par. 50).</w:t>
      </w:r>
    </w:p>
    <w:p w:rsidR="00534959" w:rsidRPr="00291752" w:rsidRDefault="00534959" w:rsidP="00767D30">
      <w:pPr>
        <w:pStyle w:val="ReasonsNumbering-AltN"/>
        <w:rPr>
          <w:lang w:val="fr-CA"/>
        </w:rPr>
      </w:pPr>
      <w:r w:rsidRPr="00291752">
        <w:rPr>
          <w:lang w:val="fr-CA"/>
        </w:rPr>
        <w:t xml:space="preserve">Le procureur général craint de voir resurgir partout au Canada le spectre de l’incohérence et de l’incertitude auxquelles la </w:t>
      </w:r>
      <w:r w:rsidRPr="00291752">
        <w:rPr>
          <w:i/>
          <w:lang w:val="fr-CA"/>
        </w:rPr>
        <w:t>LCF</w:t>
      </w:r>
      <w:r w:rsidRPr="00291752">
        <w:rPr>
          <w:lang w:val="fr-CA"/>
        </w:rPr>
        <w:t xml:space="preserve"> visait à remédier si</w:t>
      </w:r>
      <w:r w:rsidR="005067DD" w:rsidRPr="00291752">
        <w:rPr>
          <w:lang w:val="fr-CA"/>
        </w:rPr>
        <w:t xml:space="preserve"> différents recours en dommages-</w:t>
      </w:r>
      <w:r w:rsidRPr="00291752">
        <w:rPr>
          <w:lang w:val="fr-CA"/>
        </w:rPr>
        <w:t xml:space="preserve">intérêts découlant des mêmes décisions de l’administration fédérale, ou de décisions connexes, pouvaient être instruits par divers juges de différentes cours supérieures.  Il s’agit là cependant d’une préoccupation dont le législateur a sûrement tenu compte lorsqu’il a conféré aux cours supérieures une compétence concurrente dans les cas de demande de réparation contre la Couronne fédérale.  Il ne fait aucun doute que la juxtaposition des articles 17 et 18 de la </w:t>
      </w:r>
      <w:r w:rsidRPr="00291752">
        <w:rPr>
          <w:i/>
          <w:lang w:val="fr-CA"/>
        </w:rPr>
        <w:t>LCF</w:t>
      </w:r>
      <w:r w:rsidRPr="00291752">
        <w:rPr>
          <w:lang w:val="fr-CA"/>
        </w:rPr>
        <w:t xml:space="preserve"> entraîne un certain chevauchement de l’objet des recours dans le cadre desquels l’administration fédérale doit rendre compte de ses décisions.  Ce chevauchement est indissociable d’un régime législatif qui donne aux demandeurs le « choix » de s’adresser à une cour provinciale, si c’est le tribunal qui leur « convient le mieux » (voir la déclaration du ministre de la Justice devant le Parlement, </w:t>
      </w:r>
      <w:r w:rsidRPr="00291752">
        <w:rPr>
          <w:i/>
          <w:lang w:val="fr-CA"/>
        </w:rPr>
        <w:t xml:space="preserve">Débats de la </w:t>
      </w:r>
      <w:r w:rsidRPr="00291752">
        <w:rPr>
          <w:i/>
          <w:lang w:val="fr-CA"/>
        </w:rPr>
        <w:lastRenderedPageBreak/>
        <w:t>Chambre des communes</w:t>
      </w:r>
      <w:r w:rsidRPr="00291752">
        <w:rPr>
          <w:lang w:val="fr-CA"/>
        </w:rPr>
        <w:t>, 2</w:t>
      </w:r>
      <w:r w:rsidRPr="00291752">
        <w:rPr>
          <w:vertAlign w:val="superscript"/>
          <w:lang w:val="fr-CA"/>
        </w:rPr>
        <w:t>e</w:t>
      </w:r>
      <w:r w:rsidRPr="00291752">
        <w:rPr>
          <w:lang w:val="fr-CA"/>
        </w:rPr>
        <w:t xml:space="preserve"> </w:t>
      </w:r>
      <w:proofErr w:type="spellStart"/>
      <w:r w:rsidRPr="00291752">
        <w:rPr>
          <w:lang w:val="fr-CA"/>
        </w:rPr>
        <w:t>sess</w:t>
      </w:r>
      <w:proofErr w:type="spellEnd"/>
      <w:r w:rsidR="00A837AA" w:rsidRPr="00291752">
        <w:rPr>
          <w:lang w:val="fr-CA"/>
        </w:rPr>
        <w:t>.</w:t>
      </w:r>
      <w:r w:rsidRPr="00291752">
        <w:rPr>
          <w:lang w:val="fr-CA"/>
        </w:rPr>
        <w:t>, 34</w:t>
      </w:r>
      <w:r w:rsidRPr="00291752">
        <w:rPr>
          <w:vertAlign w:val="superscript"/>
          <w:lang w:val="fr-CA"/>
        </w:rPr>
        <w:t>e</w:t>
      </w:r>
      <w:r w:rsidRPr="00291752">
        <w:rPr>
          <w:lang w:val="fr-CA"/>
        </w:rPr>
        <w:t xml:space="preserve"> </w:t>
      </w:r>
      <w:proofErr w:type="spellStart"/>
      <w:r w:rsidRPr="00291752">
        <w:rPr>
          <w:lang w:val="fr-CA"/>
        </w:rPr>
        <w:t>lég</w:t>
      </w:r>
      <w:proofErr w:type="spellEnd"/>
      <w:r w:rsidR="00A837AA" w:rsidRPr="00291752">
        <w:rPr>
          <w:lang w:val="fr-CA"/>
        </w:rPr>
        <w:t>.</w:t>
      </w:r>
      <w:r w:rsidRPr="00291752">
        <w:rPr>
          <w:lang w:val="fr-CA"/>
        </w:rPr>
        <w:t>, 1</w:t>
      </w:r>
      <w:r w:rsidRPr="00291752">
        <w:rPr>
          <w:vertAlign w:val="superscript"/>
          <w:lang w:val="fr-CA"/>
        </w:rPr>
        <w:t>er</w:t>
      </w:r>
      <w:r w:rsidR="00A436D2" w:rsidRPr="00291752">
        <w:rPr>
          <w:lang w:val="fr-CA"/>
        </w:rPr>
        <w:t xml:space="preserve"> novembre 1989, p. 5414</w:t>
      </w:r>
      <w:r w:rsidR="005067DD" w:rsidRPr="00291752">
        <w:rPr>
          <w:lang w:val="fr-CA"/>
        </w:rPr>
        <w:t>, reproduite ci-</w:t>
      </w:r>
      <w:r w:rsidRPr="00291752">
        <w:rPr>
          <w:lang w:val="fr-CA"/>
        </w:rPr>
        <w:t>dessous, au par. 58).</w:t>
      </w:r>
    </w:p>
    <w:p w:rsidR="00534959" w:rsidRPr="00291752" w:rsidRDefault="00534959" w:rsidP="00767D30">
      <w:pPr>
        <w:pStyle w:val="ReasonsNumbering-AltN"/>
        <w:rPr>
          <w:lang w:val="fr-CA"/>
        </w:rPr>
      </w:pPr>
      <w:r w:rsidRPr="00291752">
        <w:rPr>
          <w:lang w:val="fr-CA"/>
        </w:rPr>
        <w:t xml:space="preserve">Je ne crois pas que le respect de l’intention du législateur, telle qu’elle se dégage du texte, du contexte et des objets de la </w:t>
      </w:r>
      <w:r w:rsidRPr="00291752">
        <w:rPr>
          <w:i/>
          <w:lang w:val="fr-CA"/>
        </w:rPr>
        <w:t>LCF</w:t>
      </w:r>
      <w:r w:rsidRPr="00291752">
        <w:rPr>
          <w:lang w:val="fr-CA"/>
        </w:rPr>
        <w:t>, exige une procédure astreignante faisant appel à deux juridictions différentes pour tous les recours en domm</w:t>
      </w:r>
      <w:r w:rsidR="005067DD" w:rsidRPr="00291752">
        <w:rPr>
          <w:lang w:val="fr-CA"/>
        </w:rPr>
        <w:t>ages-</w:t>
      </w:r>
      <w:r w:rsidRPr="00291752">
        <w:rPr>
          <w:lang w:val="fr-CA"/>
        </w:rPr>
        <w:t xml:space="preserve">intérêts qui mettent directement ou indirectement en cause la validité ou la légalité d’une décision fédérale.  Seul un texte législatif clair et explicite pourrait l’exiger.  Or, à mon avis, ni la </w:t>
      </w:r>
      <w:r w:rsidRPr="00291752">
        <w:rPr>
          <w:i/>
          <w:lang w:val="fr-CA"/>
        </w:rPr>
        <w:t>LCF</w:t>
      </w:r>
      <w:r w:rsidRPr="00291752">
        <w:rPr>
          <w:lang w:val="fr-CA"/>
        </w:rPr>
        <w:t xml:space="preserve"> ni la </w:t>
      </w:r>
      <w:r w:rsidRPr="00291752">
        <w:rPr>
          <w:i/>
          <w:lang w:val="fr-CA"/>
        </w:rPr>
        <w:t>Loi sur la responsabilité civile de l’État et le contentieux administratif</w:t>
      </w:r>
      <w:r w:rsidRPr="00291752">
        <w:rPr>
          <w:lang w:val="fr-CA"/>
        </w:rPr>
        <w:t xml:space="preserve"> n’ont cet effet.  Non seulement elles ne comportent aucune disposition en ce sens, mais les inférences raisonnables que l’on peut tirer de ces deux lois et, plus particulièrement, de l’octroi aux cours supérieures provinciales d’une compétence concurrente dans les cas de demande de réparation contre la Couronne mènent à la conclusion opposée.</w:t>
      </w:r>
    </w:p>
    <w:p w:rsidR="00534959" w:rsidRPr="00291752" w:rsidRDefault="00534959" w:rsidP="00D74A37">
      <w:pPr>
        <w:spacing w:after="720"/>
        <w:ind w:left="450" w:hanging="450"/>
        <w:rPr>
          <w:lang w:val="fr-CA"/>
        </w:rPr>
      </w:pPr>
      <w:r w:rsidRPr="00291752">
        <w:rPr>
          <w:lang w:val="fr-CA"/>
        </w:rPr>
        <w:t>A.</w:t>
      </w:r>
      <w:r w:rsidR="00D74A37" w:rsidRPr="00291752">
        <w:rPr>
          <w:lang w:val="fr-CA"/>
        </w:rPr>
        <w:tab/>
      </w:r>
      <w:r w:rsidRPr="00291752">
        <w:rPr>
          <w:i/>
          <w:lang w:val="fr-CA"/>
        </w:rPr>
        <w:t>La nature du contrôle judiciaire</w:t>
      </w:r>
    </w:p>
    <w:p w:rsidR="00534959" w:rsidRPr="00291752" w:rsidRDefault="00534959" w:rsidP="00767D30">
      <w:pPr>
        <w:pStyle w:val="ReasonsNumbering-AltN"/>
        <w:rPr>
          <w:lang w:val="fr-CA"/>
        </w:rPr>
      </w:pPr>
      <w:r w:rsidRPr="00291752">
        <w:rPr>
          <w:lang w:val="fr-CA"/>
        </w:rPr>
        <w:t>Le procureur général souligne avec raison [</w:t>
      </w:r>
      <w:r w:rsidRPr="00291752">
        <w:rPr>
          <w:smallCaps/>
          <w:lang w:val="fr-CA"/>
        </w:rPr>
        <w:t>traduction</w:t>
      </w:r>
      <w:r w:rsidRPr="00291752">
        <w:rPr>
          <w:lang w:val="fr-CA"/>
        </w:rPr>
        <w:t xml:space="preserve">] « les différences substantielles entre les principes de droit public et les principes de droit privé » (mémoire, par. 6).  Le contrôle judiciaire s’intéresse à la légalité, à la raisonnabilité et à l’équité du processus suivi et des mesures prises par l’administration publique.  Il est conçu pour assurer la primauté du droit et le respect de la Constitution. Son but premier est le bon gouvernement.  Ces objectifs publics se distinguent </w:t>
      </w:r>
      <w:r w:rsidRPr="00291752">
        <w:rPr>
          <w:lang w:val="fr-CA"/>
        </w:rPr>
        <w:lastRenderedPageBreak/>
        <w:t>fo</w:t>
      </w:r>
      <w:r w:rsidR="00FD46B5" w:rsidRPr="00291752">
        <w:rPr>
          <w:lang w:val="fr-CA"/>
        </w:rPr>
        <w:t>ndamentalement de ceux qui sous-</w:t>
      </w:r>
      <w:r w:rsidRPr="00291752">
        <w:rPr>
          <w:lang w:val="fr-CA"/>
        </w:rPr>
        <w:t xml:space="preserve">tendent les instances en matière contractuelle et délictuelle ou les causes d’action régies par le </w:t>
      </w:r>
      <w:r w:rsidRPr="00291752">
        <w:rPr>
          <w:i/>
          <w:lang w:val="fr-CA"/>
        </w:rPr>
        <w:t>Code civil du Québec</w:t>
      </w:r>
      <w:r w:rsidR="005067DD" w:rsidRPr="00291752">
        <w:rPr>
          <w:lang w:val="fr-CA"/>
        </w:rPr>
        <w:t>, L.R.Q., c. C-</w:t>
      </w:r>
      <w:r w:rsidRPr="00291752">
        <w:rPr>
          <w:lang w:val="fr-CA"/>
        </w:rPr>
        <w:t>1991,</w:t>
      </w:r>
      <w:r w:rsidRPr="00291752">
        <w:rPr>
          <w:i/>
          <w:lang w:val="fr-CA"/>
        </w:rPr>
        <w:t xml:space="preserve"> </w:t>
      </w:r>
      <w:r w:rsidRPr="00291752">
        <w:rPr>
          <w:lang w:val="fr-CA"/>
        </w:rPr>
        <w:t>et les recours qui leur sont associés, lesquels visent principalement à redresser un tort privé au moyen d’une indemnité ou d’une autre réparation.</w:t>
      </w:r>
    </w:p>
    <w:p w:rsidR="00534959" w:rsidRPr="00291752" w:rsidRDefault="00534959" w:rsidP="00767D30">
      <w:pPr>
        <w:pStyle w:val="ReasonsNumbering-AltN"/>
        <w:rPr>
          <w:lang w:val="fr-CA"/>
        </w:rPr>
      </w:pPr>
      <w:r w:rsidRPr="00291752">
        <w:rPr>
          <w:lang w:val="fr-CA"/>
        </w:rPr>
        <w:t xml:space="preserve">Toutes les décisions invalides de l’administration publique ne causent pas de préjudice financier à des parties privées.  Tous les préjudices financiers </w:t>
      </w:r>
      <w:r w:rsidRPr="00291752">
        <w:rPr>
          <w:i/>
          <w:lang w:val="fr-CA"/>
        </w:rPr>
        <w:t>effectivement</w:t>
      </w:r>
      <w:r w:rsidRPr="00291752">
        <w:rPr>
          <w:lang w:val="fr-CA"/>
        </w:rPr>
        <w:t xml:space="preserve"> subis ne donnent pas ouverture à un recours de droit privé.  Les fonctions judiciaires et législatives subordonnées n’engagent généralement pas la responsabilité civile de l’État.  Ce qui est en jeu ici, en pratique, ce sont les décisions du pouvoir exécutif, rendues par les ministres et les fonctionnaires, qui causent un préjudice justifiable ou non par la défense de pouvoir d’origine législative.</w:t>
      </w:r>
    </w:p>
    <w:p w:rsidR="00534959" w:rsidRPr="00291752" w:rsidRDefault="00534959" w:rsidP="00767D30">
      <w:pPr>
        <w:pStyle w:val="ReasonsNumbering-AltN"/>
        <w:rPr>
          <w:lang w:val="fr-CA"/>
        </w:rPr>
      </w:pPr>
      <w:r w:rsidRPr="00291752">
        <w:rPr>
          <w:lang w:val="fr-CA"/>
        </w:rPr>
        <w:t>Le contrôle judiciaire a pour objet d’annuler les décisions invalides de l’administration publique — ou d’obliger l’administration publique à agir ou à ne pas agir — au moyen d’un processus expéditif.  Par exemple, une librairie aura davantage intérêt à ce que les autorités douanières autorisent l’entrée au Canada d’ouvrages étrangers visés par des allégations non fondées d’obscénité qu’à toucher une indemnité pour la perte de profits négligeable afférente à chaque ouvrage refusé (</w:t>
      </w:r>
      <w:proofErr w:type="spellStart"/>
      <w:r w:rsidRPr="00291752">
        <w:rPr>
          <w:i/>
          <w:lang w:val="fr-CA"/>
        </w:rPr>
        <w:t>Little</w:t>
      </w:r>
      <w:proofErr w:type="spellEnd"/>
      <w:r w:rsidRPr="00291752">
        <w:rPr>
          <w:i/>
          <w:lang w:val="fr-CA"/>
        </w:rPr>
        <w:t xml:space="preserve"> </w:t>
      </w:r>
      <w:proofErr w:type="spellStart"/>
      <w:r w:rsidRPr="00291752">
        <w:rPr>
          <w:i/>
          <w:lang w:val="fr-CA"/>
        </w:rPr>
        <w:t>Sisters</w:t>
      </w:r>
      <w:proofErr w:type="spellEnd"/>
      <w:r w:rsidRPr="00291752">
        <w:rPr>
          <w:i/>
          <w:lang w:val="fr-CA"/>
        </w:rPr>
        <w:t xml:space="preserve"> Book and Art Emporium c. Canada (Commissaire des Douanes et du Revenu)</w:t>
      </w:r>
      <w:r w:rsidRPr="00291752">
        <w:rPr>
          <w:lang w:val="fr-CA"/>
        </w:rPr>
        <w:t xml:space="preserve">, 2007 CSC 2, [2007] 1 R.C.S. 38).  C’est pourquoi l’art. 18.1 de la </w:t>
      </w:r>
      <w:r w:rsidRPr="00291752">
        <w:rPr>
          <w:i/>
          <w:lang w:val="fr-CA"/>
        </w:rPr>
        <w:t>LCF</w:t>
      </w:r>
      <w:r w:rsidRPr="00291752">
        <w:rPr>
          <w:lang w:val="fr-CA"/>
        </w:rPr>
        <w:t xml:space="preserve"> prévoit une procédure sommaire assortie d’un délai de 30 jours.  Il n’y a pas de communication préalable de la preuve, hormis celle fournie par les affidavits et le </w:t>
      </w:r>
      <w:r w:rsidRPr="00291752">
        <w:rPr>
          <w:lang w:val="fr-CA"/>
        </w:rPr>
        <w:lastRenderedPageBreak/>
        <w:t>contre</w:t>
      </w:r>
      <w:r w:rsidR="00FD46B5" w:rsidRPr="00291752">
        <w:rPr>
          <w:lang w:val="fr-CA"/>
        </w:rPr>
        <w:t>-</w:t>
      </w:r>
      <w:r w:rsidRPr="00291752">
        <w:rPr>
          <w:lang w:val="fr-CA"/>
        </w:rPr>
        <w:t>interrogatoire de leur auteur.  Le juge des requêtes n’entend pas de témoins.  Le contrôle judiciaire ne pe</w:t>
      </w:r>
      <w:r w:rsidR="00FD46B5" w:rsidRPr="00291752">
        <w:rPr>
          <w:lang w:val="fr-CA"/>
        </w:rPr>
        <w:t>rmet pas d’obtenir des dommages-</w:t>
      </w:r>
      <w:r w:rsidRPr="00291752">
        <w:rPr>
          <w:lang w:val="fr-CA"/>
        </w:rPr>
        <w:t>intérêts.  Ce recours convient au demandeur qui veut attaquer directement et rapidement la mesure (ou l’inaction) dont il se plaint.  Par contre, celui qui réclame des dommages</w:t>
      </w:r>
      <w:r w:rsidR="00FD46B5" w:rsidRPr="00291752">
        <w:rPr>
          <w:lang w:val="fr-CA"/>
        </w:rPr>
        <w:t>-</w:t>
      </w:r>
      <w:r w:rsidRPr="00291752">
        <w:rPr>
          <w:lang w:val="fr-CA"/>
        </w:rPr>
        <w:t>intérêts n’est souvent pas en mesure d’établir dans un délai de 30 jours la nature ou l’importance du préjudice subi et doit pouvoir bénéficier d’une enquête préalable po</w:t>
      </w:r>
      <w:r w:rsidR="00FD46B5" w:rsidRPr="00291752">
        <w:rPr>
          <w:lang w:val="fr-CA"/>
        </w:rPr>
        <w:t>ur recueillir la preuve du bien-</w:t>
      </w:r>
      <w:r w:rsidRPr="00291752">
        <w:rPr>
          <w:lang w:val="fr-CA"/>
        </w:rPr>
        <w:t>fondé de son recours ou constater qu’il ne peut l’établir.</w:t>
      </w:r>
    </w:p>
    <w:p w:rsidR="00534959" w:rsidRPr="00291752" w:rsidRDefault="00534959" w:rsidP="00767D30">
      <w:pPr>
        <w:pStyle w:val="ReasonsNumbering-AltN"/>
        <w:rPr>
          <w:lang w:val="fr-CA"/>
        </w:rPr>
      </w:pPr>
      <w:r w:rsidRPr="00291752">
        <w:rPr>
          <w:lang w:val="fr-CA"/>
        </w:rPr>
        <w:t xml:space="preserve">Il faut donc se demander quel intérêt pratique il y a, pour la partie qui demande une indemnité plutôt que l’annulation d’une décision de l’administration publique, à suivre la procédure faisant appel à deux juridictions décrite dans </w:t>
      </w:r>
      <w:r w:rsidRPr="00291752">
        <w:rPr>
          <w:i/>
          <w:lang w:val="fr-CA"/>
        </w:rPr>
        <w:t>Grenier</w:t>
      </w:r>
      <w:r w:rsidRPr="00291752">
        <w:rPr>
          <w:lang w:val="fr-CA"/>
        </w:rPr>
        <w:t xml:space="preserve">.  Une demande de contrôle judiciaire ne serait, par exemple, d’aucune utilité pratique pour TeleZone.  Le principal fondement de son recours est l’inexécution d’un présumé contrat issu d’un appel d’offres.  Cependant, elle ne recherche plus l’exécution du contrat (ou l’obtention de la licence de SCP); elle veut être indemnisée des coûts substantiels qu’elle a engagés inutilement et des profits qu’elle a perdus.  Le procureur général ne fait pas valoir que le contrat issu d’un appel d’offres (s’il a pris naissance) était </w:t>
      </w:r>
      <w:r w:rsidRPr="00291752">
        <w:rPr>
          <w:i/>
          <w:lang w:val="fr-CA"/>
        </w:rPr>
        <w:t>ultra vires</w:t>
      </w:r>
      <w:r w:rsidRPr="00291752">
        <w:rPr>
          <w:lang w:val="fr-CA"/>
        </w:rPr>
        <w:t xml:space="preserve"> ni qu’un pouvoir d’origine législative justifie l’inexécution alléguée (si celle</w:t>
      </w:r>
      <w:r w:rsidR="00FD46B5" w:rsidRPr="00291752">
        <w:rPr>
          <w:lang w:val="fr-CA"/>
        </w:rPr>
        <w:t>-</w:t>
      </w:r>
      <w:r w:rsidRPr="00291752">
        <w:rPr>
          <w:lang w:val="fr-CA"/>
        </w:rPr>
        <w:t>ci est avérée).  Il soutient plutôt que la demande de TeleZone conteste indirectement la décision, prise par le ministre sous le régime de la</w:t>
      </w:r>
      <w:r w:rsidRPr="00291752">
        <w:rPr>
          <w:i/>
          <w:lang w:val="fr-CA"/>
        </w:rPr>
        <w:t xml:space="preserve"> Loi sur la radiocommunication</w:t>
      </w:r>
      <w:r w:rsidRPr="00291752">
        <w:rPr>
          <w:lang w:val="fr-CA"/>
        </w:rPr>
        <w:t>,</w:t>
      </w:r>
      <w:r w:rsidRPr="00291752">
        <w:rPr>
          <w:i/>
          <w:lang w:val="fr-CA"/>
        </w:rPr>
        <w:t xml:space="preserve"> </w:t>
      </w:r>
      <w:r w:rsidRPr="00291752">
        <w:rPr>
          <w:lang w:val="fr-CA"/>
        </w:rPr>
        <w:t xml:space="preserve">de ne pas lui accorder de licence de SCP.  Dans le cas de TeleZone, le contrôle judiciaire de la décision du ministre ne réparerait pas le </w:t>
      </w:r>
      <w:r w:rsidRPr="00291752">
        <w:rPr>
          <w:lang w:val="fr-CA"/>
        </w:rPr>
        <w:lastRenderedPageBreak/>
        <w:t>préjudice qu’elle dit avoir subi et ne pourrait vraisemblablement guère donner de résultat, si ce n’est un allongement des délais et une augmentation des coûts.</w:t>
      </w:r>
    </w:p>
    <w:p w:rsidR="00534959" w:rsidRPr="00291752" w:rsidRDefault="00534959" w:rsidP="00767D30">
      <w:pPr>
        <w:pStyle w:val="ReasonsNumbering-AltN"/>
        <w:rPr>
          <w:lang w:val="fr-CA"/>
        </w:rPr>
      </w:pPr>
      <w:r w:rsidRPr="00291752">
        <w:rPr>
          <w:lang w:val="fr-CA"/>
        </w:rPr>
        <w:t xml:space="preserve">TeleZone invoque aussi la négligence.  La responsabilité délictuelle procède bien sûr d’un acte fautif, et non de la nullité.  Comme la Cour l’a clairement établi il y a longtemps, dans </w:t>
      </w:r>
      <w:r w:rsidRPr="00291752">
        <w:rPr>
          <w:i/>
          <w:lang w:val="fr-CA"/>
        </w:rPr>
        <w:t>La Reine du chef du Canada c. Saskatchewan Wheat Pool</w:t>
      </w:r>
      <w:r w:rsidRPr="00291752">
        <w:rPr>
          <w:lang w:val="fr-CA"/>
        </w:rPr>
        <w:t>, [1983] 1 R.C.S. 205, p. 222</w:t>
      </w:r>
      <w:r w:rsidR="00FD46B5" w:rsidRPr="00291752">
        <w:rPr>
          <w:lang w:val="fr-CA"/>
        </w:rPr>
        <w:t>-</w:t>
      </w:r>
      <w:r w:rsidRPr="00291752">
        <w:rPr>
          <w:lang w:val="fr-CA"/>
        </w:rPr>
        <w:t>225, il n’est ni nécessaire ni suffisant, pour fonder un recours de droit privé, qu’il y ait eu contravention à la loi.  La contravention n’est pas nécessaire, car une décision tout à fait valide de l’administration publique peut néanmoins engager sa responsabilité contractuelle (</w:t>
      </w:r>
      <w:r w:rsidRPr="00291752">
        <w:rPr>
          <w:i/>
          <w:lang w:val="fr-CA"/>
        </w:rPr>
        <w:t>Agricultural Research I</w:t>
      </w:r>
      <w:r w:rsidR="00FD46B5" w:rsidRPr="00291752">
        <w:rPr>
          <w:i/>
          <w:lang w:val="fr-CA"/>
        </w:rPr>
        <w:t>nstitute of Ontario c. Campbell-</w:t>
      </w:r>
      <w:r w:rsidRPr="00291752">
        <w:rPr>
          <w:i/>
          <w:lang w:val="fr-CA"/>
        </w:rPr>
        <w:t xml:space="preserve">High </w:t>
      </w:r>
      <w:r w:rsidRPr="00291752">
        <w:rPr>
          <w:lang w:val="fr-CA"/>
        </w:rPr>
        <w:t>(2002), 58 O.R. (3d) 321 (C.A.), autorisation d’appel refusée, [2003] 1 R.C.S. vii) ou délictuelle (</w:t>
      </w:r>
      <w:r w:rsidRPr="00291752">
        <w:rPr>
          <w:i/>
          <w:lang w:val="fr-CA"/>
        </w:rPr>
        <w:t>Ryan c. Victoria (Ville)</w:t>
      </w:r>
      <w:r w:rsidRPr="00291752">
        <w:rPr>
          <w:lang w:val="fr-CA"/>
        </w:rPr>
        <w:t>, [1999] 1 R.C.S. 201).</w:t>
      </w:r>
    </w:p>
    <w:p w:rsidR="00534959" w:rsidRPr="00291752" w:rsidRDefault="00534959" w:rsidP="00767D30">
      <w:pPr>
        <w:pStyle w:val="ReasonsNumbering-AltN"/>
        <w:rPr>
          <w:lang w:val="fr-CA"/>
        </w:rPr>
      </w:pPr>
      <w:r w:rsidRPr="00291752">
        <w:rPr>
          <w:lang w:val="fr-CA"/>
        </w:rPr>
        <w:t>Une irrégularité dans l’exercice d’un pouvoir d’origine législative ne suffit pas non plus.  De nombreuses pertes causées par des décisions de l’administration publique ne génèrent aucune cause d’action reconnue en droit.  Comme le signale avec justesse le procureur général : [</w:t>
      </w:r>
      <w:r w:rsidRPr="00291752">
        <w:rPr>
          <w:smallCaps/>
          <w:lang w:val="fr-CA"/>
        </w:rPr>
        <w:t>traduction</w:t>
      </w:r>
      <w:r w:rsidRPr="00291752">
        <w:rPr>
          <w:lang w:val="fr-CA"/>
        </w:rPr>
        <w:t>] « Même une déclaration de nullité ou d’invalidité d’une décision discrétionnaire d’un office fédéral ne crée pas en soi une cause d’action en responsabilité délictuelle ou en responsabilité civile selon le régime québécois de droit civil » (mémoire, par. 28).</w:t>
      </w:r>
    </w:p>
    <w:p w:rsidR="00534959" w:rsidRPr="00291752" w:rsidRDefault="00534959" w:rsidP="00767D30">
      <w:pPr>
        <w:pStyle w:val="ReasonsNumbering-AltN"/>
        <w:rPr>
          <w:lang w:val="fr-CA"/>
        </w:rPr>
      </w:pPr>
      <w:r w:rsidRPr="00291752">
        <w:rPr>
          <w:lang w:val="fr-CA"/>
        </w:rPr>
        <w:lastRenderedPageBreak/>
        <w:t xml:space="preserve">Par ailleurs, la juge Charron a écrit, dans </w:t>
      </w:r>
      <w:r w:rsidRPr="00291752">
        <w:rPr>
          <w:i/>
          <w:lang w:val="fr-CA"/>
        </w:rPr>
        <w:t>Miazga c. Kvello (Succession)</w:t>
      </w:r>
      <w:r w:rsidRPr="00291752">
        <w:rPr>
          <w:lang w:val="fr-CA"/>
        </w:rPr>
        <w:t xml:space="preserve">, 2009 CSC 51, [2009] 3 R.C.S. 339 : « Lorsqu’un procureur de la Couronne agit avec malveillance au mépris des obligations découlant de sa charge, l’accusé qui en subit un préjudice dispose d’un recours au civil.  </w:t>
      </w:r>
      <w:r w:rsidRPr="00291752">
        <w:rPr>
          <w:u w:val="single"/>
          <w:lang w:val="fr-CA"/>
        </w:rPr>
        <w:t>Cependant, le délit civil de poursuites abusives ne donne pas lieu à un contrôle judiciaire rétrospectif de l’exercice du pouvoir discrétionnaire du ministère public</w:t>
      </w:r>
      <w:r w:rsidR="00FD46B5" w:rsidRPr="00291752">
        <w:rPr>
          <w:lang w:val="fr-CA"/>
        </w:rPr>
        <w:t xml:space="preserve"> » (par. </w:t>
      </w:r>
      <w:r w:rsidRPr="00291752">
        <w:rPr>
          <w:lang w:val="fr-CA"/>
        </w:rPr>
        <w:t>7 (je souligne)).  H.</w:t>
      </w:r>
      <w:r w:rsidR="00FD46B5" w:rsidRPr="00291752">
        <w:rPr>
          <w:lang w:val="fr-CA"/>
        </w:rPr>
        <w:t xml:space="preserve"> </w:t>
      </w:r>
      <w:r w:rsidRPr="00291752">
        <w:rPr>
          <w:lang w:val="fr-CA"/>
        </w:rPr>
        <w:t>Woolf, J.</w:t>
      </w:r>
      <w:r w:rsidR="00FD46B5" w:rsidRPr="00291752">
        <w:rPr>
          <w:lang w:val="fr-CA"/>
        </w:rPr>
        <w:t xml:space="preserve"> </w:t>
      </w:r>
      <w:r w:rsidRPr="00291752">
        <w:rPr>
          <w:lang w:val="fr-CA"/>
        </w:rPr>
        <w:t xml:space="preserve">Lowell et A. Le Sueur soulignent, dans </w:t>
      </w:r>
      <w:r w:rsidRPr="00291752">
        <w:rPr>
          <w:i/>
          <w:lang w:val="fr-CA"/>
        </w:rPr>
        <w:t xml:space="preserve">De </w:t>
      </w:r>
      <w:proofErr w:type="spellStart"/>
      <w:r w:rsidRPr="00291752">
        <w:rPr>
          <w:i/>
          <w:lang w:val="fr-CA"/>
        </w:rPr>
        <w:t>Smith’s</w:t>
      </w:r>
      <w:proofErr w:type="spellEnd"/>
      <w:r w:rsidRPr="00291752">
        <w:rPr>
          <w:i/>
          <w:lang w:val="fr-CA"/>
        </w:rPr>
        <w:t xml:space="preserve"> </w:t>
      </w:r>
      <w:proofErr w:type="spellStart"/>
      <w:r w:rsidRPr="00291752">
        <w:rPr>
          <w:i/>
          <w:lang w:val="fr-CA"/>
        </w:rPr>
        <w:t>Judicial</w:t>
      </w:r>
      <w:proofErr w:type="spellEnd"/>
      <w:r w:rsidRPr="00291752">
        <w:rPr>
          <w:i/>
          <w:lang w:val="fr-CA"/>
        </w:rPr>
        <w:t xml:space="preserve"> </w:t>
      </w:r>
      <w:proofErr w:type="spellStart"/>
      <w:r w:rsidRPr="00291752">
        <w:rPr>
          <w:i/>
          <w:lang w:val="fr-CA"/>
        </w:rPr>
        <w:t>Review</w:t>
      </w:r>
      <w:proofErr w:type="spellEnd"/>
      <w:r w:rsidRPr="00291752">
        <w:rPr>
          <w:i/>
          <w:lang w:val="fr-CA"/>
        </w:rPr>
        <w:t xml:space="preserve"> </w:t>
      </w:r>
      <w:r w:rsidRPr="00291752">
        <w:rPr>
          <w:lang w:val="fr-CA"/>
        </w:rPr>
        <w:t>(6</w:t>
      </w:r>
      <w:r w:rsidRPr="00291752">
        <w:rPr>
          <w:vertAlign w:val="superscript"/>
          <w:lang w:val="fr-CA"/>
        </w:rPr>
        <w:t>e</w:t>
      </w:r>
      <w:r w:rsidRPr="00291752">
        <w:rPr>
          <w:lang w:val="fr-CA"/>
        </w:rPr>
        <w:t xml:space="preserve"> éd. 2007), que [</w:t>
      </w:r>
      <w:r w:rsidRPr="00291752">
        <w:rPr>
          <w:smallCaps/>
          <w:lang w:val="fr-CA"/>
        </w:rPr>
        <w:t>traduction</w:t>
      </w:r>
      <w:r w:rsidRPr="00291752">
        <w:rPr>
          <w:lang w:val="fr-CA"/>
        </w:rPr>
        <w:t>] « [l]’illégalité (au sens qu’elle revêt en matière de contrôle judiciaire) et la négligence sont deux concepts distincts » (p.</w:t>
      </w:r>
      <w:r w:rsidR="00FD46B5" w:rsidRPr="00291752">
        <w:rPr>
          <w:lang w:val="fr-CA"/>
        </w:rPr>
        <w:t xml:space="preserve"> </w:t>
      </w:r>
      <w:r w:rsidRPr="00291752">
        <w:rPr>
          <w:lang w:val="fr-CA"/>
        </w:rPr>
        <w:t>924</w:t>
      </w:r>
      <w:r w:rsidR="00FD46B5" w:rsidRPr="00291752">
        <w:rPr>
          <w:lang w:val="fr-CA"/>
        </w:rPr>
        <w:t>-</w:t>
      </w:r>
      <w:r w:rsidRPr="00291752">
        <w:rPr>
          <w:lang w:val="fr-CA"/>
        </w:rPr>
        <w:t xml:space="preserve">925).  Autrement dit, bien que la responsabilité délictuelle de la Couronne et la validité d’une décision administrative </w:t>
      </w:r>
      <w:proofErr w:type="spellStart"/>
      <w:r w:rsidRPr="00291752">
        <w:rPr>
          <w:lang w:val="fr-CA"/>
        </w:rPr>
        <w:t>sous</w:t>
      </w:r>
      <w:r w:rsidRPr="00291752">
        <w:rPr>
          <w:lang w:val="fr-CA"/>
        </w:rPr>
        <w:noBreakHyphen/>
        <w:t>jacente</w:t>
      </w:r>
      <w:proofErr w:type="spellEnd"/>
      <w:r w:rsidRPr="00291752">
        <w:rPr>
          <w:lang w:val="fr-CA"/>
        </w:rPr>
        <w:t xml:space="preserve"> puissent faire intervenir des considérations qui se recoupent, elles soulèvent des questions justiciables distinctes.</w:t>
      </w:r>
    </w:p>
    <w:p w:rsidR="00534959" w:rsidRPr="00291752" w:rsidRDefault="00534959" w:rsidP="00767D30">
      <w:pPr>
        <w:pStyle w:val="ReasonsNumbering-AltN"/>
        <w:rPr>
          <w:lang w:val="fr-CA"/>
        </w:rPr>
      </w:pPr>
      <w:r w:rsidRPr="00291752">
        <w:rPr>
          <w:lang w:val="fr-CA"/>
        </w:rPr>
        <w:t xml:space="preserve">Souvent, la principale difficulté que la partie lésée par une décision prise en application de la loi doit surmonter pour être indemnisée par l’administration publique ne tient pas aux aspects de droit public de la décision, mais au fardeau qui lui incombe d’invoquer une cause d’action valable de droit privé et de réfuter des moyens de défense spéciaux comme la défense de pouvoir d’origine législative.  Dans </w:t>
      </w:r>
      <w:r w:rsidRPr="00291752">
        <w:rPr>
          <w:i/>
          <w:lang w:val="fr-CA"/>
        </w:rPr>
        <w:t>Cooper c. Hobart</w:t>
      </w:r>
      <w:r w:rsidRPr="00291752">
        <w:rPr>
          <w:lang w:val="fr-CA"/>
        </w:rPr>
        <w:t xml:space="preserve">, 2001 CSC 79, [2001] 3 R.C.S. 537, par exemple, certains investisseurs alléguaient que la conduite du </w:t>
      </w:r>
      <w:proofErr w:type="spellStart"/>
      <w:r w:rsidRPr="00291752">
        <w:rPr>
          <w:lang w:val="fr-CA"/>
        </w:rPr>
        <w:t>registrateur</w:t>
      </w:r>
      <w:proofErr w:type="spellEnd"/>
      <w:r w:rsidRPr="00291752">
        <w:rPr>
          <w:lang w:val="fr-CA"/>
        </w:rPr>
        <w:t xml:space="preserve"> des courtiers en hypothèques avait compté pour beaucoup dans les pertes qu’ils avaient subies, mais la Cour a jugé que le lien de proximité entre le </w:t>
      </w:r>
      <w:proofErr w:type="spellStart"/>
      <w:r w:rsidRPr="00291752">
        <w:rPr>
          <w:lang w:val="fr-CA"/>
        </w:rPr>
        <w:t>registrateur</w:t>
      </w:r>
      <w:proofErr w:type="spellEnd"/>
      <w:r w:rsidRPr="00291752">
        <w:rPr>
          <w:lang w:val="fr-CA"/>
        </w:rPr>
        <w:t xml:space="preserve"> et ces investisseurs n’était pas suffisamment étroit pour donner naissance à une obligation de diligence.  Voir </w:t>
      </w:r>
      <w:r w:rsidRPr="00291752">
        <w:rPr>
          <w:lang w:val="fr-CA"/>
        </w:rPr>
        <w:lastRenderedPageBreak/>
        <w:t xml:space="preserve">également </w:t>
      </w:r>
      <w:r w:rsidRPr="00291752">
        <w:rPr>
          <w:i/>
          <w:lang w:val="fr-CA"/>
        </w:rPr>
        <w:t xml:space="preserve">Edwards c. Barreau du </w:t>
      </w:r>
      <w:proofErr w:type="spellStart"/>
      <w:r w:rsidRPr="00291752">
        <w:rPr>
          <w:i/>
          <w:lang w:val="fr-CA"/>
        </w:rPr>
        <w:t>Haut</w:t>
      </w:r>
      <w:r w:rsidRPr="00291752">
        <w:rPr>
          <w:i/>
          <w:lang w:val="fr-CA"/>
        </w:rPr>
        <w:noBreakHyphen/>
        <w:t>Canada</w:t>
      </w:r>
      <w:proofErr w:type="spellEnd"/>
      <w:r w:rsidRPr="00291752">
        <w:rPr>
          <w:lang w:val="fr-CA"/>
        </w:rPr>
        <w:t xml:space="preserve">, 2001 CSC 80, [2001] 3 R.C.S. 562; </w:t>
      </w:r>
      <w:r w:rsidRPr="00291752">
        <w:rPr>
          <w:i/>
          <w:lang w:val="fr-CA"/>
        </w:rPr>
        <w:t>Holland c. Saskatchewan</w:t>
      </w:r>
      <w:r w:rsidRPr="00291752">
        <w:rPr>
          <w:lang w:val="fr-CA"/>
        </w:rPr>
        <w:t>, 2008 CSC 42, [2008] 2 R.C.S. 551, par. 8.</w:t>
      </w:r>
    </w:p>
    <w:p w:rsidR="00534959" w:rsidRPr="00291752" w:rsidRDefault="00534959" w:rsidP="00767D30">
      <w:pPr>
        <w:pStyle w:val="ReasonsNumbering-AltN"/>
        <w:rPr>
          <w:lang w:val="fr-CA"/>
        </w:rPr>
      </w:pPr>
      <w:r w:rsidRPr="00291752">
        <w:rPr>
          <w:lang w:val="fr-CA"/>
        </w:rPr>
        <w:t xml:space="preserve">L’adoption de la </w:t>
      </w:r>
      <w:r w:rsidRPr="00291752">
        <w:rPr>
          <w:i/>
          <w:lang w:val="fr-CA"/>
        </w:rPr>
        <w:t>Loi sur la Cour fédérale</w:t>
      </w:r>
      <w:r w:rsidRPr="00291752">
        <w:rPr>
          <w:lang w:val="fr-CA"/>
        </w:rPr>
        <w:t>, S.C. 1970</w:t>
      </w:r>
      <w:r w:rsidRPr="00291752">
        <w:rPr>
          <w:lang w:val="fr-CA"/>
        </w:rPr>
        <w:noBreakHyphen/>
        <w:t>71</w:t>
      </w:r>
      <w:r w:rsidRPr="00291752">
        <w:rPr>
          <w:lang w:val="fr-CA"/>
        </w:rPr>
        <w:noBreakHyphen/>
        <w:t xml:space="preserve">72, ch. 1, et les modifications qui y ont été apportées en 1990 visaient à accroître la responsabilité de l’administration publique ainsi qu’à promouvoir l’accès à la justice.  Il faut donc en interpréter le libellé de façon à promouvoir ces objets.  À mon humble avis, la démarche suivie dans </w:t>
      </w:r>
      <w:r w:rsidRPr="00291752">
        <w:rPr>
          <w:i/>
          <w:lang w:val="fr-CA"/>
        </w:rPr>
        <w:t>Grenier</w:t>
      </w:r>
      <w:r w:rsidRPr="00291752">
        <w:rPr>
          <w:lang w:val="fr-CA"/>
        </w:rPr>
        <w:t xml:space="preserve"> ne le permet pas, comme nous le verrons maintenant.</w:t>
      </w:r>
    </w:p>
    <w:p w:rsidR="00534959" w:rsidRPr="00291752" w:rsidRDefault="00534959" w:rsidP="00D74A37">
      <w:pPr>
        <w:spacing w:after="720"/>
        <w:ind w:left="450" w:hanging="450"/>
        <w:rPr>
          <w:lang w:val="fr-CA"/>
        </w:rPr>
      </w:pPr>
      <w:r w:rsidRPr="00291752">
        <w:rPr>
          <w:lang w:val="fr-CA"/>
        </w:rPr>
        <w:t>B.</w:t>
      </w:r>
      <w:r w:rsidR="00D74A37" w:rsidRPr="00291752">
        <w:rPr>
          <w:lang w:val="fr-CA"/>
        </w:rPr>
        <w:tab/>
      </w:r>
      <w:r w:rsidRPr="00291752">
        <w:rPr>
          <w:i/>
          <w:lang w:val="fr-CA"/>
        </w:rPr>
        <w:t>L’affaire Grenier</w:t>
      </w:r>
    </w:p>
    <w:p w:rsidR="00534959" w:rsidRPr="00291752" w:rsidRDefault="00534959" w:rsidP="00767D30">
      <w:pPr>
        <w:pStyle w:val="ReasonsNumbering-AltN"/>
        <w:rPr>
          <w:lang w:val="fr-CA"/>
        </w:rPr>
      </w:pPr>
      <w:r w:rsidRPr="00291752">
        <w:rPr>
          <w:lang w:val="fr-CA"/>
        </w:rPr>
        <w:t xml:space="preserve">La portée de l’arrêt </w:t>
      </w:r>
      <w:r w:rsidRPr="00291752">
        <w:rPr>
          <w:i/>
          <w:lang w:val="fr-CA"/>
        </w:rPr>
        <w:t>Grenier</w:t>
      </w:r>
      <w:r w:rsidRPr="00291752">
        <w:rPr>
          <w:lang w:val="fr-CA"/>
        </w:rPr>
        <w:t xml:space="preserve"> va </w:t>
      </w:r>
      <w:proofErr w:type="spellStart"/>
      <w:r w:rsidRPr="00291752">
        <w:rPr>
          <w:lang w:val="fr-CA"/>
        </w:rPr>
        <w:t>peut</w:t>
      </w:r>
      <w:r w:rsidRPr="00291752">
        <w:rPr>
          <w:lang w:val="fr-CA"/>
        </w:rPr>
        <w:noBreakHyphen/>
        <w:t>être</w:t>
      </w:r>
      <w:proofErr w:type="spellEnd"/>
      <w:r w:rsidRPr="00291752">
        <w:rPr>
          <w:lang w:val="fr-CA"/>
        </w:rPr>
        <w:t xml:space="preserve"> plus loin que ne l’entendait la cour qui l’a rendu.</w:t>
      </w:r>
    </w:p>
    <w:p w:rsidR="00534959" w:rsidRPr="00291752" w:rsidRDefault="00534959" w:rsidP="00767D30">
      <w:pPr>
        <w:pStyle w:val="ReasonsNumbering-AltN"/>
        <w:rPr>
          <w:lang w:val="fr-CA"/>
        </w:rPr>
      </w:pPr>
      <w:r w:rsidRPr="00291752">
        <w:rPr>
          <w:lang w:val="fr-CA"/>
        </w:rPr>
        <w:t xml:space="preserve">L’affaire </w:t>
      </w:r>
      <w:r w:rsidRPr="00291752">
        <w:rPr>
          <w:i/>
          <w:lang w:val="fr-CA"/>
        </w:rPr>
        <w:t>Grenier</w:t>
      </w:r>
      <w:r w:rsidRPr="00291752">
        <w:rPr>
          <w:lang w:val="fr-CA"/>
        </w:rPr>
        <w:t xml:space="preserve"> ne portait pas sur un conflit entre la Cour fédérale et une cour supérieure provinciale.  Il s’agissait de déterminer quelle voie de droit devant la Cour fédérale </w:t>
      </w:r>
      <w:proofErr w:type="spellStart"/>
      <w:r w:rsidRPr="00291752">
        <w:rPr>
          <w:lang w:val="fr-CA"/>
        </w:rPr>
        <w:t>elle</w:t>
      </w:r>
      <w:r w:rsidRPr="00291752">
        <w:rPr>
          <w:lang w:val="fr-CA"/>
        </w:rPr>
        <w:noBreakHyphen/>
        <w:t>même</w:t>
      </w:r>
      <w:proofErr w:type="spellEnd"/>
      <w:r w:rsidRPr="00291752">
        <w:rPr>
          <w:lang w:val="fr-CA"/>
        </w:rPr>
        <w:t xml:space="preserve"> devait emprunter un détenu d’un pénitencier fédéral qui prétendait avoir subi un préjudice du fait de son placement en isolement préventif pendant 14 jours sous le régime de la </w:t>
      </w:r>
      <w:r w:rsidRPr="00291752">
        <w:rPr>
          <w:i/>
          <w:lang w:val="fr-CA"/>
        </w:rPr>
        <w:t>Loi sur le système correctionnel et la mise en liberté sous condition</w:t>
      </w:r>
      <w:r w:rsidRPr="00291752">
        <w:rPr>
          <w:lang w:val="fr-CA"/>
        </w:rPr>
        <w:t>, L.C. 1992, ch. 20.  Le détenu n’avait pas demandé le contrôle judiciaire de la décision du directeur de l’établissement.  Il avait plutôt attendu trois ans avant d’</w:t>
      </w:r>
      <w:r w:rsidR="002731BC" w:rsidRPr="00291752">
        <w:rPr>
          <w:lang w:val="fr-CA"/>
        </w:rPr>
        <w:t>intenter une action en dommages-</w:t>
      </w:r>
      <w:r w:rsidRPr="00291752">
        <w:rPr>
          <w:lang w:val="fr-CA"/>
        </w:rPr>
        <w:t xml:space="preserve">intérêts contre l’administration fédérale en vertu de l’art. 17 de la </w:t>
      </w:r>
      <w:r w:rsidRPr="00291752">
        <w:rPr>
          <w:i/>
          <w:lang w:val="fr-CA"/>
        </w:rPr>
        <w:t>LCF</w:t>
      </w:r>
      <w:r w:rsidRPr="00291752">
        <w:rPr>
          <w:lang w:val="fr-CA"/>
        </w:rPr>
        <w:t xml:space="preserve">.  En première instance, la </w:t>
      </w:r>
      <w:r w:rsidRPr="00291752">
        <w:rPr>
          <w:lang w:val="fr-CA"/>
        </w:rPr>
        <w:lastRenderedPageBreak/>
        <w:t>décision de le placer en isolement préventif a été jugée arbitraire.  Il a obtenu des dommages</w:t>
      </w:r>
      <w:r w:rsidR="002731BC" w:rsidRPr="00291752">
        <w:rPr>
          <w:lang w:val="fr-CA"/>
        </w:rPr>
        <w:t>-</w:t>
      </w:r>
      <w:r w:rsidRPr="00291752">
        <w:rPr>
          <w:lang w:val="fr-CA"/>
        </w:rPr>
        <w:t>intérêts compensatoires et exemplaires s’élevant à 5 000 $.</w:t>
      </w:r>
    </w:p>
    <w:p w:rsidR="00534959" w:rsidRPr="00291752" w:rsidRDefault="00534959" w:rsidP="00767D30">
      <w:pPr>
        <w:pStyle w:val="ReasonsNumbering-AltN"/>
        <w:rPr>
          <w:lang w:val="fr-CA"/>
        </w:rPr>
      </w:pPr>
      <w:r w:rsidRPr="00291752">
        <w:rPr>
          <w:lang w:val="fr-CA"/>
        </w:rPr>
        <w:t>En appel, le procureur général a fait valoir que le détenu aurait dû demander le contrôle judiciaire de son isolement pré</w:t>
      </w:r>
      <w:r w:rsidR="00F85794" w:rsidRPr="00291752">
        <w:rPr>
          <w:lang w:val="fr-CA"/>
        </w:rPr>
        <w:t xml:space="preserve">ventif en application de l’art. </w:t>
      </w:r>
      <w:r w:rsidRPr="00291752">
        <w:rPr>
          <w:lang w:val="fr-CA"/>
        </w:rPr>
        <w:t>18 de la Loi avant d’i</w:t>
      </w:r>
      <w:r w:rsidR="002731BC" w:rsidRPr="00291752">
        <w:rPr>
          <w:lang w:val="fr-CA"/>
        </w:rPr>
        <w:t>ntenter son recours en dommages-</w:t>
      </w:r>
      <w:r w:rsidRPr="00291752">
        <w:rPr>
          <w:lang w:val="fr-CA"/>
        </w:rPr>
        <w:t>intérêts en vertu de l’art.</w:t>
      </w:r>
      <w:r w:rsidR="00F85794" w:rsidRPr="00291752">
        <w:rPr>
          <w:lang w:val="fr-CA"/>
        </w:rPr>
        <w:t xml:space="preserve"> </w:t>
      </w:r>
      <w:r w:rsidRPr="00291752">
        <w:rPr>
          <w:lang w:val="fr-CA"/>
        </w:rPr>
        <w:t xml:space="preserve">17.  Elle a soutenu, essentiellement, que la </w:t>
      </w:r>
      <w:r w:rsidRPr="00291752">
        <w:rPr>
          <w:i/>
          <w:lang w:val="fr-CA"/>
        </w:rPr>
        <w:t xml:space="preserve">LCF </w:t>
      </w:r>
      <w:r w:rsidRPr="00291752">
        <w:rPr>
          <w:lang w:val="fr-CA"/>
        </w:rPr>
        <w:t>offrait plusieurs avenues procédurales, mais que le détenu n’avait pas emprunté la bonne voie en s’engageant dans celle prévue à l’art.</w:t>
      </w:r>
      <w:r w:rsidR="00F85794" w:rsidRPr="00291752">
        <w:rPr>
          <w:lang w:val="fr-CA"/>
        </w:rPr>
        <w:t xml:space="preserve"> </w:t>
      </w:r>
      <w:r w:rsidRPr="00291752">
        <w:rPr>
          <w:lang w:val="fr-CA"/>
        </w:rPr>
        <w:t>17 plutôt qu’à l’art.</w:t>
      </w:r>
      <w:r w:rsidR="00F85794" w:rsidRPr="00291752">
        <w:rPr>
          <w:lang w:val="fr-CA"/>
        </w:rPr>
        <w:t xml:space="preserve"> </w:t>
      </w:r>
      <w:r w:rsidRPr="00291752">
        <w:rPr>
          <w:lang w:val="fr-CA"/>
        </w:rPr>
        <w:t xml:space="preserve">18.  La Cour d’appel fédérale lui a donné raison, signalant que « le Parlement a confié à une seule cour, la Cour fédérale, l’exercice du contrôle de la légalité des décisions des organismes fédéraux.  </w:t>
      </w:r>
      <w:r w:rsidRPr="00291752">
        <w:rPr>
          <w:u w:val="single"/>
          <w:lang w:val="fr-CA"/>
        </w:rPr>
        <w:t>Ce contrôle doit s’exercer et s’exerce, aux termes de l’article 18, seulement par la présentation d’une demande de contrôle judiciaire</w:t>
      </w:r>
      <w:r w:rsidRPr="00291752">
        <w:rPr>
          <w:lang w:val="fr-CA"/>
        </w:rPr>
        <w:t> » (par.</w:t>
      </w:r>
      <w:r w:rsidR="00F85794" w:rsidRPr="00291752">
        <w:rPr>
          <w:lang w:val="fr-CA"/>
        </w:rPr>
        <w:t xml:space="preserve"> </w:t>
      </w:r>
      <w:r w:rsidRPr="00291752">
        <w:rPr>
          <w:lang w:val="fr-CA"/>
        </w:rPr>
        <w:t xml:space="preserve">24 (je souligne)).  La Cour d’appel </w:t>
      </w:r>
      <w:r w:rsidR="002731BC" w:rsidRPr="00291752">
        <w:rPr>
          <w:lang w:val="fr-CA"/>
        </w:rPr>
        <w:t>a jugé que l’action en dommages-</w:t>
      </w:r>
      <w:r w:rsidRPr="00291752">
        <w:rPr>
          <w:lang w:val="fr-CA"/>
        </w:rPr>
        <w:t>intérêts fondée sur l’art.</w:t>
      </w:r>
      <w:r w:rsidR="00F85794" w:rsidRPr="00291752">
        <w:rPr>
          <w:lang w:val="fr-CA"/>
        </w:rPr>
        <w:t xml:space="preserve"> </w:t>
      </w:r>
      <w:r w:rsidRPr="00291752">
        <w:rPr>
          <w:lang w:val="fr-CA"/>
        </w:rPr>
        <w:t>17, même si elle était intentée devant le même tribunal, n’en constituait pas moins une contestation indirecte interdite de la décisio</w:t>
      </w:r>
      <w:r w:rsidR="00F85794" w:rsidRPr="00291752">
        <w:rPr>
          <w:lang w:val="fr-CA"/>
        </w:rPr>
        <w:t xml:space="preserve">n de l’autorité carcérale (par. </w:t>
      </w:r>
      <w:r w:rsidRPr="00291752">
        <w:rPr>
          <w:lang w:val="fr-CA"/>
        </w:rPr>
        <w:t>32</w:t>
      </w:r>
      <w:r w:rsidR="00F85794" w:rsidRPr="00291752">
        <w:rPr>
          <w:lang w:val="fr-CA"/>
        </w:rPr>
        <w:t>-</w:t>
      </w:r>
      <w:r w:rsidRPr="00291752">
        <w:rPr>
          <w:lang w:val="fr-CA"/>
        </w:rPr>
        <w:t>33), parce que le tribunal de première instance « devait contrôler la légalité de la décision du directeur [. . .] et l’annuler » (par.</w:t>
      </w:r>
      <w:r w:rsidR="00F85794" w:rsidRPr="00291752">
        <w:rPr>
          <w:lang w:val="fr-CA"/>
        </w:rPr>
        <w:t xml:space="preserve"> </w:t>
      </w:r>
      <w:r w:rsidRPr="00291752">
        <w:rPr>
          <w:lang w:val="fr-CA"/>
        </w:rPr>
        <w:t>34), ce qui ne pouvait se faire qu’en application de l’art.</w:t>
      </w:r>
      <w:r w:rsidR="00F85794" w:rsidRPr="00291752">
        <w:rPr>
          <w:lang w:val="fr-CA"/>
        </w:rPr>
        <w:t xml:space="preserve"> </w:t>
      </w:r>
      <w:r w:rsidRPr="00291752">
        <w:rPr>
          <w:lang w:val="fr-CA"/>
        </w:rPr>
        <w:t xml:space="preserve">18 de la </w:t>
      </w:r>
      <w:r w:rsidRPr="00291752">
        <w:rPr>
          <w:i/>
          <w:lang w:val="fr-CA"/>
        </w:rPr>
        <w:t>LCF</w:t>
      </w:r>
      <w:r w:rsidRPr="00291752">
        <w:rPr>
          <w:lang w:val="fr-CA"/>
        </w:rPr>
        <w:t xml:space="preserve">.  Elle a estimé qu’il fallait empêcher l’érosion de la compétence de la Cour fédérale en matière de contrôle judiciaire et de la procédure particulière établie à son égard par le législateur.  Selon l’arrêt </w:t>
      </w:r>
      <w:r w:rsidRPr="00291752">
        <w:rPr>
          <w:i/>
          <w:lang w:val="fr-CA"/>
        </w:rPr>
        <w:t>Grenier</w:t>
      </w:r>
      <w:r w:rsidRPr="00291752">
        <w:rPr>
          <w:lang w:val="fr-CA"/>
        </w:rPr>
        <w:t xml:space="preserve">, une telle conclusion était compatible avec </w:t>
      </w:r>
      <w:r w:rsidRPr="00291752">
        <w:rPr>
          <w:i/>
          <w:lang w:val="fr-CA"/>
        </w:rPr>
        <w:t>R. c. Consolidated Maybrun Mines Ltd.</w:t>
      </w:r>
      <w:r w:rsidRPr="00291752">
        <w:rPr>
          <w:lang w:val="fr-CA"/>
        </w:rPr>
        <w:t>, [1998] 1</w:t>
      </w:r>
      <w:r w:rsidR="00F85794" w:rsidRPr="00291752">
        <w:rPr>
          <w:lang w:val="fr-CA"/>
        </w:rPr>
        <w:t xml:space="preserve"> </w:t>
      </w:r>
      <w:r w:rsidRPr="00291752">
        <w:rPr>
          <w:lang w:val="fr-CA"/>
        </w:rPr>
        <w:t>R.C.S. 706.</w:t>
      </w:r>
    </w:p>
    <w:p w:rsidR="00534959" w:rsidRPr="00291752" w:rsidRDefault="00534959" w:rsidP="00767D30">
      <w:pPr>
        <w:pStyle w:val="ReasonsNumbering-AltN"/>
        <w:rPr>
          <w:lang w:val="fr-CA"/>
        </w:rPr>
      </w:pPr>
      <w:r w:rsidRPr="00291752">
        <w:rPr>
          <w:lang w:val="fr-CA"/>
        </w:rPr>
        <w:lastRenderedPageBreak/>
        <w:t xml:space="preserve">Toujours suivant l’arrêt </w:t>
      </w:r>
      <w:r w:rsidRPr="00291752">
        <w:rPr>
          <w:i/>
          <w:lang w:val="fr-CA"/>
        </w:rPr>
        <w:t>Grenier</w:t>
      </w:r>
      <w:r w:rsidRPr="00291752">
        <w:rPr>
          <w:lang w:val="fr-CA"/>
        </w:rPr>
        <w:t xml:space="preserve">, il était sans conséquence que l’isolement préventif ait </w:t>
      </w:r>
      <w:proofErr w:type="gramStart"/>
      <w:r w:rsidRPr="00291752">
        <w:rPr>
          <w:lang w:val="fr-CA"/>
        </w:rPr>
        <w:t>pris</w:t>
      </w:r>
      <w:proofErr w:type="gramEnd"/>
      <w:r w:rsidRPr="00291752">
        <w:rPr>
          <w:lang w:val="fr-CA"/>
        </w:rPr>
        <w:t xml:space="preserve"> fin depuis longtemps.  « [U]ne décision d’un organisme fédéral, comme celle en l’espèce du directeur, conserve sa force et son autorité légales, demeure juridiquement opérante et produit des effets légaux tant qu’elle n’a pas été invalidée » (par.</w:t>
      </w:r>
      <w:r w:rsidR="00F85794" w:rsidRPr="00291752">
        <w:rPr>
          <w:lang w:val="fr-CA"/>
        </w:rPr>
        <w:t xml:space="preserve"> </w:t>
      </w:r>
      <w:r w:rsidRPr="00291752">
        <w:rPr>
          <w:lang w:val="fr-CA"/>
        </w:rPr>
        <w:t>19)</w:t>
      </w:r>
      <w:r w:rsidR="00A837AA" w:rsidRPr="00291752">
        <w:rPr>
          <w:lang w:val="fr-CA"/>
        </w:rPr>
        <w:t>.</w:t>
      </w:r>
      <w:r w:rsidRPr="00291752">
        <w:rPr>
          <w:lang w:val="fr-CA"/>
        </w:rPr>
        <w:t xml:space="preserve">  En conséquence, même après avoir cessé de produire ses effets, la mesure carcérale fournissait toujours une défense complète à l’action en dommag</w:t>
      </w:r>
      <w:r w:rsidR="002731BC" w:rsidRPr="00291752">
        <w:rPr>
          <w:lang w:val="fr-CA"/>
        </w:rPr>
        <w:t>es-</w:t>
      </w:r>
      <w:r w:rsidR="00F85794" w:rsidRPr="00291752">
        <w:rPr>
          <w:lang w:val="fr-CA"/>
        </w:rPr>
        <w:t xml:space="preserve">intérêts fondée sur l’art. </w:t>
      </w:r>
      <w:r w:rsidRPr="00291752">
        <w:rPr>
          <w:lang w:val="fr-CA"/>
        </w:rPr>
        <w:t>17.</w:t>
      </w:r>
    </w:p>
    <w:p w:rsidR="00534959" w:rsidRPr="00291752" w:rsidRDefault="00534959" w:rsidP="00767D30">
      <w:pPr>
        <w:pStyle w:val="ReasonsNumbering-AltN"/>
        <w:rPr>
          <w:lang w:val="fr-CA"/>
        </w:rPr>
      </w:pPr>
      <w:r w:rsidRPr="00291752">
        <w:rPr>
          <w:lang w:val="fr-CA"/>
        </w:rPr>
        <w:t>Récemment, l’enthousiasme d</w:t>
      </w:r>
      <w:r w:rsidR="002731BC" w:rsidRPr="00291752">
        <w:rPr>
          <w:lang w:val="fr-CA"/>
        </w:rPr>
        <w:t>e la Cour d’appel fédérale elle-</w:t>
      </w:r>
      <w:r w:rsidRPr="00291752">
        <w:rPr>
          <w:lang w:val="fr-CA"/>
        </w:rPr>
        <w:t xml:space="preserve">même à l’égard du « cloisonnement » établi dans </w:t>
      </w:r>
      <w:r w:rsidRPr="00291752">
        <w:rPr>
          <w:i/>
          <w:lang w:val="fr-CA"/>
        </w:rPr>
        <w:t>Grenier</w:t>
      </w:r>
      <w:r w:rsidRPr="00291752">
        <w:rPr>
          <w:lang w:val="fr-CA"/>
        </w:rPr>
        <w:t xml:space="preserve"> a semblé s’estomper.  Dans </w:t>
      </w:r>
      <w:r w:rsidRPr="00291752">
        <w:rPr>
          <w:i/>
          <w:lang w:val="fr-CA"/>
        </w:rPr>
        <w:t>Hinton c. Canada (Ministre de la Citoyenneté et de l’Immigration)</w:t>
      </w:r>
      <w:r w:rsidR="001E0AD2" w:rsidRPr="00291752">
        <w:rPr>
          <w:lang w:val="fr-CA"/>
        </w:rPr>
        <w:t xml:space="preserve">, 2008 CAF 215, [2009] 1 </w:t>
      </w:r>
      <w:r w:rsidRPr="00291752">
        <w:rPr>
          <w:lang w:val="fr-CA"/>
        </w:rPr>
        <w:t>R.C.F.</w:t>
      </w:r>
      <w:r w:rsidR="001E0AD2" w:rsidRPr="00291752">
        <w:rPr>
          <w:lang w:val="fr-CA"/>
        </w:rPr>
        <w:t xml:space="preserve"> </w:t>
      </w:r>
      <w:r w:rsidRPr="00291752">
        <w:rPr>
          <w:lang w:val="fr-CA"/>
        </w:rPr>
        <w:t xml:space="preserve">476, elle a permis qu’une demande de contrôle judiciaire soit </w:t>
      </w:r>
      <w:r w:rsidR="002731BC" w:rsidRPr="00291752">
        <w:rPr>
          <w:lang w:val="fr-CA"/>
        </w:rPr>
        <w:t>convertie en action en dommages-</w:t>
      </w:r>
      <w:r w:rsidRPr="00291752">
        <w:rPr>
          <w:lang w:val="fr-CA"/>
        </w:rPr>
        <w:t xml:space="preserve">intérêts, aussi autorisée à titre de recours collectif.  Le juge </w:t>
      </w:r>
      <w:proofErr w:type="spellStart"/>
      <w:r w:rsidRPr="00291752">
        <w:rPr>
          <w:lang w:val="fr-CA"/>
        </w:rPr>
        <w:t>Sexton</w:t>
      </w:r>
      <w:proofErr w:type="spellEnd"/>
      <w:r w:rsidRPr="00291752">
        <w:rPr>
          <w:lang w:val="fr-CA"/>
        </w:rPr>
        <w:t xml:space="preserve"> a fait le commentaire suivant : « Parfois, comme en l’espèce, il peut s’avérer trop lourd d’intenter u</w:t>
      </w:r>
      <w:r w:rsidR="002731BC" w:rsidRPr="00291752">
        <w:rPr>
          <w:lang w:val="fr-CA"/>
        </w:rPr>
        <w:t>ne action distincte en dommages-</w:t>
      </w:r>
      <w:r w:rsidRPr="00291752">
        <w:rPr>
          <w:lang w:val="fr-CA"/>
        </w:rPr>
        <w:t>intérêts, concurremment ou subséquemment à une demande de contrôle judiciaire » (par. 50).</w:t>
      </w:r>
    </w:p>
    <w:p w:rsidR="00534959" w:rsidRPr="00291752" w:rsidRDefault="00534959" w:rsidP="00767D30">
      <w:pPr>
        <w:pStyle w:val="ReasonsNumbering-AltN"/>
        <w:rPr>
          <w:lang w:val="fr-CA"/>
        </w:rPr>
      </w:pPr>
      <w:r w:rsidRPr="00291752">
        <w:rPr>
          <w:lang w:val="fr-CA"/>
        </w:rPr>
        <w:t xml:space="preserve">Plus récemment encore, dans l’arrêt </w:t>
      </w:r>
      <w:r w:rsidRPr="00291752">
        <w:rPr>
          <w:i/>
          <w:lang w:val="fr-CA"/>
        </w:rPr>
        <w:t>Parrish &amp; Heimbecker Ltd. c. Canada (Ministre de l’Agriculture et de l’Agroalimentaire)</w:t>
      </w:r>
      <w:r w:rsidRPr="00291752">
        <w:rPr>
          <w:lang w:val="fr-CA"/>
        </w:rPr>
        <w:t xml:space="preserve">, 2008 CAF 362, [2009] 3 R.C.F. 568 (dont l’appel a été instruit par notre Cour concurremment avec le présent pourvoi), la juge </w:t>
      </w:r>
      <w:proofErr w:type="spellStart"/>
      <w:r w:rsidRPr="00291752">
        <w:rPr>
          <w:lang w:val="fr-CA"/>
        </w:rPr>
        <w:t>Sharlow</w:t>
      </w:r>
      <w:proofErr w:type="spellEnd"/>
      <w:r w:rsidRPr="00291752">
        <w:rPr>
          <w:lang w:val="fr-CA"/>
        </w:rPr>
        <w:t xml:space="preserve">, dissidente, a exprimé l’opinion que « [l]e principe établi dans l’arrêt </w:t>
      </w:r>
      <w:r w:rsidRPr="00291752">
        <w:rPr>
          <w:i/>
          <w:lang w:val="fr-CA"/>
        </w:rPr>
        <w:t>Grenier</w:t>
      </w:r>
      <w:r w:rsidRPr="00291752">
        <w:rPr>
          <w:lang w:val="fr-CA"/>
        </w:rPr>
        <w:t xml:space="preserve"> a [. . .] été élaboré sans tenir compte de certains des aspects du régime législatif applicable au contentieux fédéral de l’État [dont la </w:t>
      </w:r>
      <w:r w:rsidRPr="00291752">
        <w:rPr>
          <w:i/>
          <w:lang w:val="fr-CA"/>
        </w:rPr>
        <w:t xml:space="preserve">Loi sur la </w:t>
      </w:r>
      <w:r w:rsidRPr="00291752">
        <w:rPr>
          <w:i/>
          <w:lang w:val="fr-CA"/>
        </w:rPr>
        <w:lastRenderedPageBreak/>
        <w:t>responsabilité civile de l’État et le contentieux administratif</w:t>
      </w:r>
      <w:r w:rsidRPr="00291752">
        <w:rPr>
          <w:lang w:val="fr-CA"/>
        </w:rPr>
        <w:t xml:space="preserve">], ce qui, à mon avis, soulève des doutes au sujet de l’analyse de l’arrêt </w:t>
      </w:r>
      <w:r w:rsidRPr="00291752">
        <w:rPr>
          <w:i/>
          <w:lang w:val="fr-CA"/>
        </w:rPr>
        <w:t>Grenier </w:t>
      </w:r>
      <w:r w:rsidRPr="00291752">
        <w:rPr>
          <w:lang w:val="fr-CA"/>
        </w:rPr>
        <w:t>» (par. 41).</w:t>
      </w:r>
    </w:p>
    <w:p w:rsidR="00534959" w:rsidRPr="00291752" w:rsidRDefault="00534959" w:rsidP="00767D30">
      <w:pPr>
        <w:pStyle w:val="ReasonsNumbering-AltN"/>
        <w:rPr>
          <w:lang w:val="fr-CA"/>
        </w:rPr>
      </w:pPr>
      <w:r w:rsidRPr="00291752">
        <w:rPr>
          <w:lang w:val="fr-CA"/>
        </w:rPr>
        <w:t xml:space="preserve">Pour leur part, certaines cours provinciales ont adopté le raisonnement formulé dans </w:t>
      </w:r>
      <w:r w:rsidRPr="00291752">
        <w:rPr>
          <w:i/>
          <w:lang w:val="fr-CA"/>
        </w:rPr>
        <w:t>Grenier</w:t>
      </w:r>
      <w:r w:rsidRPr="00291752">
        <w:rPr>
          <w:lang w:val="fr-CA"/>
        </w:rPr>
        <w:t> : voir</w:t>
      </w:r>
      <w:r w:rsidR="00A837AA" w:rsidRPr="00291752">
        <w:rPr>
          <w:lang w:val="fr-CA"/>
        </w:rPr>
        <w:t>,</w:t>
      </w:r>
      <w:r w:rsidRPr="00291752">
        <w:rPr>
          <w:lang w:val="fr-CA"/>
        </w:rPr>
        <w:t xml:space="preserve"> notamment</w:t>
      </w:r>
      <w:r w:rsidR="00A837AA" w:rsidRPr="00291752">
        <w:rPr>
          <w:lang w:val="fr-CA"/>
        </w:rPr>
        <w:t>,</w:t>
      </w:r>
      <w:r w:rsidRPr="00291752">
        <w:rPr>
          <w:lang w:val="fr-CA"/>
        </w:rPr>
        <w:t xml:space="preserve"> </w:t>
      </w:r>
      <w:r w:rsidRPr="00291752">
        <w:rPr>
          <w:i/>
          <w:lang w:val="fr-CA"/>
        </w:rPr>
        <w:t>Donovan c. Canada (Attorney General)</w:t>
      </w:r>
      <w:r w:rsidRPr="00291752">
        <w:rPr>
          <w:lang w:val="fr-CA"/>
        </w:rPr>
        <w:t>, 2008</w:t>
      </w:r>
      <w:r w:rsidR="001E0AD2" w:rsidRPr="00291752">
        <w:rPr>
          <w:lang w:val="fr-CA"/>
        </w:rPr>
        <w:t xml:space="preserve"> </w:t>
      </w:r>
      <w:r w:rsidRPr="00291752">
        <w:rPr>
          <w:lang w:val="fr-CA"/>
        </w:rPr>
        <w:t>NLCA</w:t>
      </w:r>
      <w:r w:rsidR="001E0AD2" w:rsidRPr="00291752">
        <w:rPr>
          <w:lang w:val="fr-CA"/>
        </w:rPr>
        <w:t xml:space="preserve"> </w:t>
      </w:r>
      <w:r w:rsidRPr="00291752">
        <w:rPr>
          <w:lang w:val="fr-CA"/>
        </w:rPr>
        <w:t xml:space="preserve">8, 273 Nfld. </w:t>
      </w:r>
      <w:r w:rsidRPr="00291752">
        <w:t xml:space="preserve">&amp; P.E.I.R. 116; </w:t>
      </w:r>
      <w:r w:rsidRPr="00291752">
        <w:rPr>
          <w:i/>
        </w:rPr>
        <w:t>Lidstone c. Canada (Minister of Canadian Heritage)</w:t>
      </w:r>
      <w:r w:rsidRPr="00291752">
        <w:t>, 2008</w:t>
      </w:r>
      <w:r w:rsidR="001E0AD2" w:rsidRPr="00291752">
        <w:t xml:space="preserve"> </w:t>
      </w:r>
      <w:r w:rsidRPr="00291752">
        <w:t>PESCTD</w:t>
      </w:r>
      <w:r w:rsidR="001E0AD2" w:rsidRPr="00291752">
        <w:t xml:space="preserve"> </w:t>
      </w:r>
      <w:r w:rsidRPr="00291752">
        <w:t>6, 286</w:t>
      </w:r>
      <w:r w:rsidR="001E0AD2" w:rsidRPr="00291752">
        <w:t xml:space="preserve"> </w:t>
      </w:r>
      <w:r w:rsidRPr="00291752">
        <w:t xml:space="preserve">Nfld. &amp; P.E.I.R. 244.  La </w:t>
      </w:r>
      <w:proofErr w:type="spellStart"/>
      <w:r w:rsidRPr="00291752">
        <w:t>plupart</w:t>
      </w:r>
      <w:proofErr w:type="spellEnd"/>
      <w:r w:rsidRPr="00291752">
        <w:t xml:space="preserve"> des </w:t>
      </w:r>
      <w:proofErr w:type="spellStart"/>
      <w:r w:rsidRPr="00291752">
        <w:t>cours</w:t>
      </w:r>
      <w:proofErr w:type="spellEnd"/>
      <w:r w:rsidRPr="00291752">
        <w:t xml:space="preserve"> </w:t>
      </w:r>
      <w:proofErr w:type="spellStart"/>
      <w:r w:rsidRPr="00291752">
        <w:t>provinciales</w:t>
      </w:r>
      <w:proofErr w:type="spellEnd"/>
      <w:r w:rsidRPr="00291752">
        <w:t xml:space="preserve"> ne </w:t>
      </w:r>
      <w:proofErr w:type="spellStart"/>
      <w:r w:rsidRPr="00291752">
        <w:t>l’ont</w:t>
      </w:r>
      <w:proofErr w:type="spellEnd"/>
      <w:r w:rsidRPr="00291752">
        <w:t xml:space="preserve"> </w:t>
      </w:r>
      <w:proofErr w:type="spellStart"/>
      <w:r w:rsidRPr="00291752">
        <w:t>toutefois</w:t>
      </w:r>
      <w:proofErr w:type="spellEnd"/>
      <w:r w:rsidRPr="00291752">
        <w:t xml:space="preserve"> pas </w:t>
      </w:r>
      <w:proofErr w:type="spellStart"/>
      <w:r w:rsidRPr="00291752">
        <w:t>suivi</w:t>
      </w:r>
      <w:proofErr w:type="spellEnd"/>
      <w:r w:rsidRPr="00291752">
        <w:t xml:space="preserve"> </w:t>
      </w:r>
      <w:proofErr w:type="spellStart"/>
      <w:r w:rsidRPr="00291752">
        <w:t>ou</w:t>
      </w:r>
      <w:proofErr w:type="spellEnd"/>
      <w:r w:rsidRPr="00291752">
        <w:t xml:space="preserve"> </w:t>
      </w:r>
      <w:proofErr w:type="spellStart"/>
      <w:r w:rsidRPr="00291752">
        <w:t>ont</w:t>
      </w:r>
      <w:proofErr w:type="spellEnd"/>
      <w:r w:rsidRPr="00291752">
        <w:t xml:space="preserve"> </w:t>
      </w:r>
      <w:proofErr w:type="spellStart"/>
      <w:r w:rsidRPr="00291752">
        <w:t>conclu</w:t>
      </w:r>
      <w:proofErr w:type="spellEnd"/>
      <w:r w:rsidRPr="00291752">
        <w:t xml:space="preserve"> </w:t>
      </w:r>
      <w:proofErr w:type="spellStart"/>
      <w:r w:rsidRPr="00291752">
        <w:t>que</w:t>
      </w:r>
      <w:proofErr w:type="spellEnd"/>
      <w:r w:rsidRPr="00291752">
        <w:t xml:space="preserve"> des distinctions </w:t>
      </w:r>
      <w:proofErr w:type="spellStart"/>
      <w:r w:rsidRPr="00291752">
        <w:t>s’imposaient</w:t>
      </w:r>
      <w:proofErr w:type="spellEnd"/>
      <w:r w:rsidRPr="00291752">
        <w:t xml:space="preserve"> : </w:t>
      </w:r>
      <w:proofErr w:type="spellStart"/>
      <w:r w:rsidRPr="00291752">
        <w:t>voir</w:t>
      </w:r>
      <w:proofErr w:type="spellEnd"/>
      <w:r w:rsidR="00A837AA" w:rsidRPr="00291752">
        <w:t>,</w:t>
      </w:r>
      <w:r w:rsidRPr="00291752">
        <w:t xml:space="preserve"> </w:t>
      </w:r>
      <w:proofErr w:type="spellStart"/>
      <w:r w:rsidRPr="00291752">
        <w:t>notamment</w:t>
      </w:r>
      <w:proofErr w:type="spellEnd"/>
      <w:r w:rsidR="00A837AA" w:rsidRPr="00291752">
        <w:t>,</w:t>
      </w:r>
      <w:r w:rsidRPr="00291752">
        <w:t xml:space="preserve"> </w:t>
      </w:r>
      <w:r w:rsidRPr="00291752">
        <w:rPr>
          <w:i/>
        </w:rPr>
        <w:t>River Valley Poultry Farm Ltd. c. Canada (Attorney General)</w:t>
      </w:r>
      <w:r w:rsidRPr="00291752">
        <w:t>, 2009</w:t>
      </w:r>
      <w:r w:rsidR="001E0AD2" w:rsidRPr="00291752">
        <w:t xml:space="preserve"> ONCA 326, 95 O.R. (3d) 1, par. </w:t>
      </w:r>
      <w:r w:rsidRPr="00291752">
        <w:t xml:space="preserve">30; </w:t>
      </w:r>
      <w:r w:rsidRPr="00291752">
        <w:rPr>
          <w:i/>
        </w:rPr>
        <w:t>Los Angeles Salad Co. c. Canadian Food Inspection Agency</w:t>
      </w:r>
      <w:r w:rsidRPr="00291752">
        <w:t>,</w:t>
      </w:r>
      <w:r w:rsidR="001E0AD2" w:rsidRPr="00291752">
        <w:t xml:space="preserve"> 2009 BCSC 109, 92 </w:t>
      </w:r>
      <w:r w:rsidRPr="00291752">
        <w:t>B.C.L.R. (4th) 379, par.</w:t>
      </w:r>
      <w:r w:rsidR="001E0AD2" w:rsidRPr="00291752">
        <w:t xml:space="preserve"> </w:t>
      </w:r>
      <w:r w:rsidRPr="00291752">
        <w:t xml:space="preserve">24; </w:t>
      </w:r>
      <w:r w:rsidRPr="00291752">
        <w:rPr>
          <w:i/>
        </w:rPr>
        <w:t>Leroux c. Canada Revenue Agency</w:t>
      </w:r>
      <w:r w:rsidRPr="00291752">
        <w:t>, 2010 BCSC 865, 2010 D.T.C. 5123, par.</w:t>
      </w:r>
      <w:r w:rsidR="001E0AD2" w:rsidRPr="00291752">
        <w:t xml:space="preserve"> </w:t>
      </w:r>
      <w:r w:rsidRPr="00291752">
        <w:t xml:space="preserve">54; </w:t>
      </w:r>
      <w:proofErr w:type="spellStart"/>
      <w:r w:rsidRPr="00291752">
        <w:t>voir</w:t>
      </w:r>
      <w:proofErr w:type="spellEnd"/>
      <w:r w:rsidRPr="00291752">
        <w:t xml:space="preserve"> </w:t>
      </w:r>
      <w:proofErr w:type="spellStart"/>
      <w:r w:rsidRPr="00291752">
        <w:t>aussi</w:t>
      </w:r>
      <w:proofErr w:type="spellEnd"/>
      <w:r w:rsidRPr="00291752">
        <w:t xml:space="preserve"> </w:t>
      </w:r>
      <w:r w:rsidRPr="00291752">
        <w:rPr>
          <w:i/>
        </w:rPr>
        <w:t>Fantasy Construction Ltd., Re</w:t>
      </w:r>
      <w:r w:rsidRPr="00291752">
        <w:t>, 2007 ABCA 335, 89 Alta. L.R. (4th) 93, par.</w:t>
      </w:r>
      <w:r w:rsidR="001E0AD2" w:rsidRPr="00291752">
        <w:t xml:space="preserve"> </w:t>
      </w:r>
      <w:r w:rsidRPr="00291752">
        <w:t xml:space="preserve">43; </w:t>
      </w:r>
      <w:r w:rsidRPr="00291752">
        <w:rPr>
          <w:i/>
        </w:rPr>
        <w:t>Genge c. Canada (Attorney General)</w:t>
      </w:r>
      <w:r w:rsidRPr="00291752">
        <w:t>, 2007 NLCA 60, 270</w:t>
      </w:r>
      <w:r w:rsidR="001E0AD2" w:rsidRPr="00291752">
        <w:t xml:space="preserve"> </w:t>
      </w:r>
      <w:r w:rsidRPr="00291752">
        <w:t>Nfld.</w:t>
      </w:r>
      <w:r w:rsidR="001E0AD2" w:rsidRPr="00291752">
        <w:t xml:space="preserve"> </w:t>
      </w:r>
      <w:r w:rsidRPr="00291752">
        <w:rPr>
          <w:lang w:val="fr-CA"/>
        </w:rPr>
        <w:t>&amp;</w:t>
      </w:r>
      <w:r w:rsidR="001E0AD2" w:rsidRPr="00291752">
        <w:rPr>
          <w:lang w:val="fr-CA"/>
        </w:rPr>
        <w:t xml:space="preserve"> </w:t>
      </w:r>
      <w:r w:rsidRPr="00291752">
        <w:rPr>
          <w:lang w:val="fr-CA"/>
        </w:rPr>
        <w:t>P.E.I.R. 182, par.</w:t>
      </w:r>
      <w:r w:rsidR="001E0AD2" w:rsidRPr="00291752">
        <w:rPr>
          <w:lang w:val="fr-CA"/>
        </w:rPr>
        <w:t xml:space="preserve"> </w:t>
      </w:r>
      <w:r w:rsidRPr="00291752">
        <w:rPr>
          <w:lang w:val="fr-CA"/>
        </w:rPr>
        <w:t>34.</w:t>
      </w:r>
    </w:p>
    <w:p w:rsidR="00534959" w:rsidRPr="00291752" w:rsidRDefault="00534959" w:rsidP="00D74A37">
      <w:pPr>
        <w:spacing w:after="720"/>
        <w:ind w:left="450" w:hanging="450"/>
        <w:rPr>
          <w:lang w:val="fr-CA"/>
        </w:rPr>
      </w:pPr>
      <w:r w:rsidRPr="00291752">
        <w:rPr>
          <w:lang w:val="fr-CA"/>
        </w:rPr>
        <w:t>C.</w:t>
      </w:r>
      <w:r w:rsidR="00D74A37" w:rsidRPr="00291752">
        <w:rPr>
          <w:lang w:val="fr-CA"/>
        </w:rPr>
        <w:tab/>
      </w:r>
      <w:r w:rsidRPr="00291752">
        <w:rPr>
          <w:i/>
          <w:lang w:val="fr-CA"/>
        </w:rPr>
        <w:t>La conception large de l’arrêt Grenier invoquée par le procureur général</w:t>
      </w:r>
    </w:p>
    <w:p w:rsidR="00534959" w:rsidRPr="00291752" w:rsidRDefault="00534959" w:rsidP="00767D30">
      <w:pPr>
        <w:pStyle w:val="ReasonsNumbering-AltN"/>
        <w:rPr>
          <w:lang w:val="fr-CA"/>
        </w:rPr>
      </w:pPr>
      <w:r w:rsidRPr="00291752">
        <w:rPr>
          <w:lang w:val="fr-CA"/>
        </w:rPr>
        <w:t xml:space="preserve">Suivant le procureur général, l’arrêt </w:t>
      </w:r>
      <w:r w:rsidRPr="00291752">
        <w:rPr>
          <w:i/>
          <w:lang w:val="fr-CA"/>
        </w:rPr>
        <w:t xml:space="preserve">Grenier </w:t>
      </w:r>
      <w:r w:rsidRPr="00291752">
        <w:rPr>
          <w:lang w:val="fr-CA"/>
        </w:rPr>
        <w:t xml:space="preserve">confirme que, lorsque la « légalité » d’une décision ou ordonnance administrative est en cause, ni la Cour fédérale ni une cour supérieure provinciale n’ont </w:t>
      </w:r>
      <w:r w:rsidRPr="00291752">
        <w:rPr>
          <w:i/>
          <w:lang w:val="fr-CA"/>
        </w:rPr>
        <w:t>compétence</w:t>
      </w:r>
      <w:r w:rsidRPr="00291752">
        <w:rPr>
          <w:lang w:val="fr-CA"/>
        </w:rPr>
        <w:t xml:space="preserve"> pour i</w:t>
      </w:r>
      <w:r w:rsidR="002731BC" w:rsidRPr="00291752">
        <w:rPr>
          <w:lang w:val="fr-CA"/>
        </w:rPr>
        <w:t>nstruire une action en dommages-</w:t>
      </w:r>
      <w:r w:rsidRPr="00291752">
        <w:rPr>
          <w:lang w:val="fr-CA"/>
        </w:rPr>
        <w:t xml:space="preserve">intérêts sans contrôle judiciaire préalable au moyen de la procédure « particulière » établie à l’art. 18 de la </w:t>
      </w:r>
      <w:r w:rsidRPr="00291752">
        <w:rPr>
          <w:i/>
          <w:lang w:val="fr-CA"/>
        </w:rPr>
        <w:t>LCF</w:t>
      </w:r>
      <w:r w:rsidRPr="00291752">
        <w:rPr>
          <w:lang w:val="fr-CA"/>
        </w:rPr>
        <w:t xml:space="preserve">.  Le procureur général emploie </w:t>
      </w:r>
      <w:r w:rsidRPr="00291752">
        <w:rPr>
          <w:lang w:val="fr-CA"/>
        </w:rPr>
        <w:lastRenderedPageBreak/>
        <w:t>l’expression [</w:t>
      </w:r>
      <w:r w:rsidRPr="00291752">
        <w:rPr>
          <w:smallCaps/>
          <w:lang w:val="fr-CA"/>
        </w:rPr>
        <w:t>traduction</w:t>
      </w:r>
      <w:r w:rsidRPr="00291752">
        <w:rPr>
          <w:lang w:val="fr-CA"/>
        </w:rPr>
        <w:t>] « invalidité ou légalité » et signale que celle</w:t>
      </w:r>
      <w:r w:rsidR="001E0AD2" w:rsidRPr="00291752">
        <w:rPr>
          <w:lang w:val="fr-CA"/>
        </w:rPr>
        <w:t>-</w:t>
      </w:r>
      <w:r w:rsidRPr="00291752">
        <w:rPr>
          <w:lang w:val="fr-CA"/>
        </w:rPr>
        <w:t xml:space="preserve">ci peut s’étendre même aux recours contractuels.  Il cite l’arrêt </w:t>
      </w:r>
      <w:r w:rsidRPr="00291752">
        <w:rPr>
          <w:i/>
          <w:lang w:val="fr-CA"/>
        </w:rPr>
        <w:t>Gestion Complexe Cousineau (1989) Inc. c. Canada (Ministre des Travaux publics et Services gouvernementaux)</w:t>
      </w:r>
      <w:r w:rsidRPr="00291752">
        <w:rPr>
          <w:lang w:val="fr-CA"/>
        </w:rPr>
        <w:t>, [1995] 2</w:t>
      </w:r>
      <w:r w:rsidR="001E0AD2" w:rsidRPr="00291752">
        <w:rPr>
          <w:lang w:val="fr-CA"/>
        </w:rPr>
        <w:t xml:space="preserve"> </w:t>
      </w:r>
      <w:r w:rsidRPr="00291752">
        <w:rPr>
          <w:lang w:val="fr-CA"/>
        </w:rPr>
        <w:t>C.F. 694, p.</w:t>
      </w:r>
      <w:r w:rsidR="001E0AD2" w:rsidRPr="00291752">
        <w:rPr>
          <w:lang w:val="fr-CA"/>
        </w:rPr>
        <w:t xml:space="preserve"> </w:t>
      </w:r>
      <w:r w:rsidRPr="00291752">
        <w:rPr>
          <w:lang w:val="fr-CA"/>
        </w:rPr>
        <w:t>703</w:t>
      </w:r>
      <w:r w:rsidR="001E0AD2" w:rsidRPr="00291752">
        <w:rPr>
          <w:lang w:val="fr-CA"/>
        </w:rPr>
        <w:t>-</w:t>
      </w:r>
      <w:r w:rsidRPr="00291752">
        <w:rPr>
          <w:lang w:val="fr-CA"/>
        </w:rPr>
        <w:t xml:space="preserve">706, dans lequel la Cour d’appel fédérale a jugé que l’exercice par un ministre du pouvoir légal de lancer un appel d’offres et de conclure des marchés </w:t>
      </w:r>
      <w:r w:rsidR="001E0AD2" w:rsidRPr="00291752">
        <w:rPr>
          <w:lang w:val="fr-CA"/>
        </w:rPr>
        <w:t xml:space="preserve">concernant la location de </w:t>
      </w:r>
      <w:proofErr w:type="spellStart"/>
      <w:r w:rsidR="001E0AD2" w:rsidRPr="00291752">
        <w:rPr>
          <w:lang w:val="fr-CA"/>
        </w:rPr>
        <w:t>biens-</w:t>
      </w:r>
      <w:r w:rsidRPr="00291752">
        <w:rPr>
          <w:lang w:val="fr-CA"/>
        </w:rPr>
        <w:t>fonds</w:t>
      </w:r>
      <w:proofErr w:type="spellEnd"/>
      <w:r w:rsidRPr="00291752">
        <w:rPr>
          <w:lang w:val="fr-CA"/>
        </w:rPr>
        <w:t xml:space="preserve"> par la Couronne peut faire l’objet d’un contrôle judiciaire.  Voir aussi </w:t>
      </w:r>
      <w:r w:rsidRPr="00291752">
        <w:rPr>
          <w:i/>
          <w:lang w:val="fr-CA"/>
        </w:rPr>
        <w:t>Irving Shipbuilding Inc. c. Canada (Procureur général)</w:t>
      </w:r>
      <w:r w:rsidRPr="00291752">
        <w:rPr>
          <w:lang w:val="fr-CA"/>
        </w:rPr>
        <w:t>,</w:t>
      </w:r>
      <w:r w:rsidRPr="00291752">
        <w:rPr>
          <w:i/>
          <w:lang w:val="fr-CA"/>
        </w:rPr>
        <w:t xml:space="preserve"> </w:t>
      </w:r>
      <w:r w:rsidR="001E0AD2" w:rsidRPr="00291752">
        <w:rPr>
          <w:lang w:val="fr-CA"/>
        </w:rPr>
        <w:t xml:space="preserve">2009 </w:t>
      </w:r>
      <w:r w:rsidRPr="00291752">
        <w:rPr>
          <w:lang w:val="fr-CA"/>
        </w:rPr>
        <w:t>CAF 116</w:t>
      </w:r>
      <w:r w:rsidR="00A837AA" w:rsidRPr="00291752">
        <w:rPr>
          <w:lang w:val="fr-CA"/>
        </w:rPr>
        <w:t xml:space="preserve"> (</w:t>
      </w:r>
      <w:proofErr w:type="spellStart"/>
      <w:r w:rsidR="00A837AA" w:rsidRPr="00291752">
        <w:rPr>
          <w:lang w:val="fr-CA"/>
        </w:rPr>
        <w:t>CanLII</w:t>
      </w:r>
      <w:proofErr w:type="spellEnd"/>
      <w:r w:rsidR="00A837AA" w:rsidRPr="00291752">
        <w:rPr>
          <w:lang w:val="fr-CA"/>
        </w:rPr>
        <w:t>)</w:t>
      </w:r>
      <w:r w:rsidR="001E0AD2" w:rsidRPr="00291752">
        <w:rPr>
          <w:lang w:val="fr-CA"/>
        </w:rPr>
        <w:t>, par. 21-</w:t>
      </w:r>
      <w:r w:rsidRPr="00291752">
        <w:rPr>
          <w:lang w:val="fr-CA"/>
        </w:rPr>
        <w:t xml:space="preserve">25, autorisation d’appel refusée, </w:t>
      </w:r>
      <w:r w:rsidR="001E0AD2" w:rsidRPr="00291752">
        <w:rPr>
          <w:lang w:val="fr-FR"/>
        </w:rPr>
        <w:t xml:space="preserve">[2009] </w:t>
      </w:r>
      <w:r w:rsidRPr="00291752">
        <w:rPr>
          <w:lang w:val="fr-FR"/>
        </w:rPr>
        <w:t>3 R.C.S. vii</w:t>
      </w:r>
      <w:r w:rsidRPr="00291752">
        <w:rPr>
          <w:lang w:val="fr-CA"/>
        </w:rPr>
        <w:t xml:space="preserve">.  Toutefois, dans l’arrêt </w:t>
      </w:r>
      <w:r w:rsidRPr="00291752">
        <w:rPr>
          <w:i/>
          <w:lang w:val="fr-CA"/>
        </w:rPr>
        <w:t>Martel Building Ltd. c. Canada</w:t>
      </w:r>
      <w:r w:rsidRPr="00291752">
        <w:rPr>
          <w:lang w:val="fr-CA"/>
        </w:rPr>
        <w:t>,</w:t>
      </w:r>
      <w:r w:rsidRPr="00291752">
        <w:rPr>
          <w:i/>
          <w:lang w:val="fr-CA"/>
        </w:rPr>
        <w:t xml:space="preserve"> </w:t>
      </w:r>
      <w:r w:rsidRPr="00291752">
        <w:rPr>
          <w:lang w:val="fr-CA"/>
        </w:rPr>
        <w:t>2000 CSC 60,</w:t>
      </w:r>
      <w:r w:rsidRPr="00291752">
        <w:rPr>
          <w:i/>
          <w:lang w:val="fr-CA"/>
        </w:rPr>
        <w:t xml:space="preserve"> </w:t>
      </w:r>
      <w:r w:rsidRPr="00291752">
        <w:rPr>
          <w:lang w:val="fr-CA"/>
        </w:rPr>
        <w:t>[2000] 2 R.C.S. 860, qui portait lui aussi sur un appel d’offres, notre Cour a rejeté la demande, en définitive, mais elle n’a pas in</w:t>
      </w:r>
      <w:r w:rsidR="002731BC" w:rsidRPr="00291752">
        <w:rPr>
          <w:lang w:val="fr-CA"/>
        </w:rPr>
        <w:t>diqué qu’un recours en dommages-</w:t>
      </w:r>
      <w:r w:rsidRPr="00291752">
        <w:rPr>
          <w:lang w:val="fr-CA"/>
        </w:rPr>
        <w:t>intérêts contre la Couronne devait être précédé d’un contrôle judiciaire.</w:t>
      </w:r>
    </w:p>
    <w:p w:rsidR="00534959" w:rsidRPr="00291752" w:rsidRDefault="00534959" w:rsidP="00767D30">
      <w:pPr>
        <w:pStyle w:val="ReasonsNumbering-AltN"/>
        <w:rPr>
          <w:lang w:val="fr-CA"/>
        </w:rPr>
      </w:pPr>
      <w:r w:rsidRPr="00291752">
        <w:rPr>
          <w:lang w:val="fr-CA"/>
        </w:rPr>
        <w:t xml:space="preserve">De plus, je ne pense pas que </w:t>
      </w:r>
      <w:r w:rsidRPr="00291752">
        <w:rPr>
          <w:i/>
          <w:lang w:val="fr-CA"/>
        </w:rPr>
        <w:t>Consolidated Maybrun</w:t>
      </w:r>
      <w:r w:rsidRPr="00291752">
        <w:rPr>
          <w:lang w:val="fr-CA"/>
        </w:rPr>
        <w:t xml:space="preserve"> ou le pourvoi connexe </w:t>
      </w:r>
      <w:r w:rsidRPr="00291752">
        <w:rPr>
          <w:i/>
          <w:lang w:val="fr-CA"/>
        </w:rPr>
        <w:t>R. c. Al Klippert Ltd.</w:t>
      </w:r>
      <w:r w:rsidRPr="00291752">
        <w:rPr>
          <w:lang w:val="fr-CA"/>
        </w:rPr>
        <w:t xml:space="preserve">, [1998] 1 R.C.S. 737, appuient la position du procureur général.  Ces affaires soulevaient la question très étroite de savoir si une personne accusée au criminel de ne pas s’être conformée à une ordonnance administrative pouvait, en défense, contester la validité de l’ordonnance bien qu’elle ne se fût pas prévalue de la procédure d’appel prévue par la loi sous le régime de laquelle l’ordonnance avait été rendue.  Dans les deux cas, la Cour a conclu, après un examen minutieux de la loi de nature réglementaire en vertu de laquelle l’ordonnance avait été rendue, qu’autoriser une telle défense « encouragerait un comportement contraire aux objectifs de la Loi [de nature réglementaire] et tendrait à miner son efficacité » </w:t>
      </w:r>
      <w:r w:rsidRPr="00291752">
        <w:rPr>
          <w:lang w:val="fr-CA"/>
        </w:rPr>
        <w:lastRenderedPageBreak/>
        <w:t>(</w:t>
      </w:r>
      <w:r w:rsidRPr="00291752">
        <w:rPr>
          <w:i/>
          <w:lang w:val="fr-CA"/>
        </w:rPr>
        <w:t>Consolidated Maybrun</w:t>
      </w:r>
      <w:r w:rsidRPr="00291752">
        <w:rPr>
          <w:lang w:val="fr-CA"/>
        </w:rPr>
        <w:t>, par. 60).  Ces arrêts établissent en conséquence une position assez nuancée quant à savoir si une contestation indirecte est possible ou non.  La réponse à cette question dépend largement de l’analyse que fait le tribunal de la loi dont découle la décision et exige qu’on recherche « l’intention législative quant au forum approprié » pour le règlement du différend (</w:t>
      </w:r>
      <w:r w:rsidRPr="00291752">
        <w:rPr>
          <w:i/>
          <w:lang w:val="fr-CA"/>
        </w:rPr>
        <w:t>Consolidated Maybrun</w:t>
      </w:r>
      <w:r w:rsidRPr="00291752">
        <w:rPr>
          <w:lang w:val="fr-CA"/>
        </w:rPr>
        <w:t xml:space="preserve">, par. 52).  À mon avis, étant donné les considérations de principe susmentionnées, c’est l’adoption de l’approche retenue dans </w:t>
      </w:r>
      <w:r w:rsidRPr="00291752">
        <w:rPr>
          <w:i/>
          <w:lang w:val="fr-CA"/>
        </w:rPr>
        <w:t xml:space="preserve">Grenier </w:t>
      </w:r>
      <w:r w:rsidRPr="00291752">
        <w:rPr>
          <w:lang w:val="fr-CA"/>
        </w:rPr>
        <w:t>qui [</w:t>
      </w:r>
      <w:r w:rsidRPr="00291752">
        <w:rPr>
          <w:smallCaps/>
          <w:lang w:val="fr-CA"/>
        </w:rPr>
        <w:t>traduction</w:t>
      </w:r>
      <w:r w:rsidRPr="00291752">
        <w:rPr>
          <w:lang w:val="fr-CA"/>
        </w:rPr>
        <w:t xml:space="preserve">] « tendrait à miner [l’]efficacité » des réformes mises en place par la </w:t>
      </w:r>
      <w:r w:rsidRPr="00291752">
        <w:rPr>
          <w:i/>
          <w:lang w:val="fr-CA"/>
        </w:rPr>
        <w:t>LCF</w:t>
      </w:r>
      <w:r w:rsidRPr="00291752">
        <w:rPr>
          <w:lang w:val="fr-CA"/>
        </w:rPr>
        <w:t>, qui visaient notamment à ce qu’une cour supérieure provinciale devienne tout autant un « forum approprié » pour le règlement efficace des réclamations pécuniaires contre la Couronne fédérale.</w:t>
      </w:r>
    </w:p>
    <w:p w:rsidR="00534959" w:rsidRPr="00291752" w:rsidRDefault="00534959" w:rsidP="00D74A37">
      <w:pPr>
        <w:spacing w:after="720"/>
        <w:ind w:left="450" w:hanging="450"/>
        <w:rPr>
          <w:lang w:val="fr-CA"/>
        </w:rPr>
      </w:pPr>
      <w:r w:rsidRPr="00291752">
        <w:rPr>
          <w:lang w:val="fr-CA"/>
        </w:rPr>
        <w:t>D.</w:t>
      </w:r>
      <w:r w:rsidR="00D74A37" w:rsidRPr="00291752">
        <w:rPr>
          <w:lang w:val="fr-CA"/>
        </w:rPr>
        <w:tab/>
      </w:r>
      <w:r w:rsidRPr="00291752">
        <w:rPr>
          <w:i/>
          <w:lang w:val="fr-CA"/>
        </w:rPr>
        <w:t>La compétence des cours supérieures provinciales</w:t>
      </w:r>
    </w:p>
    <w:p w:rsidR="00534959" w:rsidRPr="00291752" w:rsidRDefault="00534959" w:rsidP="00767D30">
      <w:pPr>
        <w:pStyle w:val="ReasonsNumbering-AltN"/>
        <w:rPr>
          <w:lang w:val="fr-CA"/>
        </w:rPr>
      </w:pPr>
      <w:r w:rsidRPr="00291752">
        <w:rPr>
          <w:lang w:val="fr-CA"/>
        </w:rPr>
        <w:t xml:space="preserve">À ce stade de l’analyse, il faut se rappeler que la compétence des cours supérieures provinciales ne peut être amoindrie (en faveur de la Cour fédérale ou d’un autre tribunal) que si une disposition législative claire le prévoit expressément.  « [L]a dévolution d’une compétence exclusive à un tribunal créé par loi et la perte corrélative de cette compétence par les cours supérieures provinciales [. . .] doit être énoncée expressément en termes clairs dans la loi » : </w:t>
      </w:r>
      <w:r w:rsidRPr="00291752">
        <w:rPr>
          <w:i/>
          <w:lang w:val="fr-CA"/>
        </w:rPr>
        <w:t>Succession Ordon c. Grail</w:t>
      </w:r>
      <w:r w:rsidRPr="00291752">
        <w:rPr>
          <w:lang w:val="fr-CA"/>
        </w:rPr>
        <w:t>, [1998] 3 R.C.S. 437, par.</w:t>
      </w:r>
      <w:r w:rsidR="001E0AD2" w:rsidRPr="00291752">
        <w:rPr>
          <w:lang w:val="fr-CA"/>
        </w:rPr>
        <w:t xml:space="preserve"> </w:t>
      </w:r>
      <w:r w:rsidRPr="00291752">
        <w:rPr>
          <w:lang w:val="fr-CA"/>
        </w:rPr>
        <w:t>46; voir aussi</w:t>
      </w:r>
      <w:r w:rsidRPr="00291752">
        <w:rPr>
          <w:i/>
          <w:lang w:val="fr-CA"/>
        </w:rPr>
        <w:t xml:space="preserve"> Pringle c. Fraser</w:t>
      </w:r>
      <w:r w:rsidRPr="00291752">
        <w:rPr>
          <w:lang w:val="fr-CA"/>
        </w:rPr>
        <w:t>, [1972] R.C.S. 821, p.</w:t>
      </w:r>
      <w:r w:rsidR="001E0AD2" w:rsidRPr="00291752">
        <w:rPr>
          <w:lang w:val="fr-CA"/>
        </w:rPr>
        <w:t xml:space="preserve"> </w:t>
      </w:r>
      <w:r w:rsidRPr="00291752">
        <w:rPr>
          <w:lang w:val="fr-CA"/>
        </w:rPr>
        <w:t xml:space="preserve">826; </w:t>
      </w:r>
      <w:r w:rsidRPr="00291752">
        <w:rPr>
          <w:i/>
          <w:lang w:val="fr-CA"/>
        </w:rPr>
        <w:t>Canada (Commission des droits de la personne) c. Canadian Liberty Net</w:t>
      </w:r>
      <w:r w:rsidRPr="00291752">
        <w:rPr>
          <w:lang w:val="fr-CA"/>
        </w:rPr>
        <w:t>, [1998] 1 R.C.S. 626, par.</w:t>
      </w:r>
      <w:r w:rsidR="001E0AD2" w:rsidRPr="00291752">
        <w:rPr>
          <w:lang w:val="fr-CA"/>
        </w:rPr>
        <w:t xml:space="preserve"> </w:t>
      </w:r>
      <w:r w:rsidRPr="00291752">
        <w:rPr>
          <w:lang w:val="fr-CA"/>
        </w:rPr>
        <w:t xml:space="preserve">38. Dans son argumentation, le procureur général accorde trop </w:t>
      </w:r>
      <w:r w:rsidRPr="00291752">
        <w:rPr>
          <w:lang w:val="fr-CA"/>
        </w:rPr>
        <w:lastRenderedPageBreak/>
        <w:t>d’importance à ce qu’il perçoit comme les inférences négatives qu’il faut tirer de l’art.</w:t>
      </w:r>
      <w:r w:rsidR="001E0AD2" w:rsidRPr="00291752">
        <w:rPr>
          <w:lang w:val="fr-CA"/>
        </w:rPr>
        <w:t xml:space="preserve"> </w:t>
      </w:r>
      <w:r w:rsidRPr="00291752">
        <w:rPr>
          <w:lang w:val="fr-CA"/>
        </w:rPr>
        <w:t>18.</w:t>
      </w:r>
    </w:p>
    <w:p w:rsidR="00534959" w:rsidRPr="00291752" w:rsidRDefault="00534959" w:rsidP="00767D30">
      <w:pPr>
        <w:pStyle w:val="ReasonsNumbering-AltN"/>
        <w:rPr>
          <w:lang w:val="fr-CA"/>
        </w:rPr>
      </w:pPr>
      <w:r w:rsidRPr="00291752">
        <w:rPr>
          <w:lang w:val="fr-CA"/>
        </w:rPr>
        <w:t>La formule souvent répétée en common law veut que [</w:t>
      </w:r>
      <w:r w:rsidRPr="00291752">
        <w:rPr>
          <w:smallCaps/>
          <w:lang w:val="fr-CA"/>
        </w:rPr>
        <w:t>traduction</w:t>
      </w:r>
      <w:r w:rsidRPr="00291752">
        <w:rPr>
          <w:lang w:val="fr-CA"/>
        </w:rPr>
        <w:t xml:space="preserve">] « rien n’est censé échapper à la compétence d’une cour supérieure sauf ce qui paraît en être spécialement exclu et, inversement, rien n’est censé relever de la compétence d’une cour d’instance inférieure sauf ce qui est expressément déclaré en relever » : </w:t>
      </w:r>
      <w:r w:rsidRPr="00291752">
        <w:rPr>
          <w:i/>
          <w:lang w:val="fr-CA"/>
        </w:rPr>
        <w:t xml:space="preserve">Peacock c. Bell </w:t>
      </w:r>
      <w:r w:rsidRPr="00291752">
        <w:rPr>
          <w:lang w:val="fr-CA"/>
        </w:rPr>
        <w:t>(1667), 1</w:t>
      </w:r>
      <w:r w:rsidR="001E0AD2" w:rsidRPr="00291752">
        <w:rPr>
          <w:lang w:val="fr-CA"/>
        </w:rPr>
        <w:t xml:space="preserve"> Wms. Saund. 73, 85 E.R. 84, p. </w:t>
      </w:r>
      <w:r w:rsidRPr="00291752">
        <w:rPr>
          <w:lang w:val="fr-CA"/>
        </w:rPr>
        <w:t>87</w:t>
      </w:r>
      <w:r w:rsidR="001E0AD2" w:rsidRPr="00291752">
        <w:rPr>
          <w:lang w:val="fr-CA"/>
        </w:rPr>
        <w:t>-</w:t>
      </w:r>
      <w:r w:rsidRPr="00291752">
        <w:rPr>
          <w:lang w:val="fr-CA"/>
        </w:rPr>
        <w:t>88.  À l’opposé, la compétence de la Cour fédérale est purement d’origine législative.</w:t>
      </w:r>
    </w:p>
    <w:p w:rsidR="00534959" w:rsidRPr="00291752" w:rsidRDefault="00534959" w:rsidP="00767D30">
      <w:pPr>
        <w:pStyle w:val="ReasonsNumbering-AltN"/>
        <w:rPr>
          <w:lang w:val="fr-CA"/>
        </w:rPr>
      </w:pPr>
      <w:r w:rsidRPr="00291752">
        <w:rPr>
          <w:lang w:val="fr-CA"/>
        </w:rPr>
        <w:t>Le terme « compétence » désigne simplement l’ensemble des attributions qui permettent à un tribunal judiciaire ou administratif de rendre des ordonnances ou jugements susceptibles d’exécution.  Un tribunal judiciaire est compétent s’il possède « une compétence</w:t>
      </w:r>
      <w:r w:rsidRPr="00291752">
        <w:rPr>
          <w:i/>
          <w:lang w:val="fr-CA"/>
        </w:rPr>
        <w:t xml:space="preserve"> </w:t>
      </w:r>
      <w:proofErr w:type="spellStart"/>
      <w:r w:rsidRPr="00291752">
        <w:rPr>
          <w:i/>
          <w:lang w:val="fr-CA"/>
        </w:rPr>
        <w:t>ratione</w:t>
      </w:r>
      <w:proofErr w:type="spellEnd"/>
      <w:r w:rsidRPr="00291752">
        <w:rPr>
          <w:i/>
          <w:lang w:val="fr-CA"/>
        </w:rPr>
        <w:t xml:space="preserve"> personae</w:t>
      </w:r>
      <w:r w:rsidRPr="00291752">
        <w:rPr>
          <w:lang w:val="fr-CA"/>
        </w:rPr>
        <w:t xml:space="preserve"> et </w:t>
      </w:r>
      <w:proofErr w:type="spellStart"/>
      <w:r w:rsidRPr="00291752">
        <w:rPr>
          <w:i/>
          <w:lang w:val="fr-CA"/>
        </w:rPr>
        <w:t>ratione</w:t>
      </w:r>
      <w:proofErr w:type="spellEnd"/>
      <w:r w:rsidRPr="00291752">
        <w:rPr>
          <w:i/>
          <w:lang w:val="fr-CA"/>
        </w:rPr>
        <w:t xml:space="preserve"> materiae</w:t>
      </w:r>
      <w:r w:rsidRPr="00291752">
        <w:rPr>
          <w:lang w:val="fr-CA"/>
        </w:rPr>
        <w:t xml:space="preserve"> [. . .] et s’il détient en outre le pouvoir de rendre l’ordonnance sollicitée » : </w:t>
      </w:r>
      <w:r w:rsidRPr="00291752">
        <w:rPr>
          <w:i/>
          <w:lang w:val="fr-CA"/>
        </w:rPr>
        <w:t>Mills</w:t>
      </w:r>
      <w:r w:rsidRPr="00291752">
        <w:rPr>
          <w:lang w:val="fr-CA"/>
        </w:rPr>
        <w:t xml:space="preserve"> </w:t>
      </w:r>
      <w:r w:rsidRPr="00291752">
        <w:rPr>
          <w:i/>
          <w:lang w:val="fr-CA"/>
        </w:rPr>
        <w:t>c. La Reine</w:t>
      </w:r>
      <w:r w:rsidRPr="00291752">
        <w:rPr>
          <w:lang w:val="fr-CA"/>
        </w:rPr>
        <w:t>, [1986] 1 R.C.S. 863, le juge McIntyre, p.</w:t>
      </w:r>
      <w:r w:rsidR="001E0AD2" w:rsidRPr="00291752">
        <w:rPr>
          <w:lang w:val="fr-CA"/>
        </w:rPr>
        <w:t xml:space="preserve"> </w:t>
      </w:r>
      <w:r w:rsidRPr="00291752">
        <w:rPr>
          <w:lang w:val="fr-CA"/>
        </w:rPr>
        <w:t xml:space="preserve">960 ― citant le juge Brooke dans </w:t>
      </w:r>
      <w:r w:rsidRPr="00291752">
        <w:rPr>
          <w:i/>
          <w:lang w:val="fr-CA"/>
        </w:rPr>
        <w:t>R. c. Morgentaler</w:t>
      </w:r>
      <w:r w:rsidRPr="00291752">
        <w:rPr>
          <w:lang w:val="fr-CA"/>
        </w:rPr>
        <w:t xml:space="preserve"> (1984), 41 C.R. (3d) 262, p.</w:t>
      </w:r>
      <w:r w:rsidR="001E0AD2" w:rsidRPr="00291752">
        <w:rPr>
          <w:lang w:val="fr-CA"/>
        </w:rPr>
        <w:t xml:space="preserve"> </w:t>
      </w:r>
      <w:r w:rsidRPr="00291752">
        <w:rPr>
          <w:lang w:val="fr-CA"/>
        </w:rPr>
        <w:t>271 ― et le juge Lamer, dissident, p.</w:t>
      </w:r>
      <w:r w:rsidR="001E0AD2" w:rsidRPr="00291752">
        <w:rPr>
          <w:lang w:val="fr-CA"/>
        </w:rPr>
        <w:t xml:space="preserve"> </w:t>
      </w:r>
      <w:r w:rsidRPr="00291752">
        <w:rPr>
          <w:lang w:val="fr-CA"/>
        </w:rPr>
        <w:t xml:space="preserve">890; voir aussi </w:t>
      </w:r>
      <w:r w:rsidRPr="00291752">
        <w:rPr>
          <w:i/>
          <w:lang w:val="fr-CA"/>
        </w:rPr>
        <w:t>R. c. Rahey</w:t>
      </w:r>
      <w:r w:rsidRPr="00291752">
        <w:rPr>
          <w:lang w:val="fr-CA"/>
        </w:rPr>
        <w:t>, [1987] 1</w:t>
      </w:r>
      <w:r w:rsidR="001E0AD2" w:rsidRPr="00291752">
        <w:rPr>
          <w:lang w:val="fr-CA"/>
        </w:rPr>
        <w:t xml:space="preserve"> </w:t>
      </w:r>
      <w:r w:rsidRPr="00291752">
        <w:rPr>
          <w:lang w:val="fr-CA"/>
        </w:rPr>
        <w:t>R.C.S.</w:t>
      </w:r>
      <w:r w:rsidR="001E0AD2" w:rsidRPr="00291752">
        <w:rPr>
          <w:lang w:val="fr-CA"/>
        </w:rPr>
        <w:t xml:space="preserve"> </w:t>
      </w:r>
      <w:r w:rsidRPr="00291752">
        <w:rPr>
          <w:lang w:val="fr-CA"/>
        </w:rPr>
        <w:t>588, p.</w:t>
      </w:r>
      <w:r w:rsidR="001E0AD2" w:rsidRPr="00291752">
        <w:rPr>
          <w:lang w:val="fr-CA"/>
        </w:rPr>
        <w:t xml:space="preserve"> </w:t>
      </w:r>
      <w:r w:rsidRPr="00291752">
        <w:rPr>
          <w:lang w:val="fr-CA"/>
        </w:rPr>
        <w:t xml:space="preserve">603; </w:t>
      </w:r>
      <w:r w:rsidRPr="00291752">
        <w:rPr>
          <w:i/>
          <w:lang w:val="fr-CA"/>
        </w:rPr>
        <w:t>R.</w:t>
      </w:r>
      <w:r w:rsidRPr="00291752">
        <w:rPr>
          <w:lang w:val="fr-CA"/>
        </w:rPr>
        <w:t xml:space="preserve"> </w:t>
      </w:r>
      <w:r w:rsidRPr="00291752">
        <w:rPr>
          <w:i/>
          <w:lang w:val="fr-CA"/>
        </w:rPr>
        <w:t>c. 974649 Ontario Inc.</w:t>
      </w:r>
      <w:r w:rsidR="001E0AD2" w:rsidRPr="00291752">
        <w:rPr>
          <w:lang w:val="fr-CA"/>
        </w:rPr>
        <w:t xml:space="preserve">, 2001 CSC 81, [2001] 3 </w:t>
      </w:r>
      <w:r w:rsidRPr="00291752">
        <w:rPr>
          <w:lang w:val="fr-CA"/>
        </w:rPr>
        <w:t>R.C.S.</w:t>
      </w:r>
      <w:r w:rsidR="001E0AD2" w:rsidRPr="00291752">
        <w:rPr>
          <w:lang w:val="fr-CA"/>
        </w:rPr>
        <w:t xml:space="preserve"> </w:t>
      </w:r>
      <w:r w:rsidRPr="00291752">
        <w:rPr>
          <w:lang w:val="fr-CA"/>
        </w:rPr>
        <w:t>575, par.</w:t>
      </w:r>
      <w:r w:rsidR="001E0AD2" w:rsidRPr="00291752">
        <w:rPr>
          <w:lang w:val="fr-CA"/>
        </w:rPr>
        <w:t xml:space="preserve"> </w:t>
      </w:r>
      <w:r w:rsidRPr="00291752">
        <w:rPr>
          <w:lang w:val="fr-CA"/>
        </w:rPr>
        <w:t xml:space="preserve">15; </w:t>
      </w:r>
      <w:r w:rsidRPr="00291752">
        <w:rPr>
          <w:i/>
          <w:lang w:val="fr-CA"/>
        </w:rPr>
        <w:t>R.</w:t>
      </w:r>
      <w:r w:rsidR="001E0AD2" w:rsidRPr="00291752">
        <w:rPr>
          <w:i/>
          <w:lang w:val="fr-CA"/>
        </w:rPr>
        <w:t xml:space="preserve"> </w:t>
      </w:r>
      <w:r w:rsidRPr="00291752">
        <w:rPr>
          <w:i/>
          <w:lang w:val="fr-CA"/>
        </w:rPr>
        <w:t>c.</w:t>
      </w:r>
      <w:r w:rsidR="001E0AD2" w:rsidRPr="00291752">
        <w:rPr>
          <w:i/>
          <w:lang w:val="fr-CA"/>
        </w:rPr>
        <w:t xml:space="preserve"> </w:t>
      </w:r>
      <w:r w:rsidRPr="00291752">
        <w:rPr>
          <w:i/>
          <w:lang w:val="fr-CA"/>
        </w:rPr>
        <w:t>Conway</w:t>
      </w:r>
      <w:r w:rsidRPr="00291752">
        <w:rPr>
          <w:lang w:val="fr-CA"/>
        </w:rPr>
        <w:t xml:space="preserve">, 2010 CSC 22, [2010] 1 R.C.S. 765.  Le procureur général ne nie pas que la Cour supérieure a compétence </w:t>
      </w:r>
      <w:proofErr w:type="spellStart"/>
      <w:r w:rsidRPr="00291752">
        <w:rPr>
          <w:i/>
          <w:lang w:val="fr-CA"/>
        </w:rPr>
        <w:t>ratione</w:t>
      </w:r>
      <w:proofErr w:type="spellEnd"/>
      <w:r w:rsidRPr="00291752">
        <w:rPr>
          <w:i/>
          <w:lang w:val="fr-CA"/>
        </w:rPr>
        <w:t xml:space="preserve"> personae</w:t>
      </w:r>
      <w:r w:rsidRPr="00291752">
        <w:rPr>
          <w:lang w:val="fr-CA"/>
        </w:rPr>
        <w:t xml:space="preserve"> à l’égard des parties ni qu’elle a le pouvoir d’octroyer des dommages</w:t>
      </w:r>
      <w:r w:rsidR="002731BC" w:rsidRPr="00291752">
        <w:rPr>
          <w:lang w:val="fr-CA"/>
        </w:rPr>
        <w:t>-</w:t>
      </w:r>
      <w:r w:rsidRPr="00291752">
        <w:rPr>
          <w:lang w:val="fr-CA"/>
        </w:rPr>
        <w:t>intérêts.  Le litige porte sur la compétence relative à l’objet du litige.</w:t>
      </w:r>
    </w:p>
    <w:p w:rsidR="00534959" w:rsidRPr="00291752" w:rsidRDefault="00534959" w:rsidP="00767D30">
      <w:pPr>
        <w:pStyle w:val="ReasonsNumbering-AltN"/>
        <w:rPr>
          <w:lang w:val="fr-CA"/>
        </w:rPr>
      </w:pPr>
      <w:r w:rsidRPr="00291752">
        <w:rPr>
          <w:lang w:val="fr-CA"/>
        </w:rPr>
        <w:lastRenderedPageBreak/>
        <w:t>Il est vrai que, sous réserve de restrictions constitutionnelles (voir</w:t>
      </w:r>
      <w:r w:rsidR="00A837AA" w:rsidRPr="00291752">
        <w:rPr>
          <w:lang w:val="fr-CA"/>
        </w:rPr>
        <w:t>,</w:t>
      </w:r>
      <w:r w:rsidRPr="00291752">
        <w:rPr>
          <w:lang w:val="fr-CA"/>
        </w:rPr>
        <w:t xml:space="preserve"> p. ex.</w:t>
      </w:r>
      <w:r w:rsidR="00A837AA" w:rsidRPr="00291752">
        <w:rPr>
          <w:lang w:val="fr-CA"/>
        </w:rPr>
        <w:t>,</w:t>
      </w:r>
      <w:r w:rsidRPr="00291752">
        <w:rPr>
          <w:lang w:val="fr-CA"/>
        </w:rPr>
        <w:t xml:space="preserve"> </w:t>
      </w:r>
      <w:r w:rsidRPr="00291752">
        <w:rPr>
          <w:i/>
          <w:lang w:val="fr-CA"/>
        </w:rPr>
        <w:t>Procureur général du Canada c. Law Society of British Columbia</w:t>
      </w:r>
      <w:r w:rsidRPr="00291752">
        <w:rPr>
          <w:lang w:val="fr-CA"/>
        </w:rPr>
        <w:t>, [1982] 2 R.C.S. 307, et d’arrêts relatifs à l’art.</w:t>
      </w:r>
      <w:r w:rsidR="00D74A37" w:rsidRPr="00291752">
        <w:rPr>
          <w:lang w:val="fr-CA"/>
        </w:rPr>
        <w:t xml:space="preserve"> </w:t>
      </w:r>
      <w:r w:rsidRPr="00291752">
        <w:rPr>
          <w:lang w:val="fr-CA"/>
        </w:rPr>
        <w:t xml:space="preserve">96 de la </w:t>
      </w:r>
      <w:r w:rsidRPr="00291752">
        <w:rPr>
          <w:i/>
          <w:lang w:val="fr-CA"/>
        </w:rPr>
        <w:t>Loi constitutionnelle de 1867</w:t>
      </w:r>
      <w:r w:rsidRPr="00291752">
        <w:rPr>
          <w:lang w:val="fr-CA"/>
        </w:rPr>
        <w:t xml:space="preserve">, non pertinents en l’espèce), le législateur peut transférer un pouvoir appartenant aux cours supérieures à d’autres organismes juridictionnels, comme la Cour fédérale.  Il l’a fait, notamment, en matière de contrôle judiciaire des décisions de l’administration fédérale : </w:t>
      </w:r>
      <w:r w:rsidRPr="00291752">
        <w:rPr>
          <w:i/>
          <w:lang w:val="fr-CA"/>
        </w:rPr>
        <w:t>Conseil canadien des relations du travail c. Paul L’Anglais Inc.</w:t>
      </w:r>
      <w:r w:rsidR="00D74A37" w:rsidRPr="00291752">
        <w:rPr>
          <w:lang w:val="fr-CA"/>
        </w:rPr>
        <w:t xml:space="preserve">, [1983] 1 </w:t>
      </w:r>
      <w:r w:rsidRPr="00291752">
        <w:rPr>
          <w:lang w:val="fr-CA"/>
        </w:rPr>
        <w:t>R.C.S. 147, p.</w:t>
      </w:r>
      <w:r w:rsidR="00D74A37" w:rsidRPr="00291752">
        <w:rPr>
          <w:lang w:val="fr-CA"/>
        </w:rPr>
        <w:t xml:space="preserve"> </w:t>
      </w:r>
      <w:r w:rsidRPr="00291752">
        <w:rPr>
          <w:lang w:val="fr-CA"/>
        </w:rPr>
        <w:t>154.  C’est toutefois au procureur général qu’il incombe de démontrer qu’une disposition législative claire, explicite et non équivoque a opéré un tel transfert juridictionnel et d’en établir la portée.</w:t>
      </w:r>
    </w:p>
    <w:p w:rsidR="00534959" w:rsidRPr="00291752" w:rsidRDefault="00534959" w:rsidP="00767D30">
      <w:pPr>
        <w:pStyle w:val="ReasonsNumbering-AltN"/>
        <w:rPr>
          <w:lang w:val="fr-CA"/>
        </w:rPr>
      </w:pPr>
      <w:r w:rsidRPr="00291752">
        <w:rPr>
          <w:lang w:val="fr-CA"/>
        </w:rPr>
        <w:t xml:space="preserve">Rien dans la </w:t>
      </w:r>
      <w:r w:rsidRPr="00291752">
        <w:rPr>
          <w:i/>
          <w:lang w:val="fr-CA"/>
        </w:rPr>
        <w:t>LCF</w:t>
      </w:r>
      <w:r w:rsidRPr="00291752">
        <w:rPr>
          <w:lang w:val="fr-CA"/>
        </w:rPr>
        <w:t xml:space="preserve"> ne lui permet de faire cette démonstration.  En effet, comme il en a été fait mention, l’octroi explicite aux cours supérieures provinciales d’une compétence concurrente en matière de demandes de réparation contre la Couronne,</w:t>
      </w:r>
      <w:r w:rsidR="00D74A37" w:rsidRPr="00291752">
        <w:rPr>
          <w:lang w:val="fr-CA"/>
        </w:rPr>
        <w:t xml:space="preserve"> à l’art. 17 (ainsi qu’à l’art. </w:t>
      </w:r>
      <w:r w:rsidRPr="00291752">
        <w:rPr>
          <w:lang w:val="fr-CA"/>
        </w:rPr>
        <w:t xml:space="preserve">21 de la </w:t>
      </w:r>
      <w:r w:rsidRPr="00291752">
        <w:rPr>
          <w:i/>
          <w:lang w:val="fr-CA"/>
        </w:rPr>
        <w:t>Loi sur la responsabilité civile de l’État et le contentieux administratif</w:t>
      </w:r>
      <w:r w:rsidRPr="00291752">
        <w:rPr>
          <w:lang w:val="fr-CA"/>
        </w:rPr>
        <w:t xml:space="preserve">), réfute directement l’hypothèse d’un transfert.  Comme la juge </w:t>
      </w:r>
      <w:proofErr w:type="spellStart"/>
      <w:r w:rsidRPr="00291752">
        <w:rPr>
          <w:lang w:val="fr-CA"/>
        </w:rPr>
        <w:t>Sharlow</w:t>
      </w:r>
      <w:proofErr w:type="spellEnd"/>
      <w:r w:rsidRPr="00291752">
        <w:rPr>
          <w:lang w:val="fr-CA"/>
        </w:rPr>
        <w:t xml:space="preserve">, dissidente, l’a signalé dans </w:t>
      </w:r>
      <w:r w:rsidRPr="00291752">
        <w:rPr>
          <w:i/>
          <w:lang w:val="fr-CA"/>
        </w:rPr>
        <w:t xml:space="preserve">Parrish &amp; Heimbecker Ltd. </w:t>
      </w:r>
      <w:r w:rsidRPr="00291752">
        <w:rPr>
          <w:lang w:val="fr-CA"/>
        </w:rPr>
        <w:t>(appel accueilli et jugement rendu concurremment avec le présent arrêt, 2010 CSC 64</w:t>
      </w:r>
      <w:r w:rsidR="00A837AA" w:rsidRPr="00291752">
        <w:rPr>
          <w:lang w:val="fr-CA"/>
        </w:rPr>
        <w:t>, [2010] 3 R.C.S. 639</w:t>
      </w:r>
      <w:r w:rsidRPr="00291752">
        <w:rPr>
          <w:lang w:val="fr-CA"/>
        </w:rPr>
        <w:t>), l’art.</w:t>
      </w:r>
      <w:r w:rsidR="001E0AD2" w:rsidRPr="00291752">
        <w:rPr>
          <w:lang w:val="fr-CA"/>
        </w:rPr>
        <w:t xml:space="preserve"> </w:t>
      </w:r>
      <w:r w:rsidRPr="00291752">
        <w:rPr>
          <w:lang w:val="fr-CA"/>
        </w:rPr>
        <w:t xml:space="preserve">8 de la </w:t>
      </w:r>
      <w:r w:rsidRPr="00291752">
        <w:rPr>
          <w:i/>
          <w:lang w:val="fr-CA"/>
        </w:rPr>
        <w:t>Loi sur la responsabilité civile de l’État et le contentieux administratif</w:t>
      </w:r>
      <w:r w:rsidRPr="00291752">
        <w:rPr>
          <w:lang w:val="fr-CA"/>
        </w:rPr>
        <w:t>, qui codifie la défense de pouvoir d’origine législative, prouve que le législateur prévoyait que la cour supérieure provinciale saisie d’une action en dommages</w:t>
      </w:r>
      <w:r w:rsidR="002731BC" w:rsidRPr="00291752">
        <w:rPr>
          <w:lang w:val="fr-CA"/>
        </w:rPr>
        <w:t>-</w:t>
      </w:r>
      <w:r w:rsidRPr="00291752">
        <w:rPr>
          <w:lang w:val="fr-CA"/>
        </w:rPr>
        <w:t>intérêts se prononcerait sur la légalité de la décision dans le cadre de cette action (par.</w:t>
      </w:r>
      <w:r w:rsidR="00D74A37" w:rsidRPr="00291752">
        <w:rPr>
          <w:lang w:val="fr-CA"/>
        </w:rPr>
        <w:t xml:space="preserve"> </w:t>
      </w:r>
      <w:r w:rsidRPr="00291752">
        <w:rPr>
          <w:lang w:val="fr-CA"/>
        </w:rPr>
        <w:t>39).</w:t>
      </w:r>
    </w:p>
    <w:p w:rsidR="00534959" w:rsidRPr="00291752" w:rsidRDefault="00534959" w:rsidP="00440093">
      <w:pPr>
        <w:spacing w:after="720"/>
        <w:ind w:left="450" w:hanging="450"/>
        <w:rPr>
          <w:lang w:val="fr-CA"/>
        </w:rPr>
      </w:pPr>
      <w:r w:rsidRPr="00291752">
        <w:rPr>
          <w:lang w:val="fr-CA"/>
        </w:rPr>
        <w:lastRenderedPageBreak/>
        <w:t>E.</w:t>
      </w:r>
      <w:r w:rsidR="00D74A37" w:rsidRPr="00291752">
        <w:rPr>
          <w:lang w:val="fr-CA"/>
        </w:rPr>
        <w:tab/>
      </w:r>
      <w:r w:rsidRPr="00291752">
        <w:rPr>
          <w:i/>
          <w:lang w:val="fr-CA"/>
        </w:rPr>
        <w:t>Les « inférences » proposées à partir de l’art.</w:t>
      </w:r>
      <w:r w:rsidR="00D74A37" w:rsidRPr="00291752">
        <w:rPr>
          <w:i/>
          <w:lang w:val="fr-CA"/>
        </w:rPr>
        <w:t xml:space="preserve"> </w:t>
      </w:r>
      <w:r w:rsidRPr="00291752">
        <w:rPr>
          <w:i/>
          <w:lang w:val="fr-CA"/>
        </w:rPr>
        <w:t>18 de la Loi sur les Cours fédérales</w:t>
      </w:r>
    </w:p>
    <w:p w:rsidR="00534959" w:rsidRPr="00291752" w:rsidRDefault="00534959" w:rsidP="00767D30">
      <w:pPr>
        <w:pStyle w:val="ReasonsNumbering-AltN"/>
        <w:rPr>
          <w:lang w:val="fr-CA"/>
        </w:rPr>
      </w:pPr>
      <w:r w:rsidRPr="00291752">
        <w:rPr>
          <w:lang w:val="fr-CA"/>
        </w:rPr>
        <w:t xml:space="preserve">Une demande de contrôle judiciaire présentée en vertu de la </w:t>
      </w:r>
      <w:r w:rsidRPr="00291752">
        <w:rPr>
          <w:i/>
          <w:lang w:val="fr-CA"/>
        </w:rPr>
        <w:t>LCF</w:t>
      </w:r>
      <w:r w:rsidRPr="00291752">
        <w:rPr>
          <w:lang w:val="fr-CA"/>
        </w:rPr>
        <w:t xml:space="preserve"> combine l’allégation qu’un office fédéral n’a pas respecté les principes fondamentaux du droit public et la revendication de l’une des réparations énum</w:t>
      </w:r>
      <w:r w:rsidR="00D74A37" w:rsidRPr="00291752">
        <w:rPr>
          <w:lang w:val="fr-CA"/>
        </w:rPr>
        <w:t xml:space="preserve">érées au par. </w:t>
      </w:r>
      <w:r w:rsidRPr="00291752">
        <w:rPr>
          <w:lang w:val="fr-CA"/>
        </w:rPr>
        <w:t xml:space="preserve">18(1).  La compétence exclusive de la cour fédérale se limite à cette procédure.  Comme notre Cour l’a récemment signalé dans </w:t>
      </w:r>
      <w:r w:rsidRPr="00291752">
        <w:rPr>
          <w:i/>
          <w:lang w:val="fr-CA"/>
        </w:rPr>
        <w:t>Canada (Citoyenneté et Immigration) c. Khosa</w:t>
      </w:r>
      <w:r w:rsidRPr="00291752">
        <w:rPr>
          <w:lang w:val="fr-CA"/>
        </w:rPr>
        <w:t xml:space="preserve">, 2009 CSC 12, [2009] 1 R.C.S. 339, « [l]a </w:t>
      </w:r>
      <w:r w:rsidRPr="00291752">
        <w:rPr>
          <w:i/>
          <w:lang w:val="fr-CA"/>
        </w:rPr>
        <w:t xml:space="preserve">Loi sur les Cours fédérales </w:t>
      </w:r>
      <w:r w:rsidRPr="00291752">
        <w:rPr>
          <w:lang w:val="fr-CA"/>
        </w:rPr>
        <w:t>résulte de la décision prise par le législateur en 1971 de retirer aux cours supérieures des provinces leur compétence en matière de brefs de prérogative, jugements déclaratoires et injonctions visant des office</w:t>
      </w:r>
      <w:r w:rsidR="00D74A37" w:rsidRPr="00291752">
        <w:rPr>
          <w:lang w:val="fr-CA"/>
        </w:rPr>
        <w:t xml:space="preserve">s fédéraux » (par. 34).  L’article </w:t>
      </w:r>
      <w:r w:rsidRPr="00291752">
        <w:rPr>
          <w:lang w:val="fr-CA"/>
        </w:rPr>
        <w:t xml:space="preserve">18 </w:t>
      </w:r>
      <w:r w:rsidRPr="00291752">
        <w:rPr>
          <w:i/>
          <w:lang w:val="fr-CA"/>
        </w:rPr>
        <w:t>n</w:t>
      </w:r>
      <w:r w:rsidRPr="00291752">
        <w:rPr>
          <w:lang w:val="fr-CA"/>
        </w:rPr>
        <w:t xml:space="preserve">’interdit </w:t>
      </w:r>
      <w:r w:rsidRPr="00291752">
        <w:rPr>
          <w:i/>
          <w:lang w:val="fr-CA"/>
        </w:rPr>
        <w:t>pas</w:t>
      </w:r>
      <w:r w:rsidRPr="00291752">
        <w:rPr>
          <w:lang w:val="fr-CA"/>
        </w:rPr>
        <w:t xml:space="preserve"> qu’un litige sur la légalité de l’exercice d’un pouvoir d’origine législative soit tranché lors d’un procès tenu en vertu de la</w:t>
      </w:r>
      <w:r w:rsidRPr="00291752">
        <w:rPr>
          <w:i/>
          <w:lang w:val="fr-CA"/>
        </w:rPr>
        <w:t xml:space="preserve"> Loi sur la responsabilité civile de l’État et le contentieux administratif</w:t>
      </w:r>
      <w:r w:rsidRPr="00291752">
        <w:rPr>
          <w:lang w:val="fr-CA"/>
        </w:rPr>
        <w:t xml:space="preserve"> devant la cour supérieure provinciale ou en vertu de l’art.</w:t>
      </w:r>
      <w:r w:rsidR="00D74A37" w:rsidRPr="00291752">
        <w:rPr>
          <w:lang w:val="fr-CA"/>
        </w:rPr>
        <w:t xml:space="preserve"> </w:t>
      </w:r>
      <w:r w:rsidRPr="00291752">
        <w:rPr>
          <w:lang w:val="fr-CA"/>
        </w:rPr>
        <w:t xml:space="preserve">17 de la </w:t>
      </w:r>
      <w:r w:rsidRPr="00291752">
        <w:rPr>
          <w:i/>
          <w:lang w:val="fr-CA"/>
        </w:rPr>
        <w:t xml:space="preserve">LCF </w:t>
      </w:r>
      <w:r w:rsidRPr="00291752">
        <w:rPr>
          <w:lang w:val="fr-CA"/>
        </w:rPr>
        <w:t>elle</w:t>
      </w:r>
      <w:r w:rsidR="00D74A37" w:rsidRPr="00291752">
        <w:rPr>
          <w:lang w:val="fr-CA"/>
        </w:rPr>
        <w:t>-</w:t>
      </w:r>
      <w:r w:rsidRPr="00291752">
        <w:rPr>
          <w:lang w:val="fr-CA"/>
        </w:rPr>
        <w:t xml:space="preserve">même. </w:t>
      </w:r>
    </w:p>
    <w:p w:rsidR="00534959" w:rsidRPr="00291752" w:rsidRDefault="00534959" w:rsidP="00767D30">
      <w:pPr>
        <w:pStyle w:val="ReasonsNumbering-AltN"/>
        <w:rPr>
          <w:lang w:val="fr-CA"/>
        </w:rPr>
      </w:pPr>
      <w:r w:rsidRPr="00291752">
        <w:rPr>
          <w:lang w:val="fr-CA"/>
        </w:rPr>
        <w:t>Selon le procureur général, un raisonnement axé sur les « recours », semblable à la position retenue par la Cour d’appel de l’Ontario en l’espèce, entraîne [</w:t>
      </w:r>
      <w:r w:rsidRPr="00291752">
        <w:rPr>
          <w:smallCaps/>
          <w:lang w:val="fr-CA"/>
        </w:rPr>
        <w:t>traduction</w:t>
      </w:r>
      <w:r w:rsidRPr="00291752">
        <w:rPr>
          <w:lang w:val="fr-CA"/>
        </w:rPr>
        <w:t>] « une interprétation rigide, formaliste et littéral</w:t>
      </w:r>
      <w:r w:rsidR="00D74A37" w:rsidRPr="00291752">
        <w:rPr>
          <w:lang w:val="fr-CA"/>
        </w:rPr>
        <w:t xml:space="preserve">e » de l’art. 18 (mémoire, par. </w:t>
      </w:r>
      <w:r w:rsidRPr="00291752">
        <w:rPr>
          <w:lang w:val="fr-CA"/>
        </w:rPr>
        <w:t>66) et n’accorde pas assez d’importance au contexte et, plus particulièrement, à l’intention du législateur.  Je suis d’accord qu’il est indispensable de tenir compte du contexte et de l’intention du législateur pour bien in</w:t>
      </w:r>
      <w:r w:rsidR="00D74A37" w:rsidRPr="00291752">
        <w:rPr>
          <w:lang w:val="fr-CA"/>
        </w:rPr>
        <w:t xml:space="preserve">terpréter l’art. </w:t>
      </w:r>
      <w:r w:rsidRPr="00291752">
        <w:rPr>
          <w:lang w:val="fr-CA"/>
        </w:rPr>
        <w:lastRenderedPageBreak/>
        <w:t>18, mais je ne pense pas qu’une méthode d’interprétation large et contextuelle serve l’argumentation du procureur général.</w:t>
      </w:r>
    </w:p>
    <w:p w:rsidR="00534959" w:rsidRPr="00291752" w:rsidRDefault="00017505" w:rsidP="00017505">
      <w:pPr>
        <w:pStyle w:val="ListParagraph"/>
        <w:tabs>
          <w:tab w:val="left" w:pos="1170"/>
          <w:tab w:val="left" w:pos="1620"/>
        </w:tabs>
        <w:spacing w:after="720"/>
        <w:ind w:left="1620" w:hanging="1620"/>
        <w:rPr>
          <w:lang w:val="fr-CA"/>
        </w:rPr>
      </w:pPr>
      <w:r w:rsidRPr="00291752">
        <w:rPr>
          <w:lang w:val="fr-CA"/>
        </w:rPr>
        <w:tab/>
        <w:t>(i)</w:t>
      </w:r>
      <w:r w:rsidRPr="00291752">
        <w:rPr>
          <w:lang w:val="fr-CA"/>
        </w:rPr>
        <w:tab/>
      </w:r>
      <w:r w:rsidRPr="00291752">
        <w:rPr>
          <w:u w:val="single"/>
          <w:lang w:val="fr-CA"/>
        </w:rPr>
        <w:t>L</w:t>
      </w:r>
      <w:r w:rsidR="00534959" w:rsidRPr="00291752">
        <w:rPr>
          <w:u w:val="single"/>
          <w:lang w:val="fr-CA"/>
        </w:rPr>
        <w:t>e contexte parlementaire</w:t>
      </w:r>
    </w:p>
    <w:p w:rsidR="00534959" w:rsidRPr="00291752" w:rsidRDefault="00534959" w:rsidP="00767D30">
      <w:pPr>
        <w:pStyle w:val="ReasonsNumbering-AltN"/>
        <w:rPr>
          <w:lang w:val="fr-CA"/>
        </w:rPr>
      </w:pPr>
      <w:r w:rsidRPr="00291752">
        <w:rPr>
          <w:lang w:val="fr-CA"/>
        </w:rPr>
        <w:t>En 1971, le contexte entourant les débats parlementaires était marqué par la multiplication des régimes de réglementation fédérale, le sentiment qu’une [</w:t>
      </w:r>
      <w:r w:rsidRPr="00291752">
        <w:rPr>
          <w:smallCaps/>
          <w:lang w:val="fr-CA"/>
        </w:rPr>
        <w:t>traduction</w:t>
      </w:r>
      <w:r w:rsidRPr="00291752">
        <w:rPr>
          <w:lang w:val="fr-CA"/>
        </w:rPr>
        <w:t>] « perspective nationale » s’imposait en matière de contrôle judiciaire et des préoccupations concernant le manque d’uniformité dans l’exercice du pouvoir de surveillance des différentes cours supérieures provinciales du pays sur les offices fédéraux (voir D. J. M.</w:t>
      </w:r>
      <w:r w:rsidR="00D74A37" w:rsidRPr="00291752">
        <w:rPr>
          <w:lang w:val="fr-CA"/>
        </w:rPr>
        <w:t xml:space="preserve"> </w:t>
      </w:r>
      <w:r w:rsidRPr="00291752">
        <w:rPr>
          <w:lang w:val="fr-CA"/>
        </w:rPr>
        <w:t>Brown et J. M.</w:t>
      </w:r>
      <w:r w:rsidR="00D74A37" w:rsidRPr="00291752">
        <w:rPr>
          <w:lang w:val="fr-CA"/>
        </w:rPr>
        <w:t xml:space="preserve"> </w:t>
      </w:r>
      <w:r w:rsidRPr="00291752">
        <w:rPr>
          <w:lang w:val="fr-CA"/>
        </w:rPr>
        <w:t xml:space="preserve">Evans, </w:t>
      </w:r>
      <w:proofErr w:type="spellStart"/>
      <w:r w:rsidRPr="00291752">
        <w:rPr>
          <w:i/>
          <w:lang w:val="fr-CA"/>
        </w:rPr>
        <w:t>Judicial</w:t>
      </w:r>
      <w:proofErr w:type="spellEnd"/>
      <w:r w:rsidRPr="00291752">
        <w:rPr>
          <w:i/>
          <w:lang w:val="fr-CA"/>
        </w:rPr>
        <w:t xml:space="preserve"> </w:t>
      </w:r>
      <w:proofErr w:type="spellStart"/>
      <w:r w:rsidRPr="00291752">
        <w:rPr>
          <w:i/>
          <w:lang w:val="fr-CA"/>
        </w:rPr>
        <w:t>Review</w:t>
      </w:r>
      <w:proofErr w:type="spellEnd"/>
      <w:r w:rsidRPr="00291752">
        <w:rPr>
          <w:i/>
          <w:lang w:val="fr-CA"/>
        </w:rPr>
        <w:t xml:space="preserve"> of Administrative Action in Canada</w:t>
      </w:r>
      <w:r w:rsidR="00D74A37" w:rsidRPr="00291752">
        <w:rPr>
          <w:lang w:val="fr-CA"/>
        </w:rPr>
        <w:t xml:space="preserve"> (feuilles mobiles), par. </w:t>
      </w:r>
      <w:r w:rsidRPr="00291752">
        <w:rPr>
          <w:lang w:val="fr-CA"/>
        </w:rPr>
        <w:t>2:4100).  Le législateur a donc transformé radicalement l’ancienne Cour de l’Échiquier pour créer la Cour fédérale et il a établi une nouvelle procédure, qui a conféré à la Cour fédérale son pouvoir de surveillance sur les décideurs fédéraux.</w:t>
      </w:r>
    </w:p>
    <w:p w:rsidR="00534959" w:rsidRPr="00291752" w:rsidRDefault="00534959" w:rsidP="00767D30">
      <w:pPr>
        <w:pStyle w:val="ReasonsNumbering-AltN"/>
        <w:rPr>
          <w:lang w:val="fr-CA"/>
        </w:rPr>
      </w:pPr>
      <w:r w:rsidRPr="00291752">
        <w:rPr>
          <w:lang w:val="fr-CA"/>
        </w:rPr>
        <w:t>En 1970, le ministre de la Justice a souligné que la question qui préoccupait le législateur était celle de la surveillance (non de l’indemnisation) et qu’il s’inquiétait plus particulièrement de la fragmentation du contrôle judiciaire exercé sur les organismes juridictionnels fédéraux.  Ainsi, une décision importante de l’Office national de l’énergie, p. ex., aurait pu être jugée valide et confirmée par la cour supérieure d’une province, mais annulée par une cour supérieure d’une autre province :</w:t>
      </w:r>
    </w:p>
    <w:p w:rsidR="00534959" w:rsidRPr="00291752" w:rsidRDefault="00534959" w:rsidP="00D63591">
      <w:pPr>
        <w:pStyle w:val="Citation1"/>
        <w:tabs>
          <w:tab w:val="left" w:pos="1620"/>
          <w:tab w:val="left" w:pos="2340"/>
        </w:tabs>
        <w:spacing w:after="240"/>
        <w:ind w:hanging="1166"/>
        <w:contextualSpacing w:val="0"/>
        <w:rPr>
          <w:lang w:val="fr-CA"/>
        </w:rPr>
      </w:pPr>
      <w:r w:rsidRPr="00291752">
        <w:rPr>
          <w:lang w:val="fr-CA"/>
        </w:rPr>
        <w:lastRenderedPageBreak/>
        <w:tab/>
      </w:r>
      <w:r w:rsidR="00D63591">
        <w:rPr>
          <w:lang w:val="fr-CA"/>
        </w:rPr>
        <w:tab/>
      </w:r>
      <w:r w:rsidRPr="00291752">
        <w:rPr>
          <w:lang w:val="fr-CA"/>
        </w:rPr>
        <w:t>Cette surveillance multiple [par les cours provinciales], en l’absence d’uniformité dans la jurisprudence et son application, peut nuire sérieusement non seulement aux offices et commissions eux</w:t>
      </w:r>
      <w:r w:rsidR="00D74A37" w:rsidRPr="00291752">
        <w:rPr>
          <w:lang w:val="fr-CA"/>
        </w:rPr>
        <w:t>-</w:t>
      </w:r>
      <w:r w:rsidRPr="00291752">
        <w:rPr>
          <w:lang w:val="fr-CA"/>
        </w:rPr>
        <w:t>mêmes, mais aussi à ceux qui comparaissent devant eux</w:t>
      </w:r>
      <w:r w:rsidR="00A837AA" w:rsidRPr="00291752">
        <w:rPr>
          <w:lang w:val="fr-CA"/>
        </w:rPr>
        <w:t>.</w:t>
      </w:r>
      <w:r w:rsidRPr="00291752">
        <w:rPr>
          <w:lang w:val="fr-CA"/>
        </w:rPr>
        <w:t xml:space="preserve"> [. . .] Pour cette raison [. . .] on a jugé que ce pouvoir de surveillance ne devait être conféré qu’à une seule cour dont la juridiction est d’ordre national, comme celle des offices, commission</w:t>
      </w:r>
      <w:r w:rsidR="00A930CB" w:rsidRPr="00291752">
        <w:rPr>
          <w:lang w:val="fr-CA"/>
        </w:rPr>
        <w:t>s</w:t>
      </w:r>
      <w:r w:rsidRPr="00291752">
        <w:rPr>
          <w:lang w:val="fr-CA"/>
        </w:rPr>
        <w:t xml:space="preserve"> et tribunaux fédéraux eux</w:t>
      </w:r>
      <w:r w:rsidR="00D74A37" w:rsidRPr="00291752">
        <w:rPr>
          <w:lang w:val="fr-CA"/>
        </w:rPr>
        <w:t>-</w:t>
      </w:r>
      <w:r w:rsidRPr="00291752">
        <w:rPr>
          <w:lang w:val="fr-CA"/>
        </w:rPr>
        <w:t>mêmes.  Le bill est donc destiné à établir sur une base unique et uniforme le pouvoir de surveillance exercé sur les commissions et offices fédéraux et à les placer sur le même pied sous ce rapport que les commissions et offices provinciaux.</w:t>
      </w:r>
    </w:p>
    <w:p w:rsidR="00534959" w:rsidRPr="00291752" w:rsidRDefault="00534959" w:rsidP="00017505">
      <w:pPr>
        <w:pStyle w:val="Citation1"/>
        <w:contextualSpacing w:val="0"/>
        <w:rPr>
          <w:lang w:val="fr-CA"/>
        </w:rPr>
      </w:pPr>
      <w:r w:rsidRPr="00291752">
        <w:rPr>
          <w:lang w:val="fr-CA"/>
        </w:rPr>
        <w:t>(</w:t>
      </w:r>
      <w:r w:rsidRPr="00291752">
        <w:rPr>
          <w:i/>
          <w:lang w:val="fr-CA"/>
        </w:rPr>
        <w:t>Débats de la Chambre des communes</w:t>
      </w:r>
      <w:r w:rsidRPr="00291752">
        <w:rPr>
          <w:lang w:val="fr-CA"/>
        </w:rPr>
        <w:t>, 2</w:t>
      </w:r>
      <w:r w:rsidRPr="00291752">
        <w:rPr>
          <w:vertAlign w:val="superscript"/>
          <w:lang w:val="fr-CA"/>
        </w:rPr>
        <w:t>e</w:t>
      </w:r>
      <w:r w:rsidRPr="00291752">
        <w:rPr>
          <w:lang w:val="fr-CA"/>
        </w:rPr>
        <w:t xml:space="preserve"> </w:t>
      </w:r>
      <w:proofErr w:type="spellStart"/>
      <w:proofErr w:type="gramStart"/>
      <w:r w:rsidRPr="00291752">
        <w:rPr>
          <w:lang w:val="fr-CA"/>
        </w:rPr>
        <w:t>sess</w:t>
      </w:r>
      <w:proofErr w:type="spellEnd"/>
      <w:r w:rsidR="00A837AA" w:rsidRPr="00291752">
        <w:rPr>
          <w:lang w:val="fr-CA"/>
        </w:rPr>
        <w:t>.</w:t>
      </w:r>
      <w:r w:rsidRPr="00291752">
        <w:rPr>
          <w:lang w:val="fr-CA"/>
        </w:rPr>
        <w:t>,</w:t>
      </w:r>
      <w:proofErr w:type="gramEnd"/>
      <w:r w:rsidRPr="00291752">
        <w:rPr>
          <w:lang w:val="fr-CA"/>
        </w:rPr>
        <w:t xml:space="preserve"> 28</w:t>
      </w:r>
      <w:r w:rsidRPr="00291752">
        <w:rPr>
          <w:vertAlign w:val="superscript"/>
          <w:lang w:val="fr-CA"/>
        </w:rPr>
        <w:t>e</w:t>
      </w:r>
      <w:r w:rsidRPr="00291752">
        <w:rPr>
          <w:lang w:val="fr-CA"/>
        </w:rPr>
        <w:t xml:space="preserve"> </w:t>
      </w:r>
      <w:proofErr w:type="spellStart"/>
      <w:r w:rsidRPr="00291752">
        <w:rPr>
          <w:lang w:val="fr-CA"/>
        </w:rPr>
        <w:t>lég</w:t>
      </w:r>
      <w:proofErr w:type="spellEnd"/>
      <w:r w:rsidR="00A837AA" w:rsidRPr="00291752">
        <w:rPr>
          <w:lang w:val="fr-CA"/>
        </w:rPr>
        <w:t>.</w:t>
      </w:r>
      <w:r w:rsidR="00D74A37" w:rsidRPr="00291752">
        <w:rPr>
          <w:lang w:val="fr-CA"/>
        </w:rPr>
        <w:t>, 25 mars 1970, p. 5470-</w:t>
      </w:r>
      <w:r w:rsidRPr="00291752">
        <w:rPr>
          <w:lang w:val="fr-CA"/>
        </w:rPr>
        <w:t>5471; voir aussi le mémoire</w:t>
      </w:r>
      <w:r w:rsidR="00A837AA" w:rsidRPr="00291752">
        <w:rPr>
          <w:lang w:val="fr-CA"/>
        </w:rPr>
        <w:t xml:space="preserve"> du P.G.</w:t>
      </w:r>
      <w:r w:rsidRPr="00291752">
        <w:rPr>
          <w:lang w:val="fr-CA"/>
        </w:rPr>
        <w:t>, par.</w:t>
      </w:r>
      <w:r w:rsidR="00D74A37" w:rsidRPr="00291752">
        <w:rPr>
          <w:lang w:val="fr-CA"/>
        </w:rPr>
        <w:t xml:space="preserve"> </w:t>
      </w:r>
      <w:r w:rsidRPr="00291752">
        <w:rPr>
          <w:lang w:val="fr-CA"/>
        </w:rPr>
        <w:t xml:space="preserve">79; </w:t>
      </w:r>
      <w:r w:rsidRPr="00291752">
        <w:rPr>
          <w:i/>
          <w:lang w:val="fr-CA"/>
        </w:rPr>
        <w:t>Khosa</w:t>
      </w:r>
      <w:r w:rsidRPr="00291752">
        <w:rPr>
          <w:lang w:val="fr-CA"/>
        </w:rPr>
        <w:t>, par.</w:t>
      </w:r>
      <w:r w:rsidR="00D74A37" w:rsidRPr="00291752">
        <w:rPr>
          <w:lang w:val="fr-CA"/>
        </w:rPr>
        <w:t xml:space="preserve"> </w:t>
      </w:r>
      <w:r w:rsidRPr="00291752">
        <w:rPr>
          <w:lang w:val="fr-CA"/>
        </w:rPr>
        <w:t>34</w:t>
      </w:r>
      <w:r w:rsidR="0056134E">
        <w:rPr>
          <w:lang w:val="fr-CA"/>
        </w:rPr>
        <w:t>.</w:t>
      </w:r>
      <w:r w:rsidRPr="00291752">
        <w:rPr>
          <w:lang w:val="fr-CA"/>
        </w:rPr>
        <w:t>)</w:t>
      </w:r>
    </w:p>
    <w:p w:rsidR="00534959" w:rsidRPr="00291752" w:rsidRDefault="00534959" w:rsidP="00440093">
      <w:pPr>
        <w:pStyle w:val="SCCNormalDoubleSpacing"/>
        <w:spacing w:after="480"/>
        <w:rPr>
          <w:lang w:val="fr-CA"/>
        </w:rPr>
      </w:pPr>
      <w:r w:rsidRPr="00291752">
        <w:rPr>
          <w:lang w:val="fr-CA"/>
        </w:rPr>
        <w:t>Toutefois, la définition extrêmement large d’« office fédéral » figurant à l’art. 2 dépasse largement l’idée qu’on se fait généralement de ce concept, et sa très vaste portée a provoqué plus tard (peut</w:t>
      </w:r>
      <w:r w:rsidR="00D74A37" w:rsidRPr="00291752">
        <w:rPr>
          <w:lang w:val="fr-CA"/>
        </w:rPr>
        <w:t>-</w:t>
      </w:r>
      <w:r w:rsidRPr="00291752">
        <w:rPr>
          <w:lang w:val="fr-CA"/>
        </w:rPr>
        <w:t xml:space="preserve">être de façon involontaire) la controverse en cause dans </w:t>
      </w:r>
      <w:r w:rsidRPr="00291752">
        <w:rPr>
          <w:i/>
          <w:lang w:val="fr-CA"/>
        </w:rPr>
        <w:t>Grenier</w:t>
      </w:r>
      <w:r w:rsidRPr="00291752">
        <w:rPr>
          <w:lang w:val="fr-CA"/>
        </w:rPr>
        <w:t xml:space="preserve"> sur la façon de traiter le chevauchement de l’objet du contrôle judiciaire et de l’instruction des demandes d’indemnisation en common law fondées sur la faute. L’octroi d’une compétence concurrente à l’art. 17 n’écarte pas la possibilité de jugements contradictoires, mais le législateur a accepté de composer avec ce risque au nom d’un meilleur accès à la justice.</w:t>
      </w:r>
    </w:p>
    <w:p w:rsidR="00534959" w:rsidRPr="00291752" w:rsidRDefault="00017505" w:rsidP="00017505">
      <w:pPr>
        <w:pStyle w:val="ListParagraph"/>
        <w:tabs>
          <w:tab w:val="left" w:pos="1170"/>
          <w:tab w:val="left" w:pos="1620"/>
        </w:tabs>
        <w:spacing w:after="720"/>
        <w:ind w:left="1620" w:hanging="1620"/>
        <w:rPr>
          <w:lang w:val="fr-CA"/>
        </w:rPr>
      </w:pPr>
      <w:r w:rsidRPr="00291752">
        <w:rPr>
          <w:lang w:val="fr-CA"/>
        </w:rPr>
        <w:tab/>
        <w:t>(ii)</w:t>
      </w:r>
      <w:r w:rsidRPr="00291752">
        <w:rPr>
          <w:lang w:val="fr-CA"/>
        </w:rPr>
        <w:tab/>
      </w:r>
      <w:r w:rsidR="00534959" w:rsidRPr="00291752">
        <w:rPr>
          <w:u w:val="single"/>
          <w:lang w:val="fr-CA"/>
        </w:rPr>
        <w:t>Le libellé de la loi</w:t>
      </w:r>
    </w:p>
    <w:p w:rsidR="00534959" w:rsidRPr="00291752" w:rsidRDefault="00534959" w:rsidP="00767D30">
      <w:pPr>
        <w:pStyle w:val="ReasonsNumbering-AltN"/>
        <w:rPr>
          <w:lang w:val="fr-CA"/>
        </w:rPr>
      </w:pPr>
      <w:r w:rsidRPr="00291752">
        <w:rPr>
          <w:lang w:val="fr-CA"/>
        </w:rPr>
        <w:t xml:space="preserve">L’attribution de la compétence </w:t>
      </w:r>
      <w:r w:rsidRPr="00291752">
        <w:rPr>
          <w:i/>
          <w:lang w:val="fr-CA"/>
        </w:rPr>
        <w:t>exclusive</w:t>
      </w:r>
      <w:r w:rsidRPr="00291752">
        <w:rPr>
          <w:lang w:val="fr-CA"/>
        </w:rPr>
        <w:t xml:space="preserve"> en matière de contrôle judiciaire des décisions de l’administration fédérale figure à l’art. 18 de la </w:t>
      </w:r>
      <w:r w:rsidRPr="00291752">
        <w:rPr>
          <w:i/>
          <w:lang w:val="fr-CA"/>
        </w:rPr>
        <w:t>LCF</w:t>
      </w:r>
      <w:r w:rsidRPr="00291752">
        <w:rPr>
          <w:lang w:val="fr-CA"/>
        </w:rPr>
        <w:t>, et elle est énoncée sous forme de recours particuliers :</w:t>
      </w:r>
    </w:p>
    <w:p w:rsidR="00534959" w:rsidRPr="00291752" w:rsidRDefault="00A930CB" w:rsidP="00017505">
      <w:pPr>
        <w:pStyle w:val="Citation1"/>
        <w:tabs>
          <w:tab w:val="left" w:pos="1620"/>
          <w:tab w:val="left" w:pos="2340"/>
        </w:tabs>
        <w:spacing w:after="240"/>
        <w:ind w:hanging="1166"/>
        <w:contextualSpacing w:val="0"/>
        <w:rPr>
          <w:lang w:val="fr-CA"/>
        </w:rPr>
      </w:pPr>
      <w:r w:rsidRPr="00291752">
        <w:rPr>
          <w:b/>
          <w:lang w:val="fr-CA"/>
        </w:rPr>
        <w:lastRenderedPageBreak/>
        <w:tab/>
      </w:r>
      <w:r w:rsidR="00017505" w:rsidRPr="00291752">
        <w:rPr>
          <w:b/>
          <w:lang w:val="fr-CA"/>
        </w:rPr>
        <w:tab/>
      </w:r>
      <w:r w:rsidR="00534959" w:rsidRPr="00291752">
        <w:rPr>
          <w:b/>
          <w:lang w:val="fr-CA"/>
        </w:rPr>
        <w:t>18.</w:t>
      </w:r>
      <w:r w:rsidR="00694744" w:rsidRPr="00291752">
        <w:rPr>
          <w:b/>
          <w:lang w:val="fr-CA"/>
        </w:rPr>
        <w:t xml:space="preserve"> </w:t>
      </w:r>
      <w:r w:rsidR="00534959" w:rsidRPr="00291752">
        <w:rPr>
          <w:lang w:val="fr-CA"/>
        </w:rPr>
        <w:t>(1)</w:t>
      </w:r>
      <w:r w:rsidRPr="00291752">
        <w:rPr>
          <w:lang w:val="fr-CA"/>
        </w:rPr>
        <w:t xml:space="preserve"> </w:t>
      </w:r>
      <w:r w:rsidR="00534959" w:rsidRPr="00291752">
        <w:rPr>
          <w:lang w:val="fr-CA"/>
        </w:rPr>
        <w:t xml:space="preserve">Sous réserve de l’article 28, la Cour fédérale a compétence </w:t>
      </w:r>
      <w:r w:rsidR="00534959" w:rsidRPr="00291752">
        <w:rPr>
          <w:u w:val="single"/>
          <w:lang w:val="fr-CA"/>
        </w:rPr>
        <w:t>exclusive</w:t>
      </w:r>
      <w:r w:rsidR="00534959" w:rsidRPr="00291752">
        <w:rPr>
          <w:lang w:val="fr-CA"/>
        </w:rPr>
        <w:t>, en première instance, pour :</w:t>
      </w:r>
    </w:p>
    <w:p w:rsidR="00534959" w:rsidRPr="00291752" w:rsidRDefault="00534959" w:rsidP="00534959">
      <w:pPr>
        <w:pStyle w:val="Citation1"/>
        <w:tabs>
          <w:tab w:val="left" w:pos="1620"/>
        </w:tabs>
        <w:rPr>
          <w:lang w:val="fr-CA"/>
        </w:rPr>
      </w:pPr>
    </w:p>
    <w:p w:rsidR="00534959" w:rsidRPr="00291752" w:rsidRDefault="006F1A65" w:rsidP="00DB2807">
      <w:pPr>
        <w:pStyle w:val="Citation1"/>
        <w:tabs>
          <w:tab w:val="left" w:pos="1170"/>
          <w:tab w:val="left" w:pos="1620"/>
          <w:tab w:val="left" w:pos="1980"/>
        </w:tabs>
        <w:spacing w:after="240"/>
        <w:ind w:left="1627" w:hanging="1627"/>
        <w:contextualSpacing w:val="0"/>
        <w:rPr>
          <w:lang w:val="fr-CA"/>
        </w:rPr>
      </w:pPr>
      <w:r w:rsidRPr="00291752">
        <w:rPr>
          <w:i/>
          <w:lang w:val="fr-CA"/>
        </w:rPr>
        <w:tab/>
      </w:r>
      <w:r w:rsidR="00017505" w:rsidRPr="00291752">
        <w:rPr>
          <w:i/>
          <w:lang w:val="fr-CA"/>
        </w:rPr>
        <w:tab/>
      </w:r>
      <w:r w:rsidR="00534959" w:rsidRPr="00291752">
        <w:rPr>
          <w:i/>
          <w:lang w:val="fr-CA"/>
        </w:rPr>
        <w:t>a</w:t>
      </w:r>
      <w:r w:rsidR="00534959" w:rsidRPr="00291752">
        <w:rPr>
          <w:lang w:val="fr-CA"/>
        </w:rPr>
        <w:t>)</w:t>
      </w:r>
      <w:r w:rsidR="00A930CB" w:rsidRPr="00291752">
        <w:rPr>
          <w:lang w:val="fr-CA"/>
        </w:rPr>
        <w:tab/>
      </w:r>
      <w:r w:rsidR="00534959" w:rsidRPr="00291752">
        <w:rPr>
          <w:lang w:val="fr-CA"/>
        </w:rPr>
        <w:t xml:space="preserve">décerner une injonction, un bref de </w:t>
      </w:r>
      <w:r w:rsidR="00534959" w:rsidRPr="00291752">
        <w:rPr>
          <w:i/>
          <w:lang w:val="fr-CA"/>
        </w:rPr>
        <w:t>certiorari</w:t>
      </w:r>
      <w:r w:rsidR="00534959" w:rsidRPr="00291752">
        <w:rPr>
          <w:lang w:val="fr-CA"/>
        </w:rPr>
        <w:t xml:space="preserve">, de </w:t>
      </w:r>
      <w:r w:rsidR="00534959" w:rsidRPr="00291752">
        <w:rPr>
          <w:i/>
          <w:lang w:val="fr-CA"/>
        </w:rPr>
        <w:t>mandamus</w:t>
      </w:r>
      <w:r w:rsidR="00534959" w:rsidRPr="00291752">
        <w:rPr>
          <w:lang w:val="fr-CA"/>
        </w:rPr>
        <w:t xml:space="preserve">, de prohibition ou de </w:t>
      </w:r>
      <w:r w:rsidR="00534959" w:rsidRPr="00291752">
        <w:rPr>
          <w:i/>
          <w:lang w:val="fr-CA"/>
        </w:rPr>
        <w:t>quo warranto</w:t>
      </w:r>
      <w:r w:rsidR="00534959" w:rsidRPr="00291752">
        <w:rPr>
          <w:lang w:val="fr-CA"/>
        </w:rPr>
        <w:t>, ou pour rendre un jugement déclaratoire contre tout office fédéral;</w:t>
      </w:r>
    </w:p>
    <w:p w:rsidR="00534959" w:rsidRPr="00291752" w:rsidRDefault="006F1A65" w:rsidP="00DB2807">
      <w:pPr>
        <w:pStyle w:val="Citation1"/>
        <w:tabs>
          <w:tab w:val="left" w:pos="1170"/>
          <w:tab w:val="left" w:pos="1620"/>
          <w:tab w:val="left" w:pos="1980"/>
        </w:tabs>
        <w:spacing w:after="240"/>
        <w:ind w:left="1627" w:hanging="1627"/>
        <w:contextualSpacing w:val="0"/>
        <w:rPr>
          <w:lang w:val="fr-CA"/>
        </w:rPr>
      </w:pPr>
      <w:r w:rsidRPr="00291752">
        <w:rPr>
          <w:i/>
          <w:lang w:val="fr-CA"/>
        </w:rPr>
        <w:tab/>
      </w:r>
      <w:r w:rsidR="00DB2807" w:rsidRPr="00291752">
        <w:rPr>
          <w:i/>
          <w:lang w:val="fr-CA"/>
        </w:rPr>
        <w:tab/>
      </w:r>
      <w:r w:rsidR="00534959" w:rsidRPr="00291752">
        <w:rPr>
          <w:i/>
          <w:lang w:val="fr-CA"/>
        </w:rPr>
        <w:t>b</w:t>
      </w:r>
      <w:r w:rsidR="00A930CB" w:rsidRPr="00291752">
        <w:rPr>
          <w:lang w:val="fr-CA"/>
        </w:rPr>
        <w:t>)</w:t>
      </w:r>
      <w:r w:rsidR="00A930CB" w:rsidRPr="00291752">
        <w:rPr>
          <w:lang w:val="fr-CA"/>
        </w:rPr>
        <w:tab/>
      </w:r>
      <w:r w:rsidR="00534959" w:rsidRPr="00291752">
        <w:rPr>
          <w:lang w:val="fr-CA"/>
        </w:rPr>
        <w:t xml:space="preserve">connaître de toute demande de réparation de la nature visée par l’alinéa </w:t>
      </w:r>
      <w:r w:rsidR="00534959" w:rsidRPr="00291752">
        <w:rPr>
          <w:i/>
          <w:lang w:val="fr-CA"/>
        </w:rPr>
        <w:t>a</w:t>
      </w:r>
      <w:r w:rsidR="00534959" w:rsidRPr="00291752">
        <w:rPr>
          <w:lang w:val="fr-CA"/>
        </w:rPr>
        <w:t>), et notamment de toute procédure engagée contre le procureur général du Canada afin d’obtenir réparation de la part d’un office fédéral.</w:t>
      </w:r>
    </w:p>
    <w:p w:rsidR="00534959" w:rsidRPr="00291752" w:rsidRDefault="00534959" w:rsidP="00534959">
      <w:pPr>
        <w:pStyle w:val="Citation1"/>
        <w:tabs>
          <w:tab w:val="left" w:pos="2070"/>
        </w:tabs>
        <w:rPr>
          <w:lang w:val="fr-CA"/>
        </w:rPr>
      </w:pPr>
    </w:p>
    <w:p w:rsidR="00534959" w:rsidRPr="00291752" w:rsidRDefault="00534959" w:rsidP="00534959">
      <w:pPr>
        <w:pStyle w:val="Citation1"/>
        <w:tabs>
          <w:tab w:val="left" w:pos="2070"/>
        </w:tabs>
        <w:jc w:val="center"/>
        <w:rPr>
          <w:lang w:val="fr-CA"/>
        </w:rPr>
      </w:pPr>
      <w:r w:rsidRPr="00291752">
        <w:rPr>
          <w:lang w:val="fr-CA"/>
        </w:rPr>
        <w:t>. . .</w:t>
      </w:r>
    </w:p>
    <w:p w:rsidR="00534959" w:rsidRPr="00291752" w:rsidRDefault="00534959" w:rsidP="00534959">
      <w:pPr>
        <w:pStyle w:val="Citation1"/>
        <w:tabs>
          <w:tab w:val="left" w:pos="2070"/>
        </w:tabs>
        <w:rPr>
          <w:lang w:val="fr-CA"/>
        </w:rPr>
      </w:pPr>
    </w:p>
    <w:p w:rsidR="00534959" w:rsidRPr="00291752" w:rsidRDefault="00A930CB" w:rsidP="00017505">
      <w:pPr>
        <w:pStyle w:val="Citation1"/>
        <w:tabs>
          <w:tab w:val="left" w:pos="1620"/>
          <w:tab w:val="left" w:pos="2340"/>
        </w:tabs>
        <w:ind w:hanging="1166"/>
        <w:contextualSpacing w:val="0"/>
        <w:rPr>
          <w:lang w:val="fr-CA"/>
        </w:rPr>
      </w:pPr>
      <w:r w:rsidRPr="00291752">
        <w:rPr>
          <w:lang w:val="fr-CA"/>
        </w:rPr>
        <w:tab/>
      </w:r>
      <w:r w:rsidR="00017505" w:rsidRPr="00291752">
        <w:rPr>
          <w:lang w:val="fr-CA"/>
        </w:rPr>
        <w:tab/>
      </w:r>
      <w:r w:rsidRPr="00291752">
        <w:rPr>
          <w:lang w:val="fr-CA"/>
        </w:rPr>
        <w:t>(3)</w:t>
      </w:r>
      <w:r w:rsidR="006F1A65" w:rsidRPr="00291752">
        <w:rPr>
          <w:lang w:val="fr-CA"/>
        </w:rPr>
        <w:tab/>
      </w:r>
      <w:r w:rsidR="00534959" w:rsidRPr="00291752">
        <w:rPr>
          <w:lang w:val="fr-CA"/>
        </w:rPr>
        <w:t>Les recours prévus aux paragraphes (1) ou (2) sont exercés par présentation d’une demande de contrôle judiciaire.</w:t>
      </w:r>
    </w:p>
    <w:p w:rsidR="00534959" w:rsidRPr="00291752" w:rsidRDefault="00534959" w:rsidP="00330818">
      <w:pPr>
        <w:pStyle w:val="ReasonsNumbering-AltN"/>
        <w:rPr>
          <w:lang w:val="fr-CA"/>
        </w:rPr>
      </w:pPr>
      <w:r w:rsidRPr="00291752">
        <w:rPr>
          <w:lang w:val="fr-CA"/>
        </w:rPr>
        <w:t>Tous les recours énumérés à l’al. 18(1)</w:t>
      </w:r>
      <w:r w:rsidRPr="00291752">
        <w:rPr>
          <w:i/>
          <w:lang w:val="fr-CA"/>
        </w:rPr>
        <w:t>a</w:t>
      </w:r>
      <w:r w:rsidRPr="00291752">
        <w:rPr>
          <w:lang w:val="fr-CA"/>
        </w:rPr>
        <w:t xml:space="preserve">) sont des recours classiques du droit administratif, y compris les quatre brefs de prérogative — </w:t>
      </w:r>
      <w:proofErr w:type="spellStart"/>
      <w:r w:rsidRPr="00291752">
        <w:rPr>
          <w:i/>
          <w:lang w:val="fr-CA"/>
        </w:rPr>
        <w:t>certiorari</w:t>
      </w:r>
      <w:proofErr w:type="spellEnd"/>
      <w:r w:rsidRPr="00291752">
        <w:rPr>
          <w:lang w:val="fr-CA"/>
        </w:rPr>
        <w:t xml:space="preserve">, </w:t>
      </w:r>
      <w:r w:rsidR="00A837AA" w:rsidRPr="00291752">
        <w:rPr>
          <w:i/>
          <w:lang w:val="fr-CA"/>
        </w:rPr>
        <w:t>mandamus</w:t>
      </w:r>
      <w:r w:rsidR="00A837AA" w:rsidRPr="00291752">
        <w:rPr>
          <w:lang w:val="fr-CA"/>
        </w:rPr>
        <w:t xml:space="preserve">, </w:t>
      </w:r>
      <w:r w:rsidRPr="00291752">
        <w:rPr>
          <w:lang w:val="fr-CA"/>
        </w:rPr>
        <w:t>prohibition</w:t>
      </w:r>
      <w:r w:rsidR="00A930CB" w:rsidRPr="00291752">
        <w:rPr>
          <w:lang w:val="fr-CA"/>
        </w:rPr>
        <w:t xml:space="preserve"> </w:t>
      </w:r>
      <w:r w:rsidRPr="00291752">
        <w:rPr>
          <w:lang w:val="fr-CA"/>
        </w:rPr>
        <w:t xml:space="preserve">et </w:t>
      </w:r>
      <w:r w:rsidRPr="00291752">
        <w:rPr>
          <w:i/>
          <w:lang w:val="fr-CA"/>
        </w:rPr>
        <w:t xml:space="preserve">quo </w:t>
      </w:r>
      <w:proofErr w:type="spellStart"/>
      <w:r w:rsidRPr="00291752">
        <w:rPr>
          <w:i/>
          <w:lang w:val="fr-CA"/>
        </w:rPr>
        <w:t>warranto</w:t>
      </w:r>
      <w:proofErr w:type="spellEnd"/>
      <w:r w:rsidRPr="00291752">
        <w:rPr>
          <w:lang w:val="fr-CA"/>
        </w:rPr>
        <w:t xml:space="preserve"> — et les demandes d’injonction et de jugement déclaratoire en droit administratif.  L’article 18 ne prévoit pas l’octroi de dommages</w:t>
      </w:r>
      <w:r w:rsidR="002731BC" w:rsidRPr="00291752">
        <w:rPr>
          <w:lang w:val="fr-CA"/>
        </w:rPr>
        <w:t>-</w:t>
      </w:r>
      <w:r w:rsidRPr="00291752">
        <w:rPr>
          <w:lang w:val="fr-CA"/>
        </w:rPr>
        <w:t>intérêts.  L’indemnisation n’est pas possible dans le cadre d’une procédure de contrôle judiciaire.  De même, on ne peut, dans le cadre d’une action en dommages</w:t>
      </w:r>
      <w:r w:rsidR="002731BC" w:rsidRPr="00291752">
        <w:rPr>
          <w:lang w:val="fr-CA"/>
        </w:rPr>
        <w:t>-</w:t>
      </w:r>
      <w:r w:rsidRPr="00291752">
        <w:rPr>
          <w:lang w:val="fr-CA"/>
        </w:rPr>
        <w:t xml:space="preserve">intérêts, demander par surcroît un jugement déclaratoire ou une injonction visant à empêcher la mise en </w:t>
      </w:r>
      <w:r w:rsidR="000B34B3" w:rsidRPr="00291752">
        <w:rPr>
          <w:szCs w:val="24"/>
        </w:rPr>
        <w:fldChar w:fldCharType="begin"/>
      </w:r>
      <w:r w:rsidRPr="00291752">
        <w:rPr>
          <w:szCs w:val="24"/>
          <w:lang w:val="fr-FR"/>
        </w:rPr>
        <w:instrText xml:space="preserve"> SEQ CHAPTER \h \r 1</w:instrText>
      </w:r>
      <w:r w:rsidR="000B34B3" w:rsidRPr="00291752">
        <w:rPr>
          <w:szCs w:val="24"/>
        </w:rPr>
        <w:fldChar w:fldCharType="end"/>
      </w:r>
      <w:r w:rsidRPr="00291752">
        <w:rPr>
          <w:szCs w:val="24"/>
          <w:lang w:val="fr-CA"/>
        </w:rPr>
        <w:t>œ</w:t>
      </w:r>
      <w:r w:rsidRPr="00291752">
        <w:rPr>
          <w:lang w:val="fr-CA"/>
        </w:rPr>
        <w:t>uvre d’une décision administrative prétendument illégale.  Pareille demande est du ressort de la Cour fédérale.</w:t>
      </w:r>
    </w:p>
    <w:p w:rsidR="00534959" w:rsidRPr="00291752" w:rsidRDefault="00DB2807" w:rsidP="00DB2807">
      <w:pPr>
        <w:pStyle w:val="ListParagraph"/>
        <w:tabs>
          <w:tab w:val="left" w:pos="1170"/>
          <w:tab w:val="left" w:pos="1800"/>
        </w:tabs>
        <w:spacing w:after="720"/>
        <w:ind w:left="1800" w:hanging="1800"/>
        <w:rPr>
          <w:lang w:val="fr-CA"/>
        </w:rPr>
      </w:pPr>
      <w:r w:rsidRPr="00291752">
        <w:rPr>
          <w:lang w:val="fr-CA"/>
        </w:rPr>
        <w:tab/>
        <w:t>(iii)</w:t>
      </w:r>
      <w:r w:rsidRPr="00291752">
        <w:rPr>
          <w:lang w:val="fr-CA"/>
        </w:rPr>
        <w:tab/>
      </w:r>
      <w:r w:rsidR="00534959" w:rsidRPr="00291752">
        <w:rPr>
          <w:u w:val="single"/>
          <w:lang w:val="fr-CA"/>
        </w:rPr>
        <w:t xml:space="preserve">Interprétation de la </w:t>
      </w:r>
      <w:r w:rsidR="00A930CB" w:rsidRPr="00291752">
        <w:rPr>
          <w:u w:val="single"/>
          <w:lang w:val="fr-CA"/>
        </w:rPr>
        <w:t>loi</w:t>
      </w:r>
      <w:r w:rsidR="00534959" w:rsidRPr="00291752">
        <w:rPr>
          <w:i/>
          <w:u w:val="single"/>
          <w:lang w:val="fr-CA"/>
        </w:rPr>
        <w:t xml:space="preserve"> </w:t>
      </w:r>
      <w:r w:rsidR="00534959" w:rsidRPr="00291752">
        <w:rPr>
          <w:u w:val="single"/>
          <w:lang w:val="fr-CA"/>
        </w:rPr>
        <w:t>dans son ensemble</w:t>
      </w:r>
    </w:p>
    <w:p w:rsidR="00534959" w:rsidRPr="00291752" w:rsidRDefault="00534959" w:rsidP="00330818">
      <w:pPr>
        <w:pStyle w:val="ReasonsNumbering-AltN"/>
        <w:rPr>
          <w:lang w:val="fr-CA"/>
        </w:rPr>
      </w:pPr>
      <w:r w:rsidRPr="00291752">
        <w:rPr>
          <w:lang w:val="fr-CA"/>
        </w:rPr>
        <w:lastRenderedPageBreak/>
        <w:t>Beaucoup d</w:t>
      </w:r>
      <w:r w:rsidR="00475815" w:rsidRPr="00291752">
        <w:rPr>
          <w:lang w:val="fr-CA"/>
        </w:rPr>
        <w:t xml:space="preserve">’éléments intrinsèques </w:t>
      </w:r>
      <w:proofErr w:type="gramStart"/>
      <w:r w:rsidR="00475815" w:rsidRPr="00291752">
        <w:rPr>
          <w:lang w:val="fr-CA"/>
        </w:rPr>
        <w:t>des art</w:t>
      </w:r>
      <w:proofErr w:type="gramEnd"/>
      <w:r w:rsidR="00475815" w:rsidRPr="00291752">
        <w:rPr>
          <w:lang w:val="fr-CA"/>
        </w:rPr>
        <w:t xml:space="preserve">. </w:t>
      </w:r>
      <w:r w:rsidRPr="00291752">
        <w:rPr>
          <w:lang w:val="fr-CA"/>
        </w:rPr>
        <w:t xml:space="preserve">18 et 18.1 de la </w:t>
      </w:r>
      <w:r w:rsidRPr="00291752">
        <w:rPr>
          <w:i/>
          <w:lang w:val="fr-CA"/>
        </w:rPr>
        <w:t>LCF</w:t>
      </w:r>
      <w:r w:rsidRPr="00291752">
        <w:rPr>
          <w:lang w:val="fr-CA"/>
        </w:rPr>
        <w:t xml:space="preserve"> indiquent que le législateur ne peut avoir eu l’intention de faire du contrôle judiciaire une épreuve préliminaire comme le laisse entrevoir l’arrêt </w:t>
      </w:r>
      <w:r w:rsidRPr="00291752">
        <w:rPr>
          <w:i/>
          <w:lang w:val="fr-CA"/>
        </w:rPr>
        <w:t>Grenier</w:t>
      </w:r>
      <w:r w:rsidRPr="00291752">
        <w:rPr>
          <w:lang w:val="fr-CA"/>
        </w:rPr>
        <w:t>.</w:t>
      </w:r>
    </w:p>
    <w:p w:rsidR="00534959" w:rsidRPr="00291752" w:rsidRDefault="00534959" w:rsidP="00330818">
      <w:pPr>
        <w:pStyle w:val="ReasonsNumbering-AltN"/>
        <w:rPr>
          <w:lang w:val="fr-CA"/>
        </w:rPr>
      </w:pPr>
      <w:r w:rsidRPr="00291752">
        <w:rPr>
          <w:lang w:val="fr-CA"/>
        </w:rPr>
        <w:t>Comme je</w:t>
      </w:r>
      <w:r w:rsidR="00475815" w:rsidRPr="00291752">
        <w:rPr>
          <w:lang w:val="fr-CA"/>
        </w:rPr>
        <w:t xml:space="preserve"> l’ai mentionné, le délai de 30 </w:t>
      </w:r>
      <w:r w:rsidRPr="00291752">
        <w:rPr>
          <w:lang w:val="fr-CA"/>
        </w:rPr>
        <w:t>jours applicable à la présentation des demandes de contrôle judiciaire sous le régime du par.</w:t>
      </w:r>
      <w:r w:rsidR="00475815" w:rsidRPr="00291752">
        <w:rPr>
          <w:lang w:val="fr-CA"/>
        </w:rPr>
        <w:t xml:space="preserve"> </w:t>
      </w:r>
      <w:r w:rsidRPr="00291752">
        <w:rPr>
          <w:lang w:val="fr-CA"/>
        </w:rPr>
        <w:t xml:space="preserve">18.1(2) de la </w:t>
      </w:r>
      <w:r w:rsidRPr="00291752">
        <w:rPr>
          <w:i/>
          <w:lang w:val="fr-CA"/>
        </w:rPr>
        <w:t>LCF</w:t>
      </w:r>
      <w:r w:rsidRPr="00291752">
        <w:rPr>
          <w:lang w:val="fr-CA"/>
        </w:rPr>
        <w:t xml:space="preserve"> constitue l’un de ces éléments.  Un délai aussi court convient à une procédure sommaire et expéditive de contrôle judiciaire, mais non à une action en dommages</w:t>
      </w:r>
      <w:r w:rsidR="002731BC" w:rsidRPr="00291752">
        <w:rPr>
          <w:lang w:val="fr-CA"/>
        </w:rPr>
        <w:t>-</w:t>
      </w:r>
      <w:r w:rsidRPr="00291752">
        <w:rPr>
          <w:lang w:val="fr-CA"/>
        </w:rPr>
        <w:t>intérêts.  Le délai de prescription applicable à l’action de TeleZone en Ontario est de six ans.  Il ne serait pas réaliste qu’une action en dommages</w:t>
      </w:r>
      <w:r w:rsidR="002731BC" w:rsidRPr="00291752">
        <w:rPr>
          <w:lang w:val="fr-CA"/>
        </w:rPr>
        <w:t>-</w:t>
      </w:r>
      <w:r w:rsidRPr="00291752">
        <w:rPr>
          <w:lang w:val="fr-CA"/>
        </w:rPr>
        <w:t>intérêts se prescrive par 30</w:t>
      </w:r>
      <w:r w:rsidR="00475815" w:rsidRPr="00291752">
        <w:rPr>
          <w:lang w:val="fr-CA"/>
        </w:rPr>
        <w:t xml:space="preserve"> </w:t>
      </w:r>
      <w:r w:rsidRPr="00291752">
        <w:rPr>
          <w:lang w:val="fr-CA"/>
        </w:rPr>
        <w:t>jours.  Il se pourrait qu’un demandeur ne soit pas en mesure de déposer sa demande de contrôle judiciaire dans un tel délai.  Les faits nécessaires pour fonder un recours civil peuvent fort</w:t>
      </w:r>
      <w:r w:rsidR="00475815" w:rsidRPr="00291752">
        <w:rPr>
          <w:lang w:val="fr-CA"/>
        </w:rPr>
        <w:t xml:space="preserve"> bien n’être connus qu’après 30 </w:t>
      </w:r>
      <w:r w:rsidRPr="00291752">
        <w:rPr>
          <w:lang w:val="fr-CA"/>
        </w:rPr>
        <w:t>jours.</w:t>
      </w:r>
    </w:p>
    <w:p w:rsidR="00534959" w:rsidRPr="00291752" w:rsidRDefault="00534959" w:rsidP="00330818">
      <w:pPr>
        <w:pStyle w:val="ReasonsNumbering-AltN"/>
        <w:rPr>
          <w:lang w:val="fr-CA"/>
        </w:rPr>
      </w:pPr>
      <w:r w:rsidRPr="00291752">
        <w:rPr>
          <w:lang w:val="fr-CA"/>
        </w:rPr>
        <w:t>Un juge de la Cour fédérale peut proroger par ordonn</w:t>
      </w:r>
      <w:r w:rsidR="00475815" w:rsidRPr="00291752">
        <w:rPr>
          <w:lang w:val="fr-CA"/>
        </w:rPr>
        <w:t xml:space="preserve">ance le délai de 30 jours (par. </w:t>
      </w:r>
      <w:r w:rsidRPr="00291752">
        <w:rPr>
          <w:lang w:val="fr-CA"/>
        </w:rPr>
        <w:t>18.1(2)), mais il s’agit là d’une décision discrétionnaire, et l’issue d’une action civile intentée devant une cour supérieure serait ainsi subordonnée au pouvoir discrétionnaire d’un juge de la Cour fédérale statuant sur une demande de prorogation de délai en fonction de considérations de droit public et non de facteurs propres aux dommages</w:t>
      </w:r>
      <w:r w:rsidR="002731BC" w:rsidRPr="00291752">
        <w:rPr>
          <w:lang w:val="fr-CA"/>
        </w:rPr>
        <w:t>-</w:t>
      </w:r>
      <w:r w:rsidRPr="00291752">
        <w:rPr>
          <w:lang w:val="fr-CA"/>
        </w:rPr>
        <w:t xml:space="preserve">intérêts de droit civil.  Concrètement, l’argument tiré de l’arrêt </w:t>
      </w:r>
      <w:r w:rsidRPr="00291752">
        <w:rPr>
          <w:i/>
          <w:lang w:val="fr-CA"/>
        </w:rPr>
        <w:t>Grenier</w:t>
      </w:r>
      <w:r w:rsidRPr="00291752">
        <w:rPr>
          <w:lang w:val="fr-CA"/>
        </w:rPr>
        <w:t xml:space="preserve"> mènerait à l’application d’un délai de prescription discrétionnaire (fixé par la Cour</w:t>
      </w:r>
      <w:r w:rsidR="00475815" w:rsidRPr="00291752">
        <w:rPr>
          <w:lang w:val="fr-CA"/>
        </w:rPr>
        <w:t xml:space="preserve"> </w:t>
      </w:r>
      <w:r w:rsidRPr="00291752">
        <w:rPr>
          <w:lang w:val="fr-CA"/>
        </w:rPr>
        <w:t>fédérale) aux actions en dommages</w:t>
      </w:r>
      <w:r w:rsidR="002731BC" w:rsidRPr="00291752">
        <w:rPr>
          <w:lang w:val="fr-CA"/>
        </w:rPr>
        <w:t>-</w:t>
      </w:r>
      <w:r w:rsidRPr="00291752">
        <w:rPr>
          <w:lang w:val="fr-CA"/>
        </w:rPr>
        <w:t>intérêts contre la Couronne (intenté</w:t>
      </w:r>
      <w:r w:rsidR="00475815" w:rsidRPr="00291752">
        <w:rPr>
          <w:lang w:val="fr-CA"/>
        </w:rPr>
        <w:t>e</w:t>
      </w:r>
      <w:r w:rsidRPr="00291752">
        <w:rPr>
          <w:lang w:val="fr-CA"/>
        </w:rPr>
        <w:t xml:space="preserve">s devant une cour supérieure provinciale), un résultat qui, à mon avis, ne peut correspondre à </w:t>
      </w:r>
      <w:r w:rsidRPr="00291752">
        <w:rPr>
          <w:lang w:val="fr-CA"/>
        </w:rPr>
        <w:lastRenderedPageBreak/>
        <w:t>l’intention du législateur.  Indépendamment de toute autre considération, ce résultat contrecarrerait l’art.</w:t>
      </w:r>
      <w:r w:rsidR="00475815" w:rsidRPr="00291752">
        <w:rPr>
          <w:lang w:val="fr-CA"/>
        </w:rPr>
        <w:t xml:space="preserve"> </w:t>
      </w:r>
      <w:r w:rsidRPr="00291752">
        <w:rPr>
          <w:lang w:val="fr-CA"/>
        </w:rPr>
        <w:t xml:space="preserve">39 de la </w:t>
      </w:r>
      <w:r w:rsidRPr="00291752">
        <w:rPr>
          <w:i/>
          <w:lang w:val="fr-CA"/>
        </w:rPr>
        <w:t>LCF</w:t>
      </w:r>
      <w:r w:rsidRPr="00291752">
        <w:rPr>
          <w:lang w:val="fr-CA"/>
        </w:rPr>
        <w:t xml:space="preserve"> selon lequel, règle générale, les instances introduites contre la Couronne devant la Cour fédérale sont assujetties aux règles de prescription régissant « les rapports entre particuliers » dans la province où le fait générateur de l’instance s’est produit ou se prescrivent par six ans à compter du fait générateur « lorsque celui</w:t>
      </w:r>
      <w:r w:rsidR="00475815" w:rsidRPr="00291752">
        <w:rPr>
          <w:lang w:val="fr-CA"/>
        </w:rPr>
        <w:t>-</w:t>
      </w:r>
      <w:r w:rsidRPr="00291752">
        <w:rPr>
          <w:lang w:val="fr-CA"/>
        </w:rPr>
        <w:t>ci n’est pas survenu dans une province ».</w:t>
      </w:r>
    </w:p>
    <w:p w:rsidR="00534959" w:rsidRPr="00291752" w:rsidRDefault="00534959" w:rsidP="00330818">
      <w:pPr>
        <w:pStyle w:val="ReasonsNumbering-AltN"/>
        <w:rPr>
          <w:lang w:val="fr-CA"/>
        </w:rPr>
      </w:pPr>
      <w:r w:rsidRPr="00291752">
        <w:rPr>
          <w:lang w:val="fr-CA"/>
        </w:rPr>
        <w:t xml:space="preserve">Notre Cour a récemment confirmé, dans </w:t>
      </w:r>
      <w:r w:rsidRPr="00291752">
        <w:rPr>
          <w:i/>
          <w:lang w:val="fr-CA"/>
        </w:rPr>
        <w:t>Khosa</w:t>
      </w:r>
      <w:r w:rsidRPr="00291752">
        <w:rPr>
          <w:lang w:val="fr-CA"/>
        </w:rPr>
        <w:t>, la nature discrétionnaire des décisions en matière de contrôle judiciaire et indiqué qu’une demande de contrôle peut être rejetée même lorsque le demandeur a établi l’existence de motifs qui justifieraient l’intervention de la cour :</w:t>
      </w:r>
    </w:p>
    <w:p w:rsidR="00534959" w:rsidRPr="00291752" w:rsidRDefault="00DB2807" w:rsidP="00DB2807">
      <w:pPr>
        <w:pStyle w:val="Citation1"/>
        <w:tabs>
          <w:tab w:val="left" w:pos="1170"/>
        </w:tabs>
        <w:ind w:hanging="1166"/>
        <w:rPr>
          <w:lang w:val="fr-CA"/>
        </w:rPr>
      </w:pPr>
      <w:r w:rsidRPr="00291752">
        <w:rPr>
          <w:lang w:val="fr-CA"/>
        </w:rPr>
        <w:tab/>
      </w:r>
      <w:r w:rsidR="00534959" w:rsidRPr="00291752">
        <w:rPr>
          <w:lang w:val="fr-CA"/>
        </w:rPr>
        <w:t>. . .</w:t>
      </w:r>
      <w:r w:rsidR="00475815" w:rsidRPr="00291752">
        <w:rPr>
          <w:lang w:val="fr-CA"/>
        </w:rPr>
        <w:t xml:space="preserve"> l’art. </w:t>
      </w:r>
      <w:r w:rsidR="00534959" w:rsidRPr="00291752">
        <w:rPr>
          <w:lang w:val="fr-CA"/>
        </w:rPr>
        <w:t>18.1 énonce en termes généraux les motifs qui autorisent la Cour à prendre une mesure, sans lui en imposer l’obligation.  La question de savoir si la cour devrait exercer son pouvoir discrétionnaire d’accorder réparation dépendra de son appréciation des rôles respectifs des cours de justice et des organismes administratifs ainsi que des « circonstances de chaque cas ». [</w:t>
      </w:r>
      <w:proofErr w:type="gramStart"/>
      <w:r w:rsidR="00534959" w:rsidRPr="00291752">
        <w:rPr>
          <w:lang w:val="fr-CA"/>
        </w:rPr>
        <w:t>par</w:t>
      </w:r>
      <w:proofErr w:type="gramEnd"/>
      <w:r w:rsidR="00534959" w:rsidRPr="00291752">
        <w:rPr>
          <w:lang w:val="fr-CA"/>
        </w:rPr>
        <w:t>.</w:t>
      </w:r>
      <w:r w:rsidR="00475815" w:rsidRPr="00291752">
        <w:rPr>
          <w:lang w:val="fr-CA"/>
        </w:rPr>
        <w:t xml:space="preserve"> </w:t>
      </w:r>
      <w:r w:rsidR="00534959" w:rsidRPr="00291752">
        <w:rPr>
          <w:lang w:val="fr-CA"/>
        </w:rPr>
        <w:t>36]</w:t>
      </w:r>
    </w:p>
    <w:p w:rsidR="00534959" w:rsidRPr="00291752" w:rsidRDefault="00534959" w:rsidP="00381BF1">
      <w:pPr>
        <w:pStyle w:val="SCCNormalDoubleSpacing"/>
        <w:spacing w:after="480"/>
        <w:rPr>
          <w:lang w:val="fr-CA"/>
        </w:rPr>
      </w:pPr>
      <w:r w:rsidRPr="00291752">
        <w:rPr>
          <w:lang w:val="fr-CA"/>
        </w:rPr>
        <w:t xml:space="preserve">Voir aussi </w:t>
      </w:r>
      <w:r w:rsidRPr="00291752">
        <w:rPr>
          <w:i/>
          <w:lang w:val="fr-CA"/>
        </w:rPr>
        <w:t>Harelkin c. Université de Regina</w:t>
      </w:r>
      <w:r w:rsidRPr="00291752">
        <w:rPr>
          <w:lang w:val="fr-CA"/>
        </w:rPr>
        <w:t>, [1979] 2 R.C.S. 561, p.</w:t>
      </w:r>
      <w:r w:rsidR="00475815" w:rsidRPr="00291752">
        <w:rPr>
          <w:lang w:val="fr-CA"/>
        </w:rPr>
        <w:t xml:space="preserve"> </w:t>
      </w:r>
      <w:r w:rsidRPr="00291752">
        <w:rPr>
          <w:lang w:val="fr-CA"/>
        </w:rPr>
        <w:t>592</w:t>
      </w:r>
      <w:r w:rsidR="00475815" w:rsidRPr="00291752">
        <w:rPr>
          <w:lang w:val="fr-CA"/>
        </w:rPr>
        <w:t>-</w:t>
      </w:r>
      <w:r w:rsidRPr="00291752">
        <w:rPr>
          <w:lang w:val="fr-CA"/>
        </w:rPr>
        <w:t xml:space="preserve">593; </w:t>
      </w:r>
      <w:r w:rsidRPr="00291752">
        <w:rPr>
          <w:i/>
          <w:lang w:val="fr-CA"/>
        </w:rPr>
        <w:t>Immeubles Port Louis Ltée c. Lafontaine (Village)</w:t>
      </w:r>
      <w:r w:rsidRPr="00291752">
        <w:rPr>
          <w:lang w:val="fr-CA"/>
        </w:rPr>
        <w:t>, [1991] 1 R.C.S. 326, p.</w:t>
      </w:r>
      <w:r w:rsidR="00475815" w:rsidRPr="00291752">
        <w:rPr>
          <w:lang w:val="fr-CA"/>
        </w:rPr>
        <w:t xml:space="preserve"> </w:t>
      </w:r>
      <w:r w:rsidRPr="00291752">
        <w:rPr>
          <w:lang w:val="fr-CA"/>
        </w:rPr>
        <w:t>372.  Cette approche ne concorde pas avec le paradigme de l’action en dommages</w:t>
      </w:r>
      <w:r w:rsidR="002731BC" w:rsidRPr="00291752">
        <w:rPr>
          <w:lang w:val="fr-CA"/>
        </w:rPr>
        <w:t>-</w:t>
      </w:r>
      <w:r w:rsidRPr="00291752">
        <w:rPr>
          <w:lang w:val="fr-CA"/>
        </w:rPr>
        <w:t>intérêts de la common law, suivant lequel la preuve des éléments de la demande entraîne normalement l’indemnisation.  En matière de contrôle judiciaire, [</w:t>
      </w:r>
      <w:r w:rsidRPr="00291752">
        <w:rPr>
          <w:smallCaps/>
          <w:lang w:val="fr-CA"/>
        </w:rPr>
        <w:t>traduction</w:t>
      </w:r>
      <w:r w:rsidRPr="00291752">
        <w:rPr>
          <w:lang w:val="fr-CA"/>
        </w:rPr>
        <w:t xml:space="preserve">] « la nature discrétionnaire du pouvoir de surveillance des tribunaux témoigne du fait que, </w:t>
      </w:r>
      <w:r w:rsidRPr="00291752">
        <w:rPr>
          <w:lang w:val="fr-CA"/>
        </w:rPr>
        <w:lastRenderedPageBreak/>
        <w:t>contrairement au droit privé, il n’est pas et n’a jamais été axé exclusivement sur la défense des droits des parti</w:t>
      </w:r>
      <w:r w:rsidR="00475815" w:rsidRPr="00291752">
        <w:rPr>
          <w:lang w:val="fr-CA"/>
        </w:rPr>
        <w:t xml:space="preserve">culiers » (Brown et Evans, par. </w:t>
      </w:r>
      <w:r w:rsidRPr="00291752">
        <w:rPr>
          <w:lang w:val="fr-CA"/>
        </w:rPr>
        <w:t>3:1100).</w:t>
      </w:r>
    </w:p>
    <w:p w:rsidR="00534959" w:rsidRPr="002D4CD2" w:rsidRDefault="002D4CD2" w:rsidP="002D4CD2">
      <w:pPr>
        <w:tabs>
          <w:tab w:val="left" w:pos="1170"/>
          <w:tab w:val="left" w:pos="1800"/>
        </w:tabs>
        <w:spacing w:after="720"/>
        <w:ind w:left="1800" w:hanging="630"/>
        <w:rPr>
          <w:lang w:val="fr-CA"/>
        </w:rPr>
      </w:pPr>
      <w:r>
        <w:rPr>
          <w:lang w:val="fr-CA"/>
        </w:rPr>
        <w:t>(iv)</w:t>
      </w:r>
      <w:r>
        <w:rPr>
          <w:lang w:val="fr-CA"/>
        </w:rPr>
        <w:tab/>
      </w:r>
      <w:r w:rsidR="00534959" w:rsidRPr="002D4CD2">
        <w:rPr>
          <w:u w:val="single"/>
          <w:lang w:val="fr-CA"/>
        </w:rPr>
        <w:t xml:space="preserve">Les modifications apportées à la </w:t>
      </w:r>
      <w:r w:rsidR="00534959" w:rsidRPr="002D4CD2">
        <w:rPr>
          <w:i/>
          <w:u w:val="single"/>
          <w:lang w:val="fr-CA"/>
        </w:rPr>
        <w:t>Loi sur l</w:t>
      </w:r>
      <w:r w:rsidR="00475815" w:rsidRPr="002D4CD2">
        <w:rPr>
          <w:i/>
          <w:u w:val="single"/>
          <w:lang w:val="fr-CA"/>
        </w:rPr>
        <w:t>es</w:t>
      </w:r>
      <w:r w:rsidR="00534959" w:rsidRPr="002D4CD2">
        <w:rPr>
          <w:i/>
          <w:u w:val="single"/>
          <w:lang w:val="fr-CA"/>
        </w:rPr>
        <w:t xml:space="preserve"> Cour</w:t>
      </w:r>
      <w:r w:rsidR="00475815" w:rsidRPr="002D4CD2">
        <w:rPr>
          <w:i/>
          <w:u w:val="single"/>
          <w:lang w:val="fr-CA"/>
        </w:rPr>
        <w:t>s</w:t>
      </w:r>
      <w:r w:rsidR="00534959" w:rsidRPr="002D4CD2">
        <w:rPr>
          <w:i/>
          <w:u w:val="single"/>
          <w:lang w:val="fr-CA"/>
        </w:rPr>
        <w:t xml:space="preserve"> fédérale</w:t>
      </w:r>
      <w:r w:rsidR="00475815" w:rsidRPr="002D4CD2">
        <w:rPr>
          <w:i/>
          <w:u w:val="single"/>
          <w:lang w:val="fr-CA"/>
        </w:rPr>
        <w:t>s</w:t>
      </w:r>
      <w:r w:rsidR="00534959" w:rsidRPr="002D4CD2">
        <w:rPr>
          <w:i/>
          <w:u w:val="single"/>
          <w:lang w:val="fr-CA"/>
        </w:rPr>
        <w:t xml:space="preserve"> </w:t>
      </w:r>
      <w:r w:rsidR="00534959" w:rsidRPr="002D4CD2">
        <w:rPr>
          <w:u w:val="single"/>
          <w:lang w:val="fr-CA"/>
        </w:rPr>
        <w:t>en 1990</w:t>
      </w:r>
    </w:p>
    <w:p w:rsidR="00534959" w:rsidRPr="00291752" w:rsidRDefault="00534959" w:rsidP="00330818">
      <w:pPr>
        <w:pStyle w:val="ReasonsNumbering-AltN"/>
      </w:pPr>
      <w:r w:rsidRPr="00291752">
        <w:rPr>
          <w:lang w:val="fr-CA"/>
        </w:rPr>
        <w:t>L</w:t>
      </w:r>
      <w:r w:rsidR="00A837AA" w:rsidRPr="00291752">
        <w:rPr>
          <w:lang w:val="fr-CA"/>
        </w:rPr>
        <w:t>a version actuelle de l</w:t>
      </w:r>
      <w:r w:rsidRPr="00291752">
        <w:rPr>
          <w:lang w:val="fr-CA"/>
        </w:rPr>
        <w:t>’art</w:t>
      </w:r>
      <w:r w:rsidR="00A837AA" w:rsidRPr="00291752">
        <w:rPr>
          <w:lang w:val="fr-CA"/>
        </w:rPr>
        <w:t>.</w:t>
      </w:r>
      <w:r w:rsidRPr="00291752">
        <w:rPr>
          <w:lang w:val="fr-CA"/>
        </w:rPr>
        <w:t xml:space="preserve"> 17 de la </w:t>
      </w:r>
      <w:r w:rsidRPr="00291752">
        <w:rPr>
          <w:i/>
          <w:lang w:val="fr-CA"/>
        </w:rPr>
        <w:t>LCF</w:t>
      </w:r>
      <w:r w:rsidRPr="00291752">
        <w:rPr>
          <w:lang w:val="fr-CA"/>
        </w:rPr>
        <w:t>, qui n’est entré en vigueur que le 1</w:t>
      </w:r>
      <w:r w:rsidRPr="00291752">
        <w:rPr>
          <w:vertAlign w:val="superscript"/>
          <w:lang w:val="fr-CA"/>
        </w:rPr>
        <w:t>er</w:t>
      </w:r>
      <w:r w:rsidRPr="00291752">
        <w:rPr>
          <w:lang w:val="fr-CA"/>
        </w:rPr>
        <w:t xml:space="preserve"> février 1992, permet d’intenter des poursuites civiles contre la Couronne fédérale devant les cours supérieures provinciales.  </w:t>
      </w:r>
      <w:r w:rsidRPr="00291752">
        <w:t xml:space="preserve">Par souci de </w:t>
      </w:r>
      <w:proofErr w:type="spellStart"/>
      <w:r w:rsidRPr="00291752">
        <w:t>commodité</w:t>
      </w:r>
      <w:proofErr w:type="spellEnd"/>
      <w:r w:rsidRPr="00291752">
        <w:t xml:space="preserve">, </w:t>
      </w:r>
      <w:proofErr w:type="spellStart"/>
      <w:r w:rsidRPr="00291752">
        <w:t>j’en</w:t>
      </w:r>
      <w:proofErr w:type="spellEnd"/>
      <w:r w:rsidRPr="00291752">
        <w:t xml:space="preserve"> </w:t>
      </w:r>
      <w:proofErr w:type="spellStart"/>
      <w:r w:rsidRPr="00291752">
        <w:t>reproduis</w:t>
      </w:r>
      <w:proofErr w:type="spellEnd"/>
      <w:r w:rsidRPr="00291752">
        <w:t xml:space="preserve"> les termes essentiels :</w:t>
      </w:r>
    </w:p>
    <w:p w:rsidR="00534959" w:rsidRPr="00291752" w:rsidRDefault="001E5501" w:rsidP="00DB2807">
      <w:pPr>
        <w:pStyle w:val="Citation1"/>
        <w:tabs>
          <w:tab w:val="left" w:pos="1620"/>
          <w:tab w:val="left" w:pos="1980"/>
        </w:tabs>
        <w:ind w:hanging="1166"/>
        <w:rPr>
          <w:lang w:val="fr-CA"/>
        </w:rPr>
      </w:pPr>
      <w:r w:rsidRPr="00291752">
        <w:rPr>
          <w:b/>
        </w:rPr>
        <w:tab/>
      </w:r>
      <w:r w:rsidR="00DB2807" w:rsidRPr="00291752">
        <w:rPr>
          <w:b/>
        </w:rPr>
        <w:tab/>
      </w:r>
      <w:r w:rsidR="00534959" w:rsidRPr="00291752">
        <w:rPr>
          <w:b/>
          <w:lang w:val="fr-CA"/>
        </w:rPr>
        <w:t xml:space="preserve">17. </w:t>
      </w:r>
      <w:r w:rsidR="00534959" w:rsidRPr="00291752">
        <w:rPr>
          <w:lang w:val="fr-CA"/>
        </w:rPr>
        <w:t>(1)</w:t>
      </w:r>
      <w:r w:rsidRPr="00291752">
        <w:rPr>
          <w:lang w:val="fr-CA"/>
        </w:rPr>
        <w:t xml:space="preserve"> </w:t>
      </w:r>
      <w:r w:rsidR="00534959" w:rsidRPr="00291752">
        <w:rPr>
          <w:u w:val="single"/>
          <w:lang w:val="fr-CA"/>
        </w:rPr>
        <w:t>Sauf disposition contraire de la présente loi</w:t>
      </w:r>
      <w:r w:rsidR="00534959" w:rsidRPr="00291752">
        <w:rPr>
          <w:lang w:val="fr-CA"/>
        </w:rPr>
        <w:t xml:space="preserve"> ou de toute autre loi fédérale, la Cour fédérale </w:t>
      </w:r>
      <w:proofErr w:type="gramStart"/>
      <w:r w:rsidR="00534959" w:rsidRPr="00291752">
        <w:rPr>
          <w:lang w:val="fr-CA"/>
        </w:rPr>
        <w:t>a</w:t>
      </w:r>
      <w:proofErr w:type="gramEnd"/>
      <w:r w:rsidR="00534959" w:rsidRPr="00291752">
        <w:rPr>
          <w:lang w:val="fr-CA"/>
        </w:rPr>
        <w:t xml:space="preserve"> compétence concurrente, en première instance, </w:t>
      </w:r>
      <w:r w:rsidR="00534959" w:rsidRPr="00291752">
        <w:rPr>
          <w:u w:val="single"/>
          <w:lang w:val="fr-CA"/>
        </w:rPr>
        <w:t>dans les cas de demande de réparation</w:t>
      </w:r>
      <w:r w:rsidR="00475815" w:rsidRPr="00291752">
        <w:rPr>
          <w:lang w:val="fr-CA"/>
        </w:rPr>
        <w:t xml:space="preserve"> contre la Couronne.</w:t>
      </w:r>
    </w:p>
    <w:p w:rsidR="00534959" w:rsidRPr="00291752" w:rsidRDefault="00534959" w:rsidP="00381BF1">
      <w:pPr>
        <w:pStyle w:val="SCCNormalDoubleSpacing"/>
        <w:spacing w:after="480"/>
        <w:rPr>
          <w:lang w:val="fr-CA"/>
        </w:rPr>
      </w:pPr>
      <w:r w:rsidRPr="00291752">
        <w:rPr>
          <w:lang w:val="fr-CA"/>
        </w:rPr>
        <w:t xml:space="preserve">La compétence accordée est donc axée sur la réparation, </w:t>
      </w:r>
      <w:proofErr w:type="spellStart"/>
      <w:r w:rsidRPr="00291752">
        <w:rPr>
          <w:lang w:val="fr-CA"/>
        </w:rPr>
        <w:t>c.</w:t>
      </w:r>
      <w:r w:rsidRPr="00291752">
        <w:rPr>
          <w:lang w:val="fr-CA"/>
        </w:rPr>
        <w:noBreakHyphen/>
        <w:t>à</w:t>
      </w:r>
      <w:r w:rsidRPr="00291752">
        <w:rPr>
          <w:lang w:val="fr-CA"/>
        </w:rPr>
        <w:noBreakHyphen/>
        <w:t>d</w:t>
      </w:r>
      <w:proofErr w:type="spellEnd"/>
      <w:r w:rsidRPr="00291752">
        <w:rPr>
          <w:lang w:val="fr-CA"/>
        </w:rPr>
        <w:t xml:space="preserve">. </w:t>
      </w:r>
      <w:proofErr w:type="gramStart"/>
      <w:r w:rsidRPr="00291752">
        <w:rPr>
          <w:lang w:val="fr-CA"/>
        </w:rPr>
        <w:t>qu’elle</w:t>
      </w:r>
      <w:proofErr w:type="gramEnd"/>
      <w:r w:rsidRPr="00291752">
        <w:rPr>
          <w:lang w:val="fr-CA"/>
        </w:rPr>
        <w:t xml:space="preserve"> est attribuée « </w:t>
      </w:r>
      <w:r w:rsidRPr="00291752">
        <w:rPr>
          <w:u w:val="single"/>
          <w:lang w:val="fr-CA"/>
        </w:rPr>
        <w:t>dans les cas</w:t>
      </w:r>
      <w:r w:rsidRPr="00291752">
        <w:rPr>
          <w:lang w:val="fr-CA"/>
        </w:rPr>
        <w:t xml:space="preserve"> de demande de réparation », sauf disposition contraire.  Le par</w:t>
      </w:r>
      <w:r w:rsidR="00E6021D" w:rsidRPr="00291752">
        <w:rPr>
          <w:lang w:val="fr-CA"/>
        </w:rPr>
        <w:t>agraphe</w:t>
      </w:r>
      <w:r w:rsidRPr="00291752">
        <w:rPr>
          <w:lang w:val="fr-CA"/>
        </w:rPr>
        <w:t xml:space="preserve"> 18(1) constitue une disposition contraire en ce qui concerne les formes de réparations qui y sont énumérées.  Selon le par. 18(3), les </w:t>
      </w:r>
      <w:r w:rsidRPr="00291752">
        <w:rPr>
          <w:i/>
          <w:lang w:val="fr-CA"/>
        </w:rPr>
        <w:t>recours de la nature d’un contrôle judiciaire</w:t>
      </w:r>
      <w:r w:rsidRPr="00291752">
        <w:rPr>
          <w:lang w:val="fr-CA"/>
        </w:rPr>
        <w:t xml:space="preserve"> « sont exercés par présentation d’une demande de contrôle judiciaire ».  La</w:t>
      </w:r>
      <w:r w:rsidRPr="00291752">
        <w:rPr>
          <w:i/>
          <w:lang w:val="fr-CA"/>
        </w:rPr>
        <w:t xml:space="preserve"> LCF </w:t>
      </w:r>
      <w:r w:rsidRPr="00291752">
        <w:rPr>
          <w:lang w:val="fr-CA"/>
        </w:rPr>
        <w:t>ne prévoit aucune autre exclusion qui limiterait la portée de l’art. 17, et on n’a porté à notre attention aucune autre loi fédérale qui aurait cet effet.</w:t>
      </w:r>
    </w:p>
    <w:p w:rsidR="00534959" w:rsidRPr="00291752" w:rsidRDefault="00534959" w:rsidP="00330818">
      <w:pPr>
        <w:pStyle w:val="ReasonsNumbering-AltN"/>
        <w:rPr>
          <w:lang w:val="fr-CA"/>
        </w:rPr>
      </w:pPr>
      <w:r w:rsidRPr="00291752">
        <w:rPr>
          <w:lang w:val="fr-CA"/>
        </w:rPr>
        <w:lastRenderedPageBreak/>
        <w:t>Voici ce que le ministre de la Justice a déclaré en 1989 devant le comité législatif chargé de l’examen du projet de loi C</w:t>
      </w:r>
      <w:r w:rsidRPr="00291752">
        <w:rPr>
          <w:lang w:val="fr-CA"/>
        </w:rPr>
        <w:noBreakHyphen/>
        <w:t>38 qui est à l’origine, notamment, de la version actuelle de l’art. 17 :</w:t>
      </w:r>
    </w:p>
    <w:p w:rsidR="00534959" w:rsidRPr="00291752" w:rsidRDefault="00534959" w:rsidP="00534959">
      <w:pPr>
        <w:pStyle w:val="Citation1"/>
        <w:spacing w:after="240"/>
        <w:contextualSpacing w:val="0"/>
        <w:rPr>
          <w:lang w:val="fr-CA"/>
        </w:rPr>
      </w:pPr>
      <w:r w:rsidRPr="00291752">
        <w:rPr>
          <w:lang w:val="fr-CA"/>
        </w:rPr>
        <w:t>[N]</w:t>
      </w:r>
      <w:proofErr w:type="spellStart"/>
      <w:r w:rsidRPr="00291752">
        <w:rPr>
          <w:lang w:val="fr-CA"/>
        </w:rPr>
        <w:t>ous</w:t>
      </w:r>
      <w:proofErr w:type="spellEnd"/>
      <w:r w:rsidRPr="00291752">
        <w:rPr>
          <w:lang w:val="fr-CA"/>
        </w:rPr>
        <w:t xml:space="preserve"> avons inséré, dans ce projet de loi, une disposition permettant également aux tribunaux judiciaires des provinces d’instruire des litiges ordinaires, de common law et de droit civil, visant à obtenir réparation de la Couronne.  Ces litiges relèvent actuellement de la compétence exclusive de la Cour fédérale.  Cette disposition </w:t>
      </w:r>
      <w:r w:rsidRPr="00291752">
        <w:rPr>
          <w:u w:val="single"/>
          <w:lang w:val="fr-CA"/>
        </w:rPr>
        <w:t>reconnaît que la Cour fédérale ne possède pas de connaissances spécialisées en matière de contrats et en matière d’actes délictuels</w:t>
      </w:r>
      <w:r w:rsidRPr="00291752">
        <w:rPr>
          <w:lang w:val="fr-CA"/>
        </w:rPr>
        <w:t>.  [Le Ministre a ensuite décrit les problèmes pratiques d’ordre juridictionnel ou procédural posés par l’exclusivité juridictionnelle de la Cour fédérale sur les autorités fédérales.]</w:t>
      </w:r>
    </w:p>
    <w:p w:rsidR="00534959" w:rsidRPr="00291752" w:rsidRDefault="00534959" w:rsidP="00534959">
      <w:pPr>
        <w:pStyle w:val="Citation1"/>
        <w:rPr>
          <w:lang w:val="fr-CA"/>
        </w:rPr>
      </w:pPr>
      <w:r w:rsidRPr="00291752">
        <w:rPr>
          <w:lang w:val="fr-CA"/>
        </w:rPr>
        <w:t>(</w:t>
      </w:r>
      <w:r w:rsidRPr="00291752">
        <w:rPr>
          <w:i/>
          <w:lang w:val="fr-CA"/>
        </w:rPr>
        <w:t>Procès</w:t>
      </w:r>
      <w:r w:rsidR="00475815" w:rsidRPr="00291752">
        <w:rPr>
          <w:i/>
          <w:lang w:val="fr-CA"/>
        </w:rPr>
        <w:t>-</w:t>
      </w:r>
      <w:r w:rsidRPr="00291752">
        <w:rPr>
          <w:i/>
          <w:lang w:val="fr-CA"/>
        </w:rPr>
        <w:t xml:space="preserve">verbaux et témoignages du Comité législatif </w:t>
      </w:r>
      <w:r w:rsidR="00475815" w:rsidRPr="00291752">
        <w:rPr>
          <w:i/>
          <w:lang w:val="fr-CA"/>
        </w:rPr>
        <w:t>sur le projet de loi C-</w:t>
      </w:r>
      <w:r w:rsidRPr="00291752">
        <w:rPr>
          <w:i/>
          <w:lang w:val="fr-CA"/>
        </w:rPr>
        <w:t>38</w:t>
      </w:r>
      <w:r w:rsidR="00475815" w:rsidRPr="00291752">
        <w:rPr>
          <w:lang w:val="fr-CA"/>
        </w:rPr>
        <w:t>, n</w:t>
      </w:r>
      <w:r w:rsidRPr="00291752">
        <w:rPr>
          <w:vertAlign w:val="superscript"/>
          <w:lang w:val="fr-CA"/>
        </w:rPr>
        <w:t>o</w:t>
      </w:r>
      <w:r w:rsidR="00475815" w:rsidRPr="00291752">
        <w:rPr>
          <w:vertAlign w:val="superscript"/>
          <w:lang w:val="fr-CA"/>
        </w:rPr>
        <w:t xml:space="preserve"> </w:t>
      </w:r>
      <w:r w:rsidRPr="00291752">
        <w:rPr>
          <w:lang w:val="fr-CA"/>
        </w:rPr>
        <w:t>1, 2</w:t>
      </w:r>
      <w:r w:rsidRPr="00291752">
        <w:rPr>
          <w:vertAlign w:val="superscript"/>
          <w:lang w:val="fr-CA"/>
        </w:rPr>
        <w:t>e</w:t>
      </w:r>
      <w:r w:rsidRPr="00291752">
        <w:rPr>
          <w:lang w:val="fr-CA"/>
        </w:rPr>
        <w:t xml:space="preserve"> sess</w:t>
      </w:r>
      <w:r w:rsidR="00475815" w:rsidRPr="00291752">
        <w:rPr>
          <w:lang w:val="fr-CA"/>
        </w:rPr>
        <w:t>.</w:t>
      </w:r>
      <w:r w:rsidRPr="00291752">
        <w:rPr>
          <w:lang w:val="fr-CA"/>
        </w:rPr>
        <w:t>, 34</w:t>
      </w:r>
      <w:r w:rsidRPr="00291752">
        <w:rPr>
          <w:vertAlign w:val="superscript"/>
          <w:lang w:val="fr-CA"/>
        </w:rPr>
        <w:t>e</w:t>
      </w:r>
      <w:r w:rsidRPr="00291752">
        <w:rPr>
          <w:lang w:val="fr-CA"/>
        </w:rPr>
        <w:t xml:space="preserve"> </w:t>
      </w:r>
      <w:proofErr w:type="spellStart"/>
      <w:r w:rsidRPr="00291752">
        <w:rPr>
          <w:lang w:val="fr-CA"/>
        </w:rPr>
        <w:t>lég</w:t>
      </w:r>
      <w:proofErr w:type="spellEnd"/>
      <w:r w:rsidR="00475815" w:rsidRPr="00291752">
        <w:rPr>
          <w:lang w:val="fr-CA"/>
        </w:rPr>
        <w:t>., 23 novembre 1989, p. 14-</w:t>
      </w:r>
      <w:r w:rsidRPr="00291752">
        <w:rPr>
          <w:lang w:val="fr-CA"/>
        </w:rPr>
        <w:t>15)</w:t>
      </w:r>
    </w:p>
    <w:p w:rsidR="00534959" w:rsidRPr="00291752" w:rsidRDefault="00534959" w:rsidP="00381BF1">
      <w:pPr>
        <w:pStyle w:val="SCCNormalDoubleSpacing"/>
        <w:spacing w:after="480"/>
        <w:rPr>
          <w:lang w:val="fr-CA"/>
        </w:rPr>
      </w:pPr>
      <w:r w:rsidRPr="00291752">
        <w:rPr>
          <w:lang w:val="fr-CA"/>
        </w:rPr>
        <w:t>Lors de la deuxième lecture du projet de loi, le ministre a souligné de nouveau que les modifications visaient à permettre à un demandeur de poursuivre la Couronne fédérale soit devant une cour supérieure provinciale, soit devant la Cour fédérale :</w:t>
      </w:r>
    </w:p>
    <w:p w:rsidR="00534959" w:rsidRPr="00291752" w:rsidRDefault="00DB2807" w:rsidP="00DB2807">
      <w:pPr>
        <w:pStyle w:val="Citation1"/>
        <w:tabs>
          <w:tab w:val="left" w:pos="1620"/>
        </w:tabs>
        <w:spacing w:after="240"/>
        <w:ind w:hanging="1166"/>
        <w:contextualSpacing w:val="0"/>
        <w:rPr>
          <w:lang w:val="fr-CA"/>
        </w:rPr>
      </w:pPr>
      <w:r w:rsidRPr="00291752">
        <w:rPr>
          <w:lang w:val="fr-CA"/>
        </w:rPr>
        <w:tab/>
      </w:r>
      <w:r w:rsidRPr="00291752">
        <w:rPr>
          <w:lang w:val="fr-CA"/>
        </w:rPr>
        <w:tab/>
      </w:r>
      <w:r w:rsidR="00534959" w:rsidRPr="00291752">
        <w:rPr>
          <w:lang w:val="fr-CA"/>
        </w:rPr>
        <w:t xml:space="preserve">Par exemple, </w:t>
      </w:r>
      <w:r w:rsidR="00534959" w:rsidRPr="00291752">
        <w:rPr>
          <w:u w:val="single"/>
          <w:lang w:val="fr-CA"/>
        </w:rPr>
        <w:t>une poursuite fondée sur le bris d’un contrat</w:t>
      </w:r>
      <w:r w:rsidR="00534959" w:rsidRPr="00291752">
        <w:rPr>
          <w:lang w:val="fr-CA"/>
        </w:rPr>
        <w:t xml:space="preserve"> d’achat de marchandises ou sur des blessures causées à un automobiliste par la négligence au volant d’un préposé de la Couronne devrait pouvoir être intentée </w:t>
      </w:r>
      <w:r w:rsidR="00534959" w:rsidRPr="00291752">
        <w:rPr>
          <w:u w:val="single"/>
          <w:lang w:val="fr-CA"/>
        </w:rPr>
        <w:t>devant le tribunal qui convient le mieux au demandeur</w:t>
      </w:r>
      <w:r w:rsidR="00534959" w:rsidRPr="00291752">
        <w:rPr>
          <w:lang w:val="fr-CA"/>
        </w:rPr>
        <w:t>.  Actuellement, seule la Cour fédérale peut entendre de telles actions.  Or, elle n’est pas aussi accessible que les cours provinciales.</w:t>
      </w:r>
    </w:p>
    <w:p w:rsidR="00534959" w:rsidRPr="00291752" w:rsidRDefault="00534959" w:rsidP="00534959">
      <w:pPr>
        <w:pStyle w:val="Citation1"/>
        <w:spacing w:after="240"/>
        <w:contextualSpacing w:val="0"/>
        <w:jc w:val="center"/>
        <w:rPr>
          <w:lang w:val="fr-CA"/>
        </w:rPr>
      </w:pPr>
      <w:r w:rsidRPr="00291752">
        <w:rPr>
          <w:lang w:val="fr-CA"/>
        </w:rPr>
        <w:t>. . .</w:t>
      </w:r>
    </w:p>
    <w:p w:rsidR="00534959" w:rsidRPr="00291752" w:rsidRDefault="00DB2807" w:rsidP="00DB2807">
      <w:pPr>
        <w:pStyle w:val="Citation1"/>
        <w:tabs>
          <w:tab w:val="left" w:pos="1620"/>
        </w:tabs>
        <w:spacing w:after="240"/>
        <w:ind w:hanging="1166"/>
        <w:contextualSpacing w:val="0"/>
        <w:rPr>
          <w:lang w:val="fr-CA"/>
        </w:rPr>
      </w:pPr>
      <w:r w:rsidRPr="00291752">
        <w:rPr>
          <w:lang w:val="fr-CA"/>
        </w:rPr>
        <w:tab/>
      </w:r>
      <w:r w:rsidRPr="00291752">
        <w:rPr>
          <w:lang w:val="fr-CA"/>
        </w:rPr>
        <w:tab/>
      </w:r>
      <w:r w:rsidR="00534959" w:rsidRPr="00291752">
        <w:rPr>
          <w:lang w:val="fr-CA"/>
        </w:rPr>
        <w:t>De plus, citoyens et avocats connaissent mieux les cours provinciales, y compris leurs règles de pratique et leur personnel.</w:t>
      </w:r>
    </w:p>
    <w:p w:rsidR="00534959" w:rsidRPr="00291752" w:rsidRDefault="00DB2807" w:rsidP="00DB2807">
      <w:pPr>
        <w:pStyle w:val="Citation1"/>
        <w:tabs>
          <w:tab w:val="left" w:pos="1620"/>
        </w:tabs>
        <w:spacing w:after="240"/>
        <w:ind w:hanging="1166"/>
        <w:contextualSpacing w:val="0"/>
        <w:rPr>
          <w:lang w:val="fr-CA"/>
        </w:rPr>
      </w:pPr>
      <w:r w:rsidRPr="00291752">
        <w:rPr>
          <w:lang w:val="fr-CA"/>
        </w:rPr>
        <w:tab/>
      </w:r>
      <w:r w:rsidRPr="00291752">
        <w:rPr>
          <w:lang w:val="fr-CA"/>
        </w:rPr>
        <w:tab/>
      </w:r>
      <w:r w:rsidR="00534959" w:rsidRPr="00291752">
        <w:rPr>
          <w:lang w:val="fr-CA"/>
        </w:rPr>
        <w:t xml:space="preserve">Il est donc évident que souvent la Cour fédérale n’est pas le tribunal qui convient le mieux aux parties privées.  </w:t>
      </w:r>
      <w:r w:rsidR="00534959" w:rsidRPr="00291752">
        <w:rPr>
          <w:u w:val="single"/>
          <w:lang w:val="fr-CA"/>
        </w:rPr>
        <w:t xml:space="preserve">C’est pourquoi le </w:t>
      </w:r>
      <w:r w:rsidR="00534959" w:rsidRPr="00291752">
        <w:rPr>
          <w:u w:val="single"/>
          <w:lang w:val="fr-CA"/>
        </w:rPr>
        <w:lastRenderedPageBreak/>
        <w:t>gouvernement propose que les cours provinciales et la Cour fédérale se partagent la compétence relative à ce type d’actions.  Ceci donnerait généralement au demandeur le choix du tribunal.</w:t>
      </w:r>
      <w:r w:rsidR="00534959" w:rsidRPr="00291752">
        <w:rPr>
          <w:lang w:val="fr-CA"/>
        </w:rPr>
        <w:t xml:space="preserve">  [Je souligne.]</w:t>
      </w:r>
    </w:p>
    <w:p w:rsidR="00534959" w:rsidRPr="00291752" w:rsidRDefault="00534959" w:rsidP="00534959">
      <w:pPr>
        <w:pStyle w:val="Citation1"/>
        <w:rPr>
          <w:lang w:val="fr-CA"/>
        </w:rPr>
      </w:pPr>
      <w:r w:rsidRPr="00291752">
        <w:rPr>
          <w:lang w:val="fr-CA"/>
        </w:rPr>
        <w:t>(</w:t>
      </w:r>
      <w:r w:rsidRPr="00291752">
        <w:rPr>
          <w:i/>
          <w:lang w:val="fr-CA"/>
        </w:rPr>
        <w:t>Débats de la Chambre des communes</w:t>
      </w:r>
      <w:r w:rsidRPr="00291752">
        <w:rPr>
          <w:lang w:val="fr-CA"/>
        </w:rPr>
        <w:t>, 2</w:t>
      </w:r>
      <w:r w:rsidRPr="00291752">
        <w:rPr>
          <w:vertAlign w:val="superscript"/>
          <w:lang w:val="fr-CA"/>
        </w:rPr>
        <w:t>e</w:t>
      </w:r>
      <w:r w:rsidRPr="00291752">
        <w:rPr>
          <w:lang w:val="fr-CA"/>
        </w:rPr>
        <w:t xml:space="preserve"> </w:t>
      </w:r>
      <w:proofErr w:type="gramStart"/>
      <w:r w:rsidRPr="00291752">
        <w:rPr>
          <w:lang w:val="fr-CA"/>
        </w:rPr>
        <w:t>sess</w:t>
      </w:r>
      <w:r w:rsidR="00475815" w:rsidRPr="00291752">
        <w:rPr>
          <w:lang w:val="fr-CA"/>
        </w:rPr>
        <w:t>.</w:t>
      </w:r>
      <w:r w:rsidRPr="00291752">
        <w:rPr>
          <w:lang w:val="fr-CA"/>
        </w:rPr>
        <w:t>,</w:t>
      </w:r>
      <w:proofErr w:type="gramEnd"/>
      <w:r w:rsidRPr="00291752">
        <w:rPr>
          <w:lang w:val="fr-CA"/>
        </w:rPr>
        <w:t xml:space="preserve"> 34</w:t>
      </w:r>
      <w:r w:rsidRPr="00291752">
        <w:rPr>
          <w:vertAlign w:val="superscript"/>
          <w:lang w:val="fr-CA"/>
        </w:rPr>
        <w:t>e</w:t>
      </w:r>
      <w:r w:rsidRPr="00291752">
        <w:rPr>
          <w:lang w:val="fr-CA"/>
        </w:rPr>
        <w:t xml:space="preserve"> </w:t>
      </w:r>
      <w:proofErr w:type="spellStart"/>
      <w:r w:rsidRPr="00291752">
        <w:rPr>
          <w:lang w:val="fr-CA"/>
        </w:rPr>
        <w:t>lég</w:t>
      </w:r>
      <w:proofErr w:type="spellEnd"/>
      <w:r w:rsidR="00475815" w:rsidRPr="00291752">
        <w:rPr>
          <w:lang w:val="fr-CA"/>
        </w:rPr>
        <w:t>.</w:t>
      </w:r>
      <w:r w:rsidRPr="00291752">
        <w:rPr>
          <w:lang w:val="fr-CA"/>
        </w:rPr>
        <w:t>, 1</w:t>
      </w:r>
      <w:r w:rsidRPr="00291752">
        <w:rPr>
          <w:vertAlign w:val="superscript"/>
          <w:lang w:val="fr-CA"/>
        </w:rPr>
        <w:t>er </w:t>
      </w:r>
      <w:r w:rsidR="00475815" w:rsidRPr="00291752">
        <w:rPr>
          <w:lang w:val="fr-CA"/>
        </w:rPr>
        <w:t xml:space="preserve">novembre 1989, p. </w:t>
      </w:r>
      <w:r w:rsidRPr="00291752">
        <w:rPr>
          <w:lang w:val="fr-CA"/>
        </w:rPr>
        <w:t>5414)</w:t>
      </w:r>
    </w:p>
    <w:p w:rsidR="00534959" w:rsidRPr="00291752" w:rsidRDefault="00534959" w:rsidP="00330818">
      <w:pPr>
        <w:pStyle w:val="ReasonsNumbering-AltN"/>
        <w:rPr>
          <w:lang w:val="fr-CA"/>
        </w:rPr>
      </w:pPr>
      <w:r w:rsidRPr="00291752">
        <w:rPr>
          <w:lang w:val="fr-CA"/>
        </w:rPr>
        <w:t xml:space="preserve">S’il était retenu, l’argument du procureur général compromettrait l’objet et le but des modifications de 1990, en maintenant l’exclusivité juridictionnelle de la Cour fédérale à l’égard d’un élément fondamental de nombreux recours instruits devant les cours provinciales, en dépit de la promesse de donner au demandeur </w:t>
      </w:r>
      <w:r w:rsidR="0027184D" w:rsidRPr="00291752">
        <w:rPr>
          <w:lang w:val="fr-CA"/>
        </w:rPr>
        <w:t>« </w:t>
      </w:r>
      <w:r w:rsidRPr="00291752">
        <w:rPr>
          <w:lang w:val="fr-CA"/>
        </w:rPr>
        <w:t>le choix du tribunal » et de permettre aux parties l’accès aux cours supérieures provinciales que, vraisemblablement, elles « connaissent mieux ».</w:t>
      </w:r>
    </w:p>
    <w:p w:rsidR="00534959" w:rsidRPr="00291752" w:rsidRDefault="00D74A37" w:rsidP="00D74A37">
      <w:pPr>
        <w:spacing w:after="720"/>
        <w:ind w:left="450" w:hanging="450"/>
        <w:rPr>
          <w:lang w:val="fr-CA"/>
        </w:rPr>
      </w:pPr>
      <w:r w:rsidRPr="00291752">
        <w:rPr>
          <w:lang w:val="fr-CA"/>
        </w:rPr>
        <w:t>F.</w:t>
      </w:r>
      <w:r w:rsidRPr="00291752">
        <w:rPr>
          <w:lang w:val="fr-CA"/>
        </w:rPr>
        <w:tab/>
      </w:r>
      <w:r w:rsidR="00534959" w:rsidRPr="00291752">
        <w:rPr>
          <w:i/>
          <w:lang w:val="fr-CA"/>
        </w:rPr>
        <w:t>La règle relative à la contestation indirecte</w:t>
      </w:r>
    </w:p>
    <w:p w:rsidR="00534959" w:rsidRPr="00291752" w:rsidRDefault="00534959" w:rsidP="00330818">
      <w:pPr>
        <w:pStyle w:val="ReasonsNumbering-AltN"/>
      </w:pPr>
      <w:r w:rsidRPr="00291752">
        <w:rPr>
          <w:lang w:val="fr-CA"/>
        </w:rPr>
        <w:t xml:space="preserve">Selon le procureur général, permettre à TeleZone de faire trancher sa demande par la cour supérieure provinciale sans contrôle judiciaire préalable, c’est autoriser la « contestation indirecte » de la décision du ministre, ce qui est interdit.  </w:t>
      </w:r>
      <w:r w:rsidRPr="00291752">
        <w:t xml:space="preserve">Notre </w:t>
      </w:r>
      <w:proofErr w:type="spellStart"/>
      <w:r w:rsidRPr="00291752">
        <w:t>Cour</w:t>
      </w:r>
      <w:proofErr w:type="spellEnd"/>
      <w:r w:rsidRPr="00291752">
        <w:t xml:space="preserve"> a </w:t>
      </w:r>
      <w:proofErr w:type="spellStart"/>
      <w:r w:rsidRPr="00291752">
        <w:t>décrit</w:t>
      </w:r>
      <w:proofErr w:type="spellEnd"/>
      <w:r w:rsidRPr="00291752">
        <w:t xml:space="preserve"> </w:t>
      </w:r>
      <w:proofErr w:type="spellStart"/>
      <w:r w:rsidRPr="00291752">
        <w:t>une</w:t>
      </w:r>
      <w:proofErr w:type="spellEnd"/>
      <w:r w:rsidRPr="00291752">
        <w:t xml:space="preserve"> contestation </w:t>
      </w:r>
      <w:proofErr w:type="spellStart"/>
      <w:r w:rsidRPr="00291752">
        <w:t>indirecte</w:t>
      </w:r>
      <w:proofErr w:type="spellEnd"/>
      <w:r w:rsidRPr="00291752">
        <w:t xml:space="preserve"> </w:t>
      </w:r>
      <w:proofErr w:type="spellStart"/>
      <w:r w:rsidRPr="00291752">
        <w:t>comme</w:t>
      </w:r>
      <w:proofErr w:type="spellEnd"/>
    </w:p>
    <w:p w:rsidR="00534959" w:rsidRPr="00291752" w:rsidRDefault="00DB2807" w:rsidP="00DB2807">
      <w:pPr>
        <w:pStyle w:val="Citation1"/>
        <w:tabs>
          <w:tab w:val="left" w:pos="1170"/>
        </w:tabs>
        <w:spacing w:after="240"/>
        <w:ind w:hanging="1166"/>
        <w:contextualSpacing w:val="0"/>
        <w:rPr>
          <w:lang w:val="fr-CA"/>
        </w:rPr>
      </w:pPr>
      <w:r w:rsidRPr="00291752">
        <w:rPr>
          <w:lang w:val="fr-CA"/>
        </w:rPr>
        <w:tab/>
      </w:r>
      <w:proofErr w:type="gramStart"/>
      <w:r w:rsidR="00534959" w:rsidRPr="00291752">
        <w:rPr>
          <w:lang w:val="fr-CA"/>
        </w:rPr>
        <w:t>une</w:t>
      </w:r>
      <w:proofErr w:type="gramEnd"/>
      <w:r w:rsidR="00534959" w:rsidRPr="00291752">
        <w:rPr>
          <w:lang w:val="fr-CA"/>
        </w:rPr>
        <w:t xml:space="preserve"> attaque dans le cadre de procédures autres que celles visant précisément à obtenir l’infirmation, la modification ou l’annulation de l’ordonnance ou du jugement.</w:t>
      </w:r>
    </w:p>
    <w:p w:rsidR="00534959" w:rsidRPr="00291752" w:rsidRDefault="00DB2807" w:rsidP="00DB2807">
      <w:pPr>
        <w:pStyle w:val="Citation1"/>
        <w:tabs>
          <w:tab w:val="left" w:pos="1170"/>
        </w:tabs>
        <w:ind w:hanging="1166"/>
        <w:contextualSpacing w:val="0"/>
        <w:rPr>
          <w:lang w:val="fr-CA"/>
        </w:rPr>
      </w:pPr>
      <w:r w:rsidRPr="00291752">
        <w:rPr>
          <w:lang w:val="fr-CA"/>
        </w:rPr>
        <w:tab/>
      </w:r>
      <w:r w:rsidR="00534959" w:rsidRPr="00291752">
        <w:rPr>
          <w:lang w:val="fr-CA"/>
        </w:rPr>
        <w:t>(</w:t>
      </w:r>
      <w:r w:rsidR="00534959" w:rsidRPr="00291752">
        <w:rPr>
          <w:i/>
          <w:lang w:val="fr-CA"/>
        </w:rPr>
        <w:t>Wilson c. La Reine</w:t>
      </w:r>
      <w:r w:rsidR="0027184D" w:rsidRPr="00291752">
        <w:rPr>
          <w:lang w:val="fr-CA"/>
        </w:rPr>
        <w:t xml:space="preserve">, [1983] 2 R.C.S. 594, p. </w:t>
      </w:r>
      <w:r w:rsidR="00534959" w:rsidRPr="00291752">
        <w:rPr>
          <w:lang w:val="fr-CA"/>
        </w:rPr>
        <w:t>599)</w:t>
      </w:r>
    </w:p>
    <w:p w:rsidR="00534959" w:rsidRPr="00291752" w:rsidRDefault="00534959" w:rsidP="00330818">
      <w:pPr>
        <w:pStyle w:val="ReasonsNumbering-AltN"/>
        <w:rPr>
          <w:lang w:val="fr-CA"/>
        </w:rPr>
      </w:pPr>
      <w:r w:rsidRPr="00291752">
        <w:rPr>
          <w:lang w:val="fr-CA"/>
        </w:rPr>
        <w:lastRenderedPageBreak/>
        <w:t xml:space="preserve">Il s’agit d’une règle d’origine jurisprudentielle (qui doit donc céder le pas à un texte de loi contraire) fondée sur des considérations générales ayant trait à l’administration de la justice, comme l’explique l’arrêt </w:t>
      </w:r>
      <w:r w:rsidRPr="00291752">
        <w:rPr>
          <w:i/>
          <w:lang w:val="fr-CA"/>
        </w:rPr>
        <w:t>Garland c. Consumers’ Gas Co.</w:t>
      </w:r>
      <w:r w:rsidRPr="00291752">
        <w:rPr>
          <w:lang w:val="fr-CA"/>
        </w:rPr>
        <w:t>, 2004 CSC 2</w:t>
      </w:r>
      <w:r w:rsidR="0027184D" w:rsidRPr="00291752">
        <w:rPr>
          <w:lang w:val="fr-CA"/>
        </w:rPr>
        <w:t xml:space="preserve">5, [2004] 1 R.C.S. 629, au par. </w:t>
      </w:r>
      <w:r w:rsidRPr="00291752">
        <w:rPr>
          <w:lang w:val="fr-CA"/>
        </w:rPr>
        <w:t>72 :</w:t>
      </w:r>
    </w:p>
    <w:p w:rsidR="00534959" w:rsidRPr="00291752" w:rsidRDefault="00534959" w:rsidP="00534959">
      <w:pPr>
        <w:pStyle w:val="Citation1"/>
      </w:pPr>
      <w:r w:rsidRPr="00291752">
        <w:rPr>
          <w:lang w:val="fr-CA"/>
        </w:rPr>
        <w:t>La règle interdisant les contestations indirectes a pour objet fondamental de « maintenir la primauté du droit et [de] préserver la considération dont jouit l’administration de la justice » (</w:t>
      </w:r>
      <w:r w:rsidRPr="00291752">
        <w:rPr>
          <w:i/>
          <w:lang w:val="fr-CA"/>
        </w:rPr>
        <w:t>R. c. Litchfield</w:t>
      </w:r>
      <w:r w:rsidRPr="00291752">
        <w:rPr>
          <w:lang w:val="fr-CA"/>
        </w:rPr>
        <w:t xml:space="preserve">, [1993] 4 R.C.S. 333, p. 349).  On estime que l’intégrité du système de justice serait compromise si une partie pouvait échapper aux conséquences d’une ordonnance prononcée contre elle en s’adressant à un autre tribunal.  </w:t>
      </w:r>
      <w:r w:rsidRPr="00291752">
        <w:rPr>
          <w:u w:val="single"/>
          <w:lang w:val="fr-CA"/>
        </w:rPr>
        <w:t>La règle vise donc à empêcher une partie de contourner les effets d’une décision prononcée contre elle.</w:t>
      </w:r>
      <w:r w:rsidRPr="00291752">
        <w:rPr>
          <w:lang w:val="fr-CA"/>
        </w:rPr>
        <w:t xml:space="preserve">  </w:t>
      </w:r>
      <w:proofErr w:type="gramStart"/>
      <w:r w:rsidRPr="00291752">
        <w:t xml:space="preserve">[Je </w:t>
      </w:r>
      <w:proofErr w:type="spellStart"/>
      <w:r w:rsidRPr="00291752">
        <w:t>souligne</w:t>
      </w:r>
      <w:proofErr w:type="spellEnd"/>
      <w:r w:rsidRPr="00291752">
        <w:t>.]</w:t>
      </w:r>
      <w:proofErr w:type="gramEnd"/>
    </w:p>
    <w:p w:rsidR="00534959" w:rsidRPr="00291752" w:rsidRDefault="00534959" w:rsidP="00330818">
      <w:pPr>
        <w:pStyle w:val="ReasonsNumbering-AltN"/>
      </w:pPr>
      <w:r w:rsidRPr="00291752">
        <w:rPr>
          <w:lang w:val="fr-CA"/>
        </w:rPr>
        <w:t xml:space="preserve">Dans </w:t>
      </w:r>
      <w:r w:rsidRPr="00291752">
        <w:rPr>
          <w:i/>
          <w:lang w:val="fr-CA"/>
        </w:rPr>
        <w:t>R. c.</w:t>
      </w:r>
      <w:r w:rsidRPr="00291752">
        <w:rPr>
          <w:lang w:val="fr-CA"/>
        </w:rPr>
        <w:t xml:space="preserve"> </w:t>
      </w:r>
      <w:r w:rsidRPr="00291752">
        <w:rPr>
          <w:i/>
          <w:lang w:val="fr-CA"/>
        </w:rPr>
        <w:t>Litchfield</w:t>
      </w:r>
      <w:r w:rsidRPr="00291752">
        <w:rPr>
          <w:lang w:val="fr-CA"/>
        </w:rPr>
        <w:t xml:space="preserve">, [1993] 4 R.C.S. 333, l’affaire criminelle mentionnée dans </w:t>
      </w:r>
      <w:r w:rsidRPr="00291752">
        <w:rPr>
          <w:i/>
          <w:lang w:val="fr-CA"/>
        </w:rPr>
        <w:t>Garland</w:t>
      </w:r>
      <w:r w:rsidRPr="00291752">
        <w:rPr>
          <w:lang w:val="fr-CA"/>
        </w:rPr>
        <w:t xml:space="preserve">, notre Cour a refusé d’appliquer la règle interdisant les contestations indirectes.  Dans </w:t>
      </w:r>
      <w:r w:rsidRPr="00291752">
        <w:rPr>
          <w:i/>
          <w:lang w:val="fr-CA"/>
        </w:rPr>
        <w:t>Garland</w:t>
      </w:r>
      <w:r w:rsidRPr="00291752">
        <w:rPr>
          <w:lang w:val="fr-CA"/>
        </w:rPr>
        <w:t xml:space="preserve">, il s’agissait d’un recours collectif contre une société gazière dans lequel les demandeurs invoquaient l’enrichissement sans cause pour réclamer la restitution de pénalités pour paiement tardif approuvées par la Commission de l’énergie de l’Ontario (« Commission »). La société gazière a fait valoir en défense que la demande de restitution constituait une contestation indirecte de la décision de la Commission.  </w:t>
      </w:r>
      <w:proofErr w:type="spellStart"/>
      <w:r w:rsidRPr="00291752">
        <w:t>Ce</w:t>
      </w:r>
      <w:proofErr w:type="spellEnd"/>
      <w:r w:rsidRPr="00291752">
        <w:t xml:space="preserve"> </w:t>
      </w:r>
      <w:proofErr w:type="spellStart"/>
      <w:r w:rsidRPr="00291752">
        <w:t>moyen</w:t>
      </w:r>
      <w:proofErr w:type="spellEnd"/>
      <w:r w:rsidRPr="00291752">
        <w:t xml:space="preserve"> de </w:t>
      </w:r>
      <w:proofErr w:type="spellStart"/>
      <w:r w:rsidRPr="00291752">
        <w:t>défense</w:t>
      </w:r>
      <w:proofErr w:type="spellEnd"/>
      <w:r w:rsidRPr="00291752">
        <w:t xml:space="preserve"> </w:t>
      </w:r>
      <w:proofErr w:type="gramStart"/>
      <w:r w:rsidRPr="00291752">
        <w:t>a</w:t>
      </w:r>
      <w:proofErr w:type="gramEnd"/>
      <w:r w:rsidRPr="00291752">
        <w:t xml:space="preserve"> été rejeté.</w:t>
      </w:r>
    </w:p>
    <w:p w:rsidR="00534959" w:rsidRPr="00291752" w:rsidRDefault="00534959" w:rsidP="00330818">
      <w:pPr>
        <w:pStyle w:val="ReasonsNumbering-AltN"/>
        <w:rPr>
          <w:lang w:val="fr-CA"/>
        </w:rPr>
      </w:pPr>
      <w:r w:rsidRPr="00291752">
        <w:rPr>
          <w:lang w:val="fr-CA"/>
        </w:rPr>
        <w:t xml:space="preserve">Trois motifs m’amènent à rejeter l’argument du procureur général concernant la contestation indirecte.  Premièrement, comme l’a souligné le juge Borins dans son savant jugement, le procureur général peut invoquer la doctrine de la contestation indirecte en défense devant la cour supérieure provinciale, s’il le juge </w:t>
      </w:r>
      <w:r w:rsidRPr="00291752">
        <w:rPr>
          <w:lang w:val="fr-CA"/>
        </w:rPr>
        <w:lastRenderedPageBreak/>
        <w:t>opportun compte tenu des circonstances.  La possibilité de recourir à ce moyen de défense ne peut cependant étayer la thèse de l’incompétence de la cour supérieure provinciale.  Elle ne justifie pas non plus l’intervention de la Cour fédérale dans toutes les demandes de dommages</w:t>
      </w:r>
      <w:r w:rsidR="002731BC" w:rsidRPr="00291752">
        <w:rPr>
          <w:lang w:val="fr-CA"/>
        </w:rPr>
        <w:t>-</w:t>
      </w:r>
      <w:r w:rsidRPr="00291752">
        <w:rPr>
          <w:lang w:val="fr-CA"/>
        </w:rPr>
        <w:t>intérêts fondées sur la prétention que la décision de l’administration publique à l’origine de la perte était « nulle ou illégale ».</w:t>
      </w:r>
    </w:p>
    <w:p w:rsidR="00534959" w:rsidRPr="00291752" w:rsidRDefault="00534959" w:rsidP="00330818">
      <w:pPr>
        <w:pStyle w:val="ReasonsNumbering-AltN"/>
        <w:rPr>
          <w:lang w:val="fr-CA"/>
        </w:rPr>
      </w:pPr>
      <w:r w:rsidRPr="00291752">
        <w:rPr>
          <w:lang w:val="fr-CA"/>
        </w:rPr>
        <w:t>Deuxièmemen</w:t>
      </w:r>
      <w:r w:rsidR="000C688C" w:rsidRPr="00291752">
        <w:rPr>
          <w:lang w:val="fr-CA"/>
        </w:rPr>
        <w:t>t, TeleZone ne cherche pas à « échapper aux conséquences d’une ordonnance</w:t>
      </w:r>
      <w:r w:rsidRPr="00291752">
        <w:rPr>
          <w:lang w:val="fr-CA"/>
        </w:rPr>
        <w:t xml:space="preserve"> [du ministre] prononcée contre elle » (</w:t>
      </w:r>
      <w:r w:rsidRPr="00291752">
        <w:rPr>
          <w:i/>
          <w:lang w:val="fr-CA"/>
        </w:rPr>
        <w:t>Garland</w:t>
      </w:r>
      <w:r w:rsidRPr="00291752">
        <w:rPr>
          <w:lang w:val="fr-CA"/>
        </w:rPr>
        <w:t>, par.</w:t>
      </w:r>
      <w:r w:rsidR="0027184D" w:rsidRPr="00291752">
        <w:rPr>
          <w:lang w:val="fr-CA"/>
        </w:rPr>
        <w:t xml:space="preserve"> </w:t>
      </w:r>
      <w:r w:rsidRPr="00291752">
        <w:rPr>
          <w:lang w:val="fr-CA"/>
        </w:rPr>
        <w:t>72).  Au contraire, elle fait de la décision du ministre et des pertes pécuniaires qui en auraient résulté les assises mêmes de sa demande de dommages</w:t>
      </w:r>
      <w:r w:rsidR="002731BC" w:rsidRPr="00291752">
        <w:rPr>
          <w:lang w:val="fr-CA"/>
        </w:rPr>
        <w:t>-</w:t>
      </w:r>
      <w:r w:rsidRPr="00291752">
        <w:rPr>
          <w:lang w:val="fr-CA"/>
        </w:rPr>
        <w:t xml:space="preserve">intérêts.  C’est la conclusion qui a été tirée dans </w:t>
      </w:r>
      <w:r w:rsidRPr="00291752">
        <w:rPr>
          <w:i/>
          <w:lang w:val="fr-CA"/>
        </w:rPr>
        <w:t>Garland</w:t>
      </w:r>
      <w:r w:rsidRPr="00291752">
        <w:rPr>
          <w:lang w:val="fr-CA"/>
        </w:rPr>
        <w:t xml:space="preserve">, où le juge </w:t>
      </w:r>
      <w:proofErr w:type="spellStart"/>
      <w:r w:rsidRPr="00291752">
        <w:rPr>
          <w:lang w:val="fr-CA"/>
        </w:rPr>
        <w:t>Iacobucci</w:t>
      </w:r>
      <w:proofErr w:type="spellEnd"/>
      <w:r w:rsidRPr="00291752">
        <w:rPr>
          <w:lang w:val="fr-CA"/>
        </w:rPr>
        <w:t xml:space="preserve"> a déclaré, au nom de notre Cour :</w:t>
      </w:r>
    </w:p>
    <w:p w:rsidR="00534959" w:rsidRPr="00291752" w:rsidRDefault="00DB2807" w:rsidP="00DB2807">
      <w:pPr>
        <w:pStyle w:val="Citation1"/>
        <w:tabs>
          <w:tab w:val="left" w:pos="1170"/>
        </w:tabs>
        <w:ind w:hanging="1256"/>
      </w:pPr>
      <w:r w:rsidRPr="00291752">
        <w:rPr>
          <w:lang w:val="fr-CA"/>
        </w:rPr>
        <w:tab/>
      </w:r>
      <w:r w:rsidR="00534959" w:rsidRPr="00291752">
        <w:rPr>
          <w:lang w:val="fr-CA"/>
        </w:rPr>
        <w:t xml:space="preserve">Simplement en la lisant, on constate que la règle interdisant les contestations indirectes ne s’applique pas en l’espèce parce que </w:t>
      </w:r>
      <w:r w:rsidR="00534959" w:rsidRPr="00291752">
        <w:rPr>
          <w:u w:val="single"/>
          <w:lang w:val="fr-CA"/>
        </w:rPr>
        <w:t>l’action de l’appelant a pour objet précis non pas d’invalider ou de rendre inopérantes les ordonnances de la Commission</w:t>
      </w:r>
      <w:r w:rsidR="00534959" w:rsidRPr="00291752">
        <w:rPr>
          <w:lang w:val="fr-CA"/>
        </w:rPr>
        <w:t xml:space="preserve">, mais plutôt de recouvrer les sommes que l’intimée a perçues illégalement à la suite de ces ordonnances.  Par conséquent, la règle interdisant les contestations indirectes ne s’applique pas.  </w:t>
      </w:r>
      <w:proofErr w:type="gramStart"/>
      <w:r w:rsidR="00534959" w:rsidRPr="00291752">
        <w:t xml:space="preserve">[Je </w:t>
      </w:r>
      <w:proofErr w:type="spellStart"/>
      <w:r w:rsidR="00534959" w:rsidRPr="00291752">
        <w:t>souligne</w:t>
      </w:r>
      <w:proofErr w:type="spellEnd"/>
      <w:r w:rsidR="00534959" w:rsidRPr="00291752">
        <w:t>; par. 71.]</w:t>
      </w:r>
      <w:proofErr w:type="gramEnd"/>
    </w:p>
    <w:p w:rsidR="00534959" w:rsidRPr="00291752" w:rsidRDefault="00534959" w:rsidP="00330818">
      <w:pPr>
        <w:pStyle w:val="ReasonsNumbering-AltN"/>
        <w:rPr>
          <w:lang w:val="fr-CA"/>
        </w:rPr>
      </w:pPr>
      <w:r w:rsidRPr="00291752">
        <w:rPr>
          <w:lang w:val="fr-CA"/>
        </w:rPr>
        <w:t xml:space="preserve">De même, dans </w:t>
      </w:r>
      <w:r w:rsidRPr="00291752">
        <w:rPr>
          <w:i/>
          <w:lang w:val="fr-CA"/>
        </w:rPr>
        <w:t>Toronto (Ville) c. S.C.F.P., section locale 79</w:t>
      </w:r>
      <w:r w:rsidRPr="00291752">
        <w:rPr>
          <w:lang w:val="fr-CA"/>
        </w:rPr>
        <w:t xml:space="preserve">, 2003 CSC 63, [2003] 3 R.C.S. 77, la juge </w:t>
      </w:r>
      <w:proofErr w:type="spellStart"/>
      <w:r w:rsidRPr="00291752">
        <w:rPr>
          <w:lang w:val="fr-CA"/>
        </w:rPr>
        <w:t>Arbour</w:t>
      </w:r>
      <w:proofErr w:type="spellEnd"/>
      <w:r w:rsidRPr="00291752">
        <w:rPr>
          <w:lang w:val="fr-CA"/>
        </w:rPr>
        <w:t xml:space="preserve"> a refusé d’appliquer la règle interdisant les contestations indirectes.  Dans cette affaire découlant de l’arbitrage d’un grief, le SCFP contestait les faits à l’origine de la déclaration de culpabilité d’un de ses membres pour agression sexuelle.  La juge </w:t>
      </w:r>
      <w:proofErr w:type="spellStart"/>
      <w:r w:rsidRPr="00291752">
        <w:rPr>
          <w:lang w:val="fr-CA"/>
        </w:rPr>
        <w:t>Arbour</w:t>
      </w:r>
      <w:proofErr w:type="spellEnd"/>
      <w:r w:rsidRPr="00291752">
        <w:rPr>
          <w:lang w:val="fr-CA"/>
        </w:rPr>
        <w:t xml:space="preserve"> a dit de l’argument du syndicat qu’il s’agissait « d’une attaque implicite</w:t>
      </w:r>
      <w:r w:rsidR="0027184D" w:rsidRPr="00291752">
        <w:rPr>
          <w:lang w:val="fr-CA"/>
        </w:rPr>
        <w:t xml:space="preserve"> du bien-</w:t>
      </w:r>
      <w:r w:rsidRPr="00291752">
        <w:rPr>
          <w:lang w:val="fr-CA"/>
        </w:rPr>
        <w:t xml:space="preserve">fondé factuel de la décision, </w:t>
      </w:r>
      <w:r w:rsidRPr="00291752">
        <w:rPr>
          <w:lang w:val="fr-CA"/>
        </w:rPr>
        <w:lastRenderedPageBreak/>
        <w:t>non pas de la contestation de la validité juridique de celle</w:t>
      </w:r>
      <w:r w:rsidR="0027184D" w:rsidRPr="00291752">
        <w:rPr>
          <w:lang w:val="fr-CA"/>
        </w:rPr>
        <w:t>-</w:t>
      </w:r>
      <w:r w:rsidRPr="00291752">
        <w:rPr>
          <w:lang w:val="fr-CA"/>
        </w:rPr>
        <w:t>ci, puisqu’elle est manifestement valide » (par. 34).</w:t>
      </w:r>
    </w:p>
    <w:p w:rsidR="00534959" w:rsidRPr="00291752" w:rsidRDefault="00534959" w:rsidP="00330818">
      <w:pPr>
        <w:pStyle w:val="ReasonsNumbering-AltN"/>
        <w:rPr>
          <w:lang w:val="fr-CA"/>
        </w:rPr>
      </w:pPr>
      <w:r w:rsidRPr="00291752">
        <w:rPr>
          <w:lang w:val="fr-CA"/>
        </w:rPr>
        <w:t xml:space="preserve">Troisièmement, l’argument du procureur général n’est pas fondé même si, comme le professeur David </w:t>
      </w:r>
      <w:proofErr w:type="spellStart"/>
      <w:r w:rsidRPr="00291752">
        <w:rPr>
          <w:lang w:val="fr-CA"/>
        </w:rPr>
        <w:t>Mullan</w:t>
      </w:r>
      <w:proofErr w:type="spellEnd"/>
      <w:r w:rsidRPr="00291752">
        <w:rPr>
          <w:lang w:val="fr-CA"/>
        </w:rPr>
        <w:t>, on attribue une portée étendue à la règle interdisant les contestations indirectes :</w:t>
      </w:r>
    </w:p>
    <w:p w:rsidR="00534959" w:rsidRPr="00291752" w:rsidRDefault="00DB2807" w:rsidP="00DB2807">
      <w:pPr>
        <w:pStyle w:val="Citation1"/>
        <w:tabs>
          <w:tab w:val="left" w:pos="1440"/>
        </w:tabs>
        <w:ind w:hanging="1166"/>
        <w:rPr>
          <w:lang w:val="fr-CA"/>
        </w:rPr>
      </w:pPr>
      <w:r w:rsidRPr="00291752">
        <w:rPr>
          <w:lang w:val="fr-CA"/>
        </w:rPr>
        <w:tab/>
      </w:r>
      <w:r w:rsidR="00534959" w:rsidRPr="00291752">
        <w:rPr>
          <w:lang w:val="fr-CA"/>
        </w:rPr>
        <w:t>[</w:t>
      </w:r>
      <w:r w:rsidR="00534959" w:rsidRPr="00291752">
        <w:rPr>
          <w:smallCaps/>
          <w:lang w:val="fr-CA"/>
        </w:rPr>
        <w:t>traduction</w:t>
      </w:r>
      <w:r w:rsidR="00534959" w:rsidRPr="00291752">
        <w:rPr>
          <w:lang w:val="fr-CA"/>
        </w:rPr>
        <w:t>]</w:t>
      </w:r>
      <w:r w:rsidR="0027184D" w:rsidRPr="00291752">
        <w:rPr>
          <w:lang w:val="fr-CA"/>
        </w:rPr>
        <w:t xml:space="preserve"> </w:t>
      </w:r>
      <w:r w:rsidR="00534959" w:rsidRPr="00291752">
        <w:rPr>
          <w:lang w:val="fr-CA"/>
        </w:rPr>
        <w:t xml:space="preserve">Pour établir la cause d’action [dans </w:t>
      </w:r>
      <w:r w:rsidR="00534959" w:rsidRPr="00291752">
        <w:rPr>
          <w:i/>
          <w:lang w:val="fr-CA"/>
        </w:rPr>
        <w:t>Garland</w:t>
      </w:r>
      <w:r w:rsidR="00534959" w:rsidRPr="00291752">
        <w:rPr>
          <w:lang w:val="fr-CA"/>
        </w:rPr>
        <w:t xml:space="preserve">], il fallait démontrer l’invalidité de l’ordonnance de la Commission sur laquelle le service public s’appuyait pour percevoir des intérêts.  Il n’y aurait pas eu de cause d’action si l’ordonnance avait été valide.  Il s’agissait à tous égards d’une contestation indirecte des ordonnances de la Commission.  La contestation indirecte ne consiste pas et n’a jamais consisté seulement, à s’opposer à l’exécution d’une ordonnance.  </w:t>
      </w:r>
      <w:r w:rsidR="00534959" w:rsidRPr="00291752">
        <w:rPr>
          <w:u w:val="single"/>
          <w:lang w:val="fr-CA"/>
        </w:rPr>
        <w:t>Elle est aussi en cause dans des cas où le demandeur dans un recours civil visant l’obtention d’une réparation pécuniaire ou autre doit attaquer une loi ou une ordonnance que le défendeur invoque pour justifier les mesures sur lesquelles le demandeur fonde son recours</w:t>
      </w:r>
      <w:r w:rsidR="00534959" w:rsidRPr="00291752">
        <w:rPr>
          <w:lang w:val="fr-CA"/>
        </w:rPr>
        <w:t>. . .  [Je souligne.]</w:t>
      </w:r>
    </w:p>
    <w:p w:rsidR="00534959" w:rsidRPr="00291752" w:rsidRDefault="00534959" w:rsidP="00534959">
      <w:pPr>
        <w:pStyle w:val="Citation1"/>
        <w:rPr>
          <w:lang w:val="fr-CA"/>
        </w:rPr>
      </w:pPr>
    </w:p>
    <w:p w:rsidR="00534959" w:rsidRPr="00291752" w:rsidRDefault="00DB2807" w:rsidP="00DB2807">
      <w:pPr>
        <w:pStyle w:val="Citation1"/>
        <w:tabs>
          <w:tab w:val="left" w:pos="1440"/>
        </w:tabs>
        <w:ind w:hanging="1166"/>
        <w:rPr>
          <w:lang w:val="fr-CA"/>
        </w:rPr>
      </w:pPr>
      <w:r w:rsidRPr="00291752">
        <w:rPr>
          <w:lang w:val="fr-CA"/>
        </w:rPr>
        <w:tab/>
      </w:r>
      <w:r w:rsidR="00534959" w:rsidRPr="00291752">
        <w:rPr>
          <w:lang w:val="fr-CA"/>
        </w:rPr>
        <w:t>(D. J.</w:t>
      </w:r>
      <w:r w:rsidR="00322632" w:rsidRPr="00291752">
        <w:rPr>
          <w:lang w:val="fr-CA"/>
        </w:rPr>
        <w:t xml:space="preserve"> </w:t>
      </w:r>
      <w:proofErr w:type="spellStart"/>
      <w:r w:rsidR="00534959" w:rsidRPr="00291752">
        <w:rPr>
          <w:lang w:val="fr-CA"/>
        </w:rPr>
        <w:t>Mullan</w:t>
      </w:r>
      <w:proofErr w:type="spellEnd"/>
      <w:r w:rsidR="00534959" w:rsidRPr="00291752">
        <w:rPr>
          <w:lang w:val="fr-CA"/>
        </w:rPr>
        <w:t>, « Administrative Law Update ― 2008</w:t>
      </w:r>
      <w:r w:rsidR="00534959" w:rsidRPr="00291752">
        <w:rPr>
          <w:lang w:val="fr-CA"/>
        </w:rPr>
        <w:noBreakHyphen/>
        <w:t xml:space="preserve">2009 », </w:t>
      </w:r>
      <w:r w:rsidR="00322632" w:rsidRPr="00291752">
        <w:rPr>
          <w:lang w:val="fr-CA"/>
        </w:rPr>
        <w:t xml:space="preserve">préparé pour la </w:t>
      </w:r>
      <w:proofErr w:type="spellStart"/>
      <w:r w:rsidR="00322632" w:rsidRPr="00291752">
        <w:rPr>
          <w:lang w:val="fr-CA"/>
        </w:rPr>
        <w:t>Continuing</w:t>
      </w:r>
      <w:proofErr w:type="spellEnd"/>
      <w:r w:rsidR="00322632" w:rsidRPr="00291752">
        <w:rPr>
          <w:lang w:val="fr-CA"/>
        </w:rPr>
        <w:t xml:space="preserve"> </w:t>
      </w:r>
      <w:proofErr w:type="spellStart"/>
      <w:r w:rsidR="00322632" w:rsidRPr="00291752">
        <w:rPr>
          <w:lang w:val="fr-CA"/>
        </w:rPr>
        <w:t>Legal</w:t>
      </w:r>
      <w:proofErr w:type="spellEnd"/>
      <w:r w:rsidR="00322632" w:rsidRPr="00291752">
        <w:rPr>
          <w:lang w:val="fr-CA"/>
        </w:rPr>
        <w:t xml:space="preserve"> </w:t>
      </w:r>
      <w:proofErr w:type="spellStart"/>
      <w:r w:rsidR="00322632" w:rsidRPr="00291752">
        <w:rPr>
          <w:lang w:val="fr-CA"/>
        </w:rPr>
        <w:t>Education</w:t>
      </w:r>
      <w:proofErr w:type="spellEnd"/>
      <w:r w:rsidR="00322632" w:rsidRPr="00291752">
        <w:rPr>
          <w:lang w:val="fr-CA"/>
        </w:rPr>
        <w:t xml:space="preserve"> </w:t>
      </w:r>
      <w:proofErr w:type="spellStart"/>
      <w:r w:rsidR="00322632" w:rsidRPr="00291752">
        <w:rPr>
          <w:lang w:val="fr-CA"/>
        </w:rPr>
        <w:t>c</w:t>
      </w:r>
      <w:r w:rsidR="00534959" w:rsidRPr="00291752">
        <w:rPr>
          <w:lang w:val="fr-CA"/>
        </w:rPr>
        <w:t>onference</w:t>
      </w:r>
      <w:proofErr w:type="spellEnd"/>
      <w:r w:rsidR="00534959" w:rsidRPr="00291752">
        <w:rPr>
          <w:lang w:val="fr-CA"/>
        </w:rPr>
        <w:t xml:space="preserve">, </w:t>
      </w:r>
      <w:r w:rsidR="00534959" w:rsidRPr="00291752">
        <w:rPr>
          <w:i/>
          <w:lang w:val="fr-CA"/>
        </w:rPr>
        <w:t>Administrative Law Conference</w:t>
      </w:r>
      <w:r w:rsidR="00322632" w:rsidRPr="00291752">
        <w:rPr>
          <w:i/>
          <w:lang w:val="fr-CA"/>
        </w:rPr>
        <w:t>—</w:t>
      </w:r>
      <w:r w:rsidR="00534959" w:rsidRPr="00291752">
        <w:rPr>
          <w:i/>
          <w:lang w:val="fr-CA"/>
        </w:rPr>
        <w:t>2009</w:t>
      </w:r>
      <w:r w:rsidR="00322632" w:rsidRPr="00291752">
        <w:rPr>
          <w:lang w:val="fr-CA"/>
        </w:rPr>
        <w:t xml:space="preserve">, octobre 2009, p. </w:t>
      </w:r>
      <w:r w:rsidR="00534959" w:rsidRPr="00291752">
        <w:rPr>
          <w:lang w:val="fr-CA"/>
        </w:rPr>
        <w:t>1.1.22</w:t>
      </w:r>
      <w:r w:rsidR="00322632" w:rsidRPr="00291752">
        <w:rPr>
          <w:lang w:val="fr-CA"/>
        </w:rPr>
        <w:t>.</w:t>
      </w:r>
      <w:r w:rsidR="00534959" w:rsidRPr="00291752">
        <w:rPr>
          <w:lang w:val="fr-CA"/>
        </w:rPr>
        <w:t>)</w:t>
      </w:r>
    </w:p>
    <w:p w:rsidR="00534959" w:rsidRPr="00291752" w:rsidRDefault="00534959" w:rsidP="00381BF1">
      <w:pPr>
        <w:pStyle w:val="SCCNormalDoubleSpacing"/>
        <w:spacing w:after="480"/>
        <w:rPr>
          <w:lang w:val="fr-CA"/>
        </w:rPr>
      </w:pPr>
      <w:r w:rsidRPr="00291752">
        <w:rPr>
          <w:lang w:val="fr-CA"/>
        </w:rPr>
        <w:t xml:space="preserve">Selon le professeur </w:t>
      </w:r>
      <w:proofErr w:type="spellStart"/>
      <w:r w:rsidRPr="00291752">
        <w:rPr>
          <w:lang w:val="fr-CA"/>
        </w:rPr>
        <w:t>Mullan</w:t>
      </w:r>
      <w:proofErr w:type="spellEnd"/>
      <w:r w:rsidRPr="00291752">
        <w:rPr>
          <w:lang w:val="fr-CA"/>
        </w:rPr>
        <w:t xml:space="preserve">, la Cour aurait dû emprunter, dans </w:t>
      </w:r>
      <w:r w:rsidRPr="00291752">
        <w:rPr>
          <w:i/>
          <w:lang w:val="fr-CA"/>
        </w:rPr>
        <w:t>Garland</w:t>
      </w:r>
      <w:r w:rsidRPr="00291752">
        <w:rPr>
          <w:lang w:val="fr-CA"/>
        </w:rPr>
        <w:t>, la voie la plus rationnelle, à son avis, en appliquant les facteurs énoncés par la juge L’</w:t>
      </w:r>
      <w:proofErr w:type="spellStart"/>
      <w:r w:rsidRPr="00291752">
        <w:rPr>
          <w:lang w:val="fr-CA"/>
        </w:rPr>
        <w:t>Heureux</w:t>
      </w:r>
      <w:r w:rsidRPr="00291752">
        <w:rPr>
          <w:lang w:val="fr-CA"/>
        </w:rPr>
        <w:noBreakHyphen/>
        <w:t>Dubé</w:t>
      </w:r>
      <w:proofErr w:type="spellEnd"/>
      <w:r w:rsidRPr="00291752">
        <w:rPr>
          <w:lang w:val="fr-CA"/>
        </w:rPr>
        <w:t xml:space="preserve"> dans </w:t>
      </w:r>
      <w:proofErr w:type="spellStart"/>
      <w:r w:rsidRPr="00291752">
        <w:rPr>
          <w:i/>
          <w:lang w:val="fr-CA"/>
        </w:rPr>
        <w:t>Consolidated</w:t>
      </w:r>
      <w:proofErr w:type="spellEnd"/>
      <w:r w:rsidRPr="00291752">
        <w:rPr>
          <w:i/>
          <w:lang w:val="fr-CA"/>
        </w:rPr>
        <w:t xml:space="preserve"> </w:t>
      </w:r>
      <w:proofErr w:type="spellStart"/>
      <w:r w:rsidRPr="00291752">
        <w:rPr>
          <w:i/>
          <w:lang w:val="fr-CA"/>
        </w:rPr>
        <w:t>Maybrun</w:t>
      </w:r>
      <w:proofErr w:type="spellEnd"/>
      <w:r w:rsidRPr="00291752">
        <w:rPr>
          <w:i/>
          <w:lang w:val="fr-CA"/>
        </w:rPr>
        <w:t xml:space="preserve"> </w:t>
      </w:r>
      <w:r w:rsidRPr="00291752">
        <w:rPr>
          <w:lang w:val="fr-CA"/>
        </w:rPr>
        <w:t xml:space="preserve">pour déterminer si la contestation indirecte d’une ordonnance administrative est interdite ou peut être autorisée.  Ces facteurs sont : </w:t>
      </w:r>
      <w:r w:rsidR="00E6021D" w:rsidRPr="00291752">
        <w:rPr>
          <w:lang w:val="fr-CA"/>
        </w:rPr>
        <w:t>(</w:t>
      </w:r>
      <w:r w:rsidRPr="00291752">
        <w:rPr>
          <w:lang w:val="fr-CA"/>
        </w:rPr>
        <w:t xml:space="preserve">1) les termes de la loi dont découle le pouvoir de rendre l’ordonnance; </w:t>
      </w:r>
      <w:r w:rsidR="00E6021D" w:rsidRPr="00291752">
        <w:rPr>
          <w:lang w:val="fr-CA"/>
        </w:rPr>
        <w:t>(</w:t>
      </w:r>
      <w:r w:rsidRPr="00291752">
        <w:rPr>
          <w:lang w:val="fr-CA"/>
        </w:rPr>
        <w:t xml:space="preserve">2) l’objectif de la loi; </w:t>
      </w:r>
      <w:r w:rsidR="00E6021D" w:rsidRPr="00291752">
        <w:rPr>
          <w:lang w:val="fr-CA"/>
        </w:rPr>
        <w:t>(</w:t>
      </w:r>
      <w:r w:rsidRPr="00291752">
        <w:rPr>
          <w:lang w:val="fr-CA"/>
        </w:rPr>
        <w:t xml:space="preserve">3) l’existence d’un droit d’appel; </w:t>
      </w:r>
      <w:r w:rsidR="00E6021D" w:rsidRPr="00291752">
        <w:rPr>
          <w:lang w:val="fr-CA"/>
        </w:rPr>
        <w:t>(</w:t>
      </w:r>
      <w:r w:rsidRPr="00291752">
        <w:rPr>
          <w:lang w:val="fr-CA"/>
        </w:rPr>
        <w:t xml:space="preserve">4) la nature de la contestation indirecte eu égard à l’expertise du tribunal et à sa raison d'être (notamment, à la question de </w:t>
      </w:r>
      <w:r w:rsidRPr="00291752">
        <w:rPr>
          <w:lang w:val="fr-CA"/>
        </w:rPr>
        <w:lastRenderedPageBreak/>
        <w:t xml:space="preserve">savoir si « le législateur a voulu donner juridiction pour entendre et trancher la question soulevée »); </w:t>
      </w:r>
      <w:r w:rsidR="00E6021D" w:rsidRPr="00291752">
        <w:rPr>
          <w:lang w:val="fr-CA"/>
        </w:rPr>
        <w:t>(</w:t>
      </w:r>
      <w:r w:rsidRPr="00291752">
        <w:rPr>
          <w:lang w:val="fr-CA"/>
        </w:rPr>
        <w:t>5) la sanction imposable pour défaut d’av</w:t>
      </w:r>
      <w:r w:rsidR="007467E4" w:rsidRPr="00291752">
        <w:rPr>
          <w:lang w:val="fr-CA"/>
        </w:rPr>
        <w:t xml:space="preserve">oir respecté l’ordonnance (par. </w:t>
      </w:r>
      <w:r w:rsidRPr="00291752">
        <w:rPr>
          <w:lang w:val="fr-CA"/>
        </w:rPr>
        <w:t xml:space="preserve">45, 50, 51 et 62).  Les cours de justice ont aussi appliqué ces facteurs en matière civile : voir, de façon générale, K. </w:t>
      </w:r>
      <w:proofErr w:type="spellStart"/>
      <w:r w:rsidRPr="00291752">
        <w:rPr>
          <w:lang w:val="fr-CA"/>
        </w:rPr>
        <w:t>Horsman</w:t>
      </w:r>
      <w:proofErr w:type="spellEnd"/>
      <w:r w:rsidRPr="00291752">
        <w:rPr>
          <w:lang w:val="fr-CA"/>
        </w:rPr>
        <w:t xml:space="preserve"> et G. Morley, </w:t>
      </w:r>
      <w:proofErr w:type="spellStart"/>
      <w:proofErr w:type="gramStart"/>
      <w:r w:rsidRPr="00291752">
        <w:rPr>
          <w:lang w:val="fr-CA"/>
        </w:rPr>
        <w:t>di</w:t>
      </w:r>
      <w:r w:rsidR="007467E4" w:rsidRPr="00291752">
        <w:rPr>
          <w:lang w:val="fr-CA"/>
        </w:rPr>
        <w:t>r</w:t>
      </w:r>
      <w:proofErr w:type="spellEnd"/>
      <w:r w:rsidR="007467E4" w:rsidRPr="00291752">
        <w:rPr>
          <w:lang w:val="fr-CA"/>
        </w:rPr>
        <w:t>.</w:t>
      </w:r>
      <w:r w:rsidRPr="00291752">
        <w:rPr>
          <w:lang w:val="fr-CA"/>
        </w:rPr>
        <w:t>,</w:t>
      </w:r>
      <w:proofErr w:type="gramEnd"/>
      <w:r w:rsidRPr="00291752">
        <w:rPr>
          <w:i/>
          <w:lang w:val="fr-CA"/>
        </w:rPr>
        <w:t xml:space="preserve"> </w:t>
      </w:r>
      <w:proofErr w:type="spellStart"/>
      <w:r w:rsidRPr="00291752">
        <w:rPr>
          <w:i/>
          <w:lang w:val="fr-CA"/>
        </w:rPr>
        <w:t>Government</w:t>
      </w:r>
      <w:proofErr w:type="spellEnd"/>
      <w:r w:rsidRPr="00291752">
        <w:rPr>
          <w:i/>
          <w:lang w:val="fr-CA"/>
        </w:rPr>
        <w:t xml:space="preserve"> </w:t>
      </w:r>
      <w:proofErr w:type="spellStart"/>
      <w:r w:rsidRPr="00291752">
        <w:rPr>
          <w:i/>
          <w:lang w:val="fr-CA"/>
        </w:rPr>
        <w:t>Liability</w:t>
      </w:r>
      <w:proofErr w:type="spellEnd"/>
      <w:r w:rsidRPr="00291752">
        <w:rPr>
          <w:i/>
          <w:lang w:val="fr-CA"/>
        </w:rPr>
        <w:t xml:space="preserve"> : Law and Practice </w:t>
      </w:r>
      <w:r w:rsidR="007467E4" w:rsidRPr="00291752">
        <w:rPr>
          <w:lang w:val="fr-CA"/>
        </w:rPr>
        <w:t>(feuilles mobiles), p. 11-</w:t>
      </w:r>
      <w:r w:rsidRPr="00291752">
        <w:rPr>
          <w:lang w:val="fr-CA"/>
        </w:rPr>
        <w:t>9.</w:t>
      </w:r>
    </w:p>
    <w:p w:rsidR="00534959" w:rsidRPr="00291752" w:rsidRDefault="00534959" w:rsidP="00330818">
      <w:pPr>
        <w:pStyle w:val="ReasonsNumbering-AltN"/>
        <w:rPr>
          <w:lang w:val="fr-CA"/>
        </w:rPr>
      </w:pPr>
      <w:r w:rsidRPr="00291752">
        <w:rPr>
          <w:lang w:val="fr-CA"/>
        </w:rPr>
        <w:t>Une règle jurisprudentielle cède forcément le pas à un texte de loi contraire.  Si l’on admet, pour reprendre les propos tenus p</w:t>
      </w:r>
      <w:r w:rsidR="007467E4" w:rsidRPr="00291752">
        <w:rPr>
          <w:lang w:val="fr-CA"/>
        </w:rPr>
        <w:t xml:space="preserve">ar le professeur </w:t>
      </w:r>
      <w:proofErr w:type="spellStart"/>
      <w:r w:rsidR="007467E4" w:rsidRPr="00291752">
        <w:rPr>
          <w:lang w:val="fr-CA"/>
        </w:rPr>
        <w:t>Mullan</w:t>
      </w:r>
      <w:proofErr w:type="spellEnd"/>
      <w:r w:rsidR="007467E4" w:rsidRPr="00291752">
        <w:rPr>
          <w:lang w:val="fr-CA"/>
        </w:rPr>
        <w:t xml:space="preserve"> à la p. </w:t>
      </w:r>
      <w:r w:rsidRPr="00291752">
        <w:rPr>
          <w:lang w:val="fr-CA"/>
        </w:rPr>
        <w:t>1.1.22, que la règle interdisant les contestations indirectes peut être [</w:t>
      </w:r>
      <w:r w:rsidRPr="00291752">
        <w:rPr>
          <w:smallCaps/>
          <w:lang w:val="fr-CA"/>
        </w:rPr>
        <w:t>traduction</w:t>
      </w:r>
      <w:r w:rsidRPr="00291752">
        <w:rPr>
          <w:lang w:val="fr-CA"/>
        </w:rPr>
        <w:t xml:space="preserve">] « en cause dans des cas où le demandeur dans un recours civil visant l’obtention d’une réparation pécuniaire ou autre doit attaquer une loi ou une ordonnance que le défendeur invoque pour justifier les mesures sur lesquelles le demandeur fonde son recours », l’attribution d’une </w:t>
      </w:r>
      <w:r w:rsidR="007467E4" w:rsidRPr="00291752">
        <w:rPr>
          <w:lang w:val="fr-CA"/>
        </w:rPr>
        <w:t xml:space="preserve">compétence concurrente à l’art. </w:t>
      </w:r>
      <w:r w:rsidRPr="00291752">
        <w:rPr>
          <w:lang w:val="fr-CA"/>
        </w:rPr>
        <w:t>17 contredit elle aussi l’argument du procureur général.  Il en est ainsi parce qu’il est essentiel pour le demandeur d’« attaquer une loi ou une ordonnance » pour établir sa cause d’action, et qu’il faut statuer sur cette allégation (même si elle est faite en réplique) pour rendre une décision sur la demande.  Le législateur a spécifié que les cours supérieures provinciales disposent de la compétence concurrente voulue pour trancher pareille demande dans son intégralité, et pas seulement en partie.</w:t>
      </w:r>
    </w:p>
    <w:p w:rsidR="00534959" w:rsidRPr="00291752" w:rsidRDefault="00534959" w:rsidP="00330818">
      <w:pPr>
        <w:pStyle w:val="ReasonsNumbering-AltN"/>
        <w:rPr>
          <w:lang w:val="fr-CA"/>
        </w:rPr>
      </w:pPr>
      <w:r w:rsidRPr="00291752">
        <w:rPr>
          <w:lang w:val="fr-CA"/>
        </w:rPr>
        <w:t xml:space="preserve">En résumé, je partage l’opinion du juge Borins que la règle interdisant les contestations indirectes ne peut justifier l’approche proposée dans </w:t>
      </w:r>
      <w:r w:rsidRPr="00291752">
        <w:rPr>
          <w:i/>
          <w:lang w:val="fr-CA"/>
        </w:rPr>
        <w:t>Grenier</w:t>
      </w:r>
      <w:r w:rsidRPr="00291752">
        <w:rPr>
          <w:lang w:val="fr-CA"/>
        </w:rPr>
        <w:t>.</w:t>
      </w:r>
    </w:p>
    <w:p w:rsidR="00534959" w:rsidRPr="00291752" w:rsidRDefault="00534959" w:rsidP="00534959">
      <w:pPr>
        <w:rPr>
          <w:lang w:val="fr-CA"/>
        </w:rPr>
      </w:pPr>
    </w:p>
    <w:p w:rsidR="00534959" w:rsidRPr="00291752" w:rsidRDefault="00D74A37" w:rsidP="00D74A37">
      <w:pPr>
        <w:spacing w:after="720"/>
        <w:ind w:left="450" w:hanging="450"/>
        <w:rPr>
          <w:lang w:val="fr-CA"/>
        </w:rPr>
      </w:pPr>
      <w:r w:rsidRPr="00291752">
        <w:rPr>
          <w:lang w:val="fr-CA"/>
        </w:rPr>
        <w:t>G.</w:t>
      </w:r>
      <w:r w:rsidRPr="00291752">
        <w:rPr>
          <w:lang w:val="fr-CA"/>
        </w:rPr>
        <w:tab/>
      </w:r>
      <w:r w:rsidR="00534959" w:rsidRPr="00291752">
        <w:rPr>
          <w:i/>
          <w:lang w:val="fr-CA"/>
        </w:rPr>
        <w:t>La défense de pouvoir d’origine législative</w:t>
      </w:r>
    </w:p>
    <w:p w:rsidR="00534959" w:rsidRPr="00291752" w:rsidRDefault="00534959" w:rsidP="00330818">
      <w:pPr>
        <w:pStyle w:val="ReasonsNumbering-AltN"/>
        <w:rPr>
          <w:lang w:val="fr-CA"/>
        </w:rPr>
      </w:pPr>
      <w:r w:rsidRPr="00291752">
        <w:rPr>
          <w:lang w:val="fr-CA"/>
        </w:rPr>
        <w:t>La Couronne pourrait également faire valoir, en défense à une action en dommages</w:t>
      </w:r>
      <w:r w:rsidR="002731BC" w:rsidRPr="00291752">
        <w:rPr>
          <w:lang w:val="fr-CA"/>
        </w:rPr>
        <w:t>-</w:t>
      </w:r>
      <w:r w:rsidRPr="00291752">
        <w:rPr>
          <w:lang w:val="fr-CA"/>
        </w:rPr>
        <w:t>intérêts, que la décision administrative procède de l’exercice d’un pouvoir d’origine législative qui exclut l’indemnisation des pertes pouvant en résulter.  Il s’agit là encore d’une question qui a trait à la défense, non à la compétence.  Tout demandeur peut se voir opposer ce moyen.  L’administration publique prend continuellement des décisions discrétionnaires qui causent des pertes à des particuliers ou à des entreprises sans qu’il en résulte une cause d’action reconnue en droit.</w:t>
      </w:r>
    </w:p>
    <w:p w:rsidR="00534959" w:rsidRPr="00291752" w:rsidRDefault="00534959" w:rsidP="00330818">
      <w:pPr>
        <w:pStyle w:val="ReasonsNumbering-AltN"/>
        <w:rPr>
          <w:lang w:val="fr-FR"/>
        </w:rPr>
      </w:pPr>
      <w:r w:rsidRPr="00291752">
        <w:rPr>
          <w:lang w:val="fr-CA"/>
        </w:rPr>
        <w:t xml:space="preserve">Dans un cas de nuisance, par exemple, un propriétaire capable d’établir tous les éléments d’une action pour nuisance en common law pourrait quand même être débouté s’il est établi que l’administration publique avait le pouvoir d’agir comme elle l’a fait et que les dommages indirects subis par le demandeur sont le résultat inévitable de l’exercice de ce pouvoir.  </w:t>
      </w:r>
      <w:r w:rsidRPr="00291752">
        <w:rPr>
          <w:lang w:val="fr-FR"/>
        </w:rPr>
        <w:t>Voir</w:t>
      </w:r>
      <w:r w:rsidR="000C688C" w:rsidRPr="00291752">
        <w:rPr>
          <w:lang w:val="fr-FR"/>
        </w:rPr>
        <w:t>,</w:t>
      </w:r>
      <w:r w:rsidRPr="00291752">
        <w:rPr>
          <w:lang w:val="fr-FR"/>
        </w:rPr>
        <w:t xml:space="preserve"> notamment</w:t>
      </w:r>
      <w:r w:rsidR="000C688C" w:rsidRPr="00291752">
        <w:rPr>
          <w:lang w:val="fr-FR"/>
        </w:rPr>
        <w:t>,</w:t>
      </w:r>
      <w:r w:rsidRPr="00291752">
        <w:rPr>
          <w:lang w:val="fr-FR"/>
        </w:rPr>
        <w:t xml:space="preserve"> P.</w:t>
      </w:r>
      <w:r w:rsidR="007467E4" w:rsidRPr="00291752">
        <w:rPr>
          <w:lang w:val="fr-FR"/>
        </w:rPr>
        <w:t> </w:t>
      </w:r>
      <w:r w:rsidRPr="00291752">
        <w:rPr>
          <w:lang w:val="fr-FR"/>
        </w:rPr>
        <w:t xml:space="preserve">W. </w:t>
      </w:r>
      <w:proofErr w:type="spellStart"/>
      <w:r w:rsidRPr="00291752">
        <w:rPr>
          <w:lang w:val="fr-FR"/>
        </w:rPr>
        <w:t>Hogg</w:t>
      </w:r>
      <w:proofErr w:type="spellEnd"/>
      <w:r w:rsidRPr="00291752">
        <w:rPr>
          <w:lang w:val="fr-FR"/>
        </w:rPr>
        <w:t xml:space="preserve"> et P.</w:t>
      </w:r>
      <w:r w:rsidR="007467E4" w:rsidRPr="00291752">
        <w:rPr>
          <w:lang w:val="fr-FR"/>
        </w:rPr>
        <w:t> </w:t>
      </w:r>
      <w:r w:rsidRPr="00291752">
        <w:rPr>
          <w:lang w:val="fr-FR"/>
        </w:rPr>
        <w:t xml:space="preserve">J. Monahan, </w:t>
      </w:r>
      <w:proofErr w:type="spellStart"/>
      <w:r w:rsidRPr="00291752">
        <w:rPr>
          <w:i/>
          <w:lang w:val="fr-FR"/>
        </w:rPr>
        <w:t>Liability</w:t>
      </w:r>
      <w:proofErr w:type="spellEnd"/>
      <w:r w:rsidRPr="00291752">
        <w:rPr>
          <w:i/>
          <w:lang w:val="fr-FR"/>
        </w:rPr>
        <w:t xml:space="preserve"> of the Crown </w:t>
      </w:r>
      <w:r w:rsidRPr="00291752">
        <w:rPr>
          <w:lang w:val="fr-FR"/>
        </w:rPr>
        <w:t>(3</w:t>
      </w:r>
      <w:r w:rsidRPr="00291752">
        <w:rPr>
          <w:vertAlign w:val="superscript"/>
          <w:lang w:val="fr-FR"/>
        </w:rPr>
        <w:t>e</w:t>
      </w:r>
      <w:r w:rsidR="007467E4" w:rsidRPr="00291752">
        <w:rPr>
          <w:lang w:val="fr-FR"/>
        </w:rPr>
        <w:t xml:space="preserve"> éd.</w:t>
      </w:r>
      <w:r w:rsidRPr="00291752">
        <w:rPr>
          <w:lang w:val="fr-FR"/>
        </w:rPr>
        <w:t xml:space="preserve"> 2000), p.</w:t>
      </w:r>
      <w:r w:rsidR="007467E4" w:rsidRPr="00291752">
        <w:rPr>
          <w:lang w:val="fr-FR"/>
        </w:rPr>
        <w:t xml:space="preserve"> 139, et </w:t>
      </w:r>
      <w:proofErr w:type="spellStart"/>
      <w:r w:rsidR="007467E4" w:rsidRPr="00291752">
        <w:rPr>
          <w:lang w:val="fr-FR"/>
        </w:rPr>
        <w:t>Horsman</w:t>
      </w:r>
      <w:proofErr w:type="spellEnd"/>
      <w:r w:rsidR="007467E4" w:rsidRPr="00291752">
        <w:rPr>
          <w:lang w:val="fr-FR"/>
        </w:rPr>
        <w:t xml:space="preserve"> et Morley, p. 6-</w:t>
      </w:r>
      <w:r w:rsidRPr="00291752">
        <w:rPr>
          <w:lang w:val="fr-FR"/>
        </w:rPr>
        <w:t>41.</w:t>
      </w:r>
    </w:p>
    <w:p w:rsidR="00534959" w:rsidRPr="00291752" w:rsidRDefault="00534959" w:rsidP="00330818">
      <w:pPr>
        <w:pStyle w:val="ReasonsNumbering-AltN"/>
        <w:rPr>
          <w:lang w:val="fr-CA"/>
        </w:rPr>
      </w:pPr>
      <w:r w:rsidRPr="00291752">
        <w:rPr>
          <w:lang w:val="fr-CA"/>
        </w:rPr>
        <w:t>Comme on l’a vu, toutefois, la défense de « pouvoir d’origine législative » ne fournira pas toujours une défense complète à une action en dommages</w:t>
      </w:r>
      <w:r w:rsidR="002731BC" w:rsidRPr="00291752">
        <w:rPr>
          <w:lang w:val="fr-CA"/>
        </w:rPr>
        <w:t>-</w:t>
      </w:r>
      <w:r w:rsidRPr="00291752">
        <w:rPr>
          <w:lang w:val="fr-CA"/>
        </w:rPr>
        <w:t xml:space="preserve">intérêts.  Dans certains cas, l’issue peut dépendre de la question de savoir si la loi autorise explicitement ou implicitement le fait générateur de dommages.  Dans </w:t>
      </w:r>
      <w:r w:rsidRPr="00291752">
        <w:rPr>
          <w:i/>
          <w:lang w:val="fr-CA"/>
        </w:rPr>
        <w:t>Tock c. St. John’s Metropolitan Area Board</w:t>
      </w:r>
      <w:r w:rsidRPr="00291752">
        <w:rPr>
          <w:lang w:val="fr-CA"/>
        </w:rPr>
        <w:t xml:space="preserve">, [1989] 2 R.C.S. 1181, le juge </w:t>
      </w:r>
      <w:proofErr w:type="spellStart"/>
      <w:r w:rsidRPr="00291752">
        <w:rPr>
          <w:lang w:val="fr-CA"/>
        </w:rPr>
        <w:lastRenderedPageBreak/>
        <w:t>Sopinka</w:t>
      </w:r>
      <w:proofErr w:type="spellEnd"/>
      <w:r w:rsidRPr="00291752">
        <w:rPr>
          <w:lang w:val="fr-CA"/>
        </w:rPr>
        <w:t xml:space="preserve"> a précisé, en mention</w:t>
      </w:r>
      <w:r w:rsidR="00F44DF2" w:rsidRPr="00291752">
        <w:rPr>
          <w:lang w:val="fr-CA"/>
        </w:rPr>
        <w:t>n</w:t>
      </w:r>
      <w:r w:rsidRPr="00291752">
        <w:rPr>
          <w:lang w:val="fr-CA"/>
        </w:rPr>
        <w:t xml:space="preserve">ant les propos du vicomte Dunedin dans </w:t>
      </w:r>
      <w:r w:rsidRPr="00291752">
        <w:rPr>
          <w:i/>
          <w:lang w:val="fr-CA"/>
        </w:rPr>
        <w:t>City of Manchester c. Farnworth</w:t>
      </w:r>
      <w:r w:rsidRPr="00291752">
        <w:rPr>
          <w:lang w:val="fr-CA"/>
        </w:rPr>
        <w:t xml:space="preserve">, [1930] A.C. 171 (H.L.), qu’il peut exister un « autre moyen d’exécuter l’ouvrage [qui aurait permis d’éviter la perte]. Le simple fait qu’un moyen soit considérablement moins onéreux ne sera pas retenu.  S’il n’existe qu’un seul moyen réalisable sur le plan pratique, il faut établir qu’il était pratiquement impossible d’éviter la nuisance » (p. 1226).  Il convient également de signaler la nuance apportée par le vicomte Dunedin au sujet de ce qui est « pratiquement impossible », citée par le juge </w:t>
      </w:r>
      <w:proofErr w:type="spellStart"/>
      <w:r w:rsidRPr="00291752">
        <w:rPr>
          <w:lang w:val="fr-CA"/>
        </w:rPr>
        <w:t>Sopinka</w:t>
      </w:r>
      <w:proofErr w:type="spellEnd"/>
      <w:r w:rsidRPr="00291752">
        <w:rPr>
          <w:lang w:val="fr-CA"/>
        </w:rPr>
        <w:t>, à la p. 1224 :</w:t>
      </w:r>
    </w:p>
    <w:p w:rsidR="00534959" w:rsidRPr="00291752" w:rsidRDefault="00DB2807" w:rsidP="00DB2807">
      <w:pPr>
        <w:pStyle w:val="Citation1"/>
        <w:tabs>
          <w:tab w:val="left" w:pos="1170"/>
        </w:tabs>
        <w:ind w:hanging="1166"/>
        <w:rPr>
          <w:lang w:val="fr-CA"/>
        </w:rPr>
      </w:pPr>
      <w:r w:rsidRPr="00291752">
        <w:rPr>
          <w:lang w:val="fr-CA"/>
        </w:rPr>
        <w:tab/>
      </w:r>
      <w:r w:rsidR="00534959" w:rsidRPr="00291752">
        <w:rPr>
          <w:lang w:val="fr-CA"/>
        </w:rPr>
        <w:t>[</w:t>
      </w:r>
      <w:r w:rsidR="00534959" w:rsidRPr="00291752">
        <w:rPr>
          <w:smallCaps/>
          <w:lang w:val="fr-CA"/>
        </w:rPr>
        <w:t>traduction</w:t>
      </w:r>
      <w:r w:rsidR="00534959" w:rsidRPr="00291752">
        <w:rPr>
          <w:lang w:val="fr-CA"/>
        </w:rPr>
        <w:t>]</w:t>
      </w:r>
      <w:r w:rsidR="007467E4" w:rsidRPr="00291752">
        <w:rPr>
          <w:lang w:val="fr-CA"/>
        </w:rPr>
        <w:t xml:space="preserve"> </w:t>
      </w:r>
      <w:r w:rsidR="00534959" w:rsidRPr="00291752">
        <w:rPr>
          <w:lang w:val="fr-CA"/>
        </w:rPr>
        <w:t xml:space="preserve">Le fardeau d’établir que le résultat est inévitable incombe à ceux qui désirent se dégager de leur responsabilité à l’égard de la nuisance, mais le critère du caractère inévitable de la nuisance n’est pas ce qui est théoriquement possible mais ce qui est possible suivant l’état des connaissances scientifiques à l’époque, </w:t>
      </w:r>
      <w:r w:rsidR="00534959" w:rsidRPr="00291752">
        <w:rPr>
          <w:u w:val="single"/>
          <w:lang w:val="fr-CA"/>
        </w:rPr>
        <w:t>compte tenu également d’une saine appréciation, qu’on ne peut pas définir de façon précise, de la possibilité pratique de réalisation étant donné la situation et le coût</w:t>
      </w:r>
      <w:r w:rsidR="00534959" w:rsidRPr="00291752">
        <w:rPr>
          <w:lang w:val="fr-CA"/>
        </w:rPr>
        <w:t>.  [Je souligne.]</w:t>
      </w:r>
    </w:p>
    <w:p w:rsidR="00534959" w:rsidRPr="00291752" w:rsidRDefault="00534959" w:rsidP="00381BF1">
      <w:pPr>
        <w:pStyle w:val="SCCNormalDoubleSpacing"/>
        <w:spacing w:after="480"/>
      </w:pPr>
      <w:r w:rsidRPr="00291752">
        <w:rPr>
          <w:lang w:val="fr-CA"/>
        </w:rPr>
        <w:t xml:space="preserve">Notre Cour était divisée au sujet de cette nuance, également citée par la juge Wilson à la p. 1213 de l’arrêt </w:t>
      </w:r>
      <w:r w:rsidRPr="00291752">
        <w:rPr>
          <w:i/>
          <w:lang w:val="fr-CA"/>
        </w:rPr>
        <w:t>Tock</w:t>
      </w:r>
      <w:r w:rsidRPr="00291752">
        <w:rPr>
          <w:lang w:val="fr-CA"/>
        </w:rPr>
        <w:t xml:space="preserve">, mais il n’y a pas lieu que nous nous y arrêtions en l’espèce. La question du pouvoir d’origine législative n’a pas d’incidence sur la compétence des cours supérieures provinciales.  </w:t>
      </w:r>
      <w:proofErr w:type="spellStart"/>
      <w:proofErr w:type="gramStart"/>
      <w:r w:rsidRPr="00291752">
        <w:t>C’est</w:t>
      </w:r>
      <w:proofErr w:type="spellEnd"/>
      <w:r w:rsidRPr="00291752">
        <w:t xml:space="preserve"> la </w:t>
      </w:r>
      <w:proofErr w:type="spellStart"/>
      <w:r w:rsidRPr="00291752">
        <w:t>seule</w:t>
      </w:r>
      <w:proofErr w:type="spellEnd"/>
      <w:r w:rsidRPr="00291752">
        <w:t xml:space="preserve"> conclusion nécessaire en l’espèce.</w:t>
      </w:r>
      <w:proofErr w:type="gramEnd"/>
      <w:r w:rsidRPr="00291752">
        <w:t xml:space="preserve">  </w:t>
      </w:r>
    </w:p>
    <w:p w:rsidR="00534959" w:rsidRPr="00291752" w:rsidRDefault="00534959" w:rsidP="00330818">
      <w:pPr>
        <w:pStyle w:val="ReasonsNumbering-AltN"/>
        <w:rPr>
          <w:lang w:val="fr-CA"/>
        </w:rPr>
      </w:pPr>
      <w:r w:rsidRPr="00291752">
        <w:rPr>
          <w:lang w:val="fr-CA"/>
        </w:rPr>
        <w:t>Il suffit de dire que la Couronne peut toujours se prévaloir de la défense de pouvoir d’origine législative : voir</w:t>
      </w:r>
      <w:r w:rsidR="000C688C" w:rsidRPr="00291752">
        <w:rPr>
          <w:lang w:val="fr-CA"/>
        </w:rPr>
        <w:t>,</w:t>
      </w:r>
      <w:r w:rsidRPr="00291752">
        <w:rPr>
          <w:lang w:val="fr-CA"/>
        </w:rPr>
        <w:t xml:space="preserve"> p. ex.</w:t>
      </w:r>
      <w:r w:rsidR="000C688C" w:rsidRPr="00291752">
        <w:rPr>
          <w:lang w:val="fr-CA"/>
        </w:rPr>
        <w:t>,</w:t>
      </w:r>
      <w:r w:rsidRPr="00291752">
        <w:rPr>
          <w:lang w:val="fr-CA"/>
        </w:rPr>
        <w:t xml:space="preserve"> l’art</w:t>
      </w:r>
      <w:r w:rsidR="005B291C" w:rsidRPr="00291752">
        <w:rPr>
          <w:lang w:val="fr-CA"/>
        </w:rPr>
        <w:t>.</w:t>
      </w:r>
      <w:r w:rsidRPr="00291752">
        <w:rPr>
          <w:lang w:val="fr-CA"/>
        </w:rPr>
        <w:t xml:space="preserve"> 8 de la </w:t>
      </w:r>
      <w:r w:rsidRPr="00291752">
        <w:rPr>
          <w:i/>
          <w:lang w:val="fr-CA"/>
        </w:rPr>
        <w:t>Loi sur la responsabilité civile de l’État et le contentieux administratif </w:t>
      </w:r>
      <w:r w:rsidRPr="00291752">
        <w:rPr>
          <w:lang w:val="fr-CA"/>
        </w:rPr>
        <w:t>:</w:t>
      </w:r>
    </w:p>
    <w:p w:rsidR="00534959" w:rsidRPr="00291752" w:rsidRDefault="00534959" w:rsidP="00DB2807">
      <w:pPr>
        <w:pStyle w:val="Citation1"/>
        <w:tabs>
          <w:tab w:val="left" w:pos="1170"/>
          <w:tab w:val="left" w:pos="1620"/>
        </w:tabs>
        <w:ind w:left="1170" w:hanging="1170"/>
        <w:rPr>
          <w:lang w:val="fr-CA"/>
        </w:rPr>
      </w:pPr>
      <w:r w:rsidRPr="00291752">
        <w:rPr>
          <w:lang w:val="fr-CA"/>
        </w:rPr>
        <w:lastRenderedPageBreak/>
        <w:tab/>
      </w:r>
      <w:r w:rsidR="00DB2807" w:rsidRPr="00291752">
        <w:rPr>
          <w:lang w:val="fr-CA"/>
        </w:rPr>
        <w:tab/>
      </w:r>
      <w:r w:rsidRPr="00291752">
        <w:rPr>
          <w:lang w:val="fr-CA"/>
        </w:rPr>
        <w:t xml:space="preserve">Les articles 3 à 7 n’ont pas pour effet d’engager la responsabilité de l’État pour tout fait — acte ou omission — commis dans l’exercice d’un pouvoir qui, sans ces articles, s’exercerait au titre de la prérogative royale ou d’une disposition </w:t>
      </w:r>
      <w:proofErr w:type="gramStart"/>
      <w:r w:rsidRPr="00291752">
        <w:rPr>
          <w:lang w:val="fr-CA"/>
        </w:rPr>
        <w:t>législative .</w:t>
      </w:r>
      <w:proofErr w:type="gramEnd"/>
      <w:r w:rsidRPr="00291752">
        <w:rPr>
          <w:lang w:val="fr-CA"/>
        </w:rPr>
        <w:t> . .</w:t>
      </w:r>
    </w:p>
    <w:p w:rsidR="00534959" w:rsidRPr="00291752" w:rsidRDefault="00534959" w:rsidP="00402897">
      <w:pPr>
        <w:pStyle w:val="SCCNormalDoubleSpacing"/>
        <w:spacing w:after="480"/>
      </w:pPr>
      <w:r w:rsidRPr="00291752">
        <w:rPr>
          <w:lang w:val="fr-CA"/>
        </w:rPr>
        <w:t>Les cours supérieures provinciales interprètent et appliquent régulièrement ce moyen de défense : voir</w:t>
      </w:r>
      <w:r w:rsidR="000C688C" w:rsidRPr="00291752">
        <w:rPr>
          <w:lang w:val="fr-CA"/>
        </w:rPr>
        <w:t>,</w:t>
      </w:r>
      <w:r w:rsidRPr="00291752">
        <w:rPr>
          <w:lang w:val="fr-CA"/>
        </w:rPr>
        <w:t xml:space="preserve"> p. ex.</w:t>
      </w:r>
      <w:r w:rsidR="000C688C" w:rsidRPr="00291752">
        <w:rPr>
          <w:lang w:val="fr-CA"/>
        </w:rPr>
        <w:t>,</w:t>
      </w:r>
      <w:r w:rsidRPr="00291752">
        <w:rPr>
          <w:lang w:val="fr-CA"/>
        </w:rPr>
        <w:t xml:space="preserve"> </w:t>
      </w:r>
      <w:r w:rsidRPr="00291752">
        <w:rPr>
          <w:i/>
          <w:lang w:val="fr-CA"/>
        </w:rPr>
        <w:t>Sutherland c. Canada (Attorney General)</w:t>
      </w:r>
      <w:r w:rsidRPr="00291752">
        <w:rPr>
          <w:lang w:val="fr-CA"/>
        </w:rPr>
        <w:t>, 2002 BCCA 416, [2002] 10 W.W.R. 1, autorisation d’appel refusée, [2003] 1 R.C.S. xi (</w:t>
      </w:r>
      <w:r w:rsidRPr="00291752">
        <w:rPr>
          <w:i/>
          <w:lang w:val="fr-CA"/>
        </w:rPr>
        <w:t>sub nom</w:t>
      </w:r>
      <w:r w:rsidRPr="00291752">
        <w:rPr>
          <w:lang w:val="fr-CA"/>
        </w:rPr>
        <w:t xml:space="preserve">. </w:t>
      </w:r>
      <w:r w:rsidRPr="00291752">
        <w:rPr>
          <w:i/>
        </w:rPr>
        <w:t xml:space="preserve">Jones </w:t>
      </w:r>
      <w:r w:rsidR="007467E4" w:rsidRPr="00291752">
        <w:rPr>
          <w:i/>
        </w:rPr>
        <w:t>c</w:t>
      </w:r>
      <w:r w:rsidRPr="00291752">
        <w:rPr>
          <w:i/>
        </w:rPr>
        <w:t>. Attorney General of Canada</w:t>
      </w:r>
      <w:r w:rsidRPr="00291752">
        <w:t xml:space="preserve">); </w:t>
      </w:r>
      <w:r w:rsidRPr="00291752">
        <w:rPr>
          <w:i/>
        </w:rPr>
        <w:t>Lake c. St. John’s (City)</w:t>
      </w:r>
      <w:r w:rsidRPr="00291752">
        <w:t xml:space="preserve">, 2000 NFCA 48, 192 Nfld. &amp; P.E.I.R. 84; </w:t>
      </w:r>
      <w:r w:rsidRPr="00291752">
        <w:rPr>
          <w:i/>
        </w:rPr>
        <w:t>Neuman c. Parkland (County)</w:t>
      </w:r>
      <w:r w:rsidR="007467E4" w:rsidRPr="00291752">
        <w:t>, 2004 ABPC 58, 36</w:t>
      </w:r>
      <w:r w:rsidRPr="00291752">
        <w:t xml:space="preserve"> Alta. L.R. (4th) 161; </w:t>
      </w:r>
      <w:r w:rsidRPr="00291752">
        <w:rPr>
          <w:i/>
        </w:rPr>
        <w:t>Danco c. Thunder Bay (City)</w:t>
      </w:r>
      <w:r w:rsidRPr="00291752">
        <w:t xml:space="preserve"> (2000), 13 M.P.L</w:t>
      </w:r>
      <w:r w:rsidR="000C688C" w:rsidRPr="00291752">
        <w:t>.</w:t>
      </w:r>
      <w:r w:rsidRPr="00291752">
        <w:t xml:space="preserve">R. (3d) 130 (C.S.J. Ont.); </w:t>
      </w:r>
      <w:r w:rsidRPr="00291752">
        <w:rPr>
          <w:i/>
        </w:rPr>
        <w:t>Landry c. Moncton (Ville)</w:t>
      </w:r>
      <w:r w:rsidRPr="00291752">
        <w:t>, 2008 NBCA 32, 329 </w:t>
      </w:r>
      <w:r w:rsidR="007467E4" w:rsidRPr="00291752">
        <w:t xml:space="preserve"> </w:t>
      </w:r>
      <w:r w:rsidRPr="00291752">
        <w:t>R.</w:t>
      </w:r>
      <w:r w:rsidR="007467E4" w:rsidRPr="00291752">
        <w:t xml:space="preserve">N.-B. </w:t>
      </w:r>
      <w:proofErr w:type="gramStart"/>
      <w:r w:rsidRPr="00291752">
        <w:t>(2</w:t>
      </w:r>
      <w:r w:rsidR="007467E4" w:rsidRPr="00291752">
        <w:rPr>
          <w:vertAlign w:val="superscript"/>
        </w:rPr>
        <w:t>e</w:t>
      </w:r>
      <w:r w:rsidRPr="00291752">
        <w:t>) 212.</w:t>
      </w:r>
      <w:proofErr w:type="gramEnd"/>
    </w:p>
    <w:p w:rsidR="00534959" w:rsidRPr="00291752" w:rsidRDefault="00534959" w:rsidP="00330818">
      <w:pPr>
        <w:pStyle w:val="ReasonsNumbering-AltN"/>
        <w:rPr>
          <w:lang w:val="fr-CA"/>
        </w:rPr>
      </w:pPr>
      <w:r w:rsidRPr="00291752">
        <w:rPr>
          <w:lang w:val="fr-CA"/>
        </w:rPr>
        <w:t xml:space="preserve">À titre exemple, dans l’affaire </w:t>
      </w:r>
      <w:r w:rsidRPr="00291752">
        <w:rPr>
          <w:i/>
          <w:lang w:val="fr-CA"/>
        </w:rPr>
        <w:t>Ryan c. Victoria (Ville)</w:t>
      </w:r>
      <w:r w:rsidRPr="00291752">
        <w:rPr>
          <w:lang w:val="fr-CA"/>
        </w:rPr>
        <w:t>, la Cour devait statuer sur la défense du « résultat inévitable » dans une action en dommages</w:t>
      </w:r>
      <w:r w:rsidR="002731BC" w:rsidRPr="00291752">
        <w:rPr>
          <w:lang w:val="fr-CA"/>
        </w:rPr>
        <w:t>-</w:t>
      </w:r>
      <w:r w:rsidRPr="00291752">
        <w:rPr>
          <w:lang w:val="fr-CA"/>
        </w:rPr>
        <w:t xml:space="preserve">intérêts intentée à la </w:t>
      </w:r>
      <w:r w:rsidR="006F4CE3" w:rsidRPr="00291752">
        <w:rPr>
          <w:lang w:val="fr-CA"/>
        </w:rPr>
        <w:t>suite de travaux de voirie.  M. </w:t>
      </w:r>
      <w:r w:rsidRPr="00291752">
        <w:rPr>
          <w:lang w:val="fr-CA"/>
        </w:rPr>
        <w:t>Ryan poursuivait la municipalité et une société de chemin de fer en raison de blessures qu’il avait subies en traversant une voie ferrée à moto dans une zone urbaine.  La roue avant de la moto s’était coincée dans l’ornière adjacente aux rails, dont la largeur approchait la valeur maximale permise par la réglementation.  La défenderesse a invoqué un pouvoir d’origine législative.  Rédigeant le jugement unanime de la Cour, le juge Major a fait remarquer que « [l]’autorisation du législateur fournit, au mieux, un moyen de défense li</w:t>
      </w:r>
      <w:r w:rsidR="007467E4" w:rsidRPr="00291752">
        <w:rPr>
          <w:lang w:val="fr-CA"/>
        </w:rPr>
        <w:t xml:space="preserve">mité contre la nuisance » (par. </w:t>
      </w:r>
      <w:r w:rsidRPr="00291752">
        <w:rPr>
          <w:lang w:val="fr-CA"/>
        </w:rPr>
        <w:t>54), et a rejeté ce moyen de défense compte tenu des faits en cause.</w:t>
      </w:r>
    </w:p>
    <w:p w:rsidR="00534959" w:rsidRPr="00291752" w:rsidRDefault="00534959" w:rsidP="00330818">
      <w:pPr>
        <w:pStyle w:val="ReasonsNumbering-AltN"/>
        <w:rPr>
          <w:lang w:val="fr-CA"/>
        </w:rPr>
      </w:pPr>
      <w:r w:rsidRPr="00291752">
        <w:rPr>
          <w:lang w:val="fr-CA"/>
        </w:rPr>
        <w:lastRenderedPageBreak/>
        <w:t>Pour les besoins de la présente analyse, il nous suffit de réitérer que l’argument du « pouvoir d’origine législative » a trait à la défense, non à la compétence.  Si la cour supérieure provinciale (ou la Cour féd</w:t>
      </w:r>
      <w:r w:rsidR="007467E4" w:rsidRPr="00291752">
        <w:rPr>
          <w:lang w:val="fr-CA"/>
        </w:rPr>
        <w:t xml:space="preserve">érale, sous le régime de l’art. </w:t>
      </w:r>
      <w:r w:rsidRPr="00291752">
        <w:rPr>
          <w:lang w:val="fr-CA"/>
        </w:rPr>
        <w:t>17) conclut que l’administration publique est fondée à se réclamer d’un pouvoir d’origine législative, elle rejettera tout simplement l’action du demandeur.</w:t>
      </w:r>
    </w:p>
    <w:p w:rsidR="00534959" w:rsidRPr="00291752" w:rsidRDefault="00534959" w:rsidP="00D74A37">
      <w:pPr>
        <w:spacing w:after="720"/>
        <w:ind w:left="450" w:hanging="450"/>
        <w:rPr>
          <w:lang w:val="fr-CA"/>
        </w:rPr>
      </w:pPr>
      <w:r w:rsidRPr="00291752">
        <w:rPr>
          <w:lang w:val="fr-CA"/>
        </w:rPr>
        <w:t>H.</w:t>
      </w:r>
      <w:r w:rsidR="00D74A37" w:rsidRPr="00291752">
        <w:rPr>
          <w:lang w:val="fr-CA"/>
        </w:rPr>
        <w:tab/>
      </w:r>
      <w:r w:rsidRPr="00291752">
        <w:rPr>
          <w:i/>
          <w:lang w:val="fr-CA"/>
        </w:rPr>
        <w:t>La question du « plaideur habile »</w:t>
      </w:r>
    </w:p>
    <w:p w:rsidR="00534959" w:rsidRPr="00291752" w:rsidRDefault="00534959" w:rsidP="00330818">
      <w:pPr>
        <w:pStyle w:val="ReasonsNumbering-AltN"/>
        <w:rPr>
          <w:lang w:val="fr-CA"/>
        </w:rPr>
      </w:pPr>
      <w:r w:rsidRPr="00291752">
        <w:rPr>
          <w:lang w:val="fr-CA"/>
        </w:rPr>
        <w:t>Le procureur général soutient que, si l’argument de TeleZone est retenu, les cours supérieures provinciales pourraient de nouveau procéder au contrôle judiciaire des décisions de l’administration fédérale, sous le couvert d’actions en dommages</w:t>
      </w:r>
      <w:r w:rsidR="002731BC" w:rsidRPr="00291752">
        <w:rPr>
          <w:lang w:val="fr-CA"/>
        </w:rPr>
        <w:t>-</w:t>
      </w:r>
      <w:r w:rsidRPr="00291752">
        <w:rPr>
          <w:lang w:val="fr-CA"/>
        </w:rPr>
        <w:t>intérêts.  Selon ce point de vue, la façon dont un « plaideur habile » formulera sa demande lui permettra de choisir le tribunal qu’il préfère.  Bien sûr, les « plaideurs habiles » existent, et ils formuleront la demande de la manière qui sert le mieux les intérêts de leurs clients.  Néanmoins, quelle que soit leur habileté, elle ne leur permettra jamais d’obtenir, dans le cadre d’une action en dommages</w:t>
      </w:r>
      <w:r w:rsidR="002731BC" w:rsidRPr="00291752">
        <w:rPr>
          <w:lang w:val="fr-CA"/>
        </w:rPr>
        <w:t>-</w:t>
      </w:r>
      <w:r w:rsidRPr="00291752">
        <w:rPr>
          <w:lang w:val="fr-CA"/>
        </w:rPr>
        <w:t>intérêts, l’annulation ou l’exécution forcée de l’ordonnance administrative à laquelle le demandeur attribue son préjudice.  Les cours supérieures provinciales ne peuvent pas accorder ce type de réparation.  Comme en l’espèce, le demandeur doit (s’il a gain de cause) se contenter d’une indemnité et se résigner à ce que l’ordonnance continue d’avoir effet.</w:t>
      </w:r>
    </w:p>
    <w:p w:rsidR="00534959" w:rsidRPr="00291752" w:rsidRDefault="00534959" w:rsidP="00330818">
      <w:pPr>
        <w:pStyle w:val="ReasonsNumbering-AltN"/>
        <w:rPr>
          <w:lang w:val="fr-CA"/>
        </w:rPr>
      </w:pPr>
      <w:r w:rsidRPr="00291752">
        <w:rPr>
          <w:lang w:val="fr-CA"/>
        </w:rPr>
        <w:lastRenderedPageBreak/>
        <w:t>Je pense que, lorsque le demandeur allègue les éléments d’une cause d’action en droit privé dans son argumentation devant une cou</w:t>
      </w:r>
      <w:r w:rsidR="007467E4" w:rsidRPr="00291752">
        <w:rPr>
          <w:lang w:val="fr-CA"/>
        </w:rPr>
        <w:t>r supérieure provinciale, celle-</w:t>
      </w:r>
      <w:r w:rsidRPr="00291752">
        <w:rPr>
          <w:lang w:val="fr-CA"/>
        </w:rPr>
        <w:t>ci ne doit généralement pas décliner compétence au motif que l’action s’apparente à un recours qui doit être instruit comme une demande de contrôle judiciaire.  Si le demandeur a une cause d’action valide en dommages</w:t>
      </w:r>
      <w:r w:rsidR="002731BC" w:rsidRPr="00291752">
        <w:rPr>
          <w:lang w:val="fr-CA"/>
        </w:rPr>
        <w:t>-</w:t>
      </w:r>
      <w:r w:rsidRPr="00291752">
        <w:rPr>
          <w:lang w:val="fr-CA"/>
        </w:rPr>
        <w:t>intérêts, il est normalement admis à exercer son recours à ce titre.</w:t>
      </w:r>
    </w:p>
    <w:p w:rsidR="00534959" w:rsidRPr="00291752" w:rsidRDefault="007467E4" w:rsidP="00330818">
      <w:pPr>
        <w:pStyle w:val="ReasonsNumbering-AltN"/>
        <w:rPr>
          <w:lang w:val="fr-CA"/>
        </w:rPr>
      </w:pPr>
      <w:r w:rsidRPr="00291752">
        <w:rPr>
          <w:lang w:val="fr-CA"/>
        </w:rPr>
        <w:t>Au Royaume-</w:t>
      </w:r>
      <w:r w:rsidR="00534959" w:rsidRPr="00291752">
        <w:rPr>
          <w:lang w:val="fr-CA"/>
        </w:rPr>
        <w:t xml:space="preserve">Uni, la Chambre des lords a exprimé une position semblable dans </w:t>
      </w:r>
      <w:r w:rsidR="00534959" w:rsidRPr="00291752">
        <w:rPr>
          <w:i/>
          <w:lang w:val="fr-CA"/>
        </w:rPr>
        <w:t xml:space="preserve">Roy c. Kensington and Chelsea and Westminster </w:t>
      </w:r>
      <w:proofErr w:type="spellStart"/>
      <w:r w:rsidR="00534959" w:rsidRPr="00291752">
        <w:rPr>
          <w:i/>
          <w:lang w:val="fr-CA"/>
        </w:rPr>
        <w:t>Family</w:t>
      </w:r>
      <w:proofErr w:type="spellEnd"/>
      <w:r w:rsidR="00534959" w:rsidRPr="00291752">
        <w:rPr>
          <w:i/>
          <w:lang w:val="fr-CA"/>
        </w:rPr>
        <w:t xml:space="preserve"> </w:t>
      </w:r>
      <w:proofErr w:type="spellStart"/>
      <w:r w:rsidR="00534959" w:rsidRPr="00291752">
        <w:rPr>
          <w:i/>
          <w:lang w:val="fr-CA"/>
        </w:rPr>
        <w:t>Practitioner</w:t>
      </w:r>
      <w:proofErr w:type="spellEnd"/>
      <w:r w:rsidR="00534959" w:rsidRPr="00291752">
        <w:rPr>
          <w:i/>
          <w:lang w:val="fr-CA"/>
        </w:rPr>
        <w:t xml:space="preserve"> </w:t>
      </w:r>
      <w:proofErr w:type="spellStart"/>
      <w:r w:rsidR="00534959" w:rsidRPr="00291752">
        <w:rPr>
          <w:i/>
          <w:lang w:val="fr-CA"/>
        </w:rPr>
        <w:t>Committee</w:t>
      </w:r>
      <w:proofErr w:type="spellEnd"/>
      <w:r w:rsidR="00534959" w:rsidRPr="00291752">
        <w:rPr>
          <w:lang w:val="fr-CA"/>
        </w:rPr>
        <w:t>, [1992] 1 A</w:t>
      </w:r>
      <w:r w:rsidRPr="00291752">
        <w:rPr>
          <w:lang w:val="fr-CA"/>
        </w:rPr>
        <w:t xml:space="preserve">.C. 624, le lord Bridge, aux p. </w:t>
      </w:r>
      <w:r w:rsidR="00534959" w:rsidRPr="00291752">
        <w:rPr>
          <w:lang w:val="fr-CA"/>
        </w:rPr>
        <w:t>628-629 :</w:t>
      </w:r>
    </w:p>
    <w:p w:rsidR="00534959" w:rsidRPr="00291752" w:rsidRDefault="00DB2807" w:rsidP="00DB2807">
      <w:pPr>
        <w:pStyle w:val="Citation1"/>
        <w:keepNext/>
        <w:tabs>
          <w:tab w:val="left" w:pos="1710"/>
        </w:tabs>
        <w:ind w:hanging="1166"/>
        <w:rPr>
          <w:lang w:val="fr-CA"/>
        </w:rPr>
      </w:pPr>
      <w:r w:rsidRPr="00291752">
        <w:rPr>
          <w:lang w:val="fr-CA"/>
        </w:rPr>
        <w:tab/>
      </w:r>
      <w:r w:rsidR="00534959" w:rsidRPr="00291752">
        <w:rPr>
          <w:lang w:val="fr-CA"/>
        </w:rPr>
        <w:t>[</w:t>
      </w:r>
      <w:r w:rsidR="00534959" w:rsidRPr="00291752">
        <w:rPr>
          <w:smallCaps/>
          <w:lang w:val="fr-CA"/>
        </w:rPr>
        <w:t>traduction</w:t>
      </w:r>
      <w:r w:rsidR="00534959" w:rsidRPr="00291752">
        <w:rPr>
          <w:lang w:val="fr-CA"/>
        </w:rPr>
        <w:t>]</w:t>
      </w:r>
      <w:r w:rsidR="007467E4" w:rsidRPr="00291752">
        <w:rPr>
          <w:lang w:val="fr-CA"/>
        </w:rPr>
        <w:t xml:space="preserve"> </w:t>
      </w:r>
      <w:r w:rsidR="00534959" w:rsidRPr="00291752">
        <w:rPr>
          <w:lang w:val="fr-CA"/>
        </w:rPr>
        <w:t>. . . lorsqu’une partie revendique un droit existant qui relève du droit privé, en demande ou en défense, le fait que l’existence et la portée de ce droit privé puissent soulever accessoirement une question de droit public ne l’empêche pas plus de faire reconnaître son droit en engageant une action par bref d’assignation ou par assignation introductive d’instance, que de le faire valoir en défense.</w:t>
      </w:r>
    </w:p>
    <w:p w:rsidR="00534959" w:rsidRPr="00291752" w:rsidRDefault="00534959" w:rsidP="00402897">
      <w:pPr>
        <w:pStyle w:val="SCCNormalDoubleSpacing"/>
        <w:spacing w:after="480"/>
        <w:rPr>
          <w:lang w:val="fr-CA"/>
        </w:rPr>
      </w:pPr>
      <w:r w:rsidRPr="00291752">
        <w:rPr>
          <w:lang w:val="fr-CA"/>
        </w:rPr>
        <w:t>Il s’avère gén</w:t>
      </w:r>
      <w:r w:rsidR="006F4CE3" w:rsidRPr="00291752">
        <w:rPr>
          <w:lang w:val="fr-CA"/>
        </w:rPr>
        <w:t>éralement, ici comme au Royaume-</w:t>
      </w:r>
      <w:r w:rsidRPr="00291752">
        <w:rPr>
          <w:lang w:val="fr-CA"/>
        </w:rPr>
        <w:t>Uni, que le demandeur n’a pas à déposer une demande de contrôle judiciaire si son action met légitimement en jeu des droits privés.  Suivant les sources anglaises, comme les sources canadiennes,  on se préoccupe particulièrement du fait que le contrôle judiciaire ne soit possible que sur autorisation spéciale, qu’il soit assorti d’un court délai de prescription ou que la réparation possible dans le cadre d’un contrôle judiciaire soit de nature discrétionnaire (</w:t>
      </w:r>
      <w:r w:rsidRPr="00291752">
        <w:rPr>
          <w:i/>
          <w:lang w:val="fr-CA"/>
        </w:rPr>
        <w:t>Roy</w:t>
      </w:r>
      <w:r w:rsidR="006F4CE3" w:rsidRPr="00291752">
        <w:rPr>
          <w:lang w:val="fr-CA"/>
        </w:rPr>
        <w:t xml:space="preserve">, le lord Lowry, p. 654).  Voir aussi P. P. </w:t>
      </w:r>
      <w:r w:rsidRPr="00291752">
        <w:rPr>
          <w:lang w:val="fr-CA"/>
        </w:rPr>
        <w:t xml:space="preserve">Craig, </w:t>
      </w:r>
      <w:r w:rsidRPr="00291752">
        <w:rPr>
          <w:i/>
          <w:lang w:val="fr-CA"/>
        </w:rPr>
        <w:t xml:space="preserve">Administrative </w:t>
      </w:r>
      <w:r w:rsidRPr="00291752">
        <w:rPr>
          <w:i/>
          <w:lang w:val="fr-CA"/>
        </w:rPr>
        <w:lastRenderedPageBreak/>
        <w:t xml:space="preserve">Law </w:t>
      </w:r>
      <w:r w:rsidRPr="00291752">
        <w:rPr>
          <w:lang w:val="fr-CA"/>
        </w:rPr>
        <w:t xml:space="preserve"> (6</w:t>
      </w:r>
      <w:r w:rsidRPr="00291752">
        <w:rPr>
          <w:vertAlign w:val="superscript"/>
          <w:lang w:val="fr-CA"/>
        </w:rPr>
        <w:t>e</w:t>
      </w:r>
      <w:r w:rsidR="006F4CE3" w:rsidRPr="00291752">
        <w:rPr>
          <w:lang w:val="fr-CA"/>
        </w:rPr>
        <w:t xml:space="preserve"> éd. 2008), p. </w:t>
      </w:r>
      <w:r w:rsidRPr="00291752">
        <w:rPr>
          <w:lang w:val="fr-CA"/>
        </w:rPr>
        <w:t xml:space="preserve">869.  Ces considérations font écho à celles que nous avons examinées en rejetant la démarche proposée dans </w:t>
      </w:r>
      <w:r w:rsidRPr="00291752">
        <w:rPr>
          <w:i/>
          <w:lang w:val="fr-CA"/>
        </w:rPr>
        <w:t>Grenier</w:t>
      </w:r>
      <w:r w:rsidRPr="00291752">
        <w:rPr>
          <w:lang w:val="fr-CA"/>
        </w:rPr>
        <w:t>.</w:t>
      </w:r>
    </w:p>
    <w:p w:rsidR="00534959" w:rsidRPr="00291752" w:rsidRDefault="00534959" w:rsidP="00330818">
      <w:pPr>
        <w:pStyle w:val="ReasonsNumbering-AltN"/>
        <w:rPr>
          <w:lang w:val="fr-CA"/>
        </w:rPr>
      </w:pPr>
      <w:r w:rsidRPr="00291752">
        <w:rPr>
          <w:lang w:val="fr-CA"/>
        </w:rPr>
        <w:t xml:space="preserve">J’apporterais cependant la réserve mineure suivante.  Les cours supérieures provinciales conservent toujours, en raison de leur compétence inhérente (tout comme la Cour fédérale en vertu du par. 50(1) de la </w:t>
      </w:r>
      <w:r w:rsidRPr="00291752">
        <w:rPr>
          <w:i/>
          <w:lang w:val="fr-CA"/>
        </w:rPr>
        <w:t>LCF</w:t>
      </w:r>
      <w:r w:rsidRPr="00291752">
        <w:rPr>
          <w:lang w:val="fr-CA"/>
        </w:rPr>
        <w:t>)</w:t>
      </w:r>
      <w:r w:rsidR="000C688C" w:rsidRPr="00291752">
        <w:rPr>
          <w:lang w:val="fr-CA"/>
        </w:rPr>
        <w:t>,</w:t>
      </w:r>
      <w:r w:rsidRPr="00291752">
        <w:rPr>
          <w:lang w:val="fr-CA"/>
        </w:rPr>
        <w:t xml:space="preserve"> le pouvoir discrétionnaire résiduel de suspendre une action en dommages</w:t>
      </w:r>
      <w:r w:rsidR="002731BC" w:rsidRPr="00291752">
        <w:rPr>
          <w:lang w:val="fr-CA"/>
        </w:rPr>
        <w:t>-</w:t>
      </w:r>
      <w:r w:rsidRPr="00291752">
        <w:rPr>
          <w:lang w:val="fr-CA"/>
        </w:rPr>
        <w:t xml:space="preserve">intérêts au motif qu’il s’agit essentiellement d’une demande de contrôle judiciaire qui n’a que superficiellement l’apparence d’un recours délictuel de droit privé. </w:t>
      </w:r>
      <w:r w:rsidRPr="00291752">
        <w:rPr>
          <w:i/>
          <w:lang w:val="fr-CA"/>
        </w:rPr>
        <w:t xml:space="preserve"> </w:t>
      </w:r>
      <w:r w:rsidRPr="00291752">
        <w:rPr>
          <w:lang w:val="fr-CA"/>
        </w:rPr>
        <w:t>Règle générale, la question fondamentale consiste toujours à savoir si le demandeur a plaidé une cause d’action valable donnant ouverture à des dommages</w:t>
      </w:r>
      <w:r w:rsidR="002731BC" w:rsidRPr="00291752">
        <w:rPr>
          <w:lang w:val="fr-CA"/>
        </w:rPr>
        <w:t>-</w:t>
      </w:r>
      <w:r w:rsidRPr="00291752">
        <w:rPr>
          <w:lang w:val="fr-CA"/>
        </w:rPr>
        <w:t>intérêts de droit privé.  Dans l’affirmative, il devrait généralement être admis à exercer son recours.</w:t>
      </w:r>
    </w:p>
    <w:p w:rsidR="00534959" w:rsidRPr="00291752" w:rsidRDefault="00534959" w:rsidP="00D74A37">
      <w:pPr>
        <w:spacing w:after="720"/>
        <w:ind w:left="450" w:hanging="450"/>
      </w:pPr>
      <w:r w:rsidRPr="00291752">
        <w:t>I.</w:t>
      </w:r>
      <w:r w:rsidR="00D74A37" w:rsidRPr="00291752">
        <w:tab/>
      </w:r>
      <w:r w:rsidRPr="00291752">
        <w:rPr>
          <w:i/>
          <w:lang w:val="fr-CA"/>
        </w:rPr>
        <w:t>Application</w:t>
      </w:r>
      <w:r w:rsidRPr="00291752">
        <w:rPr>
          <w:i/>
        </w:rPr>
        <w:t xml:space="preserve"> aux </w:t>
      </w:r>
      <w:proofErr w:type="spellStart"/>
      <w:r w:rsidRPr="00291752">
        <w:rPr>
          <w:i/>
        </w:rPr>
        <w:t>faits</w:t>
      </w:r>
      <w:proofErr w:type="spellEnd"/>
    </w:p>
    <w:p w:rsidR="00534959" w:rsidRPr="00291752" w:rsidRDefault="00534959" w:rsidP="00330818">
      <w:pPr>
        <w:pStyle w:val="ReasonsNumbering-AltN"/>
        <w:rPr>
          <w:lang w:val="fr-CA"/>
        </w:rPr>
      </w:pPr>
      <w:r w:rsidRPr="00291752">
        <w:rPr>
          <w:lang w:val="fr-CA"/>
        </w:rPr>
        <w:t xml:space="preserve">TeleZone ne cherche pas à obtenir l’annulation de la décision du ministre.  Elle soutient que le ministre a manqué à ses obligations contractuelles et en </w:t>
      </w:r>
      <w:proofErr w:type="spellStart"/>
      <w:r w:rsidRPr="00291752">
        <w:rPr>
          <w:lang w:val="fr-CA"/>
        </w:rPr>
        <w:t>equity</w:t>
      </w:r>
      <w:proofErr w:type="spellEnd"/>
      <w:r w:rsidRPr="00291752">
        <w:rPr>
          <w:lang w:val="fr-CA"/>
        </w:rPr>
        <w:t xml:space="preserve"> ou à une obligation de diligence en ne lui délivrant pas de licence.  </w:t>
      </w:r>
      <w:proofErr w:type="spellStart"/>
      <w:r w:rsidRPr="00291752">
        <w:rPr>
          <w:lang w:val="fr-CA"/>
        </w:rPr>
        <w:t>Telezone</w:t>
      </w:r>
      <w:proofErr w:type="spellEnd"/>
      <w:r w:rsidRPr="00291752">
        <w:rPr>
          <w:lang w:val="fr-CA"/>
        </w:rPr>
        <w:t xml:space="preserve"> ne soutient pas que la décision du ministre </w:t>
      </w:r>
      <w:proofErr w:type="gramStart"/>
      <w:r w:rsidRPr="00291752">
        <w:rPr>
          <w:lang w:val="fr-CA"/>
        </w:rPr>
        <w:t>devrait</w:t>
      </w:r>
      <w:proofErr w:type="gramEnd"/>
      <w:r w:rsidRPr="00291752">
        <w:rPr>
          <w:lang w:val="fr-CA"/>
        </w:rPr>
        <w:t xml:space="preserve"> être invalidée.  Au contraire, ses causes d’action contractuelles, délictuelles et en </w:t>
      </w:r>
      <w:proofErr w:type="spellStart"/>
      <w:r w:rsidRPr="00291752">
        <w:rPr>
          <w:lang w:val="fr-CA"/>
        </w:rPr>
        <w:t>equity</w:t>
      </w:r>
      <w:proofErr w:type="spellEnd"/>
      <w:r w:rsidRPr="00291752">
        <w:rPr>
          <w:lang w:val="fr-CA"/>
        </w:rPr>
        <w:t xml:space="preserve"> sont fondées sur le caractère définitif de cette décision qui l’écarte du marché des télécommunications, lui causant ainsi une perte financière (selon ses dires).  Elle ne cherche pas non plus à priver la décision du ministre de ses effets juridiques.  Elle ne conteste pas les licences délivrées à ses </w:t>
      </w:r>
      <w:r w:rsidRPr="00291752">
        <w:rPr>
          <w:lang w:val="fr-CA"/>
        </w:rPr>
        <w:lastRenderedPageBreak/>
        <w:t xml:space="preserve">concurrents.  Elle ne cherche pas à défaire ce qui a été fait.  Elle se plaint de ce qui </w:t>
      </w:r>
      <w:r w:rsidRPr="00291752">
        <w:rPr>
          <w:i/>
          <w:lang w:val="fr-CA"/>
        </w:rPr>
        <w:t>n</w:t>
      </w:r>
      <w:r w:rsidRPr="00291752">
        <w:rPr>
          <w:lang w:val="fr-CA"/>
        </w:rPr>
        <w:t xml:space="preserve">’a </w:t>
      </w:r>
      <w:r w:rsidRPr="00291752">
        <w:rPr>
          <w:i/>
          <w:lang w:val="fr-CA"/>
        </w:rPr>
        <w:t>pas</w:t>
      </w:r>
      <w:r w:rsidRPr="00291752">
        <w:rPr>
          <w:lang w:val="fr-CA"/>
        </w:rPr>
        <w:t xml:space="preserve"> été fait, soit d’un manquement aux obligations contractuelles, en </w:t>
      </w:r>
      <w:proofErr w:type="spellStart"/>
      <w:r w:rsidRPr="00291752">
        <w:rPr>
          <w:lang w:val="fr-CA"/>
        </w:rPr>
        <w:t>equity</w:t>
      </w:r>
      <w:proofErr w:type="spellEnd"/>
      <w:r w:rsidRPr="00291752">
        <w:rPr>
          <w:lang w:val="fr-CA"/>
        </w:rPr>
        <w:t xml:space="preserve"> et de diligence qu’Industrie Canada aurait </w:t>
      </w:r>
      <w:proofErr w:type="gramStart"/>
      <w:r w:rsidRPr="00291752">
        <w:rPr>
          <w:lang w:val="fr-CA"/>
        </w:rPr>
        <w:t>eues</w:t>
      </w:r>
      <w:proofErr w:type="gramEnd"/>
      <w:r w:rsidRPr="00291752">
        <w:rPr>
          <w:lang w:val="fr-CA"/>
        </w:rPr>
        <w:t xml:space="preserve"> envers </w:t>
      </w:r>
      <w:proofErr w:type="spellStart"/>
      <w:r w:rsidRPr="00291752">
        <w:rPr>
          <w:lang w:val="fr-CA"/>
        </w:rPr>
        <w:t>Telezone</w:t>
      </w:r>
      <w:proofErr w:type="spellEnd"/>
      <w:r w:rsidRPr="00291752">
        <w:rPr>
          <w:lang w:val="fr-CA"/>
        </w:rPr>
        <w:t>.</w:t>
      </w:r>
    </w:p>
    <w:p w:rsidR="00534959" w:rsidRPr="00291752" w:rsidRDefault="00534959" w:rsidP="00330818">
      <w:pPr>
        <w:pStyle w:val="ReasonsNumbering-AltN"/>
        <w:rPr>
          <w:lang w:val="fr-CA"/>
        </w:rPr>
      </w:pPr>
      <w:r w:rsidRPr="00291752">
        <w:rPr>
          <w:lang w:val="fr-CA"/>
        </w:rPr>
        <w:t xml:space="preserve">Dans la mesure où le recours de TeleZone peut être qualifié de contestation indirecte de l’arrêté du ministre (parce qu’il n’incluait pas TeleZone), j’estime, pour les motifs que j’ai exposés, que la compétence concurrente conférée aux cours supérieures provinciales en matière de recours contre la Couronne empêche de conclure, comme le procureur général nous y invite, que le législateur avait l’intention d’imposer le détour par la Cour fédérale préconisé dans </w:t>
      </w:r>
      <w:r w:rsidRPr="00291752">
        <w:rPr>
          <w:i/>
          <w:lang w:val="fr-CA"/>
        </w:rPr>
        <w:t>Grenier</w:t>
      </w:r>
      <w:r w:rsidRPr="00291752">
        <w:rPr>
          <w:lang w:val="fr-CA"/>
        </w:rPr>
        <w:t>.  Tel qu’il a été présenté, le recours de TeleZone met principalement en jeu des questions de droit privé.  Dans une affaire différente, reposant sur d’autres faits, le procureur général pourra invoquer le moyen de défense de la « contestation indirecte », et la cour supérieure statuera sur ce moyen.</w:t>
      </w:r>
    </w:p>
    <w:p w:rsidR="00534959" w:rsidRPr="00291752" w:rsidRDefault="00D74A37" w:rsidP="00D74A37">
      <w:pPr>
        <w:spacing w:after="720"/>
        <w:ind w:left="450" w:hanging="450"/>
        <w:rPr>
          <w:lang w:val="fr-CA"/>
        </w:rPr>
      </w:pPr>
      <w:r w:rsidRPr="00291752">
        <w:rPr>
          <w:lang w:val="fr-CA"/>
        </w:rPr>
        <w:t>V.</w:t>
      </w:r>
      <w:r w:rsidRPr="00291752">
        <w:rPr>
          <w:lang w:val="fr-CA"/>
        </w:rPr>
        <w:tab/>
      </w:r>
      <w:r w:rsidR="00534959" w:rsidRPr="00291752">
        <w:rPr>
          <w:u w:val="single"/>
          <w:lang w:val="fr-CA"/>
        </w:rPr>
        <w:t>Dispositif</w:t>
      </w:r>
    </w:p>
    <w:p w:rsidR="00534959" w:rsidRPr="00291752" w:rsidRDefault="00534959" w:rsidP="00330818">
      <w:pPr>
        <w:pStyle w:val="ReasonsNumbering-AltN"/>
      </w:pPr>
      <w:r w:rsidRPr="00291752">
        <w:rPr>
          <w:lang w:val="fr-CA"/>
        </w:rPr>
        <w:t xml:space="preserve">La Cour supérieure de l’Ontario </w:t>
      </w:r>
      <w:proofErr w:type="gramStart"/>
      <w:r w:rsidRPr="00291752">
        <w:rPr>
          <w:lang w:val="fr-CA"/>
        </w:rPr>
        <w:t>a</w:t>
      </w:r>
      <w:proofErr w:type="gramEnd"/>
      <w:r w:rsidRPr="00291752">
        <w:rPr>
          <w:lang w:val="fr-CA"/>
        </w:rPr>
        <w:t xml:space="preserve"> compétence sur les parties et sur l’objet du litige, et elle a le pouvoir d’accorder des dommages</w:t>
      </w:r>
      <w:r w:rsidR="002731BC" w:rsidRPr="00291752">
        <w:rPr>
          <w:lang w:val="fr-CA"/>
        </w:rPr>
        <w:t>-</w:t>
      </w:r>
      <w:r w:rsidRPr="00291752">
        <w:rPr>
          <w:lang w:val="fr-CA"/>
        </w:rPr>
        <w:t xml:space="preserve">intérêts.  Aucune disposition de la </w:t>
      </w:r>
      <w:r w:rsidRPr="00291752">
        <w:rPr>
          <w:i/>
          <w:lang w:val="fr-CA"/>
        </w:rPr>
        <w:t>LCF</w:t>
      </w:r>
      <w:r w:rsidRPr="00291752">
        <w:rPr>
          <w:lang w:val="fr-CA"/>
        </w:rPr>
        <w:t xml:space="preserve"> n’empêche la Cour supérieure de l’Ontario de statuer sur la demande.  </w:t>
      </w:r>
      <w:r w:rsidRPr="00291752">
        <w:t xml:space="preserve">Je </w:t>
      </w:r>
      <w:proofErr w:type="spellStart"/>
      <w:proofErr w:type="gramStart"/>
      <w:r w:rsidRPr="00291752">
        <w:t>suis</w:t>
      </w:r>
      <w:proofErr w:type="spellEnd"/>
      <w:proofErr w:type="gramEnd"/>
      <w:r w:rsidRPr="00291752">
        <w:t xml:space="preserve"> </w:t>
      </w:r>
      <w:proofErr w:type="spellStart"/>
      <w:r w:rsidRPr="00291752">
        <w:t>d’avis</w:t>
      </w:r>
      <w:proofErr w:type="spellEnd"/>
      <w:r w:rsidRPr="00291752">
        <w:t xml:space="preserve"> de </w:t>
      </w:r>
      <w:proofErr w:type="spellStart"/>
      <w:r w:rsidRPr="00291752">
        <w:t>rejeter</w:t>
      </w:r>
      <w:proofErr w:type="spellEnd"/>
      <w:r w:rsidRPr="00291752">
        <w:t xml:space="preserve"> le pourvoi avec dépens.</w:t>
      </w:r>
    </w:p>
    <w:p w:rsidR="00E91A45" w:rsidRPr="00291752" w:rsidRDefault="0051736C" w:rsidP="0051736C">
      <w:pPr>
        <w:pStyle w:val="SCCNormalDoubleSpacing"/>
        <w:tabs>
          <w:tab w:val="left" w:pos="1170"/>
        </w:tabs>
        <w:rPr>
          <w:i/>
        </w:rPr>
      </w:pPr>
      <w:r w:rsidRPr="00291752">
        <w:rPr>
          <w:i/>
        </w:rPr>
        <w:tab/>
      </w:r>
      <w:proofErr w:type="gramStart"/>
      <w:r w:rsidR="00E91A45" w:rsidRPr="00291752">
        <w:rPr>
          <w:i/>
        </w:rPr>
        <w:t>Pourvoi rejeté avec dépens.</w:t>
      </w:r>
      <w:proofErr w:type="gramEnd"/>
    </w:p>
    <w:p w:rsidR="00E91A45" w:rsidRPr="00291752" w:rsidRDefault="00E91A45" w:rsidP="0051736C">
      <w:pPr>
        <w:pStyle w:val="SCCNormalDoubleSpacing"/>
        <w:tabs>
          <w:tab w:val="left" w:pos="1170"/>
        </w:tabs>
        <w:rPr>
          <w:i/>
        </w:rPr>
      </w:pPr>
    </w:p>
    <w:p w:rsidR="00E91A45" w:rsidRPr="00291752" w:rsidRDefault="00E91A45" w:rsidP="00C629FE">
      <w:pPr>
        <w:pStyle w:val="SCCLawFirm"/>
        <w:tabs>
          <w:tab w:val="left" w:pos="1170"/>
        </w:tabs>
        <w:rPr>
          <w:lang w:val="fr-CA"/>
        </w:rPr>
      </w:pPr>
      <w:r w:rsidRPr="00291752">
        <w:rPr>
          <w:lang w:val="fr-CA"/>
        </w:rPr>
        <w:tab/>
      </w:r>
      <w:r w:rsidR="0051736C" w:rsidRPr="00291752">
        <w:rPr>
          <w:lang w:val="fr-CA"/>
        </w:rPr>
        <w:t>Procureur de l’appelant </w:t>
      </w:r>
      <w:r w:rsidRPr="00291752">
        <w:rPr>
          <w:lang w:val="fr-CA"/>
        </w:rPr>
        <w:t>:</w:t>
      </w:r>
      <w:r w:rsidR="0051736C" w:rsidRPr="00291752">
        <w:rPr>
          <w:lang w:val="fr-CA"/>
        </w:rPr>
        <w:t> </w:t>
      </w:r>
      <w:r w:rsidRPr="00291752">
        <w:rPr>
          <w:lang w:val="fr-CA"/>
        </w:rPr>
        <w:t>Procureur gén</w:t>
      </w:r>
      <w:r w:rsidR="000D28A7" w:rsidRPr="00291752">
        <w:rPr>
          <w:lang w:val="fr-CA"/>
        </w:rPr>
        <w:t>é</w:t>
      </w:r>
      <w:r w:rsidRPr="00291752">
        <w:rPr>
          <w:lang w:val="fr-CA"/>
        </w:rPr>
        <w:t>ral du Canada, Ottawa.</w:t>
      </w:r>
    </w:p>
    <w:p w:rsidR="00E91A45" w:rsidRPr="00291752" w:rsidRDefault="00E91A45" w:rsidP="00C629FE">
      <w:pPr>
        <w:pStyle w:val="SCCLawFirm"/>
        <w:tabs>
          <w:tab w:val="left" w:pos="1170"/>
        </w:tabs>
        <w:rPr>
          <w:lang w:val="fr-CA"/>
        </w:rPr>
      </w:pPr>
    </w:p>
    <w:p w:rsidR="00E91A45" w:rsidRPr="00291752" w:rsidRDefault="00E91A45" w:rsidP="00C629FE">
      <w:pPr>
        <w:pStyle w:val="SCCLawFirm"/>
        <w:tabs>
          <w:tab w:val="left" w:pos="1170"/>
        </w:tabs>
        <w:rPr>
          <w:lang w:val="fr-CA"/>
        </w:rPr>
      </w:pPr>
      <w:r w:rsidRPr="00291752">
        <w:rPr>
          <w:lang w:val="fr-CA"/>
        </w:rPr>
        <w:tab/>
      </w:r>
      <w:r w:rsidR="0051736C" w:rsidRPr="00291752">
        <w:rPr>
          <w:lang w:val="fr-CA"/>
        </w:rPr>
        <w:t>Procureurs de l’intimée </w:t>
      </w:r>
      <w:r w:rsidRPr="00291752">
        <w:rPr>
          <w:lang w:val="fr-CA"/>
        </w:rPr>
        <w:t>:</w:t>
      </w:r>
      <w:r w:rsidR="0051736C" w:rsidRPr="00291752">
        <w:rPr>
          <w:lang w:val="fr-CA"/>
        </w:rPr>
        <w:t> </w:t>
      </w:r>
      <w:proofErr w:type="spellStart"/>
      <w:r w:rsidRPr="00291752">
        <w:rPr>
          <w:lang w:val="fr-CA"/>
        </w:rPr>
        <w:t>Stikeman</w:t>
      </w:r>
      <w:proofErr w:type="spellEnd"/>
      <w:r w:rsidRPr="00291752">
        <w:rPr>
          <w:lang w:val="fr-CA"/>
        </w:rPr>
        <w:t xml:space="preserve"> Elliott, Toronto.</w:t>
      </w:r>
    </w:p>
    <w:p w:rsidR="002731BC" w:rsidRPr="00291752" w:rsidRDefault="002731BC">
      <w:pPr>
        <w:pStyle w:val="SCCLawFirm"/>
        <w:tabs>
          <w:tab w:val="left" w:pos="1170"/>
        </w:tabs>
        <w:rPr>
          <w:lang w:val="fr-CA"/>
        </w:rPr>
      </w:pPr>
    </w:p>
    <w:sectPr w:rsidR="002731BC" w:rsidRPr="00291752" w:rsidSect="00767D30">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91" w:rsidRDefault="00D63591">
      <w:r>
        <w:separator/>
      </w:r>
    </w:p>
  </w:endnote>
  <w:endnote w:type="continuationSeparator" w:id="0">
    <w:p w:rsidR="00D63591" w:rsidRDefault="00D63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1" w:rsidRDefault="00D6359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1" w:rsidRDefault="00D6359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91" w:rsidRDefault="00D63591">
      <w:r>
        <w:separator/>
      </w:r>
    </w:p>
  </w:footnote>
  <w:footnote w:type="continuationSeparator" w:id="0">
    <w:p w:rsidR="00D63591" w:rsidRDefault="00D63591">
      <w:r>
        <w:continuationSeparator/>
      </w:r>
    </w:p>
  </w:footnote>
  <w:footnote w:id="1">
    <w:p w:rsidR="00D63591" w:rsidRPr="00F12EE8" w:rsidRDefault="00D63591" w:rsidP="00A837AA">
      <w:pPr>
        <w:pStyle w:val="FootnoteText"/>
        <w:widowControl/>
        <w:ind w:left="900" w:hanging="180"/>
        <w:rPr>
          <w:lang w:val="fr-CA"/>
        </w:rPr>
      </w:pPr>
      <w:r>
        <w:rPr>
          <w:vertAlign w:val="superscript"/>
        </w:rPr>
        <w:footnoteRef/>
      </w:r>
      <w:r>
        <w:rPr>
          <w:lang w:val="fr-CA"/>
        </w:rPr>
        <w:t xml:space="preserve"> </w:t>
      </w:r>
      <w:r w:rsidRPr="00F12EE8">
        <w:rPr>
          <w:lang w:val="fr-CA"/>
        </w:rPr>
        <w:t xml:space="preserve">L’argumentation principale du procureur général a été présentée dans l’affaire connexe </w:t>
      </w:r>
      <w:r w:rsidRPr="00F12EE8">
        <w:rPr>
          <w:i/>
          <w:lang w:val="fr-CA"/>
        </w:rPr>
        <w:t xml:space="preserve">Canada (Procureur général) c. </w:t>
      </w:r>
      <w:proofErr w:type="spellStart"/>
      <w:r w:rsidRPr="00F12EE8">
        <w:rPr>
          <w:i/>
          <w:lang w:val="fr-CA"/>
        </w:rPr>
        <w:t>McArthur</w:t>
      </w:r>
      <w:proofErr w:type="spellEnd"/>
      <w:r w:rsidRPr="00F12EE8">
        <w:rPr>
          <w:lang w:val="fr-CA"/>
        </w:rPr>
        <w:t xml:space="preserve">, 2010 CSC 63, </w:t>
      </w:r>
      <w:r>
        <w:rPr>
          <w:lang w:val="fr-CA"/>
        </w:rPr>
        <w:t xml:space="preserve">[2010] 3 R.C.S. 626, </w:t>
      </w:r>
      <w:r w:rsidRPr="00F12EE8">
        <w:rPr>
          <w:lang w:val="fr-CA"/>
        </w:rPr>
        <w:t>et, à moins d’indication contraire, je renvoie dans les présents motifs au mémoire soumis dans cette affaire.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1" w:rsidRDefault="00D6359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591" w:rsidRDefault="00D63591">
    <w:pPr>
      <w:pStyle w:val="Header"/>
      <w:jc w:val="center"/>
    </w:pPr>
    <w:r>
      <w:t xml:space="preserve">- </w:t>
    </w:r>
    <w:sdt>
      <w:sdtPr>
        <w:id w:val="4489881"/>
        <w:docPartObj>
          <w:docPartGallery w:val="Page Numbers (Top of Page)"/>
          <w:docPartUnique/>
        </w:docPartObj>
      </w:sdtPr>
      <w:sdtContent>
        <w:fldSimple w:instr=" PAGE   \* MERGEFORMAT ">
          <w:r w:rsidR="00120AF7">
            <w:rPr>
              <w:noProof/>
            </w:rPr>
            <w:t>2</w:t>
          </w:r>
        </w:fldSimple>
        <w:r>
          <w:t xml:space="preserve"> -</w:t>
        </w:r>
      </w:sdtContent>
    </w:sdt>
  </w:p>
  <w:p w:rsidR="00D63591" w:rsidRDefault="00D635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75C094D"/>
    <w:multiLevelType w:val="hybridMultilevel"/>
    <w:tmpl w:val="177A2268"/>
    <w:lvl w:ilvl="0" w:tplc="457ADE58">
      <w:start w:val="1"/>
      <w:numFmt w:val="low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2D1190A"/>
    <w:multiLevelType w:val="hybridMultilevel"/>
    <w:tmpl w:val="4BD81E00"/>
    <w:lvl w:ilvl="0" w:tplc="900201B2">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11B74BC"/>
    <w:multiLevelType w:val="hybridMultilevel"/>
    <w:tmpl w:val="AC3046FC"/>
    <w:lvl w:ilvl="0" w:tplc="DB341A0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7BFA6DE3"/>
    <w:multiLevelType w:val="hybridMultilevel"/>
    <w:tmpl w:val="54408706"/>
    <w:lvl w:ilvl="0" w:tplc="E8DCD02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4"/>
  </w:num>
  <w:num w:numId="2">
    <w:abstractNumId w:val="3"/>
  </w:num>
  <w:num w:numId="3">
    <w:abstractNumId w:val="1"/>
  </w:num>
  <w:num w:numId="4">
    <w:abstractNumId w:val="8"/>
  </w:num>
  <w:num w:numId="5">
    <w:abstractNumId w:val="2"/>
  </w:num>
  <w:num w:numId="6">
    <w:abstractNumId w:val="0"/>
  </w:num>
  <w:num w:numId="7">
    <w:abstractNumId w:val="18"/>
  </w:num>
  <w:num w:numId="8">
    <w:abstractNumId w:val="17"/>
  </w:num>
  <w:num w:numId="9">
    <w:abstractNumId w:val="12"/>
  </w:num>
  <w:num w:numId="10">
    <w:abstractNumId w:val="11"/>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2F4E"/>
    <w:rsid w:val="00012C94"/>
    <w:rsid w:val="00017463"/>
    <w:rsid w:val="00017505"/>
    <w:rsid w:val="00021065"/>
    <w:rsid w:val="00025198"/>
    <w:rsid w:val="0003724B"/>
    <w:rsid w:val="00047910"/>
    <w:rsid w:val="00053F03"/>
    <w:rsid w:val="000557F2"/>
    <w:rsid w:val="00055A36"/>
    <w:rsid w:val="000578A3"/>
    <w:rsid w:val="00060869"/>
    <w:rsid w:val="00064563"/>
    <w:rsid w:val="000648CC"/>
    <w:rsid w:val="000844C5"/>
    <w:rsid w:val="000859EB"/>
    <w:rsid w:val="0008618E"/>
    <w:rsid w:val="00094DE0"/>
    <w:rsid w:val="00096955"/>
    <w:rsid w:val="000A2261"/>
    <w:rsid w:val="000A5321"/>
    <w:rsid w:val="000B34B3"/>
    <w:rsid w:val="000C59B8"/>
    <w:rsid w:val="000C688C"/>
    <w:rsid w:val="000D164C"/>
    <w:rsid w:val="000D28A7"/>
    <w:rsid w:val="000D3B02"/>
    <w:rsid w:val="000E7850"/>
    <w:rsid w:val="000F00E4"/>
    <w:rsid w:val="0010088A"/>
    <w:rsid w:val="00100EED"/>
    <w:rsid w:val="00107F23"/>
    <w:rsid w:val="00111DE2"/>
    <w:rsid w:val="00116B38"/>
    <w:rsid w:val="00120AF7"/>
    <w:rsid w:val="0013109F"/>
    <w:rsid w:val="00134B09"/>
    <w:rsid w:val="00135406"/>
    <w:rsid w:val="00135972"/>
    <w:rsid w:val="00140667"/>
    <w:rsid w:val="001426A9"/>
    <w:rsid w:val="00142BA7"/>
    <w:rsid w:val="001529AF"/>
    <w:rsid w:val="00154D7C"/>
    <w:rsid w:val="001570B0"/>
    <w:rsid w:val="001602D5"/>
    <w:rsid w:val="00166115"/>
    <w:rsid w:val="00167793"/>
    <w:rsid w:val="001717A6"/>
    <w:rsid w:val="00172A04"/>
    <w:rsid w:val="00175A97"/>
    <w:rsid w:val="00185394"/>
    <w:rsid w:val="00187374"/>
    <w:rsid w:val="001A0664"/>
    <w:rsid w:val="001A451D"/>
    <w:rsid w:val="001B33E0"/>
    <w:rsid w:val="001B3F2F"/>
    <w:rsid w:val="001B4573"/>
    <w:rsid w:val="001B6023"/>
    <w:rsid w:val="001C2260"/>
    <w:rsid w:val="001C779F"/>
    <w:rsid w:val="001D2AC1"/>
    <w:rsid w:val="001E0AD2"/>
    <w:rsid w:val="001E5501"/>
    <w:rsid w:val="001F7673"/>
    <w:rsid w:val="001F7F31"/>
    <w:rsid w:val="00202F38"/>
    <w:rsid w:val="00211FE1"/>
    <w:rsid w:val="00220FC2"/>
    <w:rsid w:val="002223E8"/>
    <w:rsid w:val="00224FC0"/>
    <w:rsid w:val="00225EA4"/>
    <w:rsid w:val="00225F0C"/>
    <w:rsid w:val="00226EAF"/>
    <w:rsid w:val="002278EB"/>
    <w:rsid w:val="00231F3A"/>
    <w:rsid w:val="00235154"/>
    <w:rsid w:val="002406EE"/>
    <w:rsid w:val="00243B59"/>
    <w:rsid w:val="002547A7"/>
    <w:rsid w:val="00255CDB"/>
    <w:rsid w:val="0027184D"/>
    <w:rsid w:val="00272A11"/>
    <w:rsid w:val="002731BC"/>
    <w:rsid w:val="002745CC"/>
    <w:rsid w:val="002807DA"/>
    <w:rsid w:val="00291752"/>
    <w:rsid w:val="00292ADC"/>
    <w:rsid w:val="00295D1D"/>
    <w:rsid w:val="002A05E3"/>
    <w:rsid w:val="002A4B73"/>
    <w:rsid w:val="002B1AC6"/>
    <w:rsid w:val="002B3D6E"/>
    <w:rsid w:val="002D0FA6"/>
    <w:rsid w:val="002D3925"/>
    <w:rsid w:val="002D39A4"/>
    <w:rsid w:val="002D4CD2"/>
    <w:rsid w:val="002E6705"/>
    <w:rsid w:val="002F34F5"/>
    <w:rsid w:val="002F696C"/>
    <w:rsid w:val="00301F37"/>
    <w:rsid w:val="0030329A"/>
    <w:rsid w:val="00305EAE"/>
    <w:rsid w:val="003069BF"/>
    <w:rsid w:val="003076B2"/>
    <w:rsid w:val="00307AFD"/>
    <w:rsid w:val="0031086F"/>
    <w:rsid w:val="00310E05"/>
    <w:rsid w:val="0031414C"/>
    <w:rsid w:val="00314E01"/>
    <w:rsid w:val="0032089D"/>
    <w:rsid w:val="00322632"/>
    <w:rsid w:val="00330818"/>
    <w:rsid w:val="0033393C"/>
    <w:rsid w:val="003436A0"/>
    <w:rsid w:val="0034757A"/>
    <w:rsid w:val="0034770C"/>
    <w:rsid w:val="00351AF7"/>
    <w:rsid w:val="0035259D"/>
    <w:rsid w:val="00353509"/>
    <w:rsid w:val="00355A4B"/>
    <w:rsid w:val="0035766B"/>
    <w:rsid w:val="00362F52"/>
    <w:rsid w:val="00366B61"/>
    <w:rsid w:val="00381BF1"/>
    <w:rsid w:val="00385BF1"/>
    <w:rsid w:val="003866EC"/>
    <w:rsid w:val="00394476"/>
    <w:rsid w:val="003A29E7"/>
    <w:rsid w:val="003A4C70"/>
    <w:rsid w:val="003A4E15"/>
    <w:rsid w:val="003C4671"/>
    <w:rsid w:val="003C6A8D"/>
    <w:rsid w:val="003C799C"/>
    <w:rsid w:val="003D106E"/>
    <w:rsid w:val="003E1C71"/>
    <w:rsid w:val="003F327B"/>
    <w:rsid w:val="00402897"/>
    <w:rsid w:val="004059A7"/>
    <w:rsid w:val="00406166"/>
    <w:rsid w:val="004061E1"/>
    <w:rsid w:val="00411300"/>
    <w:rsid w:val="0041518D"/>
    <w:rsid w:val="00416AC2"/>
    <w:rsid w:val="00426659"/>
    <w:rsid w:val="0043088E"/>
    <w:rsid w:val="004377B6"/>
    <w:rsid w:val="00440093"/>
    <w:rsid w:val="00442F0E"/>
    <w:rsid w:val="004439D8"/>
    <w:rsid w:val="004507B9"/>
    <w:rsid w:val="00450BD7"/>
    <w:rsid w:val="00455BAE"/>
    <w:rsid w:val="00455D17"/>
    <w:rsid w:val="004629DE"/>
    <w:rsid w:val="004642BF"/>
    <w:rsid w:val="00465132"/>
    <w:rsid w:val="004725D0"/>
    <w:rsid w:val="00474592"/>
    <w:rsid w:val="00475815"/>
    <w:rsid w:val="00480C90"/>
    <w:rsid w:val="00482503"/>
    <w:rsid w:val="0048396F"/>
    <w:rsid w:val="00491633"/>
    <w:rsid w:val="00493C18"/>
    <w:rsid w:val="00494CDC"/>
    <w:rsid w:val="004A600C"/>
    <w:rsid w:val="004A6237"/>
    <w:rsid w:val="004B0772"/>
    <w:rsid w:val="004B50C5"/>
    <w:rsid w:val="004B5E97"/>
    <w:rsid w:val="004C478D"/>
    <w:rsid w:val="004D1DA0"/>
    <w:rsid w:val="004D614C"/>
    <w:rsid w:val="004E6A2C"/>
    <w:rsid w:val="005067DD"/>
    <w:rsid w:val="0051336A"/>
    <w:rsid w:val="005147CB"/>
    <w:rsid w:val="0051635B"/>
    <w:rsid w:val="0051736C"/>
    <w:rsid w:val="005177F9"/>
    <w:rsid w:val="00520895"/>
    <w:rsid w:val="00521AE8"/>
    <w:rsid w:val="00526939"/>
    <w:rsid w:val="00527180"/>
    <w:rsid w:val="00532046"/>
    <w:rsid w:val="005323CA"/>
    <w:rsid w:val="00534959"/>
    <w:rsid w:val="00534EAC"/>
    <w:rsid w:val="005357BD"/>
    <w:rsid w:val="00535A22"/>
    <w:rsid w:val="00536719"/>
    <w:rsid w:val="00550A7D"/>
    <w:rsid w:val="005564A7"/>
    <w:rsid w:val="0056134E"/>
    <w:rsid w:val="00566128"/>
    <w:rsid w:val="005703CA"/>
    <w:rsid w:val="00592927"/>
    <w:rsid w:val="00595AFF"/>
    <w:rsid w:val="005971D4"/>
    <w:rsid w:val="005A5AAC"/>
    <w:rsid w:val="005B291C"/>
    <w:rsid w:val="005C434E"/>
    <w:rsid w:val="005D46DC"/>
    <w:rsid w:val="005D708B"/>
    <w:rsid w:val="005E0667"/>
    <w:rsid w:val="005E1A5E"/>
    <w:rsid w:val="005E1AEA"/>
    <w:rsid w:val="005E3923"/>
    <w:rsid w:val="005E4698"/>
    <w:rsid w:val="005F0F84"/>
    <w:rsid w:val="0060220E"/>
    <w:rsid w:val="006177D8"/>
    <w:rsid w:val="00624D0F"/>
    <w:rsid w:val="00625C35"/>
    <w:rsid w:val="006321E3"/>
    <w:rsid w:val="00634E1B"/>
    <w:rsid w:val="006378F9"/>
    <w:rsid w:val="00643B45"/>
    <w:rsid w:val="00645057"/>
    <w:rsid w:val="00646933"/>
    <w:rsid w:val="006503A9"/>
    <w:rsid w:val="00654858"/>
    <w:rsid w:val="006565F4"/>
    <w:rsid w:val="00681AD1"/>
    <w:rsid w:val="00694744"/>
    <w:rsid w:val="00696418"/>
    <w:rsid w:val="006A56F1"/>
    <w:rsid w:val="006B5FF5"/>
    <w:rsid w:val="006C5661"/>
    <w:rsid w:val="006D3318"/>
    <w:rsid w:val="006D4790"/>
    <w:rsid w:val="006D7BC8"/>
    <w:rsid w:val="006F1A65"/>
    <w:rsid w:val="006F3E3B"/>
    <w:rsid w:val="006F4CE3"/>
    <w:rsid w:val="007004EB"/>
    <w:rsid w:val="007012F7"/>
    <w:rsid w:val="00701759"/>
    <w:rsid w:val="00702C6F"/>
    <w:rsid w:val="00706460"/>
    <w:rsid w:val="00720E88"/>
    <w:rsid w:val="0072165D"/>
    <w:rsid w:val="00725737"/>
    <w:rsid w:val="007417AF"/>
    <w:rsid w:val="00741BD4"/>
    <w:rsid w:val="00744C4C"/>
    <w:rsid w:val="007467E4"/>
    <w:rsid w:val="00747288"/>
    <w:rsid w:val="00747DD3"/>
    <w:rsid w:val="00751435"/>
    <w:rsid w:val="00752F4E"/>
    <w:rsid w:val="007549C8"/>
    <w:rsid w:val="00762D30"/>
    <w:rsid w:val="00763377"/>
    <w:rsid w:val="007647E1"/>
    <w:rsid w:val="00766D14"/>
    <w:rsid w:val="00767A0F"/>
    <w:rsid w:val="00767D30"/>
    <w:rsid w:val="00777F2D"/>
    <w:rsid w:val="007834A8"/>
    <w:rsid w:val="00795625"/>
    <w:rsid w:val="007A05F6"/>
    <w:rsid w:val="007B47DD"/>
    <w:rsid w:val="007B6F4A"/>
    <w:rsid w:val="007B7358"/>
    <w:rsid w:val="007C1344"/>
    <w:rsid w:val="007D05CA"/>
    <w:rsid w:val="007D5509"/>
    <w:rsid w:val="007D5C9A"/>
    <w:rsid w:val="007E00FE"/>
    <w:rsid w:val="007E1C47"/>
    <w:rsid w:val="007E337A"/>
    <w:rsid w:val="007E5C70"/>
    <w:rsid w:val="007F254B"/>
    <w:rsid w:val="007F2FF5"/>
    <w:rsid w:val="007F41EB"/>
    <w:rsid w:val="0081185D"/>
    <w:rsid w:val="00814695"/>
    <w:rsid w:val="008158DB"/>
    <w:rsid w:val="00817190"/>
    <w:rsid w:val="00823997"/>
    <w:rsid w:val="008320C3"/>
    <w:rsid w:val="008322BD"/>
    <w:rsid w:val="00850DFC"/>
    <w:rsid w:val="008513E1"/>
    <w:rsid w:val="00851506"/>
    <w:rsid w:val="00853F9A"/>
    <w:rsid w:val="00855307"/>
    <w:rsid w:val="0085624F"/>
    <w:rsid w:val="00862CF3"/>
    <w:rsid w:val="00864CF8"/>
    <w:rsid w:val="00874914"/>
    <w:rsid w:val="00892E1A"/>
    <w:rsid w:val="008958F5"/>
    <w:rsid w:val="008A6558"/>
    <w:rsid w:val="008A727C"/>
    <w:rsid w:val="008B5C05"/>
    <w:rsid w:val="008B68E0"/>
    <w:rsid w:val="008C01DA"/>
    <w:rsid w:val="008D3503"/>
    <w:rsid w:val="008D3FCE"/>
    <w:rsid w:val="008E7454"/>
    <w:rsid w:val="008F16D9"/>
    <w:rsid w:val="008F78E9"/>
    <w:rsid w:val="00902462"/>
    <w:rsid w:val="00921F1B"/>
    <w:rsid w:val="009240F5"/>
    <w:rsid w:val="00934460"/>
    <w:rsid w:val="00934F4D"/>
    <w:rsid w:val="009379E1"/>
    <w:rsid w:val="009403F3"/>
    <w:rsid w:val="00942870"/>
    <w:rsid w:val="00951F85"/>
    <w:rsid w:val="00957FA2"/>
    <w:rsid w:val="00965273"/>
    <w:rsid w:val="00966913"/>
    <w:rsid w:val="00967374"/>
    <w:rsid w:val="0097543E"/>
    <w:rsid w:val="00983F3F"/>
    <w:rsid w:val="00985563"/>
    <w:rsid w:val="00985C69"/>
    <w:rsid w:val="0099079B"/>
    <w:rsid w:val="00991E82"/>
    <w:rsid w:val="009A736D"/>
    <w:rsid w:val="009B0181"/>
    <w:rsid w:val="009B03F6"/>
    <w:rsid w:val="009B2F23"/>
    <w:rsid w:val="009B53E2"/>
    <w:rsid w:val="009B57B3"/>
    <w:rsid w:val="009D55D4"/>
    <w:rsid w:val="009D5AEB"/>
    <w:rsid w:val="009E45D0"/>
    <w:rsid w:val="009E54EF"/>
    <w:rsid w:val="009E5749"/>
    <w:rsid w:val="009F027B"/>
    <w:rsid w:val="009F0643"/>
    <w:rsid w:val="009F192F"/>
    <w:rsid w:val="009F383F"/>
    <w:rsid w:val="00A05F0E"/>
    <w:rsid w:val="00A149C6"/>
    <w:rsid w:val="00A152FD"/>
    <w:rsid w:val="00A16194"/>
    <w:rsid w:val="00A16E3A"/>
    <w:rsid w:val="00A21107"/>
    <w:rsid w:val="00A21B90"/>
    <w:rsid w:val="00A23605"/>
    <w:rsid w:val="00A24E15"/>
    <w:rsid w:val="00A32C96"/>
    <w:rsid w:val="00A436D2"/>
    <w:rsid w:val="00A548CB"/>
    <w:rsid w:val="00A6242E"/>
    <w:rsid w:val="00A643E7"/>
    <w:rsid w:val="00A73C38"/>
    <w:rsid w:val="00A837AA"/>
    <w:rsid w:val="00A92181"/>
    <w:rsid w:val="00A930CB"/>
    <w:rsid w:val="00A930FD"/>
    <w:rsid w:val="00A961C7"/>
    <w:rsid w:val="00A97488"/>
    <w:rsid w:val="00AA172B"/>
    <w:rsid w:val="00AA505D"/>
    <w:rsid w:val="00AB10E5"/>
    <w:rsid w:val="00AB760A"/>
    <w:rsid w:val="00AC7437"/>
    <w:rsid w:val="00AC7A44"/>
    <w:rsid w:val="00AD3432"/>
    <w:rsid w:val="00AD57B8"/>
    <w:rsid w:val="00AE4D87"/>
    <w:rsid w:val="00AE53C5"/>
    <w:rsid w:val="00AF03C5"/>
    <w:rsid w:val="00AF1680"/>
    <w:rsid w:val="00AF7BA8"/>
    <w:rsid w:val="00B000D8"/>
    <w:rsid w:val="00B00F75"/>
    <w:rsid w:val="00B05F03"/>
    <w:rsid w:val="00B145B6"/>
    <w:rsid w:val="00B2774B"/>
    <w:rsid w:val="00B31E0C"/>
    <w:rsid w:val="00B50C81"/>
    <w:rsid w:val="00B51455"/>
    <w:rsid w:val="00B557F8"/>
    <w:rsid w:val="00B64972"/>
    <w:rsid w:val="00B66DD8"/>
    <w:rsid w:val="00B73B9C"/>
    <w:rsid w:val="00B8145D"/>
    <w:rsid w:val="00B815FC"/>
    <w:rsid w:val="00B8200B"/>
    <w:rsid w:val="00B82694"/>
    <w:rsid w:val="00B93FBC"/>
    <w:rsid w:val="00BA366A"/>
    <w:rsid w:val="00BB2872"/>
    <w:rsid w:val="00BC2793"/>
    <w:rsid w:val="00BC495D"/>
    <w:rsid w:val="00BC7989"/>
    <w:rsid w:val="00BD1790"/>
    <w:rsid w:val="00BD5C0C"/>
    <w:rsid w:val="00BE7AA6"/>
    <w:rsid w:val="00C02092"/>
    <w:rsid w:val="00C057F7"/>
    <w:rsid w:val="00C11095"/>
    <w:rsid w:val="00C21EC6"/>
    <w:rsid w:val="00C21F0F"/>
    <w:rsid w:val="00C24C8C"/>
    <w:rsid w:val="00C24D91"/>
    <w:rsid w:val="00C271A5"/>
    <w:rsid w:val="00C30E8A"/>
    <w:rsid w:val="00C31990"/>
    <w:rsid w:val="00C451E6"/>
    <w:rsid w:val="00C518A2"/>
    <w:rsid w:val="00C52532"/>
    <w:rsid w:val="00C53F14"/>
    <w:rsid w:val="00C55C2E"/>
    <w:rsid w:val="00C600CF"/>
    <w:rsid w:val="00C6084F"/>
    <w:rsid w:val="00C629FE"/>
    <w:rsid w:val="00C62A66"/>
    <w:rsid w:val="00C62A6F"/>
    <w:rsid w:val="00C67CA5"/>
    <w:rsid w:val="00C71458"/>
    <w:rsid w:val="00C71F58"/>
    <w:rsid w:val="00C72E50"/>
    <w:rsid w:val="00C75B23"/>
    <w:rsid w:val="00C77613"/>
    <w:rsid w:val="00C828E7"/>
    <w:rsid w:val="00C83054"/>
    <w:rsid w:val="00C921DD"/>
    <w:rsid w:val="00C928BB"/>
    <w:rsid w:val="00C95ECC"/>
    <w:rsid w:val="00CA4D82"/>
    <w:rsid w:val="00CA6391"/>
    <w:rsid w:val="00CB2D3B"/>
    <w:rsid w:val="00CC0B1C"/>
    <w:rsid w:val="00CE3171"/>
    <w:rsid w:val="00CE4313"/>
    <w:rsid w:val="00CF1601"/>
    <w:rsid w:val="00D03A28"/>
    <w:rsid w:val="00D212EA"/>
    <w:rsid w:val="00D22989"/>
    <w:rsid w:val="00D308E2"/>
    <w:rsid w:val="00D32086"/>
    <w:rsid w:val="00D3727D"/>
    <w:rsid w:val="00D37A3F"/>
    <w:rsid w:val="00D452BE"/>
    <w:rsid w:val="00D45FCF"/>
    <w:rsid w:val="00D4667A"/>
    <w:rsid w:val="00D510BB"/>
    <w:rsid w:val="00D5435D"/>
    <w:rsid w:val="00D55BE1"/>
    <w:rsid w:val="00D63591"/>
    <w:rsid w:val="00D637EE"/>
    <w:rsid w:val="00D7417F"/>
    <w:rsid w:val="00D74A37"/>
    <w:rsid w:val="00D74F2E"/>
    <w:rsid w:val="00D75764"/>
    <w:rsid w:val="00D85D05"/>
    <w:rsid w:val="00D91043"/>
    <w:rsid w:val="00D93F8C"/>
    <w:rsid w:val="00D96F78"/>
    <w:rsid w:val="00DA0590"/>
    <w:rsid w:val="00DA3961"/>
    <w:rsid w:val="00DA4465"/>
    <w:rsid w:val="00DB2807"/>
    <w:rsid w:val="00DB3BF0"/>
    <w:rsid w:val="00DB4C9C"/>
    <w:rsid w:val="00DC1788"/>
    <w:rsid w:val="00DD71EB"/>
    <w:rsid w:val="00DF0417"/>
    <w:rsid w:val="00DF0CA8"/>
    <w:rsid w:val="00DF49A7"/>
    <w:rsid w:val="00E01106"/>
    <w:rsid w:val="00E07EE2"/>
    <w:rsid w:val="00E10938"/>
    <w:rsid w:val="00E14672"/>
    <w:rsid w:val="00E21284"/>
    <w:rsid w:val="00E24573"/>
    <w:rsid w:val="00E33299"/>
    <w:rsid w:val="00E377A1"/>
    <w:rsid w:val="00E40FDF"/>
    <w:rsid w:val="00E45109"/>
    <w:rsid w:val="00E46224"/>
    <w:rsid w:val="00E471DF"/>
    <w:rsid w:val="00E53FC3"/>
    <w:rsid w:val="00E547C8"/>
    <w:rsid w:val="00E54B02"/>
    <w:rsid w:val="00E6021D"/>
    <w:rsid w:val="00E62CCC"/>
    <w:rsid w:val="00E62FD5"/>
    <w:rsid w:val="00E76965"/>
    <w:rsid w:val="00E835A0"/>
    <w:rsid w:val="00E91A45"/>
    <w:rsid w:val="00E97385"/>
    <w:rsid w:val="00E97830"/>
    <w:rsid w:val="00EA03E5"/>
    <w:rsid w:val="00EA12D3"/>
    <w:rsid w:val="00EA480C"/>
    <w:rsid w:val="00ED2A08"/>
    <w:rsid w:val="00EE0FAF"/>
    <w:rsid w:val="00EE2341"/>
    <w:rsid w:val="00EF2698"/>
    <w:rsid w:val="00EF6EC6"/>
    <w:rsid w:val="00F00EB7"/>
    <w:rsid w:val="00F05E08"/>
    <w:rsid w:val="00F12EE8"/>
    <w:rsid w:val="00F21B2D"/>
    <w:rsid w:val="00F21FF6"/>
    <w:rsid w:val="00F2258E"/>
    <w:rsid w:val="00F305BC"/>
    <w:rsid w:val="00F33658"/>
    <w:rsid w:val="00F33E06"/>
    <w:rsid w:val="00F36AB6"/>
    <w:rsid w:val="00F409CE"/>
    <w:rsid w:val="00F41B6C"/>
    <w:rsid w:val="00F44DF2"/>
    <w:rsid w:val="00F50CD6"/>
    <w:rsid w:val="00F66E8E"/>
    <w:rsid w:val="00F723DD"/>
    <w:rsid w:val="00F72E9A"/>
    <w:rsid w:val="00F84DF4"/>
    <w:rsid w:val="00F853FB"/>
    <w:rsid w:val="00F85794"/>
    <w:rsid w:val="00F85C97"/>
    <w:rsid w:val="00F92AB5"/>
    <w:rsid w:val="00FA2FE1"/>
    <w:rsid w:val="00FC113F"/>
    <w:rsid w:val="00FC606D"/>
    <w:rsid w:val="00FD068D"/>
    <w:rsid w:val="00FD0742"/>
    <w:rsid w:val="00FD46B5"/>
    <w:rsid w:val="00FD4F28"/>
    <w:rsid w:val="00FE6784"/>
    <w:rsid w:val="00FF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A0"/>
    <w:rPr>
      <w:sz w:val="24"/>
    </w:rPr>
  </w:style>
  <w:style w:type="paragraph" w:styleId="Heading1">
    <w:name w:val="heading 1"/>
    <w:next w:val="ReasonsNumbering-AltN"/>
    <w:link w:val="Heading1Char"/>
    <w:uiPriority w:val="2"/>
    <w:qFormat/>
    <w:rsid w:val="003436A0"/>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3436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6A0"/>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3436A0"/>
    <w:rPr>
      <w:color w:val="808080"/>
    </w:rPr>
  </w:style>
  <w:style w:type="paragraph" w:styleId="BalloonText">
    <w:name w:val="Balloon Text"/>
    <w:basedOn w:val="Normal"/>
    <w:link w:val="BalloonTextChar"/>
    <w:uiPriority w:val="99"/>
    <w:semiHidden/>
    <w:unhideWhenUsed/>
    <w:rsid w:val="003436A0"/>
    <w:rPr>
      <w:rFonts w:cs="Tahoma"/>
      <w:sz w:val="28"/>
      <w:szCs w:val="16"/>
    </w:rPr>
  </w:style>
  <w:style w:type="character" w:customStyle="1" w:styleId="BalloonTextChar">
    <w:name w:val="Balloon Text Char"/>
    <w:basedOn w:val="DefaultParagraphFont"/>
    <w:link w:val="BalloonText"/>
    <w:uiPriority w:val="99"/>
    <w:semiHidden/>
    <w:rsid w:val="003436A0"/>
    <w:rPr>
      <w:rFonts w:cs="Tahoma"/>
      <w:sz w:val="28"/>
      <w:szCs w:val="16"/>
    </w:rPr>
  </w:style>
  <w:style w:type="paragraph" w:styleId="Header">
    <w:name w:val="header"/>
    <w:basedOn w:val="Normal"/>
    <w:link w:val="HeaderChar"/>
    <w:uiPriority w:val="99"/>
    <w:unhideWhenUsed/>
    <w:rsid w:val="003436A0"/>
    <w:pPr>
      <w:tabs>
        <w:tab w:val="center" w:pos="4680"/>
        <w:tab w:val="right" w:pos="9360"/>
      </w:tabs>
    </w:pPr>
  </w:style>
  <w:style w:type="character" w:customStyle="1" w:styleId="HeaderChar">
    <w:name w:val="Header Char"/>
    <w:basedOn w:val="DefaultParagraphFont"/>
    <w:link w:val="Header"/>
    <w:uiPriority w:val="99"/>
    <w:rsid w:val="003436A0"/>
    <w:rPr>
      <w:sz w:val="24"/>
    </w:rPr>
  </w:style>
  <w:style w:type="paragraph" w:styleId="Footer">
    <w:name w:val="footer"/>
    <w:basedOn w:val="Normal"/>
    <w:link w:val="FooterChar"/>
    <w:uiPriority w:val="99"/>
    <w:unhideWhenUsed/>
    <w:rsid w:val="003436A0"/>
    <w:pPr>
      <w:tabs>
        <w:tab w:val="center" w:pos="4680"/>
        <w:tab w:val="right" w:pos="9360"/>
      </w:tabs>
    </w:pPr>
  </w:style>
  <w:style w:type="character" w:customStyle="1" w:styleId="FooterChar">
    <w:name w:val="Footer Char"/>
    <w:basedOn w:val="DefaultParagraphFont"/>
    <w:link w:val="Footer"/>
    <w:uiPriority w:val="99"/>
    <w:rsid w:val="003436A0"/>
    <w:rPr>
      <w:sz w:val="24"/>
    </w:rPr>
  </w:style>
  <w:style w:type="paragraph" w:customStyle="1" w:styleId="SCCLsocParty">
    <w:name w:val="SCC.Lsoc.Party"/>
    <w:basedOn w:val="Normal"/>
    <w:next w:val="Normal"/>
    <w:link w:val="SCCLsocPartyChar"/>
    <w:rsid w:val="003436A0"/>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3436A0"/>
    <w:rPr>
      <w:rFonts w:eastAsiaTheme="minorHAnsi" w:cstheme="minorBidi"/>
      <w:sz w:val="24"/>
      <w:szCs w:val="22"/>
      <w:lang w:eastAsia="en-US"/>
    </w:rPr>
  </w:style>
  <w:style w:type="paragraph" w:customStyle="1" w:styleId="SCCLsocVersus">
    <w:name w:val="SCC.Lsoc.Versus"/>
    <w:basedOn w:val="Normal"/>
    <w:next w:val="Normal"/>
    <w:link w:val="SCCLsocVersusChar"/>
    <w:rsid w:val="003436A0"/>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3436A0"/>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3436A0"/>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3436A0"/>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3436A0"/>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3436A0"/>
    <w:rPr>
      <w:rFonts w:eastAsiaTheme="minorHAnsi" w:cstheme="minorBidi"/>
      <w:sz w:val="24"/>
      <w:szCs w:val="22"/>
      <w:lang w:eastAsia="en-US"/>
    </w:rPr>
  </w:style>
  <w:style w:type="character" w:customStyle="1" w:styleId="Heading1Char">
    <w:name w:val="Heading 1 Char"/>
    <w:basedOn w:val="DefaultParagraphFont"/>
    <w:link w:val="Heading1"/>
    <w:uiPriority w:val="2"/>
    <w:rsid w:val="003436A0"/>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3436A0"/>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Hyperlink">
    <w:name w:val="Hyperlink"/>
    <w:basedOn w:val="DefaultParagraphFont"/>
    <w:uiPriority w:val="99"/>
    <w:unhideWhenUsed/>
    <w:rsid w:val="00E40FDF"/>
    <w:rPr>
      <w:color w:val="0000FF" w:themeColor="hyperlink"/>
      <w:u w:val="single"/>
    </w:rPr>
  </w:style>
  <w:style w:type="paragraph" w:styleId="ListParagraph">
    <w:name w:val="List Paragraph"/>
    <w:basedOn w:val="Normal"/>
    <w:uiPriority w:val="34"/>
    <w:qFormat/>
    <w:rsid w:val="00534959"/>
    <w:pPr>
      <w:ind w:left="720"/>
    </w:pPr>
  </w:style>
  <w:style w:type="paragraph" w:styleId="NoSpacing">
    <w:name w:val="No Spacing"/>
    <w:uiPriority w:val="1"/>
    <w:rsid w:val="00534959"/>
    <w:rPr>
      <w:sz w:val="24"/>
    </w:rPr>
  </w:style>
  <w:style w:type="paragraph" w:customStyle="1" w:styleId="SCCLsocOtherPartyRoleSeparator">
    <w:name w:val="SCC.Lsoc.OtherPartyRoleSeparator"/>
    <w:basedOn w:val="Normal"/>
    <w:next w:val="Normal"/>
    <w:link w:val="SCCLsocOtherPartyRoleSeparatorChar"/>
    <w:rsid w:val="003436A0"/>
    <w:pPr>
      <w:spacing w:after="480"/>
    </w:pPr>
    <w:rPr>
      <w:rFonts w:eastAsiaTheme="minorHAnsi" w:cstheme="minorBidi"/>
      <w:szCs w:val="22"/>
      <w:lang w:eastAsia="en-US"/>
    </w:rPr>
  </w:style>
  <w:style w:type="paragraph" w:customStyle="1" w:styleId="SCCCoram">
    <w:name w:val="SCC.Coram"/>
    <w:basedOn w:val="Normal"/>
    <w:next w:val="Normal"/>
    <w:link w:val="SCCCoramChar"/>
    <w:rsid w:val="003436A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3436A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3436A0"/>
    <w:rPr>
      <w:rFonts w:eastAsiaTheme="minorHAnsi" w:cstheme="minorBidi"/>
      <w:sz w:val="24"/>
      <w:szCs w:val="22"/>
      <w:lang w:eastAsia="en-US"/>
    </w:rPr>
  </w:style>
  <w:style w:type="character" w:customStyle="1" w:styleId="SCCBanSummaryChar">
    <w:name w:val="SCC.BanSummary Char"/>
    <w:basedOn w:val="DefaultParagraphFont"/>
    <w:link w:val="SCCBanSummary"/>
    <w:rsid w:val="003436A0"/>
    <w:rPr>
      <w:rFonts w:eastAsiaTheme="minorEastAsia"/>
      <w:b/>
      <w:sz w:val="24"/>
      <w:szCs w:val="24"/>
    </w:rPr>
  </w:style>
  <w:style w:type="table" w:styleId="TableGrid">
    <w:name w:val="Table Grid"/>
    <w:basedOn w:val="TableNormal"/>
    <w:uiPriority w:val="59"/>
    <w:rsid w:val="003436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534959"/>
    <w:pPr>
      <w:spacing w:after="720"/>
      <w:ind w:left="1166"/>
      <w:contextualSpacing/>
      <w:jc w:val="both"/>
    </w:pPr>
  </w:style>
  <w:style w:type="paragraph" w:styleId="FootnoteText">
    <w:name w:val="footnote text"/>
    <w:basedOn w:val="Normal"/>
    <w:link w:val="FootnoteTextChar"/>
    <w:semiHidden/>
    <w:rsid w:val="00534959"/>
    <w:pPr>
      <w:widowControl w:val="0"/>
      <w:ind w:firstLine="720"/>
      <w:jc w:val="both"/>
    </w:pPr>
  </w:style>
  <w:style w:type="character" w:customStyle="1" w:styleId="FootnoteTextChar">
    <w:name w:val="Footnote Text Char"/>
    <w:basedOn w:val="DefaultParagraphFont"/>
    <w:link w:val="FootnoteText"/>
    <w:semiHidden/>
    <w:rsid w:val="00534959"/>
    <w:rPr>
      <w:sz w:val="24"/>
      <w:lang w:val="fr-CA"/>
    </w:rPr>
  </w:style>
  <w:style w:type="character" w:styleId="FootnoteReference">
    <w:name w:val="footnote reference"/>
    <w:basedOn w:val="DefaultParagraphFont"/>
    <w:semiHidden/>
    <w:rsid w:val="00534959"/>
    <w:rPr>
      <w:vertAlign w:val="superscript"/>
    </w:rPr>
  </w:style>
  <w:style w:type="paragraph" w:customStyle="1" w:styleId="ContinueReasonsNo-AltP">
    <w:name w:val="Continue Reasons No # - Alt P"/>
    <w:next w:val="ReasonsNumbering-AltN"/>
    <w:uiPriority w:val="1"/>
    <w:qFormat/>
    <w:rsid w:val="003436A0"/>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3436A0"/>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3436A0"/>
    <w:pPr>
      <w:spacing w:after="720"/>
      <w:ind w:left="1166"/>
      <w:contextualSpacing/>
      <w:jc w:val="both"/>
    </w:pPr>
    <w:rPr>
      <w:sz w:val="24"/>
    </w:rPr>
  </w:style>
  <w:style w:type="character" w:styleId="CommentReference">
    <w:name w:val="annotation reference"/>
    <w:basedOn w:val="DefaultParagraphFont"/>
    <w:uiPriority w:val="99"/>
    <w:semiHidden/>
    <w:unhideWhenUsed/>
    <w:rsid w:val="003436A0"/>
    <w:rPr>
      <w:sz w:val="16"/>
      <w:szCs w:val="16"/>
    </w:rPr>
  </w:style>
  <w:style w:type="paragraph" w:styleId="CommentText">
    <w:name w:val="annotation text"/>
    <w:basedOn w:val="Normal"/>
    <w:link w:val="CommentTextChar"/>
    <w:uiPriority w:val="99"/>
    <w:semiHidden/>
    <w:unhideWhenUsed/>
    <w:rsid w:val="003436A0"/>
    <w:rPr>
      <w:sz w:val="20"/>
    </w:rPr>
  </w:style>
  <w:style w:type="character" w:customStyle="1" w:styleId="CommentTextChar">
    <w:name w:val="Comment Text Char"/>
    <w:basedOn w:val="DefaultParagraphFont"/>
    <w:link w:val="CommentText"/>
    <w:uiPriority w:val="99"/>
    <w:semiHidden/>
    <w:rsid w:val="003436A0"/>
  </w:style>
  <w:style w:type="paragraph" w:styleId="CommentSubject">
    <w:name w:val="annotation subject"/>
    <w:basedOn w:val="CommentText"/>
    <w:next w:val="CommentText"/>
    <w:link w:val="CommentSubjectChar"/>
    <w:uiPriority w:val="99"/>
    <w:semiHidden/>
    <w:unhideWhenUsed/>
    <w:rsid w:val="003436A0"/>
    <w:rPr>
      <w:b/>
      <w:bCs/>
    </w:rPr>
  </w:style>
  <w:style w:type="character" w:customStyle="1" w:styleId="CommentSubjectChar">
    <w:name w:val="Comment Subject Char"/>
    <w:basedOn w:val="CommentTextChar"/>
    <w:link w:val="CommentSubject"/>
    <w:uiPriority w:val="99"/>
    <w:semiHidden/>
    <w:rsid w:val="003436A0"/>
    <w:rPr>
      <w:b/>
      <w:bCs/>
    </w:rPr>
  </w:style>
  <w:style w:type="table" w:customStyle="1" w:styleId="TableGrid1">
    <w:name w:val="Table Grid1"/>
    <w:basedOn w:val="TableNormal"/>
    <w:next w:val="TableGrid"/>
    <w:uiPriority w:val="59"/>
    <w:rsid w:val="00DB4C9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437497">
      <w:bodyDiv w:val="1"/>
      <w:marLeft w:val="80"/>
      <w:marRight w:val="80"/>
      <w:marTop w:val="80"/>
      <w:marBottom w:val="80"/>
      <w:divBdr>
        <w:top w:val="none" w:sz="0" w:space="0" w:color="auto"/>
        <w:left w:val="none" w:sz="0" w:space="0" w:color="auto"/>
        <w:bottom w:val="none" w:sz="0" w:space="0" w:color="auto"/>
        <w:right w:val="none" w:sz="0" w:space="0" w:color="auto"/>
      </w:divBdr>
      <w:divsChild>
        <w:div w:id="1738553304">
          <w:marLeft w:val="0"/>
          <w:marRight w:val="0"/>
          <w:marTop w:val="0"/>
          <w:marBottom w:val="0"/>
          <w:divBdr>
            <w:top w:val="none" w:sz="0" w:space="0" w:color="auto"/>
            <w:left w:val="none" w:sz="0" w:space="0" w:color="auto"/>
            <w:bottom w:val="none" w:sz="0" w:space="0" w:color="auto"/>
            <w:right w:val="none" w:sz="0" w:space="0" w:color="auto"/>
          </w:divBdr>
          <w:divsChild>
            <w:div w:id="901214792">
              <w:marLeft w:val="0"/>
              <w:marRight w:val="0"/>
              <w:marTop w:val="0"/>
              <w:marBottom w:val="0"/>
              <w:divBdr>
                <w:top w:val="none" w:sz="0" w:space="0" w:color="auto"/>
                <w:left w:val="none" w:sz="0" w:space="0" w:color="auto"/>
                <w:bottom w:val="none" w:sz="0" w:space="0" w:color="auto"/>
                <w:right w:val="none" w:sz="0" w:space="0" w:color="auto"/>
              </w:divBdr>
              <w:divsChild>
                <w:div w:id="1534806566">
                  <w:marLeft w:val="0"/>
                  <w:marRight w:val="0"/>
                  <w:marTop w:val="0"/>
                  <w:marBottom w:val="0"/>
                  <w:divBdr>
                    <w:top w:val="none" w:sz="0" w:space="0" w:color="auto"/>
                    <w:left w:val="none" w:sz="0" w:space="0" w:color="auto"/>
                    <w:bottom w:val="none" w:sz="0" w:space="0" w:color="auto"/>
                    <w:right w:val="none" w:sz="0" w:space="0" w:color="auto"/>
                  </w:divBdr>
                  <w:divsChild>
                    <w:div w:id="1981227790">
                      <w:marLeft w:val="0"/>
                      <w:marRight w:val="0"/>
                      <w:marTop w:val="0"/>
                      <w:marBottom w:val="240"/>
                      <w:divBdr>
                        <w:top w:val="single" w:sz="2" w:space="12" w:color="3A3A3A"/>
                        <w:left w:val="none" w:sz="0" w:space="0" w:color="auto"/>
                        <w:bottom w:val="single" w:sz="2"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17D6-3CC4-4EBF-A282-7486261F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59</Pages>
  <Words>14356</Words>
  <Characters>77642</Characters>
  <Application>Microsoft Office Word</Application>
  <DocSecurity>0</DocSecurity>
  <Lines>647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2010-12-23T15:44:00Z</dcterms:created>
  <dcterms:modified xsi:type="dcterms:W3CDTF">2011-06-07T17:35:00Z</dcterms:modified>
</cp:coreProperties>
</file>