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BF" w:rsidRPr="009C5786" w:rsidRDefault="00FA72BF" w:rsidP="00FA72BF">
      <w:pPr>
        <w:tabs>
          <w:tab w:val="center" w:pos="4680"/>
          <w:tab w:val="right" w:pos="9360"/>
        </w:tabs>
        <w:rPr>
          <w:rFonts w:eastAsiaTheme="minorHAnsi" w:cstheme="minorBidi"/>
          <w:szCs w:val="24"/>
          <w:lang w:eastAsia="en-US"/>
        </w:rPr>
      </w:pPr>
      <w:r w:rsidRPr="009C5786">
        <w:rPr>
          <w:rFonts w:eastAsiaTheme="minorHAnsi" w:cstheme="minorBidi"/>
          <w:szCs w:val="24"/>
          <w:lang w:eastAsia="en-US"/>
        </w:rPr>
        <w:ptab w:relativeTo="margin" w:alignment="center" w:leader="none"/>
      </w:r>
      <w:r w:rsidRPr="009C5786">
        <w:rPr>
          <w:rFonts w:eastAsiaTheme="minorHAnsi" w:cstheme="minorBidi"/>
          <w:szCs w:val="24"/>
          <w:lang w:eastAsia="en-US"/>
        </w:rPr>
        <w:t xml:space="preserve"> </w:t>
      </w:r>
      <w:r w:rsidRPr="009C578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35pt" o:ole="">
            <v:imagedata r:id="rId7" o:title=""/>
          </v:shape>
          <o:OLEObject Type="Embed" ProgID="Presentations.Drawing.13" ShapeID="_x0000_i1025" DrawAspect="Content" ObjectID="_1368958127" r:id="rId8"/>
        </w:object>
      </w:r>
      <w:r w:rsidRPr="009C5786">
        <w:rPr>
          <w:rFonts w:eastAsiaTheme="minorHAnsi" w:cstheme="minorBidi"/>
          <w:szCs w:val="24"/>
          <w:lang w:eastAsia="en-US"/>
        </w:rPr>
        <w:t xml:space="preserve"> </w:t>
      </w:r>
      <w:r w:rsidRPr="009C5786">
        <w:rPr>
          <w:rFonts w:eastAsiaTheme="minorHAnsi" w:cstheme="minorBidi"/>
          <w:szCs w:val="24"/>
          <w:lang w:eastAsia="en-US"/>
        </w:rPr>
        <w:ptab w:relativeTo="margin" w:alignment="right" w:leader="none"/>
      </w:r>
    </w:p>
    <w:p w:rsidR="00FA72BF" w:rsidRPr="009C5786" w:rsidRDefault="00FA72BF" w:rsidP="00FA72BF">
      <w:pPr>
        <w:tabs>
          <w:tab w:val="center" w:pos="4680"/>
          <w:tab w:val="right" w:pos="9360"/>
        </w:tabs>
        <w:rPr>
          <w:rFonts w:eastAsiaTheme="minorHAnsi" w:cstheme="minorBidi"/>
          <w:szCs w:val="24"/>
          <w:lang w:eastAsia="en-US"/>
        </w:rPr>
      </w:pPr>
    </w:p>
    <w:p w:rsidR="00FA72BF" w:rsidRPr="009C5786" w:rsidRDefault="00FA72BF" w:rsidP="00FA72BF">
      <w:pPr>
        <w:jc w:val="center"/>
        <w:rPr>
          <w:rFonts w:eastAsiaTheme="minorHAnsi" w:cstheme="minorBidi"/>
          <w:b/>
          <w:szCs w:val="24"/>
          <w:lang w:eastAsia="en-US"/>
        </w:rPr>
      </w:pPr>
      <w:r w:rsidRPr="009C5786">
        <w:rPr>
          <w:rFonts w:eastAsiaTheme="minorHAnsi" w:cstheme="minorBidi"/>
          <w:b/>
          <w:szCs w:val="24"/>
          <w:lang w:eastAsia="en-US"/>
        </w:rPr>
        <w:t>COUR SUPRÊME DU CANADA</w:t>
      </w:r>
    </w:p>
    <w:p w:rsidR="00FA72BF" w:rsidRPr="009C5786" w:rsidRDefault="00FA72BF" w:rsidP="00FA72BF">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A72BF" w:rsidRPr="009C5786" w:rsidTr="00BA475A">
        <w:trPr>
          <w:cantSplit/>
        </w:trPr>
        <w:tc>
          <w:tcPr>
            <w:tcW w:w="6768" w:type="dxa"/>
          </w:tcPr>
          <w:p w:rsidR="00FA72BF" w:rsidRPr="00FA72BF" w:rsidRDefault="00FA72BF" w:rsidP="00BA475A">
            <w:pPr>
              <w:rPr>
                <w:lang w:val="fr-CA"/>
              </w:rPr>
            </w:pPr>
            <w:r w:rsidRPr="00FA72BF">
              <w:rPr>
                <w:b/>
                <w:smallCaps/>
                <w:lang w:val="fr-CA"/>
              </w:rPr>
              <w:t>Référence :</w:t>
            </w:r>
            <w:r w:rsidRPr="00FA72BF">
              <w:rPr>
                <w:lang w:val="fr-CA"/>
              </w:rPr>
              <w:t xml:space="preserve"> Canada (Procureur général) </w:t>
            </w:r>
            <w:r w:rsidRPr="00FA72BF">
              <w:rPr>
                <w:i/>
                <w:lang w:val="fr-CA"/>
              </w:rPr>
              <w:t>c.</w:t>
            </w:r>
            <w:r w:rsidRPr="00FA72BF">
              <w:rPr>
                <w:lang w:val="fr-CA"/>
              </w:rPr>
              <w:t xml:space="preserve"> </w:t>
            </w:r>
            <w:proofErr w:type="spellStart"/>
            <w:r w:rsidRPr="00FA72BF">
              <w:rPr>
                <w:lang w:val="fr-CA"/>
              </w:rPr>
              <w:t>McArthur</w:t>
            </w:r>
            <w:proofErr w:type="spellEnd"/>
            <w:r w:rsidRPr="00FA72BF">
              <w:rPr>
                <w:lang w:val="fr-CA"/>
              </w:rPr>
              <w:t>,</w:t>
            </w:r>
          </w:p>
          <w:p w:rsidR="00FA72BF" w:rsidRPr="009C5786" w:rsidRDefault="00FA72BF" w:rsidP="00BA475A">
            <w:pPr>
              <w:rPr>
                <w:b/>
              </w:rPr>
            </w:pPr>
            <w:r w:rsidRPr="001E6F22">
              <w:rPr>
                <w:rStyle w:val="SCCRespondentForIndexChar"/>
                <w:b w:val="0"/>
                <w:lang w:val="fr-CA"/>
              </w:rPr>
              <w:t xml:space="preserve">2010 </w:t>
            </w:r>
            <w:r>
              <w:rPr>
                <w:rStyle w:val="SCCRespondentForIndexChar"/>
                <w:b w:val="0"/>
                <w:lang w:val="fr-CA"/>
              </w:rPr>
              <w:t>C</w:t>
            </w:r>
            <w:r w:rsidRPr="001E6F22">
              <w:rPr>
                <w:rStyle w:val="SCCRespondentForIndexChar"/>
                <w:b w:val="0"/>
                <w:lang w:val="fr-CA"/>
              </w:rPr>
              <w:t>SC 6</w:t>
            </w:r>
            <w:r>
              <w:rPr>
                <w:rStyle w:val="SCCRespondentForIndexChar"/>
                <w:b w:val="0"/>
                <w:lang w:val="fr-CA"/>
              </w:rPr>
              <w:t>3</w:t>
            </w:r>
            <w:r w:rsidRPr="001E6F22">
              <w:rPr>
                <w:rStyle w:val="SCCRespondentForIndexChar"/>
                <w:b w:val="0"/>
                <w:lang w:val="fr-CA"/>
              </w:rPr>
              <w:t xml:space="preserve">, [2010] 3 </w:t>
            </w:r>
            <w:r>
              <w:rPr>
                <w:rStyle w:val="SCCRespondentForIndexChar"/>
                <w:b w:val="0"/>
                <w:lang w:val="fr-CA"/>
              </w:rPr>
              <w:t>R.C.</w:t>
            </w:r>
            <w:r w:rsidRPr="001E6F22">
              <w:rPr>
                <w:rStyle w:val="SCCRespondentForIndexChar"/>
                <w:b w:val="0"/>
                <w:lang w:val="fr-CA"/>
              </w:rPr>
              <w:t>S. 6</w:t>
            </w:r>
            <w:r>
              <w:rPr>
                <w:rStyle w:val="SCCRespondentForIndexChar"/>
                <w:b w:val="0"/>
                <w:lang w:val="fr-CA"/>
              </w:rPr>
              <w:t>26</w:t>
            </w:r>
          </w:p>
        </w:tc>
        <w:tc>
          <w:tcPr>
            <w:tcW w:w="2808" w:type="dxa"/>
          </w:tcPr>
          <w:p w:rsidR="00FA72BF" w:rsidRPr="009C5786" w:rsidRDefault="00FA72BF" w:rsidP="00BA475A">
            <w:r w:rsidRPr="009C5786">
              <w:rPr>
                <w:b/>
                <w:smallCaps/>
              </w:rPr>
              <w:t>Date :</w:t>
            </w:r>
            <w:r w:rsidRPr="009C5786">
              <w:t xml:space="preserve"> 20101223</w:t>
            </w:r>
          </w:p>
          <w:p w:rsidR="00FA72BF" w:rsidRPr="009C5786" w:rsidRDefault="00FA72BF" w:rsidP="00BA475A">
            <w:r w:rsidRPr="009C5786">
              <w:rPr>
                <w:b/>
                <w:smallCaps/>
              </w:rPr>
              <w:t>Dossier :</w:t>
            </w:r>
            <w:r w:rsidRPr="009C5786">
              <w:t xml:space="preserve"> 33043</w:t>
            </w:r>
          </w:p>
        </w:tc>
      </w:tr>
    </w:tbl>
    <w:p w:rsidR="00FA72BF" w:rsidRPr="009C5786" w:rsidRDefault="00FA72BF" w:rsidP="00FA72BF">
      <w:pPr>
        <w:rPr>
          <w:rFonts w:eastAsiaTheme="minorHAnsi" w:cstheme="minorBidi"/>
          <w:szCs w:val="24"/>
          <w:lang w:eastAsia="en-US"/>
        </w:rPr>
      </w:pPr>
    </w:p>
    <w:p w:rsidR="00FA72BF" w:rsidRPr="009C5786" w:rsidRDefault="00FA72BF" w:rsidP="00FA72BF">
      <w:pPr>
        <w:rPr>
          <w:rFonts w:eastAsiaTheme="minorHAnsi" w:cstheme="minorBidi"/>
          <w:b/>
          <w:smallCaps/>
          <w:szCs w:val="24"/>
          <w:lang w:eastAsia="en-US"/>
        </w:rPr>
      </w:pPr>
      <w:proofErr w:type="gramStart"/>
      <w:r w:rsidRPr="009C5786">
        <w:rPr>
          <w:rFonts w:eastAsiaTheme="minorHAnsi" w:cstheme="minorBidi"/>
          <w:b/>
          <w:smallCaps/>
          <w:szCs w:val="24"/>
          <w:lang w:eastAsia="en-US"/>
        </w:rPr>
        <w:t>Entre :</w:t>
      </w:r>
      <w:proofErr w:type="gramEnd"/>
    </w:p>
    <w:p w:rsidR="00FA72BF" w:rsidRPr="00FA72BF" w:rsidRDefault="00FA72BF" w:rsidP="00FA72BF">
      <w:pPr>
        <w:jc w:val="center"/>
        <w:rPr>
          <w:rFonts w:eastAsiaTheme="minorHAnsi" w:cstheme="minorBidi"/>
          <w:b/>
          <w:szCs w:val="24"/>
          <w:lang w:val="fr-CA" w:eastAsia="en-US"/>
        </w:rPr>
      </w:pPr>
      <w:r w:rsidRPr="00FA72BF">
        <w:rPr>
          <w:rFonts w:eastAsiaTheme="minorHAnsi" w:cstheme="minorBidi"/>
          <w:b/>
          <w:szCs w:val="24"/>
          <w:lang w:val="fr-CA" w:eastAsia="en-US"/>
        </w:rPr>
        <w:t xml:space="preserve">Procureur général du Canada et James </w:t>
      </w:r>
      <w:proofErr w:type="spellStart"/>
      <w:r w:rsidRPr="00FA72BF">
        <w:rPr>
          <w:rFonts w:eastAsiaTheme="minorHAnsi" w:cstheme="minorBidi"/>
          <w:b/>
          <w:szCs w:val="24"/>
          <w:lang w:val="fr-CA" w:eastAsia="en-US"/>
        </w:rPr>
        <w:t>Blackler</w:t>
      </w:r>
      <w:proofErr w:type="spellEnd"/>
      <w:r w:rsidRPr="00FA72BF">
        <w:rPr>
          <w:rFonts w:eastAsiaTheme="minorHAnsi" w:cstheme="minorBidi"/>
          <w:b/>
          <w:szCs w:val="24"/>
          <w:lang w:val="fr-CA" w:eastAsia="en-US"/>
        </w:rPr>
        <w:t>,</w:t>
      </w:r>
    </w:p>
    <w:p w:rsidR="00FA72BF" w:rsidRPr="00FA72BF" w:rsidRDefault="00FA72BF" w:rsidP="00FA72BF">
      <w:pPr>
        <w:jc w:val="center"/>
        <w:rPr>
          <w:rFonts w:eastAsiaTheme="minorHAnsi" w:cstheme="minorBidi"/>
          <w:b/>
          <w:szCs w:val="24"/>
          <w:lang w:val="fr-CA" w:eastAsia="en-US"/>
        </w:rPr>
      </w:pPr>
      <w:proofErr w:type="gramStart"/>
      <w:r w:rsidRPr="00FA72BF">
        <w:rPr>
          <w:rFonts w:eastAsiaTheme="minorHAnsi" w:cstheme="minorBidi"/>
          <w:b/>
          <w:szCs w:val="24"/>
          <w:lang w:val="fr-CA" w:eastAsia="en-US"/>
        </w:rPr>
        <w:t>aussi</w:t>
      </w:r>
      <w:proofErr w:type="gramEnd"/>
      <w:r w:rsidRPr="00FA72BF">
        <w:rPr>
          <w:rFonts w:eastAsiaTheme="minorHAnsi" w:cstheme="minorBidi"/>
          <w:b/>
          <w:szCs w:val="24"/>
          <w:lang w:val="fr-CA" w:eastAsia="en-US"/>
        </w:rPr>
        <w:t xml:space="preserve"> connu sous le nom de Jim </w:t>
      </w:r>
      <w:proofErr w:type="spellStart"/>
      <w:r w:rsidRPr="00FA72BF">
        <w:rPr>
          <w:rFonts w:eastAsiaTheme="minorHAnsi" w:cstheme="minorBidi"/>
          <w:b/>
          <w:szCs w:val="24"/>
          <w:lang w:val="fr-CA" w:eastAsia="en-US"/>
        </w:rPr>
        <w:t>Blackler</w:t>
      </w:r>
      <w:proofErr w:type="spellEnd"/>
    </w:p>
    <w:p w:rsidR="00FA72BF" w:rsidRPr="00FA72BF" w:rsidRDefault="00FA72BF" w:rsidP="00FA72BF">
      <w:pPr>
        <w:jc w:val="center"/>
        <w:rPr>
          <w:rFonts w:eastAsiaTheme="minorHAnsi" w:cstheme="minorBidi"/>
          <w:szCs w:val="24"/>
          <w:lang w:val="fr-CA" w:eastAsia="en-US"/>
        </w:rPr>
      </w:pPr>
      <w:r w:rsidRPr="00FA72BF">
        <w:rPr>
          <w:rFonts w:eastAsiaTheme="minorHAnsi" w:cstheme="minorBidi"/>
          <w:szCs w:val="24"/>
          <w:lang w:val="fr-CA" w:eastAsia="en-US"/>
        </w:rPr>
        <w:t>Appelants</w:t>
      </w:r>
    </w:p>
    <w:p w:rsidR="00FA72BF" w:rsidRPr="00FA72BF" w:rsidRDefault="00FA72BF" w:rsidP="00FA72BF">
      <w:pPr>
        <w:jc w:val="center"/>
        <w:rPr>
          <w:rFonts w:eastAsiaTheme="minorHAnsi" w:cstheme="minorBidi"/>
          <w:szCs w:val="24"/>
          <w:lang w:val="fr-CA" w:eastAsia="en-US"/>
        </w:rPr>
      </w:pPr>
      <w:proofErr w:type="gramStart"/>
      <w:r w:rsidRPr="00FA72BF">
        <w:rPr>
          <w:rFonts w:eastAsiaTheme="minorHAnsi" w:cstheme="minorBidi"/>
          <w:szCs w:val="24"/>
          <w:lang w:val="fr-CA" w:eastAsia="en-US"/>
        </w:rPr>
        <w:t>et</w:t>
      </w:r>
      <w:proofErr w:type="gramEnd"/>
    </w:p>
    <w:p w:rsidR="00FA72BF" w:rsidRPr="00FA72BF" w:rsidRDefault="00FA72BF" w:rsidP="00FA72BF">
      <w:pPr>
        <w:jc w:val="center"/>
        <w:rPr>
          <w:rFonts w:eastAsiaTheme="minorHAnsi" w:cstheme="minorBidi"/>
          <w:b/>
          <w:szCs w:val="24"/>
          <w:lang w:val="fr-CA" w:eastAsia="en-US"/>
        </w:rPr>
      </w:pPr>
      <w:proofErr w:type="spellStart"/>
      <w:r w:rsidRPr="00FA72BF">
        <w:rPr>
          <w:rFonts w:eastAsiaTheme="minorHAnsi" w:cstheme="minorBidi"/>
          <w:b/>
          <w:szCs w:val="24"/>
          <w:lang w:val="fr-CA" w:eastAsia="en-US"/>
        </w:rPr>
        <w:t>Michiel</w:t>
      </w:r>
      <w:proofErr w:type="spellEnd"/>
      <w:r w:rsidRPr="00FA72BF">
        <w:rPr>
          <w:rFonts w:eastAsiaTheme="minorHAnsi" w:cstheme="minorBidi"/>
          <w:b/>
          <w:szCs w:val="24"/>
          <w:lang w:val="fr-CA" w:eastAsia="en-US"/>
        </w:rPr>
        <w:t xml:space="preserve"> </w:t>
      </w:r>
      <w:proofErr w:type="spellStart"/>
      <w:r w:rsidRPr="00FA72BF">
        <w:rPr>
          <w:rFonts w:eastAsiaTheme="minorHAnsi" w:cstheme="minorBidi"/>
          <w:b/>
          <w:szCs w:val="24"/>
          <w:lang w:val="fr-CA" w:eastAsia="en-US"/>
        </w:rPr>
        <w:t>McArthur</w:t>
      </w:r>
      <w:proofErr w:type="spellEnd"/>
    </w:p>
    <w:p w:rsidR="00FA72BF" w:rsidRPr="00FA72BF" w:rsidRDefault="00FA72BF" w:rsidP="00FA72BF">
      <w:pPr>
        <w:jc w:val="center"/>
        <w:rPr>
          <w:rFonts w:eastAsiaTheme="minorHAnsi" w:cstheme="minorBidi"/>
          <w:szCs w:val="24"/>
          <w:lang w:val="fr-CA" w:eastAsia="en-US"/>
        </w:rPr>
      </w:pPr>
      <w:r w:rsidRPr="00FA72BF">
        <w:rPr>
          <w:rFonts w:eastAsiaTheme="minorHAnsi" w:cstheme="minorBidi"/>
          <w:szCs w:val="24"/>
          <w:lang w:val="fr-CA" w:eastAsia="en-US"/>
        </w:rPr>
        <w:t>Intimé</w:t>
      </w:r>
    </w:p>
    <w:p w:rsidR="00FA72BF" w:rsidRPr="00FA72BF" w:rsidRDefault="00FA72BF" w:rsidP="00FA72BF">
      <w:pPr>
        <w:jc w:val="center"/>
        <w:rPr>
          <w:rFonts w:eastAsiaTheme="minorHAnsi" w:cstheme="minorBidi"/>
          <w:szCs w:val="24"/>
          <w:lang w:val="fr-CA" w:eastAsia="en-US"/>
        </w:rPr>
      </w:pPr>
      <w:r w:rsidRPr="00FA72BF">
        <w:rPr>
          <w:rFonts w:eastAsiaTheme="minorHAnsi" w:cstheme="minorBidi"/>
          <w:szCs w:val="24"/>
          <w:lang w:val="fr-CA" w:eastAsia="en-US"/>
        </w:rPr>
        <w:t>- et -</w:t>
      </w:r>
    </w:p>
    <w:p w:rsidR="00FA72BF" w:rsidRPr="00FA72BF" w:rsidRDefault="00FA72BF" w:rsidP="00FA72BF">
      <w:pPr>
        <w:jc w:val="center"/>
        <w:rPr>
          <w:rFonts w:eastAsiaTheme="minorHAnsi" w:cstheme="minorBidi"/>
          <w:szCs w:val="24"/>
          <w:lang w:val="fr-CA" w:eastAsia="en-US"/>
        </w:rPr>
      </w:pPr>
      <w:r w:rsidRPr="00FA72BF">
        <w:rPr>
          <w:rFonts w:eastAsiaTheme="minorHAnsi" w:cstheme="minorBidi"/>
          <w:b/>
          <w:szCs w:val="24"/>
          <w:lang w:val="fr-CA" w:eastAsia="en-US"/>
        </w:rPr>
        <w:t xml:space="preserve">Procureur général de la Colombie-Britannique, Roland </w:t>
      </w:r>
      <w:proofErr w:type="spellStart"/>
      <w:r w:rsidRPr="00FA72BF">
        <w:rPr>
          <w:rFonts w:eastAsiaTheme="minorHAnsi" w:cstheme="minorBidi"/>
          <w:b/>
          <w:szCs w:val="24"/>
          <w:lang w:val="fr-CA" w:eastAsia="en-US"/>
        </w:rPr>
        <w:t>Anglehart</w:t>
      </w:r>
      <w:proofErr w:type="spellEnd"/>
      <w:r w:rsidRPr="00FA72BF">
        <w:rPr>
          <w:rFonts w:eastAsiaTheme="minorHAnsi" w:cstheme="minorBidi"/>
          <w:b/>
          <w:szCs w:val="24"/>
          <w:lang w:val="fr-CA" w:eastAsia="en-US"/>
        </w:rPr>
        <w:t xml:space="preserve"> père et autres</w:t>
      </w:r>
    </w:p>
    <w:p w:rsidR="00FA72BF" w:rsidRPr="00FA72BF" w:rsidRDefault="00FA72BF" w:rsidP="00FA72BF">
      <w:pPr>
        <w:tabs>
          <w:tab w:val="right" w:pos="8280"/>
        </w:tabs>
        <w:jc w:val="center"/>
        <w:rPr>
          <w:rFonts w:eastAsiaTheme="minorHAnsi" w:cstheme="minorBidi"/>
          <w:b/>
          <w:szCs w:val="24"/>
          <w:lang w:val="fr-CA" w:eastAsia="en-US"/>
        </w:rPr>
      </w:pPr>
    </w:p>
    <w:p w:rsidR="00FA72BF" w:rsidRPr="00FA72BF" w:rsidRDefault="00FA72BF" w:rsidP="00FA72BF">
      <w:pPr>
        <w:jc w:val="center"/>
        <w:rPr>
          <w:rFonts w:eastAsiaTheme="minorHAnsi" w:cstheme="minorBidi"/>
          <w:szCs w:val="24"/>
          <w:lang w:val="fr-CA" w:eastAsia="en-US"/>
        </w:rPr>
      </w:pPr>
      <w:r w:rsidRPr="00FA72BF">
        <w:rPr>
          <w:rFonts w:eastAsiaTheme="minorHAnsi" w:cstheme="minorBidi"/>
          <w:szCs w:val="24"/>
          <w:lang w:val="fr-CA" w:eastAsia="en-US"/>
        </w:rPr>
        <w:t>Intervenants</w:t>
      </w:r>
      <w:r w:rsidRPr="00FA72BF">
        <w:rPr>
          <w:rFonts w:eastAsiaTheme="minorHAnsi" w:cstheme="minorBidi"/>
          <w:szCs w:val="24"/>
          <w:lang w:val="fr-CA" w:eastAsia="en-US"/>
        </w:rPr>
        <w:br/>
      </w:r>
    </w:p>
    <w:p w:rsidR="00FA72BF" w:rsidRPr="00FA72BF" w:rsidRDefault="00FA72BF" w:rsidP="00FA72BF">
      <w:pPr>
        <w:jc w:val="center"/>
        <w:rPr>
          <w:rFonts w:eastAsiaTheme="minorHAnsi" w:cstheme="minorBidi"/>
          <w:b/>
          <w:smallCaps/>
          <w:szCs w:val="24"/>
          <w:lang w:val="fr-CA" w:eastAsia="en-US"/>
        </w:rPr>
      </w:pPr>
      <w:r w:rsidRPr="00FA72BF">
        <w:rPr>
          <w:rFonts w:eastAsiaTheme="minorHAnsi" w:cstheme="minorBidi"/>
          <w:b/>
          <w:smallCaps/>
          <w:szCs w:val="24"/>
          <w:lang w:val="fr-CA" w:eastAsia="en-US"/>
        </w:rPr>
        <w:t>Traduction française officielle</w:t>
      </w:r>
    </w:p>
    <w:p w:rsidR="00FA72BF" w:rsidRPr="00FA72BF" w:rsidRDefault="00FA72BF" w:rsidP="00FA72BF">
      <w:pPr>
        <w:rPr>
          <w:rFonts w:eastAsiaTheme="minorHAnsi" w:cstheme="minorBidi"/>
          <w:szCs w:val="24"/>
          <w:lang w:val="fr-CA" w:eastAsia="en-US"/>
        </w:rPr>
      </w:pPr>
    </w:p>
    <w:p w:rsidR="00FA72BF" w:rsidRPr="00FA72BF" w:rsidRDefault="00FA72BF" w:rsidP="00FA72BF">
      <w:pPr>
        <w:rPr>
          <w:rFonts w:eastAsiaTheme="minorHAnsi" w:cstheme="minorBidi"/>
          <w:szCs w:val="24"/>
          <w:lang w:val="fr-CA" w:eastAsia="en-US"/>
        </w:rPr>
      </w:pPr>
      <w:r w:rsidRPr="00FA72BF">
        <w:rPr>
          <w:rFonts w:eastAsiaTheme="minorHAnsi" w:cstheme="minorBidi"/>
          <w:b/>
          <w:smallCaps/>
          <w:szCs w:val="24"/>
          <w:lang w:val="fr-CA" w:eastAsia="en-US"/>
        </w:rPr>
        <w:t>Coram :</w:t>
      </w:r>
      <w:r w:rsidRPr="00FA72BF">
        <w:rPr>
          <w:rFonts w:eastAsiaTheme="minorHAnsi" w:cstheme="minorBidi"/>
          <w:szCs w:val="24"/>
          <w:lang w:val="fr-CA" w:eastAsia="en-US"/>
        </w:rPr>
        <w:t xml:space="preserve"> Les juges </w:t>
      </w:r>
      <w:proofErr w:type="spellStart"/>
      <w:r w:rsidRPr="00FA72BF">
        <w:rPr>
          <w:rFonts w:eastAsiaTheme="minorHAnsi" w:cstheme="minorBidi"/>
          <w:szCs w:val="24"/>
          <w:lang w:val="fr-CA" w:eastAsia="en-US"/>
        </w:rPr>
        <w:t>Binnie</w:t>
      </w:r>
      <w:proofErr w:type="spellEnd"/>
      <w:r w:rsidRPr="00FA72BF">
        <w:rPr>
          <w:rFonts w:eastAsiaTheme="minorHAnsi" w:cstheme="minorBidi"/>
          <w:szCs w:val="24"/>
          <w:lang w:val="fr-CA" w:eastAsia="en-US"/>
        </w:rPr>
        <w:t xml:space="preserve">, </w:t>
      </w:r>
      <w:proofErr w:type="spellStart"/>
      <w:r w:rsidRPr="00FA72BF">
        <w:rPr>
          <w:rFonts w:eastAsiaTheme="minorHAnsi" w:cstheme="minorBidi"/>
          <w:szCs w:val="24"/>
          <w:lang w:val="fr-CA" w:eastAsia="en-US"/>
        </w:rPr>
        <w:t>LeBel</w:t>
      </w:r>
      <w:proofErr w:type="spellEnd"/>
      <w:r w:rsidRPr="00FA72BF">
        <w:rPr>
          <w:rFonts w:eastAsiaTheme="minorHAnsi" w:cstheme="minorBidi"/>
          <w:szCs w:val="24"/>
          <w:lang w:val="fr-CA" w:eastAsia="en-US"/>
        </w:rPr>
        <w:t xml:space="preserve">, Deschamps, Abella, Charron, </w:t>
      </w:r>
      <w:proofErr w:type="spellStart"/>
      <w:r w:rsidRPr="00FA72BF">
        <w:rPr>
          <w:rFonts w:eastAsiaTheme="minorHAnsi" w:cstheme="minorBidi"/>
          <w:szCs w:val="24"/>
          <w:lang w:val="fr-CA" w:eastAsia="en-US"/>
        </w:rPr>
        <w:t>Rothstein</w:t>
      </w:r>
      <w:proofErr w:type="spellEnd"/>
      <w:r w:rsidRPr="00FA72BF">
        <w:rPr>
          <w:rFonts w:eastAsiaTheme="minorHAnsi" w:cstheme="minorBidi"/>
          <w:szCs w:val="24"/>
          <w:lang w:val="fr-CA" w:eastAsia="en-US"/>
        </w:rPr>
        <w:t xml:space="preserve"> et Cromwell</w:t>
      </w:r>
    </w:p>
    <w:p w:rsidR="00FA72BF" w:rsidRPr="00FA72BF" w:rsidRDefault="00FA72BF" w:rsidP="00FA72BF">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A72BF" w:rsidRPr="00FA72BF" w:rsidTr="00BA475A">
        <w:trPr>
          <w:cantSplit/>
        </w:trPr>
        <w:tc>
          <w:tcPr>
            <w:tcW w:w="3618" w:type="dxa"/>
          </w:tcPr>
          <w:p w:rsidR="00FA72BF" w:rsidRPr="00FA72BF" w:rsidRDefault="00FA72BF" w:rsidP="00BA475A">
            <w:pPr>
              <w:rPr>
                <w:b/>
                <w:smallCaps/>
                <w:lang w:val="fr-CA"/>
              </w:rPr>
            </w:pPr>
            <w:r w:rsidRPr="00FA72BF">
              <w:rPr>
                <w:b/>
                <w:smallCaps/>
                <w:lang w:val="fr-CA"/>
              </w:rPr>
              <w:t>Motifs de jugement :</w:t>
            </w:r>
          </w:p>
          <w:p w:rsidR="00FA72BF" w:rsidRPr="00FA72BF" w:rsidRDefault="00FA72BF" w:rsidP="00BA475A">
            <w:pPr>
              <w:rPr>
                <w:lang w:val="fr-CA"/>
              </w:rPr>
            </w:pPr>
            <w:r w:rsidRPr="00FA72BF">
              <w:rPr>
                <w:lang w:val="fr-CA"/>
              </w:rPr>
              <w:t>(par. 1 à 18)</w:t>
            </w:r>
          </w:p>
        </w:tc>
        <w:tc>
          <w:tcPr>
            <w:tcW w:w="5958" w:type="dxa"/>
          </w:tcPr>
          <w:p w:rsidR="00FA72BF" w:rsidRPr="00FA72BF" w:rsidRDefault="00FA72BF" w:rsidP="00BA475A">
            <w:pPr>
              <w:rPr>
                <w:lang w:val="fr-CA"/>
              </w:rPr>
            </w:pPr>
            <w:r w:rsidRPr="00FA72BF">
              <w:rPr>
                <w:lang w:val="fr-CA"/>
              </w:rPr>
              <w:t xml:space="preserve">Le juge </w:t>
            </w:r>
            <w:proofErr w:type="spellStart"/>
            <w:r w:rsidRPr="00FA72BF">
              <w:rPr>
                <w:lang w:val="fr-CA"/>
              </w:rPr>
              <w:t>Binnie</w:t>
            </w:r>
            <w:proofErr w:type="spellEnd"/>
            <w:r w:rsidRPr="00FA72BF">
              <w:rPr>
                <w:lang w:val="fr-CA"/>
              </w:rPr>
              <w:t xml:space="preserve"> (avec l’accord des juges </w:t>
            </w:r>
            <w:proofErr w:type="spellStart"/>
            <w:r w:rsidRPr="00FA72BF">
              <w:rPr>
                <w:lang w:val="fr-CA"/>
              </w:rPr>
              <w:t>LeBel</w:t>
            </w:r>
            <w:proofErr w:type="spellEnd"/>
            <w:r w:rsidRPr="00FA72BF">
              <w:rPr>
                <w:lang w:val="fr-CA"/>
              </w:rPr>
              <w:t xml:space="preserve">, Deschamps, Abella, Charron, </w:t>
            </w:r>
            <w:proofErr w:type="spellStart"/>
            <w:r w:rsidRPr="00FA72BF">
              <w:rPr>
                <w:lang w:val="fr-CA"/>
              </w:rPr>
              <w:t>Rothstein</w:t>
            </w:r>
            <w:proofErr w:type="spellEnd"/>
            <w:r w:rsidRPr="00FA72BF">
              <w:rPr>
                <w:lang w:val="fr-CA"/>
              </w:rPr>
              <w:t xml:space="preserve"> et Cromwell)</w:t>
            </w:r>
          </w:p>
        </w:tc>
      </w:tr>
    </w:tbl>
    <w:p w:rsidR="00FA72BF" w:rsidRPr="00FA72BF" w:rsidRDefault="00FA72BF" w:rsidP="00FA72BF">
      <w:pPr>
        <w:rPr>
          <w:rFonts w:eastAsiaTheme="minorHAnsi" w:cstheme="minorBidi"/>
          <w:szCs w:val="24"/>
          <w:lang w:val="fr-CA" w:eastAsia="en-US"/>
        </w:rPr>
      </w:pPr>
    </w:p>
    <w:p w:rsidR="00FA72BF" w:rsidRPr="00FA72BF" w:rsidRDefault="00FA72BF" w:rsidP="00FA72BF">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A72BF" w:rsidRPr="00FA72BF" w:rsidRDefault="00FA72BF" w:rsidP="00FA72BF">
      <w:pPr>
        <w:rPr>
          <w:rStyle w:val="SCCAppellantForRunningHeadChar"/>
          <w:lang w:val="fr-CA"/>
        </w:rPr>
      </w:pPr>
      <w:r w:rsidRPr="00FA72BF">
        <w:rPr>
          <w:rStyle w:val="SCCAppellantForRunningHeadChar"/>
          <w:lang w:val="fr-CA"/>
        </w:rPr>
        <w:br w:type="page"/>
      </w:r>
    </w:p>
    <w:p w:rsidR="008322BD" w:rsidRPr="001E6F22" w:rsidRDefault="001E6F22" w:rsidP="00E128D4">
      <w:pPr>
        <w:spacing w:line="480" w:lineRule="auto"/>
        <w:jc w:val="both"/>
        <w:rPr>
          <w:smallCaps/>
          <w:lang w:val="fr-CA"/>
        </w:rPr>
      </w:pPr>
      <w:r w:rsidRPr="001E6F22">
        <w:rPr>
          <w:rStyle w:val="SCCAppellantForIndexChar"/>
          <w:b w:val="0"/>
          <w:lang w:val="fr-CA"/>
        </w:rPr>
        <w:lastRenderedPageBreak/>
        <w:t>Canada (Procureur général)</w:t>
      </w:r>
      <w:r w:rsidRPr="001E6F22">
        <w:rPr>
          <w:lang w:val="fr-CA"/>
        </w:rPr>
        <w:t xml:space="preserve"> </w:t>
      </w:r>
      <w:r w:rsidRPr="001E6F22">
        <w:rPr>
          <w:i/>
          <w:lang w:val="fr-CA"/>
        </w:rPr>
        <w:t>c.</w:t>
      </w:r>
      <w:r w:rsidRPr="001E6F22">
        <w:rPr>
          <w:lang w:val="fr-CA"/>
        </w:rPr>
        <w:t xml:space="preserve"> </w:t>
      </w:r>
      <w:proofErr w:type="spellStart"/>
      <w:r w:rsidRPr="001E6F22">
        <w:rPr>
          <w:rStyle w:val="SCCRespondentForIndexChar"/>
          <w:b w:val="0"/>
          <w:lang w:val="fr-CA"/>
        </w:rPr>
        <w:t>McArthur</w:t>
      </w:r>
      <w:proofErr w:type="spellEnd"/>
      <w:r w:rsidRPr="001E6F22">
        <w:rPr>
          <w:rStyle w:val="SCCRespondentForRunningHeadChar"/>
          <w:smallCaps w:val="0"/>
          <w:lang w:val="fr-CA"/>
        </w:rPr>
        <w:t xml:space="preserve">, </w:t>
      </w:r>
      <w:r w:rsidRPr="001E6F22">
        <w:rPr>
          <w:rStyle w:val="SCCRespondentForIndexChar"/>
          <w:b w:val="0"/>
          <w:lang w:val="fr-CA"/>
        </w:rPr>
        <w:t xml:space="preserve">2010 </w:t>
      </w:r>
      <w:r w:rsidR="0030601F">
        <w:rPr>
          <w:rStyle w:val="SCCRespondentForIndexChar"/>
          <w:b w:val="0"/>
          <w:lang w:val="fr-CA"/>
        </w:rPr>
        <w:t>C</w:t>
      </w:r>
      <w:r w:rsidRPr="001E6F22">
        <w:rPr>
          <w:rStyle w:val="SCCRespondentForIndexChar"/>
          <w:b w:val="0"/>
          <w:lang w:val="fr-CA"/>
        </w:rPr>
        <w:t>SC 6</w:t>
      </w:r>
      <w:r>
        <w:rPr>
          <w:rStyle w:val="SCCRespondentForIndexChar"/>
          <w:b w:val="0"/>
          <w:lang w:val="fr-CA"/>
        </w:rPr>
        <w:t>3</w:t>
      </w:r>
      <w:r w:rsidRPr="001E6F22">
        <w:rPr>
          <w:rStyle w:val="SCCRespondentForIndexChar"/>
          <w:b w:val="0"/>
          <w:lang w:val="fr-CA"/>
        </w:rPr>
        <w:t xml:space="preserve">, [2010] 3 </w:t>
      </w:r>
      <w:r w:rsidR="0030601F">
        <w:rPr>
          <w:rStyle w:val="SCCRespondentForIndexChar"/>
          <w:b w:val="0"/>
          <w:lang w:val="fr-CA"/>
        </w:rPr>
        <w:t>R.C.</w:t>
      </w:r>
      <w:r w:rsidRPr="001E6F22">
        <w:rPr>
          <w:rStyle w:val="SCCRespondentForIndexChar"/>
          <w:b w:val="0"/>
          <w:lang w:val="fr-CA"/>
        </w:rPr>
        <w:t>S. 6</w:t>
      </w:r>
      <w:r>
        <w:rPr>
          <w:rStyle w:val="SCCRespondentForIndexChar"/>
          <w:b w:val="0"/>
          <w:lang w:val="fr-CA"/>
        </w:rPr>
        <w:t>26</w:t>
      </w:r>
    </w:p>
    <w:p w:rsidR="00766D14" w:rsidRPr="001E6F22" w:rsidRDefault="00766D14" w:rsidP="00E128D4">
      <w:pPr>
        <w:spacing w:line="480" w:lineRule="auto"/>
        <w:jc w:val="both"/>
        <w:rPr>
          <w:lang w:val="fr-CA"/>
        </w:rPr>
      </w:pPr>
    </w:p>
    <w:p w:rsidR="0015222E" w:rsidRPr="00393E1E" w:rsidRDefault="006B3FB7" w:rsidP="009E3DCC">
      <w:pPr>
        <w:pStyle w:val="SCCLsocParty"/>
        <w:spacing w:after="0"/>
        <w:rPr>
          <w:b/>
          <w:lang w:val="fr-CA"/>
        </w:rPr>
      </w:pPr>
      <w:r w:rsidRPr="00393E1E">
        <w:rPr>
          <w:b/>
          <w:lang w:val="fr-CA"/>
        </w:rPr>
        <w:t>Procureur général du Canada et</w:t>
      </w:r>
    </w:p>
    <w:p w:rsidR="007201FE" w:rsidRPr="00393E1E" w:rsidRDefault="003D0C89" w:rsidP="009E3DCC">
      <w:pPr>
        <w:pStyle w:val="SCCLsocParty"/>
        <w:tabs>
          <w:tab w:val="right" w:pos="8280"/>
        </w:tabs>
        <w:rPr>
          <w:b/>
          <w:i/>
          <w:lang w:val="fr-CA"/>
        </w:rPr>
      </w:pPr>
      <w:r w:rsidRPr="00393E1E">
        <w:rPr>
          <w:b/>
          <w:lang w:val="fr-CA"/>
        </w:rPr>
        <w:t xml:space="preserve">James </w:t>
      </w:r>
      <w:proofErr w:type="spellStart"/>
      <w:r w:rsidRPr="00393E1E">
        <w:rPr>
          <w:b/>
          <w:lang w:val="fr-CA"/>
        </w:rPr>
        <w:t>Blackler</w:t>
      </w:r>
      <w:proofErr w:type="spellEnd"/>
      <w:r w:rsidRPr="00393E1E">
        <w:rPr>
          <w:b/>
          <w:lang w:val="fr-CA"/>
        </w:rPr>
        <w:t xml:space="preserve">, </w:t>
      </w:r>
      <w:r w:rsidR="006B3FB7" w:rsidRPr="00393E1E">
        <w:rPr>
          <w:b/>
          <w:lang w:val="fr-CA"/>
        </w:rPr>
        <w:t>aussi connu sous le nom</w:t>
      </w:r>
      <w:r w:rsidR="0076382B" w:rsidRPr="00393E1E">
        <w:rPr>
          <w:b/>
          <w:lang w:val="fr-CA"/>
        </w:rPr>
        <w:t xml:space="preserve"> de</w:t>
      </w:r>
      <w:r w:rsidRPr="00393E1E">
        <w:rPr>
          <w:b/>
          <w:lang w:val="fr-CA"/>
        </w:rPr>
        <w:t xml:space="preserve"> Jim </w:t>
      </w:r>
      <w:proofErr w:type="spellStart"/>
      <w:r w:rsidRPr="00393E1E">
        <w:rPr>
          <w:b/>
          <w:lang w:val="fr-CA"/>
        </w:rPr>
        <w:t>Blackler</w:t>
      </w:r>
      <w:proofErr w:type="spellEnd"/>
      <w:r w:rsidR="006B3FB7" w:rsidRPr="00393E1E">
        <w:rPr>
          <w:lang w:val="fr-CA"/>
        </w:rPr>
        <w:tab/>
      </w:r>
      <w:r w:rsidR="006B3FB7" w:rsidRPr="00393E1E">
        <w:rPr>
          <w:i/>
          <w:lang w:val="fr-CA"/>
        </w:rPr>
        <w:t>Appelant</w:t>
      </w:r>
      <w:r w:rsidRPr="00393E1E">
        <w:rPr>
          <w:i/>
          <w:lang w:val="fr-CA"/>
        </w:rPr>
        <w:t>s</w:t>
      </w:r>
    </w:p>
    <w:p w:rsidR="007201FE" w:rsidRPr="00393E1E" w:rsidRDefault="003D0C89" w:rsidP="00E128D4">
      <w:pPr>
        <w:pStyle w:val="SCCLsocVersus"/>
        <w:spacing w:line="480" w:lineRule="auto"/>
        <w:rPr>
          <w:i/>
          <w:lang w:val="fr-CA"/>
        </w:rPr>
      </w:pPr>
      <w:proofErr w:type="gramStart"/>
      <w:r w:rsidRPr="00393E1E">
        <w:rPr>
          <w:i/>
          <w:lang w:val="fr-CA"/>
        </w:rPr>
        <w:t>c</w:t>
      </w:r>
      <w:proofErr w:type="gramEnd"/>
      <w:r w:rsidRPr="00393E1E">
        <w:rPr>
          <w:i/>
          <w:lang w:val="fr-CA"/>
        </w:rPr>
        <w:t>.</w:t>
      </w:r>
    </w:p>
    <w:p w:rsidR="007201FE" w:rsidRPr="00393E1E" w:rsidRDefault="003D0C89" w:rsidP="00E128D4">
      <w:pPr>
        <w:pStyle w:val="SCCLsocParty"/>
        <w:tabs>
          <w:tab w:val="right" w:pos="8280"/>
        </w:tabs>
        <w:spacing w:line="480" w:lineRule="auto"/>
        <w:rPr>
          <w:b/>
          <w:i/>
          <w:lang w:val="fr-CA"/>
        </w:rPr>
      </w:pPr>
      <w:proofErr w:type="spellStart"/>
      <w:r w:rsidRPr="00393E1E">
        <w:rPr>
          <w:b/>
          <w:lang w:val="fr-CA"/>
        </w:rPr>
        <w:t>Michiel</w:t>
      </w:r>
      <w:proofErr w:type="spellEnd"/>
      <w:r w:rsidRPr="00393E1E">
        <w:rPr>
          <w:b/>
          <w:lang w:val="fr-CA"/>
        </w:rPr>
        <w:t xml:space="preserve"> </w:t>
      </w:r>
      <w:proofErr w:type="spellStart"/>
      <w:r w:rsidRPr="00393E1E">
        <w:rPr>
          <w:b/>
          <w:lang w:val="fr-CA"/>
        </w:rPr>
        <w:t>McArthur</w:t>
      </w:r>
      <w:proofErr w:type="spellEnd"/>
      <w:r w:rsidR="006B3FB7" w:rsidRPr="00393E1E">
        <w:rPr>
          <w:lang w:val="fr-CA"/>
        </w:rPr>
        <w:tab/>
      </w:r>
      <w:r w:rsidRPr="00393E1E">
        <w:rPr>
          <w:i/>
          <w:lang w:val="fr-CA"/>
        </w:rPr>
        <w:t>Intimé</w:t>
      </w:r>
    </w:p>
    <w:p w:rsidR="007201FE" w:rsidRPr="00393E1E" w:rsidRDefault="003D0C89" w:rsidP="00E128D4">
      <w:pPr>
        <w:pStyle w:val="SCCLsocOtherPartySeparator"/>
        <w:spacing w:line="480" w:lineRule="auto"/>
        <w:rPr>
          <w:lang w:val="fr-CA"/>
        </w:rPr>
      </w:pPr>
      <w:proofErr w:type="gramStart"/>
      <w:r w:rsidRPr="00393E1E">
        <w:rPr>
          <w:lang w:val="fr-CA"/>
        </w:rPr>
        <w:t>et</w:t>
      </w:r>
      <w:proofErr w:type="gramEnd"/>
    </w:p>
    <w:p w:rsidR="0015222E" w:rsidRPr="00393E1E" w:rsidRDefault="003D0C89" w:rsidP="009E3DCC">
      <w:pPr>
        <w:pStyle w:val="SCCLsocOtherPartySeparator"/>
        <w:spacing w:after="0"/>
        <w:rPr>
          <w:b/>
          <w:lang w:val="fr-CA"/>
        </w:rPr>
      </w:pPr>
      <w:r w:rsidRPr="00393E1E">
        <w:rPr>
          <w:b/>
          <w:lang w:val="fr-CA"/>
        </w:rPr>
        <w:t>Procureur gén</w:t>
      </w:r>
      <w:r w:rsidR="006B3FB7" w:rsidRPr="00393E1E">
        <w:rPr>
          <w:b/>
          <w:lang w:val="fr-CA"/>
        </w:rPr>
        <w:t>éral de la Colombie</w:t>
      </w:r>
      <w:r w:rsidR="00393E1E">
        <w:rPr>
          <w:b/>
          <w:lang w:val="fr-CA"/>
        </w:rPr>
        <w:t>-</w:t>
      </w:r>
      <w:r w:rsidR="006B3FB7" w:rsidRPr="00393E1E">
        <w:rPr>
          <w:b/>
          <w:lang w:val="fr-CA"/>
        </w:rPr>
        <w:t>Britannique</w:t>
      </w:r>
      <w:r w:rsidR="00F22764" w:rsidRPr="00393E1E">
        <w:rPr>
          <w:b/>
          <w:lang w:val="fr-CA"/>
        </w:rPr>
        <w:t>,</w:t>
      </w:r>
      <w:r w:rsidRPr="00393E1E">
        <w:rPr>
          <w:b/>
          <w:lang w:val="fr-CA"/>
        </w:rPr>
        <w:t xml:space="preserve"> </w:t>
      </w:r>
    </w:p>
    <w:p w:rsidR="007201FE" w:rsidRPr="009E3DCC" w:rsidRDefault="003D0C89" w:rsidP="009E3DCC">
      <w:pPr>
        <w:pStyle w:val="SCCLsocParty"/>
        <w:tabs>
          <w:tab w:val="right" w:pos="8280"/>
        </w:tabs>
        <w:spacing w:after="0"/>
        <w:rPr>
          <w:b/>
          <w:lang w:val="fr-FR"/>
        </w:rPr>
      </w:pPr>
      <w:r w:rsidRPr="009E3DCC">
        <w:rPr>
          <w:b/>
          <w:lang w:val="fr-FR"/>
        </w:rPr>
        <w:t xml:space="preserve">Roland </w:t>
      </w:r>
      <w:proofErr w:type="spellStart"/>
      <w:r w:rsidRPr="009E3DCC">
        <w:rPr>
          <w:b/>
          <w:lang w:val="fr-FR"/>
        </w:rPr>
        <w:t>Anglehart</w:t>
      </w:r>
      <w:proofErr w:type="spellEnd"/>
      <w:r w:rsidRPr="009E3DCC">
        <w:rPr>
          <w:b/>
          <w:lang w:val="fr-FR"/>
        </w:rPr>
        <w:t xml:space="preserve"> </w:t>
      </w:r>
      <w:r w:rsidR="0076382B" w:rsidRPr="009E3DCC">
        <w:rPr>
          <w:b/>
          <w:lang w:val="fr-FR"/>
        </w:rPr>
        <w:t>père</w:t>
      </w:r>
      <w:r w:rsidR="007201FE" w:rsidRPr="009E3DCC">
        <w:rPr>
          <w:b/>
          <w:lang w:val="fr-FR"/>
        </w:rPr>
        <w:t xml:space="preserve">, Roland </w:t>
      </w:r>
      <w:proofErr w:type="spellStart"/>
      <w:r w:rsidR="007201FE" w:rsidRPr="009E3DCC">
        <w:rPr>
          <w:b/>
          <w:lang w:val="fr-FR"/>
        </w:rPr>
        <w:t>Anglehart</w:t>
      </w:r>
      <w:proofErr w:type="spellEnd"/>
      <w:r w:rsidR="0076382B" w:rsidRPr="009E3DCC">
        <w:rPr>
          <w:b/>
          <w:lang w:val="fr-FR"/>
        </w:rPr>
        <w:t xml:space="preserve"> fils</w:t>
      </w:r>
      <w:r w:rsidR="007201FE" w:rsidRPr="009E3DCC">
        <w:rPr>
          <w:b/>
          <w:lang w:val="fr-FR"/>
        </w:rPr>
        <w:t xml:space="preserve">, </w:t>
      </w:r>
    </w:p>
    <w:p w:rsidR="007201FE" w:rsidRPr="00393E1E" w:rsidRDefault="007201FE" w:rsidP="009E3DCC">
      <w:pPr>
        <w:pStyle w:val="SCCLsocParty"/>
        <w:tabs>
          <w:tab w:val="right" w:pos="8280"/>
        </w:tabs>
        <w:spacing w:after="0"/>
        <w:rPr>
          <w:b/>
          <w:lang w:val="fr-CA"/>
        </w:rPr>
      </w:pPr>
      <w:r w:rsidRPr="00393E1E">
        <w:rPr>
          <w:b/>
          <w:lang w:val="fr-CA"/>
        </w:rPr>
        <w:t xml:space="preserve">Bernard Arseneault, Héliodore </w:t>
      </w:r>
      <w:proofErr w:type="spellStart"/>
      <w:r w:rsidRPr="00393E1E">
        <w:rPr>
          <w:b/>
          <w:lang w:val="fr-CA"/>
        </w:rPr>
        <w:t>Aucoin</w:t>
      </w:r>
      <w:proofErr w:type="spellEnd"/>
      <w:r w:rsidRPr="00393E1E">
        <w:rPr>
          <w:b/>
          <w:lang w:val="fr-CA"/>
        </w:rPr>
        <w:t xml:space="preserve">, Albert Benoît, </w:t>
      </w:r>
    </w:p>
    <w:p w:rsidR="007201FE" w:rsidRPr="00393E1E" w:rsidRDefault="007201FE" w:rsidP="009E3DCC">
      <w:pPr>
        <w:pStyle w:val="SCCLsocParty"/>
        <w:tabs>
          <w:tab w:val="right" w:pos="8280"/>
        </w:tabs>
        <w:spacing w:after="0"/>
        <w:rPr>
          <w:b/>
          <w:lang w:val="fr-CA"/>
        </w:rPr>
      </w:pPr>
      <w:r w:rsidRPr="00393E1E">
        <w:rPr>
          <w:b/>
          <w:lang w:val="fr-CA"/>
        </w:rPr>
        <w:t xml:space="preserve">Robert Boucher, </w:t>
      </w:r>
      <w:proofErr w:type="spellStart"/>
      <w:r w:rsidRPr="00393E1E">
        <w:rPr>
          <w:b/>
          <w:lang w:val="fr-CA"/>
        </w:rPr>
        <w:t>Elide</w:t>
      </w:r>
      <w:proofErr w:type="spellEnd"/>
      <w:r w:rsidRPr="00393E1E">
        <w:rPr>
          <w:b/>
          <w:lang w:val="fr-CA"/>
        </w:rPr>
        <w:t xml:space="preserve"> </w:t>
      </w:r>
      <w:proofErr w:type="spellStart"/>
      <w:r w:rsidRPr="00393E1E">
        <w:rPr>
          <w:b/>
          <w:lang w:val="fr-CA"/>
        </w:rPr>
        <w:t>Bulger</w:t>
      </w:r>
      <w:proofErr w:type="spellEnd"/>
      <w:r w:rsidRPr="00393E1E">
        <w:rPr>
          <w:b/>
          <w:lang w:val="fr-CA"/>
        </w:rPr>
        <w:t xml:space="preserve">, Gérard </w:t>
      </w:r>
      <w:proofErr w:type="spellStart"/>
      <w:r w:rsidRPr="00393E1E">
        <w:rPr>
          <w:b/>
          <w:lang w:val="fr-CA"/>
        </w:rPr>
        <w:t>Cassivi</w:t>
      </w:r>
      <w:proofErr w:type="spellEnd"/>
      <w:r w:rsidRPr="00393E1E">
        <w:rPr>
          <w:b/>
          <w:lang w:val="fr-CA"/>
        </w:rPr>
        <w:t xml:space="preserve">, </w:t>
      </w:r>
    </w:p>
    <w:p w:rsidR="007201FE" w:rsidRPr="00393E1E" w:rsidRDefault="007201FE" w:rsidP="009E3DCC">
      <w:pPr>
        <w:pStyle w:val="SCCLsocParty"/>
        <w:tabs>
          <w:tab w:val="right" w:pos="8280"/>
        </w:tabs>
        <w:spacing w:after="0"/>
        <w:rPr>
          <w:b/>
          <w:lang w:val="fr-CA"/>
        </w:rPr>
      </w:pPr>
      <w:r w:rsidRPr="00393E1E">
        <w:rPr>
          <w:b/>
          <w:lang w:val="fr-CA"/>
        </w:rPr>
        <w:t>Jean</w:t>
      </w:r>
      <w:r w:rsidR="00393E1E">
        <w:rPr>
          <w:b/>
          <w:lang w:val="fr-CA"/>
        </w:rPr>
        <w:t>-</w:t>
      </w:r>
      <w:r w:rsidRPr="00393E1E">
        <w:rPr>
          <w:b/>
          <w:lang w:val="fr-CA"/>
        </w:rPr>
        <w:t xml:space="preserve">Gilles Chiasson, </w:t>
      </w:r>
      <w:proofErr w:type="spellStart"/>
      <w:r w:rsidRPr="00393E1E">
        <w:rPr>
          <w:b/>
          <w:lang w:val="fr-CA"/>
        </w:rPr>
        <w:t>Ludger</w:t>
      </w:r>
      <w:proofErr w:type="spellEnd"/>
      <w:r w:rsidRPr="00393E1E">
        <w:rPr>
          <w:b/>
          <w:lang w:val="fr-CA"/>
        </w:rPr>
        <w:t xml:space="preserve"> Chiasson, </w:t>
      </w:r>
    </w:p>
    <w:p w:rsidR="007201FE" w:rsidRPr="00393E1E" w:rsidRDefault="003A5B12" w:rsidP="009E3DCC">
      <w:pPr>
        <w:pStyle w:val="SCCLsocParty"/>
        <w:tabs>
          <w:tab w:val="right" w:pos="8280"/>
        </w:tabs>
        <w:spacing w:after="0"/>
        <w:rPr>
          <w:b/>
          <w:lang w:val="fr-CA"/>
        </w:rPr>
      </w:pPr>
      <w:r w:rsidRPr="00393E1E">
        <w:rPr>
          <w:b/>
          <w:lang w:val="fr-CA"/>
        </w:rPr>
        <w:t>Martin </w:t>
      </w:r>
      <w:r w:rsidR="007201FE" w:rsidRPr="00393E1E">
        <w:rPr>
          <w:b/>
          <w:lang w:val="fr-CA"/>
        </w:rPr>
        <w:t xml:space="preserve">M. Chiasson, Rémi Chiasson, </w:t>
      </w:r>
    </w:p>
    <w:p w:rsidR="007201FE" w:rsidRPr="00393E1E" w:rsidRDefault="007201FE" w:rsidP="009E3DCC">
      <w:pPr>
        <w:pStyle w:val="SCCLsocParty"/>
        <w:tabs>
          <w:tab w:val="right" w:pos="8280"/>
        </w:tabs>
        <w:spacing w:after="0"/>
        <w:rPr>
          <w:b/>
          <w:lang w:val="fr-CA"/>
        </w:rPr>
      </w:pPr>
      <w:r w:rsidRPr="00393E1E">
        <w:rPr>
          <w:b/>
          <w:lang w:val="fr-CA"/>
        </w:rPr>
        <w:t>2973</w:t>
      </w:r>
      <w:r w:rsidR="00393E1E">
        <w:rPr>
          <w:b/>
          <w:lang w:val="fr-CA"/>
        </w:rPr>
        <w:t>-</w:t>
      </w:r>
      <w:r w:rsidRPr="00393E1E">
        <w:rPr>
          <w:b/>
          <w:lang w:val="fr-CA"/>
        </w:rPr>
        <w:t xml:space="preserve">0819 Québec </w:t>
      </w:r>
      <w:proofErr w:type="spellStart"/>
      <w:r w:rsidRPr="00393E1E">
        <w:rPr>
          <w:b/>
          <w:lang w:val="fr-CA"/>
        </w:rPr>
        <w:t>inc</w:t>
      </w:r>
      <w:proofErr w:type="spellEnd"/>
      <w:r w:rsidRPr="00393E1E">
        <w:rPr>
          <w:b/>
          <w:lang w:val="fr-CA"/>
        </w:rPr>
        <w:t>., 2973</w:t>
      </w:r>
      <w:r w:rsidR="00393E1E">
        <w:rPr>
          <w:b/>
          <w:lang w:val="fr-CA"/>
        </w:rPr>
        <w:t>-</w:t>
      </w:r>
      <w:r w:rsidRPr="00393E1E">
        <w:rPr>
          <w:b/>
          <w:lang w:val="fr-CA"/>
        </w:rPr>
        <w:t xml:space="preserve">1288 Québec </w:t>
      </w:r>
      <w:proofErr w:type="spellStart"/>
      <w:r w:rsidRPr="00393E1E">
        <w:rPr>
          <w:b/>
          <w:lang w:val="fr-CA"/>
        </w:rPr>
        <w:t>inc</w:t>
      </w:r>
      <w:proofErr w:type="spellEnd"/>
      <w:r w:rsidRPr="00393E1E">
        <w:rPr>
          <w:b/>
          <w:lang w:val="fr-CA"/>
        </w:rPr>
        <w:t xml:space="preserve">., </w:t>
      </w:r>
    </w:p>
    <w:p w:rsidR="007201FE" w:rsidRPr="00393E1E" w:rsidRDefault="007201FE" w:rsidP="009E3DCC">
      <w:pPr>
        <w:pStyle w:val="SCCLsocParty"/>
        <w:tabs>
          <w:tab w:val="right" w:pos="8280"/>
        </w:tabs>
        <w:spacing w:after="0"/>
        <w:rPr>
          <w:b/>
          <w:lang w:val="fr-CA"/>
        </w:rPr>
      </w:pPr>
      <w:r w:rsidRPr="00393E1E">
        <w:rPr>
          <w:b/>
          <w:lang w:val="fr-CA"/>
        </w:rPr>
        <w:t>3087</w:t>
      </w:r>
      <w:r w:rsidR="00393E1E">
        <w:rPr>
          <w:b/>
          <w:lang w:val="fr-CA"/>
        </w:rPr>
        <w:t>-</w:t>
      </w:r>
      <w:r w:rsidRPr="00393E1E">
        <w:rPr>
          <w:b/>
          <w:lang w:val="fr-CA"/>
        </w:rPr>
        <w:t xml:space="preserve">5199 Québec </w:t>
      </w:r>
      <w:proofErr w:type="spellStart"/>
      <w:r w:rsidRPr="00393E1E">
        <w:rPr>
          <w:b/>
          <w:lang w:val="fr-CA"/>
        </w:rPr>
        <w:t>inc</w:t>
      </w:r>
      <w:proofErr w:type="spellEnd"/>
      <w:r w:rsidRPr="00393E1E">
        <w:rPr>
          <w:b/>
          <w:lang w:val="fr-CA"/>
        </w:rPr>
        <w:t>., R</w:t>
      </w:r>
      <w:r w:rsidR="003A5B12" w:rsidRPr="00393E1E">
        <w:rPr>
          <w:b/>
          <w:lang w:val="fr-CA"/>
        </w:rPr>
        <w:t xml:space="preserve">obert </w:t>
      </w:r>
      <w:proofErr w:type="spellStart"/>
      <w:r w:rsidR="003A5B12" w:rsidRPr="00393E1E">
        <w:rPr>
          <w:b/>
          <w:lang w:val="fr-CA"/>
        </w:rPr>
        <w:t>Collin</w:t>
      </w:r>
      <w:proofErr w:type="spellEnd"/>
      <w:r w:rsidR="003A5B12" w:rsidRPr="00393E1E">
        <w:rPr>
          <w:b/>
          <w:lang w:val="fr-CA"/>
        </w:rPr>
        <w:t>, Roméo</w:t>
      </w:r>
      <w:r w:rsidR="00393E1E">
        <w:rPr>
          <w:b/>
          <w:lang w:val="fr-CA"/>
        </w:rPr>
        <w:t xml:space="preserve"> </w:t>
      </w:r>
      <w:r w:rsidRPr="00393E1E">
        <w:rPr>
          <w:b/>
          <w:lang w:val="fr-CA"/>
        </w:rPr>
        <w:t xml:space="preserve">G. Cormier, </w:t>
      </w:r>
    </w:p>
    <w:p w:rsidR="007201FE" w:rsidRPr="00393E1E" w:rsidRDefault="007201FE" w:rsidP="009E3DCC">
      <w:pPr>
        <w:pStyle w:val="SCCLsocParty"/>
        <w:tabs>
          <w:tab w:val="right" w:pos="8280"/>
        </w:tabs>
        <w:spacing w:after="0"/>
        <w:rPr>
          <w:b/>
          <w:lang w:val="fr-CA"/>
        </w:rPr>
      </w:pPr>
      <w:r w:rsidRPr="00393E1E">
        <w:rPr>
          <w:b/>
          <w:lang w:val="fr-CA"/>
        </w:rPr>
        <w:t xml:space="preserve">Marc Couture, Les Crustacées de Gaspé </w:t>
      </w:r>
      <w:proofErr w:type="spellStart"/>
      <w:r w:rsidRPr="00393E1E">
        <w:rPr>
          <w:b/>
          <w:lang w:val="fr-CA"/>
        </w:rPr>
        <w:t>ltée</w:t>
      </w:r>
      <w:proofErr w:type="spellEnd"/>
      <w:r w:rsidRPr="00393E1E">
        <w:rPr>
          <w:b/>
          <w:lang w:val="fr-CA"/>
        </w:rPr>
        <w:t xml:space="preserve">, </w:t>
      </w:r>
    </w:p>
    <w:p w:rsidR="007201FE" w:rsidRPr="00393E1E" w:rsidRDefault="007201FE" w:rsidP="009E3DCC">
      <w:pPr>
        <w:pStyle w:val="SCCLsocParty"/>
        <w:tabs>
          <w:tab w:val="right" w:pos="8280"/>
        </w:tabs>
        <w:spacing w:after="0"/>
        <w:rPr>
          <w:b/>
          <w:lang w:val="fr-CA"/>
        </w:rPr>
      </w:pPr>
      <w:r w:rsidRPr="00393E1E">
        <w:rPr>
          <w:b/>
          <w:lang w:val="fr-CA"/>
        </w:rPr>
        <w:t xml:space="preserve">Lino Desbois, Randy Deveau, Carol Duguay, </w:t>
      </w:r>
    </w:p>
    <w:p w:rsidR="007201FE" w:rsidRPr="009E3DCC" w:rsidRDefault="007201FE" w:rsidP="009E3DCC">
      <w:pPr>
        <w:pStyle w:val="SCCLsocParty"/>
        <w:tabs>
          <w:tab w:val="right" w:pos="8280"/>
        </w:tabs>
        <w:spacing w:after="0"/>
        <w:rPr>
          <w:b/>
          <w:lang w:val="en-US"/>
        </w:rPr>
      </w:pPr>
      <w:r w:rsidRPr="00393E1E">
        <w:rPr>
          <w:b/>
          <w:lang w:val="en-US"/>
        </w:rPr>
        <w:t>Charles</w:t>
      </w:r>
      <w:r w:rsidR="00393E1E" w:rsidRPr="00393E1E">
        <w:rPr>
          <w:b/>
          <w:lang w:val="en-US"/>
        </w:rPr>
        <w:t>-</w:t>
      </w:r>
      <w:proofErr w:type="spellStart"/>
      <w:r w:rsidRPr="00393E1E">
        <w:rPr>
          <w:b/>
          <w:lang w:val="en-US"/>
        </w:rPr>
        <w:t>Aimé</w:t>
      </w:r>
      <w:proofErr w:type="spellEnd"/>
      <w:r w:rsidRPr="00393E1E">
        <w:rPr>
          <w:b/>
          <w:lang w:val="en-US"/>
        </w:rPr>
        <w:t xml:space="preserve"> </w:t>
      </w:r>
      <w:proofErr w:type="spellStart"/>
      <w:r w:rsidRPr="00393E1E">
        <w:rPr>
          <w:b/>
          <w:lang w:val="en-US"/>
        </w:rPr>
        <w:t>Duguay</w:t>
      </w:r>
      <w:proofErr w:type="spellEnd"/>
      <w:r w:rsidRPr="00393E1E">
        <w:rPr>
          <w:b/>
          <w:lang w:val="en-US"/>
        </w:rPr>
        <w:t xml:space="preserve">, Denis </w:t>
      </w:r>
      <w:proofErr w:type="spellStart"/>
      <w:r w:rsidRPr="00393E1E">
        <w:rPr>
          <w:b/>
          <w:lang w:val="en-US"/>
        </w:rPr>
        <w:t>Duguay</w:t>
      </w:r>
      <w:proofErr w:type="spellEnd"/>
      <w:r w:rsidRPr="00393E1E">
        <w:rPr>
          <w:b/>
          <w:lang w:val="en-US"/>
        </w:rPr>
        <w:t>, Don</w:t>
      </w:r>
      <w:r w:rsidRPr="009E3DCC">
        <w:rPr>
          <w:b/>
          <w:lang w:val="en-US"/>
        </w:rPr>
        <w:t xml:space="preserve">ald </w:t>
      </w:r>
      <w:proofErr w:type="spellStart"/>
      <w:r w:rsidRPr="009E3DCC">
        <w:rPr>
          <w:b/>
          <w:lang w:val="en-US"/>
        </w:rPr>
        <w:t>Duguay</w:t>
      </w:r>
      <w:proofErr w:type="spellEnd"/>
      <w:r w:rsidRPr="009E3DCC">
        <w:rPr>
          <w:b/>
          <w:lang w:val="en-US"/>
        </w:rPr>
        <w:t xml:space="preserve">, </w:t>
      </w:r>
    </w:p>
    <w:p w:rsidR="007201FE" w:rsidRPr="009E3DCC" w:rsidRDefault="007201FE" w:rsidP="009E3DCC">
      <w:pPr>
        <w:pStyle w:val="SCCLsocParty"/>
        <w:tabs>
          <w:tab w:val="right" w:pos="8280"/>
        </w:tabs>
        <w:spacing w:after="0"/>
        <w:rPr>
          <w:b/>
          <w:lang w:val="en-US"/>
        </w:rPr>
      </w:pPr>
      <w:r w:rsidRPr="009E3DCC">
        <w:rPr>
          <w:b/>
          <w:lang w:val="en-US"/>
        </w:rPr>
        <w:t xml:space="preserve">Marius </w:t>
      </w:r>
      <w:proofErr w:type="spellStart"/>
      <w:r w:rsidRPr="009E3DCC">
        <w:rPr>
          <w:b/>
          <w:lang w:val="en-US"/>
        </w:rPr>
        <w:t>Duguay</w:t>
      </w:r>
      <w:proofErr w:type="spellEnd"/>
      <w:r w:rsidRPr="009E3DCC">
        <w:rPr>
          <w:b/>
          <w:lang w:val="en-US"/>
        </w:rPr>
        <w:t xml:space="preserve">, Edgar </w:t>
      </w:r>
      <w:proofErr w:type="spellStart"/>
      <w:r w:rsidRPr="009E3DCC">
        <w:rPr>
          <w:b/>
          <w:lang w:val="en-US"/>
        </w:rPr>
        <w:t>Ferron</w:t>
      </w:r>
      <w:proofErr w:type="spellEnd"/>
      <w:r w:rsidRPr="009E3DCC">
        <w:rPr>
          <w:b/>
          <w:lang w:val="en-US"/>
        </w:rPr>
        <w:t xml:space="preserve">, Armand </w:t>
      </w:r>
      <w:proofErr w:type="spellStart"/>
      <w:r w:rsidRPr="009E3DCC">
        <w:rPr>
          <w:b/>
          <w:lang w:val="en-US"/>
        </w:rPr>
        <w:t>Fiset</w:t>
      </w:r>
      <w:proofErr w:type="spellEnd"/>
      <w:r w:rsidRPr="009E3DCC">
        <w:rPr>
          <w:b/>
          <w:lang w:val="en-US"/>
        </w:rPr>
        <w:t xml:space="preserve">, </w:t>
      </w:r>
    </w:p>
    <w:p w:rsidR="007201FE" w:rsidRPr="00393E1E" w:rsidRDefault="007201FE" w:rsidP="009E3DCC">
      <w:pPr>
        <w:pStyle w:val="SCCLsocParty"/>
        <w:tabs>
          <w:tab w:val="right" w:pos="8280"/>
        </w:tabs>
        <w:spacing w:after="0"/>
        <w:rPr>
          <w:b/>
          <w:lang w:val="fr-CA"/>
        </w:rPr>
      </w:pPr>
      <w:proofErr w:type="spellStart"/>
      <w:r w:rsidRPr="00393E1E">
        <w:rPr>
          <w:b/>
          <w:lang w:val="fr-CA"/>
        </w:rPr>
        <w:t>Livain</w:t>
      </w:r>
      <w:proofErr w:type="spellEnd"/>
      <w:r w:rsidRPr="00393E1E">
        <w:rPr>
          <w:b/>
          <w:lang w:val="fr-CA"/>
        </w:rPr>
        <w:t xml:space="preserve"> </w:t>
      </w:r>
      <w:proofErr w:type="spellStart"/>
      <w:r w:rsidRPr="00393E1E">
        <w:rPr>
          <w:b/>
          <w:lang w:val="fr-CA"/>
        </w:rPr>
        <w:t>Foulem</w:t>
      </w:r>
      <w:proofErr w:type="spellEnd"/>
      <w:r w:rsidRPr="00393E1E">
        <w:rPr>
          <w:b/>
          <w:lang w:val="fr-CA"/>
        </w:rPr>
        <w:t xml:space="preserve">, Claude </w:t>
      </w:r>
      <w:proofErr w:type="spellStart"/>
      <w:r w:rsidRPr="00393E1E">
        <w:rPr>
          <w:b/>
          <w:lang w:val="fr-CA"/>
        </w:rPr>
        <w:t>Gionest</w:t>
      </w:r>
      <w:proofErr w:type="spellEnd"/>
      <w:r w:rsidRPr="00393E1E">
        <w:rPr>
          <w:b/>
          <w:lang w:val="fr-CA"/>
        </w:rPr>
        <w:t xml:space="preserve">, Jocelyn </w:t>
      </w:r>
      <w:proofErr w:type="spellStart"/>
      <w:r w:rsidRPr="00393E1E">
        <w:rPr>
          <w:b/>
          <w:lang w:val="fr-CA"/>
        </w:rPr>
        <w:t>Gionet</w:t>
      </w:r>
      <w:proofErr w:type="spellEnd"/>
      <w:r w:rsidRPr="00393E1E">
        <w:rPr>
          <w:b/>
          <w:lang w:val="fr-CA"/>
        </w:rPr>
        <w:t xml:space="preserve">, </w:t>
      </w:r>
    </w:p>
    <w:p w:rsidR="007201FE" w:rsidRPr="00393E1E" w:rsidRDefault="003A5B12" w:rsidP="009E3DCC">
      <w:pPr>
        <w:pStyle w:val="SCCLsocParty"/>
        <w:tabs>
          <w:tab w:val="right" w:pos="8280"/>
        </w:tabs>
        <w:spacing w:after="0"/>
        <w:rPr>
          <w:b/>
          <w:lang w:val="fr-CA"/>
        </w:rPr>
      </w:pPr>
      <w:r w:rsidRPr="00393E1E">
        <w:rPr>
          <w:b/>
          <w:lang w:val="fr-CA"/>
        </w:rPr>
        <w:t>Simon</w:t>
      </w:r>
      <w:r w:rsidR="00393E1E">
        <w:rPr>
          <w:b/>
          <w:lang w:val="fr-CA"/>
        </w:rPr>
        <w:t xml:space="preserve"> </w:t>
      </w:r>
      <w:r w:rsidR="007201FE" w:rsidRPr="00393E1E">
        <w:rPr>
          <w:b/>
          <w:lang w:val="fr-CA"/>
        </w:rPr>
        <w:t xml:space="preserve">J. </w:t>
      </w:r>
      <w:proofErr w:type="spellStart"/>
      <w:r w:rsidR="007201FE" w:rsidRPr="00393E1E">
        <w:rPr>
          <w:b/>
          <w:lang w:val="fr-CA"/>
        </w:rPr>
        <w:t>Gionet</w:t>
      </w:r>
      <w:proofErr w:type="spellEnd"/>
      <w:r w:rsidR="007201FE" w:rsidRPr="00393E1E">
        <w:rPr>
          <w:b/>
          <w:lang w:val="fr-CA"/>
        </w:rPr>
        <w:t xml:space="preserve">, Aurèle Godin, Valois Goupil, </w:t>
      </w:r>
    </w:p>
    <w:p w:rsidR="007201FE" w:rsidRPr="00393E1E" w:rsidRDefault="007201FE" w:rsidP="009E3DCC">
      <w:pPr>
        <w:pStyle w:val="SCCLsocParty"/>
        <w:tabs>
          <w:tab w:val="right" w:pos="8280"/>
        </w:tabs>
        <w:spacing w:after="0"/>
        <w:rPr>
          <w:b/>
          <w:lang w:val="fr-CA"/>
        </w:rPr>
      </w:pPr>
      <w:r w:rsidRPr="00393E1E">
        <w:rPr>
          <w:b/>
          <w:lang w:val="fr-CA"/>
        </w:rPr>
        <w:t xml:space="preserve">Aurélien Haché, Donald R. Haché, Gaëtan Haché, </w:t>
      </w:r>
    </w:p>
    <w:p w:rsidR="007201FE" w:rsidRPr="00393E1E" w:rsidRDefault="003A5B12" w:rsidP="009E3DCC">
      <w:pPr>
        <w:pStyle w:val="SCCLsocParty"/>
        <w:tabs>
          <w:tab w:val="right" w:pos="8280"/>
        </w:tabs>
        <w:spacing w:after="0"/>
        <w:rPr>
          <w:b/>
          <w:lang w:val="fr-CA"/>
        </w:rPr>
      </w:pPr>
      <w:r w:rsidRPr="00393E1E">
        <w:rPr>
          <w:b/>
          <w:lang w:val="fr-CA"/>
        </w:rPr>
        <w:t>Guy Haché, Jacques</w:t>
      </w:r>
      <w:r w:rsidR="00393E1E">
        <w:rPr>
          <w:b/>
          <w:lang w:val="fr-CA"/>
        </w:rPr>
        <w:t xml:space="preserve"> </w:t>
      </w:r>
      <w:r w:rsidR="007201FE" w:rsidRPr="00393E1E">
        <w:rPr>
          <w:b/>
          <w:lang w:val="fr-CA"/>
        </w:rPr>
        <w:t>E. Haché, Jason</w:t>
      </w:r>
      <w:r w:rsidR="00393E1E">
        <w:rPr>
          <w:b/>
          <w:lang w:val="fr-CA"/>
        </w:rPr>
        <w:t>-</w:t>
      </w:r>
      <w:r w:rsidR="007201FE" w:rsidRPr="00393E1E">
        <w:rPr>
          <w:b/>
          <w:lang w:val="fr-CA"/>
        </w:rPr>
        <w:t xml:space="preserve">Sylvain Haché, </w:t>
      </w:r>
    </w:p>
    <w:p w:rsidR="007201FE" w:rsidRPr="00393E1E" w:rsidRDefault="007201FE" w:rsidP="009E3DCC">
      <w:pPr>
        <w:pStyle w:val="SCCLsocParty"/>
        <w:tabs>
          <w:tab w:val="right" w:pos="8280"/>
        </w:tabs>
        <w:spacing w:after="0"/>
        <w:rPr>
          <w:b/>
          <w:lang w:val="fr-CA"/>
        </w:rPr>
      </w:pPr>
      <w:r w:rsidRPr="00393E1E">
        <w:rPr>
          <w:b/>
          <w:lang w:val="fr-CA"/>
        </w:rPr>
        <w:t>Jean</w:t>
      </w:r>
      <w:r w:rsidR="00393E1E">
        <w:rPr>
          <w:b/>
          <w:lang w:val="fr-CA"/>
        </w:rPr>
        <w:t>-</w:t>
      </w:r>
      <w:r w:rsidR="003A5B12" w:rsidRPr="00393E1E">
        <w:rPr>
          <w:b/>
          <w:lang w:val="fr-CA"/>
        </w:rPr>
        <w:t>Pierre Haché, Jacques</w:t>
      </w:r>
      <w:r w:rsidR="00393E1E">
        <w:rPr>
          <w:b/>
          <w:lang w:val="fr-CA"/>
        </w:rPr>
        <w:t xml:space="preserve"> </w:t>
      </w:r>
      <w:r w:rsidRPr="00393E1E">
        <w:rPr>
          <w:b/>
          <w:lang w:val="fr-CA"/>
        </w:rPr>
        <w:t xml:space="preserve">A. Haché, René Haché, </w:t>
      </w:r>
    </w:p>
    <w:p w:rsidR="007201FE" w:rsidRPr="00393E1E" w:rsidRDefault="003A5B12" w:rsidP="009E3DCC">
      <w:pPr>
        <w:pStyle w:val="SCCLsocParty"/>
        <w:tabs>
          <w:tab w:val="right" w:pos="8280"/>
        </w:tabs>
        <w:spacing w:after="0"/>
        <w:rPr>
          <w:b/>
          <w:lang w:val="fr-CA"/>
        </w:rPr>
      </w:pPr>
      <w:proofErr w:type="spellStart"/>
      <w:r w:rsidRPr="00393E1E">
        <w:rPr>
          <w:b/>
          <w:lang w:val="fr-CA"/>
        </w:rPr>
        <w:t>Rhéal</w:t>
      </w:r>
      <w:proofErr w:type="spellEnd"/>
      <w:r w:rsidRPr="00393E1E">
        <w:rPr>
          <w:b/>
          <w:lang w:val="fr-CA"/>
        </w:rPr>
        <w:t xml:space="preserve"> Haché, Robert </w:t>
      </w:r>
      <w:r w:rsidR="007201FE" w:rsidRPr="00393E1E">
        <w:rPr>
          <w:b/>
          <w:lang w:val="fr-CA"/>
        </w:rPr>
        <w:t xml:space="preserve">F. Haché, Alban </w:t>
      </w:r>
      <w:proofErr w:type="spellStart"/>
      <w:r w:rsidR="007201FE" w:rsidRPr="00393E1E">
        <w:rPr>
          <w:b/>
          <w:lang w:val="fr-CA"/>
        </w:rPr>
        <w:t>Hautc</w:t>
      </w:r>
      <w:r w:rsidR="00393E1E">
        <w:rPr>
          <w:b/>
          <w:lang w:val="fr-CA"/>
        </w:rPr>
        <w:t>œ</w:t>
      </w:r>
      <w:r w:rsidR="007201FE" w:rsidRPr="00393E1E">
        <w:rPr>
          <w:b/>
          <w:lang w:val="fr-CA"/>
        </w:rPr>
        <w:t>ur</w:t>
      </w:r>
      <w:proofErr w:type="spellEnd"/>
      <w:r w:rsidR="007201FE" w:rsidRPr="00393E1E">
        <w:rPr>
          <w:b/>
          <w:lang w:val="fr-CA"/>
        </w:rPr>
        <w:t xml:space="preserve">, </w:t>
      </w:r>
    </w:p>
    <w:p w:rsidR="007201FE" w:rsidRPr="00393E1E" w:rsidRDefault="007201FE" w:rsidP="009E3DCC">
      <w:pPr>
        <w:pStyle w:val="SCCLsocParty"/>
        <w:tabs>
          <w:tab w:val="right" w:pos="8280"/>
        </w:tabs>
        <w:spacing w:after="0"/>
        <w:rPr>
          <w:b/>
          <w:lang w:val="fr-CA"/>
        </w:rPr>
      </w:pPr>
      <w:r w:rsidRPr="00393E1E">
        <w:rPr>
          <w:b/>
          <w:lang w:val="fr-CA"/>
        </w:rPr>
        <w:t xml:space="preserve">Fernand </w:t>
      </w:r>
      <w:proofErr w:type="spellStart"/>
      <w:r w:rsidRPr="00393E1E">
        <w:rPr>
          <w:b/>
          <w:lang w:val="fr-CA"/>
        </w:rPr>
        <w:t>Hautc</w:t>
      </w:r>
      <w:r w:rsidR="00393E1E">
        <w:rPr>
          <w:b/>
          <w:lang w:val="fr-CA"/>
        </w:rPr>
        <w:t>œ</w:t>
      </w:r>
      <w:r w:rsidRPr="00393E1E">
        <w:rPr>
          <w:b/>
          <w:lang w:val="fr-CA"/>
        </w:rPr>
        <w:t>ur</w:t>
      </w:r>
      <w:proofErr w:type="spellEnd"/>
      <w:r w:rsidRPr="00393E1E">
        <w:rPr>
          <w:b/>
          <w:lang w:val="fr-CA"/>
        </w:rPr>
        <w:t>, Jean</w:t>
      </w:r>
      <w:r w:rsidR="00393E1E">
        <w:rPr>
          <w:b/>
          <w:lang w:val="fr-CA"/>
        </w:rPr>
        <w:t>-</w:t>
      </w:r>
      <w:r w:rsidRPr="00393E1E">
        <w:rPr>
          <w:b/>
          <w:lang w:val="fr-CA"/>
        </w:rPr>
        <w:t xml:space="preserve">Claude </w:t>
      </w:r>
      <w:proofErr w:type="spellStart"/>
      <w:r w:rsidRPr="00393E1E">
        <w:rPr>
          <w:b/>
          <w:lang w:val="fr-CA"/>
        </w:rPr>
        <w:t>Hautc</w:t>
      </w:r>
      <w:r w:rsidR="00393E1E">
        <w:rPr>
          <w:b/>
          <w:lang w:val="fr-CA"/>
        </w:rPr>
        <w:t>œ</w:t>
      </w:r>
      <w:r w:rsidRPr="00393E1E">
        <w:rPr>
          <w:b/>
          <w:lang w:val="fr-CA"/>
        </w:rPr>
        <w:t>ur</w:t>
      </w:r>
      <w:proofErr w:type="spellEnd"/>
      <w:r w:rsidRPr="00393E1E">
        <w:rPr>
          <w:b/>
          <w:lang w:val="fr-CA"/>
        </w:rPr>
        <w:t xml:space="preserve">, </w:t>
      </w:r>
    </w:p>
    <w:p w:rsidR="007201FE" w:rsidRPr="00393E1E" w:rsidRDefault="007201FE" w:rsidP="009E3DCC">
      <w:pPr>
        <w:pStyle w:val="SCCLsocParty"/>
        <w:tabs>
          <w:tab w:val="right" w:pos="8280"/>
        </w:tabs>
        <w:spacing w:after="0"/>
        <w:rPr>
          <w:b/>
          <w:lang w:val="fr-CA"/>
        </w:rPr>
      </w:pPr>
      <w:r w:rsidRPr="00393E1E">
        <w:rPr>
          <w:b/>
          <w:lang w:val="fr-CA"/>
        </w:rPr>
        <w:t xml:space="preserve">Gregg </w:t>
      </w:r>
      <w:proofErr w:type="spellStart"/>
      <w:r w:rsidRPr="00393E1E">
        <w:rPr>
          <w:b/>
          <w:lang w:val="fr-CA"/>
        </w:rPr>
        <w:t>Hinkley</w:t>
      </w:r>
      <w:proofErr w:type="spellEnd"/>
      <w:r w:rsidRPr="00393E1E">
        <w:rPr>
          <w:b/>
          <w:lang w:val="fr-CA"/>
        </w:rPr>
        <w:t>, Jean</w:t>
      </w:r>
      <w:r w:rsidR="00393E1E">
        <w:rPr>
          <w:b/>
          <w:lang w:val="fr-CA"/>
        </w:rPr>
        <w:t>-</w:t>
      </w:r>
      <w:r w:rsidRPr="00393E1E">
        <w:rPr>
          <w:b/>
          <w:lang w:val="fr-CA"/>
        </w:rPr>
        <w:t xml:space="preserve">Pierre Huard, </w:t>
      </w:r>
      <w:proofErr w:type="spellStart"/>
      <w:r w:rsidRPr="00393E1E">
        <w:rPr>
          <w:b/>
          <w:lang w:val="fr-CA"/>
        </w:rPr>
        <w:t>Réjean</w:t>
      </w:r>
      <w:proofErr w:type="spellEnd"/>
      <w:r w:rsidRPr="00393E1E">
        <w:rPr>
          <w:b/>
          <w:lang w:val="fr-CA"/>
        </w:rPr>
        <w:t xml:space="preserve"> Leblanc, </w:t>
      </w:r>
    </w:p>
    <w:p w:rsidR="007201FE" w:rsidRPr="00393E1E" w:rsidRDefault="007201FE" w:rsidP="009E3DCC">
      <w:pPr>
        <w:pStyle w:val="SCCLsocParty"/>
        <w:tabs>
          <w:tab w:val="right" w:pos="8280"/>
        </w:tabs>
        <w:spacing w:after="0"/>
        <w:rPr>
          <w:b/>
          <w:lang w:val="fr-CA"/>
        </w:rPr>
      </w:pPr>
      <w:r w:rsidRPr="00393E1E">
        <w:rPr>
          <w:b/>
          <w:lang w:val="fr-CA"/>
        </w:rPr>
        <w:t xml:space="preserve">Christian </w:t>
      </w:r>
      <w:proofErr w:type="spellStart"/>
      <w:r w:rsidRPr="00393E1E">
        <w:rPr>
          <w:b/>
          <w:lang w:val="fr-CA"/>
        </w:rPr>
        <w:t>Lelièvre</w:t>
      </w:r>
      <w:proofErr w:type="spellEnd"/>
      <w:r w:rsidRPr="00393E1E">
        <w:rPr>
          <w:b/>
          <w:lang w:val="fr-CA"/>
        </w:rPr>
        <w:t xml:space="preserve">, Elphège </w:t>
      </w:r>
      <w:proofErr w:type="spellStart"/>
      <w:r w:rsidRPr="00393E1E">
        <w:rPr>
          <w:b/>
          <w:lang w:val="fr-CA"/>
        </w:rPr>
        <w:t>Lelièvre</w:t>
      </w:r>
      <w:proofErr w:type="spellEnd"/>
      <w:r w:rsidRPr="00393E1E">
        <w:rPr>
          <w:b/>
          <w:lang w:val="fr-CA"/>
        </w:rPr>
        <w:t>, Jean</w:t>
      </w:r>
      <w:r w:rsidR="00393E1E">
        <w:rPr>
          <w:b/>
          <w:lang w:val="fr-CA"/>
        </w:rPr>
        <w:t>-</w:t>
      </w:r>
      <w:r w:rsidRPr="00393E1E">
        <w:rPr>
          <w:b/>
          <w:lang w:val="fr-CA"/>
        </w:rPr>
        <w:t xml:space="preserve">Elie </w:t>
      </w:r>
      <w:proofErr w:type="spellStart"/>
      <w:r w:rsidRPr="00393E1E">
        <w:rPr>
          <w:b/>
          <w:lang w:val="fr-CA"/>
        </w:rPr>
        <w:t>Lelièvre</w:t>
      </w:r>
      <w:proofErr w:type="spellEnd"/>
      <w:r w:rsidRPr="00393E1E">
        <w:rPr>
          <w:b/>
          <w:lang w:val="fr-CA"/>
        </w:rPr>
        <w:t xml:space="preserve">, </w:t>
      </w:r>
    </w:p>
    <w:p w:rsidR="007201FE" w:rsidRPr="00393E1E" w:rsidRDefault="007201FE" w:rsidP="009E3DCC">
      <w:pPr>
        <w:pStyle w:val="SCCLsocParty"/>
        <w:tabs>
          <w:tab w:val="right" w:pos="8280"/>
        </w:tabs>
        <w:spacing w:after="0"/>
        <w:rPr>
          <w:b/>
          <w:lang w:val="fr-CA"/>
        </w:rPr>
      </w:pPr>
      <w:r w:rsidRPr="00393E1E">
        <w:rPr>
          <w:b/>
          <w:lang w:val="fr-CA"/>
        </w:rPr>
        <w:t xml:space="preserve">Jules </w:t>
      </w:r>
      <w:proofErr w:type="spellStart"/>
      <w:r w:rsidRPr="00393E1E">
        <w:rPr>
          <w:b/>
          <w:lang w:val="fr-CA"/>
        </w:rPr>
        <w:t>Lelièvre</w:t>
      </w:r>
      <w:proofErr w:type="spellEnd"/>
      <w:r w:rsidRPr="00393E1E">
        <w:rPr>
          <w:b/>
          <w:lang w:val="fr-CA"/>
        </w:rPr>
        <w:t xml:space="preserve">, </w:t>
      </w:r>
      <w:proofErr w:type="spellStart"/>
      <w:r w:rsidRPr="00393E1E">
        <w:rPr>
          <w:b/>
          <w:lang w:val="fr-CA"/>
        </w:rPr>
        <w:t>Dassise</w:t>
      </w:r>
      <w:proofErr w:type="spellEnd"/>
      <w:r w:rsidRPr="00393E1E">
        <w:rPr>
          <w:b/>
          <w:lang w:val="fr-CA"/>
        </w:rPr>
        <w:t xml:space="preserve"> Mallet, </w:t>
      </w:r>
      <w:proofErr w:type="spellStart"/>
      <w:r w:rsidRPr="00393E1E">
        <w:rPr>
          <w:b/>
          <w:lang w:val="fr-CA"/>
        </w:rPr>
        <w:t>Delphis</w:t>
      </w:r>
      <w:proofErr w:type="spellEnd"/>
      <w:r w:rsidRPr="00393E1E">
        <w:rPr>
          <w:b/>
          <w:lang w:val="fr-CA"/>
        </w:rPr>
        <w:t xml:space="preserve"> Mallet, Francis Mallet, </w:t>
      </w:r>
    </w:p>
    <w:p w:rsidR="007201FE" w:rsidRPr="00393E1E" w:rsidRDefault="007201FE" w:rsidP="009E3DCC">
      <w:pPr>
        <w:pStyle w:val="SCCLsocParty"/>
        <w:tabs>
          <w:tab w:val="right" w:pos="8280"/>
        </w:tabs>
        <w:spacing w:after="0"/>
        <w:rPr>
          <w:b/>
          <w:lang w:val="fr-CA"/>
        </w:rPr>
      </w:pPr>
      <w:r w:rsidRPr="00393E1E">
        <w:rPr>
          <w:b/>
          <w:lang w:val="fr-CA"/>
        </w:rPr>
        <w:t>Jean</w:t>
      </w:r>
      <w:r w:rsidR="00393E1E">
        <w:rPr>
          <w:b/>
          <w:lang w:val="fr-CA"/>
        </w:rPr>
        <w:t>-</w:t>
      </w:r>
      <w:r w:rsidRPr="00393E1E">
        <w:rPr>
          <w:b/>
          <w:lang w:val="fr-CA"/>
        </w:rPr>
        <w:t xml:space="preserve">Marc Marcoux, André Mazerolle, Eddy Mazerolle, </w:t>
      </w:r>
    </w:p>
    <w:p w:rsidR="007201FE" w:rsidRPr="00393E1E" w:rsidRDefault="003A5B12" w:rsidP="009E3DCC">
      <w:pPr>
        <w:pStyle w:val="SCCLsocParty"/>
        <w:tabs>
          <w:tab w:val="right" w:pos="8280"/>
        </w:tabs>
        <w:spacing w:after="0"/>
        <w:rPr>
          <w:b/>
          <w:lang w:val="fr-CA"/>
        </w:rPr>
      </w:pPr>
      <w:r w:rsidRPr="00393E1E">
        <w:rPr>
          <w:b/>
          <w:lang w:val="fr-CA"/>
        </w:rPr>
        <w:t>Gilles</w:t>
      </w:r>
      <w:r w:rsidR="00393E1E">
        <w:rPr>
          <w:b/>
          <w:lang w:val="fr-CA"/>
        </w:rPr>
        <w:t xml:space="preserve"> </w:t>
      </w:r>
      <w:r w:rsidR="007201FE" w:rsidRPr="00393E1E">
        <w:rPr>
          <w:b/>
          <w:lang w:val="fr-CA"/>
        </w:rPr>
        <w:t xml:space="preserve">A. Noël, Lévis Noël, Martin Noël, Nicolas Noël, </w:t>
      </w:r>
    </w:p>
    <w:p w:rsidR="007201FE" w:rsidRPr="00393E1E" w:rsidRDefault="007201FE" w:rsidP="009E3DCC">
      <w:pPr>
        <w:pStyle w:val="SCCLsocParty"/>
        <w:tabs>
          <w:tab w:val="right" w:pos="8280"/>
        </w:tabs>
        <w:spacing w:after="0"/>
        <w:rPr>
          <w:b/>
          <w:lang w:val="fr-CA"/>
        </w:rPr>
      </w:pPr>
      <w:proofErr w:type="spellStart"/>
      <w:r w:rsidRPr="00393E1E">
        <w:rPr>
          <w:b/>
          <w:lang w:val="fr-CA"/>
        </w:rPr>
        <w:t>Onésime</w:t>
      </w:r>
      <w:proofErr w:type="spellEnd"/>
      <w:r w:rsidRPr="00393E1E">
        <w:rPr>
          <w:b/>
          <w:lang w:val="fr-CA"/>
        </w:rPr>
        <w:t xml:space="preserve"> Noël, Raymond Noël, Francis </w:t>
      </w:r>
      <w:proofErr w:type="spellStart"/>
      <w:r w:rsidRPr="00393E1E">
        <w:rPr>
          <w:b/>
          <w:lang w:val="fr-CA"/>
        </w:rPr>
        <w:t>Parisé</w:t>
      </w:r>
      <w:proofErr w:type="spellEnd"/>
      <w:r w:rsidRPr="00393E1E">
        <w:rPr>
          <w:b/>
          <w:lang w:val="fr-CA"/>
        </w:rPr>
        <w:t xml:space="preserve">, Domitien Paulin, </w:t>
      </w:r>
    </w:p>
    <w:p w:rsidR="007201FE" w:rsidRPr="00BA5A90" w:rsidRDefault="007201FE" w:rsidP="009E3DCC">
      <w:pPr>
        <w:pStyle w:val="SCCLsocParty"/>
        <w:tabs>
          <w:tab w:val="right" w:pos="8280"/>
        </w:tabs>
        <w:spacing w:after="0"/>
        <w:rPr>
          <w:b/>
          <w:lang w:val="fr-CA"/>
        </w:rPr>
      </w:pPr>
      <w:r w:rsidRPr="00BA5A90">
        <w:rPr>
          <w:b/>
          <w:lang w:val="fr-CA"/>
        </w:rPr>
        <w:t xml:space="preserve">Sylvain Paulin, Pêcheries Denise Quinn </w:t>
      </w:r>
      <w:proofErr w:type="spellStart"/>
      <w:r w:rsidRPr="00BA5A90">
        <w:rPr>
          <w:b/>
          <w:lang w:val="fr-CA"/>
        </w:rPr>
        <w:t>Syvrais</w:t>
      </w:r>
      <w:proofErr w:type="spellEnd"/>
      <w:r w:rsidRPr="00BA5A90">
        <w:rPr>
          <w:b/>
          <w:lang w:val="fr-CA"/>
        </w:rPr>
        <w:t xml:space="preserve"> </w:t>
      </w:r>
      <w:proofErr w:type="spellStart"/>
      <w:r w:rsidRPr="00BA5A90">
        <w:rPr>
          <w:b/>
          <w:lang w:val="fr-CA"/>
        </w:rPr>
        <w:t>inc</w:t>
      </w:r>
      <w:proofErr w:type="spellEnd"/>
      <w:r w:rsidRPr="00BA5A90">
        <w:rPr>
          <w:b/>
          <w:lang w:val="fr-CA"/>
        </w:rPr>
        <w:t xml:space="preserve">., </w:t>
      </w:r>
    </w:p>
    <w:p w:rsidR="007201FE" w:rsidRPr="00BA5A90" w:rsidRDefault="007201FE" w:rsidP="009E3DCC">
      <w:pPr>
        <w:pStyle w:val="SCCLsocParty"/>
        <w:tabs>
          <w:tab w:val="right" w:pos="8280"/>
        </w:tabs>
        <w:spacing w:after="0"/>
        <w:rPr>
          <w:b/>
          <w:lang w:val="fr-CA"/>
        </w:rPr>
      </w:pPr>
      <w:r w:rsidRPr="00BA5A90">
        <w:rPr>
          <w:b/>
          <w:lang w:val="fr-CA"/>
        </w:rPr>
        <w:lastRenderedPageBreak/>
        <w:t xml:space="preserve">Pêcheries François </w:t>
      </w:r>
      <w:proofErr w:type="spellStart"/>
      <w:r w:rsidRPr="00BA5A90">
        <w:rPr>
          <w:b/>
          <w:lang w:val="fr-CA"/>
        </w:rPr>
        <w:t>inc</w:t>
      </w:r>
      <w:proofErr w:type="spellEnd"/>
      <w:r w:rsidRPr="00BA5A90">
        <w:rPr>
          <w:b/>
          <w:lang w:val="fr-CA"/>
        </w:rPr>
        <w:t>., Pêcheries Jean</w:t>
      </w:r>
      <w:r w:rsidR="00393E1E">
        <w:rPr>
          <w:b/>
          <w:lang w:val="fr-CA"/>
        </w:rPr>
        <w:t>-</w:t>
      </w:r>
      <w:r w:rsidRPr="00BA5A90">
        <w:rPr>
          <w:b/>
          <w:lang w:val="fr-CA"/>
        </w:rPr>
        <w:t xml:space="preserve">Yan II </w:t>
      </w:r>
      <w:proofErr w:type="spellStart"/>
      <w:r w:rsidRPr="00BA5A90">
        <w:rPr>
          <w:b/>
          <w:lang w:val="fr-CA"/>
        </w:rPr>
        <w:t>inc</w:t>
      </w:r>
      <w:proofErr w:type="spellEnd"/>
      <w:proofErr w:type="gramStart"/>
      <w:r w:rsidRPr="00BA5A90">
        <w:rPr>
          <w:b/>
          <w:lang w:val="fr-CA"/>
        </w:rPr>
        <w:t>.,</w:t>
      </w:r>
      <w:proofErr w:type="gramEnd"/>
      <w:r w:rsidRPr="00BA5A90">
        <w:rPr>
          <w:b/>
          <w:lang w:val="fr-CA"/>
        </w:rPr>
        <w:t xml:space="preserve"> </w:t>
      </w:r>
    </w:p>
    <w:p w:rsidR="007201FE" w:rsidRPr="00393E1E" w:rsidRDefault="003A5B12" w:rsidP="009E3DCC">
      <w:pPr>
        <w:pStyle w:val="SCCLsocParty"/>
        <w:tabs>
          <w:tab w:val="right" w:pos="8280"/>
        </w:tabs>
        <w:spacing w:after="0"/>
        <w:rPr>
          <w:b/>
          <w:lang w:val="fr-CA"/>
        </w:rPr>
      </w:pPr>
      <w:r w:rsidRPr="00393E1E">
        <w:rPr>
          <w:b/>
          <w:lang w:val="fr-CA"/>
        </w:rPr>
        <w:t>Pêcheries Jimmy</w:t>
      </w:r>
      <w:r w:rsidR="00393E1E">
        <w:rPr>
          <w:b/>
          <w:lang w:val="fr-CA"/>
        </w:rPr>
        <w:t xml:space="preserve"> </w:t>
      </w:r>
      <w:r w:rsidR="007201FE" w:rsidRPr="00393E1E">
        <w:rPr>
          <w:b/>
          <w:lang w:val="fr-CA"/>
        </w:rPr>
        <w:t xml:space="preserve">L. </w:t>
      </w:r>
      <w:proofErr w:type="spellStart"/>
      <w:r w:rsidR="007201FE" w:rsidRPr="00393E1E">
        <w:rPr>
          <w:b/>
          <w:lang w:val="fr-CA"/>
        </w:rPr>
        <w:t>ltée</w:t>
      </w:r>
      <w:proofErr w:type="spellEnd"/>
      <w:r w:rsidR="007201FE" w:rsidRPr="00393E1E">
        <w:rPr>
          <w:b/>
          <w:lang w:val="fr-CA"/>
        </w:rPr>
        <w:t xml:space="preserve">, Pêcheries J.V.L. </w:t>
      </w:r>
      <w:proofErr w:type="spellStart"/>
      <w:r w:rsidR="007201FE" w:rsidRPr="00393E1E">
        <w:rPr>
          <w:b/>
          <w:lang w:val="fr-CA"/>
        </w:rPr>
        <w:t>ltée</w:t>
      </w:r>
      <w:proofErr w:type="spellEnd"/>
      <w:r w:rsidR="007201FE" w:rsidRPr="00393E1E">
        <w:rPr>
          <w:b/>
          <w:lang w:val="fr-CA"/>
        </w:rPr>
        <w:t xml:space="preserve">, </w:t>
      </w:r>
    </w:p>
    <w:p w:rsidR="007201FE" w:rsidRPr="00BA5A90" w:rsidRDefault="007201FE" w:rsidP="009E3DCC">
      <w:pPr>
        <w:pStyle w:val="SCCLsocParty"/>
        <w:tabs>
          <w:tab w:val="right" w:pos="8280"/>
        </w:tabs>
        <w:spacing w:after="0"/>
        <w:rPr>
          <w:b/>
          <w:lang w:val="fr-CA"/>
        </w:rPr>
      </w:pPr>
      <w:r w:rsidRPr="00BA5A90">
        <w:rPr>
          <w:b/>
          <w:lang w:val="fr-CA"/>
        </w:rPr>
        <w:t>Pêcheries Ray</w:t>
      </w:r>
      <w:r w:rsidR="00393E1E">
        <w:rPr>
          <w:b/>
          <w:lang w:val="fr-CA"/>
        </w:rPr>
        <w:t>-</w:t>
      </w:r>
      <w:r w:rsidRPr="00BA5A90">
        <w:rPr>
          <w:b/>
          <w:lang w:val="fr-CA"/>
        </w:rPr>
        <w:t xml:space="preserve">L. </w:t>
      </w:r>
      <w:proofErr w:type="spellStart"/>
      <w:r w:rsidRPr="00BA5A90">
        <w:rPr>
          <w:b/>
          <w:lang w:val="fr-CA"/>
        </w:rPr>
        <w:t>inc</w:t>
      </w:r>
      <w:proofErr w:type="spellEnd"/>
      <w:r w:rsidRPr="00BA5A90">
        <w:rPr>
          <w:b/>
          <w:lang w:val="fr-CA"/>
        </w:rPr>
        <w:t>., Les Pêcheries Serge</w:t>
      </w:r>
      <w:r w:rsidR="00393E1E">
        <w:rPr>
          <w:b/>
          <w:lang w:val="fr-CA"/>
        </w:rPr>
        <w:t>-</w:t>
      </w:r>
      <w:r w:rsidRPr="00BA5A90">
        <w:rPr>
          <w:b/>
          <w:lang w:val="fr-CA"/>
        </w:rPr>
        <w:t xml:space="preserve">Luc </w:t>
      </w:r>
      <w:proofErr w:type="spellStart"/>
      <w:r w:rsidRPr="00BA5A90">
        <w:rPr>
          <w:b/>
          <w:lang w:val="fr-CA"/>
        </w:rPr>
        <w:t>inc</w:t>
      </w:r>
      <w:proofErr w:type="spellEnd"/>
      <w:proofErr w:type="gramStart"/>
      <w:r w:rsidRPr="00BA5A90">
        <w:rPr>
          <w:b/>
          <w:lang w:val="fr-CA"/>
        </w:rPr>
        <w:t>.,</w:t>
      </w:r>
      <w:proofErr w:type="gramEnd"/>
      <w:r w:rsidRPr="00BA5A90">
        <w:rPr>
          <w:b/>
          <w:lang w:val="fr-CA"/>
        </w:rPr>
        <w:t xml:space="preserve"> </w:t>
      </w:r>
    </w:p>
    <w:p w:rsidR="007201FE" w:rsidRPr="00393E1E" w:rsidRDefault="007201FE" w:rsidP="009E3DCC">
      <w:pPr>
        <w:pStyle w:val="SCCLsocParty"/>
        <w:tabs>
          <w:tab w:val="right" w:pos="8280"/>
        </w:tabs>
        <w:spacing w:after="0"/>
        <w:rPr>
          <w:b/>
          <w:lang w:val="fr-CA"/>
        </w:rPr>
      </w:pPr>
      <w:r w:rsidRPr="00393E1E">
        <w:rPr>
          <w:b/>
          <w:lang w:val="fr-CA"/>
        </w:rPr>
        <w:t xml:space="preserve">Roger Pinel, Claude Poirier, Produits Belle Baie </w:t>
      </w:r>
      <w:proofErr w:type="spellStart"/>
      <w:r w:rsidRPr="00393E1E">
        <w:rPr>
          <w:b/>
          <w:lang w:val="fr-CA"/>
        </w:rPr>
        <w:t>ltée</w:t>
      </w:r>
      <w:proofErr w:type="spellEnd"/>
      <w:r w:rsidRPr="00393E1E">
        <w:rPr>
          <w:b/>
          <w:lang w:val="fr-CA"/>
        </w:rPr>
        <w:t xml:space="preserve">, </w:t>
      </w:r>
    </w:p>
    <w:p w:rsidR="007201FE" w:rsidRPr="00393E1E" w:rsidRDefault="007201FE" w:rsidP="009E3DCC">
      <w:pPr>
        <w:pStyle w:val="SCCLsocParty"/>
        <w:tabs>
          <w:tab w:val="right" w:pos="8280"/>
        </w:tabs>
        <w:spacing w:after="0"/>
        <w:rPr>
          <w:b/>
          <w:lang w:val="fr-CA"/>
        </w:rPr>
      </w:pPr>
      <w:r w:rsidRPr="00393E1E">
        <w:rPr>
          <w:b/>
          <w:lang w:val="fr-CA"/>
        </w:rPr>
        <w:t>Adrien Roussel, Jean</w:t>
      </w:r>
      <w:r w:rsidR="00393E1E">
        <w:rPr>
          <w:b/>
          <w:lang w:val="fr-CA"/>
        </w:rPr>
        <w:t>-</w:t>
      </w:r>
      <w:r w:rsidRPr="00393E1E">
        <w:rPr>
          <w:b/>
          <w:lang w:val="fr-CA"/>
        </w:rPr>
        <w:t xml:space="preserve">Camille Roussel, Mathias Roussel, </w:t>
      </w:r>
    </w:p>
    <w:p w:rsidR="007201FE" w:rsidRPr="00393E1E" w:rsidRDefault="002C04D1" w:rsidP="009E3DCC">
      <w:pPr>
        <w:pStyle w:val="SCCLsocParty"/>
        <w:tabs>
          <w:tab w:val="right" w:pos="8280"/>
        </w:tabs>
        <w:spacing w:after="0"/>
        <w:rPr>
          <w:b/>
          <w:lang w:val="fr-CA"/>
        </w:rPr>
      </w:pPr>
      <w:r w:rsidRPr="00393E1E">
        <w:rPr>
          <w:b/>
          <w:lang w:val="fr-CA"/>
        </w:rPr>
        <w:t>Steven Roussy, Mario Savoie, s</w:t>
      </w:r>
      <w:r w:rsidR="007201FE" w:rsidRPr="00393E1E">
        <w:rPr>
          <w:b/>
          <w:lang w:val="fr-CA"/>
        </w:rPr>
        <w:t>uccession</w:t>
      </w:r>
      <w:r w:rsidRPr="00393E1E">
        <w:rPr>
          <w:b/>
          <w:lang w:val="fr-CA"/>
        </w:rPr>
        <w:t xml:space="preserve"> de</w:t>
      </w:r>
      <w:r w:rsidR="007201FE" w:rsidRPr="00393E1E">
        <w:rPr>
          <w:b/>
          <w:lang w:val="fr-CA"/>
        </w:rPr>
        <w:t xml:space="preserve"> Jean</w:t>
      </w:r>
      <w:r w:rsidR="00393E1E">
        <w:rPr>
          <w:b/>
          <w:lang w:val="fr-CA"/>
        </w:rPr>
        <w:t>-</w:t>
      </w:r>
      <w:r w:rsidR="007201FE" w:rsidRPr="00393E1E">
        <w:rPr>
          <w:b/>
          <w:lang w:val="fr-CA"/>
        </w:rPr>
        <w:t xml:space="preserve">Pierre Robichaud, </w:t>
      </w:r>
    </w:p>
    <w:p w:rsidR="007201FE" w:rsidRPr="00BA5A90" w:rsidRDefault="002C04D1" w:rsidP="009E3DCC">
      <w:pPr>
        <w:pStyle w:val="SCCLsocParty"/>
        <w:tabs>
          <w:tab w:val="right" w:pos="8280"/>
        </w:tabs>
        <w:spacing w:after="0"/>
        <w:rPr>
          <w:b/>
          <w:lang w:val="fr-CA"/>
        </w:rPr>
      </w:pPr>
      <w:proofErr w:type="gramStart"/>
      <w:r w:rsidRPr="00BA5A90">
        <w:rPr>
          <w:b/>
          <w:lang w:val="fr-CA"/>
        </w:rPr>
        <w:t>succession</w:t>
      </w:r>
      <w:proofErr w:type="gramEnd"/>
      <w:r w:rsidRPr="00BA5A90">
        <w:rPr>
          <w:b/>
          <w:lang w:val="fr-CA"/>
        </w:rPr>
        <w:t xml:space="preserve"> de Lucien Chiasson, s</w:t>
      </w:r>
      <w:r w:rsidR="007201FE" w:rsidRPr="00BA5A90">
        <w:rPr>
          <w:b/>
          <w:lang w:val="fr-CA"/>
        </w:rPr>
        <w:t xml:space="preserve">uccession de Sylva Haché, </w:t>
      </w:r>
    </w:p>
    <w:p w:rsidR="007201FE" w:rsidRPr="00393E1E" w:rsidRDefault="007201FE" w:rsidP="009E3DCC">
      <w:pPr>
        <w:pStyle w:val="SCCLsocParty"/>
        <w:tabs>
          <w:tab w:val="right" w:pos="8280"/>
        </w:tabs>
        <w:spacing w:after="0"/>
        <w:rPr>
          <w:b/>
          <w:lang w:val="fr-CA"/>
        </w:rPr>
      </w:pPr>
      <w:proofErr w:type="spellStart"/>
      <w:r w:rsidRPr="00393E1E">
        <w:rPr>
          <w:b/>
          <w:lang w:val="fr-CA"/>
        </w:rPr>
        <w:t>Jean</w:t>
      </w:r>
      <w:r w:rsidR="003A5B12" w:rsidRPr="00393E1E">
        <w:rPr>
          <w:b/>
          <w:lang w:val="fr-CA"/>
        </w:rPr>
        <w:noBreakHyphen/>
      </w:r>
      <w:r w:rsidRPr="00393E1E">
        <w:rPr>
          <w:b/>
          <w:lang w:val="fr-CA"/>
        </w:rPr>
        <w:t>Marc</w:t>
      </w:r>
      <w:proofErr w:type="spellEnd"/>
      <w:r w:rsidRPr="00393E1E">
        <w:rPr>
          <w:b/>
          <w:lang w:val="fr-CA"/>
        </w:rPr>
        <w:t xml:space="preserve"> </w:t>
      </w:r>
      <w:proofErr w:type="spellStart"/>
      <w:r w:rsidRPr="00393E1E">
        <w:rPr>
          <w:b/>
          <w:lang w:val="fr-CA"/>
        </w:rPr>
        <w:t>Sweeney</w:t>
      </w:r>
      <w:proofErr w:type="spellEnd"/>
      <w:r w:rsidRPr="00393E1E">
        <w:rPr>
          <w:b/>
          <w:lang w:val="fr-CA"/>
        </w:rPr>
        <w:t xml:space="preserve">, Michel Turbide, Réal Turbide, </w:t>
      </w:r>
    </w:p>
    <w:p w:rsidR="007201FE" w:rsidRPr="00393E1E" w:rsidRDefault="007201FE" w:rsidP="009E3DCC">
      <w:pPr>
        <w:pStyle w:val="SCCLsocParty"/>
        <w:tabs>
          <w:tab w:val="right" w:pos="8280"/>
        </w:tabs>
        <w:spacing w:after="0"/>
        <w:rPr>
          <w:b/>
          <w:lang w:val="fr-CA"/>
        </w:rPr>
      </w:pPr>
      <w:r w:rsidRPr="00393E1E">
        <w:rPr>
          <w:b/>
          <w:lang w:val="fr-CA"/>
        </w:rPr>
        <w:t xml:space="preserve">Donat Vienneau, Fernand Vienneau, </w:t>
      </w:r>
      <w:proofErr w:type="spellStart"/>
      <w:r w:rsidRPr="00393E1E">
        <w:rPr>
          <w:b/>
          <w:lang w:val="fr-CA"/>
        </w:rPr>
        <w:t>Livain</w:t>
      </w:r>
      <w:proofErr w:type="spellEnd"/>
      <w:r w:rsidRPr="00393E1E">
        <w:rPr>
          <w:b/>
          <w:lang w:val="fr-CA"/>
        </w:rPr>
        <w:t xml:space="preserve"> Vienneau</w:t>
      </w:r>
    </w:p>
    <w:p w:rsidR="0015222E" w:rsidRPr="00393E1E" w:rsidRDefault="007201FE" w:rsidP="009E3DCC">
      <w:pPr>
        <w:pStyle w:val="SCCLsocParty"/>
        <w:tabs>
          <w:tab w:val="right" w:pos="8280"/>
        </w:tabs>
        <w:rPr>
          <w:b/>
          <w:i/>
          <w:lang w:val="fr-CA"/>
        </w:rPr>
      </w:pPr>
      <w:proofErr w:type="gramStart"/>
      <w:r w:rsidRPr="00393E1E">
        <w:rPr>
          <w:b/>
          <w:lang w:val="fr-CA"/>
        </w:rPr>
        <w:t>et</w:t>
      </w:r>
      <w:proofErr w:type="gramEnd"/>
      <w:r w:rsidRPr="00393E1E">
        <w:rPr>
          <w:b/>
          <w:lang w:val="fr-CA"/>
        </w:rPr>
        <w:t xml:space="preserve"> </w:t>
      </w:r>
      <w:proofErr w:type="spellStart"/>
      <w:r w:rsidRPr="00393E1E">
        <w:rPr>
          <w:b/>
          <w:lang w:val="fr-CA"/>
        </w:rPr>
        <w:t>Rhéal</w:t>
      </w:r>
      <w:proofErr w:type="spellEnd"/>
      <w:r w:rsidRPr="00393E1E">
        <w:rPr>
          <w:b/>
          <w:lang w:val="fr-CA"/>
        </w:rPr>
        <w:t xml:space="preserve"> Vienneau</w:t>
      </w:r>
      <w:r w:rsidR="006B3FB7" w:rsidRPr="00393E1E">
        <w:rPr>
          <w:lang w:val="fr-CA"/>
        </w:rPr>
        <w:tab/>
      </w:r>
      <w:r w:rsidR="003D0C89" w:rsidRPr="00393E1E">
        <w:rPr>
          <w:i/>
          <w:lang w:val="fr-CA"/>
        </w:rPr>
        <w:t>I</w:t>
      </w:r>
      <w:r w:rsidR="006B3FB7" w:rsidRPr="00393E1E">
        <w:rPr>
          <w:i/>
          <w:lang w:val="fr-CA"/>
        </w:rPr>
        <w:t>ntervenant</w:t>
      </w:r>
      <w:r w:rsidR="003D0C89" w:rsidRPr="00393E1E">
        <w:rPr>
          <w:i/>
          <w:lang w:val="fr-CA"/>
        </w:rPr>
        <w:t>s</w:t>
      </w:r>
    </w:p>
    <w:p w:rsidR="009E3DCC" w:rsidRPr="00393E1E" w:rsidRDefault="009E3DCC" w:rsidP="00E128D4">
      <w:pPr>
        <w:spacing w:line="480" w:lineRule="auto"/>
        <w:jc w:val="both"/>
        <w:rPr>
          <w:b/>
          <w:lang w:val="fr-CA"/>
        </w:rPr>
      </w:pPr>
    </w:p>
    <w:p w:rsidR="00426659" w:rsidRPr="009E3DCC" w:rsidRDefault="0043088E" w:rsidP="00E128D4">
      <w:pPr>
        <w:spacing w:line="480" w:lineRule="auto"/>
        <w:jc w:val="both"/>
        <w:rPr>
          <w:b/>
          <w:lang w:val="fr-CA"/>
        </w:rPr>
      </w:pPr>
      <w:r w:rsidRPr="009E3DCC">
        <w:rPr>
          <w:b/>
          <w:lang w:val="fr-CA"/>
        </w:rPr>
        <w:t>Répertorié</w:t>
      </w:r>
      <w:r w:rsidR="00C67CA5" w:rsidRPr="009E3DCC">
        <w:rPr>
          <w:b/>
          <w:lang w:val="fr-CA"/>
        </w:rPr>
        <w:t> </w:t>
      </w:r>
      <w:r w:rsidR="00426659" w:rsidRPr="009E3DCC">
        <w:rPr>
          <w:b/>
          <w:lang w:val="fr-CA"/>
        </w:rPr>
        <w:t>:</w:t>
      </w:r>
      <w:r w:rsidR="00C67CA5" w:rsidRPr="009E3DCC">
        <w:rPr>
          <w:b/>
          <w:lang w:val="fr-CA"/>
        </w:rPr>
        <w:t> </w:t>
      </w:r>
      <w:r w:rsidRPr="009E3DCC">
        <w:rPr>
          <w:rStyle w:val="SCCAppellantForIndexChar"/>
          <w:lang w:val="fr-CA"/>
        </w:rPr>
        <w:t xml:space="preserve">Canada </w:t>
      </w:r>
      <w:r w:rsidR="006B3FB7" w:rsidRPr="009E3DCC">
        <w:rPr>
          <w:rStyle w:val="SCCAppellantForIndexChar"/>
          <w:lang w:val="fr-CA"/>
        </w:rPr>
        <w:t>(Procureur général)</w:t>
      </w:r>
      <w:r w:rsidR="00426659" w:rsidRPr="009E3DCC">
        <w:rPr>
          <w:b/>
          <w:lang w:val="fr-CA"/>
        </w:rPr>
        <w:t xml:space="preserve"> </w:t>
      </w:r>
      <w:r w:rsidR="00645057" w:rsidRPr="009E3DCC">
        <w:rPr>
          <w:b/>
          <w:i/>
          <w:lang w:val="fr-CA"/>
        </w:rPr>
        <w:t>c</w:t>
      </w:r>
      <w:r w:rsidR="00426659" w:rsidRPr="009E3DCC">
        <w:rPr>
          <w:b/>
          <w:i/>
          <w:lang w:val="fr-CA"/>
        </w:rPr>
        <w:t>.</w:t>
      </w:r>
      <w:r w:rsidR="00426659" w:rsidRPr="009E3DCC">
        <w:rPr>
          <w:b/>
          <w:lang w:val="fr-CA"/>
        </w:rPr>
        <w:t xml:space="preserve"> </w:t>
      </w:r>
      <w:proofErr w:type="spellStart"/>
      <w:r w:rsidRPr="009E3DCC">
        <w:rPr>
          <w:rStyle w:val="SCCRespondentForIndexChar"/>
          <w:lang w:val="fr-CA"/>
        </w:rPr>
        <w:t>McArthur</w:t>
      </w:r>
      <w:proofErr w:type="spellEnd"/>
    </w:p>
    <w:p w:rsidR="007834A8" w:rsidRPr="009E3DCC" w:rsidRDefault="007834A8" w:rsidP="00E128D4">
      <w:pPr>
        <w:spacing w:line="480" w:lineRule="auto"/>
        <w:jc w:val="both"/>
        <w:rPr>
          <w:lang w:val="fr-CA"/>
        </w:rPr>
      </w:pPr>
    </w:p>
    <w:p w:rsidR="00426659" w:rsidRPr="00393E1E" w:rsidRDefault="00F853FB" w:rsidP="00E128D4">
      <w:pPr>
        <w:pStyle w:val="SCCSystemYear"/>
        <w:spacing w:line="480" w:lineRule="auto"/>
        <w:jc w:val="both"/>
        <w:rPr>
          <w:lang w:val="fr-CA"/>
        </w:rPr>
      </w:pPr>
      <w:r w:rsidRPr="00393E1E">
        <w:rPr>
          <w:lang w:val="fr-CA"/>
        </w:rPr>
        <w:t>2010</w:t>
      </w:r>
      <w:r w:rsidR="003A5B12" w:rsidRPr="00393E1E">
        <w:rPr>
          <w:lang w:val="fr-CA"/>
        </w:rPr>
        <w:t> </w:t>
      </w:r>
      <w:r w:rsidR="00C71F58" w:rsidRPr="00393E1E">
        <w:rPr>
          <w:lang w:val="fr-CA"/>
        </w:rPr>
        <w:t>C</w:t>
      </w:r>
      <w:r w:rsidR="00426659" w:rsidRPr="00393E1E">
        <w:rPr>
          <w:lang w:val="fr-CA"/>
        </w:rPr>
        <w:t>SC </w:t>
      </w:r>
      <w:r w:rsidR="00525AEF" w:rsidRPr="00393E1E">
        <w:rPr>
          <w:lang w:val="fr-CA"/>
        </w:rPr>
        <w:t>63</w:t>
      </w:r>
    </w:p>
    <w:p w:rsidR="007834A8" w:rsidRPr="00393E1E" w:rsidRDefault="007834A8" w:rsidP="00E128D4">
      <w:pPr>
        <w:spacing w:line="480" w:lineRule="auto"/>
        <w:jc w:val="both"/>
        <w:rPr>
          <w:lang w:val="fr-CA"/>
        </w:rPr>
      </w:pPr>
    </w:p>
    <w:p w:rsidR="008322BD" w:rsidRPr="00393E1E" w:rsidRDefault="009B57B3" w:rsidP="00E128D4">
      <w:pPr>
        <w:spacing w:line="480" w:lineRule="auto"/>
        <w:jc w:val="both"/>
        <w:rPr>
          <w:lang w:val="fr-CA"/>
        </w:rPr>
      </w:pPr>
      <w:r w:rsidRPr="00393E1E">
        <w:rPr>
          <w:lang w:val="fr-CA"/>
        </w:rPr>
        <w:t>N</w:t>
      </w:r>
      <w:r w:rsidRPr="00393E1E">
        <w:rPr>
          <w:vertAlign w:val="superscript"/>
          <w:lang w:val="fr-CA"/>
        </w:rPr>
        <w:t>o</w:t>
      </w:r>
      <w:r w:rsidR="0043088E" w:rsidRPr="00393E1E">
        <w:rPr>
          <w:lang w:val="fr-CA"/>
        </w:rPr>
        <w:t xml:space="preserve"> du greffe</w:t>
      </w:r>
      <w:r w:rsidR="00C67CA5" w:rsidRPr="00393E1E">
        <w:rPr>
          <w:lang w:val="fr-CA"/>
        </w:rPr>
        <w:t> </w:t>
      </w:r>
      <w:r w:rsidRPr="00393E1E">
        <w:rPr>
          <w:lang w:val="fr-CA"/>
        </w:rPr>
        <w:t>:</w:t>
      </w:r>
      <w:r w:rsidR="00C67CA5" w:rsidRPr="00393E1E">
        <w:rPr>
          <w:lang w:val="fr-CA"/>
        </w:rPr>
        <w:t> </w:t>
      </w:r>
      <w:r w:rsidRPr="00393E1E">
        <w:rPr>
          <w:lang w:val="fr-CA"/>
        </w:rPr>
        <w:t>33043.</w:t>
      </w:r>
    </w:p>
    <w:p w:rsidR="007834A8" w:rsidRPr="00393E1E" w:rsidRDefault="007834A8" w:rsidP="00E128D4">
      <w:pPr>
        <w:spacing w:line="480" w:lineRule="auto"/>
        <w:jc w:val="both"/>
        <w:rPr>
          <w:lang w:val="fr-CA"/>
        </w:rPr>
      </w:pPr>
    </w:p>
    <w:p w:rsidR="008322BD" w:rsidRPr="00393E1E" w:rsidRDefault="00F853FB" w:rsidP="00E128D4">
      <w:pPr>
        <w:spacing w:line="480" w:lineRule="auto"/>
        <w:jc w:val="both"/>
        <w:rPr>
          <w:lang w:val="fr-CA"/>
        </w:rPr>
      </w:pPr>
      <w:r w:rsidRPr="00393E1E">
        <w:rPr>
          <w:lang w:val="fr-CA"/>
        </w:rPr>
        <w:t>2010</w:t>
      </w:r>
      <w:r w:rsidR="00BA749E">
        <w:rPr>
          <w:lang w:val="fr-CA"/>
        </w:rPr>
        <w:t xml:space="preserve"> : </w:t>
      </w:r>
      <w:r w:rsidRPr="00393E1E">
        <w:rPr>
          <w:lang w:val="fr-CA"/>
        </w:rPr>
        <w:t>20</w:t>
      </w:r>
      <w:r w:rsidR="00393E1E">
        <w:rPr>
          <w:lang w:val="fr-CA"/>
        </w:rPr>
        <w:t>, 21</w:t>
      </w:r>
      <w:r w:rsidR="00BA749E">
        <w:rPr>
          <w:lang w:val="fr-CA"/>
        </w:rPr>
        <w:t xml:space="preserve"> </w:t>
      </w:r>
      <w:r w:rsidRPr="00393E1E">
        <w:rPr>
          <w:lang w:val="fr-CA"/>
        </w:rPr>
        <w:t>janvier</w:t>
      </w:r>
      <w:r w:rsidR="00BA749E">
        <w:rPr>
          <w:lang w:val="fr-CA"/>
        </w:rPr>
        <w:t xml:space="preserve">; 2010 </w:t>
      </w:r>
      <w:r w:rsidR="00A72E13" w:rsidRPr="00393E1E">
        <w:rPr>
          <w:lang w:val="fr-CA"/>
        </w:rPr>
        <w:t>:</w:t>
      </w:r>
      <w:r w:rsidR="00BA749E">
        <w:rPr>
          <w:lang w:val="fr-CA"/>
        </w:rPr>
        <w:t xml:space="preserve"> </w:t>
      </w:r>
      <w:r w:rsidR="00A72E13" w:rsidRPr="00393E1E">
        <w:rPr>
          <w:lang w:val="fr-CA"/>
        </w:rPr>
        <w:t>23</w:t>
      </w:r>
      <w:r w:rsidR="00BA749E">
        <w:rPr>
          <w:lang w:val="fr-CA"/>
        </w:rPr>
        <w:t xml:space="preserve"> </w:t>
      </w:r>
      <w:r w:rsidR="007201FE" w:rsidRPr="00393E1E">
        <w:rPr>
          <w:lang w:val="fr-CA"/>
        </w:rPr>
        <w:t>décembre</w:t>
      </w:r>
      <w:r w:rsidR="009B57B3" w:rsidRPr="00393E1E">
        <w:rPr>
          <w:lang w:val="fr-CA"/>
        </w:rPr>
        <w:t>.</w:t>
      </w:r>
    </w:p>
    <w:p w:rsidR="007834A8" w:rsidRPr="00393E1E" w:rsidRDefault="007834A8" w:rsidP="00E128D4">
      <w:pPr>
        <w:spacing w:line="480" w:lineRule="auto"/>
        <w:jc w:val="both"/>
        <w:rPr>
          <w:lang w:val="fr-CA"/>
        </w:rPr>
      </w:pPr>
    </w:p>
    <w:p w:rsidR="008322BD" w:rsidRPr="00393E1E" w:rsidRDefault="009B57B3" w:rsidP="003A5B12">
      <w:pPr>
        <w:spacing w:after="720"/>
        <w:jc w:val="both"/>
        <w:rPr>
          <w:lang w:val="fr-CA"/>
        </w:rPr>
      </w:pPr>
      <w:r w:rsidRPr="00393E1E">
        <w:rPr>
          <w:lang w:val="fr-CA"/>
        </w:rPr>
        <w:t>Pr</w:t>
      </w:r>
      <w:r w:rsidR="0043088E" w:rsidRPr="00393E1E">
        <w:rPr>
          <w:lang w:val="fr-CA"/>
        </w:rPr>
        <w:t>é</w:t>
      </w:r>
      <w:r w:rsidRPr="00393E1E">
        <w:rPr>
          <w:lang w:val="fr-CA"/>
        </w:rPr>
        <w:t>sent</w:t>
      </w:r>
      <w:r w:rsidR="008A6558" w:rsidRPr="00393E1E">
        <w:rPr>
          <w:lang w:val="fr-CA"/>
        </w:rPr>
        <w:t>s</w:t>
      </w:r>
      <w:r w:rsidR="00C67CA5" w:rsidRPr="00393E1E">
        <w:rPr>
          <w:lang w:val="fr-CA"/>
        </w:rPr>
        <w:t> </w:t>
      </w:r>
      <w:r w:rsidRPr="00393E1E">
        <w:rPr>
          <w:lang w:val="fr-CA"/>
        </w:rPr>
        <w:t>:</w:t>
      </w:r>
      <w:r w:rsidR="00C67CA5" w:rsidRPr="00393E1E">
        <w:rPr>
          <w:lang w:val="fr-CA"/>
        </w:rPr>
        <w:t> </w:t>
      </w:r>
      <w:r w:rsidR="0076382B" w:rsidRPr="00393E1E">
        <w:rPr>
          <w:lang w:val="fr-CA"/>
        </w:rPr>
        <w:t xml:space="preserve">Les juges </w:t>
      </w:r>
      <w:proofErr w:type="spellStart"/>
      <w:r w:rsidRPr="00393E1E">
        <w:rPr>
          <w:lang w:val="fr-CA"/>
        </w:rPr>
        <w:t>Binnie</w:t>
      </w:r>
      <w:proofErr w:type="spellEnd"/>
      <w:r w:rsidRPr="00393E1E">
        <w:rPr>
          <w:lang w:val="fr-CA"/>
        </w:rPr>
        <w:t xml:space="preserve">, </w:t>
      </w:r>
      <w:proofErr w:type="spellStart"/>
      <w:r w:rsidRPr="00393E1E">
        <w:rPr>
          <w:lang w:val="fr-CA"/>
        </w:rPr>
        <w:t>LeBel</w:t>
      </w:r>
      <w:proofErr w:type="spellEnd"/>
      <w:r w:rsidRPr="00393E1E">
        <w:rPr>
          <w:lang w:val="fr-CA"/>
        </w:rPr>
        <w:t xml:space="preserve">, Deschamps, Abella, Charron, </w:t>
      </w:r>
      <w:proofErr w:type="spellStart"/>
      <w:r w:rsidRPr="00393E1E">
        <w:rPr>
          <w:lang w:val="fr-CA"/>
        </w:rPr>
        <w:t>Rothstein</w:t>
      </w:r>
      <w:proofErr w:type="spellEnd"/>
      <w:r w:rsidRPr="00393E1E">
        <w:rPr>
          <w:lang w:val="fr-CA"/>
        </w:rPr>
        <w:t xml:space="preserve"> et Cromwell.</w:t>
      </w:r>
    </w:p>
    <w:p w:rsidR="008322BD" w:rsidRPr="00393E1E" w:rsidRDefault="00AC7437" w:rsidP="00E128D4">
      <w:pPr>
        <w:pStyle w:val="SCCLowerCourtNameLowercase"/>
        <w:rPr>
          <w:lang w:val="fr-CA"/>
        </w:rPr>
      </w:pPr>
      <w:r w:rsidRPr="00393E1E">
        <w:rPr>
          <w:lang w:val="fr-CA"/>
        </w:rPr>
        <w:t>e</w:t>
      </w:r>
      <w:r w:rsidR="00855307" w:rsidRPr="00393E1E">
        <w:rPr>
          <w:lang w:val="fr-CA"/>
        </w:rPr>
        <w:t>n</w:t>
      </w:r>
      <w:r w:rsidR="00224FC0" w:rsidRPr="00393E1E">
        <w:rPr>
          <w:lang w:val="fr-CA"/>
        </w:rPr>
        <w:t xml:space="preserve"> </w:t>
      </w:r>
      <w:r w:rsidR="00855307" w:rsidRPr="00393E1E">
        <w:rPr>
          <w:lang w:val="fr-CA"/>
        </w:rPr>
        <w:t>appel</w:t>
      </w:r>
      <w:r w:rsidR="00224FC0" w:rsidRPr="00393E1E">
        <w:rPr>
          <w:lang w:val="fr-CA"/>
        </w:rPr>
        <w:t xml:space="preserve"> </w:t>
      </w:r>
      <w:r w:rsidR="00855307" w:rsidRPr="00393E1E">
        <w:rPr>
          <w:lang w:val="fr-CA"/>
        </w:rPr>
        <w:t>de</w:t>
      </w:r>
      <w:r w:rsidR="0043088E" w:rsidRPr="00393E1E">
        <w:rPr>
          <w:lang w:val="fr-CA"/>
        </w:rPr>
        <w:t xml:space="preserve"> </w:t>
      </w:r>
      <w:r w:rsidR="00855307" w:rsidRPr="00393E1E">
        <w:rPr>
          <w:lang w:val="fr-CA"/>
        </w:rPr>
        <w:t>la</w:t>
      </w:r>
      <w:r w:rsidR="00224FC0" w:rsidRPr="00393E1E">
        <w:rPr>
          <w:lang w:val="fr-CA"/>
        </w:rPr>
        <w:t xml:space="preserve"> </w:t>
      </w:r>
      <w:r w:rsidR="009B57B3" w:rsidRPr="00393E1E">
        <w:rPr>
          <w:lang w:val="fr-CA"/>
        </w:rPr>
        <w:t>cour d’appel de l’</w:t>
      </w:r>
      <w:proofErr w:type="spellStart"/>
      <w:r w:rsidR="009B57B3" w:rsidRPr="00393E1E">
        <w:rPr>
          <w:lang w:val="fr-CA"/>
        </w:rPr>
        <w:t>ontario</w:t>
      </w:r>
      <w:proofErr w:type="spellEnd"/>
    </w:p>
    <w:p w:rsidR="003A4C70" w:rsidRPr="00393E1E" w:rsidRDefault="003A4C70" w:rsidP="00E128D4">
      <w:pPr>
        <w:pStyle w:val="SCCNormalDoubleSpacing"/>
        <w:tabs>
          <w:tab w:val="left" w:pos="1170"/>
        </w:tabs>
        <w:rPr>
          <w:lang w:val="fr-CA"/>
        </w:rPr>
      </w:pPr>
    </w:p>
    <w:p w:rsidR="0076382B" w:rsidRPr="00393E1E" w:rsidRDefault="009B57B3" w:rsidP="00E128D4">
      <w:pPr>
        <w:pStyle w:val="SCCNormalDoubleSpacing"/>
        <w:tabs>
          <w:tab w:val="left" w:pos="1170"/>
        </w:tabs>
        <w:rPr>
          <w:i/>
          <w:lang w:val="fr-CA"/>
        </w:rPr>
      </w:pPr>
      <w:r w:rsidRPr="00393E1E">
        <w:rPr>
          <w:lang w:val="fr-CA"/>
        </w:rPr>
        <w:tab/>
      </w:r>
      <w:r w:rsidR="0076382B" w:rsidRPr="00393E1E">
        <w:rPr>
          <w:i/>
          <w:lang w:val="fr-CA"/>
        </w:rPr>
        <w:t xml:space="preserve">Tribunaux — Compétence — Cours supérieures provinciales — Action intentée </w:t>
      </w:r>
      <w:r w:rsidR="00CC0053" w:rsidRPr="00393E1E">
        <w:rPr>
          <w:i/>
          <w:lang w:val="fr-CA"/>
        </w:rPr>
        <w:t>contre la Couronne et un fonctionnaire f</w:t>
      </w:r>
      <w:r w:rsidR="00FF779C" w:rsidRPr="00393E1E">
        <w:rPr>
          <w:i/>
          <w:lang w:val="fr-CA"/>
        </w:rPr>
        <w:t>édé</w:t>
      </w:r>
      <w:r w:rsidR="00CC0053" w:rsidRPr="00393E1E">
        <w:rPr>
          <w:i/>
          <w:lang w:val="fr-CA"/>
        </w:rPr>
        <w:t>ral devant la Cour supérieure de l’Ontar</w:t>
      </w:r>
      <w:r w:rsidR="00FF779C" w:rsidRPr="00393E1E">
        <w:rPr>
          <w:i/>
          <w:lang w:val="fr-CA"/>
        </w:rPr>
        <w:t>io en vue d’obtenir des réparations con</w:t>
      </w:r>
      <w:r w:rsidR="00BA749E">
        <w:rPr>
          <w:i/>
          <w:lang w:val="fr-CA"/>
        </w:rPr>
        <w:t>stitutionnelles et des dommages-</w:t>
      </w:r>
      <w:r w:rsidR="00FF779C" w:rsidRPr="00393E1E">
        <w:rPr>
          <w:i/>
          <w:lang w:val="fr-CA"/>
        </w:rPr>
        <w:lastRenderedPageBreak/>
        <w:t xml:space="preserve">intérêts pour </w:t>
      </w:r>
      <w:r w:rsidR="004D59AC" w:rsidRPr="00393E1E">
        <w:rPr>
          <w:i/>
          <w:lang w:val="fr-CA"/>
        </w:rPr>
        <w:t xml:space="preserve">emprisonnement illégal ou séquestration et trouble émotionnel et souffrance morale infligés délibérément ou par négligence </w:t>
      </w:r>
      <w:r w:rsidR="0076382B" w:rsidRPr="00393E1E">
        <w:rPr>
          <w:i/>
          <w:lang w:val="fr-CA"/>
        </w:rPr>
        <w:t xml:space="preserve">— </w:t>
      </w:r>
      <w:r w:rsidR="004D59AC" w:rsidRPr="00393E1E">
        <w:rPr>
          <w:i/>
          <w:lang w:val="fr-CA"/>
        </w:rPr>
        <w:t>Le demandeur peut</w:t>
      </w:r>
      <w:r w:rsidR="00BA749E">
        <w:rPr>
          <w:i/>
          <w:lang w:val="fr-CA"/>
        </w:rPr>
        <w:t>-</w:t>
      </w:r>
      <w:r w:rsidR="004D59AC" w:rsidRPr="00393E1E">
        <w:rPr>
          <w:i/>
          <w:lang w:val="fr-CA"/>
        </w:rPr>
        <w:t xml:space="preserve">il engager une action devant la Cour supérieure de l’Ontario sans procéder d’abord par voie de contrôle judiciaire </w:t>
      </w:r>
      <w:r w:rsidR="00B53F9B" w:rsidRPr="00393E1E">
        <w:rPr>
          <w:i/>
          <w:lang w:val="fr-CA"/>
        </w:rPr>
        <w:t xml:space="preserve">en Cour fédérale? </w:t>
      </w:r>
      <w:r w:rsidR="0076382B" w:rsidRPr="008875A8">
        <w:rPr>
          <w:i/>
          <w:lang w:val="fr-FR"/>
        </w:rPr>
        <w:t>— Loi sur les Co</w:t>
      </w:r>
      <w:r w:rsidR="00830934" w:rsidRPr="008875A8">
        <w:rPr>
          <w:i/>
          <w:lang w:val="fr-FR"/>
        </w:rPr>
        <w:t>urs fédérales, L.R.C. 1985, ch.</w:t>
      </w:r>
      <w:r w:rsidR="00393E1E">
        <w:rPr>
          <w:i/>
          <w:lang w:val="fr-FR"/>
        </w:rPr>
        <w:t xml:space="preserve"> </w:t>
      </w:r>
      <w:r w:rsidR="0076382B" w:rsidRPr="008875A8">
        <w:rPr>
          <w:i/>
          <w:lang w:val="fr-FR"/>
        </w:rPr>
        <w:t>F</w:t>
      </w:r>
      <w:r w:rsidR="00393E1E">
        <w:rPr>
          <w:i/>
          <w:lang w:val="fr-FR"/>
        </w:rPr>
        <w:t>-</w:t>
      </w:r>
      <w:r w:rsidR="00830934" w:rsidRPr="008875A8">
        <w:rPr>
          <w:i/>
          <w:lang w:val="fr-FR"/>
        </w:rPr>
        <w:t>7, art.</w:t>
      </w:r>
      <w:r w:rsidR="00393E1E">
        <w:rPr>
          <w:i/>
          <w:lang w:val="fr-FR"/>
        </w:rPr>
        <w:t xml:space="preserve"> </w:t>
      </w:r>
      <w:r w:rsidR="0076382B" w:rsidRPr="008875A8">
        <w:rPr>
          <w:i/>
          <w:lang w:val="fr-FR"/>
        </w:rPr>
        <w:t>17, 18; Loi sur la responsabilité civile de l’État et le contentieux administratif, L.R.C. 1985, ch</w:t>
      </w:r>
      <w:r w:rsidR="00830934" w:rsidRPr="008875A8">
        <w:rPr>
          <w:i/>
          <w:lang w:val="fr-FR"/>
        </w:rPr>
        <w:t>.</w:t>
      </w:r>
      <w:r w:rsidR="00BA749E">
        <w:rPr>
          <w:i/>
          <w:lang w:val="fr-FR"/>
        </w:rPr>
        <w:t xml:space="preserve"> </w:t>
      </w:r>
      <w:r w:rsidR="00830934" w:rsidRPr="00393E1E">
        <w:rPr>
          <w:i/>
          <w:lang w:val="fr-CA"/>
        </w:rPr>
        <w:t>C</w:t>
      </w:r>
      <w:r w:rsidR="00BA749E">
        <w:rPr>
          <w:i/>
          <w:lang w:val="fr-CA"/>
        </w:rPr>
        <w:t>-</w:t>
      </w:r>
      <w:r w:rsidR="00830934" w:rsidRPr="00393E1E">
        <w:rPr>
          <w:i/>
          <w:lang w:val="fr-CA"/>
        </w:rPr>
        <w:t>50, art.</w:t>
      </w:r>
      <w:r w:rsidR="00BA749E">
        <w:rPr>
          <w:i/>
          <w:lang w:val="fr-CA"/>
        </w:rPr>
        <w:t xml:space="preserve"> </w:t>
      </w:r>
      <w:r w:rsidR="0076382B" w:rsidRPr="00393E1E">
        <w:rPr>
          <w:i/>
          <w:lang w:val="fr-CA"/>
        </w:rPr>
        <w:t>21.</w:t>
      </w:r>
    </w:p>
    <w:p w:rsidR="0076382B" w:rsidRPr="00393E1E" w:rsidRDefault="0076382B" w:rsidP="00E128D4">
      <w:pPr>
        <w:pStyle w:val="SCCNormalDoubleSpacing"/>
        <w:tabs>
          <w:tab w:val="left" w:pos="1170"/>
        </w:tabs>
        <w:rPr>
          <w:lang w:val="fr-CA"/>
        </w:rPr>
      </w:pPr>
    </w:p>
    <w:p w:rsidR="0076382B" w:rsidRPr="008875A8" w:rsidRDefault="0076382B" w:rsidP="00E128D4">
      <w:pPr>
        <w:pStyle w:val="SCCNormalDoubleSpacing"/>
        <w:tabs>
          <w:tab w:val="left" w:pos="1170"/>
        </w:tabs>
        <w:rPr>
          <w:lang w:val="fr-FR"/>
        </w:rPr>
      </w:pPr>
      <w:r w:rsidRPr="00393E1E">
        <w:rPr>
          <w:lang w:val="fr-CA"/>
        </w:rPr>
        <w:tab/>
      </w:r>
      <w:r w:rsidR="00B134F3" w:rsidRPr="008875A8">
        <w:rPr>
          <w:lang w:val="fr-FR"/>
        </w:rPr>
        <w:t xml:space="preserve">Entre </w:t>
      </w:r>
      <w:r w:rsidRPr="008875A8">
        <w:rPr>
          <w:lang w:val="fr-FR"/>
        </w:rPr>
        <w:t xml:space="preserve">1994 </w:t>
      </w:r>
      <w:r w:rsidR="00B134F3" w:rsidRPr="008875A8">
        <w:rPr>
          <w:lang w:val="fr-FR"/>
        </w:rPr>
        <w:t>et 1999, M a passé environ quatre ans et six mois en isolement cellulaire</w:t>
      </w:r>
      <w:r w:rsidR="002C04D1" w:rsidRPr="008875A8">
        <w:rPr>
          <w:lang w:val="fr-FR"/>
        </w:rPr>
        <w:t xml:space="preserve"> ou dans une unité</w:t>
      </w:r>
      <w:r w:rsidR="00F06C07" w:rsidRPr="00393E1E">
        <w:rPr>
          <w:lang w:val="fr-CA"/>
        </w:rPr>
        <w:t xml:space="preserve"> spéciale de détention,</w:t>
      </w:r>
      <w:r w:rsidR="00B134F3" w:rsidRPr="008875A8">
        <w:rPr>
          <w:lang w:val="fr-FR"/>
        </w:rPr>
        <w:t xml:space="preserve"> sur l’ordre de </w:t>
      </w:r>
      <w:r w:rsidRPr="008875A8">
        <w:rPr>
          <w:lang w:val="fr-FR"/>
        </w:rPr>
        <w:t xml:space="preserve">B </w:t>
      </w:r>
      <w:r w:rsidR="00B134F3" w:rsidRPr="008875A8">
        <w:rPr>
          <w:lang w:val="fr-FR"/>
        </w:rPr>
        <w:t xml:space="preserve">ou </w:t>
      </w:r>
      <w:r w:rsidR="00B134F3" w:rsidRPr="00393E1E">
        <w:rPr>
          <w:lang w:val="fr-CA"/>
        </w:rPr>
        <w:t>d’autres fonctionnaires fédéraux dont les actes engagent la responsabilité de la Couronne</w:t>
      </w:r>
      <w:r w:rsidRPr="008875A8">
        <w:rPr>
          <w:lang w:val="fr-FR"/>
        </w:rPr>
        <w:t xml:space="preserve">. </w:t>
      </w:r>
      <w:r w:rsidR="00B134F3" w:rsidRPr="008875A8">
        <w:rPr>
          <w:lang w:val="fr-FR"/>
        </w:rPr>
        <w:t xml:space="preserve">Il </w:t>
      </w:r>
      <w:r w:rsidR="00525AEF" w:rsidRPr="008875A8">
        <w:rPr>
          <w:lang w:val="fr-FR"/>
        </w:rPr>
        <w:t>n’</w:t>
      </w:r>
      <w:r w:rsidR="007B53A9" w:rsidRPr="008875A8">
        <w:rPr>
          <w:lang w:val="fr-FR"/>
        </w:rPr>
        <w:t>a pas cherché à faire annuler les ordres d’isolement, mais quelques années plus tard, il a déposé une déclaration à la Cour supérieure de l’Ontario</w:t>
      </w:r>
      <w:r w:rsidR="0051336F" w:rsidRPr="008875A8">
        <w:rPr>
          <w:lang w:val="fr-FR"/>
        </w:rPr>
        <w:t>,</w:t>
      </w:r>
      <w:r w:rsidRPr="008875A8">
        <w:rPr>
          <w:lang w:val="fr-FR"/>
        </w:rPr>
        <w:t xml:space="preserve"> </w:t>
      </w:r>
      <w:r w:rsidR="0051336F" w:rsidRPr="008875A8">
        <w:rPr>
          <w:lang w:val="fr-FR"/>
        </w:rPr>
        <w:t>réclamant des dommages</w:t>
      </w:r>
      <w:r w:rsidR="00393E1E">
        <w:rPr>
          <w:lang w:val="fr-FR"/>
        </w:rPr>
        <w:t>-</w:t>
      </w:r>
      <w:r w:rsidR="0051336F" w:rsidRPr="008875A8">
        <w:rPr>
          <w:lang w:val="fr-FR"/>
        </w:rPr>
        <w:t>intérêts et</w:t>
      </w:r>
      <w:r w:rsidRPr="008875A8">
        <w:rPr>
          <w:lang w:val="fr-FR"/>
        </w:rPr>
        <w:t xml:space="preserve"> </w:t>
      </w:r>
      <w:r w:rsidR="0051336F" w:rsidRPr="008875A8">
        <w:rPr>
          <w:lang w:val="fr-FR"/>
        </w:rPr>
        <w:t>affirmant que</w:t>
      </w:r>
      <w:r w:rsidRPr="008875A8">
        <w:rPr>
          <w:lang w:val="fr-FR"/>
        </w:rPr>
        <w:t xml:space="preserve"> </w:t>
      </w:r>
      <w:r w:rsidR="00F1718C" w:rsidRPr="008875A8">
        <w:rPr>
          <w:lang w:val="fr-FR"/>
        </w:rPr>
        <w:t xml:space="preserve">son isolement cellulaire était arbitraire et constituait une peine cruelle et inusitée, en violation de la </w:t>
      </w:r>
      <w:r w:rsidR="00F1718C" w:rsidRPr="008875A8">
        <w:rPr>
          <w:i/>
          <w:lang w:val="fr-FR"/>
        </w:rPr>
        <w:t>Charte canadienne des droits et libertés</w:t>
      </w:r>
      <w:r w:rsidRPr="008875A8">
        <w:rPr>
          <w:lang w:val="fr-FR"/>
        </w:rPr>
        <w:t>.</w:t>
      </w:r>
      <w:r w:rsidR="00A6112A">
        <w:rPr>
          <w:lang w:val="fr-FR"/>
        </w:rPr>
        <w:t xml:space="preserve"> </w:t>
      </w:r>
      <w:r w:rsidRPr="008875A8">
        <w:rPr>
          <w:lang w:val="fr-FR"/>
        </w:rPr>
        <w:t xml:space="preserve"> </w:t>
      </w:r>
      <w:r w:rsidR="00F1718C" w:rsidRPr="008875A8">
        <w:rPr>
          <w:lang w:val="fr-FR"/>
        </w:rPr>
        <w:t xml:space="preserve">Il a dit </w:t>
      </w:r>
      <w:r w:rsidR="00F1718C" w:rsidRPr="00393E1E">
        <w:rPr>
          <w:lang w:val="fr-CA"/>
        </w:rPr>
        <w:t>avoir subi un préjudice émotionnel et psychologique grave.</w:t>
      </w:r>
      <w:r w:rsidR="00F1718C" w:rsidRPr="008875A8">
        <w:rPr>
          <w:lang w:val="fr-FR"/>
        </w:rPr>
        <w:t xml:space="preserve"> </w:t>
      </w:r>
      <w:r w:rsidR="00A6112A">
        <w:rPr>
          <w:lang w:val="fr-FR"/>
        </w:rPr>
        <w:t xml:space="preserve"> </w:t>
      </w:r>
      <w:r w:rsidR="00397616" w:rsidRPr="008875A8">
        <w:rPr>
          <w:lang w:val="fr-FR"/>
        </w:rPr>
        <w:t xml:space="preserve">Il a aussi soutenu que les </w:t>
      </w:r>
      <w:r w:rsidR="00397616" w:rsidRPr="00393E1E">
        <w:rPr>
          <w:lang w:val="fr-CA"/>
        </w:rPr>
        <w:t>décisions ordonnant son isolement cellulaire avaient été prises de façon délibérée et avec malveillance ou par négligence.</w:t>
      </w:r>
      <w:r w:rsidR="00A6112A" w:rsidRPr="00393E1E">
        <w:rPr>
          <w:lang w:val="fr-CA"/>
        </w:rPr>
        <w:t xml:space="preserve"> </w:t>
      </w:r>
      <w:r w:rsidR="00397616" w:rsidRPr="008875A8">
        <w:rPr>
          <w:lang w:val="fr-FR"/>
        </w:rPr>
        <w:t xml:space="preserve"> </w:t>
      </w:r>
      <w:r w:rsidR="00F1718C" w:rsidRPr="008875A8">
        <w:rPr>
          <w:lang w:val="fr-FR"/>
        </w:rPr>
        <w:t xml:space="preserve">La </w:t>
      </w:r>
      <w:r w:rsidR="00397616" w:rsidRPr="008875A8">
        <w:rPr>
          <w:lang w:val="fr-FR"/>
        </w:rPr>
        <w:t xml:space="preserve">Cour supérieure a rejeté la demande en se fondant sur </w:t>
      </w:r>
      <w:r w:rsidRPr="008875A8">
        <w:rPr>
          <w:i/>
          <w:lang w:val="fr-FR"/>
        </w:rPr>
        <w:t xml:space="preserve">Canada </w:t>
      </w:r>
      <w:r w:rsidR="00397616" w:rsidRPr="008875A8">
        <w:rPr>
          <w:i/>
          <w:lang w:val="fr-FR"/>
        </w:rPr>
        <w:t>c</w:t>
      </w:r>
      <w:r w:rsidRPr="008875A8">
        <w:rPr>
          <w:i/>
          <w:lang w:val="fr-FR"/>
        </w:rPr>
        <w:t>. Grenier</w:t>
      </w:r>
      <w:r w:rsidRPr="008875A8">
        <w:rPr>
          <w:lang w:val="fr-FR"/>
        </w:rPr>
        <w:t>, 2005 CA</w:t>
      </w:r>
      <w:r w:rsidR="00397616" w:rsidRPr="008875A8">
        <w:rPr>
          <w:lang w:val="fr-FR"/>
        </w:rPr>
        <w:t>F</w:t>
      </w:r>
      <w:r w:rsidRPr="008875A8">
        <w:rPr>
          <w:lang w:val="fr-FR"/>
        </w:rPr>
        <w:t xml:space="preserve"> 348, [2006] 2 </w:t>
      </w:r>
      <w:r w:rsidR="00397616" w:rsidRPr="008875A8">
        <w:rPr>
          <w:lang w:val="fr-FR"/>
        </w:rPr>
        <w:t>R.</w:t>
      </w:r>
      <w:r w:rsidRPr="008875A8">
        <w:rPr>
          <w:lang w:val="fr-FR"/>
        </w:rPr>
        <w:t>C.</w:t>
      </w:r>
      <w:r w:rsidR="00397616" w:rsidRPr="008875A8">
        <w:rPr>
          <w:lang w:val="fr-FR"/>
        </w:rPr>
        <w:t>F</w:t>
      </w:r>
      <w:r w:rsidRPr="008875A8">
        <w:rPr>
          <w:lang w:val="fr-FR"/>
        </w:rPr>
        <w:t xml:space="preserve">. 287, </w:t>
      </w:r>
      <w:r w:rsidR="00397616" w:rsidRPr="008875A8">
        <w:rPr>
          <w:lang w:val="fr-FR"/>
        </w:rPr>
        <w:t>mais la Cour d’appel a infirmé sa décision au motif qu’il était possible d’obtenir une réparation sous forme de dommages</w:t>
      </w:r>
      <w:r w:rsidR="00BA749E">
        <w:rPr>
          <w:lang w:val="fr-FR"/>
        </w:rPr>
        <w:t>-</w:t>
      </w:r>
      <w:r w:rsidR="00397616" w:rsidRPr="008875A8">
        <w:rPr>
          <w:lang w:val="fr-FR"/>
        </w:rPr>
        <w:t>intérêts en cour supérieure.</w:t>
      </w:r>
    </w:p>
    <w:p w:rsidR="0076382B" w:rsidRPr="00A6112A" w:rsidRDefault="0076382B" w:rsidP="00E128D4">
      <w:pPr>
        <w:pStyle w:val="SCCNormalDoubleSpacing"/>
        <w:tabs>
          <w:tab w:val="left" w:pos="1170"/>
        </w:tabs>
        <w:rPr>
          <w:lang w:val="fr-FR"/>
        </w:rPr>
      </w:pPr>
    </w:p>
    <w:p w:rsidR="008322BD" w:rsidRPr="008875A8" w:rsidRDefault="0076382B" w:rsidP="00E128D4">
      <w:pPr>
        <w:pStyle w:val="SCCNormalDoubleSpacing"/>
        <w:tabs>
          <w:tab w:val="left" w:pos="1170"/>
        </w:tabs>
        <w:rPr>
          <w:lang w:val="fr-FR"/>
        </w:rPr>
      </w:pPr>
      <w:r w:rsidRPr="008875A8">
        <w:rPr>
          <w:lang w:val="fr-FR"/>
        </w:rPr>
        <w:tab/>
      </w:r>
      <w:r w:rsidR="00F34364" w:rsidRPr="008875A8">
        <w:rPr>
          <w:i/>
          <w:lang w:val="fr-FR"/>
        </w:rPr>
        <w:t>Arrêt </w:t>
      </w:r>
      <w:r w:rsidRPr="008875A8">
        <w:rPr>
          <w:rStyle w:val="QuoteChar"/>
          <w:i w:val="0"/>
          <w:color w:val="auto"/>
          <w:lang w:val="fr-FR"/>
        </w:rPr>
        <w:t>:</w:t>
      </w:r>
      <w:r w:rsidRPr="008875A8">
        <w:rPr>
          <w:lang w:val="fr-FR"/>
        </w:rPr>
        <w:t xml:space="preserve"> Le pourvoi est rejeté.</w:t>
      </w:r>
    </w:p>
    <w:p w:rsidR="007834A8" w:rsidRPr="008875A8" w:rsidRDefault="007834A8" w:rsidP="00E128D4">
      <w:pPr>
        <w:pStyle w:val="SCCNormalDoubleSpacing"/>
        <w:tabs>
          <w:tab w:val="left" w:pos="1170"/>
        </w:tabs>
        <w:rPr>
          <w:lang w:val="fr-FR"/>
        </w:rPr>
      </w:pPr>
    </w:p>
    <w:p w:rsidR="008322BD" w:rsidRPr="008875A8" w:rsidRDefault="009B57B3" w:rsidP="00E128D4">
      <w:pPr>
        <w:pStyle w:val="SCCNormalDoubleSpacing"/>
        <w:tabs>
          <w:tab w:val="left" w:pos="1170"/>
        </w:tabs>
        <w:rPr>
          <w:lang w:val="fr-FR"/>
        </w:rPr>
      </w:pPr>
      <w:r w:rsidRPr="008875A8">
        <w:rPr>
          <w:lang w:val="fr-FR"/>
        </w:rPr>
        <w:tab/>
      </w:r>
      <w:r w:rsidR="00915F38" w:rsidRPr="008875A8">
        <w:rPr>
          <w:lang w:val="fr-FR"/>
        </w:rPr>
        <w:t xml:space="preserve">Pour les motifs exprimés dans </w:t>
      </w:r>
      <w:r w:rsidR="00F767C5" w:rsidRPr="008875A8">
        <w:rPr>
          <w:i/>
          <w:lang w:val="fr-FR"/>
        </w:rPr>
        <w:t>Canada (</w:t>
      </w:r>
      <w:r w:rsidR="00915F38" w:rsidRPr="008875A8">
        <w:rPr>
          <w:i/>
          <w:lang w:val="fr-FR"/>
        </w:rPr>
        <w:t>Procureur général</w:t>
      </w:r>
      <w:r w:rsidR="00F767C5" w:rsidRPr="008875A8">
        <w:rPr>
          <w:i/>
          <w:lang w:val="fr-FR"/>
        </w:rPr>
        <w:t xml:space="preserve">) </w:t>
      </w:r>
      <w:r w:rsidR="00915F38" w:rsidRPr="008875A8">
        <w:rPr>
          <w:i/>
          <w:lang w:val="fr-FR"/>
        </w:rPr>
        <w:t>c</w:t>
      </w:r>
      <w:r w:rsidR="00F767C5" w:rsidRPr="008875A8">
        <w:rPr>
          <w:i/>
          <w:lang w:val="fr-FR"/>
        </w:rPr>
        <w:t xml:space="preserve">. </w:t>
      </w:r>
      <w:proofErr w:type="spellStart"/>
      <w:r w:rsidR="00F767C5" w:rsidRPr="008875A8">
        <w:rPr>
          <w:i/>
          <w:lang w:val="fr-FR"/>
        </w:rPr>
        <w:t>TeleZone</w:t>
      </w:r>
      <w:proofErr w:type="spellEnd"/>
      <w:r w:rsidR="00F767C5" w:rsidRPr="008875A8">
        <w:rPr>
          <w:i/>
          <w:lang w:val="fr-FR"/>
        </w:rPr>
        <w:t xml:space="preserve"> Inc.</w:t>
      </w:r>
      <w:r w:rsidR="00915F38" w:rsidRPr="008875A8">
        <w:rPr>
          <w:lang w:val="fr-FR"/>
        </w:rPr>
        <w:t xml:space="preserve">, 2010 </w:t>
      </w:r>
      <w:r w:rsidR="00F767C5" w:rsidRPr="008875A8">
        <w:rPr>
          <w:lang w:val="fr-FR"/>
        </w:rPr>
        <w:t>C</w:t>
      </w:r>
      <w:r w:rsidR="00915F38" w:rsidRPr="008875A8">
        <w:rPr>
          <w:lang w:val="fr-FR"/>
        </w:rPr>
        <w:t>S</w:t>
      </w:r>
      <w:r w:rsidR="00F767C5" w:rsidRPr="008875A8">
        <w:rPr>
          <w:lang w:val="fr-FR"/>
        </w:rPr>
        <w:t xml:space="preserve">C </w:t>
      </w:r>
      <w:r w:rsidR="002C04D1" w:rsidRPr="008875A8">
        <w:rPr>
          <w:lang w:val="fr-FR"/>
        </w:rPr>
        <w:t>62</w:t>
      </w:r>
      <w:r w:rsidR="00393E1E">
        <w:rPr>
          <w:lang w:val="fr-FR"/>
        </w:rPr>
        <w:t xml:space="preserve">, [2010] 3 R.C.S. </w:t>
      </w:r>
      <w:r w:rsidR="009722A9">
        <w:rPr>
          <w:lang w:val="fr-FR"/>
        </w:rPr>
        <w:t>585</w:t>
      </w:r>
      <w:r w:rsidR="00F767C5" w:rsidRPr="008875A8">
        <w:rPr>
          <w:lang w:val="fr-FR"/>
        </w:rPr>
        <w:t xml:space="preserve">, </w:t>
      </w:r>
      <w:r w:rsidR="00915F38" w:rsidRPr="008875A8">
        <w:rPr>
          <w:lang w:val="fr-FR"/>
        </w:rPr>
        <w:t xml:space="preserve">une interprétation textuelle, contextuelle et téléologique de la </w:t>
      </w:r>
      <w:r w:rsidR="00915F38" w:rsidRPr="008875A8">
        <w:rPr>
          <w:i/>
          <w:lang w:val="fr-FR"/>
        </w:rPr>
        <w:t xml:space="preserve">Loi sur les Cours fédérales </w:t>
      </w:r>
      <w:r w:rsidR="00915F38" w:rsidRPr="008875A8">
        <w:rPr>
          <w:lang w:val="fr-FR"/>
        </w:rPr>
        <w:t xml:space="preserve">n’étaye pas l’opinion selon laquelle </w:t>
      </w:r>
      <w:r w:rsidR="00915F38" w:rsidRPr="00393E1E">
        <w:rPr>
          <w:lang w:val="fr-CA"/>
        </w:rPr>
        <w:t>un demandeur qui prétend avoir subi un préjudice indemnisable en raison d’une décision administrative doit d’abord demander à la Cour fédérale de se prononcer sur la légalité de la décision.</w:t>
      </w:r>
      <w:r w:rsidR="00F767C5" w:rsidRPr="008875A8">
        <w:rPr>
          <w:lang w:val="fr-FR"/>
        </w:rPr>
        <w:t xml:space="preserve"> </w:t>
      </w:r>
      <w:r w:rsidR="00C92497" w:rsidRPr="008875A8">
        <w:rPr>
          <w:lang w:val="fr-FR"/>
        </w:rPr>
        <w:t xml:space="preserve"> </w:t>
      </w:r>
      <w:r w:rsidR="00915F38" w:rsidRPr="008875A8">
        <w:rPr>
          <w:lang w:val="fr-FR"/>
        </w:rPr>
        <w:t>De plus</w:t>
      </w:r>
      <w:r w:rsidR="00F767C5" w:rsidRPr="008875A8">
        <w:rPr>
          <w:lang w:val="fr-FR"/>
        </w:rPr>
        <w:t xml:space="preserve">, </w:t>
      </w:r>
      <w:r w:rsidR="00915F38" w:rsidRPr="008875A8">
        <w:rPr>
          <w:lang w:val="fr-FR"/>
        </w:rPr>
        <w:t xml:space="preserve">la </w:t>
      </w:r>
      <w:r w:rsidR="00915F38" w:rsidRPr="008875A8">
        <w:rPr>
          <w:i/>
          <w:lang w:val="fr-FR"/>
        </w:rPr>
        <w:t>Loi sur les Cours fédérales</w:t>
      </w:r>
      <w:r w:rsidR="00F767C5" w:rsidRPr="008875A8">
        <w:rPr>
          <w:lang w:val="fr-FR"/>
        </w:rPr>
        <w:t xml:space="preserve"> </w:t>
      </w:r>
      <w:r w:rsidR="00915F38" w:rsidRPr="008875A8">
        <w:rPr>
          <w:lang w:val="fr-FR"/>
        </w:rPr>
        <w:t>n’</w:t>
      </w:r>
      <w:r w:rsidR="00915F38" w:rsidRPr="00393E1E">
        <w:rPr>
          <w:lang w:val="fr-CA"/>
        </w:rPr>
        <w:t>empêche pas une cour supérieure provinciale de procéder à l’examen de la constitutionnalité de la conduite de fonctionnaires fédéraux.</w:t>
      </w:r>
      <w:r w:rsidR="00C92497" w:rsidRPr="00393E1E">
        <w:rPr>
          <w:lang w:val="fr-CA"/>
        </w:rPr>
        <w:t xml:space="preserve"> </w:t>
      </w:r>
      <w:r w:rsidR="00915F38" w:rsidRPr="008875A8">
        <w:rPr>
          <w:lang w:val="fr-FR"/>
        </w:rPr>
        <w:t xml:space="preserve"> En l’espèce</w:t>
      </w:r>
      <w:r w:rsidR="00F767C5" w:rsidRPr="008875A8">
        <w:rPr>
          <w:lang w:val="fr-FR"/>
        </w:rPr>
        <w:t xml:space="preserve">, </w:t>
      </w:r>
      <w:r w:rsidR="00915F38" w:rsidRPr="008875A8">
        <w:rPr>
          <w:lang w:val="fr-FR"/>
        </w:rPr>
        <w:t xml:space="preserve">la Cour supérieure </w:t>
      </w:r>
      <w:r w:rsidR="00915F38" w:rsidRPr="00393E1E">
        <w:rPr>
          <w:lang w:val="fr-CA"/>
        </w:rPr>
        <w:t>peut examiner la validité de</w:t>
      </w:r>
      <w:r w:rsidR="00C33F5D" w:rsidRPr="00393E1E">
        <w:rPr>
          <w:lang w:val="fr-CA"/>
        </w:rPr>
        <w:t xml:space="preserve"> l’isolement </w:t>
      </w:r>
      <w:r w:rsidR="00915F38" w:rsidRPr="00393E1E">
        <w:rPr>
          <w:lang w:val="fr-CA"/>
        </w:rPr>
        <w:t>de M dans le contexte d</w:t>
      </w:r>
      <w:r w:rsidR="00C33F5D" w:rsidRPr="00393E1E">
        <w:rPr>
          <w:lang w:val="fr-CA"/>
        </w:rPr>
        <w:t xml:space="preserve">e son </w:t>
      </w:r>
      <w:r w:rsidR="00915F38" w:rsidRPr="00393E1E">
        <w:rPr>
          <w:lang w:val="fr-CA"/>
        </w:rPr>
        <w:t>action en dommages</w:t>
      </w:r>
      <w:r w:rsidR="00393E1E">
        <w:rPr>
          <w:lang w:val="fr-CA"/>
        </w:rPr>
        <w:t>-</w:t>
      </w:r>
      <w:r w:rsidR="00915F38" w:rsidRPr="00393E1E">
        <w:rPr>
          <w:lang w:val="fr-CA"/>
        </w:rPr>
        <w:t>intérêts, ainsi que les répercussions, le cas échéant, d’un</w:t>
      </w:r>
      <w:r w:rsidR="00C33F5D" w:rsidRPr="00393E1E">
        <w:rPr>
          <w:lang w:val="fr-CA"/>
        </w:rPr>
        <w:t xml:space="preserve"> ordre </w:t>
      </w:r>
      <w:r w:rsidR="00C33F5D" w:rsidRPr="008875A8">
        <w:rPr>
          <w:lang w:val="fr-FR"/>
        </w:rPr>
        <w:t>d’isolement</w:t>
      </w:r>
      <w:r w:rsidR="00C33F5D" w:rsidRPr="00393E1E">
        <w:rPr>
          <w:lang w:val="fr-CA"/>
        </w:rPr>
        <w:t xml:space="preserve"> </w:t>
      </w:r>
      <w:r w:rsidR="00915F38" w:rsidRPr="00393E1E">
        <w:rPr>
          <w:lang w:val="fr-CA"/>
        </w:rPr>
        <w:t>valide</w:t>
      </w:r>
      <w:r w:rsidR="00915F38" w:rsidRPr="00393E1E">
        <w:rPr>
          <w:i/>
          <w:lang w:val="fr-CA"/>
        </w:rPr>
        <w:t xml:space="preserve"> </w:t>
      </w:r>
      <w:r w:rsidR="00915F38" w:rsidRPr="00393E1E">
        <w:rPr>
          <w:lang w:val="fr-CA"/>
        </w:rPr>
        <w:t>sur la responsabilité de la Couronne</w:t>
      </w:r>
      <w:r w:rsidR="00C33F5D" w:rsidRPr="00393E1E">
        <w:rPr>
          <w:lang w:val="fr-CA"/>
        </w:rPr>
        <w:t>.</w:t>
      </w:r>
      <w:r w:rsidR="00F767C5" w:rsidRPr="008875A8">
        <w:rPr>
          <w:lang w:val="fr-FR"/>
        </w:rPr>
        <w:t xml:space="preserve"> </w:t>
      </w:r>
      <w:r w:rsidR="004652E2" w:rsidRPr="008875A8">
        <w:rPr>
          <w:lang w:val="fr-FR"/>
        </w:rPr>
        <w:t xml:space="preserve"> </w:t>
      </w:r>
      <w:r w:rsidR="00A72802" w:rsidRPr="008875A8">
        <w:rPr>
          <w:lang w:val="fr-FR"/>
        </w:rPr>
        <w:t xml:space="preserve">Le principe de l’interdiction des contestations indirectes </w:t>
      </w:r>
      <w:r w:rsidR="008B12FE" w:rsidRPr="008875A8">
        <w:rPr>
          <w:lang w:val="fr-FR"/>
        </w:rPr>
        <w:t>n’étaye pas la contestation</w:t>
      </w:r>
      <w:r w:rsidR="00F34364" w:rsidRPr="008875A8">
        <w:rPr>
          <w:lang w:val="fr-FR"/>
        </w:rPr>
        <w:t xml:space="preserve"> de la compétence des cours supérieures provinciales</w:t>
      </w:r>
      <w:r w:rsidR="00A20D0D" w:rsidRPr="008875A8">
        <w:rPr>
          <w:lang w:val="fr-FR"/>
        </w:rPr>
        <w:t>, par le procureur général,</w:t>
      </w:r>
      <w:r w:rsidR="008B12FE" w:rsidRPr="008875A8">
        <w:rPr>
          <w:lang w:val="fr-FR"/>
        </w:rPr>
        <w:t xml:space="preserve"> </w:t>
      </w:r>
      <w:r w:rsidR="00F34364" w:rsidRPr="008875A8">
        <w:rPr>
          <w:lang w:val="fr-FR"/>
        </w:rPr>
        <w:t>vu la</w:t>
      </w:r>
      <w:r w:rsidR="00B83991" w:rsidRPr="008875A8">
        <w:rPr>
          <w:lang w:val="fr-FR"/>
        </w:rPr>
        <w:t xml:space="preserve"> </w:t>
      </w:r>
      <w:r w:rsidR="00A20D0D" w:rsidRPr="008875A8">
        <w:rPr>
          <w:lang w:val="fr-FR"/>
        </w:rPr>
        <w:t xml:space="preserve">compétence </w:t>
      </w:r>
      <w:r w:rsidR="00DE71FC" w:rsidRPr="008875A8">
        <w:rPr>
          <w:lang w:val="fr-FR"/>
        </w:rPr>
        <w:t xml:space="preserve">dans </w:t>
      </w:r>
      <w:r w:rsidR="00F34364" w:rsidRPr="008875A8">
        <w:rPr>
          <w:lang w:val="fr-FR"/>
        </w:rPr>
        <w:t>« </w:t>
      </w:r>
      <w:r w:rsidR="00DE71FC" w:rsidRPr="008875A8">
        <w:rPr>
          <w:lang w:val="fr-FR"/>
        </w:rPr>
        <w:t>les cas de demande de réparation contre la Couronne</w:t>
      </w:r>
      <w:r w:rsidR="00F34364" w:rsidRPr="008875A8">
        <w:rPr>
          <w:lang w:val="fr-FR"/>
        </w:rPr>
        <w:t> »</w:t>
      </w:r>
      <w:r w:rsidR="00DE71FC" w:rsidRPr="008875A8">
        <w:rPr>
          <w:lang w:val="fr-FR"/>
        </w:rPr>
        <w:t xml:space="preserve"> </w:t>
      </w:r>
      <w:r w:rsidR="00F34364" w:rsidRPr="008875A8">
        <w:rPr>
          <w:lang w:val="fr-FR"/>
        </w:rPr>
        <w:t>fédérale</w:t>
      </w:r>
      <w:r w:rsidR="008B12FE" w:rsidRPr="008875A8">
        <w:rPr>
          <w:lang w:val="fr-FR"/>
        </w:rPr>
        <w:t xml:space="preserve"> </w:t>
      </w:r>
      <w:r w:rsidR="00F34364" w:rsidRPr="008875A8">
        <w:rPr>
          <w:lang w:val="fr-FR"/>
        </w:rPr>
        <w:t xml:space="preserve">que leur confère explicitement </w:t>
      </w:r>
      <w:r w:rsidR="00DE71FC" w:rsidRPr="008875A8">
        <w:rPr>
          <w:lang w:val="fr-FR"/>
        </w:rPr>
        <w:t xml:space="preserve">la </w:t>
      </w:r>
      <w:r w:rsidR="00DE71FC" w:rsidRPr="008875A8">
        <w:rPr>
          <w:i/>
          <w:lang w:val="fr-FR"/>
        </w:rPr>
        <w:t>Loi sur les Cours fédérales</w:t>
      </w:r>
      <w:r w:rsidR="00DE71FC" w:rsidRPr="008875A8">
        <w:rPr>
          <w:lang w:val="fr-FR"/>
        </w:rPr>
        <w:t xml:space="preserve"> et </w:t>
      </w:r>
      <w:r w:rsidR="00DE71FC" w:rsidRPr="00393E1E">
        <w:rPr>
          <w:lang w:val="fr-CA"/>
        </w:rPr>
        <w:t xml:space="preserve">la </w:t>
      </w:r>
      <w:r w:rsidR="00DE71FC" w:rsidRPr="00393E1E">
        <w:rPr>
          <w:i/>
          <w:lang w:val="fr-CA"/>
        </w:rPr>
        <w:t>Loi sur la responsabilité civile de l’État et le contentieux administratif</w:t>
      </w:r>
      <w:r w:rsidR="00DE71FC" w:rsidRPr="00393E1E">
        <w:rPr>
          <w:lang w:val="fr-CA"/>
        </w:rPr>
        <w:t>.</w:t>
      </w:r>
    </w:p>
    <w:p w:rsidR="00E128D4" w:rsidRPr="008875A8" w:rsidRDefault="00E128D4" w:rsidP="00E128D4">
      <w:pPr>
        <w:pStyle w:val="SCCNormalDoubleSpacing"/>
        <w:tabs>
          <w:tab w:val="left" w:pos="1170"/>
        </w:tabs>
        <w:rPr>
          <w:lang w:val="fr-FR"/>
        </w:rPr>
      </w:pPr>
    </w:p>
    <w:p w:rsidR="007E1C47" w:rsidRPr="00393E1E" w:rsidRDefault="0043088E" w:rsidP="00E128D4">
      <w:pPr>
        <w:pStyle w:val="SCCNormalDoubleSpacing"/>
        <w:keepNext/>
        <w:tabs>
          <w:tab w:val="left" w:pos="1170"/>
        </w:tabs>
        <w:rPr>
          <w:b/>
          <w:lang w:val="fr-CA"/>
        </w:rPr>
      </w:pPr>
      <w:r w:rsidRPr="00393E1E">
        <w:rPr>
          <w:b/>
          <w:lang w:val="fr-CA"/>
        </w:rPr>
        <w:t>Jurisprudence</w:t>
      </w:r>
    </w:p>
    <w:p w:rsidR="007834A8" w:rsidRPr="00393E1E" w:rsidRDefault="007834A8" w:rsidP="00E128D4">
      <w:pPr>
        <w:pStyle w:val="SCCNormalDoubleSpacing"/>
        <w:keepNext/>
        <w:tabs>
          <w:tab w:val="left" w:pos="1170"/>
        </w:tabs>
        <w:rPr>
          <w:lang w:val="fr-CA"/>
        </w:rPr>
      </w:pPr>
    </w:p>
    <w:p w:rsidR="002E6705" w:rsidRPr="008875A8" w:rsidRDefault="002E6705" w:rsidP="00E128D4">
      <w:pPr>
        <w:pStyle w:val="SCCNormalDoubleSpacing"/>
        <w:tabs>
          <w:tab w:val="left" w:pos="1170"/>
        </w:tabs>
        <w:rPr>
          <w:b/>
        </w:rPr>
      </w:pPr>
      <w:r w:rsidRPr="00393E1E">
        <w:rPr>
          <w:lang w:val="fr-CA"/>
        </w:rPr>
        <w:tab/>
      </w:r>
      <w:r w:rsidR="00CC2F12" w:rsidRPr="00393E1E">
        <w:rPr>
          <w:b/>
          <w:lang w:val="fr-CA"/>
        </w:rPr>
        <w:t>A</w:t>
      </w:r>
      <w:r w:rsidR="00CC2F12" w:rsidRPr="00393E1E">
        <w:rPr>
          <w:b/>
          <w:szCs w:val="24"/>
          <w:lang w:val="fr-CA"/>
        </w:rPr>
        <w:t>rrêt appliqué </w:t>
      </w:r>
      <w:r w:rsidR="00CC2F12" w:rsidRPr="00393E1E">
        <w:rPr>
          <w:b/>
          <w:lang w:val="fr-CA"/>
        </w:rPr>
        <w:t>:</w:t>
      </w:r>
      <w:r w:rsidR="00CC2F12" w:rsidRPr="00393E1E">
        <w:rPr>
          <w:lang w:val="fr-CA"/>
        </w:rPr>
        <w:t xml:space="preserve"> </w:t>
      </w:r>
      <w:r w:rsidR="00CC2F12" w:rsidRPr="00393E1E">
        <w:rPr>
          <w:i/>
          <w:lang w:val="fr-CA"/>
        </w:rPr>
        <w:t>Canada (Procureur général) c.</w:t>
      </w:r>
      <w:r w:rsidR="00CC2F12" w:rsidRPr="00393E1E">
        <w:rPr>
          <w:lang w:val="fr-CA"/>
        </w:rPr>
        <w:t xml:space="preserve"> </w:t>
      </w:r>
      <w:r w:rsidR="00F3607D" w:rsidRPr="008875A8">
        <w:rPr>
          <w:szCs w:val="24"/>
        </w:rPr>
        <w:fldChar w:fldCharType="begin"/>
      </w:r>
      <w:r w:rsidR="00CC2F12" w:rsidRPr="00393E1E">
        <w:rPr>
          <w:szCs w:val="24"/>
          <w:lang w:val="fr-CA"/>
        </w:rPr>
        <w:instrText xml:space="preserve"> SEQ CHAPTER \h \r 1</w:instrText>
      </w:r>
      <w:r w:rsidR="00F3607D" w:rsidRPr="008875A8">
        <w:rPr>
          <w:szCs w:val="24"/>
        </w:rPr>
        <w:fldChar w:fldCharType="end"/>
      </w:r>
      <w:proofErr w:type="spellStart"/>
      <w:r w:rsidR="00CC2F12" w:rsidRPr="009722A9">
        <w:rPr>
          <w:i/>
          <w:iCs/>
          <w:szCs w:val="24"/>
          <w:lang w:val="fr-CA"/>
        </w:rPr>
        <w:t>TeleZone</w:t>
      </w:r>
      <w:proofErr w:type="spellEnd"/>
      <w:r w:rsidR="009722A9" w:rsidRPr="009722A9">
        <w:rPr>
          <w:i/>
          <w:iCs/>
          <w:szCs w:val="24"/>
          <w:lang w:val="fr-CA"/>
        </w:rPr>
        <w:t xml:space="preserve"> Inc.</w:t>
      </w:r>
      <w:r w:rsidR="00CC2F12" w:rsidRPr="009722A9">
        <w:rPr>
          <w:iCs/>
          <w:szCs w:val="24"/>
          <w:lang w:val="fr-CA"/>
        </w:rPr>
        <w:t>, 2010 CSC 62</w:t>
      </w:r>
      <w:r w:rsidR="00393E1E" w:rsidRPr="009722A9">
        <w:rPr>
          <w:iCs/>
          <w:szCs w:val="24"/>
          <w:lang w:val="fr-CA"/>
        </w:rPr>
        <w:t xml:space="preserve">, [2010] 3 R.C.S. </w:t>
      </w:r>
      <w:r w:rsidR="009722A9" w:rsidRPr="009722A9">
        <w:rPr>
          <w:iCs/>
          <w:szCs w:val="24"/>
          <w:lang w:val="fr-CA"/>
        </w:rPr>
        <w:t>585</w:t>
      </w:r>
      <w:r w:rsidR="00CC2F12" w:rsidRPr="009722A9">
        <w:rPr>
          <w:iCs/>
          <w:szCs w:val="24"/>
          <w:lang w:val="fr-CA"/>
        </w:rPr>
        <w:t xml:space="preserve">; </w:t>
      </w:r>
      <w:r w:rsidR="00A1260E" w:rsidRPr="009722A9">
        <w:rPr>
          <w:b/>
          <w:lang w:val="fr-CA"/>
        </w:rPr>
        <w:t xml:space="preserve">arrêt </w:t>
      </w:r>
      <w:r w:rsidR="00062B64" w:rsidRPr="009722A9">
        <w:rPr>
          <w:b/>
          <w:lang w:val="fr-CA"/>
        </w:rPr>
        <w:t>renversé</w:t>
      </w:r>
      <w:r w:rsidR="00A1260E" w:rsidRPr="009722A9">
        <w:rPr>
          <w:b/>
          <w:lang w:val="fr-CA"/>
        </w:rPr>
        <w:t xml:space="preserve"> : </w:t>
      </w:r>
      <w:r w:rsidR="00A1260E" w:rsidRPr="009722A9">
        <w:rPr>
          <w:i/>
          <w:lang w:val="fr-CA"/>
        </w:rPr>
        <w:t>Canada c. Grenier</w:t>
      </w:r>
      <w:r w:rsidR="00A1260E" w:rsidRPr="009722A9">
        <w:rPr>
          <w:lang w:val="fr-CA"/>
        </w:rPr>
        <w:t xml:space="preserve">, 2005 CAF 348, [2006] 2 R.C.F. 287; </w:t>
      </w:r>
      <w:r w:rsidR="00CC2F12" w:rsidRPr="009722A9">
        <w:rPr>
          <w:b/>
          <w:lang w:val="fr-CA"/>
        </w:rPr>
        <w:t>a</w:t>
      </w:r>
      <w:r w:rsidR="0043088E" w:rsidRPr="009722A9">
        <w:rPr>
          <w:b/>
          <w:lang w:val="fr-CA"/>
        </w:rPr>
        <w:t>rrêts mentionnés</w:t>
      </w:r>
      <w:r w:rsidR="00F33658" w:rsidRPr="009722A9">
        <w:rPr>
          <w:b/>
          <w:lang w:val="fr-CA"/>
        </w:rPr>
        <w:t> </w:t>
      </w:r>
      <w:r w:rsidRPr="009722A9">
        <w:rPr>
          <w:b/>
          <w:lang w:val="fr-CA"/>
        </w:rPr>
        <w:t>:</w:t>
      </w:r>
      <w:r w:rsidR="00172A04" w:rsidRPr="009722A9">
        <w:rPr>
          <w:lang w:val="fr-CA"/>
        </w:rPr>
        <w:t xml:space="preserve"> </w:t>
      </w:r>
      <w:r w:rsidR="00F3607D" w:rsidRPr="008875A8">
        <w:rPr>
          <w:szCs w:val="24"/>
        </w:rPr>
        <w:fldChar w:fldCharType="begin"/>
      </w:r>
      <w:r w:rsidR="00D47745" w:rsidRPr="009722A9">
        <w:rPr>
          <w:szCs w:val="24"/>
          <w:lang w:val="fr-CA"/>
        </w:rPr>
        <w:instrText xml:space="preserve"> SEQ CHAPTER \h \r 1</w:instrText>
      </w:r>
      <w:r w:rsidR="00F3607D" w:rsidRPr="008875A8">
        <w:rPr>
          <w:szCs w:val="24"/>
        </w:rPr>
        <w:fldChar w:fldCharType="end"/>
      </w:r>
      <w:r w:rsidR="00D47745" w:rsidRPr="009722A9">
        <w:rPr>
          <w:i/>
          <w:szCs w:val="24"/>
          <w:lang w:val="fr-CA"/>
        </w:rPr>
        <w:t>Procureur général du</w:t>
      </w:r>
      <w:r w:rsidR="00D47745" w:rsidRPr="009722A9">
        <w:rPr>
          <w:szCs w:val="24"/>
          <w:lang w:val="fr-CA"/>
        </w:rPr>
        <w:t xml:space="preserve"> </w:t>
      </w:r>
      <w:r w:rsidR="00F3607D" w:rsidRPr="008875A8">
        <w:rPr>
          <w:szCs w:val="24"/>
        </w:rPr>
        <w:fldChar w:fldCharType="begin"/>
      </w:r>
      <w:r w:rsidR="00D47745" w:rsidRPr="009722A9">
        <w:rPr>
          <w:szCs w:val="24"/>
          <w:lang w:val="fr-CA"/>
        </w:rPr>
        <w:instrText xml:space="preserve"> SEQ CHAPTER \h \r 1</w:instrText>
      </w:r>
      <w:r w:rsidR="00F3607D" w:rsidRPr="008875A8">
        <w:rPr>
          <w:szCs w:val="24"/>
        </w:rPr>
        <w:fldChar w:fldCharType="end"/>
      </w:r>
      <w:r w:rsidR="00D47745" w:rsidRPr="009722A9">
        <w:rPr>
          <w:i/>
          <w:iCs/>
          <w:szCs w:val="24"/>
          <w:lang w:val="fr-CA"/>
        </w:rPr>
        <w:t xml:space="preserve">Canada c. Law </w:t>
      </w:r>
      <w:r w:rsidR="00D47745" w:rsidRPr="009722A9">
        <w:rPr>
          <w:i/>
          <w:iCs/>
          <w:szCs w:val="24"/>
          <w:lang w:val="fr-CA"/>
        </w:rPr>
        <w:lastRenderedPageBreak/>
        <w:t>Society of British Columbia</w:t>
      </w:r>
      <w:r w:rsidR="00D47745" w:rsidRPr="009722A9">
        <w:rPr>
          <w:szCs w:val="24"/>
          <w:lang w:val="fr-CA"/>
        </w:rPr>
        <w:t xml:space="preserve">, [1982] 2 R.C.S. 307; </w:t>
      </w:r>
      <w:r w:rsidR="00F3607D" w:rsidRPr="008875A8">
        <w:rPr>
          <w:szCs w:val="24"/>
        </w:rPr>
        <w:fldChar w:fldCharType="begin"/>
      </w:r>
      <w:r w:rsidR="00D47745" w:rsidRPr="009722A9">
        <w:rPr>
          <w:szCs w:val="24"/>
          <w:lang w:val="fr-CA"/>
        </w:rPr>
        <w:instrText xml:space="preserve"> SEQ CHAPTER \h \r 1</w:instrText>
      </w:r>
      <w:r w:rsidR="00F3607D" w:rsidRPr="008875A8">
        <w:rPr>
          <w:szCs w:val="24"/>
        </w:rPr>
        <w:fldChar w:fldCharType="end"/>
      </w:r>
      <w:r w:rsidR="00D47745" w:rsidRPr="009722A9">
        <w:rPr>
          <w:i/>
          <w:iCs/>
          <w:szCs w:val="24"/>
          <w:lang w:val="fr-CA"/>
        </w:rPr>
        <w:t>Mills c. La Reine</w:t>
      </w:r>
      <w:r w:rsidR="00D47745" w:rsidRPr="009722A9">
        <w:rPr>
          <w:szCs w:val="24"/>
          <w:lang w:val="fr-CA"/>
        </w:rPr>
        <w:t xml:space="preserve">, [1986] 1 R.C.S. 863; </w:t>
      </w:r>
      <w:r w:rsidR="00525AEF" w:rsidRPr="009722A9">
        <w:rPr>
          <w:i/>
          <w:szCs w:val="24"/>
          <w:lang w:val="fr-CA"/>
        </w:rPr>
        <w:t>R. c. Morgentaler</w:t>
      </w:r>
      <w:r w:rsidR="00525AEF" w:rsidRPr="009722A9">
        <w:rPr>
          <w:szCs w:val="24"/>
          <w:lang w:val="fr-CA"/>
        </w:rPr>
        <w:t xml:space="preserve"> (1984), 41 C.R. (3d) 262; </w:t>
      </w:r>
      <w:r w:rsidR="00D47745" w:rsidRPr="009722A9">
        <w:rPr>
          <w:i/>
          <w:szCs w:val="24"/>
          <w:lang w:val="fr-CA"/>
        </w:rPr>
        <w:t>R. c.</w:t>
      </w:r>
      <w:r w:rsidR="00D47745" w:rsidRPr="009722A9">
        <w:rPr>
          <w:szCs w:val="24"/>
          <w:lang w:val="fr-CA"/>
        </w:rPr>
        <w:t xml:space="preserve"> </w:t>
      </w:r>
      <w:r w:rsidR="00F3607D" w:rsidRPr="008875A8">
        <w:rPr>
          <w:szCs w:val="24"/>
        </w:rPr>
        <w:fldChar w:fldCharType="begin"/>
      </w:r>
      <w:r w:rsidR="00D47745" w:rsidRPr="009722A9">
        <w:rPr>
          <w:szCs w:val="24"/>
          <w:lang w:val="fr-CA"/>
        </w:rPr>
        <w:instrText xml:space="preserve"> SEQ CHAPTER \h \r 1</w:instrText>
      </w:r>
      <w:r w:rsidR="00F3607D" w:rsidRPr="008875A8">
        <w:rPr>
          <w:szCs w:val="24"/>
        </w:rPr>
        <w:fldChar w:fldCharType="end"/>
      </w:r>
      <w:proofErr w:type="spellStart"/>
      <w:r w:rsidR="00D47745" w:rsidRPr="008875A8">
        <w:rPr>
          <w:i/>
          <w:iCs/>
          <w:szCs w:val="24"/>
        </w:rPr>
        <w:t>Rahey</w:t>
      </w:r>
      <w:proofErr w:type="spellEnd"/>
      <w:r w:rsidR="00D47745" w:rsidRPr="008875A8">
        <w:rPr>
          <w:szCs w:val="24"/>
        </w:rPr>
        <w:t xml:space="preserve">, [1987] 1 R.C.S. 588; </w:t>
      </w:r>
      <w:r w:rsidR="00F3607D" w:rsidRPr="008875A8">
        <w:rPr>
          <w:i/>
          <w:szCs w:val="24"/>
        </w:rPr>
        <w:fldChar w:fldCharType="begin"/>
      </w:r>
      <w:r w:rsidR="00D47745" w:rsidRPr="008875A8">
        <w:rPr>
          <w:i/>
          <w:szCs w:val="24"/>
        </w:rPr>
        <w:instrText xml:space="preserve"> SEQ CHAPTER \h \r 1</w:instrText>
      </w:r>
      <w:r w:rsidR="00F3607D" w:rsidRPr="008875A8">
        <w:rPr>
          <w:i/>
          <w:szCs w:val="24"/>
        </w:rPr>
        <w:fldChar w:fldCharType="end"/>
      </w:r>
      <w:r w:rsidR="00D47745" w:rsidRPr="008875A8">
        <w:rPr>
          <w:i/>
          <w:szCs w:val="24"/>
        </w:rPr>
        <w:t>R. c</w:t>
      </w:r>
      <w:r w:rsidR="00D47745" w:rsidRPr="008875A8">
        <w:rPr>
          <w:i/>
          <w:iCs/>
          <w:szCs w:val="24"/>
        </w:rPr>
        <w:t>. 974649 Ontario Inc.</w:t>
      </w:r>
      <w:r w:rsidR="00D47745" w:rsidRPr="008875A8">
        <w:rPr>
          <w:szCs w:val="24"/>
        </w:rPr>
        <w:t>, 2001 CSC 81, [2001] 3 R.C.S.</w:t>
      </w:r>
      <w:r w:rsidR="001A4AD0" w:rsidRPr="008875A8">
        <w:rPr>
          <w:szCs w:val="24"/>
        </w:rPr>
        <w:t xml:space="preserve"> 575</w:t>
      </w:r>
      <w:r w:rsidR="00A72E13" w:rsidRPr="008875A8">
        <w:rPr>
          <w:szCs w:val="24"/>
        </w:rPr>
        <w:t xml:space="preserve">; </w:t>
      </w:r>
      <w:r w:rsidR="00A72E13" w:rsidRPr="008875A8">
        <w:rPr>
          <w:i/>
          <w:szCs w:val="24"/>
        </w:rPr>
        <w:t>R. c. Conway</w:t>
      </w:r>
      <w:r w:rsidR="00A72E13" w:rsidRPr="008875A8">
        <w:rPr>
          <w:szCs w:val="24"/>
        </w:rPr>
        <w:t>, 2010 CSC 22, [201</w:t>
      </w:r>
      <w:r w:rsidR="00393E1E">
        <w:rPr>
          <w:szCs w:val="24"/>
        </w:rPr>
        <w:t xml:space="preserve">0] </w:t>
      </w:r>
      <w:r w:rsidR="00593064" w:rsidRPr="008875A8">
        <w:rPr>
          <w:szCs w:val="24"/>
        </w:rPr>
        <w:t>1</w:t>
      </w:r>
      <w:r w:rsidR="00393E1E">
        <w:rPr>
          <w:szCs w:val="24"/>
        </w:rPr>
        <w:t xml:space="preserve"> </w:t>
      </w:r>
      <w:r w:rsidR="00A72E13" w:rsidRPr="008875A8">
        <w:rPr>
          <w:szCs w:val="24"/>
        </w:rPr>
        <w:t>R.C.</w:t>
      </w:r>
      <w:r w:rsidR="00593064" w:rsidRPr="008875A8">
        <w:rPr>
          <w:szCs w:val="24"/>
        </w:rPr>
        <w:t>S.</w:t>
      </w:r>
      <w:r w:rsidR="00393E1E">
        <w:rPr>
          <w:szCs w:val="24"/>
        </w:rPr>
        <w:t xml:space="preserve"> </w:t>
      </w:r>
      <w:r w:rsidR="00A72E13" w:rsidRPr="008875A8">
        <w:rPr>
          <w:szCs w:val="24"/>
        </w:rPr>
        <w:t>765</w:t>
      </w:r>
      <w:r w:rsidR="001A4AD0" w:rsidRPr="008875A8">
        <w:rPr>
          <w:szCs w:val="24"/>
        </w:rPr>
        <w:t>.</w:t>
      </w:r>
    </w:p>
    <w:p w:rsidR="007834A8" w:rsidRPr="008875A8" w:rsidRDefault="007834A8" w:rsidP="00172A04">
      <w:pPr>
        <w:pStyle w:val="SCCNormalDoubleSpacing"/>
      </w:pPr>
    </w:p>
    <w:p w:rsidR="00E128D4" w:rsidRPr="00393E1E" w:rsidRDefault="0043088E" w:rsidP="00A6112A">
      <w:pPr>
        <w:pStyle w:val="SCCNormalDoubleSpacing"/>
        <w:keepNext/>
        <w:spacing w:after="720" w:line="240" w:lineRule="auto"/>
        <w:rPr>
          <w:b/>
          <w:lang w:val="fr-CA"/>
        </w:rPr>
      </w:pPr>
      <w:r w:rsidRPr="00393E1E">
        <w:rPr>
          <w:b/>
          <w:lang w:val="fr-CA"/>
        </w:rPr>
        <w:t>Lois</w:t>
      </w:r>
      <w:r w:rsidR="002E6705" w:rsidRPr="00393E1E">
        <w:rPr>
          <w:b/>
          <w:lang w:val="fr-CA"/>
        </w:rPr>
        <w:t xml:space="preserve"> </w:t>
      </w:r>
      <w:r w:rsidR="008A6558" w:rsidRPr="00393E1E">
        <w:rPr>
          <w:b/>
          <w:lang w:val="fr-CA"/>
        </w:rPr>
        <w:t>et</w:t>
      </w:r>
      <w:r w:rsidR="002E6705" w:rsidRPr="00393E1E">
        <w:rPr>
          <w:b/>
          <w:lang w:val="fr-CA"/>
        </w:rPr>
        <w:t xml:space="preserve"> </w:t>
      </w:r>
      <w:r w:rsidRPr="00393E1E">
        <w:rPr>
          <w:b/>
          <w:lang w:val="fr-CA"/>
        </w:rPr>
        <w:t>rè</w:t>
      </w:r>
      <w:r w:rsidR="002E6705" w:rsidRPr="00393E1E">
        <w:rPr>
          <w:b/>
          <w:lang w:val="fr-CA"/>
        </w:rPr>
        <w:t>gl</w:t>
      </w:r>
      <w:r w:rsidRPr="00393E1E">
        <w:rPr>
          <w:b/>
          <w:lang w:val="fr-CA"/>
        </w:rPr>
        <w:t>ements</w:t>
      </w:r>
      <w:r w:rsidR="002E6705" w:rsidRPr="00393E1E">
        <w:rPr>
          <w:b/>
          <w:lang w:val="fr-CA"/>
        </w:rPr>
        <w:t xml:space="preserve"> </w:t>
      </w:r>
      <w:r w:rsidRPr="00393E1E">
        <w:rPr>
          <w:b/>
          <w:lang w:val="fr-CA"/>
        </w:rPr>
        <w:t>c</w:t>
      </w:r>
      <w:r w:rsidR="002E6705" w:rsidRPr="00393E1E">
        <w:rPr>
          <w:b/>
          <w:lang w:val="fr-CA"/>
        </w:rPr>
        <w:t>it</w:t>
      </w:r>
      <w:r w:rsidRPr="00393E1E">
        <w:rPr>
          <w:b/>
          <w:lang w:val="fr-CA"/>
        </w:rPr>
        <w:t>és</w:t>
      </w:r>
    </w:p>
    <w:p w:rsidR="00187911" w:rsidRPr="00393E1E" w:rsidRDefault="00F3607D" w:rsidP="00187911">
      <w:pPr>
        <w:pStyle w:val="SCCNormalDoubleSpacing"/>
        <w:spacing w:line="240" w:lineRule="auto"/>
        <w:ind w:left="540" w:hanging="540"/>
        <w:rPr>
          <w:lang w:val="fr-CA"/>
        </w:rPr>
      </w:pPr>
      <w:r w:rsidRPr="008875A8">
        <w:rPr>
          <w:szCs w:val="24"/>
        </w:rPr>
        <w:fldChar w:fldCharType="begin"/>
      </w:r>
      <w:r w:rsidR="00187911" w:rsidRPr="00393E1E">
        <w:rPr>
          <w:szCs w:val="24"/>
          <w:lang w:val="fr-CA"/>
        </w:rPr>
        <w:instrText xml:space="preserve"> SEQ CHAPTER \h \r 1</w:instrText>
      </w:r>
      <w:r w:rsidRPr="008875A8">
        <w:rPr>
          <w:szCs w:val="24"/>
        </w:rPr>
        <w:fldChar w:fldCharType="end"/>
      </w:r>
      <w:r w:rsidR="00187911" w:rsidRPr="00393E1E">
        <w:rPr>
          <w:i/>
          <w:iCs/>
          <w:szCs w:val="24"/>
          <w:lang w:val="fr-CA"/>
        </w:rPr>
        <w:t>C</w:t>
      </w:r>
      <w:r w:rsidR="00F52B36" w:rsidRPr="00393E1E">
        <w:rPr>
          <w:i/>
          <w:iCs/>
          <w:szCs w:val="24"/>
          <w:lang w:val="fr-CA"/>
        </w:rPr>
        <w:t>harte canadienne des droits et libertés</w:t>
      </w:r>
      <w:r w:rsidR="00187911" w:rsidRPr="00393E1E">
        <w:rPr>
          <w:iCs/>
          <w:szCs w:val="24"/>
          <w:lang w:val="fr-CA"/>
        </w:rPr>
        <w:t>,</w:t>
      </w:r>
      <w:r w:rsidR="00187911" w:rsidRPr="00393E1E">
        <w:rPr>
          <w:i/>
          <w:iCs/>
          <w:szCs w:val="24"/>
          <w:lang w:val="fr-CA"/>
        </w:rPr>
        <w:t xml:space="preserve"> </w:t>
      </w:r>
      <w:r w:rsidR="00F52B36" w:rsidRPr="00393E1E">
        <w:rPr>
          <w:iCs/>
          <w:szCs w:val="24"/>
          <w:lang w:val="fr-CA"/>
        </w:rPr>
        <w:t>art</w:t>
      </w:r>
      <w:r w:rsidR="00E128D4" w:rsidRPr="00393E1E">
        <w:rPr>
          <w:iCs/>
          <w:szCs w:val="24"/>
          <w:lang w:val="fr-CA"/>
        </w:rPr>
        <w:t>.</w:t>
      </w:r>
      <w:r w:rsidR="00393E1E">
        <w:rPr>
          <w:iCs/>
          <w:szCs w:val="24"/>
          <w:lang w:val="fr-CA"/>
        </w:rPr>
        <w:t xml:space="preserve"> </w:t>
      </w:r>
      <w:r w:rsidR="00187911" w:rsidRPr="00393E1E">
        <w:rPr>
          <w:iCs/>
          <w:szCs w:val="24"/>
          <w:lang w:val="fr-CA"/>
        </w:rPr>
        <w:t>9, 12, 24(1).</w:t>
      </w:r>
      <w:r w:rsidR="00187911" w:rsidRPr="00393E1E">
        <w:rPr>
          <w:i/>
          <w:iCs/>
          <w:szCs w:val="24"/>
          <w:lang w:val="fr-CA"/>
        </w:rPr>
        <w:t xml:space="preserve"> </w:t>
      </w:r>
    </w:p>
    <w:p w:rsidR="005B379B" w:rsidRPr="00393E1E" w:rsidRDefault="005B379B" w:rsidP="00187911">
      <w:pPr>
        <w:pStyle w:val="SCCNormalDoubleSpacing"/>
        <w:spacing w:line="240" w:lineRule="auto"/>
        <w:ind w:left="540" w:hanging="540"/>
        <w:rPr>
          <w:i/>
          <w:szCs w:val="24"/>
          <w:lang w:val="fr-CA"/>
        </w:rPr>
      </w:pPr>
    </w:p>
    <w:p w:rsidR="00A72E13" w:rsidRPr="00393E1E" w:rsidRDefault="00A72E13" w:rsidP="00187911">
      <w:pPr>
        <w:pStyle w:val="SCCNormalDoubleSpacing"/>
        <w:spacing w:line="240" w:lineRule="auto"/>
        <w:ind w:left="540" w:hanging="540"/>
        <w:rPr>
          <w:szCs w:val="24"/>
          <w:lang w:val="fr-CA"/>
        </w:rPr>
      </w:pPr>
      <w:r w:rsidRPr="00393E1E">
        <w:rPr>
          <w:i/>
          <w:szCs w:val="24"/>
          <w:lang w:val="fr-CA"/>
        </w:rPr>
        <w:t>Loi constitutionnelle de 1867</w:t>
      </w:r>
      <w:r w:rsidR="00393E1E">
        <w:rPr>
          <w:szCs w:val="24"/>
          <w:lang w:val="fr-CA"/>
        </w:rPr>
        <w:t xml:space="preserve">, art. </w:t>
      </w:r>
      <w:r w:rsidR="00E128D4" w:rsidRPr="00393E1E">
        <w:rPr>
          <w:szCs w:val="24"/>
          <w:lang w:val="fr-CA"/>
        </w:rPr>
        <w:t>101.</w:t>
      </w:r>
    </w:p>
    <w:p w:rsidR="00A72E13" w:rsidRPr="00393E1E" w:rsidRDefault="00A72E13" w:rsidP="00187911">
      <w:pPr>
        <w:pStyle w:val="SCCNormalDoubleSpacing"/>
        <w:spacing w:line="240" w:lineRule="auto"/>
        <w:ind w:left="540" w:hanging="540"/>
        <w:rPr>
          <w:i/>
          <w:szCs w:val="24"/>
          <w:lang w:val="fr-CA"/>
        </w:rPr>
      </w:pPr>
    </w:p>
    <w:p w:rsidR="00187911" w:rsidRPr="00393E1E" w:rsidRDefault="00F3607D" w:rsidP="00187911">
      <w:pPr>
        <w:pStyle w:val="SCCNormalDoubleSpacing"/>
        <w:spacing w:line="240" w:lineRule="auto"/>
        <w:ind w:left="540" w:hanging="540"/>
        <w:rPr>
          <w:szCs w:val="24"/>
          <w:lang w:val="fr-CA"/>
        </w:rPr>
      </w:pPr>
      <w:r w:rsidRPr="008875A8">
        <w:rPr>
          <w:i/>
          <w:szCs w:val="24"/>
        </w:rPr>
        <w:fldChar w:fldCharType="begin"/>
      </w:r>
      <w:r w:rsidR="00187911" w:rsidRPr="00393E1E">
        <w:rPr>
          <w:i/>
          <w:szCs w:val="24"/>
          <w:lang w:val="fr-CA"/>
        </w:rPr>
        <w:instrText xml:space="preserve"> SEQ CHAPTER \h \r 1</w:instrText>
      </w:r>
      <w:r w:rsidRPr="008875A8">
        <w:rPr>
          <w:i/>
          <w:szCs w:val="24"/>
        </w:rPr>
        <w:fldChar w:fldCharType="end"/>
      </w:r>
      <w:r w:rsidR="0064763A" w:rsidRPr="00393E1E">
        <w:rPr>
          <w:i/>
          <w:szCs w:val="24"/>
          <w:lang w:val="fr-CA"/>
        </w:rPr>
        <w:t>Loi sur la responsabilité</w:t>
      </w:r>
      <w:r w:rsidR="00A841D1" w:rsidRPr="00393E1E">
        <w:rPr>
          <w:i/>
          <w:szCs w:val="24"/>
          <w:lang w:val="fr-CA"/>
        </w:rPr>
        <w:t xml:space="preserve"> civile</w:t>
      </w:r>
      <w:r w:rsidR="0064763A" w:rsidRPr="00393E1E">
        <w:rPr>
          <w:i/>
          <w:szCs w:val="24"/>
          <w:lang w:val="fr-CA"/>
        </w:rPr>
        <w:t xml:space="preserve"> de l’État</w:t>
      </w:r>
      <w:r w:rsidR="00A841D1" w:rsidRPr="00393E1E">
        <w:rPr>
          <w:i/>
          <w:szCs w:val="24"/>
          <w:lang w:val="fr-CA"/>
        </w:rPr>
        <w:t xml:space="preserve"> et le contentieux administratif</w:t>
      </w:r>
      <w:r w:rsidR="00187911" w:rsidRPr="00393E1E">
        <w:rPr>
          <w:szCs w:val="24"/>
          <w:lang w:val="fr-CA"/>
        </w:rPr>
        <w:t xml:space="preserve">, </w:t>
      </w:r>
      <w:r w:rsidR="0064763A" w:rsidRPr="00393E1E">
        <w:rPr>
          <w:szCs w:val="24"/>
          <w:lang w:val="fr-CA"/>
        </w:rPr>
        <w:t>L.</w:t>
      </w:r>
      <w:r w:rsidR="00187911" w:rsidRPr="00393E1E">
        <w:rPr>
          <w:szCs w:val="24"/>
          <w:lang w:val="fr-CA"/>
        </w:rPr>
        <w:t>R.C. 1985, c</w:t>
      </w:r>
      <w:r w:rsidR="00393E1E">
        <w:rPr>
          <w:szCs w:val="24"/>
          <w:lang w:val="fr-CA"/>
        </w:rPr>
        <w:t xml:space="preserve">h. </w:t>
      </w:r>
      <w:r w:rsidR="00924DE1" w:rsidRPr="00393E1E">
        <w:rPr>
          <w:szCs w:val="24"/>
          <w:lang w:val="fr-CA"/>
        </w:rPr>
        <w:t>C</w:t>
      </w:r>
      <w:r w:rsidR="00393E1E">
        <w:rPr>
          <w:szCs w:val="24"/>
          <w:lang w:val="fr-CA"/>
        </w:rPr>
        <w:t>-</w:t>
      </w:r>
      <w:r w:rsidR="00A841D1" w:rsidRPr="00393E1E">
        <w:rPr>
          <w:szCs w:val="24"/>
          <w:lang w:val="fr-CA"/>
        </w:rPr>
        <w:t xml:space="preserve">50, </w:t>
      </w:r>
      <w:r w:rsidR="0064763A" w:rsidRPr="00393E1E">
        <w:rPr>
          <w:szCs w:val="24"/>
          <w:lang w:val="fr-CA"/>
        </w:rPr>
        <w:t>art</w:t>
      </w:r>
      <w:r w:rsidR="00E128D4" w:rsidRPr="00393E1E">
        <w:rPr>
          <w:szCs w:val="24"/>
          <w:lang w:val="fr-CA"/>
        </w:rPr>
        <w:t>.</w:t>
      </w:r>
      <w:r w:rsidR="00393E1E">
        <w:rPr>
          <w:szCs w:val="24"/>
          <w:lang w:val="fr-CA"/>
        </w:rPr>
        <w:t xml:space="preserve"> </w:t>
      </w:r>
      <w:r w:rsidR="00187911" w:rsidRPr="00393E1E">
        <w:rPr>
          <w:szCs w:val="24"/>
          <w:lang w:val="fr-CA"/>
        </w:rPr>
        <w:t>21.</w:t>
      </w:r>
      <w:r w:rsidR="00A72E13" w:rsidRPr="00393E1E">
        <w:rPr>
          <w:szCs w:val="24"/>
          <w:lang w:val="fr-CA"/>
        </w:rPr>
        <w:t xml:space="preserve"> </w:t>
      </w:r>
    </w:p>
    <w:p w:rsidR="005B379B" w:rsidRPr="00393E1E" w:rsidRDefault="005B379B" w:rsidP="005B379B">
      <w:pPr>
        <w:pStyle w:val="SCCNormalDoubleSpacing"/>
        <w:spacing w:line="240" w:lineRule="auto"/>
        <w:ind w:left="540" w:hanging="540"/>
        <w:rPr>
          <w:lang w:val="fr-CA"/>
        </w:rPr>
      </w:pPr>
    </w:p>
    <w:p w:rsidR="005B379B" w:rsidRPr="00393E1E" w:rsidRDefault="00F3607D" w:rsidP="005B379B">
      <w:pPr>
        <w:pStyle w:val="SCCNormalDoubleSpacing"/>
        <w:spacing w:line="240" w:lineRule="auto"/>
        <w:ind w:left="540" w:hanging="540"/>
        <w:rPr>
          <w:szCs w:val="24"/>
          <w:lang w:val="fr-CA"/>
        </w:rPr>
      </w:pPr>
      <w:r w:rsidRPr="008875A8">
        <w:rPr>
          <w:szCs w:val="24"/>
        </w:rPr>
        <w:fldChar w:fldCharType="begin"/>
      </w:r>
      <w:r w:rsidR="005B379B" w:rsidRPr="00393E1E">
        <w:rPr>
          <w:szCs w:val="24"/>
          <w:lang w:val="fr-CA"/>
        </w:rPr>
        <w:instrText xml:space="preserve"> SEQ CHAPTER \h \r 1</w:instrText>
      </w:r>
      <w:r w:rsidRPr="008875A8">
        <w:rPr>
          <w:szCs w:val="24"/>
        </w:rPr>
        <w:fldChar w:fldCharType="end"/>
      </w:r>
      <w:r w:rsidR="005B379B" w:rsidRPr="00393E1E">
        <w:rPr>
          <w:i/>
          <w:iCs/>
          <w:szCs w:val="24"/>
          <w:lang w:val="fr-CA"/>
        </w:rPr>
        <w:t>Loi sur le système correctionnel et la mise en liberté sous condition</w:t>
      </w:r>
      <w:r w:rsidR="005B379B" w:rsidRPr="00393E1E">
        <w:rPr>
          <w:szCs w:val="24"/>
          <w:lang w:val="fr-CA"/>
        </w:rPr>
        <w:t>, L.C. 1992, c</w:t>
      </w:r>
      <w:r w:rsidR="00393E1E">
        <w:rPr>
          <w:szCs w:val="24"/>
          <w:lang w:val="fr-CA"/>
        </w:rPr>
        <w:t xml:space="preserve">h. </w:t>
      </w:r>
      <w:r w:rsidR="005B379B" w:rsidRPr="00393E1E">
        <w:rPr>
          <w:szCs w:val="24"/>
          <w:lang w:val="fr-CA"/>
        </w:rPr>
        <w:t>20, art</w:t>
      </w:r>
      <w:r w:rsidR="00393E1E">
        <w:rPr>
          <w:szCs w:val="24"/>
          <w:lang w:val="fr-CA"/>
        </w:rPr>
        <w:t xml:space="preserve">. </w:t>
      </w:r>
      <w:r w:rsidR="005B379B" w:rsidRPr="00393E1E">
        <w:rPr>
          <w:szCs w:val="24"/>
          <w:lang w:val="fr-CA"/>
        </w:rPr>
        <w:t>3, 31, 32, 33.</w:t>
      </w:r>
      <w:r w:rsidR="00A72E13" w:rsidRPr="00393E1E">
        <w:rPr>
          <w:szCs w:val="24"/>
          <w:lang w:val="fr-CA"/>
        </w:rPr>
        <w:t xml:space="preserve"> </w:t>
      </w:r>
    </w:p>
    <w:p w:rsidR="00187911" w:rsidRPr="00393E1E" w:rsidRDefault="00187911" w:rsidP="00187911">
      <w:pPr>
        <w:pStyle w:val="SCCNormalDoubleSpacing"/>
        <w:spacing w:line="240" w:lineRule="auto"/>
        <w:ind w:left="540" w:hanging="540"/>
        <w:rPr>
          <w:lang w:val="fr-CA"/>
        </w:rPr>
      </w:pPr>
    </w:p>
    <w:p w:rsidR="00187911" w:rsidRPr="00393E1E" w:rsidRDefault="00F3607D" w:rsidP="00187911">
      <w:pPr>
        <w:pStyle w:val="SCCNormalDoubleSpacing"/>
        <w:spacing w:line="240" w:lineRule="auto"/>
        <w:ind w:left="540" w:hanging="540"/>
        <w:rPr>
          <w:iCs/>
          <w:szCs w:val="24"/>
          <w:lang w:val="fr-CA"/>
        </w:rPr>
      </w:pPr>
      <w:r w:rsidRPr="008875A8">
        <w:rPr>
          <w:szCs w:val="24"/>
        </w:rPr>
        <w:fldChar w:fldCharType="begin"/>
      </w:r>
      <w:r w:rsidR="00187911" w:rsidRPr="00393E1E">
        <w:rPr>
          <w:szCs w:val="24"/>
          <w:lang w:val="fr-CA"/>
        </w:rPr>
        <w:instrText xml:space="preserve"> SEQ CHAPTER \h \r 1</w:instrText>
      </w:r>
      <w:r w:rsidRPr="008875A8">
        <w:rPr>
          <w:szCs w:val="24"/>
        </w:rPr>
        <w:fldChar w:fldCharType="end"/>
      </w:r>
      <w:r w:rsidR="005B379B" w:rsidRPr="00393E1E">
        <w:rPr>
          <w:i/>
          <w:iCs/>
          <w:szCs w:val="24"/>
          <w:lang w:val="fr-CA"/>
        </w:rPr>
        <w:t>Loi sur les</w:t>
      </w:r>
      <w:r w:rsidR="0064763A" w:rsidRPr="00393E1E">
        <w:rPr>
          <w:i/>
          <w:iCs/>
          <w:szCs w:val="24"/>
          <w:lang w:val="fr-CA"/>
        </w:rPr>
        <w:t xml:space="preserve"> Cour</w:t>
      </w:r>
      <w:r w:rsidR="005B379B" w:rsidRPr="00393E1E">
        <w:rPr>
          <w:i/>
          <w:iCs/>
          <w:szCs w:val="24"/>
          <w:lang w:val="fr-CA"/>
        </w:rPr>
        <w:t>s</w:t>
      </w:r>
      <w:r w:rsidR="0064763A" w:rsidRPr="00393E1E">
        <w:rPr>
          <w:i/>
          <w:iCs/>
          <w:szCs w:val="24"/>
          <w:lang w:val="fr-CA"/>
        </w:rPr>
        <w:t xml:space="preserve"> fédérale</w:t>
      </w:r>
      <w:r w:rsidR="005B379B" w:rsidRPr="00393E1E">
        <w:rPr>
          <w:i/>
          <w:iCs/>
          <w:szCs w:val="24"/>
          <w:lang w:val="fr-CA"/>
        </w:rPr>
        <w:t>s</w:t>
      </w:r>
      <w:r w:rsidR="00187911" w:rsidRPr="00393E1E">
        <w:rPr>
          <w:iCs/>
          <w:szCs w:val="24"/>
          <w:lang w:val="fr-CA"/>
        </w:rPr>
        <w:t xml:space="preserve">, </w:t>
      </w:r>
      <w:r w:rsidR="005B379B" w:rsidRPr="00393E1E">
        <w:rPr>
          <w:iCs/>
          <w:szCs w:val="24"/>
          <w:lang w:val="fr-CA"/>
        </w:rPr>
        <w:t>L.</w:t>
      </w:r>
      <w:r w:rsidR="00187911" w:rsidRPr="00393E1E">
        <w:rPr>
          <w:iCs/>
          <w:szCs w:val="24"/>
          <w:lang w:val="fr-CA"/>
        </w:rPr>
        <w:t>R.C. 1985, c</w:t>
      </w:r>
      <w:r w:rsidR="00393E1E">
        <w:rPr>
          <w:iCs/>
          <w:szCs w:val="24"/>
          <w:lang w:val="fr-CA"/>
        </w:rPr>
        <w:t xml:space="preserve">h. </w:t>
      </w:r>
      <w:r w:rsidR="005B379B" w:rsidRPr="00393E1E">
        <w:rPr>
          <w:iCs/>
          <w:szCs w:val="24"/>
          <w:lang w:val="fr-CA"/>
        </w:rPr>
        <w:t>F</w:t>
      </w:r>
      <w:r w:rsidR="00393E1E">
        <w:rPr>
          <w:iCs/>
          <w:szCs w:val="24"/>
          <w:lang w:val="fr-CA"/>
        </w:rPr>
        <w:t>-</w:t>
      </w:r>
      <w:r w:rsidR="005B379B" w:rsidRPr="00393E1E">
        <w:rPr>
          <w:iCs/>
          <w:szCs w:val="24"/>
          <w:lang w:val="fr-CA"/>
        </w:rPr>
        <w:t>7, art</w:t>
      </w:r>
      <w:r w:rsidR="00E128D4" w:rsidRPr="00393E1E">
        <w:rPr>
          <w:iCs/>
          <w:szCs w:val="24"/>
          <w:lang w:val="fr-CA"/>
        </w:rPr>
        <w:t>.</w:t>
      </w:r>
      <w:r w:rsidR="00393E1E">
        <w:rPr>
          <w:iCs/>
          <w:szCs w:val="24"/>
          <w:lang w:val="fr-CA"/>
        </w:rPr>
        <w:t xml:space="preserve"> </w:t>
      </w:r>
      <w:r w:rsidR="00187911" w:rsidRPr="00393E1E">
        <w:rPr>
          <w:iCs/>
          <w:szCs w:val="24"/>
          <w:lang w:val="fr-CA"/>
        </w:rPr>
        <w:t>17, 18.</w:t>
      </w:r>
      <w:r w:rsidR="00A72E13" w:rsidRPr="00393E1E">
        <w:rPr>
          <w:iCs/>
          <w:szCs w:val="24"/>
          <w:lang w:val="fr-CA"/>
        </w:rPr>
        <w:t xml:space="preserve"> </w:t>
      </w:r>
    </w:p>
    <w:p w:rsidR="005B379B" w:rsidRPr="00393E1E" w:rsidRDefault="005B379B" w:rsidP="005B379B">
      <w:pPr>
        <w:pStyle w:val="SCCNormalDoubleSpacing"/>
        <w:spacing w:line="240" w:lineRule="auto"/>
        <w:ind w:left="540" w:hanging="540"/>
        <w:rPr>
          <w:szCs w:val="24"/>
          <w:lang w:val="fr-CA"/>
        </w:rPr>
      </w:pPr>
    </w:p>
    <w:p w:rsidR="005B379B" w:rsidRPr="00393E1E" w:rsidRDefault="005B379B" w:rsidP="00A6112A">
      <w:pPr>
        <w:pStyle w:val="SCCNormalDoubleSpacing"/>
        <w:spacing w:after="720" w:line="240" w:lineRule="auto"/>
        <w:ind w:left="547" w:hanging="547"/>
        <w:rPr>
          <w:iCs/>
          <w:szCs w:val="24"/>
          <w:lang w:val="fr-CA"/>
        </w:rPr>
      </w:pPr>
      <w:r w:rsidRPr="00393E1E">
        <w:rPr>
          <w:i/>
          <w:iCs/>
          <w:szCs w:val="24"/>
          <w:lang w:val="fr-CA"/>
        </w:rPr>
        <w:t>Règlement sur le système correctionnel et la mise en liberté sous condition</w:t>
      </w:r>
      <w:r w:rsidRPr="00393E1E">
        <w:rPr>
          <w:iCs/>
          <w:szCs w:val="24"/>
          <w:lang w:val="fr-CA"/>
        </w:rPr>
        <w:t>, DORS/92</w:t>
      </w:r>
      <w:r w:rsidR="00393E1E">
        <w:rPr>
          <w:iCs/>
          <w:szCs w:val="24"/>
          <w:lang w:val="fr-CA"/>
        </w:rPr>
        <w:t>-</w:t>
      </w:r>
      <w:r w:rsidRPr="00393E1E">
        <w:rPr>
          <w:iCs/>
          <w:szCs w:val="24"/>
          <w:lang w:val="fr-CA"/>
        </w:rPr>
        <w:t xml:space="preserve">620, </w:t>
      </w:r>
      <w:r w:rsidR="00A841D1" w:rsidRPr="00393E1E">
        <w:rPr>
          <w:iCs/>
          <w:szCs w:val="24"/>
          <w:lang w:val="fr-CA"/>
        </w:rPr>
        <w:t>art</w:t>
      </w:r>
      <w:r w:rsidR="00393E1E">
        <w:rPr>
          <w:iCs/>
          <w:szCs w:val="24"/>
          <w:lang w:val="fr-CA"/>
        </w:rPr>
        <w:t xml:space="preserve">. </w:t>
      </w:r>
      <w:r w:rsidRPr="00393E1E">
        <w:rPr>
          <w:iCs/>
          <w:szCs w:val="24"/>
          <w:lang w:val="fr-CA"/>
        </w:rPr>
        <w:t>21, 22.</w:t>
      </w:r>
      <w:r w:rsidR="00A72E13" w:rsidRPr="00393E1E">
        <w:rPr>
          <w:iCs/>
          <w:szCs w:val="24"/>
          <w:lang w:val="fr-CA"/>
        </w:rPr>
        <w:t xml:space="preserve"> </w:t>
      </w:r>
    </w:p>
    <w:p w:rsidR="00D5435D" w:rsidRPr="00393E1E" w:rsidRDefault="00187911" w:rsidP="00E128D4">
      <w:pPr>
        <w:pStyle w:val="SCCNormalDoubleSpacing"/>
        <w:tabs>
          <w:tab w:val="left" w:pos="1170"/>
        </w:tabs>
        <w:rPr>
          <w:lang w:val="fr-CA"/>
        </w:rPr>
      </w:pPr>
      <w:r w:rsidRPr="00393E1E">
        <w:rPr>
          <w:lang w:val="fr-CA"/>
        </w:rPr>
        <w:tab/>
      </w:r>
      <w:r w:rsidR="009B57B3" w:rsidRPr="00393E1E">
        <w:rPr>
          <w:lang w:val="fr-CA"/>
        </w:rPr>
        <w:t>P</w:t>
      </w:r>
      <w:r w:rsidR="0043088E" w:rsidRPr="00393E1E">
        <w:rPr>
          <w:lang w:val="fr-CA"/>
        </w:rPr>
        <w:t>OURVOI contre un arrêt de la</w:t>
      </w:r>
      <w:r w:rsidR="009B57B3" w:rsidRPr="00393E1E">
        <w:rPr>
          <w:lang w:val="fr-CA"/>
        </w:rPr>
        <w:t xml:space="preserve"> Cour d’appel de l’Ontario</w:t>
      </w:r>
      <w:r w:rsidRPr="00393E1E">
        <w:rPr>
          <w:lang w:val="fr-CA"/>
        </w:rPr>
        <w:t xml:space="preserve"> (les juges </w:t>
      </w:r>
      <w:proofErr w:type="spellStart"/>
      <w:r w:rsidRPr="00393E1E">
        <w:rPr>
          <w:lang w:val="fr-CA"/>
        </w:rPr>
        <w:t>Laskin</w:t>
      </w:r>
      <w:proofErr w:type="spellEnd"/>
      <w:r w:rsidRPr="00393E1E">
        <w:rPr>
          <w:lang w:val="fr-CA"/>
        </w:rPr>
        <w:t xml:space="preserve">, Borins et </w:t>
      </w:r>
      <w:proofErr w:type="spellStart"/>
      <w:r w:rsidRPr="00393E1E">
        <w:rPr>
          <w:lang w:val="fr-CA"/>
        </w:rPr>
        <w:t>Feldman</w:t>
      </w:r>
      <w:proofErr w:type="spellEnd"/>
      <w:r w:rsidRPr="00393E1E">
        <w:rPr>
          <w:lang w:val="fr-CA"/>
        </w:rPr>
        <w:t xml:space="preserve">), 2008 </w:t>
      </w:r>
      <w:r w:rsidR="00A841D1" w:rsidRPr="00393E1E">
        <w:rPr>
          <w:lang w:val="fr-CA"/>
        </w:rPr>
        <w:t>ONCA</w:t>
      </w:r>
      <w:r w:rsidRPr="00393E1E">
        <w:rPr>
          <w:lang w:val="fr-CA"/>
        </w:rPr>
        <w:t xml:space="preserve"> 892, 94 O.R. (3d) 19, 303 D.L.R. (4th) 626, </w:t>
      </w:r>
      <w:r w:rsidR="00393E1E">
        <w:rPr>
          <w:szCs w:val="24"/>
          <w:lang w:val="fr-CA"/>
        </w:rPr>
        <w:t xml:space="preserve">245 </w:t>
      </w:r>
      <w:r w:rsidRPr="00393E1E">
        <w:rPr>
          <w:szCs w:val="24"/>
          <w:lang w:val="fr-CA"/>
        </w:rPr>
        <w:t xml:space="preserve">O.A.C. 91, 86 </w:t>
      </w:r>
      <w:proofErr w:type="spellStart"/>
      <w:r w:rsidRPr="00393E1E">
        <w:rPr>
          <w:szCs w:val="24"/>
          <w:lang w:val="fr-CA"/>
        </w:rPr>
        <w:t>Admin</w:t>
      </w:r>
      <w:proofErr w:type="spellEnd"/>
      <w:r w:rsidR="00393E1E">
        <w:rPr>
          <w:szCs w:val="24"/>
          <w:lang w:val="fr-CA"/>
        </w:rPr>
        <w:t>.</w:t>
      </w:r>
      <w:r w:rsidRPr="00393E1E">
        <w:rPr>
          <w:szCs w:val="24"/>
          <w:lang w:val="fr-CA"/>
        </w:rPr>
        <w:t xml:space="preserve"> L.R. (4th) 163, 40 C.E.L.R. (3d) 183, </w:t>
      </w:r>
      <w:r w:rsidR="00F3607D" w:rsidRPr="008875A8">
        <w:rPr>
          <w:szCs w:val="24"/>
        </w:rPr>
        <w:fldChar w:fldCharType="begin"/>
      </w:r>
      <w:r w:rsidRPr="00393E1E">
        <w:rPr>
          <w:szCs w:val="24"/>
          <w:lang w:val="fr-CA"/>
        </w:rPr>
        <w:instrText xml:space="preserve"> SEQ CHAPTER \h \r 1</w:instrText>
      </w:r>
      <w:r w:rsidR="00F3607D" w:rsidRPr="008875A8">
        <w:rPr>
          <w:szCs w:val="24"/>
        </w:rPr>
        <w:fldChar w:fldCharType="end"/>
      </w:r>
      <w:r w:rsidRPr="00393E1E">
        <w:rPr>
          <w:szCs w:val="24"/>
          <w:lang w:val="fr-CA"/>
        </w:rPr>
        <w:t xml:space="preserve">[2008] O.J. No. 5291 (QL), 2008 </w:t>
      </w:r>
      <w:proofErr w:type="spellStart"/>
      <w:r w:rsidRPr="00393E1E">
        <w:rPr>
          <w:szCs w:val="24"/>
          <w:lang w:val="fr-CA"/>
        </w:rPr>
        <w:t>CarswellOnt</w:t>
      </w:r>
      <w:proofErr w:type="spellEnd"/>
      <w:r w:rsidRPr="00393E1E">
        <w:rPr>
          <w:szCs w:val="24"/>
          <w:lang w:val="fr-CA"/>
        </w:rPr>
        <w:t xml:space="preserve"> 7826, qui a </w:t>
      </w:r>
      <w:r w:rsidR="00565581" w:rsidRPr="00393E1E">
        <w:rPr>
          <w:szCs w:val="24"/>
          <w:lang w:val="fr-CA"/>
        </w:rPr>
        <w:t>infir</w:t>
      </w:r>
      <w:r w:rsidRPr="00393E1E">
        <w:rPr>
          <w:szCs w:val="24"/>
          <w:lang w:val="fr-CA"/>
        </w:rPr>
        <w:t>mé une décision du juge Pedlar,</w:t>
      </w:r>
      <w:r w:rsidR="00393E1E">
        <w:rPr>
          <w:lang w:val="fr-CA"/>
        </w:rPr>
        <w:t xml:space="preserve"> 2006 </w:t>
      </w:r>
      <w:proofErr w:type="spellStart"/>
      <w:r w:rsidRPr="00393E1E">
        <w:rPr>
          <w:lang w:val="fr-CA"/>
        </w:rPr>
        <w:t>CarswellOnt</w:t>
      </w:r>
      <w:proofErr w:type="spellEnd"/>
      <w:r w:rsidRPr="00393E1E">
        <w:rPr>
          <w:lang w:val="fr-CA"/>
        </w:rPr>
        <w:t xml:space="preserve"> 9820.  </w:t>
      </w:r>
      <w:r w:rsidR="00A72E13" w:rsidRPr="00393E1E">
        <w:rPr>
          <w:lang w:val="fr-CA"/>
        </w:rPr>
        <w:t>Pourvoi re</w:t>
      </w:r>
      <w:r w:rsidR="00A841D1" w:rsidRPr="00393E1E">
        <w:rPr>
          <w:lang w:val="fr-CA"/>
        </w:rPr>
        <w:t>jeté</w:t>
      </w:r>
      <w:r w:rsidR="00A72E13" w:rsidRPr="00393E1E">
        <w:rPr>
          <w:lang w:val="fr-CA"/>
        </w:rPr>
        <w:t xml:space="preserve">. </w:t>
      </w:r>
    </w:p>
    <w:p w:rsidR="00966913" w:rsidRPr="00393E1E" w:rsidRDefault="00966913" w:rsidP="00E128D4">
      <w:pPr>
        <w:pStyle w:val="SCCNormalDoubleSpacing"/>
        <w:tabs>
          <w:tab w:val="left" w:pos="1170"/>
        </w:tabs>
        <w:rPr>
          <w:lang w:val="fr-CA"/>
        </w:rPr>
      </w:pPr>
    </w:p>
    <w:p w:rsidR="0015222E" w:rsidRPr="00393E1E" w:rsidRDefault="003D0C89" w:rsidP="00E128D4">
      <w:pPr>
        <w:pStyle w:val="SCCNormalDoubleSpacing"/>
        <w:tabs>
          <w:tab w:val="left" w:pos="1170"/>
        </w:tabs>
        <w:rPr>
          <w:lang w:val="fr-CA"/>
        </w:rPr>
      </w:pPr>
      <w:r w:rsidRPr="00393E1E">
        <w:rPr>
          <w:rStyle w:val="SCCCounselNameChar"/>
          <w:lang w:val="fr-CA"/>
        </w:rPr>
        <w:tab/>
      </w:r>
      <w:r w:rsidR="00E128D4" w:rsidRPr="00393E1E">
        <w:rPr>
          <w:rStyle w:val="SCCCounselNameChar"/>
          <w:lang w:val="fr-CA"/>
        </w:rPr>
        <w:t>Christopher</w:t>
      </w:r>
      <w:r w:rsidR="00393E1E">
        <w:rPr>
          <w:rStyle w:val="SCCCounselNameChar"/>
          <w:lang w:val="fr-CA"/>
        </w:rPr>
        <w:t xml:space="preserve"> </w:t>
      </w:r>
      <w:r w:rsidRPr="00393E1E">
        <w:rPr>
          <w:rStyle w:val="SCCCounselNameChar"/>
          <w:lang w:val="fr-CA"/>
        </w:rPr>
        <w:t xml:space="preserve">M. </w:t>
      </w:r>
      <w:proofErr w:type="spellStart"/>
      <w:r w:rsidRPr="00393E1E">
        <w:rPr>
          <w:rStyle w:val="SCCCounselNameChar"/>
          <w:lang w:val="fr-CA"/>
        </w:rPr>
        <w:t>Rupar</w:t>
      </w:r>
      <w:proofErr w:type="spellEnd"/>
      <w:r w:rsidRPr="00393E1E">
        <w:rPr>
          <w:rStyle w:val="SCCCounselSeparatorChar"/>
          <w:lang w:val="fr-CA"/>
        </w:rPr>
        <w:t xml:space="preserve">, </w:t>
      </w:r>
      <w:r w:rsidRPr="00393E1E">
        <w:rPr>
          <w:rStyle w:val="SCCCounselNameChar"/>
          <w:lang w:val="fr-CA"/>
        </w:rPr>
        <w:t xml:space="preserve">Alain </w:t>
      </w:r>
      <w:proofErr w:type="spellStart"/>
      <w:r w:rsidRPr="00393E1E">
        <w:rPr>
          <w:rStyle w:val="SCCCounselNameChar"/>
          <w:lang w:val="fr-CA"/>
        </w:rPr>
        <w:t>Préfontaine</w:t>
      </w:r>
      <w:proofErr w:type="spellEnd"/>
      <w:r w:rsidRPr="00393E1E">
        <w:rPr>
          <w:rStyle w:val="SCCCounselSeparatorChar"/>
          <w:lang w:val="fr-CA"/>
        </w:rPr>
        <w:t xml:space="preserve"> et </w:t>
      </w:r>
      <w:r w:rsidRPr="00393E1E">
        <w:rPr>
          <w:rStyle w:val="SCCCounselNameChar"/>
          <w:lang w:val="fr-CA"/>
        </w:rPr>
        <w:t xml:space="preserve">Bernard </w:t>
      </w:r>
      <w:proofErr w:type="spellStart"/>
      <w:r w:rsidRPr="00393E1E">
        <w:rPr>
          <w:rStyle w:val="SCCCounselNameChar"/>
          <w:lang w:val="fr-CA"/>
        </w:rPr>
        <w:t>Letarte</w:t>
      </w:r>
      <w:proofErr w:type="spellEnd"/>
      <w:r w:rsidR="006355C2" w:rsidRPr="008875A8">
        <w:rPr>
          <w:rStyle w:val="SCCCounselPartyRoleChar"/>
        </w:rPr>
        <w:t>, pour les appelants</w:t>
      </w:r>
      <w:r w:rsidRPr="008875A8">
        <w:rPr>
          <w:rStyle w:val="SCCCounselPartyRoleChar"/>
        </w:rPr>
        <w:t>.</w:t>
      </w:r>
    </w:p>
    <w:p w:rsidR="0015222E" w:rsidRPr="00393E1E" w:rsidRDefault="0015222E" w:rsidP="00E128D4">
      <w:pPr>
        <w:pStyle w:val="SCCNormalDoubleSpacing"/>
        <w:tabs>
          <w:tab w:val="left" w:pos="1170"/>
        </w:tabs>
        <w:rPr>
          <w:lang w:val="fr-CA"/>
        </w:rPr>
      </w:pPr>
    </w:p>
    <w:p w:rsidR="0015222E" w:rsidRPr="00393E1E" w:rsidRDefault="00393E1E" w:rsidP="00E128D4">
      <w:pPr>
        <w:pStyle w:val="SCCNormalDoubleSpacing"/>
        <w:tabs>
          <w:tab w:val="left" w:pos="1170"/>
        </w:tabs>
        <w:rPr>
          <w:lang w:val="fr-CA"/>
        </w:rPr>
      </w:pPr>
      <w:r>
        <w:rPr>
          <w:rStyle w:val="SCCCounselNameChar"/>
          <w:lang w:val="fr-CA"/>
        </w:rPr>
        <w:tab/>
        <w:t xml:space="preserve">John </w:t>
      </w:r>
      <w:r w:rsidR="003D0C89" w:rsidRPr="00393E1E">
        <w:rPr>
          <w:rStyle w:val="SCCCounselNameChar"/>
          <w:lang w:val="fr-CA"/>
        </w:rPr>
        <w:t xml:space="preserve">A. </w:t>
      </w:r>
      <w:proofErr w:type="spellStart"/>
      <w:r w:rsidR="003D0C89" w:rsidRPr="00393E1E">
        <w:rPr>
          <w:rStyle w:val="SCCCounselNameChar"/>
          <w:lang w:val="fr-CA"/>
        </w:rPr>
        <w:t>Ryder</w:t>
      </w:r>
      <w:proofErr w:type="spellEnd"/>
      <w:r>
        <w:rPr>
          <w:rStyle w:val="SCCCounselNameChar"/>
          <w:lang w:val="fr-CA"/>
        </w:rPr>
        <w:t>-</w:t>
      </w:r>
      <w:proofErr w:type="spellStart"/>
      <w:r w:rsidR="003D0C89" w:rsidRPr="00393E1E">
        <w:rPr>
          <w:rStyle w:val="SCCCounselNameChar"/>
          <w:lang w:val="fr-CA"/>
        </w:rPr>
        <w:t>Burbidge</w:t>
      </w:r>
      <w:proofErr w:type="spellEnd"/>
      <w:r w:rsidR="006355C2" w:rsidRPr="008875A8">
        <w:rPr>
          <w:rStyle w:val="SCCCounselPartyRoleChar"/>
        </w:rPr>
        <w:t>, pour l</w:t>
      </w:r>
      <w:r w:rsidR="00924DE1" w:rsidRPr="008875A8">
        <w:rPr>
          <w:rStyle w:val="SCCCounselPartyRoleChar"/>
        </w:rPr>
        <w:t>’</w:t>
      </w:r>
      <w:r w:rsidR="006355C2" w:rsidRPr="008875A8">
        <w:rPr>
          <w:rStyle w:val="SCCCounselPartyRoleChar"/>
        </w:rPr>
        <w:t>intimé</w:t>
      </w:r>
      <w:r w:rsidR="003D0C89" w:rsidRPr="008875A8">
        <w:rPr>
          <w:rStyle w:val="SCCCounselPartyRoleChar"/>
        </w:rPr>
        <w:t>.</w:t>
      </w:r>
    </w:p>
    <w:p w:rsidR="0015222E" w:rsidRPr="00393E1E" w:rsidRDefault="0015222E" w:rsidP="00E128D4">
      <w:pPr>
        <w:pStyle w:val="SCCNormalDoubleSpacing"/>
        <w:tabs>
          <w:tab w:val="left" w:pos="1170"/>
        </w:tabs>
        <w:rPr>
          <w:lang w:val="fr-CA"/>
        </w:rPr>
      </w:pPr>
    </w:p>
    <w:p w:rsidR="0015222E" w:rsidRPr="00393E1E" w:rsidRDefault="003D0C89" w:rsidP="00E128D4">
      <w:pPr>
        <w:pStyle w:val="SCCNormalDoubleSpacing"/>
        <w:tabs>
          <w:tab w:val="left" w:pos="1170"/>
        </w:tabs>
        <w:rPr>
          <w:lang w:val="fr-CA"/>
        </w:rPr>
      </w:pPr>
      <w:r w:rsidRPr="00393E1E">
        <w:rPr>
          <w:rStyle w:val="SCCCounselNameChar"/>
          <w:lang w:val="fr-CA"/>
        </w:rPr>
        <w:tab/>
      </w:r>
      <w:r w:rsidR="007201FE" w:rsidRPr="00393E1E">
        <w:rPr>
          <w:rStyle w:val="SCCCounselNameChar"/>
          <w:i w:val="0"/>
          <w:lang w:val="fr-CA"/>
        </w:rPr>
        <w:t>Argumentation</w:t>
      </w:r>
      <w:r w:rsidR="006355C2" w:rsidRPr="00393E1E">
        <w:rPr>
          <w:rStyle w:val="SCCCounselNameChar"/>
          <w:i w:val="0"/>
          <w:lang w:val="fr-CA"/>
        </w:rPr>
        <w:t xml:space="preserve"> écrite seulement </w:t>
      </w:r>
      <w:r w:rsidR="006355C2" w:rsidRPr="008875A8">
        <w:rPr>
          <w:rStyle w:val="SCCCounselPartyRoleChar"/>
        </w:rPr>
        <w:t>pour l</w:t>
      </w:r>
      <w:r w:rsidR="00924DE1" w:rsidRPr="008875A8">
        <w:rPr>
          <w:rStyle w:val="SCCCounselPartyRoleChar"/>
        </w:rPr>
        <w:t>’</w:t>
      </w:r>
      <w:r w:rsidR="006355C2" w:rsidRPr="008875A8">
        <w:rPr>
          <w:rStyle w:val="SCCCounselPartyRoleChar"/>
        </w:rPr>
        <w:t>intervenant le</w:t>
      </w:r>
      <w:r w:rsidRPr="008875A8">
        <w:rPr>
          <w:rStyle w:val="SCCCounselPartyRoleChar"/>
        </w:rPr>
        <w:t xml:space="preserve"> </w:t>
      </w:r>
      <w:r w:rsidR="00A841D1" w:rsidRPr="008875A8">
        <w:rPr>
          <w:rStyle w:val="SCCCounselPartyRoleChar"/>
        </w:rPr>
        <w:t>p</w:t>
      </w:r>
      <w:r w:rsidRPr="008875A8">
        <w:rPr>
          <w:rStyle w:val="SCCCounselPartyRoleChar"/>
        </w:rPr>
        <w:t>rocureur général de la Colombie</w:t>
      </w:r>
      <w:r w:rsidR="00393E1E">
        <w:rPr>
          <w:rStyle w:val="SCCCounselPartyRoleChar"/>
        </w:rPr>
        <w:t>-</w:t>
      </w:r>
      <w:r w:rsidRPr="008875A8">
        <w:rPr>
          <w:rStyle w:val="SCCCounselPartyRoleChar"/>
        </w:rPr>
        <w:t>Britannique.</w:t>
      </w:r>
    </w:p>
    <w:p w:rsidR="0015222E" w:rsidRPr="00393E1E" w:rsidRDefault="0015222E" w:rsidP="00E128D4">
      <w:pPr>
        <w:pStyle w:val="SCCNormalDoubleSpacing"/>
        <w:tabs>
          <w:tab w:val="left" w:pos="1170"/>
        </w:tabs>
        <w:rPr>
          <w:lang w:val="fr-CA"/>
        </w:rPr>
      </w:pPr>
    </w:p>
    <w:p w:rsidR="0015222E" w:rsidRPr="00393E1E" w:rsidRDefault="003D0C89" w:rsidP="00E128D4">
      <w:pPr>
        <w:pStyle w:val="SCCNormalDoubleSpacing"/>
        <w:tabs>
          <w:tab w:val="left" w:pos="1170"/>
        </w:tabs>
        <w:rPr>
          <w:lang w:val="fr-CA"/>
        </w:rPr>
      </w:pPr>
      <w:r w:rsidRPr="00393E1E">
        <w:rPr>
          <w:rStyle w:val="SCCCounselNameChar"/>
          <w:lang w:val="fr-CA"/>
        </w:rPr>
        <w:tab/>
        <w:t>Patrick Ferland</w:t>
      </w:r>
      <w:r w:rsidRPr="00393E1E">
        <w:rPr>
          <w:rStyle w:val="SCCCounselSeparatorChar"/>
          <w:lang w:val="fr-CA"/>
        </w:rPr>
        <w:t xml:space="preserve"> et </w:t>
      </w:r>
      <w:r w:rsidRPr="00393E1E">
        <w:rPr>
          <w:rStyle w:val="SCCCounselNameChar"/>
          <w:lang w:val="fr-CA"/>
        </w:rPr>
        <w:t>David Quesnel</w:t>
      </w:r>
      <w:r w:rsidR="006355C2" w:rsidRPr="008875A8">
        <w:rPr>
          <w:rStyle w:val="SCCCounselPartyRoleChar"/>
        </w:rPr>
        <w:t xml:space="preserve">, pour les </w:t>
      </w:r>
      <w:r w:rsidRPr="008875A8">
        <w:rPr>
          <w:rStyle w:val="SCCCounselPartyRoleChar"/>
        </w:rPr>
        <w:t>intervenant</w:t>
      </w:r>
      <w:r w:rsidR="006355C2" w:rsidRPr="008875A8">
        <w:rPr>
          <w:rStyle w:val="SCCCounselPartyRoleChar"/>
        </w:rPr>
        <w:t>s</w:t>
      </w:r>
      <w:r w:rsidRPr="008875A8">
        <w:rPr>
          <w:rStyle w:val="SCCCounselPartyRoleChar"/>
        </w:rPr>
        <w:t xml:space="preserve"> Roland </w:t>
      </w:r>
      <w:proofErr w:type="spellStart"/>
      <w:r w:rsidRPr="008875A8">
        <w:rPr>
          <w:rStyle w:val="SCCCounselPartyRoleChar"/>
        </w:rPr>
        <w:t>Anglehart</w:t>
      </w:r>
      <w:proofErr w:type="spellEnd"/>
      <w:r w:rsidRPr="008875A8">
        <w:rPr>
          <w:rStyle w:val="SCCCounselPartyRoleChar"/>
        </w:rPr>
        <w:t xml:space="preserve"> </w:t>
      </w:r>
      <w:r w:rsidR="00A841D1" w:rsidRPr="008875A8">
        <w:rPr>
          <w:rStyle w:val="SCCCounselPartyRoleChar"/>
        </w:rPr>
        <w:t>père</w:t>
      </w:r>
      <w:r w:rsidRPr="008875A8">
        <w:rPr>
          <w:rStyle w:val="SCCCounselPartyRoleChar"/>
        </w:rPr>
        <w:t xml:space="preserve"> et a</w:t>
      </w:r>
      <w:r w:rsidR="00A36A95">
        <w:rPr>
          <w:rStyle w:val="SCCCounselPartyRoleChar"/>
        </w:rPr>
        <w:t>utres</w:t>
      </w:r>
      <w:r w:rsidRPr="008875A8">
        <w:rPr>
          <w:rStyle w:val="SCCCounselPartyRoleChar"/>
        </w:rPr>
        <w:t>.</w:t>
      </w:r>
    </w:p>
    <w:p w:rsidR="00A24B24" w:rsidRDefault="00A24B24" w:rsidP="007A355A">
      <w:pPr>
        <w:spacing w:line="360" w:lineRule="auto"/>
        <w:rPr>
          <w:lang w:val="fr-CA"/>
        </w:rPr>
      </w:pPr>
    </w:p>
    <w:p w:rsidR="00393E1E" w:rsidRDefault="00393E1E" w:rsidP="007A355A">
      <w:pPr>
        <w:spacing w:line="360" w:lineRule="auto"/>
        <w:rPr>
          <w:lang w:val="fr-CA"/>
        </w:rPr>
      </w:pPr>
      <w:r>
        <w:rPr>
          <w:lang w:val="fr-CA"/>
        </w:rPr>
        <w:tab/>
        <w:t>Version française du jugement de la Cour rendu par</w:t>
      </w:r>
    </w:p>
    <w:p w:rsidR="007A355A" w:rsidRDefault="007A355A" w:rsidP="007A355A">
      <w:pPr>
        <w:spacing w:line="360" w:lineRule="auto"/>
        <w:rPr>
          <w:lang w:val="fr-CA"/>
        </w:rPr>
      </w:pPr>
    </w:p>
    <w:p w:rsidR="00A24B24" w:rsidRPr="007A355A" w:rsidRDefault="007A355A" w:rsidP="007A355A">
      <w:pPr>
        <w:pStyle w:val="ReasonsNumbering-AltN"/>
        <w:spacing w:line="360" w:lineRule="auto"/>
        <w:rPr>
          <w:lang w:val="fr-CA"/>
        </w:rPr>
      </w:pPr>
      <w:r w:rsidRPr="007A355A">
        <w:rPr>
          <w:smallCaps/>
          <w:lang w:val="fr-CA"/>
        </w:rPr>
        <w:t xml:space="preserve">Le juge </w:t>
      </w:r>
      <w:proofErr w:type="spellStart"/>
      <w:r w:rsidRPr="007A355A">
        <w:rPr>
          <w:smallCaps/>
          <w:lang w:val="fr-CA"/>
        </w:rPr>
        <w:t>Binnie</w:t>
      </w:r>
      <w:proofErr w:type="spellEnd"/>
      <w:r w:rsidRPr="007A355A">
        <w:rPr>
          <w:lang w:val="fr-CA"/>
        </w:rPr>
        <w:t xml:space="preserve"> — </w:t>
      </w:r>
      <w:r w:rsidR="00A24B24" w:rsidRPr="007A355A">
        <w:rPr>
          <w:lang w:val="fr-CA"/>
        </w:rPr>
        <w:t>Le pourvoi soulève la question de savoir</w:t>
      </w:r>
      <w:r w:rsidR="00BA749E">
        <w:rPr>
          <w:lang w:val="fr-CA"/>
        </w:rPr>
        <w:t xml:space="preserve"> si, pour réclamer des dommages-</w:t>
      </w:r>
      <w:r w:rsidR="00A24B24" w:rsidRPr="007A355A">
        <w:rPr>
          <w:lang w:val="fr-CA"/>
        </w:rPr>
        <w:t>intérêts contre les autorités carcérales fédérales devant la Cour supérieure de justice de l’Ontario pour détention arbitraire et mauvais traitements préte</w:t>
      </w:r>
      <w:r>
        <w:rPr>
          <w:lang w:val="fr-CA"/>
        </w:rPr>
        <w:t>ndument subis il y a plus de 10</w:t>
      </w:r>
      <w:r w:rsidR="00A24B24" w:rsidRPr="007A355A">
        <w:rPr>
          <w:lang w:val="fr-CA"/>
        </w:rPr>
        <w:t xml:space="preserve"> ans, un détenu doit au préalable présenter une demande de contrôle judiciaire à la Cour fédérale pour faire annuler les ordres d’isolement cellulaire sur lesquels repose son recours.</w:t>
      </w:r>
    </w:p>
    <w:p w:rsidR="00A24B24" w:rsidRPr="00393E1E" w:rsidRDefault="00A24B24" w:rsidP="009E3DCC">
      <w:pPr>
        <w:pStyle w:val="ReasonsNumbering-AltN"/>
        <w:rPr>
          <w:lang w:val="fr-CA"/>
        </w:rPr>
      </w:pPr>
      <w:r w:rsidRPr="00393E1E">
        <w:rPr>
          <w:lang w:val="fr-CA"/>
        </w:rPr>
        <w:t xml:space="preserve">Comme dans le pourvoi connexe </w:t>
      </w:r>
      <w:r w:rsidRPr="00393E1E">
        <w:rPr>
          <w:i/>
          <w:lang w:val="fr-CA"/>
        </w:rPr>
        <w:t xml:space="preserve">Canada (Procureur général) c. </w:t>
      </w:r>
      <w:proofErr w:type="spellStart"/>
      <w:r w:rsidRPr="00393E1E">
        <w:rPr>
          <w:i/>
          <w:lang w:val="fr-CA"/>
        </w:rPr>
        <w:t>TeleZone</w:t>
      </w:r>
      <w:proofErr w:type="spellEnd"/>
      <w:r w:rsidRPr="00393E1E">
        <w:rPr>
          <w:i/>
          <w:lang w:val="fr-CA"/>
        </w:rPr>
        <w:t xml:space="preserve"> Inc.</w:t>
      </w:r>
      <w:r w:rsidRPr="00393E1E">
        <w:rPr>
          <w:lang w:val="fr-CA"/>
        </w:rPr>
        <w:t>, 2010 CSC 62,</w:t>
      </w:r>
      <w:r w:rsidR="007A355A">
        <w:rPr>
          <w:lang w:val="fr-CA"/>
        </w:rPr>
        <w:t xml:space="preserve"> [2010] 3 R.C.S. </w:t>
      </w:r>
      <w:r w:rsidR="009722A9">
        <w:rPr>
          <w:lang w:val="fr-CA"/>
        </w:rPr>
        <w:t>585</w:t>
      </w:r>
      <w:r w:rsidR="007A355A">
        <w:rPr>
          <w:lang w:val="fr-CA"/>
        </w:rPr>
        <w:t>,</w:t>
      </w:r>
      <w:r w:rsidRPr="00393E1E">
        <w:rPr>
          <w:lang w:val="fr-CA"/>
        </w:rPr>
        <w:t xml:space="preserve"> tranché concurremment, le procureur général du Canada </w:t>
      </w:r>
      <w:r w:rsidR="00BA749E">
        <w:rPr>
          <w:lang w:val="fr-CA"/>
        </w:rPr>
        <w:t>qualifie la demande de dommages-</w:t>
      </w:r>
      <w:r w:rsidRPr="00393E1E">
        <w:rPr>
          <w:lang w:val="fr-CA"/>
        </w:rPr>
        <w:t xml:space="preserve">intérêts de contestation indirecte d’une décision administrative, en l’occurrence les ordres d’isolement, et conteste la compétence de la cour supérieure provinciale d’instruire la demande tant que ces ordres n’auront pas été annulés par la Cour fédérale.  Il soutient que, d’ici là, la Couronne et ses fonctionnaires sont totalement à l’abri d’un recours </w:t>
      </w:r>
      <w:r w:rsidRPr="00393E1E">
        <w:rPr>
          <w:lang w:val="fr-CA"/>
        </w:rPr>
        <w:lastRenderedPageBreak/>
        <w:t xml:space="preserve">en responsabilité, vu le pouvoir d’origine législative que leur confère la </w:t>
      </w:r>
      <w:r w:rsidRPr="00393E1E">
        <w:rPr>
          <w:i/>
          <w:lang w:val="fr-CA"/>
        </w:rPr>
        <w:t>Loi sur le système correctionnel et la mise en liberté sous condition</w:t>
      </w:r>
      <w:r w:rsidRPr="00393E1E">
        <w:rPr>
          <w:lang w:val="fr-CA"/>
        </w:rPr>
        <w:t>, L.C.</w:t>
      </w:r>
      <w:r w:rsidR="00BA749E">
        <w:rPr>
          <w:lang w:val="fr-CA"/>
        </w:rPr>
        <w:t xml:space="preserve"> </w:t>
      </w:r>
      <w:r w:rsidRPr="00393E1E">
        <w:rPr>
          <w:lang w:val="fr-CA"/>
        </w:rPr>
        <w:t>1992, ch.</w:t>
      </w:r>
      <w:r w:rsidR="00BA749E">
        <w:rPr>
          <w:lang w:val="fr-CA"/>
        </w:rPr>
        <w:t xml:space="preserve"> </w:t>
      </w:r>
      <w:r w:rsidRPr="00393E1E">
        <w:rPr>
          <w:lang w:val="fr-CA"/>
        </w:rPr>
        <w:t xml:space="preserve">20.  Pour les motifs exposés dans </w:t>
      </w:r>
      <w:proofErr w:type="spellStart"/>
      <w:r w:rsidRPr="00393E1E">
        <w:rPr>
          <w:i/>
          <w:lang w:val="fr-CA"/>
        </w:rPr>
        <w:t>TeleZone</w:t>
      </w:r>
      <w:proofErr w:type="spellEnd"/>
      <w:r w:rsidRPr="00393E1E">
        <w:rPr>
          <w:lang w:val="fr-CA"/>
        </w:rPr>
        <w:t>, j’estime que cette objection à la compétence de la cour supérieure provinciale n’est pas fondée.  C’est ce qu’a décidé la Cour d’appel de l’Ontario.  Je suis d’accord avec cette décision et je suis d’avis de rejeter le pourvoi.</w:t>
      </w:r>
    </w:p>
    <w:p w:rsidR="00A24B24" w:rsidRPr="004A50A1" w:rsidRDefault="00A24B24" w:rsidP="009F5622">
      <w:pPr>
        <w:tabs>
          <w:tab w:val="left" w:pos="540"/>
        </w:tabs>
        <w:spacing w:after="720"/>
        <w:rPr>
          <w:u w:val="single"/>
        </w:rPr>
      </w:pPr>
      <w:r w:rsidRPr="004A50A1">
        <w:t>I.</w:t>
      </w:r>
      <w:r w:rsidR="007A355A">
        <w:tab/>
      </w:r>
      <w:proofErr w:type="spellStart"/>
      <w:r w:rsidRPr="004A50A1">
        <w:rPr>
          <w:u w:val="single"/>
        </w:rPr>
        <w:t>Faits</w:t>
      </w:r>
      <w:proofErr w:type="spellEnd"/>
    </w:p>
    <w:p w:rsidR="00A24B24" w:rsidRPr="00393E1E" w:rsidRDefault="00A24B24" w:rsidP="009E3DCC">
      <w:pPr>
        <w:pStyle w:val="ReasonsNumbering-AltN"/>
        <w:rPr>
          <w:lang w:val="fr-CA"/>
        </w:rPr>
      </w:pPr>
      <w:r w:rsidRPr="00393E1E">
        <w:rPr>
          <w:lang w:val="fr-CA"/>
        </w:rPr>
        <w:t>En octobre 1994, alors qu’il était en libération conditionnelle par suite d’une déclaration de culpabilité antérieure, M.</w:t>
      </w:r>
      <w:r w:rsidR="00BA749E">
        <w:rPr>
          <w:lang w:val="fr-CA"/>
        </w:rPr>
        <w:t xml:space="preserve"> </w:t>
      </w:r>
      <w:proofErr w:type="spellStart"/>
      <w:r w:rsidRPr="00393E1E">
        <w:rPr>
          <w:lang w:val="fr-CA"/>
        </w:rPr>
        <w:t>McArthur</w:t>
      </w:r>
      <w:proofErr w:type="spellEnd"/>
      <w:r w:rsidRPr="00393E1E">
        <w:rPr>
          <w:lang w:val="fr-CA"/>
        </w:rPr>
        <w:t xml:space="preserve"> a été arrêté et accusé de nombreuses infractions, dont vol qualifié, enlèvement, tentative de meurtre et voies de fait causant des lésions corporelles.  Il a été incarcéré à </w:t>
      </w:r>
      <w:proofErr w:type="spellStart"/>
      <w:r w:rsidRPr="00393E1E">
        <w:rPr>
          <w:lang w:val="fr-CA"/>
        </w:rPr>
        <w:t>Millhaven</w:t>
      </w:r>
      <w:proofErr w:type="spellEnd"/>
      <w:r w:rsidRPr="00393E1E">
        <w:rPr>
          <w:lang w:val="fr-CA"/>
        </w:rPr>
        <w:t xml:space="preserve">, une institution fédérale, en attendant son procès.  L’appelant James </w:t>
      </w:r>
      <w:proofErr w:type="spellStart"/>
      <w:r w:rsidRPr="00393E1E">
        <w:rPr>
          <w:lang w:val="fr-CA"/>
        </w:rPr>
        <w:t>Blackler</w:t>
      </w:r>
      <w:proofErr w:type="spellEnd"/>
      <w:r w:rsidRPr="00393E1E">
        <w:rPr>
          <w:lang w:val="fr-CA"/>
        </w:rPr>
        <w:t xml:space="preserve"> était le directeur de </w:t>
      </w:r>
      <w:proofErr w:type="spellStart"/>
      <w:r w:rsidRPr="00393E1E">
        <w:rPr>
          <w:lang w:val="fr-CA"/>
        </w:rPr>
        <w:t>Millhaven</w:t>
      </w:r>
      <w:proofErr w:type="spellEnd"/>
      <w:r w:rsidRPr="00393E1E">
        <w:rPr>
          <w:lang w:val="fr-CA"/>
        </w:rPr>
        <w:t xml:space="preserve"> à cette époque.  Selon les allégations faites dans la déclaration modifiée, qu’il faut considérer comme pouvant être prouvées pour les besoins du présent pourvoi, M.</w:t>
      </w:r>
      <w:r w:rsidR="00BA749E">
        <w:rPr>
          <w:lang w:val="fr-CA"/>
        </w:rPr>
        <w:t xml:space="preserve"> </w:t>
      </w:r>
      <w:proofErr w:type="spellStart"/>
      <w:r w:rsidRPr="00393E1E">
        <w:rPr>
          <w:lang w:val="fr-CA"/>
        </w:rPr>
        <w:t>McArthur</w:t>
      </w:r>
      <w:proofErr w:type="spellEnd"/>
      <w:r w:rsidRPr="00393E1E">
        <w:rPr>
          <w:lang w:val="fr-CA"/>
        </w:rPr>
        <w:t xml:space="preserve"> a été gardé en isolement cellulaire pendant environ 18 mois à </w:t>
      </w:r>
      <w:proofErr w:type="spellStart"/>
      <w:r w:rsidRPr="00393E1E">
        <w:rPr>
          <w:lang w:val="fr-CA"/>
        </w:rPr>
        <w:t>Millhaven</w:t>
      </w:r>
      <w:proofErr w:type="spellEnd"/>
      <w:r w:rsidRPr="00393E1E">
        <w:rPr>
          <w:lang w:val="fr-CA"/>
        </w:rPr>
        <w:t xml:space="preserve"> sur l’ordre de M.</w:t>
      </w:r>
      <w:r w:rsidR="00BA749E">
        <w:rPr>
          <w:lang w:val="fr-CA"/>
        </w:rPr>
        <w:t xml:space="preserve"> </w:t>
      </w:r>
      <w:proofErr w:type="spellStart"/>
      <w:r w:rsidRPr="00393E1E">
        <w:rPr>
          <w:lang w:val="fr-CA"/>
        </w:rPr>
        <w:t>Blackler</w:t>
      </w:r>
      <w:proofErr w:type="spellEnd"/>
      <w:r w:rsidRPr="00393E1E">
        <w:rPr>
          <w:lang w:val="fr-CA"/>
        </w:rPr>
        <w:t xml:space="preserve"> ou d’autres fonctionnaires fédéraux dont les actes engagent la responsabilité de la Couronne.</w:t>
      </w:r>
    </w:p>
    <w:p w:rsidR="00A24B24" w:rsidRPr="00BA5A90" w:rsidRDefault="00A24B24" w:rsidP="009E3DCC">
      <w:pPr>
        <w:pStyle w:val="ReasonsNumbering-AltN"/>
        <w:rPr>
          <w:lang w:val="fr-CA"/>
        </w:rPr>
      </w:pPr>
      <w:r w:rsidRPr="00BA5A90">
        <w:rPr>
          <w:lang w:val="fr-CA"/>
        </w:rPr>
        <w:t>En mai 1996, M.</w:t>
      </w:r>
      <w:r w:rsidR="00BA749E">
        <w:rPr>
          <w:lang w:val="fr-CA"/>
        </w:rPr>
        <w:t xml:space="preserve"> </w:t>
      </w:r>
      <w:proofErr w:type="spellStart"/>
      <w:r w:rsidRPr="00BA5A90">
        <w:rPr>
          <w:lang w:val="fr-CA"/>
        </w:rPr>
        <w:t>McArthur</w:t>
      </w:r>
      <w:proofErr w:type="spellEnd"/>
      <w:r w:rsidRPr="00BA5A90">
        <w:rPr>
          <w:lang w:val="fr-CA"/>
        </w:rPr>
        <w:t xml:space="preserve"> a été transféré avec son consentement de </w:t>
      </w:r>
      <w:proofErr w:type="spellStart"/>
      <w:r w:rsidRPr="00BA5A90">
        <w:rPr>
          <w:lang w:val="fr-CA"/>
        </w:rPr>
        <w:t>Millhaven</w:t>
      </w:r>
      <w:proofErr w:type="spellEnd"/>
      <w:r w:rsidRPr="00BA5A90">
        <w:rPr>
          <w:lang w:val="fr-CA"/>
        </w:rPr>
        <w:t xml:space="preserve"> au pénitencier de Kingston.  Juste avant l’arrivée de M.</w:t>
      </w:r>
      <w:r w:rsidR="00BA749E">
        <w:rPr>
          <w:lang w:val="fr-CA"/>
        </w:rPr>
        <w:t xml:space="preserve"> </w:t>
      </w:r>
      <w:proofErr w:type="spellStart"/>
      <w:r w:rsidRPr="00BA5A90">
        <w:rPr>
          <w:lang w:val="fr-CA"/>
        </w:rPr>
        <w:t>McArthur</w:t>
      </w:r>
      <w:proofErr w:type="spellEnd"/>
      <w:r w:rsidRPr="00BA5A90">
        <w:rPr>
          <w:lang w:val="fr-CA"/>
        </w:rPr>
        <w:t xml:space="preserve"> à ce pénitencier, M.</w:t>
      </w:r>
      <w:r w:rsidR="00BA749E">
        <w:rPr>
          <w:lang w:val="fr-CA"/>
        </w:rPr>
        <w:t xml:space="preserve"> </w:t>
      </w:r>
      <w:proofErr w:type="spellStart"/>
      <w:r w:rsidRPr="00BA5A90">
        <w:rPr>
          <w:lang w:val="fr-CA"/>
        </w:rPr>
        <w:t>Blackler</w:t>
      </w:r>
      <w:proofErr w:type="spellEnd"/>
      <w:r w:rsidRPr="00BA5A90">
        <w:rPr>
          <w:lang w:val="fr-CA"/>
        </w:rPr>
        <w:t xml:space="preserve"> en est devenu le directeur et, selon ce qui est allégué dans la déclaratio</w:t>
      </w:r>
      <w:r w:rsidR="00BA749E">
        <w:rPr>
          <w:lang w:val="fr-CA"/>
        </w:rPr>
        <w:t xml:space="preserve">n modifiée, il a ordonné que M. </w:t>
      </w:r>
      <w:proofErr w:type="spellStart"/>
      <w:r w:rsidRPr="00BA5A90">
        <w:rPr>
          <w:lang w:val="fr-CA"/>
        </w:rPr>
        <w:t>McArthur</w:t>
      </w:r>
      <w:proofErr w:type="spellEnd"/>
      <w:r w:rsidRPr="00BA5A90">
        <w:rPr>
          <w:lang w:val="fr-CA"/>
        </w:rPr>
        <w:t xml:space="preserve"> soit placé en isolement cellulaire </w:t>
      </w:r>
      <w:r w:rsidRPr="00BA5A90">
        <w:rPr>
          <w:lang w:val="fr-CA"/>
        </w:rPr>
        <w:lastRenderedPageBreak/>
        <w:t>pendant encore 14 mois.  Selon la déclaration, cela a été fait avec [</w:t>
      </w:r>
      <w:r w:rsidRPr="00BA5A90">
        <w:rPr>
          <w:smallCaps/>
          <w:lang w:val="fr-CA"/>
        </w:rPr>
        <w:t>traduction</w:t>
      </w:r>
      <w:r w:rsidRPr="00BA5A90">
        <w:rPr>
          <w:lang w:val="fr-CA"/>
        </w:rPr>
        <w:t>]</w:t>
      </w:r>
      <w:r w:rsidR="007A355A">
        <w:rPr>
          <w:lang w:val="fr-CA"/>
        </w:rPr>
        <w:t xml:space="preserve"> </w:t>
      </w:r>
      <w:r w:rsidRPr="00BA5A90">
        <w:rPr>
          <w:lang w:val="fr-CA"/>
        </w:rPr>
        <w:t>« an</w:t>
      </w:r>
      <w:r w:rsidR="00BA749E">
        <w:rPr>
          <w:lang w:val="fr-CA"/>
        </w:rPr>
        <w:t xml:space="preserve">imosité et malveillance » (par. </w:t>
      </w:r>
      <w:r w:rsidRPr="00BA5A90">
        <w:rPr>
          <w:lang w:val="fr-CA"/>
        </w:rPr>
        <w:t>24).</w:t>
      </w:r>
    </w:p>
    <w:p w:rsidR="00A24B24" w:rsidRPr="00393E1E" w:rsidRDefault="00A24B24" w:rsidP="009E3DCC">
      <w:pPr>
        <w:pStyle w:val="ReasonsNumbering-AltN"/>
        <w:rPr>
          <w:lang w:val="fr-CA"/>
        </w:rPr>
      </w:pPr>
      <w:r w:rsidRPr="00393E1E">
        <w:rPr>
          <w:lang w:val="fr-CA"/>
        </w:rPr>
        <w:t xml:space="preserve">Par la suite, le Service correctionnel du </w:t>
      </w:r>
      <w:r w:rsidR="00BA749E">
        <w:rPr>
          <w:lang w:val="fr-CA"/>
        </w:rPr>
        <w:t xml:space="preserve">Canada (« SCC ») a transféré M. </w:t>
      </w:r>
      <w:proofErr w:type="spellStart"/>
      <w:r w:rsidRPr="00393E1E">
        <w:rPr>
          <w:lang w:val="fr-CA"/>
        </w:rPr>
        <w:t>McArthur</w:t>
      </w:r>
      <w:proofErr w:type="spellEnd"/>
      <w:r w:rsidRPr="00393E1E">
        <w:rPr>
          <w:lang w:val="fr-CA"/>
        </w:rPr>
        <w:t xml:space="preserve"> à l’unité spéciale de détention de Ste</w:t>
      </w:r>
      <w:r w:rsidR="00BA749E">
        <w:rPr>
          <w:lang w:val="fr-CA"/>
        </w:rPr>
        <w:t>-</w:t>
      </w:r>
      <w:r w:rsidRPr="00393E1E">
        <w:rPr>
          <w:lang w:val="fr-CA"/>
        </w:rPr>
        <w:t>Anne</w:t>
      </w:r>
      <w:r w:rsidR="00BA749E">
        <w:rPr>
          <w:lang w:val="fr-CA"/>
        </w:rPr>
        <w:t>-</w:t>
      </w:r>
      <w:r w:rsidRPr="00393E1E">
        <w:rPr>
          <w:lang w:val="fr-CA"/>
        </w:rPr>
        <w:t>des</w:t>
      </w:r>
      <w:r w:rsidR="00BA749E">
        <w:rPr>
          <w:lang w:val="fr-CA"/>
        </w:rPr>
        <w:t>-</w:t>
      </w:r>
      <w:r w:rsidRPr="00393E1E">
        <w:rPr>
          <w:lang w:val="fr-CA"/>
        </w:rPr>
        <w:t>Plaines, où il a été placé une fois de plus en isolement cellulaire, pendant quatre mois cette fois.  Au total, M.</w:t>
      </w:r>
      <w:r w:rsidR="00BA749E">
        <w:rPr>
          <w:lang w:val="fr-CA"/>
        </w:rPr>
        <w:t xml:space="preserve"> </w:t>
      </w:r>
      <w:proofErr w:type="spellStart"/>
      <w:r w:rsidRPr="00393E1E">
        <w:rPr>
          <w:lang w:val="fr-CA"/>
        </w:rPr>
        <w:t>McArthur</w:t>
      </w:r>
      <w:proofErr w:type="spellEnd"/>
      <w:r w:rsidRPr="00393E1E">
        <w:rPr>
          <w:lang w:val="fr-CA"/>
        </w:rPr>
        <w:t xml:space="preserve"> a passé environ quatre ans et six mois en isolement cellulaire ou dans une unité spéciale de détention entre 1994 et 1999.</w:t>
      </w:r>
    </w:p>
    <w:p w:rsidR="00A24B24" w:rsidRPr="00393E1E" w:rsidRDefault="00A24B24" w:rsidP="009E3DCC">
      <w:pPr>
        <w:pStyle w:val="ReasonsNumbering-AltN"/>
        <w:rPr>
          <w:lang w:val="fr-CA"/>
        </w:rPr>
      </w:pPr>
      <w:r w:rsidRPr="00BA5A90">
        <w:rPr>
          <w:lang w:val="fr-CA"/>
        </w:rPr>
        <w:t>M</w:t>
      </w:r>
      <w:r w:rsidR="007A355A">
        <w:rPr>
          <w:lang w:val="fr-CA"/>
        </w:rPr>
        <w:t>.</w:t>
      </w:r>
      <w:r w:rsidRPr="00BA5A90">
        <w:rPr>
          <w:lang w:val="fr-CA"/>
        </w:rPr>
        <w:t xml:space="preserve"> </w:t>
      </w:r>
      <w:proofErr w:type="spellStart"/>
      <w:r w:rsidRPr="00BA5A90">
        <w:rPr>
          <w:lang w:val="fr-CA"/>
        </w:rPr>
        <w:t>McArthur</w:t>
      </w:r>
      <w:proofErr w:type="spellEnd"/>
      <w:r w:rsidRPr="00BA5A90">
        <w:rPr>
          <w:lang w:val="fr-CA"/>
        </w:rPr>
        <w:t xml:space="preserve"> dit avoir subi un [</w:t>
      </w:r>
      <w:r w:rsidRPr="00BA5A90">
        <w:rPr>
          <w:smallCaps/>
          <w:lang w:val="fr-CA"/>
        </w:rPr>
        <w:t>traduction</w:t>
      </w:r>
      <w:r w:rsidRPr="00BA5A90">
        <w:rPr>
          <w:lang w:val="fr-CA"/>
        </w:rPr>
        <w:t>] « </w:t>
      </w:r>
      <w:r w:rsidRPr="00BA5A90">
        <w:rPr>
          <w:i/>
          <w:lang w:val="fr-CA"/>
        </w:rPr>
        <w:t>préjudice</w:t>
      </w:r>
      <w:r w:rsidRPr="00BA5A90">
        <w:rPr>
          <w:lang w:val="fr-CA"/>
        </w:rPr>
        <w:t xml:space="preserve"> émotionnel</w:t>
      </w:r>
      <w:r w:rsidR="00BA749E">
        <w:rPr>
          <w:lang w:val="fr-CA"/>
        </w:rPr>
        <w:t xml:space="preserve"> et psychologique grave » (par. </w:t>
      </w:r>
      <w:r w:rsidRPr="00BA5A90">
        <w:rPr>
          <w:lang w:val="fr-CA"/>
        </w:rPr>
        <w:t>26 (en italique dans l’original)) en raison de son isolement involontaire pendant quatre ans et six mois.  Il s’est vu refuser des visites familiales privées [</w:t>
      </w:r>
      <w:r w:rsidRPr="00BA5A90">
        <w:rPr>
          <w:smallCaps/>
          <w:lang w:val="fr-CA"/>
        </w:rPr>
        <w:t>traduction</w:t>
      </w:r>
      <w:r w:rsidRPr="00BA5A90">
        <w:rPr>
          <w:lang w:val="fr-CA"/>
        </w:rPr>
        <w:t>]</w:t>
      </w:r>
      <w:r w:rsidR="00F97B8A">
        <w:rPr>
          <w:lang w:val="fr-CA"/>
        </w:rPr>
        <w:t xml:space="preserve"> </w:t>
      </w:r>
      <w:r w:rsidRPr="00BA5A90">
        <w:rPr>
          <w:lang w:val="fr-CA"/>
        </w:rPr>
        <w:t>« habituellement accordées aux autres détenus se trouvant dans une situation semblable » (par.</w:t>
      </w:r>
      <w:r w:rsidR="00BA749E">
        <w:rPr>
          <w:lang w:val="fr-CA"/>
        </w:rPr>
        <w:t xml:space="preserve"> </w:t>
      </w:r>
      <w:r w:rsidRPr="00BA5A90">
        <w:rPr>
          <w:lang w:val="fr-CA"/>
        </w:rPr>
        <w:t>24), ainsi que des cours, des programmes de réadaptation et des « loisirs » (par.</w:t>
      </w:r>
      <w:r w:rsidR="00BA749E">
        <w:rPr>
          <w:lang w:val="fr-CA"/>
        </w:rPr>
        <w:t xml:space="preserve"> </w:t>
      </w:r>
      <w:r w:rsidRPr="00BA5A90">
        <w:rPr>
          <w:lang w:val="fr-CA"/>
        </w:rPr>
        <w:t xml:space="preserve">25).  </w:t>
      </w:r>
      <w:r w:rsidRPr="00393E1E">
        <w:rPr>
          <w:lang w:val="fr-CA"/>
        </w:rPr>
        <w:t>De plus, il affirme que ces mêmes actes ont également causé un préjudice émotionnel et psychologique grave à sa femme et à sa fille puisqu’on [</w:t>
      </w:r>
      <w:r w:rsidRPr="00393E1E">
        <w:rPr>
          <w:smallCaps/>
          <w:lang w:val="fr-CA"/>
        </w:rPr>
        <w:t>traduction</w:t>
      </w:r>
      <w:r w:rsidRPr="00393E1E">
        <w:rPr>
          <w:lang w:val="fr-CA"/>
        </w:rPr>
        <w:t xml:space="preserve">] « leur a refusé le droit de communiquer avec </w:t>
      </w:r>
      <w:r w:rsidRPr="004A50A1">
        <w:rPr>
          <w:lang w:val="fr-FR"/>
        </w:rPr>
        <w:t>[</w:t>
      </w:r>
      <w:r w:rsidRPr="00393E1E">
        <w:rPr>
          <w:lang w:val="fr-CA"/>
        </w:rPr>
        <w:t>lui] et de [lui] rendre visite, un droit habituellement accordé à la fam</w:t>
      </w:r>
      <w:r w:rsidR="00BA749E">
        <w:rPr>
          <w:lang w:val="fr-CA"/>
        </w:rPr>
        <w:t xml:space="preserve">ille des autres détenus » (par. </w:t>
      </w:r>
      <w:r w:rsidRPr="00393E1E">
        <w:rPr>
          <w:lang w:val="fr-CA"/>
        </w:rPr>
        <w:t>26).</w:t>
      </w:r>
    </w:p>
    <w:p w:rsidR="00A24B24" w:rsidRPr="00393E1E" w:rsidRDefault="00A24B24" w:rsidP="009E3DCC">
      <w:pPr>
        <w:pStyle w:val="ReasonsNumbering-AltN"/>
        <w:rPr>
          <w:lang w:val="fr-CA"/>
        </w:rPr>
      </w:pPr>
      <w:r w:rsidRPr="00BA5A90">
        <w:rPr>
          <w:lang w:val="fr-CA"/>
        </w:rPr>
        <w:t>M</w:t>
      </w:r>
      <w:r w:rsidR="007A355A">
        <w:rPr>
          <w:lang w:val="fr-CA"/>
        </w:rPr>
        <w:t>.</w:t>
      </w:r>
      <w:r w:rsidRPr="00BA5A90">
        <w:rPr>
          <w:lang w:val="fr-CA"/>
        </w:rPr>
        <w:t xml:space="preserve"> </w:t>
      </w:r>
      <w:proofErr w:type="spellStart"/>
      <w:r w:rsidRPr="00BA5A90">
        <w:rPr>
          <w:lang w:val="fr-CA"/>
        </w:rPr>
        <w:t>McArthur</w:t>
      </w:r>
      <w:proofErr w:type="spellEnd"/>
      <w:r w:rsidRPr="00BA5A90">
        <w:rPr>
          <w:lang w:val="fr-CA"/>
        </w:rPr>
        <w:t xml:space="preserve"> affirme que son isolement cellulaire (que l’on appelle parfois une « prison à l’intérieur d’une prison ») était arbitraire et constituait une peine cruelle et inusitée, en violation </w:t>
      </w:r>
      <w:proofErr w:type="gramStart"/>
      <w:r w:rsidRPr="00BA5A90">
        <w:rPr>
          <w:lang w:val="fr-CA"/>
        </w:rPr>
        <w:t>des art</w:t>
      </w:r>
      <w:proofErr w:type="gramEnd"/>
      <w:r w:rsidRPr="00BA5A90">
        <w:rPr>
          <w:lang w:val="fr-CA"/>
        </w:rPr>
        <w:t>.</w:t>
      </w:r>
      <w:r w:rsidR="007A355A">
        <w:rPr>
          <w:lang w:val="fr-CA"/>
        </w:rPr>
        <w:t xml:space="preserve"> </w:t>
      </w:r>
      <w:r w:rsidRPr="00BA5A90">
        <w:rPr>
          <w:lang w:val="fr-CA"/>
        </w:rPr>
        <w:t xml:space="preserve">9 et 12 de la </w:t>
      </w:r>
      <w:r w:rsidRPr="00BA5A90">
        <w:rPr>
          <w:i/>
          <w:lang w:val="fr-CA"/>
        </w:rPr>
        <w:t xml:space="preserve">Charte canadienne des </w:t>
      </w:r>
      <w:r w:rsidRPr="00BA5A90">
        <w:rPr>
          <w:i/>
          <w:lang w:val="fr-CA"/>
        </w:rPr>
        <w:lastRenderedPageBreak/>
        <w:t xml:space="preserve">droits et libertés. </w:t>
      </w:r>
      <w:r w:rsidRPr="00BA5A90">
        <w:rPr>
          <w:lang w:val="fr-CA"/>
        </w:rPr>
        <w:t xml:space="preserve"> </w:t>
      </w:r>
      <w:r w:rsidRPr="00393E1E">
        <w:rPr>
          <w:lang w:val="fr-CA"/>
        </w:rPr>
        <w:t xml:space="preserve">Il ajoute que les intimés n’ont pas observé la </w:t>
      </w:r>
      <w:r w:rsidRPr="00393E1E">
        <w:rPr>
          <w:i/>
          <w:lang w:val="fr-CA"/>
        </w:rPr>
        <w:t>Loi sur le système correctionnel et la mise en liberté sous condition</w:t>
      </w:r>
      <w:r w:rsidRPr="00393E1E">
        <w:rPr>
          <w:lang w:val="fr-CA"/>
        </w:rPr>
        <w:t>, laquelle, avec ses règlements et les directives du commissaire du Service correctionnel, régit les circonstances dans lesquelles un détenu peut être placé en isolement cellulaire.  Selon M.</w:t>
      </w:r>
      <w:r w:rsidR="00BA749E">
        <w:rPr>
          <w:lang w:val="fr-CA"/>
        </w:rPr>
        <w:t xml:space="preserve"> </w:t>
      </w:r>
      <w:proofErr w:type="spellStart"/>
      <w:r w:rsidRPr="00393E1E">
        <w:rPr>
          <w:lang w:val="fr-CA"/>
        </w:rPr>
        <w:t>McArthur</w:t>
      </w:r>
      <w:proofErr w:type="spellEnd"/>
      <w:r w:rsidRPr="00393E1E">
        <w:rPr>
          <w:lang w:val="fr-CA"/>
        </w:rPr>
        <w:t>, les décisions successives ordonnant son isolement cellulaire pendant une période aussi longue ont été prises de façon délibérée et avec malveillance ou, subsidiairement, par négli</w:t>
      </w:r>
      <w:r w:rsidR="007A355A">
        <w:rPr>
          <w:lang w:val="fr-CA"/>
        </w:rPr>
        <w:t>gence.  Il réclame des dommages-</w:t>
      </w:r>
      <w:r w:rsidRPr="00393E1E">
        <w:rPr>
          <w:lang w:val="fr-CA"/>
        </w:rPr>
        <w:t>intérêts pour emprisonnement illégal ou séquestration et pour trouble émotionnel et souffrance morale infligés délibér</w:t>
      </w:r>
      <w:r w:rsidR="007A355A">
        <w:rPr>
          <w:lang w:val="fr-CA"/>
        </w:rPr>
        <w:t>ément ou par négligence.  M.</w:t>
      </w:r>
      <w:r w:rsidRPr="00393E1E">
        <w:rPr>
          <w:lang w:val="fr-CA"/>
        </w:rPr>
        <w:t xml:space="preserve"> </w:t>
      </w:r>
      <w:proofErr w:type="spellStart"/>
      <w:r w:rsidRPr="00393E1E">
        <w:rPr>
          <w:lang w:val="fr-CA"/>
        </w:rPr>
        <w:t>McArthur</w:t>
      </w:r>
      <w:proofErr w:type="spellEnd"/>
      <w:r w:rsidRPr="00393E1E">
        <w:rPr>
          <w:lang w:val="fr-CA"/>
        </w:rPr>
        <w:t xml:space="preserve"> ne cherche pas à faire annuler les ordres d’isolement, sans effet concret depuis plus de 10 ans, soit depuis que son isolement cellulaire a pris fin.</w:t>
      </w:r>
    </w:p>
    <w:p w:rsidR="00A24B24" w:rsidRPr="00393E1E" w:rsidRDefault="00A24B24" w:rsidP="009F5622">
      <w:pPr>
        <w:tabs>
          <w:tab w:val="left" w:pos="540"/>
        </w:tabs>
        <w:spacing w:after="720"/>
        <w:rPr>
          <w:lang w:val="fr-CA"/>
        </w:rPr>
      </w:pPr>
      <w:r w:rsidRPr="00393E1E">
        <w:rPr>
          <w:lang w:val="fr-CA"/>
        </w:rPr>
        <w:t>II.</w:t>
      </w:r>
      <w:r w:rsidR="007A355A">
        <w:rPr>
          <w:lang w:val="fr-CA"/>
        </w:rPr>
        <w:tab/>
      </w:r>
      <w:r w:rsidRPr="00393E1E">
        <w:rPr>
          <w:u w:val="single"/>
          <w:lang w:val="fr-CA"/>
        </w:rPr>
        <w:t>Historique judiciaire</w:t>
      </w:r>
    </w:p>
    <w:p w:rsidR="00A24B24" w:rsidRPr="00393E1E" w:rsidRDefault="00A24B24" w:rsidP="009F5622">
      <w:pPr>
        <w:tabs>
          <w:tab w:val="left" w:pos="540"/>
        </w:tabs>
        <w:spacing w:after="720"/>
        <w:rPr>
          <w:lang w:val="fr-CA"/>
        </w:rPr>
      </w:pPr>
      <w:r w:rsidRPr="00393E1E">
        <w:rPr>
          <w:lang w:val="fr-CA"/>
        </w:rPr>
        <w:t>A.</w:t>
      </w:r>
      <w:r w:rsidR="007A355A">
        <w:rPr>
          <w:lang w:val="fr-CA"/>
        </w:rPr>
        <w:tab/>
      </w:r>
      <w:r w:rsidRPr="00393E1E">
        <w:rPr>
          <w:i/>
          <w:lang w:val="fr-CA"/>
        </w:rPr>
        <w:t xml:space="preserve">Cour supérieure de l’Ontario (le juge Pedlar), 2006 </w:t>
      </w:r>
      <w:proofErr w:type="spellStart"/>
      <w:r w:rsidRPr="00393E1E">
        <w:rPr>
          <w:i/>
          <w:lang w:val="fr-CA"/>
        </w:rPr>
        <w:t>Carswell</w:t>
      </w:r>
      <w:r w:rsidR="007A355A">
        <w:rPr>
          <w:i/>
          <w:lang w:val="fr-CA"/>
        </w:rPr>
        <w:t>Ont</w:t>
      </w:r>
      <w:proofErr w:type="spellEnd"/>
      <w:r w:rsidRPr="00393E1E">
        <w:rPr>
          <w:i/>
          <w:lang w:val="fr-CA"/>
        </w:rPr>
        <w:t xml:space="preserve"> 9820</w:t>
      </w:r>
    </w:p>
    <w:p w:rsidR="00A24B24" w:rsidRPr="00393E1E" w:rsidRDefault="00A24B24" w:rsidP="009E3DCC">
      <w:pPr>
        <w:pStyle w:val="ReasonsNumbering-AltN"/>
        <w:rPr>
          <w:lang w:val="fr-CA"/>
        </w:rPr>
      </w:pPr>
      <w:r w:rsidRPr="00BA5A90">
        <w:rPr>
          <w:lang w:val="fr-CA"/>
        </w:rPr>
        <w:t xml:space="preserve">Le juge des requêtes a accepté l’argument du procureur général fondé sur l’arrêt de la Cour d’appel fédérale dans l’affaire </w:t>
      </w:r>
      <w:r w:rsidRPr="00BA5A90">
        <w:rPr>
          <w:i/>
          <w:lang w:val="fr-CA"/>
        </w:rPr>
        <w:t>Canada c.</w:t>
      </w:r>
      <w:r w:rsidR="007A355A">
        <w:rPr>
          <w:i/>
          <w:lang w:val="fr-CA"/>
        </w:rPr>
        <w:t xml:space="preserve"> </w:t>
      </w:r>
      <w:r w:rsidRPr="00BA5A90">
        <w:rPr>
          <w:i/>
          <w:lang w:val="fr-CA"/>
        </w:rPr>
        <w:t>Grenier</w:t>
      </w:r>
      <w:r w:rsidRPr="00BA5A90">
        <w:rPr>
          <w:lang w:val="fr-CA"/>
        </w:rPr>
        <w:t xml:space="preserve">, 2005 CAF 348, [2006] 2 R.C.F. 287, qui présentait des faits similaires.  </w:t>
      </w:r>
      <w:r w:rsidRPr="00393E1E">
        <w:rPr>
          <w:lang w:val="fr-CA"/>
        </w:rPr>
        <w:t>Selon lui, permettre à la Cour supérieure d</w:t>
      </w:r>
      <w:r w:rsidR="007A355A">
        <w:rPr>
          <w:lang w:val="fr-CA"/>
        </w:rPr>
        <w:t>’instruire l’action en dommages-</w:t>
      </w:r>
      <w:r w:rsidRPr="00393E1E">
        <w:rPr>
          <w:lang w:val="fr-CA"/>
        </w:rPr>
        <w:t xml:space="preserve">intérêts revient à négliger ou à nier l’intention, clairement exprimée par le législateur dans la </w:t>
      </w:r>
      <w:r w:rsidRPr="00393E1E">
        <w:rPr>
          <w:i/>
          <w:lang w:val="fr-CA"/>
        </w:rPr>
        <w:t>Loi sur les Cours fédérales</w:t>
      </w:r>
      <w:r w:rsidR="007A355A">
        <w:rPr>
          <w:lang w:val="fr-CA"/>
        </w:rPr>
        <w:t xml:space="preserve">, L.R.C. 1985, ch. </w:t>
      </w:r>
      <w:r w:rsidRPr="00393E1E">
        <w:rPr>
          <w:lang w:val="fr-CA"/>
        </w:rPr>
        <w:t>F</w:t>
      </w:r>
      <w:r w:rsidR="007A355A">
        <w:rPr>
          <w:lang w:val="fr-CA"/>
        </w:rPr>
        <w:t>-</w:t>
      </w:r>
      <w:r w:rsidRPr="00393E1E">
        <w:rPr>
          <w:lang w:val="fr-CA"/>
        </w:rPr>
        <w:t xml:space="preserve">7, d’octroyer à la Cour fédérale compétence </w:t>
      </w:r>
      <w:r w:rsidRPr="00393E1E">
        <w:rPr>
          <w:i/>
          <w:lang w:val="fr-CA"/>
        </w:rPr>
        <w:t>exclusive</w:t>
      </w:r>
      <w:r w:rsidRPr="00393E1E">
        <w:rPr>
          <w:lang w:val="fr-CA"/>
        </w:rPr>
        <w:t xml:space="preserve"> en matière de contrôle judiciaire.  Par conséquent, un demandeur qui prétend avoir subi un </w:t>
      </w:r>
      <w:r w:rsidRPr="00393E1E">
        <w:rPr>
          <w:lang w:val="fr-CA"/>
        </w:rPr>
        <w:lastRenderedPageBreak/>
        <w:t>préjudice indemnisable en raison d’une décision administrative doit d’abord demander à la Cour fédérale de se prononcer sur la légalité de la décision.  Le juge des requêtes a dit ce qui suit : [</w:t>
      </w:r>
      <w:r w:rsidRPr="00393E1E">
        <w:rPr>
          <w:smallCaps/>
          <w:lang w:val="fr-CA"/>
        </w:rPr>
        <w:t>traduction</w:t>
      </w:r>
      <w:r w:rsidRPr="00393E1E">
        <w:rPr>
          <w:lang w:val="fr-CA"/>
        </w:rPr>
        <w:t xml:space="preserve">] « Je ne pense pas que la Cour supérieure de justice de l’Ontario ait compétence tant </w:t>
      </w:r>
      <w:r w:rsidR="007A355A">
        <w:rPr>
          <w:lang w:val="fr-CA"/>
        </w:rPr>
        <w:t xml:space="preserve">que cela n’est pas fait » (par. </w:t>
      </w:r>
      <w:r w:rsidRPr="00393E1E">
        <w:rPr>
          <w:lang w:val="fr-CA"/>
        </w:rPr>
        <w:t>8).</w:t>
      </w:r>
    </w:p>
    <w:p w:rsidR="00A24B24" w:rsidRPr="00986E23" w:rsidRDefault="00A24B24" w:rsidP="009F5622">
      <w:pPr>
        <w:tabs>
          <w:tab w:val="left" w:pos="540"/>
        </w:tabs>
        <w:spacing w:after="720"/>
        <w:ind w:left="540" w:hanging="540"/>
        <w:rPr>
          <w:lang w:val="fr-CA"/>
        </w:rPr>
      </w:pPr>
      <w:r w:rsidRPr="00986E23">
        <w:rPr>
          <w:lang w:val="fr-CA"/>
        </w:rPr>
        <w:t>B.</w:t>
      </w:r>
      <w:r w:rsidR="00986E23" w:rsidRPr="00986E23">
        <w:rPr>
          <w:lang w:val="fr-CA"/>
        </w:rPr>
        <w:tab/>
      </w:r>
      <w:r w:rsidRPr="00986E23">
        <w:rPr>
          <w:i/>
          <w:lang w:val="fr-CA"/>
        </w:rPr>
        <w:t xml:space="preserve">Cour d’appel de l’Ontario (les juges </w:t>
      </w:r>
      <w:proofErr w:type="spellStart"/>
      <w:r w:rsidRPr="00986E23">
        <w:rPr>
          <w:i/>
          <w:lang w:val="fr-CA"/>
        </w:rPr>
        <w:t>Laskin</w:t>
      </w:r>
      <w:proofErr w:type="spellEnd"/>
      <w:r w:rsidRPr="00986E23">
        <w:rPr>
          <w:i/>
          <w:lang w:val="fr-CA"/>
        </w:rPr>
        <w:t xml:space="preserve">, Borins et </w:t>
      </w:r>
      <w:proofErr w:type="spellStart"/>
      <w:r w:rsidRPr="00986E23">
        <w:rPr>
          <w:i/>
          <w:lang w:val="fr-CA"/>
        </w:rPr>
        <w:t>Feldman</w:t>
      </w:r>
      <w:proofErr w:type="spellEnd"/>
      <w:r w:rsidRPr="00986E23">
        <w:rPr>
          <w:i/>
          <w:lang w:val="fr-CA"/>
        </w:rPr>
        <w:t>), 2008 ONCA 892, 94 O.R. (3d) 19</w:t>
      </w:r>
    </w:p>
    <w:p w:rsidR="00A24B24" w:rsidRPr="00986E23" w:rsidRDefault="00A24B24" w:rsidP="009E3DCC">
      <w:pPr>
        <w:pStyle w:val="ReasonsNumbering-AltN"/>
        <w:rPr>
          <w:lang w:val="fr-CA"/>
        </w:rPr>
      </w:pPr>
      <w:r w:rsidRPr="00BA5A90">
        <w:rPr>
          <w:lang w:val="fr-CA"/>
        </w:rPr>
        <w:t>Dans un jugement unanime rédigé par le juge Borins, la Cour d’appel a conclu que [</w:t>
      </w:r>
      <w:r w:rsidRPr="00BA5A90">
        <w:rPr>
          <w:smallCaps/>
          <w:lang w:val="fr-CA"/>
        </w:rPr>
        <w:t>traduction</w:t>
      </w:r>
      <w:r w:rsidRPr="00BA5A90">
        <w:rPr>
          <w:lang w:val="fr-CA"/>
        </w:rPr>
        <w:t xml:space="preserve">] « l’arrêt </w:t>
      </w:r>
      <w:r w:rsidRPr="00BA5A90">
        <w:rPr>
          <w:i/>
          <w:lang w:val="fr-CA"/>
        </w:rPr>
        <w:t>Grenier</w:t>
      </w:r>
      <w:r w:rsidR="007A355A">
        <w:rPr>
          <w:lang w:val="fr-CA"/>
        </w:rPr>
        <w:t xml:space="preserve"> est incorrect » (par. </w:t>
      </w:r>
      <w:r w:rsidRPr="00BA5A90">
        <w:rPr>
          <w:lang w:val="fr-CA"/>
        </w:rPr>
        <w:t xml:space="preserve">100).  </w:t>
      </w:r>
      <w:r w:rsidRPr="00986E23">
        <w:rPr>
          <w:lang w:val="fr-CA"/>
        </w:rPr>
        <w:t>Le procureur général n’avait pas établi que les prétentions du demandeur [</w:t>
      </w:r>
      <w:r w:rsidRPr="00986E23">
        <w:rPr>
          <w:smallCaps/>
          <w:lang w:val="fr-CA"/>
        </w:rPr>
        <w:t>traduction</w:t>
      </w:r>
      <w:r w:rsidRPr="00986E23">
        <w:rPr>
          <w:lang w:val="fr-CA"/>
        </w:rPr>
        <w:t>] « étaien</w:t>
      </w:r>
      <w:r w:rsidR="007A355A">
        <w:rPr>
          <w:lang w:val="fr-CA"/>
        </w:rPr>
        <w:t xml:space="preserve">t clairement visées par le par. </w:t>
      </w:r>
      <w:r w:rsidRPr="00986E23">
        <w:rPr>
          <w:lang w:val="fr-CA"/>
        </w:rPr>
        <w:t>1</w:t>
      </w:r>
      <w:r w:rsidR="007A355A">
        <w:rPr>
          <w:lang w:val="fr-CA"/>
        </w:rPr>
        <w:t xml:space="preserve">8(1) » (par. </w:t>
      </w:r>
      <w:r w:rsidRPr="00986E23">
        <w:rPr>
          <w:lang w:val="fr-CA"/>
        </w:rPr>
        <w:t xml:space="preserve">94) de la </w:t>
      </w:r>
      <w:r w:rsidRPr="00986E23">
        <w:rPr>
          <w:i/>
          <w:lang w:val="fr-CA"/>
        </w:rPr>
        <w:t>Loi sur les Cours fédérales</w:t>
      </w:r>
      <w:r w:rsidRPr="00986E23">
        <w:rPr>
          <w:lang w:val="fr-CA"/>
        </w:rPr>
        <w:t>,</w:t>
      </w:r>
      <w:r w:rsidRPr="00986E23">
        <w:rPr>
          <w:i/>
          <w:lang w:val="fr-CA"/>
        </w:rPr>
        <w:t xml:space="preserve"> </w:t>
      </w:r>
      <w:r w:rsidRPr="00986E23">
        <w:rPr>
          <w:lang w:val="fr-CA"/>
        </w:rPr>
        <w:t xml:space="preserve">dont la Cour d’appel dit qu’il est axé sur les recours : </w:t>
      </w:r>
    </w:p>
    <w:p w:rsidR="00A24B24" w:rsidRPr="00BA5A90" w:rsidRDefault="00A24B24" w:rsidP="00986E23">
      <w:pPr>
        <w:pStyle w:val="Citation1"/>
        <w:spacing w:after="240"/>
        <w:rPr>
          <w:lang w:val="fr-CA"/>
        </w:rPr>
      </w:pPr>
      <w:r w:rsidRPr="00393E1E">
        <w:rPr>
          <w:lang w:val="fr-CA"/>
        </w:rPr>
        <w:t>[</w:t>
      </w:r>
      <w:r w:rsidRPr="00393E1E">
        <w:rPr>
          <w:smallCaps/>
          <w:lang w:val="fr-CA"/>
        </w:rPr>
        <w:t>traduction</w:t>
      </w:r>
      <w:r w:rsidRPr="00393E1E">
        <w:rPr>
          <w:lang w:val="fr-CA"/>
        </w:rPr>
        <w:t>]</w:t>
      </w:r>
      <w:r w:rsidR="007A355A">
        <w:rPr>
          <w:lang w:val="fr-CA"/>
        </w:rPr>
        <w:t xml:space="preserve"> </w:t>
      </w:r>
      <w:r w:rsidRPr="00986E23">
        <w:rPr>
          <w:lang w:val="fr-CA"/>
        </w:rPr>
        <w:t xml:space="preserve">Dans aucun des dossiers, un recours faisant partie des brefs de prérogative ou des recours extraordinaires visés par l’art. 18 n’a été exercé.  </w:t>
      </w:r>
      <w:r w:rsidRPr="00BA5A90">
        <w:rPr>
          <w:lang w:val="fr-CA"/>
        </w:rPr>
        <w:t>L’article</w:t>
      </w:r>
      <w:r w:rsidR="007A355A">
        <w:rPr>
          <w:lang w:val="fr-CA"/>
        </w:rPr>
        <w:t xml:space="preserve"> </w:t>
      </w:r>
      <w:r w:rsidRPr="00BA5A90">
        <w:rPr>
          <w:lang w:val="fr-CA"/>
        </w:rPr>
        <w:t>18 ne permet pas à la Cour f</w:t>
      </w:r>
      <w:r w:rsidR="007A355A">
        <w:rPr>
          <w:lang w:val="fr-CA"/>
        </w:rPr>
        <w:t>édérale d’accorder des dommages-</w:t>
      </w:r>
      <w:r w:rsidRPr="00BA5A90">
        <w:rPr>
          <w:lang w:val="fr-CA"/>
        </w:rPr>
        <w:t>intérêts, ce qui est réclamé [en l’espèce].</w:t>
      </w:r>
      <w:r w:rsidR="007A355A">
        <w:rPr>
          <w:lang w:val="fr-CA"/>
        </w:rPr>
        <w:t> . .</w:t>
      </w:r>
    </w:p>
    <w:p w:rsidR="00986E23" w:rsidRPr="00BA5A90" w:rsidRDefault="00986E23" w:rsidP="00A24B24">
      <w:pPr>
        <w:pStyle w:val="Citation1"/>
        <w:jc w:val="center"/>
        <w:rPr>
          <w:lang w:val="fr-CA"/>
        </w:rPr>
      </w:pPr>
    </w:p>
    <w:p w:rsidR="00A24B24" w:rsidRPr="007A355A" w:rsidRDefault="0015320E" w:rsidP="0015320E">
      <w:pPr>
        <w:pStyle w:val="Citation1"/>
        <w:tabs>
          <w:tab w:val="left" w:pos="1620"/>
        </w:tabs>
        <w:ind w:firstLine="4"/>
        <w:rPr>
          <w:lang w:val="fr-CA"/>
        </w:rPr>
      </w:pPr>
      <w:r>
        <w:rPr>
          <w:lang w:val="fr-CA"/>
        </w:rPr>
        <w:tab/>
      </w:r>
      <w:r w:rsidR="007A355A" w:rsidRPr="00393E1E">
        <w:rPr>
          <w:lang w:val="fr-CA"/>
        </w:rPr>
        <w:t>. . .</w:t>
      </w:r>
      <w:r w:rsidR="007A355A">
        <w:rPr>
          <w:lang w:val="fr-CA"/>
        </w:rPr>
        <w:t xml:space="preserve"> </w:t>
      </w:r>
      <w:r w:rsidR="00A24B24" w:rsidRPr="00393E1E">
        <w:rPr>
          <w:lang w:val="fr-CA"/>
        </w:rPr>
        <w:t>Les causes d’action en matière contractuelle ou délictuelle sont distinctes des brefs de prérogative et des recours extr</w:t>
      </w:r>
      <w:r w:rsidR="007A355A">
        <w:rPr>
          <w:lang w:val="fr-CA"/>
        </w:rPr>
        <w:t xml:space="preserve">aordinaires décrits à l’art. </w:t>
      </w:r>
      <w:r w:rsidR="00A24B24" w:rsidRPr="00393E1E">
        <w:rPr>
          <w:lang w:val="fr-CA"/>
        </w:rPr>
        <w:t>18.  En résumé, une réparation sous forme de dommages</w:t>
      </w:r>
      <w:r w:rsidR="007A355A">
        <w:rPr>
          <w:lang w:val="fr-CA"/>
        </w:rPr>
        <w:t>-</w:t>
      </w:r>
      <w:r w:rsidR="00A24B24" w:rsidRPr="00393E1E">
        <w:rPr>
          <w:lang w:val="fr-CA"/>
        </w:rPr>
        <w:t>intérêts n’est pas un type de réparation prévu à l’art.</w:t>
      </w:r>
      <w:r w:rsidR="007A355A">
        <w:rPr>
          <w:lang w:val="fr-CA"/>
        </w:rPr>
        <w:t xml:space="preserve"> </w:t>
      </w:r>
      <w:r w:rsidR="00A24B24" w:rsidRPr="00393E1E">
        <w:rPr>
          <w:lang w:val="fr-CA"/>
        </w:rPr>
        <w:t xml:space="preserve">18.  </w:t>
      </w:r>
      <w:r w:rsidR="00A24B24" w:rsidRPr="007A355A">
        <w:rPr>
          <w:lang w:val="fr-CA"/>
        </w:rPr>
        <w:t>[par.</w:t>
      </w:r>
      <w:r w:rsidR="007A355A" w:rsidRPr="007A355A">
        <w:rPr>
          <w:lang w:val="fr-CA"/>
        </w:rPr>
        <w:t xml:space="preserve"> </w:t>
      </w:r>
      <w:r w:rsidR="00A24B24" w:rsidRPr="007A355A">
        <w:rPr>
          <w:lang w:val="fr-CA"/>
        </w:rPr>
        <w:t>94</w:t>
      </w:r>
      <w:r w:rsidR="007A355A">
        <w:rPr>
          <w:lang w:val="fr-CA"/>
        </w:rPr>
        <w:t>-</w:t>
      </w:r>
      <w:r w:rsidR="00A24B24" w:rsidRPr="007A355A">
        <w:rPr>
          <w:lang w:val="fr-CA"/>
        </w:rPr>
        <w:t>95]</w:t>
      </w:r>
    </w:p>
    <w:p w:rsidR="00A24B24" w:rsidRPr="00BA5A90" w:rsidRDefault="00A24B24" w:rsidP="00986E23">
      <w:pPr>
        <w:pStyle w:val="SCCNormalDoubleSpacing"/>
        <w:spacing w:after="480"/>
        <w:rPr>
          <w:lang w:val="fr-CA"/>
        </w:rPr>
      </w:pPr>
      <w:r w:rsidRPr="00BA5A90">
        <w:rPr>
          <w:lang w:val="fr-CA"/>
        </w:rPr>
        <w:t>Par conséquent, l’appel a été accueilli.</w:t>
      </w:r>
    </w:p>
    <w:p w:rsidR="00A24B24" w:rsidRPr="007A355A" w:rsidRDefault="00A24B24" w:rsidP="009F5622">
      <w:pPr>
        <w:tabs>
          <w:tab w:val="left" w:pos="540"/>
        </w:tabs>
        <w:spacing w:after="720"/>
        <w:rPr>
          <w:lang w:val="fr-CA"/>
        </w:rPr>
      </w:pPr>
      <w:r w:rsidRPr="007A355A">
        <w:rPr>
          <w:lang w:val="fr-CA"/>
        </w:rPr>
        <w:t>III.</w:t>
      </w:r>
      <w:r w:rsidR="007A355A">
        <w:rPr>
          <w:lang w:val="fr-CA"/>
        </w:rPr>
        <w:tab/>
      </w:r>
      <w:r w:rsidRPr="007A355A">
        <w:rPr>
          <w:u w:val="single"/>
          <w:lang w:val="fr-CA"/>
        </w:rPr>
        <w:t>Dispositions pertinentes</w:t>
      </w:r>
    </w:p>
    <w:p w:rsidR="00A24B24" w:rsidRPr="00393E1E" w:rsidRDefault="00A24B24" w:rsidP="007A355A">
      <w:pPr>
        <w:pStyle w:val="ReasonsNumbering-AltN"/>
        <w:spacing w:line="240" w:lineRule="auto"/>
        <w:ind w:left="1170" w:hanging="1170"/>
        <w:rPr>
          <w:i/>
          <w:lang w:val="fr-CA"/>
        </w:rPr>
      </w:pPr>
      <w:r w:rsidRPr="00393E1E">
        <w:rPr>
          <w:i/>
          <w:lang w:val="fr-CA"/>
        </w:rPr>
        <w:lastRenderedPageBreak/>
        <w:t>Loi sur le système correctionnel et la mise en liberté sous condition</w:t>
      </w:r>
      <w:r w:rsidRPr="00393E1E">
        <w:rPr>
          <w:lang w:val="fr-CA"/>
        </w:rPr>
        <w:t>,</w:t>
      </w:r>
      <w:r w:rsidRPr="00393E1E">
        <w:rPr>
          <w:i/>
          <w:lang w:val="fr-CA"/>
        </w:rPr>
        <w:t xml:space="preserve"> </w:t>
      </w:r>
      <w:r w:rsidRPr="00393E1E">
        <w:rPr>
          <w:lang w:val="fr-CA"/>
        </w:rPr>
        <w:t>L.C.</w:t>
      </w:r>
      <w:r w:rsidR="00906DC0">
        <w:rPr>
          <w:lang w:val="fr-CA"/>
        </w:rPr>
        <w:t xml:space="preserve"> </w:t>
      </w:r>
      <w:r w:rsidRPr="00393E1E">
        <w:rPr>
          <w:lang w:val="fr-CA"/>
        </w:rPr>
        <w:t>1992, ch.</w:t>
      </w:r>
      <w:r w:rsidR="00906DC0">
        <w:rPr>
          <w:lang w:val="fr-CA"/>
        </w:rPr>
        <w:t xml:space="preserve"> </w:t>
      </w:r>
      <w:r w:rsidRPr="00393E1E">
        <w:rPr>
          <w:lang w:val="fr-CA"/>
        </w:rPr>
        <w:t>20</w:t>
      </w:r>
    </w:p>
    <w:p w:rsidR="00A24B24" w:rsidRPr="00393E1E" w:rsidRDefault="000A7FAD" w:rsidP="000A7FAD">
      <w:pPr>
        <w:pStyle w:val="Citation1"/>
        <w:tabs>
          <w:tab w:val="left" w:pos="1620"/>
          <w:tab w:val="left" w:pos="1980"/>
        </w:tabs>
        <w:spacing w:after="0"/>
        <w:ind w:firstLine="4"/>
        <w:contextualSpacing w:val="0"/>
        <w:rPr>
          <w:lang w:val="fr-CA"/>
        </w:rPr>
      </w:pPr>
      <w:r>
        <w:rPr>
          <w:b/>
          <w:lang w:val="fr-CA"/>
        </w:rPr>
        <w:tab/>
      </w:r>
      <w:r w:rsidR="00A24B24" w:rsidRPr="00393E1E">
        <w:rPr>
          <w:b/>
          <w:lang w:val="fr-CA"/>
        </w:rPr>
        <w:t>3.</w:t>
      </w:r>
      <w:r w:rsidR="002F159F" w:rsidRPr="00393E1E">
        <w:rPr>
          <w:lang w:val="fr-CA"/>
        </w:rPr>
        <w:t> </w:t>
      </w:r>
      <w:r w:rsidR="00A24B24" w:rsidRPr="00393E1E">
        <w:rPr>
          <w:lang w:val="fr-CA"/>
        </w:rPr>
        <w:t>[But du système correctionnel] Le système correctionnel vise à contribuer au maintien d’une société juste, vivant en paix et en sécurité, d’une part, en assurant l’exécution des peines par des mesures de garde et de surveillance sécuritaires et humaines, et d’autre part, en aidant au moyen de programmes appropriés dans les pénitenciers ou dans la collectivité, à la réadaptation des délinquants et à leur réinsertion sociale à titre de citoyens respectueux des lois.</w:t>
      </w:r>
    </w:p>
    <w:p w:rsidR="00A24B24" w:rsidRPr="00393E1E" w:rsidRDefault="00A24B24" w:rsidP="00A24B24">
      <w:pPr>
        <w:pStyle w:val="Citation1"/>
        <w:spacing w:after="0"/>
        <w:ind w:firstLine="4"/>
        <w:contextualSpacing w:val="0"/>
        <w:rPr>
          <w:lang w:val="fr-CA"/>
        </w:rPr>
      </w:pPr>
    </w:p>
    <w:p w:rsidR="00A24B24" w:rsidRPr="007A355A" w:rsidRDefault="00A24B24" w:rsidP="007A355A">
      <w:pPr>
        <w:pStyle w:val="Citation1"/>
        <w:spacing w:after="0"/>
        <w:contextualSpacing w:val="0"/>
        <w:jc w:val="center"/>
        <w:rPr>
          <w:i/>
          <w:lang w:val="fr-CA"/>
        </w:rPr>
      </w:pPr>
      <w:r w:rsidRPr="007A355A">
        <w:rPr>
          <w:i/>
          <w:lang w:val="fr-CA"/>
        </w:rPr>
        <w:t>Isolement préventif</w:t>
      </w:r>
    </w:p>
    <w:p w:rsidR="00A24B24" w:rsidRPr="00393E1E" w:rsidRDefault="00A24B24" w:rsidP="00A24B24">
      <w:pPr>
        <w:pStyle w:val="Citation1"/>
        <w:spacing w:after="0"/>
        <w:contextualSpacing w:val="0"/>
        <w:rPr>
          <w:lang w:val="fr-CA"/>
        </w:rPr>
      </w:pPr>
    </w:p>
    <w:p w:rsidR="00A24B24" w:rsidRDefault="000A7FAD" w:rsidP="000A7FAD">
      <w:pPr>
        <w:pStyle w:val="Citation1"/>
        <w:tabs>
          <w:tab w:val="left" w:pos="1620"/>
          <w:tab w:val="left" w:pos="1980"/>
          <w:tab w:val="left" w:pos="2520"/>
        </w:tabs>
        <w:spacing w:after="0"/>
        <w:ind w:firstLine="4"/>
        <w:contextualSpacing w:val="0"/>
        <w:rPr>
          <w:lang w:val="fr-CA"/>
        </w:rPr>
      </w:pPr>
      <w:r>
        <w:rPr>
          <w:b/>
          <w:lang w:val="fr-CA"/>
        </w:rPr>
        <w:tab/>
      </w:r>
      <w:r w:rsidR="00A24B24" w:rsidRPr="00393E1E">
        <w:rPr>
          <w:b/>
          <w:lang w:val="fr-CA"/>
        </w:rPr>
        <w:t>31.</w:t>
      </w:r>
      <w:r w:rsidR="00A24B24" w:rsidRPr="00393E1E">
        <w:rPr>
          <w:lang w:val="fr-CA"/>
        </w:rPr>
        <w:t> (1)</w:t>
      </w:r>
      <w:r w:rsidR="002F159F" w:rsidRPr="00393E1E">
        <w:rPr>
          <w:lang w:val="fr-CA"/>
        </w:rPr>
        <w:t> </w:t>
      </w:r>
      <w:r w:rsidR="00A24B24" w:rsidRPr="00393E1E">
        <w:rPr>
          <w:lang w:val="fr-CA"/>
        </w:rPr>
        <w:t>[Objet]</w:t>
      </w:r>
      <w:r w:rsidR="002F159F" w:rsidRPr="00393E1E">
        <w:rPr>
          <w:lang w:val="fr-CA"/>
        </w:rPr>
        <w:t> </w:t>
      </w:r>
      <w:r w:rsidR="00A24B24" w:rsidRPr="00393E1E">
        <w:rPr>
          <w:lang w:val="fr-CA"/>
        </w:rPr>
        <w:t>L’isolement préventif a pour but d’empêcher un détenu d’entretenir des rapports avec l’ensemble des autres détenus.</w:t>
      </w:r>
    </w:p>
    <w:p w:rsidR="000A7FAD" w:rsidRPr="00393E1E" w:rsidRDefault="000A7FAD" w:rsidP="000A7FAD">
      <w:pPr>
        <w:pStyle w:val="Citation1"/>
        <w:tabs>
          <w:tab w:val="left" w:pos="1620"/>
          <w:tab w:val="left" w:pos="1980"/>
          <w:tab w:val="left" w:pos="2520"/>
        </w:tabs>
        <w:spacing w:after="0"/>
        <w:ind w:firstLine="4"/>
        <w:contextualSpacing w:val="0"/>
        <w:rPr>
          <w:lang w:val="fr-CA"/>
        </w:rPr>
      </w:pPr>
    </w:p>
    <w:p w:rsidR="00A24B24" w:rsidRPr="00393E1E" w:rsidRDefault="000A7FAD" w:rsidP="000A7FAD">
      <w:pPr>
        <w:pStyle w:val="Citation1"/>
        <w:tabs>
          <w:tab w:val="left" w:pos="1620"/>
          <w:tab w:val="left" w:pos="1980"/>
          <w:tab w:val="left" w:pos="2520"/>
        </w:tabs>
        <w:spacing w:after="0"/>
        <w:ind w:firstLine="4"/>
        <w:contextualSpacing w:val="0"/>
        <w:rPr>
          <w:lang w:val="fr-CA"/>
        </w:rPr>
      </w:pPr>
      <w:r>
        <w:rPr>
          <w:lang w:val="fr-CA"/>
        </w:rPr>
        <w:tab/>
      </w:r>
      <w:r w:rsidR="00A24B24" w:rsidRPr="00393E1E">
        <w:rPr>
          <w:lang w:val="fr-CA"/>
        </w:rPr>
        <w:t>(2)</w:t>
      </w:r>
      <w:r w:rsidR="002F159F" w:rsidRPr="00393E1E">
        <w:rPr>
          <w:lang w:val="fr-CA"/>
        </w:rPr>
        <w:t> </w:t>
      </w:r>
      <w:r w:rsidR="00A24B24" w:rsidRPr="00393E1E">
        <w:rPr>
          <w:lang w:val="fr-CA"/>
        </w:rPr>
        <w:t>[Retour parmi les autres détenus] Le détenu en isolement préventif doit être replacé le plus tôt possible parmi les autres détenus du pénitencier où il est incarcéré ou d’un autre pénitencier.</w:t>
      </w:r>
    </w:p>
    <w:p w:rsidR="00A24B24" w:rsidRPr="00393E1E" w:rsidRDefault="00A24B24" w:rsidP="00A24B24">
      <w:pPr>
        <w:pStyle w:val="Citation1"/>
        <w:spacing w:after="0"/>
        <w:ind w:firstLine="634"/>
        <w:contextualSpacing w:val="0"/>
        <w:rPr>
          <w:lang w:val="fr-CA"/>
        </w:rPr>
      </w:pPr>
    </w:p>
    <w:p w:rsidR="007F030A" w:rsidRDefault="000A7FAD" w:rsidP="000A7FAD">
      <w:pPr>
        <w:pStyle w:val="Citation1"/>
        <w:tabs>
          <w:tab w:val="left" w:pos="1620"/>
          <w:tab w:val="left" w:pos="1980"/>
          <w:tab w:val="left" w:pos="2520"/>
        </w:tabs>
        <w:spacing w:after="0"/>
        <w:ind w:firstLine="4"/>
        <w:contextualSpacing w:val="0"/>
        <w:rPr>
          <w:lang w:val="fr-CA"/>
        </w:rPr>
      </w:pPr>
      <w:r>
        <w:rPr>
          <w:lang w:val="fr-CA"/>
        </w:rPr>
        <w:tab/>
      </w:r>
      <w:r w:rsidR="00A24B24" w:rsidRPr="00393E1E">
        <w:rPr>
          <w:lang w:val="fr-CA"/>
        </w:rPr>
        <w:t>(3)</w:t>
      </w:r>
      <w:r w:rsidR="002F159F" w:rsidRPr="00393E1E">
        <w:rPr>
          <w:lang w:val="fr-CA"/>
        </w:rPr>
        <w:t> </w:t>
      </w:r>
      <w:r w:rsidR="00A24B24" w:rsidRPr="00393E1E">
        <w:rPr>
          <w:lang w:val="fr-CA"/>
        </w:rPr>
        <w:t>[Motifs d’isolement préventif] Le directeur du pénitencier peut, s’il est convaincu qu’il n’existe aucune autre solution valable, ordonner l’isolement préventif d’un détenu lorsqu’il a des motifs raisonnables de croire, selon le cas :</w:t>
      </w:r>
    </w:p>
    <w:p w:rsidR="007F030A" w:rsidRDefault="007F030A" w:rsidP="007F030A">
      <w:pPr>
        <w:pStyle w:val="Citation1"/>
        <w:spacing w:after="0"/>
        <w:ind w:firstLine="274"/>
        <w:contextualSpacing w:val="0"/>
        <w:rPr>
          <w:lang w:val="fr-CA"/>
        </w:rPr>
      </w:pPr>
    </w:p>
    <w:p w:rsidR="00A24B24" w:rsidRPr="00393E1E" w:rsidRDefault="000A7FAD" w:rsidP="002F159F">
      <w:pPr>
        <w:pStyle w:val="Citation1"/>
        <w:tabs>
          <w:tab w:val="left" w:pos="1620"/>
          <w:tab w:val="left" w:pos="2070"/>
          <w:tab w:val="left" w:pos="2520"/>
        </w:tabs>
        <w:spacing w:after="0"/>
        <w:ind w:left="1620" w:hanging="450"/>
        <w:contextualSpacing w:val="0"/>
        <w:rPr>
          <w:lang w:val="fr-CA"/>
        </w:rPr>
      </w:pPr>
      <w:r>
        <w:rPr>
          <w:i/>
          <w:lang w:val="fr-CA"/>
        </w:rPr>
        <w:tab/>
      </w:r>
      <w:r w:rsidR="00906DC0" w:rsidRPr="00906DC0">
        <w:rPr>
          <w:i/>
          <w:lang w:val="fr-CA"/>
        </w:rPr>
        <w:t>a</w:t>
      </w:r>
      <w:r w:rsidR="00906DC0" w:rsidRPr="00906DC0">
        <w:rPr>
          <w:lang w:val="fr-CA"/>
        </w:rPr>
        <w:t>)</w:t>
      </w:r>
      <w:r w:rsidR="00906DC0">
        <w:rPr>
          <w:lang w:val="fr-CA"/>
        </w:rPr>
        <w:tab/>
      </w:r>
      <w:r w:rsidR="00A24B24" w:rsidRPr="00906DC0">
        <w:rPr>
          <w:lang w:val="fr-CA"/>
        </w:rPr>
        <w:t>que</w:t>
      </w:r>
      <w:r w:rsidR="00A24B24" w:rsidRPr="00393E1E">
        <w:rPr>
          <w:lang w:val="fr-CA"/>
        </w:rPr>
        <w:t xml:space="preserve"> celui</w:t>
      </w:r>
      <w:r w:rsidR="007F030A">
        <w:rPr>
          <w:lang w:val="fr-CA"/>
        </w:rPr>
        <w:t>-</w:t>
      </w:r>
      <w:r w:rsidR="00A24B24" w:rsidRPr="00393E1E">
        <w:rPr>
          <w:lang w:val="fr-CA"/>
        </w:rPr>
        <w:t>ci a agi, tenté d’agir ou a l’intention d’agir d’une manière compromettant la sécurité d’une personne ou du pénitencier et que son maintien parmi les autres détenus mettrait en danger cette sécurité;</w:t>
      </w:r>
    </w:p>
    <w:p w:rsidR="00A24B24" w:rsidRPr="00393E1E" w:rsidRDefault="00A24B24" w:rsidP="007F030A">
      <w:pPr>
        <w:pStyle w:val="Citation1"/>
        <w:spacing w:after="0"/>
        <w:ind w:left="2160" w:hanging="720"/>
        <w:contextualSpacing w:val="0"/>
        <w:rPr>
          <w:lang w:val="fr-CA"/>
        </w:rPr>
      </w:pPr>
    </w:p>
    <w:p w:rsidR="00A24B24" w:rsidRPr="00393E1E" w:rsidRDefault="000A7FAD" w:rsidP="002F159F">
      <w:pPr>
        <w:pStyle w:val="Citation1"/>
        <w:tabs>
          <w:tab w:val="left" w:pos="1620"/>
          <w:tab w:val="left" w:pos="2070"/>
          <w:tab w:val="left" w:pos="2520"/>
        </w:tabs>
        <w:spacing w:after="0"/>
        <w:ind w:left="1620" w:hanging="450"/>
        <w:contextualSpacing w:val="0"/>
        <w:rPr>
          <w:lang w:val="fr-CA"/>
        </w:rPr>
      </w:pPr>
      <w:r>
        <w:rPr>
          <w:i/>
          <w:lang w:val="fr-CA"/>
        </w:rPr>
        <w:tab/>
      </w:r>
      <w:r w:rsidR="00906DC0" w:rsidRPr="00906DC0">
        <w:rPr>
          <w:i/>
          <w:lang w:val="fr-CA"/>
        </w:rPr>
        <w:t>b</w:t>
      </w:r>
      <w:r w:rsidR="00906DC0">
        <w:rPr>
          <w:lang w:val="fr-CA"/>
        </w:rPr>
        <w:t>)</w:t>
      </w:r>
      <w:r w:rsidR="00906DC0">
        <w:rPr>
          <w:lang w:val="fr-CA"/>
        </w:rPr>
        <w:tab/>
      </w:r>
      <w:r w:rsidR="00A24B24" w:rsidRPr="00906DC0">
        <w:rPr>
          <w:lang w:val="fr-CA"/>
        </w:rPr>
        <w:t>que</w:t>
      </w:r>
      <w:r w:rsidR="00A24B24" w:rsidRPr="00393E1E">
        <w:rPr>
          <w:lang w:val="fr-CA"/>
        </w:rPr>
        <w:t xml:space="preserve"> son maintien parmi les autres détenus peut nuire au déroulement d’une enquête pouvant mener à une accusation soit d’infraction criminelle soit d’infraction disciplinaire grave visée au pa</w:t>
      </w:r>
      <w:r w:rsidR="00906DC0">
        <w:rPr>
          <w:lang w:val="fr-CA"/>
        </w:rPr>
        <w:t xml:space="preserve">ragraphe </w:t>
      </w:r>
      <w:r w:rsidR="00A24B24" w:rsidRPr="00393E1E">
        <w:rPr>
          <w:lang w:val="fr-CA"/>
        </w:rPr>
        <w:t>41(2);</w:t>
      </w:r>
    </w:p>
    <w:p w:rsidR="00A24B24" w:rsidRPr="00393E1E" w:rsidRDefault="00A24B24" w:rsidP="007F030A">
      <w:pPr>
        <w:pStyle w:val="Citation1"/>
        <w:spacing w:after="0"/>
        <w:ind w:left="1800" w:firstLine="274"/>
        <w:contextualSpacing w:val="0"/>
        <w:rPr>
          <w:lang w:val="fr-CA"/>
        </w:rPr>
      </w:pPr>
    </w:p>
    <w:p w:rsidR="00A24B24" w:rsidRPr="00393E1E" w:rsidRDefault="000A7FAD" w:rsidP="002F159F">
      <w:pPr>
        <w:pStyle w:val="Citation1"/>
        <w:tabs>
          <w:tab w:val="left" w:pos="1620"/>
          <w:tab w:val="left" w:pos="2070"/>
          <w:tab w:val="left" w:pos="2520"/>
        </w:tabs>
        <w:spacing w:after="0"/>
        <w:ind w:left="1620" w:hanging="450"/>
        <w:contextualSpacing w:val="0"/>
        <w:rPr>
          <w:lang w:val="fr-CA"/>
        </w:rPr>
      </w:pPr>
      <w:r>
        <w:rPr>
          <w:i/>
          <w:lang w:val="fr-CA"/>
        </w:rPr>
        <w:tab/>
      </w:r>
      <w:r w:rsidR="007F030A" w:rsidRPr="007F030A">
        <w:rPr>
          <w:i/>
          <w:lang w:val="fr-CA"/>
        </w:rPr>
        <w:t>c</w:t>
      </w:r>
      <w:r w:rsidR="007F030A">
        <w:rPr>
          <w:lang w:val="fr-CA"/>
        </w:rPr>
        <w:t>)</w:t>
      </w:r>
      <w:r w:rsidR="007F030A">
        <w:rPr>
          <w:lang w:val="fr-CA"/>
        </w:rPr>
        <w:tab/>
      </w:r>
      <w:r w:rsidR="00A24B24" w:rsidRPr="00393E1E">
        <w:rPr>
          <w:lang w:val="fr-CA"/>
        </w:rPr>
        <w:t>que le maintien du détenu au sein de l’ensemble des détenus mettrait en danger sa sécurité.</w:t>
      </w:r>
    </w:p>
    <w:p w:rsidR="00A24B24" w:rsidRPr="00393E1E" w:rsidRDefault="00A24B24" w:rsidP="00A24B24">
      <w:pPr>
        <w:pStyle w:val="Citation1"/>
        <w:spacing w:after="0"/>
        <w:ind w:left="1800"/>
        <w:contextualSpacing w:val="0"/>
        <w:rPr>
          <w:lang w:val="fr-CA"/>
        </w:rPr>
      </w:pPr>
    </w:p>
    <w:p w:rsidR="00A24B24" w:rsidRPr="00393E1E" w:rsidRDefault="000A7FAD" w:rsidP="000A7FAD">
      <w:pPr>
        <w:pStyle w:val="Citation1"/>
        <w:tabs>
          <w:tab w:val="left" w:pos="1620"/>
          <w:tab w:val="left" w:pos="1980"/>
          <w:tab w:val="left" w:pos="2520"/>
        </w:tabs>
        <w:spacing w:after="0"/>
        <w:ind w:firstLine="4"/>
        <w:contextualSpacing w:val="0"/>
        <w:rPr>
          <w:lang w:val="fr-CA"/>
        </w:rPr>
      </w:pPr>
      <w:r>
        <w:rPr>
          <w:b/>
          <w:lang w:val="fr-CA"/>
        </w:rPr>
        <w:tab/>
      </w:r>
      <w:r w:rsidR="00A24B24" w:rsidRPr="00393E1E">
        <w:rPr>
          <w:b/>
          <w:lang w:val="fr-CA"/>
        </w:rPr>
        <w:t>32.</w:t>
      </w:r>
      <w:r w:rsidR="002F159F" w:rsidRPr="00393E1E">
        <w:rPr>
          <w:lang w:val="fr-CA"/>
        </w:rPr>
        <w:t> </w:t>
      </w:r>
      <w:r w:rsidR="00A24B24" w:rsidRPr="004A50A1">
        <w:rPr>
          <w:lang w:val="fr-FR"/>
        </w:rPr>
        <w:t>[Considérations]</w:t>
      </w:r>
      <w:r w:rsidR="002F159F" w:rsidRPr="00393E1E">
        <w:rPr>
          <w:lang w:val="fr-CA"/>
        </w:rPr>
        <w:t> </w:t>
      </w:r>
      <w:r w:rsidR="00A24B24" w:rsidRPr="00393E1E">
        <w:rPr>
          <w:lang w:val="fr-CA"/>
        </w:rPr>
        <w:t xml:space="preserve">Les recommandations </w:t>
      </w:r>
      <w:r w:rsidR="00906DC0">
        <w:rPr>
          <w:lang w:val="fr-CA"/>
        </w:rPr>
        <w:t xml:space="preserve">faites aux termes du paragraphe </w:t>
      </w:r>
      <w:r w:rsidR="00A24B24" w:rsidRPr="00393E1E">
        <w:rPr>
          <w:lang w:val="fr-CA"/>
        </w:rPr>
        <w:t xml:space="preserve">33(1) et les décisions que prend le directeur en matière d’isolement préventif sont fondées sur les principes </w:t>
      </w:r>
      <w:r w:rsidR="00906DC0">
        <w:rPr>
          <w:lang w:val="fr-CA"/>
        </w:rPr>
        <w:t xml:space="preserve">ou critères énoncés à l’article </w:t>
      </w:r>
      <w:r w:rsidR="00A24B24" w:rsidRPr="00393E1E">
        <w:rPr>
          <w:lang w:val="fr-CA"/>
        </w:rPr>
        <w:t>31.</w:t>
      </w:r>
    </w:p>
    <w:p w:rsidR="00A24B24" w:rsidRPr="00393E1E" w:rsidRDefault="00A24B24" w:rsidP="00A24B24">
      <w:pPr>
        <w:pStyle w:val="Citation1"/>
        <w:tabs>
          <w:tab w:val="left" w:pos="1800"/>
        </w:tabs>
        <w:spacing w:after="0"/>
        <w:ind w:firstLine="274"/>
        <w:contextualSpacing w:val="0"/>
        <w:rPr>
          <w:lang w:val="fr-CA"/>
        </w:rPr>
      </w:pPr>
    </w:p>
    <w:p w:rsidR="000A7FAD" w:rsidRPr="000A7FAD" w:rsidRDefault="000A7FAD" w:rsidP="000A7FAD">
      <w:pPr>
        <w:pStyle w:val="Citation1"/>
        <w:tabs>
          <w:tab w:val="left" w:pos="1620"/>
          <w:tab w:val="left" w:pos="1980"/>
          <w:tab w:val="left" w:pos="2520"/>
        </w:tabs>
        <w:spacing w:after="0"/>
        <w:ind w:firstLine="4"/>
        <w:contextualSpacing w:val="0"/>
        <w:rPr>
          <w:lang w:val="fr-CA"/>
        </w:rPr>
      </w:pPr>
      <w:r>
        <w:rPr>
          <w:b/>
          <w:lang w:val="fr-CA"/>
        </w:rPr>
        <w:lastRenderedPageBreak/>
        <w:tab/>
      </w:r>
      <w:r w:rsidR="00A24B24" w:rsidRPr="00393E1E">
        <w:rPr>
          <w:b/>
          <w:lang w:val="fr-CA"/>
        </w:rPr>
        <w:t>33.</w:t>
      </w:r>
      <w:r w:rsidR="00A24B24" w:rsidRPr="00393E1E">
        <w:rPr>
          <w:lang w:val="fr-CA"/>
        </w:rPr>
        <w:t> (1)</w:t>
      </w:r>
      <w:r w:rsidR="002F159F" w:rsidRPr="00393E1E">
        <w:rPr>
          <w:lang w:val="fr-CA"/>
        </w:rPr>
        <w:t> </w:t>
      </w:r>
      <w:r w:rsidR="00A24B24" w:rsidRPr="004A50A1">
        <w:rPr>
          <w:lang w:val="fr-FR"/>
        </w:rPr>
        <w:t>[R</w:t>
      </w:r>
      <w:proofErr w:type="spellStart"/>
      <w:r w:rsidR="00A24B24" w:rsidRPr="00393E1E">
        <w:rPr>
          <w:lang w:val="fr-CA"/>
        </w:rPr>
        <w:t>éexamen</w:t>
      </w:r>
      <w:proofErr w:type="spellEnd"/>
      <w:r w:rsidR="00A24B24" w:rsidRPr="004A50A1">
        <w:rPr>
          <w:lang w:val="fr-FR"/>
        </w:rPr>
        <w:t>]</w:t>
      </w:r>
      <w:r w:rsidR="002F159F" w:rsidRPr="00393E1E">
        <w:rPr>
          <w:lang w:val="fr-CA"/>
        </w:rPr>
        <w:t> </w:t>
      </w:r>
      <w:r w:rsidR="00A24B24" w:rsidRPr="00393E1E">
        <w:rPr>
          <w:lang w:val="fr-CA"/>
        </w:rPr>
        <w:t>Lorsque l’isolement préventif est imposé au détenu, le directeur charge une ou plusieurs personnes de réexaminer périodiquement chaque cas, par une audition, selon les modalités réglementaires de temps et autres, et de lui faire après chaque réexamen des recommandations quant au maintien ou non du détenu en isolement préventif.</w:t>
      </w:r>
    </w:p>
    <w:p w:rsidR="000A7FAD" w:rsidRDefault="000A7FAD" w:rsidP="000A7FAD">
      <w:pPr>
        <w:pStyle w:val="Citation1"/>
        <w:spacing w:after="480" w:line="480" w:lineRule="auto"/>
        <w:ind w:left="0"/>
        <w:contextualSpacing w:val="0"/>
        <w:rPr>
          <w:i/>
          <w:lang w:val="fr-CA"/>
        </w:rPr>
      </w:pPr>
    </w:p>
    <w:p w:rsidR="00A24B24" w:rsidRPr="00986E23" w:rsidRDefault="00A24B24" w:rsidP="000A7FAD">
      <w:pPr>
        <w:pStyle w:val="Citation1"/>
        <w:spacing w:after="480"/>
        <w:ind w:left="0"/>
        <w:contextualSpacing w:val="0"/>
        <w:rPr>
          <w:lang w:val="fr-CA"/>
        </w:rPr>
      </w:pPr>
      <w:r w:rsidRPr="00986E23">
        <w:rPr>
          <w:i/>
          <w:lang w:val="fr-CA"/>
        </w:rPr>
        <w:t>Règlement sur le système correctionnel et la mise en liberté sous condition</w:t>
      </w:r>
      <w:r w:rsidRPr="00986E23">
        <w:rPr>
          <w:lang w:val="fr-CA"/>
        </w:rPr>
        <w:t>,</w:t>
      </w:r>
      <w:r w:rsidRPr="00986E23">
        <w:rPr>
          <w:i/>
          <w:lang w:val="fr-CA"/>
        </w:rPr>
        <w:t xml:space="preserve"> </w:t>
      </w:r>
      <w:r w:rsidRPr="00986E23">
        <w:rPr>
          <w:lang w:val="fr-CA"/>
        </w:rPr>
        <w:t>DORS/92</w:t>
      </w:r>
      <w:r w:rsidR="00906DC0">
        <w:rPr>
          <w:lang w:val="fr-CA"/>
        </w:rPr>
        <w:t>-</w:t>
      </w:r>
      <w:r w:rsidRPr="00986E23">
        <w:rPr>
          <w:lang w:val="fr-CA"/>
        </w:rPr>
        <w:t>620</w:t>
      </w:r>
    </w:p>
    <w:p w:rsidR="00A24B24" w:rsidRPr="00986E23" w:rsidRDefault="000A7FAD" w:rsidP="000A7FAD">
      <w:pPr>
        <w:pStyle w:val="Citation1"/>
        <w:tabs>
          <w:tab w:val="left" w:pos="1620"/>
          <w:tab w:val="left" w:pos="1980"/>
          <w:tab w:val="left" w:pos="2520"/>
        </w:tabs>
        <w:spacing w:after="0"/>
        <w:ind w:firstLine="4"/>
        <w:contextualSpacing w:val="0"/>
        <w:rPr>
          <w:lang w:val="fr-CA"/>
        </w:rPr>
      </w:pPr>
      <w:r>
        <w:rPr>
          <w:b/>
          <w:lang w:val="fr-CA"/>
        </w:rPr>
        <w:tab/>
      </w:r>
      <w:r w:rsidR="00A24B24" w:rsidRPr="00986E23">
        <w:rPr>
          <w:b/>
          <w:lang w:val="fr-CA"/>
        </w:rPr>
        <w:t>21.</w:t>
      </w:r>
      <w:r w:rsidR="00906DC0">
        <w:rPr>
          <w:lang w:val="fr-CA"/>
        </w:rPr>
        <w:t> (1)</w:t>
      </w:r>
      <w:r w:rsidR="00906DC0">
        <w:rPr>
          <w:lang w:val="fr-CA"/>
        </w:rPr>
        <w:tab/>
      </w:r>
      <w:r w:rsidR="00A24B24" w:rsidRPr="00986E23">
        <w:rPr>
          <w:lang w:val="fr-CA"/>
        </w:rPr>
        <w:t>Lorsque l’isolement préventif est imposé au détenu, le directeur du pénitencier doit veiller à ce que la ou l</w:t>
      </w:r>
      <w:r w:rsidR="00BA749E">
        <w:rPr>
          <w:lang w:val="fr-CA"/>
        </w:rPr>
        <w:t xml:space="preserve">es personnes visées à l’article </w:t>
      </w:r>
      <w:r w:rsidR="00A24B24" w:rsidRPr="00986E23">
        <w:rPr>
          <w:lang w:val="fr-CA"/>
        </w:rPr>
        <w:t>33 de la Loi, qu’il a chargées de réexaminer les cas d’isolement préventif en tant que comité de réexamen des cas d’isolement, soient informées de l’isolement préventif du détenu.</w:t>
      </w:r>
    </w:p>
    <w:p w:rsidR="00A24B24" w:rsidRPr="00986E23" w:rsidRDefault="00A24B24" w:rsidP="00A24B24">
      <w:pPr>
        <w:pStyle w:val="Citation1"/>
        <w:tabs>
          <w:tab w:val="left" w:pos="1800"/>
        </w:tabs>
        <w:spacing w:after="0"/>
        <w:ind w:firstLine="274"/>
        <w:contextualSpacing w:val="0"/>
        <w:rPr>
          <w:lang w:val="fr-CA"/>
        </w:rPr>
      </w:pPr>
    </w:p>
    <w:p w:rsidR="00A24B24" w:rsidRPr="00BA5A90" w:rsidRDefault="000A7FAD" w:rsidP="001A1976">
      <w:pPr>
        <w:pStyle w:val="Citation1"/>
        <w:tabs>
          <w:tab w:val="left" w:pos="1620"/>
          <w:tab w:val="left" w:pos="2070"/>
          <w:tab w:val="left" w:pos="2520"/>
        </w:tabs>
        <w:spacing w:after="0"/>
        <w:ind w:firstLine="4"/>
        <w:contextualSpacing w:val="0"/>
        <w:rPr>
          <w:lang w:val="fr-CA"/>
        </w:rPr>
      </w:pPr>
      <w:r>
        <w:rPr>
          <w:lang w:val="fr-CA"/>
        </w:rPr>
        <w:tab/>
      </w:r>
      <w:r w:rsidR="00A24B24" w:rsidRPr="00BA5A90">
        <w:rPr>
          <w:lang w:val="fr-CA"/>
        </w:rPr>
        <w:t>(2)</w:t>
      </w:r>
      <w:r w:rsidR="00906DC0">
        <w:rPr>
          <w:lang w:val="fr-CA"/>
        </w:rPr>
        <w:tab/>
      </w:r>
      <w:r w:rsidR="00A24B24" w:rsidRPr="00BA5A90">
        <w:rPr>
          <w:lang w:val="fr-CA"/>
        </w:rPr>
        <w:t>Le comité de réexamen des cas d’isolement visé au paragraphe</w:t>
      </w:r>
      <w:r w:rsidR="00906DC0">
        <w:rPr>
          <w:lang w:val="fr-CA"/>
        </w:rPr>
        <w:t xml:space="preserve"> </w:t>
      </w:r>
      <w:r w:rsidR="00A24B24" w:rsidRPr="00BA5A90">
        <w:rPr>
          <w:lang w:val="fr-CA"/>
        </w:rPr>
        <w:t>(1) doit tenir une audition :</w:t>
      </w:r>
    </w:p>
    <w:p w:rsidR="00A24B24" w:rsidRPr="00BA5A90" w:rsidRDefault="00A24B24" w:rsidP="00A24B24">
      <w:pPr>
        <w:pStyle w:val="Citation1"/>
        <w:spacing w:after="0"/>
        <w:ind w:firstLine="634"/>
        <w:contextualSpacing w:val="0"/>
        <w:rPr>
          <w:lang w:val="fr-CA"/>
        </w:rPr>
      </w:pPr>
    </w:p>
    <w:p w:rsidR="00A24B24" w:rsidRPr="00393E1E" w:rsidRDefault="000A7FAD" w:rsidP="002F159F">
      <w:pPr>
        <w:pStyle w:val="Citation1"/>
        <w:tabs>
          <w:tab w:val="left" w:pos="1620"/>
          <w:tab w:val="left" w:pos="2070"/>
          <w:tab w:val="left" w:pos="2520"/>
        </w:tabs>
        <w:spacing w:after="0"/>
        <w:ind w:left="1620" w:hanging="450"/>
        <w:contextualSpacing w:val="0"/>
        <w:rPr>
          <w:lang w:val="fr-CA"/>
        </w:rPr>
      </w:pPr>
      <w:r w:rsidRPr="000A7FAD">
        <w:rPr>
          <w:i/>
          <w:lang w:val="fr-CA"/>
        </w:rPr>
        <w:tab/>
      </w:r>
      <w:r>
        <w:rPr>
          <w:i/>
          <w:lang w:val="fr-CA"/>
        </w:rPr>
        <w:t>a</w:t>
      </w:r>
      <w:r>
        <w:rPr>
          <w:lang w:val="fr-CA"/>
        </w:rPr>
        <w:t>)</w:t>
      </w:r>
      <w:r>
        <w:rPr>
          <w:lang w:val="fr-CA"/>
        </w:rPr>
        <w:tab/>
      </w:r>
      <w:r w:rsidR="00A24B24" w:rsidRPr="00393E1E">
        <w:rPr>
          <w:lang w:val="fr-CA"/>
        </w:rPr>
        <w:t>dans les cinq jours ouvrables suivant l’isolement préventif du détenu;</w:t>
      </w:r>
    </w:p>
    <w:p w:rsidR="00A24B24" w:rsidRPr="00393E1E" w:rsidRDefault="00A24B24" w:rsidP="00A24B24">
      <w:pPr>
        <w:pStyle w:val="Citation1"/>
        <w:spacing w:after="0"/>
        <w:ind w:left="2160"/>
        <w:contextualSpacing w:val="0"/>
        <w:rPr>
          <w:lang w:val="fr-CA"/>
        </w:rPr>
      </w:pPr>
    </w:p>
    <w:p w:rsidR="00A24B24" w:rsidRPr="00393E1E" w:rsidRDefault="000A7FAD" w:rsidP="002F159F">
      <w:pPr>
        <w:pStyle w:val="Citation1"/>
        <w:tabs>
          <w:tab w:val="left" w:pos="1620"/>
          <w:tab w:val="left" w:pos="2070"/>
          <w:tab w:val="left" w:pos="2520"/>
        </w:tabs>
        <w:spacing w:after="0"/>
        <w:ind w:left="1620" w:hanging="450"/>
        <w:contextualSpacing w:val="0"/>
        <w:rPr>
          <w:lang w:val="fr-CA"/>
        </w:rPr>
      </w:pPr>
      <w:r>
        <w:rPr>
          <w:i/>
          <w:lang w:val="fr-CA"/>
        </w:rPr>
        <w:tab/>
      </w:r>
      <w:r w:rsidR="00906DC0" w:rsidRPr="00906DC0">
        <w:rPr>
          <w:i/>
          <w:lang w:val="fr-CA"/>
        </w:rPr>
        <w:t>b</w:t>
      </w:r>
      <w:r>
        <w:rPr>
          <w:lang w:val="fr-CA"/>
        </w:rPr>
        <w:t>)</w:t>
      </w:r>
      <w:r w:rsidR="00906DC0" w:rsidRPr="000A7FAD">
        <w:rPr>
          <w:i/>
          <w:lang w:val="fr-CA"/>
        </w:rPr>
        <w:tab/>
      </w:r>
      <w:r w:rsidR="00A24B24" w:rsidRPr="009722A9">
        <w:rPr>
          <w:lang w:val="fr-CA"/>
        </w:rPr>
        <w:t xml:space="preserve">par la suite, au moins une fois tous les 30 jours tant qu’est </w:t>
      </w:r>
      <w:r w:rsidR="00A24B24" w:rsidRPr="00393E1E">
        <w:rPr>
          <w:lang w:val="fr-CA"/>
        </w:rPr>
        <w:t>maintenu l’isolement préventif du détenu.</w:t>
      </w:r>
    </w:p>
    <w:p w:rsidR="00A24B24" w:rsidRPr="00393E1E" w:rsidRDefault="00A24B24" w:rsidP="00A24B24">
      <w:pPr>
        <w:pStyle w:val="Citation1"/>
        <w:spacing w:after="0"/>
        <w:ind w:left="2160"/>
        <w:contextualSpacing w:val="0"/>
        <w:rPr>
          <w:lang w:val="fr-CA"/>
        </w:rPr>
      </w:pPr>
    </w:p>
    <w:p w:rsidR="00A24B24" w:rsidRPr="00393E1E" w:rsidRDefault="000A7FAD" w:rsidP="00014806">
      <w:pPr>
        <w:pStyle w:val="Citation1"/>
        <w:tabs>
          <w:tab w:val="left" w:pos="1620"/>
          <w:tab w:val="left" w:pos="2070"/>
          <w:tab w:val="left" w:pos="2520"/>
        </w:tabs>
        <w:spacing w:after="0"/>
        <w:ind w:firstLine="4"/>
        <w:contextualSpacing w:val="0"/>
        <w:rPr>
          <w:lang w:val="fr-CA"/>
        </w:rPr>
      </w:pPr>
      <w:r>
        <w:rPr>
          <w:lang w:val="fr-CA"/>
        </w:rPr>
        <w:tab/>
      </w:r>
      <w:r w:rsidR="00906DC0">
        <w:rPr>
          <w:lang w:val="fr-CA"/>
        </w:rPr>
        <w:t>(3)</w:t>
      </w:r>
      <w:r w:rsidR="00906DC0">
        <w:rPr>
          <w:lang w:val="fr-CA"/>
        </w:rPr>
        <w:tab/>
      </w:r>
      <w:r w:rsidR="00A24B24" w:rsidRPr="00393E1E">
        <w:rPr>
          <w:lang w:val="fr-CA"/>
        </w:rPr>
        <w:t>Le directeur du pénitencier doit veil</w:t>
      </w:r>
      <w:r>
        <w:rPr>
          <w:lang w:val="fr-CA"/>
        </w:rPr>
        <w:t xml:space="preserve">ler à ce que le détenu qui fait </w:t>
      </w:r>
      <w:r w:rsidR="00A24B24" w:rsidRPr="00393E1E">
        <w:rPr>
          <w:lang w:val="fr-CA"/>
        </w:rPr>
        <w:t>l’objet d’une audition du comité de réexamen des cas d’isolement conformément au paragraphe</w:t>
      </w:r>
      <w:r w:rsidR="00906DC0">
        <w:rPr>
          <w:lang w:val="fr-CA"/>
        </w:rPr>
        <w:t xml:space="preserve"> </w:t>
      </w:r>
      <w:r w:rsidR="00A24B24" w:rsidRPr="00393E1E">
        <w:rPr>
          <w:lang w:val="fr-CA"/>
        </w:rPr>
        <w:t>(2) :</w:t>
      </w:r>
    </w:p>
    <w:p w:rsidR="00A24B24" w:rsidRPr="00393E1E" w:rsidRDefault="00A24B24" w:rsidP="00A24B24">
      <w:pPr>
        <w:pStyle w:val="Citation1"/>
        <w:spacing w:after="0"/>
        <w:ind w:firstLine="634"/>
        <w:contextualSpacing w:val="0"/>
        <w:rPr>
          <w:lang w:val="fr-CA"/>
        </w:rPr>
      </w:pPr>
    </w:p>
    <w:p w:rsidR="00A24B24" w:rsidRPr="00393E1E" w:rsidRDefault="000A7FAD" w:rsidP="002F159F">
      <w:pPr>
        <w:pStyle w:val="Citation1"/>
        <w:tabs>
          <w:tab w:val="left" w:pos="1620"/>
          <w:tab w:val="left" w:pos="2070"/>
          <w:tab w:val="left" w:pos="2520"/>
        </w:tabs>
        <w:spacing w:after="0"/>
        <w:ind w:left="1620" w:hanging="450"/>
        <w:contextualSpacing w:val="0"/>
        <w:rPr>
          <w:lang w:val="fr-CA"/>
        </w:rPr>
      </w:pPr>
      <w:r>
        <w:rPr>
          <w:i/>
          <w:lang w:val="fr-CA"/>
        </w:rPr>
        <w:tab/>
      </w:r>
      <w:r w:rsidR="00906DC0" w:rsidRPr="00906DC0">
        <w:rPr>
          <w:i/>
          <w:lang w:val="fr-CA"/>
        </w:rPr>
        <w:t>a</w:t>
      </w:r>
      <w:r w:rsidR="00906DC0" w:rsidRPr="00906DC0">
        <w:rPr>
          <w:lang w:val="fr-CA"/>
        </w:rPr>
        <w:t>)</w:t>
      </w:r>
      <w:r w:rsidR="00906DC0">
        <w:rPr>
          <w:lang w:val="fr-CA"/>
        </w:rPr>
        <w:tab/>
      </w:r>
      <w:r w:rsidR="00A24B24" w:rsidRPr="00393E1E">
        <w:rPr>
          <w:lang w:val="fr-CA"/>
        </w:rPr>
        <w:t>reçoive, au moins trois jours ouvrables avant l’audition, un avis écrit de l’audition et les renseignements que le comité entend examiner à l’audition;</w:t>
      </w:r>
    </w:p>
    <w:p w:rsidR="00A24B24" w:rsidRPr="00393E1E" w:rsidRDefault="00A24B24" w:rsidP="00906DC0">
      <w:pPr>
        <w:pStyle w:val="Citation1"/>
        <w:spacing w:after="0"/>
        <w:ind w:left="2074"/>
        <w:contextualSpacing w:val="0"/>
        <w:rPr>
          <w:lang w:val="fr-CA"/>
        </w:rPr>
      </w:pPr>
    </w:p>
    <w:p w:rsidR="00A24B24" w:rsidRPr="00393E1E" w:rsidRDefault="003326AB" w:rsidP="002F159F">
      <w:pPr>
        <w:pStyle w:val="Citation1"/>
        <w:tabs>
          <w:tab w:val="left" w:pos="1620"/>
          <w:tab w:val="left" w:pos="2070"/>
          <w:tab w:val="left" w:pos="2520"/>
        </w:tabs>
        <w:spacing w:after="0"/>
        <w:ind w:left="1620" w:hanging="450"/>
        <w:contextualSpacing w:val="0"/>
        <w:rPr>
          <w:lang w:val="fr-CA"/>
        </w:rPr>
      </w:pPr>
      <w:r>
        <w:rPr>
          <w:i/>
          <w:lang w:val="fr-CA"/>
        </w:rPr>
        <w:tab/>
      </w:r>
      <w:r w:rsidR="00A24B24" w:rsidRPr="00393E1E">
        <w:rPr>
          <w:i/>
          <w:lang w:val="fr-CA"/>
        </w:rPr>
        <w:t>b</w:t>
      </w:r>
      <w:r w:rsidR="00906DC0">
        <w:rPr>
          <w:lang w:val="fr-CA"/>
        </w:rPr>
        <w:t>)</w:t>
      </w:r>
      <w:r w:rsidR="00906DC0">
        <w:rPr>
          <w:lang w:val="fr-CA"/>
        </w:rPr>
        <w:tab/>
      </w:r>
      <w:r w:rsidR="00A24B24" w:rsidRPr="00393E1E">
        <w:rPr>
          <w:lang w:val="fr-CA"/>
        </w:rPr>
        <w:t>ait la possibilité d’assister à l’audition et d’y présenter ses observations;</w:t>
      </w:r>
    </w:p>
    <w:p w:rsidR="00A24B24" w:rsidRPr="00393E1E" w:rsidRDefault="00A24B24" w:rsidP="00906DC0">
      <w:pPr>
        <w:pStyle w:val="Citation1"/>
        <w:spacing w:after="0"/>
        <w:ind w:left="2074"/>
        <w:contextualSpacing w:val="0"/>
        <w:rPr>
          <w:lang w:val="fr-CA"/>
        </w:rPr>
      </w:pPr>
    </w:p>
    <w:p w:rsidR="00A24B24" w:rsidRPr="00393E1E" w:rsidRDefault="003326AB" w:rsidP="002F159F">
      <w:pPr>
        <w:pStyle w:val="Citation1"/>
        <w:tabs>
          <w:tab w:val="left" w:pos="1620"/>
          <w:tab w:val="left" w:pos="2070"/>
          <w:tab w:val="left" w:pos="2520"/>
        </w:tabs>
        <w:spacing w:after="0"/>
        <w:ind w:left="1620" w:hanging="450"/>
        <w:contextualSpacing w:val="0"/>
        <w:rPr>
          <w:lang w:val="fr-CA"/>
        </w:rPr>
      </w:pPr>
      <w:r>
        <w:rPr>
          <w:i/>
          <w:lang w:val="fr-CA"/>
        </w:rPr>
        <w:tab/>
      </w:r>
      <w:r w:rsidR="00A24B24" w:rsidRPr="00393E1E">
        <w:rPr>
          <w:i/>
          <w:lang w:val="fr-CA"/>
        </w:rPr>
        <w:t>c</w:t>
      </w:r>
      <w:r w:rsidR="00A24B24" w:rsidRPr="00393E1E">
        <w:rPr>
          <w:lang w:val="fr-CA"/>
        </w:rPr>
        <w:t>)</w:t>
      </w:r>
      <w:r w:rsidR="00906DC0">
        <w:rPr>
          <w:lang w:val="fr-CA"/>
        </w:rPr>
        <w:tab/>
      </w:r>
      <w:r w:rsidR="00A24B24" w:rsidRPr="00393E1E">
        <w:rPr>
          <w:lang w:val="fr-CA"/>
        </w:rPr>
        <w:t>soit avisé par écrit de la recommandation faite par le comité au directeur du pén</w:t>
      </w:r>
      <w:r w:rsidR="00906DC0">
        <w:rPr>
          <w:lang w:val="fr-CA"/>
        </w:rPr>
        <w:t>itencier et des motifs de celle-</w:t>
      </w:r>
      <w:r w:rsidR="00A24B24" w:rsidRPr="00393E1E">
        <w:rPr>
          <w:lang w:val="fr-CA"/>
        </w:rPr>
        <w:t>ci.</w:t>
      </w:r>
    </w:p>
    <w:p w:rsidR="00A24B24" w:rsidRPr="00393E1E" w:rsidRDefault="00A24B24" w:rsidP="00A24B24">
      <w:pPr>
        <w:pStyle w:val="Citation1"/>
        <w:spacing w:after="0"/>
        <w:ind w:left="1800"/>
        <w:contextualSpacing w:val="0"/>
        <w:rPr>
          <w:lang w:val="fr-CA"/>
        </w:rPr>
      </w:pPr>
    </w:p>
    <w:p w:rsidR="00A24B24" w:rsidRDefault="003326AB" w:rsidP="0057471F">
      <w:pPr>
        <w:pStyle w:val="Citation1"/>
        <w:tabs>
          <w:tab w:val="left" w:pos="1620"/>
          <w:tab w:val="left" w:pos="2070"/>
          <w:tab w:val="left" w:pos="2520"/>
        </w:tabs>
        <w:contextualSpacing w:val="0"/>
        <w:rPr>
          <w:lang w:val="fr-CA"/>
        </w:rPr>
      </w:pPr>
      <w:r>
        <w:rPr>
          <w:lang w:val="fr-CA"/>
        </w:rPr>
        <w:tab/>
      </w:r>
      <w:r w:rsidR="00A24B24" w:rsidRPr="003326AB">
        <w:rPr>
          <w:b/>
          <w:lang w:val="fr-CA"/>
        </w:rPr>
        <w:t>22.</w:t>
      </w:r>
      <w:r w:rsidR="00906DC0">
        <w:rPr>
          <w:b/>
          <w:lang w:val="fr-CA"/>
        </w:rPr>
        <w:tab/>
      </w:r>
      <w:r w:rsidR="00A24B24" w:rsidRPr="00393E1E">
        <w:rPr>
          <w:lang w:val="fr-CA"/>
        </w:rPr>
        <w:t xml:space="preserve">Lorsque le détenu est mis en isolement préventif, le responsable de la région ou l’agent de l’administration régionale désigné par lui doit </w:t>
      </w:r>
      <w:r w:rsidR="00A24B24" w:rsidRPr="00393E1E">
        <w:rPr>
          <w:lang w:val="fr-CA"/>
        </w:rPr>
        <w:lastRenderedPageBreak/>
        <w:t>examiner son cas au moins une fois tous les 60 jours pendant qu’il est en isolement préventif pour décider, selon les motifs énoncés à l’article</w:t>
      </w:r>
      <w:r w:rsidR="00906DC0">
        <w:rPr>
          <w:lang w:val="fr-CA"/>
        </w:rPr>
        <w:t xml:space="preserve"> </w:t>
      </w:r>
      <w:r w:rsidR="00A24B24" w:rsidRPr="00393E1E">
        <w:rPr>
          <w:lang w:val="fr-CA"/>
        </w:rPr>
        <w:t>31 de la Loi, si le maintien de cette mesure est justifié.</w:t>
      </w:r>
    </w:p>
    <w:p w:rsidR="00A24B24" w:rsidRPr="00906DC0" w:rsidRDefault="009722A9" w:rsidP="009F5622">
      <w:pPr>
        <w:tabs>
          <w:tab w:val="left" w:pos="540"/>
        </w:tabs>
        <w:spacing w:after="720"/>
        <w:rPr>
          <w:lang w:val="fr-CA"/>
        </w:rPr>
      </w:pPr>
      <w:r>
        <w:rPr>
          <w:lang w:val="fr-CA"/>
        </w:rPr>
        <w:t>IV</w:t>
      </w:r>
      <w:r w:rsidR="00A24B24" w:rsidRPr="00906DC0">
        <w:rPr>
          <w:lang w:val="fr-CA"/>
        </w:rPr>
        <w:t>.</w:t>
      </w:r>
      <w:r w:rsidR="00906DC0" w:rsidRPr="00906DC0">
        <w:rPr>
          <w:lang w:val="fr-CA"/>
        </w:rPr>
        <w:tab/>
      </w:r>
      <w:r w:rsidR="00A24B24" w:rsidRPr="000E129B">
        <w:rPr>
          <w:u w:val="single"/>
          <w:lang w:val="fr-CA"/>
        </w:rPr>
        <w:t>Analyse</w:t>
      </w:r>
    </w:p>
    <w:p w:rsidR="00A24B24" w:rsidRPr="00393E1E" w:rsidRDefault="00A24B24" w:rsidP="009E3DCC">
      <w:pPr>
        <w:pStyle w:val="ReasonsNumbering-AltN"/>
        <w:rPr>
          <w:lang w:val="fr-CA"/>
        </w:rPr>
      </w:pPr>
      <w:r w:rsidRPr="00BA5A90">
        <w:rPr>
          <w:lang w:val="fr-CA"/>
        </w:rPr>
        <w:t xml:space="preserve">Un important principe est en jeu dans le présent pourvoi, comme dans </w:t>
      </w:r>
      <w:proofErr w:type="spellStart"/>
      <w:r w:rsidRPr="00BA5A90">
        <w:rPr>
          <w:i/>
          <w:lang w:val="fr-CA"/>
        </w:rPr>
        <w:t>TeleZone</w:t>
      </w:r>
      <w:proofErr w:type="spellEnd"/>
      <w:r w:rsidRPr="00BA5A90">
        <w:rPr>
          <w:lang w:val="fr-CA"/>
        </w:rPr>
        <w:t xml:space="preserve">, soit celui de l’accès à la justice.  </w:t>
      </w:r>
      <w:r w:rsidRPr="00393E1E">
        <w:rPr>
          <w:lang w:val="fr-CA"/>
        </w:rPr>
        <w:t>Sauf quelques exceptions notables, les détenus ne sont pas riches.  Seuls quelques</w:t>
      </w:r>
      <w:r w:rsidR="00906DC0">
        <w:rPr>
          <w:lang w:val="fr-CA"/>
        </w:rPr>
        <w:t>-</w:t>
      </w:r>
      <w:r w:rsidRPr="00393E1E">
        <w:rPr>
          <w:lang w:val="fr-CA"/>
        </w:rPr>
        <w:t>uns d’entre eux peuvent se permettre d’engager au départ une procédure de contrôle judiciaire pour contester la validité d’un ordre d’isolement une fois l’isolement terminé, alors que l’annulation de l’ordre ne présente plus aucun intérêt pratique.  M</w:t>
      </w:r>
      <w:r w:rsidR="00906DC0">
        <w:rPr>
          <w:lang w:val="fr-CA"/>
        </w:rPr>
        <w:t>.</w:t>
      </w:r>
      <w:r w:rsidRPr="00393E1E">
        <w:rPr>
          <w:lang w:val="fr-CA"/>
        </w:rPr>
        <w:t xml:space="preserve"> </w:t>
      </w:r>
      <w:proofErr w:type="spellStart"/>
      <w:r w:rsidRPr="00393E1E">
        <w:rPr>
          <w:lang w:val="fr-CA"/>
        </w:rPr>
        <w:t>McArthur</w:t>
      </w:r>
      <w:proofErr w:type="spellEnd"/>
      <w:r w:rsidRPr="00393E1E">
        <w:rPr>
          <w:lang w:val="fr-CA"/>
        </w:rPr>
        <w:t xml:space="preserve"> peut avoir un intérêt dans la bonne administration du système carcéral, mais il cherche actuellement à obtenir une indemnité.  Il se peut, bien entendu, qu’il ne l’obtienne pas, mais il devrait pouvoir se faire entendre sans avoir à engager des procédures inutiles et improductives, à moins que les lois applicables le contraignent clairement et expressément à passer par la Cour fédérale.</w:t>
      </w:r>
    </w:p>
    <w:p w:rsidR="00A24B24" w:rsidRPr="00393E1E" w:rsidRDefault="00A24B24" w:rsidP="009E3DCC">
      <w:pPr>
        <w:pStyle w:val="ReasonsNumbering-AltN"/>
        <w:rPr>
          <w:lang w:val="fr-CA"/>
        </w:rPr>
      </w:pPr>
      <w:r w:rsidRPr="00393E1E">
        <w:rPr>
          <w:lang w:val="fr-CA"/>
        </w:rPr>
        <w:t xml:space="preserve">Pour les motifs exprimés dans l’arrêt connexe </w:t>
      </w:r>
      <w:proofErr w:type="spellStart"/>
      <w:r w:rsidRPr="00393E1E">
        <w:rPr>
          <w:i/>
          <w:lang w:val="fr-CA"/>
        </w:rPr>
        <w:t>TeleZone</w:t>
      </w:r>
      <w:proofErr w:type="spellEnd"/>
      <w:r w:rsidRPr="00393E1E">
        <w:rPr>
          <w:lang w:val="fr-CA"/>
        </w:rPr>
        <w:t>, j’estime que l’argument du procureur général donne une trop grande portée juridi</w:t>
      </w:r>
      <w:r w:rsidR="00BA749E">
        <w:rPr>
          <w:lang w:val="fr-CA"/>
        </w:rPr>
        <w:t xml:space="preserve">que à l’attribution, par l’art. </w:t>
      </w:r>
      <w:r w:rsidRPr="00393E1E">
        <w:rPr>
          <w:lang w:val="fr-CA"/>
        </w:rPr>
        <w:t xml:space="preserve">18 de la </w:t>
      </w:r>
      <w:r w:rsidRPr="00393E1E">
        <w:rPr>
          <w:i/>
          <w:lang w:val="fr-CA"/>
        </w:rPr>
        <w:t xml:space="preserve">Loi sur les </w:t>
      </w:r>
      <w:r w:rsidR="00906DC0">
        <w:rPr>
          <w:i/>
          <w:lang w:val="fr-CA"/>
        </w:rPr>
        <w:t>C</w:t>
      </w:r>
      <w:r w:rsidRPr="00393E1E">
        <w:rPr>
          <w:i/>
          <w:lang w:val="fr-CA"/>
        </w:rPr>
        <w:t>ours fédérales</w:t>
      </w:r>
      <w:r w:rsidRPr="00393E1E">
        <w:rPr>
          <w:lang w:val="fr-CA"/>
        </w:rPr>
        <w:t xml:space="preserve">, d’une compétence exclusive en matière de contrôle judiciaire des actes des décideurs fédéraux.  Une interprétation textuelle, contextuelle et téléologique de la </w:t>
      </w:r>
      <w:r w:rsidRPr="00393E1E">
        <w:rPr>
          <w:i/>
          <w:lang w:val="fr-CA"/>
        </w:rPr>
        <w:t xml:space="preserve">Loi sur les </w:t>
      </w:r>
      <w:r w:rsidR="00906DC0">
        <w:rPr>
          <w:i/>
          <w:lang w:val="fr-CA"/>
        </w:rPr>
        <w:t>C</w:t>
      </w:r>
      <w:r w:rsidRPr="00393E1E">
        <w:rPr>
          <w:i/>
          <w:lang w:val="fr-CA"/>
        </w:rPr>
        <w:t xml:space="preserve">ours fédérales </w:t>
      </w:r>
      <w:r w:rsidRPr="00393E1E">
        <w:rPr>
          <w:lang w:val="fr-CA"/>
        </w:rPr>
        <w:t>n’étaye pas ses prétentions.</w:t>
      </w:r>
    </w:p>
    <w:p w:rsidR="00A24B24" w:rsidRPr="00393E1E" w:rsidRDefault="00A24B24" w:rsidP="009E3DCC">
      <w:pPr>
        <w:pStyle w:val="ReasonsNumbering-AltN"/>
        <w:rPr>
          <w:lang w:val="fr-CA"/>
        </w:rPr>
      </w:pPr>
      <w:r w:rsidRPr="00393E1E">
        <w:rPr>
          <w:lang w:val="fr-CA"/>
        </w:rPr>
        <w:lastRenderedPageBreak/>
        <w:t xml:space="preserve">Comme l’a souligné le juge des requêtes, les faits de l’espèce ressemblent beaucoup à ceux de l’affaire </w:t>
      </w:r>
      <w:r w:rsidRPr="00393E1E">
        <w:rPr>
          <w:i/>
          <w:lang w:val="fr-CA"/>
        </w:rPr>
        <w:t>Grenier</w:t>
      </w:r>
      <w:r w:rsidRPr="00393E1E">
        <w:rPr>
          <w:lang w:val="fr-CA"/>
        </w:rPr>
        <w:t>.  Dans sa déclaration modifiée, M.</w:t>
      </w:r>
      <w:r w:rsidR="00906DC0">
        <w:rPr>
          <w:lang w:val="fr-CA"/>
        </w:rPr>
        <w:t xml:space="preserve"> </w:t>
      </w:r>
      <w:proofErr w:type="spellStart"/>
      <w:r w:rsidRPr="00393E1E">
        <w:rPr>
          <w:lang w:val="fr-CA"/>
        </w:rPr>
        <w:t>McArthur</w:t>
      </w:r>
      <w:proofErr w:type="spellEnd"/>
      <w:r w:rsidRPr="00393E1E">
        <w:rPr>
          <w:lang w:val="fr-CA"/>
        </w:rPr>
        <w:t xml:space="preserve"> soutient que les ordres d’isolement ont été donnés [</w:t>
      </w:r>
      <w:r w:rsidRPr="00393E1E">
        <w:rPr>
          <w:smallCaps/>
          <w:lang w:val="fr-CA"/>
        </w:rPr>
        <w:t>traduction</w:t>
      </w:r>
      <w:r w:rsidRPr="00393E1E">
        <w:rPr>
          <w:lang w:val="fr-CA"/>
        </w:rPr>
        <w:t>] « sans raison ou excuse valable » (par.</w:t>
      </w:r>
      <w:r w:rsidR="00BA749E">
        <w:rPr>
          <w:lang w:val="fr-CA"/>
        </w:rPr>
        <w:t xml:space="preserve"> </w:t>
      </w:r>
      <w:r w:rsidRPr="00393E1E">
        <w:rPr>
          <w:lang w:val="fr-CA"/>
        </w:rPr>
        <w:t>12) et n’étaient pas fondés sur « les motifs raisonnables requis par le par</w:t>
      </w:r>
      <w:r w:rsidR="00BA749E">
        <w:rPr>
          <w:lang w:val="fr-CA"/>
        </w:rPr>
        <w:t xml:space="preserve">. </w:t>
      </w:r>
      <w:r w:rsidRPr="00393E1E">
        <w:rPr>
          <w:lang w:val="fr-CA"/>
        </w:rPr>
        <w:t>31(3) de la Loi pour justifier [son] isolement</w:t>
      </w:r>
      <w:r w:rsidR="00BA749E">
        <w:rPr>
          <w:lang w:val="fr-CA"/>
        </w:rPr>
        <w:t xml:space="preserve"> préventif involontaire » (par. </w:t>
      </w:r>
      <w:r w:rsidRPr="00393E1E">
        <w:rPr>
          <w:lang w:val="fr-CA"/>
        </w:rPr>
        <w:t>15).  De toute évidence, il met en cause la légalité ou la validité des ordres d’isolement, mais il le fait dans le cadre d’une cause d’action de droit privé à l’égard de laquelle la cour supérieure provinciale a compétence.  Rien dans la législation fédérale n’indique que les cours provinciales peuvent statuer sur certains éléments seulement — et non sur tous les éléments — de ses réclamations pécuniaires contre la Couronne.</w:t>
      </w:r>
    </w:p>
    <w:p w:rsidR="00A24B24" w:rsidRPr="00393E1E" w:rsidRDefault="00A24B24" w:rsidP="009E3DCC">
      <w:pPr>
        <w:pStyle w:val="ReasonsNumbering-AltN"/>
        <w:rPr>
          <w:i/>
          <w:lang w:val="fr-CA"/>
        </w:rPr>
      </w:pPr>
      <w:r w:rsidRPr="00393E1E">
        <w:rPr>
          <w:lang w:val="fr-CA"/>
        </w:rPr>
        <w:t>En outre, il ne fait aucun doute que la cour supérieure provinciale est compétente pour entendre l</w:t>
      </w:r>
      <w:r w:rsidR="00BA749E">
        <w:rPr>
          <w:lang w:val="fr-CA"/>
        </w:rPr>
        <w:t xml:space="preserve">a demande d’indemnisation de M. </w:t>
      </w:r>
      <w:proofErr w:type="spellStart"/>
      <w:r w:rsidRPr="00393E1E">
        <w:rPr>
          <w:lang w:val="fr-CA"/>
        </w:rPr>
        <w:t>McArthur</w:t>
      </w:r>
      <w:proofErr w:type="spellEnd"/>
      <w:r w:rsidRPr="00393E1E">
        <w:rPr>
          <w:lang w:val="fr-CA"/>
        </w:rPr>
        <w:t xml:space="preserve"> en vertu du par.</w:t>
      </w:r>
      <w:r w:rsidR="00BA749E">
        <w:rPr>
          <w:lang w:val="fr-CA"/>
        </w:rPr>
        <w:t xml:space="preserve"> </w:t>
      </w:r>
      <w:r w:rsidRPr="00393E1E">
        <w:rPr>
          <w:lang w:val="fr-CA"/>
        </w:rPr>
        <w:t xml:space="preserve">24(1) de la </w:t>
      </w:r>
      <w:r w:rsidRPr="00393E1E">
        <w:rPr>
          <w:i/>
          <w:lang w:val="fr-CA"/>
        </w:rPr>
        <w:t>Charte</w:t>
      </w:r>
      <w:r w:rsidRPr="00393E1E">
        <w:rPr>
          <w:lang w:val="fr-CA"/>
        </w:rPr>
        <w:t xml:space="preserve">.  Dans </w:t>
      </w:r>
      <w:r w:rsidRPr="00393E1E">
        <w:rPr>
          <w:i/>
          <w:lang w:val="fr-CA"/>
        </w:rPr>
        <w:t>Procureur général du Can</w:t>
      </w:r>
      <w:r w:rsidR="00BA749E">
        <w:rPr>
          <w:i/>
          <w:lang w:val="fr-CA"/>
        </w:rPr>
        <w:t xml:space="preserve">ada c. </w:t>
      </w:r>
      <w:r w:rsidRPr="00393E1E">
        <w:rPr>
          <w:i/>
          <w:lang w:val="fr-CA"/>
        </w:rPr>
        <w:t>Law Society of British Columbia</w:t>
      </w:r>
      <w:r w:rsidRPr="00393E1E">
        <w:rPr>
          <w:lang w:val="fr-CA"/>
        </w:rPr>
        <w:t xml:space="preserve">, [1982] 2 R.C.S. 307, on a fait valoir au nom de la Couronne fédérale que, comme une réparation constitutionnelle était demandée contre des fonctionnaires fédéraux (y compris le directeur des enquêtes et recherches en vertu de la </w:t>
      </w:r>
      <w:r w:rsidRPr="00393E1E">
        <w:rPr>
          <w:i/>
          <w:lang w:val="fr-CA"/>
        </w:rPr>
        <w:t>Loi relative aux enquêtes sur les coalitions</w:t>
      </w:r>
      <w:r w:rsidR="00BA749E">
        <w:rPr>
          <w:lang w:val="fr-CA"/>
        </w:rPr>
        <w:t>, S.</w:t>
      </w:r>
      <w:r w:rsidRPr="00393E1E">
        <w:rPr>
          <w:lang w:val="fr-CA"/>
        </w:rPr>
        <w:t>R.C.</w:t>
      </w:r>
      <w:r w:rsidR="00BA749E">
        <w:rPr>
          <w:lang w:val="fr-CA"/>
        </w:rPr>
        <w:t xml:space="preserve"> </w:t>
      </w:r>
      <w:r w:rsidRPr="00393E1E">
        <w:rPr>
          <w:lang w:val="fr-CA"/>
        </w:rPr>
        <w:t>1970, ch.</w:t>
      </w:r>
      <w:r w:rsidR="00BA749E">
        <w:rPr>
          <w:lang w:val="fr-CA"/>
        </w:rPr>
        <w:t xml:space="preserve"> </w:t>
      </w:r>
      <w:r w:rsidRPr="00393E1E">
        <w:rPr>
          <w:lang w:val="fr-CA"/>
        </w:rPr>
        <w:t>C</w:t>
      </w:r>
      <w:r w:rsidR="00BA749E">
        <w:rPr>
          <w:lang w:val="fr-CA"/>
        </w:rPr>
        <w:t>-</w:t>
      </w:r>
      <w:r w:rsidRPr="00393E1E">
        <w:rPr>
          <w:lang w:val="fr-CA"/>
        </w:rPr>
        <w:t xml:space="preserve">23, une loi fédérale maintenant abrogée) qui répondaient tous à la définition d’un « office fédéral », la </w:t>
      </w:r>
      <w:r w:rsidRPr="00393E1E">
        <w:rPr>
          <w:i/>
          <w:lang w:val="fr-CA"/>
        </w:rPr>
        <w:t xml:space="preserve">Loi sur les Cours fédérales </w:t>
      </w:r>
      <w:r w:rsidRPr="00393E1E">
        <w:rPr>
          <w:lang w:val="fr-CA"/>
        </w:rPr>
        <w:t xml:space="preserve">(alors intitulée </w:t>
      </w:r>
      <w:r w:rsidRPr="00393E1E">
        <w:rPr>
          <w:i/>
          <w:lang w:val="fr-CA"/>
        </w:rPr>
        <w:t>Loi sur la Cour fédérale</w:t>
      </w:r>
      <w:r w:rsidRPr="00393E1E">
        <w:rPr>
          <w:lang w:val="fr-CA"/>
        </w:rPr>
        <w:t>) avait effectivement écarté la compétence de</w:t>
      </w:r>
      <w:r w:rsidR="00BA749E">
        <w:rPr>
          <w:lang w:val="fr-CA"/>
        </w:rPr>
        <w:t xml:space="preserve"> la Cour suprême de la Colombie-</w:t>
      </w:r>
      <w:r w:rsidRPr="00393E1E">
        <w:rPr>
          <w:lang w:val="fr-CA"/>
        </w:rPr>
        <w:t xml:space="preserve">Britannique.  Notre Cour a conclu que le législateur ne pouvait pas, en accordant à la Cour fédérale compétence </w:t>
      </w:r>
      <w:r w:rsidRPr="00393E1E">
        <w:rPr>
          <w:lang w:val="fr-CA"/>
        </w:rPr>
        <w:lastRenderedPageBreak/>
        <w:t xml:space="preserve">exclusive à l’égard des fonctionnaires fédéraux, priver les cours supérieures provinciales de leur compétence traditionnelle à l’égard des questions constitutionnelles.  À mon avis, la </w:t>
      </w:r>
      <w:r w:rsidRPr="00393E1E">
        <w:rPr>
          <w:i/>
          <w:lang w:val="fr-CA"/>
        </w:rPr>
        <w:t xml:space="preserve">Loi sur les Cours fédérales </w:t>
      </w:r>
      <w:r w:rsidRPr="00393E1E">
        <w:rPr>
          <w:lang w:val="fr-CA"/>
        </w:rPr>
        <w:t>ne peut pas non plus avoir pour effet d’empêcher une cour supérieure provinciale de procéder à l’examen de la constitutionnalité de la conduite de fonctionnaires fédéraux.  L’article</w:t>
      </w:r>
      <w:r w:rsidR="00BA749E">
        <w:rPr>
          <w:lang w:val="fr-CA"/>
        </w:rPr>
        <w:t xml:space="preserve"> </w:t>
      </w:r>
      <w:r w:rsidRPr="00393E1E">
        <w:rPr>
          <w:lang w:val="fr-CA"/>
        </w:rPr>
        <w:t xml:space="preserve">101 de la </w:t>
      </w:r>
      <w:r w:rsidRPr="00393E1E">
        <w:rPr>
          <w:i/>
          <w:lang w:val="fr-CA"/>
        </w:rPr>
        <w:t>Loi constitutionnelle de 1867</w:t>
      </w:r>
      <w:r w:rsidRPr="00393E1E">
        <w:rPr>
          <w:lang w:val="fr-CA"/>
        </w:rPr>
        <w:t xml:space="preserve"> permet la création de « tribunaux additionnels pour la meilleure administration des lois du Canada ».  Les cours supérieures provinciales conservent leur compétence historique à l’égard de la Constitution.  Évidemment, cela n’écarte pas la compétence concurrente de la Cour fédérale sur les questions constitutionnelles, mais cette compétence n’est pas exclusive et elle ne peut le devenir.  La Cour supérieure de justice de l’Ontario a donc compétence pour connaître de la demande de M.</w:t>
      </w:r>
      <w:r w:rsidR="00BA749E">
        <w:rPr>
          <w:lang w:val="fr-CA"/>
        </w:rPr>
        <w:t xml:space="preserve"> </w:t>
      </w:r>
      <w:proofErr w:type="spellStart"/>
      <w:r w:rsidRPr="00393E1E">
        <w:rPr>
          <w:lang w:val="fr-CA"/>
        </w:rPr>
        <w:t>McArthur</w:t>
      </w:r>
      <w:proofErr w:type="spellEnd"/>
      <w:r w:rsidRPr="00393E1E">
        <w:rPr>
          <w:lang w:val="fr-CA"/>
        </w:rPr>
        <w:t xml:space="preserve"> fondée sur la </w:t>
      </w:r>
      <w:r w:rsidRPr="00393E1E">
        <w:rPr>
          <w:i/>
          <w:lang w:val="fr-CA"/>
        </w:rPr>
        <w:t>Charte</w:t>
      </w:r>
      <w:r w:rsidRPr="00393E1E">
        <w:rPr>
          <w:lang w:val="fr-CA"/>
        </w:rPr>
        <w:t>, sans égard à l’art.</w:t>
      </w:r>
      <w:r w:rsidR="00BA749E">
        <w:rPr>
          <w:lang w:val="fr-CA"/>
        </w:rPr>
        <w:t xml:space="preserve"> </w:t>
      </w:r>
      <w:r w:rsidRPr="00393E1E">
        <w:rPr>
          <w:lang w:val="fr-CA"/>
        </w:rPr>
        <w:t xml:space="preserve">17 de la </w:t>
      </w:r>
      <w:r w:rsidRPr="00393E1E">
        <w:rPr>
          <w:i/>
          <w:lang w:val="fr-CA"/>
        </w:rPr>
        <w:t>Loi sur les Cours fédérales</w:t>
      </w:r>
      <w:r w:rsidRPr="00393E1E">
        <w:rPr>
          <w:lang w:val="fr-CA"/>
        </w:rPr>
        <w:t>.</w:t>
      </w:r>
    </w:p>
    <w:p w:rsidR="00A24B24" w:rsidRPr="00393E1E" w:rsidRDefault="00A24B24" w:rsidP="009E3DCC">
      <w:pPr>
        <w:pStyle w:val="ReasonsNumbering-AltN"/>
        <w:rPr>
          <w:lang w:val="fr-CA"/>
        </w:rPr>
      </w:pPr>
      <w:r w:rsidRPr="00393E1E">
        <w:rPr>
          <w:lang w:val="fr-CA"/>
        </w:rPr>
        <w:t>De toute évidence, la Cour supérieure de justice est saisie de la question de savoir si les défendeurs de la Couronne peuvent invoquer le moyen de défense de pouvo</w:t>
      </w:r>
      <w:r w:rsidR="00BA749E">
        <w:rPr>
          <w:lang w:val="fr-CA"/>
        </w:rPr>
        <w:t>ir d’origine législative, c.-à-</w:t>
      </w:r>
      <w:r w:rsidRPr="00393E1E">
        <w:rPr>
          <w:lang w:val="fr-CA"/>
        </w:rPr>
        <w:t>d. plaider que les ordres d’isolement préventif ont été donnés en conformité avec la loi et que le traumatisme émotionnel et psychologique qu’aurait subi M.</w:t>
      </w:r>
      <w:r w:rsidR="00BA749E">
        <w:rPr>
          <w:lang w:val="fr-CA"/>
        </w:rPr>
        <w:t xml:space="preserve"> </w:t>
      </w:r>
      <w:proofErr w:type="spellStart"/>
      <w:r w:rsidRPr="00393E1E">
        <w:rPr>
          <w:lang w:val="fr-CA"/>
        </w:rPr>
        <w:t>McArthur</w:t>
      </w:r>
      <w:proofErr w:type="spellEnd"/>
      <w:r w:rsidRPr="00393E1E">
        <w:rPr>
          <w:lang w:val="fr-CA"/>
        </w:rPr>
        <w:t xml:space="preserve"> était un risque inévitable de sa détention légale en isolement cellulaire.  Le procureur général affirme que tel est le cas et que, par conséquent, le préjudice allégué n’ouvre pas droit à une action.  Cependant, soit dit en toute déférence, la Cour supérieure peut fort bien examiner la</w:t>
      </w:r>
      <w:r w:rsidR="00BA749E">
        <w:rPr>
          <w:lang w:val="fr-CA"/>
        </w:rPr>
        <w:t xml:space="preserve"> validité de la détention de M. </w:t>
      </w:r>
      <w:proofErr w:type="spellStart"/>
      <w:r w:rsidRPr="00393E1E">
        <w:rPr>
          <w:lang w:val="fr-CA"/>
        </w:rPr>
        <w:t>McArthur</w:t>
      </w:r>
      <w:proofErr w:type="spellEnd"/>
      <w:r w:rsidRPr="00393E1E">
        <w:rPr>
          <w:lang w:val="fr-CA"/>
        </w:rPr>
        <w:t xml:space="preserve"> dans le co</w:t>
      </w:r>
      <w:r w:rsidR="00BA749E">
        <w:rPr>
          <w:lang w:val="fr-CA"/>
        </w:rPr>
        <w:t>ntexte d’une action en dommages-</w:t>
      </w:r>
      <w:r w:rsidRPr="00393E1E">
        <w:rPr>
          <w:lang w:val="fr-CA"/>
        </w:rPr>
        <w:t xml:space="preserve">intérêts, ainsi </w:t>
      </w:r>
      <w:r w:rsidRPr="00393E1E">
        <w:rPr>
          <w:lang w:val="fr-CA"/>
        </w:rPr>
        <w:lastRenderedPageBreak/>
        <w:t xml:space="preserve">que les répercussions, le cas échéant, d’un ordre </w:t>
      </w:r>
      <w:r w:rsidRPr="00393E1E">
        <w:rPr>
          <w:i/>
          <w:lang w:val="fr-CA"/>
        </w:rPr>
        <w:t xml:space="preserve">valide </w:t>
      </w:r>
      <w:r w:rsidRPr="00393E1E">
        <w:rPr>
          <w:lang w:val="fr-CA"/>
        </w:rPr>
        <w:t>sur la responsabilité de la Couronne.</w:t>
      </w:r>
    </w:p>
    <w:p w:rsidR="00A24B24" w:rsidRPr="00BA749E" w:rsidRDefault="00A24B24" w:rsidP="009E3DCC">
      <w:pPr>
        <w:pStyle w:val="ReasonsNumbering-AltN"/>
        <w:rPr>
          <w:lang w:val="fr-CA"/>
        </w:rPr>
      </w:pPr>
      <w:r w:rsidRPr="00393E1E">
        <w:rPr>
          <w:lang w:val="fr-CA"/>
        </w:rPr>
        <w:t>L’acti</w:t>
      </w:r>
      <w:r w:rsidR="00BA749E">
        <w:rPr>
          <w:lang w:val="fr-CA"/>
        </w:rPr>
        <w:t>on en dommages-</w:t>
      </w:r>
      <w:r w:rsidRPr="00393E1E">
        <w:rPr>
          <w:lang w:val="fr-CA"/>
        </w:rPr>
        <w:t>intérêts de M.</w:t>
      </w:r>
      <w:r w:rsidR="00BA749E">
        <w:rPr>
          <w:lang w:val="fr-CA"/>
        </w:rPr>
        <w:t xml:space="preserve"> </w:t>
      </w:r>
      <w:proofErr w:type="spellStart"/>
      <w:r w:rsidRPr="00393E1E">
        <w:rPr>
          <w:lang w:val="fr-CA"/>
        </w:rPr>
        <w:t>McArthur</w:t>
      </w:r>
      <w:proofErr w:type="spellEnd"/>
      <w:r w:rsidRPr="00393E1E">
        <w:rPr>
          <w:lang w:val="fr-CA"/>
        </w:rPr>
        <w:t xml:space="preserve"> pourrait, dans une certaine mesure, être qualifiée de « contestation indirecte » des ordres d’isolement, mais je ne crois pas qu’une telle « contestation » soit interdite par la </w:t>
      </w:r>
      <w:r w:rsidRPr="00393E1E">
        <w:rPr>
          <w:i/>
          <w:lang w:val="fr-CA"/>
        </w:rPr>
        <w:t xml:space="preserve">Loi sur les Cours fédérales. </w:t>
      </w:r>
      <w:r w:rsidRPr="00393E1E">
        <w:rPr>
          <w:lang w:val="fr-CA"/>
        </w:rPr>
        <w:t xml:space="preserve"> Les décisions du gouvernement sont au cœur de bon nombre, voire de la plupart, des demandes d’indemnisation présentées contre la Couronne pour un préjudice pécuniaire.  Pour les motifs exposés dans </w:t>
      </w:r>
      <w:proofErr w:type="spellStart"/>
      <w:r w:rsidRPr="00393E1E">
        <w:rPr>
          <w:i/>
          <w:lang w:val="fr-CA"/>
        </w:rPr>
        <w:t>TeleZone</w:t>
      </w:r>
      <w:proofErr w:type="spellEnd"/>
      <w:r w:rsidRPr="00393E1E">
        <w:rPr>
          <w:lang w:val="fr-CA"/>
        </w:rPr>
        <w:t>, j’estime que le principe de l’interdiction des contestations indirectes est inapplicable en l’espèce, vu l’attribution explicite aux cours supérieures provinciales de la compétence à l’égard des réclamations visant la Couronne, à l’art.</w:t>
      </w:r>
      <w:r w:rsidR="00BA749E">
        <w:rPr>
          <w:lang w:val="fr-CA"/>
        </w:rPr>
        <w:t xml:space="preserve"> </w:t>
      </w:r>
      <w:r w:rsidRPr="00393E1E">
        <w:rPr>
          <w:lang w:val="fr-CA"/>
        </w:rPr>
        <w:t xml:space="preserve">17 de la </w:t>
      </w:r>
      <w:r w:rsidRPr="00393E1E">
        <w:rPr>
          <w:i/>
          <w:lang w:val="fr-CA"/>
        </w:rPr>
        <w:t xml:space="preserve">Loi sur les Cours fédérales </w:t>
      </w:r>
      <w:r w:rsidR="00BA749E">
        <w:rPr>
          <w:lang w:val="fr-CA"/>
        </w:rPr>
        <w:t xml:space="preserve">et à l’art. </w:t>
      </w:r>
      <w:r w:rsidRPr="00393E1E">
        <w:rPr>
          <w:lang w:val="fr-CA"/>
        </w:rPr>
        <w:t xml:space="preserve">21 de la </w:t>
      </w:r>
      <w:r w:rsidRPr="00393E1E">
        <w:rPr>
          <w:i/>
          <w:lang w:val="fr-CA"/>
        </w:rPr>
        <w:t>Loi sur la responsabilité civile de l’État et le contentieux administratif</w:t>
      </w:r>
      <w:r w:rsidR="00BA749E">
        <w:rPr>
          <w:lang w:val="fr-CA"/>
        </w:rPr>
        <w:t xml:space="preserve">, L.R.C. 1985, ch. </w:t>
      </w:r>
      <w:r w:rsidR="00BA749E" w:rsidRPr="00BA749E">
        <w:rPr>
          <w:lang w:val="fr-CA"/>
        </w:rPr>
        <w:t>C-</w:t>
      </w:r>
      <w:r w:rsidRPr="00BA749E">
        <w:rPr>
          <w:lang w:val="fr-CA"/>
        </w:rPr>
        <w:t>50.</w:t>
      </w:r>
    </w:p>
    <w:p w:rsidR="00A24B24" w:rsidRPr="00393E1E" w:rsidRDefault="00A24B24" w:rsidP="009E3DCC">
      <w:pPr>
        <w:pStyle w:val="ReasonsNumbering-AltN"/>
        <w:rPr>
          <w:lang w:val="fr-CA"/>
        </w:rPr>
      </w:pPr>
      <w:r w:rsidRPr="00393E1E">
        <w:rPr>
          <w:lang w:val="fr-CA"/>
        </w:rPr>
        <w:t>La Cour supérieure a compétence pour</w:t>
      </w:r>
      <w:r w:rsidR="00BA749E">
        <w:rPr>
          <w:lang w:val="fr-CA"/>
        </w:rPr>
        <w:t xml:space="preserve"> instruire l’action en dommages-</w:t>
      </w:r>
      <w:r w:rsidRPr="00393E1E">
        <w:rPr>
          <w:lang w:val="fr-CA"/>
        </w:rPr>
        <w:t>intérêts de M.</w:t>
      </w:r>
      <w:r w:rsidR="00BA749E">
        <w:rPr>
          <w:lang w:val="fr-CA"/>
        </w:rPr>
        <w:t xml:space="preserve"> </w:t>
      </w:r>
      <w:proofErr w:type="spellStart"/>
      <w:r w:rsidRPr="00393E1E">
        <w:rPr>
          <w:lang w:val="fr-CA"/>
        </w:rPr>
        <w:t>McArthur</w:t>
      </w:r>
      <w:proofErr w:type="spellEnd"/>
      <w:r w:rsidRPr="00393E1E">
        <w:rPr>
          <w:lang w:val="fr-CA"/>
        </w:rPr>
        <w:t xml:space="preserve"> (sur les plans délictuel et constitutionnel) car elle possède une compétence « </w:t>
      </w:r>
      <w:proofErr w:type="spellStart"/>
      <w:r w:rsidRPr="00393E1E">
        <w:rPr>
          <w:i/>
          <w:lang w:val="fr-CA"/>
        </w:rPr>
        <w:t>ratione</w:t>
      </w:r>
      <w:proofErr w:type="spellEnd"/>
      <w:r w:rsidRPr="00393E1E">
        <w:rPr>
          <w:i/>
          <w:lang w:val="fr-CA"/>
        </w:rPr>
        <w:t xml:space="preserve"> personae </w:t>
      </w:r>
      <w:r w:rsidRPr="00393E1E">
        <w:rPr>
          <w:lang w:val="fr-CA"/>
        </w:rPr>
        <w:t xml:space="preserve">et </w:t>
      </w:r>
      <w:proofErr w:type="spellStart"/>
      <w:r w:rsidRPr="00393E1E">
        <w:rPr>
          <w:i/>
          <w:lang w:val="fr-CA"/>
        </w:rPr>
        <w:t>ratione</w:t>
      </w:r>
      <w:proofErr w:type="spellEnd"/>
      <w:r w:rsidRPr="00393E1E">
        <w:rPr>
          <w:i/>
          <w:lang w:val="fr-CA"/>
        </w:rPr>
        <w:t xml:space="preserve"> materiae</w:t>
      </w:r>
      <w:r w:rsidRPr="00393E1E">
        <w:rPr>
          <w:lang w:val="fr-CA"/>
        </w:rPr>
        <w:t xml:space="preserve"> [. . .] et [elle] détient en outre le pouvoir de rendre l’ordonnance sollicitée » : </w:t>
      </w:r>
      <w:r w:rsidRPr="00393E1E">
        <w:rPr>
          <w:i/>
          <w:lang w:val="fr-CA"/>
        </w:rPr>
        <w:t>Mills c.</w:t>
      </w:r>
      <w:r w:rsidR="00BA749E">
        <w:rPr>
          <w:i/>
          <w:lang w:val="fr-CA"/>
        </w:rPr>
        <w:t xml:space="preserve"> </w:t>
      </w:r>
      <w:r w:rsidRPr="00393E1E">
        <w:rPr>
          <w:i/>
          <w:lang w:val="fr-CA"/>
        </w:rPr>
        <w:t>La Reine</w:t>
      </w:r>
      <w:r w:rsidRPr="00393E1E">
        <w:rPr>
          <w:lang w:val="fr-CA"/>
        </w:rPr>
        <w:t>, [1986] 1 R</w:t>
      </w:r>
      <w:r w:rsidR="00BA749E">
        <w:rPr>
          <w:lang w:val="fr-CA"/>
        </w:rPr>
        <w:t xml:space="preserve">.C.S. 863, le juge McIntyre, p. </w:t>
      </w:r>
      <w:r w:rsidRPr="00393E1E">
        <w:rPr>
          <w:lang w:val="fr-CA"/>
        </w:rPr>
        <w:t>960, citant le juge Brook</w:t>
      </w:r>
      <w:r w:rsidR="00BA749E">
        <w:rPr>
          <w:lang w:val="fr-CA"/>
        </w:rPr>
        <w:t>e</w:t>
      </w:r>
      <w:r w:rsidRPr="00393E1E">
        <w:rPr>
          <w:lang w:val="fr-CA"/>
        </w:rPr>
        <w:t xml:space="preserve"> de la </w:t>
      </w:r>
      <w:r w:rsidR="009722A9">
        <w:rPr>
          <w:lang w:val="fr-CA"/>
        </w:rPr>
        <w:t>C</w:t>
      </w:r>
      <w:r w:rsidRPr="00393E1E">
        <w:rPr>
          <w:lang w:val="fr-CA"/>
        </w:rPr>
        <w:t xml:space="preserve">our d’appel dans </w:t>
      </w:r>
      <w:r w:rsidRPr="00393E1E">
        <w:rPr>
          <w:i/>
          <w:lang w:val="fr-CA"/>
        </w:rPr>
        <w:t>R. c.</w:t>
      </w:r>
      <w:r w:rsidR="00BA749E">
        <w:rPr>
          <w:i/>
          <w:lang w:val="fr-CA"/>
        </w:rPr>
        <w:t xml:space="preserve"> </w:t>
      </w:r>
      <w:r w:rsidRPr="00393E1E">
        <w:rPr>
          <w:i/>
          <w:lang w:val="fr-CA"/>
        </w:rPr>
        <w:t>Morgentaler</w:t>
      </w:r>
      <w:r w:rsidRPr="00393E1E">
        <w:rPr>
          <w:lang w:val="fr-CA"/>
        </w:rPr>
        <w:t xml:space="preserve"> (1984), 41 </w:t>
      </w:r>
      <w:r w:rsidR="00BA749E">
        <w:rPr>
          <w:lang w:val="fr-CA"/>
        </w:rPr>
        <w:t xml:space="preserve">C.R. (3d) 262, p. </w:t>
      </w:r>
      <w:r w:rsidRPr="00393E1E">
        <w:rPr>
          <w:lang w:val="fr-CA"/>
        </w:rPr>
        <w:t>271, et le juge Lamer</w:t>
      </w:r>
      <w:r w:rsidR="00BA749E">
        <w:rPr>
          <w:lang w:val="fr-CA"/>
        </w:rPr>
        <w:t xml:space="preserve"> (plus tard Juge en chef), p. </w:t>
      </w:r>
      <w:r w:rsidRPr="00393E1E">
        <w:rPr>
          <w:lang w:val="fr-CA"/>
        </w:rPr>
        <w:t xml:space="preserve">890.  Voir aussi </w:t>
      </w:r>
      <w:r w:rsidR="00BA749E">
        <w:rPr>
          <w:i/>
          <w:lang w:val="fr-CA"/>
        </w:rPr>
        <w:t xml:space="preserve">R. c. </w:t>
      </w:r>
      <w:proofErr w:type="spellStart"/>
      <w:r w:rsidRPr="00393E1E">
        <w:rPr>
          <w:i/>
          <w:lang w:val="fr-CA"/>
        </w:rPr>
        <w:t>Rahey</w:t>
      </w:r>
      <w:proofErr w:type="spellEnd"/>
      <w:r w:rsidR="00BA749E">
        <w:rPr>
          <w:lang w:val="fr-CA"/>
        </w:rPr>
        <w:t xml:space="preserve">, [1987] 1 R.C.S. 588, p. </w:t>
      </w:r>
      <w:r w:rsidRPr="00393E1E">
        <w:rPr>
          <w:lang w:val="fr-CA"/>
        </w:rPr>
        <w:t xml:space="preserve">603; </w:t>
      </w:r>
      <w:r w:rsidR="00BA749E">
        <w:rPr>
          <w:i/>
          <w:lang w:val="fr-CA"/>
        </w:rPr>
        <w:t xml:space="preserve">R. c. </w:t>
      </w:r>
      <w:r w:rsidRPr="00393E1E">
        <w:rPr>
          <w:i/>
          <w:lang w:val="fr-CA"/>
        </w:rPr>
        <w:t>974649 Ontario Inc.</w:t>
      </w:r>
      <w:r w:rsidR="00BA749E">
        <w:rPr>
          <w:lang w:val="fr-CA"/>
        </w:rPr>
        <w:t xml:space="preserve">, 2001 </w:t>
      </w:r>
      <w:r w:rsidRPr="00393E1E">
        <w:rPr>
          <w:lang w:val="fr-CA"/>
        </w:rPr>
        <w:t>CS</w:t>
      </w:r>
      <w:r w:rsidR="00BA749E">
        <w:rPr>
          <w:lang w:val="fr-CA"/>
        </w:rPr>
        <w:t xml:space="preserve">C 81, [2001] 3 R.C.S. 575, par. </w:t>
      </w:r>
      <w:r w:rsidRPr="00393E1E">
        <w:rPr>
          <w:lang w:val="fr-CA"/>
        </w:rPr>
        <w:t xml:space="preserve">15; </w:t>
      </w:r>
      <w:r w:rsidR="00BA749E">
        <w:rPr>
          <w:i/>
          <w:lang w:val="fr-CA"/>
        </w:rPr>
        <w:t xml:space="preserve">R. c. </w:t>
      </w:r>
      <w:proofErr w:type="spellStart"/>
      <w:r w:rsidRPr="00393E1E">
        <w:rPr>
          <w:i/>
          <w:lang w:val="fr-CA"/>
        </w:rPr>
        <w:t>Conway</w:t>
      </w:r>
      <w:proofErr w:type="spellEnd"/>
      <w:r w:rsidRPr="00393E1E">
        <w:rPr>
          <w:lang w:val="fr-CA"/>
        </w:rPr>
        <w:t xml:space="preserve">, 2010 CSC </w:t>
      </w:r>
      <w:r w:rsidRPr="00393E1E">
        <w:rPr>
          <w:lang w:val="fr-CA"/>
        </w:rPr>
        <w:lastRenderedPageBreak/>
        <w:t xml:space="preserve">22, </w:t>
      </w:r>
      <w:r w:rsidR="00BA749E">
        <w:rPr>
          <w:lang w:val="fr-FR"/>
        </w:rPr>
        <w:t xml:space="preserve">[2010] 1 R.C.S. </w:t>
      </w:r>
      <w:r w:rsidRPr="004A50A1">
        <w:rPr>
          <w:lang w:val="fr-FR"/>
        </w:rPr>
        <w:t>765</w:t>
      </w:r>
      <w:r w:rsidRPr="00393E1E">
        <w:rPr>
          <w:lang w:val="fr-CA"/>
        </w:rPr>
        <w:t xml:space="preserve">.  Aucune disposition de la </w:t>
      </w:r>
      <w:r w:rsidRPr="00393E1E">
        <w:rPr>
          <w:i/>
          <w:lang w:val="fr-CA"/>
        </w:rPr>
        <w:t xml:space="preserve">Loi sur les Cours fédérales </w:t>
      </w:r>
      <w:r w:rsidRPr="00393E1E">
        <w:rPr>
          <w:lang w:val="fr-CA"/>
        </w:rPr>
        <w:t>ne prévoit que la Cour fédérale a compétence exclusive pour se prononcer sur la légalité ou la validité de la décision d’un « off</w:t>
      </w:r>
      <w:r w:rsidR="00BA749E">
        <w:rPr>
          <w:lang w:val="fr-CA"/>
        </w:rPr>
        <w:t xml:space="preserve">ice fédéral » dans un cas où M. </w:t>
      </w:r>
      <w:proofErr w:type="spellStart"/>
      <w:r w:rsidRPr="00393E1E">
        <w:rPr>
          <w:lang w:val="fr-CA"/>
        </w:rPr>
        <w:t>McArthur</w:t>
      </w:r>
      <w:proofErr w:type="spellEnd"/>
      <w:r w:rsidRPr="00393E1E">
        <w:rPr>
          <w:lang w:val="fr-CA"/>
        </w:rPr>
        <w:t xml:space="preserve"> ne sollicite aucune des</w:t>
      </w:r>
      <w:r w:rsidR="00BA749E">
        <w:rPr>
          <w:lang w:val="fr-CA"/>
        </w:rPr>
        <w:t xml:space="preserve"> réparations énumérées à l’art. </w:t>
      </w:r>
      <w:r w:rsidRPr="00393E1E">
        <w:rPr>
          <w:lang w:val="fr-CA"/>
        </w:rPr>
        <w:t xml:space="preserve">18 de la </w:t>
      </w:r>
      <w:r w:rsidRPr="00393E1E">
        <w:rPr>
          <w:i/>
          <w:lang w:val="fr-CA"/>
        </w:rPr>
        <w:t>Loi sur les Cours fédérales</w:t>
      </w:r>
      <w:r w:rsidRPr="00393E1E">
        <w:rPr>
          <w:lang w:val="fr-CA"/>
        </w:rPr>
        <w:t xml:space="preserve"> et où les ordres d’isolement dont il se plaint n’ont plus d’effet concret.  Ces ordres ne constituent maintenant qu’un élément d’une cause d’action de droit privé intentée contre la Couronne et un fonctionnaire fédéral.  Conclure le contraire minerait la compétence conférée expressément par la loi aux cours supérieures provinciales, et ce, pour des raisons formalistes qui ne sont ni impérieuses ni compatibles avec la promotion d’un accès direct, et sans frais inutiles, à la justice.</w:t>
      </w:r>
    </w:p>
    <w:p w:rsidR="00A24B24" w:rsidRPr="009F5622" w:rsidRDefault="009F5622" w:rsidP="009F5622">
      <w:pPr>
        <w:tabs>
          <w:tab w:val="left" w:pos="540"/>
        </w:tabs>
        <w:spacing w:after="720"/>
        <w:rPr>
          <w:lang w:val="fr-CA"/>
        </w:rPr>
      </w:pPr>
      <w:r w:rsidRPr="009F5622">
        <w:rPr>
          <w:lang w:val="fr-CA"/>
        </w:rPr>
        <w:t>V.</w:t>
      </w:r>
      <w:r w:rsidRPr="009F5622">
        <w:rPr>
          <w:lang w:val="fr-CA"/>
        </w:rPr>
        <w:tab/>
      </w:r>
      <w:r w:rsidR="00A24B24" w:rsidRPr="009F5622">
        <w:rPr>
          <w:u w:val="single"/>
          <w:lang w:val="fr-CA"/>
        </w:rPr>
        <w:t>Conclusion</w:t>
      </w:r>
    </w:p>
    <w:p w:rsidR="00A24B24" w:rsidRPr="00BA5A90" w:rsidRDefault="00A24B24" w:rsidP="009E3DCC">
      <w:pPr>
        <w:pStyle w:val="ReasonsNumbering-AltN"/>
        <w:rPr>
          <w:lang w:val="fr-CA"/>
        </w:rPr>
      </w:pPr>
      <w:r w:rsidRPr="00BA5A90">
        <w:rPr>
          <w:lang w:val="fr-CA"/>
        </w:rPr>
        <w:t>Je suis d’avis de rejeter le pourvoi avec dépens en faveur de M. </w:t>
      </w:r>
      <w:proofErr w:type="spellStart"/>
      <w:r w:rsidRPr="00BA5A90">
        <w:rPr>
          <w:lang w:val="fr-CA"/>
        </w:rPr>
        <w:t>McArthur</w:t>
      </w:r>
      <w:proofErr w:type="spellEnd"/>
      <w:r w:rsidRPr="00BA5A90">
        <w:rPr>
          <w:lang w:val="fr-CA"/>
        </w:rPr>
        <w:t xml:space="preserve"> devant toutes les cours et de déclarer que la Cour supérieure a compétence pour instruire sa demande.</w:t>
      </w:r>
    </w:p>
    <w:p w:rsidR="006355C2" w:rsidRPr="00393E1E" w:rsidRDefault="0033393C" w:rsidP="00E128D4">
      <w:pPr>
        <w:pStyle w:val="SCCNormalDoubleSpacing"/>
        <w:tabs>
          <w:tab w:val="left" w:pos="1170"/>
        </w:tabs>
        <w:rPr>
          <w:i/>
          <w:lang w:val="fr-CA"/>
        </w:rPr>
      </w:pPr>
      <w:r w:rsidRPr="00BA5A90">
        <w:rPr>
          <w:lang w:val="fr-CA"/>
        </w:rPr>
        <w:tab/>
      </w:r>
      <w:r w:rsidR="00A72E13" w:rsidRPr="00393E1E">
        <w:rPr>
          <w:i/>
          <w:lang w:val="fr-CA"/>
        </w:rPr>
        <w:t>Pourvoi re</w:t>
      </w:r>
      <w:r w:rsidR="00A841D1" w:rsidRPr="00393E1E">
        <w:rPr>
          <w:i/>
          <w:lang w:val="fr-CA"/>
        </w:rPr>
        <w:t>jeté</w:t>
      </w:r>
      <w:r w:rsidR="00EE09B6" w:rsidRPr="00393E1E">
        <w:rPr>
          <w:i/>
          <w:lang w:val="fr-CA"/>
        </w:rPr>
        <w:t xml:space="preserve"> avec dépens</w:t>
      </w:r>
      <w:r w:rsidR="00A72E13" w:rsidRPr="00393E1E">
        <w:rPr>
          <w:i/>
          <w:lang w:val="fr-CA"/>
        </w:rPr>
        <w:t xml:space="preserve">. </w:t>
      </w:r>
    </w:p>
    <w:p w:rsidR="006355C2" w:rsidRPr="00393E1E" w:rsidRDefault="006355C2" w:rsidP="00E128D4">
      <w:pPr>
        <w:pStyle w:val="SCCNormalDoubleSpacing"/>
        <w:tabs>
          <w:tab w:val="left" w:pos="1170"/>
        </w:tabs>
        <w:rPr>
          <w:lang w:val="fr-CA"/>
        </w:rPr>
      </w:pPr>
    </w:p>
    <w:p w:rsidR="006355C2" w:rsidRPr="00393E1E" w:rsidRDefault="006355C2" w:rsidP="00E128D4">
      <w:pPr>
        <w:pStyle w:val="SCCLawFirm"/>
        <w:tabs>
          <w:tab w:val="left" w:pos="1170"/>
        </w:tabs>
        <w:rPr>
          <w:lang w:val="fr-CA"/>
        </w:rPr>
      </w:pPr>
      <w:r w:rsidRPr="00393E1E">
        <w:rPr>
          <w:lang w:val="fr-CA"/>
        </w:rPr>
        <w:tab/>
        <w:t xml:space="preserve">Procureur des </w:t>
      </w:r>
      <w:r w:rsidR="00E128D4" w:rsidRPr="00393E1E">
        <w:rPr>
          <w:lang w:val="fr-CA"/>
        </w:rPr>
        <w:t>appelants : </w:t>
      </w:r>
      <w:r w:rsidR="009722A9">
        <w:rPr>
          <w:lang w:val="fr-CA"/>
        </w:rPr>
        <w:t>P</w:t>
      </w:r>
      <w:r w:rsidRPr="00393E1E">
        <w:rPr>
          <w:lang w:val="fr-CA"/>
        </w:rPr>
        <w:t>rocureur</w:t>
      </w:r>
      <w:r w:rsidR="005B379B" w:rsidRPr="00393E1E">
        <w:rPr>
          <w:lang w:val="fr-CA"/>
        </w:rPr>
        <w:t xml:space="preserve"> géné</w:t>
      </w:r>
      <w:r w:rsidRPr="00393E1E">
        <w:rPr>
          <w:lang w:val="fr-CA"/>
        </w:rPr>
        <w:t>ral du Canada, Ottawa.</w:t>
      </w:r>
    </w:p>
    <w:p w:rsidR="006355C2" w:rsidRPr="00393E1E" w:rsidRDefault="006355C2" w:rsidP="00E128D4">
      <w:pPr>
        <w:pStyle w:val="SCCLawFirm"/>
        <w:tabs>
          <w:tab w:val="left" w:pos="1170"/>
        </w:tabs>
        <w:rPr>
          <w:lang w:val="fr-CA"/>
        </w:rPr>
      </w:pPr>
    </w:p>
    <w:p w:rsidR="006355C2" w:rsidRPr="00393E1E" w:rsidRDefault="006355C2" w:rsidP="00E128D4">
      <w:pPr>
        <w:pStyle w:val="SCCLawFirm"/>
        <w:tabs>
          <w:tab w:val="left" w:pos="1170"/>
        </w:tabs>
        <w:rPr>
          <w:lang w:val="fr-CA"/>
        </w:rPr>
      </w:pPr>
      <w:r w:rsidRPr="00393E1E">
        <w:rPr>
          <w:lang w:val="fr-CA"/>
        </w:rPr>
        <w:tab/>
        <w:t>Procureurs de l</w:t>
      </w:r>
      <w:r w:rsidR="00924DE1" w:rsidRPr="00393E1E">
        <w:rPr>
          <w:lang w:val="fr-CA"/>
        </w:rPr>
        <w:t>’</w:t>
      </w:r>
      <w:r w:rsidR="00E128D4" w:rsidRPr="00393E1E">
        <w:rPr>
          <w:lang w:val="fr-CA"/>
        </w:rPr>
        <w:t>intimé : </w:t>
      </w:r>
      <w:proofErr w:type="spellStart"/>
      <w:r w:rsidRPr="00393E1E">
        <w:rPr>
          <w:lang w:val="fr-CA"/>
        </w:rPr>
        <w:t>Ryder</w:t>
      </w:r>
      <w:proofErr w:type="spellEnd"/>
      <w:r w:rsidR="00BA749E">
        <w:rPr>
          <w:lang w:val="fr-CA"/>
        </w:rPr>
        <w:t>-</w:t>
      </w:r>
      <w:proofErr w:type="spellStart"/>
      <w:r w:rsidRPr="00393E1E">
        <w:rPr>
          <w:lang w:val="fr-CA"/>
        </w:rPr>
        <w:t>Burbidge</w:t>
      </w:r>
      <w:proofErr w:type="spellEnd"/>
      <w:r w:rsidRPr="00393E1E">
        <w:rPr>
          <w:lang w:val="fr-CA"/>
        </w:rPr>
        <w:t xml:space="preserve"> Hurley </w:t>
      </w:r>
      <w:proofErr w:type="spellStart"/>
      <w:r w:rsidRPr="00393E1E">
        <w:rPr>
          <w:lang w:val="fr-CA"/>
        </w:rPr>
        <w:t>Fasano</w:t>
      </w:r>
      <w:proofErr w:type="spellEnd"/>
      <w:r w:rsidRPr="00393E1E">
        <w:rPr>
          <w:lang w:val="fr-CA"/>
        </w:rPr>
        <w:t>, Kingston.</w:t>
      </w:r>
    </w:p>
    <w:p w:rsidR="006355C2" w:rsidRPr="00393E1E" w:rsidRDefault="006355C2" w:rsidP="00E128D4">
      <w:pPr>
        <w:pStyle w:val="SCCLawFirm"/>
        <w:tabs>
          <w:tab w:val="left" w:pos="1170"/>
        </w:tabs>
        <w:rPr>
          <w:lang w:val="fr-CA"/>
        </w:rPr>
      </w:pPr>
    </w:p>
    <w:p w:rsidR="006355C2" w:rsidRPr="00393E1E" w:rsidRDefault="006355C2" w:rsidP="00E128D4">
      <w:pPr>
        <w:pStyle w:val="SCCLawFirm"/>
        <w:tabs>
          <w:tab w:val="left" w:pos="1170"/>
        </w:tabs>
        <w:rPr>
          <w:lang w:val="fr-CA"/>
        </w:rPr>
      </w:pPr>
      <w:r w:rsidRPr="00393E1E">
        <w:rPr>
          <w:lang w:val="fr-CA"/>
        </w:rPr>
        <w:lastRenderedPageBreak/>
        <w:tab/>
        <w:t>Procureur de l</w:t>
      </w:r>
      <w:r w:rsidR="00924DE1" w:rsidRPr="00393E1E">
        <w:rPr>
          <w:lang w:val="fr-CA"/>
        </w:rPr>
        <w:t>’</w:t>
      </w:r>
      <w:r w:rsidR="00AE4B88" w:rsidRPr="00393E1E">
        <w:rPr>
          <w:lang w:val="fr-CA"/>
        </w:rPr>
        <w:t>intervenant le p</w:t>
      </w:r>
      <w:r w:rsidRPr="00393E1E">
        <w:rPr>
          <w:lang w:val="fr-CA"/>
        </w:rPr>
        <w:t>rocureur général de la Colombie</w:t>
      </w:r>
      <w:r w:rsidR="00BA749E">
        <w:rPr>
          <w:lang w:val="fr-CA"/>
        </w:rPr>
        <w:t>-</w:t>
      </w:r>
      <w:r w:rsidRPr="00393E1E">
        <w:rPr>
          <w:lang w:val="fr-CA"/>
        </w:rPr>
        <w:t>Britannique :</w:t>
      </w:r>
      <w:r w:rsidR="00E128D4" w:rsidRPr="00393E1E">
        <w:rPr>
          <w:lang w:val="fr-CA"/>
        </w:rPr>
        <w:t> </w:t>
      </w:r>
      <w:r w:rsidRPr="00393E1E">
        <w:rPr>
          <w:lang w:val="fr-CA"/>
        </w:rPr>
        <w:t>Procureur général de la Colombie</w:t>
      </w:r>
      <w:r w:rsidR="00BA749E">
        <w:rPr>
          <w:lang w:val="fr-CA"/>
        </w:rPr>
        <w:t>-</w:t>
      </w:r>
      <w:r w:rsidRPr="00393E1E">
        <w:rPr>
          <w:lang w:val="fr-CA"/>
        </w:rPr>
        <w:t>Britannique, Vancouver.</w:t>
      </w:r>
    </w:p>
    <w:p w:rsidR="006355C2" w:rsidRPr="00393E1E" w:rsidRDefault="006355C2" w:rsidP="00E128D4">
      <w:pPr>
        <w:pStyle w:val="SCCLawFirm"/>
        <w:tabs>
          <w:tab w:val="left" w:pos="1170"/>
        </w:tabs>
        <w:rPr>
          <w:lang w:val="fr-CA"/>
        </w:rPr>
      </w:pPr>
    </w:p>
    <w:p w:rsidR="006355C2" w:rsidRPr="00393E1E" w:rsidRDefault="006355C2" w:rsidP="00E128D4">
      <w:pPr>
        <w:pStyle w:val="SCCLawFirm"/>
        <w:tabs>
          <w:tab w:val="left" w:pos="1170"/>
        </w:tabs>
        <w:rPr>
          <w:lang w:val="fr-CA"/>
        </w:rPr>
      </w:pPr>
      <w:r w:rsidRPr="00393E1E">
        <w:rPr>
          <w:lang w:val="fr-CA"/>
        </w:rPr>
        <w:tab/>
        <w:t xml:space="preserve">Procureurs des intervenants Roland </w:t>
      </w:r>
      <w:proofErr w:type="spellStart"/>
      <w:r w:rsidRPr="00393E1E">
        <w:rPr>
          <w:lang w:val="fr-CA"/>
        </w:rPr>
        <w:t>Anglehart</w:t>
      </w:r>
      <w:proofErr w:type="spellEnd"/>
      <w:r w:rsidRPr="00393E1E">
        <w:rPr>
          <w:lang w:val="fr-CA"/>
        </w:rPr>
        <w:t xml:space="preserve"> </w:t>
      </w:r>
      <w:r w:rsidR="00A841D1" w:rsidRPr="00393E1E">
        <w:rPr>
          <w:lang w:val="fr-CA"/>
        </w:rPr>
        <w:t>père</w:t>
      </w:r>
      <w:r w:rsidR="00E128D4" w:rsidRPr="00393E1E">
        <w:rPr>
          <w:lang w:val="fr-CA"/>
        </w:rPr>
        <w:t xml:space="preserve"> et</w:t>
      </w:r>
      <w:r w:rsidR="009722A9">
        <w:rPr>
          <w:lang w:val="fr-CA"/>
        </w:rPr>
        <w:t xml:space="preserve"> autres</w:t>
      </w:r>
      <w:r w:rsidR="00E128D4" w:rsidRPr="00393E1E">
        <w:rPr>
          <w:lang w:val="fr-CA"/>
        </w:rPr>
        <w:t> : </w:t>
      </w:r>
      <w:proofErr w:type="spellStart"/>
      <w:r w:rsidRPr="00393E1E">
        <w:rPr>
          <w:lang w:val="fr-CA"/>
        </w:rPr>
        <w:t>Heenan</w:t>
      </w:r>
      <w:proofErr w:type="spellEnd"/>
      <w:r w:rsidRPr="00393E1E">
        <w:rPr>
          <w:lang w:val="fr-CA"/>
        </w:rPr>
        <w:t xml:space="preserve"> </w:t>
      </w:r>
      <w:proofErr w:type="spellStart"/>
      <w:r w:rsidRPr="00393E1E">
        <w:rPr>
          <w:lang w:val="fr-CA"/>
        </w:rPr>
        <w:t>Blaikie</w:t>
      </w:r>
      <w:proofErr w:type="spellEnd"/>
      <w:r w:rsidRPr="00393E1E">
        <w:rPr>
          <w:lang w:val="fr-CA"/>
        </w:rPr>
        <w:t>, Montréal.</w:t>
      </w:r>
    </w:p>
    <w:sectPr w:rsidR="006355C2" w:rsidRPr="00393E1E" w:rsidSect="009E3D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A5" w:rsidRDefault="00D77CA5">
      <w:r>
        <w:separator/>
      </w:r>
    </w:p>
  </w:endnote>
  <w:endnote w:type="continuationSeparator" w:id="0">
    <w:p w:rsidR="00D77CA5" w:rsidRDefault="00D77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5" w:rsidRDefault="00D77CA5">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5" w:rsidRDefault="00D77CA5">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BA" w:rsidRDefault="00722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A5" w:rsidRDefault="00D77CA5">
      <w:r>
        <w:separator/>
      </w:r>
    </w:p>
  </w:footnote>
  <w:footnote w:type="continuationSeparator" w:id="0">
    <w:p w:rsidR="00D77CA5" w:rsidRDefault="00D77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5" w:rsidRDefault="00D77CA5">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A5" w:rsidRDefault="00D77CA5">
    <w:pPr>
      <w:pStyle w:val="Header"/>
      <w:jc w:val="center"/>
    </w:pPr>
    <w:r>
      <w:t xml:space="preserve">- </w:t>
    </w:r>
    <w:sdt>
      <w:sdtPr>
        <w:id w:val="4489881"/>
        <w:docPartObj>
          <w:docPartGallery w:val="Page Numbers (Top of Page)"/>
          <w:docPartUnique/>
        </w:docPartObj>
      </w:sdtPr>
      <w:sdtContent>
        <w:fldSimple w:instr=" PAGE   \* MERGEFORMAT ">
          <w:r w:rsidR="00C2064D">
            <w:rPr>
              <w:noProof/>
            </w:rPr>
            <w:t>3</w:t>
          </w:r>
        </w:fldSimple>
        <w:r>
          <w:t xml:space="preserve"> -</w:t>
        </w:r>
      </w:sdtContent>
    </w:sdt>
  </w:p>
  <w:p w:rsidR="00D77CA5" w:rsidRDefault="00D77C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BA" w:rsidRDefault="00722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7B30ED9"/>
    <w:multiLevelType w:val="hybridMultilevel"/>
    <w:tmpl w:val="23F86478"/>
    <w:lvl w:ilvl="0" w:tplc="5E38DD08">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CFC421E"/>
    <w:multiLevelType w:val="hybridMultilevel"/>
    <w:tmpl w:val="E17E2C12"/>
    <w:lvl w:ilvl="0" w:tplc="1D989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84078FB"/>
    <w:multiLevelType w:val="hybridMultilevel"/>
    <w:tmpl w:val="65C82408"/>
    <w:lvl w:ilvl="0" w:tplc="D95C4A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447237"/>
    <w:multiLevelType w:val="hybridMultilevel"/>
    <w:tmpl w:val="10DC266E"/>
    <w:lvl w:ilvl="0" w:tplc="DA20A5BE">
      <w:start w:val="1"/>
      <w:numFmt w:val="lowerLetter"/>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A26517D"/>
    <w:multiLevelType w:val="hybridMultilevel"/>
    <w:tmpl w:val="98162B84"/>
    <w:lvl w:ilvl="0" w:tplc="0784D366">
      <w:start w:val="1"/>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C64FE2"/>
    <w:multiLevelType w:val="hybridMultilevel"/>
    <w:tmpl w:val="4CAE0484"/>
    <w:lvl w:ilvl="0" w:tplc="A0D22956">
      <w:start w:val="1"/>
      <w:numFmt w:val="decimal"/>
      <w:pStyle w:val="ReasonsNumbering-AltN"/>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1946BC4"/>
    <w:multiLevelType w:val="hybridMultilevel"/>
    <w:tmpl w:val="B7C202D4"/>
    <w:lvl w:ilvl="0" w:tplc="26EEEE90">
      <w:start w:val="1"/>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3471948"/>
    <w:multiLevelType w:val="hybridMultilevel"/>
    <w:tmpl w:val="52F4AA0A"/>
    <w:lvl w:ilvl="0" w:tplc="5516A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3E63E6"/>
    <w:multiLevelType w:val="hybridMultilevel"/>
    <w:tmpl w:val="5448A034"/>
    <w:lvl w:ilvl="0" w:tplc="D12C061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31937"/>
    <w:multiLevelType w:val="hybridMultilevel"/>
    <w:tmpl w:val="AAB221C8"/>
    <w:lvl w:ilvl="0" w:tplc="804699E8">
      <w:start w:val="1"/>
      <w:numFmt w:val="lowerLetter"/>
      <w:lvlText w:val="%1)"/>
      <w:lvlJc w:val="left"/>
      <w:pPr>
        <w:ind w:left="189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3FC624B"/>
    <w:multiLevelType w:val="hybridMultilevel"/>
    <w:tmpl w:val="04326ABC"/>
    <w:lvl w:ilvl="0" w:tplc="1CBE0F4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24"/>
  </w:num>
  <w:num w:numId="2">
    <w:abstractNumId w:val="14"/>
  </w:num>
  <w:num w:numId="3">
    <w:abstractNumId w:val="11"/>
  </w:num>
  <w:num w:numId="4">
    <w:abstractNumId w:val="18"/>
  </w:num>
  <w:num w:numId="5">
    <w:abstractNumId w:val="19"/>
  </w:num>
  <w:num w:numId="6">
    <w:abstractNumId w:val="2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6"/>
  </w:num>
  <w:num w:numId="36">
    <w:abstractNumId w:val="23"/>
  </w:num>
  <w:num w:numId="37">
    <w:abstractNumId w:val="21"/>
  </w:num>
  <w:num w:numId="38">
    <w:abstractNumId w:val="12"/>
  </w:num>
  <w:num w:numId="39">
    <w:abstractNumId w:val="10"/>
  </w:num>
  <w:num w:numId="40">
    <w:abstractNumId w:val="25"/>
  </w:num>
  <w:num w:numId="41">
    <w:abstractNumId w:val="13"/>
  </w:num>
  <w:num w:numId="42">
    <w:abstractNumId w:val="20"/>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rsids>
    <w:rsidRoot w:val="0031414C"/>
    <w:rsid w:val="00014806"/>
    <w:rsid w:val="00025198"/>
    <w:rsid w:val="000326E3"/>
    <w:rsid w:val="00042FF1"/>
    <w:rsid w:val="00055A36"/>
    <w:rsid w:val="000578A3"/>
    <w:rsid w:val="00062B64"/>
    <w:rsid w:val="00064563"/>
    <w:rsid w:val="000648CC"/>
    <w:rsid w:val="00067E77"/>
    <w:rsid w:val="00077FD2"/>
    <w:rsid w:val="00094DE0"/>
    <w:rsid w:val="00096374"/>
    <w:rsid w:val="000A1038"/>
    <w:rsid w:val="000A5321"/>
    <w:rsid w:val="000A7FAD"/>
    <w:rsid w:val="000C59B8"/>
    <w:rsid w:val="000E129B"/>
    <w:rsid w:val="00103A3B"/>
    <w:rsid w:val="00106D93"/>
    <w:rsid w:val="00111DE2"/>
    <w:rsid w:val="00116B38"/>
    <w:rsid w:val="0013109F"/>
    <w:rsid w:val="00135406"/>
    <w:rsid w:val="00135972"/>
    <w:rsid w:val="00140667"/>
    <w:rsid w:val="001426A9"/>
    <w:rsid w:val="0015222E"/>
    <w:rsid w:val="0015320E"/>
    <w:rsid w:val="00154D7C"/>
    <w:rsid w:val="001570B0"/>
    <w:rsid w:val="00172A04"/>
    <w:rsid w:val="00175A97"/>
    <w:rsid w:val="00180190"/>
    <w:rsid w:val="00185394"/>
    <w:rsid w:val="00187911"/>
    <w:rsid w:val="001A1976"/>
    <w:rsid w:val="001A451D"/>
    <w:rsid w:val="001A4AD0"/>
    <w:rsid w:val="001B33E0"/>
    <w:rsid w:val="001B4573"/>
    <w:rsid w:val="001C779F"/>
    <w:rsid w:val="001C7EB0"/>
    <w:rsid w:val="001D2AC1"/>
    <w:rsid w:val="001D4FED"/>
    <w:rsid w:val="001E0901"/>
    <w:rsid w:val="001E3A00"/>
    <w:rsid w:val="001E6F22"/>
    <w:rsid w:val="001F7673"/>
    <w:rsid w:val="00220FC2"/>
    <w:rsid w:val="00224FC0"/>
    <w:rsid w:val="00225EA4"/>
    <w:rsid w:val="00226EAF"/>
    <w:rsid w:val="00231F3A"/>
    <w:rsid w:val="002406EE"/>
    <w:rsid w:val="0025086F"/>
    <w:rsid w:val="00253390"/>
    <w:rsid w:val="002745CC"/>
    <w:rsid w:val="00292964"/>
    <w:rsid w:val="002B4F4C"/>
    <w:rsid w:val="002C04D1"/>
    <w:rsid w:val="002D39A4"/>
    <w:rsid w:val="002E6705"/>
    <w:rsid w:val="002F159F"/>
    <w:rsid w:val="002F696C"/>
    <w:rsid w:val="0030329A"/>
    <w:rsid w:val="0030601F"/>
    <w:rsid w:val="00307AFD"/>
    <w:rsid w:val="0031086F"/>
    <w:rsid w:val="00310E05"/>
    <w:rsid w:val="0031414C"/>
    <w:rsid w:val="00314E01"/>
    <w:rsid w:val="0032089D"/>
    <w:rsid w:val="003326AB"/>
    <w:rsid w:val="0033393C"/>
    <w:rsid w:val="00336095"/>
    <w:rsid w:val="00342BF5"/>
    <w:rsid w:val="0034770C"/>
    <w:rsid w:val="0035259D"/>
    <w:rsid w:val="0035377F"/>
    <w:rsid w:val="003734BB"/>
    <w:rsid w:val="003866EC"/>
    <w:rsid w:val="00393E1E"/>
    <w:rsid w:val="00394476"/>
    <w:rsid w:val="00397616"/>
    <w:rsid w:val="003A4C70"/>
    <w:rsid w:val="003A4E15"/>
    <w:rsid w:val="003A5B12"/>
    <w:rsid w:val="003A5D0C"/>
    <w:rsid w:val="003C799C"/>
    <w:rsid w:val="003D0C89"/>
    <w:rsid w:val="003E1C71"/>
    <w:rsid w:val="003E5F13"/>
    <w:rsid w:val="003F327B"/>
    <w:rsid w:val="004059A7"/>
    <w:rsid w:val="00406166"/>
    <w:rsid w:val="00411300"/>
    <w:rsid w:val="00426659"/>
    <w:rsid w:val="0043088E"/>
    <w:rsid w:val="00431D3C"/>
    <w:rsid w:val="00434B63"/>
    <w:rsid w:val="00442DE4"/>
    <w:rsid w:val="004439D8"/>
    <w:rsid w:val="00465132"/>
    <w:rsid w:val="004652E2"/>
    <w:rsid w:val="00480C90"/>
    <w:rsid w:val="0048396F"/>
    <w:rsid w:val="00493C18"/>
    <w:rsid w:val="00494CDC"/>
    <w:rsid w:val="004A600C"/>
    <w:rsid w:val="004C478D"/>
    <w:rsid w:val="004D59AC"/>
    <w:rsid w:val="004E6A2C"/>
    <w:rsid w:val="00505ACA"/>
    <w:rsid w:val="0051336F"/>
    <w:rsid w:val="00521AE8"/>
    <w:rsid w:val="00525AEF"/>
    <w:rsid w:val="00527180"/>
    <w:rsid w:val="00536719"/>
    <w:rsid w:val="005564A7"/>
    <w:rsid w:val="00565581"/>
    <w:rsid w:val="0057471F"/>
    <w:rsid w:val="0058360C"/>
    <w:rsid w:val="00583C07"/>
    <w:rsid w:val="00593064"/>
    <w:rsid w:val="00597ACC"/>
    <w:rsid w:val="005B379B"/>
    <w:rsid w:val="005E4698"/>
    <w:rsid w:val="0060329B"/>
    <w:rsid w:val="00625C35"/>
    <w:rsid w:val="00630B30"/>
    <w:rsid w:val="00634E1B"/>
    <w:rsid w:val="006355C2"/>
    <w:rsid w:val="00645057"/>
    <w:rsid w:val="0064763A"/>
    <w:rsid w:val="00654555"/>
    <w:rsid w:val="00654858"/>
    <w:rsid w:val="006565F4"/>
    <w:rsid w:val="00681AD1"/>
    <w:rsid w:val="006A56F1"/>
    <w:rsid w:val="006B3FB7"/>
    <w:rsid w:val="006B5FF5"/>
    <w:rsid w:val="006C5661"/>
    <w:rsid w:val="006D4790"/>
    <w:rsid w:val="00701759"/>
    <w:rsid w:val="00702C6F"/>
    <w:rsid w:val="007201FE"/>
    <w:rsid w:val="007222BA"/>
    <w:rsid w:val="0073383B"/>
    <w:rsid w:val="00747288"/>
    <w:rsid w:val="00747DD3"/>
    <w:rsid w:val="00752F4E"/>
    <w:rsid w:val="007549C8"/>
    <w:rsid w:val="00762D30"/>
    <w:rsid w:val="00763377"/>
    <w:rsid w:val="0076382B"/>
    <w:rsid w:val="00766D14"/>
    <w:rsid w:val="00767A0F"/>
    <w:rsid w:val="007834A8"/>
    <w:rsid w:val="007A05F6"/>
    <w:rsid w:val="007A355A"/>
    <w:rsid w:val="007B53A9"/>
    <w:rsid w:val="007B6F4A"/>
    <w:rsid w:val="007E1C47"/>
    <w:rsid w:val="007E337A"/>
    <w:rsid w:val="007E5C70"/>
    <w:rsid w:val="007F030A"/>
    <w:rsid w:val="007F2FF5"/>
    <w:rsid w:val="00817190"/>
    <w:rsid w:val="00830934"/>
    <w:rsid w:val="008322BD"/>
    <w:rsid w:val="00855307"/>
    <w:rsid w:val="00862CF3"/>
    <w:rsid w:val="00864CF8"/>
    <w:rsid w:val="00872BDF"/>
    <w:rsid w:val="00874914"/>
    <w:rsid w:val="008875A8"/>
    <w:rsid w:val="00892E1A"/>
    <w:rsid w:val="008958F5"/>
    <w:rsid w:val="008A3AE3"/>
    <w:rsid w:val="008A6558"/>
    <w:rsid w:val="008A727C"/>
    <w:rsid w:val="008B12FE"/>
    <w:rsid w:val="008C01DA"/>
    <w:rsid w:val="008F16D9"/>
    <w:rsid w:val="008F78E9"/>
    <w:rsid w:val="00902462"/>
    <w:rsid w:val="00906DC0"/>
    <w:rsid w:val="00915F38"/>
    <w:rsid w:val="00924DE1"/>
    <w:rsid w:val="009403F3"/>
    <w:rsid w:val="00941612"/>
    <w:rsid w:val="00957FA2"/>
    <w:rsid w:val="00966913"/>
    <w:rsid w:val="00967197"/>
    <w:rsid w:val="00967374"/>
    <w:rsid w:val="009722A9"/>
    <w:rsid w:val="0097543E"/>
    <w:rsid w:val="00983F3F"/>
    <w:rsid w:val="00985C69"/>
    <w:rsid w:val="00986E23"/>
    <w:rsid w:val="0099079B"/>
    <w:rsid w:val="009A2316"/>
    <w:rsid w:val="009B2F23"/>
    <w:rsid w:val="009B53E2"/>
    <w:rsid w:val="009B57B3"/>
    <w:rsid w:val="009D5AEB"/>
    <w:rsid w:val="009E3DCC"/>
    <w:rsid w:val="009F383F"/>
    <w:rsid w:val="009F5622"/>
    <w:rsid w:val="00A04D1A"/>
    <w:rsid w:val="00A05F0E"/>
    <w:rsid w:val="00A1260E"/>
    <w:rsid w:val="00A20D0D"/>
    <w:rsid w:val="00A21107"/>
    <w:rsid w:val="00A21B90"/>
    <w:rsid w:val="00A23C9F"/>
    <w:rsid w:val="00A24B24"/>
    <w:rsid w:val="00A24E15"/>
    <w:rsid w:val="00A24F17"/>
    <w:rsid w:val="00A368E1"/>
    <w:rsid w:val="00A36A95"/>
    <w:rsid w:val="00A548CB"/>
    <w:rsid w:val="00A6112A"/>
    <w:rsid w:val="00A6242E"/>
    <w:rsid w:val="00A643E7"/>
    <w:rsid w:val="00A72802"/>
    <w:rsid w:val="00A72E13"/>
    <w:rsid w:val="00A73C38"/>
    <w:rsid w:val="00A841D1"/>
    <w:rsid w:val="00AA56E5"/>
    <w:rsid w:val="00AC7437"/>
    <w:rsid w:val="00AC7A44"/>
    <w:rsid w:val="00AE4B88"/>
    <w:rsid w:val="00AF03C5"/>
    <w:rsid w:val="00AF6B31"/>
    <w:rsid w:val="00B000D8"/>
    <w:rsid w:val="00B00F75"/>
    <w:rsid w:val="00B134F3"/>
    <w:rsid w:val="00B145B6"/>
    <w:rsid w:val="00B50C81"/>
    <w:rsid w:val="00B53F9B"/>
    <w:rsid w:val="00B557F8"/>
    <w:rsid w:val="00B64972"/>
    <w:rsid w:val="00B66DD8"/>
    <w:rsid w:val="00B8145D"/>
    <w:rsid w:val="00B815FC"/>
    <w:rsid w:val="00B83991"/>
    <w:rsid w:val="00B93FBC"/>
    <w:rsid w:val="00BA5774"/>
    <w:rsid w:val="00BA5A90"/>
    <w:rsid w:val="00BA749E"/>
    <w:rsid w:val="00C02092"/>
    <w:rsid w:val="00C057F7"/>
    <w:rsid w:val="00C2064D"/>
    <w:rsid w:val="00C24C8C"/>
    <w:rsid w:val="00C24D91"/>
    <w:rsid w:val="00C33F5D"/>
    <w:rsid w:val="00C37605"/>
    <w:rsid w:val="00C52532"/>
    <w:rsid w:val="00C53F14"/>
    <w:rsid w:val="00C55C2E"/>
    <w:rsid w:val="00C600CF"/>
    <w:rsid w:val="00C6084F"/>
    <w:rsid w:val="00C62A66"/>
    <w:rsid w:val="00C62A6F"/>
    <w:rsid w:val="00C67CA5"/>
    <w:rsid w:val="00C71458"/>
    <w:rsid w:val="00C71F58"/>
    <w:rsid w:val="00C77613"/>
    <w:rsid w:val="00C8025C"/>
    <w:rsid w:val="00C828E7"/>
    <w:rsid w:val="00C921DD"/>
    <w:rsid w:val="00C92497"/>
    <w:rsid w:val="00CA4D82"/>
    <w:rsid w:val="00CA6391"/>
    <w:rsid w:val="00CA797F"/>
    <w:rsid w:val="00CC0053"/>
    <w:rsid w:val="00CC2F12"/>
    <w:rsid w:val="00CE3171"/>
    <w:rsid w:val="00CF1601"/>
    <w:rsid w:val="00D03DFE"/>
    <w:rsid w:val="00D32086"/>
    <w:rsid w:val="00D37A3F"/>
    <w:rsid w:val="00D45FCF"/>
    <w:rsid w:val="00D4667A"/>
    <w:rsid w:val="00D47745"/>
    <w:rsid w:val="00D510BB"/>
    <w:rsid w:val="00D5435D"/>
    <w:rsid w:val="00D74F2E"/>
    <w:rsid w:val="00D77CA5"/>
    <w:rsid w:val="00DA0590"/>
    <w:rsid w:val="00DA5EEF"/>
    <w:rsid w:val="00DC1788"/>
    <w:rsid w:val="00DE60A7"/>
    <w:rsid w:val="00DE71FC"/>
    <w:rsid w:val="00DF0CA8"/>
    <w:rsid w:val="00DF49A7"/>
    <w:rsid w:val="00E01106"/>
    <w:rsid w:val="00E07EE2"/>
    <w:rsid w:val="00E128D4"/>
    <w:rsid w:val="00E24573"/>
    <w:rsid w:val="00E377A1"/>
    <w:rsid w:val="00E45109"/>
    <w:rsid w:val="00E54B02"/>
    <w:rsid w:val="00E63AE2"/>
    <w:rsid w:val="00E97830"/>
    <w:rsid w:val="00EA03E5"/>
    <w:rsid w:val="00EE09B6"/>
    <w:rsid w:val="00EE0FAF"/>
    <w:rsid w:val="00EF4392"/>
    <w:rsid w:val="00F00EB7"/>
    <w:rsid w:val="00F03510"/>
    <w:rsid w:val="00F06C07"/>
    <w:rsid w:val="00F1718C"/>
    <w:rsid w:val="00F2258E"/>
    <w:rsid w:val="00F22764"/>
    <w:rsid w:val="00F22F86"/>
    <w:rsid w:val="00F33658"/>
    <w:rsid w:val="00F33FBD"/>
    <w:rsid w:val="00F34364"/>
    <w:rsid w:val="00F3607D"/>
    <w:rsid w:val="00F36AB6"/>
    <w:rsid w:val="00F409CE"/>
    <w:rsid w:val="00F52B36"/>
    <w:rsid w:val="00F767C5"/>
    <w:rsid w:val="00F84DF4"/>
    <w:rsid w:val="00F853FB"/>
    <w:rsid w:val="00F85C97"/>
    <w:rsid w:val="00F97B8A"/>
    <w:rsid w:val="00FA2FE1"/>
    <w:rsid w:val="00FA72BF"/>
    <w:rsid w:val="00FC606D"/>
    <w:rsid w:val="00FD068D"/>
    <w:rsid w:val="00FD4F28"/>
    <w:rsid w:val="00FD726E"/>
    <w:rsid w:val="00FE6784"/>
    <w:rsid w:val="00FF77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95"/>
    <w:rPr>
      <w:sz w:val="24"/>
    </w:rPr>
  </w:style>
  <w:style w:type="paragraph" w:styleId="Heading1">
    <w:name w:val="heading 1"/>
    <w:next w:val="ReasonsNumbering-AltN"/>
    <w:link w:val="Heading1Char"/>
    <w:uiPriority w:val="2"/>
    <w:qFormat/>
    <w:rsid w:val="00A36A95"/>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A36A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36A95"/>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A36A95"/>
    <w:rPr>
      <w:color w:val="808080"/>
    </w:rPr>
  </w:style>
  <w:style w:type="paragraph" w:styleId="BalloonText">
    <w:name w:val="Balloon Text"/>
    <w:basedOn w:val="Normal"/>
    <w:link w:val="BalloonTextChar"/>
    <w:uiPriority w:val="99"/>
    <w:semiHidden/>
    <w:unhideWhenUsed/>
    <w:rsid w:val="00A36A95"/>
    <w:rPr>
      <w:rFonts w:cs="Tahoma"/>
      <w:sz w:val="28"/>
      <w:szCs w:val="16"/>
    </w:rPr>
  </w:style>
  <w:style w:type="character" w:customStyle="1" w:styleId="BalloonTextChar">
    <w:name w:val="Balloon Text Char"/>
    <w:basedOn w:val="DefaultParagraphFont"/>
    <w:link w:val="BalloonText"/>
    <w:uiPriority w:val="99"/>
    <w:semiHidden/>
    <w:rsid w:val="00A36A95"/>
    <w:rPr>
      <w:rFonts w:cs="Tahoma"/>
      <w:sz w:val="28"/>
      <w:szCs w:val="16"/>
    </w:rPr>
  </w:style>
  <w:style w:type="paragraph" w:styleId="Header">
    <w:name w:val="header"/>
    <w:basedOn w:val="Normal"/>
    <w:link w:val="HeaderChar"/>
    <w:uiPriority w:val="99"/>
    <w:unhideWhenUsed/>
    <w:rsid w:val="00A36A95"/>
    <w:pPr>
      <w:tabs>
        <w:tab w:val="center" w:pos="4680"/>
        <w:tab w:val="right" w:pos="9360"/>
      </w:tabs>
    </w:pPr>
  </w:style>
  <w:style w:type="character" w:customStyle="1" w:styleId="HeaderChar">
    <w:name w:val="Header Char"/>
    <w:basedOn w:val="DefaultParagraphFont"/>
    <w:link w:val="Header"/>
    <w:uiPriority w:val="99"/>
    <w:rsid w:val="00A36A95"/>
    <w:rPr>
      <w:sz w:val="24"/>
    </w:rPr>
  </w:style>
  <w:style w:type="paragraph" w:styleId="Footer">
    <w:name w:val="footer"/>
    <w:basedOn w:val="Normal"/>
    <w:link w:val="FooterChar"/>
    <w:uiPriority w:val="99"/>
    <w:semiHidden/>
    <w:unhideWhenUsed/>
    <w:rsid w:val="00A36A95"/>
    <w:pPr>
      <w:tabs>
        <w:tab w:val="center" w:pos="4680"/>
        <w:tab w:val="right" w:pos="9360"/>
      </w:tabs>
    </w:pPr>
  </w:style>
  <w:style w:type="character" w:customStyle="1" w:styleId="FooterChar">
    <w:name w:val="Footer Char"/>
    <w:basedOn w:val="DefaultParagraphFont"/>
    <w:link w:val="Footer"/>
    <w:uiPriority w:val="99"/>
    <w:semiHidden/>
    <w:rsid w:val="00A36A95"/>
    <w:rPr>
      <w:sz w:val="24"/>
    </w:rPr>
  </w:style>
  <w:style w:type="paragraph" w:customStyle="1" w:styleId="SCCLsocParty">
    <w:name w:val="SCC.Lsoc.Party"/>
    <w:basedOn w:val="Normal"/>
    <w:next w:val="Normal"/>
    <w:link w:val="SCCLsocPartyChar"/>
    <w:rsid w:val="00A36A95"/>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A36A95"/>
    <w:rPr>
      <w:rFonts w:eastAsiaTheme="minorHAnsi" w:cstheme="minorBidi"/>
      <w:sz w:val="24"/>
      <w:szCs w:val="22"/>
      <w:lang w:eastAsia="en-US"/>
    </w:rPr>
  </w:style>
  <w:style w:type="paragraph" w:customStyle="1" w:styleId="SCCLsocVersus">
    <w:name w:val="SCC.Lsoc.Versus"/>
    <w:basedOn w:val="Normal"/>
    <w:next w:val="Normal"/>
    <w:link w:val="SCCLsocVersusChar"/>
    <w:rsid w:val="00A36A95"/>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A36A95"/>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A36A95"/>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A36A95"/>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A36A95"/>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A36A95"/>
    <w:rPr>
      <w:rFonts w:eastAsiaTheme="minorHAnsi" w:cstheme="minorBidi"/>
      <w:sz w:val="24"/>
      <w:szCs w:val="22"/>
      <w:lang w:eastAsia="en-US"/>
    </w:rPr>
  </w:style>
  <w:style w:type="character" w:customStyle="1" w:styleId="Heading1Char">
    <w:name w:val="Heading 1 Char"/>
    <w:basedOn w:val="DefaultParagraphFont"/>
    <w:link w:val="Heading1"/>
    <w:uiPriority w:val="2"/>
    <w:rsid w:val="00A36A95"/>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A36A95"/>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A24B24"/>
    <w:pPr>
      <w:ind w:left="720"/>
    </w:pPr>
  </w:style>
  <w:style w:type="paragraph" w:styleId="NoSpacing">
    <w:name w:val="No Spacing"/>
    <w:uiPriority w:val="1"/>
    <w:rsid w:val="00A24B24"/>
    <w:rPr>
      <w:sz w:val="24"/>
    </w:rPr>
  </w:style>
  <w:style w:type="paragraph" w:customStyle="1" w:styleId="SCCLsocOtherPartyRoleSeparator">
    <w:name w:val="SCC.Lsoc.OtherPartyRoleSeparator"/>
    <w:basedOn w:val="Normal"/>
    <w:next w:val="Normal"/>
    <w:link w:val="SCCLsocOtherPartyRoleSeparatorChar"/>
    <w:rsid w:val="00A36A95"/>
    <w:pPr>
      <w:spacing w:after="480"/>
    </w:pPr>
    <w:rPr>
      <w:rFonts w:eastAsiaTheme="minorHAnsi" w:cstheme="minorBidi"/>
      <w:szCs w:val="22"/>
      <w:lang w:eastAsia="en-US"/>
    </w:rPr>
  </w:style>
  <w:style w:type="paragraph" w:customStyle="1" w:styleId="SCCCoram">
    <w:name w:val="SCC.Coram"/>
    <w:basedOn w:val="Normal"/>
    <w:next w:val="Normal"/>
    <w:link w:val="SCCCoramChar"/>
    <w:rsid w:val="00A36A9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36A9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36A95"/>
    <w:rPr>
      <w:rFonts w:eastAsiaTheme="minorHAnsi" w:cstheme="minorBidi"/>
      <w:sz w:val="24"/>
      <w:szCs w:val="22"/>
      <w:lang w:eastAsia="en-US"/>
    </w:rPr>
  </w:style>
  <w:style w:type="character" w:customStyle="1" w:styleId="SCCBanSummaryChar">
    <w:name w:val="SCC.BanSummary Char"/>
    <w:basedOn w:val="DefaultParagraphFont"/>
    <w:link w:val="SCCBanSummary"/>
    <w:rsid w:val="00A36A95"/>
    <w:rPr>
      <w:rFonts w:eastAsiaTheme="minorEastAsia"/>
      <w:b/>
      <w:sz w:val="24"/>
      <w:szCs w:val="24"/>
    </w:rPr>
  </w:style>
  <w:style w:type="table" w:styleId="TableGrid">
    <w:name w:val="Table Grid"/>
    <w:basedOn w:val="TableNormal"/>
    <w:uiPriority w:val="59"/>
    <w:rsid w:val="00A36A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A24B24"/>
    <w:pPr>
      <w:spacing w:after="720"/>
      <w:ind w:left="1166"/>
      <w:contextualSpacing/>
      <w:jc w:val="both"/>
    </w:pPr>
  </w:style>
  <w:style w:type="paragraph" w:customStyle="1" w:styleId="ContinueReasonsNo-AltP">
    <w:name w:val="Continue Reasons No # - Alt P"/>
    <w:next w:val="ReasonsNumbering-AltN"/>
    <w:uiPriority w:val="1"/>
    <w:qFormat/>
    <w:rsid w:val="00A36A95"/>
    <w:pPr>
      <w:spacing w:before="480" w:after="480" w:line="480" w:lineRule="auto"/>
    </w:pPr>
    <w:rPr>
      <w:rFonts w:eastAsiaTheme="minorHAnsi" w:cstheme="minorBidi"/>
      <w:sz w:val="24"/>
      <w:szCs w:val="22"/>
      <w:lang w:eastAsia="en-US"/>
    </w:rPr>
  </w:style>
  <w:style w:type="paragraph" w:customStyle="1" w:styleId="ReasonsNumbering-AltN">
    <w:name w:val="Reasons Numbering - Alt N"/>
    <w:qFormat/>
    <w:rsid w:val="00A36A95"/>
    <w:pPr>
      <w:numPr>
        <w:numId w:val="7"/>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A36A95"/>
    <w:pPr>
      <w:spacing w:after="720"/>
      <w:ind w:left="1166"/>
      <w:contextualSpacing/>
      <w:jc w:val="both"/>
    </w:pPr>
    <w:rPr>
      <w:sz w:val="24"/>
    </w:rPr>
  </w:style>
  <w:style w:type="character" w:styleId="CommentReference">
    <w:name w:val="annotation reference"/>
    <w:basedOn w:val="DefaultParagraphFont"/>
    <w:uiPriority w:val="99"/>
    <w:semiHidden/>
    <w:unhideWhenUsed/>
    <w:rsid w:val="00A36A95"/>
    <w:rPr>
      <w:sz w:val="16"/>
      <w:szCs w:val="16"/>
    </w:rPr>
  </w:style>
  <w:style w:type="paragraph" w:styleId="CommentText">
    <w:name w:val="annotation text"/>
    <w:basedOn w:val="Normal"/>
    <w:link w:val="CommentTextChar"/>
    <w:uiPriority w:val="99"/>
    <w:semiHidden/>
    <w:unhideWhenUsed/>
    <w:rsid w:val="00A36A95"/>
    <w:rPr>
      <w:sz w:val="20"/>
    </w:rPr>
  </w:style>
  <w:style w:type="character" w:customStyle="1" w:styleId="CommentTextChar">
    <w:name w:val="Comment Text Char"/>
    <w:basedOn w:val="DefaultParagraphFont"/>
    <w:link w:val="CommentText"/>
    <w:uiPriority w:val="99"/>
    <w:semiHidden/>
    <w:rsid w:val="00A36A95"/>
  </w:style>
  <w:style w:type="paragraph" w:styleId="CommentSubject">
    <w:name w:val="annotation subject"/>
    <w:basedOn w:val="CommentText"/>
    <w:next w:val="CommentText"/>
    <w:link w:val="CommentSubjectChar"/>
    <w:uiPriority w:val="99"/>
    <w:semiHidden/>
    <w:unhideWhenUsed/>
    <w:rsid w:val="00A36A95"/>
    <w:rPr>
      <w:b/>
      <w:bCs/>
    </w:rPr>
  </w:style>
  <w:style w:type="character" w:customStyle="1" w:styleId="CommentSubjectChar">
    <w:name w:val="Comment Subject Char"/>
    <w:basedOn w:val="CommentTextChar"/>
    <w:link w:val="CommentSubject"/>
    <w:uiPriority w:val="99"/>
    <w:semiHidden/>
    <w:rsid w:val="00A36A95"/>
    <w:rPr>
      <w:b/>
      <w:bCs/>
    </w:rPr>
  </w:style>
  <w:style w:type="table" w:customStyle="1" w:styleId="TableGrid1">
    <w:name w:val="Table Grid1"/>
    <w:basedOn w:val="TableNormal"/>
    <w:next w:val="TableGrid"/>
    <w:uiPriority w:val="59"/>
    <w:rsid w:val="00FA72B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19</Pages>
  <Words>4131</Words>
  <Characters>22557</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2010-12-23T15:51:00Z</dcterms:created>
  <dcterms:modified xsi:type="dcterms:W3CDTF">2011-06-07T17:21:00Z</dcterms:modified>
</cp:coreProperties>
</file>